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Pr="00B2261F" w:rsidRDefault="004C465F" w:rsidP="007153F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EC90880" w:rsidR="00C4052B" w:rsidRPr="00530177" w:rsidRDefault="00C4052B" w:rsidP="007153F3">
          <w:pPr>
            <w:pStyle w:val="TtuloTDC"/>
            <w:spacing w:before="0" w:line="360" w:lineRule="auto"/>
            <w:jc w:val="center"/>
            <w:rPr>
              <w:rFonts w:ascii="Palatino Linotype" w:hAnsi="Palatino Linotype"/>
              <w:color w:val="auto"/>
              <w:sz w:val="22"/>
              <w:szCs w:val="22"/>
            </w:rPr>
          </w:pPr>
          <w:r w:rsidRPr="00530177">
            <w:rPr>
              <w:rFonts w:ascii="Palatino Linotype" w:hAnsi="Palatino Linotype"/>
              <w:color w:val="auto"/>
              <w:sz w:val="22"/>
              <w:szCs w:val="22"/>
              <w:lang w:val="es-ES"/>
            </w:rPr>
            <w:t xml:space="preserve">RESOLUCIÓN DEL RECURSO DE REVISIÓN </w:t>
          </w:r>
          <w:r w:rsidR="00D12DB9">
            <w:rPr>
              <w:rFonts w:ascii="Palatino Linotype" w:hAnsi="Palatino Linotype"/>
              <w:color w:val="auto"/>
              <w:sz w:val="22"/>
              <w:szCs w:val="22"/>
            </w:rPr>
            <w:t>12611</w:t>
          </w:r>
          <w:r w:rsidR="00107B20" w:rsidRPr="00530177">
            <w:rPr>
              <w:rFonts w:ascii="Palatino Linotype" w:hAnsi="Palatino Linotype"/>
              <w:color w:val="auto"/>
              <w:sz w:val="22"/>
              <w:szCs w:val="22"/>
            </w:rPr>
            <w:t>/INFOEM/IP/RR/2025</w:t>
          </w:r>
        </w:p>
        <w:p w14:paraId="73933EFA" w14:textId="77777777" w:rsidR="00C4052B" w:rsidRPr="00B2261F" w:rsidRDefault="00C4052B" w:rsidP="007153F3">
          <w:pPr>
            <w:spacing w:after="0" w:line="360" w:lineRule="auto"/>
            <w:rPr>
              <w:color w:val="FF0000"/>
            </w:rPr>
          </w:pPr>
        </w:p>
        <w:p w14:paraId="2AE169BD" w14:textId="4358C39A" w:rsidR="001768EB" w:rsidRDefault="00C4052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r w:rsidRPr="00B2261F">
            <w:rPr>
              <w:color w:val="FF0000"/>
            </w:rPr>
            <w:fldChar w:fldCharType="begin"/>
          </w:r>
          <w:r w:rsidRPr="00B2261F">
            <w:rPr>
              <w:color w:val="FF0000"/>
            </w:rPr>
            <w:instrText xml:space="preserve"> TOC \o "1-3" \h \z \u </w:instrText>
          </w:r>
          <w:r w:rsidRPr="00B2261F">
            <w:rPr>
              <w:color w:val="FF0000"/>
            </w:rPr>
            <w:fldChar w:fldCharType="separate"/>
          </w:r>
          <w:hyperlink w:anchor="_Toc198156980" w:history="1">
            <w:r w:rsidR="001768EB" w:rsidRPr="00F86240">
              <w:rPr>
                <w:rStyle w:val="Hipervnculo"/>
                <w:noProof/>
              </w:rPr>
              <w:t>A N T E C E D E N T E S</w:t>
            </w:r>
            <w:r w:rsidR="001768EB">
              <w:rPr>
                <w:noProof/>
                <w:webHidden/>
              </w:rPr>
              <w:tab/>
            </w:r>
            <w:r w:rsidR="001768EB">
              <w:rPr>
                <w:noProof/>
                <w:webHidden/>
              </w:rPr>
              <w:fldChar w:fldCharType="begin"/>
            </w:r>
            <w:r w:rsidR="001768EB">
              <w:rPr>
                <w:noProof/>
                <w:webHidden/>
              </w:rPr>
              <w:instrText xml:space="preserve"> PAGEREF _Toc198156980 \h </w:instrText>
            </w:r>
            <w:r w:rsidR="001768EB">
              <w:rPr>
                <w:noProof/>
                <w:webHidden/>
              </w:rPr>
            </w:r>
            <w:r w:rsidR="001768EB">
              <w:rPr>
                <w:noProof/>
                <w:webHidden/>
              </w:rPr>
              <w:fldChar w:fldCharType="separate"/>
            </w:r>
            <w:r w:rsidR="001E1A89">
              <w:rPr>
                <w:noProof/>
                <w:webHidden/>
              </w:rPr>
              <w:t>2</w:t>
            </w:r>
            <w:r w:rsidR="001768EB">
              <w:rPr>
                <w:noProof/>
                <w:webHidden/>
              </w:rPr>
              <w:fldChar w:fldCharType="end"/>
            </w:r>
          </w:hyperlink>
        </w:p>
        <w:p w14:paraId="24A2315B" w14:textId="51464262"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1" w:history="1">
            <w:r w:rsidRPr="00F86240">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_Toc198156981 \h </w:instrText>
            </w:r>
            <w:r>
              <w:rPr>
                <w:noProof/>
                <w:webHidden/>
              </w:rPr>
            </w:r>
            <w:r>
              <w:rPr>
                <w:noProof/>
                <w:webHidden/>
              </w:rPr>
              <w:fldChar w:fldCharType="separate"/>
            </w:r>
            <w:r w:rsidR="001E1A89">
              <w:rPr>
                <w:noProof/>
                <w:webHidden/>
              </w:rPr>
              <w:t>2</w:t>
            </w:r>
            <w:r>
              <w:rPr>
                <w:noProof/>
                <w:webHidden/>
              </w:rPr>
              <w:fldChar w:fldCharType="end"/>
            </w:r>
          </w:hyperlink>
        </w:p>
        <w:p w14:paraId="7D4C44A6" w14:textId="6E869680"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2" w:history="1">
            <w:r w:rsidRPr="00F86240">
              <w:rPr>
                <w:rStyle w:val="Hipervnculo"/>
                <w:noProof/>
              </w:rPr>
              <w:t>II.  Respuesta del Sujeto Obligado</w:t>
            </w:r>
            <w:r>
              <w:rPr>
                <w:noProof/>
                <w:webHidden/>
              </w:rPr>
              <w:tab/>
            </w:r>
            <w:r>
              <w:rPr>
                <w:noProof/>
                <w:webHidden/>
              </w:rPr>
              <w:fldChar w:fldCharType="begin"/>
            </w:r>
            <w:r>
              <w:rPr>
                <w:noProof/>
                <w:webHidden/>
              </w:rPr>
              <w:instrText xml:space="preserve"> PAGEREF _Toc198156982 \h </w:instrText>
            </w:r>
            <w:r>
              <w:rPr>
                <w:noProof/>
                <w:webHidden/>
              </w:rPr>
            </w:r>
            <w:r>
              <w:rPr>
                <w:noProof/>
                <w:webHidden/>
              </w:rPr>
              <w:fldChar w:fldCharType="separate"/>
            </w:r>
            <w:r w:rsidR="001E1A89">
              <w:rPr>
                <w:noProof/>
                <w:webHidden/>
              </w:rPr>
              <w:t>3</w:t>
            </w:r>
            <w:r>
              <w:rPr>
                <w:noProof/>
                <w:webHidden/>
              </w:rPr>
              <w:fldChar w:fldCharType="end"/>
            </w:r>
          </w:hyperlink>
        </w:p>
        <w:p w14:paraId="71F29747" w14:textId="1A1A136F"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3" w:history="1">
            <w:r w:rsidRPr="00F86240">
              <w:rPr>
                <w:rStyle w:val="Hipervnculo"/>
                <w:noProof/>
              </w:rPr>
              <w:t>III. Interposición del Recurso de Revisión</w:t>
            </w:r>
            <w:r>
              <w:rPr>
                <w:noProof/>
                <w:webHidden/>
              </w:rPr>
              <w:tab/>
            </w:r>
            <w:r>
              <w:rPr>
                <w:noProof/>
                <w:webHidden/>
              </w:rPr>
              <w:fldChar w:fldCharType="begin"/>
            </w:r>
            <w:r>
              <w:rPr>
                <w:noProof/>
                <w:webHidden/>
              </w:rPr>
              <w:instrText xml:space="preserve"> PAGEREF _Toc198156983 \h </w:instrText>
            </w:r>
            <w:r>
              <w:rPr>
                <w:noProof/>
                <w:webHidden/>
              </w:rPr>
            </w:r>
            <w:r>
              <w:rPr>
                <w:noProof/>
                <w:webHidden/>
              </w:rPr>
              <w:fldChar w:fldCharType="separate"/>
            </w:r>
            <w:r w:rsidR="001E1A89">
              <w:rPr>
                <w:noProof/>
                <w:webHidden/>
              </w:rPr>
              <w:t>3</w:t>
            </w:r>
            <w:r>
              <w:rPr>
                <w:noProof/>
                <w:webHidden/>
              </w:rPr>
              <w:fldChar w:fldCharType="end"/>
            </w:r>
          </w:hyperlink>
        </w:p>
        <w:p w14:paraId="02A26C1E" w14:textId="6CB775E3"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4" w:history="1">
            <w:r w:rsidRPr="00F86240">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_Toc198156984 \h </w:instrText>
            </w:r>
            <w:r>
              <w:rPr>
                <w:noProof/>
                <w:webHidden/>
              </w:rPr>
            </w:r>
            <w:r>
              <w:rPr>
                <w:noProof/>
                <w:webHidden/>
              </w:rPr>
              <w:fldChar w:fldCharType="separate"/>
            </w:r>
            <w:r w:rsidR="001E1A89">
              <w:rPr>
                <w:noProof/>
                <w:webHidden/>
              </w:rPr>
              <w:t>4</w:t>
            </w:r>
            <w:r>
              <w:rPr>
                <w:noProof/>
                <w:webHidden/>
              </w:rPr>
              <w:fldChar w:fldCharType="end"/>
            </w:r>
          </w:hyperlink>
        </w:p>
        <w:p w14:paraId="2C1A6EFA" w14:textId="79EB7893" w:rsidR="001768EB" w:rsidRDefault="001768E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5" w:history="1">
            <w:r w:rsidRPr="00F86240">
              <w:rPr>
                <w:rStyle w:val="Hipervnculo"/>
                <w:noProof/>
              </w:rPr>
              <w:t>C O N S I D E R A N D O S</w:t>
            </w:r>
            <w:r>
              <w:rPr>
                <w:noProof/>
                <w:webHidden/>
              </w:rPr>
              <w:tab/>
            </w:r>
            <w:r>
              <w:rPr>
                <w:noProof/>
                <w:webHidden/>
              </w:rPr>
              <w:fldChar w:fldCharType="begin"/>
            </w:r>
            <w:r>
              <w:rPr>
                <w:noProof/>
                <w:webHidden/>
              </w:rPr>
              <w:instrText xml:space="preserve"> PAGEREF _Toc198156985 \h </w:instrText>
            </w:r>
            <w:r>
              <w:rPr>
                <w:noProof/>
                <w:webHidden/>
              </w:rPr>
            </w:r>
            <w:r>
              <w:rPr>
                <w:noProof/>
                <w:webHidden/>
              </w:rPr>
              <w:fldChar w:fldCharType="separate"/>
            </w:r>
            <w:r w:rsidR="001E1A89">
              <w:rPr>
                <w:noProof/>
                <w:webHidden/>
              </w:rPr>
              <w:t>5</w:t>
            </w:r>
            <w:r>
              <w:rPr>
                <w:noProof/>
                <w:webHidden/>
              </w:rPr>
              <w:fldChar w:fldCharType="end"/>
            </w:r>
          </w:hyperlink>
        </w:p>
        <w:p w14:paraId="0D202985" w14:textId="7D719C4A"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6" w:history="1">
            <w:r w:rsidRPr="00F86240">
              <w:rPr>
                <w:rStyle w:val="Hipervnculo"/>
                <w:noProof/>
              </w:rPr>
              <w:t>PRIMERO. Competencia</w:t>
            </w:r>
            <w:r>
              <w:rPr>
                <w:noProof/>
                <w:webHidden/>
              </w:rPr>
              <w:tab/>
            </w:r>
            <w:r>
              <w:rPr>
                <w:noProof/>
                <w:webHidden/>
              </w:rPr>
              <w:fldChar w:fldCharType="begin"/>
            </w:r>
            <w:r>
              <w:rPr>
                <w:noProof/>
                <w:webHidden/>
              </w:rPr>
              <w:instrText xml:space="preserve"> PAGEREF _Toc198156986 \h </w:instrText>
            </w:r>
            <w:r>
              <w:rPr>
                <w:noProof/>
                <w:webHidden/>
              </w:rPr>
            </w:r>
            <w:r>
              <w:rPr>
                <w:noProof/>
                <w:webHidden/>
              </w:rPr>
              <w:fldChar w:fldCharType="separate"/>
            </w:r>
            <w:r w:rsidR="001E1A89">
              <w:rPr>
                <w:noProof/>
                <w:webHidden/>
              </w:rPr>
              <w:t>5</w:t>
            </w:r>
            <w:r>
              <w:rPr>
                <w:noProof/>
                <w:webHidden/>
              </w:rPr>
              <w:fldChar w:fldCharType="end"/>
            </w:r>
          </w:hyperlink>
        </w:p>
        <w:p w14:paraId="25E57C61" w14:textId="4632A7E6"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7" w:history="1">
            <w:r w:rsidRPr="00F86240">
              <w:rPr>
                <w:rStyle w:val="Hipervnculo"/>
                <w:noProof/>
              </w:rPr>
              <w:t>SEGUNDO. Causales de improcedencia y sobreseimiento</w:t>
            </w:r>
            <w:r>
              <w:rPr>
                <w:noProof/>
                <w:webHidden/>
              </w:rPr>
              <w:tab/>
            </w:r>
            <w:r>
              <w:rPr>
                <w:noProof/>
                <w:webHidden/>
              </w:rPr>
              <w:fldChar w:fldCharType="begin"/>
            </w:r>
            <w:r>
              <w:rPr>
                <w:noProof/>
                <w:webHidden/>
              </w:rPr>
              <w:instrText xml:space="preserve"> PAGEREF _Toc198156987 \h </w:instrText>
            </w:r>
            <w:r>
              <w:rPr>
                <w:noProof/>
                <w:webHidden/>
              </w:rPr>
            </w:r>
            <w:r>
              <w:rPr>
                <w:noProof/>
                <w:webHidden/>
              </w:rPr>
              <w:fldChar w:fldCharType="separate"/>
            </w:r>
            <w:r w:rsidR="001E1A89">
              <w:rPr>
                <w:noProof/>
                <w:webHidden/>
              </w:rPr>
              <w:t>6</w:t>
            </w:r>
            <w:r>
              <w:rPr>
                <w:noProof/>
                <w:webHidden/>
              </w:rPr>
              <w:fldChar w:fldCharType="end"/>
            </w:r>
          </w:hyperlink>
        </w:p>
        <w:p w14:paraId="6FE15D64" w14:textId="635B2435"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8" w:history="1">
            <w:r w:rsidRPr="00F86240">
              <w:rPr>
                <w:rStyle w:val="Hipervnculo"/>
                <w:noProof/>
              </w:rPr>
              <w:t>TERCERO. Determinación de la Controversia</w:t>
            </w:r>
            <w:r>
              <w:rPr>
                <w:noProof/>
                <w:webHidden/>
              </w:rPr>
              <w:tab/>
            </w:r>
            <w:r>
              <w:rPr>
                <w:noProof/>
                <w:webHidden/>
              </w:rPr>
              <w:fldChar w:fldCharType="begin"/>
            </w:r>
            <w:r>
              <w:rPr>
                <w:noProof/>
                <w:webHidden/>
              </w:rPr>
              <w:instrText xml:space="preserve"> PAGEREF _Toc198156988 \h </w:instrText>
            </w:r>
            <w:r>
              <w:rPr>
                <w:noProof/>
                <w:webHidden/>
              </w:rPr>
            </w:r>
            <w:r>
              <w:rPr>
                <w:noProof/>
                <w:webHidden/>
              </w:rPr>
              <w:fldChar w:fldCharType="separate"/>
            </w:r>
            <w:r w:rsidR="001E1A89">
              <w:rPr>
                <w:noProof/>
                <w:webHidden/>
              </w:rPr>
              <w:t>7</w:t>
            </w:r>
            <w:r>
              <w:rPr>
                <w:noProof/>
                <w:webHidden/>
              </w:rPr>
              <w:fldChar w:fldCharType="end"/>
            </w:r>
          </w:hyperlink>
        </w:p>
        <w:p w14:paraId="33C8C276" w14:textId="38141DF7"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9" w:history="1">
            <w:r w:rsidRPr="00F86240">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_Toc198156989 \h </w:instrText>
            </w:r>
            <w:r>
              <w:rPr>
                <w:noProof/>
                <w:webHidden/>
              </w:rPr>
            </w:r>
            <w:r>
              <w:rPr>
                <w:noProof/>
                <w:webHidden/>
              </w:rPr>
              <w:fldChar w:fldCharType="separate"/>
            </w:r>
            <w:r w:rsidR="001E1A89">
              <w:rPr>
                <w:noProof/>
                <w:webHidden/>
              </w:rPr>
              <w:t>8</w:t>
            </w:r>
            <w:r>
              <w:rPr>
                <w:noProof/>
                <w:webHidden/>
              </w:rPr>
              <w:fldChar w:fldCharType="end"/>
            </w:r>
          </w:hyperlink>
        </w:p>
        <w:p w14:paraId="37D8E988" w14:textId="5030B5B4"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0" w:history="1">
            <w:r w:rsidRPr="00F86240">
              <w:rPr>
                <w:rStyle w:val="Hipervnculo"/>
                <w:noProof/>
              </w:rPr>
              <w:t>QUINTO. Estudio de Fondo</w:t>
            </w:r>
            <w:r>
              <w:rPr>
                <w:noProof/>
                <w:webHidden/>
              </w:rPr>
              <w:tab/>
            </w:r>
            <w:r>
              <w:rPr>
                <w:noProof/>
                <w:webHidden/>
              </w:rPr>
              <w:fldChar w:fldCharType="begin"/>
            </w:r>
            <w:r>
              <w:rPr>
                <w:noProof/>
                <w:webHidden/>
              </w:rPr>
              <w:instrText xml:space="preserve"> PAGEREF _Toc198156990 \h </w:instrText>
            </w:r>
            <w:r>
              <w:rPr>
                <w:noProof/>
                <w:webHidden/>
              </w:rPr>
            </w:r>
            <w:r>
              <w:rPr>
                <w:noProof/>
                <w:webHidden/>
              </w:rPr>
              <w:fldChar w:fldCharType="separate"/>
            </w:r>
            <w:r w:rsidR="001E1A89">
              <w:rPr>
                <w:noProof/>
                <w:webHidden/>
              </w:rPr>
              <w:t>9</w:t>
            </w:r>
            <w:r>
              <w:rPr>
                <w:noProof/>
                <w:webHidden/>
              </w:rPr>
              <w:fldChar w:fldCharType="end"/>
            </w:r>
          </w:hyperlink>
        </w:p>
        <w:p w14:paraId="1783D6E2" w14:textId="4AFD4425"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1" w:history="1">
            <w:r w:rsidRPr="00F86240">
              <w:rPr>
                <w:rStyle w:val="Hipervnculo"/>
                <w:noProof/>
              </w:rPr>
              <w:t>SEXTO. Decisión</w:t>
            </w:r>
            <w:r>
              <w:rPr>
                <w:noProof/>
                <w:webHidden/>
              </w:rPr>
              <w:tab/>
            </w:r>
            <w:r>
              <w:rPr>
                <w:noProof/>
                <w:webHidden/>
              </w:rPr>
              <w:fldChar w:fldCharType="begin"/>
            </w:r>
            <w:r>
              <w:rPr>
                <w:noProof/>
                <w:webHidden/>
              </w:rPr>
              <w:instrText xml:space="preserve"> PAGEREF _Toc198156991 \h </w:instrText>
            </w:r>
            <w:r>
              <w:rPr>
                <w:noProof/>
                <w:webHidden/>
              </w:rPr>
            </w:r>
            <w:r>
              <w:rPr>
                <w:noProof/>
                <w:webHidden/>
              </w:rPr>
              <w:fldChar w:fldCharType="separate"/>
            </w:r>
            <w:r w:rsidR="001E1A89">
              <w:rPr>
                <w:noProof/>
                <w:webHidden/>
              </w:rPr>
              <w:t>33</w:t>
            </w:r>
            <w:r>
              <w:rPr>
                <w:noProof/>
                <w:webHidden/>
              </w:rPr>
              <w:fldChar w:fldCharType="end"/>
            </w:r>
          </w:hyperlink>
        </w:p>
        <w:p w14:paraId="37D752BA" w14:textId="225818CB" w:rsidR="001768EB" w:rsidRDefault="001768E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2" w:history="1">
            <w:r w:rsidRPr="00F86240">
              <w:rPr>
                <w:rStyle w:val="Hipervnculo"/>
                <w:noProof/>
              </w:rPr>
              <w:t>R E S U E L V E</w:t>
            </w:r>
            <w:r>
              <w:rPr>
                <w:noProof/>
                <w:webHidden/>
              </w:rPr>
              <w:tab/>
            </w:r>
            <w:r>
              <w:rPr>
                <w:noProof/>
                <w:webHidden/>
              </w:rPr>
              <w:fldChar w:fldCharType="begin"/>
            </w:r>
            <w:r>
              <w:rPr>
                <w:noProof/>
                <w:webHidden/>
              </w:rPr>
              <w:instrText xml:space="preserve"> PAGEREF _Toc198156992 \h </w:instrText>
            </w:r>
            <w:r>
              <w:rPr>
                <w:noProof/>
                <w:webHidden/>
              </w:rPr>
            </w:r>
            <w:r>
              <w:rPr>
                <w:noProof/>
                <w:webHidden/>
              </w:rPr>
              <w:fldChar w:fldCharType="separate"/>
            </w:r>
            <w:r w:rsidR="001E1A89">
              <w:rPr>
                <w:noProof/>
                <w:webHidden/>
              </w:rPr>
              <w:t>34</w:t>
            </w:r>
            <w:r>
              <w:rPr>
                <w:noProof/>
                <w:webHidden/>
              </w:rPr>
              <w:fldChar w:fldCharType="end"/>
            </w:r>
          </w:hyperlink>
        </w:p>
        <w:p w14:paraId="5B9D6C11" w14:textId="5A8D6D01" w:rsidR="00C4052B" w:rsidRPr="00B2261F" w:rsidRDefault="00C4052B" w:rsidP="007153F3">
          <w:pPr>
            <w:spacing w:after="0" w:line="360" w:lineRule="auto"/>
            <w:rPr>
              <w:color w:val="FF0000"/>
            </w:rPr>
          </w:pPr>
          <w:r w:rsidRPr="00B2261F">
            <w:rPr>
              <w:b/>
              <w:bCs/>
              <w:color w:val="FF0000"/>
              <w:lang w:val="es-ES"/>
            </w:rPr>
            <w:fldChar w:fldCharType="end"/>
          </w:r>
        </w:p>
      </w:sdtContent>
    </w:sdt>
    <w:p w14:paraId="57481942" w14:textId="77777777" w:rsidR="00C4052B" w:rsidRPr="00B2261F" w:rsidRDefault="00C4052B" w:rsidP="007153F3">
      <w:pPr>
        <w:tabs>
          <w:tab w:val="left" w:pos="8931"/>
        </w:tabs>
        <w:spacing w:after="0" w:line="360" w:lineRule="auto"/>
        <w:rPr>
          <w:color w:val="FF0000"/>
        </w:rPr>
      </w:pPr>
    </w:p>
    <w:p w14:paraId="411B5995" w14:textId="77777777" w:rsidR="00C4052B" w:rsidRPr="00B2261F" w:rsidRDefault="00C4052B" w:rsidP="007153F3">
      <w:pPr>
        <w:tabs>
          <w:tab w:val="left" w:pos="8931"/>
        </w:tabs>
        <w:spacing w:after="0" w:line="360" w:lineRule="auto"/>
        <w:rPr>
          <w:color w:val="FF0000"/>
        </w:rPr>
      </w:pPr>
    </w:p>
    <w:p w14:paraId="6784625D" w14:textId="77777777" w:rsidR="00C4052B" w:rsidRPr="00B2261F" w:rsidRDefault="00C4052B" w:rsidP="007153F3">
      <w:pPr>
        <w:tabs>
          <w:tab w:val="left" w:pos="8931"/>
        </w:tabs>
        <w:spacing w:after="0" w:line="360" w:lineRule="auto"/>
        <w:rPr>
          <w:color w:val="FF0000"/>
        </w:rPr>
      </w:pPr>
    </w:p>
    <w:p w14:paraId="140888DD" w14:textId="77777777" w:rsidR="00C4052B" w:rsidRPr="00B2261F" w:rsidRDefault="00C4052B" w:rsidP="007153F3">
      <w:pPr>
        <w:tabs>
          <w:tab w:val="left" w:pos="8931"/>
        </w:tabs>
        <w:spacing w:after="0" w:line="360" w:lineRule="auto"/>
        <w:rPr>
          <w:color w:val="FF0000"/>
        </w:rPr>
      </w:pPr>
    </w:p>
    <w:p w14:paraId="46268890" w14:textId="77777777" w:rsidR="00C4052B" w:rsidRPr="00B2261F" w:rsidRDefault="00C4052B" w:rsidP="007153F3">
      <w:pPr>
        <w:tabs>
          <w:tab w:val="left" w:pos="8931"/>
        </w:tabs>
        <w:spacing w:after="0" w:line="360" w:lineRule="auto"/>
        <w:rPr>
          <w:color w:val="FF0000"/>
        </w:rPr>
      </w:pPr>
    </w:p>
    <w:p w14:paraId="7787AFE9" w14:textId="77777777" w:rsidR="00826DC4" w:rsidRDefault="00826DC4" w:rsidP="007153F3">
      <w:pPr>
        <w:tabs>
          <w:tab w:val="left" w:pos="8931"/>
        </w:tabs>
        <w:spacing w:after="0" w:line="360" w:lineRule="auto"/>
        <w:rPr>
          <w:color w:val="FF0000"/>
        </w:rPr>
      </w:pPr>
    </w:p>
    <w:p w14:paraId="16C0EB06" w14:textId="77777777" w:rsidR="00BC739E" w:rsidRPr="00B2261F" w:rsidRDefault="00BC739E" w:rsidP="007153F3">
      <w:pPr>
        <w:tabs>
          <w:tab w:val="left" w:pos="8931"/>
        </w:tabs>
        <w:spacing w:after="0" w:line="360" w:lineRule="auto"/>
        <w:rPr>
          <w:color w:val="FF0000"/>
        </w:rPr>
      </w:pPr>
    </w:p>
    <w:p w14:paraId="3FB7EB5E" w14:textId="2F6A2ABC" w:rsidR="005C690F" w:rsidRPr="00530177" w:rsidRDefault="007D6307" w:rsidP="007153F3">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3D6FD4">
        <w:rPr>
          <w:color w:val="auto"/>
        </w:rPr>
        <w:t>veinticinco</w:t>
      </w:r>
      <w:r w:rsidR="005F3522">
        <w:rPr>
          <w:color w:val="auto"/>
        </w:rPr>
        <w:t xml:space="preserve"> de noviembre</w:t>
      </w:r>
      <w:r w:rsidR="00530177" w:rsidRPr="00530177">
        <w:rPr>
          <w:color w:val="auto"/>
        </w:rPr>
        <w:t xml:space="preserve"> de dos mil veinticinco.</w:t>
      </w:r>
    </w:p>
    <w:p w14:paraId="0DCD3B82" w14:textId="77777777" w:rsidR="005C690F" w:rsidRPr="00B2261F" w:rsidRDefault="005C690F" w:rsidP="007153F3">
      <w:pPr>
        <w:spacing w:after="0" w:line="360" w:lineRule="auto"/>
        <w:rPr>
          <w:b/>
          <w:color w:val="FF0000"/>
        </w:rPr>
      </w:pPr>
    </w:p>
    <w:p w14:paraId="1570B336" w14:textId="2FB7555E" w:rsidR="005C690F" w:rsidRPr="00530177" w:rsidRDefault="007D6307" w:rsidP="007153F3">
      <w:pPr>
        <w:spacing w:after="0" w:line="360" w:lineRule="auto"/>
        <w:rPr>
          <w:rFonts w:eastAsia="Times New Roman" w:cs="Tahoma"/>
          <w:color w:val="auto"/>
          <w:lang w:eastAsia="es-ES"/>
        </w:rPr>
      </w:pPr>
      <w:r w:rsidRPr="00B50561">
        <w:rPr>
          <w:rFonts w:eastAsia="Times New Roman" w:cs="Tahoma"/>
          <w:b/>
          <w:color w:val="auto"/>
          <w:lang w:eastAsia="es-ES"/>
        </w:rPr>
        <w:t>VISTO</w:t>
      </w:r>
      <w:r w:rsidRPr="00530177">
        <w:rPr>
          <w:rFonts w:eastAsia="Times New Roman" w:cs="Tahoma"/>
          <w:color w:val="auto"/>
          <w:lang w:eastAsia="es-ES"/>
        </w:rPr>
        <w:t xml:space="preserve"> el expediente electrónico conformado con motivo del Recurso de Revisión </w:t>
      </w:r>
      <w:r w:rsidR="00D12DB9" w:rsidRPr="00B50561">
        <w:rPr>
          <w:rFonts w:eastAsia="Times New Roman" w:cs="Tahoma"/>
          <w:b/>
          <w:color w:val="auto"/>
          <w:lang w:eastAsia="es-ES"/>
        </w:rPr>
        <w:t>12611</w:t>
      </w:r>
      <w:r w:rsidR="00107B20" w:rsidRPr="00B50561">
        <w:rPr>
          <w:rFonts w:eastAsia="Times New Roman" w:cs="Tahoma"/>
          <w:b/>
          <w:color w:val="auto"/>
          <w:lang w:eastAsia="es-ES"/>
        </w:rPr>
        <w:t>/INFOEM/IP/RR/2025</w:t>
      </w:r>
      <w:r w:rsidR="001232E3">
        <w:rPr>
          <w:rFonts w:eastAsia="Times New Roman" w:cs="Tahoma"/>
          <w:color w:val="auto"/>
          <w:lang w:eastAsia="es-ES"/>
        </w:rPr>
        <w:t xml:space="preserve">, interpuesto </w:t>
      </w:r>
      <w:r w:rsidR="007153F3">
        <w:rPr>
          <w:rFonts w:eastAsia="Times New Roman" w:cs="Tahoma"/>
          <w:color w:val="auto"/>
          <w:lang w:eastAsia="es-ES"/>
        </w:rPr>
        <w:t>por</w:t>
      </w:r>
      <w:r w:rsidR="007153F3" w:rsidRPr="00530177">
        <w:rPr>
          <w:rFonts w:eastAsia="Times New Roman" w:cs="Tahoma"/>
          <w:color w:val="auto"/>
          <w:lang w:eastAsia="es-ES"/>
        </w:rPr>
        <w:t xml:space="preserve"> </w:t>
      </w:r>
      <w:r w:rsidR="00A91475" w:rsidRPr="00A91475">
        <w:rPr>
          <w:rFonts w:eastAsia="Times New Roman" w:cs="Tahoma"/>
          <w:b/>
          <w:color w:val="auto"/>
          <w:highlight w:val="black"/>
          <w:lang w:eastAsia="es-ES"/>
        </w:rPr>
        <w:t>XXXXXXXXXXXXXXXX</w:t>
      </w:r>
      <w:r w:rsidR="00933F08">
        <w:rPr>
          <w:rFonts w:eastAsia="Times New Roman" w:cs="Tahoma"/>
          <w:color w:val="auto"/>
          <w:lang w:eastAsia="es-ES"/>
        </w:rPr>
        <w:t xml:space="preserve">,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r w:rsidR="005F3522" w:rsidRPr="00B50561">
        <w:rPr>
          <w:b/>
        </w:rPr>
        <w:t>Ayuntamiento de Chalco</w:t>
      </w:r>
      <w:r w:rsidR="00194EF6">
        <w:rPr>
          <w:rFonts w:eastAsia="Times New Roman" w:cs="Tahoma"/>
          <w:color w:val="auto"/>
          <w:lang w:eastAsia="es-ES"/>
        </w:rPr>
        <w:t>,</w:t>
      </w:r>
      <w:r w:rsidRPr="00530177">
        <w:rPr>
          <w:rFonts w:eastAsia="Times New Roman" w:cs="Tahoma"/>
          <w:color w:val="auto"/>
          <w:lang w:eastAsia="es-ES"/>
        </w:rPr>
        <w:t xml:space="preserve"> a la solicitud de acceso a la información </w:t>
      </w:r>
      <w:r w:rsidR="007153F3" w:rsidRPr="00530177">
        <w:rPr>
          <w:rFonts w:eastAsia="Times New Roman" w:cs="Tahoma"/>
          <w:color w:val="auto"/>
          <w:lang w:eastAsia="es-ES"/>
        </w:rPr>
        <w:t xml:space="preserve">pública </w:t>
      </w:r>
      <w:r w:rsidR="005F3522">
        <w:rPr>
          <w:rFonts w:eastAsia="Times New Roman" w:cs="Tahoma"/>
          <w:color w:val="auto"/>
          <w:lang w:eastAsia="es-ES"/>
        </w:rPr>
        <w:t>00204/CHALCO/IP/2025</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Resolución, con base en los Antecedentes y Considerandos que se exponen a continuación:</w:t>
      </w:r>
    </w:p>
    <w:p w14:paraId="1F97CEF3" w14:textId="77777777" w:rsidR="005C690F" w:rsidRPr="00530177" w:rsidRDefault="005C690F" w:rsidP="007153F3">
      <w:pPr>
        <w:spacing w:after="0" w:line="360" w:lineRule="auto"/>
        <w:rPr>
          <w:b/>
          <w:color w:val="auto"/>
        </w:rPr>
      </w:pPr>
    </w:p>
    <w:p w14:paraId="1DEAF9D3" w14:textId="24D35555" w:rsidR="005C690F" w:rsidRPr="00530177" w:rsidRDefault="00CD6238" w:rsidP="007153F3">
      <w:pPr>
        <w:pStyle w:val="Ttulo1"/>
        <w:spacing w:before="0" w:after="0" w:line="360" w:lineRule="auto"/>
        <w:jc w:val="center"/>
        <w:rPr>
          <w:color w:val="auto"/>
          <w:sz w:val="22"/>
          <w:szCs w:val="22"/>
        </w:rPr>
      </w:pPr>
      <w:bookmarkStart w:id="0" w:name="_Toc198156980"/>
      <w:r w:rsidRPr="00530177">
        <w:rPr>
          <w:color w:val="auto"/>
          <w:sz w:val="22"/>
          <w:szCs w:val="22"/>
        </w:rPr>
        <w:t>A N T E C E D E N T E S</w:t>
      </w:r>
      <w:bookmarkEnd w:id="0"/>
    </w:p>
    <w:p w14:paraId="5A7EDA4F" w14:textId="77777777" w:rsidR="005C690F" w:rsidRPr="00B2261F" w:rsidRDefault="005C690F" w:rsidP="007153F3">
      <w:pPr>
        <w:spacing w:after="0" w:line="360" w:lineRule="auto"/>
        <w:jc w:val="center"/>
        <w:rPr>
          <w:b/>
          <w:color w:val="FF0000"/>
        </w:rPr>
      </w:pPr>
    </w:p>
    <w:p w14:paraId="4930DAB9" w14:textId="77777777" w:rsidR="00E22EA8" w:rsidRPr="00530177" w:rsidRDefault="00E22EA8" w:rsidP="007153F3">
      <w:pPr>
        <w:pStyle w:val="Ttulo2"/>
        <w:spacing w:before="0" w:after="0" w:line="360" w:lineRule="auto"/>
        <w:rPr>
          <w:color w:val="auto"/>
          <w:sz w:val="22"/>
          <w:szCs w:val="22"/>
          <w:lang w:eastAsia="es-ES"/>
        </w:rPr>
      </w:pPr>
      <w:bookmarkStart w:id="1" w:name="_Toc198156981"/>
      <w:r w:rsidRPr="00530177">
        <w:rPr>
          <w:color w:val="auto"/>
          <w:sz w:val="22"/>
          <w:szCs w:val="22"/>
          <w:lang w:eastAsia="es-ES"/>
        </w:rPr>
        <w:t>I. Presentación de la solicitud de información</w:t>
      </w:r>
      <w:bookmarkEnd w:id="1"/>
    </w:p>
    <w:p w14:paraId="7243DA53" w14:textId="77777777" w:rsidR="00E22EA8" w:rsidRPr="00530177" w:rsidRDefault="00E22EA8" w:rsidP="007153F3">
      <w:pPr>
        <w:tabs>
          <w:tab w:val="left" w:pos="567"/>
        </w:tabs>
        <w:spacing w:after="0" w:line="360" w:lineRule="auto"/>
        <w:rPr>
          <w:rFonts w:eastAsia="Times New Roman" w:cs="Tahoma"/>
          <w:color w:val="auto"/>
          <w:lang w:eastAsia="es-ES"/>
        </w:rPr>
      </w:pPr>
    </w:p>
    <w:p w14:paraId="301B8A4E" w14:textId="290978E7" w:rsidR="00E22EA8" w:rsidRPr="00530177" w:rsidRDefault="00D906B2" w:rsidP="007153F3">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C80532">
        <w:rPr>
          <w:rFonts w:eastAsia="Times New Roman" w:cs="Tahoma"/>
          <w:color w:val="auto"/>
          <w:lang w:eastAsia="es-ES"/>
        </w:rPr>
        <w:t>veintitrés de septiembre</w:t>
      </w:r>
      <w:r w:rsidR="00530177" w:rsidRPr="00530177">
        <w:rPr>
          <w:rFonts w:eastAsia="Times New Roman" w:cs="Tahoma"/>
          <w:color w:val="auto"/>
          <w:lang w:eastAsia="es-ES"/>
        </w:rPr>
        <w:t xml:space="preserve"> de </w:t>
      </w:r>
      <w:r w:rsidR="008E0DC4" w:rsidRPr="00530177">
        <w:rPr>
          <w:rFonts w:eastAsia="Times New Roman" w:cs="Tahoma"/>
          <w:color w:val="auto"/>
          <w:lang w:eastAsia="es-ES"/>
        </w:rPr>
        <w:t xml:space="preserve">dos mil </w:t>
      </w:r>
      <w:r w:rsidR="006F2A1D">
        <w:rPr>
          <w:rFonts w:eastAsia="Times New Roman" w:cs="Tahoma"/>
          <w:color w:val="auto"/>
          <w:lang w:eastAsia="es-ES"/>
        </w:rPr>
        <w:t>veinticinco,</w:t>
      </w:r>
      <w:r w:rsidR="009B0BB2" w:rsidRPr="00530177">
        <w:rPr>
          <w:rFonts w:eastAsia="Times New Roman" w:cs="Tahoma"/>
          <w:color w:val="auto"/>
          <w:lang w:eastAsia="es-ES"/>
        </w:rPr>
        <w:t xml:space="preserve"> el</w:t>
      </w:r>
      <w:r w:rsidR="00E22EA8" w:rsidRPr="00530177">
        <w:rPr>
          <w:rFonts w:eastAsia="Times New Roman" w:cs="Tahoma"/>
          <w:color w:val="auto"/>
          <w:lang w:eastAsia="es-ES"/>
        </w:rPr>
        <w:t xml:space="preserve"> Particular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5F3522">
        <w:t>Ayuntamiento de Chalco</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7153F3">
      <w:pPr>
        <w:spacing w:after="0" w:line="360" w:lineRule="auto"/>
        <w:rPr>
          <w:rFonts w:eastAsia="Calibri" w:cs="Tahoma"/>
          <w:color w:val="FF0000"/>
        </w:rPr>
      </w:pPr>
    </w:p>
    <w:p w14:paraId="5122D73E" w14:textId="1454B0E4" w:rsidR="002B17F0" w:rsidRPr="00530177" w:rsidRDefault="00125F26" w:rsidP="007153F3">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568E69C5" w:rsidR="00E22EA8" w:rsidRPr="00530177" w:rsidRDefault="00C80532" w:rsidP="00C80532">
      <w:pPr>
        <w:spacing w:after="0" w:line="360" w:lineRule="auto"/>
        <w:ind w:left="567" w:right="567"/>
        <w:rPr>
          <w:rFonts w:eastAsia="Times New Roman" w:cs="Arial"/>
          <w:bCs/>
          <w:i/>
          <w:iCs/>
          <w:color w:val="auto"/>
          <w:sz w:val="20"/>
          <w:lang w:eastAsia="es-ES"/>
        </w:rPr>
      </w:pPr>
      <w:r w:rsidRPr="00C80532">
        <w:rPr>
          <w:rFonts w:eastAsia="Times New Roman" w:cs="Arial"/>
          <w:bCs/>
          <w:i/>
          <w:iCs/>
          <w:color w:val="auto"/>
          <w:sz w:val="20"/>
          <w:lang w:eastAsia="es-ES"/>
        </w:rPr>
        <w:t>SOLICITO COPIA SIMPLE DIGITALIZADA A TRAVÉS DEL SISTEMA ELECTRÓNICO SAIMEX DE LOS COMPROBANTES DE PAGO A PERSONAS FISICAS O MORALES MAYORES A 1 MILLON DE PESOS MEXICANOS REALIZADOS DEL 1 DE ENERO DE 2025 A LA FECHA.</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652C6A62" w14:textId="77777777" w:rsidR="003251F8" w:rsidRPr="00530177" w:rsidRDefault="003251F8" w:rsidP="007153F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530177" w:rsidRDefault="00125F26" w:rsidP="007153F3">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7153F3">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Pr="00530177" w:rsidRDefault="001232E3" w:rsidP="007153F3">
      <w:pPr>
        <w:spacing w:after="0" w:line="360" w:lineRule="auto"/>
        <w:ind w:left="567" w:right="567"/>
        <w:rPr>
          <w:rFonts w:eastAsia="Times New Roman" w:cs="Arial"/>
          <w:bCs/>
          <w:i/>
          <w:iCs/>
          <w:color w:val="auto"/>
          <w:sz w:val="20"/>
          <w:lang w:eastAsia="es-ES"/>
        </w:rPr>
      </w:pPr>
    </w:p>
    <w:p w14:paraId="0A604AAC" w14:textId="25C32E9A" w:rsidR="00E22EA8" w:rsidRPr="00530177" w:rsidRDefault="00107B20" w:rsidP="007153F3">
      <w:pPr>
        <w:pStyle w:val="Ttulo2"/>
        <w:spacing w:before="0" w:after="0" w:line="360" w:lineRule="auto"/>
        <w:rPr>
          <w:color w:val="auto"/>
          <w:sz w:val="22"/>
          <w:szCs w:val="22"/>
        </w:rPr>
      </w:pPr>
      <w:bookmarkStart w:id="2" w:name="_Toc198156982"/>
      <w:r w:rsidRPr="00530177">
        <w:rPr>
          <w:color w:val="auto"/>
          <w:sz w:val="22"/>
          <w:szCs w:val="22"/>
        </w:rPr>
        <w:lastRenderedPageBreak/>
        <w:t xml:space="preserve">II. </w:t>
      </w:r>
      <w:r w:rsidR="007B4DAD" w:rsidRPr="00530177">
        <w:rPr>
          <w:color w:val="auto"/>
          <w:sz w:val="22"/>
          <w:szCs w:val="22"/>
        </w:rPr>
        <w:t xml:space="preserve"> </w:t>
      </w:r>
      <w:r w:rsidR="00E22EA8" w:rsidRPr="00530177">
        <w:rPr>
          <w:color w:val="auto"/>
          <w:sz w:val="22"/>
          <w:szCs w:val="22"/>
        </w:rPr>
        <w:t>Respuesta del Sujeto Obligado</w:t>
      </w:r>
      <w:bookmarkEnd w:id="2"/>
    </w:p>
    <w:p w14:paraId="10CE94A9" w14:textId="77777777" w:rsidR="00C06004" w:rsidRPr="00530177" w:rsidRDefault="00C06004" w:rsidP="007153F3">
      <w:pPr>
        <w:autoSpaceDE w:val="0"/>
        <w:autoSpaceDN w:val="0"/>
        <w:adjustRightInd w:val="0"/>
        <w:spacing w:after="0" w:line="360" w:lineRule="auto"/>
        <w:rPr>
          <w:b/>
          <w:bCs/>
          <w:color w:val="auto"/>
        </w:rPr>
      </w:pPr>
    </w:p>
    <w:p w14:paraId="378402C1" w14:textId="6BC38847" w:rsidR="00E22393" w:rsidRDefault="00011477" w:rsidP="007153F3">
      <w:pPr>
        <w:spacing w:after="0" w:line="360" w:lineRule="auto"/>
        <w:rPr>
          <w:color w:val="auto"/>
        </w:rPr>
      </w:pPr>
      <w:r w:rsidRPr="00530177">
        <w:rPr>
          <w:color w:val="auto"/>
        </w:rPr>
        <w:t xml:space="preserve">El </w:t>
      </w:r>
      <w:r w:rsidR="00C80532">
        <w:rPr>
          <w:color w:val="auto"/>
        </w:rPr>
        <w:t>catorce de octubre</w:t>
      </w:r>
      <w:r w:rsidR="00530177" w:rsidRPr="00530177">
        <w:rPr>
          <w:color w:val="auto"/>
        </w:rPr>
        <w:t xml:space="preserve"> de </w:t>
      </w:r>
      <w:r w:rsidR="00CD4DE8" w:rsidRPr="00530177">
        <w:rPr>
          <w:color w:val="auto"/>
        </w:rPr>
        <w:t>dos mil veinticinco</w:t>
      </w:r>
      <w:r w:rsidR="00E22EA8" w:rsidRPr="00530177">
        <w:rPr>
          <w:color w:val="auto"/>
        </w:rPr>
        <w:t xml:space="preserve">, el Sujeto Obligado notificó, a través del Sistema de Acceso a la Información Mexiquense (SAIMEX), la respuesta a la solicitud de acceso a la información pública, </w:t>
      </w:r>
      <w:r w:rsidR="00C80532">
        <w:rPr>
          <w:color w:val="auto"/>
        </w:rPr>
        <w:t>en donde señaló lo siguiente</w:t>
      </w:r>
      <w:r w:rsidR="00C96A34" w:rsidRPr="00530177">
        <w:rPr>
          <w:color w:val="auto"/>
        </w:rPr>
        <w:t>:</w:t>
      </w:r>
    </w:p>
    <w:p w14:paraId="0A39FBE4" w14:textId="77777777" w:rsidR="009544D4" w:rsidRDefault="009544D4" w:rsidP="007153F3">
      <w:pPr>
        <w:spacing w:after="0" w:line="360" w:lineRule="auto"/>
        <w:rPr>
          <w:iCs/>
          <w:color w:val="auto"/>
          <w:szCs w:val="20"/>
        </w:rPr>
      </w:pPr>
    </w:p>
    <w:p w14:paraId="740BF4D6" w14:textId="3BBC9535" w:rsidR="00043930" w:rsidRPr="004344E3" w:rsidRDefault="007F1D63" w:rsidP="009544D4">
      <w:pPr>
        <w:pStyle w:val="Prrafodelista"/>
        <w:spacing w:line="360" w:lineRule="auto"/>
        <w:ind w:left="567" w:right="567"/>
        <w:rPr>
          <w:b/>
          <w:i/>
          <w:iCs/>
          <w:color w:val="auto"/>
          <w:sz w:val="20"/>
          <w:szCs w:val="20"/>
        </w:rPr>
      </w:pPr>
      <w:r>
        <w:rPr>
          <w:iCs/>
          <w:color w:val="auto"/>
          <w:szCs w:val="20"/>
        </w:rPr>
        <w:t>“</w:t>
      </w:r>
      <w:r w:rsidR="00C80532" w:rsidRPr="00C80532">
        <w:rPr>
          <w:i/>
          <w:iCs/>
          <w:color w:val="auto"/>
          <w:sz w:val="20"/>
          <w:szCs w:val="20"/>
        </w:rPr>
        <w:t>En seguimiento a la solicitud de información registrada con el número de folio 00204/CHALCO/IP/2025, al respecto le informo que, con base a las facultades, competencias y funciones, el responsable de atender su requerimiento de información fue el Mtro. Jesús Manuel de la Cruz Guerrero, Tesorero Municipal; Quien emitió respuesta en los siguientes términos: Con respecto a la información solicitada, le informo que los comprobantes de pagos realizados por parte de la Tesorería Municipal, incluyen información del titular de la cuenta: como el nombre y número de cuenta; así como datos personales para identificar al remitente y al beneficiario; como son nombres completos números de cuenta, claves interbancarias y en algunos casos datos fiscales mismos que podrían ser utilizados para algún fraude o robo de identidad.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r w:rsidR="003C5CE5">
        <w:rPr>
          <w:i/>
          <w:iCs/>
          <w:color w:val="auto"/>
          <w:sz w:val="20"/>
          <w:szCs w:val="20"/>
        </w:rPr>
        <w:t>”</w:t>
      </w:r>
      <w:r>
        <w:rPr>
          <w:i/>
          <w:iCs/>
          <w:color w:val="auto"/>
          <w:sz w:val="20"/>
          <w:szCs w:val="20"/>
        </w:rPr>
        <w:t xml:space="preserve"> </w:t>
      </w:r>
    </w:p>
    <w:p w14:paraId="35B0C4DE" w14:textId="77777777" w:rsidR="004344E3" w:rsidRPr="00DA4D90" w:rsidRDefault="004344E3" w:rsidP="007153F3">
      <w:pPr>
        <w:spacing w:after="0" w:line="360" w:lineRule="auto"/>
        <w:rPr>
          <w:color w:val="auto"/>
        </w:rPr>
      </w:pPr>
    </w:p>
    <w:p w14:paraId="7E7FBB31" w14:textId="1C5E2D9F" w:rsidR="00E22EA8" w:rsidRPr="00EE2207" w:rsidRDefault="00E22EA8" w:rsidP="007153F3">
      <w:pPr>
        <w:pStyle w:val="Ttulo2"/>
        <w:spacing w:before="0" w:after="0" w:line="360" w:lineRule="auto"/>
        <w:rPr>
          <w:color w:val="auto"/>
          <w:sz w:val="22"/>
          <w:szCs w:val="22"/>
        </w:rPr>
      </w:pPr>
      <w:bookmarkStart w:id="3" w:name="_Toc198156983"/>
      <w:r w:rsidRPr="00EE2207">
        <w:rPr>
          <w:color w:val="auto"/>
          <w:sz w:val="22"/>
          <w:szCs w:val="22"/>
        </w:rPr>
        <w:t>I</w:t>
      </w:r>
      <w:r w:rsidR="00EE2207" w:rsidRPr="00EE2207">
        <w:rPr>
          <w:color w:val="auto"/>
          <w:sz w:val="22"/>
          <w:szCs w:val="22"/>
        </w:rPr>
        <w:t>II</w:t>
      </w:r>
      <w:r w:rsidRPr="00EE2207">
        <w:rPr>
          <w:color w:val="auto"/>
          <w:sz w:val="22"/>
          <w:szCs w:val="22"/>
        </w:rPr>
        <w:t>. Interposición del Recurso de Revisión</w:t>
      </w:r>
      <w:bookmarkEnd w:id="3"/>
    </w:p>
    <w:p w14:paraId="053D45CF" w14:textId="77777777" w:rsidR="00E22EA8" w:rsidRPr="00B2261F" w:rsidRDefault="00E22EA8" w:rsidP="007153F3">
      <w:pPr>
        <w:spacing w:after="0" w:line="360" w:lineRule="auto"/>
        <w:rPr>
          <w:b/>
          <w:color w:val="FF0000"/>
        </w:rPr>
      </w:pPr>
    </w:p>
    <w:p w14:paraId="50E14EC8" w14:textId="57F87E26" w:rsidR="00F215CA" w:rsidRPr="00EE2207" w:rsidRDefault="00083169" w:rsidP="007153F3">
      <w:pPr>
        <w:spacing w:after="0" w:line="360" w:lineRule="auto"/>
        <w:rPr>
          <w:bCs/>
          <w:color w:val="auto"/>
        </w:rPr>
      </w:pPr>
      <w:r w:rsidRPr="00EE2207">
        <w:rPr>
          <w:bCs/>
          <w:color w:val="auto"/>
        </w:rPr>
        <w:t>El</w:t>
      </w:r>
      <w:r w:rsidR="008E5E71" w:rsidRPr="00EE2207">
        <w:rPr>
          <w:bCs/>
          <w:color w:val="auto"/>
        </w:rPr>
        <w:t xml:space="preserve"> </w:t>
      </w:r>
      <w:r w:rsidR="00C80532">
        <w:rPr>
          <w:color w:val="auto"/>
        </w:rPr>
        <w:t>tres de noviembre</w:t>
      </w:r>
      <w:r w:rsidR="00EE2207" w:rsidRPr="00EE2207">
        <w:rPr>
          <w:color w:val="auto"/>
        </w:rPr>
        <w:t xml:space="preserve"> </w:t>
      </w:r>
      <w:r w:rsidR="008E5E71" w:rsidRPr="00EE2207">
        <w:rPr>
          <w:color w:val="auto"/>
        </w:rPr>
        <w:t>de dos mil veinticinco</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499DDBDB" w14:textId="4535707E" w:rsidR="008E5E71" w:rsidRPr="00B2261F" w:rsidRDefault="008E5E71" w:rsidP="007153F3">
      <w:pPr>
        <w:spacing w:after="0" w:line="360" w:lineRule="auto"/>
        <w:ind w:left="567" w:right="567"/>
        <w:rPr>
          <w:b/>
          <w:bCs/>
          <w:i/>
          <w:color w:val="FF0000"/>
          <w:sz w:val="20"/>
          <w:szCs w:val="20"/>
        </w:rPr>
      </w:pPr>
    </w:p>
    <w:p w14:paraId="3365DB25" w14:textId="670D5C28" w:rsidR="006861C3" w:rsidRPr="00EE2207" w:rsidRDefault="00E12804" w:rsidP="007153F3">
      <w:pPr>
        <w:spacing w:after="0" w:line="360" w:lineRule="auto"/>
        <w:ind w:left="567" w:right="567"/>
        <w:rPr>
          <w:b/>
          <w:bCs/>
          <w:i/>
          <w:color w:val="auto"/>
          <w:sz w:val="20"/>
          <w:szCs w:val="20"/>
        </w:rPr>
      </w:pPr>
      <w:r w:rsidRPr="00EE2207">
        <w:rPr>
          <w:b/>
          <w:bCs/>
          <w:i/>
          <w:color w:val="auto"/>
          <w:sz w:val="20"/>
          <w:szCs w:val="20"/>
        </w:rPr>
        <w:lastRenderedPageBreak/>
        <w:t>‘’</w:t>
      </w:r>
      <w:r w:rsidR="00E22EA8" w:rsidRPr="00EE2207">
        <w:rPr>
          <w:b/>
          <w:bCs/>
          <w:i/>
          <w:color w:val="auto"/>
          <w:sz w:val="20"/>
          <w:szCs w:val="20"/>
        </w:rPr>
        <w:t>ACTO IMPUGNADO</w:t>
      </w:r>
    </w:p>
    <w:p w14:paraId="01F3735B" w14:textId="77777777" w:rsidR="00C80532" w:rsidRDefault="00C80532" w:rsidP="007153F3">
      <w:pPr>
        <w:spacing w:after="0" w:line="360" w:lineRule="auto"/>
        <w:ind w:left="567" w:right="567"/>
        <w:rPr>
          <w:rFonts w:eastAsia="Times New Roman" w:cs="Times New Roman"/>
          <w:i/>
          <w:iCs/>
          <w:color w:val="auto"/>
          <w:sz w:val="20"/>
          <w:szCs w:val="20"/>
          <w:lang w:eastAsia="es-ES"/>
        </w:rPr>
      </w:pPr>
      <w:r w:rsidRPr="00C80532">
        <w:rPr>
          <w:rFonts w:eastAsia="Times New Roman" w:cs="Times New Roman"/>
          <w:i/>
          <w:iCs/>
          <w:color w:val="auto"/>
          <w:sz w:val="20"/>
          <w:szCs w:val="20"/>
          <w:lang w:eastAsia="es-ES"/>
        </w:rPr>
        <w:t xml:space="preserve">RESPUESTA A LA SOLICITUD 00204/CHALCO/IP/2025 </w:t>
      </w:r>
    </w:p>
    <w:p w14:paraId="6B32BD15" w14:textId="77777777" w:rsidR="00C80532" w:rsidRDefault="00C80532" w:rsidP="007153F3">
      <w:pPr>
        <w:spacing w:after="0" w:line="360" w:lineRule="auto"/>
        <w:ind w:left="567" w:right="567"/>
        <w:rPr>
          <w:rFonts w:eastAsia="Times New Roman" w:cs="Times New Roman"/>
          <w:i/>
          <w:iCs/>
          <w:color w:val="auto"/>
          <w:sz w:val="20"/>
          <w:szCs w:val="20"/>
          <w:lang w:eastAsia="es-ES"/>
        </w:rPr>
      </w:pPr>
    </w:p>
    <w:p w14:paraId="1EF6399F" w14:textId="739D0E19" w:rsidR="006861C3" w:rsidRPr="00EE2207" w:rsidRDefault="00E12804" w:rsidP="007153F3">
      <w:pPr>
        <w:spacing w:after="0" w:line="360" w:lineRule="auto"/>
        <w:ind w:left="567" w:right="567"/>
        <w:rPr>
          <w:b/>
          <w:i/>
          <w:color w:val="auto"/>
          <w:sz w:val="20"/>
          <w:szCs w:val="20"/>
        </w:rPr>
      </w:pPr>
      <w:r w:rsidRPr="00EE2207">
        <w:rPr>
          <w:b/>
          <w:i/>
          <w:color w:val="auto"/>
          <w:sz w:val="20"/>
          <w:szCs w:val="20"/>
        </w:rPr>
        <w:t>‘’</w:t>
      </w:r>
      <w:r w:rsidR="00E22EA8" w:rsidRPr="00EE2207">
        <w:rPr>
          <w:b/>
          <w:i/>
          <w:color w:val="auto"/>
          <w:sz w:val="20"/>
          <w:szCs w:val="20"/>
        </w:rPr>
        <w:t>RAZONES O MOTIVOS DE LA INCONFORMIDAD</w:t>
      </w:r>
    </w:p>
    <w:p w14:paraId="75C19380" w14:textId="311F1861" w:rsidR="00F215CA" w:rsidRPr="00EE2207" w:rsidRDefault="00C80532" w:rsidP="007153F3">
      <w:pPr>
        <w:pStyle w:val="Prrafodelista"/>
        <w:spacing w:line="360" w:lineRule="auto"/>
        <w:ind w:left="567" w:right="567"/>
        <w:rPr>
          <w:i/>
          <w:iCs/>
          <w:color w:val="auto"/>
          <w:sz w:val="20"/>
          <w:szCs w:val="20"/>
        </w:rPr>
      </w:pPr>
      <w:r w:rsidRPr="00C80532">
        <w:rPr>
          <w:i/>
          <w:iCs/>
          <w:color w:val="auto"/>
          <w:sz w:val="20"/>
          <w:szCs w:val="20"/>
        </w:rPr>
        <w:t>EL SUJETO OBLIGADO INCURRE EN UNA NEGATIVA A PROPORCIONAR LA INFORMACION PÚBLICA SOLICITADA, POR LO QUE PIDO QUE SE REVOQUE LA RESPUESTA Y SE ORDENE LA ENTREGA DE LA INFORMACION SOLICITADA A TRAVÉS DEL SISTEMA ELECTRÓNICO SAIMEX.</w:t>
      </w:r>
      <w:r w:rsidR="002A0C92" w:rsidRPr="00992530">
        <w:rPr>
          <w:i/>
          <w:iCs/>
          <w:color w:val="auto"/>
          <w:sz w:val="20"/>
          <w:szCs w:val="20"/>
        </w:rPr>
        <w:t>”</w:t>
      </w:r>
    </w:p>
    <w:p w14:paraId="15204BE1" w14:textId="77777777" w:rsidR="00EE2207" w:rsidRPr="00EE2207" w:rsidRDefault="00EE2207" w:rsidP="007153F3">
      <w:pPr>
        <w:pStyle w:val="Prrafodelista"/>
        <w:spacing w:line="360" w:lineRule="auto"/>
        <w:ind w:left="567" w:right="567"/>
        <w:rPr>
          <w:i/>
          <w:iCs/>
          <w:color w:val="auto"/>
          <w:sz w:val="20"/>
          <w:szCs w:val="20"/>
        </w:rPr>
      </w:pPr>
    </w:p>
    <w:p w14:paraId="009DB65C" w14:textId="130BC1F8" w:rsidR="00E22EA8" w:rsidRPr="00EE2207" w:rsidRDefault="00EE2207" w:rsidP="007153F3">
      <w:pPr>
        <w:pStyle w:val="Ttulo2"/>
        <w:spacing w:before="0" w:after="0" w:line="360" w:lineRule="auto"/>
        <w:rPr>
          <w:color w:val="auto"/>
          <w:sz w:val="22"/>
          <w:szCs w:val="22"/>
        </w:rPr>
      </w:pPr>
      <w:bookmarkStart w:id="4" w:name="_Toc198156984"/>
      <w:r w:rsidRPr="00EE2207">
        <w:rPr>
          <w:color w:val="auto"/>
          <w:sz w:val="22"/>
          <w:szCs w:val="22"/>
        </w:rPr>
        <w:t>I</w:t>
      </w:r>
      <w:r w:rsidR="00E22EA8" w:rsidRPr="00EE2207">
        <w:rPr>
          <w:color w:val="auto"/>
          <w:sz w:val="22"/>
          <w:szCs w:val="22"/>
        </w:rPr>
        <w:t>V. Trámite del Recurso de Revisión ante este Instituto</w:t>
      </w:r>
      <w:bookmarkEnd w:id="4"/>
    </w:p>
    <w:p w14:paraId="5C9B63F8" w14:textId="77777777" w:rsidR="009B2DAB" w:rsidRPr="00B2261F" w:rsidRDefault="009B2DAB" w:rsidP="007153F3">
      <w:pPr>
        <w:spacing w:after="0" w:line="360" w:lineRule="auto"/>
        <w:rPr>
          <w:b/>
          <w:bCs/>
          <w:color w:val="FF0000"/>
        </w:rPr>
      </w:pPr>
    </w:p>
    <w:p w14:paraId="173768ED" w14:textId="7F0958EE" w:rsidR="00E22EA8" w:rsidRPr="00EE2207" w:rsidRDefault="00E22EA8" w:rsidP="007153F3">
      <w:pPr>
        <w:spacing w:after="0" w:line="360" w:lineRule="auto"/>
        <w:rPr>
          <w:bCs/>
          <w:color w:val="auto"/>
        </w:rPr>
      </w:pPr>
      <w:r w:rsidRPr="00EE2207">
        <w:rPr>
          <w:b/>
          <w:bCs/>
          <w:color w:val="auto"/>
        </w:rPr>
        <w:t>a) Turno del Medio de Impugnación.</w:t>
      </w:r>
      <w:r w:rsidR="000A706F" w:rsidRPr="00EE2207">
        <w:rPr>
          <w:bCs/>
          <w:color w:val="auto"/>
        </w:rPr>
        <w:t xml:space="preserve"> El</w:t>
      </w:r>
      <w:r w:rsidR="00E64E18" w:rsidRPr="00EE2207">
        <w:rPr>
          <w:bCs/>
          <w:color w:val="auto"/>
        </w:rPr>
        <w:t xml:space="preserve"> </w:t>
      </w:r>
      <w:r w:rsidR="00C80532">
        <w:rPr>
          <w:color w:val="auto"/>
        </w:rPr>
        <w:t>tres de noviembre</w:t>
      </w:r>
      <w:r w:rsidR="00EE2207" w:rsidRPr="00EE2207">
        <w:rPr>
          <w:color w:val="auto"/>
        </w:rPr>
        <w:t xml:space="preserve"> </w:t>
      </w:r>
      <w:r w:rsidR="00E64E18" w:rsidRPr="00EE2207">
        <w:rPr>
          <w:color w:val="auto"/>
        </w:rPr>
        <w:t>de dos mil veinticinco</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D12DB9">
        <w:rPr>
          <w:b/>
          <w:bCs/>
          <w:color w:val="auto"/>
        </w:rPr>
        <w:t>12611</w:t>
      </w:r>
      <w:r w:rsidR="00107B20" w:rsidRPr="00EE2207">
        <w:rPr>
          <w:b/>
          <w:bCs/>
          <w:color w:val="auto"/>
        </w:rPr>
        <w:t>/INFOEM/IP/RR/2025</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2207" w:rsidRDefault="005914EE" w:rsidP="007153F3">
      <w:pPr>
        <w:spacing w:after="0" w:line="360" w:lineRule="auto"/>
        <w:rPr>
          <w:b/>
          <w:bCs/>
          <w:color w:val="auto"/>
        </w:rPr>
      </w:pPr>
    </w:p>
    <w:p w14:paraId="61891480" w14:textId="1880A2FE" w:rsidR="00E22EA8" w:rsidRDefault="00E22EA8" w:rsidP="007153F3">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C80532">
        <w:rPr>
          <w:color w:val="auto"/>
        </w:rPr>
        <w:t>seis de noviembre</w:t>
      </w:r>
      <w:r w:rsidR="00EE2207" w:rsidRPr="00EE2207">
        <w:rPr>
          <w:color w:val="auto"/>
        </w:rPr>
        <w:t xml:space="preserve"> </w:t>
      </w:r>
      <w:r w:rsidR="00E64E18" w:rsidRPr="00EE2207">
        <w:rPr>
          <w:color w:val="auto"/>
        </w:rPr>
        <w:t>de dos mil veinticinco</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7153F3">
      <w:pPr>
        <w:spacing w:after="0" w:line="360" w:lineRule="auto"/>
        <w:rPr>
          <w:color w:val="auto"/>
        </w:rPr>
      </w:pPr>
    </w:p>
    <w:p w14:paraId="185F1DD7" w14:textId="6E364087" w:rsidR="00C80532" w:rsidRPr="00C80532" w:rsidRDefault="00992530" w:rsidP="007153F3">
      <w:pPr>
        <w:spacing w:after="0" w:line="360" w:lineRule="auto"/>
        <w:rPr>
          <w:rFonts w:cs="Tahoma"/>
          <w:bCs/>
          <w:color w:val="auto"/>
          <w:lang w:val="es-ES_tradnl"/>
        </w:rPr>
      </w:pPr>
      <w:r w:rsidRPr="00992530">
        <w:rPr>
          <w:rFonts w:cs="Tahoma"/>
          <w:b/>
          <w:color w:val="auto"/>
          <w:lang w:val="es-ES_tradnl"/>
        </w:rPr>
        <w:t>c) Informe Justificado</w:t>
      </w:r>
      <w:r w:rsidR="00C80532">
        <w:rPr>
          <w:rFonts w:cs="Tahoma"/>
          <w:b/>
          <w:color w:val="auto"/>
          <w:lang w:val="es-ES_tradnl"/>
        </w:rPr>
        <w:t xml:space="preserve"> o manifestaciones. </w:t>
      </w:r>
      <w:r w:rsidR="00C80532">
        <w:rPr>
          <w:rFonts w:cs="Tahoma"/>
          <w:bCs/>
          <w:color w:val="auto"/>
          <w:lang w:val="es-ES_tradnl"/>
        </w:rPr>
        <w:t>Las partes fueron omisas en emitir manifestaciones o alegatos.</w:t>
      </w:r>
    </w:p>
    <w:p w14:paraId="73AC64D0" w14:textId="006ED663" w:rsidR="00E22EA8" w:rsidRPr="00F71ECC" w:rsidRDefault="00C80532" w:rsidP="007153F3">
      <w:pPr>
        <w:spacing w:after="0" w:line="360" w:lineRule="auto"/>
        <w:contextualSpacing/>
        <w:rPr>
          <w:rFonts w:eastAsia="Times New Roman" w:cs="Tahoma"/>
          <w:color w:val="auto"/>
          <w:szCs w:val="24"/>
          <w:lang w:eastAsia="es-ES"/>
        </w:rPr>
      </w:pPr>
      <w:r>
        <w:rPr>
          <w:rFonts w:eastAsia="Batang" w:cs="Tahoma"/>
          <w:b/>
          <w:color w:val="auto"/>
        </w:rPr>
        <w:lastRenderedPageBreak/>
        <w:t>d</w:t>
      </w:r>
      <w:r w:rsidR="00F71ECC">
        <w:rPr>
          <w:rFonts w:eastAsia="Batang" w:cs="Tahoma"/>
          <w:b/>
          <w:color w:val="auto"/>
        </w:rPr>
        <w:t>)</w:t>
      </w:r>
      <w:r w:rsidR="00E64726" w:rsidRPr="00EE2207">
        <w:rPr>
          <w:rFonts w:eastAsia="Batang" w:cs="Tahoma"/>
          <w:b/>
          <w:color w:val="auto"/>
        </w:rPr>
        <w:t xml:space="preserve"> </w:t>
      </w:r>
      <w:r w:rsidR="00E22EA8" w:rsidRPr="00EE2207">
        <w:rPr>
          <w:rFonts w:eastAsia="Times New Roman" w:cs="Tahoma"/>
          <w:b/>
          <w:color w:val="auto"/>
          <w:szCs w:val="24"/>
          <w:lang w:eastAsia="es-ES"/>
        </w:rPr>
        <w:t>Cierre de instrucción.</w:t>
      </w:r>
      <w:r w:rsidR="00E22EA8" w:rsidRPr="00EE2207">
        <w:rPr>
          <w:rFonts w:eastAsia="Times New Roman" w:cs="Tahoma"/>
          <w:color w:val="auto"/>
          <w:szCs w:val="24"/>
          <w:lang w:eastAsia="es-ES"/>
        </w:rPr>
        <w:t xml:space="preserve"> El</w:t>
      </w:r>
      <w:r w:rsidR="00417F3A" w:rsidRPr="00EE2207">
        <w:rPr>
          <w:rFonts w:eastAsia="Times New Roman" w:cs="Tahoma"/>
          <w:color w:val="auto"/>
          <w:szCs w:val="24"/>
          <w:lang w:eastAsia="es-ES"/>
        </w:rPr>
        <w:t xml:space="preserve"> </w:t>
      </w:r>
      <w:r w:rsidR="007135B9">
        <w:rPr>
          <w:rFonts w:eastAsia="Times New Roman" w:cs="Tahoma"/>
          <w:color w:val="auto"/>
          <w:szCs w:val="24"/>
          <w:lang w:eastAsia="es-ES"/>
        </w:rPr>
        <w:t>veinte</w:t>
      </w:r>
      <w:r>
        <w:rPr>
          <w:rFonts w:eastAsia="Times New Roman" w:cs="Tahoma"/>
          <w:color w:val="auto"/>
          <w:szCs w:val="24"/>
          <w:lang w:eastAsia="es-ES"/>
        </w:rPr>
        <w:t xml:space="preserve"> de noviembre</w:t>
      </w:r>
      <w:r w:rsidR="0033408C" w:rsidRPr="00EE2207">
        <w:rPr>
          <w:rFonts w:eastAsia="Times New Roman" w:cs="Tahoma"/>
          <w:color w:val="auto"/>
          <w:szCs w:val="24"/>
          <w:lang w:eastAsia="es-ES"/>
        </w:rPr>
        <w:t xml:space="preserve"> </w:t>
      </w:r>
      <w:r w:rsidR="005C3BAC" w:rsidRPr="00EE2207">
        <w:rPr>
          <w:rFonts w:eastAsia="Times New Roman" w:cs="Tahoma"/>
          <w:color w:val="auto"/>
          <w:szCs w:val="24"/>
          <w:lang w:eastAsia="es-ES"/>
        </w:rPr>
        <w:t>de dos mil veinticinco</w:t>
      </w:r>
      <w:r w:rsidR="00E22EA8"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E2207">
        <w:rPr>
          <w:color w:val="auto"/>
          <w:lang w:val="es-ES"/>
        </w:rPr>
        <w:t>acto que fue notificado a las partes, mediante el Sistema de Acceso a la Información Mexiquense (SAIMEX).</w:t>
      </w:r>
    </w:p>
    <w:p w14:paraId="5CA409A3" w14:textId="77777777" w:rsidR="004C21E6" w:rsidRPr="00B2261F" w:rsidRDefault="004C21E6" w:rsidP="007153F3">
      <w:pPr>
        <w:spacing w:after="0" w:line="360" w:lineRule="auto"/>
        <w:rPr>
          <w:b/>
          <w:bCs/>
          <w:color w:val="FF0000"/>
          <w:lang w:val="es-ES"/>
        </w:rPr>
      </w:pPr>
    </w:p>
    <w:p w14:paraId="1C132216" w14:textId="7A4FF25F" w:rsidR="005C690F" w:rsidRPr="00EE2207" w:rsidRDefault="007D6307" w:rsidP="007153F3">
      <w:pPr>
        <w:spacing w:after="0" w:line="360" w:lineRule="auto"/>
        <w:rPr>
          <w:color w:val="auto"/>
        </w:rPr>
      </w:pPr>
      <w:r w:rsidRPr="00EE2207">
        <w:rPr>
          <w:color w:val="auto"/>
        </w:rPr>
        <w:t xml:space="preserve">En razón de que fue debidamente </w:t>
      </w:r>
      <w:r w:rsidR="00CC1F8C" w:rsidRPr="00EE2207">
        <w:rPr>
          <w:color w:val="auto"/>
        </w:rPr>
        <w:t>sustanciado</w:t>
      </w:r>
      <w:r w:rsidRPr="00EE2207">
        <w:rPr>
          <w:color w:val="auto"/>
        </w:rPr>
        <w:t xml:space="preserve"> e integrado el expediente electrónico y no existe diligencia pendiente de desahogo, se emite la resolución que conforme a Derecho proceda, de acuerdo a los siguientes:</w:t>
      </w:r>
    </w:p>
    <w:p w14:paraId="43C58621" w14:textId="77777777" w:rsidR="00715B71" w:rsidRPr="00EE2207" w:rsidRDefault="00715B71" w:rsidP="007153F3">
      <w:pPr>
        <w:spacing w:after="0" w:line="360" w:lineRule="auto"/>
        <w:rPr>
          <w:color w:val="auto"/>
        </w:rPr>
      </w:pPr>
    </w:p>
    <w:p w14:paraId="250F6589" w14:textId="3F880C72" w:rsidR="005C690F" w:rsidRPr="00EE2207" w:rsidRDefault="00CD6238" w:rsidP="007153F3">
      <w:pPr>
        <w:pStyle w:val="Ttulo1"/>
        <w:spacing w:before="0" w:after="0" w:line="360" w:lineRule="auto"/>
        <w:jc w:val="center"/>
        <w:rPr>
          <w:color w:val="auto"/>
          <w:sz w:val="22"/>
          <w:szCs w:val="22"/>
        </w:rPr>
      </w:pPr>
      <w:bookmarkStart w:id="5" w:name="_Toc198156985"/>
      <w:r w:rsidRPr="00EE2207">
        <w:rPr>
          <w:color w:val="auto"/>
          <w:sz w:val="22"/>
          <w:szCs w:val="22"/>
        </w:rPr>
        <w:t>C O N S I D E R A N D O S</w:t>
      </w:r>
      <w:bookmarkEnd w:id="5"/>
    </w:p>
    <w:p w14:paraId="4DA7DF37" w14:textId="77777777" w:rsidR="006F62BB" w:rsidRPr="00EE2207" w:rsidRDefault="006F62BB" w:rsidP="007153F3">
      <w:pPr>
        <w:spacing w:after="0" w:line="360" w:lineRule="auto"/>
        <w:rPr>
          <w:b/>
          <w:color w:val="auto"/>
        </w:rPr>
      </w:pPr>
    </w:p>
    <w:p w14:paraId="36BFFC7E" w14:textId="2F0F17EA" w:rsidR="005C690F" w:rsidRPr="00EE2207" w:rsidRDefault="007D6307" w:rsidP="007153F3">
      <w:pPr>
        <w:pStyle w:val="Ttulo2"/>
        <w:spacing w:before="0" w:after="0" w:line="360" w:lineRule="auto"/>
        <w:rPr>
          <w:color w:val="auto"/>
          <w:sz w:val="22"/>
          <w:szCs w:val="22"/>
        </w:rPr>
      </w:pPr>
      <w:bookmarkStart w:id="6" w:name="_Toc198156986"/>
      <w:r w:rsidRPr="00EE2207">
        <w:rPr>
          <w:color w:val="auto"/>
          <w:sz w:val="22"/>
          <w:szCs w:val="22"/>
        </w:rPr>
        <w:t xml:space="preserve">PRIMERO. </w:t>
      </w:r>
      <w:r w:rsidR="00CD6238" w:rsidRPr="00EE2207">
        <w:rPr>
          <w:color w:val="auto"/>
          <w:sz w:val="22"/>
          <w:szCs w:val="22"/>
        </w:rPr>
        <w:t>Competencia</w:t>
      </w:r>
      <w:bookmarkEnd w:id="6"/>
    </w:p>
    <w:p w14:paraId="552342DA" w14:textId="77777777" w:rsidR="007A1ACB" w:rsidRPr="00EE2207" w:rsidRDefault="007A1ACB" w:rsidP="007153F3">
      <w:pPr>
        <w:spacing w:after="0" w:line="360" w:lineRule="auto"/>
        <w:rPr>
          <w:b/>
          <w:color w:val="auto"/>
        </w:rPr>
      </w:pPr>
    </w:p>
    <w:p w14:paraId="73B1397F" w14:textId="5C4FB3BB" w:rsidR="00C80532" w:rsidRDefault="00C80532" w:rsidP="00C80532">
      <w:pPr>
        <w:spacing w:after="0" w:line="360" w:lineRule="auto"/>
        <w:rPr>
          <w:color w:val="000000"/>
        </w:rPr>
      </w:pPr>
      <w:bookmarkStart w:id="7" w:name="_heading=h.30j0zll" w:colFirst="0" w:colLast="0"/>
      <w:bookmarkStart w:id="8" w:name="_Hlk214613499"/>
      <w:bookmarkEnd w:id="7"/>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w:t>
      </w:r>
      <w:r w:rsidRPr="007135B9">
        <w:rPr>
          <w:color w:val="000000"/>
        </w:rPr>
        <w:t xml:space="preserve">°, párrafos cuadragésimo </w:t>
      </w:r>
      <w:r w:rsidR="00BA4221" w:rsidRPr="007135B9">
        <w:rPr>
          <w:color w:val="000000"/>
        </w:rPr>
        <w:t>cuarto</w:t>
      </w:r>
      <w:r w:rsidRPr="007135B9">
        <w:rPr>
          <w:color w:val="000000"/>
        </w:rPr>
        <w:t xml:space="preserve">, cuadragésimo </w:t>
      </w:r>
      <w:r w:rsidR="00BA4221" w:rsidRPr="007135B9">
        <w:rPr>
          <w:color w:val="000000"/>
        </w:rPr>
        <w:t>quinto</w:t>
      </w:r>
      <w:r w:rsidRPr="007135B9">
        <w:rPr>
          <w:color w:val="000000"/>
        </w:rPr>
        <w:t xml:space="preserve"> y cuadragésimo </w:t>
      </w:r>
      <w:r w:rsidR="00BA4221" w:rsidRPr="007135B9">
        <w:rPr>
          <w:color w:val="000000"/>
        </w:rPr>
        <w:t>sexto</w:t>
      </w:r>
      <w:r w:rsidRPr="007135B9">
        <w:rPr>
          <w:color w:val="000000"/>
        </w:rPr>
        <w:t>, frac</w:t>
      </w:r>
      <w:r>
        <w:rPr>
          <w:color w:val="000000"/>
        </w:rPr>
        <w:t>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bookmarkEnd w:id="8"/>
    <w:p w14:paraId="4225FD09" w14:textId="03680070" w:rsidR="005C690F" w:rsidRDefault="005C690F" w:rsidP="007153F3">
      <w:pPr>
        <w:spacing w:after="0" w:line="360" w:lineRule="auto"/>
        <w:rPr>
          <w:rFonts w:eastAsia="Times New Roman" w:cs="Tahoma"/>
          <w:bCs/>
          <w:color w:val="auto"/>
          <w:lang w:eastAsia="es-ES"/>
        </w:rPr>
      </w:pPr>
    </w:p>
    <w:p w14:paraId="46691DD5" w14:textId="4C1C70AD" w:rsidR="005C690F" w:rsidRPr="00EE2207" w:rsidRDefault="007D6307" w:rsidP="007153F3">
      <w:pPr>
        <w:pStyle w:val="Ttulo2"/>
        <w:spacing w:before="0" w:after="0" w:line="360" w:lineRule="auto"/>
        <w:rPr>
          <w:color w:val="auto"/>
          <w:sz w:val="22"/>
          <w:szCs w:val="22"/>
        </w:rPr>
      </w:pPr>
      <w:bookmarkStart w:id="9" w:name="_Toc198156987"/>
      <w:r w:rsidRPr="00EE2207">
        <w:rPr>
          <w:color w:val="auto"/>
          <w:sz w:val="22"/>
          <w:szCs w:val="22"/>
        </w:rPr>
        <w:lastRenderedPageBreak/>
        <w:t>SEGUNDO. Causales de</w:t>
      </w:r>
      <w:r w:rsidR="00CD6238" w:rsidRPr="00EE2207">
        <w:rPr>
          <w:color w:val="auto"/>
          <w:sz w:val="22"/>
          <w:szCs w:val="22"/>
        </w:rPr>
        <w:t xml:space="preserve"> improcedencia y sobreseimiento</w:t>
      </w:r>
      <w:bookmarkEnd w:id="9"/>
    </w:p>
    <w:p w14:paraId="49AA4CDE" w14:textId="77777777" w:rsidR="005C690F" w:rsidRPr="00EE2207" w:rsidRDefault="005C690F" w:rsidP="007153F3">
      <w:pPr>
        <w:spacing w:after="0" w:line="360" w:lineRule="auto"/>
        <w:rPr>
          <w:color w:val="auto"/>
        </w:rPr>
      </w:pPr>
    </w:p>
    <w:p w14:paraId="2553CE58" w14:textId="77777777" w:rsidR="005C690F" w:rsidRPr="00EE2207" w:rsidRDefault="007D6307" w:rsidP="007153F3">
      <w:pPr>
        <w:spacing w:after="0" w:line="360" w:lineRule="auto"/>
        <w:rPr>
          <w:color w:val="auto"/>
        </w:rPr>
      </w:pPr>
      <w:r w:rsidRPr="00EE2207">
        <w:rPr>
          <w:color w:val="auto"/>
        </w:rPr>
        <w:t xml:space="preserve">De las constancias que forma parte del Recurso de Revisión que se analiza, se advierte que previo al estudio del fondo de la </w:t>
      </w:r>
      <w:r w:rsidRPr="00EE2207">
        <w:rPr>
          <w:i/>
          <w:color w:val="auto"/>
        </w:rPr>
        <w:t>litis</w:t>
      </w:r>
      <w:r w:rsidRPr="00EE2207">
        <w:rPr>
          <w:color w:val="auto"/>
        </w:rPr>
        <w:t>, es necesario estudiar las causales de improcedencia y sobreseimiento que se adviertan, para determinar lo que en Derecho proceda.</w:t>
      </w:r>
    </w:p>
    <w:p w14:paraId="35A30074" w14:textId="77777777" w:rsidR="009B2DAB" w:rsidRPr="00EE2207" w:rsidRDefault="009B2DAB" w:rsidP="007153F3">
      <w:pPr>
        <w:spacing w:after="0" w:line="360" w:lineRule="auto"/>
        <w:rPr>
          <w:color w:val="auto"/>
        </w:rPr>
      </w:pPr>
    </w:p>
    <w:p w14:paraId="3066DF0C" w14:textId="77777777" w:rsidR="005C690F" w:rsidRPr="00EE2207" w:rsidRDefault="007D6307" w:rsidP="007153F3">
      <w:pPr>
        <w:spacing w:after="0" w:line="360" w:lineRule="auto"/>
        <w:rPr>
          <w:b/>
          <w:color w:val="auto"/>
        </w:rPr>
      </w:pPr>
      <w:r w:rsidRPr="00EE2207">
        <w:rPr>
          <w:b/>
          <w:color w:val="auto"/>
        </w:rPr>
        <w:t>Causales de improcedencia</w:t>
      </w:r>
    </w:p>
    <w:p w14:paraId="75878DC6" w14:textId="77777777" w:rsidR="005C690F" w:rsidRPr="00EE2207" w:rsidRDefault="005C690F" w:rsidP="007153F3">
      <w:pPr>
        <w:spacing w:after="0" w:line="360" w:lineRule="auto"/>
        <w:rPr>
          <w:color w:val="auto"/>
        </w:rPr>
      </w:pPr>
    </w:p>
    <w:p w14:paraId="6C56CA88" w14:textId="77777777" w:rsidR="005C690F" w:rsidRPr="00EE2207" w:rsidRDefault="007D6307" w:rsidP="007153F3">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E2207" w:rsidRDefault="005C690F" w:rsidP="007153F3">
      <w:pPr>
        <w:spacing w:after="0" w:line="360" w:lineRule="auto"/>
        <w:rPr>
          <w:color w:val="auto"/>
        </w:rPr>
      </w:pPr>
    </w:p>
    <w:p w14:paraId="382ECEA9" w14:textId="2A92D3AF" w:rsidR="003A208C" w:rsidRDefault="007D6307" w:rsidP="007153F3">
      <w:pPr>
        <w:spacing w:after="0" w:line="360" w:lineRule="auto"/>
        <w:rPr>
          <w:color w:val="auto"/>
        </w:rPr>
      </w:pPr>
      <w:r w:rsidRPr="00EE2207">
        <w:rPr>
          <w:color w:val="auto"/>
        </w:rPr>
        <w:t>En el presente caso, </w:t>
      </w:r>
      <w:r w:rsidRPr="00EE2207">
        <w:rPr>
          <w:b/>
          <w:color w:val="auto"/>
        </w:rPr>
        <w:t>no se actualiza ninguna de las causales de improcedencia</w:t>
      </w:r>
      <w:r w:rsidRPr="00EE2207">
        <w:rPr>
          <w:color w:val="auto"/>
        </w:rPr>
        <w:t> establecidas en el ordenamiento jurídico previamente señalado, toda vez que: este Instituto no tiene conocimiento de que se encuentre en trámite algún medio de defensa presentado por la</w:t>
      </w:r>
      <w:r w:rsidR="00261B92" w:rsidRPr="00EE2207">
        <w:rPr>
          <w:color w:val="auto"/>
        </w:rPr>
        <w:t xml:space="preserve"> persona</w:t>
      </w:r>
      <w:r w:rsidRPr="00EE2207">
        <w:rPr>
          <w:color w:val="auto"/>
        </w:rPr>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E2207" w:rsidRDefault="00754528" w:rsidP="007153F3">
      <w:pPr>
        <w:spacing w:after="0" w:line="360" w:lineRule="auto"/>
        <w:rPr>
          <w:color w:val="auto"/>
        </w:rPr>
      </w:pPr>
    </w:p>
    <w:p w14:paraId="2BF1CF5B" w14:textId="793E3F77" w:rsidR="005C690F" w:rsidRPr="00EE2207" w:rsidRDefault="007D6307" w:rsidP="007153F3">
      <w:pPr>
        <w:spacing w:after="0" w:line="360" w:lineRule="auto"/>
        <w:rPr>
          <w:color w:val="auto"/>
        </w:rPr>
      </w:pPr>
      <w:r w:rsidRPr="00EE2207">
        <w:rPr>
          <w:color w:val="auto"/>
        </w:rPr>
        <w:t>Por lo cual, se actualiza la causal de procedencia del Recurso de Revisión señal</w:t>
      </w:r>
      <w:r w:rsidR="00261DF6" w:rsidRPr="00EE2207">
        <w:rPr>
          <w:color w:val="auto"/>
        </w:rPr>
        <w:t>ada en el artículo 179, fracci</w:t>
      </w:r>
      <w:r w:rsidR="00230B8F" w:rsidRPr="00EE2207">
        <w:rPr>
          <w:color w:val="auto"/>
        </w:rPr>
        <w:t>ón</w:t>
      </w:r>
      <w:r w:rsidR="00826FEE">
        <w:rPr>
          <w:color w:val="auto"/>
        </w:rPr>
        <w:t xml:space="preserve"> </w:t>
      </w:r>
      <w:r w:rsidR="00F93CEA">
        <w:rPr>
          <w:color w:val="auto"/>
        </w:rPr>
        <w:t>I</w:t>
      </w:r>
      <w:r w:rsidRPr="00EE2207">
        <w:rPr>
          <w:color w:val="auto"/>
        </w:rPr>
        <w:t>, de la Ley en cita, pues la p</w:t>
      </w:r>
      <w:r w:rsidR="00261B92" w:rsidRPr="00EE2207">
        <w:rPr>
          <w:color w:val="auto"/>
        </w:rPr>
        <w:t>ersona</w:t>
      </w:r>
      <w:r w:rsidRPr="00EE2207">
        <w:rPr>
          <w:color w:val="auto"/>
        </w:rPr>
        <w:t xml:space="preserve"> Recurrente se inconformó </w:t>
      </w:r>
      <w:r w:rsidR="00C80532">
        <w:rPr>
          <w:color w:val="auto"/>
        </w:rPr>
        <w:t>de la negativa de información.</w:t>
      </w:r>
    </w:p>
    <w:p w14:paraId="55FF691A" w14:textId="6D373E30" w:rsidR="005C690F" w:rsidRPr="00FE74A8" w:rsidRDefault="007D6307" w:rsidP="007153F3">
      <w:pPr>
        <w:spacing w:after="0" w:line="360" w:lineRule="auto"/>
        <w:rPr>
          <w:color w:val="auto"/>
        </w:rPr>
      </w:pPr>
      <w:r w:rsidRPr="00FE74A8">
        <w:rPr>
          <w:b/>
          <w:color w:val="auto"/>
        </w:rPr>
        <w:lastRenderedPageBreak/>
        <w:t>Ca</w:t>
      </w:r>
      <w:r w:rsidR="00CD6238" w:rsidRPr="00FE74A8">
        <w:rPr>
          <w:b/>
          <w:color w:val="auto"/>
        </w:rPr>
        <w:t>usales de sobreseimiento</w:t>
      </w:r>
    </w:p>
    <w:p w14:paraId="426FEE7A" w14:textId="77777777" w:rsidR="005C690F" w:rsidRPr="00FE74A8" w:rsidRDefault="005C690F" w:rsidP="007153F3">
      <w:pPr>
        <w:spacing w:after="0" w:line="360" w:lineRule="auto"/>
        <w:rPr>
          <w:color w:val="auto"/>
        </w:rPr>
      </w:pPr>
    </w:p>
    <w:p w14:paraId="5B1C849A" w14:textId="77777777" w:rsidR="005C690F" w:rsidRPr="00FE74A8" w:rsidRDefault="007D6307" w:rsidP="007153F3">
      <w:pPr>
        <w:spacing w:after="0" w:line="360" w:lineRule="auto"/>
        <w:rPr>
          <w:color w:val="auto"/>
        </w:rPr>
      </w:pPr>
      <w:r w:rsidRPr="00FE74A8">
        <w:rPr>
          <w:color w:val="auto"/>
        </w:rPr>
        <w:t>Por ser de previo y especial pronunciamiento, este Instituto analiza si se actualiza alguna causal de sobreseimiento.</w:t>
      </w:r>
    </w:p>
    <w:p w14:paraId="7EE274FA" w14:textId="77777777" w:rsidR="008C12D8" w:rsidRPr="00FE74A8" w:rsidRDefault="008C12D8" w:rsidP="007153F3">
      <w:pPr>
        <w:spacing w:after="0" w:line="360" w:lineRule="auto"/>
        <w:rPr>
          <w:color w:val="auto"/>
        </w:rPr>
      </w:pPr>
    </w:p>
    <w:p w14:paraId="616B549A" w14:textId="34585935" w:rsidR="005C690F" w:rsidRPr="00FE74A8" w:rsidRDefault="007D6307" w:rsidP="007153F3">
      <w:pPr>
        <w:spacing w:after="0" w:line="360" w:lineRule="auto"/>
        <w:rPr>
          <w:color w:val="auto"/>
        </w:rPr>
      </w:pPr>
      <w:r w:rsidRPr="00FE74A8">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E74A8">
        <w:rPr>
          <w:color w:val="auto"/>
        </w:rPr>
        <w:t xml:space="preserve">persona </w:t>
      </w:r>
      <w:r w:rsidRPr="00FE74A8">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E74A8" w:rsidRDefault="00712ED6" w:rsidP="007153F3">
      <w:pPr>
        <w:spacing w:after="0" w:line="360" w:lineRule="auto"/>
        <w:rPr>
          <w:color w:val="auto"/>
        </w:rPr>
      </w:pPr>
    </w:p>
    <w:p w14:paraId="3B2EB888" w14:textId="57079EFE" w:rsidR="005C690F" w:rsidRPr="00FE74A8" w:rsidRDefault="007D6307" w:rsidP="007153F3">
      <w:pPr>
        <w:spacing w:after="0" w:line="360" w:lineRule="auto"/>
        <w:rPr>
          <w:color w:val="auto"/>
        </w:rPr>
      </w:pPr>
      <w:r w:rsidRPr="00FE74A8">
        <w:rPr>
          <w:color w:val="auto"/>
        </w:rPr>
        <w:t xml:space="preserve">Por tales motivos, se considera procedente entrar al fondo del presente asunto. </w:t>
      </w:r>
    </w:p>
    <w:p w14:paraId="381FF8CD" w14:textId="77777777" w:rsidR="00E1488B" w:rsidRPr="00FE74A8" w:rsidRDefault="00E1488B" w:rsidP="007153F3">
      <w:pPr>
        <w:spacing w:after="0" w:line="360" w:lineRule="auto"/>
        <w:rPr>
          <w:b/>
          <w:color w:val="auto"/>
        </w:rPr>
      </w:pPr>
    </w:p>
    <w:p w14:paraId="0A6A0BAE" w14:textId="184EF292" w:rsidR="005C690F" w:rsidRPr="00FE74A8" w:rsidRDefault="007D6307" w:rsidP="007153F3">
      <w:pPr>
        <w:pStyle w:val="Ttulo2"/>
        <w:spacing w:before="0" w:after="0" w:line="360" w:lineRule="auto"/>
        <w:rPr>
          <w:color w:val="auto"/>
          <w:sz w:val="22"/>
          <w:szCs w:val="22"/>
        </w:rPr>
      </w:pPr>
      <w:bookmarkStart w:id="10" w:name="_Toc198156988"/>
      <w:r w:rsidRPr="00FE74A8">
        <w:rPr>
          <w:color w:val="auto"/>
          <w:sz w:val="22"/>
          <w:szCs w:val="22"/>
        </w:rPr>
        <w:t>TERCERO. De</w:t>
      </w:r>
      <w:r w:rsidR="00CD6238" w:rsidRPr="00FE74A8">
        <w:rPr>
          <w:color w:val="auto"/>
          <w:sz w:val="22"/>
          <w:szCs w:val="22"/>
        </w:rPr>
        <w:t>terminación de la Controversia</w:t>
      </w:r>
      <w:bookmarkEnd w:id="10"/>
    </w:p>
    <w:p w14:paraId="4A0739CB" w14:textId="77777777" w:rsidR="00897A05" w:rsidRPr="00FE74A8" w:rsidRDefault="00897A05" w:rsidP="007153F3">
      <w:pPr>
        <w:spacing w:after="0" w:line="360" w:lineRule="auto"/>
        <w:rPr>
          <w:b/>
          <w:color w:val="auto"/>
        </w:rPr>
      </w:pPr>
    </w:p>
    <w:p w14:paraId="5EC336B2" w14:textId="5AD6CC68" w:rsidR="00754528" w:rsidRPr="000A10A6" w:rsidRDefault="007C7BAF" w:rsidP="007153F3">
      <w:pPr>
        <w:spacing w:after="0" w:line="360" w:lineRule="auto"/>
        <w:rPr>
          <w:rFonts w:cs="Tahoma"/>
          <w:color w:val="auto"/>
        </w:rPr>
      </w:pPr>
      <w:r w:rsidRPr="00FE74A8">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FE74A8">
        <w:rPr>
          <w:rFonts w:cs="Tahoma"/>
          <w:color w:val="auto"/>
        </w:rPr>
        <w:t xml:space="preserve"> </w:t>
      </w:r>
      <w:r w:rsidR="00722AD1" w:rsidRPr="00FE74A8">
        <w:rPr>
          <w:rFonts w:cs="Tahoma"/>
          <w:color w:val="auto"/>
        </w:rPr>
        <w:t xml:space="preserve">requirió </w:t>
      </w:r>
      <w:r w:rsidR="00E824C7">
        <w:rPr>
          <w:rFonts w:cs="Tahoma"/>
          <w:color w:val="auto"/>
        </w:rPr>
        <w:t xml:space="preserve">conocer </w:t>
      </w:r>
      <w:r w:rsidR="00C70FB2">
        <w:rPr>
          <w:rFonts w:cs="Tahoma"/>
          <w:color w:val="auto"/>
        </w:rPr>
        <w:t xml:space="preserve">los </w:t>
      </w:r>
      <w:r w:rsidR="00C70FB2" w:rsidRPr="00C70FB2">
        <w:rPr>
          <w:rFonts w:cs="Tahoma"/>
          <w:color w:val="auto"/>
        </w:rPr>
        <w:t xml:space="preserve">comprobantes de </w:t>
      </w:r>
      <w:r w:rsidR="00C80532">
        <w:rPr>
          <w:rFonts w:cs="Tahoma"/>
          <w:color w:val="auto"/>
        </w:rPr>
        <w:t xml:space="preserve">los </w:t>
      </w:r>
      <w:r w:rsidR="00C70FB2" w:rsidRPr="00C70FB2">
        <w:rPr>
          <w:rFonts w:cs="Tahoma"/>
          <w:color w:val="auto"/>
        </w:rPr>
        <w:t>pago</w:t>
      </w:r>
      <w:r w:rsidR="00C80532">
        <w:rPr>
          <w:rFonts w:cs="Tahoma"/>
          <w:color w:val="auto"/>
        </w:rPr>
        <w:t>s realizados del primero de enero al veintitrés de septiembre de dos mil veinticinco,</w:t>
      </w:r>
      <w:r w:rsidR="00C70FB2" w:rsidRPr="00C70FB2">
        <w:rPr>
          <w:rFonts w:cs="Tahoma"/>
          <w:color w:val="auto"/>
        </w:rPr>
        <w:t xml:space="preserve"> a particulares</w:t>
      </w:r>
      <w:r w:rsidR="00C70FB2">
        <w:rPr>
          <w:rFonts w:cs="Tahoma"/>
          <w:color w:val="auto"/>
        </w:rPr>
        <w:t xml:space="preserve"> </w:t>
      </w:r>
      <w:r w:rsidR="000E420D">
        <w:rPr>
          <w:rFonts w:cs="Tahoma"/>
          <w:color w:val="auto"/>
        </w:rPr>
        <w:t xml:space="preserve">por un monto superior a </w:t>
      </w:r>
      <w:r w:rsidR="00C80532">
        <w:rPr>
          <w:rFonts w:cs="Tahoma"/>
          <w:color w:val="auto"/>
        </w:rPr>
        <w:t>un millón</w:t>
      </w:r>
      <w:r w:rsidR="000E420D">
        <w:rPr>
          <w:rFonts w:cs="Tahoma"/>
          <w:color w:val="auto"/>
        </w:rPr>
        <w:t xml:space="preserve"> de pesos</w:t>
      </w:r>
      <w:r w:rsidR="00C80532">
        <w:rPr>
          <w:rFonts w:cs="Tahoma"/>
          <w:color w:val="auto"/>
        </w:rPr>
        <w:t>.</w:t>
      </w:r>
    </w:p>
    <w:p w14:paraId="4D442169" w14:textId="77777777" w:rsidR="00FE74A8" w:rsidRPr="00B2261F" w:rsidRDefault="00FE74A8" w:rsidP="007153F3">
      <w:pPr>
        <w:spacing w:after="0" w:line="360" w:lineRule="auto"/>
        <w:rPr>
          <w:rFonts w:cs="Tahoma"/>
          <w:color w:val="FF0000"/>
        </w:rPr>
      </w:pPr>
    </w:p>
    <w:p w14:paraId="67A888C0" w14:textId="25CD0381" w:rsidR="00FA0B83" w:rsidRDefault="007C7BAF" w:rsidP="007153F3">
      <w:pPr>
        <w:spacing w:after="0" w:line="360" w:lineRule="auto"/>
      </w:pPr>
      <w:r w:rsidRPr="009A5516">
        <w:rPr>
          <w:color w:val="auto"/>
        </w:rPr>
        <w:t>En respuesta, el Sujeto Obligado,</w:t>
      </w:r>
      <w:r w:rsidR="00C80532">
        <w:rPr>
          <w:color w:val="auto"/>
        </w:rPr>
        <w:t xml:space="preserve"> señaló que la información contenía datos que podrían ser utilizados para fraude o robo de identidad</w:t>
      </w:r>
      <w:r w:rsidR="009A5516">
        <w:t xml:space="preserve">; ante dicha circunstancia, el Particular se inconformó </w:t>
      </w:r>
      <w:r w:rsidR="008F6B1C" w:rsidRPr="00EE2207">
        <w:rPr>
          <w:color w:val="auto"/>
        </w:rPr>
        <w:t>d</w:t>
      </w:r>
      <w:r w:rsidR="00826FEE">
        <w:rPr>
          <w:color w:val="auto"/>
        </w:rPr>
        <w:t>e l</w:t>
      </w:r>
      <w:r w:rsidR="00826FEE">
        <w:t xml:space="preserve">a negativa de información prevista en la fracción </w:t>
      </w:r>
      <w:r w:rsidR="009A5516">
        <w:t xml:space="preserve">I, del artículo 179 de la Ley </w:t>
      </w:r>
      <w:r w:rsidR="009A5516">
        <w:lastRenderedPageBreak/>
        <w:t xml:space="preserve">de Transparencia y Acceso a la Información Pública del Estado de México y Municipios. Así, las cosas, una vez admitido y notificado el Recurso </w:t>
      </w:r>
      <w:r w:rsidR="008F6B1C">
        <w:t>de Revisión</w:t>
      </w:r>
      <w:r w:rsidR="00C80532">
        <w:t xml:space="preserve"> a las partes, estas fueron omisas en emitir manifestaciones o alegatos.</w:t>
      </w:r>
    </w:p>
    <w:p w14:paraId="7A8F3632" w14:textId="77777777" w:rsidR="00FA0B83" w:rsidRDefault="00FA0B83" w:rsidP="007153F3">
      <w:pPr>
        <w:spacing w:after="0" w:line="360" w:lineRule="auto"/>
        <w:rPr>
          <w:b/>
          <w:u w:val="single"/>
        </w:rPr>
      </w:pPr>
    </w:p>
    <w:p w14:paraId="22C5958E" w14:textId="0FD3B8E6" w:rsidR="007C7BAF" w:rsidRPr="0025724A" w:rsidRDefault="007C7BAF" w:rsidP="007153F3">
      <w:pPr>
        <w:tabs>
          <w:tab w:val="left" w:pos="4962"/>
        </w:tabs>
        <w:spacing w:after="0" w:line="360" w:lineRule="auto"/>
        <w:rPr>
          <w:rFonts w:eastAsia="Calibri" w:cs="Tahoma"/>
          <w:bCs/>
          <w:color w:val="auto"/>
        </w:rPr>
      </w:pPr>
      <w:r w:rsidRPr="0025724A">
        <w:rPr>
          <w:rFonts w:eastAsia="Calibri" w:cs="Tahoma"/>
          <w:iCs/>
          <w:color w:val="auto"/>
          <w:lang w:val="es-ES" w:eastAsia="es-ES_tradnl"/>
        </w:rPr>
        <w:t>Lo anterior, se desprende de las documentales que obran en el expediente de referencia, materia de la presente resolución, consistente en: la solic</w:t>
      </w:r>
      <w:r w:rsidR="002F389A" w:rsidRPr="0025724A">
        <w:rPr>
          <w:rFonts w:eastAsia="Calibri" w:cs="Tahoma"/>
          <w:iCs/>
          <w:color w:val="auto"/>
          <w:lang w:val="es-ES" w:eastAsia="es-ES_tradnl"/>
        </w:rPr>
        <w:t>itud de acceso a l</w:t>
      </w:r>
      <w:r w:rsidR="00020A2C" w:rsidRPr="0025724A">
        <w:rPr>
          <w:rFonts w:eastAsia="Calibri" w:cs="Tahoma"/>
          <w:iCs/>
          <w:color w:val="auto"/>
          <w:lang w:val="es-ES" w:eastAsia="es-ES_tradnl"/>
        </w:rPr>
        <w:t>a información</w:t>
      </w:r>
      <w:r w:rsidR="007135B9">
        <w:rPr>
          <w:rFonts w:eastAsia="Calibri" w:cs="Tahoma"/>
          <w:iCs/>
          <w:color w:val="auto"/>
          <w:lang w:val="es-ES" w:eastAsia="es-ES_tradnl"/>
        </w:rPr>
        <w:t>, la respuesta entregada</w:t>
      </w:r>
      <w:r w:rsidR="0025724A">
        <w:rPr>
          <w:rFonts w:eastAsia="Calibri" w:cs="Tahoma"/>
          <w:iCs/>
          <w:color w:val="auto"/>
          <w:lang w:val="es-ES" w:eastAsia="es-ES_tradnl"/>
        </w:rPr>
        <w:t xml:space="preserve"> y</w:t>
      </w:r>
      <w:r w:rsidR="00020A2C" w:rsidRPr="0025724A">
        <w:rPr>
          <w:rFonts w:eastAsia="Calibri" w:cs="Tahoma"/>
          <w:iCs/>
          <w:color w:val="auto"/>
          <w:lang w:val="es-ES" w:eastAsia="es-ES_tradnl"/>
        </w:rPr>
        <w:t xml:space="preserve"> </w:t>
      </w:r>
      <w:r w:rsidRPr="0025724A">
        <w:rPr>
          <w:rFonts w:eastAsia="Calibri" w:cs="Tahoma"/>
          <w:iCs/>
          <w:color w:val="auto"/>
          <w:lang w:eastAsia="es-ES_tradnl"/>
        </w:rPr>
        <w:t xml:space="preserve">el escrito </w:t>
      </w:r>
      <w:proofErr w:type="spellStart"/>
      <w:r w:rsidRPr="0025724A">
        <w:rPr>
          <w:rFonts w:eastAsia="Calibri" w:cs="Tahoma"/>
          <w:iCs/>
          <w:color w:val="auto"/>
          <w:lang w:eastAsia="es-ES_tradnl"/>
        </w:rPr>
        <w:t>recursal</w:t>
      </w:r>
      <w:proofErr w:type="spellEnd"/>
      <w:r w:rsidRPr="0025724A">
        <w:rPr>
          <w:rFonts w:eastAsia="Calibri" w:cs="Tahoma"/>
          <w:iCs/>
          <w:color w:val="auto"/>
          <w:lang w:eastAsia="es-ES_tradnl"/>
        </w:rPr>
        <w:t xml:space="preserve">; </w:t>
      </w:r>
      <w:r w:rsidRPr="0025724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B2261F" w:rsidRDefault="007C7BAF" w:rsidP="007153F3">
      <w:pPr>
        <w:spacing w:after="0" w:line="360" w:lineRule="auto"/>
        <w:rPr>
          <w:b/>
          <w:color w:val="FF0000"/>
        </w:rPr>
      </w:pPr>
    </w:p>
    <w:p w14:paraId="36DCBD9D" w14:textId="5B125308" w:rsidR="005C690F" w:rsidRPr="0052732A" w:rsidRDefault="007D6307" w:rsidP="007153F3">
      <w:pPr>
        <w:pStyle w:val="Ttulo2"/>
        <w:spacing w:before="0" w:after="0" w:line="360" w:lineRule="auto"/>
        <w:rPr>
          <w:color w:val="auto"/>
          <w:sz w:val="22"/>
          <w:szCs w:val="22"/>
        </w:rPr>
      </w:pPr>
      <w:bookmarkStart w:id="11" w:name="_Toc198156989"/>
      <w:r w:rsidRPr="0052732A">
        <w:rPr>
          <w:color w:val="auto"/>
          <w:sz w:val="22"/>
          <w:szCs w:val="22"/>
        </w:rPr>
        <w:t xml:space="preserve">CUARTO. Marco normativo aplicable en materia de transparencia y </w:t>
      </w:r>
      <w:r w:rsidR="00CD6238" w:rsidRPr="0052732A">
        <w:rPr>
          <w:color w:val="auto"/>
          <w:sz w:val="22"/>
          <w:szCs w:val="22"/>
        </w:rPr>
        <w:t>acceso a la información pública</w:t>
      </w:r>
      <w:bookmarkEnd w:id="11"/>
    </w:p>
    <w:p w14:paraId="4D62F8F1" w14:textId="77777777" w:rsidR="005C690F" w:rsidRPr="0052732A" w:rsidRDefault="005C690F" w:rsidP="007153F3">
      <w:pPr>
        <w:spacing w:after="0" w:line="360" w:lineRule="auto"/>
        <w:rPr>
          <w:color w:val="auto"/>
        </w:rPr>
      </w:pPr>
    </w:p>
    <w:p w14:paraId="792A5D2D" w14:textId="39BDC225" w:rsidR="005C690F" w:rsidRDefault="007D6307" w:rsidP="007153F3">
      <w:pPr>
        <w:spacing w:after="0" w:line="360" w:lineRule="auto"/>
        <w:rPr>
          <w:color w:val="auto"/>
        </w:rPr>
      </w:pPr>
      <w:r w:rsidRPr="0052732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98D278" w14:textId="77777777" w:rsidR="009544D4" w:rsidRPr="0052732A" w:rsidRDefault="009544D4" w:rsidP="007153F3">
      <w:pPr>
        <w:spacing w:after="0" w:line="360" w:lineRule="auto"/>
        <w:rPr>
          <w:color w:val="auto"/>
        </w:rPr>
      </w:pPr>
    </w:p>
    <w:p w14:paraId="69458899" w14:textId="77777777" w:rsidR="005C690F" w:rsidRPr="0052732A" w:rsidRDefault="007D6307" w:rsidP="007153F3">
      <w:pPr>
        <w:spacing w:after="0" w:line="360" w:lineRule="auto"/>
        <w:rPr>
          <w:color w:val="auto"/>
        </w:rPr>
      </w:pPr>
      <w:r w:rsidRPr="0052732A">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732A" w:rsidRDefault="005C690F" w:rsidP="007153F3">
      <w:pPr>
        <w:spacing w:after="0" w:line="360" w:lineRule="auto"/>
        <w:rPr>
          <w:color w:val="auto"/>
        </w:rPr>
      </w:pPr>
    </w:p>
    <w:p w14:paraId="3D8EBDEC" w14:textId="77777777" w:rsidR="005C690F" w:rsidRPr="0052732A" w:rsidRDefault="007D6307" w:rsidP="007153F3">
      <w:pPr>
        <w:spacing w:after="0" w:line="360" w:lineRule="auto"/>
        <w:rPr>
          <w:color w:val="auto"/>
        </w:rPr>
      </w:pPr>
      <w:r w:rsidRPr="0052732A">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52732A" w:rsidRDefault="005C690F" w:rsidP="007153F3">
      <w:pPr>
        <w:spacing w:after="0" w:line="360" w:lineRule="auto"/>
        <w:rPr>
          <w:color w:val="auto"/>
        </w:rPr>
      </w:pPr>
    </w:p>
    <w:p w14:paraId="5BD9CB2E" w14:textId="77777777" w:rsidR="005C690F" w:rsidRPr="0052732A" w:rsidRDefault="007D6307" w:rsidP="007153F3">
      <w:pPr>
        <w:spacing w:after="0" w:line="360" w:lineRule="auto"/>
        <w:rPr>
          <w:color w:val="auto"/>
        </w:rPr>
      </w:pPr>
      <w:r w:rsidRPr="0052732A">
        <w:rPr>
          <w:color w:val="auto"/>
        </w:rPr>
        <w:lastRenderedPageBreak/>
        <w:t>El artículo 12, que, quienes generen, recopilen, administren, manejen, procesen, archiven o conserven información pública serán responsables de la misma.</w:t>
      </w:r>
    </w:p>
    <w:p w14:paraId="6BD1FFBB" w14:textId="77777777" w:rsidR="007C02D1" w:rsidRPr="0052732A" w:rsidRDefault="007C02D1" w:rsidP="007153F3">
      <w:pPr>
        <w:spacing w:after="0" w:line="360" w:lineRule="auto"/>
        <w:rPr>
          <w:color w:val="auto"/>
        </w:rPr>
      </w:pPr>
    </w:p>
    <w:p w14:paraId="3D899A16" w14:textId="77777777" w:rsidR="005C690F" w:rsidRPr="0052732A" w:rsidRDefault="007D6307" w:rsidP="007153F3">
      <w:pPr>
        <w:widowControl w:val="0"/>
        <w:spacing w:after="0" w:line="360" w:lineRule="auto"/>
        <w:rPr>
          <w:color w:val="auto"/>
        </w:rPr>
      </w:pPr>
      <w:r w:rsidRPr="005273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732A" w:rsidRDefault="00B153FA" w:rsidP="007153F3">
      <w:pPr>
        <w:widowControl w:val="0"/>
        <w:spacing w:after="0" w:line="360" w:lineRule="auto"/>
        <w:rPr>
          <w:color w:val="auto"/>
        </w:rPr>
      </w:pPr>
    </w:p>
    <w:p w14:paraId="70E5B643" w14:textId="378E2A57" w:rsidR="00B04A35" w:rsidRPr="0052732A" w:rsidRDefault="007D6307" w:rsidP="007153F3">
      <w:pPr>
        <w:spacing w:after="0" w:line="360" w:lineRule="auto"/>
        <w:rPr>
          <w:color w:val="auto"/>
        </w:rPr>
      </w:pPr>
      <w:r w:rsidRPr="005273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2732A" w:rsidRDefault="005C690F" w:rsidP="007153F3">
      <w:pPr>
        <w:spacing w:after="0" w:line="360" w:lineRule="auto"/>
        <w:rPr>
          <w:color w:val="auto"/>
        </w:rPr>
      </w:pPr>
    </w:p>
    <w:p w14:paraId="3AF871E5" w14:textId="6FEB966D" w:rsidR="005C690F" w:rsidRPr="0052732A" w:rsidRDefault="00CD6238" w:rsidP="007153F3">
      <w:pPr>
        <w:pStyle w:val="Ttulo2"/>
        <w:spacing w:before="0" w:after="0" w:line="360" w:lineRule="auto"/>
        <w:rPr>
          <w:color w:val="auto"/>
          <w:sz w:val="22"/>
          <w:szCs w:val="22"/>
        </w:rPr>
      </w:pPr>
      <w:bookmarkStart w:id="12" w:name="_Toc198156990"/>
      <w:r w:rsidRPr="0052732A">
        <w:rPr>
          <w:color w:val="auto"/>
          <w:sz w:val="22"/>
          <w:szCs w:val="22"/>
        </w:rPr>
        <w:t>Q</w:t>
      </w:r>
      <w:r w:rsidR="0044017B" w:rsidRPr="0052732A">
        <w:rPr>
          <w:color w:val="auto"/>
          <w:sz w:val="22"/>
          <w:szCs w:val="22"/>
        </w:rPr>
        <w:t>UINTO</w:t>
      </w:r>
      <w:r w:rsidRPr="0052732A">
        <w:rPr>
          <w:color w:val="auto"/>
          <w:sz w:val="22"/>
          <w:szCs w:val="22"/>
        </w:rPr>
        <w:t>. Estudio de Fondo</w:t>
      </w:r>
      <w:bookmarkEnd w:id="12"/>
    </w:p>
    <w:p w14:paraId="2596B212" w14:textId="77777777" w:rsidR="00A56228" w:rsidRPr="00B2261F" w:rsidRDefault="00A56228" w:rsidP="007153F3">
      <w:pPr>
        <w:spacing w:after="0" w:line="360" w:lineRule="auto"/>
        <w:rPr>
          <w:b/>
          <w:color w:val="FF0000"/>
        </w:rPr>
      </w:pPr>
    </w:p>
    <w:p w14:paraId="4CB72A48" w14:textId="3FCDC74E" w:rsidR="00503363" w:rsidRDefault="0064067B" w:rsidP="007153F3">
      <w:pPr>
        <w:spacing w:after="0" w:line="360" w:lineRule="auto"/>
        <w:rPr>
          <w:rFonts w:eastAsia="Times New Roman" w:cs="Tahoma"/>
          <w:bCs/>
          <w:iCs/>
          <w:color w:val="auto"/>
          <w:lang w:eastAsia="es-ES"/>
        </w:rPr>
      </w:pPr>
      <w:r w:rsidRPr="0052732A">
        <w:rPr>
          <w:color w:val="auto"/>
        </w:rPr>
        <w:t>Expuestas las posturas de las partes, se procede al análisis de los agravios hechos valer por la persona Recurrente</w:t>
      </w:r>
      <w:r w:rsidR="00731FB9" w:rsidRPr="0052732A">
        <w:rPr>
          <w:color w:val="auto"/>
        </w:rPr>
        <w:t xml:space="preserve">, </w:t>
      </w:r>
      <w:r w:rsidR="007F4407" w:rsidRPr="0052732A">
        <w:rPr>
          <w:rFonts w:eastAsia="Times New Roman" w:cs="Tahoma"/>
          <w:bCs/>
          <w:iCs/>
          <w:color w:val="auto"/>
          <w:lang w:eastAsia="es-ES"/>
        </w:rPr>
        <w:t>por lo que, en principio es necesario contextualizar la solicitud de información.</w:t>
      </w:r>
    </w:p>
    <w:p w14:paraId="24A000CE" w14:textId="77777777" w:rsidR="00511BE4" w:rsidRDefault="00511BE4" w:rsidP="007153F3">
      <w:pPr>
        <w:spacing w:after="0" w:line="360" w:lineRule="auto"/>
        <w:rPr>
          <w:rFonts w:eastAsia="Times New Roman" w:cs="Tahoma"/>
          <w:bCs/>
          <w:iCs/>
          <w:color w:val="auto"/>
          <w:lang w:eastAsia="es-ES"/>
        </w:rPr>
      </w:pPr>
    </w:p>
    <w:p w14:paraId="4145F3E1" w14:textId="528C4574" w:rsidR="00503363" w:rsidRDefault="00503363" w:rsidP="007153F3">
      <w:pPr>
        <w:spacing w:after="0" w:line="360" w:lineRule="auto"/>
      </w:pPr>
      <w:r w:rsidRPr="00C70FB2">
        <w:t>Al respecto,</w:t>
      </w:r>
      <w:r>
        <w:t xml:space="preserve"> el artículo 4°, fracción XVIII, de la Ley General de Contabilidad Gubernamental, establece que </w:t>
      </w:r>
      <w:r w:rsidRPr="00503363">
        <w:rPr>
          <w:b/>
          <w:bCs/>
        </w:rPr>
        <w:t>la información financiera consiste en información presupuestaria y contable que se expresa en unidades monetarias las 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w:t>
      </w:r>
    </w:p>
    <w:p w14:paraId="19945832" w14:textId="77777777" w:rsidR="00503363" w:rsidRDefault="00503363" w:rsidP="007153F3">
      <w:pPr>
        <w:spacing w:after="0" w:line="360" w:lineRule="auto"/>
      </w:pPr>
    </w:p>
    <w:p w14:paraId="324974BA" w14:textId="31F58D70" w:rsidR="00503363" w:rsidRDefault="00503363" w:rsidP="007153F3">
      <w:pPr>
        <w:spacing w:after="0" w:line="360" w:lineRule="auto"/>
      </w:pPr>
      <w:r>
        <w:t xml:space="preserve">Además, el artículo 1º, de la Ley de Fiscalización Superior del Estado de México, el cual establece que el órgano Superior de Fiscalización del Estado de México contará con </w:t>
      </w:r>
      <w:r>
        <w:lastRenderedPageBreak/>
        <w:t>atribuciones en materia de revisión y fiscalización de los fondos y fideicomisos públicos, cuentas públicas, deuda pública, y de los actos relativos al ejercicio y aplicación de los recursos públicos de las entidades fiscalizables del estado de México.</w:t>
      </w:r>
    </w:p>
    <w:p w14:paraId="2060D60F" w14:textId="77777777" w:rsidR="00D318B6" w:rsidRDefault="00D318B6" w:rsidP="007153F3">
      <w:pPr>
        <w:spacing w:after="0" w:line="360" w:lineRule="auto"/>
      </w:pPr>
    </w:p>
    <w:p w14:paraId="40F31966" w14:textId="77777777" w:rsidR="007E450B" w:rsidRDefault="007E450B" w:rsidP="007E450B">
      <w:pPr>
        <w:spacing w:after="0" w:line="360" w:lineRule="auto"/>
      </w:pPr>
      <w: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49224096" w14:textId="77777777" w:rsidR="007E450B" w:rsidRDefault="007E450B" w:rsidP="007E450B">
      <w:pPr>
        <w:spacing w:after="0" w:line="360" w:lineRule="auto"/>
      </w:pPr>
    </w:p>
    <w:p w14:paraId="42148EDD" w14:textId="77777777" w:rsidR="007E450B" w:rsidRDefault="007E450B" w:rsidP="007E450B">
      <w:pPr>
        <w:spacing w:after="0" w:line="360" w:lineRule="auto"/>
      </w:pPr>
      <w:r>
        <w:t>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14:paraId="29B97BFE" w14:textId="77777777" w:rsidR="007E450B" w:rsidRDefault="007E450B" w:rsidP="007E450B">
      <w:pPr>
        <w:spacing w:after="0" w:line="360" w:lineRule="auto"/>
      </w:pPr>
    </w:p>
    <w:p w14:paraId="4BD69298" w14:textId="77777777" w:rsidR="007E450B" w:rsidRDefault="007E450B" w:rsidP="007E450B">
      <w:pPr>
        <w:pStyle w:val="Prrafodelista"/>
        <w:numPr>
          <w:ilvl w:val="0"/>
          <w:numId w:val="13"/>
        </w:numPr>
        <w:spacing w:line="360" w:lineRule="auto"/>
      </w:pPr>
      <w:r w:rsidRPr="00814869">
        <w:rPr>
          <w:b/>
          <w:bCs/>
        </w:rPr>
        <w:t>Póliza de Egresos:</w:t>
      </w:r>
      <w:r>
        <w:t xml:space="preserve"> Corresponde a aquella donde se anotan las operaciones que implique egresos, es decir, la salida de dinero, en efectivo o transferencia, para el municipio. </w:t>
      </w:r>
    </w:p>
    <w:p w14:paraId="01C2AA76" w14:textId="77777777" w:rsidR="007E450B" w:rsidRDefault="007E450B" w:rsidP="007E450B">
      <w:pPr>
        <w:pStyle w:val="Prrafodelista"/>
        <w:spacing w:line="360" w:lineRule="auto"/>
      </w:pPr>
    </w:p>
    <w:p w14:paraId="24123128" w14:textId="77777777" w:rsidR="007E450B" w:rsidRDefault="007E450B" w:rsidP="007E450B">
      <w:pPr>
        <w:pStyle w:val="Prrafodelista"/>
        <w:numPr>
          <w:ilvl w:val="0"/>
          <w:numId w:val="13"/>
        </w:numPr>
        <w:spacing w:line="360" w:lineRule="auto"/>
      </w:pPr>
      <w:r w:rsidRPr="00814869">
        <w:rPr>
          <w:b/>
          <w:bCs/>
        </w:rPr>
        <w:t>Póliza Cheque:</w:t>
      </w:r>
      <w:r>
        <w:t xml:space="preserve"> Es la que se elabora cuando la operación implique una salida de dinero del municipio, a través de un cheque.</w:t>
      </w:r>
    </w:p>
    <w:p w14:paraId="68F49F87" w14:textId="77777777" w:rsidR="007E450B" w:rsidRDefault="007E450B" w:rsidP="007E450B">
      <w:pPr>
        <w:spacing w:after="0" w:line="360" w:lineRule="auto"/>
        <w:rPr>
          <w:color w:val="000000"/>
        </w:rPr>
      </w:pPr>
    </w:p>
    <w:p w14:paraId="4C0D6921" w14:textId="77777777" w:rsidR="007E450B" w:rsidRDefault="007E450B" w:rsidP="007E450B">
      <w:pPr>
        <w:spacing w:after="0" w:line="360" w:lineRule="auto"/>
      </w:pPr>
      <w:r>
        <w:t xml:space="preserve">Ahora bien, los Lineamientos para la integración y presentación de los Informes Trimestrales Estatales y Municipales del Ejercicio Fiscal 2025, entre los formatos que maneja en el Módulo 1, se advierte que se encuentran Póliza de Egresos y Póliza Cheques, con los documentos </w:t>
      </w:r>
      <w:r>
        <w:lastRenderedPageBreak/>
        <w:t>comprobatorios (comprobantes de pago), mismos que serán entregados al Órgano Superior de Fiscalización del Estado de México.</w:t>
      </w:r>
    </w:p>
    <w:p w14:paraId="4A0EBC57" w14:textId="77777777" w:rsidR="007E450B" w:rsidRDefault="007E450B" w:rsidP="007153F3">
      <w:pPr>
        <w:spacing w:after="0" w:line="360" w:lineRule="auto"/>
      </w:pPr>
    </w:p>
    <w:p w14:paraId="0C7093F7" w14:textId="4CCED93D" w:rsidR="00C66E3C" w:rsidRPr="000A10A6" w:rsidRDefault="00D363C5" w:rsidP="007153F3">
      <w:pPr>
        <w:spacing w:after="0" w:line="360" w:lineRule="auto"/>
        <w:rPr>
          <w:rFonts w:cs="Tahoma"/>
          <w:color w:val="auto"/>
        </w:rPr>
      </w:pPr>
      <w:r w:rsidRPr="009C76A0">
        <w:rPr>
          <w:rFonts w:eastAsia="Times New Roman" w:cs="Tahoma"/>
          <w:bCs/>
          <w:color w:val="auto"/>
          <w:lang w:val="es-ES_tradnl" w:eastAsia="es-ES"/>
        </w:rPr>
        <w:t>De tales circunstancias, se logra vislumbrar que la pretensión de</w:t>
      </w:r>
      <w:r w:rsidR="00093CF1" w:rsidRPr="009C76A0">
        <w:rPr>
          <w:rFonts w:eastAsia="Times New Roman" w:cs="Tahoma"/>
          <w:bCs/>
          <w:color w:val="auto"/>
          <w:lang w:val="es-ES_tradnl" w:eastAsia="es-ES"/>
        </w:rPr>
        <w:t xml:space="preserve"> la persona</w:t>
      </w:r>
      <w:r w:rsidRPr="009C76A0">
        <w:rPr>
          <w:rFonts w:eastAsia="Times New Roman" w:cs="Tahoma"/>
          <w:bCs/>
          <w:color w:val="auto"/>
          <w:lang w:val="es-ES_tradnl" w:eastAsia="es-ES"/>
        </w:rPr>
        <w:t xml:space="preserve"> Recurrente, es </w:t>
      </w:r>
      <w:r w:rsidR="00AF2D4D">
        <w:rPr>
          <w:rFonts w:eastAsia="Times New Roman" w:cs="Tahoma"/>
          <w:bCs/>
          <w:color w:val="auto"/>
          <w:lang w:val="es-ES_tradnl" w:eastAsia="es-ES"/>
        </w:rPr>
        <w:t xml:space="preserve">obtener </w:t>
      </w:r>
      <w:r w:rsidR="00DD3480">
        <w:rPr>
          <w:rFonts w:eastAsia="Times New Roman" w:cs="Tahoma"/>
          <w:bCs/>
          <w:color w:val="auto"/>
          <w:lang w:val="es-ES_tradnl" w:eastAsia="es-ES"/>
        </w:rPr>
        <w:t>los comprobantes de</w:t>
      </w:r>
      <w:r w:rsidR="00AF2D4D">
        <w:rPr>
          <w:rFonts w:eastAsia="Times New Roman" w:cs="Tahoma"/>
          <w:bCs/>
          <w:color w:val="auto"/>
          <w:lang w:val="es-ES_tradnl" w:eastAsia="es-ES"/>
        </w:rPr>
        <w:t xml:space="preserve"> los pagos</w:t>
      </w:r>
      <w:r w:rsidR="00DD3480">
        <w:rPr>
          <w:rFonts w:eastAsia="Times New Roman" w:cs="Tahoma"/>
          <w:bCs/>
          <w:color w:val="auto"/>
          <w:lang w:val="es-ES_tradnl" w:eastAsia="es-ES"/>
        </w:rPr>
        <w:t xml:space="preserve"> </w:t>
      </w:r>
      <w:r w:rsidR="00AF2D4D">
        <w:rPr>
          <w:rFonts w:eastAsia="Times New Roman" w:cs="Tahoma"/>
          <w:bCs/>
          <w:color w:val="auto"/>
          <w:lang w:val="es-ES_tradnl" w:eastAsia="es-ES"/>
        </w:rPr>
        <w:t>realizados</w:t>
      </w:r>
      <w:r w:rsidR="00D77D03" w:rsidRPr="00D77D03">
        <w:rPr>
          <w:rFonts w:eastAsia="Times New Roman" w:cs="Tahoma"/>
          <w:bCs/>
          <w:color w:val="auto"/>
          <w:lang w:val="es-ES_tradnl" w:eastAsia="es-ES"/>
        </w:rPr>
        <w:t xml:space="preserve"> </w:t>
      </w:r>
      <w:r w:rsidR="002D28B2">
        <w:rPr>
          <w:rFonts w:eastAsia="Times New Roman" w:cs="Tahoma"/>
          <w:bCs/>
          <w:color w:val="auto"/>
          <w:lang w:val="es-ES_tradnl" w:eastAsia="es-ES"/>
        </w:rPr>
        <w:t xml:space="preserve">a particulares </w:t>
      </w:r>
      <w:r w:rsidR="00D77D03" w:rsidRPr="00D77D03">
        <w:rPr>
          <w:rFonts w:eastAsia="Times New Roman" w:cs="Tahoma"/>
          <w:bCs/>
          <w:color w:val="auto"/>
          <w:lang w:val="es-ES_tradnl" w:eastAsia="es-ES"/>
        </w:rPr>
        <w:t xml:space="preserve">por un monto </w:t>
      </w:r>
      <w:r w:rsidR="007153F3" w:rsidRPr="00D77D03">
        <w:rPr>
          <w:rFonts w:eastAsia="Times New Roman" w:cs="Tahoma"/>
          <w:bCs/>
          <w:color w:val="auto"/>
          <w:lang w:val="es-ES_tradnl" w:eastAsia="es-ES"/>
        </w:rPr>
        <w:t>superior a</w:t>
      </w:r>
      <w:r w:rsidR="00D77D03" w:rsidRPr="00D77D03">
        <w:rPr>
          <w:rFonts w:eastAsia="Times New Roman" w:cs="Tahoma"/>
          <w:bCs/>
          <w:color w:val="auto"/>
          <w:lang w:val="es-ES_tradnl" w:eastAsia="es-ES"/>
        </w:rPr>
        <w:t xml:space="preserve"> </w:t>
      </w:r>
      <w:r w:rsidR="00AF2D4D">
        <w:rPr>
          <w:rFonts w:eastAsia="Times New Roman" w:cs="Tahoma"/>
          <w:bCs/>
          <w:color w:val="auto"/>
          <w:lang w:val="es-ES_tradnl" w:eastAsia="es-ES"/>
        </w:rPr>
        <w:t>un millón de pesos, del primero de enero al veintitrés de septiembre de dos mil veinticinco</w:t>
      </w:r>
      <w:r w:rsidR="00D77D03">
        <w:rPr>
          <w:rFonts w:cs="Tahoma"/>
          <w:color w:val="auto"/>
        </w:rPr>
        <w:t>.</w:t>
      </w:r>
      <w:r w:rsidR="00C104C1">
        <w:rPr>
          <w:rFonts w:cs="Tahoma"/>
          <w:color w:val="auto"/>
        </w:rPr>
        <w:t xml:space="preserve"> </w:t>
      </w:r>
    </w:p>
    <w:p w14:paraId="45540E97" w14:textId="77777777" w:rsidR="00CB29F6" w:rsidRPr="00CB29F6" w:rsidRDefault="00CB29F6" w:rsidP="007153F3">
      <w:pPr>
        <w:pStyle w:val="Prrafodelista"/>
        <w:spacing w:line="360" w:lineRule="auto"/>
        <w:rPr>
          <w:rFonts w:cs="Tahoma"/>
          <w:color w:val="auto"/>
        </w:rPr>
      </w:pPr>
    </w:p>
    <w:p w14:paraId="34C62197" w14:textId="69D20865" w:rsidR="00DF143A" w:rsidRPr="00AD63B4" w:rsidRDefault="00DF143A" w:rsidP="007153F3">
      <w:pPr>
        <w:spacing w:after="0" w:line="360" w:lineRule="auto"/>
        <w:rPr>
          <w:color w:val="0D0D0D"/>
        </w:rPr>
      </w:pPr>
      <w:r w:rsidRPr="00AD63B4">
        <w:rPr>
          <w:color w:val="000000"/>
        </w:rPr>
        <w:t>Ahora bien, de las constancias que obran en el expediente electrónico, se advierte que el Sujeto Obligado</w:t>
      </w:r>
      <w:r w:rsidRPr="00AD63B4">
        <w:rPr>
          <w:color w:val="0D0D0D"/>
        </w:rPr>
        <w:t>, turnó la solicitud de información a la</w:t>
      </w:r>
      <w:r w:rsidR="00A93910" w:rsidRPr="00A93910">
        <w:t xml:space="preserve"> </w:t>
      </w:r>
      <w:r w:rsidR="00431AC4">
        <w:t>Tesorería  Municipal</w:t>
      </w:r>
      <w:r w:rsidRPr="00AD63B4">
        <w:rPr>
          <w:color w:val="000000"/>
        </w:rPr>
        <w:t xml:space="preserve">; </w:t>
      </w:r>
      <w:r w:rsidRPr="00AD63B4">
        <w:t xml:space="preserve">por lo que, es oportuno hacer referencia al </w:t>
      </w:r>
      <w:r w:rsidRPr="00AD63B4">
        <w:rPr>
          <w:b/>
        </w:rPr>
        <w:t>procedimiento de búsqueda que deben de seguir los Sujetos Obligados para localizar la información</w:t>
      </w:r>
      <w:r w:rsidRPr="00AD63B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36C3B" w14:textId="77777777" w:rsidR="00DF143A" w:rsidRDefault="00DF143A" w:rsidP="007153F3">
      <w:pPr>
        <w:spacing w:after="0" w:line="360" w:lineRule="auto"/>
        <w:ind w:left="720"/>
      </w:pPr>
    </w:p>
    <w:p w14:paraId="4ED51FB6" w14:textId="77777777" w:rsidR="00A34825" w:rsidRDefault="00A34825" w:rsidP="00A34825">
      <w:pPr>
        <w:spacing w:after="0" w:line="360" w:lineRule="auto"/>
        <w:rPr>
          <w:rFonts w:eastAsia="Times New Roman" w:cs="Tahoma"/>
          <w:bCs/>
          <w:iCs/>
          <w:color w:val="auto"/>
          <w:lang w:eastAsia="es-ES"/>
        </w:rPr>
      </w:pPr>
      <w:r w:rsidRPr="00F94008">
        <w:rPr>
          <w:rFonts w:eastAsia="Times New Roman" w:cs="Tahoma"/>
          <w:bCs/>
          <w:iCs/>
          <w:color w:val="auto"/>
          <w:lang w:eastAsia="es-ES"/>
        </w:rPr>
        <w:t>En ese orden de ideas, el Manual</w:t>
      </w:r>
      <w:r>
        <w:rPr>
          <w:rFonts w:eastAsia="Times New Roman" w:cs="Tahoma"/>
          <w:bCs/>
          <w:iCs/>
          <w:color w:val="auto"/>
          <w:lang w:eastAsia="es-ES"/>
        </w:rPr>
        <w:t xml:space="preserve"> de Organización de la Tesorería Municipal, precisa que dicha área será la encargada de administrar los recursos públicos; para lo cual contará con la Subdirección de Egresos encargada de supervisar y coordinar la integración, aplicación y distribución de los recursos financieros; de revisar los cheques y transferencias de los proveedores y contratistas; así como, elaborar cheques y transferencias.</w:t>
      </w:r>
    </w:p>
    <w:p w14:paraId="4B32A073" w14:textId="77777777" w:rsidR="00A34825" w:rsidRPr="00AD63B4" w:rsidRDefault="00A34825" w:rsidP="007153F3">
      <w:pPr>
        <w:spacing w:after="0" w:line="360" w:lineRule="auto"/>
        <w:ind w:left="720"/>
      </w:pPr>
    </w:p>
    <w:p w14:paraId="0E5BED20" w14:textId="612E5817" w:rsidR="00DF143A" w:rsidRPr="0061338D" w:rsidRDefault="00DF143A" w:rsidP="007153F3">
      <w:pPr>
        <w:spacing w:after="0" w:line="360" w:lineRule="auto"/>
        <w:rPr>
          <w:b/>
        </w:rPr>
      </w:pPr>
      <w:r w:rsidRPr="00AD63B4">
        <w:rPr>
          <w:color w:val="000000"/>
        </w:rPr>
        <w:t xml:space="preserve">Así, </w:t>
      </w:r>
      <w:r w:rsidRPr="00AD63B4">
        <w:t>se logra colegir que el Sujeto Obligad</w:t>
      </w:r>
      <w:r w:rsidRPr="00AF2D4D">
        <w:rPr>
          <w:bCs/>
        </w:rPr>
        <w:t>o</w:t>
      </w:r>
      <w:r w:rsidR="00AF2D4D" w:rsidRPr="00AF2D4D">
        <w:rPr>
          <w:bCs/>
        </w:rPr>
        <w:t xml:space="preserve"> </w:t>
      </w:r>
      <w:r w:rsidRPr="006328FE">
        <w:rPr>
          <w:b/>
          <w:u w:val="single"/>
        </w:rPr>
        <w:t>cumplió</w:t>
      </w:r>
      <w:r w:rsidRPr="00AD63B4">
        <w:t xml:space="preserve"> con el procedimiento de búsqueda </w:t>
      </w:r>
      <w:r w:rsidRPr="00AD63B4">
        <w:rPr>
          <w:color w:val="000000"/>
        </w:rPr>
        <w:t>establecido en el artículo 162 de la Ley de Transparencia y Acceso a la Información Pública del Estado de México y Mu</w:t>
      </w:r>
      <w:r w:rsidR="006328FE">
        <w:rPr>
          <w:color w:val="000000"/>
        </w:rPr>
        <w:t xml:space="preserve">nicipios, </w:t>
      </w:r>
      <w:r w:rsidR="00AF2D4D">
        <w:rPr>
          <w:color w:val="000000"/>
        </w:rPr>
        <w:t xml:space="preserve">al </w:t>
      </w:r>
      <w:r w:rsidR="006328FE">
        <w:rPr>
          <w:color w:val="000000"/>
        </w:rPr>
        <w:t>gestionar</w:t>
      </w:r>
      <w:r w:rsidRPr="00AD63B4">
        <w:rPr>
          <w:color w:val="000000"/>
        </w:rPr>
        <w:t xml:space="preserve"> el requerimiento de información</w:t>
      </w:r>
      <w:r w:rsidR="0061338D">
        <w:rPr>
          <w:color w:val="000000"/>
        </w:rPr>
        <w:t xml:space="preserve"> a </w:t>
      </w:r>
      <w:r w:rsidR="0061338D" w:rsidRPr="0061338D">
        <w:rPr>
          <w:b/>
          <w:bCs/>
          <w:color w:val="000000"/>
        </w:rPr>
        <w:t xml:space="preserve">la </w:t>
      </w:r>
      <w:r w:rsidR="0061338D" w:rsidRPr="0061338D">
        <w:rPr>
          <w:b/>
          <w:bCs/>
          <w:color w:val="000000"/>
        </w:rPr>
        <w:lastRenderedPageBreak/>
        <w:t>Tesorería Municipal</w:t>
      </w:r>
      <w:r w:rsidR="00AF2D4D">
        <w:rPr>
          <w:b/>
        </w:rPr>
        <w:t>, área que realiza las erogaciones por medio de transferencia o cheque, por medio de su Subdirección de Egresos</w:t>
      </w:r>
      <w:r w:rsidRPr="00AD63B4">
        <w:rPr>
          <w:color w:val="000000"/>
        </w:rPr>
        <w:t>.</w:t>
      </w:r>
      <w:r w:rsidR="00AE3566">
        <w:rPr>
          <w:color w:val="000000"/>
        </w:rPr>
        <w:t xml:space="preserve"> </w:t>
      </w:r>
    </w:p>
    <w:p w14:paraId="2F48E734" w14:textId="77777777" w:rsidR="006328FE" w:rsidRDefault="006328FE" w:rsidP="007153F3">
      <w:pPr>
        <w:spacing w:after="0" w:line="360" w:lineRule="auto"/>
        <w:rPr>
          <w:color w:val="000000"/>
        </w:rPr>
      </w:pPr>
    </w:p>
    <w:p w14:paraId="2A037A17" w14:textId="77777777" w:rsidR="00AF2D4D" w:rsidRPr="00FA6505" w:rsidRDefault="00AF2D4D" w:rsidP="00AF2D4D">
      <w:pPr>
        <w:spacing w:after="0" w:line="360" w:lineRule="auto"/>
      </w:pPr>
      <w:r w:rsidRPr="00FA6505">
        <w:t xml:space="preserve">Ahora bien, dicha área mencionó que la información solicitada no podía ser proporcionada </w:t>
      </w:r>
      <w:r>
        <w:t>al contener datos confidenciales; sobre el tema</w:t>
      </w:r>
      <w:r w:rsidRPr="00FA6505">
        <w:t xml:space="preserve">, según Trujillo, Humberto (2019), en el “Diccionario de Transparencia y Acceso a la Información Pública” (p. 201), </w:t>
      </w:r>
      <w:r w:rsidRPr="00FA6505">
        <w:rPr>
          <w:b/>
          <w:bCs/>
        </w:rPr>
        <w:t>la negativa de acceso a la información</w:t>
      </w:r>
      <w:r w:rsidRPr="00FA6505">
        <w:t xml:space="preserve"> ocurre cuanto de manera fundada y motivada, una autoridad la niega o la limita, por alguna de las siguientes razones:</w:t>
      </w:r>
    </w:p>
    <w:p w14:paraId="626F9C65" w14:textId="77777777" w:rsidR="00AF2D4D" w:rsidRPr="00FA6505" w:rsidRDefault="00AF2D4D" w:rsidP="00AF2D4D">
      <w:pPr>
        <w:spacing w:after="0" w:line="360" w:lineRule="auto"/>
        <w:rPr>
          <w:rFonts w:eastAsia="Times New Roman" w:cs="Tahoma"/>
          <w:iCs/>
          <w:color w:val="FF0000"/>
          <w:lang w:eastAsia="es-ES"/>
        </w:rPr>
      </w:pPr>
    </w:p>
    <w:p w14:paraId="6ECFB8F0" w14:textId="77777777" w:rsidR="00AF2D4D" w:rsidRPr="00FA6505" w:rsidRDefault="00AF2D4D" w:rsidP="00AF2D4D">
      <w:pPr>
        <w:numPr>
          <w:ilvl w:val="0"/>
          <w:numId w:val="22"/>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La inexistencia de la información (p. 171):</w:t>
      </w:r>
      <w:r w:rsidRPr="00FA6505">
        <w:rPr>
          <w:rFonts w:eastAsia="Times New Roman" w:cs="Times New Roman"/>
          <w:szCs w:val="24"/>
          <w:lang w:eastAsia="es-ES"/>
        </w:rPr>
        <w:t xml:space="preserve"> Sucede cuando la información solicitada no se encuentra en los archivos públicos o clasificados de los entes sujetos a las Leyes de Transparencia.</w:t>
      </w:r>
    </w:p>
    <w:p w14:paraId="31F6BEC2" w14:textId="77777777" w:rsidR="00AF2D4D" w:rsidRPr="00FA6505" w:rsidRDefault="00AF2D4D" w:rsidP="00AF2D4D">
      <w:pPr>
        <w:spacing w:after="0" w:line="360" w:lineRule="auto"/>
      </w:pPr>
    </w:p>
    <w:p w14:paraId="6200DDC9" w14:textId="77777777" w:rsidR="00AF2D4D" w:rsidRPr="00FA6505" w:rsidRDefault="00AF2D4D" w:rsidP="00AF2D4D">
      <w:pPr>
        <w:numPr>
          <w:ilvl w:val="0"/>
          <w:numId w:val="22"/>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La incompetencia del Sujeto Obligado (p. 171):</w:t>
      </w:r>
      <w:r w:rsidRPr="00FA6505">
        <w:rPr>
          <w:rFonts w:eastAsia="Times New Roman" w:cs="Times New Roman"/>
          <w:szCs w:val="24"/>
          <w:lang w:eastAsia="es-ES"/>
        </w:rPr>
        <w:t xml:space="preserve"> Ocurre cuando el Sujeto Obligado carece de atribuciones para poseer la información peticionada.</w:t>
      </w:r>
    </w:p>
    <w:p w14:paraId="56494288" w14:textId="77777777" w:rsidR="00AF2D4D" w:rsidRPr="00FA6505" w:rsidRDefault="00AF2D4D" w:rsidP="00AF2D4D">
      <w:pPr>
        <w:spacing w:after="0" w:line="360" w:lineRule="auto"/>
      </w:pPr>
    </w:p>
    <w:p w14:paraId="538A456E" w14:textId="77777777" w:rsidR="00AF2D4D" w:rsidRPr="00FA6505" w:rsidRDefault="00AF2D4D" w:rsidP="00AF2D4D">
      <w:pPr>
        <w:numPr>
          <w:ilvl w:val="0"/>
          <w:numId w:val="22"/>
        </w:numPr>
        <w:spacing w:after="0" w:line="360" w:lineRule="auto"/>
        <w:contextualSpacing/>
        <w:rPr>
          <w:rFonts w:eastAsia="Times New Roman" w:cs="Tahoma"/>
          <w:iCs/>
          <w:szCs w:val="24"/>
          <w:lang w:eastAsia="es-ES"/>
        </w:rPr>
      </w:pPr>
      <w:r w:rsidRPr="00FA6505">
        <w:rPr>
          <w:rFonts w:eastAsia="Times New Roman" w:cs="Times New Roman"/>
          <w:b/>
          <w:bCs/>
          <w:szCs w:val="24"/>
          <w:lang w:eastAsia="es-ES"/>
        </w:rPr>
        <w:t>La clasificación de la información (p. 70):</w:t>
      </w:r>
      <w:r w:rsidRPr="00FA6505">
        <w:rPr>
          <w:rFonts w:eastAsia="Times New Roman" w:cs="Times New Roman"/>
          <w:szCs w:val="24"/>
          <w:lang w:eastAsia="es-E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7A96679F" w14:textId="77777777" w:rsidR="00AF2D4D" w:rsidRPr="00FA6505" w:rsidRDefault="00AF2D4D" w:rsidP="00AF2D4D">
      <w:pPr>
        <w:spacing w:after="0" w:line="360" w:lineRule="auto"/>
      </w:pPr>
    </w:p>
    <w:p w14:paraId="771236B8" w14:textId="77777777" w:rsidR="00AF2D4D" w:rsidRPr="00FA6505" w:rsidRDefault="00AF2D4D" w:rsidP="00AF2D4D">
      <w:pPr>
        <w:spacing w:after="0" w:line="360" w:lineRule="auto"/>
        <w:rPr>
          <w:b/>
          <w:bCs/>
        </w:rPr>
      </w:pPr>
      <w:r>
        <w:t>Así</w:t>
      </w:r>
      <w:r w:rsidRPr="00FA6505">
        <w:t xml:space="preserve">, es de señalar que las excepciones al derecho de acceso a la información, consisten en que </w:t>
      </w:r>
      <w:r w:rsidRPr="00FA6505">
        <w:rPr>
          <w:b/>
          <w:bCs/>
        </w:rPr>
        <w:t>la documentación sea inexistente, obre en los archivos, pero se encuentre clasificada, o bien, el Sujeto Obligado sea incompetente</w:t>
      </w:r>
      <w:r w:rsidRPr="00FA6505">
        <w:t xml:space="preserve"> para contar con esta; esto es, la negativa de acceso a la información, recae cuando la documentación no se encuentre en los archivos del sujeto obligado, o bien exista, pero no pueda proporcionarse por contener datos </w:t>
      </w:r>
      <w:r w:rsidRPr="00FA6505">
        <w:rPr>
          <w:b/>
          <w:bCs/>
        </w:rPr>
        <w:t>confidenciales o reservados.</w:t>
      </w:r>
    </w:p>
    <w:p w14:paraId="10CA29B5" w14:textId="77777777" w:rsidR="00AF2D4D" w:rsidRPr="00FA6505" w:rsidRDefault="00AF2D4D" w:rsidP="00AF2D4D">
      <w:pPr>
        <w:spacing w:after="0" w:line="360" w:lineRule="auto"/>
      </w:pPr>
    </w:p>
    <w:p w14:paraId="36AEB7C8" w14:textId="77777777" w:rsidR="00AF2D4D" w:rsidRPr="00FA6505" w:rsidRDefault="00AF2D4D" w:rsidP="00AF2D4D">
      <w:pPr>
        <w:spacing w:after="0" w:line="360" w:lineRule="auto"/>
      </w:pPr>
      <w:r w:rsidRPr="00FA6505">
        <w:t xml:space="preserve">En ese contexto, es de referir que el Sujeto Obligado, precisó que no podía entregar la información al </w:t>
      </w:r>
      <w:r>
        <w:t>contener</w:t>
      </w:r>
      <w:r w:rsidRPr="00FA6505">
        <w:t xml:space="preserve"> información confidencial</w:t>
      </w:r>
      <w:r>
        <w:t>, es decir, aludió a una clasificación</w:t>
      </w:r>
      <w:r w:rsidRPr="00FA6505">
        <w:t xml:space="preserve">;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FA6505">
        <w:rPr>
          <w:b/>
          <w:bCs/>
        </w:rPr>
        <w:t>reserva o confidencialidad</w:t>
      </w:r>
      <w:r w:rsidRPr="00FA6505">
        <w:t>. Además, que dichos entes deberán aplicar de manera restrictiva y limitada, las excepciones al derecho de acceso a la información, por lo que, tendrán que acreditar la procedencia.</w:t>
      </w:r>
    </w:p>
    <w:p w14:paraId="67CD41E1" w14:textId="77777777" w:rsidR="00AF2D4D" w:rsidRPr="00FA6505" w:rsidRDefault="00AF2D4D" w:rsidP="00AF2D4D">
      <w:pPr>
        <w:spacing w:after="0" w:line="360" w:lineRule="auto"/>
      </w:pPr>
    </w:p>
    <w:p w14:paraId="486546DB" w14:textId="77777777" w:rsidR="00AF2D4D" w:rsidRPr="00FA6505" w:rsidRDefault="00AF2D4D" w:rsidP="00AF2D4D">
      <w:pPr>
        <w:spacing w:after="0" w:line="360" w:lineRule="auto"/>
      </w:pPr>
      <w:r w:rsidRPr="00FA6505">
        <w:t xml:space="preserve">Por lo cual, en los casos en que se niegue el acceso a la información, por actualizarse alguno de los supuestos de clasificación, </w:t>
      </w:r>
      <w:r w:rsidRPr="00FA6505">
        <w:rPr>
          <w:b/>
          <w:bCs/>
        </w:rPr>
        <w:t>el Comité de Transparencia deberá confirmar, modificar o revocar la decisión;</w:t>
      </w:r>
      <w:r w:rsidRPr="00FA6505">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05C0B89" w14:textId="77777777" w:rsidR="00AF2D4D" w:rsidRPr="00FA6505" w:rsidRDefault="00AF2D4D" w:rsidP="00AF2D4D">
      <w:pPr>
        <w:spacing w:after="0" w:line="360" w:lineRule="auto"/>
      </w:pPr>
    </w:p>
    <w:p w14:paraId="163367A8" w14:textId="77777777" w:rsidR="00AF2D4D" w:rsidRPr="00FA6505" w:rsidRDefault="00AF2D4D" w:rsidP="00AF2D4D">
      <w:pPr>
        <w:spacing w:after="0" w:line="360" w:lineRule="auto"/>
        <w:rPr>
          <w:b/>
          <w:bCs/>
        </w:rPr>
      </w:pPr>
      <w:r w:rsidRPr="00FA6505">
        <w:t xml:space="preserve">En ese contexto, de la interpretación del artículo 134 de la Ley de Transparencia y Acceso a la Información Pública del Estado de México y Municipios, se logra observar que </w:t>
      </w:r>
      <w:r w:rsidRPr="00FA6505">
        <w:rPr>
          <w:b/>
          <w:bCs/>
        </w:rPr>
        <w:t>la clasificación depende del contenido de los documentos, pues de su análisis se establece si corresponde a una clasificación total o parcial.</w:t>
      </w:r>
    </w:p>
    <w:p w14:paraId="4D1C4643" w14:textId="77777777" w:rsidR="00AF2D4D" w:rsidRPr="00FA6505" w:rsidRDefault="00AF2D4D" w:rsidP="00AF2D4D">
      <w:pPr>
        <w:spacing w:after="0" w:line="360" w:lineRule="auto"/>
      </w:pPr>
    </w:p>
    <w:p w14:paraId="50C054F3" w14:textId="77777777" w:rsidR="00AF2D4D" w:rsidRPr="00FA6505" w:rsidRDefault="00AF2D4D" w:rsidP="00AF2D4D">
      <w:pPr>
        <w:spacing w:after="0" w:line="360" w:lineRule="auto"/>
      </w:pPr>
      <w:r w:rsidRPr="00FA6505">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D87DB98" w14:textId="77777777" w:rsidR="00AF2D4D" w:rsidRPr="00FA6505" w:rsidRDefault="00AF2D4D" w:rsidP="00AF2D4D">
      <w:pPr>
        <w:spacing w:after="0" w:line="360" w:lineRule="auto"/>
        <w:rPr>
          <w:b/>
          <w:bCs/>
        </w:rPr>
      </w:pPr>
    </w:p>
    <w:p w14:paraId="600056F2" w14:textId="77777777" w:rsidR="00AF2D4D" w:rsidRPr="00FA6505" w:rsidRDefault="00AF2D4D" w:rsidP="00AF2D4D">
      <w:pPr>
        <w:spacing w:after="0" w:line="360" w:lineRule="auto"/>
        <w:rPr>
          <w:b/>
          <w:bCs/>
        </w:rPr>
      </w:pPr>
      <w:r w:rsidRPr="00FA6505">
        <w:lastRenderedPageBreak/>
        <w:t xml:space="preserve">En ese contexto, según Bonifaz, Leticia (2016), en la “Ley General de Transparencia y Acceso a la Información Pública Comentada” (p. 342), la </w:t>
      </w:r>
      <w:r w:rsidRPr="00FA6505">
        <w:rPr>
          <w:b/>
          <w:bCs/>
        </w:rPr>
        <w:t>clasificación de la información</w:t>
      </w:r>
      <w:r w:rsidRPr="00FA6505">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A6505">
        <w:rPr>
          <w:b/>
          <w:bCs/>
        </w:rPr>
        <w:t>de manera adecuada la negativa de información.</w:t>
      </w:r>
    </w:p>
    <w:p w14:paraId="08145E28" w14:textId="77777777" w:rsidR="00AF2D4D" w:rsidRPr="00FA6505" w:rsidRDefault="00AF2D4D" w:rsidP="00AF2D4D">
      <w:pPr>
        <w:spacing w:after="0" w:line="360" w:lineRule="auto"/>
        <w:rPr>
          <w:b/>
          <w:bCs/>
        </w:rPr>
      </w:pPr>
    </w:p>
    <w:p w14:paraId="106CC8A6" w14:textId="77777777" w:rsidR="00AF2D4D" w:rsidRPr="00FA6505" w:rsidRDefault="00AF2D4D" w:rsidP="00AF2D4D">
      <w:pPr>
        <w:spacing w:after="0" w:line="360" w:lineRule="auto"/>
        <w:rPr>
          <w:rFonts w:cs="Tahoma"/>
          <w:b/>
          <w:bCs/>
          <w:iCs/>
        </w:rPr>
      </w:pPr>
      <w:r w:rsidRPr="00FA6505">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A6505">
        <w:rPr>
          <w:b/>
          <w:bCs/>
        </w:rPr>
        <w:t>análisis caso por caso.</w:t>
      </w:r>
    </w:p>
    <w:p w14:paraId="385A50E9" w14:textId="77777777" w:rsidR="00AF2D4D" w:rsidRPr="00FA6505" w:rsidRDefault="00AF2D4D" w:rsidP="00AF2D4D">
      <w:pPr>
        <w:spacing w:after="0" w:line="360" w:lineRule="auto"/>
      </w:pPr>
    </w:p>
    <w:p w14:paraId="7BDED4DB" w14:textId="77777777" w:rsidR="00AF2D4D" w:rsidRPr="00FA6505" w:rsidRDefault="00AF2D4D" w:rsidP="00AF2D4D">
      <w:pPr>
        <w:spacing w:after="0" w:line="360" w:lineRule="auto"/>
      </w:pPr>
      <w:r w:rsidRPr="00FA6505">
        <w:t>Sobre lo anterior, el artículo 131 de la Ley referida, así como el Quinto de los Lineamientos Generales, establecen que los sujetos obligados deberán fundar y motivar debidamente la clasificación de la información.</w:t>
      </w:r>
    </w:p>
    <w:p w14:paraId="2E98CA13" w14:textId="77777777" w:rsidR="00AF2D4D" w:rsidRPr="00FA6505" w:rsidRDefault="00AF2D4D" w:rsidP="00AF2D4D">
      <w:pPr>
        <w:spacing w:after="0" w:line="360" w:lineRule="auto"/>
      </w:pPr>
    </w:p>
    <w:p w14:paraId="368CFFC3" w14:textId="77777777" w:rsidR="00AF2D4D" w:rsidRPr="00FA6505" w:rsidRDefault="00AF2D4D" w:rsidP="00AF2D4D">
      <w:pPr>
        <w:spacing w:after="0" w:line="360" w:lineRule="auto"/>
      </w:pPr>
      <w:r w:rsidRPr="00FA6505">
        <w:t>Al respecto, el Octavo de los Lineamientos Generales, precisa lo siguiente:</w:t>
      </w:r>
    </w:p>
    <w:p w14:paraId="5A3CB2E8" w14:textId="77777777" w:rsidR="00AF2D4D" w:rsidRPr="00FA6505" w:rsidRDefault="00AF2D4D" w:rsidP="00AF2D4D">
      <w:pPr>
        <w:spacing w:after="0" w:line="360" w:lineRule="auto"/>
      </w:pPr>
    </w:p>
    <w:p w14:paraId="65A84AAA" w14:textId="77777777" w:rsidR="00AF2D4D" w:rsidRPr="00FA6505" w:rsidRDefault="00AF2D4D" w:rsidP="00AF2D4D">
      <w:pPr>
        <w:numPr>
          <w:ilvl w:val="0"/>
          <w:numId w:val="23"/>
        </w:numPr>
        <w:spacing w:after="0" w:line="360" w:lineRule="auto"/>
        <w:contextualSpacing/>
        <w:rPr>
          <w:rFonts w:eastAsia="Times New Roman" w:cs="Times New Roman"/>
          <w:szCs w:val="24"/>
          <w:u w:val="single"/>
          <w:lang w:eastAsia="es-ES"/>
        </w:rPr>
      </w:pPr>
      <w:r w:rsidRPr="00FA6505">
        <w:rPr>
          <w:rFonts w:eastAsia="Times New Roman" w:cs="Times New Roman"/>
          <w:b/>
          <w:bCs/>
          <w:szCs w:val="24"/>
          <w:lang w:eastAsia="es-ES"/>
        </w:rPr>
        <w:t>Para fundar la clasificación</w:t>
      </w:r>
      <w:r w:rsidRPr="00FA6505">
        <w:rPr>
          <w:rFonts w:eastAsia="Times New Roman" w:cs="Times New Roman"/>
          <w:szCs w:val="24"/>
          <w:lang w:eastAsia="es-ES"/>
        </w:rPr>
        <w:t xml:space="preserve"> de la información se deberán </w:t>
      </w:r>
      <w:r w:rsidRPr="00FA6505">
        <w:rPr>
          <w:rFonts w:eastAsia="Times New Roman" w:cs="Times New Roman"/>
          <w:szCs w:val="24"/>
          <w:u w:val="single"/>
          <w:lang w:eastAsia="es-ES"/>
        </w:rPr>
        <w:t>señalar el artículo, fracción, inciso, párrafo o numeral de la Ley aplicable.</w:t>
      </w:r>
    </w:p>
    <w:p w14:paraId="04455A8A" w14:textId="77777777" w:rsidR="00AF2D4D" w:rsidRPr="00FA6505" w:rsidRDefault="00AF2D4D" w:rsidP="00AF2D4D">
      <w:pPr>
        <w:spacing w:after="0" w:line="360" w:lineRule="auto"/>
        <w:ind w:left="720"/>
        <w:contextualSpacing/>
        <w:rPr>
          <w:rFonts w:eastAsia="Times New Roman" w:cs="Times New Roman"/>
          <w:szCs w:val="24"/>
          <w:u w:val="single"/>
          <w:lang w:eastAsia="es-ES"/>
        </w:rPr>
      </w:pPr>
    </w:p>
    <w:p w14:paraId="73AF207E" w14:textId="77777777" w:rsidR="00AF2D4D" w:rsidRPr="00FA6505" w:rsidRDefault="00AF2D4D" w:rsidP="00AF2D4D">
      <w:pPr>
        <w:numPr>
          <w:ilvl w:val="0"/>
          <w:numId w:val="23"/>
        </w:numPr>
        <w:spacing w:after="0" w:line="360" w:lineRule="auto"/>
        <w:contextualSpacing/>
        <w:rPr>
          <w:rFonts w:eastAsia="Times New Roman" w:cs="Tahoma"/>
          <w:iCs/>
          <w:szCs w:val="24"/>
          <w:lang w:eastAsia="es-ES"/>
        </w:rPr>
      </w:pPr>
      <w:r w:rsidRPr="00FA6505">
        <w:rPr>
          <w:rFonts w:eastAsia="Times New Roman" w:cs="Times New Roman"/>
          <w:b/>
          <w:bCs/>
          <w:szCs w:val="24"/>
          <w:lang w:eastAsia="es-ES"/>
        </w:rPr>
        <w:t>Para motivar la clasificación</w:t>
      </w:r>
      <w:r w:rsidRPr="00FA6505">
        <w:rPr>
          <w:rFonts w:eastAsia="Times New Roman" w:cs="Times New Roman"/>
          <w:szCs w:val="24"/>
          <w:lang w:eastAsia="es-ES"/>
        </w:rPr>
        <w:t xml:space="preserve"> se deberán </w:t>
      </w:r>
      <w:r w:rsidRPr="00FA6505">
        <w:rPr>
          <w:rFonts w:eastAsia="Times New Roman" w:cs="Times New Roman"/>
          <w:szCs w:val="24"/>
          <w:u w:val="single"/>
          <w:lang w:eastAsia="es-ES"/>
        </w:rPr>
        <w:t>indicar las razones y circunstancias</w:t>
      </w:r>
      <w:r w:rsidRPr="00FA6505">
        <w:rPr>
          <w:rFonts w:eastAsia="Times New Roman" w:cs="Times New Roman"/>
          <w:szCs w:val="24"/>
          <w:lang w:eastAsia="es-ES"/>
        </w:rPr>
        <w:t xml:space="preserve"> especiales que lo llevaron a concluir que el caso particular se ajusta al supuesto previsto por la norma legal invocada.</w:t>
      </w:r>
    </w:p>
    <w:p w14:paraId="207E831A" w14:textId="77777777" w:rsidR="00AF2D4D" w:rsidRPr="00FA6505" w:rsidRDefault="00AF2D4D" w:rsidP="00AF2D4D">
      <w:pPr>
        <w:spacing w:after="0" w:line="360" w:lineRule="auto"/>
        <w:ind w:left="720"/>
        <w:contextualSpacing/>
        <w:rPr>
          <w:rFonts w:ascii="Times New Roman" w:eastAsia="Times New Roman" w:hAnsi="Times New Roman" w:cs="Tahoma"/>
          <w:iCs/>
          <w:szCs w:val="24"/>
          <w:lang w:eastAsia="es-ES"/>
        </w:rPr>
      </w:pPr>
    </w:p>
    <w:p w14:paraId="307843B4" w14:textId="77777777" w:rsidR="00AF2D4D" w:rsidRPr="00FA6505" w:rsidRDefault="00AF2D4D" w:rsidP="00AF2D4D">
      <w:pPr>
        <w:spacing w:after="0" w:line="360" w:lineRule="auto"/>
      </w:pPr>
      <w:r w:rsidRPr="00FA6505">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0CA2044" w14:textId="77777777" w:rsidR="00AF2D4D" w:rsidRPr="00FA6505" w:rsidRDefault="00AF2D4D" w:rsidP="00AF2D4D">
      <w:pPr>
        <w:spacing w:after="0" w:line="360" w:lineRule="auto"/>
      </w:pPr>
    </w:p>
    <w:p w14:paraId="35449C4F" w14:textId="77777777" w:rsidR="00AF2D4D" w:rsidRPr="00FA6505" w:rsidRDefault="00AF2D4D" w:rsidP="00AF2D4D">
      <w:pPr>
        <w:spacing w:after="0" w:line="360" w:lineRule="auto"/>
        <w:ind w:left="567" w:right="567"/>
        <w:rPr>
          <w:i/>
          <w:iCs/>
          <w:sz w:val="20"/>
          <w:szCs w:val="20"/>
        </w:rPr>
      </w:pPr>
      <w:r w:rsidRPr="00FA6505">
        <w:rPr>
          <w:b/>
          <w:bCs/>
          <w:i/>
          <w:iCs/>
          <w:sz w:val="20"/>
          <w:szCs w:val="20"/>
        </w:rPr>
        <w:t>“FUNDAMENTACION Y MOTIVACION, CONCEPTO DE.</w:t>
      </w:r>
      <w:r w:rsidRPr="00FA6505">
        <w:rPr>
          <w:i/>
          <w:iCs/>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42D40BE" w14:textId="77777777" w:rsidR="00AF2D4D" w:rsidRPr="00FA6505" w:rsidRDefault="00AF2D4D" w:rsidP="00AF2D4D">
      <w:pPr>
        <w:spacing w:after="0" w:line="360" w:lineRule="auto"/>
        <w:rPr>
          <w:rFonts w:cs="Tahoma"/>
          <w:iCs/>
        </w:rPr>
      </w:pPr>
    </w:p>
    <w:p w14:paraId="77197BC8" w14:textId="77777777" w:rsidR="00AF2D4D" w:rsidRPr="00FA6505" w:rsidRDefault="00AF2D4D" w:rsidP="00AF2D4D">
      <w:pPr>
        <w:spacing w:after="0" w:line="360" w:lineRule="auto"/>
      </w:pPr>
      <w:r w:rsidRPr="00FA6505">
        <w:t>Conforme a lo anterior, se advierte lo siguiente:</w:t>
      </w:r>
    </w:p>
    <w:p w14:paraId="27AEA1CB" w14:textId="77777777" w:rsidR="00AF2D4D" w:rsidRPr="00FA6505" w:rsidRDefault="00AF2D4D" w:rsidP="00AF2D4D">
      <w:pPr>
        <w:spacing w:after="0" w:line="360" w:lineRule="auto"/>
      </w:pPr>
    </w:p>
    <w:p w14:paraId="71819F37" w14:textId="77777777" w:rsidR="00AF2D4D" w:rsidRPr="00FA6505" w:rsidRDefault="00AF2D4D" w:rsidP="00AF2D4D">
      <w:pPr>
        <w:numPr>
          <w:ilvl w:val="0"/>
          <w:numId w:val="24"/>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Fundamentación:</w:t>
      </w:r>
      <w:r w:rsidRPr="00FA6505">
        <w:rPr>
          <w:rFonts w:eastAsia="Times New Roman" w:cs="Times New Roman"/>
          <w:szCs w:val="24"/>
          <w:lang w:eastAsia="es-ES"/>
        </w:rPr>
        <w:t xml:space="preserve"> Obligación de la autoridad que emite un acto, para citar los preceptos legales, sustantivos y adjetivos, en que se apoye para la determinación tomada. </w:t>
      </w:r>
    </w:p>
    <w:p w14:paraId="14C60335" w14:textId="77777777" w:rsidR="00AF2D4D" w:rsidRPr="00FA6505" w:rsidRDefault="00AF2D4D" w:rsidP="00AF2D4D">
      <w:pPr>
        <w:spacing w:after="0" w:line="360" w:lineRule="auto"/>
        <w:ind w:left="720"/>
        <w:contextualSpacing/>
        <w:rPr>
          <w:rFonts w:eastAsia="Times New Roman" w:cs="Times New Roman"/>
          <w:szCs w:val="24"/>
          <w:lang w:eastAsia="es-ES"/>
        </w:rPr>
      </w:pPr>
    </w:p>
    <w:p w14:paraId="0B75D668" w14:textId="77777777" w:rsidR="00AF2D4D" w:rsidRPr="00FA6505" w:rsidRDefault="00AF2D4D" w:rsidP="00AF2D4D">
      <w:pPr>
        <w:numPr>
          <w:ilvl w:val="0"/>
          <w:numId w:val="24"/>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Motivación:</w:t>
      </w:r>
      <w:r w:rsidRPr="00FA6505">
        <w:rPr>
          <w:rFonts w:eastAsia="Times New Roman" w:cs="Times New Roman"/>
          <w:szCs w:val="24"/>
          <w:lang w:eastAsia="es-ES"/>
        </w:rPr>
        <w:t xml:space="preserve"> Razonamientos lógico-jurídicos sobre porque se consideró en el caso en concreto, que se ajusta a la hipótesis normativa.</w:t>
      </w:r>
    </w:p>
    <w:p w14:paraId="0A382618" w14:textId="77777777" w:rsidR="00A34825" w:rsidRDefault="00A34825" w:rsidP="00AF2D4D">
      <w:pPr>
        <w:spacing w:after="0" w:line="360" w:lineRule="auto"/>
      </w:pPr>
    </w:p>
    <w:p w14:paraId="42AF1891" w14:textId="49F6556D" w:rsidR="00AF2D4D" w:rsidRPr="00FA6505" w:rsidRDefault="00AF2D4D" w:rsidP="00AF2D4D">
      <w:pPr>
        <w:spacing w:after="0" w:line="360" w:lineRule="auto"/>
      </w:pPr>
      <w:r w:rsidRPr="00FA6505">
        <w:t xml:space="preserve">Situación que toma relevancia, pues conforme al artículo 149 de la Ley de Transparencia y Acceso a la Información Pública del Estado de México y Municipios, todo acuerdo que clasifique la información como confidencial, deberá contener un razonamiento lógico en el </w:t>
      </w:r>
      <w:r w:rsidRPr="00FA6505">
        <w:lastRenderedPageBreak/>
        <w:t>que se demuestre que la información actualiza alguna de las hipótesis previstas en el artículo 143 del ordenamiento jurídico establecido.</w:t>
      </w:r>
    </w:p>
    <w:p w14:paraId="524E42C6" w14:textId="77777777" w:rsidR="00AF2D4D" w:rsidRPr="00FA6505" w:rsidRDefault="00AF2D4D" w:rsidP="00AF2D4D">
      <w:pPr>
        <w:spacing w:after="0" w:line="360" w:lineRule="auto"/>
      </w:pPr>
    </w:p>
    <w:p w14:paraId="1F648671" w14:textId="77777777" w:rsidR="00AF2D4D" w:rsidRPr="00FA6505" w:rsidRDefault="00AF2D4D" w:rsidP="00AF2D4D">
      <w:pPr>
        <w:spacing w:after="0" w:line="360" w:lineRule="auto"/>
      </w:pPr>
      <w:r w:rsidRPr="00FA6505">
        <w:t xml:space="preserve">En ese contexto, es de señalar que Ayuntamiento de </w:t>
      </w:r>
      <w:r>
        <w:t>Chalco</w:t>
      </w:r>
      <w:r w:rsidRPr="00FA6505">
        <w:t>, no precisó de manera fundada y motivada las razones por las cuales, consideraba que los documentos solicitados eran clasificados; ni el Comité de Transparencia emitió el acuerdo que confirmará dicha circunstancia, pues únicamente refirió que no podía entregar la información al ser información confidencial</w:t>
      </w:r>
      <w:r w:rsidRPr="00FA6505">
        <w:rPr>
          <w:b/>
          <w:bCs/>
        </w:rPr>
        <w:t>.</w:t>
      </w:r>
    </w:p>
    <w:p w14:paraId="6E864EBA" w14:textId="77777777" w:rsidR="00AF2D4D" w:rsidRDefault="00AF2D4D" w:rsidP="00AF2D4D">
      <w:pPr>
        <w:spacing w:after="0" w:line="360" w:lineRule="auto"/>
      </w:pPr>
    </w:p>
    <w:p w14:paraId="31871FD2" w14:textId="77777777" w:rsidR="00AF2D4D" w:rsidRPr="00FA6505" w:rsidRDefault="00AF2D4D" w:rsidP="00AF2D4D">
      <w:pPr>
        <w:spacing w:after="0" w:line="360" w:lineRule="auto"/>
        <w:rPr>
          <w:rFonts w:eastAsia="Times New Roman" w:cs="Arial"/>
          <w:lang w:val="x-none" w:eastAsia="es-ES"/>
        </w:rPr>
      </w:pPr>
      <w:r>
        <w:t xml:space="preserve">Además, se considera que los documentos rinden cuentas </w:t>
      </w:r>
      <w:r w:rsidRPr="00FA6505">
        <w:rPr>
          <w:rFonts w:eastAsia="Calibri" w:cs="Tahoma"/>
          <w:bCs/>
        </w:rPr>
        <w:t>de la forma en que utiliza el Ayuntamiento los recursos públicos</w:t>
      </w:r>
      <w:r w:rsidRPr="00FA6505">
        <w:rPr>
          <w:rFonts w:eastAsia="Times New Roman" w:cs="Tahoma"/>
          <w:bCs/>
          <w:iCs/>
          <w:lang w:val="es-ES_tradnl" w:eastAsia="es-ES"/>
        </w:rPr>
        <w:t>; sobre</w:t>
      </w:r>
      <w:r w:rsidRPr="00FA6505">
        <w:rPr>
          <w:rFonts w:eastAsia="Times New Roman" w:cs="Tahoma"/>
          <w:lang w:val="es-ES" w:eastAsia="es-ES"/>
        </w:rPr>
        <w:t xml:space="preserve"> el tema, </w:t>
      </w:r>
      <w:r w:rsidRPr="00FA6505">
        <w:rPr>
          <w:rFonts w:eastAsia="Times New Roman" w:cs="Arial"/>
          <w:bCs/>
          <w:lang w:eastAsia="es-ES"/>
        </w:rPr>
        <w:t xml:space="preserve">según Arizmendi, Guillermo (2016), en la “Ley General de Transparencia y Acceso a la Información Pública Comentada” (p. 240 y 241), los recursos públicos, deber ser administrado con responsabilidad y transparencia. </w:t>
      </w:r>
      <w:r w:rsidRPr="00FA6505">
        <w:rPr>
          <w:rFonts w:eastAsia="Times New Roman" w:cs="Tahoma"/>
          <w:lang w:val="es-ES" w:eastAsia="es-ES"/>
        </w:rPr>
        <w:t xml:space="preserve">En ese orden de ideas, según Trujillo, Humberto (2019), en el “Diccionario de Transparencia y Acceso a la Información Pública” (p. 276), </w:t>
      </w:r>
      <w:r w:rsidRPr="00FA6505">
        <w:rPr>
          <w:rFonts w:eastAsia="Times New Roman" w:cs="Tahoma"/>
          <w:b/>
          <w:lang w:val="es-ES" w:eastAsia="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27DC84A5" w14:textId="77777777" w:rsidR="00AF2D4D" w:rsidRPr="00FA6505" w:rsidRDefault="00AF2D4D" w:rsidP="00AF2D4D">
      <w:pPr>
        <w:spacing w:after="0" w:line="360" w:lineRule="auto"/>
        <w:rPr>
          <w:rFonts w:eastAsia="Times New Roman" w:cs="Tahoma"/>
          <w:b/>
          <w:lang w:val="es-ES" w:eastAsia="es-ES"/>
        </w:rPr>
      </w:pPr>
    </w:p>
    <w:p w14:paraId="51D9811C" w14:textId="77777777" w:rsidR="00AF2D4D" w:rsidRPr="00FA6505" w:rsidRDefault="00AF2D4D" w:rsidP="00AF2D4D">
      <w:pPr>
        <w:spacing w:after="0" w:line="360" w:lineRule="auto"/>
        <w:rPr>
          <w:rFonts w:eastAsia="Times New Roman" w:cs="Tahoma"/>
          <w:lang w:eastAsia="es-ES"/>
        </w:rPr>
      </w:pPr>
      <w:r w:rsidRPr="00FA6505">
        <w:rPr>
          <w:rFonts w:eastAsia="Times New Roman" w:cs="Tahoma"/>
          <w:lang w:val="es-ES" w:eastAsia="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FA6505">
        <w:rPr>
          <w:rFonts w:eastAsia="Times New Roman" w:cs="Tahoma"/>
          <w:b/>
          <w:lang w:val="es-ES" w:eastAsia="es-ES"/>
        </w:rPr>
        <w:t xml:space="preserve">transparencia </w:t>
      </w:r>
      <w:r w:rsidRPr="00FA6505">
        <w:rPr>
          <w:rFonts w:eastAsia="Times New Roman" w:cs="Tahoma"/>
          <w:lang w:val="es-ES" w:eastAsia="es-ES"/>
        </w:rPr>
        <w:t xml:space="preserve">y honradez; sobre lo referido,  </w:t>
      </w:r>
      <w:r w:rsidRPr="00FA6505">
        <w:rPr>
          <w:rFonts w:eastAsia="Times New Roman" w:cs="Tahoma"/>
          <w:lang w:eastAsia="es-ES"/>
        </w:rPr>
        <w:t>la Tesis número 1a.CXLV/2009, Novena Época, publicada en el Semanario Judicial de la Federación, Tomo XXX, de septiembre de dos mil nueve, (p. 2712), establece lo siguiente:</w:t>
      </w:r>
    </w:p>
    <w:p w14:paraId="203B00D7" w14:textId="77777777" w:rsidR="00AF2D4D" w:rsidRPr="00FA6505" w:rsidRDefault="00AF2D4D" w:rsidP="00AF2D4D">
      <w:pPr>
        <w:spacing w:after="0" w:line="360" w:lineRule="auto"/>
        <w:rPr>
          <w:rFonts w:eastAsia="Times New Roman" w:cs="Tahoma"/>
          <w:lang w:val="es-ES" w:eastAsia="es-ES"/>
        </w:rPr>
      </w:pPr>
    </w:p>
    <w:p w14:paraId="129C00A4" w14:textId="77777777" w:rsidR="00AF2D4D" w:rsidRPr="00FA6505" w:rsidRDefault="00AF2D4D" w:rsidP="00AF2D4D">
      <w:pPr>
        <w:spacing w:after="0" w:line="360" w:lineRule="auto"/>
        <w:ind w:left="567" w:right="567"/>
        <w:rPr>
          <w:rFonts w:eastAsia="Times New Roman" w:cs="Tahoma"/>
          <w:bCs/>
          <w:i/>
          <w:iCs/>
          <w:sz w:val="20"/>
          <w:szCs w:val="20"/>
          <w:lang w:val="es-ES" w:eastAsia="es-ES"/>
        </w:rPr>
      </w:pPr>
      <w:r w:rsidRPr="00FA6505">
        <w:rPr>
          <w:rFonts w:eastAsia="Times New Roman" w:cs="Tahoma"/>
          <w:b/>
          <w:bCs/>
          <w:i/>
          <w:iCs/>
          <w:sz w:val="20"/>
          <w:szCs w:val="20"/>
          <w:lang w:val="es-ES" w:eastAsia="es-ES"/>
        </w:rPr>
        <w:lastRenderedPageBreak/>
        <w:t>“</w:t>
      </w:r>
      <w:r w:rsidRPr="00FA6505">
        <w:rPr>
          <w:rFonts w:eastAsia="Times New Roman" w:cs="Tahoma"/>
          <w:b/>
          <w:bCs/>
          <w:i/>
          <w:iCs/>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sidRPr="00FA6505">
        <w:rPr>
          <w:rFonts w:eastAsia="Times New Roman" w:cs="Tahoma"/>
          <w:bCs/>
          <w:i/>
          <w:iCs/>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FA6505">
        <w:rPr>
          <w:rFonts w:eastAsia="Times New Roman" w:cs="Tahoma"/>
          <w:bCs/>
          <w:i/>
          <w:iCs/>
          <w:sz w:val="20"/>
          <w:szCs w:val="20"/>
          <w:lang w:val="es-ES" w:eastAsia="es-ES"/>
        </w:rPr>
        <w:t>”</w:t>
      </w:r>
    </w:p>
    <w:p w14:paraId="05D14077" w14:textId="77777777" w:rsidR="00AF2D4D" w:rsidRPr="00FA6505" w:rsidRDefault="00AF2D4D" w:rsidP="00AF2D4D">
      <w:pPr>
        <w:spacing w:after="0" w:line="360" w:lineRule="auto"/>
        <w:rPr>
          <w:rFonts w:eastAsia="Times New Roman" w:cs="Tahoma"/>
          <w:bCs/>
          <w:iCs/>
          <w:lang w:val="es-ES" w:eastAsia="es-ES"/>
        </w:rPr>
      </w:pPr>
    </w:p>
    <w:p w14:paraId="47A2C123" w14:textId="77777777" w:rsidR="00AF2D4D" w:rsidRPr="00FA6505" w:rsidRDefault="00AF2D4D" w:rsidP="00AF2D4D">
      <w:pPr>
        <w:spacing w:after="0" w:line="360" w:lineRule="auto"/>
        <w:rPr>
          <w:rFonts w:eastAsia="Times New Roman" w:cs="Tahoma"/>
          <w:bCs/>
          <w:iCs/>
          <w:lang w:val="es-ES" w:eastAsia="es-ES"/>
        </w:rPr>
      </w:pPr>
      <w:r w:rsidRPr="00FA6505">
        <w:rPr>
          <w:rFonts w:eastAsia="Times New Roman" w:cs="Tahoma"/>
          <w:bCs/>
          <w:iCs/>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49D8467D" w14:textId="77777777" w:rsidR="00AF2D4D" w:rsidRPr="00FA6505" w:rsidRDefault="00AF2D4D" w:rsidP="00AF2D4D">
      <w:pPr>
        <w:spacing w:after="0" w:line="360" w:lineRule="auto"/>
        <w:rPr>
          <w:rFonts w:eastAsia="Times New Roman" w:cs="Tahoma"/>
          <w:bCs/>
          <w:iCs/>
          <w:lang w:val="es-ES" w:eastAsia="es-ES"/>
        </w:rPr>
      </w:pPr>
    </w:p>
    <w:p w14:paraId="0914FD09" w14:textId="77777777" w:rsidR="00AF2D4D" w:rsidRPr="00FA6505" w:rsidRDefault="00AF2D4D" w:rsidP="00AF2D4D">
      <w:pPr>
        <w:spacing w:after="0" w:line="360" w:lineRule="auto"/>
        <w:rPr>
          <w:rFonts w:eastAsia="Times New Roman" w:cs="Tahoma"/>
          <w:lang w:val="es-ES" w:eastAsia="es-ES"/>
        </w:rPr>
      </w:pPr>
      <w:r w:rsidRPr="00FA6505">
        <w:rPr>
          <w:rFonts w:eastAsia="Times New Roman" w:cs="Tahoma"/>
          <w:bCs/>
          <w:iCs/>
          <w:lang w:val="es-ES" w:eastAsia="es-ES"/>
        </w:rPr>
        <w:t xml:space="preserve">Al respecto, </w:t>
      </w:r>
      <w:r w:rsidRPr="00FA6505">
        <w:rPr>
          <w:rFonts w:eastAsia="Times New Roman" w:cs="Tahoma"/>
          <w:lang w:val="es-ES" w:eastAsia="es-ES"/>
        </w:rPr>
        <w:t xml:space="preserve">según Merino, Mauricio (2019), en el “Diccionario de Transparencia y Acceso a la Información Pública” (p. 276), </w:t>
      </w:r>
      <w:r w:rsidRPr="00FA6505">
        <w:rPr>
          <w:rFonts w:eastAsia="Times New Roman" w:cs="Tahoma"/>
          <w:b/>
          <w:lang w:val="es-ES" w:eastAsia="es-ES"/>
        </w:rPr>
        <w:t xml:space="preserve">la rendición de cuentas, </w:t>
      </w:r>
      <w:r w:rsidRPr="00FA6505">
        <w:rPr>
          <w:rFonts w:eastAsia="Times New Roman" w:cs="Tahoma"/>
          <w:lang w:val="es-ES" w:eastAsia="es-ES"/>
        </w:rPr>
        <w:t xml:space="preserve">es un ejercicio de transparencia e información pública; es un medio a través del cual los gobiernos informan al público de sus actividades, </w:t>
      </w:r>
      <w:r w:rsidRPr="00FA6505">
        <w:rPr>
          <w:rFonts w:eastAsia="Times New Roman" w:cs="Tahoma"/>
          <w:b/>
          <w:lang w:val="es-ES" w:eastAsia="es-ES"/>
        </w:rPr>
        <w:t>de los recursos que han ejercido</w:t>
      </w:r>
      <w:r w:rsidRPr="00FA6505">
        <w:rPr>
          <w:rFonts w:eastAsia="Times New Roman" w:cs="Tahoma"/>
          <w:lang w:val="es-ES" w:eastAsia="es-ES"/>
        </w:rPr>
        <w:t xml:space="preserve"> y de los resultados obtenidos.</w:t>
      </w:r>
    </w:p>
    <w:p w14:paraId="053BEAA9" w14:textId="77777777" w:rsidR="00AF2D4D" w:rsidRPr="00FA6505" w:rsidRDefault="00AF2D4D" w:rsidP="00AF2D4D">
      <w:pPr>
        <w:spacing w:after="0" w:line="360" w:lineRule="auto"/>
        <w:rPr>
          <w:rFonts w:eastAsia="Times New Roman" w:cs="Tahoma"/>
          <w:bCs/>
          <w:iCs/>
          <w:lang w:val="es-ES" w:eastAsia="es-ES"/>
        </w:rPr>
      </w:pPr>
      <w:r w:rsidRPr="00FA6505">
        <w:rPr>
          <w:rFonts w:eastAsia="Times New Roman" w:cs="Tahoma"/>
          <w:bCs/>
          <w:iCs/>
          <w:lang w:val="es-ES" w:eastAsia="es-ES"/>
        </w:rPr>
        <w:t xml:space="preserve">Además, de manera de referencia, el artículo 6°, fracción XXXVIII, de la Ley de Transparencia, Acceso a la Información Pública y Rendición de Cuentas de la Ciudad de México, establece que la rendición de cuentas, vista desde la perspectiva de la transparencia </w:t>
      </w:r>
      <w:r w:rsidRPr="00FA6505">
        <w:rPr>
          <w:rFonts w:eastAsia="Times New Roman" w:cs="Tahoma"/>
          <w:bCs/>
          <w:iCs/>
          <w:lang w:val="es-ES" w:eastAsia="es-ES"/>
        </w:rPr>
        <w:lastRenderedPageBreak/>
        <w:t>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66A60532" w14:textId="77777777" w:rsidR="00AF2D4D" w:rsidRPr="00FA6505" w:rsidRDefault="00AF2D4D" w:rsidP="00AF2D4D">
      <w:pPr>
        <w:spacing w:after="0" w:line="360" w:lineRule="auto"/>
        <w:rPr>
          <w:rFonts w:eastAsia="Times New Roman" w:cs="Tahoma"/>
          <w:bCs/>
          <w:iCs/>
          <w:lang w:val="es-ES" w:eastAsia="es-ES"/>
        </w:rPr>
      </w:pPr>
    </w:p>
    <w:p w14:paraId="0A224B06" w14:textId="77777777" w:rsidR="00AF2D4D" w:rsidRPr="00FA6505" w:rsidRDefault="00AF2D4D" w:rsidP="00AF2D4D">
      <w:pPr>
        <w:spacing w:after="0" w:line="360" w:lineRule="auto"/>
        <w:rPr>
          <w:rFonts w:eastAsia="Times New Roman" w:cs="Tahoma"/>
          <w:bCs/>
          <w:iCs/>
          <w:lang w:val="es-ES" w:eastAsia="es-ES"/>
        </w:rPr>
      </w:pPr>
      <w:r w:rsidRPr="00FA6505">
        <w:rPr>
          <w:rFonts w:eastAsia="Times New Roman" w:cs="Tahoma"/>
          <w:bCs/>
          <w:iCs/>
          <w:lang w:val="es-ES" w:eastAsia="es-ES"/>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60A4E252" w14:textId="77777777" w:rsidR="00AF2D4D" w:rsidRPr="00FA6505" w:rsidRDefault="00AF2D4D" w:rsidP="00AF2D4D">
      <w:pPr>
        <w:spacing w:after="0" w:line="360" w:lineRule="auto"/>
        <w:rPr>
          <w:rFonts w:eastAsia="Times New Roman" w:cs="Tahoma"/>
          <w:bCs/>
          <w:iCs/>
          <w:lang w:val="es-ES" w:eastAsia="es-ES"/>
        </w:rPr>
      </w:pPr>
    </w:p>
    <w:p w14:paraId="308B4605" w14:textId="77777777" w:rsidR="00AF2D4D" w:rsidRPr="00FA6505" w:rsidRDefault="00AF2D4D" w:rsidP="00AF2D4D">
      <w:pPr>
        <w:spacing w:after="0" w:line="360" w:lineRule="auto"/>
        <w:rPr>
          <w:rFonts w:eastAsia="Times New Roman" w:cs="Tahoma"/>
          <w:b/>
          <w:iCs/>
          <w:lang w:eastAsia="es-ES"/>
        </w:rPr>
      </w:pPr>
      <w:r w:rsidRPr="00FA6505">
        <w:rPr>
          <w:rFonts w:eastAsia="Times New Roman" w:cs="Tahoma"/>
          <w:bCs/>
          <w:iCs/>
          <w:lang w:eastAsia="es-ES"/>
        </w:rPr>
        <w:t>Conforme a lo anterior, se logra vislumbrar que, en el presente caso, la información solicitada, rinde cuentas de la forma de utilización de los recursos públicos con los que contaba el Sujeto Obligado; por lo que, no procede su clasificación en su totalidad</w:t>
      </w:r>
      <w:r>
        <w:rPr>
          <w:rFonts w:eastAsia="Times New Roman" w:cs="Tahoma"/>
          <w:bCs/>
          <w:iCs/>
          <w:lang w:eastAsia="es-ES"/>
        </w:rPr>
        <w:t xml:space="preserve">, lo cual da como resultado que el agravio sea </w:t>
      </w:r>
      <w:r>
        <w:rPr>
          <w:rFonts w:eastAsia="Times New Roman" w:cs="Tahoma"/>
          <w:b/>
          <w:iCs/>
          <w:lang w:eastAsia="es-ES"/>
        </w:rPr>
        <w:t>FUNDADO.</w:t>
      </w:r>
    </w:p>
    <w:p w14:paraId="6A0A0CAC" w14:textId="77777777" w:rsidR="00AF2D4D" w:rsidRPr="00FA6505" w:rsidRDefault="00AF2D4D" w:rsidP="00AF2D4D">
      <w:pPr>
        <w:spacing w:line="360" w:lineRule="auto"/>
        <w:contextualSpacing/>
        <w:rPr>
          <w:rFonts w:eastAsia="Calibri" w:cs="Tahoma"/>
          <w:bCs/>
          <w:color w:val="0D0D0D" w:themeColor="text1" w:themeTint="F2"/>
          <w:lang w:val="es-ES_tradnl"/>
        </w:rPr>
      </w:pPr>
    </w:p>
    <w:p w14:paraId="1E95210A" w14:textId="77777777" w:rsidR="00AF2D4D" w:rsidRPr="00FA6505" w:rsidRDefault="00AF2D4D" w:rsidP="00AF2D4D">
      <w:pPr>
        <w:spacing w:after="0" w:line="360" w:lineRule="auto"/>
      </w:pPr>
      <w:r w:rsidRPr="00FA6505">
        <w:t xml:space="preserve">En ese contexto, el artículo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w:t>
      </w:r>
      <w:r w:rsidRPr="00FA6505">
        <w:rPr>
          <w:b/>
          <w:bCs/>
        </w:rPr>
        <w:t xml:space="preserve">deberá elaborar una versión pública </w:t>
      </w:r>
      <w:r w:rsidRPr="00FA6505">
        <w:t>en la que se testen las partes o secciones clasificadas, indicando su contenido de manera genérica y fundando y motivando su clasificación; documento que deberá ser aprobado por el Comité de Transparencia.</w:t>
      </w:r>
    </w:p>
    <w:p w14:paraId="5A214E74" w14:textId="77777777" w:rsidR="00AF2D4D" w:rsidRPr="00FA6505" w:rsidRDefault="00AF2D4D" w:rsidP="00AF2D4D">
      <w:pPr>
        <w:spacing w:after="0" w:line="360" w:lineRule="auto"/>
      </w:pPr>
    </w:p>
    <w:p w14:paraId="4ACB9F77" w14:textId="77777777" w:rsidR="00AF2D4D" w:rsidRPr="00FA6505" w:rsidRDefault="00AF2D4D" w:rsidP="00AF2D4D">
      <w:pPr>
        <w:spacing w:after="0" w:line="360" w:lineRule="auto"/>
      </w:pPr>
      <w:r w:rsidRPr="00FA6505">
        <w:lastRenderedPageBreak/>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w:t>
      </w:r>
    </w:p>
    <w:p w14:paraId="00B18495" w14:textId="77777777" w:rsidR="00AF2D4D" w:rsidRPr="00FA6505" w:rsidRDefault="00AF2D4D" w:rsidP="00AF2D4D">
      <w:pPr>
        <w:spacing w:after="0" w:line="360" w:lineRule="auto"/>
      </w:pPr>
    </w:p>
    <w:p w14:paraId="3537EE45" w14:textId="445A8E6A" w:rsidR="00AF2D4D" w:rsidRPr="00FA6505" w:rsidRDefault="00AF2D4D" w:rsidP="00AF2D4D">
      <w:pPr>
        <w:spacing w:after="0" w:line="360" w:lineRule="auto"/>
      </w:pPr>
      <w:r w:rsidRPr="00FA6505">
        <w:t xml:space="preserve">Así, este Instituto considera que para atender el requerimiento de información, el Sujeto Obligado deberá realizar una búsqueda exhaustiva y razonable en todas la áreas competentes, entre las cuales no podrá omitir a la </w:t>
      </w:r>
      <w:r w:rsidRPr="00FA6505">
        <w:rPr>
          <w:b/>
          <w:bCs/>
        </w:rPr>
        <w:t xml:space="preserve">Tesorería Municipal, </w:t>
      </w:r>
      <w:r w:rsidRPr="00FA6505">
        <w:t xml:space="preserve">a efecto de que proporcione </w:t>
      </w:r>
      <w:r>
        <w:t xml:space="preserve">los comprobantes de pago </w:t>
      </w:r>
      <w:r w:rsidR="002732E4">
        <w:t>solicitados</w:t>
      </w:r>
      <w:r w:rsidRPr="00FA6505">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DBC9201" w14:textId="77777777" w:rsidR="00AF2D4D" w:rsidRPr="00FA6505" w:rsidRDefault="00AF2D4D" w:rsidP="00AF2D4D">
      <w:pPr>
        <w:spacing w:after="0" w:line="360" w:lineRule="auto"/>
      </w:pPr>
    </w:p>
    <w:p w14:paraId="0639F38A" w14:textId="77777777" w:rsidR="00AF2D4D" w:rsidRPr="00FA6505" w:rsidRDefault="00AF2D4D" w:rsidP="00AF2D4D">
      <w:pPr>
        <w:spacing w:after="0" w:line="360" w:lineRule="auto"/>
      </w:pPr>
      <w:r w:rsidRPr="00FA6505">
        <w:t xml:space="preserve">De esta manera, el derecho de acceso a la información pública se satisface en aquellos casos en que se entregue el soporte documental en el que conste la información solicitada, sin necesidad de elaborar documentos </w:t>
      </w:r>
      <w:r w:rsidRPr="00FA6505">
        <w:rPr>
          <w:i/>
          <w:iCs/>
        </w:rPr>
        <w:t>ad hoc</w:t>
      </w:r>
      <w:r w:rsidRPr="00FA6505">
        <w:t>; lo cual, de conformidad con en el artículo 160 de la Ley de Transparencia y Acceso a la Información Pública del Estado de México y Municipios, el cual refiere que los sujetos obligados deberán entregar la información que obre en sus archivos.</w:t>
      </w:r>
    </w:p>
    <w:p w14:paraId="7840B5B8" w14:textId="77777777" w:rsidR="00AF2D4D" w:rsidRPr="00FA6505" w:rsidRDefault="00AF2D4D" w:rsidP="00AF2D4D">
      <w:pPr>
        <w:spacing w:after="0" w:line="360" w:lineRule="auto"/>
      </w:pPr>
    </w:p>
    <w:p w14:paraId="658843B6" w14:textId="15563829" w:rsidR="00AF2D4D" w:rsidRPr="00FA6505" w:rsidRDefault="00AF2D4D" w:rsidP="00AF2D4D">
      <w:pPr>
        <w:spacing w:after="0" w:line="360" w:lineRule="auto"/>
      </w:pPr>
      <w:r w:rsidRPr="00FA6505">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r w:rsidR="002732E4">
        <w:t xml:space="preserve"> Ahora bien, no pasa </w:t>
      </w:r>
      <w:r w:rsidR="002732E4">
        <w:lastRenderedPageBreak/>
        <w:t>desapercibido que los documentos que den cuenta de lo solicitado pudieran contener diversos datos, tales como los siguientes:</w:t>
      </w:r>
    </w:p>
    <w:p w14:paraId="379A7E4D" w14:textId="77777777" w:rsidR="00AF2D4D" w:rsidRDefault="00AF2D4D" w:rsidP="00AF2D4D">
      <w:pPr>
        <w:spacing w:after="0" w:line="360" w:lineRule="auto"/>
        <w:rPr>
          <w:color w:val="000000"/>
        </w:rPr>
      </w:pPr>
    </w:p>
    <w:p w14:paraId="3CEC1A01" w14:textId="77777777" w:rsidR="00AF2D4D" w:rsidRPr="003B4272" w:rsidRDefault="00AF2D4D" w:rsidP="00AF2D4D">
      <w:pPr>
        <w:numPr>
          <w:ilvl w:val="0"/>
          <w:numId w:val="19"/>
        </w:numPr>
        <w:spacing w:after="0" w:line="360" w:lineRule="auto"/>
        <w:ind w:left="993" w:hanging="426"/>
        <w:jc w:val="left"/>
        <w:rPr>
          <w:color w:val="000000"/>
        </w:rPr>
      </w:pPr>
      <w:r w:rsidRPr="003B4272">
        <w:rPr>
          <w:color w:val="000000"/>
        </w:rPr>
        <w:t>Clave y cuenta interbancari</w:t>
      </w:r>
      <w:r>
        <w:rPr>
          <w:color w:val="000000"/>
        </w:rPr>
        <w:t>a;</w:t>
      </w:r>
    </w:p>
    <w:p w14:paraId="48AE5D86" w14:textId="77777777" w:rsidR="00AF2D4D" w:rsidRPr="003B4272" w:rsidRDefault="00AF2D4D" w:rsidP="00AF2D4D">
      <w:pPr>
        <w:numPr>
          <w:ilvl w:val="0"/>
          <w:numId w:val="19"/>
        </w:numPr>
        <w:spacing w:after="0" w:line="360" w:lineRule="auto"/>
        <w:ind w:left="993" w:hanging="426"/>
        <w:jc w:val="left"/>
        <w:rPr>
          <w:color w:val="000000"/>
        </w:rPr>
      </w:pPr>
      <w:r w:rsidRPr="003B4272">
        <w:rPr>
          <w:color w:val="000000"/>
        </w:rPr>
        <w:t>Nombre de beneficiarios</w:t>
      </w:r>
      <w:r>
        <w:rPr>
          <w:color w:val="000000"/>
        </w:rPr>
        <w:t>;</w:t>
      </w:r>
    </w:p>
    <w:p w14:paraId="6446AA41" w14:textId="77777777" w:rsidR="00AF2D4D" w:rsidRDefault="00AF2D4D" w:rsidP="00AF2D4D">
      <w:pPr>
        <w:numPr>
          <w:ilvl w:val="0"/>
          <w:numId w:val="19"/>
        </w:numPr>
        <w:spacing w:after="0" w:line="360" w:lineRule="auto"/>
        <w:ind w:left="993" w:hanging="426"/>
        <w:jc w:val="left"/>
        <w:rPr>
          <w:color w:val="000000"/>
        </w:rPr>
      </w:pPr>
      <w:r>
        <w:rPr>
          <w:color w:val="000000"/>
        </w:rPr>
        <w:t>Registro Federal de Contribuyentes (RFC) de servidores públicos, proveedores o contratistas;</w:t>
      </w:r>
    </w:p>
    <w:p w14:paraId="05FE71E2" w14:textId="77777777" w:rsidR="00AF2D4D" w:rsidRDefault="00AF2D4D" w:rsidP="00AF2D4D">
      <w:pPr>
        <w:numPr>
          <w:ilvl w:val="0"/>
          <w:numId w:val="19"/>
        </w:numPr>
        <w:spacing w:after="0" w:line="360" w:lineRule="auto"/>
        <w:ind w:left="993" w:hanging="426"/>
        <w:jc w:val="left"/>
        <w:rPr>
          <w:color w:val="000000"/>
        </w:rPr>
      </w:pPr>
      <w:r>
        <w:rPr>
          <w:color w:val="000000"/>
        </w:rPr>
        <w:t xml:space="preserve">Firma (proveedor, contratista o representante legal), y </w:t>
      </w:r>
    </w:p>
    <w:p w14:paraId="0D639EA8" w14:textId="77777777" w:rsidR="00AF2D4D" w:rsidRDefault="00AF2D4D" w:rsidP="00AF2D4D">
      <w:pPr>
        <w:numPr>
          <w:ilvl w:val="0"/>
          <w:numId w:val="19"/>
        </w:numPr>
        <w:spacing w:after="0" w:line="360" w:lineRule="auto"/>
        <w:ind w:left="993" w:hanging="426"/>
        <w:jc w:val="left"/>
        <w:rPr>
          <w:color w:val="000000"/>
        </w:rPr>
      </w:pPr>
      <w:r>
        <w:rPr>
          <w:color w:val="000000"/>
        </w:rPr>
        <w:t>Domicilio Fiscal del proveedor o contratista.</w:t>
      </w:r>
    </w:p>
    <w:p w14:paraId="41CA454F" w14:textId="77777777" w:rsidR="00AF2D4D" w:rsidRDefault="00AF2D4D" w:rsidP="00AF2D4D">
      <w:pPr>
        <w:spacing w:after="0" w:line="360" w:lineRule="auto"/>
        <w:rPr>
          <w:color w:val="FF0000"/>
        </w:rPr>
      </w:pPr>
    </w:p>
    <w:p w14:paraId="07D1BCF9" w14:textId="77777777" w:rsidR="00AF2D4D" w:rsidRDefault="00AF2D4D" w:rsidP="00AF2D4D">
      <w:pPr>
        <w:spacing w:after="0" w:line="360" w:lineRule="auto"/>
        <w:ind w:right="-28"/>
        <w:rPr>
          <w:color w:val="000000"/>
        </w:rPr>
      </w:pPr>
      <w:r>
        <w:rPr>
          <w:color w:val="000000"/>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144B44B2" w14:textId="77777777" w:rsidR="00AF2D4D" w:rsidRDefault="00AF2D4D" w:rsidP="00AF2D4D">
      <w:pPr>
        <w:spacing w:after="0" w:line="360" w:lineRule="auto"/>
        <w:rPr>
          <w:color w:val="000000"/>
        </w:rPr>
      </w:pPr>
    </w:p>
    <w:p w14:paraId="269728E6" w14:textId="77777777" w:rsidR="00AF2D4D" w:rsidRDefault="00AF2D4D" w:rsidP="00AF2D4D">
      <w:pPr>
        <w:spacing w:after="0" w:line="360" w:lineRule="auto"/>
        <w:rPr>
          <w:color w:val="000000"/>
        </w:rPr>
      </w:pPr>
      <w:r>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008B6EE" w14:textId="77777777" w:rsidR="00AF2D4D" w:rsidRDefault="00AF2D4D" w:rsidP="00AF2D4D">
      <w:pPr>
        <w:spacing w:after="0" w:line="360" w:lineRule="auto"/>
        <w:rPr>
          <w:color w:val="000000"/>
        </w:rPr>
      </w:pPr>
    </w:p>
    <w:p w14:paraId="395E84DB" w14:textId="77777777" w:rsidR="00AF2D4D" w:rsidRDefault="00AF2D4D" w:rsidP="00AF2D4D">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7A1B8877" w14:textId="77777777" w:rsidR="00AF2D4D" w:rsidRDefault="00AF2D4D" w:rsidP="00AF2D4D">
      <w:pPr>
        <w:spacing w:after="0" w:line="360" w:lineRule="auto"/>
        <w:rPr>
          <w:color w:val="000000"/>
        </w:rPr>
      </w:pPr>
    </w:p>
    <w:p w14:paraId="0D4F454E" w14:textId="77777777" w:rsidR="00AF2D4D" w:rsidRDefault="00AF2D4D" w:rsidP="00AF2D4D">
      <w:pPr>
        <w:numPr>
          <w:ilvl w:val="0"/>
          <w:numId w:val="20"/>
        </w:numPr>
        <w:pBdr>
          <w:top w:val="nil"/>
          <w:left w:val="nil"/>
          <w:bottom w:val="nil"/>
          <w:right w:val="nil"/>
          <w:between w:val="nil"/>
        </w:pBdr>
        <w:spacing w:after="0" w:line="360" w:lineRule="auto"/>
        <w:rPr>
          <w:color w:val="000000"/>
        </w:rPr>
      </w:pPr>
      <w:r>
        <w:rPr>
          <w:color w:val="000000"/>
        </w:rPr>
        <w:lastRenderedPageBreak/>
        <w:t xml:space="preserve">Se trate de datos personales o información privada; esto es, información concerniente a una persona física o jurídico colectiva y que esta sea identificada o identificable. </w:t>
      </w:r>
    </w:p>
    <w:p w14:paraId="35226F6B" w14:textId="77777777" w:rsidR="00AF2D4D" w:rsidRDefault="00AF2D4D" w:rsidP="00AF2D4D">
      <w:pPr>
        <w:numPr>
          <w:ilvl w:val="0"/>
          <w:numId w:val="20"/>
        </w:numPr>
        <w:pBdr>
          <w:top w:val="nil"/>
          <w:left w:val="nil"/>
          <w:bottom w:val="nil"/>
          <w:right w:val="nil"/>
          <w:between w:val="nil"/>
        </w:pBdr>
        <w:spacing w:after="0" w:line="360" w:lineRule="auto"/>
        <w:jc w:val="left"/>
        <w:rPr>
          <w:color w:val="000000"/>
        </w:rPr>
      </w:pPr>
      <w:r>
        <w:rPr>
          <w:color w:val="000000"/>
        </w:rPr>
        <w:t xml:space="preserve">Para la difusión de los datos, se requiera el consentimiento del titular. </w:t>
      </w:r>
    </w:p>
    <w:p w14:paraId="05192A8D" w14:textId="77777777" w:rsidR="00AF2D4D" w:rsidRDefault="00AF2D4D" w:rsidP="00AF2D4D">
      <w:pPr>
        <w:spacing w:after="0" w:line="360" w:lineRule="auto"/>
        <w:rPr>
          <w:color w:val="000000"/>
        </w:rPr>
      </w:pPr>
    </w:p>
    <w:p w14:paraId="31820C0F" w14:textId="77777777" w:rsidR="00AF2D4D" w:rsidRDefault="00AF2D4D" w:rsidP="00AF2D4D">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5157510" w14:textId="77777777" w:rsidR="00AF2D4D" w:rsidRDefault="00AF2D4D" w:rsidP="00AF2D4D">
      <w:pPr>
        <w:spacing w:after="0" w:line="360" w:lineRule="auto"/>
        <w:rPr>
          <w:color w:val="000000"/>
        </w:rPr>
      </w:pPr>
    </w:p>
    <w:p w14:paraId="0338C9F2" w14:textId="77777777" w:rsidR="00AF2D4D" w:rsidRDefault="00AF2D4D" w:rsidP="00AF2D4D">
      <w:pPr>
        <w:spacing w:after="0" w:line="360" w:lineRule="auto"/>
        <w:rPr>
          <w:color w:val="000000"/>
        </w:rPr>
      </w:pPr>
      <w:r>
        <w:rPr>
          <w:color w:val="000000"/>
        </w:rPr>
        <w:t>Además, en el artículo 5° de dicho ordenamiento jurídico, establece que es la Ley aplicable para todo tratamiento de datos personales.</w:t>
      </w:r>
    </w:p>
    <w:p w14:paraId="34A8084E" w14:textId="77777777" w:rsidR="00AF2D4D" w:rsidRDefault="00AF2D4D" w:rsidP="00AF2D4D">
      <w:pPr>
        <w:spacing w:after="0" w:line="360" w:lineRule="auto"/>
        <w:rPr>
          <w:color w:val="000000"/>
        </w:rPr>
      </w:pPr>
    </w:p>
    <w:p w14:paraId="2D536571" w14:textId="77777777" w:rsidR="00AF2D4D" w:rsidRDefault="00AF2D4D" w:rsidP="00AF2D4D">
      <w:pPr>
        <w:spacing w:after="0" w:line="360" w:lineRule="auto"/>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3676701" w14:textId="77777777" w:rsidR="00AF2D4D" w:rsidRDefault="00AF2D4D" w:rsidP="00AF2D4D">
      <w:pPr>
        <w:spacing w:after="0" w:line="360" w:lineRule="auto"/>
        <w:rPr>
          <w:color w:val="000000"/>
        </w:rPr>
      </w:pPr>
    </w:p>
    <w:p w14:paraId="60E79217" w14:textId="77777777" w:rsidR="00AF2D4D" w:rsidRDefault="00AF2D4D" w:rsidP="00AF2D4D">
      <w:pPr>
        <w:spacing w:after="0" w:line="360" w:lineRule="auto"/>
        <w:rPr>
          <w:color w:val="000000"/>
        </w:rPr>
      </w:pPr>
      <w:r>
        <w:rPr>
          <w:color w:val="000000"/>
        </w:rPr>
        <w:t xml:space="preserve">En este sentido, un dato personal es cualquier información que pueda hacer a una persona física o jurídica colectiva identificada e identificable; por lo que, bajo dicha circunstancia, se analizarán si los datos mencionados, deben ser considerados confidenciales, en términos del </w:t>
      </w:r>
      <w:r>
        <w:rPr>
          <w:color w:val="000000"/>
        </w:rPr>
        <w:lastRenderedPageBreak/>
        <w:t>artículo 143, fracción I, de la Ley de Transparencia y Acceso a la Información Pública del Estado de México y Municipios, o públicos.</w:t>
      </w:r>
    </w:p>
    <w:p w14:paraId="2EDC5898" w14:textId="77777777" w:rsidR="00AF2D4D" w:rsidRDefault="00AF2D4D" w:rsidP="00AF2D4D">
      <w:pPr>
        <w:spacing w:after="0" w:line="360" w:lineRule="auto"/>
        <w:rPr>
          <w:color w:val="000000"/>
        </w:rPr>
      </w:pPr>
    </w:p>
    <w:p w14:paraId="563F89B2" w14:textId="7D0E636E" w:rsidR="00AF2D4D" w:rsidRPr="003B4272" w:rsidRDefault="00AF2D4D" w:rsidP="00AF2D4D">
      <w:pPr>
        <w:numPr>
          <w:ilvl w:val="0"/>
          <w:numId w:val="25"/>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t>Nombre de personas física</w:t>
      </w:r>
      <w:r w:rsidR="002732E4">
        <w:rPr>
          <w:rFonts w:eastAsia="Times New Roman" w:cs="Times New Roman"/>
          <w:b/>
          <w:color w:val="0D0D0D"/>
          <w:szCs w:val="24"/>
          <w:lang w:eastAsia="es-ES"/>
        </w:rPr>
        <w:t>s</w:t>
      </w:r>
      <w:r w:rsidRPr="003B4272">
        <w:rPr>
          <w:rFonts w:eastAsia="Times New Roman" w:cs="Times New Roman"/>
          <w:b/>
          <w:color w:val="0D0D0D"/>
          <w:szCs w:val="24"/>
          <w:lang w:eastAsia="es-ES"/>
        </w:rPr>
        <w:t xml:space="preserve"> </w:t>
      </w:r>
      <w:r w:rsidR="002732E4">
        <w:rPr>
          <w:rFonts w:eastAsia="Times New Roman" w:cs="Times New Roman"/>
          <w:b/>
          <w:color w:val="0D0D0D"/>
          <w:szCs w:val="24"/>
          <w:lang w:eastAsia="es-ES"/>
        </w:rPr>
        <w:t>(</w:t>
      </w:r>
      <w:r w:rsidRPr="003B4272">
        <w:rPr>
          <w:rFonts w:eastAsia="Times New Roman" w:cs="Times New Roman"/>
          <w:b/>
          <w:color w:val="0D0D0D"/>
          <w:szCs w:val="24"/>
          <w:lang w:eastAsia="es-ES"/>
        </w:rPr>
        <w:t>proveedores</w:t>
      </w:r>
      <w:r w:rsidR="002732E4">
        <w:rPr>
          <w:rFonts w:eastAsia="Times New Roman" w:cs="Times New Roman"/>
          <w:b/>
          <w:color w:val="0D0D0D"/>
          <w:szCs w:val="24"/>
          <w:lang w:eastAsia="es-ES"/>
        </w:rPr>
        <w:t xml:space="preserve"> y</w:t>
      </w:r>
      <w:r w:rsidRPr="003B4272">
        <w:rPr>
          <w:rFonts w:eastAsia="Times New Roman" w:cs="Times New Roman"/>
          <w:b/>
          <w:color w:val="0D0D0D"/>
          <w:szCs w:val="24"/>
          <w:lang w:eastAsia="es-ES"/>
        </w:rPr>
        <w:t xml:space="preserve"> contratistas).</w:t>
      </w:r>
    </w:p>
    <w:p w14:paraId="5E9260A2" w14:textId="77777777" w:rsidR="00AF2D4D" w:rsidRPr="003B4272" w:rsidRDefault="00AF2D4D" w:rsidP="00AF2D4D">
      <w:pPr>
        <w:spacing w:after="0" w:line="360" w:lineRule="auto"/>
        <w:rPr>
          <w:color w:val="0D0D0D"/>
        </w:rPr>
      </w:pPr>
    </w:p>
    <w:p w14:paraId="30920111" w14:textId="77777777" w:rsidR="00AF2D4D" w:rsidRPr="003B4272" w:rsidRDefault="00AF2D4D" w:rsidP="00AF2D4D">
      <w:pPr>
        <w:spacing w:after="0" w:line="360" w:lineRule="auto"/>
        <w:rPr>
          <w:color w:val="0D0D0D"/>
        </w:rPr>
      </w:pPr>
      <w:r w:rsidRPr="003B4272">
        <w:rPr>
          <w:color w:val="0D0D0D"/>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6C3FB753" w14:textId="77777777" w:rsidR="00AF2D4D" w:rsidRPr="003B4272" w:rsidRDefault="00AF2D4D" w:rsidP="00AF2D4D">
      <w:pPr>
        <w:spacing w:after="0" w:line="360" w:lineRule="auto"/>
        <w:rPr>
          <w:color w:val="0D0D0D"/>
        </w:rPr>
      </w:pPr>
    </w:p>
    <w:p w14:paraId="6368D64C" w14:textId="73C90751" w:rsidR="00AF2D4D" w:rsidRPr="003B4272" w:rsidRDefault="00AF2D4D" w:rsidP="00AF2D4D">
      <w:pPr>
        <w:spacing w:after="0" w:line="360" w:lineRule="auto"/>
        <w:rPr>
          <w:color w:val="0D0D0D"/>
        </w:rPr>
      </w:pPr>
      <w:r w:rsidRPr="003B4272">
        <w:rPr>
          <w:color w:val="0D0D0D"/>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w:t>
      </w:r>
      <w:r w:rsidR="002732E4">
        <w:rPr>
          <w:color w:val="0D0D0D"/>
        </w:rPr>
        <w:t xml:space="preserve">de </w:t>
      </w:r>
      <w:r w:rsidRPr="003B4272">
        <w:rPr>
          <w:color w:val="0D0D0D"/>
        </w:rPr>
        <w:t>aquellos que reciben recursos públicos (proveedores</w:t>
      </w:r>
      <w:r w:rsidR="002732E4">
        <w:rPr>
          <w:color w:val="0D0D0D"/>
        </w:rPr>
        <w:t xml:space="preserve"> o contratistas</w:t>
      </w:r>
      <w:r w:rsidRPr="003B4272">
        <w:rPr>
          <w:color w:val="0D0D0D"/>
        </w:rPr>
        <w:t>), ya que la difusión de dicho dato constituye una obligación de transparencia por parte de los sujetos obligados.</w:t>
      </w:r>
    </w:p>
    <w:p w14:paraId="47F21838" w14:textId="77777777" w:rsidR="00AF2D4D" w:rsidRPr="003B4272" w:rsidRDefault="00AF2D4D" w:rsidP="00AF2D4D">
      <w:pPr>
        <w:spacing w:after="0" w:line="360" w:lineRule="auto"/>
        <w:rPr>
          <w:color w:val="0D0D0D"/>
        </w:rPr>
      </w:pPr>
    </w:p>
    <w:p w14:paraId="2D980ACA" w14:textId="73C9AAE0" w:rsidR="00AF2D4D" w:rsidRPr="003B4272" w:rsidRDefault="00AF2D4D" w:rsidP="00AF2D4D">
      <w:pPr>
        <w:spacing w:after="0" w:line="360" w:lineRule="auto"/>
        <w:rPr>
          <w:color w:val="0D0D0D"/>
        </w:rPr>
      </w:pPr>
      <w:r w:rsidRPr="003B4272">
        <w:rPr>
          <w:color w:val="0D0D0D"/>
        </w:rPr>
        <w:t xml:space="preserve">Toma sustento con el artículo 92, </w:t>
      </w:r>
      <w:r w:rsidR="002732E4">
        <w:rPr>
          <w:color w:val="0D0D0D"/>
        </w:rPr>
        <w:t>fracción</w:t>
      </w:r>
      <w:r w:rsidRPr="003B4272">
        <w:rPr>
          <w:color w:val="0D0D0D"/>
        </w:rPr>
        <w:t xml:space="preserve"> XXXVI, de la Ley de la materia, el cual establece que los sujetos obligados tienen la obligación de poner a disposición del público y mantener actualizada de acuerdo con sus facultades, atribuciones, funciones u objeto social, según corresponda el Padrón de proveedores y contratistas</w:t>
      </w:r>
      <w:r w:rsidR="002732E4">
        <w:rPr>
          <w:color w:val="0D0D0D"/>
        </w:rPr>
        <w:t>.</w:t>
      </w:r>
    </w:p>
    <w:p w14:paraId="3CE2B72F" w14:textId="77777777" w:rsidR="00AF2D4D" w:rsidRPr="003B4272" w:rsidRDefault="00AF2D4D" w:rsidP="00AF2D4D">
      <w:pPr>
        <w:spacing w:after="0" w:line="360" w:lineRule="auto"/>
        <w:rPr>
          <w:color w:val="0D0D0D"/>
        </w:rPr>
      </w:pPr>
    </w:p>
    <w:p w14:paraId="609A4AB5" w14:textId="77777777" w:rsidR="00AF2D4D" w:rsidRPr="003B4272" w:rsidRDefault="00AF2D4D" w:rsidP="00AF2D4D">
      <w:pPr>
        <w:spacing w:after="0" w:line="360" w:lineRule="auto"/>
        <w:rPr>
          <w:color w:val="0D0D0D"/>
        </w:rPr>
      </w:pPr>
      <w:r w:rsidRPr="003B4272">
        <w:rPr>
          <w:color w:val="0D0D0D"/>
        </w:rPr>
        <w:t xml:space="preserve">Además, se robustece a manera de analogía con los formatos de los Lineamientos técnicos generales para la publicación, homologación y estandarización de la información de las obligaciones establecidas en el título quinto y en la fracción IV del artículo 31 de la Ley </w:t>
      </w:r>
      <w:r w:rsidRPr="003B4272">
        <w:rPr>
          <w:color w:val="0D0D0D"/>
        </w:rPr>
        <w:lastRenderedPageBreak/>
        <w:t>General de Transparencia y Acceso a la Información Pública, vigente a la fecha de la solicitud, que deben de difundir los sujetos obligados en los portales de Internet y en la Plataforma Nacional de Transparencia, tal como se muestran a continuación:</w:t>
      </w:r>
    </w:p>
    <w:p w14:paraId="34A141CA" w14:textId="77777777" w:rsidR="00AF2D4D" w:rsidRPr="003B4272" w:rsidRDefault="00AF2D4D" w:rsidP="00AF2D4D">
      <w:pPr>
        <w:spacing w:after="0" w:line="360" w:lineRule="auto"/>
        <w:rPr>
          <w:color w:val="0D0D0D"/>
        </w:rPr>
      </w:pPr>
    </w:p>
    <w:p w14:paraId="2965AD50" w14:textId="77777777" w:rsidR="00AF2D4D" w:rsidRPr="003B4272" w:rsidRDefault="00AF2D4D" w:rsidP="00AF2D4D">
      <w:pPr>
        <w:spacing w:after="0" w:line="360" w:lineRule="auto"/>
        <w:jc w:val="center"/>
        <w:rPr>
          <w:color w:val="0D0D0D"/>
        </w:rPr>
      </w:pPr>
      <w:r w:rsidRPr="003B4272">
        <w:rPr>
          <w:noProof/>
        </w:rPr>
        <w:drawing>
          <wp:inline distT="0" distB="0" distL="0" distR="0" wp14:anchorId="50272A57" wp14:editId="5913636E">
            <wp:extent cx="4486275" cy="584150"/>
            <wp:effectExtent l="0" t="0" r="0" b="698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37790" cy="590858"/>
                    </a:xfrm>
                    <a:prstGeom prst="rect">
                      <a:avLst/>
                    </a:prstGeom>
                    <a:noFill/>
                    <a:ln>
                      <a:noFill/>
                    </a:ln>
                  </pic:spPr>
                </pic:pic>
              </a:graphicData>
            </a:graphic>
          </wp:inline>
        </w:drawing>
      </w:r>
    </w:p>
    <w:p w14:paraId="3CB6A21E" w14:textId="77777777" w:rsidR="00AF2D4D" w:rsidRPr="003B4272" w:rsidRDefault="00AF2D4D" w:rsidP="00AF2D4D">
      <w:pPr>
        <w:spacing w:after="0" w:line="360" w:lineRule="auto"/>
        <w:jc w:val="center"/>
        <w:rPr>
          <w:color w:val="0D0D0D"/>
        </w:rPr>
      </w:pPr>
      <w:r w:rsidRPr="003B4272">
        <w:rPr>
          <w:noProof/>
        </w:rPr>
        <w:drawing>
          <wp:inline distT="0" distB="0" distL="0" distR="0" wp14:anchorId="7938C0BF" wp14:editId="63E74979">
            <wp:extent cx="4476750" cy="386880"/>
            <wp:effectExtent l="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cstate="email">
                      <a:extLst>
                        <a:ext uri="{28A0092B-C50C-407E-A947-70E740481C1C}">
                          <a14:useLocalDpi xmlns:a14="http://schemas.microsoft.com/office/drawing/2010/main"/>
                        </a:ext>
                      </a:extLst>
                    </a:blip>
                    <a:srcRect b="-374"/>
                    <a:stretch>
                      <a:fillRect/>
                    </a:stretch>
                  </pic:blipFill>
                  <pic:spPr bwMode="auto">
                    <a:xfrm>
                      <a:off x="0" y="0"/>
                      <a:ext cx="4572116" cy="395122"/>
                    </a:xfrm>
                    <a:prstGeom prst="rect">
                      <a:avLst/>
                    </a:prstGeom>
                    <a:noFill/>
                    <a:ln>
                      <a:noFill/>
                    </a:ln>
                  </pic:spPr>
                </pic:pic>
              </a:graphicData>
            </a:graphic>
          </wp:inline>
        </w:drawing>
      </w:r>
    </w:p>
    <w:p w14:paraId="45761A63" w14:textId="77777777" w:rsidR="00AF2D4D" w:rsidRPr="003B4272" w:rsidRDefault="00AF2D4D" w:rsidP="00AF2D4D">
      <w:pPr>
        <w:spacing w:after="0" w:line="360" w:lineRule="auto"/>
        <w:rPr>
          <w:color w:val="0D0D0D"/>
        </w:rPr>
      </w:pPr>
    </w:p>
    <w:p w14:paraId="07050F65" w14:textId="4AE711AD" w:rsidR="00AF2D4D" w:rsidRPr="003B4272" w:rsidRDefault="00AF2D4D" w:rsidP="00AF2D4D">
      <w:pPr>
        <w:spacing w:after="0" w:line="360" w:lineRule="auto"/>
        <w:rPr>
          <w:color w:val="0D0D0D"/>
        </w:rPr>
      </w:pPr>
      <w:r w:rsidRPr="003B4272">
        <w:rPr>
          <w:color w:val="0D0D0D"/>
        </w:rPr>
        <w:t>Por lo tanto, la Ley de Transparencia y Acceso a la Información Pública del Estado de México y Municipios, considera que los datos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682C5B13" w14:textId="77777777" w:rsidR="00AF2D4D" w:rsidRPr="003B4272" w:rsidRDefault="00AF2D4D" w:rsidP="00AF2D4D">
      <w:pPr>
        <w:spacing w:after="0" w:line="360" w:lineRule="auto"/>
        <w:rPr>
          <w:color w:val="0D0D0D"/>
        </w:rPr>
      </w:pPr>
    </w:p>
    <w:p w14:paraId="08AEC963" w14:textId="5915A00C" w:rsidR="00AF2D4D" w:rsidRPr="003B4272" w:rsidRDefault="00AF2D4D" w:rsidP="00AF2D4D">
      <w:pPr>
        <w:spacing w:after="0" w:line="360" w:lineRule="auto"/>
        <w:rPr>
          <w:color w:val="0D0D0D"/>
        </w:rPr>
      </w:pPr>
      <w:r w:rsidRPr="003B4272">
        <w:rPr>
          <w:color w:val="0D0D0D"/>
        </w:rPr>
        <w:t>Por lo que, se considera que no procede la clasificación del nombre de los proveedores</w:t>
      </w:r>
      <w:r w:rsidR="002732E4">
        <w:rPr>
          <w:color w:val="0D0D0D"/>
        </w:rPr>
        <w:t xml:space="preserve"> y</w:t>
      </w:r>
      <w:r w:rsidRPr="003B4272">
        <w:rPr>
          <w:color w:val="0D0D0D"/>
        </w:rPr>
        <w:t xml:space="preserve"> contratistas, en términos del artículo 143, fracción I de la Ley de Transparencia y Acceso a la Información Pública del Estado de México y Municipios.</w:t>
      </w:r>
    </w:p>
    <w:p w14:paraId="34709A81" w14:textId="77777777" w:rsidR="00AF2D4D" w:rsidRPr="003B4272" w:rsidRDefault="00AF2D4D" w:rsidP="00AF2D4D">
      <w:pPr>
        <w:spacing w:after="0" w:line="360" w:lineRule="auto"/>
        <w:rPr>
          <w:color w:val="0D0D0D"/>
        </w:rPr>
      </w:pPr>
    </w:p>
    <w:p w14:paraId="5EE421E6" w14:textId="61C87C62" w:rsidR="00AF2D4D" w:rsidRPr="003B4272" w:rsidRDefault="00AF2D4D" w:rsidP="00AF2D4D">
      <w:pPr>
        <w:numPr>
          <w:ilvl w:val="0"/>
          <w:numId w:val="26"/>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t>Cuenta bancaria y clave interbancaria de personas físicas o morales (</w:t>
      </w:r>
      <w:r w:rsidR="002732E4">
        <w:rPr>
          <w:rFonts w:eastAsia="Times New Roman" w:cs="Times New Roman"/>
          <w:b/>
          <w:color w:val="0D0D0D"/>
          <w:szCs w:val="24"/>
          <w:lang w:eastAsia="es-ES"/>
        </w:rPr>
        <w:t>proveedores y contratistas</w:t>
      </w:r>
      <w:r w:rsidRPr="003B4272">
        <w:rPr>
          <w:rFonts w:eastAsia="Times New Roman" w:cs="Times New Roman"/>
          <w:b/>
          <w:color w:val="0D0D0D"/>
          <w:szCs w:val="24"/>
          <w:lang w:eastAsia="es-ES"/>
        </w:rPr>
        <w:t>)</w:t>
      </w:r>
    </w:p>
    <w:p w14:paraId="70F568FE" w14:textId="77777777" w:rsidR="00AF2D4D" w:rsidRPr="003B4272" w:rsidRDefault="00AF2D4D" w:rsidP="00AF2D4D">
      <w:pPr>
        <w:spacing w:after="0" w:line="360" w:lineRule="auto"/>
        <w:rPr>
          <w:color w:val="0D0D0D"/>
        </w:rPr>
      </w:pPr>
    </w:p>
    <w:p w14:paraId="11C9BC75" w14:textId="77777777" w:rsidR="00AF2D4D" w:rsidRPr="003B4272" w:rsidRDefault="00AF2D4D" w:rsidP="00AF2D4D">
      <w:pPr>
        <w:spacing w:after="0" w:line="360" w:lineRule="auto"/>
        <w:rPr>
          <w:color w:val="0D0D0D"/>
        </w:rPr>
      </w:pPr>
      <w:r w:rsidRPr="003B4272">
        <w:rPr>
          <w:color w:val="0D0D0D"/>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w:t>
      </w:r>
      <w:r w:rsidRPr="003B4272">
        <w:rPr>
          <w:color w:val="0D0D0D"/>
        </w:rPr>
        <w:lastRenderedPageBreak/>
        <w:t>cuenta señalada por el cliente y, por lo tanto, los datos bancarios corresponden a información que se encuentra relacionada con el patrimonio de la persona titular de la cuenta.</w:t>
      </w:r>
    </w:p>
    <w:p w14:paraId="034F8270" w14:textId="77777777" w:rsidR="00AF2D4D" w:rsidRPr="003B4272" w:rsidRDefault="00AF2D4D" w:rsidP="00AF2D4D">
      <w:pPr>
        <w:spacing w:after="0" w:line="360" w:lineRule="auto"/>
        <w:rPr>
          <w:color w:val="0D0D0D"/>
        </w:rPr>
      </w:pPr>
      <w:r w:rsidRPr="003B4272">
        <w:rPr>
          <w:color w:val="0D0D0D"/>
        </w:rPr>
        <w:t xml:space="preserve"> </w:t>
      </w:r>
    </w:p>
    <w:p w14:paraId="1C4BC36E" w14:textId="77777777" w:rsidR="00AF2D4D" w:rsidRPr="003B4272" w:rsidRDefault="00AF2D4D" w:rsidP="00AF2D4D">
      <w:pPr>
        <w:spacing w:after="0" w:line="360" w:lineRule="auto"/>
        <w:rPr>
          <w:color w:val="0D0D0D"/>
        </w:rPr>
      </w:pPr>
      <w:r w:rsidRPr="003B4272">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2195040B" w14:textId="77777777" w:rsidR="00AF2D4D" w:rsidRPr="003B4272" w:rsidRDefault="00AF2D4D" w:rsidP="00AF2D4D">
      <w:pPr>
        <w:spacing w:after="0" w:line="360" w:lineRule="auto"/>
        <w:rPr>
          <w:b/>
          <w:bCs/>
          <w:color w:val="0D0D0D"/>
        </w:rPr>
      </w:pPr>
    </w:p>
    <w:p w14:paraId="6CC8E380" w14:textId="77777777" w:rsidR="00AF2D4D" w:rsidRPr="003B4272" w:rsidRDefault="00AF2D4D" w:rsidP="002732E4">
      <w:pPr>
        <w:spacing w:after="0" w:line="360" w:lineRule="auto"/>
        <w:ind w:left="567" w:right="567"/>
        <w:rPr>
          <w:i/>
          <w:color w:val="0D0D0D"/>
          <w:sz w:val="20"/>
        </w:rPr>
      </w:pPr>
      <w:r w:rsidRPr="003B4272">
        <w:rPr>
          <w:b/>
          <w:bCs/>
          <w:i/>
          <w:color w:val="0D0D0D"/>
          <w:sz w:val="20"/>
        </w:rPr>
        <w:t>“Cuentas bancarias y/o CLABE interbancaria de personas físicas y morales privadas.</w:t>
      </w:r>
      <w:r w:rsidRPr="003B4272">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573203C" w14:textId="77777777" w:rsidR="00A34825" w:rsidRDefault="00A34825" w:rsidP="00AF2D4D">
      <w:pPr>
        <w:spacing w:after="0" w:line="360" w:lineRule="auto"/>
        <w:rPr>
          <w:color w:val="0D0D0D"/>
        </w:rPr>
      </w:pPr>
    </w:p>
    <w:p w14:paraId="4E54D1BB" w14:textId="3B2855DF" w:rsidR="00AF2D4D" w:rsidRPr="003B4272" w:rsidRDefault="00AF2D4D" w:rsidP="00AF2D4D">
      <w:pPr>
        <w:spacing w:after="0" w:line="360" w:lineRule="auto"/>
        <w:rPr>
          <w:color w:val="0D0D0D"/>
        </w:rPr>
      </w:pPr>
      <w:r w:rsidRPr="003B4272">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26FEE2A7" w14:textId="77777777" w:rsidR="00AF2D4D" w:rsidRPr="003B4272" w:rsidRDefault="00AF2D4D" w:rsidP="00AF2D4D">
      <w:pPr>
        <w:spacing w:after="0" w:line="360" w:lineRule="auto"/>
        <w:rPr>
          <w:color w:val="0D0D0D"/>
        </w:rPr>
      </w:pPr>
    </w:p>
    <w:p w14:paraId="1B49F3D7" w14:textId="77777777" w:rsidR="00AF2D4D" w:rsidRPr="003B4272" w:rsidRDefault="00AF2D4D" w:rsidP="00AF2D4D">
      <w:pPr>
        <w:numPr>
          <w:ilvl w:val="0"/>
          <w:numId w:val="26"/>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t>Cuenta bancaria y clave interbancaria de instituciones públicas</w:t>
      </w:r>
    </w:p>
    <w:p w14:paraId="7F1C4A68" w14:textId="77777777" w:rsidR="00AF2D4D" w:rsidRPr="003B4272" w:rsidRDefault="00AF2D4D" w:rsidP="00AF2D4D">
      <w:pPr>
        <w:spacing w:after="0" w:line="360" w:lineRule="auto"/>
        <w:ind w:right="-28"/>
      </w:pPr>
    </w:p>
    <w:p w14:paraId="7B5F66AC" w14:textId="77777777" w:rsidR="00AF2D4D" w:rsidRPr="003B4272" w:rsidRDefault="00AF2D4D" w:rsidP="00AF2D4D">
      <w:pPr>
        <w:spacing w:line="360" w:lineRule="auto"/>
        <w:contextualSpacing/>
        <w:rPr>
          <w:rFonts w:eastAsia="Calibri" w:cs="Tahoma"/>
          <w:bCs/>
          <w:lang w:eastAsia="es-ES"/>
        </w:rPr>
      </w:pPr>
      <w:r w:rsidRPr="003B4272">
        <w:rPr>
          <w:rFonts w:eastAsia="Calibri" w:cs="Tahoma"/>
          <w:bCs/>
          <w:lang w:eastAsia="es-ES"/>
        </w:rPr>
        <w:t xml:space="preserve">En relación con el número de cuenta de instituciones públicas, en donde reciben o transfieren recursos públicos, debe señalarse que la misma es considerada como información pública, </w:t>
      </w:r>
      <w:r w:rsidRPr="003B4272">
        <w:rPr>
          <w:rFonts w:eastAsia="Calibri" w:cs="Tahoma"/>
          <w:bCs/>
          <w:lang w:eastAsia="es-ES"/>
        </w:rPr>
        <w:lastRenderedPageBreak/>
        <w:t>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15F2CE19" w14:textId="77777777" w:rsidR="00AF2D4D" w:rsidRPr="003B4272" w:rsidRDefault="00AF2D4D" w:rsidP="00AF2D4D">
      <w:pPr>
        <w:spacing w:line="360" w:lineRule="auto"/>
        <w:contextualSpacing/>
        <w:rPr>
          <w:rFonts w:eastAsia="Calibri" w:cs="Tahoma"/>
          <w:bCs/>
          <w:i/>
          <w:lang w:eastAsia="es-ES"/>
        </w:rPr>
      </w:pPr>
    </w:p>
    <w:p w14:paraId="1ED94111" w14:textId="77777777" w:rsidR="00AF2D4D" w:rsidRPr="003B4272" w:rsidRDefault="00AF2D4D" w:rsidP="00AF2D4D">
      <w:pPr>
        <w:spacing w:after="0" w:line="360" w:lineRule="auto"/>
        <w:ind w:left="567" w:right="567"/>
        <w:contextualSpacing/>
        <w:rPr>
          <w:rFonts w:eastAsia="Calibri" w:cs="Tahoma"/>
          <w:bCs/>
          <w:i/>
          <w:sz w:val="20"/>
          <w:szCs w:val="20"/>
          <w:lang w:eastAsia="es-ES"/>
        </w:rPr>
      </w:pPr>
      <w:r w:rsidRPr="003B4272">
        <w:rPr>
          <w:rFonts w:eastAsia="Calibri" w:cs="Tahoma"/>
          <w:b/>
          <w:bCs/>
          <w:i/>
          <w:sz w:val="20"/>
          <w:szCs w:val="20"/>
          <w:lang w:eastAsia="es-ES"/>
        </w:rPr>
        <w:t>“Cuentas bancarias y/o CLABE interbancaria de sujetos obligados que reciben y/o transfieren recursos públicos, son información pública.</w:t>
      </w:r>
      <w:r w:rsidRPr="003B4272">
        <w:rPr>
          <w:rFonts w:eastAsia="Calibri" w:cs="Tahoma"/>
          <w:bCs/>
          <w:i/>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3B4272">
        <w:rPr>
          <w:rFonts w:eastAsia="Calibri" w:cs="Tahoma"/>
          <w:bCs/>
          <w:i/>
          <w:sz w:val="20"/>
          <w:szCs w:val="20"/>
          <w:u w:val="single"/>
          <w:lang w:eastAsia="es-ES"/>
        </w:rPr>
        <w:t>razón por la cual no pueden considerarse como información clasificada.</w:t>
      </w:r>
      <w:r w:rsidRPr="003B4272">
        <w:rPr>
          <w:rFonts w:eastAsia="Calibri" w:cs="Tahoma"/>
          <w:bCs/>
          <w:i/>
          <w:sz w:val="20"/>
          <w:szCs w:val="20"/>
          <w:lang w:eastAsia="es-ES"/>
        </w:rPr>
        <w:t>”</w:t>
      </w:r>
    </w:p>
    <w:p w14:paraId="0FA1F48F" w14:textId="77777777" w:rsidR="00AF2D4D" w:rsidRPr="003B4272" w:rsidRDefault="00AF2D4D" w:rsidP="00AF2D4D">
      <w:pPr>
        <w:spacing w:line="360" w:lineRule="auto"/>
        <w:contextualSpacing/>
        <w:rPr>
          <w:rFonts w:eastAsia="Calibri" w:cs="Tahoma"/>
          <w:b/>
          <w:bCs/>
          <w:lang w:eastAsia="es-ES"/>
        </w:rPr>
      </w:pPr>
    </w:p>
    <w:p w14:paraId="532FBB16" w14:textId="77777777" w:rsidR="00AF2D4D" w:rsidRPr="003B4272" w:rsidRDefault="00AF2D4D" w:rsidP="00AF2D4D">
      <w:pPr>
        <w:spacing w:line="360" w:lineRule="auto"/>
        <w:contextualSpacing/>
        <w:rPr>
          <w:rFonts w:eastAsia="Calibri" w:cs="Tahoma"/>
          <w:bCs/>
          <w:lang w:eastAsia="es-ES"/>
        </w:rPr>
      </w:pPr>
      <w:r w:rsidRPr="003B4272">
        <w:rPr>
          <w:rFonts w:eastAsia="Calibri" w:cs="Tahoma"/>
          <w:bCs/>
          <w:lang w:eastAsia="es-ES"/>
        </w:rPr>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69290A1D" w14:textId="77777777" w:rsidR="00AF2D4D" w:rsidRDefault="00AF2D4D" w:rsidP="00AF2D4D">
      <w:pPr>
        <w:spacing w:after="0" w:line="360" w:lineRule="auto"/>
        <w:rPr>
          <w:color w:val="000000"/>
        </w:rPr>
      </w:pPr>
    </w:p>
    <w:p w14:paraId="6675F38B" w14:textId="77777777" w:rsidR="00AF2D4D" w:rsidRDefault="00AF2D4D" w:rsidP="00AF2D4D">
      <w:pPr>
        <w:numPr>
          <w:ilvl w:val="0"/>
          <w:numId w:val="26"/>
        </w:numPr>
        <w:spacing w:after="0" w:line="360" w:lineRule="auto"/>
        <w:contextualSpacing/>
        <w:rPr>
          <w:b/>
          <w:color w:val="000000"/>
        </w:rPr>
      </w:pPr>
      <w:r>
        <w:rPr>
          <w:b/>
          <w:color w:val="000000"/>
        </w:rPr>
        <w:t xml:space="preserve">Registro Federal de Contribuyentes </w:t>
      </w:r>
    </w:p>
    <w:p w14:paraId="560D02BF" w14:textId="77777777" w:rsidR="00AF2D4D" w:rsidRDefault="00AF2D4D" w:rsidP="00AF2D4D">
      <w:pPr>
        <w:spacing w:after="0" w:line="360" w:lineRule="auto"/>
        <w:rPr>
          <w:color w:val="000000"/>
        </w:rPr>
      </w:pPr>
    </w:p>
    <w:p w14:paraId="4C2F3EC4" w14:textId="77777777" w:rsidR="00AF2D4D" w:rsidRDefault="00AF2D4D" w:rsidP="00AF2D4D">
      <w:pPr>
        <w:spacing w:after="0" w:line="360" w:lineRule="auto"/>
        <w:rPr>
          <w:b/>
          <w:color w:val="000000"/>
        </w:rPr>
      </w:pPr>
      <w:r>
        <w:rPr>
          <w:b/>
          <w:color w:val="000000"/>
        </w:rPr>
        <w:t>Persona física (proveedor o contratista)</w:t>
      </w:r>
    </w:p>
    <w:p w14:paraId="4B87B5D3" w14:textId="77777777" w:rsidR="00AF2D4D" w:rsidRDefault="00AF2D4D" w:rsidP="00AF2D4D">
      <w:pPr>
        <w:spacing w:after="0" w:line="360" w:lineRule="auto"/>
        <w:rPr>
          <w:color w:val="000000"/>
        </w:rPr>
      </w:pPr>
    </w:p>
    <w:p w14:paraId="30574A94" w14:textId="77777777" w:rsidR="00AF2D4D" w:rsidRDefault="00AF2D4D" w:rsidP="00AF2D4D">
      <w:pPr>
        <w:spacing w:after="0" w:line="360" w:lineRule="auto"/>
        <w:rPr>
          <w:color w:val="000000"/>
        </w:rPr>
      </w:pPr>
      <w:r>
        <w:rPr>
          <w:color w:val="000000"/>
        </w:rPr>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Pr>
          <w:color w:val="000000"/>
        </w:rPr>
        <w:lastRenderedPageBreak/>
        <w:t>la cédula de identificación fiscal (Registro Federal de Contribuyentes); por lo que la entrega de dicho dato permite verificar cumplimiento de esta disposición legal.</w:t>
      </w:r>
    </w:p>
    <w:p w14:paraId="1FD4CAF6" w14:textId="77777777" w:rsidR="00AF2D4D" w:rsidRDefault="00AF2D4D" w:rsidP="00AF2D4D">
      <w:pPr>
        <w:spacing w:after="0" w:line="360" w:lineRule="auto"/>
        <w:rPr>
          <w:color w:val="000000"/>
        </w:rPr>
      </w:pPr>
    </w:p>
    <w:p w14:paraId="417B05E0" w14:textId="77777777" w:rsidR="00AF2D4D" w:rsidRDefault="00AF2D4D" w:rsidP="00AF2D4D">
      <w:pPr>
        <w:spacing w:after="0" w:line="360" w:lineRule="auto"/>
        <w:rPr>
          <w:color w:val="000000"/>
        </w:rPr>
      </w:pPr>
      <w:r>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279D394B" w14:textId="77777777" w:rsidR="00AF2D4D" w:rsidRDefault="00AF2D4D" w:rsidP="00AF2D4D">
      <w:pPr>
        <w:spacing w:after="0" w:line="360" w:lineRule="auto"/>
        <w:rPr>
          <w:color w:val="000000"/>
        </w:rPr>
      </w:pPr>
    </w:p>
    <w:p w14:paraId="55ABC0B2" w14:textId="77777777" w:rsidR="00AF2D4D" w:rsidRDefault="00AF2D4D" w:rsidP="00AF2D4D">
      <w:pPr>
        <w:spacing w:after="0" w:line="360" w:lineRule="auto"/>
        <w:rPr>
          <w:color w:val="000000"/>
        </w:rPr>
      </w:pPr>
      <w:r>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90C4D53" w14:textId="77777777" w:rsidR="00AF2D4D" w:rsidRDefault="00AF2D4D" w:rsidP="00AF2D4D">
      <w:pPr>
        <w:spacing w:after="0" w:line="360" w:lineRule="auto"/>
        <w:rPr>
          <w:color w:val="000000"/>
        </w:rPr>
      </w:pPr>
    </w:p>
    <w:p w14:paraId="27FF28C5" w14:textId="77777777" w:rsidR="00AF2D4D" w:rsidRDefault="00AF2D4D" w:rsidP="00AF2D4D">
      <w:pPr>
        <w:tabs>
          <w:tab w:val="center" w:pos="4522"/>
        </w:tabs>
        <w:spacing w:after="0" w:line="360" w:lineRule="auto"/>
        <w:rPr>
          <w:color w:val="000000"/>
        </w:rPr>
      </w:pPr>
      <w:r>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02CBC937" w14:textId="77777777" w:rsidR="00AF2D4D" w:rsidRDefault="00AF2D4D" w:rsidP="00AF2D4D">
      <w:pPr>
        <w:tabs>
          <w:tab w:val="center" w:pos="4522"/>
        </w:tabs>
        <w:spacing w:after="0" w:line="360" w:lineRule="auto"/>
        <w:rPr>
          <w:color w:val="000000"/>
        </w:rPr>
      </w:pPr>
    </w:p>
    <w:p w14:paraId="5EF2E692" w14:textId="77777777" w:rsidR="00AF2D4D" w:rsidRDefault="00AF2D4D" w:rsidP="00AF2D4D">
      <w:pPr>
        <w:tabs>
          <w:tab w:val="center" w:pos="4522"/>
        </w:tabs>
        <w:spacing w:after="0" w:line="360" w:lineRule="auto"/>
        <w:ind w:left="567" w:right="567"/>
        <w:rPr>
          <w:i/>
          <w:color w:val="000000"/>
          <w:sz w:val="20"/>
          <w:szCs w:val="20"/>
        </w:rPr>
      </w:pPr>
      <w:r>
        <w:rPr>
          <w:b/>
          <w:i/>
          <w:color w:val="000000"/>
          <w:sz w:val="20"/>
          <w:szCs w:val="20"/>
        </w:rPr>
        <w:t xml:space="preserve">“Registro Federal de Contribuyentes (RFC) de personas físicas proveedores o contratistas. </w:t>
      </w:r>
      <w:r>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7845399" w14:textId="77777777" w:rsidR="00AF2D4D" w:rsidRDefault="00AF2D4D" w:rsidP="00AF2D4D">
      <w:pPr>
        <w:tabs>
          <w:tab w:val="center" w:pos="4522"/>
        </w:tabs>
        <w:spacing w:after="0" w:line="360" w:lineRule="auto"/>
        <w:rPr>
          <w:color w:val="000000"/>
        </w:rPr>
      </w:pPr>
    </w:p>
    <w:p w14:paraId="1A87D5EC" w14:textId="77777777" w:rsidR="00AF2D4D" w:rsidRDefault="00AF2D4D" w:rsidP="00AF2D4D">
      <w:pPr>
        <w:tabs>
          <w:tab w:val="center" w:pos="4522"/>
        </w:tabs>
        <w:spacing w:after="0" w:line="360" w:lineRule="auto"/>
        <w:rPr>
          <w:b/>
          <w:color w:val="000000"/>
          <w:u w:val="single"/>
        </w:rPr>
      </w:pPr>
      <w:r>
        <w:rPr>
          <w:color w:val="000000"/>
        </w:rPr>
        <w:lastRenderedPageBreak/>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68268132" w14:textId="77777777" w:rsidR="00AF2D4D" w:rsidRDefault="00AF2D4D" w:rsidP="00AF2D4D">
      <w:pPr>
        <w:tabs>
          <w:tab w:val="center" w:pos="4522"/>
        </w:tabs>
        <w:spacing w:after="0" w:line="360" w:lineRule="auto"/>
        <w:rPr>
          <w:b/>
          <w:color w:val="000000"/>
        </w:rPr>
      </w:pPr>
    </w:p>
    <w:p w14:paraId="2837396D" w14:textId="77777777" w:rsidR="00AF2D4D" w:rsidRDefault="00AF2D4D" w:rsidP="00AF2D4D">
      <w:pPr>
        <w:tabs>
          <w:tab w:val="center" w:pos="4522"/>
        </w:tabs>
        <w:spacing w:after="0" w:line="360" w:lineRule="auto"/>
        <w:rPr>
          <w:b/>
          <w:color w:val="000000"/>
        </w:rPr>
      </w:pPr>
      <w:r>
        <w:rPr>
          <w:b/>
          <w:color w:val="000000"/>
        </w:rPr>
        <w:t>Persona Moral</w:t>
      </w:r>
    </w:p>
    <w:p w14:paraId="69A2D167" w14:textId="77777777" w:rsidR="00AF2D4D" w:rsidRDefault="00AF2D4D" w:rsidP="00AF2D4D">
      <w:pPr>
        <w:tabs>
          <w:tab w:val="center" w:pos="4522"/>
        </w:tabs>
        <w:spacing w:after="0" w:line="360" w:lineRule="auto"/>
        <w:rPr>
          <w:color w:val="000000"/>
        </w:rPr>
      </w:pPr>
    </w:p>
    <w:p w14:paraId="26484F36" w14:textId="77777777" w:rsidR="00AF2D4D" w:rsidRDefault="00AF2D4D" w:rsidP="00AF2D4D">
      <w:pPr>
        <w:tabs>
          <w:tab w:val="center" w:pos="4522"/>
        </w:tabs>
        <w:spacing w:after="0" w:line="360" w:lineRule="auto"/>
        <w:rPr>
          <w:color w:val="000000"/>
        </w:rPr>
      </w:pPr>
      <w:r>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3F138895" w14:textId="77777777" w:rsidR="00AF2D4D" w:rsidRDefault="00AF2D4D" w:rsidP="00AF2D4D">
      <w:pPr>
        <w:tabs>
          <w:tab w:val="center" w:pos="4522"/>
        </w:tabs>
        <w:spacing w:after="0" w:line="360" w:lineRule="auto"/>
        <w:rPr>
          <w:color w:val="000000"/>
        </w:rPr>
      </w:pPr>
    </w:p>
    <w:p w14:paraId="6B6B9E48" w14:textId="77777777" w:rsidR="00AF2D4D" w:rsidRDefault="00AF2D4D" w:rsidP="00AF2D4D">
      <w:pPr>
        <w:tabs>
          <w:tab w:val="center" w:pos="4522"/>
        </w:tabs>
        <w:spacing w:after="0" w:line="360" w:lineRule="auto"/>
        <w:rPr>
          <w:color w:val="000000"/>
        </w:rPr>
      </w:pPr>
      <w:r>
        <w:rPr>
          <w:color w:val="000000"/>
        </w:rPr>
        <w:t>Por ende, la información correspondiente al Registro Federal de Contribuyentes de una persona moral da cuenta del cumplimiento o no en sus obligaciones fiscales; por tanto, no se actualiza su clasificación como confidencial.</w:t>
      </w:r>
    </w:p>
    <w:p w14:paraId="1AA42E6A" w14:textId="77777777" w:rsidR="00AF2D4D" w:rsidRDefault="00AF2D4D" w:rsidP="00AF2D4D">
      <w:pPr>
        <w:tabs>
          <w:tab w:val="center" w:pos="4522"/>
        </w:tabs>
        <w:spacing w:after="0" w:line="360" w:lineRule="auto"/>
        <w:rPr>
          <w:color w:val="000000"/>
        </w:rPr>
      </w:pPr>
    </w:p>
    <w:p w14:paraId="27954E88" w14:textId="77777777" w:rsidR="00AF2D4D" w:rsidRDefault="00AF2D4D" w:rsidP="00AF2D4D">
      <w:pPr>
        <w:tabs>
          <w:tab w:val="center" w:pos="4522"/>
        </w:tabs>
        <w:spacing w:after="0" w:line="360" w:lineRule="auto"/>
        <w:rPr>
          <w:color w:val="000000"/>
        </w:rPr>
      </w:pPr>
      <w:r>
        <w:rPr>
          <w:color w:val="000000"/>
        </w:rPr>
        <w:t xml:space="preserve">Además, resulta aplicable por analogía el Criterio Orientador, de la Segunda Época, con número de registro SO/008/2019, emitido por el entonces Instituto Nacional de Transparencia, Acceso a la Información y Protección de Datos Personales, vigente a la fecha </w:t>
      </w:r>
      <w:r>
        <w:rPr>
          <w:color w:val="000000"/>
        </w:rPr>
        <w:lastRenderedPageBreak/>
        <w:t>de la solicitud, que precisa que el Registro Federal de Contribuyentes de personas morales, es público, al no referir a hechos o actos de carácter económico, contable, jurídico o administrativo que sean útiles o representen una ventaja a sus competidores.</w:t>
      </w:r>
    </w:p>
    <w:p w14:paraId="43C09C4D" w14:textId="77777777" w:rsidR="002732E4" w:rsidRDefault="002732E4" w:rsidP="00AF2D4D">
      <w:pPr>
        <w:tabs>
          <w:tab w:val="center" w:pos="4522"/>
        </w:tabs>
        <w:spacing w:after="0" w:line="360" w:lineRule="auto"/>
        <w:rPr>
          <w:color w:val="000000"/>
        </w:rPr>
      </w:pPr>
    </w:p>
    <w:p w14:paraId="25F28FD3" w14:textId="77777777" w:rsidR="00AF2D4D" w:rsidRDefault="00AF2D4D" w:rsidP="00AF2D4D">
      <w:pPr>
        <w:tabs>
          <w:tab w:val="center" w:pos="4522"/>
        </w:tabs>
        <w:spacing w:after="0" w:line="360" w:lineRule="auto"/>
        <w:rPr>
          <w:color w:val="000000"/>
        </w:rPr>
      </w:pPr>
      <w:r>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65845204" w14:textId="77777777" w:rsidR="00AF2D4D" w:rsidRDefault="00AF2D4D" w:rsidP="00AF2D4D">
      <w:pPr>
        <w:spacing w:after="0" w:line="360" w:lineRule="auto"/>
        <w:jc w:val="left"/>
        <w:rPr>
          <w:b/>
          <w:color w:val="000000"/>
        </w:rPr>
      </w:pPr>
    </w:p>
    <w:p w14:paraId="204B3E6B" w14:textId="77777777" w:rsidR="00AF2D4D" w:rsidRDefault="00AF2D4D" w:rsidP="00AF2D4D">
      <w:pPr>
        <w:numPr>
          <w:ilvl w:val="0"/>
          <w:numId w:val="26"/>
        </w:numPr>
        <w:spacing w:after="0" w:line="360" w:lineRule="auto"/>
        <w:contextualSpacing/>
        <w:rPr>
          <w:b/>
          <w:color w:val="000000"/>
        </w:rPr>
      </w:pPr>
      <w:r>
        <w:rPr>
          <w:b/>
          <w:color w:val="000000"/>
        </w:rPr>
        <w:t>Número de teléfono y correo electrónico de proveedor o contratista</w:t>
      </w:r>
    </w:p>
    <w:p w14:paraId="01A655FB" w14:textId="77777777" w:rsidR="00AF2D4D" w:rsidRDefault="00AF2D4D" w:rsidP="00AF2D4D">
      <w:pPr>
        <w:tabs>
          <w:tab w:val="center" w:pos="4522"/>
        </w:tabs>
        <w:spacing w:after="0" w:line="360" w:lineRule="auto"/>
        <w:rPr>
          <w:b/>
          <w:color w:val="000000"/>
        </w:rPr>
      </w:pPr>
    </w:p>
    <w:p w14:paraId="653D401E" w14:textId="77777777" w:rsidR="00AF2D4D" w:rsidRDefault="00AF2D4D" w:rsidP="00AF2D4D">
      <w:pPr>
        <w:tabs>
          <w:tab w:val="center" w:pos="4522"/>
        </w:tabs>
        <w:spacing w:after="0" w:line="360" w:lineRule="auto"/>
        <w:rPr>
          <w:color w:val="000000"/>
        </w:rPr>
      </w:pPr>
      <w:r>
        <w:rPr>
          <w:color w:val="000000"/>
        </w:rPr>
        <w:t>El número asignado a un teléfono, permite localizar, en el presente caso, de un proveedor, ya sea a través de un dispositivo móvil o bien, en un lugar como el domicilio; mientras que correo electrónico es un sistema de transmisión de mensajes por computadora a través de redes informáticas. Dicho dato se puede asimilar al teléfono o domicilio, toda vez que es un medio para comunicarse con un proveedor, en el presente caso.</w:t>
      </w:r>
    </w:p>
    <w:p w14:paraId="79D1B91B" w14:textId="77777777" w:rsidR="00AF2D4D" w:rsidRDefault="00AF2D4D" w:rsidP="00AF2D4D">
      <w:pPr>
        <w:tabs>
          <w:tab w:val="center" w:pos="4522"/>
        </w:tabs>
        <w:spacing w:after="0" w:line="360" w:lineRule="auto"/>
        <w:rPr>
          <w:color w:val="000000"/>
        </w:rPr>
      </w:pPr>
    </w:p>
    <w:p w14:paraId="7DB72FEC" w14:textId="77777777" w:rsidR="00AF2D4D" w:rsidRDefault="00AF2D4D" w:rsidP="00AF2D4D">
      <w:pPr>
        <w:tabs>
          <w:tab w:val="center" w:pos="4522"/>
        </w:tabs>
        <w:spacing w:after="0" w:line="360" w:lineRule="auto"/>
        <w:rPr>
          <w:color w:val="000000"/>
        </w:rPr>
      </w:pPr>
      <w:r>
        <w:rPr>
          <w:color w:val="000000"/>
        </w:rPr>
        <w:t>Como se refirió, en el presente caso, los datos en comento, se tratan de los medios de contacto de los proveedores que tiene la Secretaría de Cultura y Turismo, los cuales, si bien hacen identificable a una persona, en el presente caso, se trata de una persona proveedora que recibe recursos públicos, derivado de los contratos celebrados con la Dependencia y, por lo tanto, dichos datos guardan la naturaleza de públicos.</w:t>
      </w:r>
    </w:p>
    <w:p w14:paraId="77B67F52" w14:textId="77777777" w:rsidR="00AF2D4D" w:rsidRDefault="00AF2D4D" w:rsidP="00AF2D4D">
      <w:pPr>
        <w:tabs>
          <w:tab w:val="center" w:pos="4522"/>
        </w:tabs>
        <w:spacing w:after="0" w:line="360" w:lineRule="auto"/>
        <w:rPr>
          <w:color w:val="000000"/>
        </w:rPr>
      </w:pPr>
    </w:p>
    <w:p w14:paraId="2F3F601B" w14:textId="77777777" w:rsidR="00AF2D4D" w:rsidRDefault="00AF2D4D" w:rsidP="00AF2D4D">
      <w:pPr>
        <w:tabs>
          <w:tab w:val="center" w:pos="4522"/>
        </w:tabs>
        <w:spacing w:after="0" w:line="360" w:lineRule="auto"/>
        <w:rPr>
          <w:color w:val="000000"/>
        </w:rPr>
      </w:pPr>
      <w:r>
        <w:rPr>
          <w:color w:val="000000"/>
        </w:rPr>
        <w:t xml:space="preserve">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w:t>
      </w:r>
      <w:r>
        <w:rPr>
          <w:color w:val="000000"/>
        </w:rPr>
        <w:lastRenderedPageBreak/>
        <w:t>143, fracción I, de la Ley de Transparencia y Acceso a la Información Pública del Estado de México y Municipios.</w:t>
      </w:r>
    </w:p>
    <w:p w14:paraId="581E12E4" w14:textId="77777777" w:rsidR="002732E4" w:rsidRDefault="002732E4" w:rsidP="00AF2D4D">
      <w:pPr>
        <w:tabs>
          <w:tab w:val="center" w:pos="4522"/>
        </w:tabs>
        <w:spacing w:after="0" w:line="360" w:lineRule="auto"/>
        <w:rPr>
          <w:color w:val="000000"/>
        </w:rPr>
      </w:pPr>
    </w:p>
    <w:p w14:paraId="2D56B444" w14:textId="77777777" w:rsidR="00AF2D4D" w:rsidRDefault="00AF2D4D" w:rsidP="00AF2D4D">
      <w:pPr>
        <w:numPr>
          <w:ilvl w:val="0"/>
          <w:numId w:val="26"/>
        </w:numPr>
        <w:spacing w:after="0" w:line="360" w:lineRule="auto"/>
        <w:contextualSpacing/>
        <w:rPr>
          <w:color w:val="000000"/>
        </w:rPr>
      </w:pPr>
      <w:r>
        <w:rPr>
          <w:b/>
          <w:color w:val="000000"/>
        </w:rPr>
        <w:t>Firma del proveedor, contratista o representante legal</w:t>
      </w:r>
    </w:p>
    <w:p w14:paraId="724E60FA" w14:textId="77777777" w:rsidR="00AF2D4D" w:rsidRDefault="00AF2D4D" w:rsidP="00AF2D4D">
      <w:pPr>
        <w:spacing w:after="0" w:line="360" w:lineRule="auto"/>
        <w:jc w:val="left"/>
        <w:rPr>
          <w:color w:val="000000"/>
        </w:rPr>
      </w:pPr>
    </w:p>
    <w:p w14:paraId="43EB5393" w14:textId="77777777" w:rsidR="00AF2D4D" w:rsidRDefault="00AF2D4D" w:rsidP="00AF2D4D">
      <w:pPr>
        <w:spacing w:after="0" w:line="360" w:lineRule="auto"/>
        <w:rPr>
          <w:color w:val="000000"/>
        </w:rPr>
      </w:pPr>
      <w:r>
        <w:rPr>
          <w:color w:val="000000"/>
        </w:rPr>
        <w:t>Al respecto, la firma es considerada un dato personal, al tratarse de información gráfica a través de la cual su titular exterioriza su voluntad en actos públicos y privados; dicho dato exterioriza la voluntad en un acto público y que lo realiza una persona física identificada o identificable, en su calidad de proveedor o representante legal, por lo que, expresa el consentimiento del contratista para realizar o recibir ciertas obligaciones; además, que le otorga validez al instrumento jurídico, en el presente caso, la celebración de contratos para la adquisición o arrendamiento de bienes y servicios.</w:t>
      </w:r>
    </w:p>
    <w:p w14:paraId="35F218E0" w14:textId="77777777" w:rsidR="00AF2D4D" w:rsidRDefault="00AF2D4D" w:rsidP="00AF2D4D">
      <w:pPr>
        <w:spacing w:after="0" w:line="360" w:lineRule="auto"/>
        <w:jc w:val="left"/>
        <w:rPr>
          <w:color w:val="000000"/>
        </w:rPr>
      </w:pPr>
    </w:p>
    <w:p w14:paraId="23B1277D" w14:textId="77777777" w:rsidR="00AF2D4D" w:rsidRDefault="00AF2D4D" w:rsidP="00AF2D4D">
      <w:pPr>
        <w:spacing w:after="0" w:line="360" w:lineRule="auto"/>
        <w:rPr>
          <w:color w:val="000000"/>
        </w:rPr>
      </w:pPr>
      <w:r>
        <w:rPr>
          <w:color w:val="000000"/>
        </w:rPr>
        <w:t>Conforme a lo anterior, no procede la clasificación de la firma del proveedor o representante legal, localizados en los documentos que den cuenta de la información solicitada, en términos del artículo 143, fracción I de la Ley de Transparencia y Acceso a la Información Pública del Estado de México y Municipios.</w:t>
      </w:r>
    </w:p>
    <w:p w14:paraId="3109AF37" w14:textId="77777777" w:rsidR="00A34825" w:rsidRDefault="00A34825" w:rsidP="00AF2D4D">
      <w:pPr>
        <w:spacing w:after="0" w:line="360" w:lineRule="auto"/>
        <w:rPr>
          <w:color w:val="000000"/>
        </w:rPr>
      </w:pPr>
    </w:p>
    <w:p w14:paraId="099F61D4" w14:textId="77777777" w:rsidR="00AF2D4D" w:rsidRDefault="00AF2D4D" w:rsidP="00AF2D4D">
      <w:pPr>
        <w:numPr>
          <w:ilvl w:val="0"/>
          <w:numId w:val="26"/>
        </w:numPr>
        <w:spacing w:after="0" w:line="360" w:lineRule="auto"/>
        <w:contextualSpacing/>
        <w:rPr>
          <w:b/>
          <w:color w:val="000000"/>
        </w:rPr>
      </w:pPr>
      <w:r>
        <w:rPr>
          <w:b/>
          <w:color w:val="000000"/>
        </w:rPr>
        <w:t>Domicilio Fiscal o legal para recibir y oír notificaciones (proveedor o contratista persona física o moral).</w:t>
      </w:r>
    </w:p>
    <w:p w14:paraId="4278BF3B" w14:textId="77777777" w:rsidR="00AF2D4D" w:rsidRDefault="00AF2D4D" w:rsidP="00AF2D4D">
      <w:pPr>
        <w:tabs>
          <w:tab w:val="center" w:pos="4522"/>
        </w:tabs>
        <w:spacing w:after="0" w:line="360" w:lineRule="auto"/>
        <w:rPr>
          <w:color w:val="000000"/>
        </w:rPr>
      </w:pPr>
    </w:p>
    <w:p w14:paraId="2D4D23A2" w14:textId="77777777" w:rsidR="00AF2D4D" w:rsidRDefault="00AF2D4D" w:rsidP="00AF2D4D">
      <w:pPr>
        <w:tabs>
          <w:tab w:val="center" w:pos="4522"/>
        </w:tabs>
        <w:spacing w:after="0" w:line="360" w:lineRule="auto"/>
        <w:rPr>
          <w:color w:val="000000"/>
        </w:rPr>
      </w:pPr>
      <w:r>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35CD898" w14:textId="77777777" w:rsidR="00AF2D4D" w:rsidRDefault="00AF2D4D" w:rsidP="00AF2D4D">
      <w:pPr>
        <w:tabs>
          <w:tab w:val="center" w:pos="4522"/>
        </w:tabs>
        <w:spacing w:after="0" w:line="360" w:lineRule="auto"/>
        <w:rPr>
          <w:color w:val="000000"/>
        </w:rPr>
      </w:pPr>
    </w:p>
    <w:p w14:paraId="1BEDF16C" w14:textId="77777777" w:rsidR="00AF2D4D" w:rsidRDefault="00AF2D4D" w:rsidP="00AF2D4D">
      <w:pPr>
        <w:tabs>
          <w:tab w:val="center" w:pos="4522"/>
        </w:tabs>
        <w:spacing w:after="0" w:line="360" w:lineRule="auto"/>
        <w:rPr>
          <w:color w:val="000000"/>
        </w:rPr>
      </w:pPr>
      <w:r>
        <w:rPr>
          <w:color w:val="000000"/>
        </w:rPr>
        <w:lastRenderedPageBreak/>
        <w:t>De la misma manera, lo establece los diversos 29 y 33 del Código Civil Federal, al precisar que el domicilio de personas físicas</w:t>
      </w:r>
      <w:r>
        <w:rPr>
          <w:b/>
          <w:color w:val="000000"/>
        </w:rPr>
        <w:t xml:space="preserve">, es el lugar donde residen habitualmente, el lugar del centro principal de sus negocios, donde residan o el lugar donde se encuentren; </w:t>
      </w:r>
      <w:r>
        <w:rPr>
          <w:color w:val="000000"/>
        </w:rPr>
        <w:t>mientras que, de las personas morales, aquel donde se halle su administración.</w:t>
      </w:r>
    </w:p>
    <w:p w14:paraId="12538A8A" w14:textId="77777777" w:rsidR="00AF2D4D" w:rsidRDefault="00AF2D4D" w:rsidP="00AF2D4D">
      <w:pPr>
        <w:tabs>
          <w:tab w:val="center" w:pos="4522"/>
        </w:tabs>
        <w:spacing w:after="0" w:line="360" w:lineRule="auto"/>
        <w:rPr>
          <w:color w:val="000000"/>
        </w:rPr>
      </w:pPr>
      <w:r>
        <w:rPr>
          <w:color w:val="000000"/>
        </w:rPr>
        <w:t>Además, respecto al domicilio fiscal, resulta necesario traer el artículo 10 del Código Fiscal de la Federación, que establece que, tratándose de personas físicas, corresponderá dicho dato:</w:t>
      </w:r>
    </w:p>
    <w:p w14:paraId="29F67C7E" w14:textId="77777777" w:rsidR="00AF2D4D" w:rsidRDefault="00AF2D4D" w:rsidP="00AF2D4D">
      <w:pPr>
        <w:tabs>
          <w:tab w:val="center" w:pos="4522"/>
        </w:tabs>
        <w:spacing w:after="0" w:line="360" w:lineRule="auto"/>
        <w:rPr>
          <w:color w:val="000000"/>
        </w:rPr>
      </w:pPr>
    </w:p>
    <w:p w14:paraId="7012B5A1" w14:textId="77777777" w:rsidR="00AF2D4D" w:rsidRDefault="00AF2D4D" w:rsidP="00AF2D4D">
      <w:pPr>
        <w:numPr>
          <w:ilvl w:val="0"/>
          <w:numId w:val="21"/>
        </w:numPr>
        <w:pBdr>
          <w:top w:val="nil"/>
          <w:left w:val="nil"/>
          <w:bottom w:val="nil"/>
          <w:right w:val="nil"/>
          <w:between w:val="nil"/>
        </w:pBdr>
        <w:tabs>
          <w:tab w:val="center" w:pos="4522"/>
        </w:tabs>
        <w:spacing w:after="0" w:line="360" w:lineRule="auto"/>
        <w:jc w:val="left"/>
        <w:rPr>
          <w:color w:val="000000"/>
        </w:rPr>
      </w:pPr>
      <w:r>
        <w:rPr>
          <w:color w:val="000000"/>
        </w:rPr>
        <w:t>El lugar donde realizan actividades empresariales, el local, en que se encuentre el principal asiente de sus negocios, y</w:t>
      </w:r>
    </w:p>
    <w:p w14:paraId="4F11EA89" w14:textId="77777777" w:rsidR="00AF2D4D" w:rsidRDefault="00AF2D4D" w:rsidP="00AF2D4D">
      <w:pPr>
        <w:numPr>
          <w:ilvl w:val="0"/>
          <w:numId w:val="21"/>
        </w:numPr>
        <w:pBdr>
          <w:top w:val="nil"/>
          <w:left w:val="nil"/>
          <w:bottom w:val="nil"/>
          <w:right w:val="nil"/>
          <w:between w:val="nil"/>
        </w:pBdr>
        <w:tabs>
          <w:tab w:val="center" w:pos="4522"/>
        </w:tabs>
        <w:spacing w:after="0" w:line="360" w:lineRule="auto"/>
        <w:jc w:val="left"/>
        <w:rPr>
          <w:color w:val="000000"/>
        </w:rPr>
      </w:pPr>
      <w:r>
        <w:rPr>
          <w:color w:val="000000"/>
        </w:rPr>
        <w:t>La casa habitación, cuando no cuenta con un local o lugar donde realice las acciones previamente señaladas.</w:t>
      </w:r>
    </w:p>
    <w:p w14:paraId="7D5F58BE" w14:textId="77777777" w:rsidR="00AF2D4D" w:rsidRDefault="00AF2D4D" w:rsidP="00AF2D4D">
      <w:pPr>
        <w:tabs>
          <w:tab w:val="center" w:pos="4522"/>
        </w:tabs>
        <w:spacing w:after="0" w:line="360" w:lineRule="auto"/>
        <w:rPr>
          <w:color w:val="000000"/>
        </w:rPr>
      </w:pPr>
    </w:p>
    <w:p w14:paraId="4DDC5C18" w14:textId="77777777" w:rsidR="00AF2D4D" w:rsidRDefault="00AF2D4D" w:rsidP="00AF2D4D">
      <w:pPr>
        <w:tabs>
          <w:tab w:val="center" w:pos="4522"/>
        </w:tabs>
        <w:spacing w:after="0" w:line="360" w:lineRule="auto"/>
        <w:rPr>
          <w:color w:val="000000"/>
        </w:rPr>
      </w:pPr>
      <w:r>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19C5F44A" w14:textId="77777777" w:rsidR="00AF2D4D" w:rsidRDefault="00AF2D4D" w:rsidP="00AF2D4D">
      <w:pPr>
        <w:tabs>
          <w:tab w:val="center" w:pos="4522"/>
        </w:tabs>
        <w:spacing w:after="0" w:line="360" w:lineRule="auto"/>
        <w:rPr>
          <w:color w:val="000000"/>
        </w:rPr>
      </w:pPr>
    </w:p>
    <w:p w14:paraId="5A39801E" w14:textId="77777777" w:rsidR="00AF2D4D" w:rsidRDefault="00AF2D4D" w:rsidP="00AF2D4D">
      <w:pPr>
        <w:tabs>
          <w:tab w:val="center" w:pos="4522"/>
        </w:tabs>
        <w:spacing w:after="0" w:line="360" w:lineRule="auto"/>
        <w:rPr>
          <w:color w:val="000000"/>
        </w:rPr>
      </w:pPr>
      <w:r>
        <w:rPr>
          <w:color w:val="000000"/>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4D3A2732" w14:textId="77777777" w:rsidR="00AF2D4D" w:rsidRDefault="00AF2D4D" w:rsidP="00AF2D4D">
      <w:pPr>
        <w:tabs>
          <w:tab w:val="center" w:pos="4522"/>
        </w:tabs>
        <w:spacing w:after="0" w:line="360" w:lineRule="auto"/>
        <w:rPr>
          <w:color w:val="000000"/>
        </w:rPr>
      </w:pPr>
      <w:r>
        <w:rPr>
          <w:color w:val="000000"/>
        </w:rPr>
        <w:lastRenderedPageBreak/>
        <w:t>Como se logra observar, es obligación de transparencia proporcionar el domicilio fiscal de los proveedores, por lo que, se considera que, en el caso, de que dicho dato, corresponda a un local o lugar donde realice sus actividades empresariales, se debe entregar.</w:t>
      </w:r>
    </w:p>
    <w:p w14:paraId="4AFE839A" w14:textId="77777777" w:rsidR="00AF2D4D" w:rsidRDefault="00AF2D4D" w:rsidP="00AF2D4D">
      <w:pPr>
        <w:tabs>
          <w:tab w:val="center" w:pos="4522"/>
        </w:tabs>
        <w:spacing w:after="0" w:line="360" w:lineRule="auto"/>
        <w:rPr>
          <w:color w:val="000000"/>
        </w:rPr>
      </w:pPr>
    </w:p>
    <w:p w14:paraId="210B8E01" w14:textId="77777777" w:rsidR="00AF2D4D" w:rsidRDefault="00AF2D4D" w:rsidP="00AF2D4D">
      <w:pPr>
        <w:tabs>
          <w:tab w:val="center" w:pos="4522"/>
        </w:tabs>
        <w:spacing w:after="0" w:line="360" w:lineRule="auto"/>
        <w:rPr>
          <w:color w:val="000000"/>
        </w:rPr>
      </w:pPr>
      <w:r>
        <w:rPr>
          <w:color w:val="000000"/>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535374C9" w14:textId="77777777" w:rsidR="00AF2D4D" w:rsidRDefault="00AF2D4D" w:rsidP="00AF2D4D">
      <w:pPr>
        <w:tabs>
          <w:tab w:val="center" w:pos="4522"/>
        </w:tabs>
        <w:spacing w:after="0" w:line="360" w:lineRule="auto"/>
        <w:rPr>
          <w:color w:val="000000"/>
        </w:rPr>
      </w:pPr>
    </w:p>
    <w:p w14:paraId="43B4143E" w14:textId="77777777" w:rsidR="00AF2D4D" w:rsidRDefault="00AF2D4D" w:rsidP="00AF2D4D">
      <w:pPr>
        <w:numPr>
          <w:ilvl w:val="0"/>
          <w:numId w:val="26"/>
        </w:numPr>
        <w:spacing w:after="0" w:line="360" w:lineRule="auto"/>
        <w:contextualSpacing/>
        <w:rPr>
          <w:b/>
          <w:color w:val="000000"/>
        </w:rPr>
      </w:pPr>
      <w:r>
        <w:rPr>
          <w:b/>
          <w:color w:val="000000"/>
        </w:rPr>
        <w:t>Nombre de institución bancaria</w:t>
      </w:r>
    </w:p>
    <w:p w14:paraId="6E796477" w14:textId="77777777" w:rsidR="00AF2D4D" w:rsidRDefault="00AF2D4D" w:rsidP="00AF2D4D">
      <w:pPr>
        <w:tabs>
          <w:tab w:val="center" w:pos="4522"/>
        </w:tabs>
        <w:spacing w:after="0" w:line="360" w:lineRule="auto"/>
        <w:rPr>
          <w:color w:val="000000"/>
        </w:rPr>
      </w:pPr>
    </w:p>
    <w:p w14:paraId="4210102F" w14:textId="77777777" w:rsidR="00AF2D4D" w:rsidRDefault="00AF2D4D" w:rsidP="00AF2D4D">
      <w:pPr>
        <w:tabs>
          <w:tab w:val="center" w:pos="4522"/>
        </w:tabs>
        <w:spacing w:after="0" w:line="360" w:lineRule="auto"/>
        <w:rPr>
          <w:color w:val="000000"/>
        </w:rPr>
      </w:pPr>
      <w:r>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012BD143" w14:textId="77777777" w:rsidR="00A34825" w:rsidRDefault="00A34825" w:rsidP="00AF2D4D">
      <w:pPr>
        <w:tabs>
          <w:tab w:val="center" w:pos="4522"/>
        </w:tabs>
        <w:spacing w:after="0" w:line="360" w:lineRule="auto"/>
        <w:rPr>
          <w:color w:val="000000"/>
        </w:rPr>
      </w:pPr>
    </w:p>
    <w:p w14:paraId="0D41629E" w14:textId="46BD6CBB" w:rsidR="00AF2D4D" w:rsidRDefault="00AF2D4D" w:rsidP="00AF2D4D">
      <w:pPr>
        <w:tabs>
          <w:tab w:val="center" w:pos="4522"/>
        </w:tabs>
        <w:spacing w:after="0" w:line="360" w:lineRule="auto"/>
        <w:rPr>
          <w:color w:val="000000"/>
        </w:rPr>
      </w:pPr>
      <w:r>
        <w:rPr>
          <w:color w:val="000000"/>
        </w:rPr>
        <w:t xml:space="preserve">En ese orden de ideas, en el portal de la Comisión Nacional para la Protección y Defensa de los Usuarios de Servicios Financieros se establece que los bancos son instituciones </w:t>
      </w:r>
      <w:r>
        <w:rPr>
          <w:color w:val="000000"/>
        </w:rPr>
        <w:lastRenderedPageBreak/>
        <w:t>financieras; conforme a lo anterior, se puede advertir que las instituciones bancarias, son personas morales.</w:t>
      </w:r>
    </w:p>
    <w:p w14:paraId="2071025F" w14:textId="77777777" w:rsidR="00AF2D4D" w:rsidRDefault="00AF2D4D" w:rsidP="00AF2D4D">
      <w:pPr>
        <w:tabs>
          <w:tab w:val="center" w:pos="4522"/>
        </w:tabs>
        <w:spacing w:after="0" w:line="360" w:lineRule="auto"/>
        <w:rPr>
          <w:color w:val="000000"/>
        </w:rPr>
      </w:pPr>
    </w:p>
    <w:p w14:paraId="2A74A81E" w14:textId="77777777" w:rsidR="00AF2D4D" w:rsidRDefault="00AF2D4D" w:rsidP="00AF2D4D">
      <w:pPr>
        <w:tabs>
          <w:tab w:val="center" w:pos="4522"/>
        </w:tabs>
        <w:spacing w:after="0" w:line="360" w:lineRule="auto"/>
        <w:rPr>
          <w:color w:val="000000"/>
        </w:rPr>
      </w:pPr>
      <w:r>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586243D0" w14:textId="77777777" w:rsidR="00AF2D4D" w:rsidRDefault="00AF2D4D" w:rsidP="00AF2D4D">
      <w:pPr>
        <w:tabs>
          <w:tab w:val="center" w:pos="4522"/>
        </w:tabs>
        <w:spacing w:after="0" w:line="360" w:lineRule="auto"/>
        <w:rPr>
          <w:color w:val="000000"/>
        </w:rPr>
      </w:pPr>
    </w:p>
    <w:p w14:paraId="4CD07640" w14:textId="0907A56D" w:rsidR="00AF2D4D" w:rsidRDefault="00AF2D4D" w:rsidP="00AF2D4D">
      <w:pPr>
        <w:tabs>
          <w:tab w:val="center" w:pos="4522"/>
        </w:tabs>
        <w:spacing w:after="0" w:line="360" w:lineRule="auto"/>
        <w:rPr>
          <w:color w:val="000000"/>
        </w:rPr>
      </w:pPr>
      <w:r>
        <w:rPr>
          <w:color w:val="000000"/>
        </w:rPr>
        <w:t xml:space="preserve">Lo anterior, se robustece con el hecho de que existe el Sistema de Registro de Prestadores de Servicios Financieros, que es un registro de </w:t>
      </w:r>
      <w:r>
        <w:rPr>
          <w:b/>
          <w:color w:val="000000"/>
        </w:rPr>
        <w:t xml:space="preserve">carácter público, </w:t>
      </w:r>
      <w:r>
        <w:rPr>
          <w:color w:val="000000"/>
        </w:rPr>
        <w:t>cuyo objetivo principal, consiste en proporcionar información corporativa y general de las instituciones financieras</w:t>
      </w:r>
      <w:r>
        <w:rPr>
          <w:b/>
          <w:color w:val="000000"/>
        </w:rPr>
        <w:t xml:space="preserve">; además, que permite conocer al público general, información de dichos entes, </w:t>
      </w:r>
      <w:r>
        <w:rPr>
          <w:color w:val="000000"/>
        </w:rPr>
        <w:t xml:space="preserve">se muestra un ejemplo a continuación: </w:t>
      </w:r>
    </w:p>
    <w:p w14:paraId="74556078" w14:textId="77777777" w:rsidR="00AF2D4D" w:rsidRDefault="00AF2D4D" w:rsidP="00AF2D4D">
      <w:pPr>
        <w:tabs>
          <w:tab w:val="center" w:pos="4522"/>
        </w:tabs>
        <w:spacing w:after="0" w:line="360" w:lineRule="auto"/>
        <w:rPr>
          <w:color w:val="000000"/>
        </w:rPr>
      </w:pPr>
    </w:p>
    <w:p w14:paraId="0A62D907" w14:textId="77777777" w:rsidR="00AF2D4D" w:rsidRDefault="00AF2D4D" w:rsidP="00AF2D4D">
      <w:pPr>
        <w:tabs>
          <w:tab w:val="center" w:pos="4522"/>
        </w:tabs>
        <w:spacing w:after="0" w:line="360" w:lineRule="auto"/>
        <w:jc w:val="center"/>
        <w:rPr>
          <w:color w:val="000000"/>
        </w:rPr>
      </w:pPr>
      <w:r>
        <w:rPr>
          <w:noProof/>
          <w:color w:val="000000"/>
        </w:rPr>
        <w:drawing>
          <wp:inline distT="0" distB="0" distL="0" distR="0" wp14:anchorId="6293A8BE" wp14:editId="1CFF4A06">
            <wp:extent cx="4777740" cy="1162050"/>
            <wp:effectExtent l="0" t="0" r="3810" b="0"/>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rotWithShape="1">
                    <a:blip r:embed="rId11" cstate="email">
                      <a:extLst>
                        <a:ext uri="{28A0092B-C50C-407E-A947-70E740481C1C}">
                          <a14:useLocalDpi xmlns:a14="http://schemas.microsoft.com/office/drawing/2010/main"/>
                        </a:ext>
                      </a:extLst>
                    </a:blip>
                    <a:srcRect b="35790"/>
                    <a:stretch/>
                  </pic:blipFill>
                  <pic:spPr bwMode="auto">
                    <a:xfrm>
                      <a:off x="0" y="0"/>
                      <a:ext cx="4777740" cy="1162050"/>
                    </a:xfrm>
                    <a:prstGeom prst="rect">
                      <a:avLst/>
                    </a:prstGeom>
                    <a:ln>
                      <a:noFill/>
                    </a:ln>
                    <a:extLst>
                      <a:ext uri="{53640926-AAD7-44D8-BBD7-CCE9431645EC}">
                        <a14:shadowObscured xmlns:a14="http://schemas.microsoft.com/office/drawing/2010/main"/>
                      </a:ext>
                    </a:extLst>
                  </pic:spPr>
                </pic:pic>
              </a:graphicData>
            </a:graphic>
          </wp:inline>
        </w:drawing>
      </w:r>
    </w:p>
    <w:p w14:paraId="6134313D" w14:textId="77777777" w:rsidR="00A34825" w:rsidRDefault="00A34825" w:rsidP="00AF2D4D">
      <w:pPr>
        <w:tabs>
          <w:tab w:val="center" w:pos="4522"/>
        </w:tabs>
        <w:spacing w:after="0" w:line="360" w:lineRule="auto"/>
        <w:rPr>
          <w:color w:val="000000"/>
        </w:rPr>
      </w:pPr>
    </w:p>
    <w:p w14:paraId="02C52DD6" w14:textId="7CA85790" w:rsidR="00AF2D4D" w:rsidRDefault="00AF2D4D" w:rsidP="00AF2D4D">
      <w:pPr>
        <w:tabs>
          <w:tab w:val="center" w:pos="4522"/>
        </w:tabs>
        <w:spacing w:after="0" w:line="360" w:lineRule="auto"/>
        <w:rPr>
          <w:color w:val="000000"/>
        </w:rPr>
      </w:pPr>
      <w:r>
        <w:rPr>
          <w:color w:val="000000"/>
        </w:rPr>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14:paraId="725253FF" w14:textId="77777777" w:rsidR="00AF2D4D" w:rsidRDefault="00AF2D4D" w:rsidP="00AF2D4D">
      <w:pPr>
        <w:tabs>
          <w:tab w:val="center" w:pos="4522"/>
        </w:tabs>
        <w:spacing w:after="0" w:line="360" w:lineRule="auto"/>
        <w:rPr>
          <w:color w:val="000000"/>
        </w:rPr>
      </w:pPr>
      <w:r>
        <w:rPr>
          <w:color w:val="000000"/>
        </w:rPr>
        <w:lastRenderedPageBreak/>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5B6D5B11" w14:textId="77777777" w:rsidR="00AF2D4D" w:rsidRDefault="00AF2D4D" w:rsidP="00AF2D4D">
      <w:pPr>
        <w:tabs>
          <w:tab w:val="center" w:pos="4522"/>
        </w:tabs>
        <w:spacing w:after="0" w:line="360" w:lineRule="auto"/>
        <w:rPr>
          <w:color w:val="000000"/>
        </w:rPr>
      </w:pPr>
    </w:p>
    <w:p w14:paraId="17776C5C" w14:textId="77777777" w:rsidR="00AF2D4D" w:rsidRPr="00C850A0" w:rsidRDefault="00AF2D4D" w:rsidP="00AF2D4D">
      <w:pPr>
        <w:spacing w:after="0" w:line="360" w:lineRule="auto"/>
        <w:ind w:right="-28"/>
        <w:rPr>
          <w:rFonts w:eastAsia="Calibri" w:cs="Times New Roman"/>
          <w:color w:val="000000"/>
          <w:lang w:eastAsia="en-US"/>
        </w:rPr>
      </w:pPr>
      <w:r w:rsidRPr="00C850A0">
        <w:rPr>
          <w:rFonts w:eastAsia="Calibri" w:cs="Times New Roman"/>
          <w:color w:val="000000"/>
          <w:lang w:eastAsia="en-U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FB136B8" w14:textId="77777777" w:rsidR="004B0B23" w:rsidRDefault="004B0B23" w:rsidP="007153F3">
      <w:pPr>
        <w:spacing w:after="0" w:line="360" w:lineRule="auto"/>
        <w:rPr>
          <w:color w:val="FF0000"/>
        </w:rPr>
      </w:pPr>
    </w:p>
    <w:p w14:paraId="269E772A" w14:textId="77777777" w:rsidR="00023BBD" w:rsidRPr="004B0B23" w:rsidRDefault="00023BBD" w:rsidP="007153F3">
      <w:pPr>
        <w:pStyle w:val="Ttulo2"/>
        <w:spacing w:before="0" w:after="0" w:line="360" w:lineRule="auto"/>
        <w:rPr>
          <w:color w:val="auto"/>
          <w:sz w:val="22"/>
          <w:szCs w:val="22"/>
        </w:rPr>
      </w:pPr>
      <w:bookmarkStart w:id="13" w:name="_Toc198156991"/>
      <w:r w:rsidRPr="004B0B23">
        <w:rPr>
          <w:color w:val="auto"/>
          <w:sz w:val="22"/>
          <w:szCs w:val="22"/>
        </w:rPr>
        <w:t>SEXTO. Decisión</w:t>
      </w:r>
      <w:bookmarkEnd w:id="13"/>
    </w:p>
    <w:p w14:paraId="284E5323" w14:textId="77777777" w:rsidR="00023BBD" w:rsidRPr="00B2261F" w:rsidRDefault="00023BBD" w:rsidP="007153F3">
      <w:pPr>
        <w:spacing w:after="0" w:line="360" w:lineRule="auto"/>
        <w:contextualSpacing/>
        <w:rPr>
          <w:rFonts w:eastAsia="Calibri" w:cs="Tahoma"/>
          <w:b/>
          <w:color w:val="FF0000"/>
        </w:rPr>
      </w:pPr>
    </w:p>
    <w:p w14:paraId="5B09EF77" w14:textId="295F0B9C" w:rsidR="00B03A57" w:rsidRDefault="00B03A57" w:rsidP="007153F3">
      <w:pPr>
        <w:spacing w:after="0" w:line="360" w:lineRule="auto"/>
        <w:rPr>
          <w:rFonts w:cs="Tahoma"/>
          <w:color w:val="auto"/>
        </w:rPr>
      </w:pPr>
      <w:r w:rsidRPr="004B0B23">
        <w:rPr>
          <w:rFonts w:cs="Tahoma"/>
          <w:color w:val="auto"/>
        </w:rPr>
        <w:t xml:space="preserve">Con fundamento en el artículo 186, fracción III, de la Ley de Transparencia y Acceso a la Información Pública del Estado de México y Municipios, este Instituto considera procedente </w:t>
      </w:r>
      <w:r w:rsidR="00FB4BCE" w:rsidRPr="004B0B23">
        <w:rPr>
          <w:b/>
          <w:bCs/>
          <w:color w:val="auto"/>
        </w:rPr>
        <w:t>REVO</w:t>
      </w:r>
      <w:r w:rsidRPr="004B0B23">
        <w:rPr>
          <w:b/>
          <w:bCs/>
          <w:color w:val="auto"/>
        </w:rPr>
        <w:t>CAR</w:t>
      </w:r>
      <w:r w:rsidRPr="004B0B23">
        <w:rPr>
          <w:rFonts w:cs="Tahoma"/>
          <w:color w:val="auto"/>
        </w:rPr>
        <w:t xml:space="preserve"> la respuesta otorgada por el Sujeto Obligado a la solicitud de información </w:t>
      </w:r>
      <w:r w:rsidR="005F3522">
        <w:rPr>
          <w:rFonts w:cs="Tahoma"/>
          <w:color w:val="auto"/>
        </w:rPr>
        <w:t>00204/CHALCO/IP/2025</w:t>
      </w:r>
      <w:r w:rsidR="000E2DFF">
        <w:rPr>
          <w:rFonts w:cs="Tahoma"/>
          <w:color w:val="auto"/>
        </w:rPr>
        <w:t xml:space="preserve">, </w:t>
      </w:r>
      <w:r w:rsidRPr="004B0B23">
        <w:rPr>
          <w:rFonts w:cs="Tahoma"/>
          <w:color w:val="auto"/>
        </w:rPr>
        <w:t>a efecto de que entregue</w:t>
      </w:r>
      <w:r w:rsidR="002A6495" w:rsidRPr="004B0B23">
        <w:rPr>
          <w:rFonts w:cs="Tahoma"/>
          <w:color w:val="auto"/>
        </w:rPr>
        <w:t xml:space="preserve"> </w:t>
      </w:r>
      <w:r w:rsidRPr="004B0B23">
        <w:rPr>
          <w:rFonts w:cs="Tahoma"/>
          <w:color w:val="auto"/>
        </w:rPr>
        <w:t xml:space="preserve">la información </w:t>
      </w:r>
      <w:r w:rsidR="002D7CDE" w:rsidRPr="004B0B23">
        <w:rPr>
          <w:rFonts w:cs="Tahoma"/>
          <w:color w:val="auto"/>
        </w:rPr>
        <w:t>solicitada.</w:t>
      </w:r>
    </w:p>
    <w:p w14:paraId="1EB792BE" w14:textId="77777777" w:rsidR="00A34825" w:rsidRDefault="00A34825" w:rsidP="007153F3">
      <w:pPr>
        <w:spacing w:after="0" w:line="360" w:lineRule="auto"/>
        <w:rPr>
          <w:rFonts w:cs="Tahoma"/>
          <w:color w:val="auto"/>
        </w:rPr>
      </w:pPr>
    </w:p>
    <w:p w14:paraId="7DE94745" w14:textId="243A0B20" w:rsidR="00023BBD" w:rsidRDefault="00023BBD" w:rsidP="007153F3">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7F9A9C18" w14:textId="77777777" w:rsidR="007135B9" w:rsidRDefault="007135B9" w:rsidP="007153F3">
      <w:pPr>
        <w:spacing w:after="0" w:line="360" w:lineRule="auto"/>
        <w:contextualSpacing/>
        <w:rPr>
          <w:rFonts w:eastAsia="Calibri" w:cs="Tahoma"/>
          <w:b/>
          <w:bCs/>
          <w:color w:val="auto"/>
        </w:rPr>
      </w:pPr>
    </w:p>
    <w:p w14:paraId="7F651DEB" w14:textId="5BF47479" w:rsidR="00A34825" w:rsidRDefault="00023BBD" w:rsidP="00A34825">
      <w:pPr>
        <w:spacing w:after="0" w:line="360" w:lineRule="auto"/>
        <w:rPr>
          <w:rFonts w:eastAsia="Calibri" w:cs="Times New Roman"/>
          <w:color w:val="000000"/>
          <w:lang w:eastAsia="en-US"/>
        </w:rPr>
      </w:pPr>
      <w:r w:rsidRPr="004B0B23">
        <w:rPr>
          <w:color w:val="auto"/>
        </w:rPr>
        <w:t xml:space="preserve">Se le hace del conocimiento a la persona Recurrente que, en el presente asunto, se le da la razón, pues </w:t>
      </w:r>
      <w:r w:rsidR="00B03A57" w:rsidRPr="004B0B23">
        <w:rPr>
          <w:color w:val="auto"/>
        </w:rPr>
        <w:t xml:space="preserve">si </w:t>
      </w:r>
      <w:r w:rsidR="00992901" w:rsidRPr="004B0B23">
        <w:rPr>
          <w:color w:val="auto"/>
        </w:rPr>
        <w:t>el Sujeto Obligado</w:t>
      </w:r>
      <w:r w:rsidR="00B03A57" w:rsidRPr="00B2261F">
        <w:rPr>
          <w:color w:val="FF0000"/>
        </w:rPr>
        <w:t xml:space="preserve"> </w:t>
      </w:r>
      <w:r w:rsidR="00A34825">
        <w:t>clasificó documentos que rinden cuentas de la erogación de recursos públicos</w:t>
      </w:r>
      <w:r w:rsidR="002361FE">
        <w:t>, por lo que, deberá hacer entrega de la información.</w:t>
      </w:r>
      <w:r w:rsidR="003C462B">
        <w:t xml:space="preserve"> </w:t>
      </w:r>
      <w:r w:rsidR="00A34825">
        <w:rPr>
          <w:rFonts w:eastAsia="Calibri" w:cs="Times New Roman"/>
          <w:color w:val="000000"/>
          <w:lang w:eastAsia="en-US"/>
        </w:rPr>
        <w:t xml:space="preserve">La labor de este </w:t>
      </w:r>
      <w:r w:rsidR="00A34825">
        <w:rPr>
          <w:rFonts w:eastAsia="Calibri" w:cs="Times New Roman"/>
          <w:color w:val="000000"/>
          <w:lang w:eastAsia="en-US"/>
        </w:rPr>
        <w:lastRenderedPageBreak/>
        <w:t>Instituto, es apoyar a la población a acceder a la información pública y garantizar la protección de los datos personales.</w:t>
      </w:r>
    </w:p>
    <w:p w14:paraId="624E4D5E" w14:textId="77777777" w:rsidR="00A34825" w:rsidRPr="002361FE" w:rsidRDefault="00A34825" w:rsidP="007153F3">
      <w:pPr>
        <w:spacing w:after="0" w:line="360" w:lineRule="auto"/>
        <w:rPr>
          <w:color w:val="auto"/>
        </w:rPr>
      </w:pPr>
    </w:p>
    <w:p w14:paraId="2915D3C0" w14:textId="2028159D" w:rsidR="00023BBD" w:rsidRPr="002361FE" w:rsidRDefault="00023BBD" w:rsidP="007153F3">
      <w:pPr>
        <w:spacing w:after="0" w:line="360" w:lineRule="auto"/>
        <w:contextualSpacing/>
        <w:rPr>
          <w:rFonts w:eastAsia="Calibri"/>
          <w:color w:val="auto"/>
        </w:rPr>
      </w:pPr>
      <w:r w:rsidRPr="002361FE">
        <w:rPr>
          <w:rFonts w:eastAsia="Calibri"/>
          <w:color w:val="auto"/>
        </w:rPr>
        <w:t>Por lo expuesto y fundado, este Pleno:</w:t>
      </w:r>
    </w:p>
    <w:p w14:paraId="7D2C1D85" w14:textId="77777777" w:rsidR="00155642" w:rsidRPr="002361FE" w:rsidRDefault="00155642" w:rsidP="007153F3">
      <w:pPr>
        <w:spacing w:after="0" w:line="360" w:lineRule="auto"/>
        <w:contextualSpacing/>
        <w:rPr>
          <w:rFonts w:eastAsia="Calibri"/>
          <w:color w:val="auto"/>
        </w:rPr>
      </w:pPr>
    </w:p>
    <w:p w14:paraId="456932CF" w14:textId="77777777" w:rsidR="00023BBD" w:rsidRPr="002361FE" w:rsidRDefault="00023BBD" w:rsidP="007153F3">
      <w:pPr>
        <w:pStyle w:val="Ttulo1"/>
        <w:spacing w:before="0" w:after="0" w:line="360" w:lineRule="auto"/>
        <w:jc w:val="center"/>
        <w:rPr>
          <w:color w:val="auto"/>
          <w:sz w:val="22"/>
          <w:szCs w:val="22"/>
        </w:rPr>
      </w:pPr>
      <w:bookmarkStart w:id="14" w:name="_Toc198156992"/>
      <w:r w:rsidRPr="002361FE">
        <w:rPr>
          <w:color w:val="auto"/>
          <w:sz w:val="22"/>
          <w:szCs w:val="22"/>
        </w:rPr>
        <w:t>R E S U E L V E</w:t>
      </w:r>
      <w:bookmarkEnd w:id="14"/>
    </w:p>
    <w:p w14:paraId="5CA20C9A" w14:textId="77777777" w:rsidR="00A37912" w:rsidRPr="00B2261F" w:rsidRDefault="00A37912" w:rsidP="007153F3">
      <w:pPr>
        <w:spacing w:after="0" w:line="360" w:lineRule="auto"/>
        <w:contextualSpacing/>
        <w:rPr>
          <w:rFonts w:eastAsia="Calibri"/>
          <w:b/>
          <w:bCs/>
          <w:color w:val="FF0000"/>
        </w:rPr>
      </w:pPr>
    </w:p>
    <w:p w14:paraId="743E93C0" w14:textId="2AC2B990" w:rsidR="00B03A57" w:rsidRPr="002361FE" w:rsidRDefault="00B03A57" w:rsidP="007153F3">
      <w:pPr>
        <w:spacing w:after="0" w:line="360" w:lineRule="auto"/>
        <w:rPr>
          <w:color w:val="auto"/>
        </w:rPr>
      </w:pPr>
      <w:r w:rsidRPr="002361FE">
        <w:rPr>
          <w:b/>
          <w:color w:val="auto"/>
        </w:rPr>
        <w:t xml:space="preserve">PRIMERO. </w:t>
      </w:r>
      <w:r w:rsidRPr="002361FE">
        <w:rPr>
          <w:color w:val="auto"/>
        </w:rPr>
        <w:t xml:space="preserve">Se </w:t>
      </w:r>
      <w:r w:rsidR="00FB4BCE" w:rsidRPr="002361FE">
        <w:rPr>
          <w:b/>
          <w:color w:val="auto"/>
        </w:rPr>
        <w:t>REVO</w:t>
      </w:r>
      <w:r w:rsidRPr="002361FE">
        <w:rPr>
          <w:b/>
          <w:color w:val="auto"/>
        </w:rPr>
        <w:t xml:space="preserve">CA </w:t>
      </w:r>
      <w:r w:rsidRPr="002361FE">
        <w:rPr>
          <w:color w:val="auto"/>
        </w:rPr>
        <w:t>la respuesta entregada por el</w:t>
      </w:r>
      <w:r w:rsidR="002361FE" w:rsidRPr="002361FE">
        <w:rPr>
          <w:color w:val="auto"/>
        </w:rPr>
        <w:t xml:space="preserve"> </w:t>
      </w:r>
      <w:r w:rsidR="005F3522">
        <w:t>Ayuntamiento de Chalco</w:t>
      </w:r>
      <w:r w:rsidRPr="002361FE">
        <w:rPr>
          <w:color w:val="auto"/>
        </w:rPr>
        <w:t>, a la solicitud de información</w:t>
      </w:r>
      <w:r w:rsidR="003F2C8E" w:rsidRPr="002361FE">
        <w:rPr>
          <w:color w:val="auto"/>
        </w:rPr>
        <w:t xml:space="preserve"> </w:t>
      </w:r>
      <w:r w:rsidR="005F3522">
        <w:rPr>
          <w:rFonts w:cs="Tahoma"/>
          <w:color w:val="auto"/>
        </w:rPr>
        <w:t>00204/CHALCO/IP/2025</w:t>
      </w:r>
      <w:r w:rsidRPr="002361FE">
        <w:rPr>
          <w:color w:val="auto"/>
        </w:rPr>
        <w:t xml:space="preserve">, por resultar </w:t>
      </w:r>
      <w:r w:rsidRPr="002361FE">
        <w:rPr>
          <w:b/>
          <w:bCs/>
          <w:color w:val="auto"/>
        </w:rPr>
        <w:t>FUNDADAS</w:t>
      </w:r>
      <w:r w:rsidRPr="002361FE">
        <w:rPr>
          <w:b/>
          <w:color w:val="auto"/>
        </w:rPr>
        <w:t xml:space="preserve"> </w:t>
      </w:r>
      <w:r w:rsidRPr="002361FE">
        <w:rPr>
          <w:color w:val="auto"/>
        </w:rPr>
        <w:t>las razones o motivos de inconformidad hechos valer por la persona Recurrente, en términos de los considerandos QUINTO y SEXTO de la presente Resolución.</w:t>
      </w:r>
    </w:p>
    <w:p w14:paraId="1AA3BB99" w14:textId="77777777" w:rsidR="007B4DAD" w:rsidRPr="00B2261F" w:rsidRDefault="007B4DAD" w:rsidP="007153F3">
      <w:pPr>
        <w:spacing w:after="0" w:line="360" w:lineRule="auto"/>
        <w:rPr>
          <w:color w:val="FF0000"/>
        </w:rPr>
      </w:pPr>
    </w:p>
    <w:p w14:paraId="627233C5" w14:textId="049551C4" w:rsidR="002D7CDE" w:rsidRDefault="00B03A57" w:rsidP="007153F3">
      <w:pPr>
        <w:spacing w:after="0" w:line="360" w:lineRule="auto"/>
        <w:rPr>
          <w:rFonts w:cs="Tahoma"/>
          <w:bCs/>
          <w:color w:val="auto"/>
        </w:rPr>
      </w:pPr>
      <w:r w:rsidRPr="002361FE">
        <w:rPr>
          <w:b/>
          <w:color w:val="auto"/>
        </w:rPr>
        <w:t xml:space="preserve">SEGUNDO. </w:t>
      </w:r>
      <w:r w:rsidRPr="002361FE">
        <w:rPr>
          <w:color w:val="auto"/>
        </w:rPr>
        <w:t xml:space="preserve">Se </w:t>
      </w:r>
      <w:r w:rsidRPr="002361FE">
        <w:rPr>
          <w:b/>
          <w:color w:val="auto"/>
        </w:rPr>
        <w:t>ORDENA</w:t>
      </w:r>
      <w:r w:rsidRPr="002361FE">
        <w:rPr>
          <w:color w:val="auto"/>
        </w:rPr>
        <w:t xml:space="preserve"> al Sujeto Obligado</w:t>
      </w:r>
      <w:r w:rsidRPr="002361FE">
        <w:rPr>
          <w:b/>
          <w:color w:val="auto"/>
        </w:rPr>
        <w:t xml:space="preserve">, </w:t>
      </w:r>
      <w:r w:rsidRPr="002361FE">
        <w:rPr>
          <w:color w:val="auto"/>
        </w:rPr>
        <w:t>a efecto de que previa búsqueda exhaustiva y razonable en los archivos de las unidades administrativas competentes, entregue a través del Sistema de Acceso a la Información Mexiquense (SAIMEX),</w:t>
      </w:r>
      <w:r w:rsidRPr="002361FE">
        <w:rPr>
          <w:rFonts w:cs="Tahoma"/>
          <w:bCs/>
          <w:color w:val="auto"/>
        </w:rPr>
        <w:t xml:space="preserve"> </w:t>
      </w:r>
      <w:r w:rsidR="002D7CDE" w:rsidRPr="002361FE">
        <w:rPr>
          <w:rFonts w:cs="Tahoma"/>
          <w:bCs/>
          <w:color w:val="auto"/>
        </w:rPr>
        <w:t xml:space="preserve">en </w:t>
      </w:r>
      <w:r w:rsidR="006D4ADC">
        <w:rPr>
          <w:rFonts w:cs="Tahoma"/>
          <w:bCs/>
          <w:color w:val="auto"/>
        </w:rPr>
        <w:t xml:space="preserve">su caso, en </w:t>
      </w:r>
      <w:r w:rsidR="002D7CDE" w:rsidRPr="002361FE">
        <w:rPr>
          <w:rFonts w:cs="Tahoma"/>
          <w:bCs/>
          <w:color w:val="auto"/>
        </w:rPr>
        <w:t xml:space="preserve">versión pública, </w:t>
      </w:r>
      <w:r w:rsidR="002D7CDE" w:rsidRPr="007135B9">
        <w:rPr>
          <w:rFonts w:cs="Tahoma"/>
          <w:bCs/>
          <w:color w:val="auto"/>
        </w:rPr>
        <w:t>lo</w:t>
      </w:r>
      <w:r w:rsidR="007E005F" w:rsidRPr="007135B9">
        <w:rPr>
          <w:rFonts w:cs="Tahoma"/>
          <w:bCs/>
          <w:color w:val="auto"/>
        </w:rPr>
        <w:t>s documentos donde conste lo siguiente</w:t>
      </w:r>
      <w:r w:rsidR="002D7CDE" w:rsidRPr="007135B9">
        <w:rPr>
          <w:rFonts w:cs="Tahoma"/>
          <w:bCs/>
          <w:color w:val="auto"/>
        </w:rPr>
        <w:t>:</w:t>
      </w:r>
    </w:p>
    <w:p w14:paraId="1ACD320B" w14:textId="77777777" w:rsidR="002361FE" w:rsidRPr="00974325" w:rsidRDefault="002361FE" w:rsidP="007153F3">
      <w:pPr>
        <w:spacing w:after="0" w:line="360" w:lineRule="auto"/>
        <w:rPr>
          <w:rFonts w:cs="Tahoma"/>
          <w:bCs/>
          <w:color w:val="auto"/>
        </w:rPr>
      </w:pPr>
    </w:p>
    <w:p w14:paraId="5C8A8D5D" w14:textId="585ED3CD" w:rsidR="005A0A9C" w:rsidRPr="000E2DFF" w:rsidRDefault="007E005F" w:rsidP="000E2DFF">
      <w:pPr>
        <w:pStyle w:val="Prrafodelista"/>
        <w:numPr>
          <w:ilvl w:val="0"/>
          <w:numId w:val="11"/>
        </w:numPr>
        <w:spacing w:line="360" w:lineRule="auto"/>
        <w:rPr>
          <w:bCs/>
          <w:iCs/>
          <w:color w:val="auto"/>
          <w:szCs w:val="20"/>
          <w:lang w:val="es-ES"/>
        </w:rPr>
      </w:pPr>
      <w:r>
        <w:rPr>
          <w:color w:val="000000"/>
        </w:rPr>
        <w:t xml:space="preserve">Los comprobantes de los pagos realizados por el Ayuntamiento </w:t>
      </w:r>
      <w:r w:rsidR="000E2DFF" w:rsidRPr="000E2DFF">
        <w:rPr>
          <w:rFonts w:cs="Tahoma"/>
          <w:color w:val="auto"/>
        </w:rPr>
        <w:t>a particulares</w:t>
      </w:r>
      <w:r w:rsidR="002732E4">
        <w:rPr>
          <w:rFonts w:cs="Tahoma"/>
          <w:color w:val="auto"/>
        </w:rPr>
        <w:t>, del primero de enero al veintitrés de septiembre de dos mil veinticinco</w:t>
      </w:r>
      <w:r>
        <w:rPr>
          <w:rFonts w:cs="Tahoma"/>
          <w:color w:val="auto"/>
        </w:rPr>
        <w:t>,</w:t>
      </w:r>
      <w:r w:rsidR="000E2DFF" w:rsidRPr="000E2DFF">
        <w:rPr>
          <w:rFonts w:cs="Tahoma"/>
          <w:color w:val="auto"/>
        </w:rPr>
        <w:t xml:space="preserve"> por un</w:t>
      </w:r>
      <w:r w:rsidR="000E2DFF">
        <w:rPr>
          <w:rFonts w:cs="Tahoma"/>
          <w:color w:val="auto"/>
        </w:rPr>
        <w:t xml:space="preserve"> </w:t>
      </w:r>
      <w:r w:rsidR="000E2DFF" w:rsidRPr="000E2DFF">
        <w:rPr>
          <w:rFonts w:cs="Tahoma"/>
          <w:color w:val="auto"/>
        </w:rPr>
        <w:t xml:space="preserve">monto superior </w:t>
      </w:r>
      <w:r w:rsidR="002732E4">
        <w:rPr>
          <w:rFonts w:cs="Tahoma"/>
          <w:color w:val="auto"/>
        </w:rPr>
        <w:t>un millón</w:t>
      </w:r>
      <w:r w:rsidR="000E2DFF" w:rsidRPr="000E2DFF">
        <w:rPr>
          <w:rFonts w:cs="Tahoma"/>
          <w:color w:val="auto"/>
        </w:rPr>
        <w:t xml:space="preserve"> de pesos</w:t>
      </w:r>
      <w:r w:rsidR="002732E4">
        <w:rPr>
          <w:rFonts w:cs="Tahoma"/>
          <w:color w:val="auto"/>
        </w:rPr>
        <w:t>.</w:t>
      </w:r>
    </w:p>
    <w:p w14:paraId="3D2431E3" w14:textId="77777777" w:rsidR="000E2DFF" w:rsidRPr="000E2DFF" w:rsidRDefault="000E2DFF" w:rsidP="000E2DFF">
      <w:pPr>
        <w:pStyle w:val="Prrafodelista"/>
        <w:spacing w:line="360" w:lineRule="auto"/>
        <w:jc w:val="left"/>
        <w:rPr>
          <w:bCs/>
          <w:iCs/>
          <w:color w:val="auto"/>
          <w:szCs w:val="20"/>
          <w:lang w:val="es-ES"/>
        </w:rPr>
      </w:pPr>
    </w:p>
    <w:p w14:paraId="5061FED0" w14:textId="59B72750" w:rsidR="002D7CDE" w:rsidRPr="002361FE" w:rsidRDefault="002D7CDE" w:rsidP="007153F3">
      <w:pPr>
        <w:spacing w:after="0" w:line="360" w:lineRule="auto"/>
        <w:rPr>
          <w:rFonts w:cs="Tahoma"/>
          <w:color w:val="auto"/>
        </w:rPr>
      </w:pPr>
      <w:r w:rsidRPr="002361FE">
        <w:rPr>
          <w:color w:val="auto"/>
        </w:rPr>
        <w:t xml:space="preserve">Además, deberá proporcionar el Acuerdo de Clasificación donde el Comité de Transparencia, confirme la eliminación de los datos </w:t>
      </w:r>
      <w:r w:rsidR="00FB4BCE" w:rsidRPr="002361FE">
        <w:rPr>
          <w:color w:val="auto"/>
        </w:rPr>
        <w:t>o información</w:t>
      </w:r>
      <w:r w:rsidRPr="002361FE">
        <w:rPr>
          <w:color w:val="auto"/>
        </w:rPr>
        <w:t>, en la versión pública, de conformidad con los artículos 49, fracciones II y VIII, 132, fracción II y 143, fracción I, de la Ley de Transparencia y Acceso a la Información Pública del Estado de México y Municipios.</w:t>
      </w:r>
    </w:p>
    <w:p w14:paraId="2014BDF5" w14:textId="77777777" w:rsidR="00B03A57" w:rsidRDefault="00B03A57" w:rsidP="007153F3">
      <w:pPr>
        <w:spacing w:after="0" w:line="360" w:lineRule="auto"/>
        <w:rPr>
          <w:color w:val="auto"/>
        </w:rPr>
      </w:pPr>
    </w:p>
    <w:p w14:paraId="6DB3AD3F" w14:textId="4A6D9ADE" w:rsidR="00B03A57" w:rsidRPr="002361FE" w:rsidRDefault="00B03A57" w:rsidP="00A34825">
      <w:pPr>
        <w:spacing w:after="0" w:line="360" w:lineRule="auto"/>
        <w:ind w:right="-28"/>
        <w:rPr>
          <w:color w:val="auto"/>
        </w:rPr>
      </w:pPr>
      <w:r w:rsidRPr="002361FE">
        <w:rPr>
          <w:b/>
          <w:color w:val="auto"/>
        </w:rPr>
        <w:lastRenderedPageBreak/>
        <w:t xml:space="preserve">TERCERO. NOTIFÍQUESE POR SAIMEX </w:t>
      </w:r>
      <w:r w:rsidRPr="002361FE">
        <w:rPr>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A34825">
        <w:rPr>
          <w:color w:val="auto"/>
        </w:rPr>
        <w:t xml:space="preserve"> </w:t>
      </w:r>
      <w:r w:rsidRPr="002361FE">
        <w:rPr>
          <w:color w:val="auto"/>
        </w:rPr>
        <w:t>De conformidad con el artículo 198 de la Ley de la materia, de considerarlo procedente, el Sujeto Obligado de manera fundada y motivada, podrá solicitar una ampliación de plazo para el cumplimiento de la presente resolución.</w:t>
      </w:r>
    </w:p>
    <w:p w14:paraId="210A3436" w14:textId="77777777" w:rsidR="00B03A57" w:rsidRPr="002361FE" w:rsidRDefault="00B03A57" w:rsidP="007153F3">
      <w:pPr>
        <w:spacing w:after="0" w:line="360" w:lineRule="auto"/>
        <w:rPr>
          <w:color w:val="auto"/>
        </w:rPr>
      </w:pPr>
    </w:p>
    <w:p w14:paraId="1F81CBDE" w14:textId="77777777" w:rsidR="00B03A57" w:rsidRPr="002361FE" w:rsidRDefault="00B03A57" w:rsidP="007153F3">
      <w:pPr>
        <w:spacing w:after="0" w:line="360" w:lineRule="auto"/>
        <w:contextualSpacing/>
        <w:rPr>
          <w:color w:val="auto"/>
        </w:rPr>
      </w:pPr>
      <w:r w:rsidRPr="002361FE">
        <w:rPr>
          <w:b/>
          <w:bCs/>
          <w:color w:val="auto"/>
        </w:rPr>
        <w:t xml:space="preserve">CUARTO. </w:t>
      </w:r>
      <w:r w:rsidRPr="002361FE">
        <w:rPr>
          <w:b/>
          <w:color w:val="auto"/>
        </w:rPr>
        <w:t>NOTIFÍQUESE POR SAIMEX</w:t>
      </w:r>
      <w:r w:rsidRPr="002361FE">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2361FE" w:rsidRDefault="00B03A57" w:rsidP="007153F3">
      <w:pPr>
        <w:spacing w:after="0" w:line="360" w:lineRule="auto"/>
        <w:contextualSpacing/>
        <w:rPr>
          <w:rFonts w:cs="Tahoma"/>
          <w:b/>
          <w:bCs/>
          <w:color w:val="auto"/>
        </w:rPr>
      </w:pPr>
    </w:p>
    <w:p w14:paraId="1A555613" w14:textId="22CC40CA" w:rsidR="00023BBD" w:rsidRDefault="00023BBD" w:rsidP="007153F3">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561">
        <w:rPr>
          <w:rFonts w:eastAsia="Calibri" w:cs="Tahoma"/>
          <w:bCs/>
          <w:color w:val="auto"/>
        </w:rPr>
        <w:t>CUADRAGÉ</w:t>
      </w:r>
      <w:r w:rsidR="00FA4ED9">
        <w:rPr>
          <w:rFonts w:eastAsia="Calibri" w:cs="Tahoma"/>
          <w:bCs/>
          <w:color w:val="auto"/>
        </w:rPr>
        <w:t>SIMA</w:t>
      </w:r>
      <w:r w:rsidR="002732E4">
        <w:rPr>
          <w:rFonts w:eastAsia="Calibri" w:cs="Tahoma"/>
          <w:bCs/>
          <w:color w:val="auto"/>
        </w:rPr>
        <w:t xml:space="preserve"> SEGUNDA</w:t>
      </w:r>
      <w:r w:rsidR="00B03A57" w:rsidRPr="002361FE">
        <w:rPr>
          <w:rFonts w:eastAsia="Calibri" w:cs="Tahoma"/>
          <w:bCs/>
          <w:color w:val="auto"/>
        </w:rPr>
        <w:t xml:space="preserve"> </w:t>
      </w:r>
      <w:r w:rsidRPr="002361FE">
        <w:rPr>
          <w:rFonts w:eastAsia="Calibri" w:cs="Tahoma"/>
          <w:bCs/>
          <w:color w:val="auto"/>
        </w:rPr>
        <w:t xml:space="preserve">SESIÓN ORDINARIA, CELEBRADA EL </w:t>
      </w:r>
      <w:r w:rsidR="00BA4221">
        <w:rPr>
          <w:rFonts w:eastAsia="Calibri" w:cs="Tahoma"/>
          <w:bCs/>
          <w:color w:val="auto"/>
        </w:rPr>
        <w:t>VEINTICINCO</w:t>
      </w:r>
      <w:r w:rsidR="00D66306">
        <w:rPr>
          <w:rFonts w:eastAsia="Calibri" w:cs="Tahoma"/>
          <w:bCs/>
          <w:color w:val="auto"/>
        </w:rPr>
        <w:t xml:space="preserve"> DE NOVIEMBRE</w:t>
      </w:r>
      <w:r w:rsidR="006C1573" w:rsidRPr="002361FE">
        <w:rPr>
          <w:rFonts w:eastAsia="Calibri" w:cs="Tahoma"/>
          <w:bCs/>
          <w:color w:val="auto"/>
        </w:rPr>
        <w:t xml:space="preserve"> </w:t>
      </w:r>
      <w:r w:rsidRPr="002361FE">
        <w:rPr>
          <w:rFonts w:eastAsia="Calibri" w:cs="Tahoma"/>
          <w:bCs/>
          <w:color w:val="auto"/>
        </w:rPr>
        <w:t>DE DOS MIL VEINTIC</w:t>
      </w:r>
      <w:r w:rsidR="00E361ED" w:rsidRPr="002361FE">
        <w:rPr>
          <w:rFonts w:eastAsia="Calibri" w:cs="Tahoma"/>
          <w:bCs/>
          <w:color w:val="auto"/>
        </w:rPr>
        <w:t>INCO</w:t>
      </w:r>
      <w:r w:rsidRPr="002361FE">
        <w:rPr>
          <w:rFonts w:eastAsia="Calibri" w:cs="Tahoma"/>
          <w:bCs/>
          <w:color w:val="auto"/>
        </w:rPr>
        <w:t>, ANTE EL SECRETARIO TÉCNICO DEL PLENO, ALEXIS TAPIA RAMÍREZ.</w:t>
      </w:r>
    </w:p>
    <w:p w14:paraId="72186A79" w14:textId="77777777" w:rsidR="006C4CE5" w:rsidRDefault="006C4CE5" w:rsidP="007153F3">
      <w:pPr>
        <w:spacing w:after="0" w:line="360" w:lineRule="auto"/>
        <w:contextualSpacing/>
        <w:rPr>
          <w:rFonts w:cs="Tahoma"/>
          <w:b/>
          <w:bCs/>
          <w:color w:val="auto"/>
        </w:rPr>
      </w:pPr>
    </w:p>
    <w:p w14:paraId="2DB987C3" w14:textId="77777777" w:rsidR="006C4CE5" w:rsidRDefault="006C4CE5" w:rsidP="007153F3">
      <w:pPr>
        <w:spacing w:after="0" w:line="360" w:lineRule="auto"/>
        <w:contextualSpacing/>
        <w:rPr>
          <w:rFonts w:cs="Tahoma"/>
          <w:b/>
          <w:bCs/>
          <w:color w:val="auto"/>
        </w:rPr>
      </w:pPr>
    </w:p>
    <w:p w14:paraId="419A1B95" w14:textId="77777777" w:rsidR="006C4CE5" w:rsidRPr="006C4CE5" w:rsidRDefault="006C4CE5" w:rsidP="007153F3">
      <w:pPr>
        <w:spacing w:after="0" w:line="360" w:lineRule="auto"/>
        <w:contextualSpacing/>
        <w:rPr>
          <w:rFonts w:cs="Tahoma"/>
          <w:b/>
          <w:bCs/>
          <w:color w:val="auto"/>
        </w:rPr>
      </w:pPr>
    </w:p>
    <w:p w14:paraId="2DB71CAF" w14:textId="49BEE08C" w:rsidR="001D4F21" w:rsidRPr="002361FE" w:rsidRDefault="001D4F21" w:rsidP="007153F3">
      <w:pPr>
        <w:spacing w:after="0" w:line="360" w:lineRule="auto"/>
        <w:rPr>
          <w:color w:val="auto"/>
        </w:rPr>
      </w:pPr>
    </w:p>
    <w:p w14:paraId="38B4EF2E" w14:textId="77777777" w:rsidR="001D4F21" w:rsidRPr="002361FE" w:rsidRDefault="001D4F21" w:rsidP="007153F3">
      <w:pPr>
        <w:spacing w:after="0" w:line="360" w:lineRule="auto"/>
        <w:rPr>
          <w:color w:val="auto"/>
        </w:rPr>
      </w:pPr>
    </w:p>
    <w:p w14:paraId="4201A0A0" w14:textId="77777777" w:rsidR="00E864E9" w:rsidRPr="002361FE" w:rsidRDefault="00E864E9" w:rsidP="007153F3">
      <w:pPr>
        <w:tabs>
          <w:tab w:val="right" w:pos="8931"/>
        </w:tabs>
        <w:spacing w:after="0" w:line="360" w:lineRule="auto"/>
        <w:rPr>
          <w:color w:val="auto"/>
        </w:rPr>
      </w:pPr>
    </w:p>
    <w:p w14:paraId="543728D1" w14:textId="77777777" w:rsidR="00E864E9" w:rsidRPr="002361FE" w:rsidRDefault="00E864E9" w:rsidP="007153F3">
      <w:pPr>
        <w:tabs>
          <w:tab w:val="right" w:pos="8931"/>
        </w:tabs>
        <w:spacing w:after="0" w:line="360" w:lineRule="auto"/>
        <w:rPr>
          <w:color w:val="auto"/>
        </w:rPr>
      </w:pPr>
    </w:p>
    <w:p w14:paraId="0E4439D0" w14:textId="5248D3C9" w:rsidR="007B58B9" w:rsidRPr="00B2261F" w:rsidRDefault="007B58B9" w:rsidP="007153F3">
      <w:pPr>
        <w:spacing w:after="0" w:line="360" w:lineRule="auto"/>
        <w:rPr>
          <w:color w:val="FF0000"/>
        </w:rPr>
      </w:pPr>
    </w:p>
    <w:p w14:paraId="26916C77" w14:textId="77777777" w:rsidR="00A37EDE" w:rsidRPr="00B2261F" w:rsidRDefault="00A37EDE" w:rsidP="007153F3">
      <w:pPr>
        <w:spacing w:after="0" w:line="360" w:lineRule="auto"/>
        <w:rPr>
          <w:color w:val="FF0000"/>
        </w:rPr>
      </w:pPr>
    </w:p>
    <w:p w14:paraId="6C800ACF" w14:textId="77777777" w:rsidR="00C457EF" w:rsidRPr="00B2261F" w:rsidRDefault="00C457EF" w:rsidP="007153F3">
      <w:pPr>
        <w:spacing w:after="0" w:line="360" w:lineRule="auto"/>
        <w:rPr>
          <w:color w:val="FF0000"/>
        </w:rPr>
      </w:pPr>
    </w:p>
    <w:p w14:paraId="30D60B56" w14:textId="77777777" w:rsidR="00C457EF" w:rsidRPr="00B2261F" w:rsidRDefault="00C457EF" w:rsidP="007153F3">
      <w:pPr>
        <w:spacing w:after="0" w:line="360" w:lineRule="auto"/>
        <w:rPr>
          <w:color w:val="FF0000"/>
        </w:rPr>
      </w:pPr>
    </w:p>
    <w:p w14:paraId="5657FDD0" w14:textId="77777777" w:rsidR="00C457EF" w:rsidRPr="00B2261F" w:rsidRDefault="00C457EF" w:rsidP="007153F3">
      <w:pPr>
        <w:spacing w:after="0" w:line="360" w:lineRule="auto"/>
        <w:rPr>
          <w:color w:val="FF0000"/>
        </w:rPr>
      </w:pPr>
    </w:p>
    <w:p w14:paraId="06C51672" w14:textId="77777777" w:rsidR="00C457EF" w:rsidRPr="00B2261F" w:rsidRDefault="00C457EF" w:rsidP="007153F3">
      <w:pPr>
        <w:spacing w:after="0" w:line="360" w:lineRule="auto"/>
        <w:rPr>
          <w:color w:val="FF0000"/>
        </w:rPr>
      </w:pPr>
    </w:p>
    <w:p w14:paraId="1F44ECA1" w14:textId="77777777" w:rsidR="00C457EF" w:rsidRPr="00B2261F" w:rsidRDefault="00C457EF" w:rsidP="007153F3">
      <w:pPr>
        <w:spacing w:after="0" w:line="360" w:lineRule="auto"/>
        <w:rPr>
          <w:color w:val="FF0000"/>
        </w:rPr>
      </w:pPr>
    </w:p>
    <w:p w14:paraId="733D9CE4" w14:textId="77777777" w:rsidR="00C457EF" w:rsidRPr="00B2261F" w:rsidRDefault="00C457EF" w:rsidP="007153F3">
      <w:pPr>
        <w:spacing w:after="0" w:line="360" w:lineRule="auto"/>
        <w:rPr>
          <w:color w:val="FF0000"/>
        </w:rPr>
      </w:pPr>
    </w:p>
    <w:p w14:paraId="53D3E59F" w14:textId="77777777" w:rsidR="00C457EF" w:rsidRPr="00B2261F" w:rsidRDefault="00C457EF" w:rsidP="007153F3">
      <w:pPr>
        <w:spacing w:after="0" w:line="360" w:lineRule="auto"/>
        <w:rPr>
          <w:color w:val="FF0000"/>
        </w:rPr>
      </w:pPr>
    </w:p>
    <w:p w14:paraId="0494B722" w14:textId="77777777" w:rsidR="00C457EF" w:rsidRPr="00B2261F" w:rsidRDefault="00C457EF" w:rsidP="007153F3">
      <w:pPr>
        <w:spacing w:after="0" w:line="360" w:lineRule="auto"/>
        <w:rPr>
          <w:color w:val="FF0000"/>
        </w:rPr>
      </w:pPr>
    </w:p>
    <w:p w14:paraId="7F0C198D" w14:textId="77777777" w:rsidR="00C457EF" w:rsidRPr="00B2261F" w:rsidRDefault="00C457EF" w:rsidP="007153F3">
      <w:pPr>
        <w:spacing w:after="0" w:line="360" w:lineRule="auto"/>
        <w:rPr>
          <w:color w:val="FF0000"/>
        </w:rPr>
      </w:pPr>
    </w:p>
    <w:p w14:paraId="5E54FA39" w14:textId="77777777" w:rsidR="00C457EF" w:rsidRPr="00B2261F" w:rsidRDefault="00C457EF" w:rsidP="007153F3">
      <w:pPr>
        <w:spacing w:after="0" w:line="360" w:lineRule="auto"/>
        <w:rPr>
          <w:color w:val="FF0000"/>
        </w:rPr>
      </w:pPr>
    </w:p>
    <w:p w14:paraId="71A4CF0E" w14:textId="77777777" w:rsidR="00C457EF" w:rsidRPr="00B2261F" w:rsidRDefault="00C457EF" w:rsidP="007153F3">
      <w:pPr>
        <w:spacing w:after="0" w:line="360" w:lineRule="auto"/>
        <w:rPr>
          <w:color w:val="FF0000"/>
        </w:rPr>
      </w:pPr>
    </w:p>
    <w:p w14:paraId="04139530" w14:textId="77777777" w:rsidR="00C457EF" w:rsidRPr="00B2261F" w:rsidRDefault="00C457EF" w:rsidP="007153F3">
      <w:pPr>
        <w:spacing w:after="0" w:line="360" w:lineRule="auto"/>
        <w:rPr>
          <w:color w:val="FF0000"/>
        </w:rPr>
      </w:pPr>
    </w:p>
    <w:p w14:paraId="382CD8FC" w14:textId="77777777" w:rsidR="00C457EF" w:rsidRPr="00B2261F" w:rsidRDefault="00C457EF" w:rsidP="007153F3">
      <w:pPr>
        <w:spacing w:after="0" w:line="360" w:lineRule="auto"/>
        <w:rPr>
          <w:color w:val="FF0000"/>
        </w:rPr>
      </w:pPr>
    </w:p>
    <w:p w14:paraId="5AFF30BA" w14:textId="77777777" w:rsidR="00C457EF" w:rsidRPr="00B2261F" w:rsidRDefault="00C457EF" w:rsidP="007153F3">
      <w:pPr>
        <w:spacing w:after="0" w:line="360" w:lineRule="auto"/>
        <w:rPr>
          <w:color w:val="FF0000"/>
        </w:rPr>
      </w:pPr>
    </w:p>
    <w:p w14:paraId="4B0C09A4" w14:textId="77777777" w:rsidR="00C457EF" w:rsidRPr="00B2261F" w:rsidRDefault="00C457EF" w:rsidP="007153F3">
      <w:pPr>
        <w:spacing w:after="0" w:line="360" w:lineRule="auto"/>
        <w:rPr>
          <w:color w:val="FF0000"/>
        </w:rPr>
      </w:pPr>
    </w:p>
    <w:sectPr w:rsidR="00C457EF" w:rsidRPr="00B2261F"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F1DD" w14:textId="77777777" w:rsidR="00CB4D6F" w:rsidRDefault="00CB4D6F">
      <w:pPr>
        <w:spacing w:after="0" w:line="240" w:lineRule="auto"/>
      </w:pPr>
      <w:r>
        <w:separator/>
      </w:r>
    </w:p>
  </w:endnote>
  <w:endnote w:type="continuationSeparator" w:id="0">
    <w:p w14:paraId="6BAA75F1" w14:textId="77777777" w:rsidR="00CB4D6F" w:rsidRDefault="00CB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1A89">
      <w:rPr>
        <w:b/>
        <w:noProof/>
        <w:color w:val="000000"/>
        <w:sz w:val="24"/>
        <w:szCs w:val="24"/>
      </w:rPr>
      <w:t>36</w:t>
    </w:r>
    <w:r>
      <w:rPr>
        <w:b/>
        <w:color w:val="000000"/>
        <w:sz w:val="24"/>
        <w:szCs w:val="24"/>
      </w:rPr>
      <w:fldChar w:fldCharType="end"/>
    </w:r>
  </w:p>
  <w:p w14:paraId="7EB9860B"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1A89">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1A89">
      <w:rPr>
        <w:b/>
        <w:noProof/>
        <w:color w:val="000000"/>
        <w:sz w:val="24"/>
        <w:szCs w:val="24"/>
      </w:rPr>
      <w:t>36</w:t>
    </w:r>
    <w:r>
      <w:rPr>
        <w:b/>
        <w:color w:val="000000"/>
        <w:sz w:val="24"/>
        <w:szCs w:val="24"/>
      </w:rPr>
      <w:fldChar w:fldCharType="end"/>
    </w:r>
  </w:p>
  <w:p w14:paraId="0D7FA8D9"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1A8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1A89">
      <w:rPr>
        <w:b/>
        <w:noProof/>
        <w:color w:val="000000"/>
        <w:sz w:val="24"/>
        <w:szCs w:val="24"/>
      </w:rPr>
      <w:t>36</w:t>
    </w:r>
    <w:r>
      <w:rPr>
        <w:b/>
        <w:color w:val="000000"/>
        <w:sz w:val="24"/>
        <w:szCs w:val="24"/>
      </w:rPr>
      <w:fldChar w:fldCharType="end"/>
    </w:r>
  </w:p>
  <w:p w14:paraId="6796AF5F"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1F5D" w14:textId="77777777" w:rsidR="00CB4D6F" w:rsidRDefault="00CB4D6F">
      <w:pPr>
        <w:spacing w:after="0" w:line="240" w:lineRule="auto"/>
      </w:pPr>
      <w:r>
        <w:separator/>
      </w:r>
    </w:p>
  </w:footnote>
  <w:footnote w:type="continuationSeparator" w:id="0">
    <w:p w14:paraId="329DEED7" w14:textId="77777777" w:rsidR="00CB4D6F" w:rsidRDefault="00CB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31AC4" w:rsidRDefault="00431AC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31AC4" w14:paraId="10C29E94" w14:textId="77777777">
      <w:trPr>
        <w:trHeight w:val="132"/>
      </w:trPr>
      <w:tc>
        <w:tcPr>
          <w:tcW w:w="2691" w:type="dxa"/>
        </w:tcPr>
        <w:p w14:paraId="7D85A4B8" w14:textId="77777777" w:rsidR="00431AC4" w:rsidRDefault="00431AC4">
          <w:pPr>
            <w:tabs>
              <w:tab w:val="right" w:pos="8838"/>
            </w:tabs>
            <w:ind w:right="-105"/>
            <w:rPr>
              <w:b/>
            </w:rPr>
          </w:pPr>
          <w:r>
            <w:rPr>
              <w:b/>
            </w:rPr>
            <w:t>Recurso de Revisión:</w:t>
          </w:r>
        </w:p>
      </w:tc>
      <w:tc>
        <w:tcPr>
          <w:tcW w:w="3405" w:type="dxa"/>
        </w:tcPr>
        <w:p w14:paraId="0B0D1A9D" w14:textId="77777777" w:rsidR="00431AC4" w:rsidRDefault="00431AC4">
          <w:pPr>
            <w:tabs>
              <w:tab w:val="right" w:pos="8838"/>
            </w:tabs>
            <w:ind w:left="-28" w:right="-32"/>
          </w:pPr>
          <w:r>
            <w:t>03846/INFOEM/IP/RR/2020</w:t>
          </w:r>
        </w:p>
      </w:tc>
    </w:tr>
    <w:tr w:rsidR="00431AC4" w14:paraId="2F47AC72" w14:textId="77777777">
      <w:trPr>
        <w:trHeight w:val="261"/>
      </w:trPr>
      <w:tc>
        <w:tcPr>
          <w:tcW w:w="2691" w:type="dxa"/>
        </w:tcPr>
        <w:p w14:paraId="154A4752" w14:textId="77777777" w:rsidR="00431AC4" w:rsidRDefault="00431AC4">
          <w:pPr>
            <w:tabs>
              <w:tab w:val="right" w:pos="8838"/>
            </w:tabs>
            <w:ind w:right="-105"/>
            <w:rPr>
              <w:b/>
            </w:rPr>
          </w:pPr>
          <w:r>
            <w:rPr>
              <w:b/>
            </w:rPr>
            <w:t>Sujeto Obligado:</w:t>
          </w:r>
        </w:p>
      </w:tc>
      <w:tc>
        <w:tcPr>
          <w:tcW w:w="3405" w:type="dxa"/>
        </w:tcPr>
        <w:p w14:paraId="5D9EC711" w14:textId="77777777" w:rsidR="00431AC4" w:rsidRDefault="00431AC4">
          <w:pPr>
            <w:tabs>
              <w:tab w:val="right" w:pos="8838"/>
            </w:tabs>
            <w:ind w:right="-32"/>
          </w:pPr>
          <w:r>
            <w:t>Ayuntamiento de Temascalcingo</w:t>
          </w:r>
        </w:p>
      </w:tc>
    </w:tr>
    <w:tr w:rsidR="00431AC4" w14:paraId="11FBB450" w14:textId="77777777">
      <w:trPr>
        <w:trHeight w:val="261"/>
      </w:trPr>
      <w:tc>
        <w:tcPr>
          <w:tcW w:w="2691" w:type="dxa"/>
        </w:tcPr>
        <w:p w14:paraId="6BAF6003" w14:textId="77777777" w:rsidR="00431AC4" w:rsidRDefault="00431AC4">
          <w:pPr>
            <w:tabs>
              <w:tab w:val="right" w:pos="8838"/>
            </w:tabs>
            <w:ind w:right="-105"/>
            <w:rPr>
              <w:b/>
            </w:rPr>
          </w:pPr>
          <w:r>
            <w:rPr>
              <w:b/>
            </w:rPr>
            <w:t>Comisionado Ponente:</w:t>
          </w:r>
        </w:p>
      </w:tc>
      <w:tc>
        <w:tcPr>
          <w:tcW w:w="3405" w:type="dxa"/>
        </w:tcPr>
        <w:p w14:paraId="420341AF" w14:textId="77777777" w:rsidR="00431AC4" w:rsidRDefault="00431AC4">
          <w:pPr>
            <w:tabs>
              <w:tab w:val="right" w:pos="8838"/>
            </w:tabs>
            <w:ind w:right="-32"/>
            <w:rPr>
              <w:b/>
            </w:rPr>
          </w:pPr>
          <w:r>
            <w:t>Luis Gustavo Parra Noriega</w:t>
          </w:r>
        </w:p>
      </w:tc>
    </w:tr>
  </w:tbl>
  <w:p w14:paraId="00411D75" w14:textId="77777777" w:rsidR="00431AC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31AC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78.3pt;margin-top:-128.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431AC4" w14:paraId="40D5D5A3" w14:textId="77777777" w:rsidTr="009544D4">
      <w:trPr>
        <w:trHeight w:val="138"/>
      </w:trPr>
      <w:tc>
        <w:tcPr>
          <w:tcW w:w="2268" w:type="dxa"/>
          <w:vAlign w:val="center"/>
        </w:tcPr>
        <w:p w14:paraId="43377EBE" w14:textId="77777777" w:rsidR="00431AC4" w:rsidRDefault="00431AC4" w:rsidP="008C266D">
          <w:pPr>
            <w:tabs>
              <w:tab w:val="right" w:pos="8838"/>
            </w:tabs>
            <w:ind w:left="-108" w:right="-105"/>
            <w:jc w:val="left"/>
            <w:rPr>
              <w:b/>
            </w:rPr>
          </w:pPr>
        </w:p>
        <w:p w14:paraId="1DB5C8D0" w14:textId="7E98B3D2" w:rsidR="00431AC4" w:rsidRDefault="00431AC4" w:rsidP="008C266D">
          <w:pPr>
            <w:tabs>
              <w:tab w:val="right" w:pos="8838"/>
            </w:tabs>
            <w:ind w:left="-108" w:right="-105"/>
            <w:jc w:val="left"/>
            <w:rPr>
              <w:b/>
            </w:rPr>
          </w:pPr>
          <w:r>
            <w:rPr>
              <w:b/>
            </w:rPr>
            <w:t>Recurso de Revisión:</w:t>
          </w:r>
        </w:p>
      </w:tc>
      <w:tc>
        <w:tcPr>
          <w:tcW w:w="4395" w:type="dxa"/>
        </w:tcPr>
        <w:p w14:paraId="5BCC69C4" w14:textId="77777777" w:rsidR="00431AC4" w:rsidRPr="00EF0C39" w:rsidRDefault="00431AC4" w:rsidP="008C266D">
          <w:pPr>
            <w:tabs>
              <w:tab w:val="right" w:pos="8838"/>
            </w:tabs>
            <w:ind w:right="57"/>
          </w:pPr>
        </w:p>
        <w:p w14:paraId="61E59D71" w14:textId="1C4F8E8C" w:rsidR="00431AC4" w:rsidRPr="00EF0C39" w:rsidRDefault="00D12DB9" w:rsidP="008C266D">
          <w:pPr>
            <w:tabs>
              <w:tab w:val="right" w:pos="8838"/>
            </w:tabs>
            <w:ind w:right="57"/>
          </w:pPr>
          <w:r>
            <w:t>12611</w:t>
          </w:r>
          <w:r w:rsidR="00431AC4">
            <w:t>/INFOEM/IP/RR/2025</w:t>
          </w:r>
        </w:p>
      </w:tc>
    </w:tr>
    <w:tr w:rsidR="00431AC4" w14:paraId="7A281F30" w14:textId="77777777" w:rsidTr="009544D4">
      <w:trPr>
        <w:trHeight w:val="273"/>
      </w:trPr>
      <w:tc>
        <w:tcPr>
          <w:tcW w:w="2268" w:type="dxa"/>
        </w:tcPr>
        <w:p w14:paraId="6671A308" w14:textId="77777777" w:rsidR="00431AC4" w:rsidRDefault="00431AC4" w:rsidP="008C266D">
          <w:pPr>
            <w:tabs>
              <w:tab w:val="right" w:pos="8838"/>
            </w:tabs>
            <w:ind w:left="-108" w:right="-105"/>
            <w:rPr>
              <w:b/>
            </w:rPr>
          </w:pPr>
          <w:r>
            <w:rPr>
              <w:b/>
            </w:rPr>
            <w:t>Sujeto Obligado:</w:t>
          </w:r>
        </w:p>
      </w:tc>
      <w:tc>
        <w:tcPr>
          <w:tcW w:w="4395" w:type="dxa"/>
        </w:tcPr>
        <w:p w14:paraId="30885B6D" w14:textId="6B3950B0" w:rsidR="00431AC4" w:rsidRPr="00EF0C39" w:rsidRDefault="005F3522" w:rsidP="00530177">
          <w:pPr>
            <w:tabs>
              <w:tab w:val="right" w:pos="8838"/>
            </w:tabs>
            <w:ind w:right="175"/>
          </w:pPr>
          <w:r>
            <w:t>Ayuntamiento de Chalco</w:t>
          </w:r>
        </w:p>
      </w:tc>
    </w:tr>
    <w:tr w:rsidR="00431AC4" w14:paraId="00C22F2F" w14:textId="77777777" w:rsidTr="009544D4">
      <w:trPr>
        <w:trHeight w:val="273"/>
      </w:trPr>
      <w:tc>
        <w:tcPr>
          <w:tcW w:w="2268" w:type="dxa"/>
        </w:tcPr>
        <w:p w14:paraId="70417649" w14:textId="77777777" w:rsidR="00431AC4" w:rsidRDefault="00431AC4" w:rsidP="008C266D">
          <w:pPr>
            <w:tabs>
              <w:tab w:val="right" w:pos="8838"/>
            </w:tabs>
            <w:ind w:left="-108" w:right="-105"/>
            <w:rPr>
              <w:b/>
            </w:rPr>
          </w:pPr>
          <w:r>
            <w:rPr>
              <w:b/>
            </w:rPr>
            <w:t>Comisionado Ponente:</w:t>
          </w:r>
        </w:p>
      </w:tc>
      <w:tc>
        <w:tcPr>
          <w:tcW w:w="4395" w:type="dxa"/>
        </w:tcPr>
        <w:p w14:paraId="5E6EB38B" w14:textId="77777777" w:rsidR="00431AC4" w:rsidRPr="00EF0C39" w:rsidRDefault="00431AC4" w:rsidP="008C266D">
          <w:pPr>
            <w:tabs>
              <w:tab w:val="right" w:pos="8838"/>
            </w:tabs>
            <w:ind w:right="-170"/>
          </w:pPr>
          <w:r w:rsidRPr="00EF0C39">
            <w:t>Luis Gustavo Parra Noriega</w:t>
          </w:r>
        </w:p>
        <w:p w14:paraId="1A63C67B" w14:textId="77777777" w:rsidR="00431AC4" w:rsidRPr="00754528" w:rsidRDefault="00431AC4" w:rsidP="008C266D">
          <w:pPr>
            <w:tabs>
              <w:tab w:val="right" w:pos="8838"/>
            </w:tabs>
            <w:ind w:right="-170"/>
            <w:rPr>
              <w:b/>
              <w:sz w:val="13"/>
              <w:szCs w:val="13"/>
            </w:rPr>
          </w:pPr>
        </w:p>
      </w:tc>
    </w:tr>
  </w:tbl>
  <w:p w14:paraId="3498D107" w14:textId="7E17876C" w:rsidR="00431AC4" w:rsidRDefault="00431AC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3A6A4493" w:rsidR="00431AC4" w:rsidRDefault="00431AC4">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31AC4" w14:paraId="6B3232BD" w14:textId="77777777" w:rsidTr="007135B9">
      <w:trPr>
        <w:trHeight w:val="132"/>
      </w:trPr>
      <w:tc>
        <w:tcPr>
          <w:tcW w:w="2551" w:type="dxa"/>
        </w:tcPr>
        <w:p w14:paraId="38F16E2F" w14:textId="77777777" w:rsidR="00431AC4" w:rsidRDefault="00431AC4">
          <w:pPr>
            <w:tabs>
              <w:tab w:val="right" w:pos="8838"/>
            </w:tabs>
            <w:ind w:right="-105"/>
            <w:rPr>
              <w:b/>
            </w:rPr>
          </w:pPr>
          <w:r>
            <w:rPr>
              <w:b/>
            </w:rPr>
            <w:t>Recurso de Revisión:</w:t>
          </w:r>
        </w:p>
      </w:tc>
      <w:tc>
        <w:tcPr>
          <w:tcW w:w="4253" w:type="dxa"/>
        </w:tcPr>
        <w:p w14:paraId="211CDC0A" w14:textId="600BB6AD" w:rsidR="00431AC4" w:rsidRPr="00026C6B" w:rsidRDefault="00D12DB9" w:rsidP="00026C6B">
          <w:r>
            <w:t>12611</w:t>
          </w:r>
          <w:r w:rsidR="00431AC4">
            <w:t>/INFOEM/IP/RR/2025</w:t>
          </w:r>
        </w:p>
      </w:tc>
    </w:tr>
    <w:tr w:rsidR="00431AC4" w14:paraId="6AA3CC58" w14:textId="77777777" w:rsidTr="007135B9">
      <w:trPr>
        <w:trHeight w:val="132"/>
      </w:trPr>
      <w:tc>
        <w:tcPr>
          <w:tcW w:w="2551" w:type="dxa"/>
        </w:tcPr>
        <w:p w14:paraId="7FD164F5" w14:textId="77777777" w:rsidR="00431AC4" w:rsidRDefault="00431AC4">
          <w:pPr>
            <w:tabs>
              <w:tab w:val="left" w:pos="1875"/>
            </w:tabs>
            <w:ind w:right="-105"/>
            <w:rPr>
              <w:b/>
            </w:rPr>
          </w:pPr>
          <w:r>
            <w:rPr>
              <w:b/>
            </w:rPr>
            <w:t>Recurrente:</w:t>
          </w:r>
          <w:r>
            <w:rPr>
              <w:b/>
            </w:rPr>
            <w:tab/>
          </w:r>
        </w:p>
      </w:tc>
      <w:tc>
        <w:tcPr>
          <w:tcW w:w="4253" w:type="dxa"/>
        </w:tcPr>
        <w:p w14:paraId="1F1B0537" w14:textId="365F67A0" w:rsidR="00431AC4" w:rsidRPr="00EF0C39" w:rsidRDefault="00076A85" w:rsidP="00530177">
          <w:r w:rsidRPr="00076A85">
            <w:rPr>
              <w:highlight w:val="black"/>
            </w:rPr>
            <w:t>XXXXXXXXXXXXXXXX</w:t>
          </w:r>
        </w:p>
      </w:tc>
    </w:tr>
    <w:tr w:rsidR="00431AC4" w14:paraId="5113CAA6" w14:textId="77777777" w:rsidTr="007135B9">
      <w:trPr>
        <w:trHeight w:val="261"/>
      </w:trPr>
      <w:tc>
        <w:tcPr>
          <w:tcW w:w="2551" w:type="dxa"/>
        </w:tcPr>
        <w:p w14:paraId="28E3431B" w14:textId="30EC7C18" w:rsidR="00431AC4" w:rsidRDefault="00431AC4">
          <w:pPr>
            <w:tabs>
              <w:tab w:val="right" w:pos="8838"/>
            </w:tabs>
            <w:ind w:right="-105"/>
            <w:rPr>
              <w:b/>
            </w:rPr>
          </w:pPr>
          <w:r>
            <w:rPr>
              <w:b/>
            </w:rPr>
            <w:t>Sujeto Obligado:</w:t>
          </w:r>
        </w:p>
      </w:tc>
      <w:tc>
        <w:tcPr>
          <w:tcW w:w="4253" w:type="dxa"/>
        </w:tcPr>
        <w:p w14:paraId="3192354E" w14:textId="7F28F869" w:rsidR="00431AC4" w:rsidRPr="00026C6B" w:rsidRDefault="005F3522" w:rsidP="00530177">
          <w:r>
            <w:t>Ayuntamiento de Chalco</w:t>
          </w:r>
        </w:p>
      </w:tc>
    </w:tr>
    <w:tr w:rsidR="00431AC4" w14:paraId="5D4C2A35" w14:textId="77777777" w:rsidTr="007135B9">
      <w:trPr>
        <w:trHeight w:val="261"/>
      </w:trPr>
      <w:tc>
        <w:tcPr>
          <w:tcW w:w="2551" w:type="dxa"/>
        </w:tcPr>
        <w:p w14:paraId="7F522FEC" w14:textId="77777777" w:rsidR="00431AC4" w:rsidRDefault="00431AC4">
          <w:pPr>
            <w:tabs>
              <w:tab w:val="right" w:pos="8838"/>
            </w:tabs>
            <w:ind w:right="-105"/>
            <w:rPr>
              <w:b/>
            </w:rPr>
          </w:pPr>
          <w:r>
            <w:rPr>
              <w:b/>
            </w:rPr>
            <w:t>Comisionado Ponente:</w:t>
          </w:r>
        </w:p>
      </w:tc>
      <w:tc>
        <w:tcPr>
          <w:tcW w:w="4253" w:type="dxa"/>
        </w:tcPr>
        <w:p w14:paraId="0F0566F9" w14:textId="77777777" w:rsidR="00431AC4" w:rsidRPr="00EF0C39" w:rsidRDefault="00431AC4" w:rsidP="00C46A25">
          <w:pPr>
            <w:tabs>
              <w:tab w:val="right" w:pos="8838"/>
            </w:tabs>
            <w:ind w:right="-32"/>
            <w:rPr>
              <w:b/>
            </w:rPr>
          </w:pPr>
          <w:r w:rsidRPr="00EF0C39">
            <w:t>Luis Gustavo Parra Noriega</w:t>
          </w:r>
        </w:p>
      </w:tc>
    </w:tr>
  </w:tbl>
  <w:p w14:paraId="4DFC2598" w14:textId="77777777" w:rsidR="00431AC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BE0DBE"/>
    <w:multiLevelType w:val="hybridMultilevel"/>
    <w:tmpl w:val="D8A84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6F0A4F"/>
    <w:multiLevelType w:val="hybridMultilevel"/>
    <w:tmpl w:val="636CB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6012161">
    <w:abstractNumId w:val="14"/>
  </w:num>
  <w:num w:numId="2" w16cid:durableId="1773938510">
    <w:abstractNumId w:val="25"/>
  </w:num>
  <w:num w:numId="3" w16cid:durableId="93746440">
    <w:abstractNumId w:val="22"/>
  </w:num>
  <w:num w:numId="4" w16cid:durableId="1521579605">
    <w:abstractNumId w:val="24"/>
  </w:num>
  <w:num w:numId="5" w16cid:durableId="1078745266">
    <w:abstractNumId w:val="0"/>
  </w:num>
  <w:num w:numId="6" w16cid:durableId="1111125054">
    <w:abstractNumId w:val="9"/>
  </w:num>
  <w:num w:numId="7" w16cid:durableId="310332143">
    <w:abstractNumId w:val="15"/>
  </w:num>
  <w:num w:numId="8" w16cid:durableId="264729703">
    <w:abstractNumId w:val="18"/>
  </w:num>
  <w:num w:numId="9" w16cid:durableId="313216357">
    <w:abstractNumId w:val="9"/>
  </w:num>
  <w:num w:numId="10" w16cid:durableId="187422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697983">
    <w:abstractNumId w:val="19"/>
  </w:num>
  <w:num w:numId="12" w16cid:durableId="558176102">
    <w:abstractNumId w:val="20"/>
  </w:num>
  <w:num w:numId="13" w16cid:durableId="1490362489">
    <w:abstractNumId w:val="17"/>
  </w:num>
  <w:num w:numId="14" w16cid:durableId="1670522692">
    <w:abstractNumId w:val="8"/>
  </w:num>
  <w:num w:numId="15" w16cid:durableId="498347532">
    <w:abstractNumId w:val="3"/>
  </w:num>
  <w:num w:numId="16" w16cid:durableId="812524482">
    <w:abstractNumId w:val="12"/>
  </w:num>
  <w:num w:numId="17" w16cid:durableId="259069601">
    <w:abstractNumId w:val="23"/>
  </w:num>
  <w:num w:numId="18" w16cid:durableId="391007767">
    <w:abstractNumId w:val="21"/>
  </w:num>
  <w:num w:numId="19" w16cid:durableId="790318309">
    <w:abstractNumId w:val="5"/>
  </w:num>
  <w:num w:numId="20" w16cid:durableId="1833833526">
    <w:abstractNumId w:val="4"/>
  </w:num>
  <w:num w:numId="21" w16cid:durableId="1072311037">
    <w:abstractNumId w:val="2"/>
  </w:num>
  <w:num w:numId="22" w16cid:durableId="640959714">
    <w:abstractNumId w:val="7"/>
  </w:num>
  <w:num w:numId="23" w16cid:durableId="2036731961">
    <w:abstractNumId w:val="10"/>
  </w:num>
  <w:num w:numId="24" w16cid:durableId="65224098">
    <w:abstractNumId w:val="6"/>
  </w:num>
  <w:num w:numId="25" w16cid:durableId="1601716843">
    <w:abstractNumId w:val="11"/>
  </w:num>
  <w:num w:numId="26" w16cid:durableId="1296106612">
    <w:abstractNumId w:val="13"/>
  </w:num>
  <w:num w:numId="27" w16cid:durableId="402340268">
    <w:abstractNumId w:val="16"/>
  </w:num>
  <w:num w:numId="28" w16cid:durableId="221065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4646"/>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3084A"/>
    <w:rsid w:val="000316C2"/>
    <w:rsid w:val="00033026"/>
    <w:rsid w:val="0003318A"/>
    <w:rsid w:val="00033683"/>
    <w:rsid w:val="00033F2C"/>
    <w:rsid w:val="0003782D"/>
    <w:rsid w:val="0004134C"/>
    <w:rsid w:val="000417D0"/>
    <w:rsid w:val="000426D2"/>
    <w:rsid w:val="00043930"/>
    <w:rsid w:val="0004588A"/>
    <w:rsid w:val="000461C5"/>
    <w:rsid w:val="00050159"/>
    <w:rsid w:val="00050E2E"/>
    <w:rsid w:val="00057D14"/>
    <w:rsid w:val="000602BA"/>
    <w:rsid w:val="00061123"/>
    <w:rsid w:val="000709AA"/>
    <w:rsid w:val="0007338A"/>
    <w:rsid w:val="000735F0"/>
    <w:rsid w:val="00075996"/>
    <w:rsid w:val="00075A71"/>
    <w:rsid w:val="00075CAF"/>
    <w:rsid w:val="00076A85"/>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2DFF"/>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642"/>
    <w:rsid w:val="001558BD"/>
    <w:rsid w:val="00155BD1"/>
    <w:rsid w:val="001566D4"/>
    <w:rsid w:val="001578F5"/>
    <w:rsid w:val="0016373E"/>
    <w:rsid w:val="00163D9F"/>
    <w:rsid w:val="00164F5C"/>
    <w:rsid w:val="00165AB2"/>
    <w:rsid w:val="00166452"/>
    <w:rsid w:val="00166907"/>
    <w:rsid w:val="00166A42"/>
    <w:rsid w:val="0016772E"/>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4AAB"/>
    <w:rsid w:val="00194EF6"/>
    <w:rsid w:val="00195EC3"/>
    <w:rsid w:val="00196026"/>
    <w:rsid w:val="0019787E"/>
    <w:rsid w:val="001A0321"/>
    <w:rsid w:val="001A2062"/>
    <w:rsid w:val="001A31A2"/>
    <w:rsid w:val="001A4374"/>
    <w:rsid w:val="001A5B6F"/>
    <w:rsid w:val="001A6C0E"/>
    <w:rsid w:val="001B2090"/>
    <w:rsid w:val="001B34AA"/>
    <w:rsid w:val="001B7EFB"/>
    <w:rsid w:val="001C638A"/>
    <w:rsid w:val="001D1635"/>
    <w:rsid w:val="001D24CD"/>
    <w:rsid w:val="001D304F"/>
    <w:rsid w:val="001D3FB9"/>
    <w:rsid w:val="001D4F21"/>
    <w:rsid w:val="001D5DBE"/>
    <w:rsid w:val="001D7D0E"/>
    <w:rsid w:val="001E1A89"/>
    <w:rsid w:val="001E4284"/>
    <w:rsid w:val="001E4ECA"/>
    <w:rsid w:val="001E6077"/>
    <w:rsid w:val="001F285F"/>
    <w:rsid w:val="001F686C"/>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2E4"/>
    <w:rsid w:val="00273A4E"/>
    <w:rsid w:val="00274745"/>
    <w:rsid w:val="00275184"/>
    <w:rsid w:val="00280625"/>
    <w:rsid w:val="00280CF8"/>
    <w:rsid w:val="00282176"/>
    <w:rsid w:val="002822A3"/>
    <w:rsid w:val="0028403A"/>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3C"/>
    <w:rsid w:val="002C1B55"/>
    <w:rsid w:val="002C24FC"/>
    <w:rsid w:val="002C4A39"/>
    <w:rsid w:val="002C516D"/>
    <w:rsid w:val="002C531D"/>
    <w:rsid w:val="002C7C43"/>
    <w:rsid w:val="002D2107"/>
    <w:rsid w:val="002D2619"/>
    <w:rsid w:val="002D28B2"/>
    <w:rsid w:val="002D2A77"/>
    <w:rsid w:val="002D2BA9"/>
    <w:rsid w:val="002D6439"/>
    <w:rsid w:val="002D7CDE"/>
    <w:rsid w:val="002D7D07"/>
    <w:rsid w:val="002E2627"/>
    <w:rsid w:val="002E34B7"/>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1F8"/>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0107"/>
    <w:rsid w:val="003C13CD"/>
    <w:rsid w:val="003C28F2"/>
    <w:rsid w:val="003C462B"/>
    <w:rsid w:val="003C5CE5"/>
    <w:rsid w:val="003C7338"/>
    <w:rsid w:val="003D0D51"/>
    <w:rsid w:val="003D1DC8"/>
    <w:rsid w:val="003D25DC"/>
    <w:rsid w:val="003D35DB"/>
    <w:rsid w:val="003D6C3F"/>
    <w:rsid w:val="003D6FD4"/>
    <w:rsid w:val="003E1C9F"/>
    <w:rsid w:val="003E20C8"/>
    <w:rsid w:val="003E33FE"/>
    <w:rsid w:val="003E540A"/>
    <w:rsid w:val="003E738B"/>
    <w:rsid w:val="003F0A87"/>
    <w:rsid w:val="003F11E8"/>
    <w:rsid w:val="003F1D74"/>
    <w:rsid w:val="003F2BF4"/>
    <w:rsid w:val="003F2C8E"/>
    <w:rsid w:val="003F4C6D"/>
    <w:rsid w:val="003F5F91"/>
    <w:rsid w:val="003F6C55"/>
    <w:rsid w:val="0040001F"/>
    <w:rsid w:val="0040104F"/>
    <w:rsid w:val="0041096D"/>
    <w:rsid w:val="00412F73"/>
    <w:rsid w:val="00417AAE"/>
    <w:rsid w:val="00417F3A"/>
    <w:rsid w:val="00420209"/>
    <w:rsid w:val="004214D5"/>
    <w:rsid w:val="00422311"/>
    <w:rsid w:val="00424041"/>
    <w:rsid w:val="00427D72"/>
    <w:rsid w:val="00431AC4"/>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E0AD6"/>
    <w:rsid w:val="004E22FF"/>
    <w:rsid w:val="004E3063"/>
    <w:rsid w:val="004E47CC"/>
    <w:rsid w:val="004F0490"/>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47487"/>
    <w:rsid w:val="00550174"/>
    <w:rsid w:val="00550C0B"/>
    <w:rsid w:val="00550D62"/>
    <w:rsid w:val="005520E3"/>
    <w:rsid w:val="00552C67"/>
    <w:rsid w:val="005569DD"/>
    <w:rsid w:val="0056164D"/>
    <w:rsid w:val="00562D89"/>
    <w:rsid w:val="0056443F"/>
    <w:rsid w:val="005723B8"/>
    <w:rsid w:val="00572946"/>
    <w:rsid w:val="005732F8"/>
    <w:rsid w:val="00580345"/>
    <w:rsid w:val="005816DE"/>
    <w:rsid w:val="00582FC0"/>
    <w:rsid w:val="00583357"/>
    <w:rsid w:val="0058492B"/>
    <w:rsid w:val="00585C29"/>
    <w:rsid w:val="0058767A"/>
    <w:rsid w:val="00590FB7"/>
    <w:rsid w:val="005914EE"/>
    <w:rsid w:val="005A0A77"/>
    <w:rsid w:val="005A0A9C"/>
    <w:rsid w:val="005A39F4"/>
    <w:rsid w:val="005A79D9"/>
    <w:rsid w:val="005A7C36"/>
    <w:rsid w:val="005B21C9"/>
    <w:rsid w:val="005B4D40"/>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2CD3"/>
    <w:rsid w:val="005E3A0D"/>
    <w:rsid w:val="005F199D"/>
    <w:rsid w:val="005F3522"/>
    <w:rsid w:val="005F36FE"/>
    <w:rsid w:val="005F38B6"/>
    <w:rsid w:val="005F4074"/>
    <w:rsid w:val="005F4738"/>
    <w:rsid w:val="005F4B93"/>
    <w:rsid w:val="005F5498"/>
    <w:rsid w:val="005F728B"/>
    <w:rsid w:val="005F773E"/>
    <w:rsid w:val="005F785A"/>
    <w:rsid w:val="00600A20"/>
    <w:rsid w:val="006025BA"/>
    <w:rsid w:val="00602E5C"/>
    <w:rsid w:val="006033D0"/>
    <w:rsid w:val="006037C1"/>
    <w:rsid w:val="00603940"/>
    <w:rsid w:val="006059DA"/>
    <w:rsid w:val="00606B1A"/>
    <w:rsid w:val="0061069B"/>
    <w:rsid w:val="0061338D"/>
    <w:rsid w:val="006207EF"/>
    <w:rsid w:val="00621F2D"/>
    <w:rsid w:val="00622401"/>
    <w:rsid w:val="00622714"/>
    <w:rsid w:val="00622CFB"/>
    <w:rsid w:val="006241B8"/>
    <w:rsid w:val="006242F2"/>
    <w:rsid w:val="00624488"/>
    <w:rsid w:val="006245B4"/>
    <w:rsid w:val="006271E6"/>
    <w:rsid w:val="006272E2"/>
    <w:rsid w:val="00627513"/>
    <w:rsid w:val="00631035"/>
    <w:rsid w:val="00631EA9"/>
    <w:rsid w:val="006328FE"/>
    <w:rsid w:val="00632F61"/>
    <w:rsid w:val="00635A27"/>
    <w:rsid w:val="00635A3C"/>
    <w:rsid w:val="00637B1E"/>
    <w:rsid w:val="0064067B"/>
    <w:rsid w:val="006408E9"/>
    <w:rsid w:val="006409F3"/>
    <w:rsid w:val="00640A1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1B2"/>
    <w:rsid w:val="00702D5F"/>
    <w:rsid w:val="00702D92"/>
    <w:rsid w:val="007041F9"/>
    <w:rsid w:val="00704B14"/>
    <w:rsid w:val="00705FBB"/>
    <w:rsid w:val="0070680E"/>
    <w:rsid w:val="00707035"/>
    <w:rsid w:val="00707ECD"/>
    <w:rsid w:val="0071036C"/>
    <w:rsid w:val="00710675"/>
    <w:rsid w:val="00712ED6"/>
    <w:rsid w:val="007135B9"/>
    <w:rsid w:val="007153F3"/>
    <w:rsid w:val="00715B71"/>
    <w:rsid w:val="00716DFD"/>
    <w:rsid w:val="00717D87"/>
    <w:rsid w:val="007228F7"/>
    <w:rsid w:val="00722AD1"/>
    <w:rsid w:val="007248C4"/>
    <w:rsid w:val="007279D2"/>
    <w:rsid w:val="0073003B"/>
    <w:rsid w:val="00730D6D"/>
    <w:rsid w:val="00731FB9"/>
    <w:rsid w:val="007325C9"/>
    <w:rsid w:val="007331D2"/>
    <w:rsid w:val="00741DC7"/>
    <w:rsid w:val="007428C7"/>
    <w:rsid w:val="00743915"/>
    <w:rsid w:val="0074523A"/>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27"/>
    <w:rsid w:val="007823A6"/>
    <w:rsid w:val="00782D16"/>
    <w:rsid w:val="00783335"/>
    <w:rsid w:val="00783C84"/>
    <w:rsid w:val="00784CEA"/>
    <w:rsid w:val="00791DF5"/>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BE2"/>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05F"/>
    <w:rsid w:val="007E0603"/>
    <w:rsid w:val="007E172B"/>
    <w:rsid w:val="007E1EF5"/>
    <w:rsid w:val="007E25E4"/>
    <w:rsid w:val="007E3180"/>
    <w:rsid w:val="007E450B"/>
    <w:rsid w:val="007E5C7B"/>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26FEE"/>
    <w:rsid w:val="00830986"/>
    <w:rsid w:val="00836749"/>
    <w:rsid w:val="008416D9"/>
    <w:rsid w:val="008441D0"/>
    <w:rsid w:val="00844BF7"/>
    <w:rsid w:val="00846A92"/>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5F24"/>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615C"/>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4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7989"/>
    <w:rsid w:val="00983208"/>
    <w:rsid w:val="00983A37"/>
    <w:rsid w:val="00983F77"/>
    <w:rsid w:val="00986D91"/>
    <w:rsid w:val="0098781A"/>
    <w:rsid w:val="0099152B"/>
    <w:rsid w:val="00992530"/>
    <w:rsid w:val="00992901"/>
    <w:rsid w:val="009948FA"/>
    <w:rsid w:val="00995F75"/>
    <w:rsid w:val="00996BDA"/>
    <w:rsid w:val="009973CB"/>
    <w:rsid w:val="0099797E"/>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564D"/>
    <w:rsid w:val="00A15E44"/>
    <w:rsid w:val="00A16D8E"/>
    <w:rsid w:val="00A20875"/>
    <w:rsid w:val="00A244C7"/>
    <w:rsid w:val="00A33F9B"/>
    <w:rsid w:val="00A34825"/>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28BD"/>
    <w:rsid w:val="00A63444"/>
    <w:rsid w:val="00A63E30"/>
    <w:rsid w:val="00A6488A"/>
    <w:rsid w:val="00A660B5"/>
    <w:rsid w:val="00A718B9"/>
    <w:rsid w:val="00A73E9A"/>
    <w:rsid w:val="00A7487F"/>
    <w:rsid w:val="00A753B3"/>
    <w:rsid w:val="00A75C5D"/>
    <w:rsid w:val="00A805B7"/>
    <w:rsid w:val="00A8342D"/>
    <w:rsid w:val="00A84E9B"/>
    <w:rsid w:val="00A85D07"/>
    <w:rsid w:val="00A91475"/>
    <w:rsid w:val="00A915DD"/>
    <w:rsid w:val="00A9286C"/>
    <w:rsid w:val="00A93910"/>
    <w:rsid w:val="00A94490"/>
    <w:rsid w:val="00A95E07"/>
    <w:rsid w:val="00A960F7"/>
    <w:rsid w:val="00A96794"/>
    <w:rsid w:val="00AA21E0"/>
    <w:rsid w:val="00AA345B"/>
    <w:rsid w:val="00AA407B"/>
    <w:rsid w:val="00AA5377"/>
    <w:rsid w:val="00AA556D"/>
    <w:rsid w:val="00AA6BA1"/>
    <w:rsid w:val="00AB0BA1"/>
    <w:rsid w:val="00AB1C9F"/>
    <w:rsid w:val="00AB2F72"/>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2D4D"/>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0561"/>
    <w:rsid w:val="00B51050"/>
    <w:rsid w:val="00B52CAD"/>
    <w:rsid w:val="00B53EAF"/>
    <w:rsid w:val="00B554D6"/>
    <w:rsid w:val="00B60AF8"/>
    <w:rsid w:val="00B60BB0"/>
    <w:rsid w:val="00B6454E"/>
    <w:rsid w:val="00B65BCA"/>
    <w:rsid w:val="00B6639B"/>
    <w:rsid w:val="00B66F84"/>
    <w:rsid w:val="00B675A3"/>
    <w:rsid w:val="00B67947"/>
    <w:rsid w:val="00B67B18"/>
    <w:rsid w:val="00B7100A"/>
    <w:rsid w:val="00B747D5"/>
    <w:rsid w:val="00B7570D"/>
    <w:rsid w:val="00B7585F"/>
    <w:rsid w:val="00B83944"/>
    <w:rsid w:val="00B83FAF"/>
    <w:rsid w:val="00B84F6E"/>
    <w:rsid w:val="00B855F5"/>
    <w:rsid w:val="00B94E8F"/>
    <w:rsid w:val="00B9500B"/>
    <w:rsid w:val="00B970C0"/>
    <w:rsid w:val="00BA1D80"/>
    <w:rsid w:val="00BA4221"/>
    <w:rsid w:val="00BA4E6F"/>
    <w:rsid w:val="00BA56A8"/>
    <w:rsid w:val="00BA784F"/>
    <w:rsid w:val="00BA7A1E"/>
    <w:rsid w:val="00BB0283"/>
    <w:rsid w:val="00BB43F7"/>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04C1"/>
    <w:rsid w:val="00C11279"/>
    <w:rsid w:val="00C11A18"/>
    <w:rsid w:val="00C12B98"/>
    <w:rsid w:val="00C13A67"/>
    <w:rsid w:val="00C13CD5"/>
    <w:rsid w:val="00C157A7"/>
    <w:rsid w:val="00C16F9A"/>
    <w:rsid w:val="00C20EB4"/>
    <w:rsid w:val="00C218B8"/>
    <w:rsid w:val="00C21961"/>
    <w:rsid w:val="00C2361A"/>
    <w:rsid w:val="00C26633"/>
    <w:rsid w:val="00C335A8"/>
    <w:rsid w:val="00C3407B"/>
    <w:rsid w:val="00C34810"/>
    <w:rsid w:val="00C35F05"/>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0FB2"/>
    <w:rsid w:val="00C71EE2"/>
    <w:rsid w:val="00C7208B"/>
    <w:rsid w:val="00C737F2"/>
    <w:rsid w:val="00C74467"/>
    <w:rsid w:val="00C75DFF"/>
    <w:rsid w:val="00C77D00"/>
    <w:rsid w:val="00C80532"/>
    <w:rsid w:val="00C8054F"/>
    <w:rsid w:val="00C8082A"/>
    <w:rsid w:val="00C8214A"/>
    <w:rsid w:val="00C825E5"/>
    <w:rsid w:val="00C8345C"/>
    <w:rsid w:val="00C849B4"/>
    <w:rsid w:val="00C85CD7"/>
    <w:rsid w:val="00C91A6F"/>
    <w:rsid w:val="00C91E33"/>
    <w:rsid w:val="00C930C8"/>
    <w:rsid w:val="00C956AF"/>
    <w:rsid w:val="00C96A34"/>
    <w:rsid w:val="00CA12C9"/>
    <w:rsid w:val="00CA4355"/>
    <w:rsid w:val="00CA45CB"/>
    <w:rsid w:val="00CA4C3A"/>
    <w:rsid w:val="00CA4D6A"/>
    <w:rsid w:val="00CA4E57"/>
    <w:rsid w:val="00CA7AA6"/>
    <w:rsid w:val="00CA7ADA"/>
    <w:rsid w:val="00CA7C07"/>
    <w:rsid w:val="00CA7F1D"/>
    <w:rsid w:val="00CB29F6"/>
    <w:rsid w:val="00CB4D6F"/>
    <w:rsid w:val="00CB5C38"/>
    <w:rsid w:val="00CB7075"/>
    <w:rsid w:val="00CC076A"/>
    <w:rsid w:val="00CC1C87"/>
    <w:rsid w:val="00CC1F8C"/>
    <w:rsid w:val="00CC22CD"/>
    <w:rsid w:val="00CC2546"/>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2DB9"/>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5EDE"/>
    <w:rsid w:val="00D579E6"/>
    <w:rsid w:val="00D61FF9"/>
    <w:rsid w:val="00D62480"/>
    <w:rsid w:val="00D629E3"/>
    <w:rsid w:val="00D64273"/>
    <w:rsid w:val="00D64C4F"/>
    <w:rsid w:val="00D66306"/>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3DC"/>
    <w:rsid w:val="00DA2E83"/>
    <w:rsid w:val="00DA3868"/>
    <w:rsid w:val="00DA3A68"/>
    <w:rsid w:val="00DA4D90"/>
    <w:rsid w:val="00DA4E7C"/>
    <w:rsid w:val="00DA781A"/>
    <w:rsid w:val="00DB277C"/>
    <w:rsid w:val="00DB3FB8"/>
    <w:rsid w:val="00DB5A7F"/>
    <w:rsid w:val="00DB7DC5"/>
    <w:rsid w:val="00DC0C32"/>
    <w:rsid w:val="00DC175C"/>
    <w:rsid w:val="00DC4565"/>
    <w:rsid w:val="00DC69D9"/>
    <w:rsid w:val="00DC7159"/>
    <w:rsid w:val="00DC7C06"/>
    <w:rsid w:val="00DC7E08"/>
    <w:rsid w:val="00DD0CD5"/>
    <w:rsid w:val="00DD1932"/>
    <w:rsid w:val="00DD2423"/>
    <w:rsid w:val="00DD3480"/>
    <w:rsid w:val="00DD4191"/>
    <w:rsid w:val="00DD732B"/>
    <w:rsid w:val="00DD77E3"/>
    <w:rsid w:val="00DE00CB"/>
    <w:rsid w:val="00DE02CA"/>
    <w:rsid w:val="00DE224D"/>
    <w:rsid w:val="00DE41C5"/>
    <w:rsid w:val="00DF10DE"/>
    <w:rsid w:val="00DF13A9"/>
    <w:rsid w:val="00DF143A"/>
    <w:rsid w:val="00DF43D9"/>
    <w:rsid w:val="00DF7F84"/>
    <w:rsid w:val="00E022A1"/>
    <w:rsid w:val="00E0245B"/>
    <w:rsid w:val="00E02A52"/>
    <w:rsid w:val="00E03374"/>
    <w:rsid w:val="00E03423"/>
    <w:rsid w:val="00E0447A"/>
    <w:rsid w:val="00E04759"/>
    <w:rsid w:val="00E052B8"/>
    <w:rsid w:val="00E10780"/>
    <w:rsid w:val="00E12804"/>
    <w:rsid w:val="00E134FA"/>
    <w:rsid w:val="00E135C6"/>
    <w:rsid w:val="00E1488B"/>
    <w:rsid w:val="00E14979"/>
    <w:rsid w:val="00E15091"/>
    <w:rsid w:val="00E2070E"/>
    <w:rsid w:val="00E22006"/>
    <w:rsid w:val="00E22393"/>
    <w:rsid w:val="00E22EA8"/>
    <w:rsid w:val="00E23058"/>
    <w:rsid w:val="00E23B8B"/>
    <w:rsid w:val="00E25D40"/>
    <w:rsid w:val="00E264B7"/>
    <w:rsid w:val="00E27A97"/>
    <w:rsid w:val="00E319EF"/>
    <w:rsid w:val="00E31CB8"/>
    <w:rsid w:val="00E332FF"/>
    <w:rsid w:val="00E354BF"/>
    <w:rsid w:val="00E361ED"/>
    <w:rsid w:val="00E372D8"/>
    <w:rsid w:val="00E40395"/>
    <w:rsid w:val="00E40CA6"/>
    <w:rsid w:val="00E41747"/>
    <w:rsid w:val="00E44D06"/>
    <w:rsid w:val="00E46240"/>
    <w:rsid w:val="00E466C2"/>
    <w:rsid w:val="00E4766E"/>
    <w:rsid w:val="00E51420"/>
    <w:rsid w:val="00E54144"/>
    <w:rsid w:val="00E547F7"/>
    <w:rsid w:val="00E57404"/>
    <w:rsid w:val="00E57A6E"/>
    <w:rsid w:val="00E610A8"/>
    <w:rsid w:val="00E64726"/>
    <w:rsid w:val="00E64BEF"/>
    <w:rsid w:val="00E64E18"/>
    <w:rsid w:val="00E66BEB"/>
    <w:rsid w:val="00E676E1"/>
    <w:rsid w:val="00E71771"/>
    <w:rsid w:val="00E73985"/>
    <w:rsid w:val="00E7452D"/>
    <w:rsid w:val="00E74CB0"/>
    <w:rsid w:val="00E76EE9"/>
    <w:rsid w:val="00E7748E"/>
    <w:rsid w:val="00E80135"/>
    <w:rsid w:val="00E81B7C"/>
    <w:rsid w:val="00E824C7"/>
    <w:rsid w:val="00E82991"/>
    <w:rsid w:val="00E85AC5"/>
    <w:rsid w:val="00E864E9"/>
    <w:rsid w:val="00E909E3"/>
    <w:rsid w:val="00E91D41"/>
    <w:rsid w:val="00E9742F"/>
    <w:rsid w:val="00EA30BE"/>
    <w:rsid w:val="00EA372C"/>
    <w:rsid w:val="00EB020F"/>
    <w:rsid w:val="00EB33A4"/>
    <w:rsid w:val="00EB6216"/>
    <w:rsid w:val="00EB6CF0"/>
    <w:rsid w:val="00EC0F23"/>
    <w:rsid w:val="00EC1274"/>
    <w:rsid w:val="00EC263E"/>
    <w:rsid w:val="00EC285A"/>
    <w:rsid w:val="00EC3047"/>
    <w:rsid w:val="00EC4067"/>
    <w:rsid w:val="00EC4AC6"/>
    <w:rsid w:val="00EC4F2E"/>
    <w:rsid w:val="00EC5785"/>
    <w:rsid w:val="00EC5C68"/>
    <w:rsid w:val="00EC6576"/>
    <w:rsid w:val="00ED3627"/>
    <w:rsid w:val="00ED37B8"/>
    <w:rsid w:val="00ED3C94"/>
    <w:rsid w:val="00ED5B5F"/>
    <w:rsid w:val="00ED67BB"/>
    <w:rsid w:val="00EE1B70"/>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34ECF"/>
    <w:rsid w:val="00F40343"/>
    <w:rsid w:val="00F42088"/>
    <w:rsid w:val="00F42AD8"/>
    <w:rsid w:val="00F43789"/>
    <w:rsid w:val="00F50072"/>
    <w:rsid w:val="00F507C6"/>
    <w:rsid w:val="00F51CCB"/>
    <w:rsid w:val="00F51D19"/>
    <w:rsid w:val="00F530A8"/>
    <w:rsid w:val="00F53A54"/>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4008"/>
    <w:rsid w:val="00F955F5"/>
    <w:rsid w:val="00FA03D1"/>
    <w:rsid w:val="00FA0B83"/>
    <w:rsid w:val="00FA1E9B"/>
    <w:rsid w:val="00FA2ED3"/>
    <w:rsid w:val="00FA3A0C"/>
    <w:rsid w:val="00FA3EA6"/>
    <w:rsid w:val="00FA4ED9"/>
    <w:rsid w:val="00FA694F"/>
    <w:rsid w:val="00FA6B8E"/>
    <w:rsid w:val="00FB0D59"/>
    <w:rsid w:val="00FB1BAA"/>
    <w:rsid w:val="00FB1BCD"/>
    <w:rsid w:val="00FB1D33"/>
    <w:rsid w:val="00FB3ABA"/>
    <w:rsid w:val="00FB4BCE"/>
    <w:rsid w:val="00FB5ED7"/>
    <w:rsid w:val="00FB61C1"/>
    <w:rsid w:val="00FB7C3A"/>
    <w:rsid w:val="00FC01D5"/>
    <w:rsid w:val="00FC2034"/>
    <w:rsid w:val="00FC2517"/>
    <w:rsid w:val="00FC387F"/>
    <w:rsid w:val="00FC6F1F"/>
    <w:rsid w:val="00FC6F27"/>
    <w:rsid w:val="00FD175C"/>
    <w:rsid w:val="00FD34DC"/>
    <w:rsid w:val="00FD5141"/>
    <w:rsid w:val="00FD5CCF"/>
    <w:rsid w:val="00FD667D"/>
    <w:rsid w:val="00FE58DC"/>
    <w:rsid w:val="00FE609B"/>
    <w:rsid w:val="00FE62B8"/>
    <w:rsid w:val="00FE74A8"/>
    <w:rsid w:val="00FE7639"/>
    <w:rsid w:val="00FF3AD4"/>
    <w:rsid w:val="00FF45F3"/>
    <w:rsid w:val="00FF73B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81636320">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39226442">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E421D8-1D9D-4D77-8301-5A7CF93C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9476</Words>
  <Characters>50985</Characters>
  <Application>Microsoft Office Word</Application>
  <DocSecurity>0</DocSecurity>
  <Lines>980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5</cp:revision>
  <cp:lastPrinted>2025-11-27T17:49:00Z</cp:lastPrinted>
  <dcterms:created xsi:type="dcterms:W3CDTF">2025-11-27T17:49:00Z</dcterms:created>
  <dcterms:modified xsi:type="dcterms:W3CDTF">2025-12-14T22:06:00Z</dcterms:modified>
</cp:coreProperties>
</file>