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C2C5" w14:textId="77777777" w:rsidR="003628E1" w:rsidRPr="00E80CD0" w:rsidRDefault="00A96EB0">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E80CD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E80CD0">
        <w:rPr>
          <w:rFonts w:ascii="Palatino Linotype" w:eastAsia="Palatino Linotype" w:hAnsi="Palatino Linotype" w:cs="Palatino Linotype"/>
          <w:b/>
          <w:sz w:val="22"/>
          <w:szCs w:val="22"/>
        </w:rPr>
        <w:t>a treinta de abril de dos mil veinticinco</w:t>
      </w:r>
      <w:r w:rsidRPr="00E80CD0">
        <w:rPr>
          <w:rFonts w:ascii="Palatino Linotype" w:eastAsia="Palatino Linotype" w:hAnsi="Palatino Linotype" w:cs="Palatino Linotype"/>
          <w:sz w:val="22"/>
          <w:szCs w:val="22"/>
        </w:rPr>
        <w:t xml:space="preserve">. </w:t>
      </w:r>
    </w:p>
    <w:p w14:paraId="56E3B25E" w14:textId="77777777" w:rsidR="003628E1" w:rsidRPr="00E80CD0" w:rsidRDefault="00A96EB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80CD0">
        <w:rPr>
          <w:rFonts w:ascii="Palatino Linotype" w:eastAsia="Palatino Linotype" w:hAnsi="Palatino Linotype" w:cs="Palatino Linotype"/>
          <w:b/>
          <w:sz w:val="22"/>
          <w:szCs w:val="22"/>
        </w:rPr>
        <w:t>Visto</w:t>
      </w:r>
      <w:r w:rsidRPr="00E80CD0">
        <w:rPr>
          <w:rFonts w:ascii="Palatino Linotype" w:eastAsia="Palatino Linotype" w:hAnsi="Palatino Linotype" w:cs="Palatino Linotype"/>
          <w:sz w:val="22"/>
          <w:szCs w:val="22"/>
        </w:rPr>
        <w:t xml:space="preserve"> el expediente formado con motivo del recurso de revisión </w:t>
      </w:r>
      <w:r w:rsidRPr="00E80CD0">
        <w:rPr>
          <w:rFonts w:ascii="Palatino Linotype" w:eastAsia="Palatino Linotype" w:hAnsi="Palatino Linotype" w:cs="Palatino Linotype"/>
          <w:b/>
          <w:sz w:val="22"/>
          <w:szCs w:val="22"/>
        </w:rPr>
        <w:t>02314/INFOEM/IP/RR/2025</w:t>
      </w:r>
      <w:r w:rsidRPr="00E80CD0">
        <w:rPr>
          <w:rFonts w:ascii="Palatino Linotype" w:eastAsia="Palatino Linotype" w:hAnsi="Palatino Linotype" w:cs="Palatino Linotype"/>
          <w:sz w:val="22"/>
          <w:szCs w:val="22"/>
        </w:rPr>
        <w:t>, interpuesto por</w:t>
      </w:r>
      <w:r w:rsidRPr="00E80CD0">
        <w:rPr>
          <w:rFonts w:ascii="Arial" w:eastAsia="Arial" w:hAnsi="Arial" w:cs="Arial"/>
          <w:b/>
          <w:color w:val="FF0000"/>
          <w:sz w:val="15"/>
          <w:szCs w:val="15"/>
          <w:shd w:val="clear" w:color="auto" w:fill="F7F7F8"/>
        </w:rPr>
        <w:t xml:space="preserve"> </w:t>
      </w:r>
      <w:r w:rsidRPr="00E80CD0">
        <w:rPr>
          <w:rFonts w:ascii="Palatino Linotype" w:eastAsia="Palatino Linotype" w:hAnsi="Palatino Linotype" w:cs="Palatino Linotype"/>
          <w:b/>
          <w:sz w:val="22"/>
          <w:szCs w:val="22"/>
        </w:rPr>
        <w:t>una persona usuaria del Sistema de Acceso a la Información Mexiquense que no proporcionó nombre,</w:t>
      </w:r>
      <w:r w:rsidRPr="00E80CD0">
        <w:rPr>
          <w:rFonts w:ascii="Palatino Linotype" w:eastAsia="Palatino Linotype" w:hAnsi="Palatino Linotype" w:cs="Palatino Linotype"/>
          <w:sz w:val="22"/>
          <w:szCs w:val="22"/>
        </w:rPr>
        <w:t xml:space="preserve"> en lo sucesivo</w:t>
      </w:r>
      <w:r w:rsidRPr="00E80CD0">
        <w:rPr>
          <w:rFonts w:ascii="Palatino Linotype" w:eastAsia="Palatino Linotype" w:hAnsi="Palatino Linotype" w:cs="Palatino Linotype"/>
          <w:b/>
          <w:sz w:val="22"/>
          <w:szCs w:val="22"/>
        </w:rPr>
        <w:t xml:space="preserve"> la parte</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Recurrente,</w:t>
      </w:r>
      <w:r w:rsidRPr="00E80CD0">
        <w:rPr>
          <w:rFonts w:ascii="Palatino Linotype" w:eastAsia="Palatino Linotype" w:hAnsi="Palatino Linotype" w:cs="Palatino Linotype"/>
          <w:sz w:val="22"/>
          <w:szCs w:val="22"/>
        </w:rPr>
        <w:t xml:space="preserve"> en contra de la respuesta a su solicitud por parte del</w:t>
      </w:r>
      <w:r w:rsidRPr="00E80CD0">
        <w:rPr>
          <w:rFonts w:ascii="Palatino Linotype" w:eastAsia="Palatino Linotype" w:hAnsi="Palatino Linotype" w:cs="Palatino Linotype"/>
          <w:b/>
          <w:sz w:val="22"/>
          <w:szCs w:val="22"/>
        </w:rPr>
        <w:t xml:space="preserve"> Ayuntamiento de Toluca</w:t>
      </w:r>
      <w:r w:rsidRPr="00E80CD0">
        <w:rPr>
          <w:rFonts w:ascii="Palatino Linotype" w:eastAsia="Palatino Linotype" w:hAnsi="Palatino Linotype" w:cs="Palatino Linotype"/>
          <w:sz w:val="22"/>
          <w:szCs w:val="22"/>
        </w:rPr>
        <w:t>,</w:t>
      </w:r>
      <w:r w:rsidRPr="00E80CD0">
        <w:rPr>
          <w:rFonts w:ascii="Palatino Linotype" w:eastAsia="Palatino Linotype" w:hAnsi="Palatino Linotype" w:cs="Palatino Linotype"/>
          <w:b/>
          <w:sz w:val="22"/>
          <w:szCs w:val="22"/>
        </w:rPr>
        <w:t xml:space="preserve"> </w:t>
      </w:r>
      <w:r w:rsidRPr="00E80CD0">
        <w:rPr>
          <w:rFonts w:ascii="Palatino Linotype" w:eastAsia="Palatino Linotype" w:hAnsi="Palatino Linotype" w:cs="Palatino Linotype"/>
          <w:sz w:val="22"/>
          <w:szCs w:val="22"/>
        </w:rPr>
        <w:t xml:space="preserve">en lo sucesivo el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 xml:space="preserve">se procede a dictar la presente resolución con base en los siguientes: </w:t>
      </w:r>
    </w:p>
    <w:p w14:paraId="783E9FD4" w14:textId="77777777" w:rsidR="003628E1" w:rsidRPr="00E80CD0" w:rsidRDefault="00A96EB0">
      <w:pPr>
        <w:spacing w:before="240" w:after="240" w:line="360" w:lineRule="auto"/>
        <w:jc w:val="center"/>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t>I. A N T E C E D E N T E S</w:t>
      </w:r>
    </w:p>
    <w:p w14:paraId="158691F6" w14:textId="77777777" w:rsidR="003628E1" w:rsidRPr="00E80CD0" w:rsidRDefault="00A96EB0">
      <w:pPr>
        <w:spacing w:before="240" w:after="240"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1. Solicitud de acceso a la información.</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color w:val="000000"/>
          <w:sz w:val="22"/>
          <w:szCs w:val="22"/>
        </w:rPr>
        <w:t xml:space="preserve">Con fecha </w:t>
      </w:r>
      <w:r w:rsidRPr="00E80CD0">
        <w:rPr>
          <w:rFonts w:ascii="Palatino Linotype" w:eastAsia="Palatino Linotype" w:hAnsi="Palatino Linotype" w:cs="Palatino Linotype"/>
          <w:b/>
          <w:color w:val="000000"/>
          <w:sz w:val="22"/>
          <w:szCs w:val="22"/>
        </w:rPr>
        <w:t>veintiocho de enero de dos mil veinticinco</w:t>
      </w:r>
      <w:r w:rsidRPr="00E80CD0">
        <w:rPr>
          <w:rFonts w:ascii="Palatino Linotype" w:eastAsia="Palatino Linotype" w:hAnsi="Palatino Linotype" w:cs="Palatino Linotype"/>
          <w:color w:val="000000"/>
          <w:sz w:val="22"/>
          <w:szCs w:val="22"/>
        </w:rPr>
        <w:t xml:space="preserve">, la parte </w:t>
      </w:r>
      <w:r w:rsidRPr="00E80CD0">
        <w:rPr>
          <w:rFonts w:ascii="Palatino Linotype" w:eastAsia="Palatino Linotype" w:hAnsi="Palatino Linotype" w:cs="Palatino Linotype"/>
          <w:b/>
          <w:color w:val="000000"/>
          <w:sz w:val="22"/>
          <w:szCs w:val="22"/>
        </w:rPr>
        <w:t>Recurrente</w:t>
      </w:r>
      <w:r w:rsidRPr="00E80CD0">
        <w:rPr>
          <w:rFonts w:ascii="Palatino Linotype" w:eastAsia="Palatino Linotype" w:hAnsi="Palatino Linotype" w:cs="Palatino Linotype"/>
          <w:color w:val="000000"/>
          <w:sz w:val="22"/>
          <w:szCs w:val="22"/>
        </w:rPr>
        <w:t xml:space="preserve"> formuló solicitud de acceso a información pública al</w:t>
      </w:r>
      <w:r w:rsidRPr="00E80CD0">
        <w:rPr>
          <w:rFonts w:ascii="Palatino Linotype" w:eastAsia="Palatino Linotype" w:hAnsi="Palatino Linotype" w:cs="Palatino Linotype"/>
          <w:b/>
          <w:color w:val="000000"/>
          <w:sz w:val="22"/>
          <w:szCs w:val="22"/>
        </w:rPr>
        <w:t xml:space="preserve"> Sujeto Obligado</w:t>
      </w:r>
      <w:r w:rsidRPr="00E80CD0">
        <w:rPr>
          <w:rFonts w:ascii="Palatino Linotype" w:eastAsia="Palatino Linotype" w:hAnsi="Palatino Linotype" w:cs="Palatino Linotype"/>
          <w:color w:val="000000"/>
          <w:sz w:val="22"/>
          <w:szCs w:val="22"/>
        </w:rPr>
        <w:t xml:space="preserve"> a través del Sistema de Acceso a la Información Mexiquense, en adelante SAIMEX; misma a la que se le asignó el número</w:t>
      </w:r>
      <w:r w:rsidRPr="00E80CD0">
        <w:t xml:space="preserve"> </w:t>
      </w:r>
      <w:r w:rsidRPr="00E80CD0">
        <w:rPr>
          <w:rFonts w:ascii="Palatino Linotype" w:eastAsia="Palatino Linotype" w:hAnsi="Palatino Linotype" w:cs="Palatino Linotype"/>
          <w:b/>
          <w:color w:val="000000"/>
          <w:sz w:val="22"/>
          <w:szCs w:val="22"/>
        </w:rPr>
        <w:t>00549/TOLUCA/IP/2025</w:t>
      </w:r>
      <w:r w:rsidRPr="00E80CD0">
        <w:rPr>
          <w:rFonts w:ascii="Palatino Linotype" w:eastAsia="Palatino Linotype" w:hAnsi="Palatino Linotype" w:cs="Palatino Linotype"/>
          <w:color w:val="000000"/>
          <w:sz w:val="22"/>
          <w:szCs w:val="22"/>
        </w:rPr>
        <w:t>, mediante la cual se requirió la información siguiente:</w:t>
      </w:r>
    </w:p>
    <w:p w14:paraId="669A4D47" w14:textId="77777777" w:rsidR="003628E1" w:rsidRPr="00E80CD0" w:rsidRDefault="00A96EB0">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80CD0">
        <w:rPr>
          <w:rFonts w:ascii="Palatino Linotype" w:eastAsia="Palatino Linotype" w:hAnsi="Palatino Linotype" w:cs="Palatino Linotype"/>
          <w:i/>
          <w:sz w:val="22"/>
          <w:szCs w:val="22"/>
        </w:rPr>
        <w:t xml:space="preserve">“Las actas y presentaciones de la sesiones del COPLADEMUM de Administración 2022 a 204 " (Sic) </w:t>
      </w:r>
    </w:p>
    <w:p w14:paraId="48937E80" w14:textId="77777777" w:rsidR="003628E1" w:rsidRPr="00E80CD0" w:rsidRDefault="00A96EB0">
      <w:pPr>
        <w:spacing w:before="240" w:after="240"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Modalidad de Entrega:</w:t>
      </w:r>
      <w:r w:rsidRPr="00E80CD0">
        <w:rPr>
          <w:rFonts w:ascii="Palatino Linotype" w:eastAsia="Palatino Linotype" w:hAnsi="Palatino Linotype" w:cs="Palatino Linotype"/>
          <w:sz w:val="22"/>
          <w:szCs w:val="22"/>
        </w:rPr>
        <w:t xml:space="preserve"> a través del Sistema de Acceso a la Información Mexiquense (SAIMEX).</w:t>
      </w:r>
    </w:p>
    <w:p w14:paraId="5D68C8F1" w14:textId="77777777" w:rsidR="003628E1" w:rsidRPr="00E80CD0" w:rsidRDefault="00A96EB0">
      <w:pPr>
        <w:pBdr>
          <w:top w:val="nil"/>
          <w:left w:val="nil"/>
          <w:bottom w:val="nil"/>
          <w:right w:val="nil"/>
          <w:between w:val="nil"/>
        </w:pBdr>
        <w:tabs>
          <w:tab w:val="left" w:pos="142"/>
          <w:tab w:val="left" w:pos="284"/>
        </w:tabs>
        <w:spacing w:line="360" w:lineRule="auto"/>
        <w:ind w:right="49"/>
        <w:jc w:val="both"/>
        <w:rPr>
          <w:rFonts w:ascii="Palatino Linotype" w:eastAsia="Palatino Linotype" w:hAnsi="Palatino Linotype" w:cs="Palatino Linotype"/>
          <w:b/>
          <w:color w:val="000000"/>
          <w:sz w:val="22"/>
          <w:szCs w:val="22"/>
        </w:rPr>
      </w:pPr>
      <w:bookmarkStart w:id="3" w:name="_heading=h.3dy6vkm" w:colFirst="0" w:colLast="0"/>
      <w:bookmarkEnd w:id="3"/>
      <w:r w:rsidRPr="00E80CD0">
        <w:rPr>
          <w:rFonts w:ascii="Palatino Linotype" w:eastAsia="Palatino Linotype" w:hAnsi="Palatino Linotype" w:cs="Palatino Linotype"/>
          <w:b/>
          <w:color w:val="000000"/>
          <w:sz w:val="22"/>
          <w:szCs w:val="22"/>
        </w:rPr>
        <w:t xml:space="preserve">2. Respuesta. </w:t>
      </w:r>
      <w:r w:rsidRPr="00E80CD0">
        <w:rPr>
          <w:rFonts w:ascii="Palatino Linotype" w:eastAsia="Palatino Linotype" w:hAnsi="Palatino Linotype" w:cs="Palatino Linotype"/>
          <w:sz w:val="22"/>
          <w:szCs w:val="22"/>
        </w:rPr>
        <w:t xml:space="preserve">El </w:t>
      </w:r>
      <w:r w:rsidRPr="00E80CD0">
        <w:rPr>
          <w:rFonts w:ascii="Palatino Linotype" w:eastAsia="Palatino Linotype" w:hAnsi="Palatino Linotype" w:cs="Palatino Linotype"/>
          <w:b/>
          <w:sz w:val="22"/>
          <w:szCs w:val="22"/>
        </w:rPr>
        <w:t>diecinueve de febrero de dos mil veinticinco</w:t>
      </w:r>
      <w:r w:rsidRPr="00E80CD0">
        <w:rPr>
          <w:rFonts w:ascii="Palatino Linotype" w:eastAsia="Palatino Linotype" w:hAnsi="Palatino Linotype" w:cs="Palatino Linotype"/>
          <w:color w:val="000000"/>
          <w:sz w:val="22"/>
          <w:szCs w:val="22"/>
        </w:rPr>
        <w:t xml:space="preserve">, 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envió su respuesta a la solicitud de acceso a la información a través de SAIMEX, sustancialmente en los términos siguientes:</w:t>
      </w:r>
    </w:p>
    <w:p w14:paraId="17F1BA97" w14:textId="77777777" w:rsidR="003628E1" w:rsidRPr="00E80CD0" w:rsidRDefault="00A96EB0">
      <w:pPr>
        <w:spacing w:before="240" w:after="240"/>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lastRenderedPageBreak/>
        <w:t>“En atención a la solicitud con folio 0549/TOLUCA/IP/2025, me permito adjuntar al presente la respuesta correspondiente. Sin más por el momento, reciba un saludo.” (Sic)</w:t>
      </w:r>
    </w:p>
    <w:p w14:paraId="2F90020E" w14:textId="77777777" w:rsidR="003628E1" w:rsidRPr="00E80CD0" w:rsidRDefault="00A96EB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Adjunto a la respuesta, el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entregó los archivos electrónicos que contienen la siguiente información:</w:t>
      </w:r>
    </w:p>
    <w:p w14:paraId="42ABACB3" w14:textId="77777777" w:rsidR="003628E1" w:rsidRPr="00E80CD0" w:rsidRDefault="003628E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F0D3228" w14:textId="77777777" w:rsidR="003628E1" w:rsidRPr="00E80CD0" w:rsidRDefault="00A96EB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E80CD0">
        <w:rPr>
          <w:rFonts w:ascii="Palatino Linotype" w:eastAsia="Palatino Linotype" w:hAnsi="Palatino Linotype" w:cs="Palatino Linotype"/>
          <w:b/>
          <w:i/>
          <w:color w:val="000000"/>
          <w:sz w:val="22"/>
          <w:szCs w:val="22"/>
        </w:rPr>
        <w:t xml:space="preserve">RESPUESTA 549. 2025.pdf: </w:t>
      </w:r>
      <w:r w:rsidRPr="00E80CD0">
        <w:rPr>
          <w:rFonts w:ascii="Palatino Linotype" w:eastAsia="Palatino Linotype" w:hAnsi="Palatino Linotype" w:cs="Palatino Linotype"/>
          <w:color w:val="000000"/>
          <w:sz w:val="22"/>
          <w:szCs w:val="22"/>
        </w:rPr>
        <w:t>Oficio del diecinueve de febrero de dos mil veinticuatro, a través del cual la Titular de la Unidad de Transparencia hizo del conocimiento de la persona solicitante que la Unidad de Información, Planeación, Programación y Evaluación, hacia entrega en pdf, de las actas de instalación ordinarias y extraordinarias del COPLADEMUN 2022-2024, señalando que por lo que corresponde al acta de la última sesión de dicho comité del ejercicio 2024, la misma se encontraba en proceso de firma de los integrantes;</w:t>
      </w:r>
      <w:r w:rsidRPr="00E80CD0">
        <w:rPr>
          <w:rFonts w:ascii="Palatino Linotype" w:eastAsia="Palatino Linotype" w:hAnsi="Palatino Linotype" w:cs="Palatino Linotype"/>
          <w:b/>
          <w:i/>
          <w:color w:val="000000"/>
          <w:sz w:val="22"/>
          <w:szCs w:val="22"/>
        </w:rPr>
        <w:t xml:space="preserve"> </w:t>
      </w:r>
      <w:r w:rsidRPr="00E80CD0">
        <w:rPr>
          <w:rFonts w:ascii="Palatino Linotype" w:eastAsia="Palatino Linotype" w:hAnsi="Palatino Linotype" w:cs="Palatino Linotype"/>
          <w:color w:val="000000"/>
          <w:sz w:val="22"/>
          <w:szCs w:val="22"/>
        </w:rPr>
        <w:t>por lo que, una vez que se concluyera dicha actividad sería publicada.</w:t>
      </w:r>
    </w:p>
    <w:p w14:paraId="484A0E49" w14:textId="77777777" w:rsidR="003628E1" w:rsidRPr="00E80CD0" w:rsidRDefault="003628E1">
      <w:pPr>
        <w:pBdr>
          <w:top w:val="nil"/>
          <w:left w:val="nil"/>
          <w:bottom w:val="nil"/>
          <w:right w:val="nil"/>
          <w:between w:val="nil"/>
        </w:pBdr>
        <w:spacing w:line="360" w:lineRule="auto"/>
        <w:ind w:left="360" w:right="49"/>
        <w:jc w:val="both"/>
        <w:rPr>
          <w:rFonts w:ascii="Palatino Linotype" w:eastAsia="Palatino Linotype" w:hAnsi="Palatino Linotype" w:cs="Palatino Linotype"/>
          <w:b/>
          <w:i/>
          <w:color w:val="000000"/>
          <w:sz w:val="22"/>
          <w:szCs w:val="22"/>
        </w:rPr>
      </w:pPr>
    </w:p>
    <w:p w14:paraId="5C12D39F" w14:textId="77777777" w:rsidR="003628E1" w:rsidRPr="00E80CD0" w:rsidRDefault="00A96EB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E80CD0">
        <w:rPr>
          <w:rFonts w:ascii="Palatino Linotype" w:eastAsia="Palatino Linotype" w:hAnsi="Palatino Linotype" w:cs="Palatino Linotype"/>
          <w:b/>
          <w:i/>
          <w:color w:val="000000"/>
          <w:sz w:val="22"/>
          <w:szCs w:val="22"/>
        </w:rPr>
        <w:t xml:space="preserve">Actas COPLADEMUN 2022-2024.pdf: </w:t>
      </w:r>
      <w:r w:rsidRPr="00E80CD0">
        <w:rPr>
          <w:rFonts w:ascii="Palatino Linotype" w:eastAsia="Palatino Linotype" w:hAnsi="Palatino Linotype" w:cs="Palatino Linotype"/>
          <w:color w:val="000000"/>
          <w:sz w:val="22"/>
          <w:szCs w:val="22"/>
        </w:rPr>
        <w:t>Archivo que contiene 386 fojas con diversas actas de las sesiones del Comité de Planeación para el Desarrollo Municipal de Toluca de la Administración 2022-2024.</w:t>
      </w:r>
    </w:p>
    <w:p w14:paraId="594D5114" w14:textId="77777777" w:rsidR="003628E1" w:rsidRPr="00E80CD0" w:rsidRDefault="003628E1">
      <w:pPr>
        <w:pBdr>
          <w:top w:val="nil"/>
          <w:left w:val="nil"/>
          <w:bottom w:val="nil"/>
          <w:right w:val="nil"/>
          <w:between w:val="nil"/>
        </w:pBdr>
        <w:spacing w:line="276" w:lineRule="auto"/>
        <w:ind w:right="49"/>
        <w:jc w:val="both"/>
        <w:rPr>
          <w:rFonts w:ascii="Palatino Linotype" w:eastAsia="Palatino Linotype" w:hAnsi="Palatino Linotype" w:cs="Palatino Linotype"/>
          <w:color w:val="000000"/>
          <w:sz w:val="22"/>
          <w:szCs w:val="22"/>
        </w:rPr>
      </w:pPr>
    </w:p>
    <w:p w14:paraId="062C4FB3" w14:textId="77777777" w:rsidR="003628E1" w:rsidRPr="00E80CD0" w:rsidRDefault="00A96EB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t xml:space="preserve">3. Interposición del recurso de revisión. </w:t>
      </w:r>
      <w:r w:rsidRPr="00E80CD0">
        <w:rPr>
          <w:rFonts w:ascii="Palatino Linotype" w:eastAsia="Palatino Linotype" w:hAnsi="Palatino Linotype" w:cs="Palatino Linotype"/>
          <w:sz w:val="22"/>
          <w:szCs w:val="22"/>
        </w:rPr>
        <w:t xml:space="preserve">Inconforme con los términos de la respuesta emitida por parte del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el</w:t>
      </w:r>
      <w:r w:rsidRPr="00E80CD0">
        <w:rPr>
          <w:rFonts w:ascii="Palatino Linotype" w:eastAsia="Palatino Linotype" w:hAnsi="Palatino Linotype" w:cs="Palatino Linotype"/>
          <w:b/>
          <w:sz w:val="22"/>
          <w:szCs w:val="22"/>
        </w:rPr>
        <w:t xml:space="preserve"> veintiocho de febrero de dos mil veinticinco,</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la parte</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Recurrente</w:t>
      </w:r>
      <w:r w:rsidRPr="00E80CD0">
        <w:rPr>
          <w:rFonts w:ascii="Palatino Linotype" w:eastAsia="Palatino Linotype" w:hAnsi="Palatino Linotype" w:cs="Palatino Linotype"/>
          <w:sz w:val="22"/>
          <w:szCs w:val="22"/>
        </w:rPr>
        <w:t xml:space="preserve"> interpuso el recurso de revisión a través de </w:t>
      </w:r>
      <w:r w:rsidRPr="00E80CD0">
        <w:rPr>
          <w:rFonts w:ascii="Palatino Linotype" w:eastAsia="Palatino Linotype" w:hAnsi="Palatino Linotype" w:cs="Palatino Linotype"/>
          <w:b/>
          <w:sz w:val="22"/>
          <w:szCs w:val="22"/>
        </w:rPr>
        <w:t xml:space="preserve">SAIMEX, </w:t>
      </w:r>
      <w:r w:rsidRPr="00E80CD0">
        <w:rPr>
          <w:rFonts w:ascii="Palatino Linotype" w:eastAsia="Palatino Linotype" w:hAnsi="Palatino Linotype" w:cs="Palatino Linotype"/>
          <w:sz w:val="22"/>
          <w:szCs w:val="22"/>
        </w:rPr>
        <w:t>en donde se manifestó de la siguiente manera:</w:t>
      </w:r>
    </w:p>
    <w:p w14:paraId="6CFA3AED" w14:textId="77777777" w:rsidR="003628E1" w:rsidRPr="00E80CD0" w:rsidRDefault="00A96EB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t xml:space="preserve">a) Acto impugnado: </w:t>
      </w:r>
      <w:r w:rsidRPr="00E80CD0">
        <w:rPr>
          <w:rFonts w:ascii="Palatino Linotype" w:eastAsia="Palatino Linotype" w:hAnsi="Palatino Linotype" w:cs="Palatino Linotype"/>
          <w:i/>
          <w:sz w:val="22"/>
          <w:szCs w:val="22"/>
        </w:rPr>
        <w:t xml:space="preserve">“No </w:t>
      </w:r>
      <w:proofErr w:type="spellStart"/>
      <w:r w:rsidRPr="00E80CD0">
        <w:rPr>
          <w:rFonts w:ascii="Palatino Linotype" w:eastAsia="Palatino Linotype" w:hAnsi="Palatino Linotype" w:cs="Palatino Linotype"/>
          <w:i/>
          <w:sz w:val="22"/>
          <w:szCs w:val="22"/>
        </w:rPr>
        <w:t>esta</w:t>
      </w:r>
      <w:proofErr w:type="spellEnd"/>
      <w:r w:rsidRPr="00E80CD0">
        <w:rPr>
          <w:rFonts w:ascii="Palatino Linotype" w:eastAsia="Palatino Linotype" w:hAnsi="Palatino Linotype" w:cs="Palatino Linotype"/>
          <w:i/>
          <w:sz w:val="22"/>
          <w:szCs w:val="22"/>
        </w:rPr>
        <w:t xml:space="preserve"> completo” (Sic)</w:t>
      </w:r>
    </w:p>
    <w:p w14:paraId="56B37914"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80CD0">
        <w:rPr>
          <w:rFonts w:ascii="Palatino Linotype" w:eastAsia="Palatino Linotype" w:hAnsi="Palatino Linotype" w:cs="Palatino Linotype"/>
          <w:b/>
          <w:sz w:val="22"/>
          <w:szCs w:val="22"/>
        </w:rPr>
        <w:t>b) Razones o motivos de inconformidad</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i/>
          <w:sz w:val="22"/>
          <w:szCs w:val="22"/>
        </w:rPr>
        <w:t>“</w:t>
      </w:r>
      <w:r w:rsidRPr="00E80CD0">
        <w:rPr>
          <w:rFonts w:ascii="Palatino Linotype" w:eastAsia="Palatino Linotype" w:hAnsi="Palatino Linotype" w:cs="Palatino Linotype"/>
          <w:b/>
          <w:bCs/>
          <w:i/>
          <w:sz w:val="22"/>
          <w:szCs w:val="22"/>
          <w:u w:val="single"/>
        </w:rPr>
        <w:t>Falta las presentaciones</w:t>
      </w:r>
      <w:r w:rsidRPr="00E80CD0">
        <w:rPr>
          <w:rFonts w:ascii="Palatino Linotype" w:eastAsia="Palatino Linotype" w:hAnsi="Palatino Linotype" w:cs="Palatino Linotype"/>
          <w:i/>
          <w:sz w:val="22"/>
          <w:szCs w:val="22"/>
        </w:rPr>
        <w:t>” (Sic)</w:t>
      </w:r>
    </w:p>
    <w:p w14:paraId="3E38CC28" w14:textId="77777777" w:rsidR="003628E1" w:rsidRPr="00E80CD0" w:rsidRDefault="003628E1">
      <w:pPr>
        <w:spacing w:line="276" w:lineRule="auto"/>
        <w:ind w:left="567" w:right="900"/>
        <w:jc w:val="both"/>
        <w:rPr>
          <w:rFonts w:ascii="Palatino Linotype" w:eastAsia="Palatino Linotype" w:hAnsi="Palatino Linotype" w:cs="Palatino Linotype"/>
          <w:i/>
          <w:sz w:val="22"/>
          <w:szCs w:val="22"/>
        </w:rPr>
      </w:pPr>
    </w:p>
    <w:p w14:paraId="23FCF6D8" w14:textId="77777777" w:rsidR="003628E1" w:rsidRPr="00E80CD0" w:rsidRDefault="00A96EB0">
      <w:pPr>
        <w:spacing w:line="360" w:lineRule="auto"/>
        <w:ind w:right="51"/>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lastRenderedPageBreak/>
        <w:t xml:space="preserve">4. Turno. </w:t>
      </w:r>
      <w:r w:rsidRPr="00E80CD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80CD0">
        <w:rPr>
          <w:rFonts w:ascii="Palatino Linotype" w:eastAsia="Palatino Linotype" w:hAnsi="Palatino Linotype" w:cs="Palatino Linotype"/>
          <w:b/>
          <w:sz w:val="22"/>
          <w:szCs w:val="22"/>
        </w:rPr>
        <w:t xml:space="preserve">Guadalupe Ramírez Peña, </w:t>
      </w:r>
      <w:r w:rsidRPr="00E80CD0">
        <w:rPr>
          <w:rFonts w:ascii="Palatino Linotype" w:eastAsia="Palatino Linotype" w:hAnsi="Palatino Linotype" w:cs="Palatino Linotype"/>
          <w:sz w:val="22"/>
          <w:szCs w:val="22"/>
        </w:rPr>
        <w:t>a efecto de que analizara sobre su admisión o su desechamiento.</w:t>
      </w:r>
    </w:p>
    <w:p w14:paraId="3A968DEB" w14:textId="77777777" w:rsidR="003628E1" w:rsidRPr="00E80CD0" w:rsidRDefault="003628E1">
      <w:pPr>
        <w:spacing w:line="360" w:lineRule="auto"/>
        <w:ind w:right="51"/>
        <w:jc w:val="both"/>
        <w:rPr>
          <w:rFonts w:ascii="Palatino Linotype" w:eastAsia="Palatino Linotype" w:hAnsi="Palatino Linotype" w:cs="Palatino Linotype"/>
          <w:sz w:val="22"/>
          <w:szCs w:val="22"/>
        </w:rPr>
      </w:pPr>
    </w:p>
    <w:p w14:paraId="3CCF34DB"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5. Admisión del Recurso de revisión.</w:t>
      </w:r>
      <w:r w:rsidRPr="00E80CD0">
        <w:rPr>
          <w:rFonts w:ascii="Palatino Linotype" w:eastAsia="Palatino Linotype" w:hAnsi="Palatino Linotype" w:cs="Palatino Linotype"/>
          <w:sz w:val="22"/>
          <w:szCs w:val="22"/>
        </w:rPr>
        <w:t xml:space="preserve"> El </w:t>
      </w:r>
      <w:r w:rsidRPr="00E80CD0">
        <w:rPr>
          <w:rFonts w:ascii="Palatino Linotype" w:eastAsia="Palatino Linotype" w:hAnsi="Palatino Linotype" w:cs="Palatino Linotype"/>
          <w:b/>
          <w:sz w:val="22"/>
          <w:szCs w:val="22"/>
        </w:rPr>
        <w:t xml:space="preserve">seis de marzo de dos mil veinticinco, </w:t>
      </w:r>
      <w:r w:rsidRPr="00E80CD0">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presentara su informe justificado.</w:t>
      </w:r>
    </w:p>
    <w:p w14:paraId="742B9025"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4645CC6F" w14:textId="77777777" w:rsidR="003628E1" w:rsidRPr="00E80CD0" w:rsidRDefault="00A96E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5" w:name="_heading=h.2s8eyo1" w:colFirst="0" w:colLast="0"/>
      <w:bookmarkEnd w:id="5"/>
      <w:r w:rsidRPr="00E80CD0">
        <w:rPr>
          <w:rFonts w:ascii="Palatino Linotype" w:eastAsia="Palatino Linotype" w:hAnsi="Palatino Linotype" w:cs="Palatino Linotype"/>
          <w:b/>
          <w:sz w:val="22"/>
          <w:szCs w:val="22"/>
        </w:rPr>
        <w:t>6. Manifestaciones</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el dieciocho de marzo de dos mil veinticinco rindió informe justificado a través del archivo electrónico denominado “</w:t>
      </w:r>
      <w:r w:rsidRPr="00E80CD0">
        <w:rPr>
          <w:rFonts w:ascii="Palatino Linotype" w:eastAsia="Palatino Linotype" w:hAnsi="Palatino Linotype" w:cs="Palatino Linotype"/>
          <w:b/>
          <w:i/>
          <w:color w:val="000000"/>
          <w:sz w:val="22"/>
          <w:szCs w:val="22"/>
        </w:rPr>
        <w:t>RR-2314-2025.pdf</w:t>
      </w:r>
      <w:r w:rsidRPr="00E80CD0">
        <w:rPr>
          <w:rFonts w:ascii="Palatino Linotype" w:eastAsia="Palatino Linotype" w:hAnsi="Palatino Linotype" w:cs="Palatino Linotype"/>
          <w:color w:val="000000"/>
          <w:sz w:val="22"/>
          <w:szCs w:val="22"/>
        </w:rPr>
        <w:t>”que un oficio de la misma fecha, a través del cual el Titular de la Unidad de Transparencia medularmente ratificó la respuesta inicial.</w:t>
      </w:r>
    </w:p>
    <w:p w14:paraId="7EC094DD" w14:textId="77777777" w:rsidR="003628E1" w:rsidRPr="00E80CD0" w:rsidRDefault="00362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p>
    <w:p w14:paraId="3D1BDA9F" w14:textId="77777777" w:rsidR="003628E1" w:rsidRPr="00E80CD0" w:rsidRDefault="00A96E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Consecuentemente, el veinticuatro de abril de dos mil veinticinco, 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 xml:space="preserve">remitió un alcance al informe justificado, en el que hizo entrega de cuatro presentaciones en formato </w:t>
      </w:r>
      <w:proofErr w:type="spellStart"/>
      <w:r w:rsidRPr="00E80CD0">
        <w:rPr>
          <w:rFonts w:ascii="Palatino Linotype" w:eastAsia="Palatino Linotype" w:hAnsi="Palatino Linotype" w:cs="Palatino Linotype"/>
          <w:color w:val="000000"/>
          <w:sz w:val="22"/>
          <w:szCs w:val="22"/>
        </w:rPr>
        <w:t>power</w:t>
      </w:r>
      <w:proofErr w:type="spellEnd"/>
      <w:r w:rsidRPr="00E80CD0">
        <w:rPr>
          <w:rFonts w:ascii="Palatino Linotype" w:eastAsia="Palatino Linotype" w:hAnsi="Palatino Linotype" w:cs="Palatino Linotype"/>
          <w:color w:val="000000"/>
          <w:sz w:val="22"/>
          <w:szCs w:val="22"/>
        </w:rPr>
        <w:t xml:space="preserve"> </w:t>
      </w:r>
      <w:proofErr w:type="spellStart"/>
      <w:r w:rsidRPr="00E80CD0">
        <w:rPr>
          <w:rFonts w:ascii="Palatino Linotype" w:eastAsia="Palatino Linotype" w:hAnsi="Palatino Linotype" w:cs="Palatino Linotype"/>
          <w:color w:val="000000"/>
          <w:sz w:val="22"/>
          <w:szCs w:val="22"/>
        </w:rPr>
        <w:t>point</w:t>
      </w:r>
      <w:proofErr w:type="spellEnd"/>
      <w:r w:rsidRPr="00E80CD0">
        <w:rPr>
          <w:rFonts w:ascii="Palatino Linotype" w:eastAsia="Palatino Linotype" w:hAnsi="Palatino Linotype" w:cs="Palatino Linotype"/>
          <w:color w:val="000000"/>
          <w:sz w:val="22"/>
          <w:szCs w:val="22"/>
        </w:rPr>
        <w:t xml:space="preserve"> sobre lo siguiente: sobre los temas a tratar en la sexta, décima y décima primera sesiones ordinarias del COPLADEMUN 2022-2024; y sobre el proyecto FAISMUN 2023 a tratar en sesión del COPLADEMUN del 2023.</w:t>
      </w:r>
    </w:p>
    <w:p w14:paraId="709ED4CF" w14:textId="77777777" w:rsidR="003628E1" w:rsidRPr="00E80CD0" w:rsidRDefault="00362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p>
    <w:p w14:paraId="1856FB3E" w14:textId="77777777" w:rsidR="003628E1" w:rsidRPr="00E80CD0" w:rsidRDefault="00A96E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lastRenderedPageBreak/>
        <w:t xml:space="preserve">Documentos los anteriores, que se hicieron del conocimiento de la parte </w:t>
      </w:r>
      <w:r w:rsidRPr="00E80CD0">
        <w:rPr>
          <w:rFonts w:ascii="Palatino Linotype" w:eastAsia="Palatino Linotype" w:hAnsi="Palatino Linotype" w:cs="Palatino Linotype"/>
          <w:b/>
          <w:color w:val="000000"/>
          <w:sz w:val="22"/>
          <w:szCs w:val="22"/>
        </w:rPr>
        <w:t xml:space="preserve">Recurrente </w:t>
      </w:r>
      <w:r w:rsidRPr="00E80CD0">
        <w:rPr>
          <w:rFonts w:ascii="Palatino Linotype" w:eastAsia="Palatino Linotype" w:hAnsi="Palatino Linotype" w:cs="Palatino Linotype"/>
          <w:color w:val="000000"/>
          <w:sz w:val="22"/>
          <w:szCs w:val="22"/>
        </w:rPr>
        <w:t>a fin de que hiciera valer manifestaciones o alegatos que conforme a derecho resultaran procedentes; sin embargo, fue omisa en ejercer dicha prerrogativa.</w:t>
      </w:r>
    </w:p>
    <w:p w14:paraId="5BF13EAE" w14:textId="77777777" w:rsidR="003628E1" w:rsidRPr="00E80CD0" w:rsidRDefault="00362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50FE8C26" w14:textId="7DF8591A" w:rsidR="003628E1" w:rsidRPr="00E80CD0" w:rsidRDefault="00A96EB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7. Ampliación del término para resolver</w:t>
      </w:r>
      <w:r w:rsidRPr="00E80CD0">
        <w:rPr>
          <w:rFonts w:ascii="Palatino Linotype" w:eastAsia="Palatino Linotype" w:hAnsi="Palatino Linotype" w:cs="Palatino Linotype"/>
          <w:sz w:val="22"/>
          <w:szCs w:val="22"/>
        </w:rPr>
        <w:t xml:space="preserve">. Mediante acuerdo </w:t>
      </w:r>
      <w:r w:rsidRPr="00E80CD0">
        <w:rPr>
          <w:rFonts w:ascii="Palatino Linotype" w:eastAsia="Palatino Linotype" w:hAnsi="Palatino Linotype" w:cs="Palatino Linotype"/>
          <w:color w:val="000000" w:themeColor="text1"/>
          <w:sz w:val="22"/>
          <w:szCs w:val="22"/>
        </w:rPr>
        <w:t xml:space="preserve">del </w:t>
      </w:r>
      <w:r w:rsidR="001F4493" w:rsidRPr="00E80CD0">
        <w:rPr>
          <w:rFonts w:ascii="Palatino Linotype" w:eastAsia="Palatino Linotype" w:hAnsi="Palatino Linotype" w:cs="Palatino Linotype"/>
          <w:b/>
          <w:color w:val="000000" w:themeColor="text1"/>
          <w:sz w:val="22"/>
          <w:szCs w:val="22"/>
        </w:rPr>
        <w:t>veinticuatro</w:t>
      </w:r>
      <w:r w:rsidRPr="00E80CD0">
        <w:rPr>
          <w:rFonts w:ascii="Palatino Linotype" w:eastAsia="Palatino Linotype" w:hAnsi="Palatino Linotype" w:cs="Palatino Linotype"/>
          <w:b/>
          <w:color w:val="000000" w:themeColor="text1"/>
          <w:sz w:val="22"/>
          <w:szCs w:val="22"/>
        </w:rPr>
        <w:t xml:space="preserve"> de abril </w:t>
      </w:r>
      <w:r w:rsidRPr="00E80CD0">
        <w:rPr>
          <w:rFonts w:ascii="Palatino Linotype" w:eastAsia="Palatino Linotype" w:hAnsi="Palatino Linotype" w:cs="Palatino Linotype"/>
          <w:b/>
          <w:sz w:val="22"/>
          <w:szCs w:val="22"/>
        </w:rPr>
        <w:t>de dos mil veinticinco</w:t>
      </w:r>
      <w:r w:rsidRPr="00E80CD0">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50538012" w14:textId="77777777" w:rsidR="003628E1" w:rsidRPr="00E80CD0" w:rsidRDefault="003628E1">
      <w:pPr>
        <w:spacing w:line="360" w:lineRule="auto"/>
        <w:jc w:val="both"/>
        <w:rPr>
          <w:rFonts w:ascii="Palatino Linotype" w:eastAsia="Palatino Linotype" w:hAnsi="Palatino Linotype" w:cs="Palatino Linotype"/>
          <w:b/>
          <w:sz w:val="22"/>
          <w:szCs w:val="22"/>
        </w:rPr>
      </w:pPr>
    </w:p>
    <w:p w14:paraId="2E650C74"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 xml:space="preserve">8. Cierre de instrucción. </w:t>
      </w:r>
      <w:r w:rsidRPr="00E80CD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80CD0">
        <w:rPr>
          <w:rFonts w:ascii="Palatino Linotype" w:eastAsia="Palatino Linotype" w:hAnsi="Palatino Linotype" w:cs="Palatino Linotype"/>
          <w:b/>
          <w:sz w:val="22"/>
          <w:szCs w:val="22"/>
        </w:rPr>
        <w:t>treinta de abril de dos mil veinticinco,</w:t>
      </w:r>
      <w:r w:rsidRPr="00E80CD0">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59B96C7" w14:textId="77777777" w:rsidR="003628E1" w:rsidRPr="00E80CD0" w:rsidRDefault="00362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CF44BEC" w14:textId="77777777" w:rsidR="003628E1" w:rsidRPr="00E80CD0" w:rsidRDefault="00A96E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31191D8" w14:textId="77777777" w:rsidR="003628E1" w:rsidRPr="00E80CD0" w:rsidRDefault="00A96EB0">
      <w:pPr>
        <w:widowControl w:val="0"/>
        <w:spacing w:before="240" w:after="240" w:line="360" w:lineRule="auto"/>
        <w:jc w:val="center"/>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t>II. C O N S I D E R A N D O S</w:t>
      </w:r>
    </w:p>
    <w:p w14:paraId="04150814"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Primero. Competencia.</w:t>
      </w:r>
      <w:r w:rsidRPr="00E80CD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w:t>
      </w:r>
      <w:r w:rsidRPr="00E80CD0">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5E39D71"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781BB809" w14:textId="77777777" w:rsidR="003628E1" w:rsidRPr="00E80CD0" w:rsidRDefault="00A96EB0">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80CD0">
        <w:rPr>
          <w:rFonts w:ascii="Palatino Linotype" w:eastAsia="Palatino Linotype" w:hAnsi="Palatino Linotype" w:cs="Palatino Linotype"/>
          <w:b/>
          <w:sz w:val="22"/>
          <w:szCs w:val="22"/>
        </w:rPr>
        <w:t>Segundo. Oportunidad y Procedibilidad del Recurso de Revisión</w:t>
      </w:r>
      <w:r w:rsidRPr="00E80CD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70361E"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1DD8F8B0"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 xml:space="preserve">remitió la respuesta a la solicitud de información el </w:t>
      </w:r>
      <w:r w:rsidRPr="00E80CD0">
        <w:rPr>
          <w:rFonts w:ascii="Palatino Linotype" w:eastAsia="Palatino Linotype" w:hAnsi="Palatino Linotype" w:cs="Palatino Linotype"/>
          <w:b/>
          <w:sz w:val="22"/>
          <w:szCs w:val="22"/>
        </w:rPr>
        <w:t xml:space="preserve">diecinueve de febrero de dos mil veinticinco, </w:t>
      </w:r>
      <w:r w:rsidRPr="00E80CD0">
        <w:rPr>
          <w:rFonts w:ascii="Palatino Linotype" w:eastAsia="Palatino Linotype" w:hAnsi="Palatino Linotype" w:cs="Palatino Linotype"/>
          <w:sz w:val="22"/>
          <w:szCs w:val="22"/>
        </w:rPr>
        <w:t xml:space="preserve">mientras que el recurso de revisión interpuesto por </w:t>
      </w:r>
      <w:r w:rsidRPr="00E80CD0">
        <w:rPr>
          <w:rFonts w:ascii="Palatino Linotype" w:eastAsia="Palatino Linotype" w:hAnsi="Palatino Linotype" w:cs="Palatino Linotype"/>
          <w:b/>
          <w:sz w:val="22"/>
          <w:szCs w:val="22"/>
        </w:rPr>
        <w:t>la parte</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Recurrente</w:t>
      </w:r>
      <w:r w:rsidRPr="00E80CD0">
        <w:rPr>
          <w:rFonts w:ascii="Palatino Linotype" w:eastAsia="Palatino Linotype" w:hAnsi="Palatino Linotype" w:cs="Palatino Linotype"/>
          <w:sz w:val="22"/>
          <w:szCs w:val="22"/>
        </w:rPr>
        <w:t xml:space="preserve">, se tuvo por presentado el </w:t>
      </w:r>
      <w:r w:rsidRPr="00E80CD0">
        <w:rPr>
          <w:rFonts w:ascii="Palatino Linotype" w:eastAsia="Palatino Linotype" w:hAnsi="Palatino Linotype" w:cs="Palatino Linotype"/>
          <w:b/>
          <w:sz w:val="22"/>
          <w:szCs w:val="22"/>
        </w:rPr>
        <w:t>veintiocho de febrero de dos mil veinticinco</w:t>
      </w:r>
      <w:r w:rsidRPr="00E80CD0">
        <w:rPr>
          <w:rFonts w:ascii="Palatino Linotype" w:eastAsia="Palatino Linotype" w:hAnsi="Palatino Linotype" w:cs="Palatino Linotype"/>
          <w:sz w:val="22"/>
          <w:szCs w:val="22"/>
        </w:rPr>
        <w:t xml:space="preserve"> esto es, el </w:t>
      </w:r>
      <w:r w:rsidRPr="00E80CD0">
        <w:rPr>
          <w:rFonts w:ascii="Palatino Linotype" w:eastAsia="Palatino Linotype" w:hAnsi="Palatino Linotype" w:cs="Palatino Linotype"/>
          <w:b/>
          <w:sz w:val="22"/>
          <w:szCs w:val="22"/>
          <w:u w:val="single"/>
        </w:rPr>
        <w:t>séptimo</w:t>
      </w:r>
      <w:r w:rsidRPr="00E80CD0">
        <w:rPr>
          <w:rFonts w:ascii="Palatino Linotype" w:eastAsia="Palatino Linotype" w:hAnsi="Palatino Linotype" w:cs="Palatino Linotype"/>
          <w:sz w:val="22"/>
          <w:szCs w:val="22"/>
        </w:rPr>
        <w:t xml:space="preserve"> día hábil siguiente a aquel </w:t>
      </w:r>
      <w:r w:rsidRPr="00E80CD0">
        <w:rPr>
          <w:rFonts w:ascii="Palatino Linotype" w:eastAsia="Palatino Linotype" w:hAnsi="Palatino Linotype" w:cs="Palatino Linotype"/>
          <w:b/>
          <w:sz w:val="22"/>
          <w:szCs w:val="22"/>
        </w:rPr>
        <w:t>en que se tuvo conocimiento de la respuesta impugnada</w:t>
      </w:r>
      <w:r w:rsidRPr="00E80CD0">
        <w:rPr>
          <w:rFonts w:ascii="Palatino Linotype" w:eastAsia="Palatino Linotype" w:hAnsi="Palatino Linotype" w:cs="Palatino Linotype"/>
          <w:sz w:val="22"/>
          <w:szCs w:val="22"/>
        </w:rPr>
        <w:t xml:space="preserve">. </w:t>
      </w:r>
    </w:p>
    <w:p w14:paraId="27C93EF9" w14:textId="77777777" w:rsidR="003628E1" w:rsidRPr="00E80CD0" w:rsidRDefault="003628E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7" w:name="_heading=h.3znysh7" w:colFirst="0" w:colLast="0"/>
      <w:bookmarkEnd w:id="7"/>
    </w:p>
    <w:p w14:paraId="6E81916C" w14:textId="77777777" w:rsidR="003628E1" w:rsidRPr="00E80CD0" w:rsidRDefault="00A96E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BB4DA8F" w14:textId="77777777" w:rsidR="003628E1" w:rsidRPr="00E80CD0" w:rsidRDefault="003628E1">
      <w:pPr>
        <w:tabs>
          <w:tab w:val="left" w:pos="7938"/>
        </w:tabs>
        <w:spacing w:line="360" w:lineRule="auto"/>
        <w:jc w:val="both"/>
        <w:rPr>
          <w:rFonts w:ascii="Palatino Linotype" w:eastAsia="Palatino Linotype" w:hAnsi="Palatino Linotype" w:cs="Palatino Linotype"/>
          <w:sz w:val="22"/>
          <w:szCs w:val="22"/>
        </w:rPr>
      </w:pPr>
    </w:p>
    <w:p w14:paraId="6431A9BE" w14:textId="77777777" w:rsidR="003628E1" w:rsidRPr="00E80CD0" w:rsidRDefault="00A96EB0">
      <w:pPr>
        <w:tabs>
          <w:tab w:val="left" w:pos="7938"/>
        </w:tabs>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049B95C" w14:textId="77777777" w:rsidR="003628E1" w:rsidRPr="00E80CD0" w:rsidRDefault="003628E1">
      <w:pPr>
        <w:tabs>
          <w:tab w:val="left" w:pos="7938"/>
        </w:tabs>
        <w:spacing w:line="360" w:lineRule="auto"/>
        <w:jc w:val="both"/>
        <w:rPr>
          <w:rFonts w:ascii="Palatino Linotype" w:eastAsia="Palatino Linotype" w:hAnsi="Palatino Linotype" w:cs="Palatino Linotype"/>
          <w:sz w:val="22"/>
          <w:szCs w:val="22"/>
        </w:rPr>
      </w:pPr>
    </w:p>
    <w:p w14:paraId="0758E860" w14:textId="77777777" w:rsidR="003628E1" w:rsidRPr="00E80CD0" w:rsidRDefault="00A96EB0">
      <w:pPr>
        <w:spacing w:line="360" w:lineRule="auto"/>
        <w:jc w:val="both"/>
        <w:rPr>
          <w:rFonts w:ascii="Palatino Linotype" w:eastAsia="Palatino Linotype" w:hAnsi="Palatino Linotype" w:cs="Palatino Linotype"/>
          <w:color w:val="222222"/>
          <w:sz w:val="22"/>
          <w:szCs w:val="22"/>
        </w:rPr>
      </w:pPr>
      <w:r w:rsidRPr="00E80CD0">
        <w:rPr>
          <w:rFonts w:ascii="Palatino Linotype" w:eastAsia="Palatino Linotype" w:hAnsi="Palatino Linotype" w:cs="Palatino Linotype"/>
          <w:sz w:val="22"/>
          <w:szCs w:val="22"/>
        </w:rPr>
        <w:lastRenderedPageBreak/>
        <w:t>Por otro lado, es de suma importancia mencionar que, si bien la parte</w:t>
      </w:r>
      <w:r w:rsidRPr="00E80CD0">
        <w:rPr>
          <w:rFonts w:ascii="Palatino Linotype" w:eastAsia="Palatino Linotype" w:hAnsi="Palatino Linotype" w:cs="Palatino Linotype"/>
          <w:b/>
          <w:sz w:val="22"/>
          <w:szCs w:val="22"/>
        </w:rPr>
        <w:t xml:space="preserve"> Recurrente</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no</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proporcionó nombre,</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color w:val="222222"/>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8D75834" w14:textId="77777777" w:rsidR="003628E1" w:rsidRPr="00E80CD0" w:rsidRDefault="003628E1">
      <w:pPr>
        <w:spacing w:line="360" w:lineRule="auto"/>
        <w:jc w:val="both"/>
        <w:rPr>
          <w:rFonts w:ascii="Palatino Linotype" w:eastAsia="Palatino Linotype" w:hAnsi="Palatino Linotype" w:cs="Palatino Linotype"/>
          <w:color w:val="222222"/>
          <w:sz w:val="22"/>
          <w:szCs w:val="22"/>
        </w:rPr>
      </w:pPr>
    </w:p>
    <w:p w14:paraId="785FBEF8" w14:textId="77777777" w:rsidR="003628E1" w:rsidRPr="00E80CD0" w:rsidRDefault="00A96EB0">
      <w:pPr>
        <w:spacing w:line="276" w:lineRule="auto"/>
        <w:ind w:left="851" w:right="902"/>
        <w:jc w:val="both"/>
        <w:rPr>
          <w:rFonts w:ascii="Palatino Linotype" w:eastAsia="Palatino Linotype" w:hAnsi="Palatino Linotype" w:cs="Palatino Linotype"/>
          <w:color w:val="222222"/>
          <w:sz w:val="22"/>
          <w:szCs w:val="22"/>
        </w:rPr>
      </w:pPr>
      <w:r w:rsidRPr="00E80CD0">
        <w:rPr>
          <w:rFonts w:ascii="Palatino Linotype" w:eastAsia="Palatino Linotype" w:hAnsi="Palatino Linotype" w:cs="Palatino Linotype"/>
          <w:i/>
          <w:color w:val="222222"/>
          <w:sz w:val="22"/>
          <w:szCs w:val="22"/>
        </w:rPr>
        <w:t>"</w:t>
      </w:r>
      <w:r w:rsidRPr="00E80CD0">
        <w:rPr>
          <w:rFonts w:ascii="Palatino Linotype" w:eastAsia="Palatino Linotype" w:hAnsi="Palatino Linotype" w:cs="Palatino Linotype"/>
          <w:b/>
          <w:i/>
          <w:color w:val="222222"/>
          <w:sz w:val="22"/>
          <w:szCs w:val="22"/>
        </w:rPr>
        <w:t>Las solicitudes anónimas,</w:t>
      </w:r>
      <w:r w:rsidRPr="00E80CD0">
        <w:rPr>
          <w:rFonts w:ascii="Palatino Linotype" w:eastAsia="Palatino Linotype" w:hAnsi="Palatino Linotype" w:cs="Palatino Linotype"/>
          <w:i/>
          <w:color w:val="222222"/>
          <w:sz w:val="22"/>
          <w:szCs w:val="22"/>
        </w:rPr>
        <w:t xml:space="preserve"> con nombre incompleto o seudónimo </w:t>
      </w:r>
      <w:r w:rsidRPr="00E80CD0">
        <w:rPr>
          <w:rFonts w:ascii="Palatino Linotype" w:eastAsia="Palatino Linotype" w:hAnsi="Palatino Linotype" w:cs="Palatino Linotype"/>
          <w:b/>
          <w:i/>
          <w:color w:val="222222"/>
          <w:sz w:val="22"/>
          <w:szCs w:val="22"/>
        </w:rPr>
        <w:t>serán procedentes para su trámite por parte del sujeto obligado ante quien se presente</w:t>
      </w:r>
      <w:r w:rsidRPr="00E80CD0">
        <w:rPr>
          <w:rFonts w:ascii="Palatino Linotype" w:eastAsia="Palatino Linotype" w:hAnsi="Palatino Linotype" w:cs="Palatino Linotype"/>
          <w:i/>
          <w:color w:val="222222"/>
          <w:sz w:val="22"/>
          <w:szCs w:val="22"/>
        </w:rPr>
        <w:t>. No podrá requerirse información adicional con motivo del nombre proporcionado por el solicitante."</w:t>
      </w:r>
    </w:p>
    <w:p w14:paraId="0C2E2882" w14:textId="77777777" w:rsidR="003628E1" w:rsidRPr="00E80CD0" w:rsidRDefault="003628E1">
      <w:pPr>
        <w:tabs>
          <w:tab w:val="left" w:pos="7938"/>
        </w:tabs>
        <w:spacing w:line="360" w:lineRule="auto"/>
        <w:jc w:val="both"/>
        <w:rPr>
          <w:rFonts w:ascii="Palatino Linotype" w:eastAsia="Palatino Linotype" w:hAnsi="Palatino Linotype" w:cs="Palatino Linotype"/>
          <w:sz w:val="22"/>
          <w:szCs w:val="22"/>
        </w:rPr>
      </w:pPr>
    </w:p>
    <w:p w14:paraId="61D4B2CE" w14:textId="77777777" w:rsidR="003628E1" w:rsidRPr="00E80CD0" w:rsidRDefault="00A96EB0">
      <w:pPr>
        <w:spacing w:line="360" w:lineRule="auto"/>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80CD0">
        <w:rPr>
          <w:rFonts w:ascii="Palatino Linotype" w:eastAsia="Palatino Linotype" w:hAnsi="Palatino Linotype" w:cs="Palatino Linotype"/>
          <w:b/>
          <w:sz w:val="22"/>
          <w:szCs w:val="22"/>
        </w:rPr>
        <w:t>la parte</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Recurrente</w:t>
      </w:r>
      <w:r w:rsidRPr="00E80CD0">
        <w:rPr>
          <w:rFonts w:ascii="Palatino Linotype" w:eastAsia="Palatino Linotype" w:hAnsi="Palatino Linotype" w:cs="Palatino Linotype"/>
          <w:sz w:val="22"/>
          <w:szCs w:val="22"/>
        </w:rPr>
        <w:t xml:space="preserve"> en sus motivos de inconformidad, de acuerdo </w:t>
      </w:r>
      <w:r w:rsidRPr="00E80CD0">
        <w:rPr>
          <w:rFonts w:ascii="Palatino Linotype" w:eastAsia="Palatino Linotype" w:hAnsi="Palatino Linotype" w:cs="Palatino Linotype"/>
          <w:color w:val="000000"/>
          <w:sz w:val="22"/>
          <w:szCs w:val="22"/>
        </w:rPr>
        <w:t>al artículo 179, fracción V del ordenamiento legal citado, que a la letra dice: </w:t>
      </w:r>
    </w:p>
    <w:p w14:paraId="37DC6FCA" w14:textId="77777777" w:rsidR="003628E1" w:rsidRPr="00E80CD0" w:rsidRDefault="003628E1">
      <w:pPr>
        <w:spacing w:line="360" w:lineRule="auto"/>
        <w:jc w:val="both"/>
        <w:rPr>
          <w:rFonts w:ascii="Palatino Linotype" w:eastAsia="Palatino Linotype" w:hAnsi="Palatino Linotype" w:cs="Palatino Linotype"/>
          <w:color w:val="000000"/>
          <w:sz w:val="22"/>
          <w:szCs w:val="22"/>
        </w:rPr>
      </w:pPr>
    </w:p>
    <w:p w14:paraId="1EB961E4" w14:textId="77777777" w:rsidR="003628E1" w:rsidRPr="00E80CD0" w:rsidRDefault="00A96EB0">
      <w:pPr>
        <w:ind w:left="567" w:right="902"/>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w:t>
      </w:r>
      <w:r w:rsidRPr="00E80CD0">
        <w:rPr>
          <w:rFonts w:ascii="Palatino Linotype" w:eastAsia="Palatino Linotype" w:hAnsi="Palatino Linotype" w:cs="Palatino Linotype"/>
          <w:b/>
          <w:i/>
          <w:color w:val="000000"/>
          <w:sz w:val="22"/>
          <w:szCs w:val="22"/>
        </w:rPr>
        <w:t>Artículo 179.</w:t>
      </w:r>
      <w:r w:rsidRPr="00E80CD0">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48ED2292" w14:textId="77777777" w:rsidR="003628E1" w:rsidRPr="00E80CD0" w:rsidRDefault="00A96EB0">
      <w:pPr>
        <w:ind w:left="567" w:right="902"/>
        <w:jc w:val="both"/>
        <w:rPr>
          <w:rFonts w:ascii="Palatino Linotype" w:eastAsia="Palatino Linotype" w:hAnsi="Palatino Linotype" w:cs="Palatino Linotype"/>
          <w:b/>
          <w:i/>
          <w:color w:val="000000"/>
          <w:sz w:val="22"/>
          <w:szCs w:val="22"/>
        </w:rPr>
      </w:pPr>
      <w:r w:rsidRPr="00E80CD0">
        <w:rPr>
          <w:rFonts w:ascii="Palatino Linotype" w:eastAsia="Palatino Linotype" w:hAnsi="Palatino Linotype" w:cs="Palatino Linotype"/>
          <w:b/>
          <w:i/>
          <w:color w:val="000000"/>
          <w:sz w:val="22"/>
          <w:szCs w:val="22"/>
        </w:rPr>
        <w:t>[…]</w:t>
      </w:r>
    </w:p>
    <w:p w14:paraId="4C542476" w14:textId="77777777" w:rsidR="003628E1" w:rsidRPr="00E80CD0" w:rsidRDefault="00A96EB0">
      <w:pPr>
        <w:ind w:left="567" w:right="902"/>
        <w:jc w:val="both"/>
        <w:rPr>
          <w:rFonts w:ascii="Palatino Linotype" w:eastAsia="Palatino Linotype" w:hAnsi="Palatino Linotype" w:cs="Palatino Linotype"/>
          <w:b/>
          <w:i/>
          <w:color w:val="000000"/>
          <w:sz w:val="22"/>
          <w:szCs w:val="22"/>
        </w:rPr>
      </w:pPr>
      <w:r w:rsidRPr="00E80CD0">
        <w:rPr>
          <w:rFonts w:ascii="Palatino Linotype" w:eastAsia="Palatino Linotype" w:hAnsi="Palatino Linotype" w:cs="Palatino Linotype"/>
          <w:b/>
          <w:i/>
          <w:color w:val="000000"/>
          <w:sz w:val="22"/>
          <w:szCs w:val="22"/>
        </w:rPr>
        <w:t>V. La entrega de información incompleta;</w:t>
      </w:r>
    </w:p>
    <w:p w14:paraId="5307B282" w14:textId="77777777" w:rsidR="003628E1" w:rsidRPr="00E80CD0" w:rsidRDefault="00A96EB0">
      <w:pPr>
        <w:ind w:left="567" w:right="902"/>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 […]”</w:t>
      </w:r>
    </w:p>
    <w:p w14:paraId="695817CA" w14:textId="77777777" w:rsidR="003628E1" w:rsidRPr="00E80CD0" w:rsidRDefault="003628E1">
      <w:pPr>
        <w:ind w:left="567"/>
        <w:rPr>
          <w:rFonts w:ascii="Palatino Linotype" w:eastAsia="Palatino Linotype" w:hAnsi="Palatino Linotype" w:cs="Palatino Linotype"/>
          <w:b/>
          <w:i/>
          <w:sz w:val="22"/>
          <w:szCs w:val="22"/>
        </w:rPr>
      </w:pPr>
    </w:p>
    <w:p w14:paraId="7395962B" w14:textId="77777777" w:rsidR="003628E1" w:rsidRPr="00E80CD0" w:rsidRDefault="00A96EB0">
      <w:pPr>
        <w:ind w:left="567" w:right="900"/>
        <w:jc w:val="right"/>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 xml:space="preserve"> </w:t>
      </w:r>
      <w:r w:rsidRPr="00E80CD0">
        <w:rPr>
          <w:rFonts w:ascii="Palatino Linotype" w:eastAsia="Palatino Linotype" w:hAnsi="Palatino Linotype" w:cs="Palatino Linotype"/>
          <w:i/>
          <w:sz w:val="22"/>
          <w:szCs w:val="22"/>
        </w:rPr>
        <w:t>(Énfasis añadido)</w:t>
      </w:r>
    </w:p>
    <w:p w14:paraId="4CAEDE24" w14:textId="77777777" w:rsidR="003628E1" w:rsidRPr="00E80CD0" w:rsidRDefault="003628E1">
      <w:pPr>
        <w:spacing w:line="360" w:lineRule="auto"/>
        <w:jc w:val="both"/>
        <w:rPr>
          <w:rFonts w:ascii="Palatino Linotype" w:eastAsia="Palatino Linotype" w:hAnsi="Palatino Linotype" w:cs="Palatino Linotype"/>
          <w:b/>
          <w:sz w:val="22"/>
          <w:szCs w:val="22"/>
        </w:rPr>
      </w:pPr>
    </w:p>
    <w:p w14:paraId="6B8CE1EB" w14:textId="77777777" w:rsidR="003628E1" w:rsidRPr="00E80CD0" w:rsidRDefault="00A96EB0">
      <w:pPr>
        <w:spacing w:line="360" w:lineRule="auto"/>
        <w:jc w:val="both"/>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t xml:space="preserve">Tercero. Materia de la revisión. </w:t>
      </w:r>
      <w:r w:rsidRPr="00E80CD0">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80CD0">
        <w:rPr>
          <w:rFonts w:ascii="Palatino Linotype" w:eastAsia="Palatino Linotype" w:hAnsi="Palatino Linotype" w:cs="Palatino Linotype"/>
          <w:b/>
          <w:sz w:val="22"/>
          <w:szCs w:val="22"/>
        </w:rPr>
        <w:t>verificar si la respuesta e informe justificado otorgado por el Sujeto Obligado son adecuados y suficientes</w:t>
      </w:r>
      <w:r w:rsidRPr="00E80CD0">
        <w:rPr>
          <w:rFonts w:ascii="Palatino Linotype" w:eastAsia="Palatino Linotype" w:hAnsi="Palatino Linotype" w:cs="Palatino Linotype"/>
          <w:b/>
          <w:color w:val="FF0000"/>
          <w:sz w:val="22"/>
          <w:szCs w:val="22"/>
        </w:rPr>
        <w:t xml:space="preserve"> </w:t>
      </w:r>
      <w:r w:rsidRPr="00E80CD0">
        <w:rPr>
          <w:rFonts w:ascii="Palatino Linotype" w:eastAsia="Palatino Linotype" w:hAnsi="Palatino Linotype" w:cs="Palatino Linotype"/>
          <w:b/>
          <w:sz w:val="22"/>
          <w:szCs w:val="22"/>
        </w:rPr>
        <w:t xml:space="preserve">para </w:t>
      </w:r>
      <w:r w:rsidRPr="00E80CD0">
        <w:rPr>
          <w:rFonts w:ascii="Palatino Linotype" w:eastAsia="Palatino Linotype" w:hAnsi="Palatino Linotype" w:cs="Palatino Linotype"/>
          <w:b/>
          <w:sz w:val="22"/>
          <w:szCs w:val="22"/>
        </w:rPr>
        <w:lastRenderedPageBreak/>
        <w:t>satisfacer el derecho de acceso a la información pública de la parte Recurrente,</w:t>
      </w:r>
      <w:r w:rsidRPr="00E80CD0">
        <w:rPr>
          <w:rFonts w:ascii="Palatino Linotype" w:eastAsia="Palatino Linotype" w:hAnsi="Palatino Linotype" w:cs="Palatino Linotype"/>
          <w:sz w:val="22"/>
          <w:szCs w:val="22"/>
        </w:rPr>
        <w:t xml:space="preserve"> o en su defecto, en caso de ser procedente, ordenar la entrega de la información oportuna.</w:t>
      </w:r>
    </w:p>
    <w:p w14:paraId="16C3E238"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73CA3CE8" w14:textId="77777777" w:rsidR="003628E1" w:rsidRPr="00E80CD0" w:rsidRDefault="00A96EB0">
      <w:pPr>
        <w:spacing w:line="360" w:lineRule="auto"/>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sz w:val="22"/>
          <w:szCs w:val="22"/>
        </w:rPr>
        <w:t xml:space="preserve">Cuarto. Estudio del asunto. </w:t>
      </w:r>
      <w:r w:rsidRPr="00E80CD0">
        <w:rPr>
          <w:rFonts w:ascii="Palatino Linotype" w:eastAsia="Palatino Linotype" w:hAnsi="Palatino Linotype" w:cs="Palatino Linotype"/>
          <w:color w:val="000000"/>
          <w:sz w:val="22"/>
          <w:szCs w:val="22"/>
        </w:rPr>
        <w:t xml:space="preserve">Antes de entrar al análisis de los pronunciamientos del </w:t>
      </w:r>
      <w:r w:rsidRPr="00E80CD0">
        <w:rPr>
          <w:rFonts w:ascii="Palatino Linotype" w:eastAsia="Palatino Linotype" w:hAnsi="Palatino Linotype" w:cs="Palatino Linotype"/>
          <w:b/>
          <w:color w:val="000000"/>
          <w:sz w:val="22"/>
          <w:szCs w:val="22"/>
        </w:rPr>
        <w:t>Sujeto Obligado</w:t>
      </w:r>
      <w:r w:rsidRPr="00E80CD0">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08F83D2" w14:textId="77777777" w:rsidR="003628E1" w:rsidRPr="00E80CD0" w:rsidRDefault="003628E1">
      <w:pPr>
        <w:spacing w:line="360" w:lineRule="auto"/>
        <w:jc w:val="both"/>
        <w:rPr>
          <w:rFonts w:ascii="Palatino Linotype" w:eastAsia="Palatino Linotype" w:hAnsi="Palatino Linotype" w:cs="Palatino Linotype"/>
          <w:color w:val="000000"/>
          <w:sz w:val="22"/>
          <w:szCs w:val="22"/>
        </w:rPr>
      </w:pPr>
    </w:p>
    <w:p w14:paraId="0CC0ECBA" w14:textId="77777777" w:rsidR="003628E1" w:rsidRPr="00E80CD0" w:rsidRDefault="00A96EB0">
      <w:pPr>
        <w:spacing w:line="276" w:lineRule="auto"/>
        <w:ind w:left="851" w:right="8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E80CD0">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60466273" w14:textId="77777777" w:rsidR="003628E1" w:rsidRPr="00E80CD0" w:rsidRDefault="00A96EB0">
      <w:pPr>
        <w:spacing w:line="276" w:lineRule="auto"/>
        <w:ind w:left="851" w:right="8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073BCF8A" w14:textId="77777777" w:rsidR="003628E1" w:rsidRPr="00E80CD0" w:rsidRDefault="00A96EB0">
      <w:pPr>
        <w:spacing w:line="276" w:lineRule="auto"/>
        <w:ind w:left="851" w:right="8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80CD0">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1C959AFB" w14:textId="77777777" w:rsidR="003628E1" w:rsidRPr="00E80CD0" w:rsidRDefault="00A96EB0">
      <w:pPr>
        <w:spacing w:line="276" w:lineRule="auto"/>
        <w:ind w:left="851" w:right="8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i/>
          <w:color w:val="000000"/>
          <w:sz w:val="22"/>
          <w:szCs w:val="22"/>
        </w:rPr>
        <w:t>[…]</w:t>
      </w:r>
    </w:p>
    <w:p w14:paraId="32674B5A" w14:textId="77777777" w:rsidR="003628E1" w:rsidRPr="00E80CD0" w:rsidRDefault="00A96EB0">
      <w:pPr>
        <w:spacing w:line="276" w:lineRule="auto"/>
        <w:ind w:left="851" w:right="901"/>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i/>
          <w:color w:val="000000"/>
          <w:sz w:val="22"/>
          <w:szCs w:val="22"/>
        </w:rPr>
        <w:t>“Artículo 6o.</w:t>
      </w:r>
    </w:p>
    <w:p w14:paraId="3FC29011" w14:textId="77777777" w:rsidR="003628E1" w:rsidRPr="00E80CD0" w:rsidRDefault="00A96EB0">
      <w:pPr>
        <w:spacing w:line="276" w:lineRule="auto"/>
        <w:ind w:left="851" w:right="901"/>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i/>
          <w:color w:val="000000"/>
          <w:sz w:val="22"/>
          <w:szCs w:val="22"/>
        </w:rPr>
        <w:t>[...]</w:t>
      </w:r>
    </w:p>
    <w:p w14:paraId="261DA3E2" w14:textId="77777777" w:rsidR="003628E1" w:rsidRPr="00E80CD0" w:rsidRDefault="00A96EB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E80CD0">
        <w:rPr>
          <w:rFonts w:ascii="Palatino Linotype" w:eastAsia="Palatino Linotype" w:hAnsi="Palatino Linotype" w:cs="Palatino Linotype"/>
          <w:b/>
          <w:i/>
          <w:sz w:val="22"/>
          <w:szCs w:val="22"/>
          <w:u w:val="single"/>
        </w:rPr>
        <w:t>las entidades federativas</w:t>
      </w:r>
      <w:r w:rsidRPr="00E80CD0">
        <w:rPr>
          <w:rFonts w:ascii="Palatino Linotype" w:eastAsia="Palatino Linotype" w:hAnsi="Palatino Linotype" w:cs="Palatino Linotype"/>
          <w:b/>
          <w:i/>
          <w:sz w:val="22"/>
          <w:szCs w:val="22"/>
        </w:rPr>
        <w:t>,</w:t>
      </w:r>
      <w:r w:rsidRPr="00E80CD0">
        <w:rPr>
          <w:rFonts w:ascii="Palatino Linotype" w:eastAsia="Palatino Linotype" w:hAnsi="Palatino Linotype" w:cs="Palatino Linotype"/>
          <w:i/>
          <w:sz w:val="22"/>
          <w:szCs w:val="22"/>
        </w:rPr>
        <w:t xml:space="preserve"> en el ámbito de sus respectivas competencias, se regirán por los siguientes principios y bases:</w:t>
      </w:r>
    </w:p>
    <w:p w14:paraId="5A24E86C" w14:textId="77777777" w:rsidR="003628E1" w:rsidRPr="00E80CD0" w:rsidRDefault="00A96EB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w:t>
      </w:r>
      <w:r w:rsidRPr="00E80CD0">
        <w:rPr>
          <w:rFonts w:ascii="Palatino Linotype" w:eastAsia="Palatino Linotype" w:hAnsi="Palatino Linotype" w:cs="Palatino Linotype"/>
          <w:b/>
          <w:i/>
          <w:sz w:val="22"/>
          <w:szCs w:val="22"/>
        </w:rPr>
        <w:t xml:space="preserve">I. </w:t>
      </w:r>
      <w:r w:rsidRPr="00E80CD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80CD0">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E80CD0">
        <w:rPr>
          <w:rFonts w:ascii="Palatino Linotype" w:eastAsia="Palatino Linotype" w:hAnsi="Palatino Linotype" w:cs="Palatino Linotype"/>
          <w:b/>
          <w:i/>
          <w:sz w:val="22"/>
          <w:szCs w:val="22"/>
        </w:rPr>
        <w:t>es pública y sólo podrá ser reservada temporalmente por razones de interés público y seguridad nacional,</w:t>
      </w:r>
      <w:r w:rsidRPr="00E80CD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4F55079" w14:textId="77777777" w:rsidR="003628E1" w:rsidRPr="00E80CD0" w:rsidRDefault="00A96EB0">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21D189B" w14:textId="77777777" w:rsidR="003628E1" w:rsidRPr="00E80CD0" w:rsidRDefault="00A96EB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w:t>
      </w:r>
      <w:r w:rsidRPr="00E80CD0">
        <w:rPr>
          <w:rFonts w:ascii="Palatino Linotype" w:eastAsia="Palatino Linotype" w:hAnsi="Palatino Linotype" w:cs="Palatino Linotype"/>
          <w:b/>
          <w:i/>
          <w:sz w:val="22"/>
          <w:szCs w:val="22"/>
        </w:rPr>
        <w:t xml:space="preserve">III. </w:t>
      </w:r>
      <w:r w:rsidRPr="00E80CD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80CD0">
        <w:rPr>
          <w:rFonts w:ascii="Palatino Linotype" w:eastAsia="Palatino Linotype" w:hAnsi="Palatino Linotype" w:cs="Palatino Linotype"/>
          <w:i/>
          <w:sz w:val="22"/>
          <w:szCs w:val="22"/>
        </w:rPr>
        <w:t xml:space="preserve"> a sus datos personales o a la rectificación de éstos.</w:t>
      </w:r>
    </w:p>
    <w:p w14:paraId="1145ECAB" w14:textId="77777777" w:rsidR="003628E1" w:rsidRPr="00E80CD0" w:rsidRDefault="00A96EB0">
      <w:pPr>
        <w:pBdr>
          <w:top w:val="nil"/>
          <w:left w:val="nil"/>
          <w:bottom w:val="nil"/>
          <w:right w:val="nil"/>
          <w:between w:val="nil"/>
        </w:pBdr>
        <w:spacing w:before="240" w:after="240"/>
        <w:ind w:left="851" w:right="851"/>
        <w:jc w:val="both"/>
      </w:pPr>
      <w:r w:rsidRPr="00E80CD0">
        <w:rPr>
          <w:rFonts w:ascii="Palatino Linotype" w:eastAsia="Palatino Linotype" w:hAnsi="Palatino Linotype" w:cs="Palatino Linotype"/>
          <w:b/>
          <w:i/>
          <w:sz w:val="22"/>
          <w:szCs w:val="22"/>
        </w:rPr>
        <w:t>…</w:t>
      </w:r>
    </w:p>
    <w:p w14:paraId="42952759" w14:textId="77777777" w:rsidR="003628E1" w:rsidRPr="00E80CD0" w:rsidRDefault="00A96EB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IV.</w:t>
      </w:r>
      <w:r w:rsidRPr="00E80CD0">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6F136941" w14:textId="77777777" w:rsidR="003628E1" w:rsidRPr="00E80CD0" w:rsidRDefault="00A96EB0">
      <w:pPr>
        <w:pBdr>
          <w:top w:val="nil"/>
          <w:left w:val="nil"/>
          <w:bottom w:val="nil"/>
          <w:right w:val="nil"/>
          <w:between w:val="nil"/>
        </w:pBdr>
        <w:spacing w:before="240" w:after="240"/>
        <w:ind w:left="851" w:right="851"/>
        <w:jc w:val="both"/>
      </w:pPr>
      <w:r w:rsidRPr="00E80CD0">
        <w:rPr>
          <w:rFonts w:ascii="Palatino Linotype" w:eastAsia="Palatino Linotype" w:hAnsi="Palatino Linotype" w:cs="Palatino Linotype"/>
          <w:b/>
          <w:i/>
          <w:sz w:val="22"/>
          <w:szCs w:val="22"/>
        </w:rPr>
        <w:t xml:space="preserve">V. </w:t>
      </w:r>
      <w:r w:rsidRPr="00E80CD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6B9E058" w14:textId="77777777" w:rsidR="003628E1" w:rsidRPr="00E80CD0" w:rsidRDefault="00A96EB0">
      <w:pPr>
        <w:pBdr>
          <w:top w:val="nil"/>
          <w:left w:val="nil"/>
          <w:bottom w:val="nil"/>
          <w:right w:val="nil"/>
          <w:between w:val="nil"/>
        </w:pBdr>
        <w:spacing w:before="240" w:after="240"/>
        <w:ind w:left="851" w:right="851"/>
        <w:jc w:val="both"/>
      </w:pPr>
      <w:r w:rsidRPr="00E80CD0">
        <w:rPr>
          <w:rFonts w:ascii="Palatino Linotype" w:eastAsia="Palatino Linotype" w:hAnsi="Palatino Linotype" w:cs="Palatino Linotype"/>
          <w:i/>
          <w:sz w:val="22"/>
          <w:szCs w:val="22"/>
        </w:rPr>
        <w:t> </w:t>
      </w:r>
      <w:r w:rsidRPr="00E80CD0">
        <w:rPr>
          <w:rFonts w:ascii="Palatino Linotype" w:eastAsia="Palatino Linotype" w:hAnsi="Palatino Linotype" w:cs="Palatino Linotype"/>
          <w:b/>
          <w:i/>
          <w:sz w:val="22"/>
          <w:szCs w:val="22"/>
        </w:rPr>
        <w:t xml:space="preserve">VI. </w:t>
      </w:r>
      <w:r w:rsidRPr="00E80CD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3E06204" w14:textId="77777777" w:rsidR="003628E1" w:rsidRPr="00E80CD0" w:rsidRDefault="00A96EB0">
      <w:pPr>
        <w:pBdr>
          <w:top w:val="nil"/>
          <w:left w:val="nil"/>
          <w:bottom w:val="nil"/>
          <w:right w:val="nil"/>
          <w:between w:val="nil"/>
        </w:pBdr>
        <w:spacing w:before="240" w:after="240"/>
        <w:ind w:left="851" w:right="851"/>
        <w:jc w:val="both"/>
      </w:pPr>
      <w:r w:rsidRPr="00E80CD0">
        <w:rPr>
          <w:rFonts w:ascii="Palatino Linotype" w:eastAsia="Palatino Linotype" w:hAnsi="Palatino Linotype" w:cs="Palatino Linotype"/>
          <w:i/>
          <w:sz w:val="22"/>
          <w:szCs w:val="22"/>
        </w:rPr>
        <w:lastRenderedPageBreak/>
        <w:t> </w:t>
      </w:r>
      <w:r w:rsidRPr="00E80CD0">
        <w:rPr>
          <w:rFonts w:ascii="Palatino Linotype" w:eastAsia="Palatino Linotype" w:hAnsi="Palatino Linotype" w:cs="Palatino Linotype"/>
          <w:b/>
          <w:i/>
          <w:sz w:val="22"/>
          <w:szCs w:val="22"/>
        </w:rPr>
        <w:t xml:space="preserve">VII. </w:t>
      </w:r>
      <w:r w:rsidRPr="00E80CD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21D0952" w14:textId="77777777" w:rsidR="003628E1" w:rsidRPr="00E80CD0" w:rsidRDefault="003628E1">
      <w:pPr>
        <w:spacing w:line="276" w:lineRule="auto"/>
        <w:ind w:left="851" w:right="851"/>
        <w:jc w:val="both"/>
        <w:rPr>
          <w:rFonts w:ascii="Palatino Linotype" w:eastAsia="Palatino Linotype" w:hAnsi="Palatino Linotype" w:cs="Palatino Linotype"/>
          <w:color w:val="000000"/>
          <w:sz w:val="22"/>
          <w:szCs w:val="22"/>
        </w:rPr>
      </w:pPr>
    </w:p>
    <w:p w14:paraId="6EFB6EC5" w14:textId="77777777" w:rsidR="003628E1" w:rsidRPr="00E80CD0" w:rsidRDefault="00A96EB0">
      <w:pPr>
        <w:spacing w:line="360" w:lineRule="auto"/>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ED56F8E" w14:textId="77777777" w:rsidR="003628E1" w:rsidRPr="00E80CD0" w:rsidRDefault="003628E1">
      <w:pPr>
        <w:spacing w:line="360" w:lineRule="auto"/>
        <w:jc w:val="both"/>
        <w:rPr>
          <w:rFonts w:ascii="Palatino Linotype" w:eastAsia="Palatino Linotype" w:hAnsi="Palatino Linotype" w:cs="Palatino Linotype"/>
          <w:color w:val="000000"/>
          <w:sz w:val="22"/>
          <w:szCs w:val="22"/>
        </w:rPr>
      </w:pPr>
    </w:p>
    <w:p w14:paraId="1D257B52"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r w:rsidRPr="00E80CD0">
        <w:rPr>
          <w:rFonts w:ascii="Palatino Linotype" w:eastAsia="Palatino Linotype" w:hAnsi="Palatino Linotype" w:cs="Palatino Linotype"/>
          <w:b/>
          <w:i/>
          <w:sz w:val="22"/>
          <w:szCs w:val="22"/>
        </w:rPr>
        <w:t>Artículo 4</w:t>
      </w:r>
      <w:r w:rsidRPr="00E80CD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F8BF5F" w14:textId="77777777" w:rsidR="003628E1" w:rsidRPr="00E80CD0" w:rsidRDefault="003628E1">
      <w:pPr>
        <w:spacing w:line="276" w:lineRule="auto"/>
        <w:ind w:left="567" w:right="616"/>
        <w:jc w:val="both"/>
        <w:rPr>
          <w:rFonts w:ascii="Palatino Linotype" w:eastAsia="Palatino Linotype" w:hAnsi="Palatino Linotype" w:cs="Palatino Linotype"/>
          <w:i/>
          <w:sz w:val="22"/>
          <w:szCs w:val="22"/>
        </w:rPr>
      </w:pPr>
    </w:p>
    <w:p w14:paraId="7ED27D65"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80CD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C217C62" w14:textId="77777777" w:rsidR="003628E1" w:rsidRPr="00E80CD0" w:rsidRDefault="003628E1">
      <w:pPr>
        <w:spacing w:line="276" w:lineRule="auto"/>
        <w:ind w:left="567" w:right="616"/>
        <w:jc w:val="both"/>
        <w:rPr>
          <w:rFonts w:ascii="Palatino Linotype" w:eastAsia="Palatino Linotype" w:hAnsi="Palatino Linotype" w:cs="Palatino Linotype"/>
          <w:i/>
          <w:sz w:val="22"/>
          <w:szCs w:val="22"/>
        </w:rPr>
      </w:pPr>
    </w:p>
    <w:p w14:paraId="5BAD9CA2"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80CD0">
        <w:rPr>
          <w:rFonts w:ascii="Palatino Linotype" w:eastAsia="Palatino Linotype" w:hAnsi="Palatino Linotype" w:cs="Palatino Linotype"/>
          <w:i/>
          <w:sz w:val="22"/>
          <w:szCs w:val="22"/>
        </w:rPr>
        <w:t>.”</w:t>
      </w:r>
    </w:p>
    <w:p w14:paraId="2E5ED562"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072CE4FA"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058EC29"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4E68DA94"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“Artículo 12.-</w:t>
      </w:r>
      <w:r w:rsidRPr="00E80CD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7963902" w14:textId="77777777" w:rsidR="003628E1" w:rsidRPr="00E80CD0" w:rsidRDefault="003628E1">
      <w:pPr>
        <w:spacing w:line="276" w:lineRule="auto"/>
        <w:ind w:left="567" w:right="616"/>
        <w:jc w:val="both"/>
        <w:rPr>
          <w:rFonts w:ascii="Palatino Linotype" w:eastAsia="Palatino Linotype" w:hAnsi="Palatino Linotype" w:cs="Palatino Linotype"/>
          <w:i/>
          <w:sz w:val="22"/>
          <w:szCs w:val="22"/>
        </w:rPr>
      </w:pPr>
    </w:p>
    <w:p w14:paraId="4915C204" w14:textId="77777777" w:rsidR="003628E1" w:rsidRPr="00E80CD0" w:rsidRDefault="00A96EB0">
      <w:pPr>
        <w:spacing w:line="276" w:lineRule="auto"/>
        <w:ind w:left="567" w:right="616"/>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80CD0">
        <w:rPr>
          <w:rFonts w:ascii="Palatino Linotype" w:eastAsia="Palatino Linotype" w:hAnsi="Palatino Linotype" w:cs="Palatino Linotype"/>
          <w:i/>
          <w:sz w:val="22"/>
          <w:szCs w:val="22"/>
        </w:rPr>
        <w:t xml:space="preserve">. </w:t>
      </w:r>
      <w:r w:rsidRPr="00E80CD0">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2C0E772" w14:textId="77777777" w:rsidR="003628E1" w:rsidRPr="00E80CD0" w:rsidRDefault="003628E1">
      <w:pPr>
        <w:spacing w:line="360" w:lineRule="auto"/>
        <w:ind w:left="567" w:right="616"/>
        <w:jc w:val="both"/>
        <w:rPr>
          <w:rFonts w:ascii="Palatino Linotype" w:eastAsia="Palatino Linotype" w:hAnsi="Palatino Linotype" w:cs="Palatino Linotype"/>
          <w:i/>
          <w:sz w:val="22"/>
          <w:szCs w:val="22"/>
        </w:rPr>
      </w:pPr>
    </w:p>
    <w:p w14:paraId="1D7BF202" w14:textId="77777777" w:rsidR="003628E1" w:rsidRPr="00E80CD0" w:rsidRDefault="00A96EB0">
      <w:pPr>
        <w:spacing w:line="360" w:lineRule="auto"/>
        <w:ind w:right="-93"/>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6FFF84A" w14:textId="77777777" w:rsidR="003628E1" w:rsidRPr="00E80CD0" w:rsidRDefault="00A96EB0">
      <w:pPr>
        <w:spacing w:line="360" w:lineRule="auto"/>
        <w:jc w:val="both"/>
        <w:rPr>
          <w:rFonts w:ascii="Palatino Linotype" w:eastAsia="Palatino Linotype" w:hAnsi="Palatino Linotype" w:cs="Palatino Linotype"/>
          <w:b/>
          <w:sz w:val="22"/>
          <w:szCs w:val="22"/>
        </w:rPr>
      </w:pPr>
      <w:r w:rsidRPr="00E80CD0">
        <w:rPr>
          <w:rFonts w:ascii="Palatino Linotype" w:eastAsia="Palatino Linotype" w:hAnsi="Palatino Linotype" w:cs="Palatino Linotype"/>
          <w:sz w:val="22"/>
          <w:szCs w:val="22"/>
        </w:rPr>
        <w:t>Sirve de apoyo a lo anterior, el criterio orientador 03-17, expuesto por el entonces Instituto Nacional de Transparencia, Acceso a la Información y Protección de Datos Personales, que dice:</w:t>
      </w:r>
      <w:r w:rsidRPr="00E80CD0">
        <w:rPr>
          <w:rFonts w:ascii="Palatino Linotype" w:eastAsia="Palatino Linotype" w:hAnsi="Palatino Linotype" w:cs="Palatino Linotype"/>
          <w:b/>
          <w:sz w:val="22"/>
          <w:szCs w:val="22"/>
        </w:rPr>
        <w:t xml:space="preserve"> </w:t>
      </w:r>
    </w:p>
    <w:p w14:paraId="14E50641" w14:textId="77777777" w:rsidR="003628E1" w:rsidRPr="00E80CD0" w:rsidRDefault="003628E1">
      <w:pPr>
        <w:spacing w:line="360" w:lineRule="auto"/>
        <w:jc w:val="both"/>
        <w:rPr>
          <w:rFonts w:ascii="Palatino Linotype" w:eastAsia="Palatino Linotype" w:hAnsi="Palatino Linotype" w:cs="Palatino Linotype"/>
          <w:b/>
          <w:sz w:val="22"/>
          <w:szCs w:val="22"/>
        </w:rPr>
      </w:pPr>
    </w:p>
    <w:p w14:paraId="312D9726"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r w:rsidRPr="00E80CD0">
        <w:rPr>
          <w:rFonts w:ascii="Palatino Linotype" w:eastAsia="Palatino Linotype" w:hAnsi="Palatino Linotype" w:cs="Palatino Linotype"/>
          <w:b/>
          <w:i/>
          <w:sz w:val="22"/>
          <w:szCs w:val="22"/>
        </w:rPr>
        <w:t>No existe obligación de elaborar documentos ad hoc para atender las solicitudes de acceso a la información.</w:t>
      </w:r>
      <w:r w:rsidRPr="00E80CD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D0C54BD" w14:textId="77777777" w:rsidR="003628E1" w:rsidRPr="00E80CD0" w:rsidRDefault="003628E1">
      <w:pPr>
        <w:spacing w:line="360" w:lineRule="auto"/>
        <w:ind w:right="-93"/>
        <w:jc w:val="both"/>
        <w:rPr>
          <w:rFonts w:ascii="Palatino Linotype" w:eastAsia="Palatino Linotype" w:hAnsi="Palatino Linotype" w:cs="Palatino Linotype"/>
          <w:sz w:val="22"/>
          <w:szCs w:val="22"/>
        </w:rPr>
      </w:pPr>
    </w:p>
    <w:p w14:paraId="1D1B9886"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B7198E"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795C445C" w14:textId="77777777" w:rsidR="003628E1" w:rsidRPr="00E80CD0" w:rsidRDefault="00A96EB0">
      <w:pP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3B76D37" w14:textId="77777777" w:rsidR="003628E1" w:rsidRPr="00E80CD0" w:rsidRDefault="003628E1">
      <w:pPr>
        <w:spacing w:line="360" w:lineRule="auto"/>
        <w:ind w:right="49"/>
        <w:jc w:val="both"/>
        <w:rPr>
          <w:rFonts w:ascii="Palatino Linotype" w:eastAsia="Palatino Linotype" w:hAnsi="Palatino Linotype" w:cs="Palatino Linotype"/>
          <w:sz w:val="22"/>
          <w:szCs w:val="22"/>
        </w:rPr>
      </w:pPr>
    </w:p>
    <w:p w14:paraId="0EE5B11F"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E80CD0">
        <w:rPr>
          <w:rFonts w:ascii="Palatino Linotype" w:eastAsia="Palatino Linotype" w:hAnsi="Palatino Linotype" w:cs="Palatino Linotype"/>
          <w:sz w:val="22"/>
          <w:szCs w:val="22"/>
        </w:rPr>
        <w:lastRenderedPageBreak/>
        <w:t xml:space="preserve">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CC8B972" w14:textId="77777777" w:rsidR="003628E1" w:rsidRPr="00E80CD0" w:rsidRDefault="003628E1">
      <w:pPr>
        <w:spacing w:line="360" w:lineRule="auto"/>
        <w:ind w:left="851" w:right="899"/>
        <w:jc w:val="both"/>
        <w:rPr>
          <w:rFonts w:ascii="Palatino Linotype" w:eastAsia="Palatino Linotype" w:hAnsi="Palatino Linotype" w:cs="Palatino Linotype"/>
          <w:i/>
          <w:sz w:val="22"/>
          <w:szCs w:val="22"/>
        </w:rPr>
      </w:pPr>
    </w:p>
    <w:p w14:paraId="5B7F1351"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r w:rsidRPr="00E80CD0">
        <w:rPr>
          <w:rFonts w:ascii="Palatino Linotype" w:eastAsia="Palatino Linotype" w:hAnsi="Palatino Linotype" w:cs="Palatino Linotype"/>
          <w:b/>
          <w:i/>
          <w:sz w:val="22"/>
          <w:szCs w:val="22"/>
        </w:rPr>
        <w:t xml:space="preserve">Artículo 3. </w:t>
      </w:r>
      <w:r w:rsidRPr="00E80CD0">
        <w:rPr>
          <w:rFonts w:ascii="Palatino Linotype" w:eastAsia="Palatino Linotype" w:hAnsi="Palatino Linotype" w:cs="Palatino Linotype"/>
          <w:i/>
          <w:sz w:val="22"/>
          <w:szCs w:val="22"/>
        </w:rPr>
        <w:t>Para los efectos de la presente Ley se entenderá por:</w:t>
      </w:r>
    </w:p>
    <w:p w14:paraId="35150084"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p>
    <w:p w14:paraId="01C185A0"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XI. Documento:</w:t>
      </w:r>
      <w:r w:rsidRPr="00E80CD0">
        <w:rPr>
          <w:rFonts w:ascii="Palatino Linotype" w:eastAsia="Palatino Linotype" w:hAnsi="Palatino Linotype" w:cs="Palatino Linotype"/>
          <w:i/>
          <w:sz w:val="22"/>
          <w:szCs w:val="22"/>
        </w:rPr>
        <w:t xml:space="preserve"> Los expedientes, reportes, estudios, actas</w:t>
      </w:r>
      <w:r w:rsidRPr="00E80CD0">
        <w:rPr>
          <w:rFonts w:ascii="Palatino Linotype" w:eastAsia="Palatino Linotype" w:hAnsi="Palatino Linotype" w:cs="Palatino Linotype"/>
          <w:b/>
          <w:i/>
          <w:sz w:val="22"/>
          <w:szCs w:val="22"/>
        </w:rPr>
        <w:t>,</w:t>
      </w:r>
      <w:r w:rsidRPr="00E80CD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82FEB0B" w14:textId="77777777" w:rsidR="003628E1" w:rsidRPr="00E80CD0" w:rsidRDefault="003628E1">
      <w:pPr>
        <w:spacing w:line="360" w:lineRule="auto"/>
        <w:ind w:left="851" w:right="899"/>
        <w:jc w:val="both"/>
        <w:rPr>
          <w:rFonts w:ascii="Palatino Linotype" w:eastAsia="Palatino Linotype" w:hAnsi="Palatino Linotype" w:cs="Palatino Linotype"/>
          <w:sz w:val="22"/>
          <w:szCs w:val="22"/>
        </w:rPr>
      </w:pPr>
    </w:p>
    <w:p w14:paraId="6158ED5F"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B974754"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659837FB" w14:textId="77777777" w:rsidR="003628E1" w:rsidRPr="00E80CD0" w:rsidRDefault="00A96EB0">
      <w:pPr>
        <w:spacing w:line="276" w:lineRule="auto"/>
        <w:ind w:left="567" w:right="616"/>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sz w:val="22"/>
          <w:szCs w:val="22"/>
        </w:rPr>
        <w:t>“</w:t>
      </w:r>
      <w:r w:rsidRPr="00E80CD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80CD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BA8898D"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2BB1B93F"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C1C6340" w14:textId="77777777" w:rsidR="003628E1" w:rsidRPr="00E80CD0" w:rsidRDefault="00A96EB0">
      <w:pPr>
        <w:spacing w:line="276" w:lineRule="auto"/>
        <w:ind w:left="567" w:right="616"/>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8188563" w14:textId="77777777" w:rsidR="003628E1" w:rsidRPr="00E80CD0" w:rsidRDefault="00A96EB0">
      <w:pPr>
        <w:spacing w:line="276" w:lineRule="auto"/>
        <w:ind w:left="567" w:right="616"/>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6FC1F975" w14:textId="77777777" w:rsidR="003628E1" w:rsidRPr="00E80CD0" w:rsidRDefault="003628E1">
      <w:pPr>
        <w:spacing w:line="276" w:lineRule="auto"/>
        <w:ind w:left="567" w:right="616"/>
        <w:jc w:val="both"/>
        <w:rPr>
          <w:rFonts w:ascii="Palatino Linotype" w:eastAsia="Palatino Linotype" w:hAnsi="Palatino Linotype" w:cs="Palatino Linotype"/>
          <w:b/>
          <w:i/>
          <w:sz w:val="22"/>
          <w:szCs w:val="22"/>
        </w:rPr>
      </w:pPr>
    </w:p>
    <w:p w14:paraId="7F8BFD2E"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De ahí que 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80CD0">
        <w:rPr>
          <w:rFonts w:ascii="Palatino Linotype" w:eastAsia="Palatino Linotype" w:hAnsi="Palatino Linotype" w:cs="Palatino Linotype"/>
          <w:sz w:val="22"/>
          <w:szCs w:val="22"/>
          <w:vertAlign w:val="superscript"/>
        </w:rPr>
        <w:footnoteReference w:id="1"/>
      </w:r>
      <w:r w:rsidRPr="00E80CD0">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80CD0">
        <w:rPr>
          <w:rFonts w:ascii="Palatino Linotype" w:eastAsia="Palatino Linotype" w:hAnsi="Palatino Linotype" w:cs="Palatino Linotype"/>
          <w:sz w:val="22"/>
          <w:szCs w:val="22"/>
          <w:vertAlign w:val="superscript"/>
        </w:rPr>
        <w:footnoteReference w:id="2"/>
      </w:r>
      <w:r w:rsidRPr="00E80CD0">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87CBB55" w14:textId="77777777" w:rsidR="003628E1" w:rsidRPr="00E80CD0" w:rsidRDefault="003628E1">
      <w:pPr>
        <w:spacing w:line="360" w:lineRule="auto"/>
        <w:ind w:right="-150"/>
        <w:jc w:val="both"/>
        <w:rPr>
          <w:rFonts w:ascii="Palatino Linotype" w:eastAsia="Palatino Linotype" w:hAnsi="Palatino Linotype" w:cs="Palatino Linotype"/>
          <w:sz w:val="22"/>
          <w:szCs w:val="22"/>
        </w:rPr>
      </w:pPr>
    </w:p>
    <w:p w14:paraId="242B7BD4"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E80CD0">
        <w:rPr>
          <w:rFonts w:ascii="Palatino Linotype" w:eastAsia="Palatino Linotype" w:hAnsi="Palatino Linotype" w:cs="Palatino Linotype"/>
          <w:sz w:val="22"/>
          <w:szCs w:val="22"/>
        </w:rPr>
        <w:t xml:space="preserve">Para ello, conviene iniciar el presente estudio señalando que la persona solicitante requirió del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medularmente, respecto del Comité de Planeación para el Desarrollo Municipal de Toluca, de la administración 2022-2024, lo siguiente:</w:t>
      </w:r>
    </w:p>
    <w:p w14:paraId="333A4696"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DB2C8C6" w14:textId="77777777" w:rsidR="003628E1" w:rsidRPr="00E80CD0" w:rsidRDefault="00A96EB0">
      <w:pPr>
        <w:numPr>
          <w:ilvl w:val="0"/>
          <w:numId w:val="2"/>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Las actas de las sesiones; y</w:t>
      </w:r>
    </w:p>
    <w:p w14:paraId="2ECD3D6E" w14:textId="77777777" w:rsidR="003628E1" w:rsidRPr="00E80CD0" w:rsidRDefault="00A96EB0">
      <w:pPr>
        <w:numPr>
          <w:ilvl w:val="0"/>
          <w:numId w:val="2"/>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Las presentaciones de las sesiones.</w:t>
      </w:r>
    </w:p>
    <w:p w14:paraId="12BA7536" w14:textId="77777777" w:rsidR="003628E1" w:rsidRPr="00E80CD0" w:rsidRDefault="003628E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62F60B3" w14:textId="77777777" w:rsidR="003628E1" w:rsidRPr="00E80CD0" w:rsidRDefault="00A96EB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En respuesta, 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por conducto de la Unidad de Información, Planeación, Programación y Evaluación, hizo entrega de actas de instalación, ordinarias y extraordinarias del COPLADEMUN, celebradas en la administración 2022-2024, señalando que por lo que corresponde al acta de la última sesión de dicho comité del ejercicio 2024, la misma se encontraba en proceso de firma de los integrantes; por lo que, una vez que se concluyera dicha actividad sería publicada.</w:t>
      </w:r>
    </w:p>
    <w:p w14:paraId="329D82D4" w14:textId="77777777" w:rsidR="003628E1" w:rsidRPr="00E80CD0" w:rsidRDefault="003628E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FB0C3A6" w14:textId="77777777" w:rsidR="003628E1" w:rsidRPr="00E80CD0" w:rsidRDefault="00A96EB0">
      <w:pPr>
        <w:spacing w:line="360" w:lineRule="auto"/>
        <w:ind w:right="49"/>
        <w:jc w:val="both"/>
        <w:rPr>
          <w:rFonts w:ascii="Palatino Linotype" w:eastAsia="Palatino Linotype" w:hAnsi="Palatino Linotype" w:cs="Palatino Linotype"/>
          <w:b/>
          <w:sz w:val="22"/>
          <w:szCs w:val="22"/>
        </w:rPr>
      </w:pPr>
      <w:r w:rsidRPr="00E80CD0">
        <w:rPr>
          <w:rFonts w:ascii="Palatino Linotype" w:eastAsia="Palatino Linotype" w:hAnsi="Palatino Linotype" w:cs="Palatino Linotype"/>
          <w:sz w:val="22"/>
          <w:szCs w:val="22"/>
        </w:rPr>
        <w:t xml:space="preserve">Inconforme con la respuesta la parte </w:t>
      </w:r>
      <w:r w:rsidRPr="00E80CD0">
        <w:rPr>
          <w:rFonts w:ascii="Palatino Linotype" w:eastAsia="Palatino Linotype" w:hAnsi="Palatino Linotype" w:cs="Palatino Linotype"/>
          <w:b/>
          <w:sz w:val="22"/>
          <w:szCs w:val="22"/>
        </w:rPr>
        <w:t xml:space="preserve">Recurrente, </w:t>
      </w:r>
      <w:r w:rsidRPr="00E80CD0">
        <w:rPr>
          <w:rFonts w:ascii="Palatino Linotype" w:eastAsia="Palatino Linotype" w:hAnsi="Palatino Linotype" w:cs="Palatino Linotype"/>
          <w:sz w:val="22"/>
          <w:szCs w:val="22"/>
        </w:rPr>
        <w:t xml:space="preserve">promovió el presente recurso de revisión en el que a manera de motivos de inconformidad </w:t>
      </w:r>
      <w:r w:rsidRPr="00E80CD0">
        <w:rPr>
          <w:rFonts w:ascii="Palatino Linotype" w:eastAsia="Palatino Linotype" w:hAnsi="Palatino Linotype" w:cs="Palatino Linotype"/>
          <w:b/>
          <w:sz w:val="22"/>
          <w:szCs w:val="22"/>
        </w:rPr>
        <w:t>se adolece medularmente de la entrega de información incompleta, en virtud de que el particular refiere que no se le hizo entrega de las presentaciones de las sesiones del Comité de Planeación para el Desarrollo Municipal de Toluca, de la administración 2022-2024.</w:t>
      </w:r>
    </w:p>
    <w:p w14:paraId="1B4E9FD5" w14:textId="77777777" w:rsidR="003628E1" w:rsidRPr="00E80CD0" w:rsidRDefault="003628E1">
      <w:pPr>
        <w:spacing w:line="360" w:lineRule="auto"/>
        <w:ind w:right="49"/>
        <w:jc w:val="both"/>
        <w:rPr>
          <w:rFonts w:ascii="Palatino Linotype" w:eastAsia="Palatino Linotype" w:hAnsi="Palatino Linotype" w:cs="Palatino Linotype"/>
          <w:sz w:val="22"/>
          <w:szCs w:val="22"/>
        </w:rPr>
      </w:pPr>
    </w:p>
    <w:p w14:paraId="325670C4" w14:textId="77777777" w:rsidR="003628E1" w:rsidRPr="00E80CD0" w:rsidRDefault="00A96EB0">
      <w:pPr>
        <w:spacing w:line="360" w:lineRule="auto"/>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Admitido el presente recurso de revisión, en términos del artículo 185 fracción II</w:t>
      </w:r>
      <w:r w:rsidRPr="00E80CD0">
        <w:rPr>
          <w:rFonts w:ascii="Palatino Linotype" w:eastAsia="Palatino Linotype" w:hAnsi="Palatino Linotype" w:cs="Palatino Linotype"/>
          <w:color w:val="000000"/>
          <w:sz w:val="22"/>
          <w:szCs w:val="22"/>
          <w:vertAlign w:val="superscript"/>
        </w:rPr>
        <w:footnoteReference w:id="3"/>
      </w:r>
      <w:r w:rsidRPr="00E80CD0">
        <w:rPr>
          <w:rFonts w:ascii="Palatino Linotype" w:eastAsia="Palatino Linotype" w:hAnsi="Palatino Linotype" w:cs="Palatino Linotype"/>
          <w:color w:val="000000"/>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930E67F" w14:textId="77777777" w:rsidR="003628E1" w:rsidRPr="00E80CD0" w:rsidRDefault="003628E1">
      <w:pPr>
        <w:spacing w:line="360" w:lineRule="auto"/>
        <w:jc w:val="both"/>
        <w:rPr>
          <w:rFonts w:ascii="Palatino Linotype" w:eastAsia="Palatino Linotype" w:hAnsi="Palatino Linotype" w:cs="Palatino Linotype"/>
          <w:color w:val="000000"/>
          <w:sz w:val="22"/>
          <w:szCs w:val="22"/>
        </w:rPr>
      </w:pPr>
    </w:p>
    <w:p w14:paraId="24076111" w14:textId="77777777" w:rsidR="003628E1" w:rsidRPr="00E80CD0" w:rsidRDefault="00A96EB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Cabe resaltar que, durante la etapa de manifestaciones</w:t>
      </w:r>
      <w:r w:rsidRPr="00E80CD0">
        <w:rPr>
          <w:rFonts w:ascii="Palatino Linotype" w:eastAsia="Palatino Linotype" w:hAnsi="Palatino Linotype" w:cs="Palatino Linotype"/>
          <w:b/>
          <w:color w:val="000000"/>
          <w:sz w:val="22"/>
          <w:szCs w:val="22"/>
        </w:rPr>
        <w:t xml:space="preserve">, </w:t>
      </w:r>
      <w:r w:rsidRPr="00E80CD0">
        <w:rPr>
          <w:rFonts w:ascii="Palatino Linotype" w:eastAsia="Palatino Linotype" w:hAnsi="Palatino Linotype" w:cs="Palatino Linotype"/>
          <w:color w:val="000000"/>
          <w:sz w:val="22"/>
          <w:szCs w:val="22"/>
        </w:rPr>
        <w:t xml:space="preserve">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rindió su informe justificado a través del cual ratificó la respuesta inicial.</w:t>
      </w:r>
    </w:p>
    <w:p w14:paraId="4A23953A" w14:textId="77777777" w:rsidR="003628E1" w:rsidRPr="00E80CD0" w:rsidRDefault="003628E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5220B9EC" w14:textId="77777777" w:rsidR="003628E1" w:rsidRPr="00E80CD0" w:rsidRDefault="00A96EB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No obstante, en alcance al informe justificado 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 xml:space="preserve">hizo entrega de cuatro presentaciones en formato </w:t>
      </w:r>
      <w:proofErr w:type="spellStart"/>
      <w:r w:rsidRPr="00E80CD0">
        <w:rPr>
          <w:rFonts w:ascii="Palatino Linotype" w:eastAsia="Palatino Linotype" w:hAnsi="Palatino Linotype" w:cs="Palatino Linotype"/>
          <w:color w:val="000000"/>
          <w:sz w:val="22"/>
          <w:szCs w:val="22"/>
        </w:rPr>
        <w:t>power</w:t>
      </w:r>
      <w:proofErr w:type="spellEnd"/>
      <w:r w:rsidRPr="00E80CD0">
        <w:rPr>
          <w:rFonts w:ascii="Palatino Linotype" w:eastAsia="Palatino Linotype" w:hAnsi="Palatino Linotype" w:cs="Palatino Linotype"/>
          <w:color w:val="000000"/>
          <w:sz w:val="22"/>
          <w:szCs w:val="22"/>
        </w:rPr>
        <w:t xml:space="preserve"> </w:t>
      </w:r>
      <w:proofErr w:type="spellStart"/>
      <w:r w:rsidRPr="00E80CD0">
        <w:rPr>
          <w:rFonts w:ascii="Palatino Linotype" w:eastAsia="Palatino Linotype" w:hAnsi="Palatino Linotype" w:cs="Palatino Linotype"/>
          <w:color w:val="000000"/>
          <w:sz w:val="22"/>
          <w:szCs w:val="22"/>
        </w:rPr>
        <w:t>point</w:t>
      </w:r>
      <w:proofErr w:type="spellEnd"/>
      <w:r w:rsidRPr="00E80CD0">
        <w:rPr>
          <w:rFonts w:ascii="Palatino Linotype" w:eastAsia="Palatino Linotype" w:hAnsi="Palatino Linotype" w:cs="Palatino Linotype"/>
          <w:color w:val="000000"/>
          <w:sz w:val="22"/>
          <w:szCs w:val="22"/>
        </w:rPr>
        <w:t xml:space="preserve"> sobre lo siguiente: sobre los temas a tratar en la sexta, décima y décima primera sesiones ordinarias del COPLADEMUN 2022-2024; y sobre el proyecto FAISMUN 2023 a tratar en sesión del COPLADEMUN del 2023.</w:t>
      </w:r>
    </w:p>
    <w:p w14:paraId="4C896322" w14:textId="77777777" w:rsidR="003628E1" w:rsidRPr="00E80CD0" w:rsidRDefault="003628E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DACE55E" w14:textId="77777777" w:rsidR="003628E1" w:rsidRPr="00E80CD0" w:rsidRDefault="00A96EB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Por su lado, la parte </w:t>
      </w:r>
      <w:r w:rsidRPr="00E80CD0">
        <w:rPr>
          <w:rFonts w:ascii="Palatino Linotype" w:eastAsia="Palatino Linotype" w:hAnsi="Palatino Linotype" w:cs="Palatino Linotype"/>
          <w:b/>
          <w:color w:val="000000"/>
          <w:sz w:val="22"/>
          <w:szCs w:val="22"/>
        </w:rPr>
        <w:t xml:space="preserve">Recurrente </w:t>
      </w:r>
      <w:r w:rsidRPr="00E80CD0">
        <w:rPr>
          <w:rFonts w:ascii="Palatino Linotype" w:eastAsia="Palatino Linotype" w:hAnsi="Palatino Linotype" w:cs="Palatino Linotype"/>
          <w:color w:val="000000"/>
          <w:sz w:val="22"/>
          <w:szCs w:val="22"/>
        </w:rPr>
        <w:t>fue omisa en hacer valer manifestaciones o rendir alegatos que conforme a derecho resultaran procedentes.</w:t>
      </w:r>
    </w:p>
    <w:p w14:paraId="7CE83511" w14:textId="77777777" w:rsidR="003628E1" w:rsidRPr="00E80CD0" w:rsidRDefault="003628E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7348B8EB" w14:textId="77777777" w:rsidR="003628E1" w:rsidRPr="00E80CD0" w:rsidRDefault="00A96EB0">
      <w:pPr>
        <w:spacing w:line="360" w:lineRule="auto"/>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sz w:val="22"/>
          <w:szCs w:val="22"/>
        </w:rPr>
        <w:t xml:space="preserve">Una vez establecidas las posturas de las partes, es menester indicar que </w:t>
      </w:r>
      <w:r w:rsidRPr="00E80CD0">
        <w:rPr>
          <w:rFonts w:ascii="Palatino Linotype" w:eastAsia="Palatino Linotype" w:hAnsi="Palatino Linotype" w:cs="Palatino Linotype"/>
          <w:color w:val="000000"/>
          <w:sz w:val="22"/>
          <w:szCs w:val="22"/>
        </w:rPr>
        <w:t xml:space="preserve">en el caso </w:t>
      </w:r>
      <w:r w:rsidRPr="00E80CD0">
        <w:rPr>
          <w:rFonts w:ascii="Palatino Linotype" w:eastAsia="Palatino Linotype" w:hAnsi="Palatino Linotype" w:cs="Palatino Linotype"/>
          <w:b/>
          <w:color w:val="000000"/>
          <w:sz w:val="22"/>
          <w:szCs w:val="22"/>
        </w:rPr>
        <w:t xml:space="preserve">los motivos de inconformidad no versan sobre la totalidad de la información entregada en respuesta; </w:t>
      </w:r>
      <w:r w:rsidRPr="00E80CD0">
        <w:rPr>
          <w:rFonts w:ascii="Palatino Linotype" w:eastAsia="Palatino Linotype" w:hAnsi="Palatino Linotype" w:cs="Palatino Linotype"/>
          <w:color w:val="000000"/>
          <w:sz w:val="22"/>
          <w:szCs w:val="22"/>
        </w:rPr>
        <w:t xml:space="preserve">sino de que no se proporcionó la información relativa a </w:t>
      </w:r>
      <w:r w:rsidRPr="00E80CD0">
        <w:rPr>
          <w:rFonts w:ascii="Palatino Linotype" w:eastAsia="Palatino Linotype" w:hAnsi="Palatino Linotype" w:cs="Palatino Linotype"/>
          <w:b/>
          <w:sz w:val="22"/>
          <w:szCs w:val="22"/>
        </w:rPr>
        <w:t>las presentaciones de las sesiones del Comité de Planeación para el Desarrollo Municipal de Toluca, de la administración 2022-2024.</w:t>
      </w:r>
    </w:p>
    <w:p w14:paraId="47EB175E"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20EC3EB4"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Por tanto, al no haberse realizado manifestaciones de inconformidad, respecto de los demás puntos de la solicitud </w:t>
      </w:r>
      <w:r w:rsidRPr="00E80CD0">
        <w:rPr>
          <w:rFonts w:ascii="Palatino Linotype" w:eastAsia="Palatino Linotype" w:hAnsi="Palatino Linotype" w:cs="Palatino Linotype"/>
          <w:b/>
          <w:i/>
          <w:sz w:val="22"/>
          <w:szCs w:val="22"/>
        </w:rPr>
        <w:t>relativos</w:t>
      </w:r>
      <w:r w:rsidRPr="00E80CD0">
        <w:rPr>
          <w:b/>
          <w:i/>
        </w:rPr>
        <w:t xml:space="preserve"> </w:t>
      </w:r>
      <w:r w:rsidRPr="00E80CD0">
        <w:rPr>
          <w:rFonts w:ascii="Palatino Linotype" w:eastAsia="Palatino Linotype" w:hAnsi="Palatino Linotype" w:cs="Palatino Linotype"/>
          <w:b/>
          <w:i/>
          <w:sz w:val="22"/>
          <w:szCs w:val="22"/>
        </w:rPr>
        <w:t>a las actas de las sesiones del Comité de Planeación para el Desarrollo Municipal de Toluca, de la administración 2022-2024</w:t>
      </w:r>
      <w:r w:rsidRPr="00E80CD0">
        <w:rPr>
          <w:rFonts w:ascii="Palatino Linotype" w:eastAsia="Palatino Linotype" w:hAnsi="Palatino Linotype" w:cs="Palatino Linotype"/>
          <w:sz w:val="22"/>
          <w:szCs w:val="22"/>
        </w:rPr>
        <w:t xml:space="preserve">; se tiene que no pueden producirse efectos jurídicos tendentes a revocar, confirmar o modificar el acto reclamado, ya que, en el caso concreto se infiere que dicho punto fue consentido por la parte </w:t>
      </w:r>
      <w:r w:rsidRPr="00E80CD0">
        <w:rPr>
          <w:rFonts w:ascii="Palatino Linotype" w:eastAsia="Palatino Linotype" w:hAnsi="Palatino Linotype" w:cs="Palatino Linotype"/>
          <w:b/>
          <w:sz w:val="22"/>
          <w:szCs w:val="22"/>
        </w:rPr>
        <w:t xml:space="preserve">Recurrente, </w:t>
      </w:r>
      <w:r w:rsidRPr="00E80CD0">
        <w:rPr>
          <w:rFonts w:ascii="Palatino Linotype" w:eastAsia="Palatino Linotype" w:hAnsi="Palatino Linotype" w:cs="Palatino Linotype"/>
          <w:sz w:val="22"/>
          <w:szCs w:val="22"/>
        </w:rPr>
        <w:t xml:space="preserve">y por tanto la información proporcionada por 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satisface parte de la solicitud presentada.</w:t>
      </w:r>
    </w:p>
    <w:p w14:paraId="222E32CB"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615F6073"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Lo anterior es así, debido a que cuando la parte </w:t>
      </w:r>
      <w:r w:rsidRPr="00E80CD0">
        <w:rPr>
          <w:rFonts w:ascii="Palatino Linotype" w:eastAsia="Palatino Linotype" w:hAnsi="Palatino Linotype" w:cs="Palatino Linotype"/>
          <w:b/>
          <w:sz w:val="22"/>
          <w:szCs w:val="22"/>
        </w:rPr>
        <w:t xml:space="preserve">Recurrente </w:t>
      </w:r>
      <w:r w:rsidRPr="00E80CD0">
        <w:rPr>
          <w:rFonts w:ascii="Palatino Linotype" w:eastAsia="Palatino Linotype" w:hAnsi="Palatino Linotype" w:cs="Palatino Linotype"/>
          <w:sz w:val="22"/>
          <w:szCs w:val="22"/>
        </w:rPr>
        <w:t xml:space="preserve">impugna la respuesta del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la parte </w:t>
      </w:r>
      <w:r w:rsidRPr="00E80CD0">
        <w:rPr>
          <w:rFonts w:ascii="Palatino Linotype" w:eastAsia="Palatino Linotype" w:hAnsi="Palatino Linotype" w:cs="Palatino Linotype"/>
          <w:b/>
          <w:sz w:val="22"/>
          <w:szCs w:val="22"/>
        </w:rPr>
        <w:t>Recurrente</w:t>
      </w:r>
      <w:r w:rsidRPr="00E80CD0">
        <w:rPr>
          <w:rFonts w:ascii="Palatino Linotype" w:eastAsia="Palatino Linotype" w:hAnsi="Palatino Linotype" w:cs="Palatino Linotype"/>
          <w:sz w:val="22"/>
          <w:szCs w:val="22"/>
        </w:rPr>
        <w:t xml:space="preserve"> ésta conforme con la información entregada al no contravenir la misma. Sirve </w:t>
      </w:r>
      <w:r w:rsidRPr="00E80CD0">
        <w:rPr>
          <w:rFonts w:ascii="Palatino Linotype" w:eastAsia="Palatino Linotype" w:hAnsi="Palatino Linotype" w:cs="Palatino Linotype"/>
          <w:sz w:val="22"/>
          <w:szCs w:val="22"/>
        </w:rPr>
        <w:lastRenderedPageBreak/>
        <w:t>de Apoyo a lo anterior, por analogía la Tesis Jurisprudencial Número 3ª./J.7/91, Publicada en el Semanario Judicial de la Federación y su Gaceta bajo el número de registro 174,177, que establece lo siguiente:</w:t>
      </w:r>
    </w:p>
    <w:p w14:paraId="2303F94A"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6A7F59BB"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 xml:space="preserve">“REVISIÓN EN AMPARO. LOS RESOLUTIVOS NO COMBATIDOS DEBEN DECLARARSE FIRMES. </w:t>
      </w:r>
      <w:r w:rsidRPr="00E80CD0">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2A25092" w14:textId="77777777" w:rsidR="003628E1" w:rsidRPr="00E80CD0" w:rsidRDefault="003628E1">
      <w:pPr>
        <w:spacing w:line="276" w:lineRule="auto"/>
        <w:ind w:left="567" w:right="616"/>
        <w:jc w:val="both"/>
        <w:rPr>
          <w:rFonts w:ascii="Palatino Linotype" w:eastAsia="Palatino Linotype" w:hAnsi="Palatino Linotype" w:cs="Palatino Linotype"/>
          <w:i/>
          <w:sz w:val="22"/>
          <w:szCs w:val="22"/>
        </w:rPr>
      </w:pPr>
    </w:p>
    <w:p w14:paraId="17F9D1A0"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Consecuentemente, se insiste, ante la falta de impugnación de la totalidad de los puntos solicitados; por tanto, se considera que los no impugnados deben declararse consentidos.</w:t>
      </w:r>
    </w:p>
    <w:p w14:paraId="65EB9FC5"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1B5D2EB2"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Lo anterior se sustenta con lo plasmado en el criterio orientador 01/20 emitido por el entonces Instituto Nacional de Transparencia, Acceso a la Información, y Protección de Datos Personales, INAI, que lleva por rubro y texto los siguientes: </w:t>
      </w:r>
    </w:p>
    <w:p w14:paraId="60D52C3E"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6D0F2E99" w14:textId="77777777" w:rsidR="003628E1" w:rsidRPr="00E80CD0" w:rsidRDefault="00A96EB0">
      <w:pPr>
        <w:pBdr>
          <w:top w:val="nil"/>
          <w:left w:val="nil"/>
          <w:bottom w:val="nil"/>
          <w:right w:val="nil"/>
          <w:between w:val="nil"/>
        </w:pBdr>
        <w:spacing w:line="276" w:lineRule="auto"/>
        <w:ind w:left="567" w:right="902"/>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w:t>
      </w:r>
      <w:r w:rsidRPr="00E80CD0">
        <w:rPr>
          <w:rFonts w:ascii="Palatino Linotype" w:eastAsia="Palatino Linotype" w:hAnsi="Palatino Linotype" w:cs="Palatino Linotype"/>
          <w:b/>
          <w:i/>
          <w:color w:val="000000"/>
          <w:sz w:val="22"/>
          <w:szCs w:val="22"/>
        </w:rPr>
        <w:t xml:space="preserve">Actos consentidos tácitamente. Improcedencia de su análisis. </w:t>
      </w:r>
      <w:r w:rsidRPr="00E80CD0">
        <w:rPr>
          <w:rFonts w:ascii="Palatino Linotype" w:eastAsia="Palatino Linotype" w:hAnsi="Palatino Linotype" w:cs="Palatino Linotype"/>
          <w:i/>
          <w:color w:val="000000"/>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A7B88E2" w14:textId="77777777" w:rsidR="003628E1" w:rsidRPr="00E80CD0" w:rsidRDefault="003628E1">
      <w:pPr>
        <w:pBdr>
          <w:top w:val="nil"/>
          <w:left w:val="nil"/>
          <w:bottom w:val="nil"/>
          <w:right w:val="nil"/>
          <w:between w:val="nil"/>
        </w:pBdr>
        <w:spacing w:line="360" w:lineRule="auto"/>
        <w:ind w:left="567" w:right="902"/>
        <w:jc w:val="both"/>
        <w:rPr>
          <w:rFonts w:ascii="Palatino Linotype" w:eastAsia="Palatino Linotype" w:hAnsi="Palatino Linotype" w:cs="Palatino Linotype"/>
          <w:i/>
          <w:color w:val="000000"/>
          <w:sz w:val="22"/>
          <w:szCs w:val="22"/>
        </w:rPr>
      </w:pPr>
    </w:p>
    <w:p w14:paraId="703F361E"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440C0C04" w14:textId="77777777" w:rsidR="003628E1" w:rsidRPr="00E80CD0" w:rsidRDefault="003628E1">
      <w:pPr>
        <w:spacing w:line="360" w:lineRule="auto"/>
        <w:ind w:left="851" w:right="900"/>
        <w:jc w:val="both"/>
        <w:rPr>
          <w:rFonts w:ascii="Palatino Linotype" w:eastAsia="Palatino Linotype" w:hAnsi="Palatino Linotype" w:cs="Palatino Linotype"/>
          <w:b/>
          <w:i/>
          <w:smallCaps/>
          <w:sz w:val="22"/>
          <w:szCs w:val="22"/>
        </w:rPr>
      </w:pPr>
    </w:p>
    <w:p w14:paraId="1D35DDAE" w14:textId="77777777" w:rsidR="003628E1" w:rsidRPr="00E80CD0" w:rsidRDefault="00A96EB0">
      <w:pPr>
        <w:tabs>
          <w:tab w:val="left" w:pos="851"/>
          <w:tab w:val="left" w:pos="1276"/>
        </w:tabs>
        <w:spacing w:line="276" w:lineRule="auto"/>
        <w:ind w:left="567" w:right="70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i/>
          <w:smallCaps/>
          <w:sz w:val="22"/>
          <w:szCs w:val="22"/>
        </w:rPr>
        <w:lastRenderedPageBreak/>
        <w:t xml:space="preserve">“ACTOS CONSENTIDOS. SON LOS QUE NO SE IMPUGNAN MEDIANTE EL RECURSO IDÓNEO. </w:t>
      </w:r>
      <w:r w:rsidRPr="00E80CD0">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6862917" w14:textId="77777777" w:rsidR="003628E1" w:rsidRPr="00E80CD0" w:rsidRDefault="003628E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53E318C4" w14:textId="77777777" w:rsidR="003628E1" w:rsidRPr="00E80CD0" w:rsidRDefault="00A96EB0">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E80CD0">
        <w:rPr>
          <w:rFonts w:ascii="Palatino Linotype" w:eastAsia="Palatino Linotype" w:hAnsi="Palatino Linotype" w:cs="Palatino Linotype"/>
          <w:color w:val="000000"/>
          <w:sz w:val="22"/>
          <w:szCs w:val="22"/>
        </w:rPr>
        <w:t xml:space="preserve">En ese sentido, atendiendo los motivos de inconformidad, </w:t>
      </w:r>
      <w:r w:rsidRPr="00E80CD0">
        <w:rPr>
          <w:rFonts w:ascii="Palatino Linotype" w:eastAsia="Palatino Linotype" w:hAnsi="Palatino Linotype" w:cs="Palatino Linotype"/>
          <w:b/>
          <w:color w:val="000000"/>
          <w:sz w:val="22"/>
          <w:szCs w:val="22"/>
        </w:rPr>
        <w:t>en el presente asunto</w:t>
      </w:r>
      <w:r w:rsidRPr="00E80CD0">
        <w:rPr>
          <w:rFonts w:ascii="Palatino Linotype" w:eastAsia="Palatino Linotype" w:hAnsi="Palatino Linotype" w:cs="Palatino Linotype"/>
          <w:b/>
          <w:sz w:val="22"/>
          <w:szCs w:val="22"/>
        </w:rPr>
        <w:t xml:space="preserve"> </w:t>
      </w:r>
      <w:r w:rsidRPr="00E80CD0">
        <w:rPr>
          <w:rFonts w:ascii="Palatino Linotype" w:eastAsia="Palatino Linotype" w:hAnsi="Palatino Linotype" w:cs="Palatino Linotype"/>
          <w:b/>
          <w:color w:val="000000"/>
          <w:sz w:val="22"/>
          <w:szCs w:val="22"/>
        </w:rPr>
        <w:t xml:space="preserve">únicamente se procederá al estudio de lo siguiente: </w:t>
      </w:r>
    </w:p>
    <w:p w14:paraId="4A3A06FF" w14:textId="77777777" w:rsidR="003628E1" w:rsidRPr="00E80CD0" w:rsidRDefault="003628E1">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p>
    <w:p w14:paraId="2F2B3EC7" w14:textId="77777777" w:rsidR="003628E1" w:rsidRPr="00E80CD0" w:rsidRDefault="00A96EB0">
      <w:pPr>
        <w:numPr>
          <w:ilvl w:val="0"/>
          <w:numId w:val="3"/>
        </w:numPr>
        <w:pBdr>
          <w:top w:val="nil"/>
          <w:left w:val="nil"/>
          <w:bottom w:val="nil"/>
          <w:right w:val="nil"/>
          <w:between w:val="nil"/>
        </w:pBdr>
        <w:spacing w:after="240" w:line="360" w:lineRule="auto"/>
        <w:ind w:right="-150"/>
        <w:jc w:val="both"/>
        <w:rPr>
          <w:rFonts w:ascii="Palatino Linotype" w:eastAsia="Palatino Linotype" w:hAnsi="Palatino Linotype" w:cs="Palatino Linotype"/>
          <w:b/>
          <w:color w:val="000000"/>
          <w:sz w:val="22"/>
          <w:szCs w:val="22"/>
        </w:rPr>
      </w:pPr>
      <w:r w:rsidRPr="00E80CD0">
        <w:rPr>
          <w:rFonts w:ascii="Palatino Linotype" w:eastAsia="Palatino Linotype" w:hAnsi="Palatino Linotype" w:cs="Palatino Linotype"/>
          <w:b/>
          <w:color w:val="000000"/>
          <w:sz w:val="22"/>
          <w:szCs w:val="22"/>
        </w:rPr>
        <w:t>Las presentaciones de las sesiones del Comité de Planeación para el Desarrollo Municipal de Toluca, de la administración 2022-2024.</w:t>
      </w:r>
    </w:p>
    <w:p w14:paraId="29141F7A"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Ahora, previo al análisis de fondo, es menester de este Órgano Garante señalar que del análisis al requerimiento de información relativo a las presentaciones de las sesiones del COPLADEMUN, se advierte que la pretensión de la persona solicitante es tener acceso a las presentaciones con diapositivas que se proyectan y pudieran ser utilizadas como material de apoyo para llevar a cabo las sesiones del aludido comité. </w:t>
      </w:r>
    </w:p>
    <w:p w14:paraId="0408543B"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4E9404CB"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Por lo tanto, atendiendo lo requerido, este Órgano Garante procederá al análisis de la fuente obligacional del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a fin de determinar si dentro de sus atribuciones esta generar, poseer y/o administrar la información requerida.</w:t>
      </w:r>
    </w:p>
    <w:p w14:paraId="1F88C3C7"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5CCB6F93"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En ese sentido, resulta oportuno traer a contexto el contenido de los artículos 51 de la Ley de Planeación del Estado de México y Municipios, y 85, 86, 87 y 88 del Reglamento de dicha Ley, que disponen lo siguiente:</w:t>
      </w:r>
    </w:p>
    <w:p w14:paraId="038442C8"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0402A71C" w14:textId="77777777" w:rsidR="003628E1" w:rsidRPr="00E80CD0" w:rsidRDefault="00A96EB0">
      <w:pPr>
        <w:pBdr>
          <w:top w:val="nil"/>
          <w:left w:val="nil"/>
          <w:bottom w:val="nil"/>
          <w:right w:val="nil"/>
          <w:between w:val="nil"/>
        </w:pBdr>
        <w:spacing w:after="240"/>
        <w:ind w:left="567" w:right="616"/>
        <w:jc w:val="center"/>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u w:val="single"/>
        </w:rPr>
        <w:t>Ley de Planeación del Estado de México y Municipios</w:t>
      </w:r>
    </w:p>
    <w:p w14:paraId="74D19657"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lastRenderedPageBreak/>
        <w:t xml:space="preserve">“Artículo 51.- Se constituirán en cada ayuntamiento comités de planeación para el desarrollo municipal “COPLADEMUN”, los cuales tendrán las siguientes atribuciones: </w:t>
      </w:r>
    </w:p>
    <w:p w14:paraId="27817826"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I. Participar en la coordinación de las unidades administrativas o personas servidoras públicas municipales con las Dependencias y Entidades Públicas estatales y federales, en las acciones derivadas de las estrategias estatal y municipales de desarrollo; </w:t>
      </w:r>
    </w:p>
    <w:p w14:paraId="2CEB1D0D"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II. Participar en la elaboración de los programas que deriven de los planes municipales de desarrollo; </w:t>
      </w:r>
    </w:p>
    <w:p w14:paraId="52C64DFE"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III. Las demás que le atribuyan las leyes, reglamentos, decretos y acuerdos sobre la materia. </w:t>
      </w:r>
    </w:p>
    <w:p w14:paraId="1CAAF40C"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De acuerdo con la Ley Orgánica Municipal del Estado de México, los órganos, dependencias o servidores públicos que determinen los ayuntamientos y que integren la Comisión de Planeación para el Desarrollo Municipal dentro del Sistema de Planeación Democrática y para los efectos de esta Ley de Planeación del Estado de México y Municipios, se entenderá, que también integrarán el Comité de Planeación para el Desarrollo Municipal, “COPLADEMUN” en el ayuntamiento, y deberán convocar a las reuniones de dicho Comité. </w:t>
      </w:r>
    </w:p>
    <w:p w14:paraId="656143FA"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Los acuerdos de los comités de planeación para el desarrollo municipal deberán hacerse del conocimiento de las unidades administrativas o servidores públicos involucrados para que procedan a su cumplimiento. </w:t>
      </w:r>
    </w:p>
    <w:p w14:paraId="5F79C2EE"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El Comité de Planeación para el Desarrollo Municipal “COPLADEMUN”, deberá estar constituido previo a la aprobación de Plan de Desarrollo Municipal y se deberá informar al Comité de Planeación para el Desarrollo del Estado de México de su instalación.”</w:t>
      </w:r>
    </w:p>
    <w:p w14:paraId="5D3820FE" w14:textId="77777777" w:rsidR="003628E1" w:rsidRPr="00E80CD0" w:rsidRDefault="003628E1">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p>
    <w:p w14:paraId="4D5685C4" w14:textId="77777777" w:rsidR="003628E1" w:rsidRPr="00E80CD0" w:rsidRDefault="00A96EB0">
      <w:pPr>
        <w:pBdr>
          <w:top w:val="nil"/>
          <w:left w:val="nil"/>
          <w:bottom w:val="nil"/>
          <w:right w:val="nil"/>
          <w:between w:val="nil"/>
        </w:pBdr>
        <w:spacing w:after="240"/>
        <w:ind w:left="567" w:right="616"/>
        <w:jc w:val="center"/>
        <w:rPr>
          <w:rFonts w:ascii="Palatino Linotype" w:eastAsia="Palatino Linotype" w:hAnsi="Palatino Linotype" w:cs="Palatino Linotype"/>
          <w:b/>
          <w:i/>
          <w:color w:val="000000"/>
          <w:sz w:val="22"/>
          <w:szCs w:val="22"/>
          <w:u w:val="single"/>
        </w:rPr>
      </w:pPr>
      <w:r w:rsidRPr="00E80CD0">
        <w:rPr>
          <w:rFonts w:ascii="Palatino Linotype" w:eastAsia="Palatino Linotype" w:hAnsi="Palatino Linotype" w:cs="Palatino Linotype"/>
          <w:b/>
          <w:i/>
          <w:color w:val="000000"/>
          <w:sz w:val="22"/>
          <w:szCs w:val="22"/>
          <w:u w:val="single"/>
        </w:rPr>
        <w:t>Reglamento de la Ley de Planeación del Estado de México y Municipios</w:t>
      </w:r>
    </w:p>
    <w:p w14:paraId="0B5693B6"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“Artículo 85.- El Comité de Planeación para el Desarrollo Municipal se integrará al menos por:</w:t>
      </w:r>
    </w:p>
    <w:p w14:paraId="136D68FD"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I. Un Presidente, que será el Presidente Municipal del municipio respectivo; </w:t>
      </w:r>
    </w:p>
    <w:p w14:paraId="67616A67"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II. Un representante del sector público municipal; </w:t>
      </w:r>
    </w:p>
    <w:p w14:paraId="1F3BEFF9"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lastRenderedPageBreak/>
        <w:t xml:space="preserve">III. Un representante del sector social municipal; </w:t>
      </w:r>
    </w:p>
    <w:p w14:paraId="5971F547"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IV. Un representante del sector privado municipal; </w:t>
      </w:r>
    </w:p>
    <w:p w14:paraId="03DB8C20"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V. Representantes de las organizaciones sociales del municipio, en su caso también podrán incorporarse a miembros de los consejos de participación ciudadana; y </w:t>
      </w:r>
    </w:p>
    <w:p w14:paraId="189B473F"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VI. Un representante del COPLADEM, quien fungirá únicamente como Asesor Técnico. Por cada integrante, su titular podrá nombrar a un suplente. </w:t>
      </w:r>
    </w:p>
    <w:p w14:paraId="18090864"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El Comité de Planeación para el Desarrollo Municipal podrá tener tantos miembros como se juzgue conveniente para el eficaz desempeño de sus funciones, el Presidente designará de entre ellos a un Secretario de Actas, los integrantes durarán en su encargo el período municipal correspondiente. </w:t>
      </w:r>
    </w:p>
    <w:p w14:paraId="2D93A943"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Para que sesione válidamente el COPLADEMUN se requerirá la presencia del Presidente o su suplente, y la mitad más uno de los demás miembros. Todos los miembros tendrán derecho a voz y voto, con excepción del señalado en la fracción VI quién solo tendrá derecho a voz.</w:t>
      </w:r>
    </w:p>
    <w:p w14:paraId="14D14D61"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Artículo 86.- La participación del COPLADEMUN en la coordinación para la realización de acciones derivadas de las estrategias estatal y municipal de desarrollo, se orientará a promover la participación de los distintos sectores de la sociedad en la formulación, ejecución, seguimiento, evaluación y control del Plan de Desarrollo Municipal y a asegurar la congruencia de éste con los planes Nacional y Estatal de Desarrollo, así como a fortalecer los vínculos de coordinación con los gobiernos federal y estatal.</w:t>
      </w:r>
    </w:p>
    <w:p w14:paraId="3C923424"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Artículo 87.- En la elaboración de los programas sectoriales, </w:t>
      </w:r>
      <w:proofErr w:type="spellStart"/>
      <w:r w:rsidRPr="00E80CD0">
        <w:rPr>
          <w:rFonts w:ascii="Palatino Linotype" w:eastAsia="Palatino Linotype" w:hAnsi="Palatino Linotype" w:cs="Palatino Linotype"/>
          <w:i/>
          <w:color w:val="000000"/>
          <w:sz w:val="22"/>
          <w:szCs w:val="22"/>
        </w:rPr>
        <w:t>microregionales</w:t>
      </w:r>
      <w:proofErr w:type="spellEnd"/>
      <w:r w:rsidRPr="00E80CD0">
        <w:rPr>
          <w:rFonts w:ascii="Palatino Linotype" w:eastAsia="Palatino Linotype" w:hAnsi="Palatino Linotype" w:cs="Palatino Linotype"/>
          <w:i/>
          <w:color w:val="000000"/>
          <w:sz w:val="22"/>
          <w:szCs w:val="22"/>
        </w:rPr>
        <w:t>, especiales y comunitarios que se deriven de los planes municipales de desarrollo, el COPLADEMUN será el órgano encargado de promover y coordinar la participación de los diferentes sectores de la sociedad en la definición, instrumentación y ejecución de obras y acciones.</w:t>
      </w:r>
    </w:p>
    <w:p w14:paraId="4FE721DE"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 xml:space="preserve">Artículo 88.- La Asamblea General es el órgano de gobierno del COPLADEM que tiene a su cargo la dirección del organismo y que se integra en términos de lo dispuesto por el artículo 46 de la Ley. </w:t>
      </w:r>
    </w:p>
    <w:p w14:paraId="710B24DA"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t>La Asamblea General celebrará sesiones por lo menos cada dos meses en Pleno o en Comisión Permanente.</w:t>
      </w:r>
      <w:r w:rsidRPr="00E80CD0">
        <w:rPr>
          <w:rFonts w:ascii="Palatino Linotype" w:eastAsia="Palatino Linotype" w:hAnsi="Palatino Linotype" w:cs="Palatino Linotype"/>
          <w:i/>
          <w:color w:val="000000"/>
          <w:sz w:val="22"/>
          <w:szCs w:val="22"/>
        </w:rPr>
        <w:t>”</w:t>
      </w:r>
    </w:p>
    <w:p w14:paraId="5391ABEA"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lastRenderedPageBreak/>
        <w:t>Artículo 93.-</w:t>
      </w:r>
      <w:r w:rsidRPr="00E80CD0">
        <w:rPr>
          <w:rFonts w:ascii="Palatino Linotype" w:eastAsia="Palatino Linotype" w:hAnsi="Palatino Linotype" w:cs="Palatino Linotype"/>
          <w:i/>
          <w:color w:val="000000"/>
          <w:sz w:val="22"/>
          <w:szCs w:val="22"/>
        </w:rPr>
        <w:t xml:space="preserve"> El Director General en su carácter de Secretario Técnico, tendrá las atribuciones siguientes:</w:t>
      </w:r>
    </w:p>
    <w:p w14:paraId="167D1F6E"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t>I</w:t>
      </w:r>
      <w:r w:rsidRPr="00E80CD0">
        <w:rPr>
          <w:rFonts w:ascii="Palatino Linotype" w:eastAsia="Palatino Linotype" w:hAnsi="Palatino Linotype" w:cs="Palatino Linotype"/>
          <w:i/>
          <w:color w:val="000000"/>
          <w:sz w:val="22"/>
          <w:szCs w:val="22"/>
        </w:rPr>
        <w:t>. Apoyar al Coordinador General en la organización y desarrollo de las sesiones de la Asamblea General;</w:t>
      </w:r>
    </w:p>
    <w:p w14:paraId="592B7642"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t>II</w:t>
      </w:r>
      <w:r w:rsidRPr="00E80CD0">
        <w:rPr>
          <w:rFonts w:ascii="Palatino Linotype" w:eastAsia="Palatino Linotype" w:hAnsi="Palatino Linotype" w:cs="Palatino Linotype"/>
          <w:i/>
          <w:color w:val="000000"/>
          <w:sz w:val="22"/>
          <w:szCs w:val="22"/>
        </w:rPr>
        <w:t>. Levantar las actas de las sesiones de la Asamblea General;</w:t>
      </w:r>
    </w:p>
    <w:p w14:paraId="73649DC3"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t>III</w:t>
      </w:r>
      <w:r w:rsidRPr="00E80CD0">
        <w:rPr>
          <w:rFonts w:ascii="Palatino Linotype" w:eastAsia="Palatino Linotype" w:hAnsi="Palatino Linotype" w:cs="Palatino Linotype"/>
          <w:i/>
          <w:color w:val="000000"/>
          <w:sz w:val="22"/>
          <w:szCs w:val="22"/>
        </w:rPr>
        <w:t>. Cumplir con las comisiones y trabajos que le encomiende la Asamblea General;</w:t>
      </w:r>
    </w:p>
    <w:p w14:paraId="76052F3B"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t>IV</w:t>
      </w:r>
      <w:r w:rsidRPr="00E80CD0">
        <w:rPr>
          <w:rFonts w:ascii="Palatino Linotype" w:eastAsia="Palatino Linotype" w:hAnsi="Palatino Linotype" w:cs="Palatino Linotype"/>
          <w:i/>
          <w:color w:val="000000"/>
          <w:sz w:val="22"/>
          <w:szCs w:val="22"/>
        </w:rPr>
        <w:t>. Preparar las carpetas que contengan la convocatoria, orden del día y fecha para la</w:t>
      </w:r>
    </w:p>
    <w:p w14:paraId="3FF1F221"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celebración de las sesiones de la Asamblea General y presentarlas al Coordinador General;</w:t>
      </w:r>
    </w:p>
    <w:p w14:paraId="3FE2B408" w14:textId="77777777" w:rsidR="003628E1" w:rsidRPr="00E80CD0" w:rsidRDefault="00A96EB0">
      <w:pPr>
        <w:pBdr>
          <w:top w:val="nil"/>
          <w:left w:val="nil"/>
          <w:bottom w:val="nil"/>
          <w:right w:val="nil"/>
          <w:between w:val="nil"/>
        </w:pBdr>
        <w:spacing w:after="240"/>
        <w:ind w:left="567" w:right="616"/>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t>V</w:t>
      </w:r>
      <w:r w:rsidRPr="00E80CD0">
        <w:rPr>
          <w:rFonts w:ascii="Palatino Linotype" w:eastAsia="Palatino Linotype" w:hAnsi="Palatino Linotype" w:cs="Palatino Linotype"/>
          <w:i/>
          <w:color w:val="000000"/>
          <w:sz w:val="22"/>
          <w:szCs w:val="22"/>
        </w:rPr>
        <w:t>. Realizar el seguimiento de los acuerdos tomados en las sesiones de la Asamblea General.</w:t>
      </w:r>
    </w:p>
    <w:p w14:paraId="77215ACA" w14:textId="77777777" w:rsidR="003628E1" w:rsidRPr="00E80CD0" w:rsidRDefault="00A96EB0">
      <w:pPr>
        <w:pBdr>
          <w:top w:val="nil"/>
          <w:left w:val="nil"/>
          <w:bottom w:val="nil"/>
          <w:right w:val="nil"/>
          <w:between w:val="nil"/>
        </w:pBdr>
        <w:spacing w:after="240"/>
        <w:ind w:left="567" w:right="616"/>
        <w:jc w:val="right"/>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i/>
          <w:color w:val="000000"/>
          <w:sz w:val="22"/>
          <w:szCs w:val="22"/>
        </w:rPr>
        <w:t>(Énfasis añadido)</w:t>
      </w:r>
    </w:p>
    <w:p w14:paraId="55A4E6F3"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Como se desprende de lo anterior, atendiendo la materia de la revisión, únicamente se advierte que los Ayuntamientos tienen la obligación de constituir comités de planeación para el desarrollo municipal “COPLADEMUN”, el cual tiene dentro de sus atribuciones participar en la coordinación de las unidades administrativas o personas servidoras públicas municipales con las Dependencias y Entidades Públicas estatales y federales, en las acciones derivadas de las estrategias estatal y municipales de desarrollo; así como, participar en la elaboración de los programas que deriven de los planes municipales de desarrollo.</w:t>
      </w:r>
    </w:p>
    <w:p w14:paraId="323CE3F3"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6501BBCA"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Consecuentemente, se prevé que dicho comité se encuentra integrado, entre otros, por un Presidente, quien será el Presidente Municipal del Municipio; representantes de los sectores público, social y privado municipal, así como representantes de las organizaciones sociales del municipio, en su caso también podrán incorporarse a miembros de los consejos de participación ciudadana.</w:t>
      </w:r>
    </w:p>
    <w:p w14:paraId="0E8E1E69"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7D315671"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lastRenderedPageBreak/>
        <w:t>Asimismo, que el Comité de Planeación para el Desarrollo Municipal sesionará mínimo cada dos meses.</w:t>
      </w:r>
    </w:p>
    <w:p w14:paraId="68CE2502"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476EB696" w14:textId="04B807B2"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Sin embargo, de la normativa anterior no se advierte que se encuentre establecida la forma en que habrán de desarrollarse las sesiones del COPLADEMUN, precisando únicamente que se levantaran las actas correspondientes, en esa virtud, no se advierte que el ente público en cuestión se encuentre constreñido a generar presentaciones</w:t>
      </w:r>
      <w:r w:rsidR="001F6852" w:rsidRPr="00E80CD0">
        <w:rPr>
          <w:rFonts w:ascii="Palatino Linotype" w:eastAsia="Palatino Linotype" w:hAnsi="Palatino Linotype" w:cs="Palatino Linotype"/>
          <w:color w:val="000000"/>
          <w:sz w:val="22"/>
          <w:szCs w:val="22"/>
        </w:rPr>
        <w:t xml:space="preserve"> para el desarrollo de cada una de las sesiones </w:t>
      </w:r>
      <w:r w:rsidRPr="00E80CD0">
        <w:rPr>
          <w:rFonts w:ascii="Palatino Linotype" w:eastAsia="Palatino Linotype" w:hAnsi="Palatino Linotype" w:cs="Palatino Linotype"/>
          <w:color w:val="000000"/>
          <w:sz w:val="22"/>
          <w:szCs w:val="22"/>
        </w:rPr>
        <w:t xml:space="preserve"> del aludido comité.</w:t>
      </w:r>
    </w:p>
    <w:p w14:paraId="7D5F71CE"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519DD975" w14:textId="230BF7A8"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No obstante, en el caso, si bien en respuesta no hubo pronunciamiento alguno sobre el requerimiento relativo a las presentaciones de las sesiones del Comité de Planeación para el Desarrollo Municipal de Toluca, de la administración 2022-2024; vía alcance al informe justificado se advierte que 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hizo entrega de diversas presentaciones que fueron generadas como material de apoyo para llevar a cabo diversas presentaciones de las sesiones del COPLADEMUN en la temporalidad requerida.</w:t>
      </w:r>
    </w:p>
    <w:p w14:paraId="2FAC2D74"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7B588DB5"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Lo anterior, en virtud de que fueron entregadas cuatro presentaciones en formato </w:t>
      </w:r>
      <w:proofErr w:type="spellStart"/>
      <w:r w:rsidRPr="00E80CD0">
        <w:rPr>
          <w:rFonts w:ascii="Palatino Linotype" w:eastAsia="Palatino Linotype" w:hAnsi="Palatino Linotype" w:cs="Palatino Linotype"/>
          <w:color w:val="000000"/>
          <w:sz w:val="22"/>
          <w:szCs w:val="22"/>
        </w:rPr>
        <w:t>power</w:t>
      </w:r>
      <w:proofErr w:type="spellEnd"/>
      <w:r w:rsidRPr="00E80CD0">
        <w:rPr>
          <w:rFonts w:ascii="Palatino Linotype" w:eastAsia="Palatino Linotype" w:hAnsi="Palatino Linotype" w:cs="Palatino Linotype"/>
          <w:color w:val="000000"/>
          <w:sz w:val="22"/>
          <w:szCs w:val="22"/>
        </w:rPr>
        <w:t xml:space="preserve"> </w:t>
      </w:r>
      <w:proofErr w:type="spellStart"/>
      <w:r w:rsidRPr="00E80CD0">
        <w:rPr>
          <w:rFonts w:ascii="Palatino Linotype" w:eastAsia="Palatino Linotype" w:hAnsi="Palatino Linotype" w:cs="Palatino Linotype"/>
          <w:color w:val="000000"/>
          <w:sz w:val="22"/>
          <w:szCs w:val="22"/>
        </w:rPr>
        <w:t>point</w:t>
      </w:r>
      <w:proofErr w:type="spellEnd"/>
      <w:r w:rsidRPr="00E80CD0">
        <w:rPr>
          <w:rFonts w:ascii="Palatino Linotype" w:eastAsia="Palatino Linotype" w:hAnsi="Palatino Linotype" w:cs="Palatino Linotype"/>
          <w:color w:val="000000"/>
          <w:sz w:val="22"/>
          <w:szCs w:val="22"/>
        </w:rPr>
        <w:t xml:space="preserve"> sobre lo siguiente: sobre los temas a tratar en la sexta, décima y décima primera sesiones ordinarias del COPLADEMUN 2022-2024; y sobre el proyecto FAISMUN 2023 a tratar en sesión del COPLADEMUN del 2023.</w:t>
      </w:r>
    </w:p>
    <w:p w14:paraId="0F415F67"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59F5B5A1"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Por lo tanto, se advierte que la información entregada por el </w:t>
      </w:r>
      <w:r w:rsidRPr="00E80CD0">
        <w:rPr>
          <w:rFonts w:ascii="Palatino Linotype" w:eastAsia="Palatino Linotype" w:hAnsi="Palatino Linotype" w:cs="Palatino Linotype"/>
          <w:b/>
          <w:color w:val="000000"/>
          <w:sz w:val="22"/>
          <w:szCs w:val="22"/>
        </w:rPr>
        <w:t xml:space="preserve">Sujeto Obligado </w:t>
      </w:r>
      <w:r w:rsidRPr="00E80CD0">
        <w:rPr>
          <w:rFonts w:ascii="Palatino Linotype" w:eastAsia="Palatino Linotype" w:hAnsi="Palatino Linotype" w:cs="Palatino Linotype"/>
          <w:color w:val="000000"/>
          <w:sz w:val="22"/>
          <w:szCs w:val="22"/>
        </w:rPr>
        <w:t>en alcance al informe justificado se relaciona con lo solicitado.</w:t>
      </w:r>
    </w:p>
    <w:p w14:paraId="4245B8B4"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07CBBBB8"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 xml:space="preserve">Sin embargo, en el caso no se puede tener por atendido en su totalidad el derecho de acceso a la información pública del particular, </w:t>
      </w:r>
      <w:r w:rsidRPr="00E80CD0">
        <w:rPr>
          <w:rFonts w:ascii="Palatino Linotype" w:eastAsia="Palatino Linotype" w:hAnsi="Palatino Linotype" w:cs="Palatino Linotype"/>
          <w:b/>
          <w:color w:val="000000"/>
          <w:sz w:val="22"/>
          <w:szCs w:val="22"/>
        </w:rPr>
        <w:t xml:space="preserve">en virtud de que el Sujeto Obligado fue omiso en señalar si las presentaciones entregadas en alcance al informe justificado fueron las únicas </w:t>
      </w:r>
      <w:r w:rsidRPr="00E80CD0">
        <w:rPr>
          <w:rFonts w:ascii="Palatino Linotype" w:eastAsia="Palatino Linotype" w:hAnsi="Palatino Linotype" w:cs="Palatino Linotype"/>
          <w:b/>
          <w:color w:val="000000"/>
          <w:sz w:val="22"/>
          <w:szCs w:val="22"/>
        </w:rPr>
        <w:lastRenderedPageBreak/>
        <w:t>que se generaron, poseyeron o administraron con relación al COPLADEMUN en el periodo solicitado; generando incertidumbre en el particular al desconocer sobre si son todas o hay más presentaciones que no fueron proporcionadas.</w:t>
      </w:r>
    </w:p>
    <w:p w14:paraId="2DED2BA8"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7EB08D24"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Máxime que en el caso, se advierte que la información pudiera obrar en archivos de diversas unidades administrativas, como lo es de manera enunciativa más no limitativa la Secretaria del Ayuntamiento, la Unidad de Información, Planeación, Programación y Evaluación, así como la Dirección General de Desarrollo Urbano y Ordenamiento Territorial, al ser parte integrante del COPLADEMUN en la administración pública municipal 2022-2024, como se advierte en el acta de la sesión de instalación de dicho comité, y que fue remitida en respuesta:</w:t>
      </w:r>
    </w:p>
    <w:p w14:paraId="5623985C"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2E98EC0C" w14:textId="77777777" w:rsidR="003628E1" w:rsidRPr="00E80CD0" w:rsidRDefault="00A96EB0">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noProof/>
          <w:color w:val="000000"/>
          <w:sz w:val="22"/>
          <w:szCs w:val="22"/>
        </w:rPr>
        <w:drawing>
          <wp:inline distT="0" distB="0" distL="0" distR="0" wp14:anchorId="4719526C" wp14:editId="305E8882">
            <wp:extent cx="5612130" cy="971550"/>
            <wp:effectExtent l="19050" t="19050" r="26670" b="1905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971550"/>
                    </a:xfrm>
                    <a:prstGeom prst="rect">
                      <a:avLst/>
                    </a:prstGeom>
                    <a:ln>
                      <a:solidFill>
                        <a:schemeClr val="accent1"/>
                      </a:solidFill>
                    </a:ln>
                  </pic:spPr>
                </pic:pic>
              </a:graphicData>
            </a:graphic>
          </wp:inline>
        </w:drawing>
      </w:r>
    </w:p>
    <w:p w14:paraId="3BA44E0B" w14:textId="77777777" w:rsidR="003628E1" w:rsidRPr="00E80CD0" w:rsidRDefault="00A96EB0">
      <w:pPr>
        <w:pBdr>
          <w:top w:val="nil"/>
          <w:left w:val="nil"/>
          <w:bottom w:val="nil"/>
          <w:right w:val="nil"/>
          <w:between w:val="nil"/>
        </w:pBdr>
        <w:spacing w:line="360" w:lineRule="auto"/>
        <w:ind w:right="-150"/>
        <w:jc w:val="center"/>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w:t>
      </w:r>
    </w:p>
    <w:p w14:paraId="2952D2FD" w14:textId="77777777" w:rsidR="003628E1" w:rsidRPr="00E80CD0" w:rsidRDefault="00A96EB0">
      <w:pPr>
        <w:pBdr>
          <w:top w:val="nil"/>
          <w:left w:val="nil"/>
          <w:bottom w:val="nil"/>
          <w:right w:val="nil"/>
          <w:between w:val="nil"/>
        </w:pBdr>
        <w:spacing w:line="360" w:lineRule="auto"/>
        <w:ind w:right="-150"/>
        <w:jc w:val="center"/>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noProof/>
          <w:color w:val="000000"/>
          <w:sz w:val="22"/>
          <w:szCs w:val="22"/>
        </w:rPr>
        <w:drawing>
          <wp:inline distT="0" distB="0" distL="0" distR="0" wp14:anchorId="7596FA7F" wp14:editId="7568E677">
            <wp:extent cx="5610225" cy="2981325"/>
            <wp:effectExtent l="19050" t="19050" r="28575" b="28575"/>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0225" cy="2981325"/>
                    </a:xfrm>
                    <a:prstGeom prst="rect">
                      <a:avLst/>
                    </a:prstGeom>
                    <a:ln>
                      <a:solidFill>
                        <a:schemeClr val="accent1"/>
                      </a:solidFill>
                    </a:ln>
                  </pic:spPr>
                </pic:pic>
              </a:graphicData>
            </a:graphic>
          </wp:inline>
        </w:drawing>
      </w:r>
    </w:p>
    <w:p w14:paraId="69750954" w14:textId="77777777" w:rsidR="003628E1" w:rsidRPr="00E80CD0" w:rsidRDefault="003628E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9F3B80D" w14:textId="77777777" w:rsidR="003628E1" w:rsidRPr="00E80CD0" w:rsidRDefault="00A96EB0">
      <w:pP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Por lo que, en el caso se advierte que tampoco se cumplió con el procedimiento de búsqueda de la información, en virtud de que de la respuesta se advierte que únicamente fue turnada la solicitud de información a la Unidad de Información, Planeación, Programación y Evaluación, cuando hay otras áreas cuyos titulares al formar parte del COPLADEMUN pudieron haber generado, poseído y/o administrado las presentaciones de las sesiones de dicho comité requeridas del periodo precisado en la solicitud.</w:t>
      </w:r>
    </w:p>
    <w:p w14:paraId="25E8B114" w14:textId="77777777" w:rsidR="003628E1" w:rsidRPr="00E80CD0" w:rsidRDefault="003628E1">
      <w:pPr>
        <w:spacing w:line="360" w:lineRule="auto"/>
        <w:ind w:right="49"/>
        <w:jc w:val="both"/>
        <w:rPr>
          <w:rFonts w:ascii="Palatino Linotype" w:eastAsia="Palatino Linotype" w:hAnsi="Palatino Linotype" w:cs="Palatino Linotype"/>
          <w:sz w:val="22"/>
          <w:szCs w:val="22"/>
        </w:rPr>
      </w:pPr>
    </w:p>
    <w:p w14:paraId="6ADE0462" w14:textId="77777777" w:rsidR="003628E1" w:rsidRPr="00E80CD0" w:rsidRDefault="00A96EB0">
      <w:pP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De esta manera, no dio cumplimiento al procedimiento establecido por el artículo 162 de la Ley de Transparencia y Acceso a la Información Pública del Estado de México y Municipios, que refiere que la solicitud se debe turnar a al área en la que podría obrar la información de conformidad con la fracción XXXIX del artículo tercero de la legislación local vigente en materia de transparencia: </w:t>
      </w:r>
    </w:p>
    <w:p w14:paraId="625B25AD" w14:textId="77777777" w:rsidR="003628E1" w:rsidRPr="00E80CD0" w:rsidRDefault="003628E1">
      <w:pPr>
        <w:rPr>
          <w:sz w:val="22"/>
          <w:szCs w:val="22"/>
        </w:rPr>
      </w:pPr>
    </w:p>
    <w:p w14:paraId="5DC14446" w14:textId="77777777" w:rsidR="003628E1" w:rsidRPr="00E80CD0" w:rsidRDefault="00A96EB0">
      <w:pPr>
        <w:pBdr>
          <w:top w:val="nil"/>
          <w:left w:val="nil"/>
          <w:bottom w:val="nil"/>
          <w:right w:val="nil"/>
          <w:between w:val="nil"/>
        </w:pBdr>
        <w:ind w:left="864" w:right="864"/>
        <w:jc w:val="both"/>
        <w:rPr>
          <w:sz w:val="22"/>
          <w:szCs w:val="22"/>
        </w:rPr>
      </w:pPr>
      <w:r w:rsidRPr="00E80CD0">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A6516E2" w14:textId="77777777" w:rsidR="003628E1" w:rsidRPr="00E80CD0" w:rsidRDefault="003628E1">
      <w:pPr>
        <w:rPr>
          <w:sz w:val="22"/>
          <w:szCs w:val="22"/>
        </w:rPr>
      </w:pPr>
    </w:p>
    <w:p w14:paraId="732BB3B1" w14:textId="77777777" w:rsidR="003628E1" w:rsidRPr="00E80CD0" w:rsidRDefault="00A96EB0">
      <w:pPr>
        <w:pBdr>
          <w:top w:val="nil"/>
          <w:left w:val="nil"/>
          <w:bottom w:val="nil"/>
          <w:right w:val="nil"/>
          <w:between w:val="nil"/>
        </w:pBdr>
        <w:shd w:val="clear" w:color="auto" w:fill="FFFFFF"/>
        <w:spacing w:line="360" w:lineRule="auto"/>
        <w:jc w:val="both"/>
        <w:rPr>
          <w:sz w:val="22"/>
          <w:szCs w:val="22"/>
        </w:rPr>
      </w:pPr>
      <w:r w:rsidRPr="00E80CD0">
        <w:rPr>
          <w:rFonts w:ascii="Palatino Linotype" w:eastAsia="Palatino Linotype" w:hAnsi="Palatino Linotype" w:cs="Palatino Linotype"/>
          <w:sz w:val="22"/>
          <w:szCs w:val="22"/>
        </w:rPr>
        <w:t>En este orden de ideas, el artículo 162 de la Ley de Transparencia y Acceso a la Información Pública del Estado de México y Municipios, menciona lo siguiente:</w:t>
      </w:r>
    </w:p>
    <w:p w14:paraId="6E99741A" w14:textId="77777777" w:rsidR="003628E1" w:rsidRPr="00E80CD0" w:rsidRDefault="003628E1">
      <w:pPr>
        <w:rPr>
          <w:sz w:val="22"/>
          <w:szCs w:val="22"/>
        </w:rPr>
      </w:pPr>
    </w:p>
    <w:p w14:paraId="1007EB61" w14:textId="77777777" w:rsidR="003628E1" w:rsidRPr="00E80CD0" w:rsidRDefault="00A96EB0">
      <w:pPr>
        <w:pBdr>
          <w:top w:val="nil"/>
          <w:left w:val="nil"/>
          <w:bottom w:val="nil"/>
          <w:right w:val="nil"/>
          <w:between w:val="nil"/>
        </w:pBdr>
        <w:ind w:left="864" w:right="864"/>
        <w:jc w:val="both"/>
        <w:rPr>
          <w:sz w:val="22"/>
          <w:szCs w:val="22"/>
        </w:rPr>
      </w:pPr>
      <w:r w:rsidRPr="00E80CD0">
        <w:rPr>
          <w:rFonts w:ascii="Palatino Linotype" w:eastAsia="Palatino Linotype" w:hAnsi="Palatino Linotype" w:cs="Palatino Linotype"/>
          <w:i/>
          <w:sz w:val="22"/>
          <w:szCs w:val="22"/>
        </w:rPr>
        <w:t xml:space="preserve">“Artículo 162. Las unidades de transparencia deberán garantizar que las solicitudes </w:t>
      </w:r>
      <w:r w:rsidRPr="00E80CD0">
        <w:rPr>
          <w:rFonts w:ascii="Palatino Linotype" w:eastAsia="Palatino Linotype" w:hAnsi="Palatino Linotype" w:cs="Palatino Linotype"/>
          <w:b/>
          <w:i/>
          <w:sz w:val="22"/>
          <w:szCs w:val="22"/>
        </w:rPr>
        <w:t xml:space="preserve">se turnen a todas las Áreas competentes </w:t>
      </w:r>
      <w:r w:rsidRPr="00E80CD0">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ADDAB4D"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45017241" w14:textId="77777777" w:rsidR="003628E1" w:rsidRPr="00E80CD0" w:rsidRDefault="00A96EB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lastRenderedPageBreak/>
        <w:t>De lo anterior, es que en el caso se insiste que no se dio cumplimiento al procedimiento de turnar la solicitud de información a las unidades administrativas que conforme sus atribuciones puedan conocer de la información requerida.</w:t>
      </w:r>
    </w:p>
    <w:p w14:paraId="6388F3D0" w14:textId="77777777" w:rsidR="003628E1" w:rsidRPr="00E80CD0" w:rsidRDefault="003628E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7FE685A" w14:textId="77777777" w:rsidR="003628E1" w:rsidRPr="00E80CD0" w:rsidRDefault="00A96EB0">
      <w:pPr>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sz w:val="22"/>
          <w:szCs w:val="22"/>
        </w:rPr>
        <w:t xml:space="preserve">De esta manera, atendiendo que 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fue omiso en señalar si las presentaciones entregadas en alcance al informe justificado fueron las únicas que se generaron, poseyeron o administraron con relación al COPLADEMUN en el periodo solicitado; es que no se puede tener por atendido en su totalidad el derecho de acceso a la información del particular, dada la falta de cumplimiento de </w:t>
      </w:r>
      <w:r w:rsidRPr="00E80CD0">
        <w:rPr>
          <w:rFonts w:ascii="Palatino Linotype" w:eastAsia="Palatino Linotype" w:hAnsi="Palatino Linotype" w:cs="Palatino Linotype"/>
          <w:color w:val="000000"/>
          <w:sz w:val="22"/>
          <w:szCs w:val="22"/>
        </w:rPr>
        <w:t>los principios de congruencia y exhaustividad.</w:t>
      </w:r>
    </w:p>
    <w:p w14:paraId="15F60CDB" w14:textId="77777777" w:rsidR="003628E1" w:rsidRPr="00E80CD0" w:rsidRDefault="003628E1">
      <w:pPr>
        <w:spacing w:line="360" w:lineRule="auto"/>
        <w:ind w:right="-93"/>
        <w:jc w:val="both"/>
        <w:rPr>
          <w:rFonts w:ascii="Palatino Linotype" w:eastAsia="Palatino Linotype" w:hAnsi="Palatino Linotype" w:cs="Palatino Linotype"/>
          <w:b/>
          <w:sz w:val="22"/>
          <w:szCs w:val="22"/>
        </w:rPr>
      </w:pPr>
    </w:p>
    <w:p w14:paraId="1B57DDF7" w14:textId="77777777" w:rsidR="003628E1" w:rsidRPr="00E80CD0" w:rsidRDefault="00A96EB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color w:val="000000"/>
          <w:sz w:val="22"/>
          <w:szCs w:val="22"/>
        </w:rPr>
        <w:t>En tal sentido, resulta aplicable el Criterio orientador 02/17 emitido por el Pleno del entonces Instituto Nacional de Transparencia y Acceso a la Información y Protección de Datos Personales, de título y texto siguientes:</w:t>
      </w:r>
    </w:p>
    <w:p w14:paraId="14EB0D3F" w14:textId="77777777" w:rsidR="003628E1" w:rsidRPr="00E80CD0" w:rsidRDefault="003628E1">
      <w:pPr>
        <w:pBdr>
          <w:top w:val="nil"/>
          <w:left w:val="nil"/>
          <w:bottom w:val="nil"/>
          <w:right w:val="nil"/>
          <w:between w:val="nil"/>
        </w:pBdr>
        <w:spacing w:line="360" w:lineRule="auto"/>
        <w:jc w:val="both"/>
        <w:rPr>
          <w:color w:val="000000"/>
          <w:sz w:val="22"/>
          <w:szCs w:val="22"/>
        </w:rPr>
      </w:pPr>
    </w:p>
    <w:p w14:paraId="1867EC6D" w14:textId="77777777" w:rsidR="003628E1" w:rsidRPr="00E80CD0" w:rsidRDefault="00A96EB0">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E80CD0">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E80CD0">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80CD0">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E80CD0">
        <w:rPr>
          <w:rFonts w:ascii="Palatino Linotype" w:eastAsia="Palatino Linotype" w:hAnsi="Palatino Linotype" w:cs="Palatino Linotype"/>
          <w:i/>
          <w:color w:val="000000"/>
          <w:sz w:val="22"/>
          <w:szCs w:val="22"/>
        </w:rPr>
        <w:t xml:space="preserve">; mientras que </w:t>
      </w:r>
      <w:r w:rsidRPr="00E80CD0">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E80CD0">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5E5D076"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3C7B27EB" w14:textId="77777777" w:rsidR="003628E1" w:rsidRPr="00E80CD0" w:rsidRDefault="00A96EB0">
      <w:pPr>
        <w:spacing w:line="360" w:lineRule="auto"/>
        <w:ind w:right="-93"/>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Bajo esa línea de pensamiento, a criterio de este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 xml:space="preserve">los motivos de inconformidad hechos valer por la parte </w:t>
      </w:r>
      <w:r w:rsidRPr="00E80CD0">
        <w:rPr>
          <w:rFonts w:ascii="Palatino Linotype" w:eastAsia="Palatino Linotype" w:hAnsi="Palatino Linotype" w:cs="Palatino Linotype"/>
          <w:b/>
          <w:sz w:val="22"/>
          <w:szCs w:val="22"/>
        </w:rPr>
        <w:t>Recurrente resultan fundados</w:t>
      </w:r>
      <w:r w:rsidRPr="00E80CD0">
        <w:rPr>
          <w:rFonts w:ascii="Palatino Linotype" w:eastAsia="Palatino Linotype" w:hAnsi="Palatino Linotype" w:cs="Palatino Linotype"/>
          <w:sz w:val="22"/>
          <w:szCs w:val="22"/>
        </w:rPr>
        <w:t xml:space="preserve"> siendo procedente </w:t>
      </w:r>
      <w:r w:rsidRPr="00E80CD0">
        <w:rPr>
          <w:rFonts w:ascii="Palatino Linotype" w:eastAsia="Palatino Linotype" w:hAnsi="Palatino Linotype" w:cs="Palatino Linotype"/>
          <w:b/>
          <w:sz w:val="22"/>
          <w:szCs w:val="22"/>
        </w:rPr>
        <w:lastRenderedPageBreak/>
        <w:t xml:space="preserve">Modificar </w:t>
      </w:r>
      <w:r w:rsidRPr="00E80CD0">
        <w:rPr>
          <w:rFonts w:ascii="Palatino Linotype" w:eastAsia="Palatino Linotype" w:hAnsi="Palatino Linotype" w:cs="Palatino Linotype"/>
          <w:sz w:val="22"/>
          <w:szCs w:val="22"/>
        </w:rPr>
        <w:t xml:space="preserve">la respuesta del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y ordenar, previa búsqueda exhaustiva y razonable, de ser procedente en versión pública, lo siguiente:</w:t>
      </w:r>
    </w:p>
    <w:p w14:paraId="5BB72F2C" w14:textId="77777777" w:rsidR="003628E1" w:rsidRPr="00E80CD0" w:rsidRDefault="003628E1">
      <w:pPr>
        <w:spacing w:line="360" w:lineRule="auto"/>
        <w:ind w:right="49"/>
        <w:jc w:val="both"/>
        <w:rPr>
          <w:rFonts w:ascii="Palatino Linotype" w:eastAsia="Palatino Linotype" w:hAnsi="Palatino Linotype" w:cs="Palatino Linotype"/>
          <w:sz w:val="22"/>
          <w:szCs w:val="22"/>
        </w:rPr>
      </w:pPr>
    </w:p>
    <w:p w14:paraId="1D998BCB" w14:textId="118A65FB" w:rsidR="003628E1" w:rsidRPr="00E80CD0" w:rsidRDefault="00A96EB0">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color w:val="000000"/>
          <w:sz w:val="22"/>
          <w:szCs w:val="22"/>
        </w:rPr>
        <w:t xml:space="preserve">Las presentaciones faltantes de las sesiones celebradas del Comité de Planeación para el Desarrollo Municipal de Toluca, </w:t>
      </w:r>
      <w:r w:rsidR="005631C1" w:rsidRPr="00E80CD0">
        <w:rPr>
          <w:rFonts w:ascii="Palatino Linotype" w:eastAsia="Palatino Linotype" w:hAnsi="Palatino Linotype" w:cs="Palatino Linotype"/>
          <w:b/>
          <w:color w:val="000000"/>
          <w:sz w:val="22"/>
          <w:szCs w:val="22"/>
        </w:rPr>
        <w:t xml:space="preserve">en </w:t>
      </w:r>
      <w:r w:rsidRPr="00E80CD0">
        <w:rPr>
          <w:rFonts w:ascii="Palatino Linotype" w:eastAsia="Palatino Linotype" w:hAnsi="Palatino Linotype" w:cs="Palatino Linotype"/>
          <w:b/>
          <w:color w:val="000000"/>
          <w:sz w:val="22"/>
          <w:szCs w:val="22"/>
        </w:rPr>
        <w:t>la administración 2022-2024.</w:t>
      </w:r>
    </w:p>
    <w:p w14:paraId="2694B84C"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326F1560"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Sin embargo, de ser el caso que, el </w:t>
      </w:r>
      <w:r w:rsidRPr="00E80CD0">
        <w:rPr>
          <w:rFonts w:ascii="Palatino Linotype" w:eastAsia="Palatino Linotype" w:hAnsi="Palatino Linotype" w:cs="Palatino Linotype"/>
          <w:b/>
          <w:sz w:val="22"/>
          <w:szCs w:val="22"/>
        </w:rPr>
        <w:t xml:space="preserve">Sujeto Obligado </w:t>
      </w:r>
      <w:r w:rsidRPr="00E80CD0">
        <w:rPr>
          <w:rFonts w:ascii="Palatino Linotype" w:eastAsia="Palatino Linotype" w:hAnsi="Palatino Linotype" w:cs="Palatino Linotype"/>
          <w:sz w:val="22"/>
          <w:szCs w:val="22"/>
        </w:rPr>
        <w:t xml:space="preserve">no cuente con la información que se ordena, </w:t>
      </w:r>
      <w:r w:rsidRPr="00E80CD0">
        <w:rPr>
          <w:rFonts w:ascii="Palatino Linotype" w:eastAsia="Palatino Linotype" w:hAnsi="Palatino Linotype" w:cs="Palatino Linotype"/>
          <w:b/>
          <w:sz w:val="22"/>
          <w:szCs w:val="22"/>
        </w:rPr>
        <w:t>al ser las presentaciones entregadas en alcance al informe justificado las únicas generadas, poseídas y/o administradas con motivo de las sesiones del COPLADEMUN celebradas en el periodo requerido</w:t>
      </w:r>
      <w:r w:rsidRPr="00E80CD0">
        <w:rPr>
          <w:rFonts w:ascii="Palatino Linotype" w:eastAsia="Palatino Linotype" w:hAnsi="Palatino Linotype" w:cs="Palatino Linotype"/>
          <w:sz w:val="22"/>
          <w:szCs w:val="22"/>
        </w:rPr>
        <w:t>,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6A93CE94"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4368E147" w14:textId="77777777" w:rsidR="003628E1" w:rsidRPr="00E80CD0" w:rsidRDefault="00A96EB0">
      <w:pP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 xml:space="preserve">Quinto. Versión Pública. </w:t>
      </w:r>
      <w:r w:rsidRPr="00E80CD0">
        <w:rPr>
          <w:rFonts w:ascii="Palatino Linotype" w:eastAsia="Palatino Linotype" w:hAnsi="Palatino Linotype" w:cs="Palatino Linotype"/>
          <w:sz w:val="22"/>
          <w:szCs w:val="22"/>
        </w:rPr>
        <w:t xml:space="preserve">Finalmente para la entrega del soporte documental que deberá proporcionar 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9972EA5" w14:textId="77777777" w:rsidR="003628E1" w:rsidRPr="00E80CD0" w:rsidRDefault="003628E1">
      <w:pPr>
        <w:spacing w:line="360" w:lineRule="auto"/>
        <w:ind w:right="49"/>
        <w:jc w:val="both"/>
        <w:rPr>
          <w:rFonts w:ascii="Palatino Linotype" w:eastAsia="Palatino Linotype" w:hAnsi="Palatino Linotype" w:cs="Palatino Linotype"/>
          <w:sz w:val="22"/>
          <w:szCs w:val="22"/>
        </w:rPr>
      </w:pPr>
    </w:p>
    <w:p w14:paraId="27E53F38" w14:textId="77777777" w:rsidR="003628E1" w:rsidRPr="00E80CD0" w:rsidRDefault="00A96EB0">
      <w:pP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0B70191"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lastRenderedPageBreak/>
        <w:t>“</w:t>
      </w:r>
      <w:r w:rsidRPr="00E80CD0">
        <w:rPr>
          <w:rFonts w:ascii="Palatino Linotype" w:eastAsia="Palatino Linotype" w:hAnsi="Palatino Linotype" w:cs="Palatino Linotype"/>
          <w:b/>
          <w:i/>
          <w:sz w:val="22"/>
          <w:szCs w:val="22"/>
        </w:rPr>
        <w:t>Artículo 3</w:t>
      </w:r>
      <w:r w:rsidRPr="00E80CD0">
        <w:rPr>
          <w:rFonts w:ascii="Palatino Linotype" w:eastAsia="Palatino Linotype" w:hAnsi="Palatino Linotype" w:cs="Palatino Linotype"/>
          <w:i/>
          <w:sz w:val="22"/>
          <w:szCs w:val="22"/>
        </w:rPr>
        <w:t>. Para los efectos de la presente Ley se entenderá por:</w:t>
      </w:r>
    </w:p>
    <w:p w14:paraId="27C3D053"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p>
    <w:p w14:paraId="1E1BBFEB"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IX. Datos personales:</w:t>
      </w:r>
      <w:r w:rsidRPr="00E80CD0">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99E63F4"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XX. Información clasificada</w:t>
      </w:r>
      <w:r w:rsidRPr="00E80CD0">
        <w:rPr>
          <w:rFonts w:ascii="Palatino Linotype" w:eastAsia="Palatino Linotype" w:hAnsi="Palatino Linotype" w:cs="Palatino Linotype"/>
          <w:i/>
          <w:sz w:val="22"/>
          <w:szCs w:val="22"/>
        </w:rPr>
        <w:t>: Aquella considerada por la presente Ley como reservada o confidencial;</w:t>
      </w:r>
    </w:p>
    <w:p w14:paraId="3C6D495A"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XXI. Información confidencial:</w:t>
      </w:r>
      <w:r w:rsidRPr="00E80CD0">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7A3E700"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XLV. Versión pública:</w:t>
      </w:r>
      <w:r w:rsidRPr="00E80CD0">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5E1B4A7"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p>
    <w:p w14:paraId="6EDC59B6"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 xml:space="preserve">Artículo 91. </w:t>
      </w:r>
      <w:r w:rsidRPr="00E80CD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66A7C74"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 xml:space="preserve">Artículo 132. </w:t>
      </w:r>
      <w:r w:rsidRPr="00E80CD0">
        <w:rPr>
          <w:rFonts w:ascii="Palatino Linotype" w:eastAsia="Palatino Linotype" w:hAnsi="Palatino Linotype" w:cs="Palatino Linotype"/>
          <w:i/>
          <w:sz w:val="22"/>
          <w:szCs w:val="22"/>
        </w:rPr>
        <w:t>La clasificación de la información se llevará a cabo en el momento en que:</w:t>
      </w:r>
    </w:p>
    <w:p w14:paraId="0E351FD2"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w:t>
      </w:r>
      <w:r w:rsidRPr="00E80CD0">
        <w:rPr>
          <w:rFonts w:ascii="Palatino Linotype" w:eastAsia="Palatino Linotype" w:hAnsi="Palatino Linotype" w:cs="Palatino Linotype"/>
          <w:i/>
          <w:sz w:val="22"/>
          <w:szCs w:val="22"/>
        </w:rPr>
        <w:t>. Se reciba una solicitud de acceso a la información;</w:t>
      </w:r>
    </w:p>
    <w:p w14:paraId="27127F2D"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II</w:t>
      </w:r>
      <w:r w:rsidRPr="00E80CD0">
        <w:rPr>
          <w:rFonts w:ascii="Palatino Linotype" w:eastAsia="Palatino Linotype" w:hAnsi="Palatino Linotype" w:cs="Palatino Linotype"/>
          <w:i/>
          <w:sz w:val="22"/>
          <w:szCs w:val="22"/>
        </w:rPr>
        <w:t>. Se determine mediante resolución de autoridad competente; o</w:t>
      </w:r>
    </w:p>
    <w:p w14:paraId="0BA5AA8E"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III</w:t>
      </w:r>
      <w:r w:rsidRPr="00E80CD0">
        <w:rPr>
          <w:rFonts w:ascii="Palatino Linotype" w:eastAsia="Palatino Linotype" w:hAnsi="Palatino Linotype" w:cs="Palatino Linotype"/>
          <w:i/>
          <w:sz w:val="22"/>
          <w:szCs w:val="22"/>
        </w:rPr>
        <w:t>. Se generen versiones públicas para dar cumplimiento a las obligaciones de transparencia previstas en esta Ley.</w:t>
      </w:r>
    </w:p>
    <w:p w14:paraId="6D8CCED1"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p>
    <w:p w14:paraId="4DE721D5"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Artículo 143</w:t>
      </w:r>
      <w:r w:rsidRPr="00E80CD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709D699"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w:t>
      </w:r>
      <w:r w:rsidRPr="00E80CD0">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F7A8CD8"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II.</w:t>
      </w:r>
      <w:r w:rsidRPr="00E80CD0">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B79E51A"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III</w:t>
      </w:r>
      <w:r w:rsidRPr="00E80CD0">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3E56FDD9"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A553AC9" w14:textId="77777777" w:rsidR="003628E1" w:rsidRPr="00E80CD0" w:rsidRDefault="00A96EB0">
      <w:pPr>
        <w:ind w:left="567"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2BCF967"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46B8A9BA"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mismos que se encontraban vigentes a la fecha de la solicitud,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5541F16"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773952A6"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vigentes a la fecha de la solicitud señalan las formalidades que deberá llevar el acuerdo de clasificación que deberá emitir 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siendo estas las siguientes:</w:t>
      </w:r>
    </w:p>
    <w:p w14:paraId="6D24AB54"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32CDADA0" w14:textId="77777777" w:rsidR="003628E1" w:rsidRPr="00E80CD0" w:rsidRDefault="00A96EB0">
      <w:pPr>
        <w:spacing w:line="276" w:lineRule="auto"/>
        <w:ind w:left="567"/>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“CAPÍTULO VIII </w:t>
      </w:r>
    </w:p>
    <w:p w14:paraId="178AB38F" w14:textId="77777777" w:rsidR="003628E1" w:rsidRPr="00E80CD0" w:rsidRDefault="00A96EB0">
      <w:pPr>
        <w:spacing w:line="276" w:lineRule="auto"/>
        <w:ind w:left="567"/>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DE LOS ELEMENTOS PARA LA CLASIFICACIÓN </w:t>
      </w:r>
    </w:p>
    <w:p w14:paraId="3F174606"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 xml:space="preserve">Quincuagésimo. </w:t>
      </w:r>
      <w:r w:rsidRPr="00E80CD0">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AE61C2F"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 xml:space="preserve">Quincuagésimo primero. </w:t>
      </w:r>
      <w:r w:rsidRPr="00E80CD0">
        <w:rPr>
          <w:rFonts w:ascii="Palatino Linotype" w:eastAsia="Palatino Linotype" w:hAnsi="Palatino Linotype" w:cs="Palatino Linotype"/>
          <w:i/>
          <w:sz w:val="22"/>
          <w:szCs w:val="22"/>
        </w:rPr>
        <w:t xml:space="preserve">Toda acta del Comité de Transparencia deberá contener: </w:t>
      </w:r>
    </w:p>
    <w:p w14:paraId="68D42644"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I. El número de sesión y fecha; </w:t>
      </w:r>
    </w:p>
    <w:p w14:paraId="2DCCEDD3"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II. El nombre del área que solicitó la clasificación de información; </w:t>
      </w:r>
    </w:p>
    <w:p w14:paraId="29CC7971"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III. La fundamentación legal y motivación correspondiente; </w:t>
      </w:r>
    </w:p>
    <w:p w14:paraId="245BA9F6"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IV. La resolución o resoluciones aprobadas; y </w:t>
      </w:r>
    </w:p>
    <w:p w14:paraId="6B9407E6"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V. La rúbrica o firma digital de cada integrante del Comité de Transparencia. </w:t>
      </w:r>
    </w:p>
    <w:p w14:paraId="28FFF1FA"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p>
    <w:p w14:paraId="7DF2BB30" w14:textId="77777777" w:rsidR="003628E1" w:rsidRPr="00E80CD0" w:rsidRDefault="00A96EB0">
      <w:pPr>
        <w:spacing w:line="276" w:lineRule="auto"/>
        <w:ind w:left="567" w:right="900"/>
        <w:jc w:val="both"/>
        <w:rPr>
          <w:rFonts w:ascii="Palatino Linotype" w:eastAsia="Palatino Linotype" w:hAnsi="Palatino Linotype" w:cs="Palatino Linotype"/>
          <w:b/>
          <w:i/>
          <w:sz w:val="22"/>
          <w:szCs w:val="22"/>
          <w:u w:val="single"/>
        </w:rPr>
      </w:pPr>
      <w:r w:rsidRPr="00E80CD0">
        <w:rPr>
          <w:rFonts w:ascii="Palatino Linotype" w:eastAsia="Palatino Linotype" w:hAnsi="Palatino Linotype" w:cs="Palatino Linotype"/>
          <w:i/>
          <w:sz w:val="22"/>
          <w:szCs w:val="22"/>
        </w:rPr>
        <w:t xml:space="preserve">En los casos de resoluciones del Comité de Transparencia en las que se </w:t>
      </w:r>
      <w:r w:rsidRPr="00E80CD0">
        <w:rPr>
          <w:rFonts w:ascii="Palatino Linotype" w:eastAsia="Palatino Linotype" w:hAnsi="Palatino Linotype" w:cs="Palatino Linotype"/>
          <w:b/>
          <w:i/>
          <w:sz w:val="22"/>
          <w:szCs w:val="22"/>
          <w:u w:val="single"/>
        </w:rPr>
        <w:t xml:space="preserve">confirme la clasificación de información confidencial solo se deberán de identificar los </w:t>
      </w:r>
      <w:r w:rsidRPr="00E80CD0">
        <w:rPr>
          <w:rFonts w:ascii="Palatino Linotype" w:eastAsia="Palatino Linotype" w:hAnsi="Palatino Linotype" w:cs="Palatino Linotype"/>
          <w:b/>
          <w:i/>
          <w:sz w:val="22"/>
          <w:szCs w:val="22"/>
          <w:u w:val="single"/>
        </w:rPr>
        <w:lastRenderedPageBreak/>
        <w:t>tipos de datos protegidos, de conformidad con el lineamiento trigésimo octavo.</w:t>
      </w:r>
    </w:p>
    <w:p w14:paraId="6404298E" w14:textId="77777777" w:rsidR="003628E1" w:rsidRPr="00E80CD0" w:rsidRDefault="00A96EB0">
      <w:pPr>
        <w:spacing w:line="276" w:lineRule="auto"/>
        <w:ind w:left="567" w:right="900"/>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 xml:space="preserve">Quincuagésimo segundo. </w:t>
      </w:r>
      <w:r w:rsidRPr="00E80CD0">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80CD0">
        <w:rPr>
          <w:rFonts w:ascii="Palatino Linotype" w:eastAsia="Palatino Linotype" w:hAnsi="Palatino Linotype" w:cs="Palatino Linotype"/>
          <w:b/>
          <w:i/>
          <w:sz w:val="22"/>
          <w:szCs w:val="22"/>
        </w:rPr>
        <w:t>confidencial,</w:t>
      </w:r>
      <w:r w:rsidRPr="00E80CD0">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0EBB1603"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A483A5F" w14:textId="77777777" w:rsidR="003628E1" w:rsidRPr="00E80CD0" w:rsidRDefault="00A96EB0">
      <w:pPr>
        <w:spacing w:line="276" w:lineRule="auto"/>
        <w:ind w:left="567" w:right="900"/>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7FF41AB6" w14:textId="77777777" w:rsidR="003628E1" w:rsidRPr="00E80CD0" w:rsidRDefault="00A96EB0">
      <w:pPr>
        <w:spacing w:line="276" w:lineRule="auto"/>
        <w:ind w:left="567" w:right="900"/>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52B1ADE7" w14:textId="77777777" w:rsidR="003628E1" w:rsidRPr="00E80CD0" w:rsidRDefault="00A96EB0">
      <w:pPr>
        <w:spacing w:line="276" w:lineRule="auto"/>
        <w:ind w:left="567" w:right="900"/>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 xml:space="preserve">III. Señalar las personas o instancias autorizadas a acceder a la información clasificada. </w:t>
      </w:r>
    </w:p>
    <w:p w14:paraId="05696571"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80CD0">
        <w:rPr>
          <w:rFonts w:ascii="Palatino Linotype" w:eastAsia="Palatino Linotype" w:hAnsi="Palatino Linotype" w:cs="Palatino Linotype"/>
          <w:b/>
          <w:i/>
          <w:sz w:val="22"/>
          <w:szCs w:val="22"/>
          <w:u w:val="single"/>
        </w:rPr>
        <w:t>información confidencial.</w:t>
      </w:r>
      <w:r w:rsidRPr="00E80CD0">
        <w:rPr>
          <w:rFonts w:ascii="Palatino Linotype" w:eastAsia="Palatino Linotype" w:hAnsi="Palatino Linotype" w:cs="Palatino Linotype"/>
          <w:i/>
          <w:sz w:val="22"/>
          <w:szCs w:val="22"/>
        </w:rPr>
        <w:t xml:space="preserve"> </w:t>
      </w:r>
    </w:p>
    <w:p w14:paraId="37655075" w14:textId="77777777" w:rsidR="003628E1" w:rsidRPr="00E80CD0" w:rsidRDefault="00A96EB0">
      <w:pPr>
        <w:spacing w:line="276" w:lineRule="auto"/>
        <w:ind w:left="567" w:right="900"/>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w:t>
      </w:r>
    </w:p>
    <w:p w14:paraId="44CC5904" w14:textId="77777777" w:rsidR="003628E1" w:rsidRPr="00E80CD0" w:rsidRDefault="00A96EB0">
      <w:pPr>
        <w:spacing w:line="276" w:lineRule="auto"/>
        <w:ind w:left="567" w:right="900"/>
        <w:jc w:val="both"/>
        <w:rPr>
          <w:rFonts w:ascii="Palatino Linotype" w:eastAsia="Palatino Linotype" w:hAnsi="Palatino Linotype" w:cs="Palatino Linotype"/>
          <w:b/>
          <w:i/>
          <w:sz w:val="22"/>
          <w:szCs w:val="22"/>
        </w:rPr>
      </w:pPr>
      <w:r w:rsidRPr="00E80CD0">
        <w:rPr>
          <w:rFonts w:ascii="Palatino Linotype" w:eastAsia="Palatino Linotype" w:hAnsi="Palatino Linotype" w:cs="Palatino Linotype"/>
          <w:b/>
          <w:i/>
          <w:sz w:val="22"/>
          <w:szCs w:val="22"/>
        </w:rPr>
        <w:t xml:space="preserve">Quincuagésimo cuarto. </w:t>
      </w:r>
      <w:r w:rsidRPr="00E80CD0">
        <w:rPr>
          <w:rFonts w:ascii="Palatino Linotype" w:eastAsia="Palatino Linotype" w:hAnsi="Palatino Linotype" w:cs="Palatino Linotype"/>
          <w:i/>
          <w:sz w:val="22"/>
          <w:szCs w:val="22"/>
        </w:rPr>
        <w:t xml:space="preserve">Cuando el Comité de Transparencia confirme la clasificación de documentos reservados y/o </w:t>
      </w:r>
      <w:r w:rsidRPr="00E80CD0">
        <w:rPr>
          <w:rFonts w:ascii="Palatino Linotype" w:eastAsia="Palatino Linotype" w:hAnsi="Palatino Linotype" w:cs="Palatino Linotype"/>
          <w:b/>
          <w:i/>
          <w:sz w:val="22"/>
          <w:szCs w:val="22"/>
        </w:rPr>
        <w:t>confidenciales</w:t>
      </w:r>
      <w:r w:rsidRPr="00E80CD0">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80CD0">
        <w:rPr>
          <w:rFonts w:ascii="Palatino Linotype" w:eastAsia="Palatino Linotype" w:hAnsi="Palatino Linotype" w:cs="Palatino Linotype"/>
          <w:b/>
          <w:i/>
          <w:sz w:val="22"/>
          <w:szCs w:val="22"/>
        </w:rPr>
        <w:t xml:space="preserve"> </w:t>
      </w:r>
    </w:p>
    <w:p w14:paraId="6E7FD75A" w14:textId="77777777" w:rsidR="003628E1" w:rsidRPr="00E80CD0" w:rsidRDefault="00A96EB0">
      <w:pPr>
        <w:spacing w:line="276" w:lineRule="auto"/>
        <w:ind w:left="567" w:right="900"/>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 xml:space="preserve">Quincuagésimo quinto. </w:t>
      </w:r>
      <w:r w:rsidRPr="00E80CD0">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E80CD0">
        <w:rPr>
          <w:rFonts w:ascii="Palatino Linotype" w:eastAsia="Palatino Linotype" w:hAnsi="Palatino Linotype" w:cs="Palatino Linotype"/>
          <w:i/>
          <w:sz w:val="22"/>
          <w:szCs w:val="22"/>
        </w:rPr>
        <w:t>testado</w:t>
      </w:r>
      <w:proofErr w:type="spellEnd"/>
      <w:r w:rsidRPr="00E80CD0">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9757CED"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6B4652DB"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lastRenderedPageBreak/>
        <w:t>Entorno a lo que aquí nos interesa, los Lineamientos Quincuagésimo sexto, Quincuagésimo séptimo y Quincuagésimo octavo, vigentes a la fecha de la solicitud establecen lo siguiente:</w:t>
      </w:r>
    </w:p>
    <w:p w14:paraId="03E595B2"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19AC8424" w14:textId="77777777" w:rsidR="003628E1" w:rsidRPr="00E80CD0" w:rsidRDefault="00A96EB0">
      <w:pPr>
        <w:ind w:left="851"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w:t>
      </w:r>
      <w:r w:rsidRPr="00E80CD0">
        <w:rPr>
          <w:rFonts w:ascii="Palatino Linotype" w:eastAsia="Palatino Linotype" w:hAnsi="Palatino Linotype" w:cs="Palatino Linotype"/>
          <w:b/>
          <w:i/>
          <w:sz w:val="22"/>
          <w:szCs w:val="22"/>
        </w:rPr>
        <w:t>Quincuagésimo sexto.</w:t>
      </w:r>
      <w:r w:rsidRPr="00E80CD0">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A560E95" w14:textId="77777777" w:rsidR="003628E1" w:rsidRPr="00E80CD0" w:rsidRDefault="00A96EB0">
      <w:pPr>
        <w:ind w:left="851"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Quincuagésimo séptimo.</w:t>
      </w:r>
      <w:r w:rsidRPr="00E80CD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27A11C5" w14:textId="77777777" w:rsidR="003628E1" w:rsidRPr="00E80CD0" w:rsidRDefault="00A96EB0">
      <w:pPr>
        <w:ind w:left="851"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w:t>
      </w:r>
      <w:r w:rsidRPr="00E80CD0">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008696A" w14:textId="77777777" w:rsidR="003628E1" w:rsidRPr="00E80CD0" w:rsidRDefault="00A96EB0">
      <w:pPr>
        <w:ind w:left="851"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II.</w:t>
      </w:r>
      <w:r w:rsidRPr="00E80CD0">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1DC0DFDA" w14:textId="77777777" w:rsidR="003628E1" w:rsidRPr="00E80CD0" w:rsidRDefault="00A96EB0">
      <w:pPr>
        <w:ind w:left="851"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III.</w:t>
      </w:r>
      <w:r w:rsidRPr="00E80CD0">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0B586798" w14:textId="77777777" w:rsidR="003628E1" w:rsidRPr="00E80CD0" w:rsidRDefault="00A96EB0">
      <w:pPr>
        <w:spacing w:line="276" w:lineRule="auto"/>
        <w:ind w:left="851"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598AEAF0" w14:textId="77777777" w:rsidR="003628E1" w:rsidRPr="00E80CD0" w:rsidRDefault="00A96EB0">
      <w:pPr>
        <w:spacing w:line="276" w:lineRule="auto"/>
        <w:ind w:left="851" w:right="902"/>
        <w:jc w:val="both"/>
        <w:rPr>
          <w:rFonts w:ascii="Palatino Linotype" w:eastAsia="Palatino Linotype" w:hAnsi="Palatino Linotype" w:cs="Palatino Linotype"/>
          <w:i/>
          <w:sz w:val="22"/>
          <w:szCs w:val="22"/>
        </w:rPr>
      </w:pPr>
      <w:r w:rsidRPr="00E80CD0">
        <w:rPr>
          <w:rFonts w:ascii="Palatino Linotype" w:eastAsia="Palatino Linotype" w:hAnsi="Palatino Linotype" w:cs="Palatino Linotype"/>
          <w:b/>
          <w:i/>
          <w:sz w:val="22"/>
          <w:szCs w:val="22"/>
        </w:rPr>
        <w:t>Quincuagésimo octavo</w:t>
      </w:r>
      <w:r w:rsidRPr="00E80CD0">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4163E649" w14:textId="77777777" w:rsidR="003628E1" w:rsidRPr="00E80CD0" w:rsidRDefault="003628E1">
      <w:pPr>
        <w:spacing w:line="360" w:lineRule="auto"/>
        <w:ind w:left="851" w:right="902"/>
        <w:jc w:val="both"/>
        <w:rPr>
          <w:rFonts w:ascii="Palatino Linotype" w:eastAsia="Palatino Linotype" w:hAnsi="Palatino Linotype" w:cs="Palatino Linotype"/>
          <w:i/>
          <w:sz w:val="22"/>
          <w:szCs w:val="22"/>
        </w:rPr>
      </w:pPr>
    </w:p>
    <w:p w14:paraId="308643FB"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14:paraId="29EAB646"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2C5F56D9"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w:t>
      </w:r>
      <w:r w:rsidRPr="00E80CD0">
        <w:rPr>
          <w:rFonts w:ascii="Palatino Linotype" w:eastAsia="Palatino Linotype" w:hAnsi="Palatino Linotype" w:cs="Palatino Linotype"/>
          <w:sz w:val="22"/>
          <w:szCs w:val="22"/>
        </w:rPr>
        <w:lastRenderedPageBreak/>
        <w:t xml:space="preserve">debidamente fundado y motivado, en el que se expongan los fundamentos y razonamientos que llevaron al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0939E3E"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1A2AA171" w14:textId="77777777" w:rsidR="003628E1" w:rsidRPr="00E80CD0" w:rsidRDefault="00A96E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9" w:name="_heading=h.ijv98pntcd5s" w:colFirst="0" w:colLast="0"/>
      <w:bookmarkEnd w:id="9"/>
      <w:r w:rsidRPr="00E80CD0">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70803B9F" w14:textId="77777777" w:rsidR="003628E1" w:rsidRPr="00E80CD0" w:rsidRDefault="00A96EB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t>III. R E S U E L V E</w:t>
      </w:r>
    </w:p>
    <w:p w14:paraId="027C3F39" w14:textId="77777777" w:rsidR="003628E1" w:rsidRPr="00E80CD0" w:rsidRDefault="003628E1">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739215F1" w14:textId="77777777" w:rsidR="003628E1" w:rsidRPr="00E80CD0" w:rsidRDefault="00A96EB0">
      <w:pPr>
        <w:spacing w:line="360" w:lineRule="auto"/>
        <w:jc w:val="both"/>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t xml:space="preserve">Primero. </w:t>
      </w:r>
      <w:r w:rsidRPr="00E80CD0">
        <w:rPr>
          <w:rFonts w:ascii="Palatino Linotype" w:eastAsia="Palatino Linotype" w:hAnsi="Palatino Linotype" w:cs="Palatino Linotype"/>
          <w:sz w:val="22"/>
          <w:szCs w:val="22"/>
        </w:rPr>
        <w:t xml:space="preserve">Resultan </w:t>
      </w:r>
      <w:r w:rsidRPr="00E80CD0">
        <w:rPr>
          <w:rFonts w:ascii="Palatino Linotype" w:eastAsia="Palatino Linotype" w:hAnsi="Palatino Linotype" w:cs="Palatino Linotype"/>
          <w:b/>
          <w:sz w:val="22"/>
          <w:szCs w:val="22"/>
        </w:rPr>
        <w:t>fundadas</w:t>
      </w:r>
      <w:r w:rsidRPr="00E80CD0">
        <w:rPr>
          <w:rFonts w:ascii="Palatino Linotype" w:eastAsia="Palatino Linotype" w:hAnsi="Palatino Linotype" w:cs="Palatino Linotype"/>
          <w:sz w:val="22"/>
          <w:szCs w:val="22"/>
        </w:rPr>
        <w:t xml:space="preserve"> las razones o motivos de inconformidad hechos valer por la parte</w:t>
      </w:r>
      <w:r w:rsidRPr="00E80CD0">
        <w:rPr>
          <w:rFonts w:ascii="Palatino Linotype" w:eastAsia="Palatino Linotype" w:hAnsi="Palatino Linotype" w:cs="Palatino Linotype"/>
          <w:b/>
          <w:sz w:val="22"/>
          <w:szCs w:val="22"/>
        </w:rPr>
        <w:t xml:space="preserve"> Recurrente</w:t>
      </w:r>
      <w:r w:rsidRPr="00E80CD0">
        <w:rPr>
          <w:rFonts w:ascii="Palatino Linotype" w:eastAsia="Palatino Linotype" w:hAnsi="Palatino Linotype" w:cs="Palatino Linotype"/>
          <w:sz w:val="22"/>
          <w:szCs w:val="22"/>
        </w:rPr>
        <w:t xml:space="preserve"> en el recurso de revisión </w:t>
      </w:r>
      <w:r w:rsidRPr="00E80CD0">
        <w:rPr>
          <w:rFonts w:ascii="Palatino Linotype" w:eastAsia="Palatino Linotype" w:hAnsi="Palatino Linotype" w:cs="Palatino Linotype"/>
          <w:b/>
          <w:sz w:val="22"/>
          <w:szCs w:val="22"/>
        </w:rPr>
        <w:t>02314/INFOEM/IP/RR/2025</w:t>
      </w:r>
      <w:r w:rsidRPr="00E80CD0">
        <w:rPr>
          <w:rFonts w:ascii="Palatino Linotype" w:eastAsia="Palatino Linotype" w:hAnsi="Palatino Linotype" w:cs="Palatino Linotype"/>
          <w:sz w:val="22"/>
          <w:szCs w:val="22"/>
        </w:rPr>
        <w:t xml:space="preserve">; por lo que, en términos del </w:t>
      </w:r>
      <w:r w:rsidRPr="00E80CD0">
        <w:rPr>
          <w:rFonts w:ascii="Palatino Linotype" w:eastAsia="Palatino Linotype" w:hAnsi="Palatino Linotype" w:cs="Palatino Linotype"/>
          <w:b/>
          <w:sz w:val="22"/>
          <w:szCs w:val="22"/>
        </w:rPr>
        <w:t>Considerando</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 xml:space="preserve">Cuarto </w:t>
      </w:r>
      <w:r w:rsidRPr="00E80CD0">
        <w:rPr>
          <w:rFonts w:ascii="Palatino Linotype" w:eastAsia="Palatino Linotype" w:hAnsi="Palatino Linotype" w:cs="Palatino Linotype"/>
          <w:sz w:val="22"/>
          <w:szCs w:val="22"/>
        </w:rPr>
        <w:t xml:space="preserve">de esta resolución, se </w:t>
      </w:r>
      <w:r w:rsidRPr="00E80CD0">
        <w:rPr>
          <w:rFonts w:ascii="Palatino Linotype" w:eastAsia="Palatino Linotype" w:hAnsi="Palatino Linotype" w:cs="Palatino Linotype"/>
          <w:b/>
          <w:sz w:val="22"/>
          <w:szCs w:val="22"/>
        </w:rPr>
        <w:t xml:space="preserve">Modifica </w:t>
      </w:r>
      <w:r w:rsidRPr="00E80CD0">
        <w:rPr>
          <w:rFonts w:ascii="Palatino Linotype" w:eastAsia="Palatino Linotype" w:hAnsi="Palatino Linotype" w:cs="Palatino Linotype"/>
          <w:sz w:val="22"/>
          <w:szCs w:val="22"/>
        </w:rPr>
        <w:t xml:space="preserve">la respuesta emitida por el </w:t>
      </w:r>
      <w:r w:rsidRPr="00E80CD0">
        <w:rPr>
          <w:rFonts w:ascii="Palatino Linotype" w:eastAsia="Palatino Linotype" w:hAnsi="Palatino Linotype" w:cs="Palatino Linotype"/>
          <w:b/>
          <w:sz w:val="22"/>
          <w:szCs w:val="22"/>
        </w:rPr>
        <w:t>Sujeto Obligado.</w:t>
      </w:r>
    </w:p>
    <w:p w14:paraId="4660AD26" w14:textId="77777777" w:rsidR="003628E1" w:rsidRPr="00E80CD0" w:rsidRDefault="003628E1">
      <w:pPr>
        <w:spacing w:line="360" w:lineRule="auto"/>
        <w:jc w:val="both"/>
        <w:rPr>
          <w:rFonts w:ascii="Palatino Linotype" w:eastAsia="Palatino Linotype" w:hAnsi="Palatino Linotype" w:cs="Palatino Linotype"/>
          <w:b/>
          <w:sz w:val="22"/>
          <w:szCs w:val="22"/>
        </w:rPr>
      </w:pPr>
    </w:p>
    <w:p w14:paraId="05DF5942" w14:textId="77777777" w:rsidR="003628E1" w:rsidRPr="00E80CD0" w:rsidRDefault="00A96EB0">
      <w:pPr>
        <w:spacing w:line="360" w:lineRule="auto"/>
        <w:jc w:val="both"/>
        <w:rPr>
          <w:rFonts w:ascii="Palatino Linotype" w:eastAsia="Palatino Linotype" w:hAnsi="Palatino Linotype" w:cs="Palatino Linotype"/>
          <w:sz w:val="22"/>
          <w:szCs w:val="22"/>
        </w:rPr>
      </w:pPr>
      <w:bookmarkStart w:id="11" w:name="_heading=h.2et92p0" w:colFirst="0" w:colLast="0"/>
      <w:bookmarkEnd w:id="11"/>
      <w:r w:rsidRPr="00E80CD0">
        <w:rPr>
          <w:rFonts w:ascii="Palatino Linotype" w:eastAsia="Palatino Linotype" w:hAnsi="Palatino Linotype" w:cs="Palatino Linotype"/>
          <w:b/>
          <w:sz w:val="22"/>
          <w:szCs w:val="22"/>
        </w:rPr>
        <w:t xml:space="preserve">Segundo. </w:t>
      </w:r>
      <w:r w:rsidRPr="00E80CD0">
        <w:rPr>
          <w:rFonts w:ascii="Palatino Linotype" w:eastAsia="Palatino Linotype" w:hAnsi="Palatino Linotype" w:cs="Palatino Linotype"/>
          <w:sz w:val="22"/>
          <w:szCs w:val="22"/>
        </w:rPr>
        <w:t xml:space="preserve">Se </w:t>
      </w:r>
      <w:r w:rsidRPr="00E80CD0">
        <w:rPr>
          <w:rFonts w:ascii="Palatino Linotype" w:eastAsia="Palatino Linotype" w:hAnsi="Palatino Linotype" w:cs="Palatino Linotype"/>
          <w:b/>
          <w:sz w:val="22"/>
          <w:szCs w:val="22"/>
        </w:rPr>
        <w:t>Ordena</w:t>
      </w:r>
      <w:r w:rsidRPr="00E80CD0">
        <w:rPr>
          <w:rFonts w:ascii="Palatino Linotype" w:eastAsia="Palatino Linotype" w:hAnsi="Palatino Linotype" w:cs="Palatino Linotype"/>
          <w:sz w:val="22"/>
          <w:szCs w:val="22"/>
        </w:rPr>
        <w:t xml:space="preserve"> al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en términos de los Considerandos </w:t>
      </w:r>
      <w:r w:rsidRPr="00E80CD0">
        <w:rPr>
          <w:rFonts w:ascii="Palatino Linotype" w:eastAsia="Palatino Linotype" w:hAnsi="Palatino Linotype" w:cs="Palatino Linotype"/>
          <w:b/>
          <w:sz w:val="22"/>
          <w:szCs w:val="22"/>
        </w:rPr>
        <w:t xml:space="preserve">Cuarto y Quinto </w:t>
      </w:r>
      <w:r w:rsidRPr="00E80CD0">
        <w:rPr>
          <w:rFonts w:ascii="Palatino Linotype" w:eastAsia="Palatino Linotype" w:hAnsi="Palatino Linotype" w:cs="Palatino Linotype"/>
          <w:sz w:val="22"/>
          <w:szCs w:val="22"/>
        </w:rPr>
        <w:t xml:space="preserve">de esta resolución, </w:t>
      </w:r>
      <w:r w:rsidRPr="00E80CD0">
        <w:rPr>
          <w:rFonts w:ascii="Palatino Linotype" w:eastAsia="Palatino Linotype" w:hAnsi="Palatino Linotype" w:cs="Palatino Linotype"/>
          <w:b/>
          <w:sz w:val="22"/>
          <w:szCs w:val="22"/>
        </w:rPr>
        <w:t xml:space="preserve">haga entrega vía Sistema de Acceso a la Información Mexiquense (SAIMEX), </w:t>
      </w:r>
      <w:r w:rsidRPr="00E80CD0">
        <w:rPr>
          <w:rFonts w:ascii="Palatino Linotype" w:eastAsia="Palatino Linotype" w:hAnsi="Palatino Linotype" w:cs="Palatino Linotype"/>
          <w:sz w:val="22"/>
          <w:szCs w:val="22"/>
        </w:rPr>
        <w:t>previa búsqueda exhaustiva y razonable,</w:t>
      </w:r>
      <w:r w:rsidRPr="00E80CD0">
        <w:t xml:space="preserve"> </w:t>
      </w:r>
      <w:r w:rsidRPr="00E80CD0">
        <w:rPr>
          <w:rFonts w:ascii="Palatino Linotype" w:eastAsia="Palatino Linotype" w:hAnsi="Palatino Linotype" w:cs="Palatino Linotype"/>
          <w:sz w:val="22"/>
          <w:szCs w:val="22"/>
        </w:rPr>
        <w:t>de ser procedente en versión pública, los documentos donde conste o se advierta, lo siguiente:</w:t>
      </w:r>
    </w:p>
    <w:p w14:paraId="646FF345"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35D4840B" w14:textId="7F86D815" w:rsidR="003628E1" w:rsidRPr="00E80CD0" w:rsidRDefault="00A96EB0">
      <w:pPr>
        <w:numPr>
          <w:ilvl w:val="0"/>
          <w:numId w:val="1"/>
        </w:numPr>
        <w:spacing w:line="360" w:lineRule="auto"/>
        <w:jc w:val="both"/>
        <w:rPr>
          <w:rFonts w:ascii="Palatino Linotype" w:eastAsia="Palatino Linotype" w:hAnsi="Palatino Linotype" w:cs="Palatino Linotype"/>
          <w:b/>
          <w:sz w:val="22"/>
          <w:szCs w:val="22"/>
        </w:rPr>
      </w:pPr>
      <w:r w:rsidRPr="00E80CD0">
        <w:rPr>
          <w:rFonts w:ascii="Palatino Linotype" w:eastAsia="Palatino Linotype" w:hAnsi="Palatino Linotype" w:cs="Palatino Linotype"/>
          <w:b/>
          <w:sz w:val="22"/>
          <w:szCs w:val="22"/>
        </w:rPr>
        <w:lastRenderedPageBreak/>
        <w:t xml:space="preserve">Las presentaciones faltantes de las sesiones celebradas del Comité de Planeación para el Desarrollo Municipal de Toluca, </w:t>
      </w:r>
      <w:r w:rsidR="005631C1" w:rsidRPr="00E80CD0">
        <w:rPr>
          <w:rFonts w:ascii="Palatino Linotype" w:eastAsia="Palatino Linotype" w:hAnsi="Palatino Linotype" w:cs="Palatino Linotype"/>
          <w:b/>
          <w:sz w:val="22"/>
          <w:szCs w:val="22"/>
        </w:rPr>
        <w:t>en</w:t>
      </w:r>
      <w:r w:rsidRPr="00E80CD0">
        <w:rPr>
          <w:rFonts w:ascii="Palatino Linotype" w:eastAsia="Palatino Linotype" w:hAnsi="Palatino Linotype" w:cs="Palatino Linotype"/>
          <w:b/>
          <w:sz w:val="22"/>
          <w:szCs w:val="22"/>
        </w:rPr>
        <w:t xml:space="preserve"> la administración 2022-2024.</w:t>
      </w:r>
    </w:p>
    <w:p w14:paraId="34DA7C01" w14:textId="77777777" w:rsidR="003628E1" w:rsidRPr="00E80CD0" w:rsidRDefault="003628E1">
      <w:pPr>
        <w:spacing w:line="360" w:lineRule="auto"/>
        <w:jc w:val="both"/>
        <w:rPr>
          <w:rFonts w:ascii="Palatino Linotype" w:eastAsia="Palatino Linotype" w:hAnsi="Palatino Linotype" w:cs="Palatino Linotype"/>
          <w:b/>
          <w:sz w:val="22"/>
          <w:szCs w:val="22"/>
        </w:rPr>
      </w:pPr>
    </w:p>
    <w:p w14:paraId="3CD3FC51" w14:textId="77777777" w:rsidR="003628E1" w:rsidRPr="00E80CD0" w:rsidRDefault="00A96EB0">
      <w:pPr>
        <w:spacing w:line="276" w:lineRule="auto"/>
        <w:ind w:left="567" w:right="616"/>
        <w:jc w:val="both"/>
        <w:rPr>
          <w:rFonts w:ascii="Palatino Linotype" w:eastAsia="Palatino Linotype" w:hAnsi="Palatino Linotype" w:cs="Palatino Linotype"/>
          <w:i/>
          <w:sz w:val="22"/>
          <w:szCs w:val="22"/>
        </w:rPr>
      </w:pPr>
      <w:bookmarkStart w:id="12" w:name="_heading=h.o1ez5skshzvw" w:colFirst="0" w:colLast="0"/>
      <w:bookmarkEnd w:id="12"/>
      <w:r w:rsidRPr="00E80CD0">
        <w:rPr>
          <w:rFonts w:ascii="Palatino Linotype" w:eastAsia="Palatino Linotype" w:hAnsi="Palatino Linotype" w:cs="Palatino Linotype"/>
          <w:i/>
          <w:sz w:val="22"/>
          <w:szCs w:val="22"/>
        </w:rPr>
        <w:t xml:space="preserve">De ser el caso que, el </w:t>
      </w:r>
      <w:r w:rsidRPr="00E80CD0">
        <w:rPr>
          <w:rFonts w:ascii="Palatino Linotype" w:eastAsia="Palatino Linotype" w:hAnsi="Palatino Linotype" w:cs="Palatino Linotype"/>
          <w:b/>
          <w:i/>
          <w:sz w:val="22"/>
          <w:szCs w:val="22"/>
        </w:rPr>
        <w:t>Sujeto Obligado</w:t>
      </w:r>
      <w:r w:rsidRPr="00E80CD0">
        <w:rPr>
          <w:rFonts w:ascii="Palatino Linotype" w:eastAsia="Palatino Linotype" w:hAnsi="Palatino Linotype" w:cs="Palatino Linotype"/>
          <w:i/>
          <w:sz w:val="22"/>
          <w:szCs w:val="22"/>
        </w:rPr>
        <w:t xml:space="preserve"> no cuente con la información que se ordena, </w:t>
      </w:r>
      <w:r w:rsidRPr="00E80CD0">
        <w:rPr>
          <w:rFonts w:ascii="Palatino Linotype" w:eastAsia="Palatino Linotype" w:hAnsi="Palatino Linotype" w:cs="Palatino Linotype"/>
          <w:b/>
          <w:i/>
          <w:sz w:val="22"/>
          <w:szCs w:val="22"/>
        </w:rPr>
        <w:t>al ser las presentaciones entregadas en alcance al informe justificado las únicas generadas, poseídas y/o administradas con motivo de las sesiones del COPLADEMUN celebradas en el periodo requerido</w:t>
      </w:r>
      <w:r w:rsidRPr="00E80CD0">
        <w:rPr>
          <w:rFonts w:ascii="Palatino Linotype" w:eastAsia="Palatino Linotype" w:hAnsi="Palatino Linotype" w:cs="Palatino Linotype"/>
          <w:i/>
          <w:sz w:val="22"/>
          <w:szCs w:val="22"/>
        </w:rPr>
        <w:t>,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2B8393FB"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71D0D4E1" w14:textId="77777777" w:rsidR="003628E1" w:rsidRPr="00E80CD0"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 xml:space="preserve">Tercero. Notifíquese, </w:t>
      </w:r>
      <w:r w:rsidRPr="00E80CD0">
        <w:rPr>
          <w:rFonts w:ascii="Palatino Linotype" w:eastAsia="Palatino Linotype" w:hAnsi="Palatino Linotype" w:cs="Palatino Linotype"/>
          <w:sz w:val="22"/>
          <w:szCs w:val="22"/>
        </w:rPr>
        <w:t xml:space="preserve">vía </w:t>
      </w:r>
      <w:r w:rsidRPr="00E80CD0">
        <w:rPr>
          <w:rFonts w:ascii="Palatino Linotype" w:eastAsia="Palatino Linotype" w:hAnsi="Palatino Linotype" w:cs="Palatino Linotype"/>
          <w:b/>
          <w:sz w:val="22"/>
          <w:szCs w:val="22"/>
        </w:rPr>
        <w:t>SAIMEX</w:t>
      </w:r>
      <w:r w:rsidRPr="00E80CD0">
        <w:rPr>
          <w:rFonts w:ascii="Palatino Linotype" w:eastAsia="Palatino Linotype" w:hAnsi="Palatino Linotype" w:cs="Palatino Linotype"/>
          <w:sz w:val="22"/>
          <w:szCs w:val="22"/>
        </w:rPr>
        <w:t xml:space="preserve">, al Titular de la Unidad de Transparencia del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83ADA0"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1DA8D6ED" w14:textId="77777777" w:rsidR="003628E1" w:rsidRPr="00E80CD0" w:rsidRDefault="00A96EB0">
      <w:pPr>
        <w:spacing w:line="360" w:lineRule="auto"/>
        <w:ind w:right="49"/>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b/>
          <w:sz w:val="22"/>
          <w:szCs w:val="22"/>
        </w:rPr>
        <w:t>Cuarto.</w:t>
      </w:r>
      <w:r w:rsidRPr="00E80CD0">
        <w:rPr>
          <w:rFonts w:ascii="Palatino Linotype" w:eastAsia="Palatino Linotype" w:hAnsi="Palatino Linotype" w:cs="Palatino Linotype"/>
          <w:sz w:val="22"/>
          <w:szCs w:val="22"/>
        </w:rPr>
        <w:t xml:space="preserve"> </w:t>
      </w:r>
      <w:r w:rsidRPr="00E80CD0">
        <w:rPr>
          <w:rFonts w:ascii="Palatino Linotype" w:eastAsia="Palatino Linotype" w:hAnsi="Palatino Linotype" w:cs="Palatino Linotype"/>
          <w:b/>
          <w:sz w:val="22"/>
          <w:szCs w:val="22"/>
        </w:rPr>
        <w:t xml:space="preserve">Notifíquese, </w:t>
      </w:r>
      <w:r w:rsidRPr="00E80CD0">
        <w:rPr>
          <w:rFonts w:ascii="Palatino Linotype" w:eastAsia="Palatino Linotype" w:hAnsi="Palatino Linotype" w:cs="Palatino Linotype"/>
          <w:sz w:val="22"/>
          <w:szCs w:val="22"/>
        </w:rPr>
        <w:t xml:space="preserve">vía </w:t>
      </w:r>
      <w:r w:rsidRPr="00E80CD0">
        <w:rPr>
          <w:rFonts w:ascii="Palatino Linotype" w:eastAsia="Palatino Linotype" w:hAnsi="Palatino Linotype" w:cs="Palatino Linotype"/>
          <w:b/>
          <w:sz w:val="22"/>
          <w:szCs w:val="22"/>
        </w:rPr>
        <w:t>SAIMEX</w:t>
      </w:r>
      <w:r w:rsidRPr="00E80CD0">
        <w:rPr>
          <w:rFonts w:ascii="Palatino Linotype" w:eastAsia="Palatino Linotype" w:hAnsi="Palatino Linotype" w:cs="Palatino Linotype"/>
          <w:sz w:val="22"/>
          <w:szCs w:val="22"/>
        </w:rPr>
        <w:t xml:space="preserve">, al Titular de la Unidad de Transparencia del </w:t>
      </w:r>
      <w:r w:rsidRPr="00E80CD0">
        <w:rPr>
          <w:rFonts w:ascii="Palatino Linotype" w:eastAsia="Palatino Linotype" w:hAnsi="Palatino Linotype" w:cs="Palatino Linotype"/>
          <w:b/>
          <w:sz w:val="22"/>
          <w:szCs w:val="22"/>
        </w:rPr>
        <w:t>Sujeto Obligado,</w:t>
      </w:r>
      <w:r w:rsidRPr="00E80CD0">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714A090D" w14:textId="77777777" w:rsidR="003628E1" w:rsidRPr="00E80CD0" w:rsidRDefault="003628E1">
      <w:pPr>
        <w:spacing w:line="360" w:lineRule="auto"/>
        <w:ind w:right="49"/>
        <w:jc w:val="both"/>
        <w:rPr>
          <w:rFonts w:ascii="Palatino Linotype" w:eastAsia="Palatino Linotype" w:hAnsi="Palatino Linotype" w:cs="Palatino Linotype"/>
          <w:sz w:val="22"/>
          <w:szCs w:val="22"/>
        </w:rPr>
      </w:pPr>
    </w:p>
    <w:p w14:paraId="404A3873" w14:textId="77777777" w:rsidR="003628E1" w:rsidRPr="00E80CD0" w:rsidRDefault="00A96EB0">
      <w:pPr>
        <w:spacing w:line="360" w:lineRule="auto"/>
        <w:ind w:right="49"/>
        <w:jc w:val="both"/>
        <w:rPr>
          <w:rFonts w:ascii="Palatino Linotype" w:eastAsia="Palatino Linotype" w:hAnsi="Palatino Linotype" w:cs="Palatino Linotype"/>
          <w:color w:val="000000"/>
          <w:sz w:val="22"/>
          <w:szCs w:val="22"/>
        </w:rPr>
      </w:pPr>
      <w:r w:rsidRPr="00E80CD0">
        <w:rPr>
          <w:rFonts w:ascii="Palatino Linotype" w:eastAsia="Palatino Linotype" w:hAnsi="Palatino Linotype" w:cs="Palatino Linotype"/>
          <w:b/>
          <w:sz w:val="22"/>
          <w:szCs w:val="22"/>
        </w:rPr>
        <w:lastRenderedPageBreak/>
        <w:t xml:space="preserve">Quinto. </w:t>
      </w:r>
      <w:r w:rsidRPr="00E80CD0">
        <w:rPr>
          <w:rFonts w:ascii="Palatino Linotype" w:eastAsia="Palatino Linotype" w:hAnsi="Palatino Linotype" w:cs="Palatino Linotype"/>
          <w:b/>
          <w:color w:val="000000"/>
          <w:sz w:val="22"/>
          <w:szCs w:val="22"/>
        </w:rPr>
        <w:t xml:space="preserve">Notifíquese vía SAIMEX, </w:t>
      </w:r>
      <w:r w:rsidRPr="00E80CD0">
        <w:rPr>
          <w:rFonts w:ascii="Palatino Linotype" w:eastAsia="Palatino Linotype" w:hAnsi="Palatino Linotype" w:cs="Palatino Linotype"/>
          <w:color w:val="000000"/>
          <w:sz w:val="22"/>
          <w:szCs w:val="22"/>
        </w:rPr>
        <w:t xml:space="preserve">la presente resolución a la parte </w:t>
      </w:r>
      <w:r w:rsidRPr="00E80CD0">
        <w:rPr>
          <w:rFonts w:ascii="Palatino Linotype" w:eastAsia="Palatino Linotype" w:hAnsi="Palatino Linotype" w:cs="Palatino Linotype"/>
          <w:b/>
          <w:color w:val="000000"/>
          <w:sz w:val="22"/>
          <w:szCs w:val="22"/>
        </w:rPr>
        <w:t>Recurrente</w:t>
      </w:r>
      <w:r w:rsidRPr="00E80CD0">
        <w:rPr>
          <w:rFonts w:ascii="Palatino Linotype" w:eastAsia="Palatino Linotype" w:hAnsi="Palatino Linotype" w:cs="Palatino Linotype"/>
          <w:color w:val="000000"/>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A647003" w14:textId="77777777" w:rsidR="003628E1" w:rsidRPr="00E80CD0" w:rsidRDefault="003628E1">
      <w:pPr>
        <w:spacing w:line="360" w:lineRule="auto"/>
        <w:jc w:val="both"/>
        <w:rPr>
          <w:rFonts w:ascii="Palatino Linotype" w:eastAsia="Palatino Linotype" w:hAnsi="Palatino Linotype" w:cs="Palatino Linotype"/>
          <w:sz w:val="22"/>
          <w:szCs w:val="22"/>
        </w:rPr>
      </w:pPr>
    </w:p>
    <w:p w14:paraId="7A2A13EE" w14:textId="77777777" w:rsidR="003628E1" w:rsidRDefault="00A96EB0">
      <w:pPr>
        <w:spacing w:line="360" w:lineRule="auto"/>
        <w:jc w:val="both"/>
        <w:rPr>
          <w:rFonts w:ascii="Palatino Linotype" w:eastAsia="Palatino Linotype" w:hAnsi="Palatino Linotype" w:cs="Palatino Linotype"/>
          <w:sz w:val="22"/>
          <w:szCs w:val="22"/>
        </w:rPr>
      </w:pPr>
      <w:r w:rsidRPr="00E80CD0">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r>
        <w:rPr>
          <w:rFonts w:ascii="Palatino Linotype" w:eastAsia="Palatino Linotype" w:hAnsi="Palatino Linotype" w:cs="Palatino Linotype"/>
          <w:sz w:val="22"/>
          <w:szCs w:val="22"/>
        </w:rPr>
        <w:t xml:space="preserve"> </w:t>
      </w:r>
    </w:p>
    <w:p w14:paraId="3B4B8095" w14:textId="77777777" w:rsidR="003628E1" w:rsidRDefault="003628E1">
      <w:pPr>
        <w:rPr>
          <w:rFonts w:ascii="Palatino Linotype" w:eastAsia="Palatino Linotype" w:hAnsi="Palatino Linotype" w:cs="Palatino Linotype"/>
          <w:sz w:val="22"/>
          <w:szCs w:val="22"/>
        </w:rPr>
      </w:pPr>
      <w:bookmarkStart w:id="13" w:name="_heading=h.17dp8vu" w:colFirst="0" w:colLast="0"/>
      <w:bookmarkEnd w:id="13"/>
    </w:p>
    <w:p w14:paraId="5A9095FD" w14:textId="77777777" w:rsidR="003628E1" w:rsidRDefault="003628E1">
      <w:pPr>
        <w:rPr>
          <w:rFonts w:ascii="Palatino Linotype" w:eastAsia="Palatino Linotype" w:hAnsi="Palatino Linotype" w:cs="Palatino Linotype"/>
          <w:sz w:val="22"/>
          <w:szCs w:val="22"/>
        </w:rPr>
      </w:pPr>
    </w:p>
    <w:p w14:paraId="77D6FE26" w14:textId="77777777" w:rsidR="003628E1" w:rsidRDefault="003628E1">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0DE0DF95" w14:textId="77777777" w:rsidR="003628E1" w:rsidRDefault="003628E1">
      <w:pPr>
        <w:spacing w:line="360" w:lineRule="auto"/>
        <w:jc w:val="both"/>
        <w:rPr>
          <w:rFonts w:ascii="Palatino Linotype" w:eastAsia="Palatino Linotype" w:hAnsi="Palatino Linotype" w:cs="Palatino Linotype"/>
          <w:sz w:val="22"/>
          <w:szCs w:val="22"/>
        </w:rPr>
      </w:pPr>
    </w:p>
    <w:p w14:paraId="06EE20A3" w14:textId="77777777" w:rsidR="003628E1" w:rsidRDefault="003628E1">
      <w:pPr>
        <w:spacing w:line="360" w:lineRule="auto"/>
        <w:jc w:val="both"/>
        <w:rPr>
          <w:rFonts w:ascii="Palatino Linotype" w:eastAsia="Palatino Linotype" w:hAnsi="Palatino Linotype" w:cs="Palatino Linotype"/>
          <w:sz w:val="22"/>
          <w:szCs w:val="22"/>
        </w:rPr>
      </w:pPr>
    </w:p>
    <w:p w14:paraId="7866C7F5" w14:textId="77777777" w:rsidR="003628E1" w:rsidRDefault="003628E1">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1A11EB6E" w14:textId="77777777" w:rsidR="003628E1" w:rsidRDefault="003628E1">
      <w:pPr>
        <w:spacing w:line="360" w:lineRule="auto"/>
        <w:jc w:val="both"/>
        <w:rPr>
          <w:rFonts w:ascii="Palatino Linotype" w:eastAsia="Palatino Linotype" w:hAnsi="Palatino Linotype" w:cs="Palatino Linotype"/>
          <w:sz w:val="22"/>
          <w:szCs w:val="22"/>
        </w:rPr>
      </w:pPr>
    </w:p>
    <w:p w14:paraId="3C81A451" w14:textId="77777777" w:rsidR="003628E1" w:rsidRDefault="003628E1">
      <w:pPr>
        <w:spacing w:line="360" w:lineRule="auto"/>
        <w:jc w:val="both"/>
        <w:rPr>
          <w:rFonts w:ascii="Palatino Linotype" w:eastAsia="Palatino Linotype" w:hAnsi="Palatino Linotype" w:cs="Palatino Linotype"/>
          <w:sz w:val="22"/>
          <w:szCs w:val="22"/>
        </w:rPr>
      </w:pPr>
    </w:p>
    <w:p w14:paraId="54898A98" w14:textId="77777777" w:rsidR="003628E1" w:rsidRDefault="003628E1">
      <w:pPr>
        <w:spacing w:line="360" w:lineRule="auto"/>
        <w:jc w:val="both"/>
        <w:rPr>
          <w:rFonts w:ascii="Palatino Linotype" w:eastAsia="Palatino Linotype" w:hAnsi="Palatino Linotype" w:cs="Palatino Linotype"/>
          <w:sz w:val="22"/>
          <w:szCs w:val="22"/>
        </w:rPr>
      </w:pPr>
    </w:p>
    <w:p w14:paraId="3B96DAE3" w14:textId="77777777" w:rsidR="003628E1" w:rsidRDefault="003628E1">
      <w:pPr>
        <w:spacing w:line="360" w:lineRule="auto"/>
        <w:jc w:val="both"/>
        <w:rPr>
          <w:rFonts w:ascii="Palatino Linotype" w:eastAsia="Palatino Linotype" w:hAnsi="Palatino Linotype" w:cs="Palatino Linotype"/>
          <w:sz w:val="22"/>
          <w:szCs w:val="22"/>
        </w:rPr>
      </w:pPr>
    </w:p>
    <w:p w14:paraId="2557FEFF" w14:textId="77777777" w:rsidR="003628E1" w:rsidRDefault="003628E1">
      <w:pPr>
        <w:spacing w:line="360" w:lineRule="auto"/>
        <w:jc w:val="both"/>
        <w:rPr>
          <w:rFonts w:ascii="Palatino Linotype" w:eastAsia="Palatino Linotype" w:hAnsi="Palatino Linotype" w:cs="Palatino Linotype"/>
          <w:sz w:val="22"/>
          <w:szCs w:val="22"/>
        </w:rPr>
      </w:pPr>
    </w:p>
    <w:p w14:paraId="3BDE4FE2" w14:textId="77777777" w:rsidR="003628E1" w:rsidRDefault="003628E1">
      <w:pPr>
        <w:spacing w:line="360" w:lineRule="auto"/>
        <w:jc w:val="both"/>
        <w:rPr>
          <w:rFonts w:ascii="Palatino Linotype" w:eastAsia="Palatino Linotype" w:hAnsi="Palatino Linotype" w:cs="Palatino Linotype"/>
          <w:sz w:val="22"/>
          <w:szCs w:val="22"/>
        </w:rPr>
      </w:pPr>
    </w:p>
    <w:p w14:paraId="5AAB635F" w14:textId="77777777" w:rsidR="003628E1" w:rsidRDefault="003628E1">
      <w:pPr>
        <w:spacing w:line="360" w:lineRule="auto"/>
        <w:jc w:val="both"/>
        <w:rPr>
          <w:rFonts w:ascii="Palatino Linotype" w:eastAsia="Palatino Linotype" w:hAnsi="Palatino Linotype" w:cs="Palatino Linotype"/>
          <w:sz w:val="22"/>
          <w:szCs w:val="22"/>
        </w:rPr>
      </w:pPr>
    </w:p>
    <w:p w14:paraId="7C101E48" w14:textId="77777777" w:rsidR="003628E1" w:rsidRDefault="003628E1">
      <w:pPr>
        <w:spacing w:line="360" w:lineRule="auto"/>
        <w:jc w:val="both"/>
        <w:rPr>
          <w:rFonts w:ascii="Palatino Linotype" w:eastAsia="Palatino Linotype" w:hAnsi="Palatino Linotype" w:cs="Palatino Linotype"/>
          <w:sz w:val="22"/>
          <w:szCs w:val="22"/>
        </w:rPr>
      </w:pPr>
    </w:p>
    <w:p w14:paraId="1166AA25" w14:textId="77777777" w:rsidR="003628E1" w:rsidRDefault="003628E1">
      <w:pPr>
        <w:spacing w:line="360" w:lineRule="auto"/>
        <w:jc w:val="both"/>
        <w:rPr>
          <w:rFonts w:ascii="Palatino Linotype" w:eastAsia="Palatino Linotype" w:hAnsi="Palatino Linotype" w:cs="Palatino Linotype"/>
          <w:sz w:val="22"/>
          <w:szCs w:val="22"/>
        </w:rPr>
      </w:pPr>
    </w:p>
    <w:p w14:paraId="2A99F5D4" w14:textId="77777777" w:rsidR="003628E1" w:rsidRDefault="003628E1">
      <w:pPr>
        <w:spacing w:line="360" w:lineRule="auto"/>
        <w:jc w:val="both"/>
        <w:rPr>
          <w:rFonts w:ascii="Palatino Linotype" w:eastAsia="Palatino Linotype" w:hAnsi="Palatino Linotype" w:cs="Palatino Linotype"/>
          <w:sz w:val="22"/>
          <w:szCs w:val="22"/>
        </w:rPr>
      </w:pPr>
    </w:p>
    <w:p w14:paraId="6F789C2E" w14:textId="77777777" w:rsidR="003628E1" w:rsidRDefault="003628E1">
      <w:pPr>
        <w:spacing w:line="360" w:lineRule="auto"/>
        <w:jc w:val="both"/>
        <w:rPr>
          <w:rFonts w:ascii="Palatino Linotype" w:eastAsia="Palatino Linotype" w:hAnsi="Palatino Linotype" w:cs="Palatino Linotype"/>
          <w:sz w:val="22"/>
          <w:szCs w:val="22"/>
        </w:rPr>
      </w:pPr>
    </w:p>
    <w:p w14:paraId="010C8C92" w14:textId="77777777" w:rsidR="003628E1" w:rsidRDefault="003628E1">
      <w:pPr>
        <w:spacing w:line="360" w:lineRule="auto"/>
        <w:jc w:val="both"/>
        <w:rPr>
          <w:rFonts w:ascii="Palatino Linotype" w:eastAsia="Palatino Linotype" w:hAnsi="Palatino Linotype" w:cs="Palatino Linotype"/>
          <w:sz w:val="22"/>
          <w:szCs w:val="22"/>
        </w:rPr>
      </w:pPr>
    </w:p>
    <w:p w14:paraId="59797A41" w14:textId="77777777" w:rsidR="003628E1" w:rsidRDefault="003628E1">
      <w:pPr>
        <w:spacing w:line="360" w:lineRule="auto"/>
        <w:jc w:val="both"/>
        <w:rPr>
          <w:rFonts w:ascii="Palatino Linotype" w:eastAsia="Palatino Linotype" w:hAnsi="Palatino Linotype" w:cs="Palatino Linotype"/>
          <w:sz w:val="22"/>
          <w:szCs w:val="22"/>
        </w:rPr>
      </w:pPr>
    </w:p>
    <w:p w14:paraId="2453F8D1" w14:textId="77777777" w:rsidR="003628E1" w:rsidRDefault="003628E1">
      <w:pPr>
        <w:spacing w:line="360" w:lineRule="auto"/>
        <w:jc w:val="both"/>
        <w:rPr>
          <w:rFonts w:ascii="Palatino Linotype" w:eastAsia="Palatino Linotype" w:hAnsi="Palatino Linotype" w:cs="Palatino Linotype"/>
          <w:sz w:val="22"/>
          <w:szCs w:val="22"/>
        </w:rPr>
      </w:pPr>
    </w:p>
    <w:p w14:paraId="447D29C4" w14:textId="77777777" w:rsidR="003628E1" w:rsidRDefault="003628E1">
      <w:pPr>
        <w:spacing w:line="360" w:lineRule="auto"/>
        <w:jc w:val="both"/>
        <w:rPr>
          <w:rFonts w:ascii="Palatino Linotype" w:eastAsia="Palatino Linotype" w:hAnsi="Palatino Linotype" w:cs="Palatino Linotype"/>
          <w:sz w:val="22"/>
          <w:szCs w:val="22"/>
        </w:rPr>
      </w:pPr>
    </w:p>
    <w:p w14:paraId="10B814C1" w14:textId="77777777" w:rsidR="003628E1" w:rsidRDefault="003628E1">
      <w:pPr>
        <w:spacing w:line="360" w:lineRule="auto"/>
        <w:jc w:val="both"/>
        <w:rPr>
          <w:rFonts w:ascii="Palatino Linotype" w:eastAsia="Palatino Linotype" w:hAnsi="Palatino Linotype" w:cs="Palatino Linotype"/>
          <w:sz w:val="22"/>
          <w:szCs w:val="22"/>
        </w:rPr>
      </w:pPr>
    </w:p>
    <w:p w14:paraId="0100EDB5" w14:textId="77777777" w:rsidR="003628E1" w:rsidRDefault="003628E1">
      <w:pPr>
        <w:spacing w:line="360" w:lineRule="auto"/>
        <w:jc w:val="both"/>
        <w:rPr>
          <w:rFonts w:ascii="Palatino Linotype" w:eastAsia="Palatino Linotype" w:hAnsi="Palatino Linotype" w:cs="Palatino Linotype"/>
          <w:sz w:val="22"/>
          <w:szCs w:val="22"/>
        </w:rPr>
      </w:pPr>
    </w:p>
    <w:p w14:paraId="1BABF812" w14:textId="77777777" w:rsidR="003628E1" w:rsidRDefault="003628E1">
      <w:pPr>
        <w:spacing w:line="360" w:lineRule="auto"/>
        <w:jc w:val="both"/>
        <w:rPr>
          <w:rFonts w:ascii="Palatino Linotype" w:eastAsia="Palatino Linotype" w:hAnsi="Palatino Linotype" w:cs="Palatino Linotype"/>
          <w:sz w:val="22"/>
          <w:szCs w:val="22"/>
        </w:rPr>
      </w:pPr>
    </w:p>
    <w:p w14:paraId="2F5890AD" w14:textId="77777777" w:rsidR="003628E1" w:rsidRDefault="003628E1">
      <w:pPr>
        <w:spacing w:line="360" w:lineRule="auto"/>
        <w:jc w:val="both"/>
        <w:rPr>
          <w:rFonts w:ascii="Palatino Linotype" w:eastAsia="Palatino Linotype" w:hAnsi="Palatino Linotype" w:cs="Palatino Linotype"/>
          <w:sz w:val="22"/>
          <w:szCs w:val="22"/>
        </w:rPr>
      </w:pPr>
    </w:p>
    <w:p w14:paraId="73B2FC6C" w14:textId="77777777" w:rsidR="003628E1" w:rsidRDefault="003628E1">
      <w:pPr>
        <w:spacing w:line="360" w:lineRule="auto"/>
        <w:jc w:val="both"/>
        <w:rPr>
          <w:rFonts w:ascii="Palatino Linotype" w:eastAsia="Palatino Linotype" w:hAnsi="Palatino Linotype" w:cs="Palatino Linotype"/>
          <w:sz w:val="22"/>
          <w:szCs w:val="22"/>
        </w:rPr>
      </w:pPr>
    </w:p>
    <w:p w14:paraId="348AACF0" w14:textId="77777777" w:rsidR="003628E1" w:rsidRDefault="003628E1">
      <w:pPr>
        <w:spacing w:line="360" w:lineRule="auto"/>
        <w:jc w:val="both"/>
        <w:rPr>
          <w:rFonts w:ascii="Palatino Linotype" w:eastAsia="Palatino Linotype" w:hAnsi="Palatino Linotype" w:cs="Palatino Linotype"/>
          <w:sz w:val="22"/>
          <w:szCs w:val="22"/>
        </w:rPr>
      </w:pPr>
    </w:p>
    <w:sectPr w:rsidR="003628E1">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4A66" w14:textId="77777777" w:rsidR="007B4B06" w:rsidRDefault="007B4B06">
      <w:r>
        <w:separator/>
      </w:r>
    </w:p>
  </w:endnote>
  <w:endnote w:type="continuationSeparator" w:id="0">
    <w:p w14:paraId="4B900E46" w14:textId="77777777" w:rsidR="007B4B06" w:rsidRDefault="007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598E" w14:textId="77777777" w:rsidR="003628E1" w:rsidRDefault="00A96E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10D7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10D7E">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4987681D" w14:textId="77777777" w:rsidR="003628E1" w:rsidRDefault="003628E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2CF0" w14:textId="77777777" w:rsidR="003628E1" w:rsidRDefault="00A96E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10D7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10D7E">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547CF3B0" w14:textId="77777777" w:rsidR="003628E1" w:rsidRDefault="003628E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1C9D" w14:textId="77777777" w:rsidR="007B4B06" w:rsidRDefault="007B4B06">
      <w:r>
        <w:separator/>
      </w:r>
    </w:p>
  </w:footnote>
  <w:footnote w:type="continuationSeparator" w:id="0">
    <w:p w14:paraId="64CCD368" w14:textId="77777777" w:rsidR="007B4B06" w:rsidRDefault="007B4B06">
      <w:r>
        <w:continuationSeparator/>
      </w:r>
    </w:p>
  </w:footnote>
  <w:footnote w:id="1">
    <w:p w14:paraId="27D3FE11" w14:textId="77777777" w:rsidR="003628E1" w:rsidRDefault="00A96EB0">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AC6879B" w14:textId="77777777" w:rsidR="003628E1" w:rsidRDefault="00A96EB0">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D4CF17A" w14:textId="77777777" w:rsidR="003628E1" w:rsidRDefault="00A96EB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BD8C54E" w14:textId="77777777" w:rsidR="003628E1" w:rsidRDefault="00A96EB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6FD" w14:textId="77777777" w:rsidR="003628E1" w:rsidRDefault="00A96EB0">
    <w:pPr>
      <w:rPr>
        <w:rFonts w:ascii="Cambria" w:eastAsia="Cambria" w:hAnsi="Cambria" w:cs="Cambria"/>
        <w:color w:val="000000"/>
      </w:rPr>
    </w:pPr>
    <w:r>
      <w:rPr>
        <w:noProof/>
      </w:rPr>
      <w:drawing>
        <wp:anchor distT="0" distB="0" distL="0" distR="0" simplePos="0" relativeHeight="251658240" behindDoc="1" locked="0" layoutInCell="1" hidden="0" allowOverlap="1" wp14:anchorId="73615D5D" wp14:editId="79479CD0">
          <wp:simplePos x="0" y="0"/>
          <wp:positionH relativeFrom="column">
            <wp:posOffset>-1080104</wp:posOffset>
          </wp:positionH>
          <wp:positionV relativeFrom="paragraph">
            <wp:posOffset>-488279</wp:posOffset>
          </wp:positionV>
          <wp:extent cx="7809865" cy="10165715"/>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7087" w:type="dxa"/>
      <w:tblInd w:w="3261" w:type="dxa"/>
      <w:tblLayout w:type="fixed"/>
      <w:tblLook w:val="0400" w:firstRow="0" w:lastRow="0" w:firstColumn="0" w:lastColumn="0" w:noHBand="0" w:noVBand="1"/>
    </w:tblPr>
    <w:tblGrid>
      <w:gridCol w:w="2489"/>
      <w:gridCol w:w="4598"/>
    </w:tblGrid>
    <w:tr w:rsidR="003628E1" w14:paraId="07C3CF02" w14:textId="77777777">
      <w:tc>
        <w:tcPr>
          <w:tcW w:w="2489" w:type="dxa"/>
          <w:shd w:val="clear" w:color="auto" w:fill="auto"/>
        </w:tcPr>
        <w:p w14:paraId="251E510B" w14:textId="77777777" w:rsidR="003628E1" w:rsidRDefault="00A96E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717D144" w14:textId="77777777" w:rsidR="003628E1" w:rsidRDefault="00A96EB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02314/INFOEM/IP/RR/2025</w:t>
          </w:r>
        </w:p>
      </w:tc>
    </w:tr>
    <w:tr w:rsidR="003628E1" w14:paraId="29B12B9F" w14:textId="77777777">
      <w:trPr>
        <w:trHeight w:val="228"/>
      </w:trPr>
      <w:tc>
        <w:tcPr>
          <w:tcW w:w="2489" w:type="dxa"/>
          <w:shd w:val="clear" w:color="auto" w:fill="auto"/>
          <w:vAlign w:val="center"/>
        </w:tcPr>
        <w:p w14:paraId="7DE94721" w14:textId="77777777" w:rsidR="003628E1" w:rsidRDefault="00A96E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95AC129" w14:textId="77777777" w:rsidR="003628E1" w:rsidRDefault="00A96EB0">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628E1" w14:paraId="59BA7B26" w14:textId="77777777">
      <w:tc>
        <w:tcPr>
          <w:tcW w:w="2489" w:type="dxa"/>
          <w:shd w:val="clear" w:color="auto" w:fill="auto"/>
          <w:vAlign w:val="center"/>
        </w:tcPr>
        <w:p w14:paraId="0CE331A1" w14:textId="77777777" w:rsidR="003628E1" w:rsidRDefault="00A96EB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2F3B02E" w14:textId="77777777" w:rsidR="003628E1" w:rsidRDefault="00A96EB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13419D" w14:textId="77777777" w:rsidR="003628E1" w:rsidRDefault="00A96EB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0057" w14:textId="77777777" w:rsidR="003628E1" w:rsidRDefault="00A96EB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B57C448" wp14:editId="0111ED94">
          <wp:simplePos x="0" y="0"/>
          <wp:positionH relativeFrom="column">
            <wp:posOffset>-1079483</wp:posOffset>
          </wp:positionH>
          <wp:positionV relativeFrom="paragraph">
            <wp:posOffset>-328910</wp:posOffset>
          </wp:positionV>
          <wp:extent cx="7809865" cy="10165715"/>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945" w:type="dxa"/>
      <w:tblInd w:w="3261" w:type="dxa"/>
      <w:tblLayout w:type="fixed"/>
      <w:tblLook w:val="0400" w:firstRow="0" w:lastRow="0" w:firstColumn="0" w:lastColumn="0" w:noHBand="0" w:noVBand="1"/>
    </w:tblPr>
    <w:tblGrid>
      <w:gridCol w:w="2551"/>
      <w:gridCol w:w="4394"/>
    </w:tblGrid>
    <w:tr w:rsidR="003628E1" w14:paraId="1186B8CA" w14:textId="77777777">
      <w:tc>
        <w:tcPr>
          <w:tcW w:w="2551" w:type="dxa"/>
          <w:shd w:val="clear" w:color="auto" w:fill="auto"/>
          <w:vAlign w:val="center"/>
        </w:tcPr>
        <w:p w14:paraId="5C3EDD00" w14:textId="77777777" w:rsidR="003628E1" w:rsidRDefault="00A96E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2B12935" w14:textId="77777777" w:rsidR="003628E1" w:rsidRDefault="00A96EB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02314/INFOEM/IP/RR/2025</w:t>
          </w:r>
        </w:p>
      </w:tc>
    </w:tr>
    <w:tr w:rsidR="003628E1" w14:paraId="18042DA2" w14:textId="77777777">
      <w:trPr>
        <w:trHeight w:val="130"/>
      </w:trPr>
      <w:tc>
        <w:tcPr>
          <w:tcW w:w="2551" w:type="dxa"/>
          <w:shd w:val="clear" w:color="auto" w:fill="auto"/>
          <w:vAlign w:val="center"/>
        </w:tcPr>
        <w:p w14:paraId="786BCB76" w14:textId="77777777" w:rsidR="003628E1" w:rsidRDefault="00A96E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A6962E7" w14:textId="77777777" w:rsidR="003628E1" w:rsidRDefault="003628E1">
          <w:pPr>
            <w:ind w:left="-45" w:right="1444"/>
            <w:jc w:val="both"/>
            <w:rPr>
              <w:rFonts w:ascii="Palatino Linotype" w:eastAsia="Palatino Linotype" w:hAnsi="Palatino Linotype" w:cs="Palatino Linotype"/>
              <w:b/>
              <w:sz w:val="22"/>
              <w:szCs w:val="22"/>
            </w:rPr>
          </w:pPr>
        </w:p>
      </w:tc>
    </w:tr>
    <w:tr w:rsidR="003628E1" w14:paraId="01EBAFE6" w14:textId="77777777">
      <w:trPr>
        <w:trHeight w:val="228"/>
      </w:trPr>
      <w:tc>
        <w:tcPr>
          <w:tcW w:w="2551" w:type="dxa"/>
          <w:shd w:val="clear" w:color="auto" w:fill="auto"/>
          <w:vAlign w:val="center"/>
        </w:tcPr>
        <w:p w14:paraId="73576109" w14:textId="77777777" w:rsidR="003628E1" w:rsidRDefault="00A96E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A329785" w14:textId="77777777" w:rsidR="003628E1" w:rsidRDefault="00A96EB0">
          <w:pPr>
            <w:ind w:left="-45" w:right="1586"/>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Toluca</w:t>
          </w:r>
        </w:p>
      </w:tc>
    </w:tr>
    <w:tr w:rsidR="003628E1" w14:paraId="702A6EBE" w14:textId="77777777">
      <w:tc>
        <w:tcPr>
          <w:tcW w:w="2551" w:type="dxa"/>
          <w:shd w:val="clear" w:color="auto" w:fill="auto"/>
          <w:vAlign w:val="center"/>
        </w:tcPr>
        <w:p w14:paraId="49C7B14B" w14:textId="77777777" w:rsidR="003628E1" w:rsidRDefault="00A96E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CE96092" w14:textId="77777777" w:rsidR="003628E1" w:rsidRDefault="00A96EB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E76796" w14:textId="77777777" w:rsidR="003628E1" w:rsidRDefault="003628E1">
    <w:pPr>
      <w:pBdr>
        <w:top w:val="nil"/>
        <w:left w:val="nil"/>
        <w:bottom w:val="nil"/>
        <w:right w:val="nil"/>
        <w:between w:val="nil"/>
      </w:pBdr>
      <w:tabs>
        <w:tab w:val="center" w:pos="4252"/>
        <w:tab w:val="right" w:pos="8504"/>
      </w:tabs>
      <w:rPr>
        <w:rFonts w:ascii="Cambria" w:eastAsia="Cambria" w:hAnsi="Cambria" w:cs="Cambria"/>
        <w:color w:val="000000"/>
      </w:rPr>
    </w:pPr>
  </w:p>
  <w:p w14:paraId="167DA303" w14:textId="77777777" w:rsidR="003628E1" w:rsidRDefault="00362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E4C"/>
    <w:multiLevelType w:val="multilevel"/>
    <w:tmpl w:val="00CE4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B162B3"/>
    <w:multiLevelType w:val="multilevel"/>
    <w:tmpl w:val="7E5271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74B3A48"/>
    <w:multiLevelType w:val="multilevel"/>
    <w:tmpl w:val="3CAC264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E829F9"/>
    <w:multiLevelType w:val="multilevel"/>
    <w:tmpl w:val="DCD2E1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E1"/>
    <w:rsid w:val="001F4493"/>
    <w:rsid w:val="001F6852"/>
    <w:rsid w:val="003628E1"/>
    <w:rsid w:val="00410D7E"/>
    <w:rsid w:val="005631C1"/>
    <w:rsid w:val="007B4B06"/>
    <w:rsid w:val="00A96EB0"/>
    <w:rsid w:val="00CB1B12"/>
    <w:rsid w:val="00DC4A54"/>
    <w:rsid w:val="00E80CD0"/>
    <w:rsid w:val="00ED6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E227"/>
  <w15:docId w15:val="{E67E43BA-12B5-4199-962B-1DEB919D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5B"/>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0"/>
    <w:tblPr>
      <w:tblStyleRowBandSize w:val="1"/>
      <w:tblStyleColBandSize w:val="1"/>
      <w:tblCellMar>
        <w:left w:w="115" w:type="dxa"/>
        <w:right w:w="115" w:type="dxa"/>
      </w:tblCellMar>
    </w:tblPr>
  </w:style>
  <w:style w:type="table" w:customStyle="1" w:styleId="7">
    <w:name w:val="7"/>
    <w:basedOn w:val="TableNormal40"/>
    <w:tblPr>
      <w:tblStyleRowBandSize w:val="1"/>
      <w:tblStyleColBandSize w:val="1"/>
      <w:tblCellMar>
        <w:left w:w="115" w:type="dxa"/>
        <w:right w:w="115" w:type="dxa"/>
      </w:tblCellMar>
    </w:tblPr>
  </w:style>
  <w:style w:type="table" w:customStyle="1" w:styleId="6">
    <w:name w:val="6"/>
    <w:basedOn w:val="TableNormal50"/>
    <w:tblPr>
      <w:tblStyleRowBandSize w:val="1"/>
      <w:tblStyleColBandSize w:val="1"/>
      <w:tblCellMar>
        <w:left w:w="115" w:type="dxa"/>
        <w:right w:w="115" w:type="dxa"/>
      </w:tblCellMar>
    </w:tblPr>
  </w:style>
  <w:style w:type="table" w:customStyle="1" w:styleId="5">
    <w:name w:val="5"/>
    <w:basedOn w:val="TableNormal50"/>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4"/>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customStyle="1" w:styleId="INFOEM">
    <w:name w:val="INFOEM"/>
    <w:basedOn w:val="Normal"/>
    <w:qFormat/>
    <w:rsid w:val="00335718"/>
    <w:pPr>
      <w:spacing w:before="240" w:after="160" w:line="360" w:lineRule="auto"/>
      <w:ind w:left="851" w:right="851"/>
      <w:jc w:val="both"/>
    </w:pPr>
    <w:rPr>
      <w:rFonts w:ascii="Palatino Linotype" w:eastAsiaTheme="minorHAnsi" w:hAnsi="Palatino Linotype" w:cstheme="minorBidi"/>
      <w:i/>
      <w:sz w:val="22"/>
      <w:szCs w:val="14"/>
      <w:lang w:eastAsia="en-US"/>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5XZMMDXr++szPtPbJHSTZHXoQ==">CgMxLjAyCWguMWZvYjl0ZTIJaC40ZDM0b2c4MghoLmdqZGd4czIJaC4zZHk2dmttMgloLjMwajB6bGwyCWguMnM4ZXlvMTIIaC50eWpjd3QyCWguM3pueXNoNzIJaC4xeTgxMHR3Mg5oLmlqdjk4cG50Y2Q1czIJaC4yNmluMXJnMgloLjJldDkycDAyDmgubzFlejVza3NoenZ3MgloLjE3ZHA4dnUyCWguM3JkY3JqbjIJaC4xdDNoNXNmOAByITFQN1NkRUszNVN0SWJIX3hUbDJsNjdsOW9QUEo3VU9k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8853</Words>
  <Characters>48694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2025-05-06T17:52:00Z</cp:lastPrinted>
  <dcterms:created xsi:type="dcterms:W3CDTF">2025-05-08T20:28:00Z</dcterms:created>
  <dcterms:modified xsi:type="dcterms:W3CDTF">2025-05-08T20:28:00Z</dcterms:modified>
</cp:coreProperties>
</file>