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4D8F0" w14:textId="308620FC"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D23A8" w:rsidRPr="006231C2">
        <w:rPr>
          <w:rFonts w:ascii="Palatino Linotype" w:eastAsia="Palatino Linotype" w:hAnsi="Palatino Linotype" w:cs="Palatino Linotype"/>
        </w:rPr>
        <w:t xml:space="preserve">uno de octubre </w:t>
      </w:r>
      <w:r w:rsidRPr="006231C2">
        <w:rPr>
          <w:rFonts w:ascii="Palatino Linotype" w:eastAsia="Palatino Linotype" w:hAnsi="Palatino Linotype" w:cs="Palatino Linotype"/>
        </w:rPr>
        <w:t xml:space="preserve">de dos mil veinticinco. </w:t>
      </w:r>
    </w:p>
    <w:p w14:paraId="777344C1" w14:textId="7EC7B875" w:rsidR="00C8599E" w:rsidRPr="006231C2" w:rsidRDefault="00812BF1" w:rsidP="00B24180">
      <w:pPr>
        <w:tabs>
          <w:tab w:val="left" w:pos="5812"/>
        </w:tabs>
        <w:spacing w:before="240" w:after="240" w:line="360" w:lineRule="auto"/>
        <w:jc w:val="both"/>
        <w:rPr>
          <w:rFonts w:ascii="Palatino Linotype" w:eastAsia="Palatino Linotype" w:hAnsi="Palatino Linotype" w:cs="Palatino Linotype"/>
          <w:b/>
        </w:rPr>
      </w:pPr>
      <w:bookmarkStart w:id="0" w:name="_heading=h.daj3j2xo6q66" w:colFirst="0" w:colLast="0"/>
      <w:bookmarkEnd w:id="0"/>
      <w:r w:rsidRPr="006231C2">
        <w:rPr>
          <w:rFonts w:ascii="Palatino Linotype" w:eastAsia="Palatino Linotype" w:hAnsi="Palatino Linotype" w:cs="Palatino Linotype"/>
          <w:b/>
        </w:rPr>
        <w:t>VISTO</w:t>
      </w:r>
      <w:r w:rsidRPr="006231C2">
        <w:rPr>
          <w:rFonts w:ascii="Palatino Linotype" w:eastAsia="Palatino Linotype" w:hAnsi="Palatino Linotype" w:cs="Palatino Linotype"/>
        </w:rPr>
        <w:t xml:space="preserve"> el expediente formado con motivo del recurso de revisión </w:t>
      </w:r>
      <w:r w:rsidRPr="006231C2">
        <w:rPr>
          <w:rFonts w:ascii="Palatino Linotype" w:eastAsia="Palatino Linotype" w:hAnsi="Palatino Linotype" w:cs="Palatino Linotype"/>
          <w:b/>
        </w:rPr>
        <w:t>0</w:t>
      </w:r>
      <w:r w:rsidR="00ED23A8" w:rsidRPr="006231C2">
        <w:rPr>
          <w:rFonts w:ascii="Palatino Linotype" w:eastAsia="Palatino Linotype" w:hAnsi="Palatino Linotype" w:cs="Palatino Linotype"/>
          <w:b/>
        </w:rPr>
        <w:t>6544</w:t>
      </w:r>
      <w:r w:rsidRPr="006231C2">
        <w:rPr>
          <w:rFonts w:ascii="Palatino Linotype" w:eastAsia="Palatino Linotype" w:hAnsi="Palatino Linotype" w:cs="Palatino Linotype"/>
          <w:b/>
        </w:rPr>
        <w:t>/INFOEM/IP/RR/2025</w:t>
      </w:r>
      <w:r w:rsidRPr="006231C2">
        <w:rPr>
          <w:rFonts w:ascii="Palatino Linotype" w:eastAsia="Palatino Linotype" w:hAnsi="Palatino Linotype" w:cs="Palatino Linotype"/>
        </w:rPr>
        <w:t>, interpuesto por</w:t>
      </w:r>
      <w:r w:rsidRPr="006231C2">
        <w:rPr>
          <w:rFonts w:ascii="Palatino Linotype" w:eastAsia="Palatino Linotype" w:hAnsi="Palatino Linotype" w:cs="Palatino Linotype"/>
          <w:b/>
        </w:rPr>
        <w:t xml:space="preserve"> </w:t>
      </w:r>
      <w:r w:rsidR="00850FB9" w:rsidRPr="00850FB9">
        <w:rPr>
          <w:rFonts w:ascii="Palatino Linotype" w:eastAsia="Palatino Linotype" w:hAnsi="Palatino Linotype" w:cs="Palatino Linotype"/>
          <w:b/>
        </w:rPr>
        <w:t>XXXXXXXXX XXXXXXX</w:t>
      </w:r>
      <w:r w:rsidRPr="00850FB9">
        <w:rPr>
          <w:rFonts w:ascii="Palatino Linotype" w:eastAsia="Palatino Linotype" w:hAnsi="Palatino Linotype" w:cs="Palatino Linotype"/>
          <w:b/>
        </w:rPr>
        <w:t>,</w:t>
      </w:r>
      <w:bookmarkStart w:id="1" w:name="_GoBack"/>
      <w:bookmarkEnd w:id="1"/>
      <w:r w:rsidRPr="006231C2">
        <w:rPr>
          <w:rFonts w:ascii="Palatino Linotype" w:eastAsia="Palatino Linotype" w:hAnsi="Palatino Linotype" w:cs="Palatino Linotype"/>
        </w:rPr>
        <w:t xml:space="preserve"> en lo sucesivo</w:t>
      </w:r>
      <w:r w:rsidRPr="006231C2">
        <w:rPr>
          <w:rFonts w:ascii="Palatino Linotype" w:eastAsia="Palatino Linotype" w:hAnsi="Palatino Linotype" w:cs="Palatino Linotype"/>
          <w:b/>
        </w:rPr>
        <w:t xml:space="preserve"> </w:t>
      </w:r>
      <w:r w:rsidRPr="006231C2">
        <w:rPr>
          <w:rFonts w:ascii="Palatino Linotype" w:eastAsia="Palatino Linotype" w:hAnsi="Palatino Linotype" w:cs="Palatino Linotype"/>
        </w:rPr>
        <w:t xml:space="preserve">la parte </w:t>
      </w:r>
      <w:r w:rsidRPr="006231C2">
        <w:rPr>
          <w:rFonts w:ascii="Palatino Linotype" w:eastAsia="Palatino Linotype" w:hAnsi="Palatino Linotype" w:cs="Palatino Linotype"/>
          <w:b/>
        </w:rPr>
        <w:t>Recurrente,</w:t>
      </w:r>
      <w:r w:rsidRPr="006231C2">
        <w:rPr>
          <w:rFonts w:ascii="Palatino Linotype" w:eastAsia="Palatino Linotype" w:hAnsi="Palatino Linotype" w:cs="Palatino Linotype"/>
        </w:rPr>
        <w:t xml:space="preserve"> en contra de la respuesta a la solicitud de información con número de folio</w:t>
      </w:r>
      <w:r w:rsidRPr="006231C2">
        <w:rPr>
          <w:rFonts w:ascii="Palatino Linotype" w:eastAsia="Palatino Linotype" w:hAnsi="Palatino Linotype" w:cs="Palatino Linotype"/>
          <w:b/>
        </w:rPr>
        <w:t xml:space="preserve"> </w:t>
      </w:r>
      <w:r w:rsidR="00ED23A8" w:rsidRPr="006231C2">
        <w:rPr>
          <w:rFonts w:ascii="Palatino Linotype" w:eastAsia="Palatino Linotype" w:hAnsi="Palatino Linotype" w:cs="Palatino Linotype"/>
          <w:b/>
        </w:rPr>
        <w:t>00131/TEMOAYA/IP/2025</w:t>
      </w:r>
      <w:r w:rsidRPr="006231C2">
        <w:rPr>
          <w:rFonts w:ascii="Palatino Linotype" w:eastAsia="Palatino Linotype" w:hAnsi="Palatino Linotype" w:cs="Palatino Linotype"/>
          <w:b/>
        </w:rPr>
        <w:t xml:space="preserve">, </w:t>
      </w:r>
      <w:r w:rsidRPr="006231C2">
        <w:rPr>
          <w:rFonts w:ascii="Palatino Linotype" w:eastAsia="Palatino Linotype" w:hAnsi="Palatino Linotype" w:cs="Palatino Linotype"/>
        </w:rPr>
        <w:t xml:space="preserve">por parte del </w:t>
      </w:r>
      <w:r w:rsidR="00ED23A8" w:rsidRPr="006231C2">
        <w:rPr>
          <w:rFonts w:ascii="Palatino Linotype" w:eastAsia="Palatino Linotype" w:hAnsi="Palatino Linotype" w:cs="Palatino Linotype"/>
          <w:b/>
        </w:rPr>
        <w:t xml:space="preserve">Ayuntamiento de Temoaya, </w:t>
      </w:r>
      <w:r w:rsidRPr="006231C2">
        <w:rPr>
          <w:rFonts w:ascii="Palatino Linotype" w:eastAsia="Palatino Linotype" w:hAnsi="Palatino Linotype" w:cs="Palatino Linotype"/>
        </w:rPr>
        <w:t xml:space="preserve">en lo sucesivo el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 xml:space="preserve">se procede a dictar la presente resolución con base en los siguientes: </w:t>
      </w:r>
    </w:p>
    <w:p w14:paraId="1C218A97" w14:textId="77777777" w:rsidR="00C8599E" w:rsidRPr="006231C2" w:rsidRDefault="00812BF1" w:rsidP="00B24180">
      <w:pPr>
        <w:spacing w:before="240" w:after="240" w:line="360" w:lineRule="auto"/>
        <w:jc w:val="center"/>
        <w:rPr>
          <w:rFonts w:ascii="Palatino Linotype" w:eastAsia="Palatino Linotype" w:hAnsi="Palatino Linotype" w:cs="Palatino Linotype"/>
          <w:b/>
        </w:rPr>
      </w:pPr>
      <w:r w:rsidRPr="006231C2">
        <w:rPr>
          <w:rFonts w:ascii="Palatino Linotype" w:eastAsia="Palatino Linotype" w:hAnsi="Palatino Linotype" w:cs="Palatino Linotype"/>
          <w:b/>
        </w:rPr>
        <w:t>I. A N T E C E D E N T E S</w:t>
      </w:r>
    </w:p>
    <w:p w14:paraId="4DCE7AAD" w14:textId="43BCEA23" w:rsidR="00C8599E" w:rsidRPr="006231C2" w:rsidRDefault="00812BF1" w:rsidP="00B24180">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6231C2">
        <w:rPr>
          <w:rFonts w:ascii="Palatino Linotype" w:eastAsia="Palatino Linotype" w:hAnsi="Palatino Linotype" w:cs="Palatino Linotype"/>
          <w:b/>
        </w:rPr>
        <w:t>1. Solicitud de acceso a la información.</w:t>
      </w:r>
      <w:r w:rsidRPr="006231C2">
        <w:rPr>
          <w:rFonts w:ascii="Palatino Linotype" w:eastAsia="Palatino Linotype" w:hAnsi="Palatino Linotype" w:cs="Palatino Linotype"/>
        </w:rPr>
        <w:t xml:space="preserve"> El </w:t>
      </w:r>
      <w:r w:rsidR="00ED23A8" w:rsidRPr="006231C2">
        <w:rPr>
          <w:rFonts w:ascii="Palatino Linotype" w:eastAsia="Palatino Linotype" w:hAnsi="Palatino Linotype" w:cs="Palatino Linotype"/>
          <w:b/>
        </w:rPr>
        <w:t xml:space="preserve">ocho de mayo </w:t>
      </w:r>
      <w:r w:rsidRPr="006231C2">
        <w:rPr>
          <w:rFonts w:ascii="Palatino Linotype" w:eastAsia="Palatino Linotype" w:hAnsi="Palatino Linotype" w:cs="Palatino Linotype"/>
          <w:b/>
        </w:rPr>
        <w:t xml:space="preserve">de </w:t>
      </w:r>
      <w:r w:rsidR="00ED23A8" w:rsidRPr="006231C2">
        <w:rPr>
          <w:rFonts w:ascii="Palatino Linotype" w:eastAsia="Palatino Linotype" w:hAnsi="Palatino Linotype" w:cs="Palatino Linotype"/>
          <w:b/>
        </w:rPr>
        <w:t>dos mil veinticinco</w:t>
      </w:r>
      <w:r w:rsidRPr="006231C2">
        <w:rPr>
          <w:rFonts w:ascii="Palatino Linotype" w:eastAsia="Palatino Linotype" w:hAnsi="Palatino Linotype" w:cs="Palatino Linotype"/>
          <w:b/>
        </w:rPr>
        <w:t>,</w:t>
      </w:r>
      <w:r w:rsidRPr="006231C2">
        <w:rPr>
          <w:rFonts w:ascii="Palatino Linotype" w:eastAsia="Palatino Linotype" w:hAnsi="Palatino Linotype" w:cs="Palatino Linotype"/>
        </w:rPr>
        <w:t xml:space="preserve"> la parte </w:t>
      </w:r>
      <w:r w:rsidRPr="006231C2">
        <w:rPr>
          <w:rFonts w:ascii="Palatino Linotype" w:eastAsia="Palatino Linotype" w:hAnsi="Palatino Linotype" w:cs="Palatino Linotype"/>
          <w:b/>
        </w:rPr>
        <w:t xml:space="preserve">Recurrente </w:t>
      </w:r>
      <w:r w:rsidRPr="006231C2">
        <w:rPr>
          <w:rFonts w:ascii="Palatino Linotype" w:eastAsia="Palatino Linotype" w:hAnsi="Palatino Linotype" w:cs="Palatino Linotype"/>
        </w:rPr>
        <w:t xml:space="preserve">presentó la solicitud de acceso a la información pública ante el </w:t>
      </w:r>
      <w:r w:rsidRPr="006231C2">
        <w:rPr>
          <w:rFonts w:ascii="Palatino Linotype" w:eastAsia="Palatino Linotype" w:hAnsi="Palatino Linotype" w:cs="Palatino Linotype"/>
          <w:b/>
        </w:rPr>
        <w:t>Sujeto Obligado</w:t>
      </w:r>
      <w:r w:rsidRPr="006231C2">
        <w:rPr>
          <w:rFonts w:ascii="Palatino Linotype" w:eastAsia="Palatino Linotype" w:hAnsi="Palatino Linotype" w:cs="Palatino Linotype"/>
        </w:rPr>
        <w:t xml:space="preserve">, a través del Sistema de Acceso a la Información Mexiquense, en lo subsecuente el </w:t>
      </w:r>
      <w:r w:rsidRPr="006231C2">
        <w:rPr>
          <w:rFonts w:ascii="Palatino Linotype" w:eastAsia="Palatino Linotype" w:hAnsi="Palatino Linotype" w:cs="Palatino Linotype"/>
          <w:b/>
        </w:rPr>
        <w:t>SAIMEX,</w:t>
      </w:r>
      <w:r w:rsidRPr="006231C2">
        <w:rPr>
          <w:rFonts w:ascii="Palatino Linotype" w:eastAsia="Palatino Linotype" w:hAnsi="Palatino Linotype" w:cs="Palatino Linotype"/>
        </w:rPr>
        <w:t xml:space="preserve"> mediante la cual requirió lo siguiente:</w:t>
      </w:r>
    </w:p>
    <w:p w14:paraId="0545250E" w14:textId="56418445" w:rsidR="00C8599E" w:rsidRPr="006231C2" w:rsidRDefault="00812BF1" w:rsidP="00B24180">
      <w:pPr>
        <w:spacing w:before="120" w:after="120"/>
        <w:ind w:left="851" w:right="902"/>
        <w:jc w:val="both"/>
        <w:rPr>
          <w:rFonts w:ascii="Palatino Linotype" w:eastAsia="Palatino Linotype" w:hAnsi="Palatino Linotype" w:cs="Palatino Linotype"/>
          <w:b/>
          <w:i/>
          <w:sz w:val="22"/>
          <w:szCs w:val="22"/>
        </w:rPr>
      </w:pPr>
      <w:r w:rsidRPr="006231C2">
        <w:rPr>
          <w:rFonts w:ascii="Palatino Linotype" w:eastAsia="Palatino Linotype" w:hAnsi="Palatino Linotype" w:cs="Palatino Linotype"/>
          <w:i/>
          <w:sz w:val="22"/>
          <w:szCs w:val="22"/>
        </w:rPr>
        <w:t xml:space="preserve"> “</w:t>
      </w:r>
      <w:r w:rsidR="00ED23A8" w:rsidRPr="006231C2">
        <w:rPr>
          <w:rFonts w:ascii="Palatino Linotype" w:eastAsia="Palatino Linotype" w:hAnsi="Palatino Linotype" w:cs="Palatino Linotype"/>
          <w:i/>
          <w:sz w:val="22"/>
          <w:szCs w:val="22"/>
        </w:rPr>
        <w:t xml:space="preserve">¿Existe alguna regulación municipal específica para la realización de subastas privadas (no judiciales ni públicas)? ¿Se requiere algún tipo de permiso, licencia o aviso ante el Ayuntamiento o alguna dependencia municipal para llevar a cabo una subasta privada de bienes muebles o inmuebles? ¿Cuáles En caso afirmativo, ¿Cuáles son los requisitos, documentos y procedimientos necesarios para obtener dicho permiso de cada uno? ¿El evento puede realizarse en cualquier inmueble privado o debe llevarse a cabo en una propiedad con uso de suelo comercial o de servicios especiales? ¿Se requiere autorización o revisión por parte de Protección Civil, Seguridad Pública u otra autoridad municipal respecto a medidas de seguridad, aforo o logística del evento? ¿Existen restricciones respecto al tipo de bienes que pueden ser subastados en este tipo de eventos (por ejemplo: vehículos, maquinaria, inmuebles, obras de arte, etc.)? ¿Debe notificarse a Tesorería u otra </w:t>
      </w:r>
      <w:r w:rsidR="00ED23A8" w:rsidRPr="006231C2">
        <w:rPr>
          <w:rFonts w:ascii="Palatino Linotype" w:eastAsia="Palatino Linotype" w:hAnsi="Palatino Linotype" w:cs="Palatino Linotype"/>
          <w:i/>
          <w:sz w:val="22"/>
          <w:szCs w:val="22"/>
        </w:rPr>
        <w:lastRenderedPageBreak/>
        <w:t>dependencia sobre los ingresos obtenidos por la subasta para efectos fiscales o de derechos municipales? ¿Puede la subasta limitarse exclusivamente a invitados o participantes registrados previamente (evento cerrado), o debe permitirse el acceso público? ¿Hay normativas municipales que regulen la publicidad del evento (anuncios físicos, redes sociales, perifoneo, etc.)? ¿La obtención del permiso o autorización municipal para llevar a cabo una subasta privada genera algún costo o pago de derechos? En su caso, ¿cuál es el monto y cómo se realiza dicho pago? ¿Qué dependencia municipal es competente para atender esta solicitud y a quién debe dirigirse directamente (Dirección de Desarrollo Económico, Jurídico, Gobierno, etc.)? De forma general y en especifico de el municipio de Temoaya</w:t>
      </w:r>
      <w:r w:rsidRPr="006231C2">
        <w:rPr>
          <w:rFonts w:ascii="Palatino Linotype" w:eastAsia="Palatino Linotype" w:hAnsi="Palatino Linotype" w:cs="Palatino Linotype"/>
          <w:b/>
          <w:i/>
          <w:sz w:val="22"/>
          <w:szCs w:val="22"/>
        </w:rPr>
        <w:t>”</w:t>
      </w:r>
      <w:r w:rsidRPr="006231C2">
        <w:rPr>
          <w:rFonts w:ascii="Palatino Linotype" w:eastAsia="Palatino Linotype" w:hAnsi="Palatino Linotype" w:cs="Palatino Linotype"/>
          <w:i/>
          <w:sz w:val="22"/>
          <w:szCs w:val="22"/>
        </w:rPr>
        <w:t xml:space="preserve"> (sic) </w:t>
      </w:r>
    </w:p>
    <w:p w14:paraId="48AB3445" w14:textId="77777777" w:rsidR="00C8599E" w:rsidRPr="006231C2" w:rsidRDefault="00812BF1" w:rsidP="00B24180">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6231C2">
        <w:rPr>
          <w:rFonts w:ascii="Palatino Linotype" w:eastAsia="Palatino Linotype" w:hAnsi="Palatino Linotype" w:cs="Palatino Linotype"/>
          <w:b/>
        </w:rPr>
        <w:t>Modalidad de Entrega:</w:t>
      </w:r>
      <w:r w:rsidRPr="006231C2">
        <w:rPr>
          <w:rFonts w:ascii="Palatino Linotype" w:eastAsia="Palatino Linotype" w:hAnsi="Palatino Linotype" w:cs="Palatino Linotype"/>
        </w:rPr>
        <w:t xml:space="preserve"> a través del</w:t>
      </w:r>
      <w:r w:rsidRPr="006231C2">
        <w:rPr>
          <w:rFonts w:ascii="Palatino Linotype" w:eastAsia="Palatino Linotype" w:hAnsi="Palatino Linotype" w:cs="Palatino Linotype"/>
          <w:b/>
        </w:rPr>
        <w:t xml:space="preserve"> SAIMEX.</w:t>
      </w:r>
    </w:p>
    <w:p w14:paraId="6B011F05" w14:textId="1C72CEF2"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b/>
        </w:rPr>
        <w:t xml:space="preserve">2. Respuesta. </w:t>
      </w:r>
      <w:r w:rsidRPr="006231C2">
        <w:rPr>
          <w:rFonts w:ascii="Palatino Linotype" w:eastAsia="Palatino Linotype" w:hAnsi="Palatino Linotype" w:cs="Palatino Linotype"/>
        </w:rPr>
        <w:t xml:space="preserve">El </w:t>
      </w:r>
      <w:r w:rsidR="00ED23A8" w:rsidRPr="006231C2">
        <w:rPr>
          <w:rFonts w:ascii="Palatino Linotype" w:eastAsia="Palatino Linotype" w:hAnsi="Palatino Linotype" w:cs="Palatino Linotype"/>
          <w:b/>
        </w:rPr>
        <w:t>veintitrés</w:t>
      </w:r>
      <w:r w:rsidRPr="006231C2">
        <w:rPr>
          <w:rFonts w:ascii="Palatino Linotype" w:eastAsia="Palatino Linotype" w:hAnsi="Palatino Linotype" w:cs="Palatino Linotype"/>
          <w:b/>
        </w:rPr>
        <w:t xml:space="preserve"> de mayo de dos mil veinticinco,</w:t>
      </w:r>
      <w:r w:rsidRPr="006231C2">
        <w:rPr>
          <w:rFonts w:ascii="Palatino Linotype" w:eastAsia="Palatino Linotype" w:hAnsi="Palatino Linotype" w:cs="Palatino Linotype"/>
        </w:rPr>
        <w:t xml:space="preserve"> el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250FE87F" w14:textId="0BEAEA2D" w:rsidR="00C8599E" w:rsidRPr="006231C2" w:rsidRDefault="00812BF1" w:rsidP="00B24180">
      <w:pPr>
        <w:spacing w:before="240" w:after="24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r w:rsidR="00ED23A8" w:rsidRPr="006231C2">
        <w:rPr>
          <w:rFonts w:ascii="Palatino Linotype" w:eastAsia="Palatino Linotype" w:hAnsi="Palatino Linotype" w:cs="Palatino Linotype"/>
          <w:i/>
          <w:sz w:val="22"/>
          <w:szCs w:val="22"/>
        </w:rPr>
        <w:t>Se adjunta en formato .pdf, la respuesta emitida por la Dirección de Desarrollo Económico y la Dirección Jurídica y Consultiva del Ayuntamiento de Temoaya.</w:t>
      </w:r>
      <w:r w:rsidRPr="006231C2">
        <w:rPr>
          <w:rFonts w:ascii="Palatino Linotype" w:eastAsia="Palatino Linotype" w:hAnsi="Palatino Linotype" w:cs="Palatino Linotype"/>
          <w:i/>
          <w:sz w:val="22"/>
          <w:szCs w:val="22"/>
        </w:rPr>
        <w:t>..” (sic)</w:t>
      </w:r>
    </w:p>
    <w:p w14:paraId="6E571658" w14:textId="77777777" w:rsidR="00C8599E" w:rsidRPr="006231C2" w:rsidRDefault="00812BF1" w:rsidP="00B24180">
      <w:pPr>
        <w:spacing w:before="240" w:after="240" w:line="360" w:lineRule="auto"/>
        <w:ind w:right="49"/>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El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adjuntó lo siguiente:</w:t>
      </w:r>
    </w:p>
    <w:p w14:paraId="5FBD5C16" w14:textId="347E0957" w:rsidR="00ED23A8" w:rsidRPr="006231C2" w:rsidRDefault="00812BF1" w:rsidP="00B24180">
      <w:pPr>
        <w:spacing w:before="240" w:after="240" w:line="360" w:lineRule="auto"/>
        <w:ind w:right="49"/>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 Oficio número </w:t>
      </w:r>
      <w:r w:rsidR="00ED23A8" w:rsidRPr="006231C2">
        <w:rPr>
          <w:rFonts w:ascii="Palatino Linotype" w:eastAsia="Palatino Linotype" w:hAnsi="Palatino Linotype" w:cs="Palatino Linotype"/>
        </w:rPr>
        <w:t>TEM/DJC/170/2025</w:t>
      </w:r>
      <w:r w:rsidRPr="006231C2">
        <w:rPr>
          <w:rFonts w:ascii="Palatino Linotype" w:eastAsia="Palatino Linotype" w:hAnsi="Palatino Linotype" w:cs="Palatino Linotype"/>
        </w:rPr>
        <w:t>, mediante el cual el</w:t>
      </w:r>
      <w:r w:rsidR="00ED23A8" w:rsidRPr="006231C2">
        <w:rPr>
          <w:rFonts w:ascii="Palatino Linotype" w:eastAsia="Palatino Linotype" w:hAnsi="Palatino Linotype" w:cs="Palatino Linotype"/>
        </w:rPr>
        <w:t xml:space="preserve"> encargado de la Dirección Jurídica y Consultiva, </w:t>
      </w:r>
      <w:r w:rsidR="00F72403" w:rsidRPr="006231C2">
        <w:rPr>
          <w:rFonts w:ascii="Palatino Linotype" w:eastAsia="Palatino Linotype" w:hAnsi="Palatino Linotype" w:cs="Palatino Linotype"/>
        </w:rPr>
        <w:t xml:space="preserve">una vez analizada la materia de la solicitud, manifestó la incompetencia de la unidad administrativa a su cargo para atender la solicitud, sin embargo, informó que la Dirección de Desarrollo Económico tiene como principal atribución el otorgar permisos a los particulares que realicen todo tipo de actividad comercial, tal como lo dispone el artículo 170 del Bando Municipal de Temoaya 2025, por lo que estima que dicha unidad administrativa podría ser la encargada de otorgar el permiso para el desahogo de subastas privadas entre particulares, al </w:t>
      </w:r>
      <w:r w:rsidR="00F72403" w:rsidRPr="006231C2">
        <w:rPr>
          <w:rFonts w:ascii="Palatino Linotype" w:eastAsia="Palatino Linotype" w:hAnsi="Palatino Linotype" w:cs="Palatino Linotype"/>
        </w:rPr>
        <w:lastRenderedPageBreak/>
        <w:t>advertir que se trata de un procedimiento desahogado por particulares con fines económicos.</w:t>
      </w:r>
    </w:p>
    <w:p w14:paraId="50A2DFCF" w14:textId="326D72D4" w:rsidR="00F72403" w:rsidRPr="006231C2" w:rsidRDefault="00812BF1" w:rsidP="00B24180">
      <w:pPr>
        <w:spacing w:before="240" w:after="240" w:line="360" w:lineRule="auto"/>
        <w:ind w:right="49"/>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 Oficio número </w:t>
      </w:r>
      <w:r w:rsidR="00F72403" w:rsidRPr="006231C2">
        <w:rPr>
          <w:rFonts w:ascii="Palatino Linotype" w:eastAsia="Palatino Linotype" w:hAnsi="Palatino Linotype" w:cs="Palatino Linotype"/>
        </w:rPr>
        <w:t>DDE/465/2025</w:t>
      </w:r>
      <w:r w:rsidRPr="006231C2">
        <w:rPr>
          <w:rFonts w:ascii="Palatino Linotype" w:eastAsia="Palatino Linotype" w:hAnsi="Palatino Linotype" w:cs="Palatino Linotype"/>
        </w:rPr>
        <w:t xml:space="preserve">, mediante el cual </w:t>
      </w:r>
      <w:r w:rsidR="00F72403" w:rsidRPr="006231C2">
        <w:rPr>
          <w:rFonts w:ascii="Palatino Linotype" w:eastAsia="Palatino Linotype" w:hAnsi="Palatino Linotype" w:cs="Palatino Linotype"/>
        </w:rPr>
        <w:t xml:space="preserve">el encargado de la Dirección de Desarrollo Económico, </w:t>
      </w:r>
      <w:r w:rsidR="00D922DE" w:rsidRPr="006231C2">
        <w:rPr>
          <w:rFonts w:ascii="Palatino Linotype" w:eastAsia="Palatino Linotype" w:hAnsi="Palatino Linotype" w:cs="Palatino Linotype"/>
        </w:rPr>
        <w:t>indicó que</w:t>
      </w:r>
      <w:r w:rsidR="00040F29" w:rsidRPr="006231C2">
        <w:rPr>
          <w:rFonts w:ascii="Palatino Linotype" w:eastAsia="Palatino Linotype" w:hAnsi="Palatino Linotype" w:cs="Palatino Linotype"/>
        </w:rPr>
        <w:t>,</w:t>
      </w:r>
      <w:r w:rsidR="00D922DE" w:rsidRPr="006231C2">
        <w:rPr>
          <w:rFonts w:ascii="Palatino Linotype" w:eastAsia="Palatino Linotype" w:hAnsi="Palatino Linotype" w:cs="Palatino Linotype"/>
        </w:rPr>
        <w:t xml:space="preserve"> para efectos de dar informes sobre la regularización de subastas privadas, la persona solicitante debía especificar el tipo de actividad a realizar, la procedencia de los bienes y los fines a los que se desea llegar derivado de la actividad en mención.</w:t>
      </w:r>
    </w:p>
    <w:p w14:paraId="2B04BF20" w14:textId="72C34568" w:rsidR="00C8599E" w:rsidRPr="006231C2" w:rsidRDefault="00812BF1" w:rsidP="00B24180">
      <w:pPr>
        <w:spacing w:before="240" w:after="240" w:line="360" w:lineRule="auto"/>
        <w:ind w:right="49"/>
        <w:jc w:val="both"/>
        <w:rPr>
          <w:rFonts w:ascii="Palatino Linotype" w:eastAsia="Palatino Linotype" w:hAnsi="Palatino Linotype" w:cs="Palatino Linotype"/>
        </w:rPr>
      </w:pPr>
      <w:r w:rsidRPr="006231C2">
        <w:rPr>
          <w:rFonts w:ascii="Palatino Linotype" w:eastAsia="Palatino Linotype" w:hAnsi="Palatino Linotype" w:cs="Palatino Linotype"/>
          <w:b/>
        </w:rPr>
        <w:t xml:space="preserve">3. Interposición del recurso de revisión. </w:t>
      </w:r>
      <w:r w:rsidRPr="006231C2">
        <w:rPr>
          <w:rFonts w:ascii="Palatino Linotype" w:eastAsia="Palatino Linotype" w:hAnsi="Palatino Linotype" w:cs="Palatino Linotype"/>
        </w:rPr>
        <w:t xml:space="preserve">Inconforme con los términos de la respuesta emitida por parte del </w:t>
      </w:r>
      <w:r w:rsidRPr="006231C2">
        <w:rPr>
          <w:rFonts w:ascii="Palatino Linotype" w:eastAsia="Palatino Linotype" w:hAnsi="Palatino Linotype" w:cs="Palatino Linotype"/>
          <w:b/>
        </w:rPr>
        <w:t>Sujeto Obligado</w:t>
      </w:r>
      <w:r w:rsidRPr="006231C2">
        <w:rPr>
          <w:rFonts w:ascii="Palatino Linotype" w:eastAsia="Palatino Linotype" w:hAnsi="Palatino Linotype" w:cs="Palatino Linotype"/>
        </w:rPr>
        <w:t xml:space="preserve">, el </w:t>
      </w:r>
      <w:r w:rsidR="00D922DE" w:rsidRPr="006231C2">
        <w:rPr>
          <w:rFonts w:ascii="Palatino Linotype" w:eastAsia="Palatino Linotype" w:hAnsi="Palatino Linotype" w:cs="Palatino Linotype"/>
          <w:b/>
        </w:rPr>
        <w:t>cuatro de junio</w:t>
      </w:r>
      <w:r w:rsidRPr="006231C2">
        <w:rPr>
          <w:rFonts w:ascii="Palatino Linotype" w:eastAsia="Palatino Linotype" w:hAnsi="Palatino Linotype" w:cs="Palatino Linotype"/>
          <w:b/>
        </w:rPr>
        <w:t xml:space="preserve"> de dos mil veinticinco,</w:t>
      </w:r>
      <w:r w:rsidRPr="006231C2">
        <w:rPr>
          <w:rFonts w:ascii="Palatino Linotype" w:eastAsia="Palatino Linotype" w:hAnsi="Palatino Linotype" w:cs="Palatino Linotype"/>
        </w:rPr>
        <w:t xml:space="preserve"> la parte </w:t>
      </w:r>
      <w:r w:rsidRPr="006231C2">
        <w:rPr>
          <w:rFonts w:ascii="Palatino Linotype" w:eastAsia="Palatino Linotype" w:hAnsi="Palatino Linotype" w:cs="Palatino Linotype"/>
          <w:b/>
        </w:rPr>
        <w:t>Recurrente</w:t>
      </w:r>
      <w:r w:rsidRPr="006231C2">
        <w:rPr>
          <w:rFonts w:ascii="Palatino Linotype" w:eastAsia="Palatino Linotype" w:hAnsi="Palatino Linotype" w:cs="Palatino Linotype"/>
        </w:rPr>
        <w:t xml:space="preserve"> interpuso el recurso de revisión a través de </w:t>
      </w:r>
      <w:r w:rsidRPr="006231C2">
        <w:rPr>
          <w:rFonts w:ascii="Palatino Linotype" w:eastAsia="Palatino Linotype" w:hAnsi="Palatino Linotype" w:cs="Palatino Linotype"/>
          <w:b/>
        </w:rPr>
        <w:t xml:space="preserve">SAIMEX, </w:t>
      </w:r>
      <w:r w:rsidRPr="006231C2">
        <w:rPr>
          <w:rFonts w:ascii="Palatino Linotype" w:eastAsia="Palatino Linotype" w:hAnsi="Palatino Linotype" w:cs="Palatino Linotype"/>
        </w:rPr>
        <w:t>en donde se manifestó de la siguiente manera:</w:t>
      </w:r>
    </w:p>
    <w:p w14:paraId="7024EFF6" w14:textId="77777777" w:rsidR="00C8599E" w:rsidRPr="006231C2" w:rsidRDefault="00812BF1" w:rsidP="00B24180">
      <w:pPr>
        <w:spacing w:before="240" w:after="240" w:line="360" w:lineRule="auto"/>
        <w:ind w:right="49"/>
        <w:jc w:val="both"/>
        <w:rPr>
          <w:rFonts w:ascii="Palatino Linotype" w:eastAsia="Palatino Linotype" w:hAnsi="Palatino Linotype" w:cs="Palatino Linotype"/>
          <w:b/>
        </w:rPr>
      </w:pPr>
      <w:r w:rsidRPr="006231C2">
        <w:rPr>
          <w:rFonts w:ascii="Palatino Linotype" w:eastAsia="Palatino Linotype" w:hAnsi="Palatino Linotype" w:cs="Palatino Linotype"/>
          <w:b/>
        </w:rPr>
        <w:t xml:space="preserve">Acto impugnado: </w:t>
      </w:r>
    </w:p>
    <w:p w14:paraId="54169931" w14:textId="0E03F100" w:rsidR="00C8599E" w:rsidRPr="006231C2" w:rsidRDefault="00812BF1" w:rsidP="00B24180">
      <w:pPr>
        <w:tabs>
          <w:tab w:val="left" w:pos="2745"/>
        </w:tabs>
        <w:spacing w:before="240" w:after="240"/>
        <w:ind w:left="851" w:right="900"/>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r w:rsidR="00D922DE" w:rsidRPr="006231C2">
        <w:rPr>
          <w:rFonts w:ascii="Palatino Linotype" w:eastAsia="Palatino Linotype" w:hAnsi="Palatino Linotype" w:cs="Palatino Linotype"/>
          <w:i/>
          <w:sz w:val="22"/>
          <w:szCs w:val="22"/>
        </w:rPr>
        <w:t>La información solicitada no me fue proporcionada inicialmente debido a que debía especificar las actividades realizadas, la procedencia de los bienes y la finalidad de los mismos. Si bien considero que dicha información puede ser proporcionada de forma general, procedo a detallar lo requerido a continuación: Se trata de una subasta de vehículos (camiones). La procedencia de los bienes es lícita, ya que son de mi propiedad, y la finalidad de la subasta es determinar un precio de venta mediante la competencia entre compradores, lo cual facilitará su comercialización.</w:t>
      </w:r>
      <w:r w:rsidRPr="006231C2">
        <w:rPr>
          <w:rFonts w:ascii="Palatino Linotype" w:eastAsia="Palatino Linotype" w:hAnsi="Palatino Linotype" w:cs="Palatino Linotype"/>
          <w:i/>
          <w:sz w:val="22"/>
          <w:szCs w:val="22"/>
        </w:rPr>
        <w:t>” (sic)</w:t>
      </w:r>
    </w:p>
    <w:p w14:paraId="01FFCB24" w14:textId="77777777" w:rsidR="00C8599E" w:rsidRPr="006231C2" w:rsidRDefault="00812BF1" w:rsidP="00B24180">
      <w:pPr>
        <w:spacing w:line="360" w:lineRule="auto"/>
        <w:jc w:val="both"/>
        <w:rPr>
          <w:rFonts w:ascii="Palatino Linotype" w:eastAsia="Palatino Linotype" w:hAnsi="Palatino Linotype" w:cs="Palatino Linotype"/>
        </w:rPr>
      </w:pPr>
      <w:bookmarkStart w:id="4" w:name="_heading=h.30j0zll" w:colFirst="0" w:colLast="0"/>
      <w:bookmarkEnd w:id="4"/>
      <w:r w:rsidRPr="006231C2">
        <w:rPr>
          <w:rFonts w:ascii="Palatino Linotype" w:eastAsia="Palatino Linotype" w:hAnsi="Palatino Linotype" w:cs="Palatino Linotype"/>
          <w:b/>
        </w:rPr>
        <w:t>Y, Razones o motivos de inconformidad</w:t>
      </w:r>
      <w:r w:rsidRPr="006231C2">
        <w:rPr>
          <w:rFonts w:ascii="Palatino Linotype" w:eastAsia="Palatino Linotype" w:hAnsi="Palatino Linotype" w:cs="Palatino Linotype"/>
        </w:rPr>
        <w:t>:</w:t>
      </w:r>
    </w:p>
    <w:p w14:paraId="4D20CB7D" w14:textId="65A5D3C9" w:rsidR="00C8599E" w:rsidRPr="006231C2" w:rsidRDefault="00812BF1" w:rsidP="00B24180">
      <w:pPr>
        <w:tabs>
          <w:tab w:val="left" w:pos="2745"/>
        </w:tabs>
        <w:spacing w:before="240" w:after="240"/>
        <w:ind w:left="851" w:right="900"/>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r w:rsidR="00D922DE" w:rsidRPr="006231C2">
        <w:rPr>
          <w:rFonts w:ascii="Palatino Linotype" w:eastAsia="Palatino Linotype" w:hAnsi="Palatino Linotype" w:cs="Palatino Linotype"/>
          <w:i/>
          <w:sz w:val="22"/>
          <w:szCs w:val="22"/>
        </w:rPr>
        <w:t>Al acudir previamente al Ayuntamiento, se me indicó de manera general que debía canalizar mis preguntas por medio del mecanismo de acceso a la información pública (transparencia). En ningún momento se me informó que debía detallar actividades, procedencia de bienes o finalidad, como posteriormente se me exigió para dar trámite a mi solicitud. Considero que la dependencia debió orientarme adecuadamente desde el inicio y que la solicitud fue suficientemente clara para permitir una búsqueda y entrega de la información solicitada.</w:t>
      </w:r>
      <w:r w:rsidRPr="006231C2">
        <w:rPr>
          <w:rFonts w:ascii="Palatino Linotype" w:eastAsia="Palatino Linotype" w:hAnsi="Palatino Linotype" w:cs="Palatino Linotype"/>
          <w:i/>
          <w:sz w:val="22"/>
          <w:szCs w:val="22"/>
        </w:rPr>
        <w:t>” (sic)</w:t>
      </w:r>
    </w:p>
    <w:p w14:paraId="7E2B6914" w14:textId="77777777" w:rsidR="00C8599E" w:rsidRPr="006231C2" w:rsidRDefault="00812BF1" w:rsidP="00B24180">
      <w:pPr>
        <w:spacing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b/>
        </w:rPr>
        <w:t xml:space="preserve">4. Turno. </w:t>
      </w:r>
      <w:r w:rsidRPr="006231C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231C2">
        <w:rPr>
          <w:rFonts w:ascii="Palatino Linotype" w:eastAsia="Palatino Linotype" w:hAnsi="Palatino Linotype" w:cs="Palatino Linotype"/>
          <w:b/>
        </w:rPr>
        <w:t xml:space="preserve">Guadalupe Ramírez Peña, </w:t>
      </w:r>
      <w:r w:rsidRPr="006231C2">
        <w:rPr>
          <w:rFonts w:ascii="Palatino Linotype" w:eastAsia="Palatino Linotype" w:hAnsi="Palatino Linotype" w:cs="Palatino Linotype"/>
        </w:rPr>
        <w:t>a efecto de que analizara sobre su admisión o su desechamiento.</w:t>
      </w:r>
    </w:p>
    <w:p w14:paraId="626B1FF8" w14:textId="3EF0FEAE" w:rsidR="00C8599E" w:rsidRPr="006231C2" w:rsidRDefault="00812BF1" w:rsidP="00B24180">
      <w:pPr>
        <w:spacing w:before="240" w:after="240" w:line="360" w:lineRule="auto"/>
        <w:jc w:val="both"/>
        <w:rPr>
          <w:rFonts w:ascii="Palatino Linotype" w:eastAsia="Palatino Linotype" w:hAnsi="Palatino Linotype" w:cs="Palatino Linotype"/>
          <w:b/>
        </w:rPr>
      </w:pPr>
      <w:r w:rsidRPr="006231C2">
        <w:rPr>
          <w:rFonts w:ascii="Palatino Linotype" w:eastAsia="Palatino Linotype" w:hAnsi="Palatino Linotype" w:cs="Palatino Linotype"/>
          <w:b/>
        </w:rPr>
        <w:t>5. Admisión del Recurso de revisión.</w:t>
      </w:r>
      <w:r w:rsidRPr="006231C2">
        <w:rPr>
          <w:rFonts w:ascii="Palatino Linotype" w:eastAsia="Palatino Linotype" w:hAnsi="Palatino Linotype" w:cs="Palatino Linotype"/>
        </w:rPr>
        <w:t xml:space="preserve"> El</w:t>
      </w:r>
      <w:r w:rsidRPr="006231C2">
        <w:rPr>
          <w:rFonts w:ascii="Palatino Linotype" w:eastAsia="Palatino Linotype" w:hAnsi="Palatino Linotype" w:cs="Palatino Linotype"/>
          <w:b/>
        </w:rPr>
        <w:t xml:space="preserve"> </w:t>
      </w:r>
      <w:r w:rsidR="00D922DE" w:rsidRPr="006231C2">
        <w:rPr>
          <w:rFonts w:ascii="Palatino Linotype" w:eastAsia="Palatino Linotype" w:hAnsi="Palatino Linotype" w:cs="Palatino Linotype"/>
          <w:b/>
        </w:rPr>
        <w:t>nueve de junio</w:t>
      </w:r>
      <w:r w:rsidRPr="006231C2">
        <w:rPr>
          <w:rFonts w:ascii="Palatino Linotype" w:eastAsia="Palatino Linotype" w:hAnsi="Palatino Linotype" w:cs="Palatino Linotype"/>
          <w:b/>
        </w:rPr>
        <w:t xml:space="preserve"> de dos mil veinticinco, </w:t>
      </w:r>
      <w:r w:rsidRPr="006231C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presentara su informe justificado.</w:t>
      </w:r>
    </w:p>
    <w:p w14:paraId="42B6691A" w14:textId="77777777" w:rsidR="00C8599E" w:rsidRPr="006231C2" w:rsidRDefault="00812BF1" w:rsidP="00B24180">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6231C2">
        <w:rPr>
          <w:rFonts w:ascii="Palatino Linotype" w:eastAsia="Palatino Linotype" w:hAnsi="Palatino Linotype" w:cs="Palatino Linotype"/>
          <w:b/>
        </w:rPr>
        <w:t>6. Manifestaciones</w:t>
      </w:r>
      <w:r w:rsidRPr="006231C2">
        <w:rPr>
          <w:rFonts w:ascii="Palatino Linotype" w:eastAsia="Palatino Linotype" w:hAnsi="Palatino Linotype" w:cs="Palatino Linotype"/>
        </w:rPr>
        <w:t xml:space="preserve">. De las constancias que obran en el expediente electrónico del SAIMEX se desprende que el </w:t>
      </w:r>
      <w:r w:rsidRPr="006231C2">
        <w:rPr>
          <w:rFonts w:ascii="Palatino Linotype" w:eastAsia="Palatino Linotype" w:hAnsi="Palatino Linotype" w:cs="Palatino Linotype"/>
          <w:b/>
        </w:rPr>
        <w:t>Sujeto Obligado</w:t>
      </w:r>
      <w:r w:rsidRPr="006231C2">
        <w:rPr>
          <w:rFonts w:ascii="Palatino Linotype" w:eastAsia="Palatino Linotype" w:hAnsi="Palatino Linotype" w:cs="Palatino Linotype"/>
        </w:rPr>
        <w:t xml:space="preserve"> no rindió su Informe Justificado, del mismo modo la parte</w:t>
      </w:r>
      <w:r w:rsidRPr="006231C2">
        <w:rPr>
          <w:rFonts w:ascii="Palatino Linotype" w:eastAsia="Palatino Linotype" w:hAnsi="Palatino Linotype" w:cs="Palatino Linotype"/>
          <w:b/>
        </w:rPr>
        <w:t xml:space="preserve"> Recurrente</w:t>
      </w:r>
      <w:r w:rsidRPr="006231C2">
        <w:rPr>
          <w:rFonts w:ascii="Palatino Linotype" w:eastAsia="Palatino Linotype" w:hAnsi="Palatino Linotype" w:cs="Palatino Linotype"/>
        </w:rPr>
        <w:t xml:space="preserve"> omitió realizar manifestaciones, como se observa a continuación:</w:t>
      </w:r>
    </w:p>
    <w:p w14:paraId="15BFC6AF" w14:textId="0D73C9D0" w:rsidR="00D922DE" w:rsidRPr="006231C2" w:rsidRDefault="00D922DE" w:rsidP="00B24180">
      <w:pPr>
        <w:spacing w:before="240" w:after="240" w:line="360" w:lineRule="auto"/>
        <w:jc w:val="both"/>
        <w:rPr>
          <w:rFonts w:ascii="Palatino Linotype" w:eastAsia="Palatino Linotype" w:hAnsi="Palatino Linotype" w:cs="Palatino Linotype"/>
        </w:rPr>
      </w:pPr>
      <w:r w:rsidRPr="006231C2">
        <w:rPr>
          <w:noProof/>
        </w:rPr>
        <w:drawing>
          <wp:inline distT="0" distB="0" distL="0" distR="0" wp14:anchorId="2E11E29E" wp14:editId="75C8AC06">
            <wp:extent cx="5612130" cy="1573530"/>
            <wp:effectExtent l="0" t="0" r="7620" b="7620"/>
            <wp:docPr id="18188232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23278" name=""/>
                    <pic:cNvPicPr/>
                  </pic:nvPicPr>
                  <pic:blipFill>
                    <a:blip r:embed="rId8"/>
                    <a:stretch>
                      <a:fillRect/>
                    </a:stretch>
                  </pic:blipFill>
                  <pic:spPr>
                    <a:xfrm>
                      <a:off x="0" y="0"/>
                      <a:ext cx="5612130" cy="1573530"/>
                    </a:xfrm>
                    <a:prstGeom prst="rect">
                      <a:avLst/>
                    </a:prstGeom>
                  </pic:spPr>
                </pic:pic>
              </a:graphicData>
            </a:graphic>
          </wp:inline>
        </w:drawing>
      </w:r>
    </w:p>
    <w:p w14:paraId="4E0E4FAB" w14:textId="243AFB80"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b/>
        </w:rPr>
        <w:t xml:space="preserve">7. Cierre de instrucción. </w:t>
      </w:r>
      <w:r w:rsidRPr="006231C2">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D922DE" w:rsidRPr="006231C2">
        <w:rPr>
          <w:rFonts w:ascii="Palatino Linotype" w:eastAsia="Palatino Linotype" w:hAnsi="Palatino Linotype" w:cs="Palatino Linotype"/>
          <w:b/>
        </w:rPr>
        <w:t>cinco de agosto</w:t>
      </w:r>
      <w:r w:rsidRPr="006231C2">
        <w:rPr>
          <w:rFonts w:ascii="Palatino Linotype" w:eastAsia="Palatino Linotype" w:hAnsi="Palatino Linotype" w:cs="Palatino Linotype"/>
          <w:b/>
        </w:rPr>
        <w:t xml:space="preserve"> de dos mil veinticinco</w:t>
      </w:r>
      <w:r w:rsidRPr="006231C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61332CF" w14:textId="24C3E04A" w:rsidR="00C8599E" w:rsidRPr="006231C2" w:rsidRDefault="00812BF1" w:rsidP="00B24180">
      <w:pPr>
        <w:spacing w:before="240" w:after="240" w:line="360" w:lineRule="auto"/>
        <w:jc w:val="both"/>
        <w:rPr>
          <w:rFonts w:ascii="Palatino Linotype" w:eastAsia="Palatino Linotype" w:hAnsi="Palatino Linotype" w:cs="Palatino Linotype"/>
          <w:b/>
        </w:rPr>
      </w:pPr>
      <w:r w:rsidRPr="006231C2">
        <w:rPr>
          <w:rFonts w:ascii="Palatino Linotype" w:eastAsia="Palatino Linotype" w:hAnsi="Palatino Linotype" w:cs="Palatino Linotype"/>
          <w:b/>
        </w:rPr>
        <w:t>8</w:t>
      </w:r>
      <w:r w:rsidRPr="006231C2">
        <w:rPr>
          <w:rFonts w:ascii="Palatino Linotype" w:eastAsia="Palatino Linotype" w:hAnsi="Palatino Linotype" w:cs="Palatino Linotype"/>
        </w:rPr>
        <w:t xml:space="preserve">. </w:t>
      </w:r>
      <w:r w:rsidRPr="006231C2">
        <w:rPr>
          <w:rFonts w:ascii="Palatino Linotype" w:eastAsia="Palatino Linotype" w:hAnsi="Palatino Linotype" w:cs="Palatino Linotype"/>
          <w:b/>
        </w:rPr>
        <w:t>Ampliación del término para resolver</w:t>
      </w:r>
      <w:r w:rsidRPr="006231C2">
        <w:rPr>
          <w:rFonts w:ascii="Palatino Linotype" w:eastAsia="Palatino Linotype" w:hAnsi="Palatino Linotype" w:cs="Palatino Linotype"/>
        </w:rPr>
        <w:t xml:space="preserve">. El </w:t>
      </w:r>
      <w:r w:rsidR="00D922DE" w:rsidRPr="006231C2">
        <w:rPr>
          <w:rFonts w:ascii="Palatino Linotype" w:eastAsia="Palatino Linotype" w:hAnsi="Palatino Linotype" w:cs="Palatino Linotype"/>
          <w:b/>
          <w:bCs/>
        </w:rPr>
        <w:t>veinti</w:t>
      </w:r>
      <w:r w:rsidRPr="006231C2">
        <w:rPr>
          <w:rFonts w:ascii="Palatino Linotype" w:eastAsia="Palatino Linotype" w:hAnsi="Palatino Linotype" w:cs="Palatino Linotype"/>
          <w:b/>
          <w:bCs/>
        </w:rPr>
        <w:t>cu</w:t>
      </w:r>
      <w:r w:rsidRPr="006231C2">
        <w:rPr>
          <w:rFonts w:ascii="Palatino Linotype" w:eastAsia="Palatino Linotype" w:hAnsi="Palatino Linotype" w:cs="Palatino Linotype"/>
          <w:b/>
        </w:rPr>
        <w:t xml:space="preserve">atro de </w:t>
      </w:r>
      <w:r w:rsidR="00D922DE" w:rsidRPr="006231C2">
        <w:rPr>
          <w:rFonts w:ascii="Palatino Linotype" w:eastAsia="Palatino Linotype" w:hAnsi="Palatino Linotype" w:cs="Palatino Linotype"/>
          <w:b/>
        </w:rPr>
        <w:t xml:space="preserve">septiembre </w:t>
      </w:r>
      <w:r w:rsidRPr="006231C2">
        <w:rPr>
          <w:rFonts w:ascii="Palatino Linotype" w:eastAsia="Palatino Linotype" w:hAnsi="Palatino Linotype" w:cs="Palatino Linotype"/>
          <w:b/>
        </w:rPr>
        <w:t>de dos mil veinticinco</w:t>
      </w:r>
      <w:r w:rsidRPr="006231C2">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990E0F3"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12BB7E"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7AFBC4B"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D77C31"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4C40957" w14:textId="77777777" w:rsidR="00C8599E" w:rsidRPr="006231C2" w:rsidRDefault="00812BF1" w:rsidP="00B24180">
      <w:pPr>
        <w:spacing w:before="240" w:after="240" w:line="360" w:lineRule="auto"/>
        <w:jc w:val="both"/>
        <w:rPr>
          <w:rFonts w:ascii="Palatino Linotype" w:eastAsia="Palatino Linotype" w:hAnsi="Palatino Linotype" w:cs="Palatino Linotype"/>
          <w:strike/>
        </w:rPr>
      </w:pPr>
      <w:r w:rsidRPr="006231C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FA72885" w14:textId="77777777" w:rsidR="00C8599E" w:rsidRPr="006231C2" w:rsidRDefault="00812BF1" w:rsidP="00B2418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ACA4EF5" w14:textId="77777777" w:rsidR="00C8599E" w:rsidRPr="006231C2" w:rsidRDefault="00812BF1" w:rsidP="00B2418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231C2">
        <w:rPr>
          <w:rFonts w:ascii="Palatino Linotype" w:eastAsia="Palatino Linotype" w:hAnsi="Palatino Linotype" w:cs="Palatino Linotype"/>
        </w:rPr>
        <w:t>Actividad Procesal del interesado. Acciones u omisiones del interesado.</w:t>
      </w:r>
    </w:p>
    <w:p w14:paraId="1E43E246" w14:textId="77777777" w:rsidR="00C8599E" w:rsidRPr="006231C2" w:rsidRDefault="00812BF1" w:rsidP="00B24180">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231C2">
        <w:rPr>
          <w:rFonts w:ascii="Palatino Linotype" w:eastAsia="Palatino Linotype" w:hAnsi="Palatino Linotype" w:cs="Palatino Linotype"/>
        </w:rPr>
        <w:t>Conducta de la Autoridad: Las Acciones u omisiones realizadas en el procedimiento. Así como si la autoridad actuó con la debida diligencia.</w:t>
      </w:r>
    </w:p>
    <w:p w14:paraId="2D4C6608" w14:textId="77777777" w:rsidR="00C8599E" w:rsidRPr="006231C2" w:rsidRDefault="00812BF1" w:rsidP="00B24180">
      <w:pPr>
        <w:tabs>
          <w:tab w:val="left" w:pos="567"/>
        </w:tabs>
        <w:spacing w:before="240" w:after="240" w:line="360" w:lineRule="auto"/>
        <w:ind w:left="284"/>
        <w:jc w:val="both"/>
        <w:rPr>
          <w:rFonts w:ascii="Palatino Linotype" w:eastAsia="Palatino Linotype" w:hAnsi="Palatino Linotype" w:cs="Palatino Linotype"/>
        </w:rPr>
      </w:pPr>
      <w:r w:rsidRPr="006231C2">
        <w:rPr>
          <w:rFonts w:ascii="Palatino Linotype" w:eastAsia="Palatino Linotype" w:hAnsi="Palatino Linotype" w:cs="Palatino Linotype"/>
        </w:rPr>
        <w:t>d) La afectación generada en la situación jurídica de la persona involucrada en el proceso: Violación a sus derechos humanos.</w:t>
      </w:r>
    </w:p>
    <w:p w14:paraId="66F30923"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B26174" w14:textId="77777777" w:rsidR="00C8599E" w:rsidRPr="006231C2" w:rsidRDefault="00812BF1" w:rsidP="00B24180">
      <w:pPr>
        <w:spacing w:before="240" w:after="240" w:line="360" w:lineRule="auto"/>
        <w:jc w:val="both"/>
        <w:rPr>
          <w:rFonts w:ascii="Palatino Linotype" w:eastAsia="Palatino Linotype" w:hAnsi="Palatino Linotype" w:cs="Palatino Linotype"/>
          <w:b/>
        </w:rPr>
      </w:pPr>
      <w:r w:rsidRPr="006231C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231C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231C2">
        <w:rPr>
          <w:rFonts w:ascii="Palatino Linotype" w:eastAsia="Palatino Linotype" w:hAnsi="Palatino Linotype" w:cs="Palatino Linotype"/>
        </w:rPr>
        <w:t>, visible en la Gaceta del Seminario Judicial de la Federación con el registro digital 205635.</w:t>
      </w:r>
    </w:p>
    <w:p w14:paraId="1A515B89"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E3159AE"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64A49EC" w14:textId="77777777" w:rsidR="00C8599E" w:rsidRPr="006231C2" w:rsidRDefault="00812BF1" w:rsidP="00B24180">
      <w:pPr>
        <w:spacing w:before="120" w:after="120"/>
        <w:ind w:left="851" w:right="902"/>
        <w:jc w:val="both"/>
        <w:rPr>
          <w:rFonts w:ascii="Palatino Linotype" w:eastAsia="Palatino Linotype" w:hAnsi="Palatino Linotype" w:cs="Palatino Linotype"/>
          <w:sz w:val="22"/>
          <w:szCs w:val="22"/>
        </w:rPr>
      </w:pPr>
      <w:r w:rsidRPr="006231C2">
        <w:rPr>
          <w:rFonts w:ascii="Palatino Linotype" w:eastAsia="Palatino Linotype" w:hAnsi="Palatino Linotype" w:cs="Palatino Linotype"/>
          <w:sz w:val="22"/>
          <w:szCs w:val="22"/>
        </w:rPr>
        <w:t xml:space="preserve"> </w:t>
      </w:r>
      <w:r w:rsidRPr="006231C2">
        <w:rPr>
          <w:rFonts w:ascii="Palatino Linotype" w:eastAsia="Palatino Linotype" w:hAnsi="Palatino Linotype" w:cs="Palatino Linotype"/>
          <w:i/>
          <w:sz w:val="22"/>
          <w:szCs w:val="22"/>
        </w:rPr>
        <w:t>“</w:t>
      </w:r>
      <w:r w:rsidRPr="006231C2">
        <w:rPr>
          <w:rFonts w:ascii="Palatino Linotype" w:eastAsia="Palatino Linotype" w:hAnsi="Palatino Linotype" w:cs="Palatino Linotype"/>
          <w:b/>
          <w:i/>
          <w:sz w:val="22"/>
          <w:szCs w:val="22"/>
        </w:rPr>
        <w:t>PLAZO RAZONABLE PARA RESOLVER. DIMENSIÓN Y EFECTOS DE ESTE CONCEPTO CUANDO SE ADUCE EXCESIVA CARGA DE TRABAJO</w:t>
      </w:r>
      <w:r w:rsidRPr="006231C2">
        <w:rPr>
          <w:rFonts w:ascii="Palatino Linotype" w:eastAsia="Palatino Linotype" w:hAnsi="Palatino Linotype" w:cs="Palatino Linotype"/>
          <w:i/>
          <w:sz w:val="22"/>
          <w:szCs w:val="22"/>
        </w:rPr>
        <w:t>.”</w:t>
      </w:r>
      <w:r w:rsidRPr="006231C2">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0290D0" w14:textId="77777777" w:rsidR="00C8599E" w:rsidRPr="006231C2" w:rsidRDefault="00812BF1" w:rsidP="00B24180">
      <w:pPr>
        <w:spacing w:before="120" w:after="120"/>
        <w:ind w:left="851" w:right="902"/>
        <w:jc w:val="both"/>
        <w:rPr>
          <w:rFonts w:ascii="Palatino Linotype" w:eastAsia="Palatino Linotype" w:hAnsi="Palatino Linotype" w:cs="Palatino Linotype"/>
          <w:sz w:val="22"/>
          <w:szCs w:val="22"/>
        </w:rPr>
      </w:pPr>
      <w:r w:rsidRPr="006231C2">
        <w:rPr>
          <w:rFonts w:ascii="Palatino Linotype" w:eastAsia="Palatino Linotype" w:hAnsi="Palatino Linotype" w:cs="Palatino Linotype"/>
          <w:i/>
          <w:sz w:val="22"/>
          <w:szCs w:val="22"/>
        </w:rPr>
        <w:t>“</w:t>
      </w:r>
      <w:r w:rsidRPr="006231C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231C2">
        <w:rPr>
          <w:rFonts w:ascii="Palatino Linotype" w:eastAsia="Palatino Linotype" w:hAnsi="Palatino Linotype" w:cs="Palatino Linotype"/>
          <w:i/>
          <w:sz w:val="22"/>
          <w:szCs w:val="22"/>
        </w:rPr>
        <w:t>.”</w:t>
      </w:r>
      <w:r w:rsidRPr="006231C2">
        <w:rPr>
          <w:rFonts w:ascii="Palatino Linotype" w:eastAsia="Palatino Linotype" w:hAnsi="Palatino Linotype" w:cs="Palatino Linotype"/>
          <w:sz w:val="22"/>
          <w:szCs w:val="22"/>
        </w:rPr>
        <w:t>, visible en el Seminario Judicial de la Federación y su gaceta, con el registro digital 2002350.</w:t>
      </w:r>
    </w:p>
    <w:p w14:paraId="5C7A7099"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03E934B"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BA58BCC" w14:textId="77777777" w:rsidR="00C8599E" w:rsidRPr="006231C2" w:rsidRDefault="00812BF1" w:rsidP="00B24180">
      <w:pPr>
        <w:widowControl w:val="0"/>
        <w:spacing w:before="240" w:after="240" w:line="360" w:lineRule="auto"/>
        <w:jc w:val="center"/>
        <w:rPr>
          <w:rFonts w:ascii="Palatino Linotype" w:eastAsia="Palatino Linotype" w:hAnsi="Palatino Linotype" w:cs="Palatino Linotype"/>
          <w:b/>
        </w:rPr>
      </w:pPr>
      <w:r w:rsidRPr="006231C2">
        <w:rPr>
          <w:rFonts w:ascii="Palatino Linotype" w:eastAsia="Palatino Linotype" w:hAnsi="Palatino Linotype" w:cs="Palatino Linotype"/>
          <w:b/>
        </w:rPr>
        <w:t>II. C O N S I D E R A N D O S</w:t>
      </w:r>
    </w:p>
    <w:p w14:paraId="78F0EBFF"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b/>
        </w:rPr>
        <w:t>Primero. Competencia.</w:t>
      </w:r>
      <w:r w:rsidRPr="006231C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D9A7C23" w14:textId="77777777" w:rsidR="00C8599E" w:rsidRPr="006231C2" w:rsidRDefault="00812BF1" w:rsidP="00B24180">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6231C2">
        <w:rPr>
          <w:rFonts w:ascii="Palatino Linotype" w:eastAsia="Palatino Linotype" w:hAnsi="Palatino Linotype" w:cs="Palatino Linotype"/>
          <w:b/>
        </w:rPr>
        <w:t>Segundo. Oportunidad y Procedibilidad del Recurso de Revisión</w:t>
      </w:r>
      <w:r w:rsidRPr="006231C2">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A993723" w14:textId="08832163"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 xml:space="preserve">remitió la respuesta a la solicitud de información el día </w:t>
      </w:r>
      <w:r w:rsidR="001614A0" w:rsidRPr="006231C2">
        <w:rPr>
          <w:rFonts w:ascii="Palatino Linotype" w:eastAsia="Palatino Linotype" w:hAnsi="Palatino Linotype" w:cs="Palatino Linotype"/>
          <w:b/>
        </w:rPr>
        <w:t>veintitrés de mayo de dos mil veinticinco</w:t>
      </w:r>
      <w:r w:rsidRPr="006231C2">
        <w:rPr>
          <w:rFonts w:ascii="Palatino Linotype" w:eastAsia="Palatino Linotype" w:hAnsi="Palatino Linotype" w:cs="Palatino Linotype"/>
          <w:b/>
        </w:rPr>
        <w:t xml:space="preserve">, </w:t>
      </w:r>
      <w:r w:rsidRPr="006231C2">
        <w:rPr>
          <w:rFonts w:ascii="Palatino Linotype" w:eastAsia="Palatino Linotype" w:hAnsi="Palatino Linotype" w:cs="Palatino Linotype"/>
        </w:rPr>
        <w:t xml:space="preserve">mientras que el recurso de revisión interpuesto por la parte </w:t>
      </w:r>
      <w:r w:rsidRPr="006231C2">
        <w:rPr>
          <w:rFonts w:ascii="Palatino Linotype" w:eastAsia="Palatino Linotype" w:hAnsi="Palatino Linotype" w:cs="Palatino Linotype"/>
          <w:b/>
        </w:rPr>
        <w:t xml:space="preserve">Recurrente, </w:t>
      </w:r>
      <w:r w:rsidRPr="006231C2">
        <w:rPr>
          <w:rFonts w:ascii="Palatino Linotype" w:eastAsia="Palatino Linotype" w:hAnsi="Palatino Linotype" w:cs="Palatino Linotype"/>
        </w:rPr>
        <w:t>se tuvo por presentado el día</w:t>
      </w:r>
      <w:r w:rsidRPr="006231C2">
        <w:rPr>
          <w:rFonts w:ascii="Palatino Linotype" w:eastAsia="Palatino Linotype" w:hAnsi="Palatino Linotype" w:cs="Palatino Linotype"/>
          <w:b/>
        </w:rPr>
        <w:t xml:space="preserve"> </w:t>
      </w:r>
      <w:r w:rsidR="001614A0" w:rsidRPr="006231C2">
        <w:rPr>
          <w:rFonts w:ascii="Palatino Linotype" w:eastAsia="Palatino Linotype" w:hAnsi="Palatino Linotype" w:cs="Palatino Linotype"/>
          <w:b/>
        </w:rPr>
        <w:t>cuatro de junio de dos mil veinticinco</w:t>
      </w:r>
      <w:r w:rsidRPr="006231C2">
        <w:rPr>
          <w:rFonts w:ascii="Palatino Linotype" w:eastAsia="Palatino Linotype" w:hAnsi="Palatino Linotype" w:cs="Palatino Linotype"/>
          <w:b/>
        </w:rPr>
        <w:t xml:space="preserve">, </w:t>
      </w:r>
      <w:r w:rsidRPr="006231C2">
        <w:rPr>
          <w:rFonts w:ascii="Palatino Linotype" w:eastAsia="Palatino Linotype" w:hAnsi="Palatino Linotype" w:cs="Palatino Linotype"/>
        </w:rPr>
        <w:t xml:space="preserve">esto es, </w:t>
      </w:r>
      <w:r w:rsidR="00C3718E" w:rsidRPr="006231C2">
        <w:rPr>
          <w:rFonts w:ascii="Palatino Linotype" w:eastAsia="Palatino Linotype" w:hAnsi="Palatino Linotype" w:cs="Palatino Linotype"/>
        </w:rPr>
        <w:t xml:space="preserve">al octavo día </w:t>
      </w:r>
      <w:r w:rsidR="00761E4F" w:rsidRPr="006231C2">
        <w:rPr>
          <w:rFonts w:ascii="Palatino Linotype" w:eastAsia="Palatino Linotype" w:hAnsi="Palatino Linotype" w:cs="Palatino Linotype"/>
        </w:rPr>
        <w:t xml:space="preserve">en </w:t>
      </w:r>
      <w:r w:rsidRPr="006231C2">
        <w:rPr>
          <w:rFonts w:ascii="Palatino Linotype" w:eastAsia="Palatino Linotype" w:hAnsi="Palatino Linotype" w:cs="Palatino Linotype"/>
        </w:rPr>
        <w:t>que tuvo conocimiento de la respuesta impugnada. En este sentido, se concluye que el presente recurso de revisión se encuentra dentro de los márgenes temporales previstos en las disposiciones legales referidas.</w:t>
      </w:r>
    </w:p>
    <w:p w14:paraId="29A0EC24" w14:textId="60997DFA" w:rsidR="00C8599E" w:rsidRPr="006231C2" w:rsidRDefault="00812BF1" w:rsidP="00B24180">
      <w:pPr>
        <w:spacing w:line="360" w:lineRule="auto"/>
        <w:jc w:val="both"/>
        <w:rPr>
          <w:rFonts w:ascii="Palatino Linotype" w:eastAsia="Palatino Linotype" w:hAnsi="Palatino Linotype" w:cs="Palatino Linotype"/>
        </w:rPr>
      </w:pPr>
      <w:bookmarkStart w:id="7" w:name="_heading=h.3znysh7" w:colFirst="0" w:colLast="0"/>
      <w:bookmarkEnd w:id="7"/>
      <w:r w:rsidRPr="006231C2">
        <w:rPr>
          <w:rFonts w:ascii="Palatino Linotype" w:eastAsia="Palatino Linotype" w:hAnsi="Palatino Linotype" w:cs="Palatino Linotype"/>
        </w:rPr>
        <w:t>Además, por cuanto hace a la procedibilidad del recurso de revisión, es de suma importancia señalar que la parte</w:t>
      </w:r>
      <w:r w:rsidRPr="006231C2">
        <w:rPr>
          <w:rFonts w:ascii="Palatino Linotype" w:eastAsia="Palatino Linotype" w:hAnsi="Palatino Linotype" w:cs="Palatino Linotype"/>
          <w:b/>
        </w:rPr>
        <w:t xml:space="preserve"> Recurrente</w:t>
      </w:r>
      <w:r w:rsidRPr="006231C2">
        <w:rPr>
          <w:rFonts w:ascii="Palatino Linotype" w:eastAsia="Palatino Linotype" w:hAnsi="Palatino Linotype" w:cs="Palatino Linotype"/>
        </w:rPr>
        <w:t xml:space="preserve">, </w:t>
      </w:r>
      <w:r w:rsidR="00C3718E" w:rsidRPr="006231C2">
        <w:rPr>
          <w:rFonts w:ascii="Palatino Linotype" w:eastAsia="Palatino Linotype" w:hAnsi="Palatino Linotype" w:cs="Palatino Linotype"/>
        </w:rPr>
        <w:t xml:space="preserve">no </w:t>
      </w:r>
      <w:r w:rsidRPr="006231C2">
        <w:rPr>
          <w:rFonts w:ascii="Palatino Linotype" w:eastAsia="Palatino Linotype" w:hAnsi="Palatino Linotype" w:cs="Palatino Linotype"/>
        </w:rPr>
        <w:t xml:space="preserve">señaló </w:t>
      </w:r>
      <w:r w:rsidR="00C3718E" w:rsidRPr="006231C2">
        <w:rPr>
          <w:rFonts w:ascii="Palatino Linotype" w:eastAsia="Palatino Linotype" w:hAnsi="Palatino Linotype" w:cs="Palatino Linotype"/>
        </w:rPr>
        <w:t>nombre completo</w:t>
      </w:r>
      <w:r w:rsidRPr="006231C2">
        <w:rPr>
          <w:rFonts w:ascii="Palatino Linotype" w:eastAsia="Palatino Linotype" w:hAnsi="Palatino Linotype" w:cs="Palatino Linotype"/>
        </w:rPr>
        <w:t>,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8FE544" w14:textId="77777777" w:rsidR="00C8599E" w:rsidRPr="006231C2" w:rsidRDefault="00812BF1"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r w:rsidRPr="006231C2">
        <w:rPr>
          <w:rFonts w:ascii="Palatino Linotype" w:eastAsia="Palatino Linotype" w:hAnsi="Palatino Linotype" w:cs="Palatino Linotype"/>
          <w:b/>
          <w:i/>
          <w:sz w:val="22"/>
          <w:szCs w:val="22"/>
        </w:rPr>
        <w:t>Las solicitudes anónimas</w:t>
      </w:r>
      <w:r w:rsidRPr="006231C2">
        <w:rPr>
          <w:rFonts w:ascii="Palatino Linotype" w:eastAsia="Palatino Linotype" w:hAnsi="Palatino Linotype" w:cs="Palatino Linotype"/>
          <w:i/>
          <w:sz w:val="22"/>
          <w:szCs w:val="22"/>
        </w:rPr>
        <w:t xml:space="preserve">, con nombre incompleto o </w:t>
      </w:r>
      <w:r w:rsidRPr="006231C2">
        <w:rPr>
          <w:rFonts w:ascii="Palatino Linotype" w:eastAsia="Palatino Linotype" w:hAnsi="Palatino Linotype" w:cs="Palatino Linotype"/>
          <w:b/>
          <w:i/>
          <w:sz w:val="22"/>
          <w:szCs w:val="22"/>
        </w:rPr>
        <w:t>seudónimo</w:t>
      </w:r>
      <w:r w:rsidRPr="006231C2">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45B206B" w14:textId="77777777" w:rsidR="00C8599E" w:rsidRPr="006231C2" w:rsidRDefault="00812BF1" w:rsidP="00B24180">
      <w:pPr>
        <w:spacing w:before="240" w:after="240" w:line="360" w:lineRule="auto"/>
        <w:jc w:val="both"/>
        <w:rPr>
          <w:rFonts w:ascii="Palatino Linotype" w:eastAsia="Palatino Linotype" w:hAnsi="Palatino Linotype" w:cs="Palatino Linotype"/>
          <w:b/>
        </w:rPr>
      </w:pPr>
      <w:r w:rsidRPr="006231C2">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6231C2">
        <w:rPr>
          <w:rFonts w:ascii="Palatino Linotype" w:eastAsia="Palatino Linotype" w:hAnsi="Palatino Linotype" w:cs="Palatino Linotype"/>
          <w:b/>
        </w:rPr>
        <w:t xml:space="preserve"> SAIMEX.</w:t>
      </w:r>
    </w:p>
    <w:p w14:paraId="26F783FC" w14:textId="591BE80B"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Finalmente, se advierte que resulta procedente la interposición del recurso, según lo manifestado por la parte </w:t>
      </w:r>
      <w:r w:rsidRPr="006231C2">
        <w:rPr>
          <w:rFonts w:ascii="Palatino Linotype" w:eastAsia="Palatino Linotype" w:hAnsi="Palatino Linotype" w:cs="Palatino Linotype"/>
          <w:b/>
        </w:rPr>
        <w:t>Recurrente</w:t>
      </w:r>
      <w:r w:rsidRPr="006231C2">
        <w:rPr>
          <w:rFonts w:ascii="Palatino Linotype" w:eastAsia="Palatino Linotype" w:hAnsi="Palatino Linotype" w:cs="Palatino Linotype"/>
        </w:rPr>
        <w:t xml:space="preserve"> en sus motivos de inconformidad, de acuerdo al artículo 179, fracción </w:t>
      </w:r>
      <w:r w:rsidR="006044DA" w:rsidRPr="006231C2">
        <w:rPr>
          <w:rFonts w:ascii="Palatino Linotype" w:eastAsia="Palatino Linotype" w:hAnsi="Palatino Linotype" w:cs="Palatino Linotype"/>
        </w:rPr>
        <w:t>I</w:t>
      </w:r>
      <w:r w:rsidRPr="006231C2">
        <w:rPr>
          <w:rFonts w:ascii="Palatino Linotype" w:eastAsia="Palatino Linotype" w:hAnsi="Palatino Linotype" w:cs="Palatino Linotype"/>
        </w:rPr>
        <w:t xml:space="preserve"> del ordenamiento legal citado, que a la letra dice: </w:t>
      </w:r>
    </w:p>
    <w:p w14:paraId="102193EB" w14:textId="6AE22E45" w:rsidR="00C8599E" w:rsidRPr="006231C2" w:rsidRDefault="00812BF1" w:rsidP="00B24180">
      <w:pPr>
        <w:tabs>
          <w:tab w:val="left" w:pos="7938"/>
        </w:tabs>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r w:rsidRPr="006231C2">
        <w:rPr>
          <w:rFonts w:ascii="Palatino Linotype" w:eastAsia="Palatino Linotype" w:hAnsi="Palatino Linotype" w:cs="Palatino Linotype"/>
          <w:b/>
          <w:i/>
          <w:sz w:val="22"/>
          <w:szCs w:val="22"/>
        </w:rPr>
        <w:t>Artículo 179.</w:t>
      </w:r>
      <w:r w:rsidRPr="006231C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3344C9A" w14:textId="16872577" w:rsidR="00C8599E" w:rsidRPr="006231C2" w:rsidRDefault="006044DA" w:rsidP="00B24180">
      <w:pPr>
        <w:tabs>
          <w:tab w:val="left" w:pos="7938"/>
        </w:tabs>
        <w:spacing w:before="120" w:after="120"/>
        <w:ind w:left="1134" w:right="900"/>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 xml:space="preserve">I. </w:t>
      </w:r>
      <w:r w:rsidRPr="006231C2">
        <w:rPr>
          <w:rFonts w:ascii="Palatino Linotype" w:eastAsia="Palatino Linotype" w:hAnsi="Palatino Linotype" w:cs="Palatino Linotype"/>
          <w:bCs/>
          <w:i/>
          <w:sz w:val="22"/>
          <w:szCs w:val="22"/>
        </w:rPr>
        <w:t>La negativa a la información solicitada</w:t>
      </w:r>
      <w:r w:rsidR="00812BF1" w:rsidRPr="006231C2">
        <w:rPr>
          <w:rFonts w:ascii="Palatino Linotype" w:eastAsia="Palatino Linotype" w:hAnsi="Palatino Linotype" w:cs="Palatino Linotype"/>
          <w:i/>
          <w:sz w:val="22"/>
          <w:szCs w:val="22"/>
        </w:rPr>
        <w:t>;”</w:t>
      </w:r>
    </w:p>
    <w:p w14:paraId="386B980F" w14:textId="77777777" w:rsidR="00C8599E" w:rsidRPr="006231C2" w:rsidRDefault="00812BF1" w:rsidP="00B24180">
      <w:pPr>
        <w:spacing w:before="240" w:after="240" w:line="360" w:lineRule="auto"/>
        <w:jc w:val="both"/>
        <w:rPr>
          <w:rFonts w:ascii="Palatino Linotype" w:eastAsia="Palatino Linotype" w:hAnsi="Palatino Linotype" w:cs="Palatino Linotype"/>
          <w:b/>
        </w:rPr>
      </w:pPr>
      <w:r w:rsidRPr="006231C2">
        <w:rPr>
          <w:rFonts w:ascii="Palatino Linotype" w:eastAsia="Palatino Linotype" w:hAnsi="Palatino Linotype" w:cs="Palatino Linotype"/>
          <w:b/>
        </w:rPr>
        <w:t xml:space="preserve">Tercero. Materia de la revisión. </w:t>
      </w:r>
      <w:r w:rsidRPr="006231C2">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231C2">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6231C2">
        <w:rPr>
          <w:rFonts w:ascii="Palatino Linotype" w:eastAsia="Palatino Linotype" w:hAnsi="Palatino Linotype" w:cs="Palatino Linotype"/>
        </w:rPr>
        <w:t xml:space="preserve">de la parte </w:t>
      </w:r>
      <w:r w:rsidRPr="006231C2">
        <w:rPr>
          <w:rFonts w:ascii="Palatino Linotype" w:eastAsia="Palatino Linotype" w:hAnsi="Palatino Linotype" w:cs="Palatino Linotype"/>
          <w:b/>
        </w:rPr>
        <w:t>Recurrente</w:t>
      </w:r>
      <w:r w:rsidRPr="006231C2">
        <w:rPr>
          <w:rFonts w:ascii="Palatino Linotype" w:eastAsia="Palatino Linotype" w:hAnsi="Palatino Linotype" w:cs="Palatino Linotype"/>
        </w:rPr>
        <w:t>, o en su defecto, en caso de ser procedente, ordenar la entrega de información.</w:t>
      </w:r>
    </w:p>
    <w:p w14:paraId="12B54D18" w14:textId="77777777" w:rsidR="00C8599E" w:rsidRPr="006231C2" w:rsidRDefault="00812BF1" w:rsidP="00B24180">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6231C2">
        <w:rPr>
          <w:rFonts w:ascii="Palatino Linotype" w:eastAsia="Palatino Linotype" w:hAnsi="Palatino Linotype" w:cs="Palatino Linotype"/>
          <w:b/>
        </w:rPr>
        <w:t xml:space="preserve">Cuarto. Estudio del asunto. </w:t>
      </w:r>
      <w:r w:rsidRPr="006231C2">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05B5CCC" w14:textId="77777777" w:rsidR="00C8599E" w:rsidRPr="006231C2" w:rsidRDefault="00812BF1"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r w:rsidRPr="006231C2">
        <w:rPr>
          <w:rFonts w:ascii="Palatino Linotype" w:eastAsia="Palatino Linotype" w:hAnsi="Palatino Linotype" w:cs="Palatino Linotype"/>
          <w:b/>
          <w:i/>
          <w:sz w:val="22"/>
          <w:szCs w:val="22"/>
        </w:rPr>
        <w:t>Artículo 4</w:t>
      </w:r>
      <w:r w:rsidRPr="006231C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03D819" w14:textId="77777777" w:rsidR="00C8599E" w:rsidRPr="006231C2" w:rsidRDefault="00812BF1"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231C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8616B1" w14:textId="77777777" w:rsidR="00C8599E" w:rsidRPr="006231C2" w:rsidRDefault="00812BF1"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231C2">
        <w:rPr>
          <w:rFonts w:ascii="Palatino Linotype" w:eastAsia="Palatino Linotype" w:hAnsi="Palatino Linotype" w:cs="Palatino Linotype"/>
          <w:i/>
          <w:sz w:val="22"/>
          <w:szCs w:val="22"/>
        </w:rPr>
        <w:t>.”</w:t>
      </w:r>
    </w:p>
    <w:p w14:paraId="25215573"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AD7EBC1" w14:textId="77777777" w:rsidR="00C8599E" w:rsidRPr="006231C2" w:rsidRDefault="00812BF1"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“Artículo 12.-</w:t>
      </w:r>
      <w:r w:rsidRPr="006231C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7C0FD3" w14:textId="77777777" w:rsidR="00C8599E" w:rsidRPr="006231C2" w:rsidRDefault="00812BF1"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231C2">
        <w:rPr>
          <w:rFonts w:ascii="Palatino Linotype" w:eastAsia="Palatino Linotype" w:hAnsi="Palatino Linotype" w:cs="Palatino Linotype"/>
          <w:i/>
          <w:sz w:val="22"/>
          <w:szCs w:val="22"/>
        </w:rPr>
        <w:t xml:space="preserve">. </w:t>
      </w:r>
      <w:r w:rsidRPr="006231C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A77DAC8" w14:textId="77777777" w:rsidR="00C8599E" w:rsidRPr="006231C2" w:rsidRDefault="00812BF1" w:rsidP="00B24180">
      <w:pPr>
        <w:spacing w:before="240" w:after="240" w:line="360" w:lineRule="auto"/>
        <w:ind w:right="-93"/>
        <w:jc w:val="both"/>
        <w:rPr>
          <w:rFonts w:ascii="Palatino Linotype" w:eastAsia="Palatino Linotype" w:hAnsi="Palatino Linotype" w:cs="Palatino Linotype"/>
        </w:rPr>
      </w:pPr>
      <w:r w:rsidRPr="006231C2">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3110F4A" w14:textId="77777777" w:rsidR="00C8599E" w:rsidRPr="006231C2" w:rsidRDefault="00812BF1" w:rsidP="00B24180">
      <w:pPr>
        <w:spacing w:before="240" w:after="240" w:line="360" w:lineRule="auto"/>
        <w:jc w:val="both"/>
        <w:rPr>
          <w:rFonts w:ascii="Palatino Linotype" w:eastAsia="Palatino Linotype" w:hAnsi="Palatino Linotype" w:cs="Palatino Linotype"/>
          <w:b/>
        </w:rPr>
      </w:pPr>
      <w:r w:rsidRPr="006231C2">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6231C2">
        <w:rPr>
          <w:rFonts w:ascii="Palatino Linotype" w:eastAsia="Palatino Linotype" w:hAnsi="Palatino Linotype" w:cs="Palatino Linotype"/>
          <w:b/>
        </w:rPr>
        <w:t xml:space="preserve"> </w:t>
      </w:r>
    </w:p>
    <w:p w14:paraId="10843B30" w14:textId="77777777" w:rsidR="00C8599E" w:rsidRPr="006231C2" w:rsidRDefault="00812BF1" w:rsidP="00B24180">
      <w:pPr>
        <w:spacing w:before="120" w:after="120"/>
        <w:ind w:left="1134"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 xml:space="preserve"> “</w:t>
      </w:r>
      <w:r w:rsidRPr="006231C2">
        <w:rPr>
          <w:rFonts w:ascii="Palatino Linotype" w:eastAsia="Palatino Linotype" w:hAnsi="Palatino Linotype" w:cs="Palatino Linotype"/>
          <w:b/>
          <w:i/>
          <w:sz w:val="22"/>
          <w:szCs w:val="22"/>
        </w:rPr>
        <w:t>No existe obligación de elaborar documentos ad hoc para atender las solicitudes de acceso a la información.</w:t>
      </w:r>
      <w:r w:rsidRPr="006231C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BDF67D8" w14:textId="77777777" w:rsidR="00C8599E" w:rsidRPr="006231C2" w:rsidRDefault="00812BF1" w:rsidP="00B24180">
      <w:pPr>
        <w:spacing w:before="120" w:after="12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9FA748" w14:textId="77777777" w:rsidR="00C8599E" w:rsidRPr="006231C2" w:rsidRDefault="00812BF1" w:rsidP="00B24180">
      <w:pPr>
        <w:spacing w:before="120" w:after="12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BE13883" w14:textId="77777777" w:rsidR="00C8599E" w:rsidRPr="006231C2" w:rsidRDefault="00812BF1"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r w:rsidRPr="006231C2">
        <w:rPr>
          <w:rFonts w:ascii="Palatino Linotype" w:eastAsia="Palatino Linotype" w:hAnsi="Palatino Linotype" w:cs="Palatino Linotype"/>
          <w:b/>
          <w:i/>
          <w:sz w:val="22"/>
          <w:szCs w:val="22"/>
        </w:rPr>
        <w:t xml:space="preserve">Artículo 3. </w:t>
      </w:r>
      <w:r w:rsidRPr="006231C2">
        <w:rPr>
          <w:rFonts w:ascii="Palatino Linotype" w:eastAsia="Palatino Linotype" w:hAnsi="Palatino Linotype" w:cs="Palatino Linotype"/>
          <w:i/>
          <w:sz w:val="22"/>
          <w:szCs w:val="22"/>
        </w:rPr>
        <w:t>Para los efectos de la presente Ley se entenderá por:</w:t>
      </w:r>
    </w:p>
    <w:p w14:paraId="0A42051C" w14:textId="77777777" w:rsidR="00C8599E" w:rsidRPr="006231C2" w:rsidRDefault="00812BF1" w:rsidP="00B24180">
      <w:pPr>
        <w:spacing w:before="120" w:after="120"/>
        <w:ind w:left="1134"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p>
    <w:p w14:paraId="21CABF0B" w14:textId="77777777" w:rsidR="00C8599E" w:rsidRPr="006231C2" w:rsidRDefault="00812BF1" w:rsidP="00B24180">
      <w:pPr>
        <w:spacing w:before="120" w:after="120"/>
        <w:ind w:left="1134"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XI. Documento:</w:t>
      </w:r>
      <w:r w:rsidRPr="006231C2">
        <w:rPr>
          <w:rFonts w:ascii="Palatino Linotype" w:eastAsia="Palatino Linotype" w:hAnsi="Palatino Linotype" w:cs="Palatino Linotype"/>
          <w:i/>
          <w:sz w:val="22"/>
          <w:szCs w:val="22"/>
        </w:rPr>
        <w:t xml:space="preserve"> Los expedientes, reportes, estudios, actas</w:t>
      </w:r>
      <w:r w:rsidRPr="006231C2">
        <w:rPr>
          <w:rFonts w:ascii="Palatino Linotype" w:eastAsia="Palatino Linotype" w:hAnsi="Palatino Linotype" w:cs="Palatino Linotype"/>
          <w:b/>
          <w:i/>
          <w:sz w:val="22"/>
          <w:szCs w:val="22"/>
        </w:rPr>
        <w:t>,</w:t>
      </w:r>
      <w:r w:rsidRPr="006231C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A0FC17D"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7ED6F7" w14:textId="77777777" w:rsidR="00C8599E" w:rsidRPr="006231C2" w:rsidRDefault="00812BF1"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sz w:val="22"/>
          <w:szCs w:val="22"/>
        </w:rPr>
        <w:t>“</w:t>
      </w:r>
      <w:r w:rsidRPr="006231C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231C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0993A1" w14:textId="77777777" w:rsidR="00C8599E" w:rsidRPr="006231C2" w:rsidRDefault="00812BF1"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4714F6B" w14:textId="77777777" w:rsidR="00C8599E" w:rsidRPr="006231C2" w:rsidRDefault="00812BF1" w:rsidP="00B24180">
      <w:pPr>
        <w:spacing w:before="120" w:after="120"/>
        <w:ind w:left="1134"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A00A418" w14:textId="77777777" w:rsidR="00C8599E" w:rsidRPr="006231C2" w:rsidRDefault="00812BF1" w:rsidP="00B24180">
      <w:pPr>
        <w:spacing w:before="120" w:after="120"/>
        <w:ind w:left="1134"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5A41FF6" w14:textId="77777777" w:rsidR="00C8599E" w:rsidRPr="006231C2" w:rsidRDefault="00812BF1" w:rsidP="00B24180">
      <w:pPr>
        <w:spacing w:before="120" w:after="120"/>
        <w:ind w:left="1134"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46AE1C7" w14:textId="77777777" w:rsidR="00C8599E" w:rsidRPr="006231C2" w:rsidRDefault="00812BF1" w:rsidP="00B24180">
      <w:pPr>
        <w:spacing w:before="240" w:after="240" w:line="360" w:lineRule="auto"/>
        <w:ind w:right="51"/>
        <w:jc w:val="both"/>
        <w:rPr>
          <w:rFonts w:ascii="Palatino Linotype" w:eastAsia="Palatino Linotype" w:hAnsi="Palatino Linotype" w:cs="Palatino Linotype"/>
        </w:rPr>
      </w:pPr>
      <w:r w:rsidRPr="006231C2">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647F16"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16C4923" w14:textId="77777777" w:rsidR="00C8599E" w:rsidRPr="006231C2" w:rsidRDefault="00812BF1" w:rsidP="00B24180">
      <w:pPr>
        <w:spacing w:before="240" w:after="240" w:line="360" w:lineRule="auto"/>
        <w:ind w:right="51"/>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6231C2">
        <w:rPr>
          <w:rFonts w:ascii="Palatino Linotype" w:eastAsia="Palatino Linotype" w:hAnsi="Palatino Linotype" w:cs="Palatino Linotype"/>
          <w:b/>
        </w:rPr>
        <w:t>Recurrente</w:t>
      </w:r>
      <w:r w:rsidRPr="006231C2">
        <w:rPr>
          <w:rFonts w:ascii="Palatino Linotype" w:eastAsia="Palatino Linotype" w:hAnsi="Palatino Linotype" w:cs="Palatino Linotype"/>
        </w:rPr>
        <w:t xml:space="preserve"> requirió al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le proporcione, información consistente en lo siguiente:</w:t>
      </w:r>
    </w:p>
    <w:p w14:paraId="50F613FB" w14:textId="4FA26EA8" w:rsidR="0048315A" w:rsidRPr="006231C2" w:rsidRDefault="0048315A" w:rsidP="00B24180">
      <w:pPr>
        <w:spacing w:before="240" w:after="240" w:line="360" w:lineRule="auto"/>
        <w:ind w:left="284" w:right="51"/>
        <w:jc w:val="both"/>
        <w:rPr>
          <w:rFonts w:ascii="Palatino Linotype" w:eastAsia="Palatino Linotype" w:hAnsi="Palatino Linotype" w:cs="Palatino Linotype"/>
        </w:rPr>
      </w:pPr>
      <w:r w:rsidRPr="006231C2">
        <w:rPr>
          <w:rFonts w:ascii="Palatino Linotype" w:eastAsia="Palatino Linotype" w:hAnsi="Palatino Linotype" w:cs="Palatino Linotype"/>
        </w:rPr>
        <w:t>1. “¿Existe alguna regulación municipal específica para la realización de subastas privadas (no judiciales ni públicas)?</w:t>
      </w:r>
    </w:p>
    <w:p w14:paraId="5D5D6C4F" w14:textId="00487B0D" w:rsidR="0048315A" w:rsidRPr="006231C2" w:rsidRDefault="0048315A" w:rsidP="00B24180">
      <w:pPr>
        <w:spacing w:before="240" w:after="240" w:line="360" w:lineRule="auto"/>
        <w:ind w:left="284" w:right="51"/>
        <w:jc w:val="both"/>
        <w:rPr>
          <w:rFonts w:ascii="Palatino Linotype" w:eastAsia="Palatino Linotype" w:hAnsi="Palatino Linotype" w:cs="Palatino Linotype"/>
        </w:rPr>
      </w:pPr>
      <w:r w:rsidRPr="006231C2">
        <w:rPr>
          <w:rFonts w:ascii="Palatino Linotype" w:eastAsia="Palatino Linotype" w:hAnsi="Palatino Linotype" w:cs="Palatino Linotype"/>
        </w:rPr>
        <w:t>2</w:t>
      </w:r>
      <w:r w:rsidR="00782376" w:rsidRPr="006231C2">
        <w:rPr>
          <w:rFonts w:ascii="Palatino Linotype" w:eastAsia="Palatino Linotype" w:hAnsi="Palatino Linotype" w:cs="Palatino Linotype"/>
        </w:rPr>
        <w:t>.</w:t>
      </w:r>
      <w:r w:rsidRPr="006231C2">
        <w:rPr>
          <w:rFonts w:ascii="Palatino Linotype" w:eastAsia="Palatino Linotype" w:hAnsi="Palatino Linotype" w:cs="Palatino Linotype"/>
        </w:rPr>
        <w:t xml:space="preserve"> ¿Se requiere algún tipo de permiso, licencia o aviso ante el Ayuntamiento o alguna dependencia municipal para llevar a cabo una subasta privada de bienes muebles o inmuebles? </w:t>
      </w:r>
    </w:p>
    <w:p w14:paraId="77EAA054" w14:textId="63C92D65" w:rsidR="0048315A" w:rsidRPr="006231C2" w:rsidRDefault="0048315A" w:rsidP="00B24180">
      <w:pPr>
        <w:spacing w:before="240" w:after="240" w:line="360" w:lineRule="auto"/>
        <w:ind w:left="284" w:right="51"/>
        <w:jc w:val="both"/>
        <w:rPr>
          <w:rFonts w:ascii="Palatino Linotype" w:eastAsia="Palatino Linotype" w:hAnsi="Palatino Linotype" w:cs="Palatino Linotype"/>
        </w:rPr>
      </w:pPr>
      <w:r w:rsidRPr="006231C2">
        <w:rPr>
          <w:rFonts w:ascii="Palatino Linotype" w:eastAsia="Palatino Linotype" w:hAnsi="Palatino Linotype" w:cs="Palatino Linotype"/>
        </w:rPr>
        <w:t>3</w:t>
      </w:r>
      <w:r w:rsidR="00782376" w:rsidRPr="006231C2">
        <w:rPr>
          <w:rFonts w:ascii="Palatino Linotype" w:eastAsia="Palatino Linotype" w:hAnsi="Palatino Linotype" w:cs="Palatino Linotype"/>
        </w:rPr>
        <w:t xml:space="preserve">. </w:t>
      </w:r>
      <w:r w:rsidRPr="006231C2">
        <w:rPr>
          <w:rFonts w:ascii="Palatino Linotype" w:eastAsia="Palatino Linotype" w:hAnsi="Palatino Linotype" w:cs="Palatino Linotype"/>
        </w:rPr>
        <w:t xml:space="preserve">En caso afirmativo, ¿Cuáles son los requisitos, documentos y procedimientos necesarios para obtener </w:t>
      </w:r>
      <w:r w:rsidR="00CF7678" w:rsidRPr="006231C2">
        <w:rPr>
          <w:rFonts w:ascii="Palatino Linotype" w:eastAsia="Palatino Linotype" w:hAnsi="Palatino Linotype" w:cs="Palatino Linotype"/>
        </w:rPr>
        <w:t>el permiso, licencia o aviso</w:t>
      </w:r>
      <w:r w:rsidRPr="006231C2">
        <w:rPr>
          <w:rFonts w:ascii="Palatino Linotype" w:eastAsia="Palatino Linotype" w:hAnsi="Palatino Linotype" w:cs="Palatino Linotype"/>
        </w:rPr>
        <w:t xml:space="preserve">? </w:t>
      </w:r>
    </w:p>
    <w:p w14:paraId="7D9CB358" w14:textId="1F1DFC0B" w:rsidR="0048315A" w:rsidRPr="006231C2" w:rsidRDefault="0048315A" w:rsidP="00B24180">
      <w:pPr>
        <w:spacing w:before="240" w:after="240" w:line="360" w:lineRule="auto"/>
        <w:ind w:left="284" w:right="51"/>
        <w:jc w:val="both"/>
        <w:rPr>
          <w:rFonts w:ascii="Palatino Linotype" w:eastAsia="Palatino Linotype" w:hAnsi="Palatino Linotype" w:cs="Palatino Linotype"/>
        </w:rPr>
      </w:pPr>
      <w:r w:rsidRPr="006231C2">
        <w:rPr>
          <w:rFonts w:ascii="Palatino Linotype" w:eastAsia="Palatino Linotype" w:hAnsi="Palatino Linotype" w:cs="Palatino Linotype"/>
        </w:rPr>
        <w:t>4</w:t>
      </w:r>
      <w:r w:rsidR="00782376" w:rsidRPr="006231C2">
        <w:rPr>
          <w:rFonts w:ascii="Palatino Linotype" w:eastAsia="Palatino Linotype" w:hAnsi="Palatino Linotype" w:cs="Palatino Linotype"/>
        </w:rPr>
        <w:t>.</w:t>
      </w:r>
      <w:r w:rsidRPr="006231C2">
        <w:rPr>
          <w:rFonts w:ascii="Palatino Linotype" w:eastAsia="Palatino Linotype" w:hAnsi="Palatino Linotype" w:cs="Palatino Linotype"/>
        </w:rPr>
        <w:t xml:space="preserve"> ¿El evento puede realizarse en cualquier inmueble privado o debe llevarse a cabo en una propiedad con uso de suelo comercial o de servicios especiales?</w:t>
      </w:r>
    </w:p>
    <w:p w14:paraId="2E67E68F" w14:textId="5C5B0457" w:rsidR="0048315A" w:rsidRPr="006231C2" w:rsidRDefault="0048315A" w:rsidP="00B24180">
      <w:pPr>
        <w:spacing w:before="240" w:after="240" w:line="360" w:lineRule="auto"/>
        <w:ind w:left="284" w:right="51"/>
        <w:jc w:val="both"/>
        <w:rPr>
          <w:rFonts w:ascii="Palatino Linotype" w:eastAsia="Palatino Linotype" w:hAnsi="Palatino Linotype" w:cs="Palatino Linotype"/>
        </w:rPr>
      </w:pPr>
      <w:r w:rsidRPr="006231C2">
        <w:rPr>
          <w:rFonts w:ascii="Palatino Linotype" w:eastAsia="Palatino Linotype" w:hAnsi="Palatino Linotype" w:cs="Palatino Linotype"/>
        </w:rPr>
        <w:t>5</w:t>
      </w:r>
      <w:r w:rsidR="00782376" w:rsidRPr="006231C2">
        <w:rPr>
          <w:rFonts w:ascii="Palatino Linotype" w:eastAsia="Palatino Linotype" w:hAnsi="Palatino Linotype" w:cs="Palatino Linotype"/>
        </w:rPr>
        <w:t>.</w:t>
      </w:r>
      <w:r w:rsidRPr="006231C2">
        <w:rPr>
          <w:rFonts w:ascii="Palatino Linotype" w:eastAsia="Palatino Linotype" w:hAnsi="Palatino Linotype" w:cs="Palatino Linotype"/>
        </w:rPr>
        <w:t xml:space="preserve"> ¿Se requiere autorización o revisión por parte de Protección Civil, Seguridad Pública u otra autoridad municipal respecto a medidas de seguridad, aforo o logística del evento? </w:t>
      </w:r>
    </w:p>
    <w:p w14:paraId="4722F0BC" w14:textId="2AC26F59" w:rsidR="0048315A" w:rsidRPr="006231C2" w:rsidRDefault="0048315A" w:rsidP="00B24180">
      <w:pPr>
        <w:spacing w:before="240" w:after="240" w:line="360" w:lineRule="auto"/>
        <w:ind w:left="284" w:right="51"/>
        <w:jc w:val="both"/>
        <w:rPr>
          <w:rFonts w:ascii="Palatino Linotype" w:eastAsia="Palatino Linotype" w:hAnsi="Palatino Linotype" w:cs="Palatino Linotype"/>
        </w:rPr>
      </w:pPr>
      <w:r w:rsidRPr="006231C2">
        <w:rPr>
          <w:rFonts w:ascii="Palatino Linotype" w:eastAsia="Palatino Linotype" w:hAnsi="Palatino Linotype" w:cs="Palatino Linotype"/>
        </w:rPr>
        <w:t>6</w:t>
      </w:r>
      <w:r w:rsidR="00782376" w:rsidRPr="006231C2">
        <w:rPr>
          <w:rFonts w:ascii="Palatino Linotype" w:eastAsia="Palatino Linotype" w:hAnsi="Palatino Linotype" w:cs="Palatino Linotype"/>
        </w:rPr>
        <w:t>.</w:t>
      </w:r>
      <w:r w:rsidRPr="006231C2">
        <w:rPr>
          <w:rFonts w:ascii="Palatino Linotype" w:eastAsia="Palatino Linotype" w:hAnsi="Palatino Linotype" w:cs="Palatino Linotype"/>
        </w:rPr>
        <w:t xml:space="preserve"> ¿Existen restricciones respecto al tipo de bienes que pueden ser subastados en este tipo de eventos (por ejemplo: vehículos, maquinaria, inmuebles, obras de arte, etc.)? </w:t>
      </w:r>
    </w:p>
    <w:p w14:paraId="4A8AA390" w14:textId="1CA6D415" w:rsidR="0048315A" w:rsidRPr="006231C2" w:rsidRDefault="0048315A" w:rsidP="00B24180">
      <w:pPr>
        <w:spacing w:before="240" w:after="240" w:line="360" w:lineRule="auto"/>
        <w:ind w:left="284" w:right="51"/>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7. ¿Debe notificarse a Tesorería u otra dependencia sobre los ingresos obtenidos por la subasta para efectos fiscales o de derechos municipales? </w:t>
      </w:r>
    </w:p>
    <w:p w14:paraId="14415681" w14:textId="57F3BA40" w:rsidR="0048315A" w:rsidRPr="006231C2" w:rsidRDefault="0048315A" w:rsidP="00B24180">
      <w:pPr>
        <w:spacing w:before="240" w:after="240" w:line="360" w:lineRule="auto"/>
        <w:ind w:left="284" w:right="51"/>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8. ¿Puede la subasta limitarse exclusivamente a invitados o participantes registrados previamente (evento cerrado), o debe permitirse el acceso público? </w:t>
      </w:r>
    </w:p>
    <w:p w14:paraId="0394F658" w14:textId="15FDF461" w:rsidR="0048315A" w:rsidRPr="006231C2" w:rsidRDefault="00D33B8E" w:rsidP="00B24180">
      <w:pPr>
        <w:spacing w:before="240" w:after="240" w:line="360" w:lineRule="auto"/>
        <w:ind w:left="284" w:right="51"/>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9. </w:t>
      </w:r>
      <w:r w:rsidR="0048315A" w:rsidRPr="006231C2">
        <w:rPr>
          <w:rFonts w:ascii="Palatino Linotype" w:eastAsia="Palatino Linotype" w:hAnsi="Palatino Linotype" w:cs="Palatino Linotype"/>
        </w:rPr>
        <w:t xml:space="preserve">¿Hay normativas municipales que regulen la publicidad del evento (anuncios físicos, redes sociales, perifoneo, etc.)? </w:t>
      </w:r>
    </w:p>
    <w:p w14:paraId="1DDBEED3" w14:textId="7073BEEF" w:rsidR="0048315A" w:rsidRPr="006231C2" w:rsidRDefault="00D33B8E" w:rsidP="00B24180">
      <w:pPr>
        <w:spacing w:before="240" w:after="240" w:line="360" w:lineRule="auto"/>
        <w:ind w:left="284" w:right="51"/>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10. </w:t>
      </w:r>
      <w:r w:rsidR="0048315A" w:rsidRPr="006231C2">
        <w:rPr>
          <w:rFonts w:ascii="Palatino Linotype" w:eastAsia="Palatino Linotype" w:hAnsi="Palatino Linotype" w:cs="Palatino Linotype"/>
        </w:rPr>
        <w:t xml:space="preserve">¿La obtención del permiso o autorización municipal para llevar a cabo una subasta privada genera algún costo o pago de derechos? En su caso, ¿cuál es el monto y cómo se realiza dicho pago? </w:t>
      </w:r>
    </w:p>
    <w:p w14:paraId="702E91FF" w14:textId="40D95C00" w:rsidR="0048315A" w:rsidRPr="006231C2" w:rsidRDefault="00D33B8E" w:rsidP="00B24180">
      <w:pPr>
        <w:spacing w:before="240" w:after="240" w:line="360" w:lineRule="auto"/>
        <w:ind w:left="284" w:right="51"/>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11. </w:t>
      </w:r>
      <w:r w:rsidR="0048315A" w:rsidRPr="006231C2">
        <w:rPr>
          <w:rFonts w:ascii="Palatino Linotype" w:eastAsia="Palatino Linotype" w:hAnsi="Palatino Linotype" w:cs="Palatino Linotype"/>
        </w:rPr>
        <w:t xml:space="preserve">¿Qué dependencia municipal es competente para atender esta solicitud y a quién debe dirigirse directamente (Dirección de Desarrollo Económico, </w:t>
      </w:r>
      <w:r w:rsidR="001F642E" w:rsidRPr="006231C2">
        <w:rPr>
          <w:rFonts w:ascii="Palatino Linotype" w:eastAsia="Palatino Linotype" w:hAnsi="Palatino Linotype" w:cs="Palatino Linotype"/>
        </w:rPr>
        <w:t>Jurídico, Gobierno, ¿etc.)?</w:t>
      </w:r>
      <w:r w:rsidR="0048315A" w:rsidRPr="006231C2">
        <w:rPr>
          <w:rFonts w:ascii="Palatino Linotype" w:eastAsia="Palatino Linotype" w:hAnsi="Palatino Linotype" w:cs="Palatino Linotype"/>
        </w:rPr>
        <w:t xml:space="preserve">  De forma general y en específico del municipio </w:t>
      </w:r>
    </w:p>
    <w:p w14:paraId="302EFA5C" w14:textId="77777777" w:rsidR="00BD3F67" w:rsidRPr="006231C2" w:rsidRDefault="009C1DCB" w:rsidP="00B24180">
      <w:pPr>
        <w:spacing w:before="280" w:after="28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Previo a entrar al estudio de fondo del presente asunto, es oportuno hacer algunas precisiones, en primer lugar, que no escapa de la óptica que la particular, a través de su solicitud de información pretende que el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 xml:space="preserve">se pronuncie </w:t>
      </w:r>
      <w:r w:rsidR="00BD3F67" w:rsidRPr="006231C2">
        <w:rPr>
          <w:rFonts w:ascii="Palatino Linotype" w:eastAsia="Palatino Linotype" w:hAnsi="Palatino Linotype" w:cs="Palatino Linotype"/>
        </w:rPr>
        <w:t>de manera afirmativa negativa, o bien emita un pronunciamiento categórico mediante el cual explique determinada situación, a fin de satisfacer la mayoría de sus interrogantes o inquietudes</w:t>
      </w:r>
      <w:r w:rsidR="00BD3F67" w:rsidRPr="006231C2">
        <w:rPr>
          <w:rFonts w:ascii="Palatino Linotype" w:eastAsia="Palatino Linotype" w:hAnsi="Palatino Linotype" w:cs="Palatino Linotype"/>
          <w:i/>
        </w:rPr>
        <w:t>,</w:t>
      </w:r>
      <w:r w:rsidR="00BD3F67" w:rsidRPr="006231C2">
        <w:rPr>
          <w:rFonts w:ascii="Palatino Linotype" w:eastAsia="Palatino Linotype" w:hAnsi="Palatino Linotype" w:cs="Palatino Linotype"/>
        </w:rPr>
        <w:t xml:space="preserve"> razón por la cual este Organismo considera pertinente, en primer lugar, establecer las diferencias entre el derecho de petición y el derecho base del asunto que nos ocupa, basado en lo siguiente:</w:t>
      </w:r>
    </w:p>
    <w:p w14:paraId="154757BE" w14:textId="77777777" w:rsidR="00BD3F67" w:rsidRPr="006231C2" w:rsidRDefault="00BD3F67" w:rsidP="00B24180">
      <w:pPr>
        <w:spacing w:before="240" w:after="360" w:line="360" w:lineRule="auto"/>
        <w:jc w:val="both"/>
        <w:rPr>
          <w:rFonts w:ascii="Palatino Linotype" w:eastAsia="Palatino Linotype" w:hAnsi="Palatino Linotype" w:cs="Palatino Linotype"/>
          <w:i/>
        </w:rPr>
      </w:pPr>
      <w:r w:rsidRPr="006231C2">
        <w:rPr>
          <w:rFonts w:ascii="Palatino Linotype" w:eastAsia="Palatino Linotype" w:hAnsi="Palatino Linotype" w:cs="Palatino Linotype"/>
        </w:rPr>
        <w:t>El Maestro Ignacio Burgoa Orihuela refiere que el derecho de petición “…</w:t>
      </w:r>
      <w:r w:rsidRPr="006231C2">
        <w:rPr>
          <w:rFonts w:ascii="Palatino Linotype" w:eastAsia="Palatino Linotype" w:hAnsi="Palatino Linotype" w:cs="Palatino Linotype"/>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231C2">
        <w:rPr>
          <w:rFonts w:ascii="Palatino Linotype" w:eastAsia="Palatino Linotype" w:hAnsi="Palatino Linotype" w:cs="Palatino Linotype"/>
          <w:i/>
          <w:vertAlign w:val="superscript"/>
        </w:rPr>
        <w:t xml:space="preserve"> </w:t>
      </w:r>
      <w:r w:rsidRPr="006231C2">
        <w:rPr>
          <w:rFonts w:ascii="Palatino Linotype" w:eastAsia="Palatino Linotype" w:hAnsi="Palatino Linotype" w:cs="Palatino Linotype"/>
          <w:i/>
          <w:vertAlign w:val="superscript"/>
        </w:rPr>
        <w:footnoteReference w:id="1"/>
      </w:r>
      <w:r w:rsidRPr="006231C2">
        <w:rPr>
          <w:rFonts w:ascii="Palatino Linotype" w:eastAsia="Palatino Linotype" w:hAnsi="Palatino Linotype" w:cs="Palatino Linotype"/>
          <w:i/>
        </w:rPr>
        <w:t xml:space="preserve">“, </w:t>
      </w:r>
      <w:r w:rsidRPr="006231C2">
        <w:rPr>
          <w:rFonts w:ascii="Palatino Linotype" w:eastAsia="Palatino Linotype" w:hAnsi="Palatino Linotype" w:cs="Palatino Linotype"/>
        </w:rPr>
        <w:t>mientras que</w:t>
      </w:r>
      <w:r w:rsidRPr="006231C2">
        <w:rPr>
          <w:rFonts w:ascii="Palatino Linotype" w:eastAsia="Palatino Linotype" w:hAnsi="Palatino Linotype" w:cs="Palatino Linotype"/>
          <w:i/>
        </w:rPr>
        <w:t xml:space="preserve"> </w:t>
      </w:r>
      <w:r w:rsidRPr="006231C2">
        <w:rPr>
          <w:rFonts w:ascii="Palatino Linotype" w:eastAsia="Palatino Linotype" w:hAnsi="Palatino Linotype" w:cs="Palatino Linotype"/>
        </w:rPr>
        <w:t xml:space="preserve">David Cienfuegos Salgado, lo concibe como </w:t>
      </w:r>
      <w:r w:rsidRPr="006231C2">
        <w:rPr>
          <w:rFonts w:ascii="Palatino Linotype" w:eastAsia="Palatino Linotype" w:hAnsi="Palatino Linotype" w:cs="Palatino Linotype"/>
          <w:i/>
        </w:rPr>
        <w:t>“el derecho de toda persona a ser escuchado por quienes ejercen el poder público.</w:t>
      </w:r>
      <w:r w:rsidRPr="006231C2">
        <w:rPr>
          <w:rFonts w:ascii="Palatino Linotype" w:eastAsia="Palatino Linotype" w:hAnsi="Palatino Linotype" w:cs="Palatino Linotype"/>
          <w:i/>
          <w:vertAlign w:val="superscript"/>
        </w:rPr>
        <w:t xml:space="preserve"> </w:t>
      </w:r>
      <w:r w:rsidRPr="006231C2">
        <w:rPr>
          <w:rFonts w:ascii="Palatino Linotype" w:eastAsia="Palatino Linotype" w:hAnsi="Palatino Linotype" w:cs="Palatino Linotype"/>
          <w:i/>
          <w:vertAlign w:val="superscript"/>
        </w:rPr>
        <w:footnoteReference w:id="2"/>
      </w:r>
      <w:r w:rsidRPr="006231C2">
        <w:rPr>
          <w:rFonts w:ascii="Palatino Linotype" w:eastAsia="Palatino Linotype" w:hAnsi="Palatino Linotype" w:cs="Palatino Linotype"/>
          <w:i/>
        </w:rPr>
        <w:t xml:space="preserve">” </w:t>
      </w:r>
    </w:p>
    <w:p w14:paraId="6CFDCFF7" w14:textId="77777777" w:rsidR="00BD3F67" w:rsidRPr="006231C2" w:rsidRDefault="00BD3F67" w:rsidP="00B24180">
      <w:pPr>
        <w:spacing w:before="240" w:after="360" w:line="360" w:lineRule="auto"/>
        <w:jc w:val="both"/>
        <w:rPr>
          <w:rFonts w:ascii="Palatino Linotype" w:eastAsia="Palatino Linotype" w:hAnsi="Palatino Linotype" w:cs="Palatino Linotype"/>
          <w:i/>
        </w:rPr>
      </w:pPr>
      <w:r w:rsidRPr="006231C2">
        <w:rPr>
          <w:rFonts w:ascii="Palatino Linotype" w:eastAsia="Palatino Linotype" w:hAnsi="Palatino Linotype" w:cs="Palatino Linotype"/>
        </w:rPr>
        <w:t xml:space="preserve">Para diferenciar el derecho de petición al derecho de acceso a la información, resulta conducente señalar que José Guadalupe Robles, conceptualiza el derecho a la información como </w:t>
      </w:r>
      <w:r w:rsidRPr="006231C2">
        <w:rPr>
          <w:rFonts w:ascii="Palatino Linotype" w:eastAsia="Palatino Linotype" w:hAnsi="Palatino Linotype" w:cs="Palatino Linotype"/>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231C2">
        <w:rPr>
          <w:rFonts w:ascii="Palatino Linotype" w:eastAsia="Palatino Linotype" w:hAnsi="Palatino Linotype" w:cs="Palatino Linotype"/>
          <w:i/>
          <w:vertAlign w:val="superscript"/>
        </w:rPr>
        <w:t xml:space="preserve"> </w:t>
      </w:r>
      <w:r w:rsidRPr="006231C2">
        <w:rPr>
          <w:rFonts w:ascii="Palatino Linotype" w:eastAsia="Palatino Linotype" w:hAnsi="Palatino Linotype" w:cs="Palatino Linotype"/>
          <w:i/>
          <w:vertAlign w:val="superscript"/>
        </w:rPr>
        <w:footnoteReference w:id="3"/>
      </w:r>
      <w:r w:rsidRPr="006231C2">
        <w:rPr>
          <w:rFonts w:ascii="Palatino Linotype" w:eastAsia="Palatino Linotype" w:hAnsi="Palatino Linotype" w:cs="Palatino Linotype"/>
          <w:i/>
        </w:rPr>
        <w:t>“</w:t>
      </w:r>
    </w:p>
    <w:p w14:paraId="60201C8E" w14:textId="77777777" w:rsidR="00BD3F67" w:rsidRPr="006231C2" w:rsidRDefault="00BD3F67" w:rsidP="00B24180">
      <w:pPr>
        <w:spacing w:before="240" w:after="36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Además, el derecho a la información constituye una prerrogativa de acceder a documentación en poder de los Sujetos Obligados, no así a realizar cuestionamientos, o manifestaciones subjetivas. </w:t>
      </w:r>
    </w:p>
    <w:p w14:paraId="4AF46E18" w14:textId="77777777" w:rsidR="00BD3F67" w:rsidRPr="006231C2" w:rsidRDefault="00BD3F67" w:rsidP="00B24180">
      <w:pPr>
        <w:spacing w:before="240" w:after="360" w:line="360" w:lineRule="auto"/>
        <w:jc w:val="both"/>
        <w:rPr>
          <w:rFonts w:ascii="Palatino Linotype" w:eastAsia="Palatino Linotype" w:hAnsi="Palatino Linotype" w:cs="Palatino Linotype"/>
          <w:i/>
        </w:rPr>
      </w:pPr>
      <w:r w:rsidRPr="006231C2">
        <w:rPr>
          <w:rFonts w:ascii="Palatino Linotype" w:eastAsia="Palatino Linotype" w:hAnsi="Palatino Linotype" w:cs="Palatino Linotype"/>
        </w:rPr>
        <w:t>Sirve de apoyo a lo anterior la definición de derecho a la información de Ernesto Villanueva Villanueva que dice: “</w:t>
      </w:r>
      <w:r w:rsidRPr="006231C2">
        <w:rPr>
          <w:rFonts w:ascii="Palatino Linotype" w:eastAsia="Palatino Linotype" w:hAnsi="Palatino Linotype" w:cs="Palatino Linotype"/>
          <w:i/>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6231C2">
        <w:rPr>
          <w:rFonts w:ascii="Palatino Linotype" w:eastAsia="Palatino Linotype" w:hAnsi="Palatino Linotype" w:cs="Palatino Linotype"/>
          <w:i/>
          <w:vertAlign w:val="superscript"/>
        </w:rPr>
        <w:footnoteReference w:id="4"/>
      </w:r>
    </w:p>
    <w:p w14:paraId="1E3067E3" w14:textId="77777777" w:rsidR="00BD3F67" w:rsidRPr="006231C2" w:rsidRDefault="00BD3F67"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Por lo que, </w:t>
      </w:r>
      <w:r w:rsidRPr="006231C2">
        <w:rPr>
          <w:rFonts w:ascii="Palatino Linotype" w:eastAsia="Palatino Linotype" w:hAnsi="Palatino Linotype" w:cs="Palatino Linotype"/>
          <w:b/>
        </w:rPr>
        <w:t>la entrega de una razón o un razonamiento por parte del Sujeto Obligado no es algo que la ley establezca como atribución, derecho, o facultad</w:t>
      </w:r>
      <w:r w:rsidRPr="006231C2">
        <w:rPr>
          <w:rFonts w:ascii="Palatino Linotype" w:eastAsia="Palatino Linotype" w:hAnsi="Palatino Linotype" w:cs="Palatino Linotype"/>
        </w:rPr>
        <w:t xml:space="preserve">; </w:t>
      </w:r>
      <w:r w:rsidRPr="006231C2">
        <w:rPr>
          <w:rFonts w:ascii="Palatino Linotype" w:eastAsia="Palatino Linotype" w:hAnsi="Palatino Linotype" w:cs="Palatino Linotype"/>
          <w:b/>
        </w:rPr>
        <w:t>pues ello implicaría un juicio de valor referente a un cuestionamiento realizado</w:t>
      </w:r>
      <w:r w:rsidRPr="006231C2">
        <w:rPr>
          <w:rFonts w:ascii="Palatino Linotype" w:eastAsia="Palatino Linotype" w:hAnsi="Palatino Linotype" w:cs="Palatino Linotype"/>
        </w:rPr>
        <w:t>, los cuales, al constituir interrogantes, inquietudes y manifestaciones se satisfacen vía derecho de petición.</w:t>
      </w:r>
    </w:p>
    <w:p w14:paraId="420E28C9" w14:textId="77777777" w:rsidR="00BD3F67" w:rsidRPr="006231C2" w:rsidRDefault="00BD3F67"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Aunado a lo anterior, se menciona que el derecho de acceso a la información pública por disposición del artículo 4 citado con antelación, de la Ley de Transparencia y Acceso a la Información Pública del Estado de México y Municipios es la prerrogativa de las personas para buscar, difundir, investigar, recabar, recibir y solicitar información pública. </w:t>
      </w:r>
    </w:p>
    <w:p w14:paraId="343F7F23" w14:textId="77777777" w:rsidR="00BD3F67" w:rsidRPr="006231C2" w:rsidRDefault="00BD3F67"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02FD2C92" w14:textId="77777777" w:rsidR="00BD3F67" w:rsidRPr="006231C2" w:rsidRDefault="00BD3F67"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45A3A21F" w14:textId="77777777" w:rsidR="00BD3F67" w:rsidRPr="006231C2" w:rsidRDefault="00BD3F67"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18F6B3D" w14:textId="77777777" w:rsidR="00BD3F67" w:rsidRPr="006231C2" w:rsidRDefault="00BD3F67"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6611C3D2" w14:textId="77777777" w:rsidR="00BD3F67" w:rsidRPr="006231C2" w:rsidRDefault="00BD3F67" w:rsidP="00B24180">
      <w:pPr>
        <w:spacing w:before="240" w:after="240" w:line="360" w:lineRule="auto"/>
        <w:jc w:val="both"/>
        <w:rPr>
          <w:rFonts w:ascii="Palatino Linotype" w:eastAsia="Palatino Linotype" w:hAnsi="Palatino Linotype" w:cs="Palatino Linotype"/>
          <w:i/>
        </w:rPr>
      </w:pPr>
      <w:r w:rsidRPr="006231C2">
        <w:rPr>
          <w:rFonts w:ascii="Palatino Linotype" w:eastAsia="Palatino Linotype" w:hAnsi="Palatino Linotype" w:cs="Palatino Linotype"/>
        </w:rPr>
        <w:t xml:space="preserve">Así, se puede concluir que la distinción entre el derecho de petición y el derecho de acceso a la información pública estriba principalmente en que en el primero de ellos, la pretensión del peticionario consiste generalmente en </w:t>
      </w:r>
      <w:r w:rsidRPr="006231C2">
        <w:rPr>
          <w:rFonts w:ascii="Palatino Linotype" w:eastAsia="Palatino Linotype" w:hAnsi="Palatino Linotype" w:cs="Palatino Linotype"/>
          <w:i/>
        </w:rPr>
        <w:t>obligar a la autoridad responsable a que actúe en el sentido de contestar lo solicitado</w:t>
      </w:r>
      <w:r w:rsidRPr="006231C2">
        <w:rPr>
          <w:rFonts w:ascii="Palatino Linotype" w:eastAsia="Palatino Linotype" w:hAnsi="Palatino Linotype" w:cs="Palatino Linotype"/>
        </w:rPr>
        <w:t xml:space="preserve">, mientras que en el segundo supuesto la solicitud de acceso a la información pública </w:t>
      </w:r>
      <w:r w:rsidRPr="006231C2">
        <w:rPr>
          <w:rFonts w:ascii="Palatino Linotype" w:eastAsia="Palatino Linotype" w:hAnsi="Palatino Linotype" w:cs="Palatino Linotype"/>
          <w:i/>
        </w:rPr>
        <w:t>se encamina primordialmente a permitir el acceso a datos, registros y todo tipo de información pública que conste en documentos, sea generada o se encuentre en posesión de la autoridad.</w:t>
      </w:r>
    </w:p>
    <w:p w14:paraId="0CE87700" w14:textId="720A6B7D" w:rsidR="00782C32" w:rsidRPr="006231C2" w:rsidRDefault="00BD3F67"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En este sentido, </w:t>
      </w:r>
      <w:r w:rsidR="00782C32" w:rsidRPr="006231C2">
        <w:rPr>
          <w:rFonts w:ascii="Palatino Linotype" w:eastAsia="Palatino Linotype" w:hAnsi="Palatino Linotype" w:cs="Palatino Linotype"/>
        </w:rPr>
        <w:t xml:space="preserve">si bien es cierto que los requerimientos de información se plantearon a través de cuestionamientos, debe reiterarse que para que sea posible el ejercicio del Derecho de Acceso a la Información Pública, los requerimientos deben consistir en información que se encuentre registrada en cualquier soporte documental; ya sea, porque el </w:t>
      </w:r>
      <w:r w:rsidR="00782C32" w:rsidRPr="006231C2">
        <w:rPr>
          <w:rFonts w:ascii="Palatino Linotype" w:eastAsia="Palatino Linotype" w:hAnsi="Palatino Linotype" w:cs="Palatino Linotype"/>
          <w:b/>
        </w:rPr>
        <w:t>Sujeto Obligado</w:t>
      </w:r>
      <w:r w:rsidR="00782C32" w:rsidRPr="006231C2">
        <w:rPr>
          <w:rFonts w:ascii="Palatino Linotype" w:eastAsia="Palatino Linotype" w:hAnsi="Palatino Linotype" w:cs="Palatino Linotype"/>
        </w:rPr>
        <w:t xml:space="preserve"> la generó o porque como parte del ejercicio de sus funciones la recibió y por consiguiente, la administra y posee.</w:t>
      </w:r>
    </w:p>
    <w:p w14:paraId="397DE319" w14:textId="77777777" w:rsidR="00782C32" w:rsidRPr="006231C2" w:rsidRDefault="00782C32" w:rsidP="00B24180">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6231C2">
        <w:rPr>
          <w:rFonts w:ascii="Palatino Linotype" w:eastAsia="Palatino Linotype" w:hAnsi="Palatino Linotype" w:cs="Palatino Linotype"/>
        </w:rPr>
        <w:t>Bajo esta lógica, el Pleno de este Instituto ha sostenido que, en aquellos casos en los que las personas solicitantes no señalen de manera concreta el o los documentos a los que desean acceder, al no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con la finalidad de que la persona solicitante pueda buscar conforme a su interés.</w:t>
      </w:r>
    </w:p>
    <w:p w14:paraId="792C9A3D" w14:textId="1AC4D461" w:rsidR="00393E6B" w:rsidRPr="006231C2" w:rsidRDefault="00393E6B" w:rsidP="00B2418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Como sustento a lo anterior resulta aplicable el </w:t>
      </w:r>
      <w:r w:rsidR="00782376" w:rsidRPr="006231C2">
        <w:rPr>
          <w:rFonts w:ascii="Palatino Linotype" w:eastAsia="Palatino Linotype" w:hAnsi="Palatino Linotype" w:cs="Palatino Linotype"/>
        </w:rPr>
        <w:t>c</w:t>
      </w:r>
      <w:r w:rsidRPr="006231C2">
        <w:rPr>
          <w:rFonts w:ascii="Palatino Linotype" w:eastAsia="Palatino Linotype" w:hAnsi="Palatino Linotype" w:cs="Palatino Linotype"/>
        </w:rPr>
        <w:t>riterio</w:t>
      </w:r>
      <w:r w:rsidR="00782376" w:rsidRPr="006231C2">
        <w:rPr>
          <w:rFonts w:ascii="Palatino Linotype" w:eastAsia="Palatino Linotype" w:hAnsi="Palatino Linotype" w:cs="Palatino Linotype"/>
        </w:rPr>
        <w:t xml:space="preserve"> orientador con clave de control SO/016/2017</w:t>
      </w:r>
      <w:r w:rsidRPr="006231C2">
        <w:rPr>
          <w:rFonts w:ascii="Palatino Linotype" w:eastAsia="Palatino Linotype" w:hAnsi="Palatino Linotype" w:cs="Palatino Linotype"/>
        </w:rPr>
        <w:t xml:space="preserve">, emitido por el </w:t>
      </w:r>
      <w:r w:rsidR="00782376" w:rsidRPr="006231C2">
        <w:rPr>
          <w:rFonts w:ascii="Palatino Linotype" w:eastAsia="Palatino Linotype" w:hAnsi="Palatino Linotype" w:cs="Palatino Linotype"/>
        </w:rPr>
        <w:t xml:space="preserve">entonces </w:t>
      </w:r>
      <w:r w:rsidRPr="006231C2">
        <w:rPr>
          <w:rFonts w:ascii="Palatino Linotype" w:eastAsia="Palatino Linotype" w:hAnsi="Palatino Linotype" w:cs="Palatino Linotype"/>
        </w:rPr>
        <w:t xml:space="preserve">Instituto Nacional de Transparencia, Acceso a la Información y Protección de Datos Personales, INAI, establece lo siguiente: </w:t>
      </w:r>
    </w:p>
    <w:p w14:paraId="3F2620C7" w14:textId="77777777" w:rsidR="00393E6B" w:rsidRPr="006231C2" w:rsidRDefault="00393E6B" w:rsidP="00B24180">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6231C2">
        <w:rPr>
          <w:sz w:val="22"/>
          <w:szCs w:val="22"/>
        </w:rPr>
        <w:t xml:space="preserve"> “</w:t>
      </w:r>
      <w:r w:rsidRPr="006231C2">
        <w:rPr>
          <w:rFonts w:ascii="Palatino Linotype" w:eastAsia="Palatino Linotype" w:hAnsi="Palatino Linotype" w:cs="Palatino Linotype"/>
          <w:b/>
          <w:i/>
          <w:sz w:val="22"/>
          <w:szCs w:val="22"/>
        </w:rPr>
        <w:t xml:space="preserve">Expresión documental. </w:t>
      </w:r>
      <w:r w:rsidRPr="006231C2">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4C44DA2" w14:textId="77777777" w:rsidR="00393E6B" w:rsidRPr="006231C2" w:rsidRDefault="00393E6B" w:rsidP="00B24180">
      <w:pPr>
        <w:spacing w:before="240" w:after="240" w:line="360" w:lineRule="auto"/>
        <w:jc w:val="both"/>
        <w:rPr>
          <w:rFonts w:ascii="Palatino Linotype" w:hAnsi="Palatino Linotype"/>
          <w:lang w:val="es-ES"/>
        </w:rPr>
      </w:pPr>
      <w:r w:rsidRPr="006231C2">
        <w:rPr>
          <w:rFonts w:ascii="Palatino Linotype" w:hAnsi="Palatino Linotype"/>
          <w:lang w:val="es-ES"/>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54959A4D" w14:textId="49E1ADA5" w:rsidR="00782C32" w:rsidRPr="006231C2" w:rsidRDefault="00782C32" w:rsidP="00B24180">
      <w:pPr>
        <w:spacing w:before="240" w:after="240" w:line="360" w:lineRule="auto"/>
        <w:jc w:val="both"/>
        <w:rPr>
          <w:rFonts w:ascii="Palatino Linotype" w:hAnsi="Palatino Linotype"/>
          <w:lang w:val="es-ES"/>
        </w:rPr>
      </w:pPr>
      <w:r w:rsidRPr="006231C2">
        <w:rPr>
          <w:rFonts w:ascii="Palatino Linotype" w:eastAsia="Palatino Linotype" w:hAnsi="Palatino Linotype" w:cs="Palatino Linotype"/>
        </w:rPr>
        <w:t>En ese tenor, si bien, por la manera en cómo están formulados los requerimientos pudieran ser considerados como derecho de petición, se estima dable analizar dichos requerimientos bajo el amparo del principio de máxima publicidad consagrado en el numeral 8 de la Ley de Transparencia y Acceso a la Información Pública del Estado de México y Municipios, que es del tenor literal siguiente:</w:t>
      </w:r>
    </w:p>
    <w:p w14:paraId="2C3C1737" w14:textId="77777777" w:rsidR="00A15511" w:rsidRPr="006231C2" w:rsidRDefault="00A15511" w:rsidP="00B24180">
      <w:pPr>
        <w:spacing w:before="120" w:after="120"/>
        <w:ind w:left="851" w:right="902"/>
        <w:jc w:val="both"/>
        <w:rPr>
          <w:rFonts w:ascii="Palatino Linotype" w:hAnsi="Palatino Linotype" w:cs="Arial"/>
          <w:i/>
          <w:sz w:val="22"/>
          <w:lang w:val="es-ES"/>
        </w:rPr>
      </w:pPr>
      <w:r w:rsidRPr="006231C2">
        <w:rPr>
          <w:rFonts w:ascii="Palatino Linotype" w:hAnsi="Palatino Linotype" w:cs="Arial"/>
          <w:i/>
          <w:sz w:val="22"/>
          <w:lang w:val="es-ES"/>
        </w:rPr>
        <w:t>“</w:t>
      </w:r>
      <w:r w:rsidRPr="006231C2">
        <w:rPr>
          <w:rFonts w:ascii="Palatino Linotype" w:hAnsi="Palatino Linotype" w:cs="Arial"/>
          <w:b/>
          <w:i/>
          <w:sz w:val="22"/>
          <w:lang w:val="es-ES"/>
        </w:rPr>
        <w:t>Artículo 8</w:t>
      </w:r>
      <w:r w:rsidRPr="006231C2">
        <w:rPr>
          <w:rFonts w:ascii="Palatino Linotype" w:hAnsi="Palatino Linotype" w:cs="Arial"/>
          <w:i/>
          <w:sz w:val="22"/>
          <w:lang w:val="es-ES"/>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85374C5" w14:textId="77777777" w:rsidR="00A15511" w:rsidRPr="006231C2" w:rsidRDefault="00A15511" w:rsidP="00B24180">
      <w:pPr>
        <w:spacing w:before="120" w:after="120"/>
        <w:ind w:left="851" w:right="902"/>
        <w:jc w:val="both"/>
        <w:rPr>
          <w:rFonts w:ascii="Palatino Linotype" w:hAnsi="Palatino Linotype" w:cs="Arial"/>
          <w:i/>
          <w:sz w:val="22"/>
          <w:lang w:val="es-ES"/>
        </w:rPr>
      </w:pPr>
      <w:r w:rsidRPr="006231C2">
        <w:rPr>
          <w:rFonts w:ascii="Palatino Linotype" w:hAnsi="Palatino Linotype" w:cs="Arial"/>
          <w:i/>
          <w:sz w:val="22"/>
          <w:lang w:val="es-ES"/>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54B37099" w14:textId="77777777" w:rsidR="00A15511" w:rsidRPr="006231C2" w:rsidRDefault="00A15511" w:rsidP="00B24180">
      <w:pPr>
        <w:jc w:val="both"/>
        <w:rPr>
          <w:rFonts w:ascii="Palatino Linotype" w:hAnsi="Palatino Linotype" w:cs="Arial"/>
          <w:lang w:val="es-ES"/>
        </w:rPr>
      </w:pPr>
    </w:p>
    <w:p w14:paraId="02F37EEB" w14:textId="77777777" w:rsidR="00A15511" w:rsidRPr="006231C2" w:rsidRDefault="00A15511" w:rsidP="00B24180">
      <w:pPr>
        <w:spacing w:line="360" w:lineRule="auto"/>
        <w:jc w:val="both"/>
        <w:rPr>
          <w:rFonts w:ascii="Palatino Linotype" w:hAnsi="Palatino Linotype" w:cs="Arial"/>
          <w:lang w:val="es-ES"/>
        </w:rPr>
      </w:pPr>
      <w:r w:rsidRPr="006231C2">
        <w:rPr>
          <w:rFonts w:ascii="Palatino Linotype" w:hAnsi="Palatino Linotype" w:cs="Arial"/>
          <w:lang w:val="es-ES"/>
        </w:rPr>
        <w:t>En este sentido, es conveniente invocar la tesis 1a. CCCXXVII/2014 (10a.) emitida por la Primera Sala de la Suprema Corte de Justicia de la Nación, cuyo sentido es el siguiente:</w:t>
      </w:r>
    </w:p>
    <w:p w14:paraId="5258AEF9" w14:textId="77777777" w:rsidR="00A15511" w:rsidRPr="006231C2" w:rsidRDefault="00A15511" w:rsidP="00B24180">
      <w:pPr>
        <w:spacing w:before="120" w:after="120"/>
        <w:ind w:left="851" w:right="901"/>
        <w:jc w:val="both"/>
        <w:rPr>
          <w:rFonts w:ascii="Palatino Linotype" w:hAnsi="Palatino Linotype" w:cs="Arial"/>
          <w:i/>
          <w:sz w:val="22"/>
          <w:lang w:val="es-ES"/>
        </w:rPr>
      </w:pPr>
      <w:r w:rsidRPr="006231C2">
        <w:rPr>
          <w:rFonts w:ascii="Palatino Linotype" w:eastAsia="Palatino Linotype" w:hAnsi="Palatino Linotype" w:cs="Palatino Linotype"/>
        </w:rPr>
        <w:t>“</w:t>
      </w:r>
      <w:r w:rsidRPr="006231C2">
        <w:rPr>
          <w:rFonts w:ascii="Palatino Linotype" w:hAnsi="Palatino Linotype" w:cs="Arial"/>
          <w:b/>
          <w:i/>
          <w:sz w:val="22"/>
          <w:lang w:val="es-ES"/>
        </w:rPr>
        <w:t xml:space="preserve">PRINCIPIO PRO PERSONA. REQUISITOS MÍNIMOS PARA QUE SE ATIENDA EL FONDO DE LA SOLICITUD DE SU APLICACIÓN, O LA IMPUGNACIÓN DE SU OMISIÓN POR LA AUTORIDAD RESPONSABLE. </w:t>
      </w:r>
      <w:r w:rsidRPr="006231C2">
        <w:rPr>
          <w:rFonts w:ascii="Palatino Linotype" w:hAnsi="Palatino Linotype" w:cs="Arial"/>
          <w:i/>
          <w:sz w:val="22"/>
          <w:lang w:val="es-ES"/>
        </w:rPr>
        <w:t>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07AC09C0" w14:textId="6F14BA81" w:rsidR="00BD3F67" w:rsidRPr="006231C2" w:rsidRDefault="00635DF2"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Una vez aclarado lo anterior</w:t>
      </w:r>
      <w:r w:rsidR="00401AE4" w:rsidRPr="006231C2">
        <w:rPr>
          <w:rFonts w:ascii="Palatino Linotype" w:eastAsia="Palatino Linotype" w:hAnsi="Palatino Linotype" w:cs="Palatino Linotype"/>
        </w:rPr>
        <w:t>, es de mencionar que, en respuesta a la solicitud, el encargado de la Dirección Jurídica y Consultiva manifestó la incompetencia para proporcionar la información que es del interés de la persona solicitante, sin embargo, sugirió que la Dirección de Desarrollo Económico pudiera proporcionar la misma</w:t>
      </w:r>
      <w:r w:rsidR="00040F29" w:rsidRPr="006231C2">
        <w:rPr>
          <w:rFonts w:ascii="Palatino Linotype" w:eastAsia="Palatino Linotype" w:hAnsi="Palatino Linotype" w:cs="Palatino Linotype"/>
        </w:rPr>
        <w:t>.</w:t>
      </w:r>
    </w:p>
    <w:p w14:paraId="0F0775B6" w14:textId="188294B7" w:rsidR="00040F29" w:rsidRPr="006231C2" w:rsidRDefault="00040F29"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Por su parte, el encargado de la Dirección de Desarrollo Económico, </w:t>
      </w:r>
      <w:r w:rsidR="00470D01" w:rsidRPr="006231C2">
        <w:rPr>
          <w:rFonts w:ascii="Palatino Linotype" w:eastAsia="Palatino Linotype" w:hAnsi="Palatino Linotype" w:cs="Palatino Linotype"/>
        </w:rPr>
        <w:t>indicó que, para efectos de dar informes sobre la regularización de subastas privadas, la persona solicitante debía especificar el tipo de actividad a realizar, la procedencia de los bienes y los fines a los que se desea llegar derivado de la actividad en mención.</w:t>
      </w:r>
    </w:p>
    <w:p w14:paraId="3476CF23" w14:textId="25911787" w:rsidR="001B3413" w:rsidRPr="006231C2" w:rsidRDefault="002C3C3F"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Al no estar conforme con los términos de la respuesta proporcionada, la p</w:t>
      </w:r>
      <w:r w:rsidR="009474C2" w:rsidRPr="006231C2">
        <w:rPr>
          <w:rFonts w:ascii="Palatino Linotype" w:eastAsia="Palatino Linotype" w:hAnsi="Palatino Linotype" w:cs="Palatino Linotype"/>
        </w:rPr>
        <w:t xml:space="preserve">arte </w:t>
      </w:r>
      <w:r w:rsidR="009474C2" w:rsidRPr="006231C2">
        <w:rPr>
          <w:rFonts w:ascii="Palatino Linotype" w:eastAsia="Palatino Linotype" w:hAnsi="Palatino Linotype" w:cs="Palatino Linotype"/>
          <w:b/>
          <w:bCs/>
        </w:rPr>
        <w:t xml:space="preserve">Recurrente </w:t>
      </w:r>
      <w:r w:rsidR="00485F32" w:rsidRPr="006231C2">
        <w:rPr>
          <w:rFonts w:ascii="Palatino Linotype" w:eastAsia="Palatino Linotype" w:hAnsi="Palatino Linotype" w:cs="Palatino Linotype"/>
        </w:rPr>
        <w:t xml:space="preserve">interpuso el recurso de revisión que se resuelve, donde manifestó que no le fue proporcionada la información </w:t>
      </w:r>
      <w:r w:rsidR="001B3413" w:rsidRPr="006231C2">
        <w:rPr>
          <w:rFonts w:ascii="Palatino Linotype" w:eastAsia="Palatino Linotype" w:hAnsi="Palatino Linotype" w:cs="Palatino Linotype"/>
        </w:rPr>
        <w:t>ya que debía especificar las actividades realizadas, la procedencia de los bienes y la finalidad de los mismos, sin embargo, previamente, al acudir al acudir al ayuntamiento se le indicó de manera general que debía canalizar sus preguntas mediante el acceso a la información pública, sin informarle que debía detallar actividades, procedencia de bienes o finalidad, como posteriormente se le exigió para dar trámite a la solicitud.</w:t>
      </w:r>
    </w:p>
    <w:p w14:paraId="2E7309E7"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Durante el periodo de manifestaciones el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 xml:space="preserve">fue omiso en rendir su informe justificado, y la parte </w:t>
      </w:r>
      <w:r w:rsidRPr="006231C2">
        <w:rPr>
          <w:rFonts w:ascii="Palatino Linotype" w:eastAsia="Palatino Linotype" w:hAnsi="Palatino Linotype" w:cs="Palatino Linotype"/>
          <w:b/>
        </w:rPr>
        <w:t xml:space="preserve">Recurrente </w:t>
      </w:r>
      <w:r w:rsidRPr="006231C2">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0E4FA35C" w14:textId="77777777" w:rsidR="00C8599E" w:rsidRPr="006231C2" w:rsidRDefault="00812BF1" w:rsidP="00B24180">
      <w:pPr>
        <w:spacing w:before="280" w:after="28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 xml:space="preserve">en contraposición con el motivo de inconformidad alegado por la parte </w:t>
      </w:r>
      <w:r w:rsidRPr="006231C2">
        <w:rPr>
          <w:rFonts w:ascii="Palatino Linotype" w:eastAsia="Palatino Linotype" w:hAnsi="Palatino Linotype" w:cs="Palatino Linotype"/>
          <w:b/>
        </w:rPr>
        <w:t xml:space="preserve">Recurrente, </w:t>
      </w:r>
      <w:r w:rsidRPr="006231C2">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03ABBFE" w14:textId="77777777" w:rsidR="00C8599E" w:rsidRPr="006231C2" w:rsidRDefault="00812BF1" w:rsidP="00B24180">
      <w:pPr>
        <w:spacing w:before="240" w:after="240" w:line="360" w:lineRule="auto"/>
        <w:ind w:right="49"/>
        <w:jc w:val="both"/>
        <w:rPr>
          <w:rFonts w:ascii="Palatino Linotype" w:eastAsia="Palatino Linotype" w:hAnsi="Palatino Linotype" w:cs="Palatino Linotype"/>
        </w:rPr>
      </w:pPr>
      <w:r w:rsidRPr="006231C2">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84AC243"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70B46A7" w14:textId="77777777" w:rsidR="00C8599E" w:rsidRPr="006231C2" w:rsidRDefault="00812BF1" w:rsidP="00B24180">
      <w:pPr>
        <w:spacing w:before="240" w:after="240" w:line="360" w:lineRule="auto"/>
        <w:ind w:right="51"/>
        <w:jc w:val="both"/>
        <w:rPr>
          <w:rFonts w:ascii="Palatino Linotype" w:eastAsia="Palatino Linotype" w:hAnsi="Palatino Linotype" w:cs="Palatino Linotype"/>
        </w:rPr>
      </w:pPr>
      <w:r w:rsidRPr="006231C2">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46A244FE"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7BB93AF3" w14:textId="41A35B33" w:rsidR="00083734" w:rsidRPr="006231C2" w:rsidRDefault="00812BF1" w:rsidP="00B24180">
      <w:pPr>
        <w:spacing w:before="280" w:after="28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En esta línea de pensamiento, derivado del análisis de las constancias que obran en el expediente electrónico en el que se actúa, se advirtió que la Unidad de Transparencia, turnó la solicitud de información a la</w:t>
      </w:r>
      <w:r w:rsidR="00083734" w:rsidRPr="006231C2">
        <w:rPr>
          <w:rFonts w:ascii="Palatino Linotype" w:eastAsia="Palatino Linotype" w:hAnsi="Palatino Linotype" w:cs="Palatino Linotype"/>
        </w:rPr>
        <w:t xml:space="preserve"> Dirección Jurídica y Consultiva y a la Dirección de Desarrollo Económico para su atención.</w:t>
      </w:r>
    </w:p>
    <w:p w14:paraId="6FF22042" w14:textId="2BDA22AA" w:rsidR="00291E2D" w:rsidRPr="006231C2" w:rsidRDefault="00083734" w:rsidP="00B24180">
      <w:pPr>
        <w:spacing w:before="280" w:after="28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Cabe mencionar que de conformidad con el numeral 1.2 del Manual General de Organización de la Administración Pública Municipal de Temoaya, 2025, la Dirección Jurídica y Consultiva, tiene como objetivo Asesorar y asistir a la persona titular del ejecutivo municipal en la resolución de cuestiones en materia jurídica, administrativa, laboral, así como a la toma de decisiones apegadas a derecho, y asimismo, representar al ayuntamiento </w:t>
      </w:r>
      <w:r w:rsidR="00291E2D" w:rsidRPr="006231C2">
        <w:rPr>
          <w:rFonts w:ascii="Palatino Linotype" w:eastAsia="Palatino Linotype" w:hAnsi="Palatino Linotype" w:cs="Palatino Linotype"/>
        </w:rPr>
        <w:t>y direcciones en los juicios en que sean parte, estableciendo mecanismos de control de la legalidad, a través de los actos jurídicos en donde intervenga la persona titular del ejecutivo municipal para proporcionar consultas que formule la población temoayense en materia jurídica, para lo cual se le confieren las siguientes atribuciones:</w:t>
      </w:r>
    </w:p>
    <w:p w14:paraId="418507CD" w14:textId="3D359C0F" w:rsidR="00AB5798" w:rsidRPr="006231C2" w:rsidRDefault="00AB5798" w:rsidP="00B24180">
      <w:pPr>
        <w:spacing w:before="280" w:after="280" w:line="360" w:lineRule="auto"/>
        <w:ind w:left="284"/>
        <w:jc w:val="both"/>
        <w:rPr>
          <w:rFonts w:ascii="Palatino Linotype" w:eastAsia="Palatino Linotype" w:hAnsi="Palatino Linotype" w:cs="Palatino Linotype"/>
        </w:rPr>
      </w:pPr>
      <w:r w:rsidRPr="006231C2">
        <w:rPr>
          <w:rFonts w:ascii="Palatino Linotype" w:eastAsia="Palatino Linotype" w:hAnsi="Palatino Linotype" w:cs="Palatino Linotype"/>
        </w:rPr>
        <w:t>I. Representar los intereses del Municipio y del Ayuntamiento, en los procesos jurídicos que le sean delegados.</w:t>
      </w:r>
    </w:p>
    <w:p w14:paraId="32B8EEA3" w14:textId="77777777" w:rsidR="00AB5798" w:rsidRPr="006231C2" w:rsidRDefault="00AB5798" w:rsidP="00B24180">
      <w:pPr>
        <w:spacing w:before="280" w:after="280" w:line="360" w:lineRule="auto"/>
        <w:ind w:left="284"/>
        <w:jc w:val="both"/>
        <w:rPr>
          <w:rFonts w:ascii="Palatino Linotype" w:eastAsia="Palatino Linotype" w:hAnsi="Palatino Linotype" w:cs="Palatino Linotype"/>
        </w:rPr>
      </w:pPr>
      <w:r w:rsidRPr="006231C2">
        <w:rPr>
          <w:rFonts w:ascii="Palatino Linotype" w:eastAsia="Palatino Linotype" w:hAnsi="Palatino Linotype" w:cs="Palatino Linotype"/>
        </w:rPr>
        <w:t>II. Asistir y asesorar legalmente a la Ejecutiva Municipal, al Ayuntamiento y a las diversas Áreas de la Administración Pública Municipal.</w:t>
      </w:r>
    </w:p>
    <w:p w14:paraId="61DD050A" w14:textId="77777777" w:rsidR="00AB5798" w:rsidRPr="006231C2" w:rsidRDefault="00AB5798" w:rsidP="00B24180">
      <w:pPr>
        <w:spacing w:before="280" w:after="280" w:line="360" w:lineRule="auto"/>
        <w:ind w:left="284"/>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III. Dar atención, seguimiento y control a los expedientes legales asignados al área. </w:t>
      </w:r>
    </w:p>
    <w:p w14:paraId="50E47D30" w14:textId="77777777" w:rsidR="00AB5798" w:rsidRPr="006231C2" w:rsidRDefault="00AB5798" w:rsidP="00B24180">
      <w:pPr>
        <w:spacing w:before="280" w:after="280" w:line="360" w:lineRule="auto"/>
        <w:ind w:left="284"/>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IV. Auxiliar a la Ejecutiva Municipal en la vigilancia de manera aleatoria, de que las resoluciones que dicten las Autoridades Municipales se encuentren establecidas conforme a derecho y acorde con las políticas del Ayuntamiento. </w:t>
      </w:r>
    </w:p>
    <w:p w14:paraId="62FA151D" w14:textId="77777777" w:rsidR="00AB5798" w:rsidRPr="006231C2" w:rsidRDefault="00AB5798" w:rsidP="00B24180">
      <w:pPr>
        <w:spacing w:before="280" w:after="280" w:line="360" w:lineRule="auto"/>
        <w:ind w:left="284"/>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V. Apoyar en la elaboración del proyecto del Bando Municipal, de los nuevos Reglamentos y demás disposiciones de carácter general, así como en los casos de reformas y adiciones a la Reglamentación vigente VI. Representar al Municipio, al Ayuntamiento y a los Órganos Desconcentrados ante los tribunales e instancias Federales, Estatales y Municipales. </w:t>
      </w:r>
    </w:p>
    <w:p w14:paraId="6721EE2A" w14:textId="5FE4AE28" w:rsidR="00AB5798" w:rsidRPr="006231C2" w:rsidRDefault="00AB5798" w:rsidP="00B24180">
      <w:pPr>
        <w:spacing w:before="280" w:after="280" w:line="360" w:lineRule="auto"/>
        <w:ind w:left="284"/>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VII. Proporcionar asesoría jurídica a los miembros de la Administración Municipal. </w:t>
      </w:r>
    </w:p>
    <w:p w14:paraId="7FDD56F5" w14:textId="174FB00F" w:rsidR="00291E2D" w:rsidRPr="006231C2" w:rsidRDefault="00AB5798" w:rsidP="00B24180">
      <w:pPr>
        <w:spacing w:before="280" w:after="280" w:line="360" w:lineRule="auto"/>
        <w:ind w:left="284"/>
        <w:jc w:val="both"/>
        <w:rPr>
          <w:rFonts w:ascii="Palatino Linotype" w:eastAsia="Palatino Linotype" w:hAnsi="Palatino Linotype" w:cs="Palatino Linotype"/>
        </w:rPr>
      </w:pPr>
      <w:r w:rsidRPr="006231C2">
        <w:rPr>
          <w:rFonts w:ascii="Palatino Linotype" w:eastAsia="Palatino Linotype" w:hAnsi="Palatino Linotype" w:cs="Palatino Linotype"/>
        </w:rPr>
        <w:t>VIII. Recibir y proporcionar consultas que formule la población en materia jurídica.</w:t>
      </w:r>
    </w:p>
    <w:p w14:paraId="2DD51096" w14:textId="77777777" w:rsidR="004909E1" w:rsidRPr="006231C2" w:rsidRDefault="00291E2D" w:rsidP="00B24180">
      <w:pPr>
        <w:spacing w:before="280" w:after="28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Por otro lado,</w:t>
      </w:r>
      <w:r w:rsidR="00AB5798" w:rsidRPr="006231C2">
        <w:rPr>
          <w:rFonts w:ascii="Palatino Linotype" w:eastAsia="Palatino Linotype" w:hAnsi="Palatino Linotype" w:cs="Palatino Linotype"/>
        </w:rPr>
        <w:t xml:space="preserve"> la Dirección de Desarrollo Económico, tiene como objetivo reordenar la actividad comercial en el municipio, a través de políticas y programas que permitan el desarrollo económico del municipio, así como acciones coordinadas y dirigidas a la actividad artesanal, con el fin de apoyar a las pequeñas y medianas empresas (PyMES), de conformidad con el numeral 1.8 del mismo ordenamiento</w:t>
      </w:r>
      <w:r w:rsidR="004909E1" w:rsidRPr="006231C2">
        <w:rPr>
          <w:rFonts w:ascii="Palatino Linotype" w:eastAsia="Palatino Linotype" w:hAnsi="Palatino Linotype" w:cs="Palatino Linotype"/>
        </w:rPr>
        <w:t>.</w:t>
      </w:r>
    </w:p>
    <w:p w14:paraId="7B1DD74A" w14:textId="321953DC" w:rsidR="00083734" w:rsidRPr="006231C2" w:rsidRDefault="004909E1" w:rsidP="00B24180">
      <w:pPr>
        <w:spacing w:before="280" w:after="28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Para el cumplimiento de lo anterior, se le confieren a la Dirección de Desarrollo Económico las siguientes atribuciones de conformidad con los artículos </w:t>
      </w:r>
      <w:r w:rsidR="002F3A5F" w:rsidRPr="006231C2">
        <w:rPr>
          <w:rFonts w:ascii="Palatino Linotype" w:eastAsia="Palatino Linotype" w:hAnsi="Palatino Linotype" w:cs="Palatino Linotype"/>
        </w:rPr>
        <w:t>96 Quáter de la Ley Orgánica Municipal y 170 del Bando Municipal, así como el numeral 1.8 del Manual General de Organización:</w:t>
      </w:r>
    </w:p>
    <w:p w14:paraId="7BC58C2B" w14:textId="6980D309" w:rsidR="006321B6" w:rsidRPr="006231C2" w:rsidRDefault="006321B6" w:rsidP="00B24180">
      <w:pPr>
        <w:spacing w:before="280" w:after="280" w:line="360" w:lineRule="auto"/>
        <w:ind w:left="284"/>
        <w:jc w:val="both"/>
        <w:rPr>
          <w:rFonts w:ascii="Palatino Linotype" w:eastAsia="Palatino Linotype" w:hAnsi="Palatino Linotype" w:cs="Palatino Linotype"/>
        </w:rPr>
      </w:pPr>
      <w:r w:rsidRPr="006231C2">
        <w:rPr>
          <w:rFonts w:ascii="Palatino Linotype" w:eastAsia="Palatino Linotype" w:hAnsi="Palatino Linotype" w:cs="Palatino Linotype"/>
        </w:rPr>
        <w:t>- Otorgar Licencias, permisos y autorizaciones a los particulares, ya sean personas físicas o jurídicas colectivas que realicen toda actividad comercial, industrial, social, de servicios u otros, sujetándose a las disposiciones Federales, Estatales o Municipales</w:t>
      </w:r>
    </w:p>
    <w:p w14:paraId="486E27F2" w14:textId="3102C169" w:rsidR="006321B6" w:rsidRPr="006231C2" w:rsidRDefault="006321B6" w:rsidP="00B24180">
      <w:pPr>
        <w:spacing w:before="280" w:after="280" w:line="360" w:lineRule="auto"/>
        <w:ind w:left="284"/>
        <w:jc w:val="both"/>
        <w:rPr>
          <w:rFonts w:ascii="Palatino Linotype" w:eastAsia="Palatino Linotype" w:hAnsi="Palatino Linotype" w:cs="Palatino Linotype"/>
        </w:rPr>
      </w:pPr>
      <w:r w:rsidRPr="006231C2">
        <w:rPr>
          <w:rFonts w:ascii="Palatino Linotype" w:eastAsia="Palatino Linotype" w:hAnsi="Palatino Linotype" w:cs="Palatino Linotype"/>
        </w:rPr>
        <w:t>-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31E9A6CB" w14:textId="1A127EE5" w:rsidR="006321B6" w:rsidRPr="006231C2" w:rsidRDefault="006321B6" w:rsidP="00B24180">
      <w:pPr>
        <w:spacing w:before="280" w:after="280" w:line="360" w:lineRule="auto"/>
        <w:ind w:left="284"/>
        <w:jc w:val="both"/>
        <w:rPr>
          <w:rFonts w:ascii="Palatino Linotype" w:eastAsia="Palatino Linotype" w:hAnsi="Palatino Linotype" w:cs="Palatino Linotype"/>
        </w:rPr>
      </w:pPr>
      <w:r w:rsidRPr="006231C2">
        <w:rPr>
          <w:rFonts w:ascii="Palatino Linotype" w:eastAsia="Palatino Linotype" w:hAnsi="Palatino Linotype" w:cs="Palatino Linotype"/>
        </w:rPr>
        <w:t>- Promover programas de simplificación, regularización y transparencia administrativa para facilitar la actividad económica.</w:t>
      </w:r>
    </w:p>
    <w:p w14:paraId="23CF1EDB" w14:textId="6841270D" w:rsidR="00381837" w:rsidRPr="006231C2" w:rsidRDefault="00DF7027" w:rsidP="00B24180">
      <w:pPr>
        <w:spacing w:before="280" w:after="28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Además de lo anterior, resulta aplicable lo establecido en los artículos 156,157, 158, 159</w:t>
      </w:r>
      <w:r w:rsidR="00381837" w:rsidRPr="006231C2">
        <w:rPr>
          <w:rFonts w:ascii="Palatino Linotype" w:eastAsia="Palatino Linotype" w:hAnsi="Palatino Linotype" w:cs="Palatino Linotype"/>
        </w:rPr>
        <w:t xml:space="preserve"> y 160 del Bando Municipal de Temoaya, a saber:</w:t>
      </w:r>
    </w:p>
    <w:p w14:paraId="77AA0539" w14:textId="77777777" w:rsidR="00381837"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w:t>
      </w:r>
      <w:r w:rsidRPr="006231C2">
        <w:rPr>
          <w:rFonts w:ascii="Palatino Linotype" w:eastAsia="Palatino Linotype" w:hAnsi="Palatino Linotype" w:cs="Palatino Linotype"/>
          <w:b/>
          <w:bCs/>
          <w:i/>
          <w:iCs/>
          <w:sz w:val="22"/>
          <w:szCs w:val="22"/>
        </w:rPr>
        <w:t>DE LOS EVENTOS PÚBLICOS</w:t>
      </w:r>
      <w:r w:rsidRPr="006231C2">
        <w:rPr>
          <w:rFonts w:ascii="Palatino Linotype" w:eastAsia="Palatino Linotype" w:hAnsi="Palatino Linotype" w:cs="Palatino Linotype"/>
          <w:i/>
          <w:iCs/>
          <w:sz w:val="22"/>
          <w:szCs w:val="22"/>
        </w:rPr>
        <w:t xml:space="preserve"> </w:t>
      </w:r>
    </w:p>
    <w:p w14:paraId="42D31129" w14:textId="77777777" w:rsidR="00381837"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Artículo 156</w:t>
      </w:r>
      <w:r w:rsidRPr="006231C2">
        <w:rPr>
          <w:rFonts w:ascii="Palatino Linotype" w:eastAsia="Palatino Linotype" w:hAnsi="Palatino Linotype" w:cs="Palatino Linotype"/>
          <w:i/>
          <w:iCs/>
          <w:sz w:val="22"/>
          <w:szCs w:val="22"/>
        </w:rPr>
        <w:t xml:space="preserve">. La presente sección tiene como objeto regular la celebración de eventos públicos de concentración masiva que se realicen en recintos al aire libre, en locales cerrados o instalaciones desmontables, con fines de esparcimiento o convivencia en el municipio de Temoaya, estableciendo para tal efecto las reglas y mecanismos que garanticen la seguridad e integridad de los participantes, asistentes y terceros a dichos eventos. </w:t>
      </w:r>
    </w:p>
    <w:p w14:paraId="3A67FB3B" w14:textId="77777777" w:rsidR="00381837"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Artículo 157</w:t>
      </w:r>
      <w:r w:rsidRPr="006231C2">
        <w:rPr>
          <w:rFonts w:ascii="Palatino Linotype" w:eastAsia="Palatino Linotype" w:hAnsi="Palatino Linotype" w:cs="Palatino Linotype"/>
          <w:i/>
          <w:iCs/>
          <w:sz w:val="22"/>
          <w:szCs w:val="22"/>
        </w:rPr>
        <w:t xml:space="preserve">. Para tal efecto se entenderá por: </w:t>
      </w:r>
    </w:p>
    <w:p w14:paraId="0FE9A6D4" w14:textId="77777777" w:rsidR="00381837"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Asistentes</w:t>
      </w:r>
      <w:r w:rsidRPr="006231C2">
        <w:rPr>
          <w:rFonts w:ascii="Palatino Linotype" w:eastAsia="Palatino Linotype" w:hAnsi="Palatino Linotype" w:cs="Palatino Linotype"/>
          <w:i/>
          <w:iCs/>
          <w:sz w:val="22"/>
          <w:szCs w:val="22"/>
        </w:rPr>
        <w:t xml:space="preserve">: Los espectadores que asistan a los eventos públicos. </w:t>
      </w:r>
    </w:p>
    <w:p w14:paraId="5E32434E" w14:textId="77777777" w:rsidR="00CF3CAC" w:rsidRPr="006231C2" w:rsidRDefault="00381837" w:rsidP="00B24180">
      <w:pPr>
        <w:spacing w:before="120" w:after="120"/>
        <w:ind w:left="851" w:right="900"/>
        <w:jc w:val="both"/>
        <w:rPr>
          <w:rFonts w:ascii="Palatino Linotype" w:eastAsia="Palatino Linotype" w:hAnsi="Palatino Linotype" w:cs="Palatino Linotype"/>
          <w:b/>
          <w:bCs/>
          <w:i/>
          <w:iCs/>
          <w:sz w:val="22"/>
          <w:szCs w:val="22"/>
        </w:rPr>
      </w:pPr>
      <w:r w:rsidRPr="006231C2">
        <w:rPr>
          <w:rFonts w:ascii="Palatino Linotype" w:eastAsia="Palatino Linotype" w:hAnsi="Palatino Linotype" w:cs="Palatino Linotype"/>
          <w:b/>
          <w:bCs/>
          <w:i/>
          <w:iCs/>
          <w:sz w:val="22"/>
          <w:szCs w:val="22"/>
        </w:rPr>
        <w:t xml:space="preserve">Autorización: Acto jurídico mediante el cual la Dirección de Desarrollo </w:t>
      </w:r>
      <w:r w:rsidRPr="006231C2">
        <w:rPr>
          <w:rFonts w:ascii="Palatino Linotype" w:eastAsia="Palatino Linotype" w:hAnsi="Palatino Linotype" w:cs="Palatino Linotype"/>
          <w:i/>
          <w:iCs/>
          <w:sz w:val="22"/>
          <w:szCs w:val="22"/>
        </w:rPr>
        <w:t xml:space="preserve">Económico, previa evaluación de las condiciones de seguridad de un inmueble e instalaciones fijas o móviles, así como temporales considerados como generadores de riesgo, </w:t>
      </w:r>
      <w:r w:rsidRPr="006231C2">
        <w:rPr>
          <w:rFonts w:ascii="Palatino Linotype" w:eastAsia="Palatino Linotype" w:hAnsi="Palatino Linotype" w:cs="Palatino Linotype"/>
          <w:b/>
          <w:bCs/>
          <w:i/>
          <w:iCs/>
          <w:sz w:val="22"/>
          <w:szCs w:val="22"/>
        </w:rPr>
        <w:t>en donde se desarrolle la concentración masiva de personas, otorga un permiso para iniciar operaciones, con independencia del evento que se trate.</w:t>
      </w:r>
    </w:p>
    <w:p w14:paraId="2983233F" w14:textId="494CF6E7" w:rsidR="009D7BCF"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Coordinación Municipal</w:t>
      </w:r>
      <w:r w:rsidRPr="006231C2">
        <w:rPr>
          <w:rFonts w:ascii="Palatino Linotype" w:eastAsia="Palatino Linotype" w:hAnsi="Palatino Linotype" w:cs="Palatino Linotype"/>
          <w:i/>
          <w:iCs/>
          <w:sz w:val="22"/>
          <w:szCs w:val="22"/>
        </w:rPr>
        <w:t xml:space="preserve">: Coordinación Municipal de Protección Civil y Bomberos. </w:t>
      </w:r>
    </w:p>
    <w:p w14:paraId="23B97A28" w14:textId="2CBB539B" w:rsidR="009D7BCF"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Evaluación Técnica de Factibilidad de Impacto Sanitario</w:t>
      </w:r>
      <w:r w:rsidRPr="006231C2">
        <w:rPr>
          <w:rFonts w:ascii="Palatino Linotype" w:eastAsia="Palatino Linotype" w:hAnsi="Palatino Linotype" w:cs="Palatino Linotype"/>
          <w:i/>
          <w:iCs/>
          <w:sz w:val="22"/>
          <w:szCs w:val="22"/>
        </w:rPr>
        <w:t>. Documento expedido por la Unidad de Verificación Administrativa cuando se verifican los eventos públicos, mismos que deben reunir los requisitos y condiciones técnicas en lo referente a bebidas, alimentos, instalaciones sanitarias y demás relacionadas en el ámbito de la salud y la higiene.</w:t>
      </w:r>
    </w:p>
    <w:p w14:paraId="43F5188B" w14:textId="77777777" w:rsidR="009D7BCF"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Evento público</w:t>
      </w:r>
      <w:r w:rsidRPr="006231C2">
        <w:rPr>
          <w:rFonts w:ascii="Palatino Linotype" w:eastAsia="Palatino Linotype" w:hAnsi="Palatino Linotype" w:cs="Palatino Linotype"/>
          <w:i/>
          <w:iCs/>
          <w:sz w:val="22"/>
          <w:szCs w:val="22"/>
        </w:rPr>
        <w:t xml:space="preserve">: La representación, función, acto, evento o exhibición artística, musical, deportiva, cinematográfica, teatral o cultural, o ambiental organizada por una persona física o jurídico colectiva del sector privado, que se realice en recintos al aire libre, en locales cerrados o instalaciones desmontables, en cualquier tiempo, convocando al público con fines culturales o de esparcimiento, en forma gratuita o mediante el pago de una contraprestación en dinero o especie; cuando el número de asistentes sea superior al de mil personas. </w:t>
      </w:r>
    </w:p>
    <w:p w14:paraId="7D953DAE" w14:textId="77777777" w:rsidR="009D7BCF"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El lugar inscrito en el registro municipal de bienes inmuebles donde se realizan eventos públicos; </w:t>
      </w:r>
    </w:p>
    <w:p w14:paraId="16978404" w14:textId="4DB04007" w:rsidR="009D7BCF"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Ley</w:t>
      </w:r>
      <w:r w:rsidRPr="006231C2">
        <w:rPr>
          <w:rFonts w:ascii="Palatino Linotype" w:eastAsia="Palatino Linotype" w:hAnsi="Palatino Linotype" w:cs="Palatino Linotype"/>
          <w:i/>
          <w:iCs/>
          <w:sz w:val="22"/>
          <w:szCs w:val="22"/>
        </w:rPr>
        <w:t xml:space="preserve">: Ley de Eventos Públicos del Estado de México. </w:t>
      </w:r>
    </w:p>
    <w:p w14:paraId="46251897" w14:textId="182D22AA" w:rsidR="009D7BCF"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Participante(s):</w:t>
      </w:r>
      <w:r w:rsidRPr="006231C2">
        <w:rPr>
          <w:rFonts w:ascii="Palatino Linotype" w:eastAsia="Palatino Linotype" w:hAnsi="Palatino Linotype" w:cs="Palatino Linotype"/>
          <w:i/>
          <w:iCs/>
          <w:sz w:val="22"/>
          <w:szCs w:val="22"/>
        </w:rPr>
        <w:t xml:space="preserve"> La (El) Las (Los) actoras (es), artista(s), música (os), cantante(s) o deportista(s) y, en general, todos aquellos que participen en un evento público ante los asistentes. </w:t>
      </w:r>
    </w:p>
    <w:p w14:paraId="11EEADE5" w14:textId="77777777" w:rsidR="009D7BCF"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Riesgo</w:t>
      </w:r>
      <w:r w:rsidRPr="006231C2">
        <w:rPr>
          <w:rFonts w:ascii="Palatino Linotype" w:eastAsia="Palatino Linotype" w:hAnsi="Palatino Linotype" w:cs="Palatino Linotype"/>
          <w:i/>
          <w:iCs/>
          <w:sz w:val="22"/>
          <w:szCs w:val="22"/>
        </w:rPr>
        <w:t xml:space="preserve">: La posibilidad de pérdida de vidas humanas, o daños a la integridad física de los asistentes, así como de bienes. </w:t>
      </w:r>
    </w:p>
    <w:p w14:paraId="5276205A" w14:textId="77777777" w:rsidR="009D7BCF"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Titulares</w:t>
      </w:r>
      <w:r w:rsidRPr="006231C2">
        <w:rPr>
          <w:rFonts w:ascii="Palatino Linotype" w:eastAsia="Palatino Linotype" w:hAnsi="Palatino Linotype" w:cs="Palatino Linotype"/>
          <w:i/>
          <w:iCs/>
          <w:sz w:val="22"/>
          <w:szCs w:val="22"/>
        </w:rPr>
        <w:t>: Las personas físicas o jurídicas colectivas del sector privado beneficiarias del permiso, dictamen o licencia de las autoridades de la ley, para la celebración de eventos públicos en términos de la normatividad aplicable, así como aquellas que con el carácter de dependiente(s), encargadas (os), gerentas (es), administradoras (es), representante (s) u otro similar, sean responsables de la celebración de algún evento público; y</w:t>
      </w:r>
    </w:p>
    <w:p w14:paraId="0975E771" w14:textId="77777777" w:rsidR="009D7BCF"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Verificador en Jefe</w:t>
      </w:r>
      <w:r w:rsidRPr="006231C2">
        <w:rPr>
          <w:rFonts w:ascii="Palatino Linotype" w:eastAsia="Palatino Linotype" w:hAnsi="Palatino Linotype" w:cs="Palatino Linotype"/>
          <w:i/>
          <w:iCs/>
          <w:sz w:val="22"/>
          <w:szCs w:val="22"/>
        </w:rPr>
        <w:t xml:space="preserve">: Persona facultada por la Presidenta Municipal, quien dependerá directamente de éste, y en todo momento será responsable del correcto inicio, desarrollo y conclusión total del evento, por lo cual tendrá facultades suficientes para tomar las determinaciones necesarias para cumplir con lo establecido en la Ley de Eventos Públicos del Estado de México, el presente Bando Municipal y demás disposiciones legales aplicables. </w:t>
      </w:r>
    </w:p>
    <w:p w14:paraId="2B87574E" w14:textId="77777777" w:rsidR="009D7BCF"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Artículo 158.</w:t>
      </w:r>
      <w:r w:rsidRPr="006231C2">
        <w:rPr>
          <w:rFonts w:ascii="Palatino Linotype" w:eastAsia="Palatino Linotype" w:hAnsi="Palatino Linotype" w:cs="Palatino Linotype"/>
          <w:i/>
          <w:iCs/>
          <w:sz w:val="22"/>
          <w:szCs w:val="22"/>
        </w:rPr>
        <w:t xml:space="preserve"> El Gobierno Municipal,</w:t>
      </w:r>
      <w:r w:rsidRPr="006231C2">
        <w:rPr>
          <w:rFonts w:ascii="Palatino Linotype" w:eastAsia="Palatino Linotype" w:hAnsi="Palatino Linotype" w:cs="Palatino Linotype"/>
          <w:b/>
          <w:bCs/>
          <w:i/>
          <w:iCs/>
          <w:sz w:val="22"/>
          <w:szCs w:val="22"/>
        </w:rPr>
        <w:t xml:space="preserve"> a través de la Dirección de Gobernación, la Coordinación Municipal de Protección Civil y Bomberos, la Dirección de Desarrollo Económico, la Unidad de Verificación Administrativa y la Comisaría de Seguridad Pública y Tránsito,</w:t>
      </w:r>
      <w:r w:rsidRPr="006231C2">
        <w:rPr>
          <w:rFonts w:ascii="Palatino Linotype" w:eastAsia="Palatino Linotype" w:hAnsi="Palatino Linotype" w:cs="Palatino Linotype"/>
          <w:i/>
          <w:iCs/>
          <w:sz w:val="22"/>
          <w:szCs w:val="22"/>
        </w:rPr>
        <w:t xml:space="preserve"> tendrá las siguientes atribuciones: </w:t>
      </w:r>
    </w:p>
    <w:p w14:paraId="16A7DBAA" w14:textId="77777777" w:rsidR="009D7BCF" w:rsidRPr="006231C2" w:rsidRDefault="00381837"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I. Expedir las autorizaciones para eventos públicos de bajo riesgo, conforme al Apéndice II, del Reglamento del Libro Sexto del Código Administrativo del Estado de México, denominado “Listado de Generadores de Mediano y Bajo Riesgo”, observando las disposiciones que para el efecto se emitan; </w:t>
      </w:r>
    </w:p>
    <w:p w14:paraId="4DF12B04" w14:textId="022D15BE" w:rsidR="00381837" w:rsidRPr="006231C2" w:rsidRDefault="00381837"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II. La Coordinación Municipal de Protección Civil y Bomberos, solicitará al responsable del evento el Programa Específico de Protección Civil para Eventos de Concentración Masiva de Población conforme a los establecido en el apéndice III del Reglamento del Libro Sexto del Código Administrativo del Estado de México, para realizar la inscripción al Registro Estatal de Protección Civil, de acuerdo con la Ley de Eventos Públicos del Estado de México para obtener la autorización correspondiente; </w:t>
      </w:r>
    </w:p>
    <w:p w14:paraId="5D053898" w14:textId="77777777" w:rsidR="00CF3CAC" w:rsidRPr="006231C2" w:rsidRDefault="00381837"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III. Instruir a la Unidad de Verificación Administrativa llevar a cabo las visitas de verificación que consideren necesarias antes de emitir el visto bueno correspondiente, y durante la celebración del evento público, a efecto de constatar que se cumpla con las normas de protección civil y de seguridad, establecidas en la ley y demás disposiciones aplicables; </w:t>
      </w:r>
    </w:p>
    <w:p w14:paraId="2E93BD51" w14:textId="4522A448" w:rsidR="00381837" w:rsidRPr="006231C2" w:rsidRDefault="00381837"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IV. Expedir su catálogo de eventos públicos, especificando las diferentes denominaciones y modalidades, licencias y autorizaciones requeridas para cada tipo, así como las reglas, condiciones y prohibiciones que considere conveniente imponer; V. Aplicar las medidas de seguridad a que se refiere la ley, su reglamento y otras disposiciones aplicables en la materia; </w:t>
      </w:r>
    </w:p>
    <w:p w14:paraId="19AAE2DB" w14:textId="4BCDBB35" w:rsidR="00381837"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VI. Proporcionar los elementos de seguridad pública necesarios para resguardar el orden al interior del inmueble y en las zonas vecinas al mismo, previo pago de los derechos correspondientes; </w:t>
      </w:r>
    </w:p>
    <w:p w14:paraId="4F738769" w14:textId="1E1EABA0" w:rsidR="00381837"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VII. Solicitar a la Secretaría de Seguridad del Estado de México y/o Comisaría de Seguridad Pública Municipal su intervención cuando previo, durante y al finalizar el evento público, ocurran situaciones de peligro, los asistentes se vean amenazados por disturbios u otras situaciones que impliquen violencia o riesgo; </w:t>
      </w:r>
    </w:p>
    <w:p w14:paraId="4783D4ED" w14:textId="278C610A" w:rsidR="00381837"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VIII. Aplicar las sanciones previstas en la ley y demás disposiciones aplicables; </w:t>
      </w:r>
    </w:p>
    <w:p w14:paraId="5E330F30" w14:textId="67DA949A" w:rsidR="00381837"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IX. Notificar a la Coordinación General de Protección Civil del Estado de México sobre la realización de eventos públicos a que se refiere la ley; </w:t>
      </w:r>
    </w:p>
    <w:p w14:paraId="2916AA09" w14:textId="6585EF1D" w:rsidR="00381837" w:rsidRPr="006231C2" w:rsidRDefault="00381837" w:rsidP="00B24180">
      <w:pPr>
        <w:spacing w:before="120" w:after="120"/>
        <w:ind w:left="851" w:right="900"/>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X. Resolver las solicitudes para la celebración de eventos públicos en un plazo no mayor a cinco días hábiles siguientes a la fecha de presentación de las mismas; y </w:t>
      </w:r>
    </w:p>
    <w:p w14:paraId="14D0DF9D" w14:textId="15D1B4ED" w:rsidR="00381837" w:rsidRPr="006231C2" w:rsidRDefault="00381837"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XI. Las demás que señalen la ley y otras disposiciones aplicables. </w:t>
      </w:r>
    </w:p>
    <w:p w14:paraId="65FC1BF9" w14:textId="4BC30CDA" w:rsidR="00381837" w:rsidRPr="006231C2" w:rsidRDefault="00381837"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Artículo 159</w:t>
      </w:r>
      <w:r w:rsidRPr="006231C2">
        <w:rPr>
          <w:rFonts w:ascii="Palatino Linotype" w:eastAsia="Palatino Linotype" w:hAnsi="Palatino Linotype" w:cs="Palatino Linotype"/>
          <w:i/>
          <w:iCs/>
          <w:sz w:val="22"/>
          <w:szCs w:val="22"/>
        </w:rPr>
        <w:t xml:space="preserve">. </w:t>
      </w:r>
      <w:r w:rsidRPr="006231C2">
        <w:rPr>
          <w:rFonts w:ascii="Palatino Linotype" w:eastAsia="Palatino Linotype" w:hAnsi="Palatino Linotype" w:cs="Palatino Linotype"/>
          <w:b/>
          <w:bCs/>
          <w:i/>
          <w:iCs/>
          <w:sz w:val="22"/>
          <w:szCs w:val="22"/>
        </w:rPr>
        <w:t>Previo a la expedición de cualquier autorización, permiso o licencia, la Dirección de Gobernación</w:t>
      </w:r>
      <w:r w:rsidRPr="006231C2">
        <w:rPr>
          <w:rFonts w:ascii="Palatino Linotype" w:eastAsia="Palatino Linotype" w:hAnsi="Palatino Linotype" w:cs="Palatino Linotype"/>
          <w:i/>
          <w:iCs/>
          <w:sz w:val="22"/>
          <w:szCs w:val="22"/>
        </w:rPr>
        <w:t xml:space="preserve">, a través de la Unidad de Verificación Administrativa, </w:t>
      </w:r>
      <w:r w:rsidRPr="006231C2">
        <w:rPr>
          <w:rFonts w:ascii="Palatino Linotype" w:eastAsia="Palatino Linotype" w:hAnsi="Palatino Linotype" w:cs="Palatino Linotype"/>
          <w:b/>
          <w:bCs/>
          <w:i/>
          <w:iCs/>
          <w:sz w:val="22"/>
          <w:szCs w:val="22"/>
        </w:rPr>
        <w:t xml:space="preserve">deberá verificar que se cumpla con los requisitos </w:t>
      </w:r>
      <w:r w:rsidRPr="006231C2">
        <w:rPr>
          <w:rFonts w:ascii="Palatino Linotype" w:eastAsia="Palatino Linotype" w:hAnsi="Palatino Linotype" w:cs="Palatino Linotype"/>
          <w:i/>
          <w:iCs/>
          <w:sz w:val="22"/>
          <w:szCs w:val="22"/>
        </w:rPr>
        <w:t xml:space="preserve">que se establecen en la Ley de Eventos Públicos del Estado de México. </w:t>
      </w:r>
    </w:p>
    <w:p w14:paraId="48D77595" w14:textId="77777777" w:rsidR="00BB6FD2" w:rsidRPr="006231C2" w:rsidRDefault="00381837"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Artículo 160</w:t>
      </w:r>
      <w:r w:rsidRPr="006231C2">
        <w:rPr>
          <w:rFonts w:ascii="Palatino Linotype" w:eastAsia="Palatino Linotype" w:hAnsi="Palatino Linotype" w:cs="Palatino Linotype"/>
          <w:i/>
          <w:iCs/>
          <w:sz w:val="22"/>
          <w:szCs w:val="22"/>
        </w:rPr>
        <w:t>. El Gobierno Municipal, a través de la Coordinación Municipal de Protección Civil y Bomberos, establecerá el registro municipal en el que se inscribirán los bienes inmuebles donde se realicen eventos públicos, el cual estará integrado de acuerdo a lo establecido en el Art. 26 de la Ley de Eventos Públicos del Estado de México; la inscripción en el registro municipal de bienes inmuebles tendrá vigencia de un año, debiéndose renovar con al menos treinta días de anticipación a su vencimiento y deberá sujetarse a las disposiciones establecidas en el reglamento de la mencionada ley.</w:t>
      </w:r>
    </w:p>
    <w:p w14:paraId="162D1EC5" w14:textId="57CC048D" w:rsidR="00BB6FD2" w:rsidRPr="006231C2" w:rsidRDefault="00BB6FD2"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w:t>
      </w:r>
    </w:p>
    <w:p w14:paraId="0B16BAE9" w14:textId="77777777" w:rsidR="00BB6FD2" w:rsidRPr="006231C2" w:rsidRDefault="00BB6FD2"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b/>
          <w:bCs/>
          <w:i/>
          <w:iCs/>
          <w:sz w:val="22"/>
          <w:szCs w:val="22"/>
        </w:rPr>
        <w:t>Artículo 177.</w:t>
      </w:r>
      <w:r w:rsidRPr="006231C2">
        <w:rPr>
          <w:rFonts w:ascii="Palatino Linotype" w:eastAsia="Palatino Linotype" w:hAnsi="Palatino Linotype" w:cs="Palatino Linotype"/>
          <w:i/>
          <w:iCs/>
          <w:sz w:val="22"/>
          <w:szCs w:val="22"/>
        </w:rPr>
        <w:t xml:space="preserve"> La </w:t>
      </w:r>
      <w:r w:rsidRPr="006231C2">
        <w:rPr>
          <w:rFonts w:ascii="Palatino Linotype" w:eastAsia="Palatino Linotype" w:hAnsi="Palatino Linotype" w:cs="Palatino Linotype"/>
          <w:b/>
          <w:bCs/>
          <w:i/>
          <w:iCs/>
          <w:sz w:val="22"/>
          <w:szCs w:val="22"/>
        </w:rPr>
        <w:t>Dirección de Gobernación</w:t>
      </w:r>
      <w:r w:rsidRPr="006231C2">
        <w:rPr>
          <w:rFonts w:ascii="Palatino Linotype" w:eastAsia="Palatino Linotype" w:hAnsi="Palatino Linotype" w:cs="Palatino Linotype"/>
          <w:i/>
          <w:iCs/>
          <w:sz w:val="22"/>
          <w:szCs w:val="22"/>
        </w:rPr>
        <w:t xml:space="preserve"> tendrá a su cargo las siguientes atribuciones:</w:t>
      </w:r>
    </w:p>
    <w:p w14:paraId="202ABEE4" w14:textId="77777777" w:rsidR="00BB6FD2" w:rsidRPr="006231C2" w:rsidRDefault="00BB6FD2"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w:t>
      </w:r>
    </w:p>
    <w:p w14:paraId="49642B45" w14:textId="77777777" w:rsidR="00BB6FD2" w:rsidRPr="006231C2" w:rsidRDefault="00BB6FD2"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 xml:space="preserve">VII. Realizar durante todos los días y horas del año sin necesidad de habilitación expresa, la inspección, verificación, infracción, suspensión, aseguramiento, retiro de mercancías, clausura de actividades, espectáculos y/o eventos públicos, según corresponda, a través del personal adscrito a esta área, quienes deberán acreditarse con la identificación oficial que les emita el titular de la Dirección de Gobernación; </w:t>
      </w:r>
    </w:p>
    <w:p w14:paraId="4B827EA4" w14:textId="0E850D69" w:rsidR="00381837" w:rsidRPr="006231C2" w:rsidRDefault="00BB6FD2"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VIII. De conformidad con las atribuciones de la Dirección realizar el aseguramiento de los bienes y productos de los particulares, observando las formalidades del proceso y cuando así sea procedente de conformidad con la legislación aplicable;.</w:t>
      </w:r>
    </w:p>
    <w:p w14:paraId="01A14653" w14:textId="6E7F868C" w:rsidR="00BB6FD2" w:rsidRPr="006231C2" w:rsidRDefault="00BB6FD2"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w:t>
      </w:r>
    </w:p>
    <w:p w14:paraId="1470A4B5" w14:textId="77777777" w:rsidR="00BB6FD2" w:rsidRPr="006231C2" w:rsidRDefault="00BB6FD2"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X. Otorgar los vistos buenos que señala el presente Bando;</w:t>
      </w:r>
    </w:p>
    <w:p w14:paraId="61D4B249" w14:textId="78DC618F" w:rsidR="00BB6FD2" w:rsidRPr="006231C2" w:rsidRDefault="00BB6FD2" w:rsidP="00B24180">
      <w:pPr>
        <w:spacing w:before="120" w:after="120"/>
        <w:ind w:left="851" w:right="902"/>
        <w:jc w:val="both"/>
        <w:rPr>
          <w:rFonts w:ascii="Palatino Linotype" w:eastAsia="Palatino Linotype" w:hAnsi="Palatino Linotype" w:cs="Palatino Linotype"/>
          <w:i/>
          <w:iCs/>
          <w:sz w:val="22"/>
          <w:szCs w:val="22"/>
        </w:rPr>
      </w:pPr>
      <w:r w:rsidRPr="006231C2">
        <w:rPr>
          <w:rFonts w:ascii="Palatino Linotype" w:eastAsia="Palatino Linotype" w:hAnsi="Palatino Linotype" w:cs="Palatino Linotype"/>
          <w:i/>
          <w:iCs/>
          <w:sz w:val="22"/>
          <w:szCs w:val="22"/>
        </w:rPr>
        <w:t>XI. Imponer las medidas preventivas, medidas de seguridad, medidas de apremio y las sanciones que establece este Bando; y”</w:t>
      </w:r>
    </w:p>
    <w:p w14:paraId="5509ACFC" w14:textId="75E66AF1" w:rsidR="005E73F0" w:rsidRPr="006231C2" w:rsidRDefault="009D7BCF" w:rsidP="00B24180">
      <w:pPr>
        <w:spacing w:before="280" w:after="28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De los preceptos en cita se desprende que</w:t>
      </w:r>
      <w:r w:rsidR="00BB6FD2" w:rsidRPr="006231C2">
        <w:rPr>
          <w:rFonts w:ascii="Palatino Linotype" w:eastAsia="Palatino Linotype" w:hAnsi="Palatino Linotype" w:cs="Palatino Linotype"/>
        </w:rPr>
        <w:t>,</w:t>
      </w:r>
      <w:r w:rsidRPr="006231C2">
        <w:rPr>
          <w:rFonts w:ascii="Palatino Linotype" w:eastAsia="Palatino Linotype" w:hAnsi="Palatino Linotype" w:cs="Palatino Linotype"/>
        </w:rPr>
        <w:t xml:space="preserve"> si bien la Dirección de Desarrollo Económico es la instancia </w:t>
      </w:r>
      <w:r w:rsidR="00BB6FD2" w:rsidRPr="006231C2">
        <w:rPr>
          <w:rFonts w:ascii="Palatino Linotype" w:eastAsia="Palatino Linotype" w:hAnsi="Palatino Linotype" w:cs="Palatino Linotype"/>
        </w:rPr>
        <w:t xml:space="preserve">competente para otorgar permisos, licencias y autorizaciones del orden municipal relacionadas con actividades económicas, </w:t>
      </w:r>
      <w:r w:rsidR="00CF3CAC" w:rsidRPr="006231C2">
        <w:rPr>
          <w:rFonts w:ascii="Palatino Linotype" w:eastAsia="Palatino Linotype" w:hAnsi="Palatino Linotype" w:cs="Palatino Linotype"/>
        </w:rPr>
        <w:t>espectáculos</w:t>
      </w:r>
      <w:r w:rsidR="00BB6FD2" w:rsidRPr="006231C2">
        <w:rPr>
          <w:rFonts w:ascii="Palatino Linotype" w:eastAsia="Palatino Linotype" w:hAnsi="Palatino Linotype" w:cs="Palatino Linotype"/>
        </w:rPr>
        <w:t xml:space="preserve"> </w:t>
      </w:r>
      <w:r w:rsidR="00CF3CAC" w:rsidRPr="006231C2">
        <w:rPr>
          <w:rFonts w:ascii="Palatino Linotype" w:eastAsia="Palatino Linotype" w:hAnsi="Palatino Linotype" w:cs="Palatino Linotype"/>
        </w:rPr>
        <w:t>y eventos públicos, no es la única instancia facultada para conocer la información que es del interés de la persona solicitante, al relacionarse dichos actos con un trabajo en conjunto entre dicha Dirección, la Unidad de Verificación Administrativa, la Dirección de Gobernación, la Coordinación Municipal de Protección Civil y Bomberos y la Comisaría de Seguridad Pública y Tránsito, por lo tanto, se colige que en el presente asunto no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éste derecho.</w:t>
      </w:r>
    </w:p>
    <w:p w14:paraId="4FE8AB93" w14:textId="1A646F05" w:rsidR="00CF3CAC" w:rsidRPr="006231C2" w:rsidRDefault="00CF3CAC" w:rsidP="00B24180">
      <w:pPr>
        <w:spacing w:before="280" w:after="28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Ahora bien, por lo que se refiere a la respuesta proporcionada por la Dirección de Desarrollo Económico</w:t>
      </w:r>
      <w:r w:rsidR="005A1C30" w:rsidRPr="006231C2">
        <w:rPr>
          <w:rFonts w:ascii="Palatino Linotype" w:eastAsia="Palatino Linotype" w:hAnsi="Palatino Linotype" w:cs="Palatino Linotype"/>
        </w:rPr>
        <w:t xml:space="preserve">, es oportuno referir que esta no satisface el Derecho de Acceso de la persona solicitante, toda vez que para proporcionar la información solicitada pretendió que esta aclarara el tipo de actividad a realizar, la procedencia de los bienes, y los fines a los que se desea llegar derivado de la actividad en mención, </w:t>
      </w:r>
      <w:r w:rsidR="00D4752F" w:rsidRPr="006231C2">
        <w:rPr>
          <w:rFonts w:ascii="Palatino Linotype" w:eastAsia="Palatino Linotype" w:hAnsi="Palatino Linotype" w:cs="Palatino Linotype"/>
        </w:rPr>
        <w:t>lo cual contraviene las disposiciones contenidas en los artículos 6, apartado A, fracción I, de la Constitución Política de los Estados Unidos Mexicanos; 5, fracción I, de la Constitución Política del Estado Libre y Soberano de México; y 4 de la Ley de Transparencia y Acceso a la Información Pública del Estado de México y Municipios, citados con antelación, en el entendido de que toda la información en posesión de cualquier Sujeto Obligado, es pública y accesible de manera permanente a cualquier persona, sin la necesidad de  acreditar el motivo por el cual se requiere la información o justificar su utilización.</w:t>
      </w:r>
    </w:p>
    <w:p w14:paraId="1E119A77" w14:textId="17474720" w:rsidR="00D4752F" w:rsidRPr="006231C2" w:rsidRDefault="004946BC" w:rsidP="00B24180">
      <w:pPr>
        <w:spacing w:before="280" w:after="28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Bajo esta línea de pensamiento es claro que la solicitud de acceso no puede tenerse por satisfecha, en virtud de que no fue entregada la información requerida, por consiguiente, se estima dable ordenar que previa búsqueda exhaustiva y razonable se haga entrega del soporte documental que de cuenta de lo solicitado.</w:t>
      </w:r>
    </w:p>
    <w:p w14:paraId="0ACBDA90" w14:textId="77777777" w:rsidR="00782C32" w:rsidRPr="006231C2" w:rsidRDefault="004946BC" w:rsidP="00B24180">
      <w:pPr>
        <w:spacing w:before="240" w:after="240" w:line="360" w:lineRule="auto"/>
        <w:ind w:right="51"/>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Para tales efectos, </w:t>
      </w:r>
      <w:r w:rsidR="00782C32" w:rsidRPr="006231C2">
        <w:rPr>
          <w:rFonts w:ascii="Palatino Linotype" w:eastAsia="Palatino Linotype" w:hAnsi="Palatino Linotype" w:cs="Palatino Linotype"/>
        </w:rPr>
        <w:t xml:space="preserve">no obsta mencionar que de conformidad con el artículo 92, fracción XXIV, de la Ley de Transparencia y Acceso a la Información Pública del Estado de México y Municipios, los entes públicos se encuentran obligados a publicar en sus portales de internet, información relativa a los </w:t>
      </w:r>
      <w:r w:rsidR="00782C32" w:rsidRPr="006231C2">
        <w:rPr>
          <w:rFonts w:ascii="Palatino Linotype" w:eastAsia="Palatino Linotype" w:hAnsi="Palatino Linotype" w:cs="Palatino Linotype"/>
          <w:b/>
        </w:rPr>
        <w:t xml:space="preserve">trámites, requisitos, </w:t>
      </w:r>
      <w:r w:rsidR="00782C32" w:rsidRPr="006231C2">
        <w:rPr>
          <w:rFonts w:ascii="Palatino Linotype" w:eastAsia="Palatino Linotype" w:hAnsi="Palatino Linotype" w:cs="Palatino Linotype"/>
          <w:b/>
          <w:bCs/>
        </w:rPr>
        <w:t>y formatos que ofrecen</w:t>
      </w:r>
      <w:r w:rsidR="00782C32" w:rsidRPr="006231C2">
        <w:rPr>
          <w:rFonts w:ascii="Palatino Linotype" w:eastAsia="Palatino Linotype" w:hAnsi="Palatino Linotype" w:cs="Palatino Linotype"/>
        </w:rPr>
        <w:t xml:space="preserve">, </w:t>
      </w:r>
      <w:r w:rsidR="00782C32" w:rsidRPr="006231C2">
        <w:rPr>
          <w:rFonts w:ascii="Palatino Linotype" w:eastAsia="Palatino Linotype" w:hAnsi="Palatino Linotype" w:cs="Palatino Linotype"/>
          <w:bCs/>
        </w:rPr>
        <w:t>así como los tiempos de respuesta</w:t>
      </w:r>
      <w:r w:rsidR="00782C32" w:rsidRPr="006231C2">
        <w:rPr>
          <w:rFonts w:ascii="Palatino Linotype" w:eastAsia="Palatino Linotype" w:hAnsi="Palatino Linotype" w:cs="Palatino Linotype"/>
        </w:rPr>
        <w:t>, a saber:</w:t>
      </w:r>
    </w:p>
    <w:p w14:paraId="498C827B" w14:textId="77777777" w:rsidR="00782C32" w:rsidRPr="006231C2" w:rsidRDefault="00782C32"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r w:rsidRPr="006231C2">
        <w:rPr>
          <w:rFonts w:ascii="Palatino Linotype" w:eastAsia="Palatino Linotype" w:hAnsi="Palatino Linotype" w:cs="Palatino Linotype"/>
          <w:b/>
          <w:i/>
          <w:sz w:val="22"/>
          <w:szCs w:val="22"/>
        </w:rPr>
        <w:t>Artículo 92.</w:t>
      </w:r>
      <w:r w:rsidRPr="006231C2">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E767D0E" w14:textId="77777777" w:rsidR="00782C32" w:rsidRPr="006231C2" w:rsidRDefault="00782C32"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p>
    <w:p w14:paraId="12A849CC" w14:textId="77777777" w:rsidR="00782C32" w:rsidRPr="006231C2" w:rsidRDefault="00782C32" w:rsidP="00B24180">
      <w:pPr>
        <w:spacing w:before="120" w:after="120"/>
        <w:ind w:left="851" w:right="902"/>
        <w:jc w:val="both"/>
        <w:rPr>
          <w:rFonts w:ascii="Palatino Linotype" w:eastAsia="Palatino Linotype" w:hAnsi="Palatino Linotype" w:cs="Palatino Linotype"/>
          <w:bCs/>
          <w:i/>
        </w:rPr>
      </w:pPr>
      <w:r w:rsidRPr="006231C2">
        <w:rPr>
          <w:rFonts w:ascii="Palatino Linotype" w:eastAsia="Palatino Linotype" w:hAnsi="Palatino Linotype" w:cs="Palatino Linotype"/>
          <w:b/>
          <w:i/>
          <w:sz w:val="22"/>
          <w:szCs w:val="22"/>
        </w:rPr>
        <w:t xml:space="preserve"> XXIV</w:t>
      </w:r>
      <w:r w:rsidRPr="006231C2">
        <w:rPr>
          <w:rFonts w:ascii="Palatino Linotype" w:eastAsia="Palatino Linotype" w:hAnsi="Palatino Linotype" w:cs="Palatino Linotype"/>
          <w:i/>
          <w:sz w:val="22"/>
          <w:szCs w:val="22"/>
        </w:rPr>
        <w:t xml:space="preserve">. </w:t>
      </w:r>
      <w:r w:rsidRPr="006231C2">
        <w:rPr>
          <w:rFonts w:ascii="Palatino Linotype" w:eastAsia="Palatino Linotype" w:hAnsi="Palatino Linotype" w:cs="Palatino Linotype"/>
          <w:b/>
          <w:i/>
          <w:sz w:val="22"/>
          <w:szCs w:val="22"/>
          <w:u w:val="single"/>
        </w:rPr>
        <w:t>Los trámites, requisitos</w:t>
      </w:r>
      <w:r w:rsidRPr="006231C2">
        <w:rPr>
          <w:rFonts w:ascii="Palatino Linotype" w:eastAsia="Palatino Linotype" w:hAnsi="Palatino Linotype" w:cs="Palatino Linotype"/>
          <w:i/>
          <w:sz w:val="22"/>
          <w:szCs w:val="22"/>
        </w:rPr>
        <w:t xml:space="preserve"> y formatos que ofrecen, </w:t>
      </w:r>
      <w:r w:rsidRPr="006231C2">
        <w:rPr>
          <w:rFonts w:ascii="Palatino Linotype" w:eastAsia="Palatino Linotype" w:hAnsi="Palatino Linotype" w:cs="Palatino Linotype"/>
          <w:bCs/>
          <w:i/>
          <w:sz w:val="22"/>
          <w:szCs w:val="22"/>
        </w:rPr>
        <w:t>así como los tiempos de respuesta;”</w:t>
      </w:r>
    </w:p>
    <w:p w14:paraId="7E25DC21" w14:textId="2A6C602F" w:rsidR="00782C32" w:rsidRPr="006231C2" w:rsidRDefault="00782C32"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Dicha información se debe publicar conforme a lo establecido en el Anexo I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w:t>
      </w:r>
      <w:r w:rsidR="00B24180" w:rsidRPr="006231C2">
        <w:rPr>
          <w:rFonts w:ascii="Palatino Linotype" w:eastAsia="Palatino Linotype" w:hAnsi="Palatino Linotype" w:cs="Palatino Linotype"/>
        </w:rPr>
        <w:t>orma Nacional de Transparencia,</w:t>
      </w:r>
      <w:r w:rsidRPr="006231C2">
        <w:rPr>
          <w:rFonts w:ascii="Palatino Linotype" w:eastAsia="Palatino Linotype" w:hAnsi="Palatino Linotype" w:cs="Palatino Linotype"/>
        </w:rPr>
        <w:t xml:space="preserve"> </w:t>
      </w:r>
      <w:r w:rsidR="00B24180" w:rsidRPr="006231C2">
        <w:rPr>
          <w:rFonts w:ascii="Palatino Linotype" w:eastAsia="Palatino Linotype" w:hAnsi="Palatino Linotype" w:cs="Palatino Linotype"/>
        </w:rPr>
        <w:t>los cuales</w:t>
      </w:r>
      <w:r w:rsidRPr="006231C2">
        <w:rPr>
          <w:rFonts w:ascii="Palatino Linotype" w:eastAsia="Palatino Linotype" w:hAnsi="Palatino Linotype" w:cs="Palatino Linotype"/>
        </w:rPr>
        <w:t xml:space="preserve"> disponen que los sujetos obligados publicarán la información relacionada con las tareas administrativas que realizan en sus diferentes ámbitos (federal, estatal, delegacional y municipal). Se debe considerar que hay trámites obligatorios, debido a que, por mandato de una disposición jurídica, las personas deben presentar ante una dependencia como condición necesaria para realizar una actividad determinada. Por ejemplo, la obtención de una licencia de conducir, el registro de un negocio, la obtención de un permiso de construcción, la obtención de una visa o pasaporte, el registro de nacimiento o matrimonio. Así como trámites que las personas tienen que realizar para obtener un beneficio específico. Por ejemplo, la solicitud de un crédito, la inscripción a un concurso o la inscripción a un programa de becas.</w:t>
      </w:r>
    </w:p>
    <w:p w14:paraId="0D7ACCE3" w14:textId="77777777" w:rsidR="00782C32" w:rsidRPr="006231C2" w:rsidRDefault="00782C32"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La información se publicará conforme a los datos y formatos establecidos en los criterios sustantivos de contenido, adjetivos de actualización, adjetivos de confiabilidad y adjetivos de formato. </w:t>
      </w:r>
    </w:p>
    <w:p w14:paraId="3B12D8E3" w14:textId="1AB2BDDF" w:rsidR="00782C32" w:rsidRPr="006231C2" w:rsidRDefault="00782C32"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Los criterios adjetivos de formato, deben incluir todos los campos especificados en los criterios sustantivos de contenido:</w:t>
      </w:r>
    </w:p>
    <w:p w14:paraId="5D174DB0" w14:textId="5819A65A" w:rsidR="00782C32" w:rsidRPr="006231C2" w:rsidRDefault="00B24180" w:rsidP="00B24180">
      <w:pPr>
        <w:spacing w:before="240" w:after="240" w:line="360" w:lineRule="auto"/>
        <w:jc w:val="center"/>
        <w:rPr>
          <w:rFonts w:ascii="Palatino Linotype" w:eastAsia="Palatino Linotype" w:hAnsi="Palatino Linotype" w:cs="Palatino Linotype"/>
        </w:rPr>
      </w:pPr>
      <w:r w:rsidRPr="006231C2">
        <w:rPr>
          <w:rFonts w:ascii="Palatino Linotype" w:eastAsia="Palatino Linotype" w:hAnsi="Palatino Linotype" w:cs="Palatino Linotype"/>
          <w:noProof/>
        </w:rPr>
        <w:drawing>
          <wp:inline distT="0" distB="0" distL="0" distR="0" wp14:anchorId="6B0FA894" wp14:editId="5B5C00C8">
            <wp:extent cx="5134488" cy="36257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3022"/>
                    <a:stretch/>
                  </pic:blipFill>
                  <pic:spPr bwMode="auto">
                    <a:xfrm>
                      <a:off x="0" y="0"/>
                      <a:ext cx="5134692" cy="3625846"/>
                    </a:xfrm>
                    <a:prstGeom prst="rect">
                      <a:avLst/>
                    </a:prstGeom>
                    <a:ln>
                      <a:noFill/>
                    </a:ln>
                    <a:extLst>
                      <a:ext uri="{53640926-AAD7-44D8-BBD7-CCE9431645EC}">
                        <a14:shadowObscured xmlns:a14="http://schemas.microsoft.com/office/drawing/2010/main"/>
                      </a:ext>
                    </a:extLst>
                  </pic:spPr>
                </pic:pic>
              </a:graphicData>
            </a:graphic>
          </wp:inline>
        </w:drawing>
      </w:r>
    </w:p>
    <w:p w14:paraId="086F54B2" w14:textId="4735609D" w:rsidR="00782C32" w:rsidRPr="006231C2" w:rsidRDefault="00B24180" w:rsidP="00B24180">
      <w:pPr>
        <w:spacing w:before="240" w:after="240" w:line="360" w:lineRule="auto"/>
        <w:jc w:val="center"/>
        <w:rPr>
          <w:rFonts w:ascii="Palatino Linotype" w:eastAsia="Palatino Linotype" w:hAnsi="Palatino Linotype" w:cs="Palatino Linotype"/>
        </w:rPr>
      </w:pPr>
      <w:r w:rsidRPr="006231C2">
        <w:rPr>
          <w:rFonts w:ascii="Palatino Linotype" w:eastAsia="Palatino Linotype" w:hAnsi="Palatino Linotype" w:cs="Palatino Linotype"/>
          <w:noProof/>
        </w:rPr>
        <w:drawing>
          <wp:inline distT="0" distB="0" distL="0" distR="0" wp14:anchorId="0D4F32C4" wp14:editId="25152FA3">
            <wp:extent cx="5133975" cy="2716098"/>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7312"/>
                    <a:stretch/>
                  </pic:blipFill>
                  <pic:spPr bwMode="auto">
                    <a:xfrm>
                      <a:off x="0" y="0"/>
                      <a:ext cx="5134692" cy="2716477"/>
                    </a:xfrm>
                    <a:prstGeom prst="rect">
                      <a:avLst/>
                    </a:prstGeom>
                    <a:ln>
                      <a:noFill/>
                    </a:ln>
                    <a:extLst>
                      <a:ext uri="{53640926-AAD7-44D8-BBD7-CCE9431645EC}">
                        <a14:shadowObscured xmlns:a14="http://schemas.microsoft.com/office/drawing/2010/main"/>
                      </a:ext>
                    </a:extLst>
                  </pic:spPr>
                </pic:pic>
              </a:graphicData>
            </a:graphic>
          </wp:inline>
        </w:drawing>
      </w:r>
      <w:r w:rsidR="00782C32" w:rsidRPr="006231C2">
        <w:rPr>
          <w:rFonts w:ascii="Palatino Linotype" w:eastAsia="Palatino Linotype" w:hAnsi="Palatino Linotype" w:cs="Palatino Linotype"/>
        </w:rPr>
        <w:t xml:space="preserve"> </w:t>
      </w:r>
      <w:r w:rsidR="00782C32" w:rsidRPr="006231C2">
        <w:rPr>
          <w:rFonts w:ascii="Palatino Linotype" w:eastAsia="Palatino Linotype" w:hAnsi="Palatino Linotype" w:cs="Palatino Linotype"/>
          <w:noProof/>
        </w:rPr>
        <w:drawing>
          <wp:inline distT="0" distB="0" distL="0" distR="0" wp14:anchorId="0455A9FB" wp14:editId="7B9611CA">
            <wp:extent cx="4896000" cy="1105786"/>
            <wp:effectExtent l="0" t="0" r="0" b="0"/>
            <wp:docPr id="5955150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0"/>
                    <a:srcRect t="28176" b="55921"/>
                    <a:stretch>
                      <a:fillRect/>
                    </a:stretch>
                  </pic:blipFill>
                  <pic:spPr bwMode="auto">
                    <a:xfrm>
                      <a:off x="0" y="0"/>
                      <a:ext cx="4896000" cy="1105786"/>
                    </a:xfrm>
                    <a:prstGeom prst="rect">
                      <a:avLst/>
                    </a:prstGeom>
                    <a:ln>
                      <a:noFill/>
                    </a:ln>
                    <a:extLst>
                      <a:ext uri="{53640926-AAD7-44D8-BBD7-CCE9431645EC}">
                        <a14:shadowObscured xmlns:a14="http://schemas.microsoft.com/office/drawing/2010/main"/>
                      </a:ext>
                    </a:extLst>
                  </pic:spPr>
                </pic:pic>
              </a:graphicData>
            </a:graphic>
          </wp:inline>
        </w:drawing>
      </w:r>
    </w:p>
    <w:p w14:paraId="3210D3CE" w14:textId="28510A84" w:rsidR="00782C32" w:rsidRPr="006231C2" w:rsidRDefault="00782C32" w:rsidP="00B24180">
      <w:pPr>
        <w:spacing w:before="240" w:after="240" w:line="360" w:lineRule="auto"/>
        <w:ind w:right="51"/>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Al respecto, los criterios sustantivos de contenido marcados con los numerales 4, </w:t>
      </w:r>
      <w:r w:rsidR="00AD16A1" w:rsidRPr="006231C2">
        <w:rPr>
          <w:rFonts w:ascii="Palatino Linotype" w:eastAsia="Palatino Linotype" w:hAnsi="Palatino Linotype" w:cs="Palatino Linotype"/>
        </w:rPr>
        <w:t xml:space="preserve">6, </w:t>
      </w:r>
      <w:r w:rsidRPr="006231C2">
        <w:rPr>
          <w:rFonts w:ascii="Palatino Linotype" w:eastAsia="Palatino Linotype" w:hAnsi="Palatino Linotype" w:cs="Palatino Linotype"/>
        </w:rPr>
        <w:t>7, 8, 9, 11</w:t>
      </w:r>
      <w:r w:rsidR="00AD16A1" w:rsidRPr="006231C2">
        <w:rPr>
          <w:rFonts w:ascii="Palatino Linotype" w:eastAsia="Palatino Linotype" w:hAnsi="Palatino Linotype" w:cs="Palatino Linotype"/>
        </w:rPr>
        <w:t>, 15, 16, 18, 19, 20, 21, 22, 23, 24</w:t>
      </w:r>
      <w:r w:rsidRPr="006231C2">
        <w:rPr>
          <w:rFonts w:ascii="Palatino Linotype" w:eastAsia="Palatino Linotype" w:hAnsi="Palatino Linotype" w:cs="Palatino Linotype"/>
        </w:rPr>
        <w:t xml:space="preserve"> disponen lo siguiente:</w:t>
      </w:r>
    </w:p>
    <w:p w14:paraId="4A9A66F1" w14:textId="77777777" w:rsidR="00782C32" w:rsidRPr="006231C2" w:rsidRDefault="00782C32" w:rsidP="00B24180">
      <w:pPr>
        <w:spacing w:before="120" w:after="120"/>
        <w:ind w:left="284" w:right="51"/>
        <w:jc w:val="both"/>
        <w:rPr>
          <w:rFonts w:ascii="Palatino Linotype" w:eastAsia="Palatino Linotype" w:hAnsi="Palatino Linotype" w:cs="Palatino Linotype"/>
          <w:b/>
          <w:i/>
          <w:sz w:val="22"/>
          <w:szCs w:val="22"/>
        </w:rPr>
      </w:pPr>
      <w:r w:rsidRPr="006231C2">
        <w:rPr>
          <w:rFonts w:ascii="Palatino Linotype" w:eastAsia="Palatino Linotype" w:hAnsi="Palatino Linotype" w:cs="Palatino Linotype"/>
          <w:b/>
          <w:i/>
          <w:sz w:val="22"/>
          <w:szCs w:val="22"/>
        </w:rPr>
        <w:t>Criterio 4</w:t>
      </w:r>
      <w:r w:rsidRPr="006231C2">
        <w:rPr>
          <w:rFonts w:ascii="Palatino Linotype" w:eastAsia="Palatino Linotype" w:hAnsi="Palatino Linotype" w:cs="Palatino Linotype"/>
          <w:i/>
          <w:sz w:val="22"/>
          <w:szCs w:val="22"/>
        </w:rPr>
        <w:t xml:space="preserve"> </w:t>
      </w:r>
      <w:r w:rsidRPr="006231C2">
        <w:rPr>
          <w:rFonts w:ascii="Palatino Linotype" w:eastAsia="Palatino Linotype" w:hAnsi="Palatino Linotype" w:cs="Palatino Linotype"/>
          <w:b/>
          <w:i/>
          <w:sz w:val="22"/>
          <w:szCs w:val="22"/>
        </w:rPr>
        <w:t>Descripción del trámite</w:t>
      </w:r>
      <w:r w:rsidRPr="006231C2">
        <w:rPr>
          <w:rFonts w:ascii="Palatino Linotype" w:eastAsia="Palatino Linotype" w:hAnsi="Palatino Linotype" w:cs="Palatino Linotype"/>
          <w:i/>
          <w:sz w:val="22"/>
          <w:szCs w:val="22"/>
        </w:rPr>
        <w:t xml:space="preserve">. Utilizar un lenguaje claro, sencillo y conciso y con perspectiva de género, es decir, haciendo uso del lenguaje incluyente y no sexista, así como los casos en que debe o puede realizarse el trámite, y los </w:t>
      </w:r>
      <w:r w:rsidRPr="006231C2">
        <w:rPr>
          <w:rFonts w:ascii="Palatino Linotype" w:eastAsia="Palatino Linotype" w:hAnsi="Palatino Linotype" w:cs="Palatino Linotype"/>
          <w:b/>
          <w:i/>
          <w:sz w:val="22"/>
          <w:szCs w:val="22"/>
          <w:u w:val="single"/>
        </w:rPr>
        <w:t>pasos que debe llevar a cabo la persona para su realización</w:t>
      </w:r>
      <w:r w:rsidRPr="006231C2">
        <w:rPr>
          <w:rFonts w:ascii="Palatino Linotype" w:hAnsi="Palatino Linotype"/>
          <w:b/>
          <w:sz w:val="22"/>
          <w:szCs w:val="22"/>
          <w:u w:val="single"/>
        </w:rPr>
        <w:t>.</w:t>
      </w:r>
    </w:p>
    <w:p w14:paraId="206C14FA" w14:textId="77777777" w:rsidR="00782C32" w:rsidRPr="006231C2" w:rsidRDefault="00782C32" w:rsidP="00B24180">
      <w:pPr>
        <w:spacing w:before="120" w:after="120"/>
        <w:ind w:left="284" w:right="51"/>
        <w:jc w:val="both"/>
        <w:rPr>
          <w:rFonts w:ascii="Palatino Linotype" w:eastAsia="Palatino Linotype" w:hAnsi="Palatino Linotype" w:cs="Palatino Linotype"/>
          <w:b/>
          <w:i/>
          <w:sz w:val="22"/>
          <w:szCs w:val="22"/>
        </w:rPr>
      </w:pPr>
      <w:r w:rsidRPr="006231C2">
        <w:rPr>
          <w:rFonts w:ascii="Palatino Linotype" w:eastAsia="Palatino Linotype" w:hAnsi="Palatino Linotype" w:cs="Palatino Linotype"/>
          <w:b/>
          <w:i/>
          <w:sz w:val="22"/>
          <w:szCs w:val="22"/>
        </w:rPr>
        <w:t>…</w:t>
      </w:r>
    </w:p>
    <w:p w14:paraId="225A2662" w14:textId="0CF3F689" w:rsidR="00AD16A1" w:rsidRPr="006231C2" w:rsidRDefault="00AD16A1" w:rsidP="00B24180">
      <w:pPr>
        <w:spacing w:before="120" w:after="120"/>
        <w:ind w:left="284" w:right="51"/>
        <w:jc w:val="both"/>
        <w:rPr>
          <w:rFonts w:ascii="Palatino Linotype" w:eastAsia="Palatino Linotype" w:hAnsi="Palatino Linotype" w:cs="Palatino Linotype"/>
          <w:bCs/>
          <w:i/>
          <w:sz w:val="22"/>
          <w:szCs w:val="22"/>
        </w:rPr>
      </w:pPr>
      <w:r w:rsidRPr="006231C2">
        <w:rPr>
          <w:rFonts w:ascii="Palatino Linotype" w:eastAsia="Palatino Linotype" w:hAnsi="Palatino Linotype" w:cs="Palatino Linotype"/>
          <w:b/>
          <w:i/>
          <w:sz w:val="22"/>
          <w:szCs w:val="22"/>
        </w:rPr>
        <w:t xml:space="preserve">Criterio 6 Modalidad del trámite. </w:t>
      </w:r>
      <w:r w:rsidRPr="006231C2">
        <w:rPr>
          <w:rFonts w:ascii="Palatino Linotype" w:eastAsia="Palatino Linotype" w:hAnsi="Palatino Linotype" w:cs="Palatino Linotype"/>
          <w:bCs/>
          <w:i/>
          <w:sz w:val="22"/>
          <w:szCs w:val="22"/>
        </w:rPr>
        <w:t>Por ejemplo, presencial, en línea, correo, mensajería, Telefónica, módulo itinerante, etcétera</w:t>
      </w:r>
    </w:p>
    <w:p w14:paraId="6D6D8419" w14:textId="77777777" w:rsidR="00782C32" w:rsidRPr="006231C2" w:rsidRDefault="00782C32" w:rsidP="00B24180">
      <w:pPr>
        <w:spacing w:before="120" w:after="120"/>
        <w:ind w:left="284" w:right="51"/>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Criterio 7</w:t>
      </w:r>
      <w:r w:rsidRPr="006231C2">
        <w:rPr>
          <w:rFonts w:ascii="Palatino Linotype" w:eastAsia="Palatino Linotype" w:hAnsi="Palatino Linotype" w:cs="Palatino Linotype"/>
          <w:i/>
          <w:sz w:val="22"/>
          <w:szCs w:val="22"/>
        </w:rPr>
        <w:t xml:space="preserve"> </w:t>
      </w:r>
      <w:r w:rsidRPr="006231C2">
        <w:rPr>
          <w:rFonts w:ascii="Palatino Linotype" w:eastAsia="Palatino Linotype" w:hAnsi="Palatino Linotype" w:cs="Palatino Linotype"/>
          <w:b/>
          <w:i/>
          <w:sz w:val="22"/>
          <w:szCs w:val="22"/>
        </w:rPr>
        <w:t>Hipervínculo a los requisitos para llevar a cabo el trámite</w:t>
      </w:r>
      <w:r w:rsidRPr="006231C2">
        <w:rPr>
          <w:rFonts w:ascii="Palatino Linotype" w:eastAsia="Palatino Linotype" w:hAnsi="Palatino Linotype" w:cs="Palatino Linotype"/>
          <w:i/>
          <w:sz w:val="22"/>
          <w:szCs w:val="22"/>
        </w:rPr>
        <w:t xml:space="preserve">. </w:t>
      </w:r>
      <w:r w:rsidRPr="006231C2">
        <w:rPr>
          <w:rFonts w:ascii="Palatino Linotype" w:eastAsia="Palatino Linotype" w:hAnsi="Palatino Linotype" w:cs="Palatino Linotype"/>
          <w:b/>
          <w:i/>
          <w:sz w:val="22"/>
          <w:szCs w:val="22"/>
        </w:rPr>
        <w:t xml:space="preserve">Enumerar y detallar los requisitos. </w:t>
      </w:r>
      <w:r w:rsidRPr="006231C2">
        <w:rPr>
          <w:rFonts w:ascii="Palatino Linotype" w:eastAsia="Palatino Linotype" w:hAnsi="Palatino Linotype" w:cs="Palatino Linotype"/>
          <w:i/>
          <w:sz w:val="22"/>
          <w:szCs w:val="22"/>
        </w:rPr>
        <w:t>En caso de que existan requisitos que necesiten alguna firma, validación, certificación, autorización o visto bueno de una tercera persona se deberá señalar la persona o empresa que lo emita. En caso de que el trámite incluya como requisitos la realización de trámites o servicios adicionales, deberá de identificar plenamente los mismos, señalando además el Sujeto Obligado ante quien se realiza. La información deberá estar redactada con perspectiva de género, es decir, haciendo uso del lenguaje incluyente y no sexista.</w:t>
      </w:r>
    </w:p>
    <w:p w14:paraId="1D71A5A6" w14:textId="77777777" w:rsidR="00782C32" w:rsidRPr="006231C2" w:rsidRDefault="00782C32" w:rsidP="00B24180">
      <w:pPr>
        <w:spacing w:before="120" w:after="120"/>
        <w:ind w:left="284" w:right="51"/>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Criterio 8 Documentos requeridos</w:t>
      </w:r>
      <w:r w:rsidRPr="006231C2">
        <w:rPr>
          <w:rFonts w:ascii="Palatino Linotype" w:eastAsia="Palatino Linotype" w:hAnsi="Palatino Linotype" w:cs="Palatino Linotype"/>
          <w:i/>
          <w:sz w:val="22"/>
          <w:szCs w:val="22"/>
        </w:rPr>
        <w:t xml:space="preserve">, en su caso; así como </w:t>
      </w:r>
      <w:r w:rsidRPr="006231C2">
        <w:rPr>
          <w:rFonts w:ascii="Palatino Linotype" w:eastAsia="Palatino Linotype" w:hAnsi="Palatino Linotype" w:cs="Palatino Linotype"/>
          <w:b/>
          <w:i/>
          <w:sz w:val="22"/>
          <w:szCs w:val="22"/>
        </w:rPr>
        <w:t>especificar si el trámite debe presentarse mediante formato, escrito libre, ambos o puede solicitarse por otros medios</w:t>
      </w:r>
      <w:r w:rsidRPr="006231C2">
        <w:rPr>
          <w:rFonts w:ascii="Palatino Linotype" w:eastAsia="Palatino Linotype" w:hAnsi="Palatino Linotype" w:cs="Palatino Linotype"/>
          <w:i/>
          <w:sz w:val="22"/>
          <w:szCs w:val="22"/>
        </w:rPr>
        <w:t>. La información deberá estar redactada con perspectiva de género, es decir, haciendo uso del lenguaje incluyente y no sexista.</w:t>
      </w:r>
    </w:p>
    <w:p w14:paraId="2BECA0CE" w14:textId="77777777" w:rsidR="00782C32" w:rsidRPr="006231C2" w:rsidRDefault="00782C32" w:rsidP="00B24180">
      <w:pPr>
        <w:spacing w:before="120" w:after="120"/>
        <w:ind w:left="284" w:right="51"/>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Criterio 9</w:t>
      </w:r>
      <w:r w:rsidRPr="006231C2">
        <w:rPr>
          <w:rFonts w:ascii="Palatino Linotype" w:eastAsia="Palatino Linotype" w:hAnsi="Palatino Linotype" w:cs="Palatino Linotype"/>
          <w:i/>
          <w:sz w:val="22"/>
          <w:szCs w:val="22"/>
        </w:rPr>
        <w:t xml:space="preserve"> Hipervínculo al/los formato(s) respectivo(s) publicado(s) en medio oficial.</w:t>
      </w:r>
    </w:p>
    <w:p w14:paraId="2FE1CDF6" w14:textId="77777777" w:rsidR="00782C32" w:rsidRPr="006231C2" w:rsidRDefault="00782C32" w:rsidP="00B24180">
      <w:pPr>
        <w:spacing w:before="120" w:after="120"/>
        <w:ind w:left="284" w:right="51"/>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w:t>
      </w:r>
    </w:p>
    <w:p w14:paraId="04A72904" w14:textId="77777777" w:rsidR="00782C32" w:rsidRPr="006231C2" w:rsidRDefault="00782C32" w:rsidP="00B24180">
      <w:pPr>
        <w:spacing w:before="120" w:after="120"/>
        <w:ind w:left="284" w:right="51"/>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Criterio 11</w:t>
      </w:r>
      <w:r w:rsidRPr="006231C2">
        <w:rPr>
          <w:rFonts w:ascii="Palatino Linotype" w:eastAsia="Palatino Linotype" w:hAnsi="Palatino Linotype" w:cs="Palatino Linotype"/>
          <w:i/>
          <w:sz w:val="22"/>
          <w:szCs w:val="22"/>
        </w:rPr>
        <w:t xml:space="preserve"> </w:t>
      </w:r>
      <w:r w:rsidRPr="006231C2">
        <w:rPr>
          <w:rFonts w:ascii="Palatino Linotype" w:eastAsia="Palatino Linotype" w:hAnsi="Palatino Linotype" w:cs="Palatino Linotype"/>
          <w:b/>
          <w:i/>
          <w:sz w:val="22"/>
          <w:szCs w:val="22"/>
        </w:rPr>
        <w:t>Tiempo de respuesta por parte del sujeto obligado. Plazo que tiene el Sujeto Obligado para resolver el Trámite</w:t>
      </w:r>
      <w:r w:rsidRPr="006231C2">
        <w:rPr>
          <w:rFonts w:ascii="Palatino Linotype" w:eastAsia="Palatino Linotype" w:hAnsi="Palatino Linotype" w:cs="Palatino Linotype"/>
          <w:i/>
          <w:sz w:val="22"/>
          <w:szCs w:val="22"/>
        </w:rPr>
        <w:t xml:space="preserve"> y, en su caso, si aplica la afirmativa o la negativa ficta.</w:t>
      </w:r>
    </w:p>
    <w:p w14:paraId="6DC30218" w14:textId="7C723A26" w:rsidR="00AD16A1" w:rsidRPr="006231C2" w:rsidRDefault="00AD16A1" w:rsidP="00B24180">
      <w:pPr>
        <w:spacing w:before="120" w:after="120"/>
        <w:ind w:left="284" w:right="51"/>
        <w:jc w:val="both"/>
        <w:rPr>
          <w:rFonts w:ascii="Palatino Linotype" w:eastAsia="Palatino Linotype" w:hAnsi="Palatino Linotype" w:cs="Palatino Linotype"/>
          <w:b/>
          <w:i/>
          <w:sz w:val="22"/>
          <w:szCs w:val="22"/>
        </w:rPr>
      </w:pPr>
      <w:r w:rsidRPr="006231C2">
        <w:rPr>
          <w:rFonts w:ascii="Palatino Linotype" w:eastAsia="Palatino Linotype" w:hAnsi="Palatino Linotype" w:cs="Palatino Linotype"/>
          <w:b/>
          <w:i/>
          <w:sz w:val="22"/>
          <w:szCs w:val="22"/>
        </w:rPr>
        <w:t>...</w:t>
      </w:r>
    </w:p>
    <w:p w14:paraId="03FD0819" w14:textId="1D2C6127" w:rsidR="00AD16A1" w:rsidRPr="006231C2" w:rsidRDefault="00AD16A1" w:rsidP="00B24180">
      <w:pPr>
        <w:spacing w:before="120" w:after="120"/>
        <w:ind w:left="284" w:right="51"/>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bCs/>
          <w:i/>
          <w:sz w:val="22"/>
          <w:szCs w:val="22"/>
        </w:rPr>
        <w:t>Criterio 15</w:t>
      </w:r>
      <w:r w:rsidRPr="006231C2">
        <w:rPr>
          <w:rFonts w:ascii="Palatino Linotype" w:eastAsia="Palatino Linotype" w:hAnsi="Palatino Linotype" w:cs="Palatino Linotype"/>
          <w:i/>
          <w:sz w:val="22"/>
          <w:szCs w:val="22"/>
        </w:rPr>
        <w:t xml:space="preserve"> Denominación del/las área/s o unidades administrativas en donde se realiza el trámite </w:t>
      </w:r>
    </w:p>
    <w:p w14:paraId="04EE1346" w14:textId="0F31C91D" w:rsidR="00AD16A1" w:rsidRPr="006231C2" w:rsidRDefault="00AD16A1" w:rsidP="00B24180">
      <w:pPr>
        <w:spacing w:before="120" w:after="120"/>
        <w:ind w:left="284" w:right="51"/>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bCs/>
          <w:i/>
          <w:sz w:val="22"/>
          <w:szCs w:val="22"/>
        </w:rPr>
        <w:t>Criterio 16</w:t>
      </w:r>
      <w:r w:rsidRPr="006231C2">
        <w:rPr>
          <w:rFonts w:ascii="Palatino Linotype" w:eastAsia="Palatino Linotype" w:hAnsi="Palatino Linotype" w:cs="Palatino Linotype"/>
          <w:i/>
          <w:sz w:val="22"/>
          <w:szCs w:val="22"/>
        </w:rPr>
        <w:t xml:space="preserve"> Domicilio92 de la oficina de atención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14:paraId="4068A088" w14:textId="3145CF29" w:rsidR="00AD16A1" w:rsidRPr="006231C2" w:rsidRDefault="00AD16A1" w:rsidP="00B24180">
      <w:pPr>
        <w:spacing w:before="120" w:after="120"/>
        <w:ind w:left="284" w:right="51"/>
        <w:jc w:val="both"/>
        <w:rPr>
          <w:rFonts w:ascii="Palatino Linotype" w:eastAsia="Palatino Linotype" w:hAnsi="Palatino Linotype" w:cs="Palatino Linotype"/>
          <w:b/>
          <w:bCs/>
          <w:i/>
          <w:sz w:val="22"/>
          <w:szCs w:val="22"/>
        </w:rPr>
      </w:pPr>
      <w:r w:rsidRPr="006231C2">
        <w:rPr>
          <w:rFonts w:ascii="Palatino Linotype" w:eastAsia="Palatino Linotype" w:hAnsi="Palatino Linotype" w:cs="Palatino Linotype"/>
          <w:b/>
          <w:bCs/>
          <w:i/>
          <w:sz w:val="22"/>
          <w:szCs w:val="22"/>
        </w:rPr>
        <w:t>...</w:t>
      </w:r>
    </w:p>
    <w:p w14:paraId="0A5FA295" w14:textId="77777777" w:rsidR="00AD16A1" w:rsidRPr="006231C2" w:rsidRDefault="00AD16A1" w:rsidP="00B24180">
      <w:pPr>
        <w:spacing w:before="120" w:after="120"/>
        <w:ind w:left="284" w:right="51"/>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bCs/>
          <w:i/>
          <w:sz w:val="22"/>
          <w:szCs w:val="22"/>
        </w:rPr>
        <w:t>Criterio 18</w:t>
      </w:r>
      <w:r w:rsidRPr="006231C2">
        <w:rPr>
          <w:rFonts w:ascii="Palatino Linotype" w:eastAsia="Palatino Linotype" w:hAnsi="Palatino Linotype" w:cs="Palatino Linotype"/>
          <w:i/>
          <w:sz w:val="22"/>
          <w:szCs w:val="22"/>
        </w:rPr>
        <w:t xml:space="preserve"> Teléfono y extensión en su caso</w:t>
      </w:r>
    </w:p>
    <w:p w14:paraId="6B9B8B0E" w14:textId="11ECE2E2" w:rsidR="00AD16A1" w:rsidRPr="006231C2" w:rsidRDefault="00AD16A1" w:rsidP="00B24180">
      <w:pPr>
        <w:spacing w:before="120" w:after="120"/>
        <w:ind w:left="284" w:right="51"/>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bCs/>
          <w:i/>
          <w:sz w:val="22"/>
          <w:szCs w:val="22"/>
        </w:rPr>
        <w:t>Criterio 19</w:t>
      </w:r>
      <w:r w:rsidRPr="006231C2">
        <w:rPr>
          <w:rFonts w:ascii="Palatino Linotype" w:eastAsia="Palatino Linotype" w:hAnsi="Palatino Linotype" w:cs="Palatino Linotype"/>
          <w:i/>
          <w:sz w:val="22"/>
          <w:szCs w:val="22"/>
        </w:rPr>
        <w:t xml:space="preserve"> Medios electrónicos de comunicación</w:t>
      </w:r>
    </w:p>
    <w:p w14:paraId="365ECF15" w14:textId="77777777" w:rsidR="00AD16A1" w:rsidRPr="006231C2" w:rsidRDefault="00AD16A1" w:rsidP="00B24180">
      <w:pPr>
        <w:spacing w:before="120" w:after="120"/>
        <w:ind w:left="284" w:right="51"/>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bCs/>
          <w:i/>
          <w:sz w:val="22"/>
          <w:szCs w:val="22"/>
        </w:rPr>
        <w:t>Criterio 20</w:t>
      </w:r>
      <w:r w:rsidRPr="006231C2">
        <w:rPr>
          <w:rFonts w:ascii="Palatino Linotype" w:eastAsia="Palatino Linotype" w:hAnsi="Palatino Linotype" w:cs="Palatino Linotype"/>
          <w:i/>
          <w:sz w:val="22"/>
          <w:szCs w:val="22"/>
        </w:rPr>
        <w:t xml:space="preserve"> Horario de atención (días y horas) </w:t>
      </w:r>
    </w:p>
    <w:p w14:paraId="77B326B6" w14:textId="1F590D45" w:rsidR="00AD16A1" w:rsidRPr="006231C2" w:rsidRDefault="00AD16A1" w:rsidP="00B24180">
      <w:pPr>
        <w:spacing w:before="120" w:after="120"/>
        <w:ind w:left="284" w:right="51"/>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bCs/>
          <w:i/>
          <w:sz w:val="22"/>
          <w:szCs w:val="22"/>
        </w:rPr>
        <w:t>Criterio 21</w:t>
      </w:r>
      <w:r w:rsidRPr="006231C2">
        <w:rPr>
          <w:rFonts w:ascii="Palatino Linotype" w:eastAsia="Palatino Linotype" w:hAnsi="Palatino Linotype" w:cs="Palatino Linotype"/>
          <w:i/>
          <w:sz w:val="22"/>
          <w:szCs w:val="22"/>
        </w:rPr>
        <w:t xml:space="preserve"> Monto de los derechos o aprovechamientos aplicables, en su caso, o la forma de determinar dicho monto, así como las alternativas para realizar el pago</w:t>
      </w:r>
    </w:p>
    <w:p w14:paraId="10E57B76" w14:textId="77777777" w:rsidR="00AD16A1" w:rsidRPr="006231C2" w:rsidRDefault="00AD16A1" w:rsidP="00B24180">
      <w:pPr>
        <w:spacing w:before="120" w:after="120"/>
        <w:ind w:left="284" w:right="51"/>
        <w:jc w:val="both"/>
        <w:rPr>
          <w:rFonts w:ascii="Palatino Linotype" w:eastAsia="Palatino Linotype" w:hAnsi="Palatino Linotype" w:cs="Palatino Linotype"/>
          <w:bCs/>
          <w:i/>
          <w:sz w:val="22"/>
          <w:szCs w:val="22"/>
        </w:rPr>
      </w:pPr>
      <w:r w:rsidRPr="006231C2">
        <w:rPr>
          <w:rFonts w:ascii="Palatino Linotype" w:eastAsia="Palatino Linotype" w:hAnsi="Palatino Linotype" w:cs="Palatino Linotype"/>
          <w:b/>
          <w:i/>
          <w:sz w:val="22"/>
          <w:szCs w:val="22"/>
        </w:rPr>
        <w:t xml:space="preserve">Criterio 22 </w:t>
      </w:r>
      <w:r w:rsidRPr="006231C2">
        <w:rPr>
          <w:rFonts w:ascii="Palatino Linotype" w:eastAsia="Palatino Linotype" w:hAnsi="Palatino Linotype" w:cs="Palatino Linotype"/>
          <w:bCs/>
          <w:i/>
          <w:sz w:val="22"/>
          <w:szCs w:val="22"/>
        </w:rPr>
        <w:t xml:space="preserve">Sustento legal para su cobro, en su caso </w:t>
      </w:r>
    </w:p>
    <w:p w14:paraId="3F19DDFD" w14:textId="5D75F283" w:rsidR="00AD16A1" w:rsidRPr="006231C2" w:rsidRDefault="00AD16A1" w:rsidP="00B24180">
      <w:pPr>
        <w:spacing w:before="120" w:after="120"/>
        <w:ind w:left="284" w:right="51"/>
        <w:jc w:val="both"/>
        <w:rPr>
          <w:rFonts w:ascii="Palatino Linotype" w:eastAsia="Palatino Linotype" w:hAnsi="Palatino Linotype" w:cs="Palatino Linotype"/>
          <w:bCs/>
          <w:i/>
          <w:sz w:val="22"/>
          <w:szCs w:val="22"/>
        </w:rPr>
      </w:pPr>
      <w:r w:rsidRPr="006231C2">
        <w:rPr>
          <w:rFonts w:ascii="Palatino Linotype" w:eastAsia="Palatino Linotype" w:hAnsi="Palatino Linotype" w:cs="Palatino Linotype"/>
          <w:b/>
          <w:i/>
          <w:sz w:val="22"/>
          <w:szCs w:val="22"/>
        </w:rPr>
        <w:t xml:space="preserve">Criterio 23 </w:t>
      </w:r>
      <w:r w:rsidRPr="006231C2">
        <w:rPr>
          <w:rFonts w:ascii="Palatino Linotype" w:eastAsia="Palatino Linotype" w:hAnsi="Palatino Linotype" w:cs="Palatino Linotype"/>
          <w:bCs/>
          <w:i/>
          <w:sz w:val="22"/>
          <w:szCs w:val="22"/>
        </w:rPr>
        <w:t>Lugares donde se efectúa el pago</w:t>
      </w:r>
    </w:p>
    <w:p w14:paraId="11D3D1FD" w14:textId="153E87FE" w:rsidR="00782C32" w:rsidRPr="006231C2" w:rsidRDefault="00782C32" w:rsidP="00B24180">
      <w:pPr>
        <w:spacing w:before="120" w:after="120"/>
        <w:ind w:left="284" w:right="51"/>
        <w:jc w:val="both"/>
        <w:rPr>
          <w:rFonts w:ascii="Palatino Linotype" w:eastAsia="Palatino Linotype" w:hAnsi="Palatino Linotype" w:cs="Palatino Linotype"/>
          <w:b/>
          <w:i/>
          <w:sz w:val="22"/>
          <w:szCs w:val="22"/>
        </w:rPr>
      </w:pPr>
      <w:r w:rsidRPr="006231C2">
        <w:rPr>
          <w:rFonts w:ascii="Palatino Linotype" w:eastAsia="Palatino Linotype" w:hAnsi="Palatino Linotype" w:cs="Palatino Linotype"/>
          <w:b/>
          <w:i/>
          <w:sz w:val="22"/>
          <w:szCs w:val="22"/>
        </w:rPr>
        <w:t>Criterio 24</w:t>
      </w:r>
      <w:r w:rsidRPr="006231C2">
        <w:rPr>
          <w:rFonts w:ascii="Palatino Linotype" w:eastAsia="Palatino Linotype" w:hAnsi="Palatino Linotype" w:cs="Palatino Linotype"/>
          <w:i/>
          <w:sz w:val="22"/>
          <w:szCs w:val="22"/>
        </w:rPr>
        <w:t xml:space="preserve"> </w:t>
      </w:r>
      <w:r w:rsidRPr="006231C2">
        <w:rPr>
          <w:rFonts w:ascii="Palatino Linotype" w:eastAsia="Palatino Linotype" w:hAnsi="Palatino Linotype" w:cs="Palatino Linotype"/>
          <w:bCs/>
          <w:i/>
          <w:sz w:val="22"/>
          <w:szCs w:val="22"/>
        </w:rPr>
        <w:t>Fundamento jurídico-administrativo de la existencia del Trámite</w:t>
      </w:r>
      <w:r w:rsidR="0056181C" w:rsidRPr="006231C2">
        <w:rPr>
          <w:rFonts w:ascii="Palatino Linotype" w:eastAsia="Palatino Linotype" w:hAnsi="Palatino Linotype" w:cs="Palatino Linotype"/>
          <w:b/>
          <w:i/>
          <w:sz w:val="22"/>
          <w:szCs w:val="22"/>
        </w:rPr>
        <w:t>”</w:t>
      </w:r>
    </w:p>
    <w:p w14:paraId="062B812C" w14:textId="25390112" w:rsidR="00782C32" w:rsidRPr="006231C2" w:rsidRDefault="00782C32" w:rsidP="00B2418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Con base en lo anterior se concluye que la información que es del interés de la persona solicitante corresponde con una obligación de transparencia, misma que constriñe al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 xml:space="preserve">a poner a disposición del público, de manera permanente y actualizada a través de los portales de internet y en la Plataforma Nacional de Transparencia, entre otros datos, la descripción del trámite que incluya los pasos que deben seguirse, los requisitos para llevar a cabo el trámite enumerados y detallados, los documentos requeridos, el tiempo de respuesta por parte del sujeto obligado, es decir, el plazo que tiene el Sujeto Obligado para resolver el Trámite, </w:t>
      </w:r>
      <w:r w:rsidR="0056181C" w:rsidRPr="006231C2">
        <w:rPr>
          <w:rFonts w:ascii="Palatino Linotype" w:eastAsia="Palatino Linotype" w:hAnsi="Palatino Linotype" w:cs="Palatino Linotype"/>
        </w:rPr>
        <w:t xml:space="preserve">la denominación de las o unidades administrativas en donde se realiza el trámite, </w:t>
      </w:r>
      <w:r w:rsidR="00157369" w:rsidRPr="006231C2">
        <w:rPr>
          <w:rFonts w:ascii="Palatino Linotype" w:eastAsia="Palatino Linotype" w:hAnsi="Palatino Linotype" w:cs="Palatino Linotype"/>
        </w:rPr>
        <w:t xml:space="preserve">el domicilio de la oficina de atención, los medios de contacto, el monto de derechos o aprovechamientos aplicables, lugares para el pago </w:t>
      </w:r>
      <w:r w:rsidRPr="006231C2">
        <w:rPr>
          <w:rFonts w:ascii="Palatino Linotype" w:eastAsia="Palatino Linotype" w:hAnsi="Palatino Linotype" w:cs="Palatino Linotype"/>
        </w:rPr>
        <w:t>así como el fundamento jurídico-administrativo d</w:t>
      </w:r>
      <w:r w:rsidR="00157369" w:rsidRPr="006231C2">
        <w:rPr>
          <w:rFonts w:ascii="Palatino Linotype" w:eastAsia="Palatino Linotype" w:hAnsi="Palatino Linotype" w:cs="Palatino Linotype"/>
        </w:rPr>
        <w:t>el cobro y</w:t>
      </w:r>
      <w:r w:rsidRPr="006231C2">
        <w:rPr>
          <w:rFonts w:ascii="Palatino Linotype" w:eastAsia="Palatino Linotype" w:hAnsi="Palatino Linotype" w:cs="Palatino Linotype"/>
        </w:rPr>
        <w:t xml:space="preserve"> la existencia del </w:t>
      </w:r>
      <w:r w:rsidR="00157369" w:rsidRPr="006231C2">
        <w:rPr>
          <w:rFonts w:ascii="Palatino Linotype" w:eastAsia="Palatino Linotype" w:hAnsi="Palatino Linotype" w:cs="Palatino Linotype"/>
        </w:rPr>
        <w:t>t</w:t>
      </w:r>
      <w:r w:rsidRPr="006231C2">
        <w:rPr>
          <w:rFonts w:ascii="Palatino Linotype" w:eastAsia="Palatino Linotype" w:hAnsi="Palatino Linotype" w:cs="Palatino Linotype"/>
        </w:rPr>
        <w:t>rámite.</w:t>
      </w:r>
    </w:p>
    <w:p w14:paraId="4E07398B" w14:textId="0BCBC76D" w:rsidR="00782C32" w:rsidRPr="006231C2" w:rsidRDefault="00782C32"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No obstante, si bien ha quedado claro que la información que es hoy tema de estudio, por su naturaleza debe encontrarse pública,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06376B0E" w14:textId="77777777" w:rsidR="00782C32" w:rsidRPr="006231C2" w:rsidRDefault="00782C32" w:rsidP="00B24180">
      <w:pPr>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r w:rsidRPr="006231C2">
        <w:rPr>
          <w:rFonts w:ascii="Palatino Linotype" w:eastAsia="Palatino Linotype" w:hAnsi="Palatino Linotype" w:cs="Palatino Linotype"/>
          <w:b/>
          <w:i/>
          <w:sz w:val="22"/>
          <w:szCs w:val="22"/>
        </w:rPr>
        <w:t>Artículo 18.</w:t>
      </w:r>
      <w:r w:rsidRPr="006231C2">
        <w:rPr>
          <w:rFonts w:ascii="Palatino Linotype" w:eastAsia="Palatino Linotype" w:hAnsi="Palatino Linotype" w:cs="Palatino Linotype"/>
          <w:i/>
          <w:sz w:val="22"/>
          <w:szCs w:val="22"/>
        </w:rPr>
        <w:t xml:space="preserve"> Los sujetos obligados </w:t>
      </w:r>
      <w:r w:rsidRPr="006231C2">
        <w:rPr>
          <w:rFonts w:ascii="Palatino Linotype" w:eastAsia="Palatino Linotype" w:hAnsi="Palatino Linotype" w:cs="Palatino Linotype"/>
          <w:b/>
          <w:i/>
          <w:sz w:val="22"/>
          <w:szCs w:val="22"/>
        </w:rPr>
        <w:t>deberán documentar todo acto</w:t>
      </w:r>
      <w:r w:rsidRPr="006231C2">
        <w:rPr>
          <w:rFonts w:ascii="Palatino Linotype" w:eastAsia="Palatino Linotype" w:hAnsi="Palatino Linotype" w:cs="Palatino Linotype"/>
          <w:i/>
          <w:sz w:val="22"/>
          <w:szCs w:val="22"/>
        </w:rPr>
        <w:t xml:space="preserve"> </w:t>
      </w:r>
      <w:r w:rsidRPr="006231C2">
        <w:rPr>
          <w:rFonts w:ascii="Palatino Linotype" w:eastAsia="Palatino Linotype" w:hAnsi="Palatino Linotype" w:cs="Palatino Linotype"/>
          <w:b/>
          <w:i/>
          <w:sz w:val="22"/>
          <w:szCs w:val="22"/>
        </w:rPr>
        <w:t>que derive del ejercicio de sus facultades, competencias o funciones</w:t>
      </w:r>
      <w:r w:rsidRPr="006231C2">
        <w:rPr>
          <w:rFonts w:ascii="Palatino Linotype" w:eastAsia="Palatino Linotype" w:hAnsi="Palatino Linotype" w:cs="Palatino Linotype"/>
          <w:i/>
          <w:sz w:val="22"/>
          <w:szCs w:val="22"/>
        </w:rPr>
        <w:t>, considerando desde su origen la eventual publicidad y reutilización de la información que generen.</w:t>
      </w:r>
    </w:p>
    <w:p w14:paraId="1712BE99" w14:textId="77777777" w:rsidR="00782C32" w:rsidRPr="006231C2" w:rsidRDefault="00782C32" w:rsidP="00B24180">
      <w:pPr>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p>
    <w:p w14:paraId="4526A423" w14:textId="77777777" w:rsidR="00782C32" w:rsidRPr="006231C2" w:rsidRDefault="00782C32" w:rsidP="00B24180">
      <w:pPr>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Artículo 24.</w:t>
      </w:r>
      <w:r w:rsidRPr="006231C2">
        <w:rPr>
          <w:rFonts w:ascii="Palatino Linotype" w:eastAsia="Palatino Linotype" w:hAnsi="Palatino Linotype" w:cs="Palatino Linotype"/>
          <w:i/>
          <w:sz w:val="22"/>
          <w:szCs w:val="22"/>
        </w:rPr>
        <w:t xml:space="preserve"> Para el cumplimiento de los objetivos de esta Ley</w:t>
      </w:r>
      <w:r w:rsidRPr="006231C2">
        <w:rPr>
          <w:rFonts w:ascii="Palatino Linotype" w:eastAsia="Palatino Linotype" w:hAnsi="Palatino Linotype" w:cs="Palatino Linotype"/>
          <w:b/>
          <w:i/>
          <w:sz w:val="22"/>
          <w:szCs w:val="22"/>
        </w:rPr>
        <w:t>, los sujetos obligados deberán cumplir con las siguientes obligaciones</w:t>
      </w:r>
      <w:r w:rsidRPr="006231C2">
        <w:rPr>
          <w:rFonts w:ascii="Palatino Linotype" w:eastAsia="Palatino Linotype" w:hAnsi="Palatino Linotype" w:cs="Palatino Linotype"/>
          <w:i/>
          <w:sz w:val="22"/>
          <w:szCs w:val="22"/>
        </w:rPr>
        <w:t>, según corresponda, de acuerdo a su naturaleza:</w:t>
      </w:r>
    </w:p>
    <w:p w14:paraId="7673A129" w14:textId="77777777" w:rsidR="00782C32" w:rsidRPr="006231C2" w:rsidRDefault="00782C32" w:rsidP="00B24180">
      <w:pPr>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p>
    <w:p w14:paraId="4CFAA8EA" w14:textId="77777777" w:rsidR="00782C32" w:rsidRPr="006231C2" w:rsidRDefault="00782C32" w:rsidP="00B24180">
      <w:pPr>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b/>
          <w:i/>
          <w:sz w:val="22"/>
          <w:szCs w:val="22"/>
        </w:rPr>
        <w:t>XXII.</w:t>
      </w:r>
      <w:r w:rsidRPr="006231C2">
        <w:rPr>
          <w:rFonts w:ascii="Palatino Linotype" w:eastAsia="Palatino Linotype" w:hAnsi="Palatino Linotype" w:cs="Palatino Linotype"/>
          <w:i/>
          <w:sz w:val="22"/>
          <w:szCs w:val="22"/>
        </w:rPr>
        <w:t xml:space="preserve"> </w:t>
      </w:r>
      <w:r w:rsidRPr="006231C2">
        <w:rPr>
          <w:rFonts w:ascii="Palatino Linotype" w:eastAsia="Palatino Linotype" w:hAnsi="Palatino Linotype" w:cs="Palatino Linotype"/>
          <w:b/>
          <w:i/>
          <w:sz w:val="22"/>
          <w:szCs w:val="22"/>
        </w:rPr>
        <w:t>Documentar todo acto que derive del ejercicio de sus facultades, competencias o funciones</w:t>
      </w:r>
      <w:r w:rsidRPr="006231C2">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726BE81B" w14:textId="322E8C15" w:rsidR="001748C3" w:rsidRPr="006231C2" w:rsidRDefault="001748C3" w:rsidP="00B24180">
      <w:pPr>
        <w:spacing w:before="280" w:after="28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Por consiguiente, se estima dable ordenar la entrega del soporte documental donde conste lo solicitad al mayor grado de desagregación posible</w:t>
      </w:r>
      <w:r w:rsidR="00CF7678" w:rsidRPr="006231C2">
        <w:rPr>
          <w:rFonts w:ascii="Palatino Linotype" w:eastAsia="Palatino Linotype" w:hAnsi="Palatino Linotype" w:cs="Palatino Linotype"/>
        </w:rPr>
        <w:t>, con el que contara al ocho de mayo de dos mil veinticinco.</w:t>
      </w:r>
    </w:p>
    <w:p w14:paraId="0F8C864C" w14:textId="630278DB" w:rsidR="00CF7678" w:rsidRPr="006231C2" w:rsidRDefault="00CF7678"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Sin embargo, para el caso de que no se llegara a localizar información derivado de la búsqueda que se ordena,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1D08CAB5" w14:textId="77777777" w:rsidR="00CF7678" w:rsidRPr="006231C2" w:rsidRDefault="00CF7678"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w:t>
      </w:r>
      <w:r w:rsidRPr="006231C2">
        <w:rPr>
          <w:rFonts w:ascii="Palatino Linotype" w:eastAsia="Palatino Linotype" w:hAnsi="Palatino Linotype" w:cs="Palatino Linotype"/>
          <w:b/>
          <w:i/>
          <w:sz w:val="22"/>
          <w:szCs w:val="22"/>
        </w:rPr>
        <w:t>Artículo 19</w:t>
      </w:r>
      <w:r w:rsidRPr="006231C2">
        <w:rPr>
          <w:rFonts w:ascii="Palatino Linotype" w:eastAsia="Palatino Linotype" w:hAnsi="Palatino Linotype" w:cs="Palatino Linotype"/>
          <w:i/>
          <w:sz w:val="22"/>
          <w:szCs w:val="22"/>
        </w:rPr>
        <w:t>…</w:t>
      </w:r>
    </w:p>
    <w:p w14:paraId="755544F6" w14:textId="77777777" w:rsidR="00CF7678" w:rsidRPr="006231C2" w:rsidRDefault="00CF7678" w:rsidP="00B24180">
      <w:pPr>
        <w:spacing w:before="120" w:after="120"/>
        <w:ind w:left="851" w:right="902"/>
        <w:jc w:val="both"/>
        <w:rPr>
          <w:rFonts w:ascii="Palatino Linotype" w:eastAsia="Palatino Linotype" w:hAnsi="Palatino Linotype" w:cs="Palatino Linotype"/>
          <w:i/>
          <w:sz w:val="22"/>
          <w:szCs w:val="22"/>
        </w:rPr>
      </w:pPr>
      <w:r w:rsidRPr="006231C2">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19F85B73" w14:textId="18C2CFAA" w:rsidR="00C8599E" w:rsidRPr="006231C2" w:rsidRDefault="00812BF1" w:rsidP="00B2418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De lo hasta aquí expuesto, se concluye que los motivos de inconformidad de la parte </w:t>
      </w:r>
      <w:r w:rsidRPr="006231C2">
        <w:rPr>
          <w:rFonts w:ascii="Palatino Linotype" w:eastAsia="Palatino Linotype" w:hAnsi="Palatino Linotype" w:cs="Palatino Linotype"/>
          <w:b/>
        </w:rPr>
        <w:t xml:space="preserve">Recurrente </w:t>
      </w:r>
      <w:r w:rsidRPr="006231C2">
        <w:rPr>
          <w:rFonts w:ascii="Palatino Linotype" w:eastAsia="Palatino Linotype" w:hAnsi="Palatino Linotype" w:cs="Palatino Linotype"/>
        </w:rPr>
        <w:t xml:space="preserve">devienen fundados, siendo procedente </w:t>
      </w:r>
      <w:r w:rsidR="00CF7678" w:rsidRPr="006231C2">
        <w:rPr>
          <w:rFonts w:ascii="Palatino Linotype" w:eastAsia="Palatino Linotype" w:hAnsi="Palatino Linotype" w:cs="Palatino Linotype"/>
          <w:i/>
        </w:rPr>
        <w:t>Revocar</w:t>
      </w:r>
      <w:r w:rsidRPr="006231C2">
        <w:rPr>
          <w:rFonts w:ascii="Palatino Linotype" w:eastAsia="Palatino Linotype" w:hAnsi="Palatino Linotype" w:cs="Palatino Linotype"/>
          <w:i/>
        </w:rPr>
        <w:t xml:space="preserve"> </w:t>
      </w:r>
      <w:r w:rsidRPr="006231C2">
        <w:rPr>
          <w:rFonts w:ascii="Palatino Linotype" w:eastAsia="Palatino Linotype" w:hAnsi="Palatino Linotype" w:cs="Palatino Linotype"/>
        </w:rPr>
        <w:t xml:space="preserve">la respuesta proporcionada por el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03160AD1"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7FA99318" w14:textId="77777777" w:rsidR="00C8599E" w:rsidRPr="006231C2" w:rsidRDefault="00812BF1" w:rsidP="00B2418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231C2">
        <w:rPr>
          <w:rFonts w:ascii="Palatino Linotype" w:eastAsia="Palatino Linotype" w:hAnsi="Palatino Linotype" w:cs="Palatino Linotype"/>
          <w:b/>
        </w:rPr>
        <w:t>III. R E S U E L V E</w:t>
      </w:r>
    </w:p>
    <w:p w14:paraId="277CEF24" w14:textId="769D71B6" w:rsidR="00C8599E" w:rsidRPr="006231C2" w:rsidRDefault="00812BF1" w:rsidP="00B24180">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6231C2">
        <w:rPr>
          <w:rFonts w:ascii="Palatino Linotype" w:eastAsia="Palatino Linotype" w:hAnsi="Palatino Linotype" w:cs="Palatino Linotype"/>
          <w:b/>
        </w:rPr>
        <w:t xml:space="preserve">Primero. </w:t>
      </w:r>
      <w:r w:rsidRPr="006231C2">
        <w:rPr>
          <w:rFonts w:ascii="Palatino Linotype" w:eastAsia="Palatino Linotype" w:hAnsi="Palatino Linotype" w:cs="Palatino Linotype"/>
        </w:rPr>
        <w:t>Resultan</w:t>
      </w:r>
      <w:r w:rsidRPr="006231C2">
        <w:rPr>
          <w:rFonts w:ascii="Palatino Linotype" w:eastAsia="Palatino Linotype" w:hAnsi="Palatino Linotype" w:cs="Palatino Linotype"/>
          <w:b/>
        </w:rPr>
        <w:t xml:space="preserve"> fundadas</w:t>
      </w:r>
      <w:r w:rsidRPr="006231C2">
        <w:rPr>
          <w:rFonts w:ascii="Palatino Linotype" w:eastAsia="Palatino Linotype" w:hAnsi="Palatino Linotype" w:cs="Palatino Linotype"/>
        </w:rPr>
        <w:t xml:space="preserve"> las razones o motivos de inconformidad hechos valer por la parte</w:t>
      </w:r>
      <w:r w:rsidRPr="006231C2">
        <w:rPr>
          <w:rFonts w:ascii="Palatino Linotype" w:eastAsia="Palatino Linotype" w:hAnsi="Palatino Linotype" w:cs="Palatino Linotype"/>
          <w:b/>
        </w:rPr>
        <w:t xml:space="preserve"> Recurrente</w:t>
      </w:r>
      <w:r w:rsidRPr="006231C2">
        <w:rPr>
          <w:rFonts w:ascii="Palatino Linotype" w:eastAsia="Palatino Linotype" w:hAnsi="Palatino Linotype" w:cs="Palatino Linotype"/>
        </w:rPr>
        <w:t xml:space="preserve"> en el recurso de revisión </w:t>
      </w:r>
      <w:r w:rsidR="00CF7678" w:rsidRPr="006231C2">
        <w:rPr>
          <w:rFonts w:ascii="Palatino Linotype" w:eastAsia="Palatino Linotype" w:hAnsi="Palatino Linotype" w:cs="Palatino Linotype"/>
        </w:rPr>
        <w:t>0</w:t>
      </w:r>
      <w:r w:rsidR="00CF7678" w:rsidRPr="006231C2">
        <w:rPr>
          <w:rFonts w:ascii="Palatino Linotype" w:eastAsia="Palatino Linotype" w:hAnsi="Palatino Linotype" w:cs="Palatino Linotype"/>
          <w:b/>
        </w:rPr>
        <w:t>6544</w:t>
      </w:r>
      <w:r w:rsidRPr="006231C2">
        <w:rPr>
          <w:rFonts w:ascii="Palatino Linotype" w:eastAsia="Palatino Linotype" w:hAnsi="Palatino Linotype" w:cs="Palatino Linotype"/>
          <w:b/>
        </w:rPr>
        <w:t>/INFOEM/IP/RR/2025</w:t>
      </w:r>
      <w:r w:rsidRPr="006231C2">
        <w:rPr>
          <w:rFonts w:ascii="Palatino Linotype" w:eastAsia="Palatino Linotype" w:hAnsi="Palatino Linotype" w:cs="Palatino Linotype"/>
        </w:rPr>
        <w:t xml:space="preserve">; por lo que, en términos del </w:t>
      </w:r>
      <w:r w:rsidRPr="006231C2">
        <w:rPr>
          <w:rFonts w:ascii="Palatino Linotype" w:eastAsia="Palatino Linotype" w:hAnsi="Palatino Linotype" w:cs="Palatino Linotype"/>
          <w:b/>
        </w:rPr>
        <w:t>Considerando</w:t>
      </w:r>
      <w:r w:rsidRPr="006231C2">
        <w:rPr>
          <w:rFonts w:ascii="Palatino Linotype" w:eastAsia="Palatino Linotype" w:hAnsi="Palatino Linotype" w:cs="Palatino Linotype"/>
        </w:rPr>
        <w:t xml:space="preserve"> </w:t>
      </w:r>
      <w:r w:rsidRPr="006231C2">
        <w:rPr>
          <w:rFonts w:ascii="Palatino Linotype" w:eastAsia="Palatino Linotype" w:hAnsi="Palatino Linotype" w:cs="Palatino Linotype"/>
          <w:b/>
        </w:rPr>
        <w:t xml:space="preserve">Cuarto </w:t>
      </w:r>
      <w:r w:rsidRPr="006231C2">
        <w:rPr>
          <w:rFonts w:ascii="Palatino Linotype" w:eastAsia="Palatino Linotype" w:hAnsi="Palatino Linotype" w:cs="Palatino Linotype"/>
        </w:rPr>
        <w:t xml:space="preserve">de esta resolución, se </w:t>
      </w:r>
      <w:r w:rsidR="00CF7678" w:rsidRPr="006231C2">
        <w:rPr>
          <w:rFonts w:ascii="Palatino Linotype" w:eastAsia="Palatino Linotype" w:hAnsi="Palatino Linotype" w:cs="Palatino Linotype"/>
          <w:b/>
        </w:rPr>
        <w:t>Revoca</w:t>
      </w:r>
      <w:r w:rsidRPr="006231C2">
        <w:rPr>
          <w:rFonts w:ascii="Palatino Linotype" w:eastAsia="Palatino Linotype" w:hAnsi="Palatino Linotype" w:cs="Palatino Linotype"/>
        </w:rPr>
        <w:t xml:space="preserve"> la respuesta emitida por el </w:t>
      </w:r>
      <w:r w:rsidRPr="006231C2">
        <w:rPr>
          <w:rFonts w:ascii="Palatino Linotype" w:eastAsia="Palatino Linotype" w:hAnsi="Palatino Linotype" w:cs="Palatino Linotype"/>
          <w:b/>
        </w:rPr>
        <w:t xml:space="preserve">Sujeto Obligado. </w:t>
      </w:r>
    </w:p>
    <w:p w14:paraId="7EEF0660" w14:textId="42DE8D48" w:rsidR="00C8599E" w:rsidRPr="006231C2" w:rsidRDefault="00812BF1" w:rsidP="00B24180">
      <w:pPr>
        <w:spacing w:before="240" w:after="240" w:line="360" w:lineRule="auto"/>
        <w:ind w:right="49"/>
        <w:jc w:val="both"/>
        <w:rPr>
          <w:rFonts w:ascii="Palatino Linotype" w:eastAsia="Palatino Linotype" w:hAnsi="Palatino Linotype" w:cs="Palatino Linotype"/>
        </w:rPr>
      </w:pPr>
      <w:r w:rsidRPr="006231C2">
        <w:rPr>
          <w:rFonts w:ascii="Palatino Linotype" w:eastAsia="Palatino Linotype" w:hAnsi="Palatino Linotype" w:cs="Palatino Linotype"/>
          <w:b/>
        </w:rPr>
        <w:t xml:space="preserve">Segundo. </w:t>
      </w:r>
      <w:r w:rsidRPr="006231C2">
        <w:rPr>
          <w:rFonts w:ascii="Palatino Linotype" w:eastAsia="Palatino Linotype" w:hAnsi="Palatino Linotype" w:cs="Palatino Linotype"/>
        </w:rPr>
        <w:t xml:space="preserve">Se </w:t>
      </w:r>
      <w:r w:rsidRPr="006231C2">
        <w:rPr>
          <w:rFonts w:ascii="Palatino Linotype" w:eastAsia="Palatino Linotype" w:hAnsi="Palatino Linotype" w:cs="Palatino Linotype"/>
          <w:b/>
        </w:rPr>
        <w:t xml:space="preserve">Ordena </w:t>
      </w:r>
      <w:r w:rsidRPr="006231C2">
        <w:rPr>
          <w:rFonts w:ascii="Palatino Linotype" w:eastAsia="Palatino Linotype" w:hAnsi="Palatino Linotype" w:cs="Palatino Linotype"/>
        </w:rPr>
        <w:t xml:space="preserve">al </w:t>
      </w:r>
      <w:r w:rsidRPr="006231C2">
        <w:rPr>
          <w:rFonts w:ascii="Palatino Linotype" w:eastAsia="Palatino Linotype" w:hAnsi="Palatino Linotype" w:cs="Palatino Linotype"/>
          <w:b/>
        </w:rPr>
        <w:t xml:space="preserve">Sujeto Obligado, </w:t>
      </w:r>
      <w:r w:rsidRPr="006231C2">
        <w:rPr>
          <w:rFonts w:ascii="Palatino Linotype" w:eastAsia="Palatino Linotype" w:hAnsi="Palatino Linotype" w:cs="Palatino Linotype"/>
        </w:rPr>
        <w:t>en términos de</w:t>
      </w:r>
      <w:r w:rsidR="00CF7678" w:rsidRPr="006231C2">
        <w:rPr>
          <w:rFonts w:ascii="Palatino Linotype" w:eastAsia="Palatino Linotype" w:hAnsi="Palatino Linotype" w:cs="Palatino Linotype"/>
        </w:rPr>
        <w:t xml:space="preserve">l </w:t>
      </w:r>
      <w:r w:rsidRPr="006231C2">
        <w:rPr>
          <w:rFonts w:ascii="Palatino Linotype" w:eastAsia="Palatino Linotype" w:hAnsi="Palatino Linotype" w:cs="Palatino Linotype"/>
          <w:b/>
        </w:rPr>
        <w:t>Considerando</w:t>
      </w:r>
      <w:r w:rsidRPr="006231C2">
        <w:rPr>
          <w:rFonts w:ascii="Palatino Linotype" w:eastAsia="Palatino Linotype" w:hAnsi="Palatino Linotype" w:cs="Palatino Linotype"/>
        </w:rPr>
        <w:t xml:space="preserve"> </w:t>
      </w:r>
      <w:r w:rsidRPr="006231C2">
        <w:rPr>
          <w:rFonts w:ascii="Palatino Linotype" w:eastAsia="Palatino Linotype" w:hAnsi="Palatino Linotype" w:cs="Palatino Linotype"/>
          <w:b/>
        </w:rPr>
        <w:t xml:space="preserve">Cuarto </w:t>
      </w:r>
      <w:r w:rsidRPr="006231C2">
        <w:rPr>
          <w:rFonts w:ascii="Palatino Linotype" w:eastAsia="Palatino Linotype" w:hAnsi="Palatino Linotype" w:cs="Palatino Linotype"/>
        </w:rPr>
        <w:t xml:space="preserve">de esta resolución, haga entrega, vía </w:t>
      </w:r>
      <w:r w:rsidRPr="006231C2">
        <w:rPr>
          <w:rFonts w:ascii="Palatino Linotype" w:eastAsia="Palatino Linotype" w:hAnsi="Palatino Linotype" w:cs="Palatino Linotype"/>
          <w:b/>
        </w:rPr>
        <w:t>SAIMEX</w:t>
      </w:r>
      <w:r w:rsidRPr="006231C2">
        <w:rPr>
          <w:rFonts w:ascii="Palatino Linotype" w:eastAsia="Palatino Linotype" w:hAnsi="Palatino Linotype" w:cs="Palatino Linotype"/>
        </w:rPr>
        <w:t>, previa búsqueda exhaustiva y razonable de lo siguiente:</w:t>
      </w:r>
    </w:p>
    <w:p w14:paraId="4CF135D0" w14:textId="1C9B0101" w:rsidR="00CF7678" w:rsidRPr="006231C2" w:rsidRDefault="00812BF1" w:rsidP="00B24180">
      <w:pPr>
        <w:spacing w:before="240" w:after="240" w:line="360" w:lineRule="auto"/>
        <w:ind w:left="284"/>
        <w:jc w:val="both"/>
        <w:rPr>
          <w:rFonts w:ascii="Palatino Linotype" w:eastAsia="Palatino Linotype" w:hAnsi="Palatino Linotype" w:cs="Palatino Linotype"/>
          <w:bCs/>
        </w:rPr>
      </w:pPr>
      <w:bookmarkStart w:id="10" w:name="_heading=h.1fob9te" w:colFirst="0" w:colLast="0"/>
      <w:bookmarkEnd w:id="10"/>
      <w:r w:rsidRPr="006231C2">
        <w:rPr>
          <w:rFonts w:ascii="Palatino Linotype" w:eastAsia="Palatino Linotype" w:hAnsi="Palatino Linotype" w:cs="Palatino Linotype"/>
        </w:rPr>
        <w:t xml:space="preserve">1. </w:t>
      </w:r>
      <w:r w:rsidR="00CF7678" w:rsidRPr="006231C2">
        <w:rPr>
          <w:rFonts w:ascii="Palatino Linotype" w:eastAsia="Palatino Linotype" w:hAnsi="Palatino Linotype" w:cs="Palatino Linotype"/>
        </w:rPr>
        <w:t>El o los d</w:t>
      </w:r>
      <w:r w:rsidRPr="006231C2">
        <w:rPr>
          <w:rFonts w:ascii="Palatino Linotype" w:eastAsia="Palatino Linotype" w:hAnsi="Palatino Linotype" w:cs="Palatino Linotype"/>
        </w:rPr>
        <w:t>ocumento</w:t>
      </w:r>
      <w:r w:rsidR="00CF7678" w:rsidRPr="006231C2">
        <w:rPr>
          <w:rFonts w:ascii="Palatino Linotype" w:eastAsia="Palatino Linotype" w:hAnsi="Palatino Linotype" w:cs="Palatino Linotype"/>
        </w:rPr>
        <w:t>s</w:t>
      </w:r>
      <w:r w:rsidRPr="006231C2">
        <w:rPr>
          <w:rFonts w:ascii="Palatino Linotype" w:eastAsia="Palatino Linotype" w:hAnsi="Palatino Linotype" w:cs="Palatino Linotype"/>
        </w:rPr>
        <w:t xml:space="preserve"> donde conste</w:t>
      </w:r>
      <w:r w:rsidR="00CF7678" w:rsidRPr="006231C2">
        <w:rPr>
          <w:rFonts w:ascii="Palatino Linotype" w:eastAsia="Palatino Linotype" w:hAnsi="Palatino Linotype" w:cs="Palatino Linotype"/>
        </w:rPr>
        <w:t xml:space="preserve"> el procedimiento, requisitos, documentos requeridos y las formalidades necesarias al mayor grado de desagregación posible, para realizar una subasta privada, vigente al </w:t>
      </w:r>
      <w:r w:rsidR="00CF7678" w:rsidRPr="006231C2">
        <w:rPr>
          <w:rFonts w:ascii="Palatino Linotype" w:eastAsia="Palatino Linotype" w:hAnsi="Palatino Linotype" w:cs="Palatino Linotype"/>
          <w:bCs/>
        </w:rPr>
        <w:t>ocho de mayo de dos mil veinticinco.</w:t>
      </w:r>
    </w:p>
    <w:p w14:paraId="67C69720" w14:textId="55076BE3" w:rsidR="00CF7678" w:rsidRPr="006231C2" w:rsidRDefault="00CF7678" w:rsidP="00B24180">
      <w:pPr>
        <w:spacing w:before="120" w:after="120"/>
        <w:ind w:left="284"/>
        <w:jc w:val="both"/>
        <w:rPr>
          <w:rFonts w:ascii="Palatino Linotype" w:eastAsia="Palatino Linotype" w:hAnsi="Palatino Linotype" w:cs="Palatino Linotype"/>
          <w:i/>
          <w:sz w:val="20"/>
          <w:szCs w:val="20"/>
        </w:rPr>
      </w:pPr>
      <w:r w:rsidRPr="006231C2">
        <w:rPr>
          <w:rFonts w:ascii="Palatino Linotype" w:eastAsia="Palatino Linotype" w:hAnsi="Palatino Linotype" w:cs="Palatino Linotype"/>
          <w:i/>
          <w:sz w:val="20"/>
          <w:szCs w:val="20"/>
        </w:rPr>
        <w:t xml:space="preserve">En el supuesto que la información ordenada no obre en los archivos del </w:t>
      </w:r>
      <w:r w:rsidRPr="006231C2">
        <w:rPr>
          <w:rFonts w:ascii="Palatino Linotype" w:eastAsia="Palatino Linotype" w:hAnsi="Palatino Linotype" w:cs="Palatino Linotype"/>
          <w:b/>
          <w:i/>
          <w:sz w:val="20"/>
          <w:szCs w:val="20"/>
        </w:rPr>
        <w:t>Sujeto Obligado</w:t>
      </w:r>
      <w:r w:rsidRPr="006231C2">
        <w:rPr>
          <w:rFonts w:ascii="Palatino Linotype" w:eastAsia="Palatino Linotype" w:hAnsi="Palatino Linotype" w:cs="Palatino Linotype"/>
          <w:i/>
          <w:sz w:val="20"/>
          <w:szCs w:val="20"/>
        </w:rPr>
        <w:t xml:space="preserve">, bastará con que así lo haga del conocimiento de la parte </w:t>
      </w:r>
      <w:r w:rsidRPr="006231C2">
        <w:rPr>
          <w:rFonts w:ascii="Palatino Linotype" w:eastAsia="Palatino Linotype" w:hAnsi="Palatino Linotype" w:cs="Palatino Linotype"/>
          <w:b/>
          <w:i/>
          <w:sz w:val="20"/>
          <w:szCs w:val="20"/>
        </w:rPr>
        <w:t>Recurrente</w:t>
      </w:r>
      <w:r w:rsidRPr="006231C2">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 para tener por colmado el requerimiento de información.</w:t>
      </w:r>
    </w:p>
    <w:p w14:paraId="2FD5EDBB"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b/>
        </w:rPr>
        <w:t xml:space="preserve">Tercero. Notifíquese, </w:t>
      </w:r>
      <w:r w:rsidRPr="006231C2">
        <w:rPr>
          <w:rFonts w:ascii="Palatino Linotype" w:eastAsia="Palatino Linotype" w:hAnsi="Palatino Linotype" w:cs="Palatino Linotype"/>
        </w:rPr>
        <w:t xml:space="preserve">vía </w:t>
      </w:r>
      <w:r w:rsidRPr="006231C2">
        <w:rPr>
          <w:rFonts w:ascii="Palatino Linotype" w:eastAsia="Palatino Linotype" w:hAnsi="Palatino Linotype" w:cs="Palatino Linotype"/>
          <w:b/>
        </w:rPr>
        <w:t>SAIMEX</w:t>
      </w:r>
      <w:r w:rsidRPr="006231C2">
        <w:rPr>
          <w:rFonts w:ascii="Palatino Linotype" w:eastAsia="Palatino Linotype" w:hAnsi="Palatino Linotype" w:cs="Palatino Linotype"/>
        </w:rPr>
        <w:t xml:space="preserve">, al Titular de la Unidad de Transparencia del </w:t>
      </w:r>
      <w:r w:rsidRPr="006231C2">
        <w:rPr>
          <w:rFonts w:ascii="Palatino Linotype" w:eastAsia="Palatino Linotype" w:hAnsi="Palatino Linotype" w:cs="Palatino Linotype"/>
          <w:b/>
        </w:rPr>
        <w:t>Sujeto Obligado,</w:t>
      </w:r>
      <w:r w:rsidRPr="006231C2">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0DDFF9" w14:textId="77777777" w:rsidR="00C8599E" w:rsidRPr="006231C2" w:rsidRDefault="00812BF1" w:rsidP="00B24180">
      <w:pPr>
        <w:spacing w:before="240" w:after="240" w:line="360" w:lineRule="auto"/>
        <w:jc w:val="both"/>
        <w:rPr>
          <w:rFonts w:ascii="Palatino Linotype" w:eastAsia="Palatino Linotype" w:hAnsi="Palatino Linotype" w:cs="Palatino Linotype"/>
        </w:rPr>
      </w:pPr>
      <w:r w:rsidRPr="006231C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231C2">
        <w:rPr>
          <w:rFonts w:ascii="Palatino Linotype" w:eastAsia="Palatino Linotype" w:hAnsi="Palatino Linotype" w:cs="Palatino Linotype"/>
          <w:b/>
        </w:rPr>
        <w:t>Sujeto Obligado</w:t>
      </w:r>
      <w:r w:rsidRPr="006231C2">
        <w:rPr>
          <w:rFonts w:ascii="Palatino Linotype" w:eastAsia="Palatino Linotype" w:hAnsi="Palatino Linotype" w:cs="Palatino Linotype"/>
        </w:rPr>
        <w:t xml:space="preserve"> de manera fundada y motivada, podrá solicitar una ampliación de plazo para el cumplimiento de la presente resolución.</w:t>
      </w:r>
    </w:p>
    <w:p w14:paraId="58562068" w14:textId="77777777" w:rsidR="00C8599E" w:rsidRPr="006231C2" w:rsidRDefault="00812BF1" w:rsidP="00B24180">
      <w:pPr>
        <w:spacing w:before="240" w:after="240" w:line="360" w:lineRule="auto"/>
        <w:jc w:val="both"/>
        <w:rPr>
          <w:rFonts w:ascii="Palatino Linotype" w:eastAsia="Palatino Linotype" w:hAnsi="Palatino Linotype" w:cs="Palatino Linotype"/>
        </w:rPr>
      </w:pPr>
      <w:bookmarkStart w:id="11" w:name="_heading=h.ot3qq6vxa08f" w:colFirst="0" w:colLast="0"/>
      <w:bookmarkEnd w:id="11"/>
      <w:r w:rsidRPr="006231C2">
        <w:rPr>
          <w:rFonts w:ascii="Palatino Linotype" w:eastAsia="Palatino Linotype" w:hAnsi="Palatino Linotype" w:cs="Palatino Linotype"/>
          <w:b/>
        </w:rPr>
        <w:t xml:space="preserve">Cuarto.  Notifíquese, </w:t>
      </w:r>
      <w:r w:rsidRPr="006231C2">
        <w:rPr>
          <w:rFonts w:ascii="Palatino Linotype" w:eastAsia="Palatino Linotype" w:hAnsi="Palatino Linotype" w:cs="Palatino Linotype"/>
        </w:rPr>
        <w:t xml:space="preserve">vía </w:t>
      </w:r>
      <w:r w:rsidRPr="006231C2">
        <w:rPr>
          <w:rFonts w:ascii="Palatino Linotype" w:eastAsia="Palatino Linotype" w:hAnsi="Palatino Linotype" w:cs="Palatino Linotype"/>
          <w:b/>
        </w:rPr>
        <w:t>SAIMEX</w:t>
      </w:r>
      <w:r w:rsidRPr="006231C2">
        <w:rPr>
          <w:rFonts w:ascii="Palatino Linotype" w:eastAsia="Palatino Linotype" w:hAnsi="Palatino Linotype" w:cs="Palatino Linotype"/>
        </w:rPr>
        <w:t xml:space="preserve"> a la parte </w:t>
      </w:r>
      <w:r w:rsidRPr="006231C2">
        <w:rPr>
          <w:rFonts w:ascii="Palatino Linotype" w:eastAsia="Palatino Linotype" w:hAnsi="Palatino Linotype" w:cs="Palatino Linotype"/>
          <w:b/>
        </w:rPr>
        <w:t>Recurrente</w:t>
      </w:r>
      <w:r w:rsidRPr="006231C2">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DA135D9" w14:textId="1747EF59" w:rsidR="00C8599E" w:rsidRPr="00E7344E" w:rsidRDefault="00812BF1" w:rsidP="00E7344E">
      <w:pPr>
        <w:tabs>
          <w:tab w:val="left" w:pos="8647"/>
        </w:tabs>
        <w:spacing w:before="240" w:after="240" w:line="360" w:lineRule="auto"/>
        <w:ind w:right="51"/>
        <w:jc w:val="both"/>
        <w:rPr>
          <w:rFonts w:ascii="Palatino Linotype" w:eastAsia="Palatino Linotype" w:hAnsi="Palatino Linotype" w:cs="Palatino Linotype"/>
        </w:rPr>
      </w:pPr>
      <w:bookmarkStart w:id="12" w:name="_heading=h.lnxbz9" w:colFirst="0" w:colLast="0"/>
      <w:bookmarkEnd w:id="12"/>
      <w:r w:rsidRPr="006231C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D23A8" w:rsidRPr="006231C2">
        <w:rPr>
          <w:rFonts w:ascii="Palatino Linotype" w:eastAsia="Palatino Linotype" w:hAnsi="Palatino Linotype" w:cs="Palatino Linotype"/>
        </w:rPr>
        <w:t xml:space="preserve">TRIGÉSIMA QUINTA </w:t>
      </w:r>
      <w:r w:rsidRPr="006231C2">
        <w:rPr>
          <w:rFonts w:ascii="Palatino Linotype" w:eastAsia="Palatino Linotype" w:hAnsi="Palatino Linotype" w:cs="Palatino Linotype"/>
        </w:rPr>
        <w:t xml:space="preserve">SESIÓN ORDINARIA CELEBRADA EL </w:t>
      </w:r>
      <w:r w:rsidR="00ED23A8" w:rsidRPr="006231C2">
        <w:rPr>
          <w:rFonts w:ascii="Palatino Linotype" w:eastAsia="Palatino Linotype" w:hAnsi="Palatino Linotype" w:cs="Palatino Linotype"/>
        </w:rPr>
        <w:t>UNO DE OCTUBRE</w:t>
      </w:r>
      <w:r w:rsidRPr="006231C2">
        <w:rPr>
          <w:rFonts w:ascii="Palatino Linotype" w:eastAsia="Palatino Linotype" w:hAnsi="Palatino Linotype" w:cs="Palatino Linotype"/>
        </w:rPr>
        <w:t xml:space="preserve"> DE DOS MIL VEINTICINCO, ANTE EL SECRETARIO TÉCNICO DEL PLENO ALEXIS TAPIA RAMÍREZ.</w:t>
      </w:r>
    </w:p>
    <w:p w14:paraId="3C9BA67D" w14:textId="77777777" w:rsidR="00C8599E" w:rsidRPr="00E7344E" w:rsidRDefault="00C8599E" w:rsidP="00B24180">
      <w:pPr>
        <w:spacing w:line="360" w:lineRule="auto"/>
        <w:jc w:val="both"/>
        <w:rPr>
          <w:rFonts w:ascii="Palatino Linotype" w:eastAsia="Palatino Linotype" w:hAnsi="Palatino Linotype" w:cs="Palatino Linotype"/>
        </w:rPr>
      </w:pPr>
    </w:p>
    <w:p w14:paraId="3A4EEF63" w14:textId="77777777" w:rsidR="00C8599E" w:rsidRPr="00E7344E" w:rsidRDefault="00C8599E" w:rsidP="00B24180">
      <w:pPr>
        <w:spacing w:line="360" w:lineRule="auto"/>
        <w:jc w:val="both"/>
        <w:rPr>
          <w:rFonts w:ascii="Palatino Linotype" w:eastAsia="Palatino Linotype" w:hAnsi="Palatino Linotype" w:cs="Palatino Linotype"/>
        </w:rPr>
      </w:pPr>
    </w:p>
    <w:p w14:paraId="01428AFA" w14:textId="77777777" w:rsidR="00C8599E" w:rsidRPr="00E7344E" w:rsidRDefault="00C8599E" w:rsidP="00B24180">
      <w:pPr>
        <w:spacing w:line="360" w:lineRule="auto"/>
        <w:jc w:val="both"/>
        <w:rPr>
          <w:rFonts w:ascii="Palatino Linotype" w:eastAsia="Palatino Linotype" w:hAnsi="Palatino Linotype" w:cs="Palatino Linotype"/>
        </w:rPr>
      </w:pPr>
    </w:p>
    <w:p w14:paraId="70DA3C69" w14:textId="77777777" w:rsidR="00C8599E" w:rsidRPr="00E7344E" w:rsidRDefault="00C8599E" w:rsidP="00B24180">
      <w:pPr>
        <w:spacing w:line="360" w:lineRule="auto"/>
        <w:jc w:val="both"/>
        <w:rPr>
          <w:rFonts w:ascii="Palatino Linotype" w:eastAsia="Palatino Linotype" w:hAnsi="Palatino Linotype" w:cs="Palatino Linotype"/>
        </w:rPr>
      </w:pPr>
    </w:p>
    <w:p w14:paraId="7F4C6CB2" w14:textId="77777777" w:rsidR="00C8599E" w:rsidRPr="00E7344E" w:rsidRDefault="00C8599E" w:rsidP="00B24180">
      <w:pPr>
        <w:spacing w:line="360" w:lineRule="auto"/>
        <w:jc w:val="both"/>
        <w:rPr>
          <w:rFonts w:ascii="Palatino Linotype" w:eastAsia="Palatino Linotype" w:hAnsi="Palatino Linotype" w:cs="Palatino Linotype"/>
        </w:rPr>
      </w:pPr>
    </w:p>
    <w:p w14:paraId="31F2EB44" w14:textId="77777777" w:rsidR="00C8599E" w:rsidRPr="00E7344E" w:rsidRDefault="00C8599E" w:rsidP="00B24180">
      <w:pPr>
        <w:spacing w:line="360" w:lineRule="auto"/>
        <w:jc w:val="both"/>
        <w:rPr>
          <w:rFonts w:ascii="Palatino Linotype" w:eastAsia="Palatino Linotype" w:hAnsi="Palatino Linotype" w:cs="Palatino Linotype"/>
        </w:rPr>
      </w:pPr>
    </w:p>
    <w:p w14:paraId="4F385A42" w14:textId="77777777" w:rsidR="00C8599E" w:rsidRPr="00E7344E" w:rsidRDefault="00C8599E" w:rsidP="00B24180">
      <w:pPr>
        <w:spacing w:line="360" w:lineRule="auto"/>
        <w:jc w:val="both"/>
        <w:rPr>
          <w:rFonts w:ascii="Palatino Linotype" w:eastAsia="Palatino Linotype" w:hAnsi="Palatino Linotype" w:cs="Palatino Linotype"/>
        </w:rPr>
      </w:pPr>
    </w:p>
    <w:p w14:paraId="3FEB658D" w14:textId="77777777" w:rsidR="00C8599E" w:rsidRPr="00E7344E" w:rsidRDefault="00C8599E" w:rsidP="00B24180">
      <w:pPr>
        <w:spacing w:line="360" w:lineRule="auto"/>
        <w:jc w:val="both"/>
        <w:rPr>
          <w:rFonts w:ascii="Palatino Linotype" w:eastAsia="Palatino Linotype" w:hAnsi="Palatino Linotype" w:cs="Palatino Linotype"/>
        </w:rPr>
      </w:pPr>
    </w:p>
    <w:p w14:paraId="44A3A851" w14:textId="77777777" w:rsidR="00C8599E" w:rsidRPr="00E7344E" w:rsidRDefault="00C8599E" w:rsidP="00B24180">
      <w:pPr>
        <w:spacing w:line="360" w:lineRule="auto"/>
        <w:jc w:val="both"/>
        <w:rPr>
          <w:rFonts w:ascii="Palatino Linotype" w:eastAsia="Palatino Linotype" w:hAnsi="Palatino Linotype" w:cs="Palatino Linotype"/>
        </w:rPr>
      </w:pPr>
    </w:p>
    <w:p w14:paraId="557CF9F3" w14:textId="77777777" w:rsidR="00C8599E" w:rsidRPr="00E7344E" w:rsidRDefault="00C8599E" w:rsidP="00B24180">
      <w:pPr>
        <w:spacing w:line="360" w:lineRule="auto"/>
        <w:jc w:val="both"/>
        <w:rPr>
          <w:rFonts w:ascii="Palatino Linotype" w:eastAsia="Palatino Linotype" w:hAnsi="Palatino Linotype" w:cs="Palatino Linotype"/>
        </w:rPr>
      </w:pPr>
    </w:p>
    <w:p w14:paraId="368DC6E7" w14:textId="77777777" w:rsidR="00C8599E" w:rsidRPr="00E7344E" w:rsidRDefault="00C8599E" w:rsidP="00B24180">
      <w:pPr>
        <w:spacing w:line="360" w:lineRule="auto"/>
        <w:jc w:val="both"/>
        <w:rPr>
          <w:rFonts w:ascii="Palatino Linotype" w:eastAsia="Palatino Linotype" w:hAnsi="Palatino Linotype" w:cs="Palatino Linotype"/>
        </w:rPr>
      </w:pPr>
    </w:p>
    <w:p w14:paraId="78146DC5" w14:textId="77777777" w:rsidR="00C8599E" w:rsidRPr="00E7344E" w:rsidRDefault="00C8599E" w:rsidP="00B24180">
      <w:pPr>
        <w:spacing w:line="360" w:lineRule="auto"/>
        <w:jc w:val="both"/>
        <w:rPr>
          <w:rFonts w:ascii="Palatino Linotype" w:eastAsia="Palatino Linotype" w:hAnsi="Palatino Linotype" w:cs="Palatino Linotype"/>
        </w:rPr>
      </w:pPr>
    </w:p>
    <w:p w14:paraId="42C42750" w14:textId="77777777" w:rsidR="00C8599E" w:rsidRPr="00E7344E" w:rsidRDefault="00C8599E" w:rsidP="00B24180">
      <w:pPr>
        <w:spacing w:line="360" w:lineRule="auto"/>
        <w:jc w:val="both"/>
        <w:rPr>
          <w:rFonts w:ascii="Palatino Linotype" w:eastAsia="Palatino Linotype" w:hAnsi="Palatino Linotype" w:cs="Palatino Linotype"/>
        </w:rPr>
      </w:pPr>
    </w:p>
    <w:p w14:paraId="7A24EE91" w14:textId="77777777" w:rsidR="00C8599E" w:rsidRPr="00E7344E" w:rsidRDefault="00C8599E" w:rsidP="00B24180">
      <w:pPr>
        <w:spacing w:line="360" w:lineRule="auto"/>
        <w:jc w:val="both"/>
        <w:rPr>
          <w:rFonts w:ascii="Palatino Linotype" w:eastAsia="Palatino Linotype" w:hAnsi="Palatino Linotype" w:cs="Palatino Linotype"/>
        </w:rPr>
      </w:pPr>
    </w:p>
    <w:p w14:paraId="75E12DF4" w14:textId="77777777" w:rsidR="00C8599E" w:rsidRPr="00E7344E" w:rsidRDefault="00C8599E" w:rsidP="00B24180">
      <w:pPr>
        <w:spacing w:line="360" w:lineRule="auto"/>
        <w:jc w:val="both"/>
        <w:rPr>
          <w:rFonts w:ascii="Palatino Linotype" w:eastAsia="Palatino Linotype" w:hAnsi="Palatino Linotype" w:cs="Palatino Linotype"/>
        </w:rPr>
      </w:pPr>
    </w:p>
    <w:p w14:paraId="5AACDE74" w14:textId="77777777" w:rsidR="00C8599E" w:rsidRPr="00E7344E" w:rsidRDefault="00C8599E" w:rsidP="00B24180">
      <w:pPr>
        <w:spacing w:line="360" w:lineRule="auto"/>
        <w:jc w:val="both"/>
        <w:rPr>
          <w:rFonts w:ascii="Palatino Linotype" w:eastAsia="Palatino Linotype" w:hAnsi="Palatino Linotype" w:cs="Palatino Linotype"/>
        </w:rPr>
      </w:pPr>
    </w:p>
    <w:p w14:paraId="34DEE8E0" w14:textId="77777777" w:rsidR="00C8599E" w:rsidRPr="00E7344E" w:rsidRDefault="00C8599E" w:rsidP="00B24180">
      <w:pPr>
        <w:spacing w:line="360" w:lineRule="auto"/>
        <w:jc w:val="both"/>
        <w:rPr>
          <w:rFonts w:ascii="Palatino Linotype" w:eastAsia="Palatino Linotype" w:hAnsi="Palatino Linotype" w:cs="Palatino Linotype"/>
        </w:rPr>
      </w:pPr>
    </w:p>
    <w:p w14:paraId="66989FF5" w14:textId="77777777" w:rsidR="00C8599E" w:rsidRPr="00E7344E" w:rsidRDefault="00C8599E" w:rsidP="00B24180">
      <w:pPr>
        <w:spacing w:line="360" w:lineRule="auto"/>
        <w:jc w:val="both"/>
        <w:rPr>
          <w:rFonts w:ascii="Palatino Linotype" w:eastAsia="Palatino Linotype" w:hAnsi="Palatino Linotype" w:cs="Palatino Linotype"/>
        </w:rPr>
      </w:pPr>
    </w:p>
    <w:p w14:paraId="083D57E5" w14:textId="77777777" w:rsidR="00C8599E" w:rsidRPr="00E7344E" w:rsidRDefault="00C8599E" w:rsidP="00B24180">
      <w:pPr>
        <w:spacing w:line="360" w:lineRule="auto"/>
        <w:jc w:val="both"/>
        <w:rPr>
          <w:rFonts w:ascii="Palatino Linotype" w:eastAsia="Palatino Linotype" w:hAnsi="Palatino Linotype" w:cs="Palatino Linotype"/>
        </w:rPr>
      </w:pPr>
    </w:p>
    <w:p w14:paraId="34619028" w14:textId="77777777" w:rsidR="00C8599E" w:rsidRPr="00E7344E" w:rsidRDefault="00C8599E" w:rsidP="00B24180">
      <w:pPr>
        <w:spacing w:line="360" w:lineRule="auto"/>
        <w:jc w:val="both"/>
        <w:rPr>
          <w:rFonts w:ascii="Palatino Linotype" w:eastAsia="Palatino Linotype" w:hAnsi="Palatino Linotype" w:cs="Palatino Linotype"/>
        </w:rPr>
      </w:pPr>
    </w:p>
    <w:p w14:paraId="1DE42F91" w14:textId="77777777" w:rsidR="00C8599E" w:rsidRPr="00E7344E" w:rsidRDefault="00C8599E" w:rsidP="00B24180">
      <w:pPr>
        <w:spacing w:line="360" w:lineRule="auto"/>
        <w:jc w:val="both"/>
        <w:rPr>
          <w:rFonts w:ascii="Palatino Linotype" w:eastAsia="Palatino Linotype" w:hAnsi="Palatino Linotype" w:cs="Palatino Linotype"/>
        </w:rPr>
      </w:pPr>
    </w:p>
    <w:p w14:paraId="560189C4" w14:textId="77777777" w:rsidR="00C8599E" w:rsidRPr="00E7344E" w:rsidRDefault="00C8599E" w:rsidP="00B24180">
      <w:pPr>
        <w:spacing w:line="360" w:lineRule="auto"/>
        <w:jc w:val="both"/>
        <w:rPr>
          <w:rFonts w:ascii="Palatino Linotype" w:eastAsia="Palatino Linotype" w:hAnsi="Palatino Linotype" w:cs="Palatino Linotype"/>
        </w:rPr>
      </w:pPr>
    </w:p>
    <w:p w14:paraId="140F17F8" w14:textId="77777777" w:rsidR="00C8599E" w:rsidRPr="00E7344E" w:rsidRDefault="00C8599E" w:rsidP="00B24180">
      <w:pPr>
        <w:spacing w:line="360" w:lineRule="auto"/>
        <w:jc w:val="both"/>
        <w:rPr>
          <w:rFonts w:ascii="Palatino Linotype" w:eastAsia="Palatino Linotype" w:hAnsi="Palatino Linotype" w:cs="Palatino Linotype"/>
        </w:rPr>
      </w:pPr>
    </w:p>
    <w:p w14:paraId="221750EC" w14:textId="77777777" w:rsidR="00C8599E" w:rsidRPr="00E7344E" w:rsidRDefault="00C8599E" w:rsidP="00B24180">
      <w:pPr>
        <w:spacing w:line="360" w:lineRule="auto"/>
        <w:jc w:val="both"/>
        <w:rPr>
          <w:rFonts w:ascii="Palatino Linotype" w:eastAsia="Palatino Linotype" w:hAnsi="Palatino Linotype" w:cs="Palatino Linotype"/>
        </w:rPr>
      </w:pPr>
    </w:p>
    <w:p w14:paraId="738840AD" w14:textId="77777777" w:rsidR="00C8599E" w:rsidRPr="00E7344E" w:rsidRDefault="00C8599E" w:rsidP="00B24180">
      <w:pPr>
        <w:spacing w:line="360" w:lineRule="auto"/>
        <w:jc w:val="both"/>
        <w:rPr>
          <w:rFonts w:ascii="Palatino Linotype" w:eastAsia="Palatino Linotype" w:hAnsi="Palatino Linotype" w:cs="Palatino Linotype"/>
        </w:rPr>
      </w:pPr>
    </w:p>
    <w:p w14:paraId="4D262FF9" w14:textId="77777777" w:rsidR="00C8599E" w:rsidRPr="00E7344E" w:rsidRDefault="00C8599E" w:rsidP="00B24180">
      <w:pPr>
        <w:spacing w:line="360" w:lineRule="auto"/>
        <w:jc w:val="both"/>
        <w:rPr>
          <w:rFonts w:ascii="Palatino Linotype" w:eastAsia="Palatino Linotype" w:hAnsi="Palatino Linotype" w:cs="Palatino Linotype"/>
        </w:rPr>
      </w:pPr>
    </w:p>
    <w:p w14:paraId="4D0B3880" w14:textId="77777777" w:rsidR="00C8599E" w:rsidRPr="00E7344E" w:rsidRDefault="00C8599E" w:rsidP="00B24180">
      <w:pPr>
        <w:spacing w:line="360" w:lineRule="auto"/>
        <w:jc w:val="both"/>
        <w:rPr>
          <w:rFonts w:ascii="Palatino Linotype" w:eastAsia="Palatino Linotype" w:hAnsi="Palatino Linotype" w:cs="Palatino Linotype"/>
        </w:rPr>
      </w:pPr>
    </w:p>
    <w:p w14:paraId="4283668F" w14:textId="77777777" w:rsidR="00C8599E" w:rsidRPr="00E7344E" w:rsidRDefault="00C8599E" w:rsidP="00B24180">
      <w:pPr>
        <w:spacing w:line="360" w:lineRule="auto"/>
        <w:jc w:val="both"/>
        <w:rPr>
          <w:rFonts w:ascii="Palatino Linotype" w:eastAsia="Palatino Linotype" w:hAnsi="Palatino Linotype" w:cs="Palatino Linotype"/>
        </w:rPr>
      </w:pPr>
      <w:bookmarkStart w:id="13" w:name="_heading=h.dluxxr715a9d" w:colFirst="0" w:colLast="0"/>
      <w:bookmarkEnd w:id="13"/>
    </w:p>
    <w:sectPr w:rsidR="00C8599E" w:rsidRPr="00E7344E">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6524A" w14:textId="77777777" w:rsidR="000E1FD9" w:rsidRDefault="000E1FD9">
      <w:r>
        <w:separator/>
      </w:r>
    </w:p>
  </w:endnote>
  <w:endnote w:type="continuationSeparator" w:id="0">
    <w:p w14:paraId="1D516367" w14:textId="77777777" w:rsidR="000E1FD9" w:rsidRDefault="000E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B7BD" w14:textId="3A64C35D" w:rsidR="00E50201" w:rsidRDefault="00E5020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50FB9">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50FB9">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409C8316" w14:textId="77777777" w:rsidR="00E50201" w:rsidRDefault="00E5020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FD19" w14:textId="65EFB467" w:rsidR="00E50201" w:rsidRDefault="00E5020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50FB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50FB9">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13DC87EB" w14:textId="77777777" w:rsidR="00E50201" w:rsidRDefault="00E5020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BF07A" w14:textId="77777777" w:rsidR="000E1FD9" w:rsidRDefault="000E1FD9">
      <w:r>
        <w:separator/>
      </w:r>
    </w:p>
  </w:footnote>
  <w:footnote w:type="continuationSeparator" w:id="0">
    <w:p w14:paraId="224A89AE" w14:textId="77777777" w:rsidR="000E1FD9" w:rsidRDefault="000E1FD9">
      <w:r>
        <w:continuationSeparator/>
      </w:r>
    </w:p>
  </w:footnote>
  <w:footnote w:id="1">
    <w:p w14:paraId="1C054879" w14:textId="77777777" w:rsidR="00BD3F67" w:rsidRDefault="00BD3F67" w:rsidP="00BD3F67">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 115.</w:t>
      </w:r>
    </w:p>
  </w:footnote>
  <w:footnote w:id="2">
    <w:p w14:paraId="11BA0FB8" w14:textId="77777777" w:rsidR="00BD3F67" w:rsidRDefault="00BD3F67" w:rsidP="00BD3F6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CIENFUEGOS SALGADO David. El Derecho de Petición en México. Ed. Instituto de Investigaciones Jurídica UNAM. México 2004. p. 31</w:t>
      </w:r>
    </w:p>
  </w:footnote>
  <w:footnote w:id="3">
    <w:p w14:paraId="29F9BD71" w14:textId="77777777" w:rsidR="00BD3F67" w:rsidRDefault="00BD3F67" w:rsidP="00BD3F6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ROBLES HERNÁNDEZ José Guadalupe. Derecho de la Información y Comunicación Pública. Ed. Universidad de Occidente. México. 2004, p. 72.</w:t>
      </w:r>
    </w:p>
  </w:footnote>
  <w:footnote w:id="4">
    <w:p w14:paraId="6CE56958" w14:textId="77777777" w:rsidR="00BD3F67" w:rsidRDefault="00BD3F67" w:rsidP="00BD3F67">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VILLANUEVA VILLANUEVA Ernesto. Derecho de la Información, Ed. Porrúa. S.A., México. 2006. p. 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59D0" w14:textId="77777777" w:rsidR="00E50201" w:rsidRDefault="00E50201">
    <w:pPr>
      <w:rPr>
        <w:rFonts w:ascii="Cambria" w:eastAsia="Cambria" w:hAnsi="Cambria" w:cs="Cambria"/>
        <w:color w:val="000000"/>
      </w:rPr>
    </w:pPr>
    <w:r>
      <w:rPr>
        <w:noProof/>
      </w:rPr>
      <w:drawing>
        <wp:anchor distT="0" distB="0" distL="0" distR="0" simplePos="0" relativeHeight="251658240" behindDoc="1" locked="0" layoutInCell="1" hidden="0" allowOverlap="1" wp14:anchorId="1A9F9F53" wp14:editId="78AFF217">
          <wp:simplePos x="0" y="0"/>
          <wp:positionH relativeFrom="column">
            <wp:posOffset>-1080132</wp:posOffset>
          </wp:positionH>
          <wp:positionV relativeFrom="paragraph">
            <wp:posOffset>-488259</wp:posOffset>
          </wp:positionV>
          <wp:extent cx="7809865" cy="10165715"/>
          <wp:effectExtent l="0" t="0" r="0" b="0"/>
          <wp:wrapNone/>
          <wp:docPr id="21401318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5953" w:type="dxa"/>
      <w:tblInd w:w="3261" w:type="dxa"/>
      <w:tblLayout w:type="fixed"/>
      <w:tblLook w:val="0400" w:firstRow="0" w:lastRow="0" w:firstColumn="0" w:lastColumn="0" w:noHBand="0" w:noVBand="1"/>
    </w:tblPr>
    <w:tblGrid>
      <w:gridCol w:w="2489"/>
      <w:gridCol w:w="3464"/>
    </w:tblGrid>
    <w:tr w:rsidR="00E50201" w14:paraId="6EDDB215" w14:textId="77777777">
      <w:tc>
        <w:tcPr>
          <w:tcW w:w="2489" w:type="dxa"/>
        </w:tcPr>
        <w:p w14:paraId="302A7228" w14:textId="77777777" w:rsidR="00E50201" w:rsidRDefault="00E502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76A2A17" w14:textId="3024189E" w:rsidR="00E50201" w:rsidRDefault="00E5020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D23A8">
            <w:rPr>
              <w:rFonts w:ascii="Palatino Linotype" w:eastAsia="Palatino Linotype" w:hAnsi="Palatino Linotype" w:cs="Palatino Linotype"/>
              <w:b/>
              <w:sz w:val="22"/>
              <w:szCs w:val="22"/>
            </w:rPr>
            <w:t>6544</w:t>
          </w:r>
          <w:r>
            <w:rPr>
              <w:rFonts w:ascii="Palatino Linotype" w:eastAsia="Palatino Linotype" w:hAnsi="Palatino Linotype" w:cs="Palatino Linotype"/>
              <w:b/>
              <w:sz w:val="22"/>
              <w:szCs w:val="22"/>
            </w:rPr>
            <w:t>/INFOEM/IP/RR/2025</w:t>
          </w:r>
        </w:p>
      </w:tc>
    </w:tr>
    <w:tr w:rsidR="00E50201" w14:paraId="4E9B0392" w14:textId="77777777">
      <w:trPr>
        <w:trHeight w:val="228"/>
      </w:trPr>
      <w:tc>
        <w:tcPr>
          <w:tcW w:w="2489" w:type="dxa"/>
          <w:vAlign w:val="center"/>
        </w:tcPr>
        <w:p w14:paraId="4A05C7E3" w14:textId="77777777" w:rsidR="00E50201" w:rsidRDefault="00E502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AD23DD5" w14:textId="104E68D2" w:rsidR="00E50201" w:rsidRDefault="00ED23A8">
          <w:pPr>
            <w:ind w:left="-45" w:right="176"/>
            <w:jc w:val="both"/>
            <w:rPr>
              <w:rFonts w:ascii="Palatino Linotype" w:eastAsia="Palatino Linotype" w:hAnsi="Palatino Linotype" w:cs="Palatino Linotype"/>
              <w:b/>
              <w:sz w:val="22"/>
              <w:szCs w:val="22"/>
            </w:rPr>
          </w:pPr>
          <w:r w:rsidRPr="00ED23A8">
            <w:rPr>
              <w:rFonts w:ascii="Palatino Linotype" w:eastAsia="Palatino Linotype" w:hAnsi="Palatino Linotype" w:cs="Palatino Linotype"/>
              <w:b/>
              <w:sz w:val="22"/>
              <w:szCs w:val="22"/>
            </w:rPr>
            <w:t>Ayuntamiento de Temoaya</w:t>
          </w:r>
        </w:p>
      </w:tc>
    </w:tr>
    <w:tr w:rsidR="00E50201" w14:paraId="0D6CEC7C" w14:textId="77777777">
      <w:tc>
        <w:tcPr>
          <w:tcW w:w="2489" w:type="dxa"/>
          <w:vAlign w:val="center"/>
        </w:tcPr>
        <w:p w14:paraId="2BE4E729" w14:textId="77777777" w:rsidR="00E50201" w:rsidRDefault="00E5020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784D1AF" w14:textId="77777777" w:rsidR="00E50201" w:rsidRDefault="00E5020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6B91695" w14:textId="77777777" w:rsidR="00E50201" w:rsidRDefault="00E5020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983" w14:textId="77777777" w:rsidR="00E50201" w:rsidRDefault="00E5020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0E74C60" wp14:editId="1469C7A2">
          <wp:simplePos x="0" y="0"/>
          <wp:positionH relativeFrom="column">
            <wp:posOffset>-1080131</wp:posOffset>
          </wp:positionH>
          <wp:positionV relativeFrom="paragraph">
            <wp:posOffset>-369890</wp:posOffset>
          </wp:positionV>
          <wp:extent cx="7809865" cy="10165715"/>
          <wp:effectExtent l="0" t="0" r="0" b="0"/>
          <wp:wrapNone/>
          <wp:docPr id="21401318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5953" w:type="dxa"/>
      <w:tblInd w:w="3261" w:type="dxa"/>
      <w:tblLayout w:type="fixed"/>
      <w:tblLook w:val="0400" w:firstRow="0" w:lastRow="0" w:firstColumn="0" w:lastColumn="0" w:noHBand="0" w:noVBand="1"/>
    </w:tblPr>
    <w:tblGrid>
      <w:gridCol w:w="2489"/>
      <w:gridCol w:w="3464"/>
    </w:tblGrid>
    <w:tr w:rsidR="00E50201" w14:paraId="204201FA" w14:textId="77777777">
      <w:tc>
        <w:tcPr>
          <w:tcW w:w="2489" w:type="dxa"/>
        </w:tcPr>
        <w:p w14:paraId="47B83E8E" w14:textId="77777777" w:rsidR="00E50201" w:rsidRDefault="00E502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0244B0DF" w14:textId="0E09FADD" w:rsidR="00E50201" w:rsidRDefault="00E5020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ED23A8">
            <w:rPr>
              <w:rFonts w:ascii="Palatino Linotype" w:eastAsia="Palatino Linotype" w:hAnsi="Palatino Linotype" w:cs="Palatino Linotype"/>
              <w:b/>
              <w:sz w:val="22"/>
              <w:szCs w:val="22"/>
            </w:rPr>
            <w:t>6544</w:t>
          </w:r>
          <w:r>
            <w:rPr>
              <w:rFonts w:ascii="Palatino Linotype" w:eastAsia="Palatino Linotype" w:hAnsi="Palatino Linotype" w:cs="Palatino Linotype"/>
              <w:b/>
              <w:sz w:val="22"/>
              <w:szCs w:val="22"/>
            </w:rPr>
            <w:t>/INFOEM/IP/RR/2025</w:t>
          </w:r>
        </w:p>
      </w:tc>
    </w:tr>
    <w:tr w:rsidR="00E50201" w14:paraId="3C7A527A" w14:textId="77777777">
      <w:tc>
        <w:tcPr>
          <w:tcW w:w="2489" w:type="dxa"/>
        </w:tcPr>
        <w:p w14:paraId="1F5298AF" w14:textId="77777777" w:rsidR="00E50201" w:rsidRDefault="00E502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3EB83948" w14:textId="2105D3EA" w:rsidR="00E50201" w:rsidRDefault="00850FB9" w:rsidP="00850FB9">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 xml:space="preserve">XXXXXXXXX XXXXXXX </w:t>
          </w:r>
        </w:p>
      </w:tc>
    </w:tr>
    <w:tr w:rsidR="00E50201" w14:paraId="4955EEF1" w14:textId="77777777">
      <w:trPr>
        <w:trHeight w:val="228"/>
      </w:trPr>
      <w:tc>
        <w:tcPr>
          <w:tcW w:w="2489" w:type="dxa"/>
          <w:vAlign w:val="center"/>
        </w:tcPr>
        <w:p w14:paraId="3BBAEB8F" w14:textId="77777777" w:rsidR="00E50201" w:rsidRDefault="00E502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CEBB39B" w14:textId="7DE0A5E7" w:rsidR="00E50201" w:rsidRDefault="00ED23A8">
          <w:pPr>
            <w:ind w:left="-45" w:right="176"/>
            <w:jc w:val="both"/>
            <w:rPr>
              <w:rFonts w:ascii="Palatino Linotype" w:eastAsia="Palatino Linotype" w:hAnsi="Palatino Linotype" w:cs="Palatino Linotype"/>
              <w:b/>
              <w:sz w:val="22"/>
              <w:szCs w:val="22"/>
            </w:rPr>
          </w:pPr>
          <w:r w:rsidRPr="00ED23A8">
            <w:rPr>
              <w:rFonts w:ascii="Palatino Linotype" w:eastAsia="Palatino Linotype" w:hAnsi="Palatino Linotype" w:cs="Palatino Linotype"/>
              <w:b/>
              <w:sz w:val="22"/>
              <w:szCs w:val="22"/>
            </w:rPr>
            <w:t>Ayuntamiento de Temoaya</w:t>
          </w:r>
        </w:p>
      </w:tc>
    </w:tr>
    <w:tr w:rsidR="00E50201" w14:paraId="18829BB7" w14:textId="77777777">
      <w:tc>
        <w:tcPr>
          <w:tcW w:w="2489" w:type="dxa"/>
          <w:vAlign w:val="center"/>
        </w:tcPr>
        <w:p w14:paraId="00BC5EC8" w14:textId="77777777" w:rsidR="00E50201" w:rsidRDefault="00E5020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58CE038" w14:textId="77777777" w:rsidR="00E50201" w:rsidRDefault="00E5020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9C727A" w14:textId="77777777" w:rsidR="00E50201" w:rsidRDefault="00E5020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3330D"/>
    <w:multiLevelType w:val="multilevel"/>
    <w:tmpl w:val="7CAE87E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9E"/>
    <w:rsid w:val="00021536"/>
    <w:rsid w:val="00040F29"/>
    <w:rsid w:val="00043B5E"/>
    <w:rsid w:val="0007660B"/>
    <w:rsid w:val="00083734"/>
    <w:rsid w:val="000E1FD9"/>
    <w:rsid w:val="00141E19"/>
    <w:rsid w:val="00157369"/>
    <w:rsid w:val="001614A0"/>
    <w:rsid w:val="001748C3"/>
    <w:rsid w:val="001B3413"/>
    <w:rsid w:val="001C0D7C"/>
    <w:rsid w:val="001F642E"/>
    <w:rsid w:val="00267C10"/>
    <w:rsid w:val="00277A28"/>
    <w:rsid w:val="00291E2D"/>
    <w:rsid w:val="002C3C3F"/>
    <w:rsid w:val="002F3A5F"/>
    <w:rsid w:val="00381837"/>
    <w:rsid w:val="00393E6B"/>
    <w:rsid w:val="003D454C"/>
    <w:rsid w:val="00401AE4"/>
    <w:rsid w:val="004145A4"/>
    <w:rsid w:val="00440359"/>
    <w:rsid w:val="00470D01"/>
    <w:rsid w:val="0048315A"/>
    <w:rsid w:val="00485F32"/>
    <w:rsid w:val="004909CF"/>
    <w:rsid w:val="004909E1"/>
    <w:rsid w:val="004946BC"/>
    <w:rsid w:val="005464BF"/>
    <w:rsid w:val="0056181C"/>
    <w:rsid w:val="005830AB"/>
    <w:rsid w:val="00591E70"/>
    <w:rsid w:val="005A1C30"/>
    <w:rsid w:val="005E73F0"/>
    <w:rsid w:val="006044DA"/>
    <w:rsid w:val="006231C2"/>
    <w:rsid w:val="006321B6"/>
    <w:rsid w:val="00635DF2"/>
    <w:rsid w:val="00724AE6"/>
    <w:rsid w:val="00761E4F"/>
    <w:rsid w:val="00782376"/>
    <w:rsid w:val="00782C32"/>
    <w:rsid w:val="00812BF1"/>
    <w:rsid w:val="00850FB9"/>
    <w:rsid w:val="00895395"/>
    <w:rsid w:val="008A6067"/>
    <w:rsid w:val="008B4DFE"/>
    <w:rsid w:val="009474C2"/>
    <w:rsid w:val="009B0D0A"/>
    <w:rsid w:val="009B5B05"/>
    <w:rsid w:val="009C1DCB"/>
    <w:rsid w:val="009D7BCF"/>
    <w:rsid w:val="00A15511"/>
    <w:rsid w:val="00AA4ED8"/>
    <w:rsid w:val="00AB5798"/>
    <w:rsid w:val="00AD16A1"/>
    <w:rsid w:val="00B24180"/>
    <w:rsid w:val="00BA045E"/>
    <w:rsid w:val="00BB6FD2"/>
    <w:rsid w:val="00BC58DA"/>
    <w:rsid w:val="00BD3F67"/>
    <w:rsid w:val="00BF0A93"/>
    <w:rsid w:val="00C0463D"/>
    <w:rsid w:val="00C3718E"/>
    <w:rsid w:val="00C8599E"/>
    <w:rsid w:val="00CF3CAC"/>
    <w:rsid w:val="00CF7678"/>
    <w:rsid w:val="00D33B8E"/>
    <w:rsid w:val="00D4752F"/>
    <w:rsid w:val="00D922DE"/>
    <w:rsid w:val="00DF7027"/>
    <w:rsid w:val="00E50201"/>
    <w:rsid w:val="00E7344E"/>
    <w:rsid w:val="00ED23A8"/>
    <w:rsid w:val="00F72403"/>
    <w:rsid w:val="00FA2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807D"/>
  <w15:docId w15:val="{A40F929D-76F9-49F9-A018-66F60709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Mi9+B5xi+r+YBIpValnNc0xA3g==">CgMxLjAyDmguZGFqM2oyeG82cTY2MghoLmdqZGd4czIJaC4zZHk2dmttMgloLjMwajB6bGwyCWguMnM4ZXlvMTIIaC50eWpjd3QyCWguM3pueXNoNzIJaC4yZXQ5MnAwMgloLjF0M2g1c2YyCWguMWZvYjl0ZTIOaC5obnp4c2NoNWd5c3oyDmgub3QzcXE2dnhhMDhmMghoLmxueGJ6OTIOaC5kbHV4eHI3MTVhOWQ4AHIhMXllTk0xZE5yaFRXN25XZTR1cjE5RWdlMlJENGdUaE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10958</Words>
  <Characters>60275</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2025-10-03T19:29:00Z</cp:lastPrinted>
  <dcterms:created xsi:type="dcterms:W3CDTF">2025-11-11T19:55:00Z</dcterms:created>
  <dcterms:modified xsi:type="dcterms:W3CDTF">2025-11-11T19:55:00Z</dcterms:modified>
</cp:coreProperties>
</file>