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xrwxbk2mq3an" w:colFirst="0" w:colLast="0" w:displacedByCustomXml="next"/>
    <w:bookmarkEnd w:id="0" w:displacedByCustomXml="next"/>
    <w:sdt>
      <w:sdtPr>
        <w:rPr>
          <w:rFonts w:ascii="Palatino Linotype" w:eastAsia="Palatino Linotype" w:hAnsi="Palatino Linotype" w:cs="Palatino Linotype"/>
          <w:color w:val="auto"/>
          <w:sz w:val="22"/>
          <w:szCs w:val="22"/>
          <w:lang w:val="es-ES"/>
        </w:rPr>
        <w:id w:val="-1962181457"/>
        <w:docPartObj>
          <w:docPartGallery w:val="Table of Contents"/>
          <w:docPartUnique/>
        </w:docPartObj>
      </w:sdtPr>
      <w:sdtEndPr>
        <w:rPr>
          <w:b/>
          <w:bCs/>
        </w:rPr>
      </w:sdtEndPr>
      <w:sdtContent>
        <w:p w14:paraId="709BFF6B" w14:textId="4E704EA5" w:rsidR="00000CE2" w:rsidRDefault="00000CE2">
          <w:pPr>
            <w:pStyle w:val="TtulodeTDC"/>
          </w:pPr>
          <w:r>
            <w:rPr>
              <w:lang w:val="es-ES"/>
            </w:rPr>
            <w:t>Tabla de contenido</w:t>
          </w:r>
        </w:p>
        <w:p w14:paraId="526D94E9" w14:textId="77777777" w:rsidR="00085834" w:rsidRDefault="00000CE2">
          <w:pPr>
            <w:pStyle w:val="TDC1"/>
            <w:tabs>
              <w:tab w:val="right" w:leader="dot" w:pos="9204"/>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1526349" w:history="1">
            <w:r w:rsidR="00085834" w:rsidRPr="0089313D">
              <w:rPr>
                <w:rStyle w:val="Hipervnculo"/>
                <w:noProof/>
              </w:rPr>
              <w:t>A N T E C E D E N T E S</w:t>
            </w:r>
            <w:r w:rsidR="00085834">
              <w:rPr>
                <w:noProof/>
                <w:webHidden/>
              </w:rPr>
              <w:tab/>
            </w:r>
            <w:r w:rsidR="00085834">
              <w:rPr>
                <w:noProof/>
                <w:webHidden/>
              </w:rPr>
              <w:fldChar w:fldCharType="begin"/>
            </w:r>
            <w:r w:rsidR="00085834">
              <w:rPr>
                <w:noProof/>
                <w:webHidden/>
              </w:rPr>
              <w:instrText xml:space="preserve"> PAGEREF _Toc211526349 \h </w:instrText>
            </w:r>
            <w:r w:rsidR="00085834">
              <w:rPr>
                <w:noProof/>
                <w:webHidden/>
              </w:rPr>
            </w:r>
            <w:r w:rsidR="00085834">
              <w:rPr>
                <w:noProof/>
                <w:webHidden/>
              </w:rPr>
              <w:fldChar w:fldCharType="separate"/>
            </w:r>
            <w:r w:rsidR="00A020C2">
              <w:rPr>
                <w:noProof/>
                <w:webHidden/>
              </w:rPr>
              <w:t>2</w:t>
            </w:r>
            <w:r w:rsidR="00085834">
              <w:rPr>
                <w:noProof/>
                <w:webHidden/>
              </w:rPr>
              <w:fldChar w:fldCharType="end"/>
            </w:r>
          </w:hyperlink>
        </w:p>
        <w:p w14:paraId="50F685EF" w14:textId="77777777" w:rsidR="00085834" w:rsidRDefault="00C453E0">
          <w:pPr>
            <w:pStyle w:val="TDC2"/>
            <w:tabs>
              <w:tab w:val="right" w:leader="dot" w:pos="9204"/>
            </w:tabs>
            <w:rPr>
              <w:rFonts w:asciiTheme="minorHAnsi" w:eastAsiaTheme="minorEastAsia" w:hAnsiTheme="minorHAnsi" w:cstheme="minorBidi"/>
              <w:noProof/>
            </w:rPr>
          </w:pPr>
          <w:hyperlink w:anchor="_Toc211526350" w:history="1">
            <w:r w:rsidR="00085834" w:rsidRPr="0089313D">
              <w:rPr>
                <w:rStyle w:val="Hipervnculo"/>
                <w:noProof/>
              </w:rPr>
              <w:t>I. Presentación de la solicitud de información</w:t>
            </w:r>
            <w:r w:rsidR="00085834">
              <w:rPr>
                <w:noProof/>
                <w:webHidden/>
              </w:rPr>
              <w:tab/>
            </w:r>
            <w:r w:rsidR="00085834">
              <w:rPr>
                <w:noProof/>
                <w:webHidden/>
              </w:rPr>
              <w:fldChar w:fldCharType="begin"/>
            </w:r>
            <w:r w:rsidR="00085834">
              <w:rPr>
                <w:noProof/>
                <w:webHidden/>
              </w:rPr>
              <w:instrText xml:space="preserve"> PAGEREF _Toc211526350 \h </w:instrText>
            </w:r>
            <w:r w:rsidR="00085834">
              <w:rPr>
                <w:noProof/>
                <w:webHidden/>
              </w:rPr>
            </w:r>
            <w:r w:rsidR="00085834">
              <w:rPr>
                <w:noProof/>
                <w:webHidden/>
              </w:rPr>
              <w:fldChar w:fldCharType="separate"/>
            </w:r>
            <w:r w:rsidR="00A020C2">
              <w:rPr>
                <w:noProof/>
                <w:webHidden/>
              </w:rPr>
              <w:t>2</w:t>
            </w:r>
            <w:r w:rsidR="00085834">
              <w:rPr>
                <w:noProof/>
                <w:webHidden/>
              </w:rPr>
              <w:fldChar w:fldCharType="end"/>
            </w:r>
          </w:hyperlink>
        </w:p>
        <w:p w14:paraId="1C7D131E" w14:textId="77777777" w:rsidR="00085834" w:rsidRDefault="00C453E0">
          <w:pPr>
            <w:pStyle w:val="TDC2"/>
            <w:tabs>
              <w:tab w:val="right" w:leader="dot" w:pos="9204"/>
            </w:tabs>
            <w:rPr>
              <w:rFonts w:asciiTheme="minorHAnsi" w:eastAsiaTheme="minorEastAsia" w:hAnsiTheme="minorHAnsi" w:cstheme="minorBidi"/>
              <w:noProof/>
            </w:rPr>
          </w:pPr>
          <w:hyperlink w:anchor="_Toc211526351" w:history="1">
            <w:r w:rsidR="00085834" w:rsidRPr="0089313D">
              <w:rPr>
                <w:rStyle w:val="Hipervnculo"/>
                <w:noProof/>
              </w:rPr>
              <w:t>II. Respuesta del Sujeto Obligado</w:t>
            </w:r>
            <w:r w:rsidR="00085834">
              <w:rPr>
                <w:noProof/>
                <w:webHidden/>
              </w:rPr>
              <w:tab/>
            </w:r>
            <w:r w:rsidR="00085834">
              <w:rPr>
                <w:noProof/>
                <w:webHidden/>
              </w:rPr>
              <w:fldChar w:fldCharType="begin"/>
            </w:r>
            <w:r w:rsidR="00085834">
              <w:rPr>
                <w:noProof/>
                <w:webHidden/>
              </w:rPr>
              <w:instrText xml:space="preserve"> PAGEREF _Toc211526351 \h </w:instrText>
            </w:r>
            <w:r w:rsidR="00085834">
              <w:rPr>
                <w:noProof/>
                <w:webHidden/>
              </w:rPr>
            </w:r>
            <w:r w:rsidR="00085834">
              <w:rPr>
                <w:noProof/>
                <w:webHidden/>
              </w:rPr>
              <w:fldChar w:fldCharType="separate"/>
            </w:r>
            <w:r w:rsidR="00A020C2">
              <w:rPr>
                <w:noProof/>
                <w:webHidden/>
              </w:rPr>
              <w:t>3</w:t>
            </w:r>
            <w:r w:rsidR="00085834">
              <w:rPr>
                <w:noProof/>
                <w:webHidden/>
              </w:rPr>
              <w:fldChar w:fldCharType="end"/>
            </w:r>
          </w:hyperlink>
        </w:p>
        <w:p w14:paraId="055331F4" w14:textId="77777777" w:rsidR="00085834" w:rsidRDefault="00C453E0">
          <w:pPr>
            <w:pStyle w:val="TDC2"/>
            <w:tabs>
              <w:tab w:val="right" w:leader="dot" w:pos="9204"/>
            </w:tabs>
            <w:rPr>
              <w:rFonts w:asciiTheme="minorHAnsi" w:eastAsiaTheme="minorEastAsia" w:hAnsiTheme="minorHAnsi" w:cstheme="minorBidi"/>
              <w:noProof/>
            </w:rPr>
          </w:pPr>
          <w:hyperlink w:anchor="_Toc211526352" w:history="1">
            <w:r w:rsidR="00085834" w:rsidRPr="0089313D">
              <w:rPr>
                <w:rStyle w:val="Hipervnculo"/>
                <w:noProof/>
              </w:rPr>
              <w:t>III. Interposición del Recurso de Revisión</w:t>
            </w:r>
            <w:r w:rsidR="00085834">
              <w:rPr>
                <w:noProof/>
                <w:webHidden/>
              </w:rPr>
              <w:tab/>
            </w:r>
            <w:r w:rsidR="00085834">
              <w:rPr>
                <w:noProof/>
                <w:webHidden/>
              </w:rPr>
              <w:fldChar w:fldCharType="begin"/>
            </w:r>
            <w:r w:rsidR="00085834">
              <w:rPr>
                <w:noProof/>
                <w:webHidden/>
              </w:rPr>
              <w:instrText xml:space="preserve"> PAGEREF _Toc211526352 \h </w:instrText>
            </w:r>
            <w:r w:rsidR="00085834">
              <w:rPr>
                <w:noProof/>
                <w:webHidden/>
              </w:rPr>
            </w:r>
            <w:r w:rsidR="00085834">
              <w:rPr>
                <w:noProof/>
                <w:webHidden/>
              </w:rPr>
              <w:fldChar w:fldCharType="separate"/>
            </w:r>
            <w:r w:rsidR="00A020C2">
              <w:rPr>
                <w:noProof/>
                <w:webHidden/>
              </w:rPr>
              <w:t>4</w:t>
            </w:r>
            <w:r w:rsidR="00085834">
              <w:rPr>
                <w:noProof/>
                <w:webHidden/>
              </w:rPr>
              <w:fldChar w:fldCharType="end"/>
            </w:r>
          </w:hyperlink>
        </w:p>
        <w:p w14:paraId="63B01F20" w14:textId="77777777" w:rsidR="00085834" w:rsidRDefault="00C453E0">
          <w:pPr>
            <w:pStyle w:val="TDC2"/>
            <w:tabs>
              <w:tab w:val="right" w:leader="dot" w:pos="9204"/>
            </w:tabs>
            <w:rPr>
              <w:rFonts w:asciiTheme="minorHAnsi" w:eastAsiaTheme="minorEastAsia" w:hAnsiTheme="minorHAnsi" w:cstheme="minorBidi"/>
              <w:noProof/>
            </w:rPr>
          </w:pPr>
          <w:hyperlink w:anchor="_Toc211526353" w:history="1">
            <w:r w:rsidR="00085834" w:rsidRPr="0089313D">
              <w:rPr>
                <w:rStyle w:val="Hipervnculo"/>
                <w:noProof/>
              </w:rPr>
              <w:t>IV. Trámite del Recurso de Revisión ante este Instituto</w:t>
            </w:r>
            <w:r w:rsidR="00085834">
              <w:rPr>
                <w:noProof/>
                <w:webHidden/>
              </w:rPr>
              <w:tab/>
            </w:r>
            <w:r w:rsidR="00085834">
              <w:rPr>
                <w:noProof/>
                <w:webHidden/>
              </w:rPr>
              <w:fldChar w:fldCharType="begin"/>
            </w:r>
            <w:r w:rsidR="00085834">
              <w:rPr>
                <w:noProof/>
                <w:webHidden/>
              </w:rPr>
              <w:instrText xml:space="preserve"> PAGEREF _Toc211526353 \h </w:instrText>
            </w:r>
            <w:r w:rsidR="00085834">
              <w:rPr>
                <w:noProof/>
                <w:webHidden/>
              </w:rPr>
            </w:r>
            <w:r w:rsidR="00085834">
              <w:rPr>
                <w:noProof/>
                <w:webHidden/>
              </w:rPr>
              <w:fldChar w:fldCharType="separate"/>
            </w:r>
            <w:r w:rsidR="00A020C2">
              <w:rPr>
                <w:noProof/>
                <w:webHidden/>
              </w:rPr>
              <w:t>5</w:t>
            </w:r>
            <w:r w:rsidR="00085834">
              <w:rPr>
                <w:noProof/>
                <w:webHidden/>
              </w:rPr>
              <w:fldChar w:fldCharType="end"/>
            </w:r>
          </w:hyperlink>
        </w:p>
        <w:p w14:paraId="76A70562" w14:textId="77777777" w:rsidR="00085834" w:rsidRDefault="00C453E0">
          <w:pPr>
            <w:pStyle w:val="TDC1"/>
            <w:tabs>
              <w:tab w:val="right" w:leader="dot" w:pos="9204"/>
            </w:tabs>
            <w:rPr>
              <w:rFonts w:asciiTheme="minorHAnsi" w:eastAsiaTheme="minorEastAsia" w:hAnsiTheme="minorHAnsi" w:cstheme="minorBidi"/>
              <w:noProof/>
            </w:rPr>
          </w:pPr>
          <w:hyperlink w:anchor="_Toc211526354" w:history="1">
            <w:r w:rsidR="00085834" w:rsidRPr="0089313D">
              <w:rPr>
                <w:rStyle w:val="Hipervnculo"/>
                <w:noProof/>
              </w:rPr>
              <w:t>C O N S I D E R A N D O S</w:t>
            </w:r>
            <w:r w:rsidR="00085834">
              <w:rPr>
                <w:noProof/>
                <w:webHidden/>
              </w:rPr>
              <w:tab/>
            </w:r>
            <w:r w:rsidR="00085834">
              <w:rPr>
                <w:noProof/>
                <w:webHidden/>
              </w:rPr>
              <w:fldChar w:fldCharType="begin"/>
            </w:r>
            <w:r w:rsidR="00085834">
              <w:rPr>
                <w:noProof/>
                <w:webHidden/>
              </w:rPr>
              <w:instrText xml:space="preserve"> PAGEREF _Toc211526354 \h </w:instrText>
            </w:r>
            <w:r w:rsidR="00085834">
              <w:rPr>
                <w:noProof/>
                <w:webHidden/>
              </w:rPr>
            </w:r>
            <w:r w:rsidR="00085834">
              <w:rPr>
                <w:noProof/>
                <w:webHidden/>
              </w:rPr>
              <w:fldChar w:fldCharType="separate"/>
            </w:r>
            <w:r w:rsidR="00A020C2">
              <w:rPr>
                <w:noProof/>
                <w:webHidden/>
              </w:rPr>
              <w:t>6</w:t>
            </w:r>
            <w:r w:rsidR="00085834">
              <w:rPr>
                <w:noProof/>
                <w:webHidden/>
              </w:rPr>
              <w:fldChar w:fldCharType="end"/>
            </w:r>
          </w:hyperlink>
        </w:p>
        <w:p w14:paraId="00867CFD" w14:textId="77777777" w:rsidR="00085834" w:rsidRDefault="00C453E0">
          <w:pPr>
            <w:pStyle w:val="TDC2"/>
            <w:tabs>
              <w:tab w:val="right" w:leader="dot" w:pos="9204"/>
            </w:tabs>
            <w:rPr>
              <w:rFonts w:asciiTheme="minorHAnsi" w:eastAsiaTheme="minorEastAsia" w:hAnsiTheme="minorHAnsi" w:cstheme="minorBidi"/>
              <w:noProof/>
            </w:rPr>
          </w:pPr>
          <w:hyperlink w:anchor="_Toc211526355" w:history="1">
            <w:r w:rsidR="00085834" w:rsidRPr="0089313D">
              <w:rPr>
                <w:rStyle w:val="Hipervnculo"/>
                <w:noProof/>
              </w:rPr>
              <w:t>PRIMERO. Competencia</w:t>
            </w:r>
            <w:r w:rsidR="00085834">
              <w:rPr>
                <w:noProof/>
                <w:webHidden/>
              </w:rPr>
              <w:tab/>
            </w:r>
            <w:r w:rsidR="00085834">
              <w:rPr>
                <w:noProof/>
                <w:webHidden/>
              </w:rPr>
              <w:fldChar w:fldCharType="begin"/>
            </w:r>
            <w:r w:rsidR="00085834">
              <w:rPr>
                <w:noProof/>
                <w:webHidden/>
              </w:rPr>
              <w:instrText xml:space="preserve"> PAGEREF _Toc211526355 \h </w:instrText>
            </w:r>
            <w:r w:rsidR="00085834">
              <w:rPr>
                <w:noProof/>
                <w:webHidden/>
              </w:rPr>
            </w:r>
            <w:r w:rsidR="00085834">
              <w:rPr>
                <w:noProof/>
                <w:webHidden/>
              </w:rPr>
              <w:fldChar w:fldCharType="separate"/>
            </w:r>
            <w:r w:rsidR="00A020C2">
              <w:rPr>
                <w:noProof/>
                <w:webHidden/>
              </w:rPr>
              <w:t>7</w:t>
            </w:r>
            <w:r w:rsidR="00085834">
              <w:rPr>
                <w:noProof/>
                <w:webHidden/>
              </w:rPr>
              <w:fldChar w:fldCharType="end"/>
            </w:r>
          </w:hyperlink>
        </w:p>
        <w:p w14:paraId="4275971B" w14:textId="77777777" w:rsidR="00085834" w:rsidRDefault="00C453E0">
          <w:pPr>
            <w:pStyle w:val="TDC2"/>
            <w:tabs>
              <w:tab w:val="right" w:leader="dot" w:pos="9204"/>
            </w:tabs>
            <w:rPr>
              <w:rFonts w:asciiTheme="minorHAnsi" w:eastAsiaTheme="minorEastAsia" w:hAnsiTheme="minorHAnsi" w:cstheme="minorBidi"/>
              <w:noProof/>
            </w:rPr>
          </w:pPr>
          <w:hyperlink w:anchor="_Toc211526356" w:history="1">
            <w:r w:rsidR="00085834" w:rsidRPr="0089313D">
              <w:rPr>
                <w:rStyle w:val="Hipervnculo"/>
                <w:noProof/>
              </w:rPr>
              <w:t>SEGUNDO. Causales de improcedencia y sobreseimiento</w:t>
            </w:r>
            <w:r w:rsidR="00085834">
              <w:rPr>
                <w:noProof/>
                <w:webHidden/>
              </w:rPr>
              <w:tab/>
            </w:r>
            <w:r w:rsidR="00085834">
              <w:rPr>
                <w:noProof/>
                <w:webHidden/>
              </w:rPr>
              <w:fldChar w:fldCharType="begin"/>
            </w:r>
            <w:r w:rsidR="00085834">
              <w:rPr>
                <w:noProof/>
                <w:webHidden/>
              </w:rPr>
              <w:instrText xml:space="preserve"> PAGEREF _Toc211526356 \h </w:instrText>
            </w:r>
            <w:r w:rsidR="00085834">
              <w:rPr>
                <w:noProof/>
                <w:webHidden/>
              </w:rPr>
            </w:r>
            <w:r w:rsidR="00085834">
              <w:rPr>
                <w:noProof/>
                <w:webHidden/>
              </w:rPr>
              <w:fldChar w:fldCharType="separate"/>
            </w:r>
            <w:r w:rsidR="00A020C2">
              <w:rPr>
                <w:noProof/>
                <w:webHidden/>
              </w:rPr>
              <w:t>7</w:t>
            </w:r>
            <w:r w:rsidR="00085834">
              <w:rPr>
                <w:noProof/>
                <w:webHidden/>
              </w:rPr>
              <w:fldChar w:fldCharType="end"/>
            </w:r>
          </w:hyperlink>
        </w:p>
        <w:p w14:paraId="3432AC32" w14:textId="77777777" w:rsidR="00085834" w:rsidRDefault="00C453E0">
          <w:pPr>
            <w:pStyle w:val="TDC2"/>
            <w:tabs>
              <w:tab w:val="right" w:leader="dot" w:pos="9204"/>
            </w:tabs>
            <w:rPr>
              <w:rFonts w:asciiTheme="minorHAnsi" w:eastAsiaTheme="minorEastAsia" w:hAnsiTheme="minorHAnsi" w:cstheme="minorBidi"/>
              <w:noProof/>
            </w:rPr>
          </w:pPr>
          <w:hyperlink w:anchor="_Toc211526357" w:history="1">
            <w:r w:rsidR="00085834" w:rsidRPr="0089313D">
              <w:rPr>
                <w:rStyle w:val="Hipervnculo"/>
                <w:noProof/>
              </w:rPr>
              <w:t>CUARTO. Marco normativo aplicable en materia de transparencia y acceso a la información pública</w:t>
            </w:r>
            <w:r w:rsidR="00085834">
              <w:rPr>
                <w:noProof/>
                <w:webHidden/>
              </w:rPr>
              <w:tab/>
            </w:r>
            <w:r w:rsidR="00085834">
              <w:rPr>
                <w:noProof/>
                <w:webHidden/>
              </w:rPr>
              <w:fldChar w:fldCharType="begin"/>
            </w:r>
            <w:r w:rsidR="00085834">
              <w:rPr>
                <w:noProof/>
                <w:webHidden/>
              </w:rPr>
              <w:instrText xml:space="preserve"> PAGEREF _Toc211526357 \h </w:instrText>
            </w:r>
            <w:r w:rsidR="00085834">
              <w:rPr>
                <w:noProof/>
                <w:webHidden/>
              </w:rPr>
            </w:r>
            <w:r w:rsidR="00085834">
              <w:rPr>
                <w:noProof/>
                <w:webHidden/>
              </w:rPr>
              <w:fldChar w:fldCharType="separate"/>
            </w:r>
            <w:r w:rsidR="00A020C2">
              <w:rPr>
                <w:noProof/>
                <w:webHidden/>
              </w:rPr>
              <w:t>10</w:t>
            </w:r>
            <w:r w:rsidR="00085834">
              <w:rPr>
                <w:noProof/>
                <w:webHidden/>
              </w:rPr>
              <w:fldChar w:fldCharType="end"/>
            </w:r>
          </w:hyperlink>
        </w:p>
        <w:p w14:paraId="1704C0C0" w14:textId="77777777" w:rsidR="00085834" w:rsidRDefault="00C453E0">
          <w:pPr>
            <w:pStyle w:val="TDC2"/>
            <w:tabs>
              <w:tab w:val="right" w:leader="dot" w:pos="9204"/>
            </w:tabs>
            <w:rPr>
              <w:rFonts w:asciiTheme="minorHAnsi" w:eastAsiaTheme="minorEastAsia" w:hAnsiTheme="minorHAnsi" w:cstheme="minorBidi"/>
              <w:noProof/>
            </w:rPr>
          </w:pPr>
          <w:hyperlink w:anchor="_Toc211526358" w:history="1">
            <w:r w:rsidR="00085834" w:rsidRPr="0089313D">
              <w:rPr>
                <w:rStyle w:val="Hipervnculo"/>
                <w:smallCaps/>
                <w:noProof/>
              </w:rPr>
              <w:t>QUINTO.</w:t>
            </w:r>
            <w:r w:rsidR="00085834" w:rsidRPr="0089313D">
              <w:rPr>
                <w:rStyle w:val="Hipervnculo"/>
                <w:noProof/>
              </w:rPr>
              <w:t xml:space="preserve"> Estudio de Fondo</w:t>
            </w:r>
            <w:r w:rsidR="00085834">
              <w:rPr>
                <w:noProof/>
                <w:webHidden/>
              </w:rPr>
              <w:tab/>
            </w:r>
            <w:r w:rsidR="00085834">
              <w:rPr>
                <w:noProof/>
                <w:webHidden/>
              </w:rPr>
              <w:fldChar w:fldCharType="begin"/>
            </w:r>
            <w:r w:rsidR="00085834">
              <w:rPr>
                <w:noProof/>
                <w:webHidden/>
              </w:rPr>
              <w:instrText xml:space="preserve"> PAGEREF _Toc211526358 \h </w:instrText>
            </w:r>
            <w:r w:rsidR="00085834">
              <w:rPr>
                <w:noProof/>
                <w:webHidden/>
              </w:rPr>
            </w:r>
            <w:r w:rsidR="00085834">
              <w:rPr>
                <w:noProof/>
                <w:webHidden/>
              </w:rPr>
              <w:fldChar w:fldCharType="separate"/>
            </w:r>
            <w:r w:rsidR="00A020C2">
              <w:rPr>
                <w:noProof/>
                <w:webHidden/>
              </w:rPr>
              <w:t>11</w:t>
            </w:r>
            <w:r w:rsidR="00085834">
              <w:rPr>
                <w:noProof/>
                <w:webHidden/>
              </w:rPr>
              <w:fldChar w:fldCharType="end"/>
            </w:r>
          </w:hyperlink>
        </w:p>
        <w:p w14:paraId="2C633D46" w14:textId="77777777" w:rsidR="00085834" w:rsidRDefault="00C453E0">
          <w:pPr>
            <w:pStyle w:val="TDC2"/>
            <w:tabs>
              <w:tab w:val="right" w:leader="dot" w:pos="9204"/>
            </w:tabs>
            <w:rPr>
              <w:rFonts w:asciiTheme="minorHAnsi" w:eastAsiaTheme="minorEastAsia" w:hAnsiTheme="minorHAnsi" w:cstheme="minorBidi"/>
              <w:noProof/>
            </w:rPr>
          </w:pPr>
          <w:hyperlink w:anchor="_Toc211526359" w:history="1">
            <w:r w:rsidR="00085834" w:rsidRPr="0089313D">
              <w:rPr>
                <w:rStyle w:val="Hipervnculo"/>
                <w:noProof/>
              </w:rPr>
              <w:t>SEXTO. Decisión</w:t>
            </w:r>
            <w:r w:rsidR="00085834">
              <w:rPr>
                <w:noProof/>
                <w:webHidden/>
              </w:rPr>
              <w:tab/>
            </w:r>
            <w:r w:rsidR="00085834">
              <w:rPr>
                <w:noProof/>
                <w:webHidden/>
              </w:rPr>
              <w:fldChar w:fldCharType="begin"/>
            </w:r>
            <w:r w:rsidR="00085834">
              <w:rPr>
                <w:noProof/>
                <w:webHidden/>
              </w:rPr>
              <w:instrText xml:space="preserve"> PAGEREF _Toc211526359 \h </w:instrText>
            </w:r>
            <w:r w:rsidR="00085834">
              <w:rPr>
                <w:noProof/>
                <w:webHidden/>
              </w:rPr>
            </w:r>
            <w:r w:rsidR="00085834">
              <w:rPr>
                <w:noProof/>
                <w:webHidden/>
              </w:rPr>
              <w:fldChar w:fldCharType="separate"/>
            </w:r>
            <w:r w:rsidR="00A020C2">
              <w:rPr>
                <w:noProof/>
                <w:webHidden/>
              </w:rPr>
              <w:t>33</w:t>
            </w:r>
            <w:r w:rsidR="00085834">
              <w:rPr>
                <w:noProof/>
                <w:webHidden/>
              </w:rPr>
              <w:fldChar w:fldCharType="end"/>
            </w:r>
          </w:hyperlink>
        </w:p>
        <w:p w14:paraId="763270C1" w14:textId="77777777" w:rsidR="00085834" w:rsidRDefault="00C453E0">
          <w:pPr>
            <w:pStyle w:val="TDC1"/>
            <w:tabs>
              <w:tab w:val="right" w:leader="dot" w:pos="9204"/>
            </w:tabs>
            <w:rPr>
              <w:rFonts w:asciiTheme="minorHAnsi" w:eastAsiaTheme="minorEastAsia" w:hAnsiTheme="minorHAnsi" w:cstheme="minorBidi"/>
              <w:noProof/>
            </w:rPr>
          </w:pPr>
          <w:hyperlink w:anchor="_Toc211526360" w:history="1">
            <w:r w:rsidR="00085834" w:rsidRPr="0089313D">
              <w:rPr>
                <w:rStyle w:val="Hipervnculo"/>
                <w:noProof/>
              </w:rPr>
              <w:t>R E S U E L V E</w:t>
            </w:r>
            <w:r w:rsidR="00085834">
              <w:rPr>
                <w:noProof/>
                <w:webHidden/>
              </w:rPr>
              <w:tab/>
            </w:r>
            <w:r w:rsidR="00085834">
              <w:rPr>
                <w:noProof/>
                <w:webHidden/>
              </w:rPr>
              <w:fldChar w:fldCharType="begin"/>
            </w:r>
            <w:r w:rsidR="00085834">
              <w:rPr>
                <w:noProof/>
                <w:webHidden/>
              </w:rPr>
              <w:instrText xml:space="preserve"> PAGEREF _Toc211526360 \h </w:instrText>
            </w:r>
            <w:r w:rsidR="00085834">
              <w:rPr>
                <w:noProof/>
                <w:webHidden/>
              </w:rPr>
            </w:r>
            <w:r w:rsidR="00085834">
              <w:rPr>
                <w:noProof/>
                <w:webHidden/>
              </w:rPr>
              <w:fldChar w:fldCharType="separate"/>
            </w:r>
            <w:r w:rsidR="00A020C2">
              <w:rPr>
                <w:noProof/>
                <w:webHidden/>
              </w:rPr>
              <w:t>34</w:t>
            </w:r>
            <w:r w:rsidR="00085834">
              <w:rPr>
                <w:noProof/>
                <w:webHidden/>
              </w:rPr>
              <w:fldChar w:fldCharType="end"/>
            </w:r>
          </w:hyperlink>
        </w:p>
        <w:p w14:paraId="2BA29D50" w14:textId="7FB14350" w:rsidR="00000CE2" w:rsidRDefault="00000CE2">
          <w:r>
            <w:rPr>
              <w:b/>
              <w:bCs/>
              <w:lang w:val="es-ES"/>
            </w:rPr>
            <w:fldChar w:fldCharType="end"/>
          </w:r>
        </w:p>
      </w:sdtContent>
    </w:sdt>
    <w:p w14:paraId="3D9FB1F8" w14:textId="77777777" w:rsidR="00A42B51" w:rsidRDefault="00000CE2">
      <w:pPr>
        <w:pStyle w:val="Ttulo2"/>
        <w:spacing w:before="0" w:after="0"/>
      </w:pPr>
      <w:r>
        <w:br w:type="page"/>
      </w:r>
    </w:p>
    <w:p w14:paraId="327B562E" w14:textId="77777777" w:rsidR="00A42B51" w:rsidRPr="00000CE2" w:rsidRDefault="00000CE2">
      <w:pPr>
        <w:spacing w:after="0" w:line="360" w:lineRule="auto"/>
      </w:pPr>
      <w:r w:rsidRPr="00000CE2">
        <w:lastRenderedPageBreak/>
        <w:t>Resolución del Pleno del Instituto de Transparencia, Acceso a la Información Pública y Protección de Datos Personales del Estado de México y Municipios, con domicilio en Metepec, Estado de México, de fecha quince de octubre de dos mil veinticinco.</w:t>
      </w:r>
    </w:p>
    <w:p w14:paraId="40A5E972" w14:textId="77777777" w:rsidR="00A42B51" w:rsidRPr="00000CE2" w:rsidRDefault="00A42B51">
      <w:pPr>
        <w:spacing w:after="0" w:line="360" w:lineRule="auto"/>
        <w:rPr>
          <w:b/>
        </w:rPr>
      </w:pPr>
    </w:p>
    <w:p w14:paraId="37F97FE0" w14:textId="77777777" w:rsidR="00A42B51" w:rsidRPr="00000CE2" w:rsidRDefault="00000CE2">
      <w:pPr>
        <w:spacing w:after="0" w:line="360" w:lineRule="auto"/>
      </w:pPr>
      <w:r w:rsidRPr="00000CE2">
        <w:rPr>
          <w:b/>
        </w:rPr>
        <w:t>VISTO</w:t>
      </w:r>
      <w:r w:rsidRPr="00000CE2">
        <w:t xml:space="preserve"> el expediente conformado con motivo del Recurso de Revisión </w:t>
      </w:r>
      <w:r w:rsidRPr="001052ED">
        <w:rPr>
          <w:b/>
        </w:rPr>
        <w:t>10866/INFOEM/IP/RR/2025,</w:t>
      </w:r>
      <w:r w:rsidRPr="00000CE2">
        <w:t xml:space="preserve"> interpuesto por un Particular, en lo sucesivo, la persona Recurrente o Particular, en contra de la respuesta del Sujeto Obligado, </w:t>
      </w:r>
      <w:bookmarkStart w:id="1" w:name="_GoBack"/>
      <w:r w:rsidRPr="001052ED">
        <w:rPr>
          <w:b/>
        </w:rPr>
        <w:t>Sistema Municipal Para el Desarrollo Integral de la Familia de Toluca,</w:t>
      </w:r>
      <w:bookmarkEnd w:id="1"/>
      <w:r w:rsidRPr="00000CE2">
        <w:t xml:space="preserve"> se emite la presente Resolución, con base en los antecedentes y considerandos que se exponen a continuación:</w:t>
      </w:r>
    </w:p>
    <w:p w14:paraId="79AB7675" w14:textId="77777777" w:rsidR="00A42B51" w:rsidRPr="00000CE2" w:rsidRDefault="00A42B51">
      <w:pPr>
        <w:spacing w:after="0" w:line="360" w:lineRule="auto"/>
      </w:pPr>
    </w:p>
    <w:p w14:paraId="41EC6EA6" w14:textId="77777777" w:rsidR="00A42B51" w:rsidRPr="00000CE2" w:rsidRDefault="00000CE2">
      <w:pPr>
        <w:pStyle w:val="Ttulo1"/>
        <w:spacing w:before="0" w:after="0"/>
        <w:rPr>
          <w:sz w:val="22"/>
          <w:szCs w:val="22"/>
        </w:rPr>
      </w:pPr>
      <w:bookmarkStart w:id="2" w:name="_heading=h.fnm48odyvgss" w:colFirst="0" w:colLast="0"/>
      <w:bookmarkStart w:id="3" w:name="_Toc211526349"/>
      <w:bookmarkEnd w:id="2"/>
      <w:r w:rsidRPr="00000CE2">
        <w:rPr>
          <w:sz w:val="22"/>
          <w:szCs w:val="22"/>
        </w:rPr>
        <w:t>A N T E C E D E N T E S</w:t>
      </w:r>
      <w:bookmarkEnd w:id="3"/>
    </w:p>
    <w:p w14:paraId="265DB1CB" w14:textId="77777777" w:rsidR="00A42B51" w:rsidRPr="00000CE2" w:rsidRDefault="00A42B51">
      <w:pPr>
        <w:spacing w:after="0" w:line="360" w:lineRule="auto"/>
      </w:pPr>
      <w:bookmarkStart w:id="4" w:name="_heading=h.gjdgxs" w:colFirst="0" w:colLast="0"/>
      <w:bookmarkEnd w:id="4"/>
    </w:p>
    <w:p w14:paraId="737A8A44" w14:textId="77777777" w:rsidR="00A42B51" w:rsidRPr="00000CE2" w:rsidRDefault="00000CE2">
      <w:pPr>
        <w:pStyle w:val="Ttulo2"/>
        <w:spacing w:before="0" w:after="0"/>
      </w:pPr>
      <w:bookmarkStart w:id="5" w:name="_heading=h.pphlr2r2npce" w:colFirst="0" w:colLast="0"/>
      <w:bookmarkStart w:id="6" w:name="_Toc211526350"/>
      <w:bookmarkEnd w:id="5"/>
      <w:r w:rsidRPr="00000CE2">
        <w:t>I. Presentación de la solicitud de información</w:t>
      </w:r>
      <w:bookmarkEnd w:id="6"/>
    </w:p>
    <w:p w14:paraId="3F174485" w14:textId="77777777" w:rsidR="00A42B51" w:rsidRPr="00000CE2" w:rsidRDefault="00A42B51">
      <w:pPr>
        <w:tabs>
          <w:tab w:val="left" w:pos="567"/>
        </w:tabs>
        <w:spacing w:after="0" w:line="360" w:lineRule="auto"/>
      </w:pPr>
    </w:p>
    <w:p w14:paraId="7AAC78DB" w14:textId="77777777" w:rsidR="00A42B51" w:rsidRPr="00000CE2" w:rsidRDefault="00000CE2">
      <w:pPr>
        <w:spacing w:after="0" w:line="360" w:lineRule="auto"/>
      </w:pPr>
      <w:bookmarkStart w:id="7" w:name="_heading=h.7z2hm1dstc2n" w:colFirst="0" w:colLast="0"/>
      <w:bookmarkEnd w:id="7"/>
      <w:r w:rsidRPr="00000CE2">
        <w:t>Con fecha veintiséis de agosto de dos mil veinticinco, la parte Solicitante presentó una solicitud de acceso a la información pública, a través del Sistema de Acceso a la Información Mexiquense, en lo sucesivo el SAIMEX, ante el Sistema Municipal para el Desarrollo Integral de la Familia de Toluca, en la que requirió lo siguiente:</w:t>
      </w:r>
    </w:p>
    <w:p w14:paraId="45A561E5" w14:textId="77777777" w:rsidR="00A42B51" w:rsidRPr="00000CE2" w:rsidRDefault="00A42B51">
      <w:pPr>
        <w:spacing w:after="0" w:line="360" w:lineRule="auto"/>
      </w:pPr>
    </w:p>
    <w:p w14:paraId="74A95D3D" w14:textId="77777777" w:rsidR="00A42B51" w:rsidRPr="00000CE2" w:rsidRDefault="00000CE2">
      <w:pPr>
        <w:tabs>
          <w:tab w:val="left" w:pos="567"/>
        </w:tabs>
        <w:spacing w:after="0" w:line="360" w:lineRule="auto"/>
        <w:ind w:left="567" w:right="709"/>
        <w:rPr>
          <w:b/>
          <w:sz w:val="20"/>
          <w:szCs w:val="20"/>
        </w:rPr>
      </w:pPr>
      <w:r w:rsidRPr="00000CE2">
        <w:rPr>
          <w:b/>
          <w:sz w:val="20"/>
          <w:szCs w:val="20"/>
        </w:rPr>
        <w:t>Folio de la solicitud: 00170/DIFTOLUCA/IP/2025</w:t>
      </w:r>
    </w:p>
    <w:p w14:paraId="206ADF34" w14:textId="77777777" w:rsidR="00A42B51" w:rsidRPr="00000CE2" w:rsidRDefault="00000CE2">
      <w:pPr>
        <w:tabs>
          <w:tab w:val="left" w:pos="567"/>
        </w:tabs>
        <w:spacing w:after="0" w:line="360" w:lineRule="auto"/>
        <w:ind w:left="567" w:right="709"/>
        <w:rPr>
          <w:b/>
          <w:sz w:val="20"/>
          <w:szCs w:val="20"/>
        </w:rPr>
      </w:pPr>
      <w:r w:rsidRPr="00000CE2">
        <w:rPr>
          <w:b/>
          <w:sz w:val="20"/>
          <w:szCs w:val="20"/>
        </w:rPr>
        <w:t>DESCRIPCIÓN CLARA Y PRECISA DE LA INFORMACIÓN SOLICITADA</w:t>
      </w:r>
    </w:p>
    <w:p w14:paraId="3F01930D" w14:textId="77777777" w:rsidR="00A42B51" w:rsidRPr="00000CE2" w:rsidRDefault="00000CE2">
      <w:pPr>
        <w:tabs>
          <w:tab w:val="left" w:pos="4667"/>
        </w:tabs>
        <w:spacing w:after="0" w:line="360" w:lineRule="auto"/>
        <w:ind w:left="567" w:right="709"/>
        <w:rPr>
          <w:i/>
          <w:sz w:val="20"/>
          <w:szCs w:val="20"/>
        </w:rPr>
      </w:pPr>
      <w:r w:rsidRPr="00000CE2">
        <w:rPr>
          <w:i/>
          <w:sz w:val="20"/>
          <w:szCs w:val="20"/>
        </w:rPr>
        <w:t xml:space="preserve">“La renuncia y </w:t>
      </w:r>
      <w:proofErr w:type="spellStart"/>
      <w:r w:rsidRPr="00000CE2">
        <w:rPr>
          <w:i/>
          <w:sz w:val="20"/>
          <w:szCs w:val="20"/>
        </w:rPr>
        <w:t>fup</w:t>
      </w:r>
      <w:proofErr w:type="spellEnd"/>
      <w:r w:rsidRPr="00000CE2">
        <w:rPr>
          <w:i/>
          <w:sz w:val="20"/>
          <w:szCs w:val="20"/>
        </w:rPr>
        <w:t xml:space="preserve"> de baja de la Directora General de </w:t>
      </w:r>
      <w:proofErr w:type="spellStart"/>
      <w:r w:rsidRPr="00000CE2">
        <w:rPr>
          <w:i/>
          <w:sz w:val="20"/>
          <w:szCs w:val="20"/>
        </w:rPr>
        <w:t>Dif</w:t>
      </w:r>
      <w:proofErr w:type="spellEnd"/>
      <w:r w:rsidRPr="00000CE2">
        <w:rPr>
          <w:i/>
          <w:sz w:val="20"/>
          <w:szCs w:val="20"/>
        </w:rPr>
        <w:t xml:space="preserve"> y de todos los directores qué dieron de baja en 2023” (Sic.)</w:t>
      </w:r>
    </w:p>
    <w:p w14:paraId="3A73264D" w14:textId="77777777" w:rsidR="00A42B51" w:rsidRPr="00000CE2" w:rsidRDefault="00A42B51">
      <w:pPr>
        <w:tabs>
          <w:tab w:val="left" w:pos="4667"/>
        </w:tabs>
        <w:spacing w:after="0" w:line="360" w:lineRule="auto"/>
        <w:ind w:left="567" w:right="709"/>
        <w:rPr>
          <w:b/>
          <w:sz w:val="20"/>
          <w:szCs w:val="20"/>
        </w:rPr>
      </w:pPr>
    </w:p>
    <w:p w14:paraId="6E9123DF" w14:textId="77777777" w:rsidR="00A42B51" w:rsidRPr="00000CE2" w:rsidRDefault="00000CE2">
      <w:pPr>
        <w:tabs>
          <w:tab w:val="left" w:pos="4667"/>
        </w:tabs>
        <w:spacing w:after="0" w:line="360" w:lineRule="auto"/>
        <w:ind w:left="567" w:right="709"/>
        <w:rPr>
          <w:b/>
          <w:sz w:val="20"/>
          <w:szCs w:val="20"/>
        </w:rPr>
      </w:pPr>
      <w:r w:rsidRPr="00000CE2">
        <w:rPr>
          <w:b/>
          <w:sz w:val="20"/>
          <w:szCs w:val="20"/>
        </w:rPr>
        <w:t xml:space="preserve">MODALIDAD DE ENTREGA </w:t>
      </w:r>
      <w:r w:rsidRPr="00000CE2">
        <w:rPr>
          <w:i/>
          <w:sz w:val="20"/>
          <w:szCs w:val="20"/>
        </w:rPr>
        <w:t>“A través del SAIMEX.”</w:t>
      </w:r>
    </w:p>
    <w:p w14:paraId="511A224A" w14:textId="77777777" w:rsidR="00A42B51" w:rsidRPr="00000CE2" w:rsidRDefault="00A42B51">
      <w:pPr>
        <w:tabs>
          <w:tab w:val="left" w:pos="4667"/>
        </w:tabs>
        <w:spacing w:after="0" w:line="360" w:lineRule="auto"/>
        <w:ind w:right="709"/>
        <w:rPr>
          <w:i/>
        </w:rPr>
      </w:pPr>
    </w:p>
    <w:p w14:paraId="72A24985" w14:textId="77777777" w:rsidR="00A42B51" w:rsidRPr="00000CE2" w:rsidRDefault="00000CE2">
      <w:pPr>
        <w:pStyle w:val="Ttulo2"/>
        <w:spacing w:before="0" w:after="0"/>
      </w:pPr>
      <w:bookmarkStart w:id="8" w:name="_heading=h.1k8juguvc61h" w:colFirst="0" w:colLast="0"/>
      <w:bookmarkStart w:id="9" w:name="_Toc211526351"/>
      <w:bookmarkEnd w:id="8"/>
      <w:r w:rsidRPr="00000CE2">
        <w:lastRenderedPageBreak/>
        <w:t>II. Respuesta del Sujeto Obligado</w:t>
      </w:r>
      <w:bookmarkEnd w:id="9"/>
    </w:p>
    <w:p w14:paraId="56EB6EF2" w14:textId="77777777" w:rsidR="00A42B51" w:rsidRPr="00000CE2" w:rsidRDefault="00A42B51">
      <w:pPr>
        <w:spacing w:after="0" w:line="360" w:lineRule="auto"/>
      </w:pPr>
    </w:p>
    <w:p w14:paraId="210C2F07" w14:textId="77777777" w:rsidR="00A42B51" w:rsidRPr="00000CE2" w:rsidRDefault="00000CE2">
      <w:pPr>
        <w:spacing w:after="0" w:line="360" w:lineRule="auto"/>
      </w:pPr>
      <w:r w:rsidRPr="00000CE2">
        <w:t>El diecisiete de septiembre de dos mil veinticinco, el Sujeto Obligado a través de SAIMEX, dio respuesta en los siguientes términos:</w:t>
      </w:r>
    </w:p>
    <w:p w14:paraId="6B74F5B5" w14:textId="77777777" w:rsidR="00A42B51" w:rsidRPr="00000CE2" w:rsidRDefault="00A42B51">
      <w:pPr>
        <w:spacing w:after="0" w:line="360" w:lineRule="auto"/>
      </w:pPr>
    </w:p>
    <w:p w14:paraId="01031C9D" w14:textId="77777777" w:rsidR="00A42B51" w:rsidRPr="00000CE2" w:rsidRDefault="00000CE2">
      <w:pPr>
        <w:spacing w:after="0" w:line="360" w:lineRule="auto"/>
        <w:ind w:left="567" w:right="709"/>
        <w:rPr>
          <w:i/>
          <w:sz w:val="20"/>
          <w:szCs w:val="20"/>
        </w:rPr>
      </w:pPr>
      <w:r w:rsidRPr="00000CE2">
        <w:rPr>
          <w:i/>
          <w:sz w:val="20"/>
          <w:szCs w:val="20"/>
        </w:rPr>
        <w:t>“En cumplimiento a lo dispuesto en el artículo 53 fracción II, IV, V y VI de la Ley de Transparencia y Acceso a la Información Pública del Estado de México y Municipios, adjunto a la presente la información y los elementos necesarios para la atención de la solicitud de información de este Sujeto Obligado.…”</w:t>
      </w:r>
    </w:p>
    <w:p w14:paraId="6F6D7040" w14:textId="77777777" w:rsidR="00A42B51" w:rsidRPr="00000CE2" w:rsidRDefault="00A42B51">
      <w:pPr>
        <w:spacing w:after="0" w:line="360" w:lineRule="auto"/>
      </w:pPr>
    </w:p>
    <w:p w14:paraId="54783073" w14:textId="77777777" w:rsidR="00A42B51" w:rsidRPr="00000CE2" w:rsidRDefault="00000CE2">
      <w:pPr>
        <w:spacing w:after="0" w:line="360" w:lineRule="auto"/>
      </w:pPr>
      <w:r w:rsidRPr="00000CE2">
        <w:t>Aunado a lo anterior adjuntó los siguientes documentos:</w:t>
      </w:r>
    </w:p>
    <w:p w14:paraId="21E7920E" w14:textId="77777777" w:rsidR="00A42B51" w:rsidRPr="00000CE2" w:rsidRDefault="00A42B51">
      <w:pPr>
        <w:spacing w:after="0" w:line="360" w:lineRule="auto"/>
      </w:pPr>
    </w:p>
    <w:p w14:paraId="4BDAFA9A" w14:textId="77777777" w:rsidR="00A42B51" w:rsidRPr="00000CE2" w:rsidRDefault="00000CE2">
      <w:pPr>
        <w:numPr>
          <w:ilvl w:val="0"/>
          <w:numId w:val="1"/>
        </w:numPr>
        <w:pBdr>
          <w:top w:val="nil"/>
          <w:left w:val="nil"/>
          <w:bottom w:val="nil"/>
          <w:right w:val="nil"/>
          <w:between w:val="nil"/>
        </w:pBdr>
        <w:spacing w:after="0" w:line="360" w:lineRule="auto"/>
        <w:rPr>
          <w:b/>
          <w:i/>
          <w:color w:val="000000"/>
        </w:rPr>
      </w:pPr>
      <w:r w:rsidRPr="00000CE2">
        <w:rPr>
          <w:b/>
          <w:i/>
          <w:color w:val="000000"/>
        </w:rPr>
        <w:t xml:space="preserve">Respuesta UT S.170.pdf; </w:t>
      </w:r>
      <w:r w:rsidRPr="00000CE2">
        <w:rPr>
          <w:color w:val="000000"/>
        </w:rPr>
        <w:t xml:space="preserve">del que se desprende un oficio suscrito por el Titular de la Unidad de Transparencia del Sujeto Obligado en el que remitió la información proporcionada por el Servidor Público Habilitado. </w:t>
      </w:r>
    </w:p>
    <w:p w14:paraId="2ACCC5C8" w14:textId="77777777" w:rsidR="00A42B51" w:rsidRPr="00000CE2" w:rsidRDefault="00000CE2">
      <w:pPr>
        <w:numPr>
          <w:ilvl w:val="0"/>
          <w:numId w:val="1"/>
        </w:numPr>
        <w:pBdr>
          <w:top w:val="nil"/>
          <w:left w:val="nil"/>
          <w:bottom w:val="nil"/>
          <w:right w:val="nil"/>
          <w:between w:val="nil"/>
        </w:pBdr>
        <w:spacing w:after="0" w:line="360" w:lineRule="auto"/>
        <w:rPr>
          <w:b/>
          <w:i/>
          <w:color w:val="000000"/>
        </w:rPr>
      </w:pPr>
      <w:r w:rsidRPr="00000CE2">
        <w:rPr>
          <w:b/>
          <w:i/>
          <w:color w:val="000000"/>
        </w:rPr>
        <w:t xml:space="preserve">Respuesta del SPH SOL 170-2025.pdf; </w:t>
      </w:r>
      <w:r w:rsidRPr="00000CE2">
        <w:rPr>
          <w:color w:val="000000"/>
        </w:rPr>
        <w:t>del que se advierte un oficio suscrito por el Jefe del Departamento de Capital Humano del Sujeto Obligado, en el que informó lo siguiente:</w:t>
      </w:r>
    </w:p>
    <w:p w14:paraId="0CCC4959" w14:textId="77777777" w:rsidR="00A42B51" w:rsidRPr="00000CE2" w:rsidRDefault="00A42B51">
      <w:pPr>
        <w:spacing w:after="0" w:line="360" w:lineRule="auto"/>
        <w:rPr>
          <w:b/>
          <w:i/>
        </w:rPr>
      </w:pPr>
    </w:p>
    <w:p w14:paraId="14269DF2" w14:textId="77777777" w:rsidR="00A42B51" w:rsidRPr="00000CE2" w:rsidRDefault="00000CE2">
      <w:pPr>
        <w:spacing w:after="0" w:line="360" w:lineRule="auto"/>
        <w:ind w:left="567" w:right="709"/>
        <w:rPr>
          <w:i/>
          <w:sz w:val="20"/>
          <w:szCs w:val="20"/>
        </w:rPr>
      </w:pPr>
      <w:r w:rsidRPr="00000CE2">
        <w:rPr>
          <w:i/>
          <w:sz w:val="20"/>
          <w:szCs w:val="20"/>
        </w:rPr>
        <w:t xml:space="preserve">“En virtud de lo anterior, me es grato informar que al realizar una búsqueda exhaustiva y razonable en los archivos que se encuentran bajo el resguardo de esta unidad administrativa, </w:t>
      </w:r>
      <w:r w:rsidRPr="00000CE2">
        <w:rPr>
          <w:b/>
          <w:i/>
          <w:sz w:val="20"/>
          <w:szCs w:val="20"/>
        </w:rPr>
        <w:t xml:space="preserve">no se localizó documento alguno que dé cuenta de alguna renuncia o </w:t>
      </w:r>
      <w:proofErr w:type="spellStart"/>
      <w:r w:rsidRPr="00000CE2">
        <w:rPr>
          <w:b/>
          <w:i/>
          <w:sz w:val="20"/>
          <w:szCs w:val="20"/>
        </w:rPr>
        <w:t>fup</w:t>
      </w:r>
      <w:proofErr w:type="spellEnd"/>
      <w:r w:rsidRPr="00000CE2">
        <w:rPr>
          <w:b/>
          <w:i/>
          <w:sz w:val="20"/>
          <w:szCs w:val="20"/>
        </w:rPr>
        <w:t xml:space="preserve"> de baja de la Directora General de </w:t>
      </w:r>
      <w:proofErr w:type="spellStart"/>
      <w:r w:rsidRPr="00000CE2">
        <w:rPr>
          <w:b/>
          <w:i/>
          <w:sz w:val="20"/>
          <w:szCs w:val="20"/>
        </w:rPr>
        <w:t>Dif</w:t>
      </w:r>
      <w:proofErr w:type="spellEnd"/>
      <w:r w:rsidRPr="00000CE2">
        <w:rPr>
          <w:b/>
          <w:i/>
          <w:sz w:val="20"/>
          <w:szCs w:val="20"/>
        </w:rPr>
        <w:t xml:space="preserve"> y de todos los directores qué dieron de baja en 2023</w:t>
      </w:r>
      <w:r w:rsidRPr="00000CE2">
        <w:rPr>
          <w:i/>
          <w:sz w:val="20"/>
          <w:szCs w:val="20"/>
        </w:rPr>
        <w:t xml:space="preserve">, lo que se informa para los fines y efectos legales a que haya lugar, por ende, no se encuentra obligado en generar la información conforme al interés del solicitante; tal y como lo estable el artículo 12 de la Ley de Transparencia y Acceso a la Información Pública del Estado de México y Municipios, el cual indica que el sujeto </w:t>
      </w:r>
      <w:r w:rsidRPr="00000CE2">
        <w:rPr>
          <w:i/>
          <w:sz w:val="20"/>
          <w:szCs w:val="20"/>
        </w:rPr>
        <w:lastRenderedPageBreak/>
        <w:t>obligado no se encuentra obligado a generarla, resumirla, efectuar cálculos o practicar investigaciones, para proporcionar la información solicitada.</w:t>
      </w:r>
    </w:p>
    <w:p w14:paraId="288612C0" w14:textId="77777777" w:rsidR="00A42B51" w:rsidRPr="00000CE2" w:rsidRDefault="00000CE2">
      <w:pPr>
        <w:spacing w:after="0" w:line="360" w:lineRule="auto"/>
        <w:ind w:left="567" w:right="709"/>
        <w:rPr>
          <w:i/>
          <w:sz w:val="20"/>
          <w:szCs w:val="20"/>
        </w:rPr>
      </w:pPr>
      <w:r w:rsidRPr="00000CE2">
        <w:rPr>
          <w:i/>
          <w:sz w:val="20"/>
          <w:szCs w:val="20"/>
        </w:rPr>
        <w:t xml:space="preserve">Sirve de apoyo a lo anterior, el criterio 03-17, expuesto por el entonces Instituto Nacional de Transparencia, Acceso a la Información y Protección de Datos Personales, que dice: </w:t>
      </w:r>
    </w:p>
    <w:p w14:paraId="3A8A0E51" w14:textId="77777777" w:rsidR="00A42B51" w:rsidRPr="00000CE2" w:rsidRDefault="00000CE2">
      <w:pPr>
        <w:spacing w:after="0" w:line="360" w:lineRule="auto"/>
        <w:ind w:left="567" w:right="709"/>
        <w:rPr>
          <w:i/>
          <w:sz w:val="20"/>
          <w:szCs w:val="20"/>
        </w:rPr>
      </w:pPr>
      <w:r w:rsidRPr="00000CE2">
        <w:rPr>
          <w:i/>
          <w:sz w:val="20"/>
          <w:szCs w:val="20"/>
        </w:rPr>
        <w:t>"No existe obligación de elaborar documentos ad hoc para atender las solicitudes de acceso a la información…” (Énfasis añadido)</w:t>
      </w:r>
    </w:p>
    <w:p w14:paraId="5D54069A" w14:textId="77777777" w:rsidR="00A42B51" w:rsidRPr="00000CE2" w:rsidRDefault="00A42B51">
      <w:pPr>
        <w:spacing w:after="0" w:line="360" w:lineRule="auto"/>
        <w:rPr>
          <w:b/>
          <w:i/>
        </w:rPr>
      </w:pPr>
    </w:p>
    <w:p w14:paraId="7B8E1F3A" w14:textId="77777777" w:rsidR="00A42B51" w:rsidRPr="00000CE2" w:rsidRDefault="00000CE2">
      <w:pPr>
        <w:numPr>
          <w:ilvl w:val="0"/>
          <w:numId w:val="1"/>
        </w:numPr>
        <w:pBdr>
          <w:top w:val="nil"/>
          <w:left w:val="nil"/>
          <w:bottom w:val="nil"/>
          <w:right w:val="nil"/>
          <w:between w:val="nil"/>
        </w:pBdr>
        <w:spacing w:after="0" w:line="360" w:lineRule="auto"/>
        <w:rPr>
          <w:b/>
          <w:i/>
          <w:color w:val="000000"/>
        </w:rPr>
      </w:pPr>
      <w:r w:rsidRPr="00000CE2">
        <w:rPr>
          <w:b/>
          <w:i/>
          <w:color w:val="000000"/>
        </w:rPr>
        <w:t xml:space="preserve">ACTA DE LA 43 SESIÓN EXTRAORDINARIA COMITÉ DE TRANSPARENCIA.pdf; </w:t>
      </w:r>
      <w:r w:rsidRPr="00000CE2">
        <w:rPr>
          <w:color w:val="000000"/>
        </w:rPr>
        <w:t>del que se desprende el Acta de la Cuadragésima Tercera Sesión Extraordinaria del Comité de Transparencia del Sujeto Obligado, ACTA SMDT-CT-12092025-E-43, de fecha doce de septiembre de dos mil veinticinco; en cuyo punto 16, se emitió el ACUERDO SMDT-CT-E43-25-14, en el que los Integrantes del Comité de Transparencia, confirmaron la inexistencia de la información solicitada en el asunto que nos ocupa</w:t>
      </w:r>
    </w:p>
    <w:p w14:paraId="1650F9BF" w14:textId="77777777" w:rsidR="00A42B51" w:rsidRPr="00000CE2" w:rsidRDefault="00A42B51">
      <w:pPr>
        <w:spacing w:after="0" w:line="360" w:lineRule="auto"/>
      </w:pPr>
    </w:p>
    <w:p w14:paraId="3B89C9A9" w14:textId="77777777" w:rsidR="00A42B51" w:rsidRPr="00000CE2" w:rsidRDefault="00000CE2">
      <w:pPr>
        <w:pStyle w:val="Ttulo2"/>
        <w:spacing w:before="0" w:after="0"/>
      </w:pPr>
      <w:bookmarkStart w:id="10" w:name="_heading=h.5t9neqt3q4w" w:colFirst="0" w:colLast="0"/>
      <w:bookmarkStart w:id="11" w:name="_Toc211526352"/>
      <w:bookmarkEnd w:id="10"/>
      <w:r w:rsidRPr="00000CE2">
        <w:t>III. Interposición del Recurso de Revisión</w:t>
      </w:r>
      <w:bookmarkEnd w:id="11"/>
    </w:p>
    <w:p w14:paraId="300A37DB" w14:textId="77777777" w:rsidR="00A42B51" w:rsidRPr="00000CE2" w:rsidRDefault="00A42B51">
      <w:pPr>
        <w:spacing w:after="0" w:line="360" w:lineRule="auto"/>
        <w:rPr>
          <w:b/>
        </w:rPr>
      </w:pPr>
    </w:p>
    <w:p w14:paraId="130D8FC6" w14:textId="77777777" w:rsidR="00A42B51" w:rsidRPr="00000CE2" w:rsidRDefault="00000CE2">
      <w:pPr>
        <w:spacing w:after="0" w:line="360" w:lineRule="auto"/>
      </w:pPr>
      <w:bookmarkStart w:id="12" w:name="_heading=h.2et92p0" w:colFirst="0" w:colLast="0"/>
      <w:bookmarkEnd w:id="12"/>
      <w:r w:rsidRPr="00000CE2">
        <w:t>Con fecha dieciocho de septiembre de dos mil veinticinco, se recibió a través del SAIMEX, el Recurso de Revisión interpuesto por la persona Recurrente, en los siguientes términos:</w:t>
      </w:r>
    </w:p>
    <w:p w14:paraId="0A514FC9" w14:textId="77777777" w:rsidR="00A42B51" w:rsidRPr="00000CE2" w:rsidRDefault="00A42B51">
      <w:pPr>
        <w:spacing w:after="0" w:line="360" w:lineRule="auto"/>
      </w:pPr>
    </w:p>
    <w:p w14:paraId="6C6E95FA" w14:textId="77777777" w:rsidR="00A42B51" w:rsidRPr="00000CE2" w:rsidRDefault="00000CE2">
      <w:pPr>
        <w:spacing w:after="0" w:line="360" w:lineRule="auto"/>
        <w:ind w:left="567" w:right="709"/>
        <w:rPr>
          <w:b/>
          <w:sz w:val="20"/>
          <w:szCs w:val="20"/>
        </w:rPr>
      </w:pPr>
      <w:r w:rsidRPr="00000CE2">
        <w:rPr>
          <w:b/>
          <w:sz w:val="20"/>
          <w:szCs w:val="20"/>
        </w:rPr>
        <w:t>ACTO IMPUGNADO</w:t>
      </w:r>
      <w:r w:rsidRPr="00000CE2">
        <w:rPr>
          <w:b/>
          <w:sz w:val="20"/>
          <w:szCs w:val="20"/>
        </w:rPr>
        <w:tab/>
      </w:r>
    </w:p>
    <w:p w14:paraId="697C8E5B" w14:textId="77777777" w:rsidR="00A42B51" w:rsidRPr="00000CE2" w:rsidRDefault="00000CE2">
      <w:pPr>
        <w:spacing w:after="0" w:line="360" w:lineRule="auto"/>
        <w:ind w:left="567" w:right="709"/>
        <w:rPr>
          <w:b/>
          <w:sz w:val="20"/>
          <w:szCs w:val="20"/>
        </w:rPr>
      </w:pPr>
      <w:r w:rsidRPr="00000CE2">
        <w:rPr>
          <w:i/>
          <w:sz w:val="20"/>
          <w:szCs w:val="20"/>
        </w:rPr>
        <w:t>“no entregan la información que se solicitó” (Sic.)</w:t>
      </w:r>
    </w:p>
    <w:p w14:paraId="6A6E20AF" w14:textId="77777777" w:rsidR="00A42B51" w:rsidRPr="00000CE2" w:rsidRDefault="00A42B51">
      <w:pPr>
        <w:spacing w:after="0" w:line="360" w:lineRule="auto"/>
        <w:ind w:left="567" w:right="709"/>
        <w:rPr>
          <w:sz w:val="20"/>
          <w:szCs w:val="20"/>
        </w:rPr>
      </w:pPr>
    </w:p>
    <w:p w14:paraId="1DE8BB6F" w14:textId="77777777" w:rsidR="00A42B51" w:rsidRPr="00000CE2" w:rsidRDefault="00000CE2">
      <w:pPr>
        <w:spacing w:after="0" w:line="360" w:lineRule="auto"/>
        <w:ind w:left="567" w:right="709"/>
        <w:rPr>
          <w:b/>
          <w:sz w:val="20"/>
          <w:szCs w:val="20"/>
        </w:rPr>
      </w:pPr>
      <w:r w:rsidRPr="00000CE2">
        <w:rPr>
          <w:b/>
          <w:sz w:val="20"/>
          <w:szCs w:val="20"/>
        </w:rPr>
        <w:t>RAZONES O MOTIVOS DE LA INCONFORMIDAD</w:t>
      </w:r>
      <w:r w:rsidRPr="00000CE2">
        <w:rPr>
          <w:b/>
          <w:sz w:val="20"/>
          <w:szCs w:val="20"/>
        </w:rPr>
        <w:tab/>
      </w:r>
    </w:p>
    <w:p w14:paraId="046B4D59" w14:textId="77777777" w:rsidR="00A42B51" w:rsidRPr="00000CE2" w:rsidRDefault="00000CE2">
      <w:pPr>
        <w:tabs>
          <w:tab w:val="left" w:pos="4667"/>
        </w:tabs>
        <w:spacing w:after="0" w:line="360" w:lineRule="auto"/>
        <w:ind w:left="567" w:right="709"/>
        <w:rPr>
          <w:i/>
          <w:sz w:val="20"/>
          <w:szCs w:val="20"/>
        </w:rPr>
      </w:pPr>
      <w:r w:rsidRPr="00000CE2">
        <w:rPr>
          <w:i/>
          <w:sz w:val="20"/>
          <w:szCs w:val="20"/>
        </w:rPr>
        <w:t>“no entregan la información que se solicitó” (Sic.)</w:t>
      </w:r>
    </w:p>
    <w:p w14:paraId="2382EF67" w14:textId="77777777" w:rsidR="00A42B51" w:rsidRPr="00000CE2" w:rsidRDefault="00A42B51">
      <w:pPr>
        <w:tabs>
          <w:tab w:val="left" w:pos="4667"/>
        </w:tabs>
        <w:spacing w:after="0" w:line="360" w:lineRule="auto"/>
      </w:pPr>
    </w:p>
    <w:p w14:paraId="7127125D" w14:textId="77777777" w:rsidR="00A42B51" w:rsidRPr="00000CE2" w:rsidRDefault="00000CE2">
      <w:pPr>
        <w:pStyle w:val="Ttulo2"/>
        <w:spacing w:before="0" w:after="0"/>
      </w:pPr>
      <w:bookmarkStart w:id="13" w:name="_heading=h.koivzmmfml2v" w:colFirst="0" w:colLast="0"/>
      <w:bookmarkStart w:id="14" w:name="_Toc211526353"/>
      <w:bookmarkEnd w:id="13"/>
      <w:r w:rsidRPr="00000CE2">
        <w:lastRenderedPageBreak/>
        <w:t>IV. Trámite del Recurso de Revisión ante este Instituto</w:t>
      </w:r>
      <w:bookmarkEnd w:id="14"/>
    </w:p>
    <w:p w14:paraId="02F872B9" w14:textId="77777777" w:rsidR="00A42B51" w:rsidRPr="00000CE2" w:rsidRDefault="00A42B51">
      <w:pPr>
        <w:spacing w:after="0" w:line="360" w:lineRule="auto"/>
        <w:rPr>
          <w:b/>
        </w:rPr>
      </w:pPr>
    </w:p>
    <w:p w14:paraId="1055DD48" w14:textId="77777777" w:rsidR="00A42B51" w:rsidRPr="00000CE2" w:rsidRDefault="00000CE2">
      <w:pPr>
        <w:spacing w:after="0" w:line="360" w:lineRule="auto"/>
      </w:pPr>
      <w:r w:rsidRPr="00000CE2">
        <w:rPr>
          <w:b/>
        </w:rPr>
        <w:t>a) Turno del Medio de Impugnación.</w:t>
      </w:r>
      <w:r w:rsidRPr="00000CE2">
        <w:t xml:space="preserve"> El dieciocho de septiembre de dos mil veinticinco, el SAIMEX, asignó el número de expediente</w:t>
      </w:r>
      <w:r w:rsidRPr="00000CE2">
        <w:rPr>
          <w:b/>
        </w:rPr>
        <w:t xml:space="preserve"> 10866/INFOEM/IP/RR/2025, </w:t>
      </w:r>
      <w:r w:rsidRPr="00000CE2">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4916BDDE" w14:textId="77777777" w:rsidR="00A42B51" w:rsidRPr="00000CE2" w:rsidRDefault="00A42B51">
      <w:pPr>
        <w:spacing w:after="0" w:line="360" w:lineRule="auto"/>
      </w:pPr>
    </w:p>
    <w:p w14:paraId="087ECCA9" w14:textId="77777777" w:rsidR="00A42B51" w:rsidRPr="00000CE2" w:rsidRDefault="00000CE2">
      <w:pPr>
        <w:spacing w:after="0" w:line="360" w:lineRule="auto"/>
      </w:pPr>
      <w:r w:rsidRPr="00000CE2">
        <w:rPr>
          <w:b/>
        </w:rPr>
        <w:t>b) Admisión del Recurso de Revisión.</w:t>
      </w:r>
      <w:r w:rsidRPr="00000CE2">
        <w:t xml:space="preserve"> El veintitrés de septiembre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la cual fue notificada a las partes en la misma fecha través del SAIMEX, en el que se les otorgó un plazo de siete días hábiles posteriores a la misma, para que manifestara lo que a su derecho conviniera y formularán alegatos.</w:t>
      </w:r>
    </w:p>
    <w:p w14:paraId="037E2F2A" w14:textId="77777777" w:rsidR="00A42B51" w:rsidRPr="00000CE2" w:rsidRDefault="00A42B51">
      <w:pPr>
        <w:spacing w:after="0" w:line="360" w:lineRule="auto"/>
      </w:pPr>
    </w:p>
    <w:p w14:paraId="1AE4017A" w14:textId="77777777" w:rsidR="00A42B51" w:rsidRPr="00000CE2" w:rsidRDefault="00000CE2">
      <w:pPr>
        <w:spacing w:after="0" w:line="360" w:lineRule="auto"/>
        <w:rPr>
          <w:color w:val="000000"/>
        </w:rPr>
      </w:pPr>
      <w:r w:rsidRPr="00000CE2">
        <w:rPr>
          <w:b/>
        </w:rPr>
        <w:t xml:space="preserve">c) </w:t>
      </w:r>
      <w:r w:rsidRPr="00000CE2">
        <w:rPr>
          <w:b/>
          <w:color w:val="000000"/>
        </w:rPr>
        <w:t xml:space="preserve">Informe Justificado. </w:t>
      </w:r>
      <w:r w:rsidRPr="00000CE2">
        <w:rPr>
          <w:color w:val="000000"/>
        </w:rPr>
        <w:t>En fecha dos de octubre de dos mil veinticinco, se recibió en este Instituto, a través del Sistema de Acceso a la Información Mexiquense (SAIMEX), el Informe Justificado, por parte del Sujeto Obligado, en los siguientes términos:</w:t>
      </w:r>
    </w:p>
    <w:p w14:paraId="38196709" w14:textId="77777777" w:rsidR="00A42B51" w:rsidRPr="00000CE2" w:rsidRDefault="00A42B51">
      <w:pPr>
        <w:spacing w:after="0" w:line="360" w:lineRule="auto"/>
        <w:rPr>
          <w:color w:val="000000"/>
        </w:rPr>
      </w:pPr>
    </w:p>
    <w:p w14:paraId="41928336" w14:textId="77777777" w:rsidR="00A42B51" w:rsidRPr="00000CE2" w:rsidRDefault="00000CE2">
      <w:pPr>
        <w:numPr>
          <w:ilvl w:val="0"/>
          <w:numId w:val="1"/>
        </w:numPr>
        <w:pBdr>
          <w:top w:val="nil"/>
          <w:left w:val="nil"/>
          <w:bottom w:val="nil"/>
          <w:right w:val="nil"/>
          <w:between w:val="nil"/>
        </w:pBdr>
        <w:spacing w:after="0" w:line="360" w:lineRule="auto"/>
        <w:rPr>
          <w:b/>
          <w:i/>
          <w:color w:val="000000"/>
        </w:rPr>
      </w:pPr>
      <w:r w:rsidRPr="00000CE2">
        <w:rPr>
          <w:b/>
          <w:i/>
          <w:color w:val="000000"/>
        </w:rPr>
        <w:t xml:space="preserve">Informe Justificado SOL 170-2025.pdf; </w:t>
      </w:r>
      <w:r w:rsidRPr="00000CE2">
        <w:rPr>
          <w:color w:val="000000"/>
        </w:rPr>
        <w:t xml:space="preserve">del que se desprende un oficio suscrito por el Titular de la Unidad de Transparencia del Sujeto Obligado, en el que medularmente ratificó la respuesta inicial y señaló que turnó nuevamente a la Dirección de Administración y Tesorería a fin de que </w:t>
      </w:r>
      <w:r w:rsidRPr="00000CE2">
        <w:t>aportará</w:t>
      </w:r>
      <w:r w:rsidRPr="00000CE2">
        <w:rPr>
          <w:color w:val="000000"/>
        </w:rPr>
        <w:t xml:space="preserve"> argumentos, el cual, a su vez, ratificó </w:t>
      </w:r>
      <w:r w:rsidRPr="00000CE2">
        <w:rPr>
          <w:color w:val="000000"/>
        </w:rPr>
        <w:lastRenderedPageBreak/>
        <w:t xml:space="preserve">la respuesta inicial. Y añadió argumentos sobre una yegua que no corresponden con el asunto que nos ocupa. </w:t>
      </w:r>
    </w:p>
    <w:p w14:paraId="2CC07846" w14:textId="77777777" w:rsidR="00A42B51" w:rsidRPr="00000CE2" w:rsidRDefault="00A42B51">
      <w:pPr>
        <w:pBdr>
          <w:top w:val="nil"/>
          <w:left w:val="nil"/>
          <w:bottom w:val="nil"/>
          <w:right w:val="nil"/>
          <w:between w:val="nil"/>
        </w:pBdr>
        <w:spacing w:after="0" w:line="360" w:lineRule="auto"/>
        <w:rPr>
          <w:b/>
          <w:i/>
          <w:color w:val="000000"/>
        </w:rPr>
      </w:pPr>
    </w:p>
    <w:p w14:paraId="6ED2DE1C" w14:textId="77777777" w:rsidR="00A42B51" w:rsidRPr="00000CE2" w:rsidRDefault="00000CE2">
      <w:pPr>
        <w:spacing w:after="0" w:line="360" w:lineRule="auto"/>
        <w:rPr>
          <w:color w:val="000000"/>
        </w:rPr>
      </w:pPr>
      <w:r w:rsidRPr="00000CE2">
        <w:rPr>
          <w:b/>
          <w:color w:val="000000"/>
        </w:rPr>
        <w:t xml:space="preserve">d) Vista de Informe Justificado. </w:t>
      </w:r>
      <w:r w:rsidRPr="00000CE2">
        <w:rPr>
          <w:color w:val="000000"/>
        </w:rPr>
        <w:t>El nueve de octubre de dos mil veinticinco, se notificó a través del SAIMEX, el acuerdo mediante el cual se puso a la vista de la parte Recurrente el Informe Justificado, proveído por el cual se le otorgó a este último, un término de tres días hábiles contados a partir del día siguiente a la notificación, para que emitiera las manifestaciones que conforme a sus intereses convenga.</w:t>
      </w:r>
    </w:p>
    <w:p w14:paraId="2A9FB95B" w14:textId="77777777" w:rsidR="00A42B51" w:rsidRPr="00000CE2" w:rsidRDefault="00A42B51">
      <w:pPr>
        <w:widowControl w:val="0"/>
        <w:spacing w:after="0" w:line="360" w:lineRule="auto"/>
        <w:rPr>
          <w:b/>
        </w:rPr>
      </w:pPr>
    </w:p>
    <w:p w14:paraId="4C96A22A" w14:textId="77777777" w:rsidR="00A42B51" w:rsidRPr="00000CE2" w:rsidRDefault="00000CE2">
      <w:pPr>
        <w:spacing w:after="0" w:line="360" w:lineRule="auto"/>
      </w:pPr>
      <w:r w:rsidRPr="00000CE2">
        <w:rPr>
          <w:b/>
        </w:rPr>
        <w:t xml:space="preserve">e) Manifestaciones de la parte Recurrente. </w:t>
      </w:r>
      <w:r w:rsidRPr="00000CE2">
        <w:t>De las constancias que integran el expediente se advierte que la parte Recurrente no añadió manifestaciones.</w:t>
      </w:r>
    </w:p>
    <w:p w14:paraId="49D7F162" w14:textId="77777777" w:rsidR="00A42B51" w:rsidRPr="00000CE2" w:rsidRDefault="00A42B51">
      <w:pPr>
        <w:spacing w:after="0" w:line="360" w:lineRule="auto"/>
      </w:pPr>
    </w:p>
    <w:p w14:paraId="7C542B6B" w14:textId="77777777" w:rsidR="00A42B51" w:rsidRPr="00000CE2" w:rsidRDefault="00000CE2">
      <w:pPr>
        <w:spacing w:after="0" w:line="360" w:lineRule="auto"/>
      </w:pPr>
      <w:r w:rsidRPr="00000CE2">
        <w:rPr>
          <w:b/>
        </w:rPr>
        <w:t>d) Cierre de instrucción.</w:t>
      </w:r>
      <w:r w:rsidRPr="00000CE2">
        <w:t xml:space="preserve"> El quince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44129A83" w14:textId="77777777" w:rsidR="00A42B51" w:rsidRPr="00000CE2" w:rsidRDefault="00A42B51">
      <w:pPr>
        <w:spacing w:after="0" w:line="360" w:lineRule="auto"/>
      </w:pPr>
    </w:p>
    <w:p w14:paraId="18BE6A22" w14:textId="77777777" w:rsidR="00A42B51" w:rsidRPr="00000CE2" w:rsidRDefault="00000CE2">
      <w:pPr>
        <w:spacing w:after="0" w:line="360" w:lineRule="auto"/>
      </w:pPr>
      <w:r w:rsidRPr="00000CE2">
        <w:t xml:space="preserve">En razón de que fue debidamente sustanciado e integrado el expediente electrónico y no existir diligencia pendiente de desahogo, se emite la resolución que conforme a Derecho proceda, de acuerdo a los siguientes: </w:t>
      </w:r>
    </w:p>
    <w:p w14:paraId="5BFA6C52" w14:textId="77777777" w:rsidR="00A42B51" w:rsidRPr="00000CE2" w:rsidRDefault="00A42B51">
      <w:pPr>
        <w:spacing w:after="0" w:line="360" w:lineRule="auto"/>
      </w:pPr>
    </w:p>
    <w:p w14:paraId="311A7B0E" w14:textId="77777777" w:rsidR="00A42B51" w:rsidRPr="00000CE2" w:rsidRDefault="00000CE2">
      <w:pPr>
        <w:pStyle w:val="Ttulo1"/>
        <w:spacing w:before="0" w:after="0"/>
        <w:rPr>
          <w:sz w:val="22"/>
          <w:szCs w:val="22"/>
        </w:rPr>
      </w:pPr>
      <w:bookmarkStart w:id="15" w:name="_heading=h.7bgfrw62re2f" w:colFirst="0" w:colLast="0"/>
      <w:bookmarkStart w:id="16" w:name="_Toc211526354"/>
      <w:bookmarkEnd w:id="15"/>
      <w:r w:rsidRPr="00000CE2">
        <w:rPr>
          <w:sz w:val="22"/>
          <w:szCs w:val="22"/>
        </w:rPr>
        <w:t>C O N S I D E R A N D O S</w:t>
      </w:r>
      <w:bookmarkEnd w:id="16"/>
    </w:p>
    <w:p w14:paraId="5FEF85D3" w14:textId="77777777" w:rsidR="00A42B51" w:rsidRPr="00000CE2" w:rsidRDefault="00A42B51">
      <w:pPr>
        <w:spacing w:after="0" w:line="360" w:lineRule="auto"/>
        <w:rPr>
          <w:b/>
        </w:rPr>
      </w:pPr>
    </w:p>
    <w:p w14:paraId="02EDE345" w14:textId="77777777" w:rsidR="00A42B51" w:rsidRPr="00000CE2" w:rsidRDefault="00000CE2">
      <w:pPr>
        <w:pStyle w:val="Ttulo2"/>
        <w:spacing w:before="0" w:after="0"/>
      </w:pPr>
      <w:bookmarkStart w:id="17" w:name="_heading=h.jc4tjb2lwbqu" w:colFirst="0" w:colLast="0"/>
      <w:bookmarkStart w:id="18" w:name="_Toc211526355"/>
      <w:bookmarkEnd w:id="17"/>
      <w:r w:rsidRPr="00000CE2">
        <w:lastRenderedPageBreak/>
        <w:t>PRIMERO. Competencia</w:t>
      </w:r>
      <w:bookmarkEnd w:id="18"/>
    </w:p>
    <w:p w14:paraId="7B348BF4" w14:textId="77777777" w:rsidR="00A42B51" w:rsidRPr="00000CE2" w:rsidRDefault="00A42B51">
      <w:pPr>
        <w:spacing w:after="0" w:line="360" w:lineRule="auto"/>
      </w:pPr>
    </w:p>
    <w:p w14:paraId="29EA1132" w14:textId="77777777" w:rsidR="00A42B51" w:rsidRPr="00000CE2" w:rsidRDefault="00000CE2">
      <w:pPr>
        <w:spacing w:after="0" w:line="360" w:lineRule="auto"/>
      </w:pPr>
      <w:r w:rsidRPr="00000CE2">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3A277D2" w14:textId="77777777" w:rsidR="00A42B51" w:rsidRPr="00000CE2" w:rsidRDefault="00A42B51">
      <w:pPr>
        <w:spacing w:after="0" w:line="360" w:lineRule="auto"/>
      </w:pPr>
    </w:p>
    <w:p w14:paraId="5ADB5FCC" w14:textId="77777777" w:rsidR="00A42B51" w:rsidRPr="00000CE2" w:rsidRDefault="00000CE2">
      <w:pPr>
        <w:pStyle w:val="Ttulo2"/>
        <w:spacing w:before="0" w:after="0"/>
      </w:pPr>
      <w:bookmarkStart w:id="19" w:name="_heading=h.upnem82gvjya" w:colFirst="0" w:colLast="0"/>
      <w:bookmarkStart w:id="20" w:name="_Toc211526356"/>
      <w:bookmarkEnd w:id="19"/>
      <w:r w:rsidRPr="00000CE2">
        <w:t>SEGUNDO. Causales de improcedencia y sobreseimiento</w:t>
      </w:r>
      <w:bookmarkEnd w:id="20"/>
    </w:p>
    <w:p w14:paraId="2CF6EAE7" w14:textId="77777777" w:rsidR="00A42B51" w:rsidRPr="00000CE2" w:rsidRDefault="00A42B51">
      <w:pPr>
        <w:spacing w:after="0" w:line="360" w:lineRule="auto"/>
      </w:pPr>
    </w:p>
    <w:p w14:paraId="179E78F0" w14:textId="77777777" w:rsidR="00A42B51" w:rsidRPr="00000CE2" w:rsidRDefault="00000CE2">
      <w:pPr>
        <w:spacing w:after="0" w:line="360" w:lineRule="auto"/>
      </w:pPr>
      <w:r w:rsidRPr="00000CE2">
        <w:t xml:space="preserve">De las constancias que forman parte del Recurso de Revisión que se analiza, se advierte que previo al estudio del fondo de la </w:t>
      </w:r>
      <w:proofErr w:type="spellStart"/>
      <w:r w:rsidRPr="00000CE2">
        <w:rPr>
          <w:i/>
        </w:rPr>
        <w:t>litis</w:t>
      </w:r>
      <w:proofErr w:type="spellEnd"/>
      <w:r w:rsidRPr="00000CE2">
        <w:t>, es necesario estudiar las causales de improcedencia y sobreseimiento que se adviertan, para determinar lo que en Derecho proceda.</w:t>
      </w:r>
    </w:p>
    <w:p w14:paraId="35923A92" w14:textId="77777777" w:rsidR="00A42B51" w:rsidRPr="00000CE2" w:rsidRDefault="00A42B51">
      <w:pPr>
        <w:spacing w:after="0" w:line="360" w:lineRule="auto"/>
      </w:pPr>
    </w:p>
    <w:p w14:paraId="45DDD366" w14:textId="77777777" w:rsidR="00A42B51" w:rsidRPr="00000CE2" w:rsidRDefault="00000CE2">
      <w:pPr>
        <w:spacing w:after="0" w:line="360" w:lineRule="auto"/>
        <w:rPr>
          <w:b/>
        </w:rPr>
      </w:pPr>
      <w:r w:rsidRPr="00000CE2">
        <w:rPr>
          <w:b/>
        </w:rPr>
        <w:t>Causales de improcedencia</w:t>
      </w:r>
    </w:p>
    <w:p w14:paraId="6A03BA28" w14:textId="77777777" w:rsidR="00A42B51" w:rsidRPr="00000CE2" w:rsidRDefault="00A42B51">
      <w:pPr>
        <w:spacing w:after="0" w:line="360" w:lineRule="auto"/>
      </w:pPr>
    </w:p>
    <w:p w14:paraId="2C098306" w14:textId="77777777" w:rsidR="00A42B51" w:rsidRPr="00000CE2" w:rsidRDefault="00000CE2">
      <w:pPr>
        <w:spacing w:after="0" w:line="360" w:lineRule="auto"/>
      </w:pPr>
      <w:r w:rsidRPr="00000CE2">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000CE2">
        <w:t>./</w:t>
      </w:r>
      <w:proofErr w:type="gramEnd"/>
      <w:r w:rsidRPr="00000CE2">
        <w:t>J. 163/2005</w:t>
      </w:r>
      <w:r w:rsidRPr="00000CE2">
        <w:rPr>
          <w:b/>
        </w:rPr>
        <w:t xml:space="preserve"> </w:t>
      </w:r>
      <w:r w:rsidRPr="00000CE2">
        <w:t xml:space="preserve">(Semanario Judicial de la Federación y su Gaceta, Novena Época, 2006, página 319), toda vez que, si de las constancias que obran en el expediente electrónico, se actualiza una </w:t>
      </w:r>
      <w:r w:rsidRPr="00000CE2">
        <w:lastRenderedPageBreak/>
        <w:t xml:space="preserve">causal de improcedencia establecidas en el artículo 191 de la Ley de Transparencia y Acceso a la Información Pública del Estado de México y Municipios, dará lugar a que el presente Recurso de Revisión sea sobreseído. </w:t>
      </w:r>
    </w:p>
    <w:p w14:paraId="03F445A4" w14:textId="77777777" w:rsidR="00A42B51" w:rsidRPr="00000CE2" w:rsidRDefault="00A42B51">
      <w:pPr>
        <w:spacing w:after="0" w:line="360" w:lineRule="auto"/>
      </w:pPr>
    </w:p>
    <w:p w14:paraId="4D204A7E" w14:textId="77777777" w:rsidR="00A42B51" w:rsidRPr="00000CE2" w:rsidRDefault="00000CE2">
      <w:pPr>
        <w:spacing w:after="0" w:line="360" w:lineRule="auto"/>
      </w:pPr>
      <w:r w:rsidRPr="00000CE2">
        <w:t xml:space="preserve">En el presente caso, </w:t>
      </w:r>
      <w:r w:rsidRPr="00000CE2">
        <w:rPr>
          <w:b/>
        </w:rPr>
        <w:t>no se actualiza ninguna de las causales de improcedencia</w:t>
      </w:r>
      <w:r w:rsidRPr="00000CE2">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AD69A2A" w14:textId="77777777" w:rsidR="00A42B51" w:rsidRPr="00000CE2" w:rsidRDefault="00A42B51">
      <w:pPr>
        <w:spacing w:after="0" w:line="360" w:lineRule="auto"/>
        <w:rPr>
          <w:b/>
        </w:rPr>
      </w:pPr>
    </w:p>
    <w:p w14:paraId="45E527A8" w14:textId="77777777" w:rsidR="00A42B51" w:rsidRPr="00000CE2" w:rsidRDefault="00000CE2">
      <w:pPr>
        <w:spacing w:after="0" w:line="360" w:lineRule="auto"/>
        <w:ind w:right="-28"/>
        <w:rPr>
          <w:b/>
        </w:rPr>
      </w:pPr>
      <w:r w:rsidRPr="00000CE2">
        <w:rPr>
          <w:b/>
        </w:rPr>
        <w:t>Causales de sobreseimiento</w:t>
      </w:r>
    </w:p>
    <w:p w14:paraId="032F2F2D" w14:textId="77777777" w:rsidR="00A42B51" w:rsidRPr="00000CE2" w:rsidRDefault="00A42B51">
      <w:pPr>
        <w:spacing w:after="0" w:line="360" w:lineRule="auto"/>
        <w:ind w:right="-28"/>
      </w:pPr>
    </w:p>
    <w:p w14:paraId="44318E57" w14:textId="77777777" w:rsidR="00A42B51" w:rsidRPr="00000CE2" w:rsidRDefault="00000CE2">
      <w:pPr>
        <w:spacing w:after="0" w:line="360" w:lineRule="auto"/>
      </w:pPr>
      <w:r w:rsidRPr="00000CE2">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000CE2">
        <w:rPr>
          <w:b/>
        </w:rPr>
        <w:t xml:space="preserve"> </w:t>
      </w:r>
      <w:r w:rsidRPr="00000CE2">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3C2E73E7" w14:textId="77777777" w:rsidR="00A42B51" w:rsidRPr="00000CE2" w:rsidRDefault="00A42B51">
      <w:pPr>
        <w:spacing w:after="0" w:line="360" w:lineRule="auto"/>
      </w:pPr>
    </w:p>
    <w:p w14:paraId="5D213CA8" w14:textId="77777777" w:rsidR="00A42B51" w:rsidRPr="00000CE2" w:rsidRDefault="00000CE2">
      <w:pPr>
        <w:keepNext/>
        <w:keepLines/>
        <w:spacing w:after="0" w:line="360" w:lineRule="auto"/>
        <w:rPr>
          <w:b/>
        </w:rPr>
      </w:pPr>
      <w:bookmarkStart w:id="21" w:name="_heading=h.bssoe5sq0ur8" w:colFirst="0" w:colLast="0"/>
      <w:bookmarkEnd w:id="21"/>
      <w:r w:rsidRPr="00000CE2">
        <w:rPr>
          <w:b/>
        </w:rPr>
        <w:t>TERCERO. Determinación de la Controversia</w:t>
      </w:r>
    </w:p>
    <w:p w14:paraId="5F20EDC5" w14:textId="77777777" w:rsidR="00A42B51" w:rsidRPr="00000CE2" w:rsidRDefault="00A42B51">
      <w:pPr>
        <w:spacing w:after="0" w:line="360" w:lineRule="auto"/>
      </w:pPr>
    </w:p>
    <w:p w14:paraId="66DA5EC4" w14:textId="0AE982CD" w:rsidR="00E05BD8" w:rsidRPr="00000CE2" w:rsidRDefault="00000CE2">
      <w:pPr>
        <w:spacing w:after="0" w:line="360" w:lineRule="auto"/>
      </w:pPr>
      <w:r w:rsidRPr="00000CE2">
        <w:lastRenderedPageBreak/>
        <w:t xml:space="preserve">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la entrega </w:t>
      </w:r>
      <w:r w:rsidR="00E05BD8" w:rsidRPr="00000CE2">
        <w:t>de la renuncia y el Formato Único de Movimiento de Personal (baja), de la Directora General y todos los Directores que causaron baja del primero de enero al treinta y uno de diciembre de dos mil veintitrés.</w:t>
      </w:r>
    </w:p>
    <w:p w14:paraId="5B193F1F" w14:textId="77777777" w:rsidR="00E05BD8" w:rsidRPr="00000CE2" w:rsidRDefault="00E05BD8">
      <w:pPr>
        <w:spacing w:after="0" w:line="360" w:lineRule="auto"/>
      </w:pPr>
    </w:p>
    <w:p w14:paraId="3232A9F7" w14:textId="77777777" w:rsidR="00A42B51" w:rsidRPr="00000CE2" w:rsidRDefault="00000CE2">
      <w:pPr>
        <w:spacing w:after="0" w:line="360" w:lineRule="auto"/>
      </w:pPr>
      <w:r w:rsidRPr="00000CE2">
        <w:t>En este tenor, en respuesta el Sujeto Obligado</w:t>
      </w:r>
      <w:r w:rsidRPr="00000CE2">
        <w:rPr>
          <w:b/>
        </w:rPr>
        <w:t xml:space="preserve">, </w:t>
      </w:r>
      <w:r w:rsidRPr="00000CE2">
        <w:t xml:space="preserve">a través del Jefe del Departamento de Capital Humano informó que realizó la búsqueda exhaustiva y razonable en los archivos que se encuentran bajo su resguardo y no localizó documento alguno que dé cuenta de lo solicitado y emitió acuerdo por parte de su Comité de Transparencia en el que confirmó la inexistencia de la información.  </w:t>
      </w:r>
    </w:p>
    <w:p w14:paraId="5CAF35FB" w14:textId="77777777" w:rsidR="00A42B51" w:rsidRPr="00000CE2" w:rsidRDefault="00A42B51">
      <w:pPr>
        <w:spacing w:after="0" w:line="360" w:lineRule="auto"/>
      </w:pPr>
    </w:p>
    <w:p w14:paraId="264E1DE1" w14:textId="5F6C757C" w:rsidR="00A42B51" w:rsidRPr="00000CE2" w:rsidRDefault="00000CE2" w:rsidP="00E05BD8">
      <w:pPr>
        <w:spacing w:after="0" w:line="360" w:lineRule="auto"/>
      </w:pPr>
      <w:r w:rsidRPr="00000CE2">
        <w:t xml:space="preserve">Derivado de ello, la parte </w:t>
      </w:r>
      <w:r w:rsidRPr="00000CE2">
        <w:rPr>
          <w:b/>
        </w:rPr>
        <w:t xml:space="preserve">Recurrente </w:t>
      </w:r>
      <w:r w:rsidRPr="00000CE2">
        <w:t xml:space="preserve">se inconformó bajo el argumento de que no le entregaron la información solicitada.  Durante la etapa de manifestaciones el </w:t>
      </w:r>
      <w:r w:rsidRPr="00000CE2">
        <w:rPr>
          <w:b/>
        </w:rPr>
        <w:t xml:space="preserve">Sujeto Obligado </w:t>
      </w:r>
      <w:r w:rsidRPr="00000CE2">
        <w:t xml:space="preserve">rindió informe justificado en el que medularmente ratificó su respuesta inicial, mientras que a parte </w:t>
      </w:r>
      <w:r w:rsidRPr="00000CE2">
        <w:rPr>
          <w:b/>
        </w:rPr>
        <w:t xml:space="preserve">Recurrente </w:t>
      </w:r>
      <w:r w:rsidRPr="00000CE2">
        <w:t>fue omisa en añadir manifestaciones.</w:t>
      </w:r>
      <w:r w:rsidR="00E05BD8" w:rsidRPr="00000CE2">
        <w:t xml:space="preserve"> </w:t>
      </w:r>
      <w:r w:rsidRPr="00000CE2">
        <w:t xml:space="preserve">Así pues, de las constancias que integran el expediente, se advierte que en el asunto que nos ocupa se actualiza la causal de procedencia señalada en el artículo 179, fracciones III, de la Ley de la materia; por la declaratoria de inexistencia de la información. </w:t>
      </w:r>
    </w:p>
    <w:p w14:paraId="1DDCF664" w14:textId="77777777" w:rsidR="00A42B51" w:rsidRPr="00000CE2" w:rsidRDefault="00A42B51">
      <w:pPr>
        <w:tabs>
          <w:tab w:val="left" w:pos="4962"/>
        </w:tabs>
        <w:spacing w:after="0" w:line="360" w:lineRule="auto"/>
      </w:pPr>
    </w:p>
    <w:p w14:paraId="40E50FE7" w14:textId="77777777" w:rsidR="00A42B51" w:rsidRPr="00000CE2" w:rsidRDefault="00000CE2">
      <w:pPr>
        <w:tabs>
          <w:tab w:val="left" w:pos="4962"/>
        </w:tabs>
        <w:spacing w:after="0" w:line="360" w:lineRule="auto"/>
      </w:pPr>
      <w:r w:rsidRPr="00000CE2">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E9FE5E3" w14:textId="77777777" w:rsidR="00A42B51" w:rsidRPr="00000CE2" w:rsidRDefault="00A42B51">
      <w:pPr>
        <w:spacing w:after="0" w:line="360" w:lineRule="auto"/>
      </w:pPr>
    </w:p>
    <w:p w14:paraId="47430E8E" w14:textId="77777777" w:rsidR="00A42B51" w:rsidRPr="00000CE2" w:rsidRDefault="00000CE2">
      <w:pPr>
        <w:pStyle w:val="Ttulo2"/>
        <w:spacing w:before="0" w:after="0"/>
      </w:pPr>
      <w:bookmarkStart w:id="22" w:name="_heading=h.n8xuqa1ag5hv" w:colFirst="0" w:colLast="0"/>
      <w:bookmarkStart w:id="23" w:name="_Toc211526357"/>
      <w:bookmarkEnd w:id="22"/>
      <w:r w:rsidRPr="00000CE2">
        <w:t>CUARTO. Marco normativo aplicable en materia de transparencia y acceso a la información pública</w:t>
      </w:r>
      <w:bookmarkEnd w:id="23"/>
    </w:p>
    <w:p w14:paraId="7292364C" w14:textId="77777777" w:rsidR="00A42B51" w:rsidRPr="00000CE2" w:rsidRDefault="00A42B51">
      <w:pPr>
        <w:spacing w:after="0" w:line="360" w:lineRule="auto"/>
      </w:pPr>
    </w:p>
    <w:p w14:paraId="6E3A0435" w14:textId="77777777" w:rsidR="00A42B51" w:rsidRPr="00000CE2" w:rsidRDefault="00000CE2">
      <w:pPr>
        <w:spacing w:after="0" w:line="360" w:lineRule="auto"/>
      </w:pPr>
      <w:r w:rsidRPr="00000CE2">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2C0562C" w14:textId="77777777" w:rsidR="00A42B51" w:rsidRPr="00000CE2" w:rsidRDefault="00A42B51">
      <w:pPr>
        <w:spacing w:after="0" w:line="360" w:lineRule="auto"/>
      </w:pPr>
    </w:p>
    <w:p w14:paraId="67B6A5A2" w14:textId="77777777" w:rsidR="00A42B51" w:rsidRPr="00000CE2" w:rsidRDefault="00000CE2">
      <w:pPr>
        <w:spacing w:after="0" w:line="360" w:lineRule="auto"/>
      </w:pPr>
      <w:r w:rsidRPr="00000CE2">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4FD14E9" w14:textId="77777777" w:rsidR="00A42B51" w:rsidRPr="00000CE2" w:rsidRDefault="00A42B51">
      <w:pPr>
        <w:spacing w:after="0" w:line="360" w:lineRule="auto"/>
      </w:pPr>
    </w:p>
    <w:p w14:paraId="5C181F69" w14:textId="77777777" w:rsidR="00A42B51" w:rsidRPr="00000CE2" w:rsidRDefault="00000CE2">
      <w:pPr>
        <w:spacing w:after="0" w:line="360" w:lineRule="auto"/>
      </w:pPr>
      <w:r w:rsidRPr="00000CE2">
        <w:t>Por su parte, la Ley de Transparencia y Acceso a la Información Pública del Estado de México y Municipios (Reglamentaria del artículo 5° de la Constitución Local), establece lo siguiente:</w:t>
      </w:r>
    </w:p>
    <w:p w14:paraId="2479E726" w14:textId="77777777" w:rsidR="00A42B51" w:rsidRPr="00000CE2" w:rsidRDefault="00A42B51">
      <w:pPr>
        <w:spacing w:after="0" w:line="360" w:lineRule="auto"/>
      </w:pPr>
    </w:p>
    <w:p w14:paraId="73A554C6" w14:textId="77777777" w:rsidR="00A42B51" w:rsidRPr="00000CE2" w:rsidRDefault="00000CE2">
      <w:pPr>
        <w:spacing w:after="0" w:line="360" w:lineRule="auto"/>
      </w:pPr>
      <w:r w:rsidRPr="00000CE2">
        <w:t>El artículo 12 dice que, quienes generen, recopilen, administren, manejen, procesen, archiven o conserven información pública serán responsables de la misma.</w:t>
      </w:r>
    </w:p>
    <w:p w14:paraId="28B22412" w14:textId="77777777" w:rsidR="00A42B51" w:rsidRPr="00000CE2" w:rsidRDefault="00A42B51">
      <w:pPr>
        <w:spacing w:after="0" w:line="360" w:lineRule="auto"/>
      </w:pPr>
    </w:p>
    <w:p w14:paraId="551E8EFE" w14:textId="77777777" w:rsidR="00A42B51" w:rsidRPr="00000CE2" w:rsidRDefault="00000CE2">
      <w:pPr>
        <w:spacing w:after="0" w:line="360" w:lineRule="auto"/>
      </w:pPr>
      <w:r w:rsidRPr="00000CE2">
        <w:t>El artículo 18, que, los Sujetos Obligados deberán documentar todo acto que derive del ejercicio de sus facultades, competencias o funciones, considerando desde su origen la eventual publicidad y reutilización de la información que generen.</w:t>
      </w:r>
    </w:p>
    <w:p w14:paraId="106098EB" w14:textId="77777777" w:rsidR="00A42B51" w:rsidRPr="00000CE2" w:rsidRDefault="00A42B51">
      <w:pPr>
        <w:spacing w:after="0" w:line="360" w:lineRule="auto"/>
      </w:pPr>
    </w:p>
    <w:p w14:paraId="64D71F66" w14:textId="77777777" w:rsidR="00A42B51" w:rsidRPr="00000CE2" w:rsidRDefault="00000CE2">
      <w:pPr>
        <w:spacing w:after="0" w:line="360" w:lineRule="auto"/>
      </w:pPr>
      <w:r w:rsidRPr="00000CE2">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BDC7674" w14:textId="77777777" w:rsidR="00A42B51" w:rsidRPr="00000CE2" w:rsidRDefault="00A42B51">
      <w:pPr>
        <w:pStyle w:val="Ttulo2"/>
        <w:spacing w:before="0" w:after="0"/>
        <w:rPr>
          <w:smallCaps/>
        </w:rPr>
      </w:pPr>
    </w:p>
    <w:p w14:paraId="43B91748" w14:textId="77777777" w:rsidR="00A42B51" w:rsidRPr="00000CE2" w:rsidRDefault="00000CE2">
      <w:pPr>
        <w:pStyle w:val="Ttulo2"/>
        <w:spacing w:before="0" w:after="0"/>
      </w:pPr>
      <w:bookmarkStart w:id="24" w:name="_heading=h.pghad0xef920" w:colFirst="0" w:colLast="0"/>
      <w:bookmarkStart w:id="25" w:name="_Toc211526358"/>
      <w:bookmarkEnd w:id="24"/>
      <w:r w:rsidRPr="00000CE2">
        <w:rPr>
          <w:smallCaps/>
        </w:rPr>
        <w:t>QUINTO.</w:t>
      </w:r>
      <w:r w:rsidRPr="00000CE2">
        <w:t xml:space="preserve"> Estudio de Fondo</w:t>
      </w:r>
      <w:bookmarkEnd w:id="25"/>
    </w:p>
    <w:p w14:paraId="2EBF0883" w14:textId="77777777" w:rsidR="00A42B51" w:rsidRPr="00000CE2" w:rsidRDefault="00A42B51">
      <w:pPr>
        <w:spacing w:after="0" w:line="360" w:lineRule="auto"/>
      </w:pPr>
    </w:p>
    <w:p w14:paraId="71B65DE2" w14:textId="77777777" w:rsidR="00A42B51" w:rsidRPr="00000CE2" w:rsidRDefault="00000CE2">
      <w:pPr>
        <w:spacing w:after="0" w:line="360" w:lineRule="auto"/>
      </w:pPr>
      <w:r w:rsidRPr="00000CE2">
        <w:t>Una vez expuesto lo anterior, es menester contextualizar la solicitud de información, la cual se relaciona con renuncias y formatos únicos de movimiento de personal de baja de la Directora General del Sujeto Obligado y de todos los Directores que causaron baja en el año 2023.</w:t>
      </w:r>
    </w:p>
    <w:p w14:paraId="7C3C8E33" w14:textId="77777777" w:rsidR="00A42B51" w:rsidRPr="00000CE2" w:rsidRDefault="00A42B51">
      <w:pPr>
        <w:spacing w:after="0" w:line="360" w:lineRule="auto"/>
      </w:pPr>
    </w:p>
    <w:p w14:paraId="3A283855" w14:textId="77777777" w:rsidR="00A42B51" w:rsidRPr="00000CE2" w:rsidRDefault="00000CE2">
      <w:pPr>
        <w:spacing w:after="0" w:line="360" w:lineRule="auto"/>
      </w:pPr>
      <w:r w:rsidRPr="00000CE2">
        <w:t xml:space="preserve">Por cuanto hace a la información relacionada con la baja del personal, se debe tener en cuenta que la Ley del Trabajo de los Servidores Públicos del Estado y Municipios, prevé en sus artículos 5, 45, 48, 49 y 53; que la relación de trabajo entre las instituciones públicas y sus servidores públicos se entiende establecida mediante nombramiento, formato único de movimiento de personal, contrato o cualquier otro, en el que se establece la prestación personal subordinada y la percepción de un sueldo, además, los servidores públicos prestarán los servicios conforme a dicho contrato o formato único de movimientos de personal, y es un requisito para iniciar la prestación de servicios; además dichos documentos deben contener el nombre del servidor público, el cargo, la fecha de inicios, el lugar de adscripción, el carácter del nombramiento, la temporalidad, la remuneración, la jornada de trabajo y la firma de autorización. Aunado a ello, para el caso de la baja del personal, se debe emitir dicho formato. </w:t>
      </w:r>
    </w:p>
    <w:p w14:paraId="3405EDD2" w14:textId="77777777" w:rsidR="00A42B51" w:rsidRPr="00000CE2" w:rsidRDefault="00A42B51">
      <w:pPr>
        <w:spacing w:after="0" w:line="360" w:lineRule="auto"/>
      </w:pPr>
    </w:p>
    <w:p w14:paraId="62815C11" w14:textId="77777777" w:rsidR="00A42B51" w:rsidRPr="00000CE2" w:rsidRDefault="00000CE2">
      <w:pPr>
        <w:spacing w:after="0" w:line="360" w:lineRule="auto"/>
      </w:pPr>
      <w:r w:rsidRPr="00000CE2">
        <w:t xml:space="preserve">Por su parte, el artículo 220 K, fracción I, de la misma Ley del Trabajo de los Servidores Públicos del Estado y Municipios, señala que es obligación de la institución pública de conservar los </w:t>
      </w:r>
      <w:r w:rsidRPr="00000CE2">
        <w:lastRenderedPageBreak/>
        <w:t>contratos, nombramientos o formatos únicos de movimiento de personal, de las personas servidoras públicas; por tanto, se advierte que el Sujeto Obligado puede conocer de la información solicitada.</w:t>
      </w:r>
    </w:p>
    <w:p w14:paraId="17B5DCA8" w14:textId="77777777" w:rsidR="00A42B51" w:rsidRPr="00000CE2" w:rsidRDefault="00A42B51">
      <w:pPr>
        <w:spacing w:after="0" w:line="360" w:lineRule="auto"/>
      </w:pPr>
    </w:p>
    <w:p w14:paraId="36DEE2C3" w14:textId="77777777" w:rsidR="00A42B51" w:rsidRPr="00000CE2" w:rsidRDefault="00000CE2">
      <w:pPr>
        <w:spacing w:after="0" w:line="360" w:lineRule="auto"/>
      </w:pPr>
      <w:r w:rsidRPr="00000CE2">
        <w:t xml:space="preserve">Ahora bien, la Ley del Trabajo de los Servidores Públicos del Estado y Municipios también prevé en su artículo 89, fracción I, que dentro de las causas de terminación de la relación laboral sin responsabilidad para las instituciones públicas se encuentra la renuncia de los servidores públicos, por tanto, para el caso de que las personas identificadas en la solicitud renunciaron, se debe contar con dicha información. </w:t>
      </w:r>
    </w:p>
    <w:p w14:paraId="1FAE227E" w14:textId="77777777" w:rsidR="00A42B51" w:rsidRPr="00000CE2" w:rsidRDefault="00A42B51">
      <w:pPr>
        <w:spacing w:after="0" w:line="360" w:lineRule="auto"/>
      </w:pPr>
    </w:p>
    <w:p w14:paraId="766DF278" w14:textId="5EE3F2E2" w:rsidR="00A42B51" w:rsidRPr="00000CE2" w:rsidRDefault="00000CE2">
      <w:pPr>
        <w:spacing w:after="0" w:line="360" w:lineRule="auto"/>
      </w:pPr>
      <w:r w:rsidRPr="00000CE2">
        <w:t>Además, de conformidad con lo dispuesto en la Ley que crea los Organismos Públicos Descentralizados de Asistencia Social, de Carácter Municipal, denominados “Sistemas Municipales para el Desarrollo Integral de la Familia”, en el que se integra la creación del Sujeto Obligado, dispone en su artículo 13 Bis- E, que la Presidencia deberá conducir las relaciones laborales del Organismo.</w:t>
      </w:r>
    </w:p>
    <w:p w14:paraId="72FBD65C" w14:textId="77777777" w:rsidR="00A42B51" w:rsidRPr="00000CE2" w:rsidRDefault="00A42B51">
      <w:pPr>
        <w:spacing w:after="0" w:line="360" w:lineRule="auto"/>
      </w:pPr>
    </w:p>
    <w:p w14:paraId="425B6F7F" w14:textId="77777777" w:rsidR="00A42B51" w:rsidRPr="00000CE2" w:rsidRDefault="00000CE2">
      <w:pPr>
        <w:spacing w:after="0" w:line="360" w:lineRule="auto"/>
      </w:pPr>
      <w:r w:rsidRPr="00000CE2">
        <w:t xml:space="preserve">Sumado a lo anterior, conforme al Manual de Organización del Sujeto Obligado aplicable en el año 2023, dentro de su estructura orgánica contaba con un Departamento de Capital Humano, que tenía entre sus funciones la de elaborar y controlar los movimientos de personal procesando, las bajas y someterla a consideración de la persona titular de la Dirección de Administración y Tesorería, así como elaborar y resguardar los Formatos Únicos de Movimiento de Personal; ello se concatena con el último Manual de Organización del Sistema Municipal Para el Desarrollo Integral de la Familia de Toluca, localizado por este Organismo Garante, en el que se establece la Dirección General de Administración que tiene facultades para conocer de las relaciones laborales así como de los movimientos administrativos del personal. Cabe </w:t>
      </w:r>
      <w:r w:rsidRPr="00000CE2">
        <w:lastRenderedPageBreak/>
        <w:t xml:space="preserve">destacar que en el actual organigrama del Sujeto Obligado se advierte que de la Dirección de Administración y Tesorería se desprende el Departamento de Capital Humano, que resulta competente para conocer de la información solicitada. </w:t>
      </w:r>
    </w:p>
    <w:p w14:paraId="48D14084" w14:textId="77777777" w:rsidR="00A42B51" w:rsidRPr="00000CE2" w:rsidRDefault="00A42B51">
      <w:pPr>
        <w:spacing w:after="0" w:line="360" w:lineRule="auto"/>
      </w:pPr>
    </w:p>
    <w:p w14:paraId="1EA4D894" w14:textId="77777777" w:rsidR="00A42B51" w:rsidRPr="00000CE2" w:rsidRDefault="00000CE2">
      <w:pPr>
        <w:spacing w:after="0" w:line="360" w:lineRule="auto"/>
      </w:pPr>
      <w:r w:rsidRPr="00000CE2">
        <w:t>De los registros en el Sitio de Información Pública de Oficio Mexiquense, en lo sucesivo IPOMEX, del Sujeto Obligado de los registros del año 2023, se prevé el siguiente organigrama:</w:t>
      </w:r>
    </w:p>
    <w:p w14:paraId="35156A53" w14:textId="77777777" w:rsidR="00A42B51" w:rsidRPr="00000CE2" w:rsidRDefault="00000CE2">
      <w:pPr>
        <w:spacing w:after="0" w:line="360" w:lineRule="auto"/>
      </w:pPr>
      <w:r w:rsidRPr="00000CE2">
        <w:t xml:space="preserve"> </w:t>
      </w:r>
    </w:p>
    <w:p w14:paraId="119CD3B6" w14:textId="77777777" w:rsidR="00A42B51" w:rsidRPr="00000CE2" w:rsidRDefault="00000CE2">
      <w:pPr>
        <w:spacing w:after="0" w:line="360" w:lineRule="auto"/>
        <w:jc w:val="center"/>
      </w:pPr>
      <w:r w:rsidRPr="00000CE2">
        <w:rPr>
          <w:noProof/>
        </w:rPr>
        <w:drawing>
          <wp:inline distT="0" distB="0" distL="0" distR="0" wp14:anchorId="09BE9A0B" wp14:editId="702856DC">
            <wp:extent cx="5175297" cy="380424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175297" cy="3804242"/>
                    </a:xfrm>
                    <a:prstGeom prst="rect">
                      <a:avLst/>
                    </a:prstGeom>
                    <a:ln/>
                  </pic:spPr>
                </pic:pic>
              </a:graphicData>
            </a:graphic>
          </wp:inline>
        </w:drawing>
      </w:r>
    </w:p>
    <w:p w14:paraId="434408BB" w14:textId="77777777" w:rsidR="00E05BD8" w:rsidRPr="00000CE2" w:rsidRDefault="00E05BD8">
      <w:pPr>
        <w:spacing w:after="0" w:line="360" w:lineRule="auto"/>
      </w:pPr>
    </w:p>
    <w:p w14:paraId="4872B3A0" w14:textId="69E9A3F6" w:rsidR="00A42B51" w:rsidRPr="00000CE2" w:rsidRDefault="00000CE2">
      <w:pPr>
        <w:spacing w:after="0" w:line="360" w:lineRule="auto"/>
      </w:pPr>
      <w:r w:rsidRPr="00000CE2">
        <w:t>Del citado se desprende las siguientes Direcciones:</w:t>
      </w:r>
    </w:p>
    <w:p w14:paraId="7361D80A" w14:textId="77777777" w:rsidR="00A42B51" w:rsidRPr="00000CE2" w:rsidRDefault="00000CE2">
      <w:pPr>
        <w:numPr>
          <w:ilvl w:val="0"/>
          <w:numId w:val="4"/>
        </w:numPr>
        <w:pBdr>
          <w:top w:val="nil"/>
          <w:left w:val="nil"/>
          <w:bottom w:val="nil"/>
          <w:right w:val="nil"/>
          <w:between w:val="nil"/>
        </w:pBdr>
        <w:spacing w:after="0" w:line="360" w:lineRule="auto"/>
        <w:rPr>
          <w:color w:val="000000"/>
        </w:rPr>
      </w:pPr>
      <w:r w:rsidRPr="00000CE2">
        <w:rPr>
          <w:color w:val="000000"/>
        </w:rPr>
        <w:t>Dirección General</w:t>
      </w:r>
    </w:p>
    <w:p w14:paraId="0BA9EC73" w14:textId="77777777" w:rsidR="00A42B51" w:rsidRPr="00000CE2" w:rsidRDefault="00000CE2">
      <w:pPr>
        <w:numPr>
          <w:ilvl w:val="0"/>
          <w:numId w:val="4"/>
        </w:numPr>
        <w:pBdr>
          <w:top w:val="nil"/>
          <w:left w:val="nil"/>
          <w:bottom w:val="nil"/>
          <w:right w:val="nil"/>
          <w:between w:val="nil"/>
        </w:pBdr>
        <w:spacing w:after="0" w:line="360" w:lineRule="auto"/>
        <w:rPr>
          <w:color w:val="000000"/>
        </w:rPr>
      </w:pPr>
      <w:r w:rsidRPr="00000CE2">
        <w:rPr>
          <w:color w:val="000000"/>
        </w:rPr>
        <w:t>Dirección de Administración y Tesorería</w:t>
      </w:r>
    </w:p>
    <w:p w14:paraId="10E0B226" w14:textId="77777777" w:rsidR="00A42B51" w:rsidRPr="00000CE2" w:rsidRDefault="00000CE2">
      <w:pPr>
        <w:numPr>
          <w:ilvl w:val="0"/>
          <w:numId w:val="4"/>
        </w:numPr>
        <w:pBdr>
          <w:top w:val="nil"/>
          <w:left w:val="nil"/>
          <w:bottom w:val="nil"/>
          <w:right w:val="nil"/>
          <w:between w:val="nil"/>
        </w:pBdr>
        <w:spacing w:after="0" w:line="360" w:lineRule="auto"/>
        <w:rPr>
          <w:color w:val="000000"/>
        </w:rPr>
      </w:pPr>
      <w:r w:rsidRPr="00000CE2">
        <w:rPr>
          <w:color w:val="000000"/>
        </w:rPr>
        <w:lastRenderedPageBreak/>
        <w:t>Dirección de Salud y Bienestar Familiar</w:t>
      </w:r>
    </w:p>
    <w:p w14:paraId="171F2264" w14:textId="77777777" w:rsidR="00A42B51" w:rsidRPr="00000CE2" w:rsidRDefault="00000CE2">
      <w:pPr>
        <w:numPr>
          <w:ilvl w:val="0"/>
          <w:numId w:val="4"/>
        </w:numPr>
        <w:pBdr>
          <w:top w:val="nil"/>
          <w:left w:val="nil"/>
          <w:bottom w:val="nil"/>
          <w:right w:val="nil"/>
          <w:between w:val="nil"/>
        </w:pBdr>
        <w:spacing w:after="0" w:line="360" w:lineRule="auto"/>
        <w:rPr>
          <w:color w:val="000000"/>
        </w:rPr>
      </w:pPr>
      <w:r w:rsidRPr="00000CE2">
        <w:rPr>
          <w:color w:val="000000"/>
        </w:rPr>
        <w:t>Dirección de Servicios Jurídicos Asistenciales</w:t>
      </w:r>
    </w:p>
    <w:p w14:paraId="20770DDA" w14:textId="77777777" w:rsidR="00A42B51" w:rsidRPr="00000CE2" w:rsidRDefault="00000CE2">
      <w:pPr>
        <w:numPr>
          <w:ilvl w:val="0"/>
          <w:numId w:val="4"/>
        </w:numPr>
        <w:pBdr>
          <w:top w:val="nil"/>
          <w:left w:val="nil"/>
          <w:bottom w:val="nil"/>
          <w:right w:val="nil"/>
          <w:between w:val="nil"/>
        </w:pBdr>
        <w:spacing w:after="0" w:line="360" w:lineRule="auto"/>
        <w:rPr>
          <w:color w:val="000000"/>
        </w:rPr>
      </w:pPr>
      <w:r w:rsidRPr="00000CE2">
        <w:rPr>
          <w:color w:val="000000"/>
        </w:rPr>
        <w:t>Dirección de Programas al Adulto Mayor</w:t>
      </w:r>
    </w:p>
    <w:p w14:paraId="125B2E87" w14:textId="77777777" w:rsidR="00A42B51" w:rsidRPr="00000CE2" w:rsidRDefault="00000CE2">
      <w:pPr>
        <w:numPr>
          <w:ilvl w:val="0"/>
          <w:numId w:val="4"/>
        </w:numPr>
        <w:pBdr>
          <w:top w:val="nil"/>
          <w:left w:val="nil"/>
          <w:bottom w:val="nil"/>
          <w:right w:val="nil"/>
          <w:between w:val="nil"/>
        </w:pBdr>
        <w:spacing w:after="0" w:line="360" w:lineRule="auto"/>
        <w:rPr>
          <w:color w:val="000000"/>
        </w:rPr>
      </w:pPr>
      <w:r w:rsidRPr="00000CE2">
        <w:rPr>
          <w:color w:val="000000"/>
        </w:rPr>
        <w:t xml:space="preserve">Dirección de Atención a la Discapacidad. </w:t>
      </w:r>
    </w:p>
    <w:p w14:paraId="4F14ABB6" w14:textId="77777777" w:rsidR="00A42B51" w:rsidRPr="00000CE2" w:rsidRDefault="00A42B51">
      <w:pPr>
        <w:spacing w:after="0" w:line="360" w:lineRule="auto"/>
      </w:pPr>
    </w:p>
    <w:p w14:paraId="670C4792" w14:textId="632AEB97" w:rsidR="00A42B51" w:rsidRPr="00000CE2" w:rsidRDefault="00000CE2">
      <w:pPr>
        <w:spacing w:after="0" w:line="360" w:lineRule="auto"/>
      </w:pPr>
      <w:r w:rsidRPr="00000CE2">
        <w:t>Así</w:t>
      </w:r>
      <w:r w:rsidR="00E05BD8" w:rsidRPr="00000CE2">
        <w:t xml:space="preserve">, </w:t>
      </w:r>
      <w:r w:rsidRPr="00000CE2">
        <w:t>se aprecia que la parte Recurrente pretende conocer de la información respecto a las bajas de las personas titulares de las Direcciones antes señaladas y el Sujeto Obligado resulta competente para conocer de la misma.</w:t>
      </w:r>
    </w:p>
    <w:p w14:paraId="5D229FCD" w14:textId="77777777" w:rsidR="00A42B51" w:rsidRPr="00000CE2" w:rsidRDefault="00A42B51">
      <w:pPr>
        <w:spacing w:after="0" w:line="360" w:lineRule="auto"/>
      </w:pPr>
    </w:p>
    <w:p w14:paraId="14596DAB" w14:textId="2FD6983E" w:rsidR="00A42B51" w:rsidRPr="00000CE2" w:rsidRDefault="00000CE2">
      <w:pPr>
        <w:spacing w:after="0" w:line="360" w:lineRule="auto"/>
      </w:pPr>
      <w:r w:rsidRPr="00000CE2">
        <w:t xml:space="preserve">Conforme a lo anterior, se logra advertir que la pretensión del ahora Recurrente </w:t>
      </w:r>
      <w:r w:rsidR="00E05BD8" w:rsidRPr="00000CE2">
        <w:t>es obtener la renuncia y el Formato Único de Movimiento de Personal (baja), de la Directora General y de los Directores que causaron baja del primero de enero al treinta y uno de diciembre de dos mil veintitrés.</w:t>
      </w:r>
    </w:p>
    <w:p w14:paraId="45D0E5B4" w14:textId="77777777" w:rsidR="00A42B51" w:rsidRPr="00000CE2" w:rsidRDefault="00A42B51">
      <w:pPr>
        <w:spacing w:after="0" w:line="360" w:lineRule="auto"/>
      </w:pPr>
    </w:p>
    <w:p w14:paraId="000BB927" w14:textId="77777777" w:rsidR="00A42B51" w:rsidRPr="00000CE2" w:rsidRDefault="00000CE2">
      <w:pPr>
        <w:spacing w:after="0" w:line="360" w:lineRule="auto"/>
        <w:rPr>
          <w:color w:val="000000"/>
        </w:rPr>
      </w:pPr>
      <w:r w:rsidRPr="00000CE2">
        <w:rPr>
          <w:color w:val="000000"/>
        </w:rPr>
        <w:t xml:space="preserve">Ante dicha circunstancia, es necesario precisar que de las constancias que obran en el expediente electrónico, se logra advertir que el Sujeto Obligado turnó la solicitud de información al  </w:t>
      </w:r>
      <w:r w:rsidRPr="00000CE2">
        <w:t>Jefe del Departamento de Capital Humano</w:t>
      </w:r>
      <w:r w:rsidRPr="00000CE2">
        <w:rPr>
          <w:color w:val="000000"/>
        </w:rPr>
        <w:t xml:space="preserve">, por lo que, resulta necesario hacer referencia al </w:t>
      </w:r>
      <w:r w:rsidRPr="00000CE2">
        <w:rPr>
          <w:b/>
          <w:color w:val="000000"/>
        </w:rPr>
        <w:t>procedimiento de búsqueda que deben seguir los Sujetos Obligados para localizar la información,</w:t>
      </w:r>
      <w:r w:rsidRPr="00000CE2">
        <w:rPr>
          <w:color w:val="000000"/>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CCAB52E" w14:textId="77777777" w:rsidR="00A42B51" w:rsidRPr="00000CE2" w:rsidRDefault="00A42B51">
      <w:pPr>
        <w:spacing w:after="0" w:line="360" w:lineRule="auto"/>
        <w:rPr>
          <w:color w:val="FF0000"/>
        </w:rPr>
      </w:pPr>
    </w:p>
    <w:p w14:paraId="67957F66" w14:textId="77777777" w:rsidR="00A42B51" w:rsidRPr="00000CE2" w:rsidRDefault="00000CE2">
      <w:pPr>
        <w:spacing w:after="0" w:line="360" w:lineRule="auto"/>
        <w:rPr>
          <w:b/>
          <w:color w:val="000000"/>
        </w:rPr>
      </w:pPr>
      <w:r w:rsidRPr="00000CE2">
        <w:rPr>
          <w:color w:val="000000"/>
        </w:rPr>
        <w:lastRenderedPageBreak/>
        <w:t xml:space="preserve">Así, con la finalidad de determinar si el Sujeto Obligado </w:t>
      </w:r>
      <w:r w:rsidRPr="00000CE2">
        <w:rPr>
          <w:b/>
          <w:color w:val="000000"/>
        </w:rPr>
        <w:t>cumplió con el procedimiento de búsqueda</w:t>
      </w:r>
      <w:r w:rsidRPr="00000CE2">
        <w:rPr>
          <w:color w:val="000000"/>
        </w:rPr>
        <w:t xml:space="preserve"> previsto en el artículo 162 de la Ley de Transparencia y Acceso a la Información Pública del Estado de México y Municipios, dado que, remitió a las áreas que pueden conocer de lo solicitado</w:t>
      </w:r>
      <w:r w:rsidRPr="00000CE2">
        <w:rPr>
          <w:b/>
          <w:color w:val="000000"/>
        </w:rPr>
        <w:t>.</w:t>
      </w:r>
    </w:p>
    <w:p w14:paraId="6D4563CA" w14:textId="77777777" w:rsidR="00A42B51" w:rsidRPr="00000CE2" w:rsidRDefault="00A42B51">
      <w:pPr>
        <w:spacing w:after="0" w:line="360" w:lineRule="auto"/>
        <w:rPr>
          <w:b/>
          <w:color w:val="000000"/>
        </w:rPr>
      </w:pPr>
    </w:p>
    <w:p w14:paraId="1A122044" w14:textId="77777777" w:rsidR="00A42B51" w:rsidRPr="00000CE2" w:rsidRDefault="00000CE2">
      <w:pPr>
        <w:spacing w:after="0" w:line="360" w:lineRule="auto"/>
      </w:pPr>
      <w:r w:rsidRPr="00000CE2">
        <w:rPr>
          <w:color w:val="000000"/>
        </w:rPr>
        <w:t>Cabe precisar que en respuesta e informe justificado, el Sujeto Obligado</w:t>
      </w:r>
      <w:r w:rsidRPr="00000CE2">
        <w:rPr>
          <w:b/>
          <w:color w:val="000000"/>
        </w:rPr>
        <w:t xml:space="preserve"> </w:t>
      </w:r>
      <w:r w:rsidRPr="00000CE2">
        <w:t xml:space="preserve">través del Jefe del Departamento de Capital Humano informó que realizó la búsqueda exhaustiva y razonable en los archivos que se encuentran bajo su resguardo y no localizó documento alguno que dé cuenta de lo solicitado y emitió acuerdo por parte de su Comité de Transparencia en el que confirmó la inexistencia de la información.  </w:t>
      </w:r>
    </w:p>
    <w:p w14:paraId="446C8920" w14:textId="77777777" w:rsidR="00A42B51" w:rsidRPr="00000CE2" w:rsidRDefault="00A42B51">
      <w:pPr>
        <w:spacing w:after="0" w:line="360" w:lineRule="auto"/>
        <w:rPr>
          <w:b/>
          <w:color w:val="000000"/>
        </w:rPr>
      </w:pPr>
    </w:p>
    <w:p w14:paraId="12D561DA" w14:textId="77777777" w:rsidR="00A42B51" w:rsidRPr="00000CE2" w:rsidRDefault="00000CE2">
      <w:pPr>
        <w:spacing w:after="0" w:line="360" w:lineRule="auto"/>
      </w:pPr>
      <w:r w:rsidRPr="00000CE2">
        <w:t>En este contexto, es preciso señalar que este Organismo Garante localizó una nota periodística, en los siguientes términos:</w:t>
      </w:r>
    </w:p>
    <w:p w14:paraId="1F1797C7" w14:textId="77777777" w:rsidR="00A42B51" w:rsidRPr="00000CE2" w:rsidRDefault="00A42B51">
      <w:pPr>
        <w:spacing w:after="0" w:line="360" w:lineRule="auto"/>
      </w:pPr>
    </w:p>
    <w:p w14:paraId="67266DE1" w14:textId="77777777" w:rsidR="00A42B51" w:rsidRPr="00000CE2" w:rsidRDefault="00000CE2">
      <w:pPr>
        <w:numPr>
          <w:ilvl w:val="0"/>
          <w:numId w:val="1"/>
        </w:numPr>
        <w:pBdr>
          <w:top w:val="nil"/>
          <w:left w:val="nil"/>
          <w:bottom w:val="nil"/>
          <w:right w:val="nil"/>
          <w:between w:val="nil"/>
        </w:pBdr>
        <w:spacing w:after="0" w:line="360" w:lineRule="auto"/>
        <w:rPr>
          <w:b/>
          <w:i/>
          <w:color w:val="000000"/>
        </w:rPr>
      </w:pPr>
      <w:r w:rsidRPr="00000CE2">
        <w:rPr>
          <w:b/>
          <w:i/>
          <w:color w:val="000000"/>
        </w:rPr>
        <w:t xml:space="preserve">“Nombran presidenta del DIF en Toluca, 43 días pasó sin titular”; </w:t>
      </w:r>
      <w:r w:rsidRPr="00000CE2">
        <w:rPr>
          <w:color w:val="000000"/>
        </w:rPr>
        <w:t>del medio AD Noticias, de fecha 6 de enero de 2024, del que se desprende:</w:t>
      </w:r>
    </w:p>
    <w:p w14:paraId="4852409B" w14:textId="77777777" w:rsidR="00A42B51" w:rsidRPr="00000CE2" w:rsidRDefault="00A42B51">
      <w:pPr>
        <w:spacing w:after="0" w:line="360" w:lineRule="auto"/>
        <w:rPr>
          <w:i/>
        </w:rPr>
      </w:pPr>
    </w:p>
    <w:p w14:paraId="16855B6B" w14:textId="77777777" w:rsidR="00A42B51" w:rsidRPr="00000CE2" w:rsidRDefault="00000CE2">
      <w:pPr>
        <w:spacing w:after="0" w:line="360" w:lineRule="auto"/>
        <w:ind w:left="567" w:right="709"/>
        <w:rPr>
          <w:i/>
          <w:sz w:val="20"/>
          <w:szCs w:val="20"/>
        </w:rPr>
      </w:pPr>
      <w:r w:rsidRPr="00000CE2">
        <w:rPr>
          <w:i/>
          <w:sz w:val="20"/>
          <w:szCs w:val="20"/>
        </w:rPr>
        <w:t xml:space="preserve">“Luego de permanecer sin titular por un margen de 44 días, desde el pasado 24 de noviembre,… el alcalde de Toluca, Juan </w:t>
      </w:r>
      <w:proofErr w:type="spellStart"/>
      <w:r w:rsidRPr="00000CE2">
        <w:rPr>
          <w:i/>
          <w:sz w:val="20"/>
          <w:szCs w:val="20"/>
        </w:rPr>
        <w:t>Maccise</w:t>
      </w:r>
      <w:proofErr w:type="spellEnd"/>
      <w:r w:rsidRPr="00000CE2">
        <w:rPr>
          <w:i/>
          <w:sz w:val="20"/>
          <w:szCs w:val="20"/>
        </w:rPr>
        <w:t xml:space="preserve"> </w:t>
      </w:r>
      <w:proofErr w:type="spellStart"/>
      <w:r w:rsidRPr="00000CE2">
        <w:rPr>
          <w:i/>
          <w:sz w:val="20"/>
          <w:szCs w:val="20"/>
        </w:rPr>
        <w:t>Naime</w:t>
      </w:r>
      <w:proofErr w:type="spellEnd"/>
      <w:r w:rsidRPr="00000CE2">
        <w:rPr>
          <w:i/>
          <w:sz w:val="20"/>
          <w:szCs w:val="20"/>
        </w:rPr>
        <w:t xml:space="preserve">, tomó protesta a la licenciada Paulina Arriaga Alcántara como la nueva presidenta honoraria del DIF Toluca. </w:t>
      </w:r>
    </w:p>
    <w:p w14:paraId="1510DAEF" w14:textId="77777777" w:rsidR="00A42B51" w:rsidRPr="00000CE2" w:rsidRDefault="00000CE2">
      <w:pPr>
        <w:spacing w:after="0" w:line="360" w:lineRule="auto"/>
        <w:ind w:left="567" w:right="709"/>
        <w:rPr>
          <w:i/>
          <w:sz w:val="20"/>
          <w:szCs w:val="20"/>
        </w:rPr>
      </w:pPr>
      <w:r w:rsidRPr="00000CE2">
        <w:rPr>
          <w:i/>
          <w:sz w:val="20"/>
          <w:szCs w:val="20"/>
        </w:rPr>
        <w:t>…</w:t>
      </w:r>
    </w:p>
    <w:p w14:paraId="42ABCC1B" w14:textId="77777777" w:rsidR="00A42B51" w:rsidRPr="00000CE2" w:rsidRDefault="00000CE2">
      <w:pPr>
        <w:spacing w:after="0" w:line="360" w:lineRule="auto"/>
        <w:ind w:left="567" w:right="709"/>
        <w:rPr>
          <w:i/>
          <w:sz w:val="20"/>
          <w:szCs w:val="20"/>
        </w:rPr>
      </w:pPr>
      <w:r w:rsidRPr="00000CE2">
        <w:rPr>
          <w:i/>
          <w:sz w:val="20"/>
          <w:szCs w:val="20"/>
        </w:rPr>
        <w:t>Asimismo, el viernes 5 de enero, el alcalde tomó protesta durante la Cuadragésima Sesión Ordinaria de Cabildo a Tarquino Martín del Campo Mejía como director general del DIF municipal. Además, también nombró a los directores generales de la Tesorería, Servicios Públicos y del Instituto Municipal de Cultura Física y Deporte “</w:t>
      </w:r>
    </w:p>
    <w:p w14:paraId="53C1F403" w14:textId="77777777" w:rsidR="00A42B51" w:rsidRPr="00000CE2" w:rsidRDefault="00A42B51">
      <w:pPr>
        <w:spacing w:after="0" w:line="360" w:lineRule="auto"/>
        <w:rPr>
          <w:b/>
          <w:i/>
        </w:rPr>
      </w:pPr>
    </w:p>
    <w:p w14:paraId="52BAE683" w14:textId="77777777" w:rsidR="00A42B51" w:rsidRPr="00000CE2" w:rsidRDefault="00000CE2">
      <w:pPr>
        <w:spacing w:after="0" w:line="360" w:lineRule="auto"/>
      </w:pPr>
      <w:r w:rsidRPr="00000CE2">
        <w:lastRenderedPageBreak/>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000CE2">
        <w:rPr>
          <w:b/>
          <w:i/>
        </w:rPr>
        <w:t>“NOTAS PERIODISTICAS, EL CONOCIMIENTO QUE DE ELLAS SE OBTIENE NO CONSTITUYE ‘UN HECHO PÚBLICO Y NOTORIO’”</w:t>
      </w:r>
      <w:r w:rsidRPr="00000CE2">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000CE2">
        <w:rPr>
          <w:b/>
        </w:rPr>
        <w:t>indicios.</w:t>
      </w:r>
    </w:p>
    <w:p w14:paraId="672A1E1B" w14:textId="77777777" w:rsidR="00A42B51" w:rsidRPr="00000CE2" w:rsidRDefault="00A42B51">
      <w:pPr>
        <w:spacing w:after="0" w:line="360" w:lineRule="auto"/>
      </w:pPr>
    </w:p>
    <w:p w14:paraId="55D1EEF0" w14:textId="4F87C1EB" w:rsidR="00A42B51" w:rsidRPr="00000CE2" w:rsidRDefault="00000CE2">
      <w:pPr>
        <w:spacing w:after="0" w:line="360" w:lineRule="auto"/>
      </w:pPr>
      <w:r w:rsidRPr="00000CE2">
        <w:t>Derivado de lo anterior, se observa que el Sujeto Obligado tuvo la baja de la Presidenta del DIF, en noviembre de 2023 y que en enero de 2024</w:t>
      </w:r>
      <w:r w:rsidR="00E05BD8" w:rsidRPr="00000CE2">
        <w:t>,</w:t>
      </w:r>
      <w:r w:rsidRPr="00000CE2">
        <w:t xml:space="preserve"> tomó protesta a la nueva Presidenta, al Director General y a diversas Direcciones; por lo que existe un indicio de que durante el año 2023 causará baja alguna persona titular de la Dirección General o Direcciones que conformaban la estructura orgánica del Sujeto Obligado.</w:t>
      </w:r>
    </w:p>
    <w:p w14:paraId="71C85410" w14:textId="77777777" w:rsidR="00A42B51" w:rsidRPr="00000CE2" w:rsidRDefault="00A42B51">
      <w:pPr>
        <w:spacing w:after="0" w:line="360" w:lineRule="auto"/>
        <w:rPr>
          <w:b/>
          <w:color w:val="000000"/>
        </w:rPr>
      </w:pPr>
    </w:p>
    <w:p w14:paraId="1D997559" w14:textId="77777777" w:rsidR="00A42B51" w:rsidRPr="00000CE2" w:rsidRDefault="00000CE2">
      <w:pPr>
        <w:spacing w:after="0" w:line="360" w:lineRule="auto"/>
      </w:pPr>
      <w:r w:rsidRPr="00000CE2">
        <w:rPr>
          <w:color w:val="000000"/>
        </w:rPr>
        <w:t>Aunado a ello, cabe precisar que de la respuesta proporcionada por el Sujeto Obligado se señala la inexistencia de la información, sobre el tema, el Criterio SO/014/2017, emitido por el Instituto Nacional de Transparencia, Acceso a la Información Pública y Protección de Datos Personales en el Estado de México y Municipios, que señala lo siguiente:</w:t>
      </w:r>
    </w:p>
    <w:p w14:paraId="23379A05" w14:textId="77777777" w:rsidR="00A42B51" w:rsidRPr="00000CE2" w:rsidRDefault="00A42B51">
      <w:pPr>
        <w:spacing w:after="0" w:line="360" w:lineRule="auto"/>
        <w:rPr>
          <w:color w:val="000000"/>
        </w:rPr>
      </w:pPr>
    </w:p>
    <w:p w14:paraId="271C7E9F" w14:textId="77777777" w:rsidR="00A42B51" w:rsidRPr="00000CE2" w:rsidRDefault="00000CE2">
      <w:pPr>
        <w:spacing w:after="0" w:line="360" w:lineRule="auto"/>
        <w:ind w:left="567" w:right="567"/>
        <w:rPr>
          <w:i/>
          <w:color w:val="000000"/>
          <w:sz w:val="20"/>
          <w:szCs w:val="20"/>
        </w:rPr>
      </w:pPr>
      <w:r w:rsidRPr="00000CE2">
        <w:rPr>
          <w:i/>
          <w:color w:val="000000"/>
          <w:sz w:val="20"/>
          <w:szCs w:val="20"/>
        </w:rPr>
        <w:lastRenderedPageBreak/>
        <w:t>“</w:t>
      </w:r>
      <w:r w:rsidRPr="00000CE2">
        <w:rPr>
          <w:b/>
          <w:i/>
          <w:color w:val="000000"/>
          <w:sz w:val="20"/>
          <w:szCs w:val="20"/>
        </w:rPr>
        <w:t>Inexistencia.</w:t>
      </w:r>
      <w:r w:rsidRPr="00000CE2">
        <w:rPr>
          <w:i/>
          <w:color w:val="000000"/>
          <w:sz w:val="20"/>
          <w:szCs w:val="20"/>
        </w:rPr>
        <w:t xml:space="preserve"> La inexistencia es una cuestión de hecho que se atribuye a la información solicitada e implica que ésta no se encuentra en los archivos del sujeto obligado, no obstante que cuenta con facultades para poseerla.”</w:t>
      </w:r>
    </w:p>
    <w:p w14:paraId="0B325436" w14:textId="77777777" w:rsidR="00A42B51" w:rsidRPr="00000CE2" w:rsidRDefault="00A42B51">
      <w:pPr>
        <w:spacing w:after="0" w:line="360" w:lineRule="auto"/>
        <w:ind w:left="567" w:right="567"/>
        <w:rPr>
          <w:i/>
          <w:color w:val="000000"/>
        </w:rPr>
      </w:pPr>
    </w:p>
    <w:p w14:paraId="24D542CF" w14:textId="77777777" w:rsidR="00A42B51" w:rsidRPr="00000CE2" w:rsidRDefault="00000CE2">
      <w:pPr>
        <w:spacing w:after="0" w:line="360" w:lineRule="auto"/>
        <w:rPr>
          <w:color w:val="000000"/>
        </w:rPr>
      </w:pPr>
      <w:r w:rsidRPr="00000CE2">
        <w:rPr>
          <w:color w:val="000000"/>
        </w:rPr>
        <w:t>Del citado criterio, se desprende que la inexistencia de la información, es una cuestión de hecho que se le atribuye a la misma, cuando ésta no se encuentra en los archivos del sujeto obligado. 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470B29A" w14:textId="77777777" w:rsidR="00A42B51" w:rsidRPr="00000CE2" w:rsidRDefault="00A42B51">
      <w:pPr>
        <w:spacing w:after="0" w:line="360" w:lineRule="auto"/>
        <w:rPr>
          <w:b/>
          <w:color w:val="000000"/>
        </w:rPr>
      </w:pPr>
    </w:p>
    <w:p w14:paraId="128088A7" w14:textId="77777777" w:rsidR="00A42B51" w:rsidRPr="00000CE2" w:rsidRDefault="00000CE2">
      <w:pPr>
        <w:spacing w:after="0" w:line="360" w:lineRule="auto"/>
        <w:rPr>
          <w:color w:val="000000"/>
        </w:rPr>
      </w:pPr>
      <w:r w:rsidRPr="00000CE2">
        <w:rPr>
          <w:color w:val="000000"/>
        </w:rPr>
        <w:t xml:space="preserve">Conforme a lo anterior, la </w:t>
      </w:r>
      <w:r w:rsidRPr="00000CE2">
        <w:rPr>
          <w:b/>
          <w:color w:val="000000"/>
        </w:rPr>
        <w:t>inexistencia</w:t>
      </w:r>
      <w:r w:rsidRPr="00000CE2">
        <w:rPr>
          <w:color w:val="000000"/>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000CE2">
        <w:rPr>
          <w:b/>
          <w:color w:val="000000"/>
        </w:rPr>
        <w:t>primero deben realizar una indagación en todos los archivos de las áreas con funciones para conocer de lo peticionado.</w:t>
      </w:r>
    </w:p>
    <w:p w14:paraId="680725D0" w14:textId="77777777" w:rsidR="00A42B51" w:rsidRPr="00000CE2" w:rsidRDefault="00A42B51">
      <w:pPr>
        <w:spacing w:after="0" w:line="360" w:lineRule="auto"/>
        <w:rPr>
          <w:color w:val="000000"/>
        </w:rPr>
      </w:pPr>
    </w:p>
    <w:p w14:paraId="754290C6" w14:textId="77777777" w:rsidR="00A42B51" w:rsidRPr="00000CE2" w:rsidRDefault="00000CE2">
      <w:pPr>
        <w:spacing w:after="0" w:line="360" w:lineRule="auto"/>
        <w:rPr>
          <w:b/>
          <w:color w:val="000000"/>
        </w:rPr>
      </w:pPr>
      <w:r w:rsidRPr="00000CE2">
        <w:rPr>
          <w:color w:val="000000"/>
        </w:rPr>
        <w:t xml:space="preserve">En ese sentido, según Jarquín, Soledad (2019), en el “Diccionario de Transparencia y Acceso a la Información Pública” (p. 68), </w:t>
      </w:r>
      <w:r w:rsidRPr="00000CE2">
        <w:rPr>
          <w:b/>
          <w:color w:val="000000"/>
        </w:rPr>
        <w:t>la búsqueda exhaustiva</w:t>
      </w:r>
      <w:r w:rsidRPr="00000CE2">
        <w:rPr>
          <w:color w:val="000000"/>
        </w:rPr>
        <w:t xml:space="preserve"> es la obligación del área administrativa del Sujeto Obligado que cuenta o puede contar con la información requerida, la cual consiste en localizar toda aquella que atienda la solicitud, </w:t>
      </w:r>
      <w:r w:rsidRPr="00000CE2">
        <w:rPr>
          <w:b/>
          <w:color w:val="000000"/>
        </w:rPr>
        <w:t>hasta agotar por completo las posibilidades de indagación.</w:t>
      </w:r>
    </w:p>
    <w:p w14:paraId="15B8F192" w14:textId="77777777" w:rsidR="00A42B51" w:rsidRPr="00000CE2" w:rsidRDefault="00A42B51">
      <w:pPr>
        <w:spacing w:after="0" w:line="360" w:lineRule="auto"/>
        <w:rPr>
          <w:b/>
          <w:color w:val="000000"/>
        </w:rPr>
      </w:pPr>
    </w:p>
    <w:p w14:paraId="73182868" w14:textId="77777777" w:rsidR="00A42B51" w:rsidRPr="00000CE2" w:rsidRDefault="00000CE2">
      <w:pPr>
        <w:spacing w:after="0" w:line="360" w:lineRule="auto"/>
        <w:rPr>
          <w:b/>
          <w:color w:val="000000"/>
        </w:rPr>
      </w:pPr>
      <w:r w:rsidRPr="00000CE2">
        <w:rPr>
          <w:color w:val="000000"/>
        </w:rPr>
        <w:t xml:space="preserve">Además, según Calero, Natalia (2016), en la “Ley General de Transparencia y Acceso a la Información Pública Comentada” (p. 408), para que exista una búsqueda exhaustiva y </w:t>
      </w:r>
      <w:r w:rsidRPr="00000CE2">
        <w:rPr>
          <w:color w:val="000000"/>
        </w:rPr>
        <w:lastRenderedPageBreak/>
        <w:t xml:space="preserve">razonable, se debe hacer una </w:t>
      </w:r>
      <w:r w:rsidRPr="00000CE2">
        <w:rPr>
          <w:b/>
          <w:color w:val="000000"/>
        </w:rPr>
        <w:t xml:space="preserve">indagación </w:t>
      </w:r>
      <w:r w:rsidRPr="00000CE2">
        <w:rPr>
          <w:b/>
        </w:rPr>
        <w:t>consciente</w:t>
      </w:r>
      <w:r w:rsidRPr="00000CE2">
        <w:rPr>
          <w:b/>
          <w:color w:val="000000"/>
        </w:rPr>
        <w:t xml:space="preserve"> y minuciosa en sus archivos físicos y electrónicos. </w:t>
      </w:r>
    </w:p>
    <w:p w14:paraId="00D30ABB" w14:textId="77777777" w:rsidR="00A42B51" w:rsidRPr="00000CE2" w:rsidRDefault="00A42B51">
      <w:pPr>
        <w:spacing w:after="0" w:line="360" w:lineRule="auto"/>
        <w:rPr>
          <w:b/>
          <w:color w:val="000000"/>
        </w:rPr>
      </w:pPr>
    </w:p>
    <w:p w14:paraId="3B4F5F9B" w14:textId="77777777" w:rsidR="00A42B51" w:rsidRPr="00000CE2" w:rsidRDefault="00000CE2">
      <w:pPr>
        <w:spacing w:after="0" w:line="360" w:lineRule="auto"/>
        <w:rPr>
          <w:b/>
          <w:color w:val="000000"/>
        </w:rPr>
      </w:pPr>
      <w:r w:rsidRPr="00000CE2">
        <w:rPr>
          <w:color w:val="000000"/>
        </w:rPr>
        <w:t xml:space="preserve">Conforme a lo anterior, para poder acreditar el carácter exhaustivo de la búsqueda realizada por los Sujetos Obligados, se deben motivar las razones por las que se buscó la información en determinadas áreas, </w:t>
      </w:r>
      <w:r w:rsidRPr="00000CE2">
        <w:rPr>
          <w:b/>
          <w:color w:val="000000"/>
        </w:rPr>
        <w:t>los criterios de búsqueda utilizados y demás circunstancias que fueron tomadas en cuenta.</w:t>
      </w:r>
    </w:p>
    <w:p w14:paraId="6F139593" w14:textId="77777777" w:rsidR="00A42B51" w:rsidRPr="00000CE2" w:rsidRDefault="00A42B51">
      <w:pPr>
        <w:spacing w:after="0" w:line="360" w:lineRule="auto"/>
        <w:rPr>
          <w:color w:val="000000"/>
        </w:rPr>
      </w:pPr>
    </w:p>
    <w:p w14:paraId="5D5E0CA8" w14:textId="77777777" w:rsidR="00A42B51" w:rsidRPr="00000CE2" w:rsidRDefault="00000CE2">
      <w:pPr>
        <w:spacing w:after="0" w:line="360" w:lineRule="auto"/>
        <w:rPr>
          <w:color w:val="000000"/>
        </w:rPr>
      </w:pPr>
      <w:r w:rsidRPr="00000CE2">
        <w:rPr>
          <w:color w:val="000000"/>
        </w:rPr>
        <w:t>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7C18645E" w14:textId="77777777" w:rsidR="00A42B51" w:rsidRPr="00000CE2" w:rsidRDefault="00A42B51">
      <w:pPr>
        <w:spacing w:after="0" w:line="360" w:lineRule="auto"/>
        <w:rPr>
          <w:color w:val="000000"/>
        </w:rPr>
      </w:pPr>
    </w:p>
    <w:p w14:paraId="4ECF5419" w14:textId="77777777" w:rsidR="00A42B51" w:rsidRPr="00000CE2" w:rsidRDefault="00000CE2">
      <w:pPr>
        <w:numPr>
          <w:ilvl w:val="0"/>
          <w:numId w:val="6"/>
        </w:numPr>
        <w:spacing w:after="0" w:line="360" w:lineRule="auto"/>
        <w:rPr>
          <w:color w:val="000000"/>
        </w:rPr>
      </w:pPr>
      <w:r w:rsidRPr="00000CE2">
        <w:rPr>
          <w:color w:val="000000"/>
        </w:rPr>
        <w:t>Motivación por las que se buscó la información, en determinadas unidades administrativas;</w:t>
      </w:r>
    </w:p>
    <w:p w14:paraId="02DA16EE" w14:textId="77777777" w:rsidR="00A42B51" w:rsidRPr="00000CE2" w:rsidRDefault="00000CE2">
      <w:pPr>
        <w:numPr>
          <w:ilvl w:val="0"/>
          <w:numId w:val="6"/>
        </w:numPr>
        <w:spacing w:after="0" w:line="360" w:lineRule="auto"/>
        <w:rPr>
          <w:color w:val="000000"/>
        </w:rPr>
      </w:pPr>
      <w:r w:rsidRPr="00000CE2">
        <w:rPr>
          <w:color w:val="000000"/>
        </w:rPr>
        <w:t>Los criterios de búsqueda utilizados, y</w:t>
      </w:r>
    </w:p>
    <w:p w14:paraId="03AE65C2" w14:textId="77777777" w:rsidR="00A42B51" w:rsidRPr="00000CE2" w:rsidRDefault="00000CE2">
      <w:pPr>
        <w:numPr>
          <w:ilvl w:val="0"/>
          <w:numId w:val="6"/>
        </w:numPr>
        <w:spacing w:after="0" w:line="360" w:lineRule="auto"/>
        <w:rPr>
          <w:color w:val="000000"/>
        </w:rPr>
      </w:pPr>
      <w:r w:rsidRPr="00000CE2">
        <w:rPr>
          <w:color w:val="000000"/>
        </w:rPr>
        <w:t>Las circunstancias que fueron tomadas en cuenta.</w:t>
      </w:r>
    </w:p>
    <w:p w14:paraId="548266EB" w14:textId="77777777" w:rsidR="00A42B51" w:rsidRPr="00000CE2" w:rsidRDefault="00A42B51">
      <w:pPr>
        <w:spacing w:after="0" w:line="360" w:lineRule="auto"/>
        <w:rPr>
          <w:color w:val="000000"/>
        </w:rPr>
      </w:pPr>
    </w:p>
    <w:p w14:paraId="29B332FC" w14:textId="77777777" w:rsidR="00A42B51" w:rsidRPr="00000CE2" w:rsidRDefault="00000CE2">
      <w:pPr>
        <w:spacing w:after="0" w:line="360" w:lineRule="auto"/>
        <w:rPr>
          <w:color w:val="000000"/>
        </w:rPr>
      </w:pPr>
      <w:r w:rsidRPr="00000CE2">
        <w:rPr>
          <w:color w:val="000000"/>
        </w:rPr>
        <w:t>De tales circunstancias, se considera que para que los Sujetos Obligado justifiquen que realizaron una búsqueda exhaustiva y razonable, deben indicar de manera clara, lo siguiente:</w:t>
      </w:r>
    </w:p>
    <w:p w14:paraId="5AB7AE22" w14:textId="77777777" w:rsidR="00A42B51" w:rsidRPr="00000CE2" w:rsidRDefault="00A42B51">
      <w:pPr>
        <w:spacing w:after="0" w:line="360" w:lineRule="auto"/>
        <w:rPr>
          <w:color w:val="000000"/>
        </w:rPr>
      </w:pPr>
    </w:p>
    <w:p w14:paraId="53A03E38" w14:textId="77777777" w:rsidR="00A42B51" w:rsidRPr="00000CE2" w:rsidRDefault="00000CE2">
      <w:pPr>
        <w:numPr>
          <w:ilvl w:val="0"/>
          <w:numId w:val="7"/>
        </w:numPr>
        <w:spacing w:after="0" w:line="360" w:lineRule="auto"/>
        <w:rPr>
          <w:color w:val="000000"/>
        </w:rPr>
      </w:pPr>
      <w:r w:rsidRPr="00000CE2">
        <w:rPr>
          <w:color w:val="000000"/>
        </w:rPr>
        <w:t>Las áreas donde se buscó la información;</w:t>
      </w:r>
    </w:p>
    <w:p w14:paraId="457FCB73" w14:textId="77777777" w:rsidR="00A42B51" w:rsidRPr="00000CE2" w:rsidRDefault="00000CE2">
      <w:pPr>
        <w:numPr>
          <w:ilvl w:val="0"/>
          <w:numId w:val="7"/>
        </w:numPr>
        <w:spacing w:after="0" w:line="360" w:lineRule="auto"/>
        <w:rPr>
          <w:color w:val="000000"/>
        </w:rPr>
      </w:pPr>
      <w:r w:rsidRPr="00000CE2">
        <w:rPr>
          <w:color w:val="000000"/>
        </w:rPr>
        <w:t>Tipo de archivos buscados (físicos o electrónicos);</w:t>
      </w:r>
    </w:p>
    <w:p w14:paraId="52ACE433" w14:textId="77777777" w:rsidR="00A42B51" w:rsidRPr="00000CE2" w:rsidRDefault="00000CE2">
      <w:pPr>
        <w:numPr>
          <w:ilvl w:val="0"/>
          <w:numId w:val="7"/>
        </w:numPr>
        <w:spacing w:after="0" w:line="360" w:lineRule="auto"/>
        <w:rPr>
          <w:color w:val="000000"/>
        </w:rPr>
      </w:pPr>
      <w:r w:rsidRPr="00000CE2">
        <w:rPr>
          <w:color w:val="000000"/>
        </w:rPr>
        <w:t xml:space="preserve">Los criterios de búsqueda utilizados, y </w:t>
      </w:r>
    </w:p>
    <w:p w14:paraId="4DBB682C" w14:textId="77777777" w:rsidR="00A42B51" w:rsidRPr="00000CE2" w:rsidRDefault="00000CE2">
      <w:pPr>
        <w:numPr>
          <w:ilvl w:val="0"/>
          <w:numId w:val="7"/>
        </w:numPr>
        <w:spacing w:after="0" w:line="360" w:lineRule="auto"/>
        <w:rPr>
          <w:color w:val="000000"/>
        </w:rPr>
      </w:pPr>
      <w:r w:rsidRPr="00000CE2">
        <w:rPr>
          <w:color w:val="000000"/>
        </w:rPr>
        <w:lastRenderedPageBreak/>
        <w:t>Las circunstancias que fueron tomadas en cuenta.</w:t>
      </w:r>
      <w:r w:rsidRPr="00000CE2">
        <w:rPr>
          <w:color w:val="000000"/>
        </w:rPr>
        <w:tab/>
      </w:r>
    </w:p>
    <w:p w14:paraId="29982C30" w14:textId="77777777" w:rsidR="00A42B51" w:rsidRPr="00000CE2" w:rsidRDefault="00A42B51">
      <w:pPr>
        <w:spacing w:after="0" w:line="360" w:lineRule="auto"/>
      </w:pPr>
    </w:p>
    <w:p w14:paraId="4DE3FCDC" w14:textId="0D30A2FE" w:rsidR="00A42B51" w:rsidRPr="00000CE2" w:rsidRDefault="00000CE2">
      <w:pPr>
        <w:spacing w:after="0" w:line="360" w:lineRule="auto"/>
        <w:rPr>
          <w:b/>
          <w:bCs/>
        </w:rPr>
      </w:pPr>
      <w:r w:rsidRPr="00000CE2">
        <w:t>Así, si bien la Jefe del Departamento de Capital Humano y el Comité de Transparencia confirmó la inexistencia de la información, únicamente refirió haber realizado la búsqueda exhaustiva y razonable, sin embargo, no acreditó los criterios de búsqueda previamente establecido, pues no indicó en qué lugares buscó la documentación, ni los criterios de búsqueda utilizados, ya que no señaló si indagó únicamente en los archivos de la administración actual, o también en aquellos de la administración 2022-2024, por lo que, tampoco estableció las circunstancias tomadas en cuenta</w:t>
      </w:r>
      <w:r w:rsidR="00D823B3" w:rsidRPr="00000CE2">
        <w:t xml:space="preserve">; por lo que, no se puede validar la indagación realizada, lo cual da como resultado que el agravio sea </w:t>
      </w:r>
      <w:r w:rsidR="00D823B3" w:rsidRPr="00000CE2">
        <w:rPr>
          <w:b/>
          <w:bCs/>
        </w:rPr>
        <w:t>FUNDADO.</w:t>
      </w:r>
    </w:p>
    <w:p w14:paraId="3E687271" w14:textId="77777777" w:rsidR="00A42B51" w:rsidRPr="00000CE2" w:rsidRDefault="00A42B51">
      <w:pPr>
        <w:spacing w:after="0" w:line="360" w:lineRule="auto"/>
        <w:rPr>
          <w:b/>
        </w:rPr>
      </w:pPr>
    </w:p>
    <w:p w14:paraId="3ECD9E51" w14:textId="2BB31528" w:rsidR="00D823B3" w:rsidRPr="00000CE2" w:rsidRDefault="00D823B3" w:rsidP="00D823B3">
      <w:pPr>
        <w:spacing w:after="0" w:line="360" w:lineRule="auto"/>
        <w:rPr>
          <w:rFonts w:eastAsia="Times New Roman" w:cs="Tahoma"/>
          <w:bCs/>
          <w:iCs/>
          <w:lang w:eastAsia="es-ES"/>
        </w:rPr>
      </w:pPr>
      <w:r w:rsidRPr="00000CE2">
        <w:rPr>
          <w:rFonts w:eastAsia="Times New Roman" w:cs="Tahoma"/>
          <w:bCs/>
          <w:iCs/>
          <w:lang w:eastAsia="es-ES"/>
        </w:rPr>
        <w:t>De lo anterior, este Instituto considera que, se deberá realizar una búsqueda exhaustiva y razonable en el área competente, a efecto de que proporcione</w:t>
      </w:r>
      <w:r w:rsidRPr="00000CE2">
        <w:rPr>
          <w:rFonts w:cs="Tahoma"/>
        </w:rPr>
        <w:t>, los documentos solicitados por la persona Recurrente, en el caso de que se hayan generado; d</w:t>
      </w:r>
      <w:r w:rsidRPr="00000CE2">
        <w:rPr>
          <w:rFonts w:eastAsia="Times New Roman" w:cs="Tahoma"/>
          <w:bCs/>
          <w:iCs/>
          <w:lang w:eastAsia="es-ES"/>
        </w:rPr>
        <w:t>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13F4CC9" w14:textId="77777777" w:rsidR="00D823B3" w:rsidRPr="00000CE2" w:rsidRDefault="00D823B3" w:rsidP="00D823B3">
      <w:pPr>
        <w:spacing w:after="0" w:line="360" w:lineRule="auto"/>
        <w:rPr>
          <w:rFonts w:eastAsia="Times New Roman" w:cs="Tahoma"/>
          <w:bCs/>
          <w:iCs/>
          <w:lang w:eastAsia="es-ES"/>
        </w:rPr>
      </w:pPr>
    </w:p>
    <w:p w14:paraId="2471A02D" w14:textId="77777777" w:rsidR="00D823B3" w:rsidRPr="00000CE2" w:rsidRDefault="00D823B3" w:rsidP="00D823B3">
      <w:pPr>
        <w:spacing w:after="0" w:line="360" w:lineRule="auto"/>
        <w:rPr>
          <w:rFonts w:eastAsia="Times New Roman" w:cs="Tahoma"/>
          <w:bCs/>
          <w:iCs/>
          <w:lang w:eastAsia="es-ES"/>
        </w:rPr>
      </w:pPr>
      <w:r w:rsidRPr="00000CE2">
        <w:rPr>
          <w:rFonts w:eastAsia="Times New Roman" w:cs="Tahoma"/>
          <w:bCs/>
          <w:iCs/>
          <w:lang w:eastAsia="es-ES"/>
        </w:rPr>
        <w:t xml:space="preserve">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w:t>
      </w:r>
      <w:r w:rsidRPr="00000CE2">
        <w:rPr>
          <w:rFonts w:eastAsia="Times New Roman" w:cs="Tahoma"/>
          <w:bCs/>
          <w:iCs/>
          <w:lang w:eastAsia="es-ES"/>
        </w:rPr>
        <w:lastRenderedPageBreak/>
        <w:t>Municipios, el cual refiere que los sujetos obligados únicamente deberán entregar la información que obre en sus archivos.</w:t>
      </w:r>
    </w:p>
    <w:p w14:paraId="361A9A37" w14:textId="77777777" w:rsidR="00D823B3" w:rsidRPr="00000CE2" w:rsidRDefault="00D823B3" w:rsidP="00D823B3">
      <w:pPr>
        <w:spacing w:after="0" w:line="360" w:lineRule="auto"/>
        <w:rPr>
          <w:rFonts w:eastAsia="Times New Roman" w:cs="Tahoma"/>
          <w:bCs/>
          <w:iCs/>
          <w:lang w:eastAsia="es-ES"/>
        </w:rPr>
      </w:pPr>
    </w:p>
    <w:p w14:paraId="359B0ED7" w14:textId="77777777" w:rsidR="00D823B3" w:rsidRPr="00000CE2" w:rsidRDefault="00D823B3" w:rsidP="00D823B3">
      <w:pPr>
        <w:spacing w:after="0" w:line="360" w:lineRule="auto"/>
        <w:rPr>
          <w:rFonts w:eastAsia="Times New Roman" w:cs="Tahoma"/>
          <w:bCs/>
          <w:iCs/>
          <w:lang w:eastAsia="es-ES"/>
        </w:rPr>
      </w:pPr>
      <w:r w:rsidRPr="00000CE2">
        <w:rPr>
          <w:rFonts w:eastAsia="Times New Roman" w:cs="Tahoma"/>
          <w:bCs/>
          <w:iCs/>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29A59A46" w14:textId="77777777" w:rsidR="00D823B3" w:rsidRPr="00000CE2" w:rsidRDefault="00D823B3">
      <w:pPr>
        <w:spacing w:after="0" w:line="360" w:lineRule="auto"/>
        <w:rPr>
          <w:b/>
        </w:rPr>
      </w:pPr>
    </w:p>
    <w:p w14:paraId="47FB2FD1" w14:textId="59397683" w:rsidR="00A42B51" w:rsidRPr="00000CE2" w:rsidRDefault="00000CE2">
      <w:pPr>
        <w:spacing w:after="0" w:line="360" w:lineRule="auto"/>
        <w:rPr>
          <w:bCs/>
        </w:rPr>
      </w:pPr>
      <w:r w:rsidRPr="00000CE2">
        <w:rPr>
          <w:bCs/>
        </w:rPr>
        <w:t>No se omite mencionar que para el caso de que no hayan causado baja algunos de las personas titulares de las diversas Direcciones o bien, la baja haya sido por causa distinta a la renuncia, bastará con que lo haga del conocimiento del Particular de manera precisa y clara</w:t>
      </w:r>
      <w:r w:rsidR="00D823B3" w:rsidRPr="00000CE2">
        <w:rPr>
          <w:bCs/>
        </w:rPr>
        <w:t>, en términos del artículo 19, párrafo segundo, de la Ley de Transparencia y Acceso a la Información Pública del Estado de México.</w:t>
      </w:r>
    </w:p>
    <w:p w14:paraId="344019F8" w14:textId="77777777" w:rsidR="00D823B3" w:rsidRPr="00000CE2" w:rsidRDefault="00D823B3">
      <w:pPr>
        <w:spacing w:after="0" w:line="360" w:lineRule="auto"/>
        <w:rPr>
          <w:bCs/>
        </w:rPr>
      </w:pPr>
    </w:p>
    <w:p w14:paraId="0A664BCE" w14:textId="234DE569" w:rsidR="00A42B51" w:rsidRPr="00000CE2" w:rsidRDefault="00000CE2">
      <w:pPr>
        <w:spacing w:after="0" w:line="360" w:lineRule="auto"/>
        <w:rPr>
          <w:bCs/>
        </w:rPr>
      </w:pPr>
      <w:r w:rsidRPr="00000CE2">
        <w:rPr>
          <w:bCs/>
        </w:rPr>
        <w:t xml:space="preserve">Para el caso de que sí haya generado la </w:t>
      </w:r>
      <w:r w:rsidR="00D823B3" w:rsidRPr="00000CE2">
        <w:rPr>
          <w:bCs/>
        </w:rPr>
        <w:t>información,</w:t>
      </w:r>
      <w:r w:rsidRPr="00000CE2">
        <w:rPr>
          <w:bCs/>
        </w:rPr>
        <w:t xml:space="preserve"> pero no </w:t>
      </w:r>
      <w:r w:rsidR="00D823B3" w:rsidRPr="00000CE2">
        <w:rPr>
          <w:bCs/>
        </w:rPr>
        <w:t>obre en sus archivos</w:t>
      </w:r>
      <w:r w:rsidRPr="00000CE2">
        <w:rPr>
          <w:bCs/>
        </w:rPr>
        <w:t>, deberá emitir debidamente el acuerdo de inexistencia en términos del artículo 19, párrafo tercero y 169 de la Ley de Transparencia y Acceso a la Información Pública del Estado de México y Municipios.</w:t>
      </w:r>
    </w:p>
    <w:p w14:paraId="1176E060" w14:textId="77777777" w:rsidR="00A42B51" w:rsidRPr="00000CE2" w:rsidRDefault="00A42B51">
      <w:pPr>
        <w:spacing w:after="0" w:line="360" w:lineRule="auto"/>
        <w:rPr>
          <w:b/>
        </w:rPr>
      </w:pPr>
    </w:p>
    <w:p w14:paraId="6423A5C3" w14:textId="77777777" w:rsidR="004C63E5" w:rsidRPr="00000CE2" w:rsidRDefault="004C63E5" w:rsidP="004C63E5">
      <w:pPr>
        <w:spacing w:after="0" w:line="360" w:lineRule="auto"/>
        <w:rPr>
          <w:rFonts w:cs="Calibri Light"/>
          <w:color w:val="000000"/>
        </w:rPr>
      </w:pPr>
      <w:r w:rsidRPr="00000CE2">
        <w:rPr>
          <w:rFonts w:cs="Calibri Light"/>
          <w:color w:val="000000"/>
        </w:rPr>
        <w:t>Por otra parte, resulta necesario precisar que los documentos que dan cuenta de lo solicitado, pueden contar datos personales, tales como los siguientes:</w:t>
      </w:r>
    </w:p>
    <w:p w14:paraId="469B1A15" w14:textId="77777777" w:rsidR="004C63E5" w:rsidRPr="00000CE2" w:rsidRDefault="004C63E5" w:rsidP="004C63E5">
      <w:pPr>
        <w:spacing w:after="0" w:line="360" w:lineRule="auto"/>
        <w:rPr>
          <w:rFonts w:cs="Calibri Light"/>
          <w:color w:val="000000"/>
        </w:rPr>
      </w:pPr>
    </w:p>
    <w:p w14:paraId="47447537" w14:textId="77777777" w:rsidR="004C63E5" w:rsidRPr="00000CE2" w:rsidRDefault="004C63E5" w:rsidP="004C63E5">
      <w:pPr>
        <w:numPr>
          <w:ilvl w:val="0"/>
          <w:numId w:val="13"/>
        </w:numPr>
        <w:spacing w:after="0" w:line="360" w:lineRule="auto"/>
        <w:jc w:val="left"/>
        <w:rPr>
          <w:rFonts w:eastAsia="Times New Roman" w:cs="Calibri Light"/>
          <w:color w:val="000000"/>
          <w:szCs w:val="24"/>
          <w:lang w:eastAsia="es-ES"/>
        </w:rPr>
      </w:pPr>
      <w:r w:rsidRPr="00000CE2">
        <w:rPr>
          <w:rFonts w:eastAsia="Times New Roman" w:cs="Calibri Light"/>
          <w:color w:val="000000"/>
          <w:szCs w:val="24"/>
          <w:lang w:eastAsia="es-ES"/>
        </w:rPr>
        <w:t xml:space="preserve">Motivos personales; </w:t>
      </w:r>
    </w:p>
    <w:p w14:paraId="285193CD" w14:textId="77777777" w:rsidR="004C63E5" w:rsidRPr="00000CE2" w:rsidRDefault="004C63E5" w:rsidP="004C63E5">
      <w:pPr>
        <w:numPr>
          <w:ilvl w:val="0"/>
          <w:numId w:val="13"/>
        </w:numPr>
        <w:spacing w:after="0" w:line="360" w:lineRule="auto"/>
        <w:jc w:val="left"/>
        <w:rPr>
          <w:rFonts w:eastAsia="Times New Roman" w:cs="Calibri Light"/>
          <w:iCs/>
          <w:szCs w:val="24"/>
          <w:lang w:eastAsia="es-ES"/>
        </w:rPr>
      </w:pPr>
      <w:r w:rsidRPr="00000CE2">
        <w:rPr>
          <w:rFonts w:eastAsia="Times New Roman" w:cs="Calibri Light"/>
          <w:color w:val="000000"/>
          <w:szCs w:val="24"/>
          <w:lang w:eastAsia="es-ES"/>
        </w:rPr>
        <w:t>Motivos de salud;</w:t>
      </w:r>
    </w:p>
    <w:p w14:paraId="5C9FEAA0" w14:textId="77777777" w:rsidR="004C63E5" w:rsidRPr="00000CE2" w:rsidRDefault="004C63E5" w:rsidP="004C63E5">
      <w:pPr>
        <w:numPr>
          <w:ilvl w:val="0"/>
          <w:numId w:val="13"/>
        </w:numPr>
        <w:spacing w:after="0" w:line="360" w:lineRule="auto"/>
        <w:jc w:val="left"/>
        <w:rPr>
          <w:rFonts w:eastAsia="Times New Roman" w:cs="Calibri Light"/>
          <w:iCs/>
          <w:szCs w:val="24"/>
          <w:lang w:eastAsia="es-ES"/>
        </w:rPr>
      </w:pPr>
      <w:r w:rsidRPr="00000CE2">
        <w:rPr>
          <w:rFonts w:eastAsia="Times New Roman" w:cs="Calibri Light"/>
          <w:color w:val="000000"/>
          <w:szCs w:val="24"/>
          <w:lang w:eastAsia="es-ES"/>
        </w:rPr>
        <w:t xml:space="preserve">Firma de servidores públicos; y </w:t>
      </w:r>
    </w:p>
    <w:p w14:paraId="7DF8DD14" w14:textId="77777777" w:rsidR="004C63E5" w:rsidRPr="00000CE2" w:rsidRDefault="004C63E5" w:rsidP="004C63E5">
      <w:pPr>
        <w:numPr>
          <w:ilvl w:val="0"/>
          <w:numId w:val="13"/>
        </w:numPr>
        <w:spacing w:after="0" w:line="360" w:lineRule="auto"/>
        <w:jc w:val="left"/>
        <w:rPr>
          <w:rFonts w:eastAsia="Times New Roman" w:cs="Calibri Light"/>
          <w:iCs/>
          <w:szCs w:val="24"/>
          <w:lang w:eastAsia="es-ES"/>
        </w:rPr>
      </w:pPr>
      <w:r w:rsidRPr="00000CE2">
        <w:rPr>
          <w:rFonts w:eastAsia="Times New Roman" w:cs="Calibri Light"/>
          <w:iCs/>
          <w:szCs w:val="24"/>
          <w:lang w:eastAsia="es-ES"/>
        </w:rPr>
        <w:t>Huella dactilar.</w:t>
      </w:r>
    </w:p>
    <w:p w14:paraId="4F464A1E" w14:textId="77777777" w:rsidR="004C63E5" w:rsidRPr="00000CE2" w:rsidRDefault="004C63E5" w:rsidP="004C63E5">
      <w:pPr>
        <w:spacing w:after="0" w:line="360" w:lineRule="auto"/>
        <w:rPr>
          <w:rFonts w:eastAsia="Times New Roman" w:cs="Calibri Light"/>
          <w:iCs/>
          <w:lang w:eastAsia="es-ES"/>
        </w:rPr>
      </w:pPr>
    </w:p>
    <w:p w14:paraId="5696327F" w14:textId="77777777" w:rsidR="004C63E5" w:rsidRPr="00000CE2" w:rsidRDefault="004C63E5" w:rsidP="004C63E5">
      <w:pPr>
        <w:spacing w:after="0" w:line="360" w:lineRule="auto"/>
        <w:rPr>
          <w:rFonts w:eastAsia="Times New Roman" w:cs="Calibri Light"/>
          <w:iCs/>
          <w:lang w:eastAsia="es-ES"/>
        </w:rPr>
      </w:pPr>
      <w:r w:rsidRPr="00000CE2">
        <w:rPr>
          <w:rFonts w:cs="Calibri Light"/>
          <w:color w:val="000000"/>
        </w:rPr>
        <w:t>Así, se procede analizar si dicha información es confidencial o pública; en principio, cabe mencionar que el artículo 143, fracción I, de la Ley de Transparencia Local, establece que la información privada y los datos personales, concernientes a una persona física o jurídica colectiva identificada o identificable son confidenciales.</w:t>
      </w:r>
    </w:p>
    <w:p w14:paraId="5B1C048E" w14:textId="77777777" w:rsidR="004C63E5" w:rsidRPr="00000CE2" w:rsidRDefault="004C63E5" w:rsidP="004C63E5">
      <w:pPr>
        <w:spacing w:after="0" w:line="360" w:lineRule="auto"/>
        <w:rPr>
          <w:rFonts w:eastAsia="Times New Roman" w:cs="Calibri Light"/>
          <w:iCs/>
          <w:lang w:eastAsia="es-ES"/>
        </w:rPr>
      </w:pPr>
    </w:p>
    <w:p w14:paraId="5CE7B44B" w14:textId="77777777" w:rsidR="004C63E5" w:rsidRPr="00000CE2" w:rsidRDefault="004C63E5" w:rsidP="004C63E5">
      <w:pPr>
        <w:spacing w:after="0" w:line="360" w:lineRule="auto"/>
        <w:rPr>
          <w:rFonts w:cs="Calibri Light"/>
          <w:color w:val="000000"/>
        </w:rPr>
      </w:pPr>
      <w:r w:rsidRPr="00000CE2">
        <w:rPr>
          <w:rFonts w:cs="Calibri Light"/>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FFC92FD" w14:textId="77777777" w:rsidR="004C63E5" w:rsidRPr="00000CE2" w:rsidRDefault="004C63E5" w:rsidP="004C63E5">
      <w:pPr>
        <w:spacing w:after="0" w:line="360" w:lineRule="auto"/>
        <w:rPr>
          <w:rFonts w:cs="Calibri Light"/>
          <w:color w:val="000000"/>
        </w:rPr>
      </w:pPr>
    </w:p>
    <w:p w14:paraId="579FC368" w14:textId="77777777" w:rsidR="004C63E5" w:rsidRPr="00000CE2" w:rsidRDefault="004C63E5" w:rsidP="004C63E5">
      <w:pPr>
        <w:spacing w:after="0" w:line="360" w:lineRule="auto"/>
        <w:rPr>
          <w:rFonts w:cs="Calibri Light"/>
          <w:color w:val="000000"/>
        </w:rPr>
      </w:pPr>
      <w:r w:rsidRPr="00000CE2">
        <w:rPr>
          <w:rFonts w:cs="Calibri Light"/>
          <w:color w:val="000000"/>
        </w:rPr>
        <w:t xml:space="preserve">En términos de lo expuesto, la documentación y aquellos datos que se consideren confidenciales, serán una limitante del derecho de acceso a la información, siempre y cuando: </w:t>
      </w:r>
    </w:p>
    <w:p w14:paraId="27186245" w14:textId="77777777" w:rsidR="004C63E5" w:rsidRPr="00000CE2" w:rsidRDefault="004C63E5" w:rsidP="004C63E5">
      <w:pPr>
        <w:spacing w:after="0" w:line="360" w:lineRule="auto"/>
        <w:rPr>
          <w:rFonts w:cs="Calibri Light"/>
          <w:color w:val="000000"/>
        </w:rPr>
      </w:pPr>
    </w:p>
    <w:p w14:paraId="6D7EC3B6" w14:textId="77777777" w:rsidR="004C63E5" w:rsidRPr="00000CE2" w:rsidRDefault="004C63E5" w:rsidP="004C63E5">
      <w:pPr>
        <w:numPr>
          <w:ilvl w:val="0"/>
          <w:numId w:val="14"/>
        </w:numPr>
        <w:spacing w:after="0" w:line="360" w:lineRule="auto"/>
        <w:jc w:val="left"/>
        <w:rPr>
          <w:rFonts w:eastAsia="Times New Roman" w:cs="Calibri Light"/>
          <w:color w:val="000000"/>
          <w:szCs w:val="24"/>
          <w:lang w:eastAsia="es-ES"/>
        </w:rPr>
      </w:pPr>
      <w:r w:rsidRPr="00000CE2">
        <w:rPr>
          <w:rFonts w:eastAsia="Times New Roman" w:cs="Calibri Light"/>
          <w:color w:val="000000"/>
          <w:szCs w:val="24"/>
          <w:lang w:eastAsia="es-ES"/>
        </w:rPr>
        <w:t xml:space="preserve">Se trate de datos personales o información privada; esto es, información concerniente a una persona física o jurídico colectiva y que esta sea identificada o identificable. </w:t>
      </w:r>
    </w:p>
    <w:p w14:paraId="3327045F" w14:textId="77777777" w:rsidR="004C63E5" w:rsidRPr="00000CE2" w:rsidRDefault="004C63E5" w:rsidP="004C63E5">
      <w:pPr>
        <w:numPr>
          <w:ilvl w:val="0"/>
          <w:numId w:val="14"/>
        </w:numPr>
        <w:spacing w:after="0" w:line="360" w:lineRule="auto"/>
        <w:jc w:val="left"/>
        <w:rPr>
          <w:rFonts w:eastAsia="Times New Roman" w:cs="Calibri Light"/>
          <w:iCs/>
          <w:szCs w:val="24"/>
          <w:lang w:eastAsia="es-ES"/>
        </w:rPr>
      </w:pPr>
      <w:r w:rsidRPr="00000CE2">
        <w:rPr>
          <w:rFonts w:eastAsia="Times New Roman" w:cs="Calibri Light"/>
          <w:color w:val="000000"/>
          <w:szCs w:val="24"/>
          <w:lang w:eastAsia="es-ES"/>
        </w:rPr>
        <w:t>Para la difusión de los datos, se requiera el consentimiento del titular.</w:t>
      </w:r>
    </w:p>
    <w:p w14:paraId="7ADF6FAC" w14:textId="77777777" w:rsidR="004C63E5" w:rsidRPr="00000CE2" w:rsidRDefault="004C63E5" w:rsidP="004C63E5">
      <w:pPr>
        <w:spacing w:after="0" w:line="360" w:lineRule="auto"/>
        <w:rPr>
          <w:rFonts w:eastAsia="Times New Roman" w:cs="Calibri Light"/>
          <w:bCs/>
          <w:iCs/>
          <w:color w:val="FF0000"/>
          <w:lang w:eastAsia="es-ES"/>
        </w:rPr>
      </w:pPr>
    </w:p>
    <w:p w14:paraId="68CC1E68" w14:textId="77777777" w:rsidR="004C63E5" w:rsidRPr="00000CE2" w:rsidRDefault="004C63E5" w:rsidP="004C63E5">
      <w:pPr>
        <w:spacing w:after="0" w:line="360" w:lineRule="auto"/>
        <w:rPr>
          <w:rFonts w:cs="Calibri Light"/>
          <w:color w:val="000000"/>
        </w:rPr>
      </w:pPr>
      <w:r w:rsidRPr="00000CE2">
        <w:rPr>
          <w:rFonts w:cs="Calibri Light"/>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w:t>
      </w:r>
      <w:r w:rsidRPr="00000CE2">
        <w:rPr>
          <w:rFonts w:cs="Calibri Light"/>
          <w:color w:val="000000"/>
        </w:rPr>
        <w:lastRenderedPageBreak/>
        <w:t>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79B75E9C" w14:textId="77777777" w:rsidR="004C63E5" w:rsidRPr="00000CE2" w:rsidRDefault="004C63E5" w:rsidP="004C63E5">
      <w:pPr>
        <w:spacing w:after="0" w:line="360" w:lineRule="auto"/>
        <w:rPr>
          <w:rFonts w:cs="Calibri Light"/>
          <w:color w:val="000000"/>
        </w:rPr>
      </w:pPr>
    </w:p>
    <w:p w14:paraId="0AB576EB" w14:textId="77777777" w:rsidR="004C63E5" w:rsidRPr="00000CE2" w:rsidRDefault="004C63E5" w:rsidP="004C63E5">
      <w:pPr>
        <w:spacing w:after="0" w:line="360" w:lineRule="auto"/>
        <w:rPr>
          <w:rFonts w:cs="Calibri Light"/>
          <w:color w:val="000000"/>
        </w:rPr>
      </w:pPr>
      <w:r w:rsidRPr="00000CE2">
        <w:rPr>
          <w:rFonts w:cs="Calibri Light"/>
          <w:color w:val="000000"/>
        </w:rPr>
        <w:t>Bajo ese contexto, se analizarán si los datos mencionados, deben ser considerados confidenciales, en términos del artículo 143, fracción I, de la Ley de Transparencia y Acceso a la Información Pública del Estado de México y Municipios, o públicos.</w:t>
      </w:r>
    </w:p>
    <w:p w14:paraId="6E9FCCBE" w14:textId="77777777" w:rsidR="004C63E5" w:rsidRPr="00000CE2" w:rsidRDefault="004C63E5" w:rsidP="004C63E5">
      <w:pPr>
        <w:spacing w:after="0" w:line="360" w:lineRule="auto"/>
        <w:rPr>
          <w:rFonts w:cs="Calibri Light"/>
          <w:color w:val="000000"/>
        </w:rPr>
      </w:pPr>
    </w:p>
    <w:p w14:paraId="037E77C8" w14:textId="77777777" w:rsidR="004C63E5" w:rsidRPr="00000CE2" w:rsidRDefault="004C63E5" w:rsidP="004C63E5">
      <w:pPr>
        <w:numPr>
          <w:ilvl w:val="0"/>
          <w:numId w:val="15"/>
        </w:numPr>
        <w:spacing w:after="0" w:line="360" w:lineRule="auto"/>
        <w:jc w:val="left"/>
        <w:rPr>
          <w:rFonts w:eastAsia="Times New Roman" w:cs="Calibri Light"/>
          <w:b/>
          <w:bCs/>
          <w:color w:val="000000"/>
          <w:szCs w:val="24"/>
          <w:lang w:eastAsia="es-ES"/>
        </w:rPr>
      </w:pPr>
      <w:r w:rsidRPr="00000CE2">
        <w:rPr>
          <w:rFonts w:eastAsia="Times New Roman" w:cs="Calibri Light"/>
          <w:b/>
          <w:bCs/>
          <w:color w:val="000000"/>
          <w:szCs w:val="24"/>
          <w:lang w:eastAsia="es-ES"/>
        </w:rPr>
        <w:t>Motivos de salud</w:t>
      </w:r>
    </w:p>
    <w:p w14:paraId="25C5F6B8" w14:textId="77777777" w:rsidR="004C63E5" w:rsidRPr="00000CE2" w:rsidRDefault="004C63E5" w:rsidP="004C63E5">
      <w:pPr>
        <w:spacing w:after="0" w:line="360" w:lineRule="auto"/>
        <w:rPr>
          <w:rFonts w:cs="Calibri Light"/>
          <w:color w:val="000000"/>
        </w:rPr>
      </w:pPr>
    </w:p>
    <w:p w14:paraId="3696BA20" w14:textId="77777777" w:rsidR="004C63E5" w:rsidRPr="00000CE2" w:rsidRDefault="004C63E5" w:rsidP="004C63E5">
      <w:pPr>
        <w:spacing w:after="0" w:line="360" w:lineRule="auto"/>
        <w:rPr>
          <w:rFonts w:cs="Calibri Light"/>
          <w:b/>
          <w:bCs/>
          <w:color w:val="000000"/>
        </w:rPr>
      </w:pPr>
      <w:r w:rsidRPr="00000CE2">
        <w:rPr>
          <w:rFonts w:cs="Calibri Light"/>
          <w:color w:val="000000"/>
        </w:rPr>
        <w:t xml:space="preserve">Al respecto, es de señalar que dichos datos corresponden a la enfermedad o situación específica que presentó el servidor público para que faltara o tuviera inasistencia, es decir, que estos datos </w:t>
      </w:r>
      <w:r w:rsidRPr="00000CE2">
        <w:rPr>
          <w:rFonts w:cs="Calibri Light"/>
          <w:b/>
          <w:bCs/>
          <w:color w:val="000000"/>
        </w:rPr>
        <w:t>dan cuenta del estado de salud de una persona.</w:t>
      </w:r>
    </w:p>
    <w:p w14:paraId="4F6F29D4" w14:textId="77777777" w:rsidR="004C63E5" w:rsidRPr="00000CE2" w:rsidRDefault="004C63E5" w:rsidP="004C63E5">
      <w:pPr>
        <w:spacing w:after="0" w:line="360" w:lineRule="auto"/>
        <w:rPr>
          <w:rFonts w:cs="Calibri Light"/>
          <w:b/>
          <w:bCs/>
          <w:color w:val="000000"/>
        </w:rPr>
      </w:pPr>
    </w:p>
    <w:p w14:paraId="76A47970" w14:textId="77777777" w:rsidR="004C63E5" w:rsidRPr="00000CE2" w:rsidRDefault="004C63E5" w:rsidP="004C63E5">
      <w:pPr>
        <w:spacing w:after="0" w:line="360" w:lineRule="auto"/>
        <w:rPr>
          <w:rFonts w:cs="Calibri Light"/>
          <w:color w:val="000000"/>
        </w:rPr>
      </w:pPr>
      <w:r w:rsidRPr="00000CE2">
        <w:rPr>
          <w:rFonts w:cs="Calibri Light"/>
          <w:color w:val="000000"/>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1ED3AC36" w14:textId="77777777" w:rsidR="004C63E5" w:rsidRPr="00000CE2" w:rsidRDefault="004C63E5" w:rsidP="004C63E5">
      <w:pPr>
        <w:spacing w:after="0" w:line="360" w:lineRule="auto"/>
        <w:rPr>
          <w:rFonts w:cs="Calibri Light"/>
          <w:color w:val="000000"/>
        </w:rPr>
      </w:pPr>
    </w:p>
    <w:p w14:paraId="39824419" w14:textId="77777777" w:rsidR="004C63E5" w:rsidRPr="00000CE2" w:rsidRDefault="004C63E5" w:rsidP="004C63E5">
      <w:pPr>
        <w:numPr>
          <w:ilvl w:val="0"/>
          <w:numId w:val="15"/>
        </w:numPr>
        <w:spacing w:after="0" w:line="360" w:lineRule="auto"/>
        <w:jc w:val="left"/>
        <w:rPr>
          <w:rFonts w:eastAsia="Times New Roman" w:cs="Calibri Light"/>
          <w:color w:val="000000"/>
          <w:szCs w:val="24"/>
          <w:lang w:eastAsia="es-ES"/>
        </w:rPr>
      </w:pPr>
      <w:r w:rsidRPr="00000CE2">
        <w:rPr>
          <w:rFonts w:eastAsia="Times New Roman" w:cs="Calibri Light"/>
          <w:b/>
          <w:bCs/>
          <w:color w:val="000000"/>
          <w:szCs w:val="24"/>
          <w:lang w:eastAsia="es-ES"/>
        </w:rPr>
        <w:t>Datos Personales:</w:t>
      </w:r>
      <w:r w:rsidRPr="00000CE2">
        <w:rPr>
          <w:rFonts w:eastAsia="Times New Roman" w:cs="Calibri Light"/>
          <w:color w:val="000000"/>
          <w:szCs w:val="24"/>
          <w:lang w:eastAsia="es-ES"/>
        </w:rPr>
        <w:t xml:space="preserve"> Son cualquier información concerniente a una persona física identificada o identificable, y</w:t>
      </w:r>
    </w:p>
    <w:p w14:paraId="557B3A90" w14:textId="77777777" w:rsidR="004C63E5" w:rsidRPr="00000CE2" w:rsidRDefault="004C63E5" w:rsidP="004C63E5">
      <w:pPr>
        <w:numPr>
          <w:ilvl w:val="0"/>
          <w:numId w:val="15"/>
        </w:numPr>
        <w:spacing w:after="0" w:line="360" w:lineRule="auto"/>
        <w:jc w:val="left"/>
        <w:rPr>
          <w:rFonts w:eastAsia="Times New Roman" w:cs="Calibri Light"/>
          <w:color w:val="000000"/>
          <w:szCs w:val="24"/>
          <w:lang w:eastAsia="es-ES"/>
        </w:rPr>
      </w:pPr>
      <w:r w:rsidRPr="00000CE2">
        <w:rPr>
          <w:rFonts w:eastAsia="Times New Roman" w:cs="Calibri Light"/>
          <w:b/>
          <w:bCs/>
          <w:color w:val="000000"/>
          <w:szCs w:val="24"/>
          <w:lang w:eastAsia="es-ES"/>
        </w:rPr>
        <w:t>Datos Personales Sensibles:</w:t>
      </w:r>
      <w:r w:rsidRPr="00000CE2">
        <w:rPr>
          <w:rFonts w:eastAsia="Times New Roman" w:cs="Calibri Light"/>
          <w:color w:val="000000"/>
          <w:szCs w:val="24"/>
          <w:lang w:eastAsia="es-ES"/>
        </w:rPr>
        <w:t xml:space="preserve"> Son aquellos que refieran a la esfera más íntima de su titular y cuya utilización indebida pueda dar origen a discriminación o un riesgo grave para su titular, entre los cuales se encuentran aquellos que puedan revelar aspectos </w:t>
      </w:r>
      <w:r w:rsidRPr="00000CE2">
        <w:rPr>
          <w:rFonts w:eastAsia="Times New Roman" w:cs="Calibri Light"/>
          <w:color w:val="000000"/>
          <w:szCs w:val="24"/>
          <w:lang w:eastAsia="es-ES"/>
        </w:rPr>
        <w:lastRenderedPageBreak/>
        <w:t>como origen racial o étnico, estado de salud, información genética, creencias religiosas, filosóficas y morales, opiniones políticas y preferencia sexual.</w:t>
      </w:r>
    </w:p>
    <w:p w14:paraId="73828B17" w14:textId="77777777" w:rsidR="004C63E5" w:rsidRPr="00000CE2" w:rsidRDefault="004C63E5" w:rsidP="004C63E5">
      <w:pPr>
        <w:spacing w:after="0" w:line="360" w:lineRule="auto"/>
        <w:rPr>
          <w:rFonts w:cs="Calibri Light"/>
          <w:color w:val="000000"/>
        </w:rPr>
      </w:pPr>
    </w:p>
    <w:p w14:paraId="721ED6F5" w14:textId="77777777" w:rsidR="004C63E5" w:rsidRPr="00000CE2" w:rsidRDefault="004C63E5" w:rsidP="004C63E5">
      <w:pPr>
        <w:spacing w:after="0" w:line="360" w:lineRule="auto"/>
        <w:rPr>
          <w:rFonts w:cs="Calibri Light"/>
          <w:color w:val="000000"/>
        </w:rPr>
      </w:pPr>
      <w:r w:rsidRPr="00000CE2">
        <w:rPr>
          <w:rFonts w:cs="Calibri Light"/>
          <w:color w:val="000000"/>
        </w:rPr>
        <w:t xml:space="preserve">En ese contexto, </w:t>
      </w:r>
      <w:proofErr w:type="spellStart"/>
      <w:r w:rsidRPr="00000CE2">
        <w:rPr>
          <w:rFonts w:cs="Calibri Light"/>
          <w:color w:val="000000"/>
        </w:rPr>
        <w:t>Davara</w:t>
      </w:r>
      <w:proofErr w:type="spellEnd"/>
      <w:r w:rsidRPr="00000CE2">
        <w:rPr>
          <w:rFonts w:cs="Calibri Light"/>
          <w:color w:val="000000"/>
        </w:rPr>
        <w:t xml:space="preserve">, Isabel; Barco, Gregorio, Barco; y Cervantes, Alexis (2019), en el “Diccionario de Protección de Datos Personales Conceptos Fundamentales” (p. 226), precisan que </w:t>
      </w:r>
      <w:r w:rsidRPr="00000CE2">
        <w:rPr>
          <w:rFonts w:cs="Calibri Light"/>
          <w:b/>
          <w:bCs/>
          <w:color w:val="000000"/>
        </w:rPr>
        <w:t>los datos relativos a la salud son datos personales de carácter sensible</w:t>
      </w:r>
      <w:r w:rsidRPr="00000CE2">
        <w:rPr>
          <w:rFonts w:cs="Calibri Light"/>
          <w:color w:val="000000"/>
        </w:rPr>
        <w:t>, en tanto a que refieren al estado de salud física o mental de un individuo, y que se conforma entre otros, por lo siguientes:</w:t>
      </w:r>
    </w:p>
    <w:p w14:paraId="24295A89" w14:textId="77777777" w:rsidR="004C63E5" w:rsidRPr="00000CE2" w:rsidRDefault="004C63E5" w:rsidP="004C63E5">
      <w:pPr>
        <w:spacing w:after="0" w:line="360" w:lineRule="auto"/>
        <w:rPr>
          <w:rFonts w:cs="Calibri Light"/>
          <w:color w:val="000000"/>
        </w:rPr>
      </w:pPr>
    </w:p>
    <w:p w14:paraId="6182F20A" w14:textId="77777777" w:rsidR="004C63E5" w:rsidRPr="00000CE2" w:rsidRDefault="004C63E5" w:rsidP="004C63E5">
      <w:pPr>
        <w:numPr>
          <w:ilvl w:val="0"/>
          <w:numId w:val="16"/>
        </w:numPr>
        <w:spacing w:after="0" w:line="360" w:lineRule="auto"/>
        <w:jc w:val="left"/>
        <w:rPr>
          <w:rFonts w:eastAsia="Times New Roman" w:cs="Calibri Light"/>
          <w:szCs w:val="24"/>
          <w:lang w:eastAsia="es-ES"/>
        </w:rPr>
      </w:pPr>
      <w:r w:rsidRPr="00000CE2">
        <w:rPr>
          <w:rFonts w:eastAsia="Times New Roman" w:cs="Calibri Light"/>
          <w:szCs w:val="24"/>
          <w:lang w:eastAsia="es-ES"/>
        </w:rPr>
        <w:t xml:space="preserve">Números, símbolos o datos asignados a una persona física identificable que la identifique de manera unívoca a efectos sanitarios; </w:t>
      </w:r>
    </w:p>
    <w:p w14:paraId="778C5347" w14:textId="77777777" w:rsidR="004C63E5" w:rsidRPr="00000CE2" w:rsidRDefault="004C63E5" w:rsidP="004C63E5">
      <w:pPr>
        <w:spacing w:after="0" w:line="360" w:lineRule="auto"/>
        <w:ind w:left="720"/>
        <w:contextualSpacing/>
        <w:rPr>
          <w:rFonts w:eastAsia="Times New Roman" w:cs="Calibri Light"/>
          <w:szCs w:val="24"/>
          <w:lang w:eastAsia="es-ES"/>
        </w:rPr>
      </w:pPr>
    </w:p>
    <w:p w14:paraId="5D63CF57" w14:textId="77777777" w:rsidR="004C63E5" w:rsidRPr="00000CE2" w:rsidRDefault="004C63E5" w:rsidP="004C63E5">
      <w:pPr>
        <w:numPr>
          <w:ilvl w:val="0"/>
          <w:numId w:val="16"/>
        </w:numPr>
        <w:spacing w:after="0" w:line="360" w:lineRule="auto"/>
        <w:jc w:val="left"/>
        <w:rPr>
          <w:rFonts w:eastAsia="Times New Roman" w:cs="Calibri Light"/>
          <w:szCs w:val="24"/>
          <w:lang w:eastAsia="es-ES"/>
        </w:rPr>
      </w:pPr>
      <w:r w:rsidRPr="00000CE2">
        <w:rPr>
          <w:rFonts w:eastAsia="Times New Roman" w:cs="Calibri Light"/>
          <w:szCs w:val="24"/>
          <w:lang w:eastAsia="es-ES"/>
        </w:rPr>
        <w:t xml:space="preserve">La información obtenida de pruebas o exámenes de una parte del cuerpo o sustancia corporal, y </w:t>
      </w:r>
    </w:p>
    <w:p w14:paraId="591622E2" w14:textId="77777777" w:rsidR="004C63E5" w:rsidRPr="00000CE2" w:rsidRDefault="004C63E5" w:rsidP="004C63E5">
      <w:pPr>
        <w:spacing w:after="0" w:line="360" w:lineRule="auto"/>
        <w:ind w:left="720"/>
        <w:contextualSpacing/>
        <w:rPr>
          <w:rFonts w:eastAsia="Times New Roman" w:cs="Calibri Light"/>
          <w:szCs w:val="24"/>
          <w:lang w:eastAsia="es-ES"/>
        </w:rPr>
      </w:pPr>
    </w:p>
    <w:p w14:paraId="41450F9E" w14:textId="77777777" w:rsidR="004C63E5" w:rsidRPr="00000CE2" w:rsidRDefault="004C63E5" w:rsidP="004C63E5">
      <w:pPr>
        <w:numPr>
          <w:ilvl w:val="0"/>
          <w:numId w:val="16"/>
        </w:numPr>
        <w:spacing w:after="0" w:line="360" w:lineRule="auto"/>
        <w:jc w:val="left"/>
        <w:rPr>
          <w:rFonts w:eastAsia="Times New Roman" w:cs="Calibri Light"/>
          <w:bCs/>
          <w:iCs/>
          <w:szCs w:val="24"/>
          <w:lang w:eastAsia="es-ES"/>
        </w:rPr>
      </w:pPr>
      <w:r w:rsidRPr="00000CE2">
        <w:rPr>
          <w:rFonts w:eastAsia="Times New Roman" w:cs="Calibri Light"/>
          <w:szCs w:val="24"/>
          <w:lang w:eastAsia="es-ES"/>
        </w:rPr>
        <w:t>La información relativa a una enfermedad, una discapacidad, el riesgo de padecer enfermedades, el historial médico, el tratamiento clínico o el estado fisiológico o biomédico del interesado</w:t>
      </w:r>
    </w:p>
    <w:p w14:paraId="1175003C" w14:textId="77777777" w:rsidR="004C63E5" w:rsidRPr="00000CE2" w:rsidRDefault="004C63E5" w:rsidP="004C63E5">
      <w:pPr>
        <w:spacing w:after="0" w:line="360" w:lineRule="auto"/>
        <w:rPr>
          <w:rFonts w:cs="Calibri Light"/>
          <w:bCs/>
          <w:iCs/>
        </w:rPr>
      </w:pPr>
    </w:p>
    <w:p w14:paraId="5096BD7C" w14:textId="77777777" w:rsidR="004C63E5" w:rsidRPr="00000CE2" w:rsidRDefault="004C63E5" w:rsidP="004C63E5">
      <w:pPr>
        <w:spacing w:after="0" w:line="360" w:lineRule="auto"/>
        <w:rPr>
          <w:rFonts w:cs="Calibri Light"/>
          <w:color w:val="000000"/>
        </w:rPr>
      </w:pPr>
      <w:r w:rsidRPr="00000CE2">
        <w:rPr>
          <w:rFonts w:cs="Calibri Light"/>
          <w:color w:val="000000"/>
        </w:rPr>
        <w:t xml:space="preserve">Situación que toma relevancia, púes el apartado ¿Qué son los datos personales?, de la página oficial de este Instituto (consultada en la liga https://www.infoem.org.mx/es/contenido/datospersonales , el catorce de mayo de dos mil veinticinco), reafirma como una categoría de datos personales sensibles los concernientes a la salud de una persona, los cuales se conforman de aquellos datos relacionados con el estado físico o mental, cualquier atención médica, expediente clínico, diagnósticos, padecimientos, </w:t>
      </w:r>
      <w:r w:rsidRPr="00000CE2">
        <w:rPr>
          <w:rFonts w:cs="Calibri Light"/>
          <w:color w:val="000000"/>
        </w:rPr>
        <w:lastRenderedPageBreak/>
        <w:t>vacunas, intervenciones quirúrgicas, incapacidades médicas, discapacidades, uso de aparatos oftalmológicos, ortopédicos, auditivos o prótesis, consumo de sustancias tóxicas y estupefacientes, sintomatologías o análogos.</w:t>
      </w:r>
    </w:p>
    <w:p w14:paraId="41F02706" w14:textId="77777777" w:rsidR="004C63E5" w:rsidRPr="00000CE2" w:rsidRDefault="004C63E5" w:rsidP="004C63E5">
      <w:pPr>
        <w:spacing w:after="0" w:line="360" w:lineRule="auto"/>
        <w:rPr>
          <w:rFonts w:cs="Calibri Light"/>
          <w:color w:val="000000"/>
        </w:rPr>
      </w:pPr>
    </w:p>
    <w:p w14:paraId="3515D704" w14:textId="77777777" w:rsidR="004C63E5" w:rsidRPr="00000CE2" w:rsidRDefault="004C63E5" w:rsidP="004C63E5">
      <w:pPr>
        <w:spacing w:after="0" w:line="360" w:lineRule="auto"/>
        <w:rPr>
          <w:rFonts w:cs="Calibri Light"/>
          <w:color w:val="000000"/>
        </w:rPr>
      </w:pPr>
      <w:r w:rsidRPr="00000CE2">
        <w:rPr>
          <w:rFonts w:cs="Calibri Light"/>
          <w:color w:val="000000"/>
        </w:rPr>
        <w:t xml:space="preserve">Como se logra observar cualquier información o dato que se relacione con el estado de salud de una persona, como lo es un motivo de </w:t>
      </w:r>
      <w:r w:rsidRPr="00000CE2">
        <w:rPr>
          <w:rFonts w:cs="Calibri Light"/>
          <w:b/>
          <w:bCs/>
          <w:color w:val="000000"/>
        </w:rPr>
        <w:t>baja</w:t>
      </w:r>
      <w:r w:rsidRPr="00000CE2">
        <w:rPr>
          <w:rFonts w:cs="Calibri Light"/>
          <w:color w:val="000000"/>
        </w:rPr>
        <w:t>, se considera un dato personal sensible, pues da cuenta del estado de salud físico o mental del titular, lo cual está íntimamente relacionado con su vida privada e íntima y, por lo tanto, actualiza la causal de clasificación, establecida en el artículo 143, fracción I, de la Ley de Transparencia y Acceso a la Información Pública del Estado de México y Municipios.</w:t>
      </w:r>
    </w:p>
    <w:p w14:paraId="21E67305" w14:textId="77777777" w:rsidR="004C63E5" w:rsidRPr="00000CE2" w:rsidRDefault="004C63E5" w:rsidP="004C63E5">
      <w:pPr>
        <w:spacing w:after="0" w:line="360" w:lineRule="auto"/>
        <w:rPr>
          <w:rFonts w:cs="Calibri Light"/>
          <w:color w:val="000000"/>
        </w:rPr>
      </w:pPr>
    </w:p>
    <w:p w14:paraId="20D753FF" w14:textId="77777777" w:rsidR="004C63E5" w:rsidRPr="00000CE2" w:rsidRDefault="004C63E5" w:rsidP="004C63E5">
      <w:pPr>
        <w:numPr>
          <w:ilvl w:val="0"/>
          <w:numId w:val="17"/>
        </w:numPr>
        <w:spacing w:after="0" w:line="360" w:lineRule="auto"/>
        <w:jc w:val="left"/>
        <w:rPr>
          <w:rFonts w:eastAsia="Times New Roman" w:cs="Calibri Light"/>
          <w:b/>
          <w:bCs/>
          <w:iCs/>
          <w:szCs w:val="24"/>
          <w:lang w:eastAsia="es-ES"/>
        </w:rPr>
      </w:pPr>
      <w:r w:rsidRPr="00000CE2">
        <w:rPr>
          <w:rFonts w:eastAsia="Times New Roman" w:cs="Calibri Light"/>
          <w:b/>
          <w:bCs/>
          <w:color w:val="000000"/>
          <w:szCs w:val="24"/>
          <w:lang w:eastAsia="es-ES"/>
        </w:rPr>
        <w:t>Motivos personales</w:t>
      </w:r>
    </w:p>
    <w:p w14:paraId="7FBE148E" w14:textId="77777777" w:rsidR="004C63E5" w:rsidRPr="00000CE2" w:rsidRDefault="004C63E5" w:rsidP="004C63E5">
      <w:pPr>
        <w:spacing w:after="0" w:line="360" w:lineRule="auto"/>
        <w:ind w:left="720"/>
        <w:contextualSpacing/>
        <w:rPr>
          <w:rFonts w:eastAsia="Times New Roman" w:cs="Calibri Light"/>
          <w:b/>
          <w:bCs/>
          <w:iCs/>
          <w:szCs w:val="24"/>
          <w:lang w:eastAsia="es-ES"/>
        </w:rPr>
      </w:pPr>
    </w:p>
    <w:p w14:paraId="3A279142" w14:textId="77777777" w:rsidR="004C63E5" w:rsidRPr="00000CE2" w:rsidRDefault="004C63E5" w:rsidP="004C63E5">
      <w:pPr>
        <w:spacing w:after="0" w:line="360" w:lineRule="auto"/>
        <w:rPr>
          <w:rFonts w:cs="Calibri Light"/>
          <w:color w:val="000000"/>
        </w:rPr>
      </w:pPr>
      <w:r w:rsidRPr="00000CE2">
        <w:rPr>
          <w:rFonts w:cs="Calibri Light"/>
          <w:color w:val="000000"/>
        </w:rPr>
        <w:t>Sobre el tema, es necesario señalar que existen motivos para que exista una baja derivada de una licencia sin goce de sueldo por el fallecimiento o enfermedades de familiares, realización de trámites, entre otros; sobre el tema, cabe mencionar que en la fracción II, del artículo 6 de la Constitución Política de los Estados Unidos Mexicanos se prevé que la información que se refiere a la vida privada y los datos personales, será protegida en los términos y con las excepciones que fijen las leyes.</w:t>
      </w:r>
    </w:p>
    <w:p w14:paraId="1AFC6C9E" w14:textId="77777777" w:rsidR="004C63E5" w:rsidRPr="00000CE2" w:rsidRDefault="004C63E5" w:rsidP="004C63E5">
      <w:pPr>
        <w:spacing w:after="0" w:line="360" w:lineRule="auto"/>
        <w:rPr>
          <w:rFonts w:cs="Calibri Light"/>
          <w:color w:val="000000"/>
        </w:rPr>
      </w:pPr>
    </w:p>
    <w:p w14:paraId="60DFA27E" w14:textId="77777777" w:rsidR="004C63E5" w:rsidRPr="00000CE2" w:rsidRDefault="004C63E5" w:rsidP="004C63E5">
      <w:pPr>
        <w:spacing w:after="0" w:line="360" w:lineRule="auto"/>
        <w:rPr>
          <w:rFonts w:cs="Calibri Light"/>
          <w:color w:val="000000"/>
        </w:rPr>
      </w:pPr>
      <w:r w:rsidRPr="00000CE2">
        <w:rPr>
          <w:rFonts w:cs="Calibri Light"/>
          <w:color w:val="000000"/>
        </w:rPr>
        <w:t xml:space="preserve">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w:t>
      </w:r>
      <w:r w:rsidRPr="00000CE2">
        <w:rPr>
          <w:rFonts w:cs="Calibri Light"/>
          <w:color w:val="000000"/>
        </w:rPr>
        <w:lastRenderedPageBreak/>
        <w:t>razones de seguridad nacional, disposiciones de orden público, seguridad y salud públicas o para proteger los derechos de terceros.</w:t>
      </w:r>
    </w:p>
    <w:p w14:paraId="7E69A558" w14:textId="77777777" w:rsidR="004C63E5" w:rsidRPr="00000CE2" w:rsidRDefault="004C63E5" w:rsidP="004C63E5">
      <w:pPr>
        <w:spacing w:after="0" w:line="360" w:lineRule="auto"/>
        <w:rPr>
          <w:rFonts w:cs="Calibri Light"/>
          <w:color w:val="000000"/>
        </w:rPr>
      </w:pPr>
    </w:p>
    <w:p w14:paraId="35F91E8D" w14:textId="77777777" w:rsidR="004C63E5" w:rsidRPr="00000CE2" w:rsidRDefault="004C63E5" w:rsidP="004C63E5">
      <w:pPr>
        <w:spacing w:after="0" w:line="360" w:lineRule="auto"/>
        <w:rPr>
          <w:rFonts w:cs="Calibri Light"/>
          <w:color w:val="000000"/>
        </w:rPr>
      </w:pPr>
      <w:r w:rsidRPr="00000CE2">
        <w:rPr>
          <w:rFonts w:cs="Calibri Light"/>
          <w:color w:val="000000"/>
        </w:rPr>
        <w:t>A su vez, en el Cuadragésimo octavo de los Lineamientos Generales se señala que los documentos y expedientes clasificados como confidenciales sólo podrán ser comunicados a terceros siempre y cuando exista disposición legal expresa que lo justifique o cuando se cuente con el consentimiento del titular.</w:t>
      </w:r>
    </w:p>
    <w:p w14:paraId="3115CB2F" w14:textId="77777777" w:rsidR="004C63E5" w:rsidRPr="00000CE2" w:rsidRDefault="004C63E5" w:rsidP="004C63E5">
      <w:pPr>
        <w:spacing w:after="0" w:line="360" w:lineRule="auto"/>
        <w:rPr>
          <w:rFonts w:cs="Calibri Light"/>
          <w:color w:val="000000"/>
        </w:rPr>
      </w:pPr>
    </w:p>
    <w:p w14:paraId="2C209A40" w14:textId="77777777" w:rsidR="004C63E5" w:rsidRPr="00000CE2" w:rsidRDefault="004C63E5" w:rsidP="004C63E5">
      <w:pPr>
        <w:spacing w:after="0" w:line="360" w:lineRule="auto"/>
        <w:rPr>
          <w:rFonts w:cs="Calibri Light"/>
          <w:color w:val="000000"/>
        </w:rPr>
      </w:pPr>
      <w:r w:rsidRPr="00000CE2">
        <w:rPr>
          <w:rFonts w:cs="Calibri Light"/>
          <w:color w:val="000000"/>
        </w:rPr>
        <w:t>En ese contexto,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79CA4A5C" w14:textId="77777777" w:rsidR="004C63E5" w:rsidRPr="00000CE2" w:rsidRDefault="004C63E5" w:rsidP="004C63E5">
      <w:pPr>
        <w:spacing w:after="0" w:line="360" w:lineRule="auto"/>
        <w:rPr>
          <w:rFonts w:cs="Calibri Light"/>
          <w:color w:val="000000"/>
        </w:rPr>
      </w:pPr>
    </w:p>
    <w:p w14:paraId="6093A5B4" w14:textId="77777777" w:rsidR="004C63E5" w:rsidRPr="00000CE2" w:rsidRDefault="004C63E5" w:rsidP="004C63E5">
      <w:pPr>
        <w:spacing w:after="0" w:line="360" w:lineRule="auto"/>
        <w:ind w:left="567" w:right="567"/>
        <w:contextualSpacing/>
        <w:rPr>
          <w:rFonts w:eastAsia="Times New Roman" w:cs="Calibri Light"/>
          <w:i/>
          <w:iCs/>
          <w:sz w:val="20"/>
          <w:szCs w:val="20"/>
          <w:lang w:eastAsia="es-ES"/>
        </w:rPr>
      </w:pPr>
      <w:r w:rsidRPr="00000CE2">
        <w:rPr>
          <w:rFonts w:eastAsia="Times New Roman" w:cs="Calibri Light"/>
          <w:i/>
          <w:iCs/>
          <w:sz w:val="20"/>
          <w:szCs w:val="20"/>
          <w:lang w:eastAsia="es-ES"/>
        </w:rPr>
        <w:t xml:space="preserve">“DERECHO A LA VIDA PRIVADA. SU CONTENIDO GENERAL Y LA IMPORTANCIA DE NO DESCONTEXTUALIZAR LAS REFERENCIAS A LA MISMA.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w:t>
      </w:r>
      <w:r w:rsidRPr="00000CE2">
        <w:rPr>
          <w:rFonts w:eastAsia="Times New Roman" w:cs="Calibri Light"/>
          <w:i/>
          <w:iCs/>
          <w:sz w:val="20"/>
          <w:szCs w:val="20"/>
          <w:lang w:eastAsia="es-ES"/>
        </w:rPr>
        <w:lastRenderedPageBreak/>
        <w:t>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B48D504" w14:textId="77777777" w:rsidR="004C63E5" w:rsidRPr="00000CE2" w:rsidRDefault="004C63E5" w:rsidP="004C63E5">
      <w:pPr>
        <w:spacing w:after="0" w:line="360" w:lineRule="auto"/>
        <w:rPr>
          <w:rFonts w:cs="Calibri Light"/>
          <w:b/>
          <w:bCs/>
          <w:color w:val="000000"/>
        </w:rPr>
      </w:pPr>
      <w:r w:rsidRPr="00000CE2">
        <w:rPr>
          <w:rFonts w:cs="Calibri Light"/>
          <w:color w:val="000000"/>
        </w:rPr>
        <w:lastRenderedPageBreak/>
        <w:t xml:space="preserve">De conformidad con lo señalado, se colige que </w:t>
      </w:r>
      <w:r w:rsidRPr="00000CE2">
        <w:rPr>
          <w:rFonts w:cs="Calibri Light"/>
          <w:b/>
          <w:bCs/>
          <w:color w:val="000000"/>
        </w:rPr>
        <w:t>las actividades que realicen los particulares, dentro del ámbito privado, o dentro de la esfera particular, es información que debe protegerse.</w:t>
      </w:r>
    </w:p>
    <w:p w14:paraId="5420C023" w14:textId="77777777" w:rsidR="004C63E5" w:rsidRPr="00000CE2" w:rsidRDefault="004C63E5" w:rsidP="004C63E5">
      <w:pPr>
        <w:spacing w:after="0" w:line="360" w:lineRule="auto"/>
        <w:rPr>
          <w:rFonts w:cs="Calibri Light"/>
          <w:b/>
          <w:bCs/>
          <w:color w:val="000000"/>
        </w:rPr>
      </w:pPr>
    </w:p>
    <w:p w14:paraId="0777D5B6" w14:textId="77777777" w:rsidR="004C63E5" w:rsidRPr="00000CE2" w:rsidRDefault="004C63E5" w:rsidP="004C63E5">
      <w:pPr>
        <w:spacing w:after="0" w:line="360" w:lineRule="auto"/>
        <w:rPr>
          <w:rFonts w:cs="Calibri Light"/>
          <w:color w:val="000000"/>
        </w:rPr>
      </w:pPr>
      <w:r w:rsidRPr="00000CE2">
        <w:rPr>
          <w:rFonts w:cs="Calibri Light"/>
          <w:color w:val="000000"/>
        </w:rPr>
        <w:t>En el presente caso, proporcionar el motivo de la renuncia, iría en contra del derecho a la vida privada, pues se daría cuenta de la decisión personal; es decir, un acto de voluntad de dichas personas en ejercicio de sus derechos para dar por terminada una relación laboral, lo cual constituye cuestiones de carácter estrictamente íntimo.</w:t>
      </w:r>
    </w:p>
    <w:p w14:paraId="1B4E562D" w14:textId="77777777" w:rsidR="004C63E5" w:rsidRPr="00000CE2" w:rsidRDefault="004C63E5" w:rsidP="004C63E5">
      <w:pPr>
        <w:spacing w:after="0" w:line="360" w:lineRule="auto"/>
        <w:rPr>
          <w:rFonts w:cs="Calibri Light"/>
          <w:color w:val="000000"/>
        </w:rPr>
      </w:pPr>
    </w:p>
    <w:p w14:paraId="274CB286" w14:textId="77777777" w:rsidR="004C63E5" w:rsidRPr="00000CE2" w:rsidRDefault="004C63E5" w:rsidP="004C63E5">
      <w:pPr>
        <w:spacing w:after="0" w:line="360" w:lineRule="auto"/>
        <w:rPr>
          <w:rFonts w:cs="Calibri Light"/>
          <w:color w:val="000000"/>
        </w:rPr>
      </w:pPr>
      <w:r w:rsidRPr="00000CE2">
        <w:rPr>
          <w:rFonts w:cs="Calibri Light"/>
          <w:color w:val="000000"/>
        </w:rPr>
        <w:t>Sobre dicha situación,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44697EAB" w14:textId="77777777" w:rsidR="004C63E5" w:rsidRPr="00000CE2" w:rsidRDefault="004C63E5" w:rsidP="004C63E5">
      <w:pPr>
        <w:spacing w:after="0" w:line="360" w:lineRule="auto"/>
        <w:rPr>
          <w:rFonts w:cs="Calibri Light"/>
          <w:color w:val="000000"/>
        </w:rPr>
      </w:pPr>
    </w:p>
    <w:p w14:paraId="1E2D449C" w14:textId="77777777" w:rsidR="004C63E5" w:rsidRPr="00000CE2" w:rsidRDefault="004C63E5" w:rsidP="004C63E5">
      <w:pPr>
        <w:spacing w:after="0" w:line="360" w:lineRule="auto"/>
        <w:ind w:left="720"/>
        <w:contextualSpacing/>
        <w:rPr>
          <w:rFonts w:eastAsia="Times New Roman" w:cs="Calibri Light"/>
          <w:i/>
          <w:iCs/>
          <w:sz w:val="20"/>
          <w:szCs w:val="20"/>
          <w:lang w:eastAsia="es-ES"/>
        </w:rPr>
      </w:pPr>
      <w:r w:rsidRPr="00000CE2">
        <w:rPr>
          <w:rFonts w:eastAsia="Times New Roman" w:cs="Calibri Light"/>
          <w:b/>
          <w:bCs/>
          <w:i/>
          <w:iCs/>
          <w:sz w:val="20"/>
          <w:szCs w:val="20"/>
          <w:lang w:eastAsia="es-ES"/>
        </w:rPr>
        <w:t>“DERECHO A LA PRIVACIDAD O INTIMIDAD. ESTÁ PROTEGIDO POR EL ARTÍCULO 16, PRIMER PÁRRAFO, DE LA CONSTITUCIÓN POLÍTICA DE LOS ESTADOS UNIDOS MEXICANOS.</w:t>
      </w:r>
      <w:r w:rsidRPr="00000CE2">
        <w:rPr>
          <w:rFonts w:eastAsia="Times New Roman" w:cs="Calibri Light"/>
          <w:i/>
          <w:iCs/>
          <w:sz w:val="20"/>
          <w:szCs w:val="20"/>
          <w:lang w:eastAsia="es-ES"/>
        </w:rPr>
        <w:t xml:space="preserve">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49ADCA05" w14:textId="77777777" w:rsidR="004C63E5" w:rsidRPr="00000CE2" w:rsidRDefault="004C63E5" w:rsidP="004C63E5">
      <w:pPr>
        <w:spacing w:after="0" w:line="360" w:lineRule="auto"/>
        <w:rPr>
          <w:rFonts w:cs="Calibri Light"/>
          <w:color w:val="000000"/>
        </w:rPr>
      </w:pPr>
      <w:r w:rsidRPr="00000CE2">
        <w:rPr>
          <w:rFonts w:cs="Calibri Light"/>
          <w:color w:val="000000"/>
        </w:rPr>
        <w:lastRenderedPageBreak/>
        <w:t>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2B2C083F" w14:textId="77777777" w:rsidR="004C63E5" w:rsidRPr="00000CE2" w:rsidRDefault="004C63E5" w:rsidP="004C63E5">
      <w:pPr>
        <w:spacing w:after="0" w:line="360" w:lineRule="auto"/>
        <w:rPr>
          <w:rFonts w:cs="Calibri Light"/>
          <w:color w:val="000000"/>
        </w:rPr>
      </w:pPr>
    </w:p>
    <w:p w14:paraId="534517FA" w14:textId="77777777" w:rsidR="004C63E5" w:rsidRPr="00000CE2" w:rsidRDefault="004C63E5" w:rsidP="004C63E5">
      <w:pPr>
        <w:spacing w:after="0" w:line="360" w:lineRule="auto"/>
        <w:rPr>
          <w:rFonts w:cs="Calibri Light"/>
          <w:b/>
          <w:bCs/>
          <w:color w:val="000000"/>
        </w:rPr>
      </w:pPr>
      <w:r w:rsidRPr="00000CE2">
        <w:rPr>
          <w:rFonts w:cs="Calibri Light"/>
          <w:color w:val="000000"/>
        </w:rPr>
        <w:t>Así, en un sentido amplio, dicha garantía puede extenderse a una protección más allá del aseguramiento del domicilio como espacio físico en que se desenvuelve normalmente la privacidad o la intimidad, por lo que en el artículo 16, primer párrafo, constitucional,</w:t>
      </w:r>
      <w:r w:rsidRPr="00000CE2">
        <w:rPr>
          <w:rFonts w:cs="Calibri Light"/>
          <w:b/>
          <w:bCs/>
          <w:color w:val="000000"/>
        </w:rPr>
        <w:t xml:space="preserve"> se da el reconocimiento de un derecho a la privacidad de las personas que implica no ser sujeto de intromisiones o molestias en el ámbito reservado de su vida o intimidad.</w:t>
      </w:r>
    </w:p>
    <w:p w14:paraId="1CB5A96A" w14:textId="77777777" w:rsidR="004C63E5" w:rsidRPr="00000CE2" w:rsidRDefault="004C63E5" w:rsidP="004C63E5">
      <w:pPr>
        <w:spacing w:after="0" w:line="360" w:lineRule="auto"/>
        <w:rPr>
          <w:rFonts w:cs="Calibri Light"/>
          <w:color w:val="000000"/>
        </w:rPr>
      </w:pPr>
    </w:p>
    <w:p w14:paraId="003107F3" w14:textId="77777777" w:rsidR="004C63E5" w:rsidRPr="00000CE2" w:rsidRDefault="004C63E5" w:rsidP="004C63E5">
      <w:pPr>
        <w:spacing w:after="0" w:line="360" w:lineRule="auto"/>
        <w:rPr>
          <w:rFonts w:cs="Calibri Light"/>
          <w:b/>
          <w:bCs/>
          <w:color w:val="000000"/>
        </w:rPr>
      </w:pPr>
      <w:r w:rsidRPr="00000CE2">
        <w:rPr>
          <w:rFonts w:cs="Calibri Light"/>
          <w:color w:val="000000"/>
        </w:rPr>
        <w:t xml:space="preserve">Por lo tanto, se considera que dar a conocer los motivos personales, de inasistencias o faltas, implicaría revelar un aspecto de la vida privada e íntima, es decir, </w:t>
      </w:r>
      <w:r w:rsidRPr="00000CE2">
        <w:rPr>
          <w:rFonts w:cs="Calibri Light"/>
          <w:b/>
          <w:bCs/>
          <w:color w:val="000000"/>
        </w:rPr>
        <w:t>reflejaría una situación concreta de los servidores públicos en su vida personal, al dar cuenta de las razones de la decisión particular de presentar su renuncia laboral; por lo que, se considera información confidencial, en términos del artículo 143, fracción I, de la Ley de Transparencia y Acceso a la Información Pública del Estado de México y Municipios.</w:t>
      </w:r>
    </w:p>
    <w:p w14:paraId="740AB0D8" w14:textId="77777777" w:rsidR="004C63E5" w:rsidRPr="00000CE2" w:rsidRDefault="004C63E5" w:rsidP="004C63E5">
      <w:pPr>
        <w:spacing w:after="0" w:line="360" w:lineRule="auto"/>
        <w:rPr>
          <w:rFonts w:cs="Calibri Light"/>
          <w:b/>
          <w:bCs/>
          <w:color w:val="000000"/>
        </w:rPr>
      </w:pPr>
    </w:p>
    <w:p w14:paraId="592F37D1" w14:textId="77777777" w:rsidR="004C63E5" w:rsidRPr="00000CE2" w:rsidRDefault="004C63E5" w:rsidP="004C63E5">
      <w:pPr>
        <w:numPr>
          <w:ilvl w:val="0"/>
          <w:numId w:val="18"/>
        </w:numPr>
        <w:spacing w:after="0" w:line="360" w:lineRule="auto"/>
        <w:jc w:val="left"/>
        <w:rPr>
          <w:rFonts w:eastAsia="Times New Roman" w:cs="Calibri Light"/>
          <w:b/>
          <w:lang w:eastAsia="es-ES"/>
        </w:rPr>
      </w:pPr>
      <w:r w:rsidRPr="00000CE2">
        <w:rPr>
          <w:rFonts w:eastAsia="Times New Roman" w:cs="Calibri Light"/>
          <w:b/>
          <w:lang w:eastAsia="es-ES"/>
        </w:rPr>
        <w:t>Firma de servidores públicos.</w:t>
      </w:r>
    </w:p>
    <w:p w14:paraId="037D43FE" w14:textId="77777777" w:rsidR="004C63E5" w:rsidRPr="00000CE2" w:rsidRDefault="004C63E5" w:rsidP="004C63E5">
      <w:pPr>
        <w:spacing w:after="0" w:line="360" w:lineRule="auto"/>
        <w:rPr>
          <w:rFonts w:eastAsia="Times New Roman" w:cs="Calibri Light"/>
          <w:bCs/>
          <w:lang w:eastAsia="es-ES"/>
        </w:rPr>
      </w:pPr>
    </w:p>
    <w:p w14:paraId="77A60C6F" w14:textId="77777777" w:rsidR="004C63E5" w:rsidRPr="00000CE2" w:rsidRDefault="004C63E5" w:rsidP="004C63E5">
      <w:pPr>
        <w:spacing w:after="0" w:line="360" w:lineRule="auto"/>
        <w:rPr>
          <w:rFonts w:eastAsia="Times New Roman" w:cs="Calibri Light"/>
          <w:bCs/>
          <w:lang w:eastAsia="es-ES"/>
        </w:rPr>
      </w:pPr>
      <w:r w:rsidRPr="00000CE2">
        <w:rPr>
          <w:rFonts w:eastAsia="Times New Roman" w:cs="Calibri Light"/>
          <w:bCs/>
          <w:lang w:eastAsia="es-ES"/>
        </w:rPr>
        <w:t xml:space="preserve">Al respecto, cabe precisar que, en el presente caso, se trata de la firma de servidores públicos que dieron por terminada la relación laboral, al firmar de manera voluntaria su renuncia; por lo que, si bien la firma es un dato personal confidencial, cuando un trabajador gubernamental </w:t>
      </w:r>
      <w:r w:rsidRPr="00000CE2">
        <w:rPr>
          <w:rFonts w:eastAsia="Times New Roman" w:cs="Calibri Light"/>
          <w:bCs/>
          <w:lang w:eastAsia="es-ES"/>
        </w:rPr>
        <w:lastRenderedPageBreak/>
        <w:t>firma un documento como servidor público, en ejercicio de sus funciones, es de naturaleza pública.</w:t>
      </w:r>
    </w:p>
    <w:p w14:paraId="38380220" w14:textId="77777777" w:rsidR="004C63E5" w:rsidRPr="00000CE2" w:rsidRDefault="004C63E5" w:rsidP="004C63E5">
      <w:pPr>
        <w:spacing w:after="0" w:line="360" w:lineRule="auto"/>
        <w:rPr>
          <w:rFonts w:eastAsia="Times New Roman" w:cs="Calibri Light"/>
          <w:bCs/>
          <w:lang w:eastAsia="es-ES"/>
        </w:rPr>
      </w:pPr>
    </w:p>
    <w:p w14:paraId="57B64C95" w14:textId="77777777" w:rsidR="004C63E5" w:rsidRPr="00000CE2" w:rsidRDefault="004C63E5" w:rsidP="004C63E5">
      <w:pPr>
        <w:spacing w:after="0" w:line="360" w:lineRule="auto"/>
        <w:rPr>
          <w:rFonts w:eastAsia="Times New Roman" w:cs="Calibri Light"/>
          <w:bCs/>
          <w:lang w:eastAsia="es-ES"/>
        </w:rPr>
      </w:pPr>
      <w:r w:rsidRPr="00000CE2">
        <w:rPr>
          <w:rFonts w:eastAsia="Times New Roman" w:cs="Calibri Light"/>
          <w:bCs/>
          <w:lang w:eastAsia="es-ES"/>
        </w:rPr>
        <w:t>Conforme a lo anterior, la firma de servidores públicos, vinculada al ejercicio de la función pública es información de naturaleza pública, pues documenta y rinde cuentas sobre el debido ejercicio de sus atribuciones, lo cual acontece en el presente caso.</w:t>
      </w:r>
    </w:p>
    <w:p w14:paraId="07A4CA7F" w14:textId="77777777" w:rsidR="004C63E5" w:rsidRPr="00000CE2" w:rsidRDefault="004C63E5" w:rsidP="004C63E5">
      <w:pPr>
        <w:spacing w:after="0" w:line="360" w:lineRule="auto"/>
        <w:rPr>
          <w:rFonts w:eastAsia="Times New Roman" w:cs="Calibri Light"/>
          <w:bCs/>
          <w:lang w:eastAsia="es-ES"/>
        </w:rPr>
      </w:pPr>
    </w:p>
    <w:p w14:paraId="57F91FDC" w14:textId="77777777" w:rsidR="004C63E5" w:rsidRPr="00000CE2" w:rsidRDefault="004C63E5" w:rsidP="004C63E5">
      <w:pPr>
        <w:spacing w:after="0" w:line="360" w:lineRule="auto"/>
        <w:rPr>
          <w:rFonts w:eastAsia="Times New Roman" w:cs="Calibri Light"/>
          <w:bCs/>
          <w:lang w:eastAsia="es-ES"/>
        </w:rPr>
      </w:pPr>
      <w:r w:rsidRPr="00000CE2">
        <w:rPr>
          <w:rFonts w:eastAsia="Times New Roman" w:cs="Calibri Light"/>
          <w:bCs/>
          <w:lang w:eastAsia="es-ES"/>
        </w:rPr>
        <w:t xml:space="preserve">Dicha situación, se robustece, con el </w:t>
      </w:r>
      <w:r w:rsidRPr="00000CE2">
        <w:rPr>
          <w:rFonts w:eastAsia="Times New Roman" w:cs="Calibri Light"/>
          <w:bCs/>
          <w:iCs/>
          <w:lang w:val="es-ES" w:eastAsia="es-ES"/>
        </w:rPr>
        <w:t xml:space="preserve">Criterio de Interpretación, de la Segunda Época, con clave de control </w:t>
      </w:r>
      <w:r w:rsidRPr="00000CE2">
        <w:rPr>
          <w:rFonts w:eastAsia="Times New Roman" w:cs="Calibri Light"/>
          <w:bCs/>
          <w:iCs/>
          <w:lang w:eastAsia="es-ES"/>
        </w:rPr>
        <w:t xml:space="preserve">SO/002/2019, </w:t>
      </w:r>
      <w:r w:rsidRPr="00000CE2">
        <w:rPr>
          <w:rFonts w:eastAsia="Times New Roman" w:cs="Calibri Light"/>
          <w:bCs/>
          <w:iCs/>
          <w:lang w:val="es-ES" w:eastAsia="es-ES"/>
        </w:rPr>
        <w:t>emitido por el Instituto Nacional de Transparencia, Acceso a la Información y Protección de Datos Personales</w:t>
      </w:r>
      <w:r w:rsidRPr="00000CE2">
        <w:rPr>
          <w:rFonts w:eastAsia="Times New Roman" w:cs="Calibri Light"/>
          <w:bCs/>
          <w:lang w:eastAsia="es-ES"/>
        </w:rPr>
        <w:t>, que establece lo siguiente:</w:t>
      </w:r>
    </w:p>
    <w:p w14:paraId="0B481DD5" w14:textId="77777777" w:rsidR="004C63E5" w:rsidRPr="00000CE2" w:rsidRDefault="004C63E5" w:rsidP="004C63E5">
      <w:pPr>
        <w:spacing w:after="0" w:line="360" w:lineRule="auto"/>
        <w:rPr>
          <w:rFonts w:eastAsia="Times New Roman" w:cs="Calibri Light"/>
          <w:bCs/>
          <w:lang w:eastAsia="es-ES"/>
        </w:rPr>
      </w:pPr>
    </w:p>
    <w:p w14:paraId="68AD1EDC" w14:textId="77777777" w:rsidR="004C63E5" w:rsidRPr="00000CE2" w:rsidRDefault="004C63E5" w:rsidP="004C63E5">
      <w:pPr>
        <w:widowControl w:val="0"/>
        <w:spacing w:after="0" w:line="360" w:lineRule="auto"/>
        <w:ind w:left="567" w:right="567"/>
        <w:contextualSpacing/>
        <w:rPr>
          <w:rFonts w:eastAsia="Times New Roman" w:cs="Calibri Light"/>
          <w:bCs/>
          <w:i/>
          <w:sz w:val="20"/>
          <w:szCs w:val="20"/>
          <w:lang w:eastAsia="es-ES"/>
        </w:rPr>
      </w:pPr>
      <w:r w:rsidRPr="00000CE2">
        <w:rPr>
          <w:rFonts w:eastAsia="Times New Roman" w:cs="Calibri Light"/>
          <w:b/>
          <w:bCs/>
          <w:i/>
          <w:sz w:val="20"/>
          <w:szCs w:val="20"/>
          <w:lang w:eastAsia="es-ES"/>
        </w:rPr>
        <w:t>“Firma y rúbrica de servidores públicos.</w:t>
      </w:r>
      <w:r w:rsidRPr="00000CE2">
        <w:rPr>
          <w:rFonts w:eastAsia="Times New Roman" w:cs="Calibri Light"/>
          <w:bCs/>
          <w:i/>
          <w:sz w:val="20"/>
          <w:szCs w:val="20"/>
          <w:lang w:eastAsia="es-E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485DDC0" w14:textId="77777777" w:rsidR="004C63E5" w:rsidRPr="00000CE2" w:rsidRDefault="004C63E5" w:rsidP="004C63E5">
      <w:pPr>
        <w:spacing w:after="0" w:line="360" w:lineRule="auto"/>
        <w:rPr>
          <w:rFonts w:eastAsia="Times New Roman" w:cs="Calibri Light"/>
          <w:lang w:val="es-ES" w:eastAsia="es-ES"/>
        </w:rPr>
      </w:pPr>
    </w:p>
    <w:p w14:paraId="2E98E3F2" w14:textId="77777777" w:rsidR="004C63E5" w:rsidRPr="00000CE2" w:rsidRDefault="004C63E5" w:rsidP="004C63E5">
      <w:pPr>
        <w:spacing w:after="0" w:line="360" w:lineRule="auto"/>
        <w:rPr>
          <w:rFonts w:eastAsia="Times New Roman" w:cs="Calibri Light"/>
          <w:bCs/>
          <w:iCs/>
          <w:lang w:val="es-ES" w:eastAsia="es-ES"/>
        </w:rPr>
      </w:pPr>
      <w:r w:rsidRPr="00000CE2">
        <w:rPr>
          <w:rFonts w:eastAsia="Times New Roman" w:cs="Calibri Light"/>
          <w:lang w:val="es-ES" w:eastAsia="es-ES"/>
        </w:rPr>
        <w:t>Conforme a lo expuesto, no procede la clasificación, en términos del artículo 143, fracción I de la Ley de Transparencia y Acceso a la Información Pública del Estado de México y Municipios, de la firma del personal que dio por terminada la relación laboral.</w:t>
      </w:r>
    </w:p>
    <w:p w14:paraId="3A6D828C" w14:textId="77777777" w:rsidR="004C63E5" w:rsidRPr="00000CE2" w:rsidRDefault="004C63E5" w:rsidP="004C63E5">
      <w:pPr>
        <w:widowControl w:val="0"/>
        <w:tabs>
          <w:tab w:val="center" w:pos="4522"/>
        </w:tabs>
        <w:spacing w:after="0" w:line="360" w:lineRule="auto"/>
        <w:rPr>
          <w:rFonts w:eastAsia="Times New Roman" w:cs="Calibri Light"/>
          <w:lang w:eastAsia="es-ES"/>
        </w:rPr>
      </w:pPr>
    </w:p>
    <w:p w14:paraId="16360137" w14:textId="77777777" w:rsidR="004C63E5" w:rsidRPr="00000CE2" w:rsidRDefault="004C63E5" w:rsidP="004C63E5">
      <w:pPr>
        <w:numPr>
          <w:ilvl w:val="0"/>
          <w:numId w:val="19"/>
        </w:numPr>
        <w:spacing w:after="0" w:line="360" w:lineRule="auto"/>
        <w:contextualSpacing/>
        <w:jc w:val="left"/>
        <w:rPr>
          <w:rFonts w:eastAsia="Calibri" w:cs="Calibri Light"/>
          <w:b/>
          <w:bCs/>
          <w:lang w:eastAsia="en-US"/>
        </w:rPr>
      </w:pPr>
      <w:r w:rsidRPr="00000CE2">
        <w:rPr>
          <w:rFonts w:eastAsia="Calibri" w:cs="Calibri Light"/>
          <w:b/>
          <w:bCs/>
          <w:lang w:eastAsia="en-US"/>
        </w:rPr>
        <w:t>Huella dactilar</w:t>
      </w:r>
    </w:p>
    <w:p w14:paraId="30D951FB" w14:textId="77777777" w:rsidR="004C63E5" w:rsidRPr="00000CE2" w:rsidRDefault="004C63E5" w:rsidP="004C63E5">
      <w:pPr>
        <w:spacing w:after="0" w:line="360" w:lineRule="auto"/>
        <w:ind w:right="-93"/>
        <w:contextualSpacing/>
        <w:rPr>
          <w:rFonts w:eastAsia="Calibri" w:cs="Calibri Light"/>
          <w:b/>
          <w:bCs/>
          <w:lang w:eastAsia="en-US"/>
        </w:rPr>
      </w:pPr>
    </w:p>
    <w:p w14:paraId="1C2ACA1A" w14:textId="77777777" w:rsidR="004C63E5" w:rsidRPr="00000CE2" w:rsidRDefault="004C63E5" w:rsidP="004C63E5">
      <w:pPr>
        <w:spacing w:after="0" w:line="360" w:lineRule="auto"/>
        <w:rPr>
          <w:rFonts w:eastAsia="Times New Roman" w:cs="Calibri Light"/>
          <w:lang w:eastAsia="es-ES"/>
        </w:rPr>
      </w:pPr>
      <w:r w:rsidRPr="00000CE2">
        <w:rPr>
          <w:rFonts w:eastAsia="Times New Roman" w:cs="Calibri Light"/>
          <w:lang w:eastAsia="es-ES"/>
        </w:rPr>
        <w:t xml:space="preserve">Al respecto, la huella dactilar es la impresión visible o moldeada que produce el contacto de las crestas papilares de un dedo de la mano sobre una superficie. </w:t>
      </w:r>
    </w:p>
    <w:p w14:paraId="3097F899" w14:textId="77777777" w:rsidR="004C63E5" w:rsidRPr="00000CE2" w:rsidRDefault="004C63E5" w:rsidP="004C63E5">
      <w:pPr>
        <w:spacing w:after="0" w:line="360" w:lineRule="auto"/>
        <w:rPr>
          <w:rFonts w:eastAsia="Times New Roman" w:cs="Calibri Light"/>
          <w:lang w:eastAsia="es-ES"/>
        </w:rPr>
      </w:pPr>
    </w:p>
    <w:p w14:paraId="5128E56A" w14:textId="77777777" w:rsidR="004C63E5" w:rsidRPr="00000CE2" w:rsidRDefault="004C63E5" w:rsidP="004C63E5">
      <w:pPr>
        <w:spacing w:after="0" w:line="360" w:lineRule="auto"/>
        <w:rPr>
          <w:rFonts w:eastAsia="Times New Roman" w:cs="Calibri Light"/>
          <w:lang w:eastAsia="es-ES"/>
        </w:rPr>
      </w:pPr>
      <w:r w:rsidRPr="00000CE2">
        <w:rPr>
          <w:rFonts w:eastAsia="Times New Roman" w:cs="Calibri Light"/>
          <w:lang w:eastAsia="es-ES"/>
        </w:rPr>
        <w:t xml:space="preserve">La Academia Mexicana de la Lengua y el Diccionario de la Real Academia de la Lengua Española, establecen que la huella dactilar, es la impresión que suele dejar la yema del dedo en </w:t>
      </w:r>
      <w:r w:rsidRPr="00000CE2">
        <w:rPr>
          <w:rFonts w:eastAsia="Times New Roman" w:cs="Calibri Light"/>
          <w:lang w:eastAsia="es-ES"/>
        </w:rPr>
        <w:lastRenderedPageBreak/>
        <w:t xml:space="preserve">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0" w:history="1">
        <w:r w:rsidRPr="00000CE2">
          <w:rPr>
            <w:rFonts w:eastAsia="Times New Roman" w:cs="Calibri Light"/>
            <w:color w:val="0563C1"/>
            <w:u w:val="single"/>
            <w:lang w:eastAsia="es-ES"/>
          </w:rPr>
          <w:t>https://docplayer.es/5455342-Nuevas-tecnologias-biometricas-instituto-nacional-de-ciencias-penales-procuraduria-general-de-la-republica-version-1-0.html</w:t>
        </w:r>
      </w:hyperlink>
      <w:r w:rsidRPr="00000CE2">
        <w:rPr>
          <w:rFonts w:eastAsia="Times New Roman" w:cs="Calibri Light"/>
          <w:lang w:eastAsia="es-ES"/>
        </w:rPr>
        <w:t xml:space="preserve">, se indica que existen tres principios fundamentales para la identificación de las huellas dactilares, a saber: </w:t>
      </w:r>
    </w:p>
    <w:p w14:paraId="28F5F990" w14:textId="77777777" w:rsidR="004C63E5" w:rsidRPr="00000CE2" w:rsidRDefault="004C63E5" w:rsidP="004C63E5">
      <w:pPr>
        <w:spacing w:after="0" w:line="360" w:lineRule="auto"/>
        <w:rPr>
          <w:rFonts w:eastAsia="Times New Roman" w:cs="Calibri Light"/>
          <w:lang w:eastAsia="es-ES"/>
        </w:rPr>
      </w:pPr>
    </w:p>
    <w:p w14:paraId="7F73CBEC" w14:textId="77777777" w:rsidR="004C63E5" w:rsidRPr="00000CE2" w:rsidRDefault="004C63E5" w:rsidP="004C63E5">
      <w:pPr>
        <w:numPr>
          <w:ilvl w:val="0"/>
          <w:numId w:val="20"/>
        </w:numPr>
        <w:spacing w:after="0" w:line="360" w:lineRule="auto"/>
        <w:jc w:val="left"/>
        <w:rPr>
          <w:rFonts w:eastAsia="Times New Roman" w:cs="Calibri Light"/>
          <w:szCs w:val="24"/>
          <w:lang w:eastAsia="es-ES"/>
        </w:rPr>
      </w:pPr>
      <w:r w:rsidRPr="00000CE2">
        <w:rPr>
          <w:rFonts w:eastAsia="Times New Roman" w:cs="Calibri Light"/>
          <w:szCs w:val="24"/>
          <w:lang w:eastAsia="es-ES"/>
        </w:rPr>
        <w:t xml:space="preserve">Primer principio. La huella es una característica individual. No hay dos huellas con características en las crestas que sean idénticas. </w:t>
      </w:r>
    </w:p>
    <w:p w14:paraId="186308EF" w14:textId="77777777" w:rsidR="004C63E5" w:rsidRPr="00000CE2" w:rsidRDefault="004C63E5" w:rsidP="004C63E5">
      <w:pPr>
        <w:spacing w:after="0" w:line="360" w:lineRule="auto"/>
        <w:rPr>
          <w:rFonts w:eastAsia="Times New Roman" w:cs="Calibri Light"/>
          <w:lang w:eastAsia="es-ES"/>
        </w:rPr>
      </w:pPr>
    </w:p>
    <w:p w14:paraId="2A5A7764" w14:textId="77777777" w:rsidR="004C63E5" w:rsidRPr="00000CE2" w:rsidRDefault="004C63E5" w:rsidP="004C63E5">
      <w:pPr>
        <w:numPr>
          <w:ilvl w:val="0"/>
          <w:numId w:val="20"/>
        </w:numPr>
        <w:spacing w:after="0" w:line="360" w:lineRule="auto"/>
        <w:jc w:val="left"/>
        <w:rPr>
          <w:rFonts w:eastAsia="Times New Roman" w:cs="Calibri Light"/>
          <w:szCs w:val="24"/>
          <w:lang w:eastAsia="es-ES"/>
        </w:rPr>
      </w:pPr>
      <w:r w:rsidRPr="00000CE2">
        <w:rPr>
          <w:rFonts w:eastAsia="Times New Roman" w:cs="Calibri Light"/>
          <w:szCs w:val="24"/>
          <w:lang w:eastAsia="es-ES"/>
        </w:rPr>
        <w:t xml:space="preserve">Segundo principio. Una huella permanece sin cambios durante toda la vida de un individuo (sin embargo, puede adquirir cicatrices o cualquier otra deformación que impida su identificación clara). </w:t>
      </w:r>
    </w:p>
    <w:p w14:paraId="6BA30480" w14:textId="77777777" w:rsidR="004C63E5" w:rsidRPr="00000CE2" w:rsidRDefault="004C63E5" w:rsidP="004C63E5">
      <w:pPr>
        <w:spacing w:after="0" w:line="360" w:lineRule="auto"/>
        <w:rPr>
          <w:rFonts w:eastAsia="Times New Roman" w:cs="Calibri Light"/>
          <w:lang w:eastAsia="es-ES"/>
        </w:rPr>
      </w:pPr>
    </w:p>
    <w:p w14:paraId="67F0A626" w14:textId="77777777" w:rsidR="004C63E5" w:rsidRPr="00000CE2" w:rsidRDefault="004C63E5" w:rsidP="004C63E5">
      <w:pPr>
        <w:numPr>
          <w:ilvl w:val="0"/>
          <w:numId w:val="20"/>
        </w:numPr>
        <w:spacing w:after="0" w:line="360" w:lineRule="auto"/>
        <w:jc w:val="left"/>
        <w:rPr>
          <w:rFonts w:eastAsia="Times New Roman" w:cs="Calibri Light"/>
          <w:szCs w:val="24"/>
          <w:lang w:eastAsia="es-ES"/>
        </w:rPr>
      </w:pPr>
      <w:r w:rsidRPr="00000CE2">
        <w:rPr>
          <w:rFonts w:eastAsia="Times New Roman" w:cs="Calibri Light"/>
          <w:szCs w:val="24"/>
          <w:lang w:eastAsia="es-ES"/>
        </w:rPr>
        <w:t xml:space="preserve">Tercer principio. Las huellas tienen patrones que se forman con sus crestas, lo que hace posible clasificarlas sistemáticamente para agilizar las búsquedas. </w:t>
      </w:r>
    </w:p>
    <w:p w14:paraId="1622DF31" w14:textId="77777777" w:rsidR="004C63E5" w:rsidRPr="00000CE2" w:rsidRDefault="004C63E5" w:rsidP="004C63E5">
      <w:pPr>
        <w:spacing w:after="0" w:line="360" w:lineRule="auto"/>
        <w:rPr>
          <w:rFonts w:eastAsia="Times New Roman" w:cs="Calibri Light"/>
          <w:lang w:eastAsia="es-ES"/>
        </w:rPr>
      </w:pPr>
    </w:p>
    <w:p w14:paraId="52D9170B" w14:textId="77777777" w:rsidR="004C63E5" w:rsidRPr="00000CE2" w:rsidRDefault="004C63E5" w:rsidP="004C63E5">
      <w:pPr>
        <w:spacing w:after="0" w:line="360" w:lineRule="auto"/>
        <w:rPr>
          <w:rFonts w:eastAsia="Times New Roman" w:cs="Calibri Light"/>
          <w:lang w:eastAsia="es-ES"/>
        </w:rPr>
      </w:pPr>
      <w:r w:rsidRPr="00000CE2">
        <w:rPr>
          <w:rFonts w:eastAsia="Times New Roman" w:cs="Calibri Light"/>
          <w:lang w:eastAsia="es-ES"/>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6D55DC55" w14:textId="77777777" w:rsidR="004C63E5" w:rsidRPr="00000CE2" w:rsidRDefault="004C63E5" w:rsidP="004C63E5">
      <w:pPr>
        <w:spacing w:after="0" w:line="360" w:lineRule="auto"/>
        <w:rPr>
          <w:rFonts w:eastAsia="Times New Roman" w:cs="Calibri Light"/>
          <w:lang w:eastAsia="es-ES"/>
        </w:rPr>
      </w:pPr>
    </w:p>
    <w:p w14:paraId="11F292D5" w14:textId="77777777" w:rsidR="004C63E5" w:rsidRPr="00000CE2" w:rsidRDefault="004C63E5" w:rsidP="004C63E5">
      <w:pPr>
        <w:spacing w:after="0" w:line="360" w:lineRule="auto"/>
        <w:rPr>
          <w:rFonts w:eastAsia="Times New Roman" w:cs="Calibri Light"/>
          <w:lang w:eastAsia="es-ES"/>
        </w:rPr>
      </w:pPr>
      <w:r w:rsidRPr="00000CE2">
        <w:rPr>
          <w:rFonts w:eastAsia="Times New Roman" w:cs="Calibri Light"/>
          <w:lang w:eastAsia="es-ES"/>
        </w:rPr>
        <w:lastRenderedPageBreak/>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siguiente Tesis Aislada:</w:t>
      </w:r>
    </w:p>
    <w:p w14:paraId="21F7A2DD" w14:textId="77777777" w:rsidR="004C63E5" w:rsidRPr="00000CE2" w:rsidRDefault="004C63E5" w:rsidP="004C63E5">
      <w:pPr>
        <w:spacing w:after="0" w:line="360" w:lineRule="auto"/>
        <w:rPr>
          <w:rFonts w:eastAsia="Times New Roman" w:cs="Calibri Light"/>
          <w:lang w:eastAsia="es-ES"/>
        </w:rPr>
      </w:pPr>
    </w:p>
    <w:p w14:paraId="342FB594" w14:textId="77777777" w:rsidR="004C63E5" w:rsidRPr="00000CE2" w:rsidRDefault="004C63E5" w:rsidP="004C63E5">
      <w:pPr>
        <w:spacing w:after="0" w:line="360" w:lineRule="auto"/>
        <w:ind w:left="567" w:right="567"/>
        <w:contextualSpacing/>
        <w:rPr>
          <w:rFonts w:eastAsia="Times New Roman" w:cs="Calibri Light"/>
          <w:i/>
          <w:sz w:val="20"/>
          <w:szCs w:val="20"/>
          <w:lang w:eastAsia="es-ES"/>
        </w:rPr>
      </w:pPr>
      <w:r w:rsidRPr="00000CE2">
        <w:rPr>
          <w:rFonts w:eastAsia="Times New Roman" w:cs="Calibri Light"/>
          <w:b/>
          <w:i/>
          <w:sz w:val="20"/>
          <w:szCs w:val="20"/>
          <w:lang w:eastAsia="es-ES"/>
        </w:rPr>
        <w:t>“HUELLA DACTILAR. ES APTA PARA ACREDITAR EL CONSENTIMIENTO EN LA CELEBRACIÓN DE UN CONTRATO</w:t>
      </w:r>
      <w:r w:rsidRPr="00000CE2">
        <w:rPr>
          <w:rFonts w:eastAsia="Times New Roman" w:cs="Calibri Light"/>
          <w:i/>
          <w:sz w:val="20"/>
          <w:szCs w:val="20"/>
          <w:lang w:eastAsia="es-ES"/>
        </w:rPr>
        <w:t xml:space="preserve">. </w:t>
      </w:r>
      <w:r w:rsidRPr="00000CE2">
        <w:rPr>
          <w:rFonts w:eastAsia="Times New Roman" w:cs="Calibri Light"/>
          <w:b/>
          <w:i/>
          <w:sz w:val="20"/>
          <w:szCs w:val="20"/>
          <w:lang w:eastAsia="es-ES"/>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000CE2">
        <w:rPr>
          <w:rFonts w:eastAsia="Times New Roman" w:cs="Calibri Light"/>
          <w:i/>
          <w:sz w:val="20"/>
          <w:szCs w:val="20"/>
          <w:lang w:eastAsia="es-ES"/>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w:t>
      </w:r>
      <w:r w:rsidRPr="00000CE2">
        <w:rPr>
          <w:rFonts w:eastAsia="Times New Roman" w:cs="Calibri Light"/>
          <w:i/>
          <w:sz w:val="20"/>
          <w:szCs w:val="20"/>
          <w:lang w:eastAsia="es-ES"/>
        </w:rPr>
        <w:lastRenderedPageBreak/>
        <w:t>correspondientes, más aún cuando el autor no negó expresamente haber estampado sus huellas en el contrato.”</w:t>
      </w:r>
    </w:p>
    <w:p w14:paraId="2555B892" w14:textId="77777777" w:rsidR="004C63E5" w:rsidRPr="00000CE2" w:rsidRDefault="004C63E5" w:rsidP="004C63E5">
      <w:pPr>
        <w:spacing w:after="0" w:line="360" w:lineRule="auto"/>
        <w:rPr>
          <w:rFonts w:eastAsia="Times New Roman" w:cs="Calibri Light"/>
          <w:lang w:eastAsia="es-ES"/>
        </w:rPr>
      </w:pPr>
    </w:p>
    <w:p w14:paraId="64968FA7" w14:textId="77777777" w:rsidR="004C63E5" w:rsidRPr="00000CE2" w:rsidRDefault="004C63E5" w:rsidP="004C63E5">
      <w:pPr>
        <w:spacing w:after="0" w:line="360" w:lineRule="auto"/>
        <w:rPr>
          <w:rFonts w:eastAsia="Times New Roman" w:cs="Calibri Light"/>
          <w:lang w:eastAsia="es-ES"/>
        </w:rPr>
      </w:pPr>
      <w:r w:rsidRPr="00000CE2">
        <w:rPr>
          <w:rFonts w:eastAsia="Times New Roman" w:cs="Calibri Light"/>
          <w:lang w:eastAsia="es-ES"/>
        </w:rPr>
        <w:t xml:space="preserve">En la actualidad existen sistemas denominados AFIS por sus siglas en inglés </w:t>
      </w:r>
      <w:proofErr w:type="spellStart"/>
      <w:r w:rsidRPr="00000CE2">
        <w:rPr>
          <w:rFonts w:eastAsia="Times New Roman" w:cs="Calibri Light"/>
          <w:i/>
          <w:lang w:eastAsia="es-ES"/>
        </w:rPr>
        <w:t>Automated</w:t>
      </w:r>
      <w:proofErr w:type="spellEnd"/>
      <w:r w:rsidRPr="00000CE2">
        <w:rPr>
          <w:rFonts w:eastAsia="Times New Roman" w:cs="Calibri Light"/>
          <w:i/>
          <w:lang w:eastAsia="es-ES"/>
        </w:rPr>
        <w:t xml:space="preserve"> </w:t>
      </w:r>
      <w:proofErr w:type="spellStart"/>
      <w:r w:rsidRPr="00000CE2">
        <w:rPr>
          <w:rFonts w:eastAsia="Times New Roman" w:cs="Calibri Light"/>
          <w:i/>
          <w:lang w:eastAsia="es-ES"/>
        </w:rPr>
        <w:t>Fingerprint</w:t>
      </w:r>
      <w:proofErr w:type="spellEnd"/>
      <w:r w:rsidRPr="00000CE2">
        <w:rPr>
          <w:rFonts w:eastAsia="Times New Roman" w:cs="Calibri Light"/>
          <w:i/>
          <w:lang w:eastAsia="es-ES"/>
        </w:rPr>
        <w:t xml:space="preserve"> </w:t>
      </w:r>
      <w:proofErr w:type="spellStart"/>
      <w:r w:rsidRPr="00000CE2">
        <w:rPr>
          <w:rFonts w:eastAsia="Times New Roman" w:cs="Calibri Light"/>
          <w:i/>
          <w:lang w:eastAsia="es-ES"/>
        </w:rPr>
        <w:t>Identification</w:t>
      </w:r>
      <w:proofErr w:type="spellEnd"/>
      <w:r w:rsidRPr="00000CE2">
        <w:rPr>
          <w:rFonts w:eastAsia="Times New Roman" w:cs="Calibri Light"/>
          <w:i/>
          <w:lang w:eastAsia="es-ES"/>
        </w:rPr>
        <w:t xml:space="preserve"> </w:t>
      </w:r>
      <w:proofErr w:type="spellStart"/>
      <w:r w:rsidRPr="00000CE2">
        <w:rPr>
          <w:rFonts w:eastAsia="Times New Roman" w:cs="Calibri Light"/>
          <w:i/>
          <w:lang w:eastAsia="es-ES"/>
        </w:rPr>
        <w:t>System</w:t>
      </w:r>
      <w:proofErr w:type="spellEnd"/>
      <w:r w:rsidRPr="00000CE2">
        <w:rPr>
          <w:rFonts w:eastAsia="Times New Roman" w:cs="Calibri Light"/>
          <w:lang w:eastAsia="es-ES"/>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7F11F8F8" w14:textId="77777777" w:rsidR="004C63E5" w:rsidRPr="00000CE2" w:rsidRDefault="004C63E5" w:rsidP="004C63E5">
      <w:pPr>
        <w:spacing w:after="0" w:line="360" w:lineRule="auto"/>
        <w:rPr>
          <w:rFonts w:eastAsia="Times New Roman" w:cs="Calibri Light"/>
          <w:lang w:eastAsia="es-ES"/>
        </w:rPr>
      </w:pPr>
    </w:p>
    <w:p w14:paraId="6F89333C" w14:textId="77777777" w:rsidR="004C63E5" w:rsidRPr="00000CE2" w:rsidRDefault="004C63E5" w:rsidP="004C63E5">
      <w:pPr>
        <w:spacing w:after="0" w:line="360" w:lineRule="auto"/>
        <w:rPr>
          <w:rFonts w:eastAsia="Times New Roman" w:cs="Calibri Light"/>
          <w:lang w:eastAsia="es-ES"/>
        </w:rPr>
      </w:pPr>
      <w:r w:rsidRPr="00000CE2">
        <w:rPr>
          <w:rFonts w:eastAsia="Times New Roman" w:cs="Calibri Light"/>
          <w:lang w:eastAsia="es-ES"/>
        </w:rPr>
        <w:t xml:space="preserve">En términos de la calidad de la imagen se debe observar que en la NOM-151-SCFI-2016 publicada en el Diario Oficial,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7D7F696C" w14:textId="77777777" w:rsidR="004C63E5" w:rsidRPr="00000CE2" w:rsidRDefault="004C63E5" w:rsidP="004C63E5">
      <w:pPr>
        <w:spacing w:after="0" w:line="360" w:lineRule="auto"/>
        <w:rPr>
          <w:rFonts w:eastAsia="Times New Roman" w:cs="Calibri Light"/>
          <w:lang w:eastAsia="es-ES"/>
        </w:rPr>
      </w:pPr>
    </w:p>
    <w:p w14:paraId="1BFC5257" w14:textId="77777777" w:rsidR="004C63E5" w:rsidRPr="00000CE2" w:rsidRDefault="004C63E5" w:rsidP="004C63E5">
      <w:pPr>
        <w:spacing w:after="0" w:line="360" w:lineRule="auto"/>
        <w:rPr>
          <w:rFonts w:eastAsia="Times New Roman" w:cs="Calibri Light"/>
          <w:lang w:eastAsia="es-ES"/>
        </w:rPr>
      </w:pPr>
      <w:r w:rsidRPr="00000CE2">
        <w:rPr>
          <w:rFonts w:eastAsia="Times New Roman" w:cs="Calibri Light"/>
          <w:lang w:eastAsia="es-ES"/>
        </w:rPr>
        <w:t>En conclusión, con el uso de las tecnologías de digitalización e impresión puestas a disposición de público general, es posible realizar la adquisición y reproducción de la huella digital que se encuentra en un documento y adicionalmente se puede sistematizar la comparación y análisis de las digitalizaciones a través de sistemas especializados para esta finalidad que pueden encontrarse de forma gratuita en internet.</w:t>
      </w:r>
    </w:p>
    <w:p w14:paraId="39EFA20E" w14:textId="77777777" w:rsidR="004C63E5" w:rsidRPr="00000CE2" w:rsidRDefault="004C63E5" w:rsidP="004C63E5">
      <w:pPr>
        <w:spacing w:after="0" w:line="360" w:lineRule="auto"/>
        <w:rPr>
          <w:rFonts w:eastAsia="Times New Roman" w:cs="Calibri Light"/>
          <w:lang w:eastAsia="es-ES"/>
        </w:rPr>
      </w:pPr>
    </w:p>
    <w:p w14:paraId="3928D3BF" w14:textId="77777777" w:rsidR="004C63E5" w:rsidRPr="00000CE2" w:rsidRDefault="004C63E5" w:rsidP="004C63E5">
      <w:pPr>
        <w:spacing w:after="0" w:line="360" w:lineRule="auto"/>
        <w:rPr>
          <w:rFonts w:eastAsia="Times New Roman" w:cs="Calibri Light"/>
          <w:lang w:eastAsia="es-ES"/>
        </w:rPr>
      </w:pPr>
      <w:r w:rsidRPr="00000CE2">
        <w:rPr>
          <w:rFonts w:eastAsia="Times New Roman" w:cs="Calibri Light"/>
          <w:lang w:eastAsia="es-ES"/>
        </w:rPr>
        <w:lastRenderedPageBreak/>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6E500600" w14:textId="77777777" w:rsidR="004C63E5" w:rsidRPr="00000CE2" w:rsidRDefault="004C63E5" w:rsidP="004C63E5">
      <w:pPr>
        <w:widowControl w:val="0"/>
        <w:tabs>
          <w:tab w:val="center" w:pos="4522"/>
        </w:tabs>
        <w:spacing w:after="0" w:line="360" w:lineRule="auto"/>
        <w:rPr>
          <w:rFonts w:eastAsia="Times New Roman" w:cs="Calibri Light"/>
          <w:lang w:eastAsia="es-ES"/>
        </w:rPr>
      </w:pPr>
    </w:p>
    <w:p w14:paraId="0F031002" w14:textId="77777777" w:rsidR="004C63E5" w:rsidRPr="00000CE2" w:rsidRDefault="004C63E5" w:rsidP="004C63E5">
      <w:pPr>
        <w:spacing w:after="0" w:line="360" w:lineRule="auto"/>
        <w:rPr>
          <w:rFonts w:eastAsia="Times New Roman" w:cs="Calibri Light"/>
          <w:bCs/>
          <w:iCs/>
          <w:lang w:val="es-ES" w:eastAsia="es-ES"/>
        </w:rPr>
      </w:pPr>
      <w:r w:rsidRPr="00000CE2">
        <w:rPr>
          <w:rFonts w:eastAsia="Times New Roman" w:cs="Calibri Light"/>
          <w:bCs/>
          <w:iCs/>
          <w:lang w:val="es-ES_tradnl" w:eastAsia="es-ES"/>
        </w:rPr>
        <w:t xml:space="preserve">Conforme a lo anterior, el Sujeto Obligado deberá a poner a disposición del Recurrente, la versión pública de la información requerida, para tal circunstancia, </w:t>
      </w:r>
      <w:r w:rsidRPr="00000CE2">
        <w:rPr>
          <w:rFonts w:eastAsia="Times New Roman" w:cs="Calibri Light"/>
          <w:bCs/>
          <w:iCs/>
          <w:lang w:val="es-ES" w:eastAsia="es-ES"/>
        </w:rPr>
        <w:t>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F7B470B" w14:textId="77777777" w:rsidR="004C63E5" w:rsidRPr="00000CE2" w:rsidRDefault="004C63E5" w:rsidP="004C63E5">
      <w:pPr>
        <w:spacing w:after="0" w:line="360" w:lineRule="auto"/>
        <w:rPr>
          <w:rFonts w:eastAsia="Times New Roman" w:cs="Calibri Light"/>
          <w:bCs/>
          <w:iCs/>
          <w:lang w:val="es-ES" w:eastAsia="es-ES"/>
        </w:rPr>
      </w:pPr>
    </w:p>
    <w:p w14:paraId="5486798A" w14:textId="77777777" w:rsidR="00A42B51" w:rsidRPr="00000CE2" w:rsidRDefault="00000CE2">
      <w:pPr>
        <w:pStyle w:val="Ttulo2"/>
        <w:spacing w:before="0" w:after="0"/>
        <w:rPr>
          <w:b w:val="0"/>
        </w:rPr>
      </w:pPr>
      <w:bookmarkStart w:id="26" w:name="_Toc211526359"/>
      <w:r w:rsidRPr="00000CE2">
        <w:t>SEXTO. Decisión</w:t>
      </w:r>
      <w:bookmarkEnd w:id="26"/>
    </w:p>
    <w:p w14:paraId="45F17BB3" w14:textId="77777777" w:rsidR="00A42B51" w:rsidRPr="00000CE2" w:rsidRDefault="00A42B51">
      <w:pPr>
        <w:spacing w:after="0" w:line="360" w:lineRule="auto"/>
        <w:rPr>
          <w:b/>
        </w:rPr>
      </w:pPr>
    </w:p>
    <w:p w14:paraId="5C235053" w14:textId="77777777" w:rsidR="00A42B51" w:rsidRPr="00000CE2" w:rsidRDefault="00000CE2">
      <w:pPr>
        <w:spacing w:after="0" w:line="360" w:lineRule="auto"/>
      </w:pPr>
      <w:r w:rsidRPr="00000CE2">
        <w:t xml:space="preserve">Con fundamento en el artículo 186, fracción III, de la Ley de Transparencia y Acceso a la Información Pública del Estado de México y Municipios, este Instituto considera procedente </w:t>
      </w:r>
      <w:r w:rsidRPr="00000CE2">
        <w:rPr>
          <w:b/>
        </w:rPr>
        <w:t xml:space="preserve">REVOCAR </w:t>
      </w:r>
      <w:r w:rsidRPr="00000CE2">
        <w:t xml:space="preserve">la respuesta otorgada por el Sujeto Obligado a la solicitud de información </w:t>
      </w:r>
      <w:r w:rsidRPr="00000CE2">
        <w:rPr>
          <w:b/>
        </w:rPr>
        <w:t>00170/DIFTOLUCA/IP/2025</w:t>
      </w:r>
      <w:r w:rsidRPr="00000CE2">
        <w:t xml:space="preserve">, por resultar fundadas las razones o motivos de inconformidad hechos valer por la parte Recurrente, en el Recurso de Revisión </w:t>
      </w:r>
      <w:r w:rsidRPr="00000CE2">
        <w:rPr>
          <w:b/>
        </w:rPr>
        <w:t>10866/INFOEM/IP/RR/2025</w:t>
      </w:r>
      <w:r w:rsidRPr="00000CE2">
        <w:t xml:space="preserve">, en consecuencia procede </w:t>
      </w:r>
      <w:r w:rsidRPr="00000CE2">
        <w:rPr>
          <w:b/>
        </w:rPr>
        <w:t xml:space="preserve">ORDENAR, </w:t>
      </w:r>
      <w:r w:rsidRPr="00000CE2">
        <w:t>la entrega de la información en los términos expuestos.</w:t>
      </w:r>
    </w:p>
    <w:p w14:paraId="51CD793C" w14:textId="77777777" w:rsidR="00A42B51" w:rsidRPr="00000CE2" w:rsidRDefault="00A42B51">
      <w:pPr>
        <w:spacing w:after="0" w:line="360" w:lineRule="auto"/>
      </w:pPr>
    </w:p>
    <w:p w14:paraId="52B0E104" w14:textId="4DB994C2" w:rsidR="00A42B51" w:rsidRPr="00000CE2" w:rsidRDefault="00000CE2">
      <w:pPr>
        <w:spacing w:after="0" w:line="360" w:lineRule="auto"/>
        <w:rPr>
          <w:b/>
          <w:u w:val="single"/>
        </w:rPr>
      </w:pPr>
      <w:r w:rsidRPr="00000CE2">
        <w:rPr>
          <w:b/>
          <w:u w:val="single"/>
        </w:rPr>
        <w:t>Términos de la Reso</w:t>
      </w:r>
      <w:r w:rsidR="00085834">
        <w:rPr>
          <w:b/>
          <w:u w:val="single"/>
        </w:rPr>
        <w:t>lución para la parte Recurrente</w:t>
      </w:r>
    </w:p>
    <w:p w14:paraId="66B537B5" w14:textId="77777777" w:rsidR="00A42B51" w:rsidRPr="00000CE2" w:rsidRDefault="00A42B51">
      <w:pPr>
        <w:spacing w:after="0" w:line="360" w:lineRule="auto"/>
      </w:pPr>
    </w:p>
    <w:p w14:paraId="5127121D" w14:textId="77777777" w:rsidR="00A42B51" w:rsidRPr="00000CE2" w:rsidRDefault="00000CE2">
      <w:pPr>
        <w:spacing w:after="0" w:line="360" w:lineRule="auto"/>
        <w:rPr>
          <w:u w:val="single"/>
        </w:rPr>
      </w:pPr>
      <w:r w:rsidRPr="00000CE2">
        <w:rPr>
          <w:u w:val="single"/>
        </w:rPr>
        <w:lastRenderedPageBreak/>
        <w:t xml:space="preserve">Se hace del conocimiento de parte Recurrente que este Organismo Garante determinó concederle la razón, puesto que no le entregaron la información solicitada. Por lo que se ordena la entrega de la información. </w:t>
      </w:r>
    </w:p>
    <w:p w14:paraId="62EEC9EF" w14:textId="77777777" w:rsidR="00A42B51" w:rsidRPr="00000CE2" w:rsidRDefault="00A42B51">
      <w:pPr>
        <w:spacing w:after="0" w:line="360" w:lineRule="auto"/>
        <w:rPr>
          <w:u w:val="single"/>
        </w:rPr>
      </w:pPr>
    </w:p>
    <w:p w14:paraId="7DC5C923" w14:textId="77777777" w:rsidR="00A42B51" w:rsidRPr="00000CE2" w:rsidRDefault="00000CE2">
      <w:pPr>
        <w:spacing w:after="0" w:line="360" w:lineRule="auto"/>
        <w:rPr>
          <w:u w:val="single"/>
        </w:rPr>
      </w:pPr>
      <w:r w:rsidRPr="00000CE2">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27C23276" w14:textId="77777777" w:rsidR="00A42B51" w:rsidRPr="00000CE2" w:rsidRDefault="00A42B51">
      <w:pPr>
        <w:spacing w:after="0" w:line="360" w:lineRule="auto"/>
        <w:rPr>
          <w:u w:val="single"/>
        </w:rPr>
      </w:pPr>
    </w:p>
    <w:p w14:paraId="60169E53" w14:textId="77777777" w:rsidR="00A42B51" w:rsidRPr="00000CE2" w:rsidRDefault="00000CE2">
      <w:pPr>
        <w:spacing w:after="0" w:line="360" w:lineRule="auto"/>
        <w:rPr>
          <w:u w:val="single"/>
        </w:rPr>
      </w:pPr>
      <w:r w:rsidRPr="00000CE2">
        <w:rPr>
          <w:u w:val="single"/>
        </w:rPr>
        <w:t>La labor del INFOEM, es apoyar a la población para acceder a la información pública y garantizar la protección de sus datos personales.</w:t>
      </w:r>
    </w:p>
    <w:p w14:paraId="5EC4BE9A" w14:textId="77777777" w:rsidR="00A42B51" w:rsidRPr="00000CE2" w:rsidRDefault="00A42B51">
      <w:pPr>
        <w:spacing w:after="0" w:line="360" w:lineRule="auto"/>
        <w:rPr>
          <w:u w:val="single"/>
        </w:rPr>
      </w:pPr>
    </w:p>
    <w:p w14:paraId="3CD0FBBA" w14:textId="77777777" w:rsidR="00A42B51" w:rsidRPr="00000CE2" w:rsidRDefault="00000CE2">
      <w:pPr>
        <w:pStyle w:val="Ttulo1"/>
        <w:spacing w:before="0" w:after="0"/>
        <w:rPr>
          <w:b w:val="0"/>
          <w:sz w:val="22"/>
          <w:szCs w:val="22"/>
        </w:rPr>
      </w:pPr>
      <w:bookmarkStart w:id="27" w:name="_heading=h.ve9exkhwt0zx" w:colFirst="0" w:colLast="0"/>
      <w:bookmarkStart w:id="28" w:name="_Toc211526360"/>
      <w:bookmarkEnd w:id="27"/>
      <w:r w:rsidRPr="00000CE2">
        <w:rPr>
          <w:sz w:val="22"/>
          <w:szCs w:val="22"/>
        </w:rPr>
        <w:t>R E S U E L V E</w:t>
      </w:r>
      <w:bookmarkEnd w:id="28"/>
    </w:p>
    <w:p w14:paraId="3855E9FC" w14:textId="77777777" w:rsidR="00A42B51" w:rsidRPr="00000CE2" w:rsidRDefault="00A42B51">
      <w:pPr>
        <w:spacing w:after="0" w:line="360" w:lineRule="auto"/>
        <w:rPr>
          <w:b/>
        </w:rPr>
      </w:pPr>
    </w:p>
    <w:p w14:paraId="52FE331A" w14:textId="7B5E1B74" w:rsidR="00A42B51" w:rsidRPr="00000CE2" w:rsidRDefault="00000CE2">
      <w:pPr>
        <w:spacing w:after="0" w:line="360" w:lineRule="auto"/>
      </w:pPr>
      <w:r w:rsidRPr="00000CE2">
        <w:rPr>
          <w:b/>
        </w:rPr>
        <w:t xml:space="preserve">PRIMERO. </w:t>
      </w:r>
      <w:r w:rsidRPr="00000CE2">
        <w:t xml:space="preserve">Se </w:t>
      </w:r>
      <w:r w:rsidRPr="00000CE2">
        <w:rPr>
          <w:b/>
        </w:rPr>
        <w:t>REVOCA</w:t>
      </w:r>
      <w:r w:rsidRPr="00000CE2">
        <w:t xml:space="preserve"> la respuesta entregada por el Sistema Municipal Para el Desarrollo Integral de la Familia de Toluca a la solicitud de información 00170/DIFTOLUCA/IP/2025 por resultar </w:t>
      </w:r>
      <w:r w:rsidR="004C63E5" w:rsidRPr="00000CE2">
        <w:rPr>
          <w:b/>
          <w:bCs/>
        </w:rPr>
        <w:t>FUNDADAS</w:t>
      </w:r>
      <w:r w:rsidRPr="00000CE2">
        <w:t xml:space="preserve"> las razones o motivos de inconformidad hechos valer por la persona Recurrente en el Recurso de Revisión 10866/INFOEM/IP/RR/2025, en términos de los considerandos QUINTO y SEXTO de la presente Resolución.</w:t>
      </w:r>
    </w:p>
    <w:p w14:paraId="7CFB3C04" w14:textId="77777777" w:rsidR="00A42B51" w:rsidRPr="00000CE2" w:rsidRDefault="00A42B51">
      <w:pPr>
        <w:spacing w:after="0" w:line="360" w:lineRule="auto"/>
      </w:pPr>
    </w:p>
    <w:p w14:paraId="53CAF63E" w14:textId="5028C65C" w:rsidR="00A42B51" w:rsidRPr="00000CE2" w:rsidRDefault="00000CE2">
      <w:pPr>
        <w:spacing w:after="0" w:line="360" w:lineRule="auto"/>
      </w:pPr>
      <w:bookmarkStart w:id="29" w:name="_heading=h.argy21qnkmhr" w:colFirst="0" w:colLast="0"/>
      <w:bookmarkEnd w:id="29"/>
      <w:r w:rsidRPr="00000CE2">
        <w:rPr>
          <w:b/>
        </w:rPr>
        <w:t xml:space="preserve">SEGUNDO. </w:t>
      </w:r>
      <w:r w:rsidRPr="00000CE2">
        <w:t xml:space="preserve">Se </w:t>
      </w:r>
      <w:r w:rsidRPr="00000CE2">
        <w:rPr>
          <w:b/>
        </w:rPr>
        <w:t>ORDENA</w:t>
      </w:r>
      <w:r w:rsidRPr="00000CE2">
        <w:t xml:space="preserve"> al Sujeto Obligado, a efecto de que previa búsqueda exhaustiva y razonable, entregue a través del Sistema de Acceso a la Información Mexiquense (SAIMEX), en su caso en versión pública, </w:t>
      </w:r>
      <w:r w:rsidR="004C63E5" w:rsidRPr="00000CE2">
        <w:t>respecto de la baja de las personas titulares de la Dirección General y de todas los Direcciones del Sujeto Obligado, realizadas del primero de enero al treinta y uno de diciembre de dos mil veintitrés, lo siguiente:</w:t>
      </w:r>
    </w:p>
    <w:p w14:paraId="60050890" w14:textId="77777777" w:rsidR="004C63E5" w:rsidRPr="00000CE2" w:rsidRDefault="004C63E5">
      <w:pPr>
        <w:spacing w:after="0" w:line="360" w:lineRule="auto"/>
      </w:pPr>
    </w:p>
    <w:p w14:paraId="6A9337A2" w14:textId="38586073" w:rsidR="00A42B51" w:rsidRPr="00000CE2" w:rsidRDefault="00000CE2">
      <w:pPr>
        <w:numPr>
          <w:ilvl w:val="0"/>
          <w:numId w:val="8"/>
        </w:numPr>
        <w:pBdr>
          <w:top w:val="nil"/>
          <w:left w:val="nil"/>
          <w:bottom w:val="nil"/>
          <w:right w:val="nil"/>
          <w:between w:val="nil"/>
        </w:pBdr>
        <w:spacing w:after="0" w:line="360" w:lineRule="auto"/>
        <w:rPr>
          <w:bCs/>
          <w:color w:val="000000"/>
        </w:rPr>
      </w:pPr>
      <w:r w:rsidRPr="00000CE2">
        <w:rPr>
          <w:bCs/>
          <w:color w:val="000000"/>
        </w:rPr>
        <w:lastRenderedPageBreak/>
        <w:t>Renuncia</w:t>
      </w:r>
      <w:r w:rsidR="004C63E5" w:rsidRPr="00000CE2">
        <w:rPr>
          <w:bCs/>
          <w:color w:val="000000"/>
        </w:rPr>
        <w:t>, y</w:t>
      </w:r>
    </w:p>
    <w:p w14:paraId="076B0BF9" w14:textId="77777777" w:rsidR="004C63E5" w:rsidRPr="00000CE2" w:rsidRDefault="004C63E5" w:rsidP="004C63E5">
      <w:pPr>
        <w:pBdr>
          <w:top w:val="nil"/>
          <w:left w:val="nil"/>
          <w:bottom w:val="nil"/>
          <w:right w:val="nil"/>
          <w:between w:val="nil"/>
        </w:pBdr>
        <w:spacing w:after="0" w:line="360" w:lineRule="auto"/>
        <w:ind w:left="720"/>
        <w:rPr>
          <w:bCs/>
          <w:color w:val="000000"/>
        </w:rPr>
      </w:pPr>
    </w:p>
    <w:p w14:paraId="2CCA249C" w14:textId="77777777" w:rsidR="00A42B51" w:rsidRPr="00000CE2" w:rsidRDefault="00000CE2">
      <w:pPr>
        <w:numPr>
          <w:ilvl w:val="0"/>
          <w:numId w:val="8"/>
        </w:numPr>
        <w:pBdr>
          <w:top w:val="nil"/>
          <w:left w:val="nil"/>
          <w:bottom w:val="nil"/>
          <w:right w:val="nil"/>
          <w:between w:val="nil"/>
        </w:pBdr>
        <w:spacing w:after="0" w:line="360" w:lineRule="auto"/>
        <w:rPr>
          <w:bCs/>
          <w:color w:val="000000"/>
        </w:rPr>
      </w:pPr>
      <w:r w:rsidRPr="00000CE2">
        <w:rPr>
          <w:bCs/>
          <w:color w:val="000000"/>
        </w:rPr>
        <w:t>Formato Único de Movimiento de Personal de Baja</w:t>
      </w:r>
    </w:p>
    <w:p w14:paraId="61EB3795" w14:textId="77777777" w:rsidR="00A42B51" w:rsidRPr="00000CE2" w:rsidRDefault="00A42B51">
      <w:pPr>
        <w:spacing w:after="0" w:line="360" w:lineRule="auto"/>
      </w:pPr>
    </w:p>
    <w:p w14:paraId="17C030D7" w14:textId="77777777" w:rsidR="00A42B51" w:rsidRPr="00000CE2" w:rsidRDefault="00000CE2">
      <w:pPr>
        <w:spacing w:after="0" w:line="360" w:lineRule="auto"/>
      </w:pPr>
      <w:r w:rsidRPr="00000CE2">
        <w:rPr>
          <w:color w:val="000000"/>
        </w:rPr>
        <w:t xml:space="preserve">Además, </w:t>
      </w:r>
      <w:r w:rsidRPr="00000CE2">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31E5630" w14:textId="77777777" w:rsidR="00A42B51" w:rsidRPr="00000CE2" w:rsidRDefault="00A42B51">
      <w:pPr>
        <w:spacing w:after="0" w:line="360" w:lineRule="auto"/>
      </w:pPr>
    </w:p>
    <w:p w14:paraId="52CFFE0A" w14:textId="4441E137" w:rsidR="004C63E5" w:rsidRPr="00000CE2" w:rsidRDefault="004C63E5">
      <w:pPr>
        <w:spacing w:after="0" w:line="360" w:lineRule="auto"/>
      </w:pPr>
      <w:r w:rsidRPr="00000CE2">
        <w:t>Para el caso, de que alguno de los Directores no haya causado baja en la temporalidad referida, o bien, respecto al punto 1, alguno de los titulares haya causado baja por causa distinta a la renuncia, deberá hacerlo del conocimiento de la parte Recurrente, de manera clara y precisa.</w:t>
      </w:r>
    </w:p>
    <w:p w14:paraId="2B3EE32C" w14:textId="77777777" w:rsidR="004C63E5" w:rsidRPr="00000CE2" w:rsidRDefault="004C63E5">
      <w:pPr>
        <w:spacing w:after="0" w:line="360" w:lineRule="auto"/>
      </w:pPr>
    </w:p>
    <w:p w14:paraId="67A9DEFC" w14:textId="796D63C2" w:rsidR="00A42B51" w:rsidRPr="00000CE2" w:rsidRDefault="00000CE2">
      <w:pPr>
        <w:spacing w:after="0" w:line="360" w:lineRule="auto"/>
      </w:pPr>
      <w:r w:rsidRPr="00000CE2">
        <w:t xml:space="preserve">Para el caso de que sí haya </w:t>
      </w:r>
      <w:r w:rsidR="004C63E5" w:rsidRPr="00000CE2">
        <w:t xml:space="preserve">contado con la información de alguno de los Directores, </w:t>
      </w:r>
      <w:r w:rsidRPr="00000CE2">
        <w:t>pero no cuente la documentación, deberá emitir debidamente el acuerdo de inexistencia en términos del artículo 19, párrafo tercero y 169 de la Ley de Transparencia y Acceso a la Información Pública del Estado de México y Municipios.</w:t>
      </w:r>
    </w:p>
    <w:p w14:paraId="7ADC53A4" w14:textId="77777777" w:rsidR="00A42B51" w:rsidRPr="00000CE2" w:rsidRDefault="00A42B51">
      <w:pPr>
        <w:spacing w:after="0" w:line="360" w:lineRule="auto"/>
      </w:pPr>
    </w:p>
    <w:p w14:paraId="7181C292" w14:textId="77777777" w:rsidR="00A42B51" w:rsidRPr="00000CE2" w:rsidRDefault="00000CE2">
      <w:pPr>
        <w:spacing w:after="0" w:line="360" w:lineRule="auto"/>
      </w:pPr>
      <w:r w:rsidRPr="00000CE2">
        <w:rPr>
          <w:b/>
        </w:rPr>
        <w:t xml:space="preserve">TERCERO. NOTIFÍQUESE POR SAIMEX </w:t>
      </w:r>
      <w:r w:rsidRPr="00000CE2">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w:t>
      </w:r>
      <w:r w:rsidRPr="00000CE2">
        <w:lastRenderedPageBreak/>
        <w:t>de manera parcial, se le impondrá una medida de apremio de conformidad con lo previsto en los artículos 198, 200, fracción III, 214, 215 y 216 de la Ley referida.</w:t>
      </w:r>
    </w:p>
    <w:p w14:paraId="1A124EF5" w14:textId="77777777" w:rsidR="00A42B51" w:rsidRPr="00000CE2" w:rsidRDefault="00A42B51">
      <w:pPr>
        <w:spacing w:after="0" w:line="360" w:lineRule="auto"/>
      </w:pPr>
    </w:p>
    <w:p w14:paraId="4B6BC07B" w14:textId="77777777" w:rsidR="00A42B51" w:rsidRPr="00000CE2" w:rsidRDefault="00000CE2">
      <w:pPr>
        <w:spacing w:after="0" w:line="360" w:lineRule="auto"/>
      </w:pPr>
      <w:r w:rsidRPr="00000CE2">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FC4005A" w14:textId="77777777" w:rsidR="00A42B51" w:rsidRPr="00000CE2" w:rsidRDefault="00A42B51">
      <w:pPr>
        <w:spacing w:after="0" w:line="360" w:lineRule="auto"/>
      </w:pPr>
    </w:p>
    <w:p w14:paraId="1D4E7C73" w14:textId="77777777" w:rsidR="00A42B51" w:rsidRPr="00000CE2" w:rsidRDefault="00000CE2">
      <w:pPr>
        <w:spacing w:after="0" w:line="360" w:lineRule="auto"/>
      </w:pPr>
      <w:r w:rsidRPr="00000CE2">
        <w:rPr>
          <w:b/>
        </w:rPr>
        <w:t>CUARTO. NOTIFÍQUESE</w:t>
      </w:r>
      <w:r w:rsidRPr="00000CE2">
        <w:t xml:space="preserve"> </w:t>
      </w:r>
      <w:r w:rsidRPr="00000CE2">
        <w:rPr>
          <w:b/>
        </w:rPr>
        <w:t xml:space="preserve">POR SAIMEX </w:t>
      </w:r>
      <w:r w:rsidRPr="00000CE2">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7091613" w14:textId="77777777" w:rsidR="00A42B51" w:rsidRPr="00000CE2" w:rsidRDefault="00A42B51">
      <w:pPr>
        <w:spacing w:after="0" w:line="360" w:lineRule="auto"/>
      </w:pPr>
    </w:p>
    <w:p w14:paraId="62A0CFFC" w14:textId="77777777" w:rsidR="00A42B51" w:rsidRDefault="00000CE2">
      <w:pPr>
        <w:spacing w:after="0" w:line="360" w:lineRule="auto"/>
      </w:pPr>
      <w:r w:rsidRPr="00000CE2">
        <w:t xml:space="preserve">ASÍ LO RESUELVE, POR </w:t>
      </w:r>
      <w:r w:rsidRPr="00000CE2">
        <w:rPr>
          <w:b/>
        </w:rPr>
        <w:t>UNANIMIDAD</w:t>
      </w:r>
      <w:r w:rsidRPr="00000CE2">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p>
    <w:p w14:paraId="4E57E4C4" w14:textId="77777777" w:rsidR="00A42B51" w:rsidRDefault="00A42B51">
      <w:pPr>
        <w:pStyle w:val="Ttulo2"/>
        <w:spacing w:before="0" w:after="0"/>
        <w:rPr>
          <w:b w:val="0"/>
        </w:rPr>
      </w:pPr>
    </w:p>
    <w:p w14:paraId="1CF01476" w14:textId="77777777" w:rsidR="00A42B51" w:rsidRDefault="00A42B51">
      <w:pPr>
        <w:spacing w:after="0" w:line="360" w:lineRule="auto"/>
      </w:pPr>
    </w:p>
    <w:p w14:paraId="414DC3DD" w14:textId="77777777" w:rsidR="00A42B51" w:rsidRDefault="00A42B51">
      <w:pPr>
        <w:spacing w:after="0" w:line="360" w:lineRule="auto"/>
      </w:pPr>
    </w:p>
    <w:p w14:paraId="5F5FDCAF" w14:textId="77777777" w:rsidR="00A42B51" w:rsidRDefault="00A42B51">
      <w:pPr>
        <w:spacing w:after="0" w:line="360" w:lineRule="auto"/>
      </w:pPr>
    </w:p>
    <w:p w14:paraId="7BA218E3" w14:textId="77777777" w:rsidR="00A42B51" w:rsidRDefault="00A42B51">
      <w:pPr>
        <w:spacing w:after="0" w:line="360" w:lineRule="auto"/>
      </w:pPr>
    </w:p>
    <w:p w14:paraId="14A1AB36" w14:textId="77777777" w:rsidR="00A42B51" w:rsidRDefault="00A42B51">
      <w:pPr>
        <w:spacing w:after="0" w:line="360" w:lineRule="auto"/>
      </w:pPr>
    </w:p>
    <w:p w14:paraId="1931FC14" w14:textId="77777777" w:rsidR="00A42B51" w:rsidRDefault="00A42B51">
      <w:pPr>
        <w:spacing w:after="0" w:line="360" w:lineRule="auto"/>
      </w:pPr>
    </w:p>
    <w:p w14:paraId="2DA04D5B" w14:textId="77777777" w:rsidR="00A42B51" w:rsidRDefault="00A42B51">
      <w:pPr>
        <w:spacing w:after="0" w:line="360" w:lineRule="auto"/>
      </w:pPr>
    </w:p>
    <w:p w14:paraId="79C45779" w14:textId="77777777" w:rsidR="00A42B51" w:rsidRDefault="00A42B51">
      <w:pPr>
        <w:spacing w:after="0" w:line="360" w:lineRule="auto"/>
      </w:pPr>
    </w:p>
    <w:p w14:paraId="7C5CBEBB" w14:textId="77777777" w:rsidR="00A42B51" w:rsidRDefault="00A42B51">
      <w:pPr>
        <w:spacing w:after="0" w:line="360" w:lineRule="auto"/>
      </w:pPr>
    </w:p>
    <w:p w14:paraId="0D0DFCDB" w14:textId="77777777" w:rsidR="00A42B51" w:rsidRDefault="00A42B51">
      <w:pPr>
        <w:spacing w:after="0" w:line="360" w:lineRule="auto"/>
      </w:pPr>
    </w:p>
    <w:p w14:paraId="6CAA06D7" w14:textId="77777777" w:rsidR="00A42B51" w:rsidRDefault="00A42B51">
      <w:pPr>
        <w:spacing w:after="0" w:line="360" w:lineRule="auto"/>
      </w:pPr>
    </w:p>
    <w:p w14:paraId="51D56987" w14:textId="77777777" w:rsidR="00A42B51" w:rsidRDefault="00A42B51">
      <w:pPr>
        <w:spacing w:after="0" w:line="360" w:lineRule="auto"/>
      </w:pPr>
    </w:p>
    <w:p w14:paraId="033E50F7" w14:textId="77777777" w:rsidR="00A42B51" w:rsidRDefault="00A42B51">
      <w:pPr>
        <w:spacing w:after="0" w:line="360" w:lineRule="auto"/>
      </w:pPr>
    </w:p>
    <w:p w14:paraId="08B4BCF2" w14:textId="77777777" w:rsidR="00A42B51" w:rsidRDefault="00A42B51">
      <w:pPr>
        <w:spacing w:after="0" w:line="360" w:lineRule="auto"/>
      </w:pPr>
    </w:p>
    <w:p w14:paraId="18C13FA6" w14:textId="77777777" w:rsidR="00A42B51" w:rsidRDefault="00A42B51">
      <w:pPr>
        <w:spacing w:after="0" w:line="360" w:lineRule="auto"/>
      </w:pPr>
    </w:p>
    <w:p w14:paraId="48B38276" w14:textId="77777777" w:rsidR="00A42B51" w:rsidRDefault="00A42B51">
      <w:pPr>
        <w:spacing w:after="0" w:line="360" w:lineRule="auto"/>
      </w:pPr>
    </w:p>
    <w:p w14:paraId="29A0B82E" w14:textId="77777777" w:rsidR="00A42B51" w:rsidRDefault="00A42B51">
      <w:pPr>
        <w:spacing w:after="0" w:line="360" w:lineRule="auto"/>
      </w:pPr>
    </w:p>
    <w:p w14:paraId="15C68DA3" w14:textId="77777777" w:rsidR="00A42B51" w:rsidRDefault="00A42B51">
      <w:pPr>
        <w:spacing w:after="0" w:line="360" w:lineRule="auto"/>
      </w:pPr>
    </w:p>
    <w:p w14:paraId="7D346048" w14:textId="77777777" w:rsidR="00A42B51" w:rsidRDefault="00A42B51">
      <w:pPr>
        <w:spacing w:after="0" w:line="360" w:lineRule="auto"/>
      </w:pPr>
    </w:p>
    <w:p w14:paraId="5D5EA197" w14:textId="77777777" w:rsidR="00A42B51" w:rsidRDefault="00A42B51">
      <w:pPr>
        <w:spacing w:after="0" w:line="360" w:lineRule="auto"/>
      </w:pPr>
    </w:p>
    <w:p w14:paraId="126A0C61" w14:textId="77777777" w:rsidR="00A42B51" w:rsidRDefault="00A42B51">
      <w:pPr>
        <w:spacing w:after="0" w:line="360" w:lineRule="auto"/>
      </w:pPr>
    </w:p>
    <w:p w14:paraId="096995A5" w14:textId="77777777" w:rsidR="00A42B51" w:rsidRDefault="00A42B51">
      <w:pPr>
        <w:spacing w:after="0" w:line="360" w:lineRule="auto"/>
      </w:pPr>
    </w:p>
    <w:p w14:paraId="329E9B75" w14:textId="77777777" w:rsidR="00A42B51" w:rsidRDefault="00A42B51">
      <w:pPr>
        <w:spacing w:after="0" w:line="360" w:lineRule="auto"/>
      </w:pPr>
    </w:p>
    <w:sectPr w:rsidR="00A42B51">
      <w:headerReference w:type="even" r:id="rId11"/>
      <w:headerReference w:type="default" r:id="rId12"/>
      <w:footerReference w:type="even" r:id="rId13"/>
      <w:footerReference w:type="default" r:id="rId14"/>
      <w:headerReference w:type="first" r:id="rId15"/>
      <w:footerReference w:type="first" r:id="rId16"/>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B8E9B" w14:textId="77777777" w:rsidR="00C453E0" w:rsidRDefault="00C453E0">
      <w:pPr>
        <w:spacing w:after="0" w:line="240" w:lineRule="auto"/>
      </w:pPr>
      <w:r>
        <w:separator/>
      </w:r>
    </w:p>
  </w:endnote>
  <w:endnote w:type="continuationSeparator" w:id="0">
    <w:p w14:paraId="329D7227" w14:textId="77777777" w:rsidR="00C453E0" w:rsidRDefault="00C45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F8C53" w14:textId="77777777" w:rsidR="00A42B51" w:rsidRDefault="00000CE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A020C2">
      <w:rPr>
        <w:b/>
        <w:color w:val="000000"/>
        <w:sz w:val="24"/>
        <w:szCs w:val="24"/>
      </w:rPr>
      <w:fldChar w:fldCharType="separate"/>
    </w:r>
    <w:r w:rsidR="00A020C2">
      <w:rPr>
        <w:b/>
        <w:noProof/>
        <w:color w:val="000000"/>
        <w:sz w:val="24"/>
        <w:szCs w:val="24"/>
      </w:rPr>
      <w:t>37</w:t>
    </w:r>
    <w:r>
      <w:rPr>
        <w:b/>
        <w:color w:val="000000"/>
        <w:sz w:val="24"/>
        <w:szCs w:val="24"/>
      </w:rPr>
      <w:fldChar w:fldCharType="end"/>
    </w:r>
  </w:p>
  <w:p w14:paraId="56F71AC0" w14:textId="77777777" w:rsidR="00A42B51" w:rsidRDefault="00A42B5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DBB4" w14:textId="77777777" w:rsidR="00A42B51" w:rsidRDefault="00000CE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020C2">
      <w:rPr>
        <w:b/>
        <w:noProof/>
        <w:color w:val="000000"/>
        <w:sz w:val="24"/>
        <w:szCs w:val="24"/>
      </w:rPr>
      <w:t>36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020C2">
      <w:rPr>
        <w:b/>
        <w:noProof/>
        <w:color w:val="000000"/>
        <w:sz w:val="24"/>
        <w:szCs w:val="24"/>
      </w:rPr>
      <w:t>37</w:t>
    </w:r>
    <w:r>
      <w:rPr>
        <w:b/>
        <w:color w:val="000000"/>
        <w:sz w:val="24"/>
        <w:szCs w:val="24"/>
      </w:rPr>
      <w:fldChar w:fldCharType="end"/>
    </w:r>
  </w:p>
  <w:p w14:paraId="68526B25" w14:textId="77777777" w:rsidR="00A42B51" w:rsidRDefault="00A42B5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EA839" w14:textId="77777777" w:rsidR="00A42B51" w:rsidRDefault="00000CE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020C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020C2">
      <w:rPr>
        <w:b/>
        <w:noProof/>
        <w:color w:val="000000"/>
        <w:sz w:val="24"/>
        <w:szCs w:val="24"/>
      </w:rPr>
      <w:t>37</w:t>
    </w:r>
    <w:r>
      <w:rPr>
        <w:b/>
        <w:color w:val="000000"/>
        <w:sz w:val="24"/>
        <w:szCs w:val="24"/>
      </w:rPr>
      <w:fldChar w:fldCharType="end"/>
    </w:r>
  </w:p>
  <w:p w14:paraId="0558576C" w14:textId="77777777" w:rsidR="00A42B51" w:rsidRDefault="00A42B5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9C192" w14:textId="77777777" w:rsidR="00C453E0" w:rsidRDefault="00C453E0">
      <w:pPr>
        <w:spacing w:after="0" w:line="240" w:lineRule="auto"/>
      </w:pPr>
      <w:r>
        <w:separator/>
      </w:r>
    </w:p>
  </w:footnote>
  <w:footnote w:type="continuationSeparator" w:id="0">
    <w:p w14:paraId="3811BF41" w14:textId="77777777" w:rsidR="00C453E0" w:rsidRDefault="00C45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CBEFE" w14:textId="77777777" w:rsidR="00A42B51" w:rsidRDefault="00A42B51">
    <w:pPr>
      <w:widowControl w:val="0"/>
      <w:pBdr>
        <w:top w:val="nil"/>
        <w:left w:val="nil"/>
        <w:bottom w:val="nil"/>
        <w:right w:val="nil"/>
        <w:between w:val="nil"/>
      </w:pBdr>
      <w:spacing w:after="0" w:line="276" w:lineRule="auto"/>
      <w:jc w:val="left"/>
      <w:rPr>
        <w:color w:val="000000"/>
      </w:rPr>
    </w:pPr>
  </w:p>
  <w:tbl>
    <w:tblPr>
      <w:tblStyle w:val="afffffc"/>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A42B51" w14:paraId="6AC66FC3" w14:textId="77777777">
      <w:trPr>
        <w:trHeight w:val="141"/>
      </w:trPr>
      <w:tc>
        <w:tcPr>
          <w:tcW w:w="2404" w:type="dxa"/>
        </w:tcPr>
        <w:p w14:paraId="49980804" w14:textId="77777777" w:rsidR="00A42B51" w:rsidRDefault="00000CE2">
          <w:pPr>
            <w:tabs>
              <w:tab w:val="right" w:pos="8838"/>
            </w:tabs>
            <w:ind w:right="-105"/>
            <w:rPr>
              <w:b/>
            </w:rPr>
          </w:pPr>
          <w:r>
            <w:rPr>
              <w:b/>
            </w:rPr>
            <w:t>Recurso de Revisión:</w:t>
          </w:r>
        </w:p>
      </w:tc>
      <w:tc>
        <w:tcPr>
          <w:tcW w:w="3587" w:type="dxa"/>
        </w:tcPr>
        <w:p w14:paraId="687850F3" w14:textId="77777777" w:rsidR="00A42B51" w:rsidRDefault="00000CE2">
          <w:pPr>
            <w:tabs>
              <w:tab w:val="right" w:pos="8838"/>
            </w:tabs>
            <w:ind w:left="-28" w:right="683"/>
          </w:pPr>
          <w:r>
            <w:t>04196/INFOEM/IP/RR/2020</w:t>
          </w:r>
        </w:p>
      </w:tc>
    </w:tr>
    <w:tr w:rsidR="00A42B51" w14:paraId="5B80CAE0" w14:textId="77777777">
      <w:trPr>
        <w:trHeight w:val="276"/>
      </w:trPr>
      <w:tc>
        <w:tcPr>
          <w:tcW w:w="2404" w:type="dxa"/>
        </w:tcPr>
        <w:p w14:paraId="59BA84D9" w14:textId="77777777" w:rsidR="00A42B51" w:rsidRDefault="00000CE2">
          <w:pPr>
            <w:tabs>
              <w:tab w:val="right" w:pos="8838"/>
            </w:tabs>
            <w:ind w:right="-105"/>
            <w:rPr>
              <w:b/>
            </w:rPr>
          </w:pPr>
          <w:r>
            <w:rPr>
              <w:b/>
            </w:rPr>
            <w:t>Sujeto Obligado:</w:t>
          </w:r>
        </w:p>
      </w:tc>
      <w:tc>
        <w:tcPr>
          <w:tcW w:w="3587" w:type="dxa"/>
        </w:tcPr>
        <w:p w14:paraId="63876028" w14:textId="77777777" w:rsidR="00A42B51" w:rsidRDefault="00000CE2">
          <w:pPr>
            <w:tabs>
              <w:tab w:val="right" w:pos="8838"/>
            </w:tabs>
            <w:ind w:right="116"/>
          </w:pPr>
          <w:r>
            <w:t>Ayuntamiento de Chapultepec</w:t>
          </w:r>
        </w:p>
      </w:tc>
    </w:tr>
    <w:tr w:rsidR="00A42B51" w14:paraId="48A96F8A" w14:textId="77777777">
      <w:trPr>
        <w:trHeight w:val="276"/>
      </w:trPr>
      <w:tc>
        <w:tcPr>
          <w:tcW w:w="2404" w:type="dxa"/>
        </w:tcPr>
        <w:p w14:paraId="76F3E63D" w14:textId="77777777" w:rsidR="00A42B51" w:rsidRDefault="00000CE2">
          <w:pPr>
            <w:tabs>
              <w:tab w:val="right" w:pos="8838"/>
            </w:tabs>
            <w:ind w:right="-105"/>
            <w:rPr>
              <w:b/>
            </w:rPr>
          </w:pPr>
          <w:r>
            <w:rPr>
              <w:b/>
            </w:rPr>
            <w:t>Comisionado Ponente:</w:t>
          </w:r>
        </w:p>
      </w:tc>
      <w:tc>
        <w:tcPr>
          <w:tcW w:w="3587" w:type="dxa"/>
        </w:tcPr>
        <w:p w14:paraId="05D49D76" w14:textId="77777777" w:rsidR="00A42B51" w:rsidRDefault="00000CE2">
          <w:pPr>
            <w:tabs>
              <w:tab w:val="right" w:pos="8838"/>
            </w:tabs>
            <w:ind w:right="-32"/>
          </w:pPr>
          <w:r>
            <w:t>Luis Gustavo Parra Noriega</w:t>
          </w:r>
        </w:p>
      </w:tc>
    </w:tr>
  </w:tbl>
  <w:p w14:paraId="2728D966" w14:textId="77777777" w:rsidR="00A42B51" w:rsidRDefault="00C453E0">
    <w:pPr>
      <w:pBdr>
        <w:top w:val="nil"/>
        <w:left w:val="nil"/>
        <w:bottom w:val="nil"/>
        <w:right w:val="nil"/>
        <w:between w:val="nil"/>
      </w:pBdr>
      <w:tabs>
        <w:tab w:val="center" w:pos="4419"/>
        <w:tab w:val="right" w:pos="8838"/>
      </w:tabs>
      <w:spacing w:after="0" w:line="240" w:lineRule="auto"/>
      <w:rPr>
        <w:color w:val="000000"/>
      </w:rPr>
    </w:pPr>
    <w:r>
      <w:rPr>
        <w:color w:val="000000"/>
      </w:rPr>
      <w:pict w14:anchorId="6B086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29FAC" w14:textId="77777777" w:rsidR="00A42B51" w:rsidRDefault="00A42B51">
    <w:pPr>
      <w:rPr>
        <w:sz w:val="16"/>
        <w:szCs w:val="16"/>
      </w:rPr>
    </w:pPr>
  </w:p>
  <w:tbl>
    <w:tblPr>
      <w:tblStyle w:val="afffffd"/>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A42B51" w14:paraId="3CDAEC5C" w14:textId="77777777">
      <w:trPr>
        <w:trHeight w:val="141"/>
      </w:trPr>
      <w:tc>
        <w:tcPr>
          <w:tcW w:w="2409" w:type="dxa"/>
        </w:tcPr>
        <w:p w14:paraId="67047634" w14:textId="77777777" w:rsidR="00A42B51" w:rsidRDefault="00000CE2">
          <w:pPr>
            <w:tabs>
              <w:tab w:val="right" w:pos="8838"/>
            </w:tabs>
            <w:ind w:left="-395" w:right="-105" w:firstLine="395"/>
            <w:rPr>
              <w:b/>
            </w:rPr>
          </w:pPr>
          <w:r>
            <w:rPr>
              <w:b/>
            </w:rPr>
            <w:t>Recurso de Revisión:</w:t>
          </w:r>
        </w:p>
      </w:tc>
      <w:tc>
        <w:tcPr>
          <w:tcW w:w="3686" w:type="dxa"/>
        </w:tcPr>
        <w:p w14:paraId="3137984F" w14:textId="77777777" w:rsidR="00A42B51" w:rsidRDefault="00000CE2">
          <w:pPr>
            <w:tabs>
              <w:tab w:val="right" w:pos="8838"/>
            </w:tabs>
            <w:ind w:right="176"/>
            <w:rPr>
              <w:b/>
            </w:rPr>
          </w:pPr>
          <w:r>
            <w:rPr>
              <w:b/>
            </w:rPr>
            <w:t>10866/INFOEM/IP/RR/2025</w:t>
          </w:r>
        </w:p>
      </w:tc>
    </w:tr>
    <w:tr w:rsidR="00A42B51" w14:paraId="561190A3" w14:textId="77777777">
      <w:trPr>
        <w:trHeight w:val="266"/>
      </w:trPr>
      <w:tc>
        <w:tcPr>
          <w:tcW w:w="2409" w:type="dxa"/>
        </w:tcPr>
        <w:p w14:paraId="35AA6136" w14:textId="77777777" w:rsidR="00A42B51" w:rsidRDefault="00000CE2">
          <w:pPr>
            <w:tabs>
              <w:tab w:val="right" w:pos="8838"/>
            </w:tabs>
            <w:ind w:right="-105"/>
            <w:rPr>
              <w:b/>
            </w:rPr>
          </w:pPr>
          <w:r>
            <w:rPr>
              <w:b/>
            </w:rPr>
            <w:t>Sujeto Obligado:</w:t>
          </w:r>
        </w:p>
      </w:tc>
      <w:tc>
        <w:tcPr>
          <w:tcW w:w="3686" w:type="dxa"/>
        </w:tcPr>
        <w:p w14:paraId="64601BA6" w14:textId="77777777" w:rsidR="00A42B51" w:rsidRDefault="00000CE2">
          <w:pPr>
            <w:tabs>
              <w:tab w:val="left" w:pos="3158"/>
              <w:tab w:val="left" w:pos="4292"/>
              <w:tab w:val="right" w:pos="8838"/>
            </w:tabs>
            <w:ind w:right="176"/>
          </w:pPr>
          <w:r>
            <w:t>Sistema Municipal Para el Desarrollo Integral de la Familia de Toluca</w:t>
          </w:r>
        </w:p>
      </w:tc>
    </w:tr>
    <w:tr w:rsidR="00A42B51" w14:paraId="38CA29C0" w14:textId="77777777">
      <w:trPr>
        <w:trHeight w:val="276"/>
      </w:trPr>
      <w:tc>
        <w:tcPr>
          <w:tcW w:w="2409" w:type="dxa"/>
        </w:tcPr>
        <w:p w14:paraId="7AE6952D" w14:textId="77777777" w:rsidR="00A42B51" w:rsidRDefault="00000CE2">
          <w:pPr>
            <w:tabs>
              <w:tab w:val="right" w:pos="8838"/>
            </w:tabs>
            <w:ind w:right="-105"/>
            <w:rPr>
              <w:b/>
            </w:rPr>
          </w:pPr>
          <w:r>
            <w:rPr>
              <w:b/>
            </w:rPr>
            <w:t>Comisionado Ponente:</w:t>
          </w:r>
        </w:p>
      </w:tc>
      <w:tc>
        <w:tcPr>
          <w:tcW w:w="3686" w:type="dxa"/>
        </w:tcPr>
        <w:p w14:paraId="7AF5E8FD" w14:textId="77777777" w:rsidR="00A42B51" w:rsidRDefault="00000CE2">
          <w:pPr>
            <w:tabs>
              <w:tab w:val="right" w:pos="8838"/>
            </w:tabs>
            <w:ind w:right="176"/>
          </w:pPr>
          <w:r>
            <w:t>Luis Gustavo Parra Noriega</w:t>
          </w:r>
        </w:p>
        <w:p w14:paraId="46F825AD" w14:textId="77777777" w:rsidR="00A42B51" w:rsidRDefault="00A42B51">
          <w:pPr>
            <w:tabs>
              <w:tab w:val="right" w:pos="8838"/>
            </w:tabs>
            <w:ind w:right="176"/>
          </w:pPr>
        </w:p>
      </w:tc>
    </w:tr>
  </w:tbl>
  <w:p w14:paraId="3EB084AA" w14:textId="77777777" w:rsidR="00A42B51" w:rsidRDefault="00C453E0">
    <w:pPr>
      <w:pBdr>
        <w:top w:val="nil"/>
        <w:left w:val="nil"/>
        <w:bottom w:val="nil"/>
        <w:right w:val="nil"/>
        <w:between w:val="nil"/>
      </w:pBdr>
      <w:tabs>
        <w:tab w:val="center" w:pos="4419"/>
        <w:tab w:val="right" w:pos="8838"/>
      </w:tabs>
      <w:spacing w:after="0" w:line="240" w:lineRule="auto"/>
      <w:rPr>
        <w:color w:val="000000"/>
      </w:rPr>
    </w:pPr>
    <w:r>
      <w:rPr>
        <w:color w:val="000000"/>
      </w:rPr>
      <w:pict w14:anchorId="3B840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97530" w14:textId="77777777" w:rsidR="00A42B51" w:rsidRDefault="00C453E0">
    <w:pPr>
      <w:widowControl w:val="0"/>
      <w:pBdr>
        <w:top w:val="nil"/>
        <w:left w:val="nil"/>
        <w:bottom w:val="nil"/>
        <w:right w:val="nil"/>
        <w:between w:val="nil"/>
      </w:pBdr>
      <w:spacing w:after="0" w:line="276" w:lineRule="auto"/>
      <w:jc w:val="left"/>
      <w:rPr>
        <w:color w:val="000000"/>
      </w:rPr>
    </w:pPr>
    <w:r>
      <w:rPr>
        <w:color w:val="000000"/>
      </w:rPr>
      <w:pict w14:anchorId="52718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e"/>
      <w:tblW w:w="9214" w:type="dxa"/>
      <w:tblInd w:w="0" w:type="dxa"/>
      <w:tblLayout w:type="fixed"/>
      <w:tblLook w:val="0400" w:firstRow="0" w:lastRow="0" w:firstColumn="0" w:lastColumn="0" w:noHBand="0" w:noVBand="1"/>
    </w:tblPr>
    <w:tblGrid>
      <w:gridCol w:w="2127"/>
      <w:gridCol w:w="7087"/>
    </w:tblGrid>
    <w:tr w:rsidR="00A42B51" w14:paraId="55AE834E" w14:textId="77777777">
      <w:trPr>
        <w:trHeight w:val="1546"/>
      </w:trPr>
      <w:tc>
        <w:tcPr>
          <w:tcW w:w="2127" w:type="dxa"/>
        </w:tcPr>
        <w:p w14:paraId="7FA186E1" w14:textId="77777777" w:rsidR="00A42B51" w:rsidRDefault="00A42B51">
          <w:pPr>
            <w:tabs>
              <w:tab w:val="right" w:pos="4273"/>
            </w:tabs>
            <w:rPr>
              <w:rFonts w:ascii="Garamond" w:eastAsia="Garamond" w:hAnsi="Garamond" w:cs="Garamond"/>
              <w:sz w:val="16"/>
              <w:szCs w:val="16"/>
            </w:rPr>
          </w:pPr>
        </w:p>
      </w:tc>
      <w:tc>
        <w:tcPr>
          <w:tcW w:w="7087" w:type="dxa"/>
        </w:tcPr>
        <w:p w14:paraId="72C05AC6" w14:textId="77777777" w:rsidR="00A42B51" w:rsidRDefault="00A42B51">
          <w:pPr>
            <w:rPr>
              <w:sz w:val="10"/>
              <w:szCs w:val="10"/>
            </w:rPr>
          </w:pPr>
        </w:p>
        <w:tbl>
          <w:tblPr>
            <w:tblStyle w:val="affffff"/>
            <w:tblW w:w="5812" w:type="dxa"/>
            <w:tblInd w:w="1167" w:type="dxa"/>
            <w:tblLayout w:type="fixed"/>
            <w:tblLook w:val="0400" w:firstRow="0" w:lastRow="0" w:firstColumn="0" w:lastColumn="0" w:noHBand="0" w:noVBand="1"/>
          </w:tblPr>
          <w:tblGrid>
            <w:gridCol w:w="2410"/>
            <w:gridCol w:w="3402"/>
          </w:tblGrid>
          <w:tr w:rsidR="00A42B51" w14:paraId="204D2FC5" w14:textId="77777777">
            <w:trPr>
              <w:trHeight w:val="427"/>
            </w:trPr>
            <w:tc>
              <w:tcPr>
                <w:tcW w:w="2410" w:type="dxa"/>
                <w:vAlign w:val="bottom"/>
              </w:tcPr>
              <w:p w14:paraId="586753A4" w14:textId="77777777" w:rsidR="00A42B51" w:rsidRDefault="00000CE2">
                <w:pPr>
                  <w:tabs>
                    <w:tab w:val="right" w:pos="8838"/>
                  </w:tabs>
                  <w:ind w:right="-105"/>
                  <w:rPr>
                    <w:b/>
                  </w:rPr>
                </w:pPr>
                <w:r>
                  <w:rPr>
                    <w:b/>
                  </w:rPr>
                  <w:t>Recurso de Revisión:</w:t>
                </w:r>
              </w:p>
            </w:tc>
            <w:tc>
              <w:tcPr>
                <w:tcW w:w="3402" w:type="dxa"/>
              </w:tcPr>
              <w:p w14:paraId="0F00A235" w14:textId="77777777" w:rsidR="00A42B51" w:rsidRDefault="00A42B51">
                <w:pPr>
                  <w:tabs>
                    <w:tab w:val="right" w:pos="8838"/>
                  </w:tabs>
                  <w:ind w:left="-28" w:right="-107"/>
                  <w:rPr>
                    <w:b/>
                  </w:rPr>
                </w:pPr>
              </w:p>
              <w:p w14:paraId="265B86C0" w14:textId="77777777" w:rsidR="00A42B51" w:rsidRDefault="00000CE2">
                <w:pPr>
                  <w:tabs>
                    <w:tab w:val="right" w:pos="8838"/>
                  </w:tabs>
                  <w:ind w:left="-28" w:right="-107"/>
                  <w:rPr>
                    <w:b/>
                  </w:rPr>
                </w:pPr>
                <w:r>
                  <w:rPr>
                    <w:b/>
                  </w:rPr>
                  <w:t>10866/INFOEM/IP/RR/2025</w:t>
                </w:r>
              </w:p>
            </w:tc>
          </w:tr>
          <w:tr w:rsidR="00A42B51" w14:paraId="431E06D9" w14:textId="77777777">
            <w:trPr>
              <w:trHeight w:val="141"/>
            </w:trPr>
            <w:tc>
              <w:tcPr>
                <w:tcW w:w="2410" w:type="dxa"/>
              </w:tcPr>
              <w:p w14:paraId="4C2E5F00" w14:textId="77777777" w:rsidR="00A42B51" w:rsidRDefault="00000CE2">
                <w:pPr>
                  <w:tabs>
                    <w:tab w:val="right" w:pos="8838"/>
                  </w:tabs>
                  <w:ind w:right="-105"/>
                  <w:rPr>
                    <w:b/>
                  </w:rPr>
                </w:pPr>
                <w:r>
                  <w:rPr>
                    <w:b/>
                  </w:rPr>
                  <w:t>Recurrente:</w:t>
                </w:r>
              </w:p>
            </w:tc>
            <w:tc>
              <w:tcPr>
                <w:tcW w:w="3402" w:type="dxa"/>
              </w:tcPr>
              <w:p w14:paraId="29FF52F3" w14:textId="77777777" w:rsidR="00A42B51" w:rsidRDefault="00000CE2">
                <w:pPr>
                  <w:tabs>
                    <w:tab w:val="right" w:pos="8838"/>
                  </w:tabs>
                  <w:ind w:right="-107"/>
                </w:pPr>
                <w:r>
                  <w:t xml:space="preserve"> </w:t>
                </w:r>
              </w:p>
            </w:tc>
          </w:tr>
          <w:tr w:rsidR="00A42B51" w14:paraId="6B9A8E84" w14:textId="77777777">
            <w:trPr>
              <w:trHeight w:val="276"/>
            </w:trPr>
            <w:tc>
              <w:tcPr>
                <w:tcW w:w="2410" w:type="dxa"/>
              </w:tcPr>
              <w:p w14:paraId="71F9931D" w14:textId="77777777" w:rsidR="00A42B51" w:rsidRDefault="00000CE2">
                <w:pPr>
                  <w:tabs>
                    <w:tab w:val="right" w:pos="8838"/>
                  </w:tabs>
                  <w:ind w:right="-105"/>
                  <w:rPr>
                    <w:b/>
                  </w:rPr>
                </w:pPr>
                <w:r>
                  <w:rPr>
                    <w:b/>
                  </w:rPr>
                  <w:t>Sujeto Obligado:</w:t>
                </w:r>
              </w:p>
            </w:tc>
            <w:tc>
              <w:tcPr>
                <w:tcW w:w="3402" w:type="dxa"/>
              </w:tcPr>
              <w:p w14:paraId="0E8DA90A" w14:textId="77777777" w:rsidR="00A42B51" w:rsidRDefault="00000CE2">
                <w:pPr>
                  <w:tabs>
                    <w:tab w:val="right" w:pos="8838"/>
                  </w:tabs>
                  <w:ind w:right="33"/>
                </w:pPr>
                <w:r>
                  <w:t>Sistema Municipal Para el Desarrollo Integral de la Familia de Toluca</w:t>
                </w:r>
              </w:p>
            </w:tc>
          </w:tr>
          <w:tr w:rsidR="00A42B51" w14:paraId="3FF9B9EF" w14:textId="77777777">
            <w:trPr>
              <w:trHeight w:val="276"/>
            </w:trPr>
            <w:tc>
              <w:tcPr>
                <w:tcW w:w="2410" w:type="dxa"/>
              </w:tcPr>
              <w:p w14:paraId="235A4C66" w14:textId="77777777" w:rsidR="00A42B51" w:rsidRDefault="00000CE2">
                <w:pPr>
                  <w:tabs>
                    <w:tab w:val="right" w:pos="8838"/>
                  </w:tabs>
                  <w:ind w:right="-105"/>
                  <w:rPr>
                    <w:b/>
                  </w:rPr>
                </w:pPr>
                <w:r>
                  <w:rPr>
                    <w:b/>
                  </w:rPr>
                  <w:t>Comisionado Ponente:</w:t>
                </w:r>
              </w:p>
            </w:tc>
            <w:tc>
              <w:tcPr>
                <w:tcW w:w="3402" w:type="dxa"/>
              </w:tcPr>
              <w:p w14:paraId="5A31B500" w14:textId="77777777" w:rsidR="00A42B51" w:rsidRDefault="00000CE2">
                <w:pPr>
                  <w:tabs>
                    <w:tab w:val="right" w:pos="8838"/>
                  </w:tabs>
                  <w:ind w:right="-107"/>
                </w:pPr>
                <w:r>
                  <w:t>Luis Gustavo Parra Noriega</w:t>
                </w:r>
              </w:p>
            </w:tc>
          </w:tr>
        </w:tbl>
        <w:p w14:paraId="6A5EE61B" w14:textId="77777777" w:rsidR="00A42B51" w:rsidRDefault="00A42B51">
          <w:pPr>
            <w:tabs>
              <w:tab w:val="right" w:pos="8838"/>
            </w:tabs>
            <w:ind w:left="-28"/>
            <w:rPr>
              <w:rFonts w:ascii="Arial" w:eastAsia="Arial" w:hAnsi="Arial" w:cs="Arial"/>
              <w:b/>
            </w:rPr>
          </w:pPr>
        </w:p>
      </w:tc>
    </w:tr>
  </w:tbl>
  <w:p w14:paraId="22F03DF3" w14:textId="77777777" w:rsidR="00A42B51" w:rsidRDefault="00A42B5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0DB"/>
    <w:multiLevelType w:val="hybridMultilevel"/>
    <w:tmpl w:val="137AA8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B032AD5"/>
    <w:multiLevelType w:val="multilevel"/>
    <w:tmpl w:val="F446D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DC4C66"/>
    <w:multiLevelType w:val="multilevel"/>
    <w:tmpl w:val="713EF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5A2A42"/>
    <w:multiLevelType w:val="multilevel"/>
    <w:tmpl w:val="E6165E6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5ED27AB"/>
    <w:multiLevelType w:val="hybridMultilevel"/>
    <w:tmpl w:val="E6CA5A0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36A208E"/>
    <w:multiLevelType w:val="hybridMultilevel"/>
    <w:tmpl w:val="648230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6E6464E"/>
    <w:multiLevelType w:val="hybridMultilevel"/>
    <w:tmpl w:val="BC5469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CCB7304"/>
    <w:multiLevelType w:val="multilevel"/>
    <w:tmpl w:val="4446B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79561E"/>
    <w:multiLevelType w:val="multilevel"/>
    <w:tmpl w:val="17766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FD37DB"/>
    <w:multiLevelType w:val="multilevel"/>
    <w:tmpl w:val="2528B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B42599"/>
    <w:multiLevelType w:val="multilevel"/>
    <w:tmpl w:val="1AE4D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31ECF"/>
    <w:multiLevelType w:val="multilevel"/>
    <w:tmpl w:val="579EC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7B4A05"/>
    <w:multiLevelType w:val="hybridMultilevel"/>
    <w:tmpl w:val="409868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65AC34D8"/>
    <w:multiLevelType w:val="hybridMultilevel"/>
    <w:tmpl w:val="EFAAE3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2C364F9"/>
    <w:multiLevelType w:val="multilevel"/>
    <w:tmpl w:val="E73C70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CA5BCE"/>
    <w:multiLevelType w:val="multilevel"/>
    <w:tmpl w:val="4D34587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324A03"/>
    <w:multiLevelType w:val="hybridMultilevel"/>
    <w:tmpl w:val="8E0ABE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7E4979F4"/>
    <w:multiLevelType w:val="multilevel"/>
    <w:tmpl w:val="D6C4995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9"/>
  </w:num>
  <w:num w:numId="3">
    <w:abstractNumId w:val="2"/>
  </w:num>
  <w:num w:numId="4">
    <w:abstractNumId w:val="3"/>
  </w:num>
  <w:num w:numId="5">
    <w:abstractNumId w:val="8"/>
  </w:num>
  <w:num w:numId="6">
    <w:abstractNumId w:val="1"/>
  </w:num>
  <w:num w:numId="7">
    <w:abstractNumId w:val="12"/>
  </w:num>
  <w:num w:numId="8">
    <w:abstractNumId w:val="11"/>
  </w:num>
  <w:num w:numId="9">
    <w:abstractNumId w:val="10"/>
  </w:num>
  <w:num w:numId="10">
    <w:abstractNumId w:val="16"/>
  </w:num>
  <w:num w:numId="11">
    <w:abstractNumId w:val="1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5"/>
  </w:num>
  <w:num w:numId="18">
    <w:abstractNumId w:val="18"/>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51"/>
    <w:rsid w:val="00000CE2"/>
    <w:rsid w:val="00085834"/>
    <w:rsid w:val="001052ED"/>
    <w:rsid w:val="004C63E5"/>
    <w:rsid w:val="005051C2"/>
    <w:rsid w:val="0097727A"/>
    <w:rsid w:val="00A020C2"/>
    <w:rsid w:val="00A42B51"/>
    <w:rsid w:val="00C453E0"/>
    <w:rsid w:val="00D823B3"/>
    <w:rsid w:val="00E05BD8"/>
    <w:rsid w:val="00E21A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23678"/>
  <w15:docId w15:val="{7BBC2875-37C9-4DBF-A018-C3BED919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1"/>
    <w:pPr>
      <w:spacing w:after="0" w:line="240" w:lineRule="auto"/>
    </w:pPr>
    <w:tblPr>
      <w:tblStyleRowBandSize w:val="1"/>
      <w:tblStyleColBandSize w:val="1"/>
      <w:tblCellMar>
        <w:left w:w="108" w:type="dxa"/>
        <w:right w:w="108" w:type="dxa"/>
      </w:tblCellMar>
    </w:tblPr>
  </w:style>
  <w:style w:type="table" w:customStyle="1" w:styleId="a0">
    <w:basedOn w:val="TableNormalf1"/>
    <w:pPr>
      <w:spacing w:after="0" w:line="240" w:lineRule="auto"/>
    </w:pPr>
    <w:tblPr>
      <w:tblStyleRowBandSize w:val="1"/>
      <w:tblStyleColBandSize w:val="1"/>
      <w:tblCellMar>
        <w:left w:w="108" w:type="dxa"/>
        <w:right w:w="108" w:type="dxa"/>
      </w:tblCellMar>
    </w:tbl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pPr>
      <w:spacing w:after="0" w:line="240" w:lineRule="auto"/>
    </w:p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1"/>
    <w:pPr>
      <w:spacing w:after="0" w:line="240" w:lineRule="auto"/>
    </w:pPr>
    <w:tblPr>
      <w:tblStyleRowBandSize w:val="1"/>
      <w:tblStyleColBandSize w:val="1"/>
      <w:tblCellMar>
        <w:left w:w="108" w:type="dxa"/>
        <w:right w:w="108" w:type="dxa"/>
      </w:tblCellMar>
    </w:tblPr>
  </w:style>
  <w:style w:type="table" w:customStyle="1" w:styleId="a4">
    <w:basedOn w:val="TableNormalf1"/>
    <w:pPr>
      <w:spacing w:after="0" w:line="240" w:lineRule="auto"/>
    </w:pPr>
    <w:tblPr>
      <w:tblStyleRowBandSize w:val="1"/>
      <w:tblStyleColBandSize w:val="1"/>
      <w:tblCellMar>
        <w:left w:w="108" w:type="dxa"/>
        <w:right w:w="108" w:type="dxa"/>
      </w:tblCellMar>
    </w:tblPr>
  </w:style>
  <w:style w:type="table" w:customStyle="1" w:styleId="a5">
    <w:basedOn w:val="TableNormalf1"/>
    <w:pPr>
      <w:spacing w:after="0" w:line="240" w:lineRule="auto"/>
    </w:pPr>
    <w:tblPr>
      <w:tblStyleRowBandSize w:val="1"/>
      <w:tblStyleColBandSize w:val="1"/>
      <w:tblCellMar>
        <w:left w:w="108" w:type="dxa"/>
        <w:right w:w="108" w:type="dxa"/>
      </w:tblCellMar>
    </w:tblPr>
  </w:style>
  <w:style w:type="table" w:customStyle="1" w:styleId="a6">
    <w:basedOn w:val="TableNormalf1"/>
    <w:pPr>
      <w:spacing w:after="0" w:line="240" w:lineRule="auto"/>
    </w:pPr>
    <w:tblPr>
      <w:tblStyleRowBandSize w:val="1"/>
      <w:tblStyleColBandSize w:val="1"/>
      <w:tblCellMar>
        <w:left w:w="108" w:type="dxa"/>
        <w:right w:w="108" w:type="dxa"/>
      </w:tblCellMar>
    </w:tblPr>
  </w:style>
  <w:style w:type="table" w:customStyle="1" w:styleId="a7">
    <w:basedOn w:val="TableNormalf0"/>
    <w:pPr>
      <w:spacing w:after="0" w:line="240" w:lineRule="auto"/>
    </w:pPr>
    <w:tblPr>
      <w:tblStyleRowBandSize w:val="1"/>
      <w:tblStyleColBandSize w:val="1"/>
      <w:tblCellMar>
        <w:left w:w="108" w:type="dxa"/>
        <w:right w:w="108" w:type="dxa"/>
      </w:tblCellMar>
    </w:tblPr>
  </w:style>
  <w:style w:type="table" w:customStyle="1" w:styleId="a8">
    <w:basedOn w:val="TableNormalf0"/>
    <w:pPr>
      <w:spacing w:after="0" w:line="240" w:lineRule="auto"/>
    </w:pPr>
    <w:tblPr>
      <w:tblStyleRowBandSize w:val="1"/>
      <w:tblStyleColBandSize w:val="1"/>
      <w:tblCellMar>
        <w:left w:w="108" w:type="dxa"/>
        <w:right w:w="108" w:type="dxa"/>
      </w:tblCellMar>
    </w:tblPr>
  </w:style>
  <w:style w:type="table" w:customStyle="1" w:styleId="a9">
    <w:basedOn w:val="TableNormalf0"/>
    <w:pPr>
      <w:spacing w:after="0" w:line="240" w:lineRule="auto"/>
    </w:pPr>
    <w:tblPr>
      <w:tblStyleRowBandSize w:val="1"/>
      <w:tblStyleColBandSize w:val="1"/>
      <w:tblCellMar>
        <w:left w:w="108" w:type="dxa"/>
        <w:right w:w="108" w:type="dxa"/>
      </w:tblCellMar>
    </w:tblPr>
  </w:style>
  <w:style w:type="table" w:customStyle="1" w:styleId="aa">
    <w:basedOn w:val="TableNormalf0"/>
    <w:pPr>
      <w:spacing w:after="0" w:line="240" w:lineRule="auto"/>
    </w:pPr>
    <w:tblPr>
      <w:tblStyleRowBandSize w:val="1"/>
      <w:tblStyleColBandSize w:val="1"/>
      <w:tblCellMar>
        <w:left w:w="108" w:type="dxa"/>
        <w:right w:w="108" w:type="dxa"/>
      </w:tblCellMar>
    </w:tblPr>
  </w:style>
  <w:style w:type="table" w:customStyle="1" w:styleId="ab">
    <w:basedOn w:val="TableNormalf"/>
    <w:pPr>
      <w:spacing w:after="0" w:line="240" w:lineRule="auto"/>
    </w:pPr>
    <w:tblPr>
      <w:tblStyleRowBandSize w:val="1"/>
      <w:tblStyleColBandSize w:val="1"/>
      <w:tblCellMar>
        <w:left w:w="108" w:type="dxa"/>
        <w:right w:w="108" w:type="dxa"/>
      </w:tblCellMar>
    </w:tblPr>
  </w:style>
  <w:style w:type="table" w:customStyle="1" w:styleId="ac">
    <w:basedOn w:val="TableNormalf"/>
    <w:pPr>
      <w:spacing w:after="0" w:line="240" w:lineRule="auto"/>
    </w:pPr>
    <w:tblPr>
      <w:tblStyleRowBandSize w:val="1"/>
      <w:tblStyleColBandSize w:val="1"/>
      <w:tblCellMar>
        <w:left w:w="108" w:type="dxa"/>
        <w:right w:w="108" w:type="dxa"/>
      </w:tblCellMar>
    </w:tblPr>
  </w:style>
  <w:style w:type="table" w:customStyle="1" w:styleId="ad">
    <w:basedOn w:val="TableNormalf"/>
    <w:pPr>
      <w:spacing w:after="0" w:line="240" w:lineRule="auto"/>
    </w:pPr>
    <w:tblPr>
      <w:tblStyleRowBandSize w:val="1"/>
      <w:tblStyleColBandSize w:val="1"/>
      <w:tblCellMar>
        <w:left w:w="108" w:type="dxa"/>
        <w:right w:w="108" w:type="dxa"/>
      </w:tblCellMar>
    </w:tblPr>
  </w:style>
  <w:style w:type="table" w:customStyle="1" w:styleId="ae">
    <w:basedOn w:val="TableNormalf"/>
    <w:pPr>
      <w:spacing w:after="0" w:line="240" w:lineRule="auto"/>
    </w:pPr>
    <w:tblPr>
      <w:tblStyleRowBandSize w:val="1"/>
      <w:tblStyleColBandSize w:val="1"/>
      <w:tblCellMar>
        <w:left w:w="108" w:type="dxa"/>
        <w:right w:w="108" w:type="dxa"/>
      </w:tblCellMar>
    </w:tblPr>
  </w:style>
  <w:style w:type="table" w:customStyle="1" w:styleId="af">
    <w:basedOn w:val="TableNormale"/>
    <w:pPr>
      <w:spacing w:after="0" w:line="240" w:lineRule="auto"/>
    </w:pPr>
    <w:tblPr>
      <w:tblStyleRowBandSize w:val="1"/>
      <w:tblStyleColBandSize w:val="1"/>
      <w:tblCellMar>
        <w:left w:w="108" w:type="dxa"/>
        <w:right w:w="108" w:type="dxa"/>
      </w:tblCellMar>
    </w:tblPr>
  </w:style>
  <w:style w:type="table" w:customStyle="1" w:styleId="af0">
    <w:basedOn w:val="TableNormale"/>
    <w:pPr>
      <w:spacing w:after="0" w:line="240" w:lineRule="auto"/>
    </w:pPr>
    <w:tblPr>
      <w:tblStyleRowBandSize w:val="1"/>
      <w:tblStyleColBandSize w:val="1"/>
      <w:tblCellMar>
        <w:left w:w="108" w:type="dxa"/>
        <w:right w:w="108" w:type="dxa"/>
      </w:tblCellMar>
    </w:tblPr>
  </w:style>
  <w:style w:type="table" w:customStyle="1" w:styleId="af1">
    <w:basedOn w:val="TableNormale"/>
    <w:pPr>
      <w:spacing w:after="0" w:line="240" w:lineRule="auto"/>
    </w:pPr>
    <w:tblPr>
      <w:tblStyleRowBandSize w:val="1"/>
      <w:tblStyleColBandSize w:val="1"/>
      <w:tblCellMar>
        <w:left w:w="108" w:type="dxa"/>
        <w:right w:w="108" w:type="dxa"/>
      </w:tblCellMar>
    </w:tblPr>
  </w:style>
  <w:style w:type="table" w:customStyle="1" w:styleId="af2">
    <w:basedOn w:val="TableNormale"/>
    <w:pPr>
      <w:spacing w:after="0" w:line="240" w:lineRule="auto"/>
    </w:pPr>
    <w:tblPr>
      <w:tblStyleRowBandSize w:val="1"/>
      <w:tblStyleColBandSize w:val="1"/>
      <w:tblCellMar>
        <w:left w:w="108" w:type="dxa"/>
        <w:right w:w="108" w:type="dxa"/>
      </w:tblCellMar>
    </w:tblPr>
  </w:style>
  <w:style w:type="table" w:customStyle="1" w:styleId="af3">
    <w:basedOn w:val="TableNormald"/>
    <w:pPr>
      <w:spacing w:after="0" w:line="240" w:lineRule="auto"/>
    </w:pPr>
    <w:tblPr>
      <w:tblStyleRowBandSize w:val="1"/>
      <w:tblStyleColBandSize w:val="1"/>
      <w:tblCellMar>
        <w:left w:w="108" w:type="dxa"/>
        <w:right w:w="108" w:type="dxa"/>
      </w:tblCellMar>
    </w:tblPr>
  </w:style>
  <w:style w:type="table" w:customStyle="1" w:styleId="af4">
    <w:basedOn w:val="TableNormald"/>
    <w:pPr>
      <w:spacing w:after="0" w:line="240" w:lineRule="auto"/>
    </w:pPr>
    <w:tblPr>
      <w:tblStyleRowBandSize w:val="1"/>
      <w:tblStyleColBandSize w:val="1"/>
      <w:tblCellMar>
        <w:left w:w="108" w:type="dxa"/>
        <w:right w:w="108" w:type="dxa"/>
      </w:tblCellMar>
    </w:tblPr>
  </w:style>
  <w:style w:type="table" w:customStyle="1" w:styleId="af5">
    <w:basedOn w:val="TableNormald"/>
    <w:pPr>
      <w:spacing w:after="0" w:line="240" w:lineRule="auto"/>
    </w:pPr>
    <w:tblPr>
      <w:tblStyleRowBandSize w:val="1"/>
      <w:tblStyleColBandSize w:val="1"/>
      <w:tblCellMar>
        <w:left w:w="108" w:type="dxa"/>
        <w:right w:w="108" w:type="dxa"/>
      </w:tblCellMar>
    </w:tblPr>
  </w:style>
  <w:style w:type="table" w:customStyle="1" w:styleId="af6">
    <w:basedOn w:val="TableNormald"/>
    <w:pPr>
      <w:spacing w:after="0" w:line="240" w:lineRule="auto"/>
    </w:pPr>
    <w:tblPr>
      <w:tblStyleRowBandSize w:val="1"/>
      <w:tblStyleColBandSize w:val="1"/>
      <w:tblCellMar>
        <w:left w:w="108" w:type="dxa"/>
        <w:right w:w="108" w:type="dxa"/>
      </w:tblCellMar>
    </w:tblPr>
  </w:style>
  <w:style w:type="table" w:customStyle="1" w:styleId="af7">
    <w:basedOn w:val="TableNormalc"/>
    <w:pPr>
      <w:spacing w:after="0" w:line="240" w:lineRule="auto"/>
    </w:pPr>
    <w:tblPr>
      <w:tblStyleRowBandSize w:val="1"/>
      <w:tblStyleColBandSize w:val="1"/>
      <w:tblCellMar>
        <w:left w:w="108" w:type="dxa"/>
        <w:right w:w="108" w:type="dxa"/>
      </w:tblCellMar>
    </w:tblPr>
  </w:style>
  <w:style w:type="table" w:customStyle="1" w:styleId="af8">
    <w:basedOn w:val="TableNormalc"/>
    <w:pPr>
      <w:spacing w:after="0" w:line="240" w:lineRule="auto"/>
    </w:pPr>
    <w:tblPr>
      <w:tblStyleRowBandSize w:val="1"/>
      <w:tblStyleColBandSize w:val="1"/>
      <w:tblCellMar>
        <w:left w:w="108" w:type="dxa"/>
        <w:right w:w="108" w:type="dxa"/>
      </w:tblCellMar>
    </w:tblPr>
  </w:style>
  <w:style w:type="table" w:customStyle="1" w:styleId="af9">
    <w:basedOn w:val="TableNormalc"/>
    <w:pPr>
      <w:spacing w:after="0" w:line="240" w:lineRule="auto"/>
    </w:pPr>
    <w:tblPr>
      <w:tblStyleRowBandSize w:val="1"/>
      <w:tblStyleColBandSize w:val="1"/>
      <w:tblCellMar>
        <w:left w:w="108" w:type="dxa"/>
        <w:right w:w="108" w:type="dxa"/>
      </w:tblCellMar>
    </w:tblPr>
  </w:style>
  <w:style w:type="table" w:customStyle="1" w:styleId="afa">
    <w:basedOn w:val="TableNormalc"/>
    <w:pPr>
      <w:spacing w:after="0" w:line="240" w:lineRule="auto"/>
    </w:pPr>
    <w:tblPr>
      <w:tblStyleRowBandSize w:val="1"/>
      <w:tblStyleColBandSize w:val="1"/>
      <w:tblCellMar>
        <w:left w:w="108" w:type="dxa"/>
        <w:right w:w="108" w:type="dxa"/>
      </w:tblCellMar>
    </w:tblPr>
  </w:style>
  <w:style w:type="table" w:customStyle="1" w:styleId="afb">
    <w:basedOn w:val="TableNormalb"/>
    <w:pPr>
      <w:spacing w:after="0" w:line="240" w:lineRule="auto"/>
    </w:pPr>
    <w:tblPr>
      <w:tblStyleRowBandSize w:val="1"/>
      <w:tblStyleColBandSize w:val="1"/>
      <w:tblCellMar>
        <w:left w:w="108" w:type="dxa"/>
        <w:right w:w="108" w:type="dxa"/>
      </w:tblCellMar>
    </w:tblPr>
  </w:style>
  <w:style w:type="table" w:customStyle="1" w:styleId="afc">
    <w:basedOn w:val="TableNormalb"/>
    <w:pPr>
      <w:spacing w:after="0" w:line="240" w:lineRule="auto"/>
    </w:pPr>
    <w:tblPr>
      <w:tblStyleRowBandSize w:val="1"/>
      <w:tblStyleColBandSize w:val="1"/>
      <w:tblCellMar>
        <w:left w:w="108" w:type="dxa"/>
        <w:right w:w="108" w:type="dxa"/>
      </w:tblCellMar>
    </w:tblPr>
  </w:style>
  <w:style w:type="table" w:customStyle="1" w:styleId="afd">
    <w:basedOn w:val="TableNormalb"/>
    <w:pPr>
      <w:spacing w:after="0" w:line="240" w:lineRule="auto"/>
    </w:pPr>
    <w:tblPr>
      <w:tblStyleRowBandSize w:val="1"/>
      <w:tblStyleColBandSize w:val="1"/>
      <w:tblCellMar>
        <w:left w:w="108" w:type="dxa"/>
        <w:right w:w="108" w:type="dxa"/>
      </w:tblCellMar>
    </w:tblPr>
  </w:style>
  <w:style w:type="table" w:customStyle="1" w:styleId="afe">
    <w:basedOn w:val="TableNormalb"/>
    <w:pPr>
      <w:spacing w:after="0" w:line="240" w:lineRule="auto"/>
    </w:pPr>
    <w:tblPr>
      <w:tblStyleRowBandSize w:val="1"/>
      <w:tblStyleColBandSize w:val="1"/>
      <w:tblCellMar>
        <w:left w:w="108" w:type="dxa"/>
        <w:right w:w="108" w:type="dxa"/>
      </w:tblCellMar>
    </w:tblPr>
  </w:style>
  <w:style w:type="table" w:customStyle="1" w:styleId="aff">
    <w:basedOn w:val="TableNormala"/>
    <w:pPr>
      <w:spacing w:after="0" w:line="240" w:lineRule="auto"/>
    </w:pPr>
    <w:tblPr>
      <w:tblStyleRowBandSize w:val="1"/>
      <w:tblStyleColBandSize w:val="1"/>
      <w:tblCellMar>
        <w:left w:w="108" w:type="dxa"/>
        <w:right w:w="108" w:type="dxa"/>
      </w:tblCellMar>
    </w:tblPr>
  </w:style>
  <w:style w:type="table" w:customStyle="1" w:styleId="aff0">
    <w:basedOn w:val="TableNormala"/>
    <w:pPr>
      <w:spacing w:after="0" w:line="240" w:lineRule="auto"/>
    </w:pPr>
    <w:tblPr>
      <w:tblStyleRowBandSize w:val="1"/>
      <w:tblStyleColBandSize w:val="1"/>
      <w:tblCellMar>
        <w:left w:w="108" w:type="dxa"/>
        <w:right w:w="108" w:type="dxa"/>
      </w:tblCellMar>
    </w:tblPr>
  </w:style>
  <w:style w:type="table" w:customStyle="1" w:styleId="aff1">
    <w:basedOn w:val="TableNormala"/>
    <w:pPr>
      <w:spacing w:after="0" w:line="240" w:lineRule="auto"/>
    </w:pPr>
    <w:tblPr>
      <w:tblStyleRowBandSize w:val="1"/>
      <w:tblStyleColBandSize w:val="1"/>
      <w:tblCellMar>
        <w:left w:w="108" w:type="dxa"/>
        <w:right w:w="108" w:type="dxa"/>
      </w:tblCellMar>
    </w:tblPr>
  </w:style>
  <w:style w:type="table" w:customStyle="1" w:styleId="aff2">
    <w:basedOn w:val="TableNormala"/>
    <w:pPr>
      <w:spacing w:after="0" w:line="240" w:lineRule="auto"/>
    </w:pPr>
    <w:tblPr>
      <w:tblStyleRowBandSize w:val="1"/>
      <w:tblStyleColBandSize w:val="1"/>
      <w:tblCellMar>
        <w:left w:w="108" w:type="dxa"/>
        <w:right w:w="108" w:type="dxa"/>
      </w:tblCellMar>
    </w:tblPr>
  </w:style>
  <w:style w:type="table" w:customStyle="1" w:styleId="aff3">
    <w:basedOn w:val="TableNormal9"/>
    <w:pPr>
      <w:spacing w:after="0" w:line="240" w:lineRule="auto"/>
    </w:pPr>
    <w:tblPr>
      <w:tblStyleRowBandSize w:val="1"/>
      <w:tblStyleColBandSize w:val="1"/>
      <w:tblCellMar>
        <w:left w:w="108" w:type="dxa"/>
        <w:right w:w="108" w:type="dxa"/>
      </w:tblCellMar>
    </w:tblPr>
  </w:style>
  <w:style w:type="table" w:customStyle="1" w:styleId="aff4">
    <w:basedOn w:val="TableNormal9"/>
    <w:pPr>
      <w:spacing w:after="0" w:line="240" w:lineRule="auto"/>
    </w:pPr>
    <w:tblPr>
      <w:tblStyleRowBandSize w:val="1"/>
      <w:tblStyleColBandSize w:val="1"/>
      <w:tblCellMar>
        <w:left w:w="108" w:type="dxa"/>
        <w:right w:w="108" w:type="dxa"/>
      </w:tblCellMar>
    </w:tblPr>
  </w:style>
  <w:style w:type="table" w:customStyle="1" w:styleId="aff5">
    <w:basedOn w:val="TableNormal9"/>
    <w:pPr>
      <w:spacing w:after="0" w:line="240" w:lineRule="auto"/>
    </w:pPr>
    <w:tblPr>
      <w:tblStyleRowBandSize w:val="1"/>
      <w:tblStyleColBandSize w:val="1"/>
      <w:tblCellMar>
        <w:left w:w="108" w:type="dxa"/>
        <w:right w:w="108" w:type="dxa"/>
      </w:tblCellMar>
    </w:tblPr>
  </w:style>
  <w:style w:type="table" w:customStyle="1" w:styleId="aff6">
    <w:basedOn w:val="TableNormal9"/>
    <w:pPr>
      <w:spacing w:after="0" w:line="240" w:lineRule="auto"/>
    </w:pPr>
    <w:tblPr>
      <w:tblStyleRowBandSize w:val="1"/>
      <w:tblStyleColBandSize w:val="1"/>
      <w:tblCellMar>
        <w:left w:w="108" w:type="dxa"/>
        <w:right w:w="108" w:type="dxa"/>
      </w:tblCellMar>
    </w:tblPr>
  </w:style>
  <w:style w:type="table" w:customStyle="1" w:styleId="aff7">
    <w:basedOn w:val="TableNormal8"/>
    <w:pPr>
      <w:spacing w:after="0" w:line="240" w:lineRule="auto"/>
    </w:pPr>
    <w:tblPr>
      <w:tblStyleRowBandSize w:val="1"/>
      <w:tblStyleColBandSize w:val="1"/>
      <w:tblCellMar>
        <w:left w:w="108" w:type="dxa"/>
        <w:right w:w="108" w:type="dxa"/>
      </w:tblCellMar>
    </w:tblPr>
  </w:style>
  <w:style w:type="table" w:customStyle="1" w:styleId="aff8">
    <w:basedOn w:val="TableNormal8"/>
    <w:pPr>
      <w:spacing w:after="0" w:line="240" w:lineRule="auto"/>
    </w:pPr>
    <w:tblPr>
      <w:tblStyleRowBandSize w:val="1"/>
      <w:tblStyleColBandSize w:val="1"/>
      <w:tblCellMar>
        <w:left w:w="108" w:type="dxa"/>
        <w:right w:w="108" w:type="dxa"/>
      </w:tblCellMar>
    </w:tblPr>
  </w:style>
  <w:style w:type="table" w:customStyle="1" w:styleId="aff9">
    <w:basedOn w:val="TableNormal8"/>
    <w:pPr>
      <w:spacing w:after="0" w:line="240" w:lineRule="auto"/>
    </w:pPr>
    <w:tblPr>
      <w:tblStyleRowBandSize w:val="1"/>
      <w:tblStyleColBandSize w:val="1"/>
      <w:tblCellMar>
        <w:left w:w="108" w:type="dxa"/>
        <w:right w:w="108" w:type="dxa"/>
      </w:tblCellMar>
    </w:tblPr>
  </w:style>
  <w:style w:type="table" w:customStyle="1" w:styleId="affa">
    <w:basedOn w:val="TableNormal8"/>
    <w:pPr>
      <w:spacing w:after="0" w:line="240" w:lineRule="auto"/>
    </w:pPr>
    <w:tblPr>
      <w:tblStyleRowBandSize w:val="1"/>
      <w:tblStyleColBandSize w:val="1"/>
      <w:tblCellMar>
        <w:left w:w="108" w:type="dxa"/>
        <w:right w:w="108" w:type="dxa"/>
      </w:tblCellMar>
    </w:tblPr>
  </w:style>
  <w:style w:type="table" w:customStyle="1" w:styleId="affb">
    <w:basedOn w:val="TableNormal8"/>
    <w:pPr>
      <w:spacing w:after="0" w:line="240" w:lineRule="auto"/>
    </w:pPr>
    <w:tblPr>
      <w:tblStyleRowBandSize w:val="1"/>
      <w:tblStyleColBandSize w:val="1"/>
      <w:tblCellMar>
        <w:left w:w="108" w:type="dxa"/>
        <w:right w:w="108" w:type="dxa"/>
      </w:tblCellMar>
    </w:tblPr>
  </w:style>
  <w:style w:type="table" w:customStyle="1" w:styleId="affc">
    <w:basedOn w:val="TableNormal8"/>
    <w:pPr>
      <w:spacing w:after="0" w:line="240" w:lineRule="auto"/>
    </w:pPr>
    <w:tblPr>
      <w:tblStyleRowBandSize w:val="1"/>
      <w:tblStyleColBandSize w:val="1"/>
      <w:tblCellMar>
        <w:left w:w="108" w:type="dxa"/>
        <w:right w:w="108" w:type="dxa"/>
      </w:tblCellMar>
    </w:tblPr>
  </w:style>
  <w:style w:type="table" w:customStyle="1" w:styleId="affd">
    <w:basedOn w:val="TableNormal8"/>
    <w:pPr>
      <w:spacing w:after="0" w:line="240" w:lineRule="auto"/>
    </w:pPr>
    <w:tblPr>
      <w:tblStyleRowBandSize w:val="1"/>
      <w:tblStyleColBandSize w:val="1"/>
      <w:tblCellMar>
        <w:left w:w="108" w:type="dxa"/>
        <w:right w:w="108" w:type="dxa"/>
      </w:tblCellMar>
    </w:tblPr>
  </w:style>
  <w:style w:type="table" w:customStyle="1" w:styleId="affe">
    <w:basedOn w:val="TableNormal8"/>
    <w:pPr>
      <w:spacing w:after="0" w:line="240" w:lineRule="auto"/>
    </w:pPr>
    <w:tblPr>
      <w:tblStyleRowBandSize w:val="1"/>
      <w:tblStyleColBandSize w:val="1"/>
      <w:tblCellMar>
        <w:left w:w="108" w:type="dxa"/>
        <w:right w:w="108" w:type="dxa"/>
      </w:tblCellMar>
    </w:tblPr>
  </w:style>
  <w:style w:type="table" w:customStyle="1" w:styleId="afff">
    <w:basedOn w:val="TableNormal8"/>
    <w:pPr>
      <w:spacing w:after="0" w:line="240" w:lineRule="auto"/>
    </w:pPr>
    <w:tblPr>
      <w:tblStyleRowBandSize w:val="1"/>
      <w:tblStyleColBandSize w:val="1"/>
      <w:tblCellMar>
        <w:left w:w="108" w:type="dxa"/>
        <w:right w:w="108" w:type="dxa"/>
      </w:tblCellMar>
    </w:tblPr>
  </w:style>
  <w:style w:type="table" w:customStyle="1" w:styleId="afff0">
    <w:basedOn w:val="TableNormal8"/>
    <w:pPr>
      <w:spacing w:after="0" w:line="240" w:lineRule="auto"/>
    </w:pPr>
    <w:tblPr>
      <w:tblStyleRowBandSize w:val="1"/>
      <w:tblStyleColBandSize w:val="1"/>
      <w:tblCellMar>
        <w:left w:w="108" w:type="dxa"/>
        <w:right w:w="108" w:type="dxa"/>
      </w:tblCellMar>
    </w:tblPr>
  </w:style>
  <w:style w:type="table" w:customStyle="1" w:styleId="afff1">
    <w:basedOn w:val="TableNormal8"/>
    <w:pPr>
      <w:spacing w:after="0" w:line="240" w:lineRule="auto"/>
    </w:pPr>
    <w:tblPr>
      <w:tblStyleRowBandSize w:val="1"/>
      <w:tblStyleColBandSize w:val="1"/>
      <w:tblCellMar>
        <w:left w:w="108" w:type="dxa"/>
        <w:right w:w="108" w:type="dxa"/>
      </w:tblCellMar>
    </w:tblPr>
  </w:style>
  <w:style w:type="table" w:customStyle="1" w:styleId="afff2">
    <w:basedOn w:val="TableNormal8"/>
    <w:pPr>
      <w:spacing w:after="0" w:line="240" w:lineRule="auto"/>
    </w:pPr>
    <w:tblPr>
      <w:tblStyleRowBandSize w:val="1"/>
      <w:tblStyleColBandSize w:val="1"/>
      <w:tblCellMar>
        <w:left w:w="108" w:type="dxa"/>
        <w:right w:w="108" w:type="dxa"/>
      </w:tblCellMar>
    </w:tblPr>
  </w:style>
  <w:style w:type="table" w:customStyle="1" w:styleId="afff3">
    <w:basedOn w:val="TableNormal8"/>
    <w:pPr>
      <w:spacing w:after="0" w:line="240" w:lineRule="auto"/>
    </w:pPr>
    <w:tblPr>
      <w:tblStyleRowBandSize w:val="1"/>
      <w:tblStyleColBandSize w:val="1"/>
      <w:tblCellMar>
        <w:left w:w="108" w:type="dxa"/>
        <w:right w:w="108" w:type="dxa"/>
      </w:tblCellMar>
    </w:tblPr>
  </w:style>
  <w:style w:type="table" w:customStyle="1" w:styleId="afff4">
    <w:basedOn w:val="TableNormal8"/>
    <w:pPr>
      <w:spacing w:after="0" w:line="240" w:lineRule="auto"/>
    </w:pPr>
    <w:tblPr>
      <w:tblStyleRowBandSize w:val="1"/>
      <w:tblStyleColBandSize w:val="1"/>
      <w:tblCellMar>
        <w:left w:w="108" w:type="dxa"/>
        <w:right w:w="108" w:type="dxa"/>
      </w:tblCellMar>
    </w:tblPr>
  </w:style>
  <w:style w:type="table" w:customStyle="1" w:styleId="afff5">
    <w:basedOn w:val="TableNormal8"/>
    <w:pPr>
      <w:spacing w:after="0" w:line="240" w:lineRule="auto"/>
    </w:pPr>
    <w:tblPr>
      <w:tblStyleRowBandSize w:val="1"/>
      <w:tblStyleColBandSize w:val="1"/>
      <w:tblCellMar>
        <w:left w:w="108" w:type="dxa"/>
        <w:right w:w="108" w:type="dxa"/>
      </w:tblCellMar>
    </w:tblPr>
  </w:style>
  <w:style w:type="table" w:customStyle="1" w:styleId="afff6">
    <w:basedOn w:val="TableNormal8"/>
    <w:pPr>
      <w:spacing w:after="0" w:line="240" w:lineRule="auto"/>
    </w:pPr>
    <w:tblPr>
      <w:tblStyleRowBandSize w:val="1"/>
      <w:tblStyleColBandSize w:val="1"/>
      <w:tblCellMar>
        <w:left w:w="108" w:type="dxa"/>
        <w:right w:w="108" w:type="dxa"/>
      </w:tblCellMar>
    </w:tblPr>
  </w:style>
  <w:style w:type="table" w:customStyle="1" w:styleId="afff7">
    <w:basedOn w:val="TableNormal8"/>
    <w:pPr>
      <w:spacing w:after="0" w:line="240" w:lineRule="auto"/>
    </w:pPr>
    <w:tblPr>
      <w:tblStyleRowBandSize w:val="1"/>
      <w:tblStyleColBandSize w:val="1"/>
      <w:tblCellMar>
        <w:left w:w="108" w:type="dxa"/>
        <w:right w:w="108" w:type="dxa"/>
      </w:tblCellMar>
    </w:tblPr>
  </w:style>
  <w:style w:type="table" w:customStyle="1" w:styleId="afff8">
    <w:basedOn w:val="TableNormal8"/>
    <w:pPr>
      <w:spacing w:after="0" w:line="240" w:lineRule="auto"/>
    </w:pPr>
    <w:tblPr>
      <w:tblStyleRowBandSize w:val="1"/>
      <w:tblStyleColBandSize w:val="1"/>
      <w:tblCellMar>
        <w:left w:w="108" w:type="dxa"/>
        <w:right w:w="108" w:type="dxa"/>
      </w:tblCellMar>
    </w:tblPr>
  </w:style>
  <w:style w:type="table" w:customStyle="1" w:styleId="afff9">
    <w:basedOn w:val="TableNormal8"/>
    <w:pPr>
      <w:spacing w:after="0" w:line="240" w:lineRule="auto"/>
    </w:pPr>
    <w:tblPr>
      <w:tblStyleRowBandSize w:val="1"/>
      <w:tblStyleColBandSize w:val="1"/>
      <w:tblCellMar>
        <w:left w:w="108" w:type="dxa"/>
        <w:right w:w="108" w:type="dxa"/>
      </w:tblCellMar>
    </w:tblPr>
  </w:style>
  <w:style w:type="table" w:customStyle="1" w:styleId="afffa">
    <w:basedOn w:val="TableNormal8"/>
    <w:pPr>
      <w:spacing w:after="0" w:line="240" w:lineRule="auto"/>
    </w:pPr>
    <w:tblPr>
      <w:tblStyleRowBandSize w:val="1"/>
      <w:tblStyleColBandSize w:val="1"/>
      <w:tblCellMar>
        <w:left w:w="108" w:type="dxa"/>
        <w:right w:w="108" w:type="dxa"/>
      </w:tblCellMar>
    </w:tblPr>
  </w:style>
  <w:style w:type="table" w:customStyle="1" w:styleId="afffb">
    <w:basedOn w:val="TableNormal8"/>
    <w:pPr>
      <w:spacing w:after="0" w:line="240" w:lineRule="auto"/>
    </w:pPr>
    <w:tblPr>
      <w:tblStyleRowBandSize w:val="1"/>
      <w:tblStyleColBandSize w:val="1"/>
      <w:tblCellMar>
        <w:left w:w="108" w:type="dxa"/>
        <w:right w:w="108" w:type="dxa"/>
      </w:tblCellMar>
    </w:tblPr>
  </w:style>
  <w:style w:type="table" w:customStyle="1" w:styleId="afffc">
    <w:basedOn w:val="TableNormal8"/>
    <w:pPr>
      <w:spacing w:after="0" w:line="240" w:lineRule="auto"/>
    </w:pPr>
    <w:tblPr>
      <w:tblStyleRowBandSize w:val="1"/>
      <w:tblStyleColBandSize w:val="1"/>
      <w:tblCellMar>
        <w:left w:w="108" w:type="dxa"/>
        <w:right w:w="108" w:type="dxa"/>
      </w:tblCellMar>
    </w:tblPr>
  </w:style>
  <w:style w:type="table" w:customStyle="1" w:styleId="afffd">
    <w:basedOn w:val="TableNormal7"/>
    <w:pPr>
      <w:spacing w:after="0" w:line="240" w:lineRule="auto"/>
    </w:pPr>
    <w:tblPr>
      <w:tblStyleRowBandSize w:val="1"/>
      <w:tblStyleColBandSize w:val="1"/>
      <w:tblCellMar>
        <w:left w:w="108" w:type="dxa"/>
        <w:right w:w="108" w:type="dxa"/>
      </w:tblCellMar>
    </w:tblPr>
  </w:style>
  <w:style w:type="table" w:customStyle="1" w:styleId="afffe">
    <w:basedOn w:val="TableNormal7"/>
    <w:pPr>
      <w:spacing w:after="0" w:line="240" w:lineRule="auto"/>
    </w:pPr>
    <w:tblPr>
      <w:tblStyleRowBandSize w:val="1"/>
      <w:tblStyleColBandSize w:val="1"/>
      <w:tblCellMar>
        <w:left w:w="108" w:type="dxa"/>
        <w:right w:w="108" w:type="dxa"/>
      </w:tblCellMar>
    </w:tblPr>
  </w:style>
  <w:style w:type="table" w:customStyle="1" w:styleId="affff">
    <w:basedOn w:val="TableNormal7"/>
    <w:pPr>
      <w:spacing w:after="0" w:line="240" w:lineRule="auto"/>
    </w:pPr>
    <w:tblPr>
      <w:tblStyleRowBandSize w:val="1"/>
      <w:tblStyleColBandSize w:val="1"/>
      <w:tblCellMar>
        <w:left w:w="108" w:type="dxa"/>
        <w:right w:w="108" w:type="dxa"/>
      </w:tblCellMar>
    </w:tblPr>
  </w:style>
  <w:style w:type="table" w:customStyle="1" w:styleId="affff0">
    <w:basedOn w:val="TableNormal7"/>
    <w:pPr>
      <w:spacing w:after="0" w:line="240" w:lineRule="auto"/>
    </w:pPr>
    <w:tblPr>
      <w:tblStyleRowBandSize w:val="1"/>
      <w:tblStyleColBandSize w:val="1"/>
      <w:tblCellMar>
        <w:left w:w="108" w:type="dxa"/>
        <w:right w:w="108" w:type="dxa"/>
      </w:tblCellMar>
    </w:tblPr>
  </w:style>
  <w:style w:type="table" w:customStyle="1" w:styleId="affff1">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6"/>
    <w:pPr>
      <w:spacing w:after="0" w:line="240" w:lineRule="auto"/>
    </w:pPr>
    <w:tblPr>
      <w:tblStyleRowBandSize w:val="1"/>
      <w:tblStyleColBandSize w:val="1"/>
      <w:tblCellMar>
        <w:left w:w="108" w:type="dxa"/>
        <w:right w:w="108" w:type="dxa"/>
      </w:tblCellMar>
    </w:tblPr>
  </w:style>
  <w:style w:type="table" w:customStyle="1" w:styleId="affff3">
    <w:basedOn w:val="TableNormal6"/>
    <w:pPr>
      <w:spacing w:after="0" w:line="240" w:lineRule="auto"/>
    </w:pPr>
    <w:tblPr>
      <w:tblStyleRowBandSize w:val="1"/>
      <w:tblStyleColBandSize w:val="1"/>
      <w:tblCellMar>
        <w:left w:w="108" w:type="dxa"/>
        <w:right w:w="108" w:type="dxa"/>
      </w:tblCellMar>
    </w:tblPr>
  </w:style>
  <w:style w:type="table" w:customStyle="1" w:styleId="affff4">
    <w:basedOn w:val="TableNormal6"/>
    <w:pPr>
      <w:spacing w:after="0" w:line="240" w:lineRule="auto"/>
    </w:pPr>
    <w:tblPr>
      <w:tblStyleRowBandSize w:val="1"/>
      <w:tblStyleColBandSize w:val="1"/>
      <w:tblCellMar>
        <w:left w:w="108" w:type="dxa"/>
        <w:right w:w="108" w:type="dxa"/>
      </w:tblCellMar>
    </w:tblPr>
  </w:style>
  <w:style w:type="table" w:customStyle="1" w:styleId="affff5">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5"/>
    <w:pPr>
      <w:spacing w:after="0" w:line="240" w:lineRule="auto"/>
    </w:pPr>
    <w:tblPr>
      <w:tblStyleRowBandSize w:val="1"/>
      <w:tblStyleColBandSize w:val="1"/>
      <w:tblCellMar>
        <w:left w:w="108" w:type="dxa"/>
        <w:right w:w="108" w:type="dxa"/>
      </w:tblCellMar>
    </w:tblPr>
  </w:style>
  <w:style w:type="table" w:customStyle="1" w:styleId="affff7">
    <w:basedOn w:val="TableNormal5"/>
    <w:pPr>
      <w:spacing w:after="0" w:line="240" w:lineRule="auto"/>
    </w:pPr>
    <w:tblPr>
      <w:tblStyleRowBandSize w:val="1"/>
      <w:tblStyleColBandSize w:val="1"/>
      <w:tblCellMar>
        <w:left w:w="108" w:type="dxa"/>
        <w:right w:w="108" w:type="dxa"/>
      </w:tblCellMar>
    </w:tblPr>
  </w:style>
  <w:style w:type="table" w:customStyle="1" w:styleId="affff8">
    <w:basedOn w:val="TableNormal5"/>
    <w:pPr>
      <w:spacing w:after="0" w:line="240" w:lineRule="auto"/>
    </w:pPr>
    <w:tblPr>
      <w:tblStyleRowBandSize w:val="1"/>
      <w:tblStyleColBandSize w:val="1"/>
      <w:tblCellMar>
        <w:left w:w="108" w:type="dxa"/>
        <w:right w:w="108" w:type="dxa"/>
      </w:tblCellMar>
    </w:tblPr>
  </w:style>
  <w:style w:type="table" w:customStyle="1" w:styleId="affff9">
    <w:basedOn w:val="TableNormal5"/>
    <w:pPr>
      <w:spacing w:after="0" w:line="240" w:lineRule="auto"/>
    </w:pPr>
    <w:tblPr>
      <w:tblStyleRowBandSize w:val="1"/>
      <w:tblStyleColBandSize w:val="1"/>
      <w:tblCellMar>
        <w:left w:w="108" w:type="dxa"/>
        <w:right w:w="108" w:type="dxa"/>
      </w:tblCellMar>
    </w:tblPr>
  </w:style>
  <w:style w:type="table" w:customStyle="1" w:styleId="affffa">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4"/>
    <w:pPr>
      <w:spacing w:after="0" w:line="240" w:lineRule="auto"/>
    </w:pPr>
    <w:tblPr>
      <w:tblStyleRowBandSize w:val="1"/>
      <w:tblStyleColBandSize w:val="1"/>
      <w:tblCellMar>
        <w:left w:w="108" w:type="dxa"/>
        <w:right w:w="108" w:type="dxa"/>
      </w:tblCellMar>
    </w:tblPr>
  </w:style>
  <w:style w:type="table" w:customStyle="1" w:styleId="affffc">
    <w:basedOn w:val="TableNormal4"/>
    <w:pPr>
      <w:spacing w:after="0" w:line="240" w:lineRule="auto"/>
    </w:pPr>
    <w:tblPr>
      <w:tblStyleRowBandSize w:val="1"/>
      <w:tblStyleColBandSize w:val="1"/>
      <w:tblCellMar>
        <w:left w:w="108" w:type="dxa"/>
        <w:right w:w="108" w:type="dxa"/>
      </w:tblCellMar>
    </w:tblPr>
  </w:style>
  <w:style w:type="table" w:customStyle="1" w:styleId="affffd">
    <w:basedOn w:val="TableNormal4"/>
    <w:pPr>
      <w:spacing w:after="0" w:line="240" w:lineRule="auto"/>
    </w:pPr>
    <w:tblPr>
      <w:tblStyleRowBandSize w:val="1"/>
      <w:tblStyleColBandSize w:val="1"/>
      <w:tblCellMar>
        <w:left w:w="108" w:type="dxa"/>
        <w:right w:w="108" w:type="dxa"/>
      </w:tblCellMar>
    </w:tblPr>
  </w:style>
  <w:style w:type="table" w:customStyle="1" w:styleId="affffe">
    <w:basedOn w:val="TableNormal4"/>
    <w:pPr>
      <w:spacing w:after="0" w:line="240" w:lineRule="auto"/>
    </w:pPr>
    <w:tblPr>
      <w:tblStyleRowBandSize w:val="1"/>
      <w:tblStyleColBandSize w:val="1"/>
      <w:tblCellMar>
        <w:left w:w="108" w:type="dxa"/>
        <w:right w:w="108" w:type="dxa"/>
      </w:tblCellMar>
    </w:tblPr>
  </w:style>
  <w:style w:type="table" w:customStyle="1" w:styleId="afffff">
    <w:basedOn w:val="TableNormal3"/>
    <w:pPr>
      <w:spacing w:after="0" w:line="240" w:lineRule="auto"/>
    </w:pPr>
    <w:tblPr>
      <w:tblStyleRowBandSize w:val="1"/>
      <w:tblStyleColBandSize w:val="1"/>
      <w:tblCellMar>
        <w:left w:w="108" w:type="dxa"/>
        <w:right w:w="108" w:type="dxa"/>
      </w:tblCellMar>
    </w:tblPr>
  </w:style>
  <w:style w:type="table" w:customStyle="1" w:styleId="afffff0">
    <w:basedOn w:val="TableNormal3"/>
    <w:pPr>
      <w:spacing w:after="0" w:line="240" w:lineRule="auto"/>
    </w:pPr>
    <w:tblPr>
      <w:tblStyleRowBandSize w:val="1"/>
      <w:tblStyleColBandSize w:val="1"/>
      <w:tblCellMar>
        <w:left w:w="108" w:type="dxa"/>
        <w:right w:w="108" w:type="dxa"/>
      </w:tblCellMar>
    </w:tblPr>
  </w:style>
  <w:style w:type="table" w:customStyle="1" w:styleId="afffff1">
    <w:basedOn w:val="TableNormal3"/>
    <w:pPr>
      <w:spacing w:after="0" w:line="240" w:lineRule="auto"/>
    </w:pPr>
    <w:tblPr>
      <w:tblStyleRowBandSize w:val="1"/>
      <w:tblStyleColBandSize w:val="1"/>
      <w:tblCellMar>
        <w:left w:w="108" w:type="dxa"/>
        <w:right w:w="108" w:type="dxa"/>
      </w:tblCellMar>
    </w:tblPr>
  </w:style>
  <w:style w:type="table" w:customStyle="1" w:styleId="afffff2">
    <w:basedOn w:val="TableNormal3"/>
    <w:pPr>
      <w:spacing w:after="0" w:line="240" w:lineRule="auto"/>
    </w:pPr>
    <w:tblPr>
      <w:tblStyleRowBandSize w:val="1"/>
      <w:tblStyleColBandSize w:val="1"/>
      <w:tblCellMar>
        <w:left w:w="108" w:type="dxa"/>
        <w:right w:w="108" w:type="dxa"/>
      </w:tblCellMar>
    </w:tblPr>
  </w:style>
  <w:style w:type="table" w:customStyle="1" w:styleId="afffff3">
    <w:basedOn w:val="TableNormal3"/>
    <w:pPr>
      <w:spacing w:after="0" w:line="240" w:lineRule="auto"/>
    </w:pPr>
    <w:tblPr>
      <w:tblStyleRowBandSize w:val="1"/>
      <w:tblStyleColBandSize w:val="1"/>
      <w:tblCellMar>
        <w:left w:w="108" w:type="dxa"/>
        <w:right w:w="108" w:type="dxa"/>
      </w:tblCellMar>
    </w:tblPr>
  </w:style>
  <w:style w:type="table" w:customStyle="1" w:styleId="afffff4">
    <w:basedOn w:val="TableNormal2"/>
    <w:pPr>
      <w:spacing w:after="0" w:line="240" w:lineRule="auto"/>
    </w:pPr>
    <w:tblPr>
      <w:tblStyleRowBandSize w:val="1"/>
      <w:tblStyleColBandSize w:val="1"/>
      <w:tblCellMar>
        <w:left w:w="108" w:type="dxa"/>
        <w:right w:w="108" w:type="dxa"/>
      </w:tblCellMar>
    </w:tblPr>
  </w:style>
  <w:style w:type="table" w:customStyle="1" w:styleId="afffff5">
    <w:basedOn w:val="TableNormal2"/>
    <w:pPr>
      <w:spacing w:after="0" w:line="240" w:lineRule="auto"/>
    </w:pPr>
    <w:tblPr>
      <w:tblStyleRowBandSize w:val="1"/>
      <w:tblStyleColBandSize w:val="1"/>
      <w:tblCellMar>
        <w:left w:w="108" w:type="dxa"/>
        <w:right w:w="108" w:type="dxa"/>
      </w:tblCellMar>
    </w:tblPr>
  </w:style>
  <w:style w:type="table" w:customStyle="1" w:styleId="afffff6">
    <w:basedOn w:val="TableNormal2"/>
    <w:pPr>
      <w:spacing w:after="0" w:line="240" w:lineRule="auto"/>
    </w:pPr>
    <w:tblPr>
      <w:tblStyleRowBandSize w:val="1"/>
      <w:tblStyleColBandSize w:val="1"/>
      <w:tblCellMar>
        <w:left w:w="108" w:type="dxa"/>
        <w:right w:w="108" w:type="dxa"/>
      </w:tblCellMar>
    </w:tblPr>
  </w:style>
  <w:style w:type="table" w:customStyle="1" w:styleId="afffff7">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character" w:customStyle="1" w:styleId="Mencinsinresolver8">
    <w:name w:val="Mención sin resolver8"/>
    <w:basedOn w:val="Fuentedeprrafopredeter"/>
    <w:uiPriority w:val="99"/>
    <w:semiHidden/>
    <w:unhideWhenUsed/>
    <w:rsid w:val="006F079B"/>
    <w:rPr>
      <w:color w:val="605E5C"/>
      <w:shd w:val="clear" w:color="auto" w:fill="E1DFDD"/>
    </w:rPr>
  </w:style>
  <w:style w:type="table" w:customStyle="1" w:styleId="afffff8">
    <w:basedOn w:val="TableNormal1"/>
    <w:pPr>
      <w:spacing w:after="0" w:line="240" w:lineRule="auto"/>
    </w:pPr>
    <w:tblPr>
      <w:tblStyleRowBandSize w:val="1"/>
      <w:tblStyleColBandSize w:val="1"/>
      <w:tblCellMar>
        <w:left w:w="108" w:type="dxa"/>
        <w:right w:w="108" w:type="dxa"/>
      </w:tblCellMar>
    </w:tblPr>
  </w:style>
  <w:style w:type="table" w:customStyle="1" w:styleId="afffff9">
    <w:basedOn w:val="TableNormal1"/>
    <w:pPr>
      <w:spacing w:after="0" w:line="240" w:lineRule="auto"/>
    </w:pPr>
    <w:tblPr>
      <w:tblStyleRowBandSize w:val="1"/>
      <w:tblStyleColBandSize w:val="1"/>
      <w:tblCellMar>
        <w:left w:w="108" w:type="dxa"/>
        <w:right w:w="108" w:type="dxa"/>
      </w:tblCellMar>
    </w:tblPr>
  </w:style>
  <w:style w:type="table" w:customStyle="1" w:styleId="afffffa">
    <w:basedOn w:val="TableNormal1"/>
    <w:pPr>
      <w:spacing w:after="0" w:line="240" w:lineRule="auto"/>
    </w:pPr>
    <w:tblPr>
      <w:tblStyleRowBandSize w:val="1"/>
      <w:tblStyleColBandSize w:val="1"/>
      <w:tblCellMar>
        <w:left w:w="108" w:type="dxa"/>
        <w:right w:w="108" w:type="dxa"/>
      </w:tblCellMar>
    </w:tblPr>
  </w:style>
  <w:style w:type="table" w:customStyle="1" w:styleId="afffffb">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c">
    <w:basedOn w:val="TableNormal0"/>
    <w:pPr>
      <w:spacing w:after="0" w:line="240" w:lineRule="auto"/>
    </w:pPr>
    <w:tblPr>
      <w:tblStyleRowBandSize w:val="1"/>
      <w:tblStyleColBandSize w:val="1"/>
      <w:tblCellMar>
        <w:left w:w="108" w:type="dxa"/>
        <w:right w:w="108" w:type="dxa"/>
      </w:tblCellMar>
    </w:tblPr>
  </w:style>
  <w:style w:type="table" w:customStyle="1" w:styleId="afffffd">
    <w:basedOn w:val="TableNormal0"/>
    <w:pPr>
      <w:spacing w:after="0" w:line="240" w:lineRule="auto"/>
    </w:pPr>
    <w:tblPr>
      <w:tblStyleRowBandSize w:val="1"/>
      <w:tblStyleColBandSize w:val="1"/>
      <w:tblCellMar>
        <w:left w:w="108" w:type="dxa"/>
        <w:right w:w="108" w:type="dxa"/>
      </w:tblCellMar>
    </w:tblPr>
  </w:style>
  <w:style w:type="table" w:customStyle="1" w:styleId="afffffe">
    <w:basedOn w:val="TableNormal0"/>
    <w:pPr>
      <w:spacing w:after="0" w:line="240" w:lineRule="auto"/>
    </w:pPr>
    <w:tblPr>
      <w:tblStyleRowBandSize w:val="1"/>
      <w:tblStyleColBandSize w:val="1"/>
      <w:tblCellMar>
        <w:left w:w="108" w:type="dxa"/>
        <w:right w:w="108" w:type="dxa"/>
      </w:tblCellMar>
    </w:tblPr>
  </w:style>
  <w:style w:type="table" w:customStyle="1" w:styleId="affffff">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44674">
      <w:bodyDiv w:val="1"/>
      <w:marLeft w:val="0"/>
      <w:marRight w:val="0"/>
      <w:marTop w:val="0"/>
      <w:marBottom w:val="0"/>
      <w:divBdr>
        <w:top w:val="none" w:sz="0" w:space="0" w:color="auto"/>
        <w:left w:val="none" w:sz="0" w:space="0" w:color="auto"/>
        <w:bottom w:val="none" w:sz="0" w:space="0" w:color="auto"/>
        <w:right w:val="none" w:sz="0" w:space="0" w:color="auto"/>
      </w:divBdr>
    </w:div>
    <w:div w:id="61832780">
      <w:bodyDiv w:val="1"/>
      <w:marLeft w:val="0"/>
      <w:marRight w:val="0"/>
      <w:marTop w:val="0"/>
      <w:marBottom w:val="0"/>
      <w:divBdr>
        <w:top w:val="none" w:sz="0" w:space="0" w:color="auto"/>
        <w:left w:val="none" w:sz="0" w:space="0" w:color="auto"/>
        <w:bottom w:val="none" w:sz="0" w:space="0" w:color="auto"/>
        <w:right w:val="none" w:sz="0" w:space="0" w:color="auto"/>
      </w:divBdr>
    </w:div>
    <w:div w:id="1737507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cplayer.es/5455342-Nuevas-tecnologias-biometricas-instituto-nacional-de-ciencias-penales-procuraduria-general-de-la-republica-version-1-0.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xv63M3a0bemhRBLdTp7d8qxVg==">CgMxLjAyDmgueHJ3eGJrMm1xM2FuMg5oLmZubTQ4b2R5dmdzczIIaC5namRneHMyDmgucHBobHIycjJucGNlMg5oLjd6MmhtMWRzdGMybjIOaC4xazhqdWd1dmM2MWgyDWguNXQ5bmVxdDNxNHcyCWguMmV0OTJwMDIOaC5rb2l2em1tZm1sMnYyDmguN2JnZnJ3NjJyZTJmMg5oLmpjNHRqYjJsd2JxdTIOaC51cG5lbTgyZ3ZqeWEyDmguYnNzb2U1c3EwdXI4Mg5oLm44eHVxYTFhZzVodjIOaC5wZ2hhZDB4ZWY5MjAyDmguaHR4bzVmOHFiODRkMg5oLm9qd2pmaXFsNTJ2NzIOaC52ZTlleGtod3QwengyDmguYXJneTIxcW5rbWhyOAByITFJV2owNmcxd1p6R3BuS1l3QjdoYlJPWUR1Ujdla2pt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1A2088-F30F-4652-958E-C1FD9990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9052</Words>
  <Characters>49791</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3</cp:revision>
  <cp:lastPrinted>2025-10-17T16:26:00Z</cp:lastPrinted>
  <dcterms:created xsi:type="dcterms:W3CDTF">2025-10-17T16:26:00Z</dcterms:created>
  <dcterms:modified xsi:type="dcterms:W3CDTF">2025-10-17T16:26:00Z</dcterms:modified>
</cp:coreProperties>
</file>