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188" w:rsidRPr="00461B60" w:rsidRDefault="003E5AB7" w:rsidP="00461B60">
      <w:pPr>
        <w:spacing w:line="360" w:lineRule="auto"/>
        <w:jc w:val="both"/>
        <w:rPr>
          <w:rFonts w:ascii="Palatino Linotype" w:eastAsia="Palatino Linotype" w:hAnsi="Palatino Linotype" w:cs="Palatino Linotype"/>
          <w:color w:val="000000" w:themeColor="text1"/>
        </w:rPr>
      </w:pPr>
      <w:bookmarkStart w:id="0" w:name="_GoBack"/>
      <w:bookmarkEnd w:id="0"/>
      <w:r w:rsidRPr="00461B60">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461B60">
        <w:rPr>
          <w:rFonts w:ascii="Palatino Linotype" w:eastAsia="Palatino Linotype" w:hAnsi="Palatino Linotype" w:cs="Palatino Linotype"/>
          <w:b/>
          <w:color w:val="000000" w:themeColor="text1"/>
        </w:rPr>
        <w:t xml:space="preserve">de fecha veinticinco (25) </w:t>
      </w:r>
      <w:r w:rsidR="00461B60" w:rsidRPr="00157555">
        <w:rPr>
          <w:rFonts w:ascii="Palatino Linotype" w:eastAsia="Palatino Linotype" w:hAnsi="Palatino Linotype" w:cs="Palatino Linotype"/>
          <w:b/>
          <w:color w:val="000000" w:themeColor="text1"/>
        </w:rPr>
        <w:t xml:space="preserve">de </w:t>
      </w:r>
      <w:r w:rsidR="00461B60">
        <w:rPr>
          <w:rFonts w:ascii="Palatino Linotype" w:eastAsia="Palatino Linotype" w:hAnsi="Palatino Linotype" w:cs="Palatino Linotype"/>
          <w:b/>
          <w:color w:val="000000" w:themeColor="text1"/>
        </w:rPr>
        <w:t xml:space="preserve">noviembre </w:t>
      </w:r>
      <w:r w:rsidR="00461B60" w:rsidRPr="00157555">
        <w:rPr>
          <w:rFonts w:ascii="Palatino Linotype" w:eastAsia="Palatino Linotype" w:hAnsi="Palatino Linotype" w:cs="Palatino Linotype"/>
          <w:b/>
          <w:color w:val="000000" w:themeColor="text1"/>
        </w:rPr>
        <w:t>de dos mil veinticinco</w:t>
      </w:r>
      <w:r w:rsidRPr="00461B60">
        <w:rPr>
          <w:rFonts w:ascii="Palatino Linotype" w:eastAsia="Palatino Linotype" w:hAnsi="Palatino Linotype" w:cs="Palatino Linotype"/>
          <w:color w:val="000000" w:themeColor="text1"/>
        </w:rPr>
        <w:t xml:space="preserve">. </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spacing w:line="360" w:lineRule="auto"/>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b/>
          <w:bCs/>
          <w:color w:val="000000" w:themeColor="text1"/>
        </w:rPr>
        <w:t>VISTO</w:t>
      </w:r>
      <w:r w:rsidRPr="00461B60">
        <w:rPr>
          <w:rFonts w:ascii="Palatino Linotype" w:eastAsia="Palatino Linotype" w:hAnsi="Palatino Linotype" w:cs="Palatino Linotype"/>
          <w:color w:val="000000" w:themeColor="text1"/>
        </w:rPr>
        <w:t xml:space="preserve"> el expediente electrónico formado con motivo del recurso de revisión </w:t>
      </w:r>
      <w:r w:rsidRPr="00461B60">
        <w:rPr>
          <w:rFonts w:ascii="Palatino Linotype" w:eastAsia="Palatino Linotype" w:hAnsi="Palatino Linotype" w:cs="Palatino Linotype"/>
          <w:b/>
          <w:bCs/>
          <w:color w:val="000000" w:themeColor="text1"/>
        </w:rPr>
        <w:t xml:space="preserve">10778/INFOEM/IP/RR/2025, </w:t>
      </w:r>
      <w:r w:rsidRPr="00461B60">
        <w:rPr>
          <w:rFonts w:ascii="Palatino Linotype" w:eastAsia="Palatino Linotype" w:hAnsi="Palatino Linotype" w:cs="Palatino Linotype"/>
          <w:color w:val="000000" w:themeColor="text1"/>
        </w:rPr>
        <w:t xml:space="preserve">promovido por </w:t>
      </w:r>
      <w:r w:rsidR="00FD5229">
        <w:rPr>
          <w:rFonts w:ascii="Palatino Linotype" w:eastAsia="Palatino Linotype" w:hAnsi="Palatino Linotype" w:cs="Palatino Linotype"/>
          <w:b/>
          <w:bCs/>
          <w:color w:val="000000" w:themeColor="text1"/>
        </w:rPr>
        <w:t>XXXX</w:t>
      </w:r>
      <w:r w:rsidR="00FD5229">
        <w:rPr>
          <w:rFonts w:ascii="Palatino Linotype" w:eastAsia="Palatino Linotype" w:hAnsi="Palatino Linotype" w:cs="Palatino Linotype"/>
          <w:color w:val="000000" w:themeColor="text1"/>
        </w:rPr>
        <w:t>, en lo sucesivo</w:t>
      </w:r>
      <w:r w:rsidRPr="00461B60">
        <w:rPr>
          <w:rFonts w:ascii="Palatino Linotype" w:eastAsia="Palatino Linotype" w:hAnsi="Palatino Linotype" w:cs="Palatino Linotype"/>
          <w:color w:val="000000" w:themeColor="text1"/>
        </w:rPr>
        <w:t xml:space="preserve"> </w:t>
      </w:r>
      <w:r w:rsidRPr="00461B60">
        <w:rPr>
          <w:rFonts w:ascii="Palatino Linotype" w:eastAsia="Palatino Linotype" w:hAnsi="Palatino Linotype" w:cs="Palatino Linotype"/>
          <w:b/>
          <w:bCs/>
          <w:color w:val="000000" w:themeColor="text1"/>
        </w:rPr>
        <w:t>RECURRENTE</w:t>
      </w:r>
      <w:r w:rsidRPr="00461B60">
        <w:rPr>
          <w:rFonts w:ascii="Palatino Linotype" w:eastAsia="Palatino Linotype" w:hAnsi="Palatino Linotype" w:cs="Palatino Linotype"/>
          <w:color w:val="000000" w:themeColor="text1"/>
        </w:rPr>
        <w:t xml:space="preserve">, en contra de la respuesta del </w:t>
      </w:r>
      <w:r w:rsidRPr="00461B60">
        <w:rPr>
          <w:rFonts w:ascii="Palatino Linotype" w:eastAsia="Palatino Linotype" w:hAnsi="Palatino Linotype" w:cs="Palatino Linotype"/>
          <w:b/>
          <w:bCs/>
          <w:color w:val="000000" w:themeColor="text1"/>
        </w:rPr>
        <w:t xml:space="preserve">Ayuntamiento de Ecatepec de Morelos, </w:t>
      </w:r>
      <w:r w:rsidRPr="00461B60">
        <w:rPr>
          <w:rFonts w:ascii="Palatino Linotype" w:eastAsia="Palatino Linotype" w:hAnsi="Palatino Linotype" w:cs="Palatino Linotype"/>
          <w:color w:val="000000" w:themeColor="text1"/>
        </w:rPr>
        <w:t xml:space="preserve">en </w:t>
      </w:r>
      <w:r w:rsidR="00C01FE6">
        <w:rPr>
          <w:rFonts w:ascii="Palatino Linotype" w:eastAsia="Palatino Linotype" w:hAnsi="Palatino Linotype" w:cs="Palatino Linotype"/>
          <w:color w:val="000000" w:themeColor="text1"/>
        </w:rPr>
        <w:t>adelante</w:t>
      </w:r>
      <w:r w:rsidRPr="00461B60">
        <w:rPr>
          <w:rFonts w:ascii="Palatino Linotype" w:eastAsia="Palatino Linotype" w:hAnsi="Palatino Linotype" w:cs="Palatino Linotype"/>
          <w:color w:val="000000" w:themeColor="text1"/>
        </w:rPr>
        <w:t xml:space="preserve"> el</w:t>
      </w:r>
      <w:r w:rsidRPr="00461B60">
        <w:rPr>
          <w:rFonts w:ascii="Palatino Linotype" w:eastAsia="Palatino Linotype" w:hAnsi="Palatino Linotype" w:cs="Palatino Linotype"/>
          <w:b/>
          <w:bCs/>
          <w:color w:val="000000" w:themeColor="text1"/>
        </w:rPr>
        <w:t xml:space="preserve"> SUJETO OBLIGADO</w:t>
      </w:r>
      <w:r w:rsidRPr="00461B60">
        <w:rPr>
          <w:rFonts w:ascii="Palatino Linotype" w:eastAsia="Palatino Linotype" w:hAnsi="Palatino Linotype" w:cs="Palatino Linotype"/>
          <w:color w:val="000000" w:themeColor="text1"/>
        </w:rPr>
        <w:t>, por lo que se procede a dictar la presente resolución, con base en los siguientes:</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keepNext/>
        <w:keepLines/>
        <w:spacing w:line="360" w:lineRule="auto"/>
        <w:jc w:val="center"/>
        <w:rPr>
          <w:rFonts w:ascii="Palatino Linotype" w:eastAsia="Palatino Linotype" w:hAnsi="Palatino Linotype" w:cs="Palatino Linotype"/>
          <w:b/>
          <w:bCs/>
          <w:color w:val="000000" w:themeColor="text1"/>
        </w:rPr>
      </w:pPr>
      <w:bookmarkStart w:id="1" w:name="_heading=h.gjdgxs" w:colFirst="0" w:colLast="0"/>
      <w:bookmarkEnd w:id="1"/>
      <w:r w:rsidRPr="00461B60">
        <w:rPr>
          <w:rFonts w:ascii="Palatino Linotype" w:eastAsia="Palatino Linotype" w:hAnsi="Palatino Linotype" w:cs="Palatino Linotype"/>
          <w:b/>
          <w:bCs/>
          <w:color w:val="000000" w:themeColor="text1"/>
        </w:rPr>
        <w:t>A N T E C E D E N T E S</w:t>
      </w:r>
    </w:p>
    <w:p w:rsidR="001F4188" w:rsidRPr="00461B60" w:rsidRDefault="001F4188" w:rsidP="00461B60">
      <w:pPr>
        <w:spacing w:line="360" w:lineRule="auto"/>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El </w:t>
      </w:r>
      <w:r w:rsidRPr="00461B60">
        <w:rPr>
          <w:rFonts w:ascii="Palatino Linotype" w:eastAsia="Palatino Linotype" w:hAnsi="Palatino Linotype" w:cs="Palatino Linotype"/>
          <w:b/>
          <w:bCs/>
          <w:color w:val="000000" w:themeColor="text1"/>
        </w:rPr>
        <w:t>dos de septiembre de dos mil veinticinco</w:t>
      </w:r>
      <w:r w:rsidRPr="00461B60">
        <w:rPr>
          <w:rFonts w:ascii="Palatino Linotype" w:eastAsia="Palatino Linotype" w:hAnsi="Palatino Linotype" w:cs="Palatino Linotype"/>
          <w:color w:val="000000" w:themeColor="text1"/>
        </w:rPr>
        <w:t>, la</w:t>
      </w:r>
      <w:r w:rsidRPr="00461B60">
        <w:rPr>
          <w:rFonts w:ascii="Palatino Linotype" w:eastAsia="Palatino Linotype" w:hAnsi="Palatino Linotype" w:cs="Palatino Linotype"/>
          <w:b/>
          <w:bCs/>
          <w:color w:val="000000" w:themeColor="text1"/>
        </w:rPr>
        <w:t xml:space="preserve"> RECURRENTE </w:t>
      </w:r>
      <w:r w:rsidRPr="00461B60">
        <w:rPr>
          <w:rFonts w:ascii="Palatino Linotype" w:eastAsia="Palatino Linotype" w:hAnsi="Palatino Linotype" w:cs="Palatino Linotype"/>
          <w:color w:val="000000" w:themeColor="text1"/>
        </w:rPr>
        <w:t xml:space="preserve">presentó ante el </w:t>
      </w:r>
      <w:r w:rsidRPr="00461B60">
        <w:rPr>
          <w:rFonts w:ascii="Palatino Linotype" w:eastAsia="Palatino Linotype" w:hAnsi="Palatino Linotype" w:cs="Palatino Linotype"/>
          <w:b/>
          <w:bCs/>
          <w:color w:val="000000" w:themeColor="text1"/>
        </w:rPr>
        <w:t>SUJETO OBLIGADO,</w:t>
      </w:r>
      <w:r w:rsidRPr="00461B60">
        <w:rPr>
          <w:rFonts w:ascii="Palatino Linotype" w:eastAsia="Palatino Linotype" w:hAnsi="Palatino Linotype" w:cs="Palatino Linotype"/>
          <w:color w:val="000000" w:themeColor="text1"/>
        </w:rPr>
        <w:t xml:space="preserve"> a través del Sistema de Acceso a la Información Mexiquense </w:t>
      </w:r>
      <w:r w:rsidRPr="00461B60">
        <w:rPr>
          <w:rFonts w:ascii="Palatino Linotype" w:eastAsia="Palatino Linotype" w:hAnsi="Palatino Linotype" w:cs="Palatino Linotype"/>
          <w:b/>
          <w:bCs/>
          <w:color w:val="000000" w:themeColor="text1"/>
        </w:rPr>
        <w:t>(SAIMEX),</w:t>
      </w:r>
      <w:r w:rsidRPr="00461B60">
        <w:rPr>
          <w:rFonts w:ascii="Palatino Linotype" w:eastAsia="Palatino Linotype" w:hAnsi="Palatino Linotype" w:cs="Palatino Linotype"/>
          <w:color w:val="000000" w:themeColor="text1"/>
        </w:rPr>
        <w:t xml:space="preserve"> la solicitud de información pública </w:t>
      </w:r>
      <w:r w:rsidRPr="00461B60">
        <w:rPr>
          <w:rFonts w:ascii="Palatino Linotype" w:eastAsia="Palatino Linotype" w:hAnsi="Palatino Linotype" w:cs="Palatino Linotype"/>
          <w:b/>
          <w:bCs/>
          <w:color w:val="000000" w:themeColor="text1"/>
        </w:rPr>
        <w:t>00</w:t>
      </w:r>
      <w:r w:rsidR="00461B60">
        <w:rPr>
          <w:rFonts w:ascii="Palatino Linotype" w:eastAsia="Palatino Linotype" w:hAnsi="Palatino Linotype" w:cs="Palatino Linotype"/>
          <w:b/>
          <w:bCs/>
          <w:color w:val="000000" w:themeColor="text1"/>
        </w:rPr>
        <w:t>717</w:t>
      </w:r>
      <w:r w:rsidRPr="00461B60">
        <w:rPr>
          <w:rFonts w:ascii="Palatino Linotype" w:eastAsia="Palatino Linotype" w:hAnsi="Palatino Linotype" w:cs="Palatino Linotype"/>
          <w:b/>
          <w:bCs/>
          <w:color w:val="000000" w:themeColor="text1"/>
        </w:rPr>
        <w:t>/ECATEPEC/IP/2025</w:t>
      </w:r>
      <w:r w:rsidRPr="00461B60">
        <w:rPr>
          <w:rFonts w:ascii="Palatino Linotype" w:eastAsia="Palatino Linotype" w:hAnsi="Palatino Linotype" w:cs="Palatino Linotype"/>
          <w:color w:val="000000" w:themeColor="text1"/>
        </w:rPr>
        <w:t xml:space="preserve">, </w:t>
      </w:r>
      <w:r w:rsidR="00C01FE6">
        <w:rPr>
          <w:rFonts w:ascii="Palatino Linotype" w:eastAsia="Palatino Linotype" w:hAnsi="Palatino Linotype" w:cs="Palatino Linotype"/>
          <w:color w:val="000000" w:themeColor="text1"/>
        </w:rPr>
        <w:t>en la que</w:t>
      </w:r>
      <w:r w:rsidRPr="00461B60">
        <w:rPr>
          <w:rFonts w:ascii="Palatino Linotype" w:eastAsia="Palatino Linotype" w:hAnsi="Palatino Linotype" w:cs="Palatino Linotype"/>
          <w:color w:val="000000" w:themeColor="text1"/>
        </w:rPr>
        <w:t xml:space="preserve"> solicitó:</w:t>
      </w:r>
    </w:p>
    <w:p w:rsidR="001F4188" w:rsidRPr="00461B60" w:rsidRDefault="001F4188" w:rsidP="00461B60">
      <w:pPr>
        <w:spacing w:line="360" w:lineRule="auto"/>
        <w:jc w:val="both"/>
        <w:rPr>
          <w:rFonts w:ascii="Palatino Linotype" w:eastAsia="Palatino Linotype" w:hAnsi="Palatino Linotype" w:cs="Palatino Linotype"/>
          <w:i/>
          <w:iCs/>
          <w:color w:val="000000" w:themeColor="text1"/>
        </w:rPr>
      </w:pPr>
    </w:p>
    <w:p w:rsidR="001F4188" w:rsidRPr="00461B60" w:rsidRDefault="003E5AB7" w:rsidP="00461B60">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 “H. Presidenta Municipal de Ecatepec de Morelos, con el debido respeto solicito que Usted suscriba la respuesta que se me brinde a mi solicitud de información, ya que he sido atendida con OPACIDAD, por la Dirección de Medio Ambiente y Ecología. Copia certificada de la respuesta emitida por la Dirección de Medio Ambiente y Ecología, en mi petición de "VALORACION DE RIESGO" en escrito de fecha 02 de mayo de 2023 con número de folio 008530.” (Sic) </w:t>
      </w:r>
    </w:p>
    <w:p w:rsidR="001F4188" w:rsidRPr="00461B60" w:rsidRDefault="001F4188" w:rsidP="00461B6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tabs>
          <w:tab w:val="left" w:pos="567"/>
        </w:tabs>
        <w:spacing w:line="360" w:lineRule="auto"/>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Se hace constar que se señaló como </w:t>
      </w:r>
      <w:r w:rsidRPr="00461B60">
        <w:rPr>
          <w:rFonts w:ascii="Palatino Linotype" w:eastAsia="Palatino Linotype" w:hAnsi="Palatino Linotype" w:cs="Palatino Linotype"/>
          <w:b/>
          <w:bCs/>
          <w:color w:val="000000" w:themeColor="text1"/>
        </w:rPr>
        <w:t>modalidad de entrega</w:t>
      </w:r>
      <w:r w:rsidRPr="00461B60">
        <w:rPr>
          <w:rFonts w:ascii="Palatino Linotype" w:eastAsia="Palatino Linotype" w:hAnsi="Palatino Linotype" w:cs="Palatino Linotype"/>
          <w:color w:val="000000" w:themeColor="text1"/>
        </w:rPr>
        <w:t xml:space="preserve"> de la información a través de </w:t>
      </w:r>
      <w:r w:rsidRPr="00461B60">
        <w:rPr>
          <w:rFonts w:ascii="Palatino Linotype" w:eastAsia="Palatino Linotype" w:hAnsi="Palatino Linotype" w:cs="Palatino Linotype"/>
          <w:b/>
          <w:bCs/>
          <w:color w:val="000000" w:themeColor="text1"/>
        </w:rPr>
        <w:t>SAIMEX</w:t>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lastRenderedPageBreak/>
        <w:t xml:space="preserve">El </w:t>
      </w:r>
      <w:r w:rsidRPr="00461B60">
        <w:rPr>
          <w:rFonts w:ascii="Palatino Linotype" w:eastAsia="Palatino Linotype" w:hAnsi="Palatino Linotype" w:cs="Palatino Linotype"/>
          <w:b/>
          <w:bCs/>
          <w:color w:val="000000" w:themeColor="text1"/>
        </w:rPr>
        <w:t>cuatro de septiembre de dos mil veinticinco</w:t>
      </w:r>
      <w:r w:rsidRPr="00461B60">
        <w:rPr>
          <w:rFonts w:ascii="Palatino Linotype" w:eastAsia="Palatino Linotype" w:hAnsi="Palatino Linotype" w:cs="Palatino Linotype"/>
          <w:color w:val="000000" w:themeColor="text1"/>
        </w:rPr>
        <w:t xml:space="preserve">, el Sujeto Obligado proporcionó </w:t>
      </w:r>
      <w:r w:rsidRPr="00461B60">
        <w:rPr>
          <w:rFonts w:ascii="Palatino Linotype" w:eastAsia="Palatino Linotype" w:hAnsi="Palatino Linotype" w:cs="Palatino Linotype"/>
          <w:b/>
          <w:bCs/>
          <w:color w:val="000000" w:themeColor="text1"/>
        </w:rPr>
        <w:t>respuesta</w:t>
      </w:r>
      <w:r w:rsidRPr="00461B60">
        <w:rPr>
          <w:rFonts w:ascii="Palatino Linotype" w:eastAsia="Palatino Linotype" w:hAnsi="Palatino Linotype" w:cs="Palatino Linotype"/>
          <w:color w:val="000000" w:themeColor="text1"/>
        </w:rPr>
        <w:t xml:space="preserve"> a través del archivo electrónico siguiente:</w:t>
      </w:r>
    </w:p>
    <w:p w:rsidR="001F4188" w:rsidRPr="00461B60" w:rsidRDefault="003E5AB7" w:rsidP="00461B60">
      <w:pPr>
        <w:jc w:val="both"/>
        <w:rPr>
          <w:rFonts w:ascii="Palatino Linotype" w:eastAsia="Palatino Linotype" w:hAnsi="Palatino Linotype" w:cs="Palatino Linotype"/>
          <w:b/>
          <w:bCs/>
          <w:i/>
          <w:iCs/>
          <w:color w:val="000000" w:themeColor="text1"/>
        </w:rPr>
      </w:pPr>
      <w:r w:rsidRPr="00461B60">
        <w:rPr>
          <w:rFonts w:ascii="Palatino Linotype" w:eastAsia="Palatino Linotype" w:hAnsi="Palatino Linotype" w:cs="Palatino Linotype"/>
          <w:b/>
          <w:bCs/>
          <w:i/>
          <w:iCs/>
          <w:color w:val="000000" w:themeColor="text1"/>
        </w:rPr>
        <w:t>SARCOEM 717.pdf</w:t>
      </w:r>
    </w:p>
    <w:p w:rsidR="001F4188" w:rsidRPr="00461B60" w:rsidRDefault="003E5AB7" w:rsidP="00461B60">
      <w:pPr>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Acuerdo de incompetencia y reconducción de vía, a la solicitud con número de folio diverso al presente, no obstante el contenido de dicha solicitud es correcto, a través del cual señala que la información requerida no corresponde al derecho de acceso a la información, sino al ejercicio de Derechos ARCO.</w:t>
      </w:r>
    </w:p>
    <w:p w:rsidR="001F4188" w:rsidRPr="00461B60" w:rsidRDefault="001F4188" w:rsidP="00461B60">
      <w:pPr>
        <w:jc w:val="both"/>
        <w:rPr>
          <w:rFonts w:ascii="Palatino Linotype" w:eastAsia="Palatino Linotype" w:hAnsi="Palatino Linotype" w:cs="Palatino Linotype"/>
          <w:color w:val="000000" w:themeColor="text1"/>
        </w:rPr>
      </w:pPr>
    </w:p>
    <w:p w:rsidR="001F4188" w:rsidRPr="00461B60" w:rsidRDefault="003E5AB7" w:rsidP="00461B60">
      <w:pPr>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Por lo que hace del conocimiento al solicitante que a fin de atender el requerimiento, deberá hacerlo a través de la vía correcta, es decir, a través del Sistema de Acceso, Rectificación, Cancelación y Oposición de Datos Personales del Estado de México (SARCOEM)</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El </w:t>
      </w:r>
      <w:r w:rsidRPr="00461B60">
        <w:rPr>
          <w:rFonts w:ascii="Palatino Linotype" w:eastAsia="Palatino Linotype" w:hAnsi="Palatino Linotype" w:cs="Palatino Linotype"/>
          <w:b/>
          <w:bCs/>
          <w:color w:val="000000" w:themeColor="text1"/>
        </w:rPr>
        <w:t>doce de marzo de dos mil veinticinco</w:t>
      </w:r>
      <w:r w:rsidRPr="00461B60">
        <w:rPr>
          <w:rFonts w:ascii="Palatino Linotype" w:eastAsia="Palatino Linotype" w:hAnsi="Palatino Linotype" w:cs="Palatino Linotype"/>
          <w:color w:val="000000" w:themeColor="text1"/>
        </w:rPr>
        <w:t>,</w:t>
      </w:r>
      <w:r w:rsidRPr="00461B60">
        <w:rPr>
          <w:rFonts w:ascii="Palatino Linotype" w:eastAsia="Palatino Linotype" w:hAnsi="Palatino Linotype" w:cs="Palatino Linotype"/>
          <w:b/>
          <w:bCs/>
          <w:color w:val="000000" w:themeColor="text1"/>
        </w:rPr>
        <w:t xml:space="preserve"> </w:t>
      </w:r>
      <w:r w:rsidRPr="00461B60">
        <w:rPr>
          <w:rFonts w:ascii="Palatino Linotype" w:eastAsia="Palatino Linotype" w:hAnsi="Palatino Linotype" w:cs="Palatino Linotype"/>
          <w:color w:val="000000" w:themeColor="text1"/>
        </w:rPr>
        <w:t xml:space="preserve">la </w:t>
      </w:r>
      <w:r w:rsidRPr="00461B60">
        <w:rPr>
          <w:rFonts w:ascii="Palatino Linotype" w:eastAsia="Palatino Linotype" w:hAnsi="Palatino Linotype" w:cs="Palatino Linotype"/>
          <w:b/>
          <w:bCs/>
          <w:color w:val="000000" w:themeColor="text1"/>
        </w:rPr>
        <w:t>RECURRENTE</w:t>
      </w:r>
      <w:r w:rsidRPr="00461B60">
        <w:rPr>
          <w:rFonts w:ascii="Palatino Linotype" w:eastAsia="Palatino Linotype" w:hAnsi="Palatino Linotype" w:cs="Palatino Linotype"/>
          <w:color w:val="000000" w:themeColor="text1"/>
        </w:rPr>
        <w:t xml:space="preserve"> interpuso el recurso de revisión en contra de la respuesta, señalando como:</w:t>
      </w:r>
    </w:p>
    <w:p w:rsidR="001F4188" w:rsidRPr="00461B60" w:rsidRDefault="001F4188" w:rsidP="00461B60">
      <w:pPr>
        <w:jc w:val="both"/>
        <w:rPr>
          <w:rFonts w:ascii="Palatino Linotype" w:eastAsia="Palatino Linotype" w:hAnsi="Palatino Linotype" w:cs="Palatino Linotype"/>
          <w:b/>
          <w:bCs/>
          <w:color w:val="000000" w:themeColor="text1"/>
        </w:rPr>
      </w:pPr>
    </w:p>
    <w:p w:rsidR="001F4188" w:rsidRPr="00C01FE6" w:rsidRDefault="00C01FE6" w:rsidP="00C01FE6">
      <w:pPr>
        <w:pStyle w:val="Prrafodelista"/>
        <w:numPr>
          <w:ilvl w:val="0"/>
          <w:numId w:val="10"/>
        </w:numPr>
        <w:jc w:val="both"/>
        <w:rPr>
          <w:rFonts w:ascii="Palatino Linotype" w:eastAsia="Palatino Linotype" w:hAnsi="Palatino Linotype" w:cs="Palatino Linotype"/>
          <w:i/>
          <w:iCs/>
          <w:color w:val="000000" w:themeColor="text1"/>
          <w:sz w:val="24"/>
        </w:rPr>
      </w:pPr>
      <w:r w:rsidRPr="00C01FE6">
        <w:rPr>
          <w:rFonts w:ascii="Palatino Linotype" w:eastAsia="Palatino Linotype" w:hAnsi="Palatino Linotype" w:cs="Palatino Linotype"/>
          <w:b/>
          <w:bCs/>
          <w:color w:val="000000" w:themeColor="text1"/>
          <w:sz w:val="24"/>
        </w:rPr>
        <w:t>ACTO IMPUGNADO</w:t>
      </w:r>
      <w:r w:rsidR="003E5AB7" w:rsidRPr="00C01FE6">
        <w:rPr>
          <w:rFonts w:ascii="Palatino Linotype" w:eastAsia="Palatino Linotype" w:hAnsi="Palatino Linotype" w:cs="Palatino Linotype"/>
          <w:b/>
          <w:bCs/>
          <w:i/>
          <w:iCs/>
          <w:color w:val="000000" w:themeColor="text1"/>
          <w:sz w:val="24"/>
        </w:rPr>
        <w:t>:</w:t>
      </w:r>
      <w:r w:rsidR="003E5AB7" w:rsidRPr="00C01FE6">
        <w:rPr>
          <w:rFonts w:ascii="Palatino Linotype" w:eastAsia="Palatino Linotype" w:hAnsi="Palatino Linotype" w:cs="Palatino Linotype"/>
          <w:i/>
          <w:iCs/>
          <w:color w:val="000000" w:themeColor="text1"/>
          <w:sz w:val="24"/>
        </w:rPr>
        <w:t xml:space="preserve"> “H. Presidenta Municipal de Ecatepec de Morelos, con el debido respeto solicito que Usted suscriba la respuesta que se me brinde a mi solicitud de información, ya que he sido atendida con OPACIDAD, por la Dirección de Medio Ambiente y Ecología. Copia certificada de la respuesta emitida por la Dirección de Medio Ambiente y Ecología, en mi petición de "VALORACION DE RIESGO" en escrito de fecha 02 de mayo de 2023 con número de folio 008530.” (Sic)</w:t>
      </w:r>
    </w:p>
    <w:p w:rsidR="001F4188" w:rsidRPr="00461B60" w:rsidRDefault="001F4188" w:rsidP="00461B60">
      <w:pPr>
        <w:jc w:val="both"/>
        <w:rPr>
          <w:rFonts w:ascii="Palatino Linotype" w:eastAsia="Palatino Linotype" w:hAnsi="Palatino Linotype" w:cs="Palatino Linotype"/>
          <w:i/>
          <w:iCs/>
          <w:color w:val="000000" w:themeColor="text1"/>
        </w:rPr>
      </w:pPr>
    </w:p>
    <w:p w:rsidR="001F4188" w:rsidRPr="00C01FE6" w:rsidRDefault="00C01FE6" w:rsidP="00C01FE6">
      <w:pPr>
        <w:pStyle w:val="Prrafodelista"/>
        <w:numPr>
          <w:ilvl w:val="0"/>
          <w:numId w:val="10"/>
        </w:numPr>
        <w:jc w:val="both"/>
        <w:rPr>
          <w:rFonts w:ascii="Palatino Linotype" w:eastAsia="Palatino Linotype" w:hAnsi="Palatino Linotype" w:cs="Palatino Linotype"/>
          <w:b/>
          <w:bCs/>
          <w:color w:val="000000" w:themeColor="text1"/>
          <w:sz w:val="24"/>
        </w:rPr>
      </w:pPr>
      <w:r w:rsidRPr="00C01FE6">
        <w:rPr>
          <w:rFonts w:ascii="Palatino Linotype" w:eastAsia="Palatino Linotype" w:hAnsi="Palatino Linotype" w:cs="Palatino Linotype"/>
          <w:b/>
          <w:bCs/>
          <w:color w:val="000000" w:themeColor="text1"/>
          <w:sz w:val="24"/>
        </w:rPr>
        <w:t>RAZONES O MOTIVOS DE INCONFORMIDAD</w:t>
      </w:r>
      <w:r w:rsidR="003E5AB7" w:rsidRPr="00C01FE6">
        <w:rPr>
          <w:rFonts w:ascii="Palatino Linotype" w:eastAsia="Palatino Linotype" w:hAnsi="Palatino Linotype" w:cs="Palatino Linotype"/>
          <w:b/>
          <w:bCs/>
          <w:color w:val="000000" w:themeColor="text1"/>
        </w:rPr>
        <w:t xml:space="preserve">: </w:t>
      </w:r>
      <w:r w:rsidR="003E5AB7" w:rsidRPr="00C01FE6">
        <w:rPr>
          <w:rFonts w:ascii="Palatino Linotype" w:eastAsia="Palatino Linotype" w:hAnsi="Palatino Linotype" w:cs="Palatino Linotype"/>
          <w:i/>
          <w:iCs/>
          <w:color w:val="000000" w:themeColor="text1"/>
          <w:sz w:val="24"/>
        </w:rPr>
        <w:t>“La respuesta de la Dirección de Protección Civil y Bomberos fue tratada como información pública. Con todo respeto, la Dirección de Medio Ambiente y Ecología, siempre ha destacado por la OPACIDAD en la atención a solicitudes de acceso de información.” (Sic)</w:t>
      </w:r>
    </w:p>
    <w:p w:rsidR="001F4188" w:rsidRPr="00461B60" w:rsidRDefault="001F4188" w:rsidP="00461B60">
      <w:pPr>
        <w:tabs>
          <w:tab w:val="left" w:pos="6197"/>
        </w:tabs>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hAnsi="Palatino Linotype"/>
          <w:color w:val="000000" w:themeColor="text1"/>
        </w:rPr>
      </w:pPr>
      <w:r w:rsidRPr="00461B60">
        <w:rPr>
          <w:rFonts w:ascii="Palatino Linotype" w:eastAsia="Palatino Linotype" w:hAnsi="Palatino Linotype" w:cs="Palatino Linotype"/>
          <w:color w:val="000000" w:themeColor="text1"/>
        </w:rPr>
        <w:t xml:space="preserve">Es necesario, precisar que si bien es cierto, el recurso ingreso por medio de la plataforma del Sistema de Acceso a la Información Mexiquense, también lo es que la información solicitada versa en datos personales, por lo que en fecha </w:t>
      </w:r>
      <w:r w:rsidRPr="00461B60">
        <w:rPr>
          <w:rFonts w:ascii="Palatino Linotype" w:eastAsia="Palatino Linotype" w:hAnsi="Palatino Linotype" w:cs="Palatino Linotype"/>
          <w:b/>
          <w:bCs/>
          <w:color w:val="000000" w:themeColor="text1"/>
        </w:rPr>
        <w:t>dieciocho de septiembre de dos mil veinticinco</w:t>
      </w:r>
      <w:r w:rsidRPr="00461B60">
        <w:rPr>
          <w:rFonts w:ascii="Palatino Linotype" w:eastAsia="Palatino Linotype" w:hAnsi="Palatino Linotype" w:cs="Palatino Linotype"/>
          <w:color w:val="000000" w:themeColor="text1"/>
        </w:rPr>
        <w:t xml:space="preserve">, se acordó la </w:t>
      </w:r>
      <w:r w:rsidRPr="00461B60">
        <w:rPr>
          <w:rFonts w:ascii="Palatino Linotype" w:eastAsia="Palatino Linotype" w:hAnsi="Palatino Linotype" w:cs="Palatino Linotype"/>
          <w:b/>
          <w:bCs/>
          <w:color w:val="000000" w:themeColor="text1"/>
        </w:rPr>
        <w:t>reconducción de la vía</w:t>
      </w:r>
      <w:r w:rsidRPr="00461B60">
        <w:rPr>
          <w:rFonts w:ascii="Palatino Linotype" w:eastAsia="Palatino Linotype" w:hAnsi="Palatino Linotype" w:cs="Palatino Linotype"/>
          <w:color w:val="000000" w:themeColor="text1"/>
        </w:rPr>
        <w:t xml:space="preserve"> en que se tramita el Recurso de Revisión al </w:t>
      </w:r>
      <w:r w:rsidRPr="00461B60">
        <w:rPr>
          <w:rFonts w:ascii="Palatino Linotype" w:eastAsia="Palatino Linotype" w:hAnsi="Palatino Linotype" w:cs="Palatino Linotype"/>
          <w:color w:val="000000" w:themeColor="text1"/>
        </w:rPr>
        <w:lastRenderedPageBreak/>
        <w:t xml:space="preserve">rubro indicado de acuerdo a lo dispuesto por la Ley de Protección de Datos Personales en Posesión de Sujetos Obligados del Estado de México y Municipios. </w:t>
      </w:r>
    </w:p>
    <w:p w:rsidR="001F4188" w:rsidRPr="00461B60" w:rsidRDefault="001F4188" w:rsidP="00461B60">
      <w:pPr>
        <w:spacing w:line="360" w:lineRule="auto"/>
        <w:jc w:val="both"/>
        <w:rPr>
          <w:rFonts w:ascii="Palatino Linotype" w:hAnsi="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Asimismo, se advirtió que la persona Titular de los datos </w:t>
      </w:r>
      <w:r w:rsidRPr="00461B60">
        <w:rPr>
          <w:rFonts w:ascii="Palatino Linotype" w:eastAsia="Palatino Linotype" w:hAnsi="Palatino Linotype" w:cs="Palatino Linotype"/>
          <w:b/>
          <w:bCs/>
          <w:color w:val="000000" w:themeColor="text1"/>
        </w:rPr>
        <w:t>omitió presentar identificación oficial</w:t>
      </w:r>
      <w:r w:rsidRPr="00461B60">
        <w:rPr>
          <w:rFonts w:ascii="Palatino Linotype" w:eastAsia="Palatino Linotype" w:hAnsi="Palatino Linotype" w:cs="Palatino Linotype"/>
          <w:color w:val="000000" w:themeColor="text1"/>
        </w:rPr>
        <w:t xml:space="preserve">, que es uno de los requisitos en términos del artículo 130 de la Ley de Protección de Datos Personales en Posesión de Sujetos Obligados del Estado de México y Municipios, por lo que, en términos del artículo 136 de la misma Ley, este Organismo Garante en el mismo acuerdo referido, solicita a la Particular, </w:t>
      </w:r>
      <w:r w:rsidRPr="00461B60">
        <w:rPr>
          <w:rFonts w:ascii="Palatino Linotype" w:eastAsia="Palatino Linotype" w:hAnsi="Palatino Linotype" w:cs="Palatino Linotype"/>
          <w:b/>
          <w:bCs/>
          <w:color w:val="000000" w:themeColor="text1"/>
        </w:rPr>
        <w:t>subsane la falta de dicho documento</w:t>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hAnsi="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En fecha </w:t>
      </w:r>
      <w:r w:rsidRPr="00461B60">
        <w:rPr>
          <w:rFonts w:ascii="Palatino Linotype" w:eastAsia="Palatino Linotype" w:hAnsi="Palatino Linotype" w:cs="Palatino Linotype"/>
          <w:b/>
          <w:bCs/>
          <w:color w:val="000000" w:themeColor="text1"/>
        </w:rPr>
        <w:t>diecinueve de septiembre de dos mil veinticinco</w:t>
      </w:r>
      <w:r w:rsidRPr="00461B60">
        <w:rPr>
          <w:rFonts w:ascii="Palatino Linotype" w:eastAsia="Palatino Linotype" w:hAnsi="Palatino Linotype" w:cs="Palatino Linotype"/>
          <w:color w:val="000000" w:themeColor="text1"/>
        </w:rPr>
        <w:t xml:space="preserve">, se </w:t>
      </w:r>
      <w:r w:rsidRPr="00461B60">
        <w:rPr>
          <w:rFonts w:ascii="Palatino Linotype" w:eastAsia="Palatino Linotype" w:hAnsi="Palatino Linotype" w:cs="Palatino Linotype"/>
          <w:b/>
          <w:bCs/>
          <w:color w:val="000000" w:themeColor="text1"/>
        </w:rPr>
        <w:t>atendió la prevención</w:t>
      </w:r>
      <w:r w:rsidRPr="00461B60">
        <w:rPr>
          <w:rFonts w:ascii="Palatino Linotype" w:eastAsia="Palatino Linotype" w:hAnsi="Palatino Linotype" w:cs="Palatino Linotype"/>
          <w:color w:val="000000" w:themeColor="text1"/>
        </w:rPr>
        <w:t xml:space="preserve"> realizada </w:t>
      </w:r>
      <w:r w:rsidR="00461B60" w:rsidRPr="00461B60">
        <w:rPr>
          <w:rFonts w:ascii="Palatino Linotype" w:eastAsia="Palatino Linotype" w:hAnsi="Palatino Linotype" w:cs="Palatino Linotype"/>
          <w:color w:val="000000" w:themeColor="text1"/>
        </w:rPr>
        <w:t>y al</w:t>
      </w:r>
      <w:r w:rsidRPr="00461B60">
        <w:rPr>
          <w:rFonts w:ascii="Palatino Linotype" w:eastAsia="Palatino Linotype" w:hAnsi="Palatino Linotype" w:cs="Palatino Linotype"/>
          <w:color w:val="000000" w:themeColor="text1"/>
        </w:rPr>
        <w:t xml:space="preserve"> solicitante adjuntó copia de identificación oficial consistente en credencial para votar expedida por el Instituto Nacional Electoral a favor de </w:t>
      </w:r>
      <w:r w:rsidR="00FD5229">
        <w:rPr>
          <w:rFonts w:ascii="Palatino Linotype" w:eastAsia="Palatino Linotype" w:hAnsi="Palatino Linotype" w:cs="Palatino Linotype"/>
          <w:color w:val="000000" w:themeColor="text1"/>
        </w:rPr>
        <w:t>XXXX</w:t>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C01FE6"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3E5AB7" w:rsidRPr="00461B60">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fecha  </w:t>
      </w:r>
      <w:r w:rsidR="003E5AB7" w:rsidRPr="00461B60">
        <w:rPr>
          <w:rFonts w:ascii="Palatino Linotype" w:eastAsia="Palatino Linotype" w:hAnsi="Palatino Linotype" w:cs="Palatino Linotype"/>
          <w:b/>
          <w:bCs/>
          <w:color w:val="000000" w:themeColor="text1"/>
        </w:rPr>
        <w:t>veintitrés de septiembre de dos mil veinticinco</w:t>
      </w:r>
      <w:r w:rsidR="003E5AB7" w:rsidRPr="00461B60">
        <w:rPr>
          <w:rFonts w:ascii="Palatino Linotype" w:eastAsia="Palatino Linotype" w:hAnsi="Palatino Linotype" w:cs="Palatino Linotype"/>
          <w:color w:val="000000" w:themeColor="text1"/>
        </w:rPr>
        <w:t xml:space="preserve">, con fundamento en lo dispuesto en los artículos 128, 129, fracción VI y 130 de la Ley de Protección de Datos Personales en Posesión de Sujetos Obligados del Estado de México y Municipios, </w:t>
      </w:r>
      <w:r w:rsidR="003E5AB7" w:rsidRPr="00461B60">
        <w:rPr>
          <w:rFonts w:ascii="Palatino Linotype" w:eastAsia="Palatino Linotype" w:hAnsi="Palatino Linotype" w:cs="Palatino Linotype"/>
          <w:b/>
          <w:bCs/>
          <w:color w:val="000000" w:themeColor="text1"/>
        </w:rPr>
        <w:t>se admite</w:t>
      </w:r>
      <w:r w:rsidR="003E5AB7" w:rsidRPr="00461B60">
        <w:rPr>
          <w:rFonts w:ascii="Palatino Linotype" w:eastAsia="Palatino Linotype" w:hAnsi="Palatino Linotype" w:cs="Palatino Linotype"/>
          <w:color w:val="000000" w:themeColor="text1"/>
        </w:rPr>
        <w:t xml:space="preserve"> a trámite el recurso de revisión al rubro citado, y con el fin de atender la solicitud de información como derecho a datos personales, </w:t>
      </w:r>
      <w:r w:rsidR="003E5AB7" w:rsidRPr="00461B60">
        <w:rPr>
          <w:rFonts w:ascii="Palatino Linotype" w:eastAsia="Palatino Linotype" w:hAnsi="Palatino Linotype" w:cs="Palatino Linotype"/>
          <w:b/>
          <w:bCs/>
          <w:color w:val="000000" w:themeColor="text1"/>
        </w:rPr>
        <w:t>se abrió la etapa de conciliación</w:t>
      </w:r>
      <w:r w:rsidR="003E5AB7"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Toda vez que no se advierte un pronunciamiento expreso del Sujeto Obligado y la parte Recurrente para celebrar una audiencia de conciliación, en fecha </w:t>
      </w:r>
      <w:r w:rsidRPr="00461B60">
        <w:rPr>
          <w:rFonts w:ascii="Palatino Linotype" w:eastAsia="Palatino Linotype" w:hAnsi="Palatino Linotype" w:cs="Palatino Linotype"/>
          <w:b/>
          <w:bCs/>
          <w:color w:val="000000" w:themeColor="text1"/>
        </w:rPr>
        <w:t>seis de octubre de dos mil veinticinco,</w:t>
      </w:r>
      <w:r w:rsidRPr="00461B60">
        <w:rPr>
          <w:rFonts w:ascii="Palatino Linotype" w:eastAsia="Palatino Linotype" w:hAnsi="Palatino Linotype" w:cs="Palatino Linotype"/>
          <w:color w:val="000000" w:themeColor="text1"/>
        </w:rPr>
        <w:t xml:space="preserve"> se procede a decretar el cierre de la etapa de conciliación y </w:t>
      </w:r>
      <w:r w:rsidRPr="00461B60">
        <w:rPr>
          <w:rFonts w:ascii="Palatino Linotype" w:eastAsia="Palatino Linotype" w:hAnsi="Palatino Linotype" w:cs="Palatino Linotype"/>
          <w:b/>
          <w:bCs/>
          <w:color w:val="000000" w:themeColor="text1"/>
        </w:rPr>
        <w:t>se da inicio a la etapa de manifestaciones</w:t>
      </w:r>
      <w:r w:rsidRPr="00461B60">
        <w:rPr>
          <w:rFonts w:ascii="Palatino Linotype" w:eastAsia="Palatino Linotype" w:hAnsi="Palatino Linotype" w:cs="Palatino Linotype"/>
          <w:color w:val="000000" w:themeColor="text1"/>
        </w:rPr>
        <w:t>, a efecto de que las partes, en un plazo máximo de siete días hábiles, manifiesten lo que a su derecho convenga.</w:t>
      </w: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color w:val="000000" w:themeColor="text1"/>
        </w:rPr>
        <w:lastRenderedPageBreak/>
        <w:t xml:space="preserve">En fecha </w:t>
      </w:r>
      <w:r w:rsidRPr="00461B60">
        <w:rPr>
          <w:rFonts w:ascii="Palatino Linotype" w:eastAsia="Palatino Linotype" w:hAnsi="Palatino Linotype" w:cs="Palatino Linotype"/>
          <w:b/>
          <w:bCs/>
          <w:color w:val="000000" w:themeColor="text1"/>
        </w:rPr>
        <w:t>seis de octubre de dos mil veinticinco</w:t>
      </w:r>
      <w:r w:rsidRPr="00461B60">
        <w:rPr>
          <w:rFonts w:ascii="Palatino Linotype" w:eastAsia="Palatino Linotype" w:hAnsi="Palatino Linotype" w:cs="Palatino Linotype"/>
          <w:color w:val="000000" w:themeColor="text1"/>
        </w:rPr>
        <w:t>,</w:t>
      </w:r>
      <w:r w:rsidRPr="00461B60">
        <w:rPr>
          <w:rFonts w:ascii="Palatino Linotype" w:eastAsia="Palatino Linotype" w:hAnsi="Palatino Linotype" w:cs="Palatino Linotype"/>
          <w:b/>
          <w:bCs/>
          <w:color w:val="000000" w:themeColor="text1"/>
        </w:rPr>
        <w:t xml:space="preserve"> </w:t>
      </w:r>
      <w:r w:rsidRPr="00461B60">
        <w:rPr>
          <w:rFonts w:ascii="Palatino Linotype" w:eastAsia="Palatino Linotype" w:hAnsi="Palatino Linotype" w:cs="Palatino Linotype"/>
          <w:color w:val="000000" w:themeColor="text1"/>
        </w:rPr>
        <w:t xml:space="preserve">el </w:t>
      </w:r>
      <w:r w:rsidRPr="00461B60">
        <w:rPr>
          <w:rFonts w:ascii="Palatino Linotype" w:eastAsia="Palatino Linotype" w:hAnsi="Palatino Linotype" w:cs="Palatino Linotype"/>
          <w:b/>
          <w:bCs/>
          <w:color w:val="000000" w:themeColor="text1"/>
        </w:rPr>
        <w:t xml:space="preserve">SUJETO OBLIGADO </w:t>
      </w:r>
      <w:r w:rsidRPr="00461B60">
        <w:rPr>
          <w:rFonts w:ascii="Palatino Linotype" w:eastAsia="Palatino Linotype" w:hAnsi="Palatino Linotype" w:cs="Palatino Linotype"/>
          <w:color w:val="000000" w:themeColor="text1"/>
        </w:rPr>
        <w:t>rindió el informe justificado correspondiente a través del siguiente archivo electrónico:</w:t>
      </w:r>
    </w:p>
    <w:p w:rsidR="001F4188" w:rsidRPr="00461B60" w:rsidRDefault="003E5AB7" w:rsidP="00461B60">
      <w:pPr>
        <w:jc w:val="both"/>
        <w:rPr>
          <w:rFonts w:ascii="Palatino Linotype" w:eastAsia="Palatino Linotype" w:hAnsi="Palatino Linotype" w:cs="Palatino Linotype"/>
          <w:b/>
          <w:bCs/>
          <w:i/>
          <w:iCs/>
          <w:color w:val="000000" w:themeColor="text1"/>
        </w:rPr>
      </w:pPr>
      <w:r w:rsidRPr="00461B60">
        <w:rPr>
          <w:rFonts w:ascii="Palatino Linotype" w:eastAsia="Palatino Linotype" w:hAnsi="Palatino Linotype" w:cs="Palatino Linotype"/>
          <w:b/>
          <w:bCs/>
          <w:i/>
          <w:iCs/>
          <w:color w:val="000000" w:themeColor="text1"/>
        </w:rPr>
        <w:t>CT_UT_ECA_1116_2025_Informe justificado RR10778.pdf</w:t>
      </w:r>
    </w:p>
    <w:p w:rsidR="001F4188" w:rsidRPr="00461B60" w:rsidRDefault="003E5AB7" w:rsidP="00461B60">
      <w:pP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color w:val="000000" w:themeColor="text1"/>
        </w:rPr>
        <w:t xml:space="preserve">Oficio No de Oficio: CT/UT/ECA/1116/2025 de fecha 18 de septiembre de 2025, firmado por el Titular de la Unidad de Transparencia y Acceso a la Información Pública a través del cual rinde Informe Justificado señalando que </w:t>
      </w:r>
      <w:r w:rsidRPr="00461B60">
        <w:rPr>
          <w:rFonts w:ascii="Palatino Linotype" w:eastAsia="Palatino Linotype" w:hAnsi="Palatino Linotype" w:cs="Palatino Linotype"/>
          <w:i/>
          <w:iCs/>
          <w:color w:val="000000" w:themeColor="text1"/>
        </w:rPr>
        <w:t>“… nunca se negó el acceso a la información, así como tampoco una falta de respuesta, como así lo señala el ahora recurrente, toda vez que este sujeto obligado, remitió respuesta que en derecho procedió.” (Sic)</w:t>
      </w:r>
    </w:p>
    <w:p w:rsidR="001F4188" w:rsidRPr="00461B60" w:rsidRDefault="003E5AB7" w:rsidP="00461B60">
      <w:pPr>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Solicitando se confirme la respuesta del Sujeto Obligado.</w:t>
      </w:r>
    </w:p>
    <w:p w:rsidR="001F4188" w:rsidRPr="00461B60" w:rsidRDefault="001F4188" w:rsidP="00461B60">
      <w:pPr>
        <w:spacing w:line="360" w:lineRule="auto"/>
        <w:jc w:val="both"/>
        <w:rPr>
          <w:rFonts w:ascii="Palatino Linotype" w:eastAsia="Palatino Linotype" w:hAnsi="Palatino Linotype" w:cs="Palatino Linotype"/>
          <w:b/>
          <w:bCs/>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color w:val="000000" w:themeColor="text1"/>
        </w:rPr>
        <w:t xml:space="preserve">Por su parte, en fecha </w:t>
      </w:r>
      <w:r w:rsidRPr="00461B60">
        <w:rPr>
          <w:rFonts w:ascii="Palatino Linotype" w:eastAsia="Palatino Linotype" w:hAnsi="Palatino Linotype" w:cs="Palatino Linotype"/>
          <w:b/>
          <w:bCs/>
          <w:color w:val="000000" w:themeColor="text1"/>
        </w:rPr>
        <w:t>trece de octubre de dos mil veinticinco</w:t>
      </w:r>
      <w:r w:rsidRPr="00461B60">
        <w:rPr>
          <w:rFonts w:ascii="Palatino Linotype" w:eastAsia="Palatino Linotype" w:hAnsi="Palatino Linotype" w:cs="Palatino Linotype"/>
          <w:color w:val="000000" w:themeColor="text1"/>
        </w:rPr>
        <w:t>, la parte</w:t>
      </w:r>
      <w:r w:rsidRPr="00461B60">
        <w:rPr>
          <w:rFonts w:ascii="Palatino Linotype" w:eastAsia="Palatino Linotype" w:hAnsi="Palatino Linotype" w:cs="Palatino Linotype"/>
          <w:b/>
          <w:bCs/>
          <w:color w:val="000000" w:themeColor="text1"/>
        </w:rPr>
        <w:t xml:space="preserve"> RECURRENTE </w:t>
      </w:r>
      <w:r w:rsidRPr="00461B60">
        <w:rPr>
          <w:rFonts w:ascii="Palatino Linotype" w:eastAsia="Palatino Linotype" w:hAnsi="Palatino Linotype" w:cs="Palatino Linotype"/>
          <w:color w:val="000000" w:themeColor="text1"/>
        </w:rPr>
        <w:t>realizó manifestaciones que a su derecho conviniera y asistiera, adjuntando el acuerdo por el que se tiene por rendido el Informe Justificado del Sujeto Obligado, añadiendo en sus comentarios “</w:t>
      </w:r>
      <w:r w:rsidRPr="00461B60">
        <w:rPr>
          <w:rFonts w:ascii="Palatino Linotype" w:eastAsia="Palatino Linotype" w:hAnsi="Palatino Linotype" w:cs="Palatino Linotype"/>
          <w:i/>
          <w:iCs/>
          <w:color w:val="000000" w:themeColor="text1"/>
        </w:rPr>
        <w:t>Espero la información en esta PLATAFORMA. La respuesta de la Dirección de Protección Civil y Bomberos fue tratada como información pública. Con todo respeto, la Dirección de Medio Ambiente y Ecología, siempre ha destacado por la OPACIDAD en la atención a solicitudes de acceso de información</w:t>
      </w:r>
      <w:r w:rsidRPr="00461B60">
        <w:rPr>
          <w:rFonts w:ascii="Palatino Linotype" w:eastAsia="Palatino Linotype" w:hAnsi="Palatino Linotype" w:cs="Palatino Linotype"/>
          <w:color w:val="000000" w:themeColor="text1"/>
        </w:rPr>
        <w:t>.”</w:t>
      </w:r>
    </w:p>
    <w:p w:rsidR="001F4188" w:rsidRPr="00461B60" w:rsidRDefault="001F4188" w:rsidP="00461B6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El </w:t>
      </w:r>
      <w:r w:rsidRPr="00461B60">
        <w:rPr>
          <w:rFonts w:ascii="Palatino Linotype" w:eastAsia="Palatino Linotype" w:hAnsi="Palatino Linotype" w:cs="Palatino Linotype"/>
          <w:b/>
          <w:bCs/>
          <w:color w:val="000000" w:themeColor="text1"/>
        </w:rPr>
        <w:t>dieciocho de noviembre de dos mil veinticinco,</w:t>
      </w:r>
      <w:r w:rsidRPr="00461B60">
        <w:rPr>
          <w:rFonts w:ascii="Palatino Linotype" w:eastAsia="Palatino Linotype" w:hAnsi="Palatino Linotype" w:cs="Palatino Linotype"/>
          <w:color w:val="000000" w:themeColor="text1"/>
        </w:rPr>
        <w:t xml:space="preserve"> se notificó el acuerdo mediante el cual </w:t>
      </w:r>
      <w:r w:rsidRPr="00461B60">
        <w:rPr>
          <w:rFonts w:ascii="Palatino Linotype" w:eastAsia="Palatino Linotype" w:hAnsi="Palatino Linotype" w:cs="Palatino Linotype"/>
          <w:b/>
          <w:bCs/>
          <w:color w:val="000000" w:themeColor="text1"/>
        </w:rPr>
        <w:t>se amplió el plazo para emitir resolución</w:t>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b/>
          <w:bCs/>
          <w:color w:val="000000" w:themeColor="text1"/>
        </w:rPr>
      </w:pPr>
      <w:bookmarkStart w:id="2" w:name="_heading=h.1fob9te" w:colFirst="0" w:colLast="0"/>
      <w:bookmarkEnd w:id="2"/>
    </w:p>
    <w:p w:rsidR="00FD5229" w:rsidRDefault="00C01FE6" w:rsidP="00FD5229">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Pr>
          <w:rFonts w:ascii="Palatino Linotype" w:eastAsia="Palatino Linotype" w:hAnsi="Palatino Linotype" w:cs="Palatino Linotype"/>
          <w:color w:val="000000" w:themeColor="text1"/>
        </w:rPr>
        <w:t>La Comisionada p</w:t>
      </w:r>
      <w:r w:rsidR="003E5AB7" w:rsidRPr="00461B60">
        <w:rPr>
          <w:rFonts w:ascii="Palatino Linotype" w:eastAsia="Palatino Linotype" w:hAnsi="Palatino Linotype" w:cs="Palatino Linotype"/>
          <w:color w:val="000000" w:themeColor="text1"/>
        </w:rPr>
        <w:t>onente decretó el cierre de instrucción mediante el acuerdo del</w:t>
      </w:r>
      <w:r w:rsidR="003E5AB7" w:rsidRPr="00461B60">
        <w:rPr>
          <w:rFonts w:ascii="Palatino Linotype" w:eastAsia="Palatino Linotype" w:hAnsi="Palatino Linotype" w:cs="Palatino Linotype"/>
          <w:b/>
          <w:bCs/>
          <w:color w:val="000000" w:themeColor="text1"/>
        </w:rPr>
        <w:t xml:space="preserve"> dieciocho de noviembre de dos mil veinticinco</w:t>
      </w:r>
      <w:r w:rsidR="003E5AB7" w:rsidRPr="00461B60">
        <w:rPr>
          <w:rFonts w:ascii="Palatino Linotype" w:eastAsia="Palatino Linotype" w:hAnsi="Palatino Linotype" w:cs="Palatino Linotype"/>
          <w:color w:val="000000" w:themeColor="text1"/>
        </w:rPr>
        <w:t>. En razón de que fue debidamente sustanciado el expediente electrónico y no existe diligencia pendiente de desahogo, se emite la Resolución que conforme a Derecho proceda:</w:t>
      </w:r>
    </w:p>
    <w:p w:rsidR="00FD5229" w:rsidRDefault="00FD5229" w:rsidP="00FD5229">
      <w:pPr>
        <w:pStyle w:val="Prrafodelista"/>
        <w:rPr>
          <w:rFonts w:ascii="Palatino Linotype" w:eastAsia="Palatino Linotype" w:hAnsi="Palatino Linotype" w:cs="Palatino Linotype"/>
          <w:b/>
          <w:bCs/>
          <w:color w:val="000000" w:themeColor="text1"/>
        </w:rPr>
      </w:pPr>
    </w:p>
    <w:p w:rsidR="00FD5229" w:rsidRPr="00FD5229" w:rsidRDefault="00FD5229" w:rsidP="00FD5229">
      <w:pPr>
        <w:numPr>
          <w:ilvl w:val="0"/>
          <w:numId w:val="1"/>
        </w:numPr>
        <w:spacing w:line="360" w:lineRule="auto"/>
        <w:ind w:left="0" w:firstLine="0"/>
        <w:jc w:val="both"/>
        <w:rPr>
          <w:rFonts w:ascii="Palatino Linotype" w:eastAsia="Palatino Linotype" w:hAnsi="Palatino Linotype" w:cs="Palatino Linotype"/>
          <w:b/>
          <w:bCs/>
          <w:color w:val="000000" w:themeColor="text1"/>
        </w:rPr>
      </w:pPr>
    </w:p>
    <w:p w:rsidR="001F4188" w:rsidRPr="00461B60" w:rsidRDefault="003E5AB7" w:rsidP="00461B60">
      <w:pPr>
        <w:keepNext/>
        <w:keepLines/>
        <w:spacing w:line="360" w:lineRule="auto"/>
        <w:jc w:val="center"/>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b/>
          <w:bCs/>
          <w:color w:val="000000" w:themeColor="text1"/>
        </w:rPr>
        <w:lastRenderedPageBreak/>
        <w:t xml:space="preserve">C O N S I D E R A N D O </w:t>
      </w:r>
    </w:p>
    <w:p w:rsidR="001F4188" w:rsidRPr="00461B60" w:rsidRDefault="001F4188" w:rsidP="00461B60">
      <w:pPr>
        <w:spacing w:line="360" w:lineRule="auto"/>
        <w:rPr>
          <w:rFonts w:ascii="Palatino Linotype" w:eastAsia="Palatino Linotype" w:hAnsi="Palatino Linotype" w:cs="Palatino Linotype"/>
          <w:color w:val="000000" w:themeColor="text1"/>
        </w:rPr>
      </w:pPr>
    </w:p>
    <w:p w:rsidR="001F4188" w:rsidRPr="00461B60" w:rsidRDefault="003E5AB7" w:rsidP="00461B60">
      <w:pPr>
        <w:keepNext/>
        <w:keepLines/>
        <w:spacing w:line="360" w:lineRule="auto"/>
        <w:rPr>
          <w:rFonts w:ascii="Palatino Linotype" w:eastAsia="Palatino Linotype" w:hAnsi="Palatino Linotype" w:cs="Palatino Linotype"/>
          <w:b/>
          <w:bCs/>
          <w:color w:val="000000" w:themeColor="text1"/>
        </w:rPr>
      </w:pPr>
      <w:bookmarkStart w:id="3" w:name="_heading=h.3znysh7" w:colFirst="0" w:colLast="0"/>
      <w:bookmarkEnd w:id="3"/>
      <w:r w:rsidRPr="00461B60">
        <w:rPr>
          <w:rFonts w:ascii="Palatino Linotype" w:eastAsia="Palatino Linotype" w:hAnsi="Palatino Linotype" w:cs="Palatino Linotype"/>
          <w:b/>
          <w:bCs/>
          <w:color w:val="000000" w:themeColor="text1"/>
        </w:rPr>
        <w:t>PRIMERO. De la competencia.</w:t>
      </w: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noveno, cuadragésimo y cuadragésimo primero, fracciones IV y V de la Constitución Política del Estado Libre y Soberano de México; 1, 3 fracción I, 82, 97, 98, 119, 123, 124, 127, 128 y 133 Ley de Protección de Datos Personales en Posesión de Sujetos Obligados del Estado de México y Municipios; y 10, 7, 9 fracciones I y XXIII, y 11 del Reglamento Interior del Instituto de Transparencia, Acceso a la Información Pública y Protección de Datos Personales del Estado de México y Municipios.</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keepNext/>
        <w:keepLines/>
        <w:spacing w:line="360" w:lineRule="auto"/>
        <w:rPr>
          <w:rFonts w:ascii="Palatino Linotype" w:eastAsia="Palatino Linotype" w:hAnsi="Palatino Linotype" w:cs="Palatino Linotype"/>
          <w:b/>
          <w:bCs/>
          <w:color w:val="000000" w:themeColor="text1"/>
        </w:rPr>
      </w:pPr>
      <w:bookmarkStart w:id="4" w:name="_heading=h.2et92p0" w:colFirst="0" w:colLast="0"/>
      <w:bookmarkEnd w:id="4"/>
      <w:r w:rsidRPr="00461B60">
        <w:rPr>
          <w:rFonts w:ascii="Palatino Linotype" w:eastAsia="Palatino Linotype" w:hAnsi="Palatino Linotype" w:cs="Palatino Linotype"/>
          <w:b/>
          <w:bCs/>
          <w:color w:val="000000" w:themeColor="text1"/>
        </w:rPr>
        <w:t>SEGUNDO. De la oportunidad y procedencia.</w:t>
      </w: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 </w:t>
      </w:r>
    </w:p>
    <w:p w:rsidR="001F4188" w:rsidRPr="00461B60" w:rsidRDefault="003E5AB7" w:rsidP="00461B60">
      <w:pPr>
        <w:tabs>
          <w:tab w:val="left" w:pos="7938"/>
        </w:tabs>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r w:rsidRPr="00461B60">
        <w:rPr>
          <w:rFonts w:ascii="Palatino Linotype" w:eastAsia="Palatino Linotype" w:hAnsi="Palatino Linotype" w:cs="Palatino Linotype"/>
          <w:b/>
          <w:bCs/>
          <w:i/>
          <w:iCs/>
          <w:color w:val="000000" w:themeColor="text1"/>
        </w:rPr>
        <w:t>Artículo 128.</w:t>
      </w:r>
      <w:r w:rsidRPr="00461B60">
        <w:rPr>
          <w:rFonts w:ascii="Palatino Linotype" w:eastAsia="Palatino Linotype" w:hAnsi="Palatino Linotype" w:cs="Palatino Linotype"/>
          <w:i/>
          <w:iCs/>
          <w:color w:val="000000" w:themeColor="text1"/>
        </w:rPr>
        <w:t xml:space="preserve"> 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1F4188" w:rsidRPr="00461B60" w:rsidRDefault="003E5AB7" w:rsidP="00461B60">
      <w:pPr>
        <w:tabs>
          <w:tab w:val="left" w:pos="7938"/>
        </w:tabs>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lastRenderedPageBreak/>
        <w:t xml:space="preserve">En esa tesitura, atendiendo a que el </w:t>
      </w:r>
      <w:r w:rsidRPr="00461B60">
        <w:rPr>
          <w:rFonts w:ascii="Palatino Linotype" w:eastAsia="Palatino Linotype" w:hAnsi="Palatino Linotype" w:cs="Palatino Linotype"/>
          <w:b/>
          <w:bCs/>
          <w:color w:val="000000" w:themeColor="text1"/>
        </w:rPr>
        <w:t>Sujeto Obligado</w:t>
      </w:r>
      <w:r w:rsidRPr="00461B60">
        <w:rPr>
          <w:rFonts w:ascii="Palatino Linotype" w:eastAsia="Palatino Linotype" w:hAnsi="Palatino Linotype" w:cs="Palatino Linotype"/>
          <w:color w:val="000000" w:themeColor="text1"/>
        </w:rPr>
        <w:t xml:space="preserve"> notificó el acuerdo a través del cual no se da curso a la solicitud el </w:t>
      </w:r>
      <w:r w:rsidRPr="00461B60">
        <w:rPr>
          <w:rFonts w:ascii="Palatino Linotype" w:eastAsia="Palatino Linotype" w:hAnsi="Palatino Linotype" w:cs="Palatino Linotype"/>
          <w:b/>
          <w:bCs/>
          <w:color w:val="000000" w:themeColor="text1"/>
        </w:rPr>
        <w:t>cuatro de septiembre de dos mil veinticinco</w:t>
      </w:r>
      <w:r w:rsidRPr="00461B60">
        <w:rPr>
          <w:rFonts w:ascii="Palatino Linotype" w:eastAsia="Palatino Linotype" w:hAnsi="Palatino Linotype" w:cs="Palatino Linotype"/>
          <w:color w:val="000000" w:themeColor="text1"/>
        </w:rPr>
        <w:t>, por lo que  el plazo de quince días hábiles que contempla el artículo 128, de la Ley de Protección de Datos Personales en Posesión de Sujetos Obligados del Estado de México y Municipios, transcurrió del</w:t>
      </w:r>
      <w:r w:rsidRPr="00461B60">
        <w:rPr>
          <w:rFonts w:ascii="Palatino Linotype" w:eastAsia="Palatino Linotype" w:hAnsi="Palatino Linotype" w:cs="Palatino Linotype"/>
          <w:b/>
          <w:bCs/>
          <w:color w:val="000000" w:themeColor="text1"/>
        </w:rPr>
        <w:t xml:space="preserve"> cinco al veintiséis de septiembre de dos mil veinticinco</w:t>
      </w:r>
      <w:r w:rsidRPr="00461B60">
        <w:rPr>
          <w:rFonts w:ascii="Palatino Linotype" w:eastAsia="Palatino Linotype" w:hAnsi="Palatino Linotype" w:cs="Palatino Linotype"/>
          <w:color w:val="000000" w:themeColor="text1"/>
        </w:rPr>
        <w:t xml:space="preserve">; en términos de los artículos 4, fracción XV, de la Ley de Protección de Datos Personales en Posesión de Sujetos Obligados del Estado de México y Municipios y 3, fracción X de la Ley de Transparencia y Acceso a la Información Pública del Estado de México y Municipios, de aplicación supletoria. </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Con base a esta cronología, si el Recurso de Revisión que nos ocupa se interpuso el </w:t>
      </w:r>
      <w:r w:rsidRPr="00461B60">
        <w:rPr>
          <w:rFonts w:ascii="Palatino Linotype" w:eastAsia="Palatino Linotype" w:hAnsi="Palatino Linotype" w:cs="Palatino Linotype"/>
          <w:b/>
          <w:bCs/>
          <w:color w:val="000000" w:themeColor="text1"/>
        </w:rPr>
        <w:t>doce de septiembre de dos mil veinticinco</w:t>
      </w:r>
      <w:r w:rsidRPr="00461B60">
        <w:rPr>
          <w:rFonts w:ascii="Palatino Linotype" w:eastAsia="Palatino Linotype" w:hAnsi="Palatino Linotype" w:cs="Palatino Linotype"/>
          <w:color w:val="000000" w:themeColor="text1"/>
        </w:rPr>
        <w:t xml:space="preserve">, se encuentra dentro de los márgenes temporales previstos en el artículo 128, de la Ley de Protección de Datos Personales en Posesión de Sujetos Obligados del Estado de México y Municipios y, por tanto, su interposición se considera oportuna. </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spacing w:line="360" w:lineRule="auto"/>
        <w:jc w:val="both"/>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b/>
          <w:bCs/>
          <w:color w:val="000000" w:themeColor="text1"/>
        </w:rPr>
        <w:t xml:space="preserve">TERCERO. Del planteamiento de la </w:t>
      </w:r>
      <w:r w:rsidRPr="00461B60">
        <w:rPr>
          <w:rFonts w:ascii="Palatino Linotype" w:eastAsia="Palatino Linotype" w:hAnsi="Palatino Linotype" w:cs="Palatino Linotype"/>
          <w:b/>
          <w:bCs/>
          <w:i/>
          <w:iCs/>
          <w:color w:val="000000" w:themeColor="text1"/>
        </w:rPr>
        <w:t>Litis</w:t>
      </w:r>
      <w:r w:rsidRPr="00461B60">
        <w:rPr>
          <w:rFonts w:ascii="Palatino Linotype" w:eastAsia="Palatino Linotype" w:hAnsi="Palatino Linotype" w:cs="Palatino Linotype"/>
          <w:b/>
          <w:bCs/>
          <w:color w:val="000000" w:themeColor="text1"/>
        </w:rPr>
        <w:t>.</w:t>
      </w:r>
    </w:p>
    <w:p w:rsidR="001F4188" w:rsidRPr="00461B60" w:rsidRDefault="003E5AB7" w:rsidP="00461B60">
      <w:pPr>
        <w:numPr>
          <w:ilvl w:val="0"/>
          <w:numId w:val="1"/>
        </w:numPr>
        <w:pBdr>
          <w:top w:val="nil"/>
          <w:left w:val="nil"/>
          <w:bottom w:val="nil"/>
          <w:right w:val="nil"/>
          <w:between w:val="nil"/>
        </w:pBdr>
        <w:spacing w:after="240" w:line="360" w:lineRule="auto"/>
        <w:ind w:left="0" w:firstLine="0"/>
        <w:jc w:val="both"/>
        <w:rPr>
          <w:rFonts w:ascii="Palatino Linotype" w:hAnsi="Palatino Linotype"/>
          <w:color w:val="000000" w:themeColor="text1"/>
        </w:rPr>
      </w:pPr>
      <w:r w:rsidRPr="00461B60">
        <w:rPr>
          <w:rFonts w:ascii="Palatino Linotype" w:eastAsia="Palatino Linotype" w:hAnsi="Palatino Linotype" w:cs="Palatino Linotype"/>
          <w:color w:val="000000" w:themeColor="text1"/>
        </w:rPr>
        <w:t xml:space="preserve">La </w:t>
      </w:r>
      <w:r w:rsidRPr="00461B60">
        <w:rPr>
          <w:rFonts w:ascii="Palatino Linotype" w:eastAsia="Palatino Linotype" w:hAnsi="Palatino Linotype" w:cs="Palatino Linotype"/>
          <w:b/>
          <w:bCs/>
          <w:color w:val="000000" w:themeColor="text1"/>
        </w:rPr>
        <w:t>RECURRENTE</w:t>
      </w:r>
      <w:r w:rsidRPr="00461B60">
        <w:rPr>
          <w:rFonts w:ascii="Palatino Linotype" w:eastAsia="Palatino Linotype" w:hAnsi="Palatino Linotype" w:cs="Palatino Linotype"/>
          <w:color w:val="000000" w:themeColor="text1"/>
        </w:rPr>
        <w:t xml:space="preserve"> solicitó, tener acceso a los siguientes datos personales:</w:t>
      </w:r>
    </w:p>
    <w:p w:rsidR="001F4188" w:rsidRPr="00461B60" w:rsidRDefault="003E5AB7" w:rsidP="00461B6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A la Presidenta Municipal de Ecatepec de Morelos, solicita que suscriba la respuesta que se brinde a mi solicitud de información, ya que he sido atendida con OPACIDAD, por la Dirección de Medio Ambiente y Ecología. Copia certificada de la respuesta emitida por la Dirección de Medio Ambiente y Ecología, en mi petición de "VALORACION DE RIESGO" en escrito de fecha 02 de mayo de 2023 con número de folio 008530.</w:t>
      </w:r>
    </w:p>
    <w:p w:rsidR="001F4188" w:rsidRPr="00461B60" w:rsidRDefault="001F4188" w:rsidP="00461B6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color w:val="000000" w:themeColor="text1"/>
        </w:rPr>
        <w:lastRenderedPageBreak/>
        <w:t>En respuesta, el Sujeto Obligado</w:t>
      </w:r>
      <w:r w:rsidRPr="00461B60">
        <w:rPr>
          <w:rFonts w:ascii="Palatino Linotype" w:eastAsia="Palatino Linotype" w:hAnsi="Palatino Linotype" w:cs="Palatino Linotype"/>
          <w:b/>
          <w:bCs/>
          <w:color w:val="000000" w:themeColor="text1"/>
        </w:rPr>
        <w:t xml:space="preserve"> </w:t>
      </w:r>
      <w:r w:rsidRPr="00461B60">
        <w:rPr>
          <w:rFonts w:ascii="Palatino Linotype" w:eastAsia="Palatino Linotype" w:hAnsi="Palatino Linotype" w:cs="Palatino Linotype"/>
          <w:color w:val="000000" w:themeColor="text1"/>
        </w:rPr>
        <w:t xml:space="preserve">se pronunció manifestando que </w:t>
      </w:r>
      <w:r w:rsidRPr="00461B60">
        <w:rPr>
          <w:rFonts w:ascii="Palatino Linotype" w:eastAsia="Palatino Linotype" w:hAnsi="Palatino Linotype" w:cs="Palatino Linotype"/>
          <w:i/>
          <w:iCs/>
          <w:color w:val="000000" w:themeColor="text1"/>
        </w:rPr>
        <w:t>la información requerida no corresponde al derecho de acceso a la información, sino al ejercicio de Derechos ARCO. Por lo que hace del conocimiento al solicitante que a fin de atender el requerimiento, deberá hacerlo a través de la vía correcta, es decir, a través del Sistema de Acceso, Rectificación, Cancelación y Oposición de Datos Personales del Estado de México (SARCOEM).</w:t>
      </w:r>
    </w:p>
    <w:p w:rsidR="001F4188" w:rsidRPr="00461B60" w:rsidRDefault="001F4188" w:rsidP="00461B60">
      <w:pPr>
        <w:pBdr>
          <w:top w:val="nil"/>
          <w:left w:val="nil"/>
          <w:bottom w:val="nil"/>
          <w:right w:val="nil"/>
          <w:between w:val="nil"/>
        </w:pBdr>
        <w:rPr>
          <w:rFonts w:ascii="Palatino Linotype" w:eastAsia="Palatino Linotype" w:hAnsi="Palatino Linotype" w:cs="Palatino Linotype"/>
          <w:color w:val="000000" w:themeColor="text1"/>
        </w:rPr>
      </w:pPr>
    </w:p>
    <w:p w:rsidR="001F4188" w:rsidRPr="00461B60" w:rsidRDefault="003E5AB7" w:rsidP="00461B60">
      <w:pPr>
        <w:numPr>
          <w:ilvl w:val="0"/>
          <w:numId w:val="1"/>
        </w:numPr>
        <w:pBdr>
          <w:top w:val="nil"/>
          <w:left w:val="nil"/>
          <w:bottom w:val="nil"/>
          <w:right w:val="nil"/>
          <w:between w:val="nil"/>
        </w:pBdr>
        <w:spacing w:after="240" w:line="360" w:lineRule="auto"/>
        <w:ind w:left="0" w:firstLine="0"/>
        <w:jc w:val="both"/>
        <w:rPr>
          <w:rFonts w:ascii="Palatino Linotype" w:hAnsi="Palatino Linotype"/>
          <w:color w:val="000000" w:themeColor="text1"/>
        </w:rPr>
      </w:pPr>
      <w:r w:rsidRPr="00461B60">
        <w:rPr>
          <w:rFonts w:ascii="Palatino Linotype" w:eastAsia="Palatino Linotype" w:hAnsi="Palatino Linotype" w:cs="Palatino Linotype"/>
          <w:color w:val="000000" w:themeColor="text1"/>
        </w:rPr>
        <w:t xml:space="preserve">Por lo anterior, la Litis a resolver en el presente recurso se circunscribe en determinar si la respuesta del </w:t>
      </w:r>
      <w:r w:rsidRPr="00461B60">
        <w:rPr>
          <w:rFonts w:ascii="Palatino Linotype" w:eastAsia="Palatino Linotype" w:hAnsi="Palatino Linotype" w:cs="Palatino Linotype"/>
          <w:b/>
          <w:bCs/>
          <w:color w:val="000000" w:themeColor="text1"/>
        </w:rPr>
        <w:t>SUJETO OBLIGADO</w:t>
      </w:r>
      <w:r w:rsidRPr="00461B60">
        <w:rPr>
          <w:rFonts w:ascii="Palatino Linotype" w:eastAsia="Palatino Linotype" w:hAnsi="Palatino Linotype" w:cs="Palatino Linotype"/>
          <w:color w:val="000000" w:themeColor="text1"/>
        </w:rPr>
        <w:t xml:space="preserve"> colma el ejercicio de los derechos ARCO ejercido por l</w:t>
      </w:r>
      <w:r w:rsidR="00461B60">
        <w:rPr>
          <w:rFonts w:ascii="Palatino Linotype" w:eastAsia="Palatino Linotype" w:hAnsi="Palatino Linotype" w:cs="Palatino Linotype"/>
          <w:color w:val="000000" w:themeColor="text1"/>
        </w:rPr>
        <w:t>a</w:t>
      </w:r>
      <w:r w:rsidRPr="00461B60">
        <w:rPr>
          <w:rFonts w:ascii="Palatino Linotype" w:eastAsia="Palatino Linotype" w:hAnsi="Palatino Linotype" w:cs="Palatino Linotype"/>
          <w:color w:val="000000" w:themeColor="text1"/>
        </w:rPr>
        <w:t xml:space="preserve"> </w:t>
      </w:r>
      <w:r w:rsidRPr="00461B60">
        <w:rPr>
          <w:rFonts w:ascii="Palatino Linotype" w:eastAsia="Palatino Linotype" w:hAnsi="Palatino Linotype" w:cs="Palatino Linotype"/>
          <w:b/>
          <w:bCs/>
          <w:color w:val="000000" w:themeColor="text1"/>
        </w:rPr>
        <w:t>RECURRENTE</w:t>
      </w:r>
      <w:r w:rsidRPr="00461B60">
        <w:rPr>
          <w:rFonts w:ascii="Palatino Linotype" w:eastAsia="Palatino Linotype" w:hAnsi="Palatino Linotype" w:cs="Palatino Linotype"/>
          <w:color w:val="000000" w:themeColor="text1"/>
        </w:rPr>
        <w:t>; o si, por el contrario, se actualiza la causal de procedencia del recurso de revisión establecida en la fracción XII del artículo 129 de la Ley de Protección de Datos Personales en Posesión de los Sujetos Obligados del Estado de México y Municipios, misma que se transcribe a continuación:</w:t>
      </w:r>
    </w:p>
    <w:p w:rsidR="001F4188" w:rsidRPr="00461B60" w:rsidRDefault="003E5AB7" w:rsidP="00461B60">
      <w:pPr>
        <w:jc w:val="both"/>
        <w:rPr>
          <w:rFonts w:ascii="Palatino Linotype" w:eastAsia="Palatino Linotype" w:hAnsi="Palatino Linotype" w:cs="Palatino Linotype"/>
          <w:b/>
          <w:bCs/>
          <w:i/>
          <w:iCs/>
          <w:color w:val="000000" w:themeColor="text1"/>
        </w:rPr>
      </w:pPr>
      <w:r w:rsidRPr="00461B60">
        <w:rPr>
          <w:rFonts w:ascii="Palatino Linotype" w:eastAsia="Palatino Linotype" w:hAnsi="Palatino Linotype" w:cs="Palatino Linotype"/>
          <w:b/>
          <w:bCs/>
          <w:i/>
          <w:iCs/>
          <w:color w:val="000000" w:themeColor="text1"/>
        </w:rPr>
        <w:t xml:space="preserve">Procedencia del Recurso de Revisión  </w:t>
      </w:r>
    </w:p>
    <w:p w:rsidR="001F4188" w:rsidRPr="00461B60" w:rsidRDefault="003E5AB7" w:rsidP="00461B60">
      <w:pP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Artículo 129</w:t>
      </w:r>
      <w:r w:rsidRPr="00461B60">
        <w:rPr>
          <w:rFonts w:ascii="Palatino Linotype" w:eastAsia="Palatino Linotype" w:hAnsi="Palatino Linotype" w:cs="Palatino Linotype"/>
          <w:i/>
          <w:iCs/>
          <w:color w:val="000000" w:themeColor="text1"/>
        </w:rPr>
        <w:t>. El recurso de revisión procederá en los supuestos siguientes:</w:t>
      </w:r>
    </w:p>
    <w:p w:rsidR="001F4188" w:rsidRPr="00461B60" w:rsidRDefault="003E5AB7" w:rsidP="00461B60">
      <w:pP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Pr="00461B60" w:rsidRDefault="003E5AB7" w:rsidP="00461B60">
      <w:pP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XII. Se considere que la respuesta es desfavorable a su solicitud.</w:t>
      </w:r>
    </w:p>
    <w:p w:rsidR="001F4188" w:rsidRPr="00461B60" w:rsidRDefault="003E5AB7" w:rsidP="00461B60">
      <w:pP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Default="001F4188" w:rsidP="00461B60">
      <w:pPr>
        <w:jc w:val="both"/>
        <w:rPr>
          <w:rFonts w:ascii="Palatino Linotype" w:eastAsia="Palatino Linotype" w:hAnsi="Palatino Linotype" w:cs="Palatino Linotype"/>
          <w:i/>
          <w:iCs/>
          <w:color w:val="000000" w:themeColor="text1"/>
        </w:rPr>
      </w:pPr>
    </w:p>
    <w:p w:rsidR="00C01FE6" w:rsidRDefault="00C01FE6" w:rsidP="00461B60">
      <w:pPr>
        <w:jc w:val="both"/>
        <w:rPr>
          <w:rFonts w:ascii="Palatino Linotype" w:eastAsia="Palatino Linotype" w:hAnsi="Palatino Linotype" w:cs="Palatino Linotype"/>
          <w:i/>
          <w:iCs/>
          <w:color w:val="000000" w:themeColor="text1"/>
        </w:rPr>
      </w:pPr>
    </w:p>
    <w:p w:rsidR="001F4188" w:rsidRPr="00461B60" w:rsidRDefault="003E5AB7" w:rsidP="00461B60">
      <w:pPr>
        <w:pStyle w:val="Ttulo2"/>
        <w:spacing w:before="0" w:line="360" w:lineRule="auto"/>
        <w:rPr>
          <w:rFonts w:ascii="Palatino Linotype" w:eastAsia="Palatino Linotype" w:hAnsi="Palatino Linotype" w:cs="Palatino Linotype"/>
          <w:b/>
          <w:bCs/>
          <w:color w:val="000000" w:themeColor="text1"/>
          <w:sz w:val="24"/>
          <w:szCs w:val="24"/>
        </w:rPr>
      </w:pPr>
      <w:bookmarkStart w:id="5" w:name="_heading=h.fz4hiwp3y71n" w:colFirst="0" w:colLast="0"/>
      <w:bookmarkEnd w:id="5"/>
      <w:r w:rsidRPr="00461B60">
        <w:rPr>
          <w:rFonts w:ascii="Palatino Linotype" w:eastAsia="Palatino Linotype" w:hAnsi="Palatino Linotype" w:cs="Palatino Linotype"/>
          <w:b/>
          <w:bCs/>
          <w:color w:val="000000" w:themeColor="text1"/>
          <w:sz w:val="24"/>
          <w:szCs w:val="24"/>
        </w:rPr>
        <w:t>CUARTO. Estudio de la controversia.</w:t>
      </w:r>
    </w:p>
    <w:p w:rsidR="001F4188" w:rsidRPr="00461B60" w:rsidRDefault="003E5AB7" w:rsidP="00FD5229">
      <w:pPr>
        <w:numPr>
          <w:ilvl w:val="0"/>
          <w:numId w:val="6"/>
        </w:numPr>
        <w:pBdr>
          <w:top w:val="nil"/>
          <w:left w:val="nil"/>
          <w:bottom w:val="nil"/>
          <w:right w:val="nil"/>
          <w:between w:val="nil"/>
        </w:pBdr>
        <w:ind w:left="0" w:firstLine="0"/>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b/>
          <w:bCs/>
          <w:color w:val="000000" w:themeColor="text1"/>
        </w:rPr>
        <w:t>De previo y especial pronunciamiento</w:t>
      </w: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El artículo 155 de la Ley de Transparencia y Acceso a la Información Pública del Estado de México y Municipios establece que, para presentar una solicitud, no se podrán exigir mayores requisitos que los siguientes:</w:t>
      </w:r>
    </w:p>
    <w:p w:rsidR="001F4188" w:rsidRPr="00461B60" w:rsidRDefault="003E5AB7" w:rsidP="00461B60">
      <w:pPr>
        <w:numPr>
          <w:ilvl w:val="1"/>
          <w:numId w:val="7"/>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Nombre del solicitante, o en su caso, los datos generales de su representante; </w:t>
      </w:r>
    </w:p>
    <w:p w:rsidR="001F4188" w:rsidRPr="00461B60" w:rsidRDefault="003E5AB7" w:rsidP="00461B60">
      <w:pPr>
        <w:numPr>
          <w:ilvl w:val="1"/>
          <w:numId w:val="7"/>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Domicilio o en su caso correo electrónico para recibir notificaciones; </w:t>
      </w:r>
    </w:p>
    <w:p w:rsidR="001F4188" w:rsidRPr="00461B60" w:rsidRDefault="003E5AB7" w:rsidP="00461B60">
      <w:pPr>
        <w:numPr>
          <w:ilvl w:val="1"/>
          <w:numId w:val="7"/>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La descripción de la información solicitada; </w:t>
      </w:r>
    </w:p>
    <w:p w:rsidR="001F4188" w:rsidRPr="00461B60" w:rsidRDefault="003E5AB7" w:rsidP="00461B60">
      <w:pPr>
        <w:numPr>
          <w:ilvl w:val="1"/>
          <w:numId w:val="7"/>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lastRenderedPageBreak/>
        <w:t xml:space="preserve">Cualquier otro dato que facilite la búsqueda y eventual localización de la información; y </w:t>
      </w:r>
    </w:p>
    <w:p w:rsidR="001F4188" w:rsidRPr="00461B60" w:rsidRDefault="003E5AB7" w:rsidP="00461B60">
      <w:pPr>
        <w:numPr>
          <w:ilvl w:val="1"/>
          <w:numId w:val="7"/>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No obstante lo anterior, si bien el nombre de quien solicita la información (o su representante) es considerado como un elemento de forma de las solicitudes de información, como se ha expresado en párrafos previos, las solicitudes pueden ser promovidas de forma anónima, con nombre incompleto o, inclusive, mediante el uso de un seudónimo; por lo tanto, </w:t>
      </w:r>
      <w:r w:rsidRPr="00461B60">
        <w:rPr>
          <w:rFonts w:ascii="Palatino Linotype" w:eastAsia="Palatino Linotype" w:hAnsi="Palatino Linotype" w:cs="Palatino Linotype"/>
          <w:b/>
          <w:bCs/>
          <w:color w:val="000000" w:themeColor="text1"/>
        </w:rPr>
        <w:t>no es un requisito indispensable para el ejercicio del derecho de acceso a la información</w:t>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Caso contrario resultaría si la solicitud se tratarse de un ejercicio de derechos ARCO (acceso, rectificación, cancelación u oposición de datos personales), pues de conformidad con lo establecido en el artículo 110 de la Ley de Protección de Datos Personales en Posesión de Sujetos Obligados del Estado de México y Municipios, las solicitudes para ejercer estos derechos deberán contener </w:t>
      </w:r>
      <w:r w:rsidRPr="00461B60">
        <w:rPr>
          <w:rFonts w:ascii="Palatino Linotype" w:eastAsia="Palatino Linotype" w:hAnsi="Palatino Linotype" w:cs="Palatino Linotype"/>
          <w:i/>
          <w:iCs/>
          <w:color w:val="000000" w:themeColor="text1"/>
        </w:rPr>
        <w:t>a fortiori</w:t>
      </w:r>
      <w:r w:rsidRPr="00461B60">
        <w:rPr>
          <w:rFonts w:ascii="Palatino Linotype" w:eastAsia="Palatino Linotype" w:hAnsi="Palatino Linotype" w:cs="Palatino Linotype"/>
          <w:color w:val="000000" w:themeColor="text1"/>
        </w:rPr>
        <w:t xml:space="preserve"> lo siguiente:</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1"/>
          <w:numId w:val="8"/>
        </w:numPr>
        <w:pBdr>
          <w:top w:val="nil"/>
          <w:left w:val="nil"/>
          <w:bottom w:val="nil"/>
          <w:right w:val="nil"/>
          <w:between w:val="nil"/>
        </w:pBdr>
        <w:tabs>
          <w:tab w:val="left" w:pos="426"/>
        </w:tabs>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El nombre del titular y su domicilio, o cualquier otro medio para recibir notificaciones. </w:t>
      </w:r>
    </w:p>
    <w:p w:rsidR="001F4188" w:rsidRPr="00461B60" w:rsidRDefault="003E5AB7" w:rsidP="00461B60">
      <w:pPr>
        <w:numPr>
          <w:ilvl w:val="1"/>
          <w:numId w:val="8"/>
        </w:numPr>
        <w:pBdr>
          <w:top w:val="nil"/>
          <w:left w:val="nil"/>
          <w:bottom w:val="nil"/>
          <w:right w:val="nil"/>
          <w:between w:val="nil"/>
        </w:pBdr>
        <w:tabs>
          <w:tab w:val="left" w:pos="426"/>
        </w:tabs>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Los documentos que acrediten la identidad del titular y en su caso, la personalidad e identidad de su representante. </w:t>
      </w:r>
    </w:p>
    <w:p w:rsidR="001F4188" w:rsidRPr="00461B60" w:rsidRDefault="003E5AB7" w:rsidP="00461B60">
      <w:pPr>
        <w:numPr>
          <w:ilvl w:val="1"/>
          <w:numId w:val="8"/>
        </w:numPr>
        <w:pBdr>
          <w:top w:val="nil"/>
          <w:left w:val="nil"/>
          <w:bottom w:val="nil"/>
          <w:right w:val="nil"/>
          <w:between w:val="nil"/>
        </w:pBdr>
        <w:tabs>
          <w:tab w:val="left" w:pos="426"/>
        </w:tabs>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De ser posible, el área responsable que trata los datos personales y ante el cual se presenta la solicitud. </w:t>
      </w:r>
    </w:p>
    <w:p w:rsidR="001F4188" w:rsidRPr="00461B60" w:rsidRDefault="003E5AB7" w:rsidP="00461B60">
      <w:pPr>
        <w:numPr>
          <w:ilvl w:val="1"/>
          <w:numId w:val="8"/>
        </w:numPr>
        <w:pBdr>
          <w:top w:val="nil"/>
          <w:left w:val="nil"/>
          <w:bottom w:val="nil"/>
          <w:right w:val="nil"/>
          <w:between w:val="nil"/>
        </w:pBdr>
        <w:tabs>
          <w:tab w:val="left" w:pos="426"/>
        </w:tabs>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La descripción clara y precisa de los datos personales respecto de los que se busca ejercer alguno de los derechos ARCO, salvo que se trate del derecho de acceso. </w:t>
      </w:r>
    </w:p>
    <w:p w:rsidR="001F4188" w:rsidRPr="00461B60" w:rsidRDefault="003E5AB7" w:rsidP="00461B60">
      <w:pPr>
        <w:numPr>
          <w:ilvl w:val="1"/>
          <w:numId w:val="8"/>
        </w:numPr>
        <w:pBdr>
          <w:top w:val="nil"/>
          <w:left w:val="nil"/>
          <w:bottom w:val="nil"/>
          <w:right w:val="nil"/>
          <w:between w:val="nil"/>
        </w:pBdr>
        <w:tabs>
          <w:tab w:val="left" w:pos="426"/>
        </w:tabs>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La descripción del derecho ARCO que se pretende ejercer, o bien, lo que solicita el titular. </w:t>
      </w:r>
    </w:p>
    <w:p w:rsidR="001F4188" w:rsidRPr="00461B60" w:rsidRDefault="003E5AB7" w:rsidP="00461B60">
      <w:pPr>
        <w:numPr>
          <w:ilvl w:val="1"/>
          <w:numId w:val="8"/>
        </w:numPr>
        <w:pBdr>
          <w:top w:val="nil"/>
          <w:left w:val="nil"/>
          <w:bottom w:val="nil"/>
          <w:right w:val="nil"/>
          <w:between w:val="nil"/>
        </w:pBdr>
        <w:tabs>
          <w:tab w:val="left" w:pos="426"/>
        </w:tabs>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Cualquier otro elemento o documento que facilite la localización de los datos personales, en su caso.</w:t>
      </w:r>
    </w:p>
    <w:p w:rsidR="001F4188" w:rsidRPr="00461B60" w:rsidRDefault="001F4188" w:rsidP="00461B60">
      <w:pPr>
        <w:pBdr>
          <w:top w:val="nil"/>
          <w:left w:val="nil"/>
          <w:bottom w:val="nil"/>
          <w:right w:val="nil"/>
          <w:between w:val="nil"/>
        </w:pBdr>
        <w:tabs>
          <w:tab w:val="left" w:pos="426"/>
        </w:tabs>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lastRenderedPageBreak/>
        <w:t xml:space="preserve">Lo anterior se expresa dado que en el presente asunto se advierte que la </w:t>
      </w:r>
      <w:r w:rsidRPr="00461B60">
        <w:rPr>
          <w:rFonts w:ascii="Palatino Linotype" w:eastAsia="Palatino Linotype" w:hAnsi="Palatino Linotype" w:cs="Palatino Linotype"/>
          <w:b/>
          <w:bCs/>
          <w:color w:val="000000" w:themeColor="text1"/>
        </w:rPr>
        <w:t xml:space="preserve">RECURRENTE </w:t>
      </w:r>
      <w:r w:rsidRPr="00461B60">
        <w:rPr>
          <w:rFonts w:ascii="Palatino Linotype" w:eastAsia="Palatino Linotype" w:hAnsi="Palatino Linotype" w:cs="Palatino Linotype"/>
          <w:color w:val="000000" w:themeColor="text1"/>
        </w:rPr>
        <w:t xml:space="preserve">si bien en la solicitud no adjunto documento de identificación, atendió la prevención realizada por este Instituto, adjuntando copia de identificación oficial consistente en credencial para votar expedida por el Instituto Nacional Electoral a favor de </w:t>
      </w:r>
      <w:r w:rsidR="00FD5229">
        <w:rPr>
          <w:rFonts w:ascii="Palatino Linotype" w:eastAsia="Palatino Linotype" w:hAnsi="Palatino Linotype" w:cs="Palatino Linotype"/>
          <w:color w:val="000000" w:themeColor="text1"/>
        </w:rPr>
        <w:t>XXXX</w:t>
      </w:r>
      <w:r w:rsidRPr="00461B60">
        <w:rPr>
          <w:rFonts w:ascii="Palatino Linotype" w:eastAsia="Palatino Linotype" w:hAnsi="Palatino Linotype" w:cs="Palatino Linotype"/>
          <w:color w:val="000000" w:themeColor="text1"/>
        </w:rPr>
        <w:t>, mismo que coincide con el nombre proporcionado en la solicitud.</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Así las cosas, debemos puntualizar que los particulares no son expertos en la materia y, en ocasiones, pueden desconocer la vía para poder tener acceso a documentos en los que constan sus datos personales; por esa razón, a fin de tutelar las garantías de </w:t>
      </w:r>
      <w:r w:rsidRPr="00461B60">
        <w:rPr>
          <w:rFonts w:ascii="Palatino Linotype" w:eastAsia="Palatino Linotype" w:hAnsi="Palatino Linotype" w:cs="Palatino Linotype"/>
          <w:b/>
          <w:bCs/>
          <w:color w:val="000000" w:themeColor="text1"/>
        </w:rPr>
        <w:t>eficacia, prontitud y expeditéz</w:t>
      </w:r>
      <w:r w:rsidRPr="00461B60">
        <w:rPr>
          <w:rFonts w:ascii="Palatino Linotype" w:eastAsia="Palatino Linotype" w:hAnsi="Palatino Linotype" w:cs="Palatino Linotype"/>
          <w:color w:val="000000" w:themeColor="text1"/>
        </w:rPr>
        <w:t xml:space="preserve"> que mandata la Constitución Política de los Estados Unidos Mexicanos, este Organismo Garante posee las atribuciones necesarias y suficientes para </w:t>
      </w:r>
      <w:r w:rsidRPr="00461B60">
        <w:rPr>
          <w:rFonts w:ascii="Palatino Linotype" w:eastAsia="Palatino Linotype" w:hAnsi="Palatino Linotype" w:cs="Palatino Linotype"/>
          <w:b/>
          <w:bCs/>
          <w:color w:val="000000" w:themeColor="text1"/>
        </w:rPr>
        <w:t>reconducir</w:t>
      </w:r>
      <w:r w:rsidRPr="00461B60">
        <w:rPr>
          <w:rFonts w:ascii="Palatino Linotype" w:eastAsia="Palatino Linotype" w:hAnsi="Palatino Linotype" w:cs="Palatino Linotype"/>
          <w:color w:val="000000" w:themeColor="text1"/>
        </w:rPr>
        <w:t xml:space="preserve"> la vía de impugnación hacia un derecho distinto, igualmente tutelado por este Órgano Garante.</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En ese sentido, de ser el caso de que el Sujeto Obligado, o el mismo Organismo Garante, detectasen que una solicitud de acceso a información pública tiene como fin el ejercicio de derechos ARCO, se podría realizar un enderezamiento para tramitarse como el segundo, siempre y cuando se acrediten los requisitos que establece el artículo 110 de la Ley de Protección de Datos Personales en Posesión de Sujetos Obligados del Estado de México y Municipios.</w:t>
      </w:r>
    </w:p>
    <w:p w:rsidR="001F4188" w:rsidRPr="00461B60" w:rsidRDefault="001F4188" w:rsidP="00461B60">
      <w:pPr>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Sustenta lo anterior el Criterio de Interpretación número 001/2023 emitido por el Órgano Garante Nacional, cuyo rubro y texto establece lo siguiente:</w:t>
      </w:r>
    </w:p>
    <w:p w:rsidR="001F4188" w:rsidRPr="00461B60" w:rsidRDefault="003E5AB7" w:rsidP="00461B60">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OBLIGACIÓN DE DAR TRÁMITE A SOLICITUDES QUE IMPLIQUEN TANTO EL EJERCICIO DE DERECHOS ARCO, COMO DE ACCESO A LA INFORMACIÓN PÚBLICA</w:t>
      </w:r>
      <w:r w:rsidRPr="00461B60">
        <w:rPr>
          <w:rFonts w:ascii="Palatino Linotype" w:eastAsia="Palatino Linotype" w:hAnsi="Palatino Linotype" w:cs="Palatino Linotype"/>
          <w:i/>
          <w:iCs/>
          <w:color w:val="000000" w:themeColor="text1"/>
        </w:rPr>
        <w:t xml:space="preserve">. “De conformidad con el principio de celeridad, cuando en una misma solicitud en la que el particular ejerza derechos ARCO, pretenda ejercer su derecho de acceso a la información pública, los sujetos </w:t>
      </w:r>
      <w:r w:rsidRPr="00461B60">
        <w:rPr>
          <w:rFonts w:ascii="Palatino Linotype" w:eastAsia="Palatino Linotype" w:hAnsi="Palatino Linotype" w:cs="Palatino Linotype"/>
          <w:i/>
          <w:iCs/>
          <w:color w:val="000000" w:themeColor="text1"/>
        </w:rPr>
        <w:lastRenderedPageBreak/>
        <w:t>obligados deberán atender los requerimientos en términos de la normativa aplicable a cada derecho, sin necesidad de que la persona solicitante deba presentar una nueva solicitud.”</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Por lo tanto, toda vez que este Organismo Garante, advirtió derivado de las constancias y, del pronunciamiento expreso del particular que en la solicitud de información que se analiza en el presente proveído no se pretende ejercer un derecho de acceso a la información, sino de derechos ARCO, se determinó decretar la </w:t>
      </w:r>
      <w:r w:rsidRPr="00461B60">
        <w:rPr>
          <w:rFonts w:ascii="Palatino Linotype" w:eastAsia="Palatino Linotype" w:hAnsi="Palatino Linotype" w:cs="Palatino Linotype"/>
          <w:b/>
          <w:bCs/>
          <w:color w:val="000000" w:themeColor="text1"/>
        </w:rPr>
        <w:t>reconducción</w:t>
      </w:r>
      <w:r w:rsidRPr="00461B60">
        <w:rPr>
          <w:rFonts w:ascii="Palatino Linotype" w:eastAsia="Palatino Linotype" w:hAnsi="Palatino Linotype" w:cs="Palatino Linotype"/>
          <w:color w:val="000000" w:themeColor="text1"/>
        </w:rPr>
        <w:t xml:space="preserve"> del presente recurso de revisión bajo el amparo del principio de </w:t>
      </w:r>
      <w:r w:rsidRPr="00461B60">
        <w:rPr>
          <w:rFonts w:ascii="Palatino Linotype" w:eastAsia="Palatino Linotype" w:hAnsi="Palatino Linotype" w:cs="Palatino Linotype"/>
          <w:b/>
          <w:bCs/>
          <w:color w:val="000000" w:themeColor="text1"/>
        </w:rPr>
        <w:t>máxima publicidad</w:t>
      </w:r>
      <w:r w:rsidRPr="00461B60">
        <w:rPr>
          <w:rFonts w:ascii="Palatino Linotype" w:eastAsia="Palatino Linotype" w:hAnsi="Palatino Linotype" w:cs="Palatino Linotype"/>
          <w:color w:val="000000" w:themeColor="text1"/>
        </w:rPr>
        <w:t xml:space="preserve"> consagrado en el numeral 8 de la Ley de Transparencia y Acceso a la Información Pública del Estado de México y Municipios, que es del tenor literal siguiente:</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r w:rsidRPr="00461B60">
        <w:rPr>
          <w:rFonts w:ascii="Palatino Linotype" w:eastAsia="Palatino Linotype" w:hAnsi="Palatino Linotype" w:cs="Palatino Linotype"/>
          <w:b/>
          <w:bCs/>
          <w:i/>
          <w:iCs/>
          <w:color w:val="000000" w:themeColor="text1"/>
        </w:rPr>
        <w:t>Artículo 8</w:t>
      </w:r>
      <w:r w:rsidRPr="00461B60">
        <w:rPr>
          <w:rFonts w:ascii="Palatino Linotype" w:eastAsia="Palatino Linotype" w:hAnsi="Palatino Linotype" w:cs="Palatino Linotype"/>
          <w:i/>
          <w:iCs/>
          <w:color w:val="000000" w:themeColor="text1"/>
        </w:rPr>
        <w:t>. El derecho de acceso a la información o la clasificación de la información se interpretarán conforme a los principios establecidos en la Constitución Federal, los tratados internacionales de los que el Estado mexicano sea parte, la Ley General,  Vigente a la fecha de la solicitud, la Constitución Local y la presente Ley.</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En la aplicación e interpretación de la presente Ley deberá prevalecer el principio de máxima publicidad, conforme a lo dispuesto en la Constitución Federal, en los tratados internacionales de los que el Estado mexicano sea parte, la Ley General, Vigente a la fecha de la solicitud,  la Constitución Local, así como en las resoluciones y sentencias vinculantes que emitan los órganos nacionales e internacionales especializados, favoreciendo en todo tiempo a las personas la protección más amplia, atendiendo al principio pro persona.</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Robustece lo anterior la tesis jurisprudencial 1a. CCCXXVII/2014 (10a.) emitida por la Primera Sala de la Suprema Corte de Justicia de la Nación, cuyo sentido es el siguiente:</w:t>
      </w:r>
    </w:p>
    <w:p w:rsidR="001F4188" w:rsidRPr="00461B60" w:rsidRDefault="003E5AB7" w:rsidP="00461B60">
      <w:pPr>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b/>
          <w:bCs/>
          <w:i/>
          <w:iCs/>
          <w:color w:val="000000" w:themeColor="text1"/>
        </w:rPr>
        <w:t xml:space="preserve">PRINCIPIO PRO PERSONA. REQUISITOS MÍNIMOS PARA QUE SE ATIENDA EL FONDO DE LA SOLICITUD DE SU APLICACIÓN, O LA </w:t>
      </w:r>
      <w:r w:rsidRPr="00461B60">
        <w:rPr>
          <w:rFonts w:ascii="Palatino Linotype" w:eastAsia="Palatino Linotype" w:hAnsi="Palatino Linotype" w:cs="Palatino Linotype"/>
          <w:i/>
          <w:iCs/>
          <w:color w:val="000000" w:themeColor="text1"/>
        </w:rPr>
        <w:t>IMPUGNACIÓN</w:t>
      </w:r>
      <w:r w:rsidRPr="00461B60">
        <w:rPr>
          <w:rFonts w:ascii="Palatino Linotype" w:eastAsia="Palatino Linotype" w:hAnsi="Palatino Linotype" w:cs="Palatino Linotype"/>
          <w:b/>
          <w:bCs/>
          <w:i/>
          <w:iCs/>
          <w:color w:val="000000" w:themeColor="text1"/>
        </w:rPr>
        <w:t xml:space="preserve"> DE SU OMISIÓN POR LA AUTORIDAD RESPONSABLE.</w:t>
      </w:r>
      <w:r w:rsidRPr="00461B60">
        <w:rPr>
          <w:rFonts w:ascii="Palatino Linotype" w:eastAsia="Palatino Linotype" w:hAnsi="Palatino Linotype" w:cs="Palatino Linotype"/>
          <w:i/>
          <w:iCs/>
          <w:color w:val="000000" w:themeColor="text1"/>
        </w:rPr>
        <w:t xml:space="preserve"> “El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w:t>
      </w:r>
      <w:r w:rsidRPr="00461B60">
        <w:rPr>
          <w:rFonts w:ascii="Palatino Linotype" w:eastAsia="Palatino Linotype" w:hAnsi="Palatino Linotype" w:cs="Palatino Linotype"/>
          <w:i/>
          <w:iCs/>
          <w:color w:val="000000" w:themeColor="text1"/>
        </w:rPr>
        <w:lastRenderedPageBreak/>
        <w:t>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r w:rsidRPr="00461B60">
        <w:rPr>
          <w:rFonts w:ascii="Palatino Linotype" w:eastAsia="Palatino Linotype" w:hAnsi="Palatino Linotype" w:cs="Palatino Linotype"/>
          <w:i/>
          <w:iCs/>
          <w:color w:val="000000" w:themeColor="text1"/>
          <w:vertAlign w:val="superscript"/>
        </w:rPr>
        <w:footnoteReference w:id="1"/>
      </w:r>
      <w:r w:rsidRPr="00461B60">
        <w:rPr>
          <w:rFonts w:ascii="Palatino Linotype" w:eastAsia="Palatino Linotype" w:hAnsi="Palatino Linotype" w:cs="Palatino Linotype"/>
          <w:i/>
          <w:iCs/>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En otras palabras, en </w:t>
      </w:r>
      <w:r w:rsidRPr="00461B60">
        <w:rPr>
          <w:rFonts w:ascii="Palatino Linotype" w:eastAsia="Palatino Linotype" w:hAnsi="Palatino Linotype" w:cs="Palatino Linotype"/>
          <w:i/>
          <w:iCs/>
          <w:color w:val="000000" w:themeColor="text1"/>
        </w:rPr>
        <w:t xml:space="preserve">pro </w:t>
      </w:r>
      <w:r w:rsidRPr="00461B60">
        <w:rPr>
          <w:rFonts w:ascii="Palatino Linotype" w:eastAsia="Palatino Linotype" w:hAnsi="Palatino Linotype" w:cs="Palatino Linotype"/>
          <w:color w:val="000000" w:themeColor="text1"/>
        </w:rPr>
        <w:t xml:space="preserve">de asistir a la protección más amplia posible a favor de la persona, de conformidad con los principios de universalidad, interdependencia, indivisibilidad y progresividad; estimando la observancia de las subgarantías de </w:t>
      </w:r>
      <w:r w:rsidRPr="00461B60">
        <w:rPr>
          <w:rFonts w:ascii="Palatino Linotype" w:eastAsia="Palatino Linotype" w:hAnsi="Palatino Linotype" w:cs="Palatino Linotype"/>
          <w:b/>
          <w:bCs/>
          <w:color w:val="000000" w:themeColor="text1"/>
        </w:rPr>
        <w:t>prontitud</w:t>
      </w:r>
      <w:r w:rsidRPr="00461B60">
        <w:rPr>
          <w:rFonts w:ascii="Palatino Linotype" w:eastAsia="Palatino Linotype" w:hAnsi="Palatino Linotype" w:cs="Palatino Linotype"/>
          <w:color w:val="000000" w:themeColor="text1"/>
        </w:rPr>
        <w:t xml:space="preserve">, </w:t>
      </w:r>
      <w:r w:rsidRPr="00461B60">
        <w:rPr>
          <w:rFonts w:ascii="Palatino Linotype" w:eastAsia="Palatino Linotype" w:hAnsi="Palatino Linotype" w:cs="Palatino Linotype"/>
          <w:b/>
          <w:bCs/>
          <w:color w:val="000000" w:themeColor="text1"/>
        </w:rPr>
        <w:t>eficacia</w:t>
      </w:r>
      <w:r w:rsidRPr="00461B60">
        <w:rPr>
          <w:rFonts w:ascii="Palatino Linotype" w:eastAsia="Palatino Linotype" w:hAnsi="Palatino Linotype" w:cs="Palatino Linotype"/>
          <w:color w:val="000000" w:themeColor="text1"/>
        </w:rPr>
        <w:t xml:space="preserve"> y </w:t>
      </w:r>
      <w:r w:rsidRPr="00461B60">
        <w:rPr>
          <w:rFonts w:ascii="Palatino Linotype" w:eastAsia="Palatino Linotype" w:hAnsi="Palatino Linotype" w:cs="Palatino Linotype"/>
          <w:b/>
          <w:bCs/>
          <w:color w:val="000000" w:themeColor="text1"/>
        </w:rPr>
        <w:t>expeditéz</w:t>
      </w:r>
      <w:r w:rsidRPr="00461B60">
        <w:rPr>
          <w:rFonts w:ascii="Palatino Linotype" w:eastAsia="Palatino Linotype" w:hAnsi="Palatino Linotype" w:cs="Palatino Linotype"/>
          <w:color w:val="000000" w:themeColor="text1"/>
        </w:rPr>
        <w:t xml:space="preserve">, se realizó la </w:t>
      </w:r>
      <w:r w:rsidRPr="00461B60">
        <w:rPr>
          <w:rFonts w:ascii="Palatino Linotype" w:eastAsia="Palatino Linotype" w:hAnsi="Palatino Linotype" w:cs="Palatino Linotype"/>
          <w:b/>
          <w:bCs/>
          <w:color w:val="000000" w:themeColor="text1"/>
        </w:rPr>
        <w:t>reconducción de la vía</w:t>
      </w:r>
      <w:r w:rsidRPr="00461B60">
        <w:rPr>
          <w:rFonts w:ascii="Palatino Linotype" w:eastAsia="Palatino Linotype" w:hAnsi="Palatino Linotype" w:cs="Palatino Linotype"/>
          <w:color w:val="000000" w:themeColor="text1"/>
        </w:rPr>
        <w:t>, originalmente como un ejercicio del derecho de acceso a la información pública, al ejercicio de derechos ARCO del Recurrente; para lo cual, sirve como criterio orientador la tesis jurisprudencial número 2008230. XXVII.3o. J/16 (10a.)., que a la letra dice:</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lastRenderedPageBreak/>
        <w:t>SUBGARANTÍAS DE PRONTITUD, EFICACIA Y EXPEDITEZ CONTENIDAS EN EL SEGUNDO PÁRRAFO DEL ARTÍCULO 17 DE LA CONSTITUCIÓN FEDERAL. NO SON PRIVATIVAS DEL ÁMBITO JUDICIAL, SINO QUE SU DIMENSIÓN DE ACCESO A LA JUSTICIA COMPRENDE LOS PROCEDIMIENTOS ADMINISTRATIVOS DE CARÁCTER NO CONTENCIOSO SEGUIDOS ANTE LAS DEPENDENCIAS DEL PODER EJECUTIVO.</w:t>
      </w:r>
      <w:r w:rsidRPr="00461B60">
        <w:rPr>
          <w:rFonts w:ascii="Palatino Linotype" w:eastAsia="Palatino Linotype" w:hAnsi="Palatino Linotype" w:cs="Palatino Linotype"/>
          <w:i/>
          <w:iCs/>
          <w:color w:val="000000" w:themeColor="text1"/>
        </w:rPr>
        <w:t xml:space="preserve"> “El artículo 1o., tercer párrafo, de la Constitución Política de los Estados Unidos Mexicanos establece la obligación de toda autoridad de promover, respetar y garantizar los derechos humanos, favoreciendo la protección más amplia posible a favor de la persona, de conformidad con los principios de universalidad, interdependencia, indivisibilidad y progresividad. En tales condiciones, debe estimarse que la observancia de las subgarantías de prontitud, eficacia y expeditez contenidas en el segundo párrafo del artículo 17 de la Carta Magna, no sólo resulta atribuible a las autoridades que ejerzan actos materialmente jurisdiccionales, sino que debe expandirse a todas las manifestaciones del poder público, como son los procedimientos administrativos no contenciosos seguidos ante las dependencias del Poder Ejecutivo. Ello es así, pues la eficacia de la autoridad administrativa presupone no sólo una sujeción irrestricta a los procedimientos señalados en la ley y los reglamentos, sino también que su proceder no puede ser ajeno a la tutela del derecho de acceso a la jurisdicción en las vertientes señaladas, lo que, además, implica en un correcto ejercicio de la función pública, la adopción de medidas, actuaciones y decisiones eficaces, ágiles y respetuosas de los derechos de los administrados, razones por las que las citadas subgarantías de prontitud, eficacia y expeditez no pueden ser privativas del ámbito judicial, sino que comprenden la producción de los actos administrativos.”</w:t>
      </w:r>
    </w:p>
    <w:p w:rsidR="001F4188" w:rsidRPr="00461B60" w:rsidRDefault="001F4188" w:rsidP="00461B60">
      <w:pPr>
        <w:rPr>
          <w:rFonts w:ascii="Palatino Linotype" w:eastAsia="Palatino Linotype" w:hAnsi="Palatino Linotype" w:cs="Palatino Linotype"/>
          <w:color w:val="000000" w:themeColor="text1"/>
        </w:rPr>
      </w:pPr>
    </w:p>
    <w:p w:rsidR="001F4188" w:rsidRPr="00461B60" w:rsidRDefault="001F4188" w:rsidP="00461B60">
      <w:pPr>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Agregando a lo anterior, podemos advertir que </w:t>
      </w:r>
      <w:r w:rsidRPr="00461B60">
        <w:rPr>
          <w:rFonts w:ascii="Palatino Linotype" w:eastAsia="Palatino Linotype" w:hAnsi="Palatino Linotype" w:cs="Palatino Linotype"/>
          <w:b/>
          <w:bCs/>
          <w:color w:val="000000" w:themeColor="text1"/>
        </w:rPr>
        <w:t xml:space="preserve">EL SUJETO OBLIGADO </w:t>
      </w:r>
      <w:r w:rsidRPr="00461B60">
        <w:rPr>
          <w:rFonts w:ascii="Palatino Linotype" w:eastAsia="Palatino Linotype" w:hAnsi="Palatino Linotype" w:cs="Palatino Linotype"/>
          <w:color w:val="000000" w:themeColor="text1"/>
        </w:rPr>
        <w:t>debió seguir el procedimiento inmerso en la normatividad aplicable, turnando el requerimiento de información a las unidades administrativas competentes, vigilando lo establecido por el artículo 162 de la Ley de Transparencia y Acceso a la Información Pública del Estado de México y Municipios, al turnar la solicitud de información a las áreas en las que pudiera obrar la información de conformidad con la fracción XXXIX del artículo tercero de la legislación local vigente en materia de transparencia:</w:t>
      </w:r>
    </w:p>
    <w:p w:rsidR="001F4188" w:rsidRPr="00461B60" w:rsidRDefault="003E5AB7" w:rsidP="00461B60">
      <w:pP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XXXIX.</w:t>
      </w:r>
      <w:r w:rsidRPr="00461B60">
        <w:rPr>
          <w:rFonts w:ascii="Palatino Linotype" w:eastAsia="Palatino Linotype" w:hAnsi="Palatino Linotype" w:cs="Palatino Linotype"/>
          <w:i/>
          <w:iCs/>
          <w:color w:val="000000" w:themeColor="text1"/>
        </w:rPr>
        <w:t xml:space="preserve"> </w:t>
      </w:r>
      <w:r w:rsidRPr="00461B60">
        <w:rPr>
          <w:rFonts w:ascii="Palatino Linotype" w:eastAsia="Palatino Linotype" w:hAnsi="Palatino Linotype" w:cs="Palatino Linotype"/>
          <w:b/>
          <w:bCs/>
          <w:i/>
          <w:iCs/>
          <w:color w:val="000000" w:themeColor="text1"/>
        </w:rPr>
        <w:t>Servidor público habilitado</w:t>
      </w:r>
      <w:r w:rsidRPr="00461B60">
        <w:rPr>
          <w:rFonts w:ascii="Palatino Linotype" w:eastAsia="Palatino Linotype" w:hAnsi="Palatino Linotype" w:cs="Palatino Linotype"/>
          <w:i/>
          <w:iCs/>
          <w:color w:val="000000" w:themeColor="text1"/>
        </w:rPr>
        <w:t xml:space="preserve">: Persona encargada dentro de las diversas unidades administrativas o áreas del sujeto obligado, de apoyar, gestionar y entregar la información o datos personales que se ubiquen en la misma, a sus respectivas unidades de transparencia; respecto de las </w:t>
      </w:r>
      <w:r w:rsidRPr="00461B60">
        <w:rPr>
          <w:rFonts w:ascii="Palatino Linotype" w:eastAsia="Palatino Linotype" w:hAnsi="Palatino Linotype" w:cs="Palatino Linotype"/>
          <w:i/>
          <w:iCs/>
          <w:color w:val="000000" w:themeColor="text1"/>
        </w:rPr>
        <w:lastRenderedPageBreak/>
        <w:t>solicitudes presentadas y aportar en primera instancia el fundamento y motivación de la clasificación de la información.</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Es así que, resulta necesario mencionar lo que señala el Criterio orientador 02/17 emitido por el Instituto Nacional de Transparencia, Acceso a la Información y Protección de Datos Personales el cual establece lo siguiente: </w:t>
      </w:r>
    </w:p>
    <w:p w:rsidR="001F4188"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Congruencia y exhaustividad</w:t>
      </w:r>
      <w:r w:rsidRPr="00461B60">
        <w:rPr>
          <w:rFonts w:ascii="Palatino Linotype" w:eastAsia="Palatino Linotype" w:hAnsi="Palatino Linotype" w:cs="Palatino Linotype"/>
          <w:i/>
          <w:iCs/>
          <w:color w:val="000000" w:themeColor="text1"/>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w:t>
      </w:r>
    </w:p>
    <w:p w:rsidR="00FD5229" w:rsidRDefault="00FD5229"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D5229" w:rsidRPr="00461B60" w:rsidRDefault="00FD5229"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De esta manera, los sujetos obligados para garantizar el derecho de acceso a la Información, deberán cumplir con los principios de exhaustividad y congruencia, esto es, que </w:t>
      </w:r>
      <w:r w:rsidRPr="00461B60">
        <w:rPr>
          <w:rFonts w:ascii="Palatino Linotype" w:eastAsia="Palatino Linotype" w:hAnsi="Palatino Linotype" w:cs="Palatino Linotype"/>
          <w:b/>
          <w:bCs/>
          <w:color w:val="000000" w:themeColor="text1"/>
        </w:rPr>
        <w:t>la congruencia implica que exista concordancia entre el requerimiento formulado por el particular y la respuesta proporcionada por el sujeto obligado</w:t>
      </w:r>
      <w:r w:rsidRPr="00461B60">
        <w:rPr>
          <w:rFonts w:ascii="Palatino Linotype" w:eastAsia="Palatino Linotype" w:hAnsi="Palatino Linotype" w:cs="Palatino Linotype"/>
          <w:color w:val="000000" w:themeColor="text1"/>
        </w:rPr>
        <w:t xml:space="preserve">, mientras que </w:t>
      </w:r>
      <w:r w:rsidRPr="00461B60">
        <w:rPr>
          <w:rFonts w:ascii="Palatino Linotype" w:eastAsia="Palatino Linotype" w:hAnsi="Palatino Linotype" w:cs="Palatino Linotype"/>
          <w:b/>
          <w:bCs/>
          <w:color w:val="000000" w:themeColor="text1"/>
        </w:rPr>
        <w:t>la exhaustividad establece que el sujeto obligado deberá atender de manera expresa cada uno de los puntos solicitados</w:t>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b/>
          <w:bCs/>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color w:val="000000" w:themeColor="text1"/>
        </w:rPr>
        <w:t xml:space="preserve">El </w:t>
      </w:r>
      <w:r w:rsidRPr="00461B60">
        <w:rPr>
          <w:rFonts w:ascii="Palatino Linotype" w:eastAsia="Palatino Linotype" w:hAnsi="Palatino Linotype" w:cs="Palatino Linotype"/>
          <w:b/>
          <w:bCs/>
          <w:color w:val="000000" w:themeColor="text1"/>
        </w:rPr>
        <w:t>procedimiento</w:t>
      </w:r>
      <w:r w:rsidRPr="00461B60">
        <w:rPr>
          <w:rFonts w:ascii="Palatino Linotype" w:eastAsia="Palatino Linotype" w:hAnsi="Palatino Linotype" w:cs="Palatino Linotype"/>
          <w:color w:val="000000" w:themeColor="text1"/>
        </w:rPr>
        <w:t xml:space="preserve"> de acceso a la información pública, descrito en el Título Séptimo de la Ley de Transparencia, de aplicación supletoria, describe los pasos que debe seguir la autoridad para atender las solicitudes que presenten las personas en ejercicio de su derecho, entre los cuales se encuentra el deber de las Unidades de Transparencia de turnar a todas las </w:t>
      </w:r>
      <w:r w:rsidRPr="00461B60">
        <w:rPr>
          <w:rFonts w:ascii="Palatino Linotype" w:eastAsia="Palatino Linotype" w:hAnsi="Palatino Linotype" w:cs="Palatino Linotype"/>
          <w:color w:val="000000" w:themeColor="text1"/>
        </w:rPr>
        <w:lastRenderedPageBreak/>
        <w:t>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rsidR="001F4188" w:rsidRPr="00461B60" w:rsidRDefault="003E5AB7" w:rsidP="00461B60">
      <w:pP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“Artículo 162.</w:t>
      </w:r>
      <w:r w:rsidRPr="00461B60">
        <w:rPr>
          <w:rFonts w:ascii="Palatino Linotype" w:eastAsia="Palatino Linotype" w:hAnsi="Palatino Linotype" w:cs="Palatino Linotype"/>
          <w:i/>
          <w:iCs/>
          <w:color w:val="000000" w:themeColor="text1"/>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F4188" w:rsidRPr="00461B60" w:rsidRDefault="001F4188" w:rsidP="00461B60">
      <w:pPr>
        <w:spacing w:line="360" w:lineRule="auto"/>
        <w:jc w:val="both"/>
        <w:rPr>
          <w:rFonts w:ascii="Palatino Linotype" w:eastAsia="Palatino Linotype" w:hAnsi="Palatino Linotype" w:cs="Palatino Linotype"/>
          <w:i/>
          <w:iCs/>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color w:val="000000" w:themeColor="text1"/>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w:t>
      </w:r>
    </w:p>
    <w:p w:rsidR="001F4188" w:rsidRPr="00461B60" w:rsidRDefault="001F4188" w:rsidP="00461B60">
      <w:pPr>
        <w:spacing w:line="360" w:lineRule="auto"/>
        <w:jc w:val="both"/>
        <w:rPr>
          <w:rFonts w:ascii="Palatino Linotype" w:eastAsia="Palatino Linotype" w:hAnsi="Palatino Linotype" w:cs="Palatino Linotype"/>
          <w:b/>
          <w:bCs/>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Derivado de lo anterior, y toda vez que el </w:t>
      </w:r>
      <w:r w:rsidRPr="00461B60">
        <w:rPr>
          <w:rFonts w:ascii="Palatino Linotype" w:eastAsia="Palatino Linotype" w:hAnsi="Palatino Linotype" w:cs="Palatino Linotype"/>
          <w:b/>
          <w:bCs/>
          <w:color w:val="000000" w:themeColor="text1"/>
        </w:rPr>
        <w:t>Sujeto Obligado</w:t>
      </w:r>
      <w:r w:rsidRPr="00461B60">
        <w:rPr>
          <w:rFonts w:ascii="Palatino Linotype" w:eastAsia="Palatino Linotype" w:hAnsi="Palatino Linotype" w:cs="Palatino Linotype"/>
          <w:color w:val="000000" w:themeColor="text1"/>
        </w:rPr>
        <w:t xml:space="preserve"> en respuesta inicial emite pronunciamiento a través de la Unidad de Transparencia, sin turnar la solicitud de información a otras áreas en las cuales pudiera obrar los datos requeridos, tal como lo es la Dirección de Medio Ambiente y Ecología, por lo que podemos advertir que </w:t>
      </w:r>
      <w:r w:rsidRPr="00461B60">
        <w:rPr>
          <w:rFonts w:ascii="Palatino Linotype" w:eastAsia="Palatino Linotype" w:hAnsi="Palatino Linotype" w:cs="Palatino Linotype"/>
          <w:b/>
          <w:bCs/>
          <w:color w:val="000000" w:themeColor="text1"/>
        </w:rPr>
        <w:t xml:space="preserve">EL SUJETO OBLIGADO no </w:t>
      </w:r>
      <w:r w:rsidRPr="00461B60">
        <w:rPr>
          <w:rFonts w:ascii="Palatino Linotype" w:eastAsia="Palatino Linotype" w:hAnsi="Palatino Linotype" w:cs="Palatino Linotype"/>
          <w:color w:val="000000" w:themeColor="text1"/>
        </w:rPr>
        <w:t xml:space="preserve">siguió el procedimiento inmerso en la normatividad aplicable, ya que </w:t>
      </w:r>
      <w:r w:rsidRPr="00461B60">
        <w:rPr>
          <w:rFonts w:ascii="Palatino Linotype" w:eastAsia="Palatino Linotype" w:hAnsi="Palatino Linotype" w:cs="Palatino Linotype"/>
          <w:b/>
          <w:bCs/>
          <w:color w:val="000000" w:themeColor="text1"/>
        </w:rPr>
        <w:t>no</w:t>
      </w:r>
      <w:r w:rsidRPr="00461B60">
        <w:rPr>
          <w:rFonts w:ascii="Palatino Linotype" w:eastAsia="Palatino Linotype" w:hAnsi="Palatino Linotype" w:cs="Palatino Linotype"/>
          <w:color w:val="000000" w:themeColor="text1"/>
        </w:rPr>
        <w:t xml:space="preserve"> turnó el requerimiento de información a las unidades administrativas competentes en las que pudiera obrar la información requerida.</w:t>
      </w:r>
    </w:p>
    <w:p w:rsidR="001F4188" w:rsidRPr="00461B60" w:rsidRDefault="001F4188" w:rsidP="00461B60">
      <w:pPr>
        <w:rPr>
          <w:rFonts w:ascii="Palatino Linotype" w:eastAsia="Palatino Linotype" w:hAnsi="Palatino Linotype" w:cs="Palatino Linotype"/>
          <w:color w:val="000000" w:themeColor="text1"/>
        </w:rPr>
      </w:pPr>
    </w:p>
    <w:p w:rsidR="001F4188" w:rsidRPr="00461B60" w:rsidRDefault="003E5AB7" w:rsidP="00461B60">
      <w:pPr>
        <w:numPr>
          <w:ilvl w:val="0"/>
          <w:numId w:val="6"/>
        </w:numPr>
        <w:pBdr>
          <w:top w:val="nil"/>
          <w:left w:val="nil"/>
          <w:bottom w:val="nil"/>
          <w:right w:val="nil"/>
          <w:between w:val="nil"/>
        </w:pBdr>
        <w:ind w:left="0" w:firstLine="0"/>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b/>
          <w:bCs/>
          <w:color w:val="000000" w:themeColor="text1"/>
        </w:rPr>
        <w:t>De los derechos ARCO</w:t>
      </w: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Resulta esencial referir que la protección de datos personales, es un derecho que conlleva un conjunto de elementos distintivos, consistentes en consentir, saber y tener control sobre el tratamiento de éstos; es decir, los titulares tienen la posibilidad de ejercer una serie de derechos para hacer efectiva la protección de sus datos personales, que se refieren al Acceso, </w:t>
      </w:r>
      <w:r w:rsidRPr="00461B60">
        <w:rPr>
          <w:rFonts w:ascii="Palatino Linotype" w:eastAsia="Palatino Linotype" w:hAnsi="Palatino Linotype" w:cs="Palatino Linotype"/>
          <w:color w:val="000000" w:themeColor="text1"/>
        </w:rPr>
        <w:lastRenderedPageBreak/>
        <w:t xml:space="preserve">Rectificación, Cancelación y Oposición, comúnmente designados, por sus siglas, como derechos </w:t>
      </w:r>
      <w:r w:rsidRPr="00461B60">
        <w:rPr>
          <w:rFonts w:ascii="Palatino Linotype" w:eastAsia="Palatino Linotype" w:hAnsi="Palatino Linotype" w:cs="Palatino Linotype"/>
          <w:b/>
          <w:bCs/>
          <w:color w:val="000000" w:themeColor="text1"/>
        </w:rPr>
        <w:t>ARCO</w:t>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Este derecho encuentra su sustento en los artículos 6, inciso A), fracción II y 16, párrafo segundo de la Constitución Política de los Estados Unidos Mexicanos, que establecen medularmente que </w:t>
      </w:r>
      <w:r w:rsidRPr="00461B60">
        <w:rPr>
          <w:rFonts w:ascii="Palatino Linotype" w:eastAsia="Palatino Linotype" w:hAnsi="Palatino Linotype" w:cs="Palatino Linotype"/>
          <w:b/>
          <w:bCs/>
          <w:color w:val="000000" w:themeColor="text1"/>
        </w:rPr>
        <w:t>la información que se refiere a la vida privada y los datos personales será protegida en los términos y con las excepciones que fijen las leyes</w:t>
      </w:r>
      <w:r w:rsidRPr="00461B60">
        <w:rPr>
          <w:rFonts w:ascii="Palatino Linotype" w:eastAsia="Palatino Linotype" w:hAnsi="Palatino Linotype" w:cs="Palatino Linotype"/>
          <w:color w:val="000000" w:themeColor="text1"/>
        </w:rPr>
        <w:t xml:space="preserve">, siendo que </w:t>
      </w:r>
      <w:r w:rsidRPr="00461B60">
        <w:rPr>
          <w:rFonts w:ascii="Palatino Linotype" w:eastAsia="Palatino Linotype" w:hAnsi="Palatino Linotype" w:cs="Palatino Linotype"/>
          <w:b/>
          <w:bCs/>
          <w:color w:val="000000" w:themeColor="text1"/>
        </w:rPr>
        <w:t>toda persona tiene derecho a la protección de sus datos personales, al acceso, rectificación y cancelación de los mismos</w:t>
      </w:r>
      <w:r w:rsidRPr="00461B60">
        <w:rPr>
          <w:rFonts w:ascii="Palatino Linotype" w:eastAsia="Palatino Linotype" w:hAnsi="Palatino Linotype" w:cs="Palatino Linotype"/>
          <w:color w:val="000000" w:themeColor="text1"/>
        </w:rPr>
        <w:t xml:space="preserve">, así como a manifestar su </w:t>
      </w:r>
      <w:r w:rsidRPr="00461B60">
        <w:rPr>
          <w:rFonts w:ascii="Palatino Linotype" w:eastAsia="Palatino Linotype" w:hAnsi="Palatino Linotype" w:cs="Palatino Linotype"/>
          <w:b/>
          <w:bCs/>
          <w:color w:val="000000" w:themeColor="text1"/>
        </w:rPr>
        <w:t>oposición</w:t>
      </w:r>
      <w:r w:rsidRPr="00461B60">
        <w:rPr>
          <w:rFonts w:ascii="Palatino Linotype" w:eastAsia="Palatino Linotype" w:hAnsi="Palatino Linotype" w:cs="Palatino Linotype"/>
          <w:color w:val="000000" w:themeColor="text1"/>
        </w:rPr>
        <w:t>,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rsidR="001F4188" w:rsidRPr="00461B60" w:rsidRDefault="001F4188" w:rsidP="00461B60">
      <w:pPr>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Correlativo a lo anterior, el párrafo trigésimo cuarto del artículo 5 de la </w:t>
      </w:r>
      <w:r w:rsidRPr="00461B60">
        <w:rPr>
          <w:rFonts w:ascii="Palatino Linotype" w:eastAsia="Palatino Linotype" w:hAnsi="Palatino Linotype" w:cs="Palatino Linotype"/>
          <w:b/>
          <w:bCs/>
          <w:color w:val="000000" w:themeColor="text1"/>
        </w:rPr>
        <w:t>Constitución Política del Estado Libre y Soberano de México,</w:t>
      </w:r>
      <w:r w:rsidRPr="00461B60">
        <w:rPr>
          <w:rFonts w:ascii="Palatino Linotype" w:eastAsia="Palatino Linotype" w:hAnsi="Palatino Linotype" w:cs="Palatino Linotype"/>
          <w:color w:val="000000" w:themeColor="text1"/>
        </w:rPr>
        <w:t xml:space="preserve"> en su fracción III, prevé el derecho que tiene toda persona a la protección de sus datos personales, los procedimientos de acceso a la información pública, de acceso, corrección y supresión de datos personales:</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r w:rsidRPr="00461B60">
        <w:rPr>
          <w:rFonts w:ascii="Palatino Linotype" w:eastAsia="Palatino Linotype" w:hAnsi="Palatino Linotype" w:cs="Palatino Linotype"/>
          <w:b/>
          <w:bCs/>
          <w:i/>
          <w:iCs/>
          <w:color w:val="000000" w:themeColor="text1"/>
        </w:rPr>
        <w:t>Artículo 5.-</w:t>
      </w:r>
      <w:r w:rsidRPr="00461B60">
        <w:rPr>
          <w:rFonts w:ascii="Palatino Linotype" w:eastAsia="Palatino Linotype" w:hAnsi="Palatino Linotype" w:cs="Palatino Linotype"/>
          <w:i/>
          <w:iCs/>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El derecho a la información será garantizado por el Estado</w:t>
      </w:r>
      <w:r w:rsidRPr="00461B60">
        <w:rPr>
          <w:rFonts w:ascii="Palatino Linotype" w:eastAsia="Palatino Linotype" w:hAnsi="Palatino Linotype" w:cs="Palatino Linotype"/>
          <w:i/>
          <w:iCs/>
          <w:color w:val="000000" w:themeColor="text1"/>
        </w:rPr>
        <w:t xml:space="preserve">. La ley establecerá las previsiones que permitan asegurar la protección, el respeto y la difusión de este derecho.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Para garantizar el ejercicio del derecho de</w:t>
      </w:r>
      <w:r w:rsidRPr="00461B60">
        <w:rPr>
          <w:rFonts w:ascii="Palatino Linotype" w:eastAsia="Palatino Linotype" w:hAnsi="Palatino Linotype" w:cs="Palatino Linotype"/>
          <w:i/>
          <w:iCs/>
          <w:color w:val="000000" w:themeColor="text1"/>
        </w:rPr>
        <w:t xml:space="preserve"> transparencia, acceso a la información pública y </w:t>
      </w:r>
      <w:r w:rsidRPr="00461B60">
        <w:rPr>
          <w:rFonts w:ascii="Palatino Linotype" w:eastAsia="Palatino Linotype" w:hAnsi="Palatino Linotype" w:cs="Palatino Linotype"/>
          <w:b/>
          <w:bCs/>
          <w:i/>
          <w:iCs/>
          <w:color w:val="000000" w:themeColor="text1"/>
        </w:rPr>
        <w:t>protección de datos personales, los poderes públicos y los organismos autónomos, transparentarán sus accione</w:t>
      </w:r>
      <w:r w:rsidRPr="00461B60">
        <w:rPr>
          <w:rFonts w:ascii="Palatino Linotype" w:eastAsia="Palatino Linotype" w:hAnsi="Palatino Linotype" w:cs="Palatino Linotype"/>
          <w:i/>
          <w:iCs/>
          <w:color w:val="000000" w:themeColor="text1"/>
        </w:rPr>
        <w:t xml:space="preserve">s, en términos de las disposiciones aplicables, </w:t>
      </w:r>
      <w:r w:rsidRPr="00461B60">
        <w:rPr>
          <w:rFonts w:ascii="Palatino Linotype" w:eastAsia="Palatino Linotype" w:hAnsi="Palatino Linotype" w:cs="Palatino Linotype"/>
          <w:b/>
          <w:bCs/>
          <w:i/>
          <w:iCs/>
          <w:color w:val="000000" w:themeColor="text1"/>
        </w:rPr>
        <w:t xml:space="preserve">la información será oportuna, clara, veraz y de </w:t>
      </w:r>
      <w:r w:rsidRPr="00461B60">
        <w:rPr>
          <w:rFonts w:ascii="Palatino Linotype" w:eastAsia="Palatino Linotype" w:hAnsi="Palatino Linotype" w:cs="Palatino Linotype"/>
          <w:b/>
          <w:bCs/>
          <w:i/>
          <w:iCs/>
          <w:color w:val="000000" w:themeColor="text1"/>
          <w:u w:val="single"/>
        </w:rPr>
        <w:t>fácil acceso</w:t>
      </w:r>
      <w:r w:rsidRPr="00461B60">
        <w:rPr>
          <w:rFonts w:ascii="Palatino Linotype" w:eastAsia="Palatino Linotype" w:hAnsi="Palatino Linotype" w:cs="Palatino Linotype"/>
          <w:i/>
          <w:iCs/>
          <w:color w:val="000000" w:themeColor="text1"/>
        </w:rPr>
        <w:t xml:space="preserve">.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lastRenderedPageBreak/>
        <w:t>Este derecho se regirá por los principios y bases siguientes:</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III.</w:t>
      </w:r>
      <w:r w:rsidRPr="00461B60">
        <w:rPr>
          <w:rFonts w:ascii="Palatino Linotype" w:eastAsia="Palatino Linotype" w:hAnsi="Palatino Linotype" w:cs="Palatino Linotype"/>
          <w:i/>
          <w:iCs/>
          <w:color w:val="000000" w:themeColor="text1"/>
        </w:rPr>
        <w:t xml:space="preserve"> </w:t>
      </w:r>
      <w:r w:rsidRPr="00461B60">
        <w:rPr>
          <w:rFonts w:ascii="Palatino Linotype" w:eastAsia="Palatino Linotype" w:hAnsi="Palatino Linotype" w:cs="Palatino Linotype"/>
          <w:b/>
          <w:bCs/>
          <w:i/>
          <w:iCs/>
          <w:color w:val="000000" w:themeColor="text1"/>
        </w:rPr>
        <w:t>Toda persona</w:t>
      </w:r>
      <w:r w:rsidRPr="00461B60">
        <w:rPr>
          <w:rFonts w:ascii="Palatino Linotype" w:eastAsia="Palatino Linotype" w:hAnsi="Palatino Linotype" w:cs="Palatino Linotype"/>
          <w:i/>
          <w:iCs/>
          <w:color w:val="000000" w:themeColor="text1"/>
        </w:rPr>
        <w:t xml:space="preserve">, sin necesidad de acreditar interés alguno o justificar su utilización, </w:t>
      </w:r>
      <w:r w:rsidRPr="00461B60">
        <w:rPr>
          <w:rFonts w:ascii="Palatino Linotype" w:eastAsia="Palatino Linotype" w:hAnsi="Palatino Linotype" w:cs="Palatino Linotype"/>
          <w:b/>
          <w:bCs/>
          <w:i/>
          <w:iCs/>
          <w:color w:val="000000" w:themeColor="text1"/>
        </w:rPr>
        <w:t>tendrá acceso gratuito</w:t>
      </w:r>
      <w:r w:rsidRPr="00461B60">
        <w:rPr>
          <w:rFonts w:ascii="Palatino Linotype" w:eastAsia="Palatino Linotype" w:hAnsi="Palatino Linotype" w:cs="Palatino Linotype"/>
          <w:i/>
          <w:iCs/>
          <w:color w:val="000000" w:themeColor="text1"/>
        </w:rPr>
        <w:t xml:space="preserve"> a la información pública, </w:t>
      </w:r>
      <w:r w:rsidRPr="00461B60">
        <w:rPr>
          <w:rFonts w:ascii="Palatino Linotype" w:eastAsia="Palatino Linotype" w:hAnsi="Palatino Linotype" w:cs="Palatino Linotype"/>
          <w:b/>
          <w:bCs/>
          <w:i/>
          <w:iCs/>
          <w:color w:val="000000" w:themeColor="text1"/>
        </w:rPr>
        <w:t>a sus datos personales o a la rectificación de éstos</w:t>
      </w:r>
      <w:r w:rsidRPr="00461B60">
        <w:rPr>
          <w:rFonts w:ascii="Palatino Linotype" w:eastAsia="Palatino Linotype" w:hAnsi="Palatino Linotype" w:cs="Palatino Linotype"/>
          <w:i/>
          <w:iCs/>
          <w:color w:val="000000" w:themeColor="text1"/>
        </w:rPr>
        <w:t>.</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En términos generales, </w:t>
      </w:r>
      <w:r w:rsidRPr="00461B60">
        <w:rPr>
          <w:rFonts w:ascii="Palatino Linotype" w:eastAsia="Palatino Linotype" w:hAnsi="Palatino Linotype" w:cs="Palatino Linotype"/>
          <w:b/>
          <w:bCs/>
          <w:color w:val="000000" w:themeColor="text1"/>
        </w:rPr>
        <w:t>los titulares de los datos personales</w:t>
      </w:r>
      <w:r w:rsidRPr="00461B60">
        <w:rPr>
          <w:rFonts w:ascii="Palatino Linotype" w:eastAsia="Palatino Linotype" w:hAnsi="Palatino Linotype" w:cs="Palatino Linotype"/>
          <w:color w:val="000000" w:themeColor="text1"/>
        </w:rPr>
        <w:t xml:space="preserve">, a través del ejercicio de los derechos ARCO, </w:t>
      </w:r>
      <w:r w:rsidRPr="00461B60">
        <w:rPr>
          <w:rFonts w:ascii="Palatino Linotype" w:eastAsia="Palatino Linotype" w:hAnsi="Palatino Linotype" w:cs="Palatino Linotype"/>
          <w:b/>
          <w:bCs/>
          <w:color w:val="000000" w:themeColor="text1"/>
        </w:rPr>
        <w:t>tienen el control sobre su información personal que se encuentra en poder de los Sujetos Obligados</w:t>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6"/>
        </w:numPr>
        <w:pBdr>
          <w:top w:val="nil"/>
          <w:left w:val="nil"/>
          <w:bottom w:val="nil"/>
          <w:right w:val="nil"/>
          <w:between w:val="nil"/>
        </w:pBdr>
        <w:tabs>
          <w:tab w:val="left" w:pos="426"/>
        </w:tabs>
        <w:spacing w:before="240" w:after="240" w:line="360" w:lineRule="auto"/>
        <w:ind w:left="0" w:firstLine="0"/>
        <w:jc w:val="both"/>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b/>
          <w:bCs/>
          <w:color w:val="000000" w:themeColor="text1"/>
        </w:rPr>
        <w:t>De la atención a la solicitud de acceso a datos personales.</w:t>
      </w: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La Ley de Protección de Datos Personales en Posesión de Sujetos Obligados del Estado de México y Municipios, en su artículo 97, establece que los derechos de </w:t>
      </w:r>
      <w:r w:rsidRPr="00461B60">
        <w:rPr>
          <w:rFonts w:ascii="Palatino Linotype" w:eastAsia="Palatino Linotype" w:hAnsi="Palatino Linotype" w:cs="Palatino Linotype"/>
          <w:b/>
          <w:bCs/>
          <w:color w:val="000000" w:themeColor="text1"/>
        </w:rPr>
        <w:t>acceso</w:t>
      </w:r>
      <w:r w:rsidRPr="00461B60">
        <w:rPr>
          <w:rFonts w:ascii="Palatino Linotype" w:eastAsia="Palatino Linotype" w:hAnsi="Palatino Linotype" w:cs="Palatino Linotype"/>
          <w:color w:val="000000" w:themeColor="text1"/>
        </w:rPr>
        <w:t xml:space="preserve">, rectificación, cancelación y oposición de datos personales son derechos independientes; así mismo, señala que el ejercicio de cualquiera de ellos no es requisito previo ni impide el ejercicio de otro; y, que </w:t>
      </w:r>
      <w:r w:rsidRPr="00461B60">
        <w:rPr>
          <w:rFonts w:ascii="Palatino Linotype" w:eastAsia="Palatino Linotype" w:hAnsi="Palatino Linotype" w:cs="Palatino Linotype"/>
          <w:b/>
          <w:bCs/>
          <w:color w:val="000000" w:themeColor="text1"/>
        </w:rPr>
        <w:t>la procedencia de estos derechos</w:t>
      </w:r>
      <w:r w:rsidRPr="00461B60">
        <w:rPr>
          <w:rFonts w:ascii="Palatino Linotype" w:eastAsia="Palatino Linotype" w:hAnsi="Palatino Linotype" w:cs="Palatino Linotype"/>
          <w:color w:val="000000" w:themeColor="text1"/>
        </w:rPr>
        <w:t xml:space="preserve">, en su caso, </w:t>
      </w:r>
      <w:r w:rsidRPr="00461B60">
        <w:rPr>
          <w:rFonts w:ascii="Palatino Linotype" w:eastAsia="Palatino Linotype" w:hAnsi="Palatino Linotype" w:cs="Palatino Linotype"/>
          <w:b/>
          <w:bCs/>
          <w:color w:val="000000" w:themeColor="text1"/>
        </w:rPr>
        <w:t>se hará efectiva una vez que el titular</w:t>
      </w:r>
      <w:r w:rsidRPr="00461B60">
        <w:rPr>
          <w:rFonts w:ascii="Palatino Linotype" w:eastAsia="Palatino Linotype" w:hAnsi="Palatino Linotype" w:cs="Palatino Linotype"/>
          <w:color w:val="000000" w:themeColor="text1"/>
        </w:rPr>
        <w:t xml:space="preserve"> o su representante legal </w:t>
      </w:r>
      <w:r w:rsidRPr="00461B60">
        <w:rPr>
          <w:rFonts w:ascii="Palatino Linotype" w:eastAsia="Palatino Linotype" w:hAnsi="Palatino Linotype" w:cs="Palatino Linotype"/>
          <w:b/>
          <w:bCs/>
          <w:color w:val="000000" w:themeColor="text1"/>
        </w:rPr>
        <w:t xml:space="preserve">acrediten su identidad </w:t>
      </w:r>
      <w:r w:rsidRPr="00461B60">
        <w:rPr>
          <w:rFonts w:ascii="Palatino Linotype" w:eastAsia="Palatino Linotype" w:hAnsi="Palatino Linotype" w:cs="Palatino Linotype"/>
          <w:color w:val="000000" w:themeColor="text1"/>
        </w:rPr>
        <w:t>o representación, respectivamente.</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Ahora bien, por cuanto hace al </w:t>
      </w:r>
      <w:r w:rsidRPr="00461B60">
        <w:rPr>
          <w:rFonts w:ascii="Palatino Linotype" w:eastAsia="Palatino Linotype" w:hAnsi="Palatino Linotype" w:cs="Palatino Linotype"/>
          <w:b/>
          <w:bCs/>
          <w:color w:val="000000" w:themeColor="text1"/>
        </w:rPr>
        <w:t>Derecho de Acceso</w:t>
      </w:r>
      <w:r w:rsidRPr="00461B60">
        <w:rPr>
          <w:rFonts w:ascii="Palatino Linotype" w:eastAsia="Palatino Linotype" w:hAnsi="Palatino Linotype" w:cs="Palatino Linotype"/>
          <w:color w:val="000000" w:themeColor="text1"/>
        </w:rPr>
        <w:t xml:space="preserve">, éste debe entenderse como la prerrogativa del titular de los datos personales a acceder, solicitar y ser informado sobre sus datos en posesión de los sujetos obligados, así como la información relacionada con las condiciones y generalidades de su tratamiento, tales como el origen de los datos, las condiciones del tratamiento del cual sean objeto, las cesiones realizadas o que se pretendan </w:t>
      </w:r>
      <w:r w:rsidRPr="00461B60">
        <w:rPr>
          <w:rFonts w:ascii="Palatino Linotype" w:eastAsia="Palatino Linotype" w:hAnsi="Palatino Linotype" w:cs="Palatino Linotype"/>
          <w:color w:val="000000" w:themeColor="text1"/>
        </w:rPr>
        <w:lastRenderedPageBreak/>
        <w:t>realizar, así como tener acceso al aviso de privacidad al que está sujeto el tratamiento y a cualquier otra generalidad del tratamiento, en los términos previstos en la Ley</w:t>
      </w:r>
      <w:r w:rsidRPr="00461B60">
        <w:rPr>
          <w:rFonts w:ascii="Palatino Linotype" w:eastAsia="Palatino Linotype" w:hAnsi="Palatino Linotype" w:cs="Palatino Linotype"/>
          <w:color w:val="000000" w:themeColor="text1"/>
          <w:vertAlign w:val="superscript"/>
        </w:rPr>
        <w:footnoteReference w:id="2"/>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Por cuanto hace al procedimiento de ejercicio de derechos ARCO, los titulares (o sus representantes legales) podrán solicitar a través de la Unidad de Transparencia, que se les otorgue acceso, rectifique, cancele, o que haga efectivo su derecho de oposición, respecto de los datos personales que le conciernan y que obren en un sistema de datos personales y base de datos en posesión de los Sujetos Obligados</w:t>
      </w:r>
      <w:r w:rsidRPr="00461B60">
        <w:rPr>
          <w:rFonts w:ascii="Palatino Linotype" w:eastAsia="Palatino Linotype" w:hAnsi="Palatino Linotype" w:cs="Palatino Linotype"/>
          <w:color w:val="000000" w:themeColor="text1"/>
          <w:vertAlign w:val="superscript"/>
        </w:rPr>
        <w:footnoteReference w:id="3"/>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El ejercicio de cualquiera de estos derechos deberá ser </w:t>
      </w:r>
      <w:r w:rsidRPr="00461B60">
        <w:rPr>
          <w:rFonts w:ascii="Palatino Linotype" w:eastAsia="Palatino Linotype" w:hAnsi="Palatino Linotype" w:cs="Palatino Linotype"/>
          <w:b/>
          <w:bCs/>
          <w:color w:val="000000" w:themeColor="text1"/>
        </w:rPr>
        <w:t>gratuito</w:t>
      </w:r>
      <w:r w:rsidRPr="00461B60">
        <w:rPr>
          <w:rFonts w:ascii="Palatino Linotype" w:eastAsia="Palatino Linotype" w:hAnsi="Palatino Linotype" w:cs="Palatino Linotype"/>
          <w:color w:val="000000" w:themeColor="text1"/>
        </w:rPr>
        <w:t xml:space="preserve"> y sólo podrán realizarse cobros para recuperar los costos de reproducción, certificación o envío en los términos previstos por el Código Financiero del Estado de México y Municipios y demás disposiciones jurídicas aplicables</w:t>
      </w:r>
      <w:r w:rsidRPr="00461B60">
        <w:rPr>
          <w:rFonts w:ascii="Palatino Linotype" w:eastAsia="Palatino Linotype" w:hAnsi="Palatino Linotype" w:cs="Palatino Linotype"/>
          <w:color w:val="000000" w:themeColor="text1"/>
          <w:vertAlign w:val="superscript"/>
        </w:rPr>
        <w:footnoteReference w:id="4"/>
      </w:r>
      <w:r w:rsidRPr="00461B60">
        <w:rPr>
          <w:rFonts w:ascii="Palatino Linotype" w:eastAsia="Palatino Linotype" w:hAnsi="Palatino Linotype" w:cs="Palatino Linotype"/>
          <w:color w:val="000000" w:themeColor="text1"/>
        </w:rPr>
        <w:t xml:space="preserve">. </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Las solicitudes de ejercicio de los derechos ARCO se darán por cumplidas a través de expedición de copias simples, copias certificadas, documentos en la modalidad que se hubiese solicitado, previa acreditación de la identidad y personalidad del solicitante o, en su caso, ante la notificación de improcedencia de su solicitud</w:t>
      </w:r>
      <w:r w:rsidRPr="00461B60">
        <w:rPr>
          <w:rFonts w:ascii="Palatino Linotype" w:eastAsia="Palatino Linotype" w:hAnsi="Palatino Linotype" w:cs="Palatino Linotype"/>
          <w:color w:val="000000" w:themeColor="text1"/>
          <w:vertAlign w:val="superscript"/>
        </w:rPr>
        <w:footnoteReference w:id="5"/>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lastRenderedPageBreak/>
        <w:t xml:space="preserve">En el caso concreto, </w:t>
      </w:r>
      <w:r w:rsidRPr="00461B60">
        <w:rPr>
          <w:rFonts w:ascii="Palatino Linotype" w:eastAsia="Palatino Linotype" w:hAnsi="Palatino Linotype" w:cs="Palatino Linotype"/>
          <w:b/>
          <w:bCs/>
          <w:color w:val="000000" w:themeColor="text1"/>
        </w:rPr>
        <w:t>la particular pretende que la Presidenta Municipal le conteste</w:t>
      </w:r>
      <w:r w:rsidRPr="00461B60">
        <w:rPr>
          <w:rFonts w:ascii="Palatino Linotype" w:eastAsia="Palatino Linotype" w:hAnsi="Palatino Linotype" w:cs="Palatino Linotype"/>
          <w:color w:val="000000" w:themeColor="text1"/>
        </w:rPr>
        <w:t xml:space="preserve"> vía acceso a la información, </w:t>
      </w:r>
      <w:r w:rsidRPr="00461B60">
        <w:rPr>
          <w:rFonts w:ascii="Palatino Linotype" w:eastAsia="Palatino Linotype" w:hAnsi="Palatino Linotype" w:cs="Palatino Linotype"/>
          <w:b/>
          <w:bCs/>
          <w:color w:val="000000" w:themeColor="text1"/>
        </w:rPr>
        <w:t>una petición que ingresó mediante escrito</w:t>
      </w:r>
      <w:r w:rsidRPr="00461B60">
        <w:rPr>
          <w:rFonts w:ascii="Palatino Linotype" w:eastAsia="Palatino Linotype" w:hAnsi="Palatino Linotype" w:cs="Palatino Linotype"/>
          <w:color w:val="000000" w:themeColor="text1"/>
        </w:rPr>
        <w:t xml:space="preserve">, lo que </w:t>
      </w:r>
      <w:r w:rsidRPr="00461B60">
        <w:rPr>
          <w:rFonts w:ascii="Palatino Linotype" w:eastAsia="Palatino Linotype" w:hAnsi="Palatino Linotype" w:cs="Palatino Linotype"/>
          <w:b/>
          <w:bCs/>
          <w:color w:val="000000" w:themeColor="text1"/>
        </w:rPr>
        <w:t>resulta</w:t>
      </w:r>
      <w:r w:rsidRPr="00461B60">
        <w:rPr>
          <w:rFonts w:ascii="Palatino Linotype" w:eastAsia="Palatino Linotype" w:hAnsi="Palatino Linotype" w:cs="Palatino Linotype"/>
          <w:color w:val="000000" w:themeColor="text1"/>
        </w:rPr>
        <w:t xml:space="preserve"> a todas luces </w:t>
      </w:r>
      <w:r w:rsidRPr="00461B60">
        <w:rPr>
          <w:rFonts w:ascii="Palatino Linotype" w:eastAsia="Palatino Linotype" w:hAnsi="Palatino Linotype" w:cs="Palatino Linotype"/>
          <w:b/>
          <w:bCs/>
          <w:color w:val="000000" w:themeColor="text1"/>
        </w:rPr>
        <w:t>improcedente</w:t>
      </w:r>
      <w:r w:rsidRPr="00461B60">
        <w:rPr>
          <w:rFonts w:ascii="Palatino Linotype" w:eastAsia="Palatino Linotype" w:hAnsi="Palatino Linotype" w:cs="Palatino Linotype"/>
          <w:color w:val="000000" w:themeColor="text1"/>
        </w:rPr>
        <w:t xml:space="preserve"> pues esto </w:t>
      </w:r>
      <w:r w:rsidRPr="00461B60">
        <w:rPr>
          <w:rFonts w:ascii="Palatino Linotype" w:eastAsia="Palatino Linotype" w:hAnsi="Palatino Linotype" w:cs="Palatino Linotype"/>
          <w:b/>
          <w:bCs/>
          <w:color w:val="000000" w:themeColor="text1"/>
        </w:rPr>
        <w:t>implica que se genere un nuevo documento, inexistente a la fecha en que se interpuso la solicitud</w:t>
      </w:r>
      <w:r w:rsidRPr="00461B60">
        <w:rPr>
          <w:rFonts w:ascii="Palatino Linotype" w:eastAsia="Palatino Linotype" w:hAnsi="Palatino Linotype" w:cs="Palatino Linotype"/>
          <w:color w:val="000000" w:themeColor="text1"/>
        </w:rPr>
        <w:t>.</w:t>
      </w:r>
    </w:p>
    <w:p w:rsidR="001F4188" w:rsidRPr="00461B60" w:rsidRDefault="001F4188" w:rsidP="00461B60">
      <w:pPr>
        <w:pBdr>
          <w:top w:val="nil"/>
          <w:left w:val="nil"/>
          <w:bottom w:val="nil"/>
          <w:right w:val="nil"/>
          <w:between w:val="nil"/>
        </w:pBdr>
        <w:rPr>
          <w:rFonts w:ascii="Palatino Linotype" w:eastAsia="Palatino Linotype" w:hAnsi="Palatino Linotype" w:cs="Palatino Linotype"/>
          <w:color w:val="000000" w:themeColor="text1"/>
          <w:highlight w:val="yellow"/>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A más de lo anterior, al corresponder a una solicitud de </w:t>
      </w:r>
      <w:r w:rsidRPr="00461B60">
        <w:rPr>
          <w:rFonts w:ascii="Palatino Linotype" w:eastAsia="Palatino Linotype" w:hAnsi="Palatino Linotype" w:cs="Palatino Linotype"/>
          <w:i/>
          <w:iCs/>
          <w:color w:val="000000" w:themeColor="text1"/>
        </w:rPr>
        <w:t>hacer algo</w:t>
      </w:r>
      <w:r w:rsidRPr="00461B60">
        <w:rPr>
          <w:rFonts w:ascii="Palatino Linotype" w:eastAsia="Palatino Linotype" w:hAnsi="Palatino Linotype" w:cs="Palatino Linotype"/>
          <w:color w:val="000000" w:themeColor="text1"/>
        </w:rPr>
        <w:t>, se colige que no corresponde al ejercicio del derecho de acceso a la información, sino al ejercicio de derecho de petición; toda vez que con dicho requerimiento se pretende que una servidora pública en concreto, como lo es la Presidenta Municipal, conteste una petición, situación que conlleva a afirmar que se está en presencia del ejercicio del derecho de petición.</w:t>
      </w:r>
    </w:p>
    <w:p w:rsidR="001F4188" w:rsidRPr="00461B60" w:rsidRDefault="001F4188" w:rsidP="00461B60">
      <w:pPr>
        <w:spacing w:line="360" w:lineRule="auto"/>
        <w:jc w:val="both"/>
        <w:rPr>
          <w:rFonts w:ascii="Palatino Linotype" w:eastAsia="Palatino Linotype" w:hAnsi="Palatino Linotype" w:cs="Palatino Linotype"/>
          <w:color w:val="000000" w:themeColor="text1"/>
          <w:highlight w:val="yellow"/>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Por lo que el emprendimiento de acciones tendientes a satisfacer peticiones o bien la entrega de una razón o un razonamiento por parte del </w:t>
      </w:r>
      <w:r w:rsidRPr="00461B60">
        <w:rPr>
          <w:rFonts w:ascii="Palatino Linotype" w:eastAsia="Palatino Linotype" w:hAnsi="Palatino Linotype" w:cs="Palatino Linotype"/>
          <w:b/>
          <w:bCs/>
          <w:color w:val="000000" w:themeColor="text1"/>
        </w:rPr>
        <w:t>SUJETO OBLIGADO</w:t>
      </w:r>
      <w:r w:rsidRPr="00461B60">
        <w:rPr>
          <w:rFonts w:ascii="Palatino Linotype" w:eastAsia="Palatino Linotype" w:hAnsi="Palatino Linotype" w:cs="Palatino Linotype"/>
          <w:color w:val="000000" w:themeColor="text1"/>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Luego entonces, es importante dejar en claro lo que debe entenderse por derecho de petición y por derecho de acceso a la información pública.</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pStyle w:val="Ttulo2"/>
        <w:numPr>
          <w:ilvl w:val="0"/>
          <w:numId w:val="3"/>
        </w:numPr>
        <w:spacing w:before="0" w:line="360" w:lineRule="auto"/>
        <w:ind w:left="0" w:firstLine="0"/>
        <w:rPr>
          <w:rFonts w:ascii="Palatino Linotype" w:eastAsia="Palatino Linotype" w:hAnsi="Palatino Linotype" w:cs="Palatino Linotype"/>
          <w:b/>
          <w:bCs/>
          <w:i/>
          <w:iCs/>
          <w:color w:val="000000" w:themeColor="text1"/>
          <w:sz w:val="24"/>
          <w:szCs w:val="24"/>
        </w:rPr>
      </w:pPr>
      <w:bookmarkStart w:id="6" w:name="_heading=h.6xx4fao8e9c1" w:colFirst="0" w:colLast="0"/>
      <w:bookmarkEnd w:id="6"/>
      <w:r w:rsidRPr="00461B60">
        <w:rPr>
          <w:rFonts w:ascii="Palatino Linotype" w:eastAsia="Palatino Linotype" w:hAnsi="Palatino Linotype" w:cs="Palatino Linotype"/>
          <w:b/>
          <w:bCs/>
          <w:i/>
          <w:iCs/>
          <w:color w:val="000000" w:themeColor="text1"/>
          <w:sz w:val="24"/>
          <w:szCs w:val="24"/>
        </w:rPr>
        <w:t>El derecho de petición y de acceso a la información.</w:t>
      </w: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Por lo que respecta a la definición de </w:t>
      </w:r>
      <w:r w:rsidRPr="00461B60">
        <w:rPr>
          <w:rFonts w:ascii="Palatino Linotype" w:eastAsia="Palatino Linotype" w:hAnsi="Palatino Linotype" w:cs="Palatino Linotype"/>
          <w:b/>
          <w:bCs/>
          <w:color w:val="000000" w:themeColor="text1"/>
        </w:rPr>
        <w:t>derecho de petición</w:t>
      </w:r>
      <w:r w:rsidRPr="00461B60">
        <w:rPr>
          <w:rFonts w:ascii="Palatino Linotype" w:eastAsia="Palatino Linotype" w:hAnsi="Palatino Linotype" w:cs="Palatino Linotype"/>
          <w:color w:val="000000" w:themeColor="text1"/>
        </w:rPr>
        <w:t xml:space="preserve">, el Maestro Ignacio Burgoa Orihuela refiere: </w:t>
      </w:r>
    </w:p>
    <w:p w:rsidR="001F4188" w:rsidRPr="00461B60" w:rsidRDefault="003E5AB7" w:rsidP="00461B60">
      <w:pPr>
        <w:spacing w:line="360" w:lineRule="auto"/>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color w:val="000000" w:themeColor="text1"/>
        </w:rPr>
        <w:t>“…</w:t>
      </w:r>
      <w:r w:rsidRPr="00461B60">
        <w:rPr>
          <w:rFonts w:ascii="Palatino Linotype" w:eastAsia="Palatino Linotype" w:hAnsi="Palatino Linotype" w:cs="Palatino Linotype"/>
          <w:i/>
          <w:iCs/>
          <w:color w:val="000000" w:themeColor="text1"/>
        </w:rPr>
        <w:t xml:space="preserve">es un Derecho Público subjetivo individual de la Garantía Respectiva Consagrada en el Artículo 8 de la Ley Fundamental. En tal virtud, la persona tiene la facultad de acudir a cualquier autoridad, </w:t>
      </w:r>
      <w:r w:rsidRPr="00461B60">
        <w:rPr>
          <w:rFonts w:ascii="Palatino Linotype" w:eastAsia="Palatino Linotype" w:hAnsi="Palatino Linotype" w:cs="Palatino Linotype"/>
          <w:i/>
          <w:iCs/>
          <w:color w:val="000000" w:themeColor="text1"/>
        </w:rPr>
        <w:lastRenderedPageBreak/>
        <w:t>formulando una solicitud o instancia escrito de cualquier índole, la cual adopta, específicamente, el carácter de simple petición administrativa, acción o recurso, etc.</w:t>
      </w:r>
      <w:r w:rsidRPr="00461B60">
        <w:rPr>
          <w:rFonts w:ascii="Palatino Linotype" w:eastAsia="Palatino Linotype" w:hAnsi="Palatino Linotype" w:cs="Palatino Linotype"/>
          <w:i/>
          <w:iCs/>
          <w:color w:val="000000" w:themeColor="text1"/>
          <w:vertAlign w:val="superscript"/>
        </w:rPr>
        <w:footnoteReference w:id="6"/>
      </w:r>
      <w:r w:rsidRPr="00461B60">
        <w:rPr>
          <w:rFonts w:ascii="Palatino Linotype" w:eastAsia="Palatino Linotype" w:hAnsi="Palatino Linotype" w:cs="Palatino Linotype"/>
          <w:i/>
          <w:iCs/>
          <w:color w:val="000000" w:themeColor="text1"/>
        </w:rPr>
        <w:t xml:space="preserve">  “(Sic)</w:t>
      </w:r>
    </w:p>
    <w:p w:rsidR="001F4188" w:rsidRPr="00461B60" w:rsidRDefault="001F4188" w:rsidP="00461B60">
      <w:pPr>
        <w:spacing w:line="360" w:lineRule="auto"/>
        <w:jc w:val="both"/>
        <w:rPr>
          <w:rFonts w:ascii="Palatino Linotype" w:eastAsia="Palatino Linotype" w:hAnsi="Palatino Linotype" w:cs="Palatino Linotype"/>
          <w:i/>
          <w:iCs/>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Por</w:t>
      </w:r>
      <w:r w:rsidRPr="00461B60">
        <w:rPr>
          <w:rFonts w:ascii="Palatino Linotype" w:eastAsia="Palatino Linotype" w:hAnsi="Palatino Linotype" w:cs="Palatino Linotype"/>
          <w:i/>
          <w:iCs/>
          <w:color w:val="000000" w:themeColor="text1"/>
        </w:rPr>
        <w:t xml:space="preserve"> </w:t>
      </w:r>
      <w:r w:rsidRPr="00461B60">
        <w:rPr>
          <w:rFonts w:ascii="Palatino Linotype" w:eastAsia="Palatino Linotype" w:hAnsi="Palatino Linotype" w:cs="Palatino Linotype"/>
          <w:color w:val="000000" w:themeColor="text1"/>
        </w:rPr>
        <w:t>su parte, David Cienfuegos Salgado, concibe al derecho de petición como:</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spacing w:line="360" w:lineRule="auto"/>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i/>
          <w:iCs/>
          <w:color w:val="000000" w:themeColor="text1"/>
        </w:rPr>
        <w:t xml:space="preserve">“el derecho de toda persona a ser escuchado por quienes ejercen el poder público. </w:t>
      </w:r>
      <w:r w:rsidRPr="00461B60">
        <w:rPr>
          <w:rFonts w:ascii="Palatino Linotype" w:eastAsia="Palatino Linotype" w:hAnsi="Palatino Linotype" w:cs="Palatino Linotype"/>
          <w:i/>
          <w:iCs/>
          <w:color w:val="000000" w:themeColor="text1"/>
          <w:vertAlign w:val="superscript"/>
        </w:rPr>
        <w:footnoteReference w:id="7"/>
      </w:r>
      <w:r w:rsidRPr="00461B60">
        <w:rPr>
          <w:rFonts w:ascii="Palatino Linotype" w:eastAsia="Palatino Linotype" w:hAnsi="Palatino Linotype" w:cs="Palatino Linotype"/>
          <w:i/>
          <w:iCs/>
          <w:color w:val="000000" w:themeColor="text1"/>
        </w:rPr>
        <w:t xml:space="preserve">” </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Luego entonces, para diferenciar el derecho de petición al derecho de acceso a la información, resulta conducente señalar que José Guadalupe Robles, conceptualiza el </w:t>
      </w:r>
      <w:r w:rsidRPr="00461B60">
        <w:rPr>
          <w:rFonts w:ascii="Palatino Linotype" w:eastAsia="Palatino Linotype" w:hAnsi="Palatino Linotype" w:cs="Palatino Linotype"/>
          <w:b/>
          <w:bCs/>
          <w:color w:val="000000" w:themeColor="text1"/>
        </w:rPr>
        <w:t>derecho a la información</w:t>
      </w:r>
      <w:r w:rsidRPr="00461B60">
        <w:rPr>
          <w:rFonts w:ascii="Palatino Linotype" w:eastAsia="Palatino Linotype" w:hAnsi="Palatino Linotype" w:cs="Palatino Linotype"/>
          <w:color w:val="000000" w:themeColor="text1"/>
        </w:rPr>
        <w:t xml:space="preserve"> como:</w:t>
      </w:r>
    </w:p>
    <w:p w:rsidR="001F4188" w:rsidRPr="00461B60" w:rsidRDefault="003E5AB7" w:rsidP="00461B60">
      <w:pPr>
        <w:spacing w:line="360" w:lineRule="auto"/>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 </w:t>
      </w:r>
      <w:r w:rsidRPr="00461B60">
        <w:rPr>
          <w:rFonts w:ascii="Palatino Linotype" w:eastAsia="Palatino Linotype" w:hAnsi="Palatino Linotype" w:cs="Palatino Linotype"/>
          <w:i/>
          <w:iCs/>
          <w:color w:val="000000" w:themeColor="text1"/>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461B60">
        <w:rPr>
          <w:rFonts w:ascii="Palatino Linotype" w:eastAsia="Palatino Linotype" w:hAnsi="Palatino Linotype" w:cs="Palatino Linotype"/>
          <w:i/>
          <w:iCs/>
          <w:color w:val="000000" w:themeColor="text1"/>
          <w:vertAlign w:val="superscript"/>
        </w:rPr>
        <w:footnoteReference w:id="8"/>
      </w:r>
      <w:r w:rsidRPr="00461B60">
        <w:rPr>
          <w:rFonts w:ascii="Palatino Linotype" w:eastAsia="Palatino Linotype" w:hAnsi="Palatino Linotype" w:cs="Palatino Linotype"/>
          <w:i/>
          <w:iCs/>
          <w:color w:val="000000" w:themeColor="text1"/>
        </w:rPr>
        <w:t>“(Sic)</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Ahora bien,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Es por ello que, el derecho de acceso a la información pública, implica el conocimiento de los particulares de la información contenida en los documentos que posean los órganos del </w:t>
      </w:r>
      <w:r w:rsidRPr="00461B60">
        <w:rPr>
          <w:rFonts w:ascii="Palatino Linotype" w:eastAsia="Palatino Linotype" w:hAnsi="Palatino Linotype" w:cs="Palatino Linotype"/>
          <w:color w:val="000000" w:themeColor="text1"/>
        </w:rPr>
        <w:lastRenderedPageBreak/>
        <w:t>estado; incluso, se impone la obligación a las autoridades de preservar sus documentos en archivos administrativos actualizados.</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En razón de lo expuesto se reitera que la petición hecha por el particular resulta improcedente; en virtud que para el ejercicio del derecho de acceso a la información, los sujetos obligados no se encuentran obligados a generar documentos </w:t>
      </w:r>
      <w:r w:rsidRPr="00461B60">
        <w:rPr>
          <w:rFonts w:ascii="Palatino Linotype" w:eastAsia="Palatino Linotype" w:hAnsi="Palatino Linotype" w:cs="Palatino Linotype"/>
          <w:i/>
          <w:iCs/>
          <w:color w:val="000000" w:themeColor="text1"/>
        </w:rPr>
        <w:t>ad hoc</w:t>
      </w:r>
      <w:r w:rsidRPr="00461B60">
        <w:rPr>
          <w:rFonts w:ascii="Palatino Linotype" w:eastAsia="Palatino Linotype" w:hAnsi="Palatino Linotype" w:cs="Palatino Linotype"/>
          <w:color w:val="000000" w:themeColor="text1"/>
        </w:rPr>
        <w:t xml:space="preserve"> conforme a los intereses particulares de los solicitantes.</w:t>
      </w:r>
    </w:p>
    <w:p w:rsidR="001F4188" w:rsidRPr="00461B60" w:rsidRDefault="001F4188" w:rsidP="00461B60">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Como apoyo a lo anterior, es aplicable por analogía el </w:t>
      </w:r>
      <w:r w:rsidRPr="00461B60">
        <w:rPr>
          <w:rFonts w:ascii="Palatino Linotype" w:eastAsia="Palatino Linotype" w:hAnsi="Palatino Linotype" w:cs="Palatino Linotype"/>
          <w:b/>
          <w:bCs/>
          <w:color w:val="000000" w:themeColor="text1"/>
        </w:rPr>
        <w:t>Criterio 03/17</w:t>
      </w:r>
      <w:r w:rsidRPr="00461B60">
        <w:rPr>
          <w:rFonts w:ascii="Palatino Linotype" w:eastAsia="Palatino Linotype" w:hAnsi="Palatino Linotype" w:cs="Palatino Linotype"/>
          <w:color w:val="000000" w:themeColor="text1"/>
        </w:rPr>
        <w:t>, emitido por el Pleno del entonces Instituto Nacional de Transparencia, Acceso a la Información y Protección de Datos Personales (INAI), que a la letra dice:</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bookmarkStart w:id="7" w:name="_heading=h.fr8oyb6tapps" w:colFirst="0" w:colLast="0"/>
      <w:bookmarkEnd w:id="7"/>
      <w:r w:rsidRPr="00461B60">
        <w:rPr>
          <w:rFonts w:ascii="Palatino Linotype" w:eastAsia="Palatino Linotype" w:hAnsi="Palatino Linotype" w:cs="Palatino Linotype"/>
          <w:b/>
          <w:bCs/>
          <w:i/>
          <w:iCs/>
          <w:color w:val="000000" w:themeColor="text1"/>
        </w:rPr>
        <w:t xml:space="preserve">“No existe obligación de elaborar documentos ad hoc para atender las solicitudes de acceso a la información. </w:t>
      </w:r>
      <w:r w:rsidRPr="00461B60">
        <w:rPr>
          <w:rFonts w:ascii="Palatino Linotype" w:eastAsia="Palatino Linotype" w:hAnsi="Palatino Linotype" w:cs="Palatino Linotype"/>
          <w:i/>
          <w:iCs/>
          <w:color w:val="000000" w:themeColor="text1"/>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w:t>
      </w:r>
      <w:r w:rsidRPr="00461B60">
        <w:rPr>
          <w:rFonts w:ascii="Palatino Linotype" w:eastAsia="Palatino Linotype" w:hAnsi="Palatino Linotype" w:cs="Palatino Linotype"/>
          <w:i/>
          <w:iCs/>
          <w:color w:val="000000" w:themeColor="text1"/>
        </w:rPr>
        <w:lastRenderedPageBreak/>
        <w:t>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F4188" w:rsidRPr="00461B60" w:rsidRDefault="001F4188" w:rsidP="00461B60">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color w:val="000000" w:themeColor="text1"/>
        </w:rPr>
        <w:t>Así las cosas, de lo anterior, se desprende, que la información generada, obtenida, adquirida, transmitida, administrada o en posesión de los Sujetos Obligados, será accesible de manera permanente a cualquier persona, privilegiando el principio de máxima publicidad de la información, sin tener la obligación de generar documentos</w:t>
      </w:r>
      <w:r w:rsidRPr="00461B60">
        <w:rPr>
          <w:rFonts w:ascii="Palatino Linotype" w:eastAsia="Palatino Linotype" w:hAnsi="Palatino Linotype" w:cs="Palatino Linotype"/>
          <w:i/>
          <w:iCs/>
          <w:color w:val="000000" w:themeColor="text1"/>
        </w:rPr>
        <w:t xml:space="preserve"> ad hoc</w:t>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color w:val="000000" w:themeColor="text1"/>
        </w:rPr>
        <w:t xml:space="preserve">Es decir que en la petición del presente recurso de revisión, la </w:t>
      </w:r>
      <w:r w:rsidRPr="00461B60">
        <w:rPr>
          <w:rFonts w:ascii="Palatino Linotype" w:eastAsia="Palatino Linotype" w:hAnsi="Palatino Linotype" w:cs="Palatino Linotype"/>
          <w:b/>
          <w:bCs/>
          <w:color w:val="000000" w:themeColor="text1"/>
        </w:rPr>
        <w:t>RECURRENTE</w:t>
      </w:r>
      <w:r w:rsidRPr="00461B60">
        <w:rPr>
          <w:rFonts w:ascii="Palatino Linotype" w:eastAsia="Palatino Linotype" w:hAnsi="Palatino Linotype" w:cs="Palatino Linotype"/>
          <w:color w:val="000000" w:themeColor="text1"/>
        </w:rPr>
        <w:t xml:space="preserve"> pretende obtener una respuesta de la Presidenta Municipal, que verse al tenor de su </w:t>
      </w:r>
      <w:r w:rsidRPr="00461B60">
        <w:rPr>
          <w:rFonts w:ascii="Palatino Linotype" w:eastAsia="Palatino Linotype" w:hAnsi="Palatino Linotype" w:cs="Palatino Linotype"/>
          <w:i/>
          <w:iCs/>
          <w:color w:val="000000" w:themeColor="text1"/>
        </w:rPr>
        <w:t xml:space="preserve">petición de "VALORACION DE RIESGO" en escrito de fecha 02 de mayo de 2023 con número de folio </w:t>
      </w:r>
      <w:r w:rsidRPr="00461B60">
        <w:rPr>
          <w:rFonts w:ascii="Palatino Linotype" w:eastAsia="Palatino Linotype" w:hAnsi="Palatino Linotype" w:cs="Palatino Linotype"/>
          <w:color w:val="000000" w:themeColor="text1"/>
        </w:rPr>
        <w:t xml:space="preserve">008530, misma que ha su dicho ha sido atendida con opacidad por la </w:t>
      </w:r>
      <w:r w:rsidRPr="00461B60">
        <w:rPr>
          <w:rFonts w:ascii="Palatino Linotype" w:eastAsia="Palatino Linotype" w:hAnsi="Palatino Linotype" w:cs="Palatino Linotype"/>
          <w:i/>
          <w:iCs/>
          <w:color w:val="000000" w:themeColor="text1"/>
        </w:rPr>
        <w:t>Dirección de Medio Ambiente y Ecología</w:t>
      </w:r>
      <w:r w:rsidR="00E3526A" w:rsidRPr="00461B60">
        <w:rPr>
          <w:rFonts w:ascii="Palatino Linotype" w:eastAsia="Palatino Linotype" w:hAnsi="Palatino Linotype" w:cs="Palatino Linotype"/>
          <w:i/>
          <w:iCs/>
          <w:color w:val="000000" w:themeColor="text1"/>
        </w:rPr>
        <w:t xml:space="preserve">; </w:t>
      </w:r>
      <w:r w:rsidR="00E3526A" w:rsidRPr="00461B60">
        <w:rPr>
          <w:rFonts w:ascii="Palatino Linotype" w:eastAsia="Palatino Linotype" w:hAnsi="Palatino Linotype" w:cs="Palatino Linotype"/>
          <w:color w:val="000000" w:themeColor="text1"/>
        </w:rPr>
        <w:t>contexto</w:t>
      </w:r>
      <w:r w:rsidRPr="00461B60">
        <w:rPr>
          <w:rFonts w:ascii="Palatino Linotype" w:eastAsia="Palatino Linotype" w:hAnsi="Palatino Linotype" w:cs="Palatino Linotype"/>
          <w:color w:val="000000" w:themeColor="text1"/>
        </w:rPr>
        <w:t xml:space="preserve"> que –se insiste– resulta </w:t>
      </w:r>
      <w:r w:rsidRPr="00461B60">
        <w:rPr>
          <w:rFonts w:ascii="Palatino Linotype" w:eastAsia="Palatino Linotype" w:hAnsi="Palatino Linotype" w:cs="Palatino Linotype"/>
          <w:b/>
          <w:bCs/>
          <w:color w:val="000000" w:themeColor="text1"/>
        </w:rPr>
        <w:t>improcedente</w:t>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i/>
          <w:iCs/>
          <w:color w:val="000000" w:themeColor="text1"/>
          <w:highlight w:val="yellow"/>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color w:val="000000" w:themeColor="text1"/>
        </w:rPr>
        <w:t xml:space="preserve">Por lo anterior, al no constituirse la solicitud como materia del ejercicio de derechos ARCO o del derecho de acceso a la información, se considera que </w:t>
      </w:r>
      <w:r w:rsidRPr="00461B60">
        <w:rPr>
          <w:rFonts w:ascii="Palatino Linotype" w:eastAsia="Palatino Linotype" w:hAnsi="Palatino Linotype" w:cs="Palatino Linotype"/>
          <w:b/>
          <w:bCs/>
          <w:color w:val="000000" w:themeColor="text1"/>
        </w:rPr>
        <w:t>EL SUJETO OBLIGADO</w:t>
      </w:r>
      <w:r w:rsidRPr="00461B60">
        <w:rPr>
          <w:rFonts w:ascii="Palatino Linotype" w:eastAsia="Palatino Linotype" w:hAnsi="Palatino Linotype" w:cs="Palatino Linotype"/>
          <w:color w:val="000000" w:themeColor="text1"/>
        </w:rPr>
        <w:t xml:space="preserve"> no está constreñido a emitir una respuesta al mismo, siendo improcedente su solicitud.</w:t>
      </w:r>
    </w:p>
    <w:p w:rsidR="001F4188" w:rsidRPr="00461B60" w:rsidRDefault="001F4188" w:rsidP="00461B60">
      <w:pPr>
        <w:spacing w:line="360" w:lineRule="auto"/>
        <w:jc w:val="both"/>
        <w:rPr>
          <w:rFonts w:ascii="Palatino Linotype" w:eastAsia="Palatino Linotype" w:hAnsi="Palatino Linotype" w:cs="Palatino Linotype"/>
          <w:color w:val="000000" w:themeColor="text1"/>
          <w:highlight w:val="yellow"/>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Al respecto, la ley de la materia establece como causas de improcedencia que se trate de una consulta, o trámite en específico, lo que en la especie actualiza la fracción VI, del arábigo 191, de la multicitada ley, que a la letra reza:</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“Artículo 191. El recurso será desechado por </w:t>
      </w:r>
      <w:r w:rsidRPr="00461B60">
        <w:rPr>
          <w:rFonts w:ascii="Palatino Linotype" w:eastAsia="Palatino Linotype" w:hAnsi="Palatino Linotype" w:cs="Palatino Linotype"/>
          <w:b/>
          <w:bCs/>
          <w:i/>
          <w:iCs/>
          <w:color w:val="000000" w:themeColor="text1"/>
        </w:rPr>
        <w:t>improcedente</w:t>
      </w:r>
      <w:r w:rsidRPr="00461B60">
        <w:rPr>
          <w:rFonts w:ascii="Palatino Linotype" w:eastAsia="Palatino Linotype" w:hAnsi="Palatino Linotype" w:cs="Palatino Linotype"/>
          <w:i/>
          <w:iCs/>
          <w:color w:val="000000" w:themeColor="text1"/>
        </w:rPr>
        <w:t xml:space="preserve"> cuando: </w:t>
      </w:r>
      <w:r w:rsidRPr="00461B60">
        <w:rPr>
          <w:rFonts w:ascii="Palatino Linotype" w:eastAsia="Palatino Linotype" w:hAnsi="Palatino Linotype" w:cs="Palatino Linotype"/>
          <w:i/>
          <w:iCs/>
          <w:color w:val="000000" w:themeColor="text1"/>
        </w:rPr>
        <w:tab/>
      </w:r>
    </w:p>
    <w:p w:rsidR="001F4188" w:rsidRPr="00461B60" w:rsidRDefault="003E5AB7" w:rsidP="00461B60">
      <w:pPr>
        <w:numPr>
          <w:ilvl w:val="0"/>
          <w:numId w:val="4"/>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Sea extemporáneo por haber transcurrido el plazo establecido en la presente Ley, a partir de la respuesta; </w:t>
      </w:r>
    </w:p>
    <w:p w:rsidR="001F4188" w:rsidRPr="00461B60" w:rsidRDefault="003E5AB7" w:rsidP="00461B60">
      <w:pPr>
        <w:numPr>
          <w:ilvl w:val="0"/>
          <w:numId w:val="4"/>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lastRenderedPageBreak/>
        <w:t xml:space="preserve">Se esté tramitando ante el Poder Judicial de la Federación algún recurso o medio de defensa interpuesto por el recurrente; </w:t>
      </w:r>
    </w:p>
    <w:p w:rsidR="001F4188" w:rsidRPr="00461B60" w:rsidRDefault="003E5AB7" w:rsidP="00461B60">
      <w:pPr>
        <w:numPr>
          <w:ilvl w:val="0"/>
          <w:numId w:val="4"/>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No actualice alguno de los supuestos previstos en la presente Ley; </w:t>
      </w:r>
    </w:p>
    <w:p w:rsidR="001F4188" w:rsidRPr="00461B60" w:rsidRDefault="003E5AB7" w:rsidP="00461B60">
      <w:pPr>
        <w:numPr>
          <w:ilvl w:val="0"/>
          <w:numId w:val="4"/>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No se haya desahogado la prevención en los términos establecidos en la presente Ley; </w:t>
      </w:r>
    </w:p>
    <w:p w:rsidR="001F4188" w:rsidRPr="00461B60" w:rsidRDefault="003E5AB7" w:rsidP="00461B60">
      <w:pPr>
        <w:numPr>
          <w:ilvl w:val="0"/>
          <w:numId w:val="4"/>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Se impugne la veracidad de la información proporcionada; </w:t>
      </w:r>
    </w:p>
    <w:p w:rsidR="001F4188" w:rsidRPr="00461B60" w:rsidRDefault="003E5AB7" w:rsidP="00461B60">
      <w:pPr>
        <w:numPr>
          <w:ilvl w:val="0"/>
          <w:numId w:val="4"/>
        </w:numPr>
        <w:pBdr>
          <w:top w:val="nil"/>
          <w:left w:val="nil"/>
          <w:bottom w:val="nil"/>
          <w:right w:val="nil"/>
          <w:between w:val="nil"/>
        </w:pBdr>
        <w:ind w:left="0" w:firstLine="0"/>
        <w:jc w:val="both"/>
        <w:rPr>
          <w:rFonts w:ascii="Palatino Linotype" w:eastAsia="Palatino Linotype" w:hAnsi="Palatino Linotype" w:cs="Palatino Linotype"/>
          <w:b/>
          <w:bCs/>
          <w:i/>
          <w:iCs/>
          <w:color w:val="000000" w:themeColor="text1"/>
          <w:u w:val="single"/>
        </w:rPr>
      </w:pPr>
      <w:r w:rsidRPr="00461B60">
        <w:rPr>
          <w:rFonts w:ascii="Palatino Linotype" w:eastAsia="Palatino Linotype" w:hAnsi="Palatino Linotype" w:cs="Palatino Linotype"/>
          <w:b/>
          <w:bCs/>
          <w:i/>
          <w:iCs/>
          <w:color w:val="000000" w:themeColor="text1"/>
          <w:u w:val="single"/>
        </w:rPr>
        <w:t xml:space="preserve">Se trate de una consulta, o trámite en específico; y </w:t>
      </w:r>
    </w:p>
    <w:p w:rsidR="001F4188" w:rsidRPr="00461B60" w:rsidRDefault="003E5AB7" w:rsidP="00461B60">
      <w:pPr>
        <w:numPr>
          <w:ilvl w:val="0"/>
          <w:numId w:val="4"/>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El recurrente amplíe su solicitud en el recurso de revisión, únicamente respecto de los nuevos contenidos.” </w:t>
      </w:r>
    </w:p>
    <w:p w:rsidR="001F4188" w:rsidRPr="00461B60" w:rsidRDefault="001F4188" w:rsidP="00461B60">
      <w:pPr>
        <w:spacing w:line="360" w:lineRule="auto"/>
        <w:jc w:val="both"/>
        <w:rPr>
          <w:rFonts w:ascii="Palatino Linotype" w:eastAsia="Palatino Linotype" w:hAnsi="Palatino Linotype" w:cs="Palatino Linotype"/>
          <w:i/>
          <w:iCs/>
          <w:color w:val="000000" w:themeColor="text1"/>
          <w:highlight w:val="yellow"/>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Por otro lado no pasa inadvertido que la solicitud también señala el requerimiento sobre la “…</w:t>
      </w:r>
      <w:r w:rsidRPr="00461B60">
        <w:rPr>
          <w:rFonts w:ascii="Palatino Linotype" w:eastAsia="Palatino Linotype" w:hAnsi="Palatino Linotype" w:cs="Palatino Linotype"/>
          <w:i/>
          <w:iCs/>
          <w:color w:val="000000" w:themeColor="text1"/>
        </w:rPr>
        <w:t>Copia certificada de la respuesta emitida por la Dirección de Medio Ambiente y Ecología, en mi petición de "VALORACION DE RIESGO" en escrito de fecha 02 de mayo de 2023 con número de folio 008530.”(Sic)</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En razón de lo anterior es de referir que ante la falta de pronunciamiento por las unidades administrativas competentes en las que pudiera obrar la información requerida, por lo que es necesario traer a contexto lo señalado en el Bando Municipal 2025:</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Artículo 44</w:t>
      </w:r>
      <w:r w:rsidRPr="00461B60">
        <w:rPr>
          <w:rFonts w:ascii="Palatino Linotype" w:eastAsia="Palatino Linotype" w:hAnsi="Palatino Linotype" w:cs="Palatino Linotype"/>
          <w:i/>
          <w:iCs/>
          <w:color w:val="000000" w:themeColor="text1"/>
        </w:rPr>
        <w:t>. Para el ejercicio de sus atribuciones, tanto el H. Ayuntamiento como la Presidenta Municipal, se auxiliarán de las siguientes dependencias que estarán subordinadas a esta última:</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IV. Las Direcciones de:</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f. Medio Ambiente y Ecología;</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o. Protección Civil y Bomberos;</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Pr="00461B60" w:rsidRDefault="001F4188"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1F4188" w:rsidRPr="00461B60" w:rsidRDefault="003E5AB7" w:rsidP="00461B60">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461B60">
        <w:rPr>
          <w:rFonts w:ascii="Palatino Linotype" w:eastAsia="Palatino Linotype" w:hAnsi="Palatino Linotype" w:cs="Palatino Linotype"/>
          <w:b/>
          <w:bCs/>
          <w:i/>
          <w:iCs/>
          <w:color w:val="000000" w:themeColor="text1"/>
        </w:rPr>
        <w:t>De la Dirección de Medio Ambiente y Ecología</w:t>
      </w:r>
    </w:p>
    <w:p w:rsidR="001F4188" w:rsidRPr="00461B60" w:rsidRDefault="001F4188" w:rsidP="00461B60">
      <w:pPr>
        <w:pBdr>
          <w:top w:val="nil"/>
          <w:left w:val="nil"/>
          <w:bottom w:val="nil"/>
          <w:right w:val="nil"/>
          <w:between w:val="nil"/>
        </w:pBdr>
        <w:jc w:val="both"/>
        <w:rPr>
          <w:rFonts w:ascii="Palatino Linotype" w:eastAsia="Palatino Linotype" w:hAnsi="Palatino Linotype" w:cs="Palatino Linotype"/>
          <w:b/>
          <w:bCs/>
          <w:i/>
          <w:iCs/>
          <w:color w:val="000000" w:themeColor="text1"/>
        </w:rPr>
      </w:pP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Artículo 59</w:t>
      </w:r>
      <w:r w:rsidRPr="00461B60">
        <w:rPr>
          <w:rFonts w:ascii="Palatino Linotype" w:eastAsia="Palatino Linotype" w:hAnsi="Palatino Linotype" w:cs="Palatino Linotype"/>
          <w:i/>
          <w:iCs/>
          <w:color w:val="000000" w:themeColor="text1"/>
        </w:rPr>
        <w:t xml:space="preserve">. La Dirección de Medio Ambiente y Ecología fortalecerá las relaciones armónicas de la Zona Metropolitana del Valle de México, de acuerdo con las políticas que acuerden los gobiernos involucrados y vigilará el cumplimiento de las disposiciones cuyo objeto es el registro de personas físicas y/o jurídico </w:t>
      </w:r>
      <w:r w:rsidRPr="00461B60">
        <w:rPr>
          <w:rFonts w:ascii="Palatino Linotype" w:eastAsia="Palatino Linotype" w:hAnsi="Palatino Linotype" w:cs="Palatino Linotype"/>
          <w:i/>
          <w:iCs/>
          <w:color w:val="000000" w:themeColor="text1"/>
        </w:rPr>
        <w:lastRenderedPageBreak/>
        <w:t xml:space="preserve">colectivas que realicen actividades en relación al medio ambiente; así como la conservación, restauración, protección, preservación y mejoramiento de éste, de conformidad con la legislación aplicable. </w:t>
      </w:r>
    </w:p>
    <w:p w:rsidR="001F4188" w:rsidRPr="00461B60" w:rsidRDefault="001F4188"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Esta Dirección tendrá a su cargo la formulación, conducción y evaluación de la política ambiental municipal promoviendo estrategias de reforestación y disminución de gases contaminantes a efecto de combatir el cambio climático y deberá coordinarse con la Secretaría del Medio Ambiente del Gobierno del Estado de México, atendiendo a la Ley General del Equilibrio Ecológico y la Protección al Ambiente, así como la Ley de Cambio Climático del Estado de México, Código para la Biodiversidad del Estado de México y demás ordenamientos legales de la materia. </w:t>
      </w:r>
    </w:p>
    <w:p w:rsidR="001F4188" w:rsidRPr="00461B60" w:rsidRDefault="001F4188"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De igual manera, expedirá las autorizaciones a los prestadores de servicio que les permita efectuar carga y descarga, recolección y/o transporte, y/o reúso, y/o tratamiento, y/o disposición final de residuos sólidos urbanos y en su caso de manejo especial establecido, previo el visto bueno de la Dirección de Servicios Públicos, para lo cual se deberán observar la Normas Oficiales, así como las disposiciones previstas en la Ley General del Equilibrio Ecológico y la Protección al Ambiente, Ley General para la Prevención y Gestión Integral de los Residuos y demás ordenamientos aplicables a la materia.</w:t>
      </w:r>
    </w:p>
    <w:p w:rsidR="001F4188" w:rsidRPr="00461B60" w:rsidRDefault="001F4188"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Artículo 60</w:t>
      </w:r>
      <w:r w:rsidRPr="00461B60">
        <w:rPr>
          <w:rFonts w:ascii="Palatino Linotype" w:eastAsia="Palatino Linotype" w:hAnsi="Palatino Linotype" w:cs="Palatino Linotype"/>
          <w:i/>
          <w:iCs/>
          <w:color w:val="000000" w:themeColor="text1"/>
        </w:rPr>
        <w:t xml:space="preserve">. La Dirección de Medio Ambiente y Ecología tendrá las siguientes atribuciones: </w:t>
      </w:r>
    </w:p>
    <w:p w:rsidR="001F4188" w:rsidRPr="00461B60" w:rsidRDefault="001F4188"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I. Recibir, integrar, evaluar y, en su caso, expedir las autorizaciones, licencias, permisos y/o registros de carácter municipal, así como aquellos que son atribución de la Secretaría del Medio Ambiente del Gobierno del Estado de México y que, por los instrumentos legales, le hayan sido legalmente delegados al Municipio;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II. Aplicar las disposiciones jurídicas en materia de prevención y control de la contaminación atmosférica y auditiva generada por fuentes fijas que funcionen como establecimientos mercantiles o de servicios de jurisdicción municipal, así como fuentes de emisiones de contaminantes a la atmósfera, provenientes de fuentes móviles de su competencia, en términos de la Norma Oficial Mexicana NOM-081- SEMARNAT-1994, la cual establece los límites máximos permisibles y los horarios de acuerdo a la Unidad Económica;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III. Aplicar las disposiciones jurídicas en materia de prevención¸ control y, en su caso, sanción por la disposición inadecuada de los residuos sólidos urbanos, contaminación de agua y suelo, maltrato animal y manejo inadecuado del arbolado urbano, en apego a lo dispuesto en las Leyes Generales, Normas Oficiales Mexicanas, Normas Técnicas, Códigos y Reglamentos locales aplicables en la materia;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IV. Participar en la evaluación del impacto ambiental de obras o actividades de competencia estatal, cuando estas se realicen dentro de los límites territoriales del municipio;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lastRenderedPageBreak/>
        <w:t xml:space="preserve">V. Convocar, capacitar e integrar un padrón de podadores acreditados ante esta Dirección, los cuales serán los únicos autorizados que podrán ofrecer los servicios de poda, derribo trasplante y/o sustitución de arbolado urbano;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461B60">
        <w:rPr>
          <w:rFonts w:ascii="Palatino Linotype" w:eastAsia="Palatino Linotype" w:hAnsi="Palatino Linotype" w:cs="Palatino Linotype"/>
          <w:b/>
          <w:bCs/>
          <w:i/>
          <w:iCs/>
          <w:color w:val="000000" w:themeColor="text1"/>
        </w:rPr>
        <w:t xml:space="preserve">VI. Analizar y justificar técnicamente los dictámenes de riesgo emitidos por la Dirección de Protección Civil y Bomberos para la ejecución de trabajos en árboles que, por la magnitud del riesgo, se ejecuten sin previa autorización; asimismo, determinará en las autorizaciones que emita si se requiere la intervención de la Dirección de Protección Civil y Bomberos derivado del riesgo;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VII. Implementar campañas de reforestación y restauración dentro de las áreas naturales protegidas y zonas urbanas del Municipio, así como eventos de educación ambiental y bienestar animal;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VIII. Realizar visitas de inspección con el objeto de constatar el cumplimiento del Código para la Biodiversidad del Estado de México y demás ordenamientos aplicables;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IX. Formular, ejecutar y evaluar los Programas Municipales en Materia de Protección al Ambiente, Residuos Sólidos Urbanos, Cambio Climático y demás previstos en las leyes de la materia; y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X. Contar con la Célula de Rescate de Fauna Silvestre y coordinar el manejo de las especies de vida silvestre bajo resguardo del municipio.</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Pr="00461B60" w:rsidRDefault="001F4188"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1F4188" w:rsidRPr="00461B60" w:rsidRDefault="003E5AB7" w:rsidP="00461B60">
      <w:pPr>
        <w:pBdr>
          <w:top w:val="nil"/>
          <w:left w:val="nil"/>
          <w:bottom w:val="nil"/>
          <w:right w:val="nil"/>
          <w:between w:val="nil"/>
        </w:pBdr>
        <w:jc w:val="center"/>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De la Dirección de Protección Civil y Bomberos</w:t>
      </w:r>
    </w:p>
    <w:p w:rsidR="001F4188" w:rsidRPr="00461B60" w:rsidRDefault="001F4188"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Artículo 70. La Dirección de Protección Civil y Bomberos, en aras del orden público e interés social, establecerá las bases de coordinación entre los distintos órdenes de gobierno en materia de gestión integral de riesgos y protección civil, así como con los sectores privado y social para participar en la consecución de los objetivos de este capítulo, en los términos y condiciones que el mismo establece, a saber: </w:t>
      </w:r>
    </w:p>
    <w:p w:rsidR="001F4188" w:rsidRPr="00461B60" w:rsidRDefault="001F4188"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I. En el Territorio Municipal, el derecho a la vida será priorizado bajo las disposiciones señaladas por la Ley General de Protección Civil, Libro Sexto del Código Administrativo del Estado de México, Reglamento al Libro Sexto del Código Administrativo del Estado de México, el presente Bando Municipal de Ecatepec de Morelos, Estado de México, y demás disposiciones aplicables en la materia;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II. Salvaguardar la integridad física y patrimonial de los habitantes del Municipio y de quienes transiten por él, así como su entorno. La Dirección de Protección Civil y Bomberos podrá auxiliar a la población en la prestación de primeros auxilios y traslados en casos de emergencia, coadyuvando con las instituciones del Sector Salud;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III. Establecer un enfoque de coordinación metropolitana y desarrollo sustentable para la prevención y mitigación de los distintos tipos de riesgos</w:t>
      </w:r>
      <w:r w:rsidRPr="00461B60">
        <w:rPr>
          <w:rFonts w:ascii="Palatino Linotype" w:eastAsia="Palatino Linotype" w:hAnsi="Palatino Linotype" w:cs="Palatino Linotype"/>
          <w:i/>
          <w:iCs/>
          <w:color w:val="000000" w:themeColor="text1"/>
        </w:rPr>
        <w:t xml:space="preserve"> que se presentan en el territorio </w:t>
      </w:r>
      <w:r w:rsidRPr="00461B60">
        <w:rPr>
          <w:rFonts w:ascii="Palatino Linotype" w:eastAsia="Palatino Linotype" w:hAnsi="Palatino Linotype" w:cs="Palatino Linotype"/>
          <w:i/>
          <w:iCs/>
          <w:color w:val="000000" w:themeColor="text1"/>
        </w:rPr>
        <w:lastRenderedPageBreak/>
        <w:t xml:space="preserve">municipal. Asimismo, establecer un enfoque transversal con otras áreas a efecto de dar cumplimiento a los objetivos superiores en materia de Gestión Integral de Riesgos y Protección Civil;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IV. Mitigar y/o eliminar el riesgo, bajo los ordenamientos legales vigentes en la materia, anteponiendo el interés jurídico de la vida de todo ser humano a fin de reducir los efectos ocasionados por el fenómeno perturbador;</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V. Promover y vigilar la cultura de la Gestión Integral de Riesgos y Protección Civil en los diversos sectores en la población, mediante la ejecución de acciones de previsión y prevención de riesgos, haciendo uso en todo momento de los diversos instrumentos que permitan cualificar y cuantificar dichas acciones. Asimismo, se llevará a cabo el registro de comités ciudadanos de prevención de protección civil;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VI. Orientar los esfuerzos de los sectores público, social y privado mediante la capacitación, organización y realización de acciones, así como de programas y simulacros que permitan responder adecuada e inmediatamente a las necesidades de la comunidad en caso de contingencias; y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VII. Contar con un sistema de Alertamiento Temprano Multirriesgo que permita identificar y monitorear los distintos fenómenos perturbadores que se presentan en el territorio municipal. Asimismo, priorizar en los planes presupuestarios, estrategias y proyectos el mantenimiento y desarrollo del mismo, garantizando la salvaguarda de la vida, la integridad física, sus bienes y el entorno.</w:t>
      </w:r>
    </w:p>
    <w:p w:rsidR="001F4188" w:rsidRPr="00461B60" w:rsidRDefault="001F4188"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Artículo 71. Para los efectos de este capítulo se entiende por:</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VI.</w:t>
      </w:r>
      <w:r w:rsidRPr="00461B60">
        <w:rPr>
          <w:rFonts w:ascii="Palatino Linotype" w:eastAsia="Palatino Linotype" w:hAnsi="Palatino Linotype" w:cs="Palatino Linotype"/>
          <w:i/>
          <w:iCs/>
          <w:color w:val="000000" w:themeColor="text1"/>
        </w:rPr>
        <w:t xml:space="preserve"> </w:t>
      </w:r>
      <w:r w:rsidRPr="00461B60">
        <w:rPr>
          <w:rFonts w:ascii="Palatino Linotype" w:eastAsia="Palatino Linotype" w:hAnsi="Palatino Linotype" w:cs="Palatino Linotype"/>
          <w:b/>
          <w:bCs/>
          <w:i/>
          <w:iCs/>
          <w:color w:val="000000" w:themeColor="text1"/>
        </w:rPr>
        <w:t>Valoración de riesgo</w:t>
      </w:r>
      <w:r w:rsidRPr="00461B60">
        <w:rPr>
          <w:rFonts w:ascii="Palatino Linotype" w:eastAsia="Palatino Linotype" w:hAnsi="Palatino Linotype" w:cs="Palatino Linotype"/>
          <w:i/>
          <w:iCs/>
          <w:color w:val="000000" w:themeColor="text1"/>
        </w:rPr>
        <w:t xml:space="preserve">. Al </w:t>
      </w:r>
      <w:r w:rsidRPr="00461B60">
        <w:rPr>
          <w:rFonts w:ascii="Palatino Linotype" w:eastAsia="Palatino Linotype" w:hAnsi="Palatino Linotype" w:cs="Palatino Linotype"/>
          <w:b/>
          <w:bCs/>
          <w:i/>
          <w:iCs/>
          <w:color w:val="000000" w:themeColor="text1"/>
          <w:u w:val="single"/>
        </w:rPr>
        <w:t>documento que se emite por la Dirección de Protección Civil y Bomberos</w:t>
      </w:r>
      <w:r w:rsidRPr="00461B60">
        <w:rPr>
          <w:rFonts w:ascii="Palatino Linotype" w:eastAsia="Palatino Linotype" w:hAnsi="Palatino Linotype" w:cs="Palatino Linotype"/>
          <w:i/>
          <w:iCs/>
          <w:color w:val="000000" w:themeColor="text1"/>
        </w:rPr>
        <w:t xml:space="preserve"> mediante el cual se identifican los riesgos existentes señalando el grado de estos, las posibles pérdidas, así como las recomendaciones de acciones para la gestión integral de riesgos, a efecto de mitigar o eliminar los efectos;</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Pr="00461B60" w:rsidRDefault="001F4188"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Artículo 75. Es </w:t>
      </w:r>
      <w:r w:rsidRPr="00461B60">
        <w:rPr>
          <w:rFonts w:ascii="Palatino Linotype" w:eastAsia="Palatino Linotype" w:hAnsi="Palatino Linotype" w:cs="Palatino Linotype"/>
          <w:b/>
          <w:bCs/>
          <w:i/>
          <w:iCs/>
          <w:color w:val="000000" w:themeColor="text1"/>
        </w:rPr>
        <w:t>facultad de la Dirección de Protección Civil y Bomberos</w:t>
      </w:r>
      <w:r w:rsidRPr="00461B60">
        <w:rPr>
          <w:rFonts w:ascii="Palatino Linotype" w:eastAsia="Palatino Linotype" w:hAnsi="Palatino Linotype" w:cs="Palatino Linotype"/>
          <w:i/>
          <w:iCs/>
          <w:color w:val="000000" w:themeColor="text1"/>
        </w:rPr>
        <w:t xml:space="preserve"> ejercer funciones encaminadas a la Gestión Integral de Riesgo y Protección Civil en el territorio municipal efectuando las siguientes visitas: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461B60">
        <w:rPr>
          <w:rFonts w:ascii="Palatino Linotype" w:eastAsia="Palatino Linotype" w:hAnsi="Palatino Linotype" w:cs="Palatino Linotype"/>
          <w:b/>
          <w:bCs/>
          <w:i/>
          <w:iCs/>
          <w:color w:val="000000" w:themeColor="text1"/>
        </w:rPr>
        <w:t xml:space="preserve">I. De valoración;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II. De verificación;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III. De supervisión; y </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IV. De inspección.</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Artículo 78. </w:t>
      </w:r>
      <w:r w:rsidRPr="00461B60">
        <w:rPr>
          <w:rFonts w:ascii="Palatino Linotype" w:eastAsia="Palatino Linotype" w:hAnsi="Palatino Linotype" w:cs="Palatino Linotype"/>
          <w:b/>
          <w:bCs/>
          <w:i/>
          <w:iCs/>
          <w:color w:val="000000" w:themeColor="text1"/>
        </w:rPr>
        <w:t>Es facultad de la Dirección de Protección Civil y Bomberos</w:t>
      </w:r>
      <w:r w:rsidRPr="00461B60">
        <w:rPr>
          <w:rFonts w:ascii="Palatino Linotype" w:eastAsia="Palatino Linotype" w:hAnsi="Palatino Linotype" w:cs="Palatino Linotype"/>
          <w:i/>
          <w:iCs/>
          <w:color w:val="000000" w:themeColor="text1"/>
        </w:rPr>
        <w:t xml:space="preserve">, a solicitud del interesado, mediante denuncia ciudadana o de oficio, </w:t>
      </w:r>
      <w:r w:rsidRPr="00461B60">
        <w:rPr>
          <w:rFonts w:ascii="Palatino Linotype" w:eastAsia="Palatino Linotype" w:hAnsi="Palatino Linotype" w:cs="Palatino Linotype"/>
          <w:b/>
          <w:bCs/>
          <w:i/>
          <w:iCs/>
          <w:color w:val="000000" w:themeColor="text1"/>
        </w:rPr>
        <w:t>llevar a cabo valoraciones de riesgo</w:t>
      </w:r>
      <w:r w:rsidRPr="00461B60">
        <w:rPr>
          <w:rFonts w:ascii="Palatino Linotype" w:eastAsia="Palatino Linotype" w:hAnsi="Palatino Linotype" w:cs="Palatino Linotype"/>
          <w:i/>
          <w:iCs/>
          <w:color w:val="000000" w:themeColor="text1"/>
        </w:rPr>
        <w:t xml:space="preserve"> en edificios públicos y privados ubicados en el territorio municipal, así como en zonas de riesgo para prevenir o cuando se detecte alguna afectación originada por un fenómeno perturbador de carácter natural y/o antrópico; </w:t>
      </w:r>
      <w:r w:rsidRPr="00461B60">
        <w:rPr>
          <w:rFonts w:ascii="Palatino Linotype" w:eastAsia="Palatino Linotype" w:hAnsi="Palatino Linotype" w:cs="Palatino Linotype"/>
          <w:i/>
          <w:iCs/>
          <w:color w:val="000000" w:themeColor="text1"/>
        </w:rPr>
        <w:lastRenderedPageBreak/>
        <w:t xml:space="preserve">emitirá las recomendaciones y medidas de seguridad necesarias a efecto de mitigar o eliminar el riesgo existente. </w:t>
      </w:r>
    </w:p>
    <w:p w:rsidR="001F4188" w:rsidRPr="00461B60" w:rsidRDefault="001F4188"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Asimismo, es facultad de la Dirección de Protección Civil y Bomberos, en caso de riesgo o siniestro que ponga en peligro la vida, la integridad física o patrimonial de cualquier persona, mediante los cuerpos de emergencia (Bomberos, Rescate Urbano, Atención Pre-hospitalaria y Normatividad), ingresar de cualquier manera a todo inmueble o unidad económica con las facultades que le confieren los ordenamientos legales vigentes en la materia, anteponiendo el interés jurídico de la vida de todo ser humano a fin de reducir los efectos ocasionados por el fenómeno perturbador.</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color w:val="000000" w:themeColor="text1"/>
        </w:rPr>
        <w:t xml:space="preserve">En razón de lo expuesto se logra advertir de manera enunciativa más son limitativa que las unidades administrativas en las que pudiera obrar la información de conformidad con sus facultades, son la </w:t>
      </w:r>
      <w:r w:rsidRPr="00461B60">
        <w:rPr>
          <w:rFonts w:ascii="Palatino Linotype" w:eastAsia="Palatino Linotype" w:hAnsi="Palatino Linotype" w:cs="Palatino Linotype"/>
          <w:b/>
          <w:bCs/>
          <w:color w:val="000000" w:themeColor="text1"/>
        </w:rPr>
        <w:t>Dirección de Medio Ambiente y Ecología y la Dirección de Protección Civil y Bomberos.</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Adicionalmente a lo anterior, en el Recurso de Revisión </w:t>
      </w:r>
      <w:r w:rsidRPr="00461B60">
        <w:rPr>
          <w:rFonts w:ascii="Palatino Linotype" w:eastAsia="Palatino Linotype" w:hAnsi="Palatino Linotype" w:cs="Palatino Linotype"/>
          <w:b/>
          <w:bCs/>
          <w:color w:val="000000" w:themeColor="text1"/>
        </w:rPr>
        <w:t>06593/INFOEM/IP/RR/2023</w:t>
      </w:r>
      <w:r w:rsidRPr="00461B60">
        <w:rPr>
          <w:rFonts w:ascii="Palatino Linotype" w:eastAsia="Palatino Linotype" w:hAnsi="Palatino Linotype" w:cs="Palatino Linotype"/>
          <w:color w:val="000000" w:themeColor="text1"/>
        </w:rPr>
        <w:t>, el Sujeto Obligado remitió a través de Informe Justificado el oficio DMAYE/ECA/0614/2023 de fecha 26 de octubre de 2023, firmado por la Directora de Medio Ambiente y Ecología, a través del cual refirió:</w:t>
      </w:r>
    </w:p>
    <w:p w:rsidR="001F4188" w:rsidRDefault="003E5AB7" w:rsidP="00461B60">
      <w:pPr>
        <w:spacing w:line="360" w:lineRule="auto"/>
        <w:jc w:val="center"/>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noProof/>
          <w:color w:val="000000" w:themeColor="text1"/>
        </w:rPr>
        <w:drawing>
          <wp:inline distT="0" distB="0" distL="0" distR="0">
            <wp:extent cx="4410691" cy="183858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10691" cy="1838582"/>
                    </a:xfrm>
                    <a:prstGeom prst="rect">
                      <a:avLst/>
                    </a:prstGeom>
                    <a:ln/>
                  </pic:spPr>
                </pic:pic>
              </a:graphicData>
            </a:graphic>
          </wp:inline>
        </w:drawing>
      </w:r>
    </w:p>
    <w:p w:rsidR="00C01FE6" w:rsidRPr="00461B60" w:rsidRDefault="00C01FE6" w:rsidP="00461B60">
      <w:pPr>
        <w:spacing w:line="360" w:lineRule="auto"/>
        <w:jc w:val="center"/>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lastRenderedPageBreak/>
        <w:t xml:space="preserve">  Atento a lo anterior, </w:t>
      </w:r>
      <w:r w:rsidRPr="00461B60">
        <w:rPr>
          <w:rFonts w:ascii="Palatino Linotype" w:eastAsia="Palatino Linotype" w:hAnsi="Palatino Linotype" w:cs="Palatino Linotype"/>
          <w:b/>
          <w:bCs/>
          <w:color w:val="000000" w:themeColor="text1"/>
        </w:rPr>
        <w:t xml:space="preserve">resulta evidente la existencia de la petición </w:t>
      </w:r>
      <w:r w:rsidR="00461B60" w:rsidRPr="00461B60">
        <w:rPr>
          <w:rFonts w:ascii="Palatino Linotype" w:eastAsia="Palatino Linotype" w:hAnsi="Palatino Linotype" w:cs="Palatino Linotype"/>
          <w:b/>
          <w:bCs/>
          <w:color w:val="000000" w:themeColor="text1"/>
        </w:rPr>
        <w:t>presentada con</w:t>
      </w:r>
      <w:r w:rsidRPr="00461B60">
        <w:rPr>
          <w:rFonts w:ascii="Palatino Linotype" w:eastAsia="Palatino Linotype" w:hAnsi="Palatino Linotype" w:cs="Palatino Linotype"/>
          <w:b/>
          <w:bCs/>
          <w:color w:val="000000" w:themeColor="text1"/>
        </w:rPr>
        <w:t xml:space="preserve"> número de Folio 008530</w:t>
      </w:r>
      <w:r w:rsidRPr="00461B60">
        <w:rPr>
          <w:rFonts w:ascii="Palatino Linotype" w:eastAsia="Palatino Linotype" w:hAnsi="Palatino Linotype" w:cs="Palatino Linotype"/>
          <w:color w:val="000000" w:themeColor="text1"/>
        </w:rPr>
        <w:t>, relativa a la solicitud de valoración de riesgo por parte de la Recurrente, pues a través de tal documental, el propio servidor público admitió su existencia.</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De tal circunstancia el </w:t>
      </w:r>
      <w:r w:rsidRPr="00461B60">
        <w:rPr>
          <w:rFonts w:ascii="Palatino Linotype" w:eastAsia="Palatino Linotype" w:hAnsi="Palatino Linotype" w:cs="Palatino Linotype"/>
          <w:b/>
          <w:bCs/>
          <w:color w:val="000000" w:themeColor="text1"/>
        </w:rPr>
        <w:t>SUJETO OBLIGADO</w:t>
      </w:r>
      <w:r w:rsidRPr="00461B60">
        <w:rPr>
          <w:rFonts w:ascii="Palatino Linotype" w:eastAsia="Palatino Linotype" w:hAnsi="Palatino Linotype" w:cs="Palatino Linotype"/>
          <w:color w:val="000000" w:themeColor="text1"/>
        </w:rPr>
        <w:t xml:space="preserve"> deberá realizar una </w:t>
      </w:r>
      <w:r w:rsidRPr="00461B60">
        <w:rPr>
          <w:rFonts w:ascii="Palatino Linotype" w:eastAsia="Palatino Linotype" w:hAnsi="Palatino Linotype" w:cs="Palatino Linotype"/>
          <w:b/>
          <w:bCs/>
          <w:color w:val="000000" w:themeColor="text1"/>
        </w:rPr>
        <w:t>búsqueda exhaustiva y razonable</w:t>
      </w:r>
      <w:r w:rsidRPr="00461B60">
        <w:rPr>
          <w:rFonts w:ascii="Palatino Linotype" w:eastAsia="Palatino Linotype" w:hAnsi="Palatino Linotype" w:cs="Palatino Linotype"/>
          <w:color w:val="000000" w:themeColor="text1"/>
        </w:rPr>
        <w:t xml:space="preserve"> en las unidades administrativas que de conformidad a sus funciones y atribuciones posean, administren o generen la información, con la finalidad de entregar la que resulta de interés para </w:t>
      </w:r>
      <w:r w:rsidRPr="00461B60">
        <w:rPr>
          <w:rFonts w:ascii="Palatino Linotype" w:eastAsia="Palatino Linotype" w:hAnsi="Palatino Linotype" w:cs="Palatino Linotype"/>
          <w:b/>
          <w:bCs/>
          <w:color w:val="000000" w:themeColor="text1"/>
        </w:rPr>
        <w:t>L</w:t>
      </w:r>
      <w:r w:rsidR="00461B60">
        <w:rPr>
          <w:rFonts w:ascii="Palatino Linotype" w:eastAsia="Palatino Linotype" w:hAnsi="Palatino Linotype" w:cs="Palatino Linotype"/>
          <w:b/>
          <w:bCs/>
          <w:color w:val="000000" w:themeColor="text1"/>
        </w:rPr>
        <w:t>A</w:t>
      </w:r>
      <w:r w:rsidRPr="00461B60">
        <w:rPr>
          <w:rFonts w:ascii="Palatino Linotype" w:eastAsia="Palatino Linotype" w:hAnsi="Palatino Linotype" w:cs="Palatino Linotype"/>
          <w:b/>
          <w:bCs/>
          <w:color w:val="000000" w:themeColor="text1"/>
        </w:rPr>
        <w:t xml:space="preserve"> RECURRENTE</w:t>
      </w:r>
      <w:r w:rsidRPr="00461B60">
        <w:rPr>
          <w:rFonts w:ascii="Palatino Linotype" w:eastAsia="Palatino Linotype" w:hAnsi="Palatino Linotype" w:cs="Palatino Linotype"/>
          <w:color w:val="000000" w:themeColor="text1"/>
        </w:rPr>
        <w:t>.</w:t>
      </w:r>
    </w:p>
    <w:p w:rsidR="001F4188" w:rsidRPr="00461B60" w:rsidRDefault="001F4188"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1F4188" w:rsidRDefault="003E5AB7" w:rsidP="00461B60">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color w:val="000000" w:themeColor="text1"/>
        </w:rPr>
        <w:t xml:space="preserve">Por lo anterior, este Organismo Garante, con la finalidad de garantizar el ejercicio de los derechos ARCO de la parte </w:t>
      </w:r>
      <w:r w:rsidRPr="00461B60">
        <w:rPr>
          <w:rFonts w:ascii="Palatino Linotype" w:eastAsia="Palatino Linotype" w:hAnsi="Palatino Linotype" w:cs="Palatino Linotype"/>
          <w:b/>
          <w:bCs/>
          <w:color w:val="000000" w:themeColor="text1"/>
        </w:rPr>
        <w:t>Recurrente,</w:t>
      </w:r>
      <w:r w:rsidRPr="00461B60">
        <w:rPr>
          <w:rFonts w:ascii="Palatino Linotype" w:eastAsia="Palatino Linotype" w:hAnsi="Palatino Linotype" w:cs="Palatino Linotype"/>
          <w:color w:val="000000" w:themeColor="text1"/>
        </w:rPr>
        <w:t xml:space="preserve"> y a fin de reparar el agravio causado ante la omisión en que incurriera el </w:t>
      </w:r>
      <w:r w:rsidRPr="00461B60">
        <w:rPr>
          <w:rFonts w:ascii="Palatino Linotype" w:eastAsia="Palatino Linotype" w:hAnsi="Palatino Linotype" w:cs="Palatino Linotype"/>
          <w:b/>
          <w:bCs/>
          <w:color w:val="000000" w:themeColor="text1"/>
        </w:rPr>
        <w:t>Sujeto Obligado</w:t>
      </w:r>
      <w:r w:rsidRPr="00461B60">
        <w:rPr>
          <w:rFonts w:ascii="Palatino Linotype" w:eastAsia="Palatino Linotype" w:hAnsi="Palatino Linotype" w:cs="Palatino Linotype"/>
          <w:color w:val="000000" w:themeColor="text1"/>
        </w:rPr>
        <w:t xml:space="preserve">, ya que como se señaló, su respuesta careció del principio de exhaustividad, al no pronunciarse por las consideraciones ya expuestas, por lo que se estima procedente </w:t>
      </w:r>
      <w:r w:rsidRPr="00461B60">
        <w:rPr>
          <w:rFonts w:ascii="Palatino Linotype" w:eastAsia="Palatino Linotype" w:hAnsi="Palatino Linotype" w:cs="Palatino Linotype"/>
          <w:b/>
          <w:bCs/>
          <w:color w:val="000000" w:themeColor="text1"/>
        </w:rPr>
        <w:t>ORDENAR</w:t>
      </w:r>
      <w:r w:rsidRPr="00461B60">
        <w:rPr>
          <w:rFonts w:ascii="Palatino Linotype" w:eastAsia="Palatino Linotype" w:hAnsi="Palatino Linotype" w:cs="Palatino Linotype"/>
          <w:color w:val="000000" w:themeColor="text1"/>
        </w:rPr>
        <w:t xml:space="preserve"> que, previa búsqueda exhaustiva y razonable, haga entrega del </w:t>
      </w:r>
      <w:r w:rsidRPr="00461B60">
        <w:rPr>
          <w:rFonts w:ascii="Palatino Linotype" w:eastAsia="Palatino Linotype" w:hAnsi="Palatino Linotype" w:cs="Palatino Linotype"/>
          <w:b/>
          <w:bCs/>
          <w:color w:val="000000" w:themeColor="text1"/>
        </w:rPr>
        <w:t>documento en el que conste la respuesta emitida por la Dirección de Medio Ambiente y Ecología, en la petición de "VALORACION DE RIESGO" en escrito de fecha 02 de mayo de 2023 con número de folio 008530, en copias certificadas.</w:t>
      </w:r>
    </w:p>
    <w:p w:rsidR="00FD5229" w:rsidRPr="00461B60" w:rsidRDefault="00FD5229" w:rsidP="00FD5229">
      <w:pPr>
        <w:spacing w:line="360" w:lineRule="auto"/>
        <w:jc w:val="both"/>
        <w:rPr>
          <w:rFonts w:ascii="Palatino Linotype" w:eastAsia="Palatino Linotype" w:hAnsi="Palatino Linotype" w:cs="Palatino Linotype"/>
          <w:b/>
          <w:bCs/>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Asimismo,  no pasa desapercibido para este Órgano Garante que la particular refirió en su solicitud de información que requería, la información en copias certificadas, en ese contexto, resulta necesario traer a colación, el artículo 174 de la Ley de Transparencia y Acceso a la Información Pública del Estado de México y Municipios, que establece que los costos de reproducción, deben cubrirse de manera previa a la entrega, los cuales no podrán ser superiores a la suma del monto de los materiales utilizados, envió y pago de certificación, los </w:t>
      </w:r>
      <w:r w:rsidRPr="00461B60">
        <w:rPr>
          <w:rFonts w:ascii="Palatino Linotype" w:eastAsia="Palatino Linotype" w:hAnsi="Palatino Linotype" w:cs="Palatino Linotype"/>
          <w:color w:val="000000" w:themeColor="text1"/>
        </w:rPr>
        <w:lastRenderedPageBreak/>
        <w:t>cuales deberán facilitar el ejercicio del derecho de acceso a la información, como a continuación se observa:</w:t>
      </w:r>
    </w:p>
    <w:p w:rsidR="001F4188" w:rsidRPr="00461B60" w:rsidRDefault="003E5AB7" w:rsidP="00461B60">
      <w:pP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 xml:space="preserve">“Artículo 174. </w:t>
      </w:r>
      <w:r w:rsidRPr="00461B60">
        <w:rPr>
          <w:rFonts w:ascii="Palatino Linotype" w:eastAsia="Palatino Linotype" w:hAnsi="Palatino Linotype" w:cs="Palatino Linotype"/>
          <w:i/>
          <w:iCs/>
          <w:color w:val="000000" w:themeColor="text1"/>
        </w:rPr>
        <w:t xml:space="preserve">En caso de existir costos para obtener la información deberán cubrirse de manera previa a la entrega y no podrán ser superiores a la suma de: </w:t>
      </w:r>
    </w:p>
    <w:p w:rsidR="001F4188" w:rsidRPr="00461B60" w:rsidRDefault="001F4188" w:rsidP="00461B60">
      <w:pPr>
        <w:jc w:val="both"/>
        <w:rPr>
          <w:rFonts w:ascii="Palatino Linotype" w:eastAsia="Palatino Linotype" w:hAnsi="Palatino Linotype" w:cs="Palatino Linotype"/>
          <w:color w:val="000000" w:themeColor="text1"/>
        </w:rPr>
      </w:pPr>
    </w:p>
    <w:p w:rsidR="001F4188" w:rsidRPr="00461B60" w:rsidRDefault="003E5AB7" w:rsidP="00461B60">
      <w:pPr>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i/>
          <w:iCs/>
          <w:color w:val="000000" w:themeColor="text1"/>
        </w:rPr>
        <w:t xml:space="preserve">I. El costo de los materiales utilizados en la reproducción de la información; </w:t>
      </w:r>
    </w:p>
    <w:p w:rsidR="001F4188" w:rsidRPr="00461B60" w:rsidRDefault="003E5AB7" w:rsidP="00461B60">
      <w:pPr>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i/>
          <w:iCs/>
          <w:color w:val="000000" w:themeColor="text1"/>
        </w:rPr>
        <w:t xml:space="preserve">II. El costo de envío, en su caso; y </w:t>
      </w:r>
    </w:p>
    <w:p w:rsidR="001F4188" w:rsidRPr="00461B60" w:rsidRDefault="003E5AB7" w:rsidP="00461B60">
      <w:pP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III. El pago de la certificación de los documentos, cuando proceda. </w:t>
      </w:r>
    </w:p>
    <w:p w:rsidR="001F4188" w:rsidRPr="00461B60" w:rsidRDefault="001F4188" w:rsidP="00461B60">
      <w:pPr>
        <w:jc w:val="both"/>
        <w:rPr>
          <w:rFonts w:ascii="Palatino Linotype" w:eastAsia="Palatino Linotype" w:hAnsi="Palatino Linotype" w:cs="Palatino Linotype"/>
          <w:color w:val="000000" w:themeColor="text1"/>
        </w:rPr>
      </w:pPr>
    </w:p>
    <w:p w:rsidR="001F4188" w:rsidRPr="00461B60" w:rsidRDefault="003E5AB7" w:rsidP="00461B60">
      <w:pP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p>
    <w:p w:rsidR="001F4188" w:rsidRPr="00461B60" w:rsidRDefault="001F4188" w:rsidP="00461B60">
      <w:pPr>
        <w:jc w:val="both"/>
        <w:rPr>
          <w:rFonts w:ascii="Palatino Linotype" w:eastAsia="Palatino Linotype" w:hAnsi="Palatino Linotype" w:cs="Palatino Linotype"/>
          <w:i/>
          <w:iCs/>
          <w:color w:val="000000" w:themeColor="text1"/>
        </w:rPr>
      </w:pPr>
    </w:p>
    <w:p w:rsidR="001F4188" w:rsidRPr="00461B60" w:rsidRDefault="003E5AB7" w:rsidP="00461B60">
      <w:pP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i/>
          <w:iCs/>
          <w:color w:val="000000" w:themeColor="text1"/>
        </w:rPr>
        <w:t xml:space="preserve">Los sujetos obligados a los que no les sea aplicable el Código Financiero del Estado de México y Municipios deberán establecer cuotas que no sean mayores a las dispuestas en dicho ordenamiento. </w:t>
      </w:r>
    </w:p>
    <w:p w:rsidR="001F4188" w:rsidRPr="00461B60" w:rsidRDefault="001F4188" w:rsidP="00461B60">
      <w:pPr>
        <w:jc w:val="both"/>
        <w:rPr>
          <w:rFonts w:ascii="Palatino Linotype" w:eastAsia="Palatino Linotype" w:hAnsi="Palatino Linotype" w:cs="Palatino Linotype"/>
          <w:color w:val="000000" w:themeColor="text1"/>
        </w:rPr>
      </w:pPr>
    </w:p>
    <w:p w:rsidR="001F4188" w:rsidRPr="00461B60" w:rsidRDefault="003E5AB7" w:rsidP="00461B60">
      <w:pPr>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i/>
          <w:iCs/>
          <w:color w:val="000000" w:themeColor="text1"/>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1F4188" w:rsidRDefault="001F4188" w:rsidP="00461B60">
      <w:pPr>
        <w:rPr>
          <w:rFonts w:ascii="Palatino Linotype" w:hAnsi="Palatino Linotype"/>
          <w:color w:val="000000" w:themeColor="text1"/>
        </w:rPr>
      </w:pPr>
    </w:p>
    <w:p w:rsidR="00FD5229" w:rsidRDefault="00FD5229" w:rsidP="00461B60">
      <w:pPr>
        <w:rPr>
          <w:rFonts w:ascii="Palatino Linotype" w:hAnsi="Palatino Linotype"/>
          <w:color w:val="000000" w:themeColor="text1"/>
        </w:rPr>
      </w:pPr>
    </w:p>
    <w:p w:rsidR="00FD5229" w:rsidRPr="00461B60" w:rsidRDefault="00FD5229" w:rsidP="00461B60">
      <w:pPr>
        <w:rPr>
          <w:rFonts w:ascii="Palatino Linotype" w:hAnsi="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Así, el Código Financiero del Estado de México establece en su diverso 148 establece que para la expedición de documentos solicitados en el ejercicio del derecho de acceso a la información deberán considerar las siguientes cuotas:</w:t>
      </w:r>
    </w:p>
    <w:p w:rsidR="001F4188" w:rsidRPr="00461B60" w:rsidRDefault="001F4188" w:rsidP="00461B60">
      <w:pPr>
        <w:rPr>
          <w:rFonts w:ascii="Palatino Linotype" w:hAnsi="Palatino Linotype"/>
          <w:color w:val="000000" w:themeColor="text1"/>
        </w:rPr>
      </w:pPr>
    </w:p>
    <w:p w:rsidR="001F4188" w:rsidRPr="00461B60" w:rsidRDefault="001F4188" w:rsidP="00461B60">
      <w:pPr>
        <w:rPr>
          <w:rFonts w:ascii="Palatino Linotype" w:hAnsi="Palatino Linotype"/>
          <w:color w:val="000000" w:themeColor="text1"/>
        </w:rPr>
      </w:pPr>
    </w:p>
    <w:p w:rsidR="001F4188" w:rsidRPr="00461B60" w:rsidRDefault="003E5AB7" w:rsidP="00C01FE6">
      <w:pPr>
        <w:jc w:val="center"/>
        <w:rPr>
          <w:rFonts w:ascii="Palatino Linotype" w:hAnsi="Palatino Linotype"/>
          <w:color w:val="000000" w:themeColor="text1"/>
        </w:rPr>
      </w:pPr>
      <w:r w:rsidRPr="00461B60">
        <w:rPr>
          <w:rFonts w:ascii="Palatino Linotype" w:hAnsi="Palatino Linotype"/>
          <w:noProof/>
          <w:color w:val="000000" w:themeColor="text1"/>
        </w:rPr>
        <w:lastRenderedPageBreak/>
        <w:drawing>
          <wp:inline distT="0" distB="0" distL="0" distR="0">
            <wp:extent cx="4528126" cy="265509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528126" cy="2655092"/>
                    </a:xfrm>
                    <a:prstGeom prst="rect">
                      <a:avLst/>
                    </a:prstGeom>
                    <a:ln/>
                  </pic:spPr>
                </pic:pic>
              </a:graphicData>
            </a:graphic>
          </wp:inline>
        </w:drawing>
      </w:r>
    </w:p>
    <w:p w:rsidR="001F4188" w:rsidRPr="00461B60" w:rsidRDefault="001F4188" w:rsidP="00461B60">
      <w:pPr>
        <w:rPr>
          <w:rFonts w:ascii="Palatino Linotype" w:hAnsi="Palatino Linotype"/>
          <w:color w:val="000000" w:themeColor="text1"/>
        </w:rPr>
      </w:pPr>
    </w:p>
    <w:p w:rsidR="00F40E0F" w:rsidRDefault="00F40E0F" w:rsidP="00F40E0F">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Así, el sujeto obligado </w:t>
      </w:r>
      <w:r w:rsidRPr="00461B60">
        <w:rPr>
          <w:rFonts w:ascii="Palatino Linotype" w:eastAsia="Palatino Linotype" w:hAnsi="Palatino Linotype" w:cs="Palatino Linotype"/>
          <w:b/>
          <w:bCs/>
          <w:color w:val="000000" w:themeColor="text1"/>
        </w:rPr>
        <w:t>deberá hacer del conocimiento</w:t>
      </w:r>
      <w:r w:rsidRPr="00461B60">
        <w:rPr>
          <w:rFonts w:ascii="Palatino Linotype" w:eastAsia="Palatino Linotype" w:hAnsi="Palatino Linotype" w:cs="Palatino Linotype"/>
          <w:color w:val="000000" w:themeColor="text1"/>
        </w:rPr>
        <w:t xml:space="preserve"> de la </w:t>
      </w:r>
      <w:r w:rsidRPr="00461B60">
        <w:rPr>
          <w:rFonts w:ascii="Palatino Linotype" w:eastAsia="Palatino Linotype" w:hAnsi="Palatino Linotype" w:cs="Palatino Linotype"/>
          <w:b/>
          <w:bCs/>
          <w:color w:val="000000" w:themeColor="text1"/>
        </w:rPr>
        <w:t>RECURRENTE</w:t>
      </w:r>
      <w:r w:rsidRPr="00461B60">
        <w:rPr>
          <w:rFonts w:ascii="Palatino Linotype" w:eastAsia="Palatino Linotype" w:hAnsi="Palatino Linotype" w:cs="Palatino Linotype"/>
          <w:color w:val="000000" w:themeColor="text1"/>
        </w:rPr>
        <w:t xml:space="preserve">, vía </w:t>
      </w:r>
      <w:r w:rsidRPr="00461B60">
        <w:rPr>
          <w:rFonts w:ascii="Palatino Linotype" w:eastAsia="Palatino Linotype" w:hAnsi="Palatino Linotype" w:cs="Palatino Linotype"/>
          <w:b/>
          <w:bCs/>
          <w:color w:val="000000" w:themeColor="text1"/>
        </w:rPr>
        <w:t>SAIMEX</w:t>
      </w:r>
      <w:r w:rsidRPr="00461B60">
        <w:rPr>
          <w:rFonts w:ascii="Palatino Linotype" w:eastAsia="Palatino Linotype" w:hAnsi="Palatino Linotype" w:cs="Palatino Linotype"/>
          <w:color w:val="000000" w:themeColor="text1"/>
        </w:rPr>
        <w:t xml:space="preserve">, el </w:t>
      </w:r>
      <w:r w:rsidRPr="00461B60">
        <w:rPr>
          <w:rFonts w:ascii="Palatino Linotype" w:eastAsia="Palatino Linotype" w:hAnsi="Palatino Linotype" w:cs="Palatino Linotype"/>
          <w:b/>
          <w:bCs/>
          <w:color w:val="000000" w:themeColor="text1"/>
        </w:rPr>
        <w:t>procedimiento para la entrega de lo solicitado</w:t>
      </w:r>
      <w:r w:rsidRPr="00461B60">
        <w:rPr>
          <w:rFonts w:ascii="Palatino Linotype" w:eastAsia="Palatino Linotype" w:hAnsi="Palatino Linotype" w:cs="Palatino Linotype"/>
          <w:color w:val="000000" w:themeColor="text1"/>
        </w:rPr>
        <w:t xml:space="preserve">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dispuesto en el ya referido artículo 148 del Código Financiero del Estado de México y Municipios.</w:t>
      </w:r>
    </w:p>
    <w:p w:rsidR="00777DF4" w:rsidRPr="00461B60" w:rsidRDefault="00777DF4"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En este tenor, se trae a contexto el criterio adoptado por la mayoría de los integrantes del Pleno de este Organismo Garante, se toma en consideración, por analogía, el criterio orientador 02/18 emitido por el Instituto Nacional de Transparencia, Acceso a la Información y Protección de Datos Personales, que es del tenor literal siguiente:</w:t>
      </w:r>
    </w:p>
    <w:p w:rsidR="001F4188" w:rsidRPr="00461B60" w:rsidRDefault="003E5AB7" w:rsidP="00461B60">
      <w:pPr>
        <w:pBdr>
          <w:top w:val="nil"/>
          <w:left w:val="nil"/>
          <w:bottom w:val="nil"/>
          <w:right w:val="nil"/>
          <w:between w:val="nil"/>
        </w:pBdr>
        <w:spacing w:before="120" w:after="120"/>
        <w:jc w:val="both"/>
        <w:rPr>
          <w:rFonts w:ascii="Palatino Linotype" w:hAnsi="Palatino Linotype"/>
          <w:color w:val="000000" w:themeColor="text1"/>
        </w:rPr>
      </w:pPr>
      <w:r w:rsidRPr="00461B60">
        <w:rPr>
          <w:rFonts w:ascii="Palatino Linotype" w:eastAsia="Palatino Linotype" w:hAnsi="Palatino Linotype" w:cs="Palatino Linotype"/>
          <w:b/>
          <w:bCs/>
          <w:color w:val="000000" w:themeColor="text1"/>
        </w:rPr>
        <w:t>“</w:t>
      </w:r>
      <w:r w:rsidRPr="00461B60">
        <w:rPr>
          <w:rFonts w:ascii="Palatino Linotype" w:eastAsia="Palatino Linotype" w:hAnsi="Palatino Linotype" w:cs="Palatino Linotype"/>
          <w:b/>
          <w:bCs/>
          <w:i/>
          <w:iCs/>
          <w:color w:val="000000" w:themeColor="text1"/>
        </w:rPr>
        <w:t>Gratuidad de las primeras veinte hojas simples o certificadas</w:t>
      </w:r>
      <w:r w:rsidRPr="00461B60">
        <w:rPr>
          <w:rFonts w:ascii="Palatino Linotype" w:eastAsia="Palatino Linotype" w:hAnsi="Palatino Linotype" w:cs="Palatino Linotype"/>
          <w:i/>
          <w:iCs/>
          <w:color w:val="000000" w:themeColor="text1"/>
        </w:rPr>
        <w:t>. Cuando la entrega de los datos personales sea a través de copias simples o certificadas, las primeras veinte hojas serán sin costo. ”</w:t>
      </w:r>
    </w:p>
    <w:p w:rsidR="001F4188" w:rsidRPr="00461B60" w:rsidRDefault="001F4188" w:rsidP="00461B60">
      <w:pPr>
        <w:pBdr>
          <w:top w:val="nil"/>
          <w:left w:val="nil"/>
          <w:bottom w:val="nil"/>
          <w:right w:val="nil"/>
          <w:between w:val="nil"/>
        </w:pBdr>
        <w:rPr>
          <w:rFonts w:ascii="Palatino Linotype" w:eastAsia="Palatino Linotype" w:hAnsi="Palatino Linotype" w:cs="Palatino Linotype"/>
          <w:color w:val="000000" w:themeColor="text1"/>
        </w:rPr>
      </w:pPr>
    </w:p>
    <w:p w:rsidR="001F4188" w:rsidRPr="00461B60" w:rsidRDefault="003E5AB7" w:rsidP="00461B60">
      <w:pPr>
        <w:numPr>
          <w:ilvl w:val="0"/>
          <w:numId w:val="6"/>
        </w:numPr>
        <w:pBdr>
          <w:top w:val="nil"/>
          <w:left w:val="nil"/>
          <w:bottom w:val="nil"/>
          <w:right w:val="nil"/>
          <w:between w:val="nil"/>
        </w:pBdr>
        <w:tabs>
          <w:tab w:val="left" w:pos="426"/>
        </w:tabs>
        <w:spacing w:before="240" w:after="240" w:line="360" w:lineRule="auto"/>
        <w:ind w:left="0" w:firstLine="0"/>
        <w:jc w:val="both"/>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b/>
          <w:bCs/>
          <w:color w:val="000000" w:themeColor="text1"/>
        </w:rPr>
        <w:lastRenderedPageBreak/>
        <w:t>Acreditación de la identidad de la RECURRENTE.</w:t>
      </w: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No obstante que como se ha venido mencionando al ingresar vía SAIMEX, el particular no recibió las instrucciones precisas, paso a paso, que se exponen en el Sistema de Acceso, Rectificación, Cancelación y Oposición de Datos Personales (SARCOEM) para formular adecuadamente una solicitud de acceso a datos personales.</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Al respecto, debemos recordar que el tercer párrafo del artículo 106 de la Ley de Protección de Datos Personales en Posesión de Sujetos Obligados del Estado de México y Municipios, establece que para el ejercicio de los derechos ARCO solicitados </w:t>
      </w:r>
      <w:r w:rsidRPr="00461B60">
        <w:rPr>
          <w:rFonts w:ascii="Palatino Linotype" w:eastAsia="Palatino Linotype" w:hAnsi="Palatino Linotype" w:cs="Palatino Linotype"/>
          <w:b/>
          <w:bCs/>
          <w:color w:val="000000" w:themeColor="text1"/>
        </w:rPr>
        <w:t>será necesario acreditar la identidad del titular</w:t>
      </w:r>
      <w:r w:rsidRPr="00461B60">
        <w:rPr>
          <w:rFonts w:ascii="Palatino Linotype" w:eastAsia="Palatino Linotype" w:hAnsi="Palatino Linotype" w:cs="Palatino Linotype"/>
          <w:color w:val="000000" w:themeColor="text1"/>
        </w:rPr>
        <w:t xml:space="preserve"> y, en su caso, la identidad y personalidad con la que actúe el representante.</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Así, al momento de formular la solicitud de información, el Recurrente no adjuntó documento de identidad que ciertamente corresponde a un medio de identificación oficial de conformidad con lo establecido en el artículo 120 de la Ley de Protección de Datos Personales en Posesión de Sujetos Obligados del Estado de México y Municipios, a saber:</w:t>
      </w:r>
    </w:p>
    <w:p w:rsidR="001F4188" w:rsidRPr="00461B60" w:rsidRDefault="003E5AB7" w:rsidP="00461B60">
      <w:pPr>
        <w:pBdr>
          <w:top w:val="nil"/>
          <w:left w:val="nil"/>
          <w:bottom w:val="nil"/>
          <w:right w:val="nil"/>
          <w:between w:val="nil"/>
        </w:pBdr>
        <w:tabs>
          <w:tab w:val="left" w:pos="426"/>
        </w:tabs>
        <w:spacing w:before="24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Identificación oficial;</w:t>
      </w:r>
    </w:p>
    <w:p w:rsidR="001F4188" w:rsidRPr="00461B60" w:rsidRDefault="003E5AB7" w:rsidP="00461B60">
      <w:pPr>
        <w:numPr>
          <w:ilvl w:val="1"/>
          <w:numId w:val="9"/>
        </w:numPr>
        <w:pBdr>
          <w:top w:val="nil"/>
          <w:left w:val="nil"/>
          <w:bottom w:val="nil"/>
          <w:right w:val="nil"/>
          <w:between w:val="nil"/>
        </w:pBdr>
        <w:tabs>
          <w:tab w:val="left" w:pos="426"/>
        </w:tabs>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Firma electrónica avanzada o del instrumento electrónico que lo sustituya; o</w:t>
      </w:r>
    </w:p>
    <w:p w:rsidR="001F4188" w:rsidRPr="00461B60" w:rsidRDefault="003E5AB7" w:rsidP="00461B60">
      <w:pPr>
        <w:numPr>
          <w:ilvl w:val="1"/>
          <w:numId w:val="9"/>
        </w:numPr>
        <w:pBdr>
          <w:top w:val="nil"/>
          <w:left w:val="nil"/>
          <w:bottom w:val="nil"/>
          <w:right w:val="nil"/>
          <w:between w:val="nil"/>
        </w:pBdr>
        <w:tabs>
          <w:tab w:val="left" w:pos="426"/>
        </w:tabs>
        <w:spacing w:after="240"/>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Mecanismos de autenticación autorizados por el Instituto o el Instituto Nacional publicados por acuerdo general en el periódico oficial “</w:t>
      </w:r>
      <w:r w:rsidRPr="00461B60">
        <w:rPr>
          <w:rFonts w:ascii="Palatino Linotype" w:eastAsia="Palatino Linotype" w:hAnsi="Palatino Linotype" w:cs="Palatino Linotype"/>
          <w:i/>
          <w:iCs/>
          <w:color w:val="000000" w:themeColor="text1"/>
        </w:rPr>
        <w:t>Gaceta del Gobierno</w:t>
      </w:r>
      <w:r w:rsidRPr="00461B60">
        <w:rPr>
          <w:rFonts w:ascii="Palatino Linotype" w:eastAsia="Palatino Linotype" w:hAnsi="Palatino Linotype" w:cs="Palatino Linotype"/>
          <w:color w:val="000000" w:themeColor="text1"/>
        </w:rPr>
        <w:t>” o en el Diario Oficial de la Federación.</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En esa tesitura, fue necesario prevenir a la titular de los datos o a su representante dentro de los cinco días siguientes a la reconducción de la solicitud, por una sola ocasión, para que subsanara dicha omisión dentro de un plazo de 05 días contados a partir del día siguiente </w:t>
      </w:r>
      <w:r w:rsidRPr="00461B60">
        <w:rPr>
          <w:rFonts w:ascii="Palatino Linotype" w:eastAsia="Palatino Linotype" w:hAnsi="Palatino Linotype" w:cs="Palatino Linotype"/>
          <w:color w:val="000000" w:themeColor="text1"/>
        </w:rPr>
        <w:lastRenderedPageBreak/>
        <w:t>al de la notificación; y, si transcurrido el plazo sin que la o el Titular haya desahogado la prevención, se procede al sobreseimiento del Recurso de Revisión, prevención que fue atendida acreditando su identidad con copia de credencial para votar.</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Ahora bien, el hecho de remitir un medio de identificación oficial, no resulta suficiente para que se entreguen los datos personal; toda vez derivado que las partes fueron omisas manifestar su voluntad de conciliar en el plazo legalmente establecido para tal efecto, lo que provocó que no se materializara la audiencia de conciliación, no fue posible acreditar su identidad como la titular de los datos personales, no logrando acreditar ante este Órgano Garante debidamente su identidad, a efecto de contar con certeza de que quien realiza la solicitud de acceso, sea justamente el titular de los datos personales</w:t>
      </w:r>
      <w:r w:rsidRPr="00461B60">
        <w:rPr>
          <w:rFonts w:ascii="Palatino Linotype" w:eastAsia="Palatino Linotype" w:hAnsi="Palatino Linotype" w:cs="Palatino Linotype"/>
          <w:b/>
          <w:bCs/>
          <w:color w:val="000000" w:themeColor="text1"/>
        </w:rPr>
        <w:t>, lo que pondría en riesgo inminente su resguardo y confidencialidad de los datos personales.</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Ello en virtud de que si bien no se duda de la buena fe con la que los particulares ejercen sus derechos ARCO, cierto es que eventualmente puede actualizarse algún supuesto de robo de identidad o usurpación de identidad, que consiste en la apropiación de la identidad de una persona; es decir, hacerse pasar por esa persona, asumir su identidad ante otras personas en público o en privado, en general para acceder a ciertos recursos o como resulta del caso concreto de la obtención de información y datos personales a nombre de esa persona.</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b/>
          <w:bCs/>
          <w:color w:val="000000" w:themeColor="text1"/>
        </w:rPr>
        <w:t>Por ello, no basta con adjuntar una identificación en este caso vía SARCOEM o como resulta del caso concreto a través del SAIMEX,</w:t>
      </w:r>
      <w:r w:rsidRPr="00461B60">
        <w:rPr>
          <w:rFonts w:ascii="Palatino Linotype" w:eastAsia="Palatino Linotype" w:hAnsi="Palatino Linotype" w:cs="Palatino Linotype"/>
          <w:color w:val="000000" w:themeColor="text1"/>
        </w:rPr>
        <w:t xml:space="preserve"> ya que es del dominio público, en la actualidad resulta de relativa facilidad la obtención de identificaciones, ya sean originales almacenadas en la red de Internet, computadoras de acceso público, equipos personales como </w:t>
      </w:r>
      <w:r w:rsidRPr="00461B60">
        <w:rPr>
          <w:rFonts w:ascii="Palatino Linotype" w:eastAsia="Palatino Linotype" w:hAnsi="Palatino Linotype" w:cs="Palatino Linotype"/>
          <w:color w:val="000000" w:themeColor="text1"/>
        </w:rPr>
        <w:lastRenderedPageBreak/>
        <w:t xml:space="preserve">computadoras portátiles o de escritorio, tabletas, dispositivos de almacenamiento (CD, USB, SD), teléfonos móviles, o bien, la generación de identificaciones apócrifas. </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De lo que adjuntar un archivo fotográfico o escaneado a una solicitud de acceso a datos, no basta para dar total acceso a cualquier dato personal que se requiera vía </w:t>
      </w:r>
      <w:r w:rsidRPr="00461B60">
        <w:rPr>
          <w:rFonts w:ascii="Palatino Linotype" w:eastAsia="Palatino Linotype" w:hAnsi="Palatino Linotype" w:cs="Palatino Linotype"/>
          <w:b/>
          <w:bCs/>
          <w:color w:val="000000" w:themeColor="text1"/>
        </w:rPr>
        <w:t>SARCOEM</w:t>
      </w:r>
      <w:r w:rsidRPr="00461B60">
        <w:rPr>
          <w:rFonts w:ascii="Palatino Linotype" w:eastAsia="Palatino Linotype" w:hAnsi="Palatino Linotype" w:cs="Palatino Linotype"/>
          <w:color w:val="000000" w:themeColor="text1"/>
        </w:rPr>
        <w:t xml:space="preserve"> o </w:t>
      </w:r>
      <w:r w:rsidRPr="00461B60">
        <w:rPr>
          <w:rFonts w:ascii="Palatino Linotype" w:eastAsia="Palatino Linotype" w:hAnsi="Palatino Linotype" w:cs="Palatino Linotype"/>
          <w:b/>
          <w:bCs/>
          <w:color w:val="000000" w:themeColor="text1"/>
        </w:rPr>
        <w:t xml:space="preserve">SAIMEX </w:t>
      </w:r>
      <w:r w:rsidRPr="00461B60">
        <w:rPr>
          <w:rFonts w:ascii="Palatino Linotype" w:eastAsia="Palatino Linotype" w:hAnsi="Palatino Linotype" w:cs="Palatino Linotype"/>
          <w:color w:val="000000" w:themeColor="text1"/>
        </w:rPr>
        <w:t xml:space="preserve">respecto de quien aparezca en la identificación que se adjunte. De ahí que se </w:t>
      </w:r>
      <w:r w:rsidRPr="00461B60">
        <w:rPr>
          <w:rFonts w:ascii="Palatino Linotype" w:eastAsia="Palatino Linotype" w:hAnsi="Palatino Linotype" w:cs="Palatino Linotype"/>
          <w:b/>
          <w:bCs/>
          <w:color w:val="000000" w:themeColor="text1"/>
        </w:rPr>
        <w:t>deba</w:t>
      </w:r>
      <w:r w:rsidRPr="00461B60">
        <w:rPr>
          <w:rFonts w:ascii="Palatino Linotype" w:eastAsia="Palatino Linotype" w:hAnsi="Palatino Linotype" w:cs="Palatino Linotype"/>
          <w:color w:val="000000" w:themeColor="text1"/>
        </w:rPr>
        <w:t xml:space="preserve"> dar el debido resguardo y protección de los datos personales tanto por parte de los responsables de los sujetos obligados, como de este Instituto, ello así por propio mandato de ley.</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Sirve de apoyo a lo anterior por analogía el Criterio orientador 1/18 emitido por el Instituto Nacional de Transparencia, Acceso a la Información y Protección de Datos Personales que es del tenor literal siguiente:</w:t>
      </w:r>
    </w:p>
    <w:p w:rsidR="001F4188" w:rsidRPr="00461B60" w:rsidRDefault="003E5AB7" w:rsidP="00461B60">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61B60">
        <w:rPr>
          <w:rFonts w:ascii="Palatino Linotype" w:eastAsia="Palatino Linotype" w:hAnsi="Palatino Linotype" w:cs="Palatino Linotype"/>
          <w:b/>
          <w:bCs/>
          <w:i/>
          <w:iCs/>
          <w:color w:val="000000" w:themeColor="text1"/>
        </w:rPr>
        <w:t>Entrega de datos personales a través de medios electrónicos</w:t>
      </w:r>
      <w:r w:rsidRPr="00461B60">
        <w:rPr>
          <w:rFonts w:ascii="Palatino Linotype" w:eastAsia="Palatino Linotype" w:hAnsi="Palatino Linotype" w:cs="Palatino Linotype"/>
          <w:i/>
          <w:iCs/>
          <w:color w:val="000000" w:themeColor="text1"/>
        </w:rPr>
        <w:t xml:space="preserve">. La entrega de datos personales a través del portal de la Plataforma Nacional de Transparencia, correo electrónico o cualquier otro medio similar resulta improcedente, </w:t>
      </w:r>
      <w:r w:rsidRPr="00461B60">
        <w:rPr>
          <w:rFonts w:ascii="Palatino Linotype" w:eastAsia="Palatino Linotype" w:hAnsi="Palatino Linotype" w:cs="Palatino Linotype"/>
          <w:b/>
          <w:bCs/>
          <w:i/>
          <w:iCs/>
          <w:color w:val="000000" w:themeColor="text1"/>
        </w:rPr>
        <w:t>sin que los sujetos obligados hayan corroborado previamente la identidad del titular</w:t>
      </w:r>
      <w:r w:rsidRPr="00461B60">
        <w:rPr>
          <w:rFonts w:ascii="Palatino Linotype" w:eastAsia="Palatino Linotype" w:hAnsi="Palatino Linotype" w:cs="Palatino Linotype"/>
          <w:i/>
          <w:iCs/>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En atención a las consideraciones señaladas, este Órgano Garante determina </w:t>
      </w:r>
      <w:r w:rsidRPr="00461B60">
        <w:rPr>
          <w:rFonts w:ascii="Palatino Linotype" w:eastAsia="Palatino Linotype" w:hAnsi="Palatino Linotype" w:cs="Palatino Linotype"/>
          <w:b/>
          <w:bCs/>
          <w:color w:val="000000" w:themeColor="text1"/>
        </w:rPr>
        <w:t>ordenar la entrega, previa acreditación de la personalidad e identidad</w:t>
      </w:r>
      <w:r w:rsidRPr="00461B60">
        <w:rPr>
          <w:rFonts w:ascii="Palatino Linotype" w:eastAsia="Palatino Linotype" w:hAnsi="Palatino Linotype" w:cs="Palatino Linotype"/>
          <w:color w:val="000000" w:themeColor="text1"/>
        </w:rPr>
        <w:t xml:space="preserve">, debiendo el </w:t>
      </w:r>
      <w:r w:rsidRPr="00461B60">
        <w:rPr>
          <w:rFonts w:ascii="Palatino Linotype" w:eastAsia="Palatino Linotype" w:hAnsi="Palatino Linotype" w:cs="Palatino Linotype"/>
          <w:b/>
          <w:bCs/>
          <w:color w:val="000000" w:themeColor="text1"/>
        </w:rPr>
        <w:t>SUJETO OBLIGADO</w:t>
      </w:r>
      <w:r w:rsidRPr="00461B60">
        <w:rPr>
          <w:rFonts w:ascii="Palatino Linotype" w:eastAsia="Palatino Linotype" w:hAnsi="Palatino Linotype" w:cs="Palatino Linotype"/>
          <w:color w:val="000000" w:themeColor="text1"/>
        </w:rPr>
        <w:t xml:space="preserve"> indicar, los días, horarios, ubicación y persona que le atenderá a efecto de corroborar que exista identidad entre la solicitante de Acceso a Datos Personales y la identificación exhibida a través del SAIMEX; es decir, la </w:t>
      </w:r>
      <w:r w:rsidRPr="00461B60">
        <w:rPr>
          <w:rFonts w:ascii="Palatino Linotype" w:eastAsia="Palatino Linotype" w:hAnsi="Palatino Linotype" w:cs="Palatino Linotype"/>
          <w:b/>
          <w:bCs/>
          <w:color w:val="000000" w:themeColor="text1"/>
        </w:rPr>
        <w:t xml:space="preserve">RECURRENTE </w:t>
      </w:r>
      <w:r w:rsidRPr="00461B60">
        <w:rPr>
          <w:rFonts w:ascii="Palatino Linotype" w:eastAsia="Palatino Linotype" w:hAnsi="Palatino Linotype" w:cs="Palatino Linotype"/>
          <w:color w:val="000000" w:themeColor="text1"/>
        </w:rPr>
        <w:t>deberá personalmente ante el</w:t>
      </w:r>
      <w:r w:rsidRPr="00461B60">
        <w:rPr>
          <w:rFonts w:ascii="Palatino Linotype" w:eastAsia="Palatino Linotype" w:hAnsi="Palatino Linotype" w:cs="Palatino Linotype"/>
          <w:b/>
          <w:bCs/>
          <w:color w:val="000000" w:themeColor="text1"/>
        </w:rPr>
        <w:t xml:space="preserve"> SUJETO OBLIGADO</w:t>
      </w:r>
      <w:r w:rsidRPr="00461B60">
        <w:rPr>
          <w:rFonts w:ascii="Palatino Linotype" w:eastAsia="Palatino Linotype" w:hAnsi="Palatino Linotype" w:cs="Palatino Linotype"/>
          <w:color w:val="000000" w:themeColor="text1"/>
        </w:rPr>
        <w:t xml:space="preserve"> acreditar su personalidad e identidad como titular de los datos a los que desea tener acceso; asimismo, por su parte el</w:t>
      </w:r>
      <w:r w:rsidRPr="00461B60">
        <w:rPr>
          <w:rFonts w:ascii="Palatino Linotype" w:eastAsia="Palatino Linotype" w:hAnsi="Palatino Linotype" w:cs="Palatino Linotype"/>
          <w:b/>
          <w:bCs/>
          <w:color w:val="000000" w:themeColor="text1"/>
        </w:rPr>
        <w:t xml:space="preserve"> SUJETO OBLIGADO </w:t>
      </w:r>
      <w:r w:rsidRPr="00461B60">
        <w:rPr>
          <w:rFonts w:ascii="Palatino Linotype" w:eastAsia="Palatino Linotype" w:hAnsi="Palatino Linotype" w:cs="Palatino Linotype"/>
          <w:color w:val="000000" w:themeColor="text1"/>
        </w:rPr>
        <w:t xml:space="preserve">deberá cerciorarse que la información a entregar corresponda a lo solicitado. </w:t>
      </w:r>
    </w:p>
    <w:p w:rsidR="001F4188" w:rsidRPr="00461B60" w:rsidRDefault="003E5AB7" w:rsidP="00461B6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lastRenderedPageBreak/>
        <w:t>Al respecto, deberá hacerse del conocimiento del particular al momento de dar cumplimiento al presente proveído, el domicilio al cual deberá acudir, el nombre de la dependencia o área respectiva, la forma y procedimiento a seguir, así como el periodo durante el cual quedará a su disposición la documentación conforme a lo dispuesto por el artículo 118 de la Ley de Protección de Datos Personales en Posesión de Sujetos Obligados del Estado de México y Municipios.</w:t>
      </w:r>
    </w:p>
    <w:p w:rsidR="001F4188" w:rsidRPr="00461B60" w:rsidRDefault="001F4188" w:rsidP="00461B6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1F4188" w:rsidRPr="00B96CBC" w:rsidRDefault="003E5AB7" w:rsidP="00461B6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Con base en todo lo anterior, este Órgano Garante considera </w:t>
      </w:r>
      <w:r w:rsidRPr="00461B60">
        <w:rPr>
          <w:rFonts w:ascii="Palatino Linotype" w:eastAsia="Palatino Linotype" w:hAnsi="Palatino Linotype" w:cs="Palatino Linotype"/>
          <w:b/>
          <w:bCs/>
          <w:color w:val="000000" w:themeColor="text1"/>
        </w:rPr>
        <w:t>FUNDADAS</w:t>
      </w:r>
      <w:r w:rsidRPr="00461B60">
        <w:rPr>
          <w:rFonts w:ascii="Palatino Linotype" w:eastAsia="Palatino Linotype" w:hAnsi="Palatino Linotype" w:cs="Palatino Linotype"/>
          <w:color w:val="000000" w:themeColor="text1"/>
        </w:rPr>
        <w:t xml:space="preserve"> las razones o motivos de inconformidad expuestos por la parte Recurrente y con fundamento en artículo 137, primera hipótesis de la fracción III, de la Ley de Protección de Datos Personales en Posesión de Sujetos Obligados del Estado de México y Municipios, este Instituto estima procedente </w:t>
      </w:r>
      <w:r w:rsidRPr="00461B60">
        <w:rPr>
          <w:rFonts w:ascii="Palatino Linotype" w:eastAsia="Palatino Linotype" w:hAnsi="Palatino Linotype" w:cs="Palatino Linotype"/>
          <w:b/>
          <w:bCs/>
          <w:color w:val="000000" w:themeColor="text1"/>
        </w:rPr>
        <w:t>REVOCAR</w:t>
      </w:r>
      <w:r w:rsidRPr="00461B60">
        <w:rPr>
          <w:rFonts w:ascii="Palatino Linotype" w:eastAsia="Palatino Linotype" w:hAnsi="Palatino Linotype" w:cs="Palatino Linotype"/>
          <w:color w:val="000000" w:themeColor="text1"/>
        </w:rPr>
        <w:t xml:space="preserve"> la respuesta otorgada por el Sujeto Obligado y se ordena la entrega,</w:t>
      </w:r>
      <w:r w:rsidRPr="00461B60">
        <w:rPr>
          <w:rFonts w:ascii="Palatino Linotype" w:eastAsia="Palatino Linotype" w:hAnsi="Palatino Linotype" w:cs="Palatino Linotype"/>
          <w:b/>
          <w:bCs/>
          <w:color w:val="000000" w:themeColor="text1"/>
        </w:rPr>
        <w:t xml:space="preserve"> </w:t>
      </w:r>
      <w:r w:rsidRPr="00461B60">
        <w:rPr>
          <w:rFonts w:ascii="Palatino Linotype" w:eastAsia="Palatino Linotype" w:hAnsi="Palatino Linotype" w:cs="Palatino Linotype"/>
          <w:color w:val="000000" w:themeColor="text1"/>
        </w:rPr>
        <w:t xml:space="preserve">previa búsqueda exhaustiva y </w:t>
      </w:r>
      <w:r w:rsidRPr="00B96CBC">
        <w:rPr>
          <w:rFonts w:ascii="Palatino Linotype" w:eastAsia="Palatino Linotype" w:hAnsi="Palatino Linotype" w:cs="Palatino Linotype"/>
          <w:color w:val="000000" w:themeColor="text1"/>
        </w:rPr>
        <w:t>razonable,</w:t>
      </w:r>
      <w:r w:rsidRPr="00B96CBC">
        <w:rPr>
          <w:rFonts w:ascii="Palatino Linotype" w:eastAsia="Palatino Linotype" w:hAnsi="Palatino Linotype" w:cs="Palatino Linotype"/>
          <w:b/>
          <w:bCs/>
          <w:color w:val="000000" w:themeColor="text1"/>
        </w:rPr>
        <w:t xml:space="preserve"> </w:t>
      </w:r>
      <w:r w:rsidRPr="00B96CBC">
        <w:rPr>
          <w:rFonts w:ascii="Palatino Linotype" w:eastAsia="Palatino Linotype" w:hAnsi="Palatino Linotype" w:cs="Palatino Linotype"/>
          <w:color w:val="000000" w:themeColor="text1"/>
        </w:rPr>
        <w:t xml:space="preserve">del </w:t>
      </w:r>
      <w:r w:rsidRPr="00B96CBC">
        <w:rPr>
          <w:rFonts w:ascii="Palatino Linotype" w:eastAsia="Palatino Linotype" w:hAnsi="Palatino Linotype" w:cs="Palatino Linotype"/>
          <w:b/>
          <w:bCs/>
          <w:color w:val="000000" w:themeColor="text1"/>
        </w:rPr>
        <w:t>documento en el que conste la respuesta emitida por la Dirección de Medio Ambiente y Ecología, en la petición de "VALORACION DE RIESGO" en escrito de fecha 02 de mayo de 2023 con número de folio 008530.</w:t>
      </w:r>
      <w:r w:rsidR="00683D55" w:rsidRPr="00B96CBC">
        <w:rPr>
          <w:rFonts w:ascii="Palatino Linotype" w:eastAsia="Palatino Linotype" w:hAnsi="Palatino Linotype" w:cs="Palatino Linotype"/>
          <w:b/>
          <w:bCs/>
          <w:color w:val="000000" w:themeColor="text1"/>
        </w:rPr>
        <w:t xml:space="preserve"> </w:t>
      </w:r>
      <w:r w:rsidR="00683D55" w:rsidRPr="00B96CBC">
        <w:rPr>
          <w:rFonts w:ascii="Palatino Linotype" w:eastAsia="Palatino Linotype" w:hAnsi="Palatino Linotype" w:cs="Palatino Linotype"/>
          <w:bCs/>
          <w:color w:val="000000" w:themeColor="text1"/>
          <w:lang w:val="es-ES_tradnl"/>
        </w:rPr>
        <w:t xml:space="preserve">Para el caso de que el </w:t>
      </w:r>
      <w:r w:rsidR="00683D55" w:rsidRPr="00B96CBC">
        <w:rPr>
          <w:rFonts w:ascii="Palatino Linotype" w:eastAsia="Palatino Linotype" w:hAnsi="Palatino Linotype" w:cs="Palatino Linotype"/>
          <w:b/>
          <w:bCs/>
          <w:color w:val="000000" w:themeColor="text1"/>
          <w:lang w:val="es-ES_tradnl"/>
        </w:rPr>
        <w:t>SUJETO OBLIGADO</w:t>
      </w:r>
      <w:r w:rsidR="00683D55" w:rsidRPr="00B96CBC">
        <w:rPr>
          <w:rFonts w:ascii="Palatino Linotype" w:eastAsia="Palatino Linotype" w:hAnsi="Palatino Linotype" w:cs="Palatino Linotype"/>
          <w:bCs/>
          <w:color w:val="000000" w:themeColor="text1"/>
          <w:lang w:val="es-ES_tradnl"/>
        </w:rPr>
        <w:t>, luego de la búsqueda exhaustiva y razonable no localice la información que se ordena, por no haberse generado, bastará que lo haga del conocimiento de</w:t>
      </w:r>
      <w:r w:rsidR="00E3526A" w:rsidRPr="00B96CBC">
        <w:rPr>
          <w:rFonts w:ascii="Palatino Linotype" w:eastAsia="Palatino Linotype" w:hAnsi="Palatino Linotype" w:cs="Palatino Linotype"/>
          <w:bCs/>
          <w:color w:val="000000" w:themeColor="text1"/>
          <w:lang w:val="es-ES_tradnl"/>
        </w:rPr>
        <w:t xml:space="preserve"> </w:t>
      </w:r>
      <w:r w:rsidR="00683D55" w:rsidRPr="00B96CBC">
        <w:rPr>
          <w:rFonts w:ascii="Palatino Linotype" w:eastAsia="Palatino Linotype" w:hAnsi="Palatino Linotype" w:cs="Palatino Linotype"/>
          <w:bCs/>
          <w:color w:val="000000" w:themeColor="text1"/>
          <w:lang w:val="es-ES_tradnl"/>
        </w:rPr>
        <w:t>l</w:t>
      </w:r>
      <w:r w:rsidR="00E3526A" w:rsidRPr="00B96CBC">
        <w:rPr>
          <w:rFonts w:ascii="Palatino Linotype" w:eastAsia="Palatino Linotype" w:hAnsi="Palatino Linotype" w:cs="Palatino Linotype"/>
          <w:bCs/>
          <w:color w:val="000000" w:themeColor="text1"/>
          <w:lang w:val="es-ES_tradnl"/>
        </w:rPr>
        <w:t>a</w:t>
      </w:r>
      <w:r w:rsidR="00683D55" w:rsidRPr="00B96CBC">
        <w:rPr>
          <w:rFonts w:ascii="Palatino Linotype" w:eastAsia="Palatino Linotype" w:hAnsi="Palatino Linotype" w:cs="Palatino Linotype"/>
          <w:bCs/>
          <w:color w:val="000000" w:themeColor="text1"/>
          <w:lang w:val="es-ES_tradnl"/>
        </w:rPr>
        <w:t xml:space="preserve"> </w:t>
      </w:r>
      <w:r w:rsidR="00683D55" w:rsidRPr="00B96CBC">
        <w:rPr>
          <w:rFonts w:ascii="Palatino Linotype" w:eastAsia="Palatino Linotype" w:hAnsi="Palatino Linotype" w:cs="Palatino Linotype"/>
          <w:b/>
          <w:bCs/>
          <w:color w:val="000000" w:themeColor="text1"/>
          <w:lang w:val="es-ES_tradnl"/>
        </w:rPr>
        <w:t>RECURRENTE</w:t>
      </w:r>
      <w:r w:rsidR="00683D55" w:rsidRPr="00B96CBC">
        <w:rPr>
          <w:rFonts w:ascii="Palatino Linotype" w:eastAsia="Palatino Linotype" w:hAnsi="Palatino Linotype" w:cs="Palatino Linotype"/>
          <w:bCs/>
          <w:color w:val="000000" w:themeColor="text1"/>
          <w:lang w:val="es-ES_tradnl"/>
        </w:rPr>
        <w:t xml:space="preserve"> al momento de dar cumplimiento a la presente Resolución, en términos del artículo 19, párrafo segundo, de la Ley de Transparencia y Acceso a la Información Pública de</w:t>
      </w:r>
      <w:r w:rsidR="00A55BC5" w:rsidRPr="00B96CBC">
        <w:rPr>
          <w:rFonts w:ascii="Palatino Linotype" w:eastAsia="Palatino Linotype" w:hAnsi="Palatino Linotype" w:cs="Palatino Linotype"/>
          <w:bCs/>
          <w:color w:val="000000" w:themeColor="text1"/>
          <w:lang w:val="es-ES_tradnl"/>
        </w:rPr>
        <w:t xml:space="preserve">l Estado de México y Municipios, </w:t>
      </w:r>
      <w:r w:rsidR="00A55BC5" w:rsidRPr="00B96CBC">
        <w:rPr>
          <w:rFonts w:ascii="Palatino Linotype" w:hAnsi="Palatino Linotype"/>
          <w:color w:val="000000" w:themeColor="text1"/>
        </w:rPr>
        <w:t>de aplicación supletoria.</w:t>
      </w:r>
    </w:p>
    <w:p w:rsidR="001F4188" w:rsidRPr="00461B60" w:rsidRDefault="001F4188" w:rsidP="00461B60">
      <w:pPr>
        <w:rPr>
          <w:rFonts w:ascii="Palatino Linotype" w:hAnsi="Palatino Linotype"/>
          <w:color w:val="000000" w:themeColor="text1"/>
        </w:rPr>
      </w:pPr>
    </w:p>
    <w:p w:rsidR="001F4188" w:rsidRDefault="003E5AB7" w:rsidP="00461B6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 xml:space="preserve">Por lo anteriormente expuesto y fundado, este </w:t>
      </w:r>
      <w:r w:rsidRPr="00461B60">
        <w:rPr>
          <w:rFonts w:ascii="Palatino Linotype" w:eastAsia="Palatino Linotype" w:hAnsi="Palatino Linotype" w:cs="Palatino Linotype"/>
          <w:b/>
          <w:bCs/>
          <w:color w:val="000000" w:themeColor="text1"/>
        </w:rPr>
        <w:t>ÓRGANO GARANTE</w:t>
      </w:r>
      <w:r w:rsidRPr="00461B60">
        <w:rPr>
          <w:rFonts w:ascii="Palatino Linotype" w:eastAsia="Palatino Linotype" w:hAnsi="Palatino Linotype" w:cs="Palatino Linotype"/>
          <w:color w:val="000000" w:themeColor="text1"/>
        </w:rPr>
        <w:t xml:space="preserve"> emite los siguientes:</w:t>
      </w:r>
      <w:r w:rsidR="00FD5229">
        <w:rPr>
          <w:rFonts w:ascii="Palatino Linotype" w:eastAsia="Palatino Linotype" w:hAnsi="Palatino Linotype" w:cs="Palatino Linotype"/>
          <w:color w:val="000000" w:themeColor="text1"/>
        </w:rPr>
        <w:t xml:space="preserve"> -------------------------------------------------------------------------------------------------------------</w:t>
      </w:r>
    </w:p>
    <w:p w:rsidR="00FD5229" w:rsidRDefault="00FD5229" w:rsidP="00FD5229">
      <w:pPr>
        <w:pStyle w:val="Prrafodelista"/>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spacing w:line="360" w:lineRule="auto"/>
        <w:jc w:val="center"/>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b/>
          <w:bCs/>
          <w:color w:val="000000" w:themeColor="text1"/>
        </w:rPr>
        <w:lastRenderedPageBreak/>
        <w:t>R E S O L U T I V O S</w:t>
      </w:r>
    </w:p>
    <w:p w:rsidR="001F4188" w:rsidRPr="00461B60" w:rsidRDefault="001F4188" w:rsidP="00461B60">
      <w:pPr>
        <w:spacing w:line="360" w:lineRule="auto"/>
        <w:jc w:val="both"/>
        <w:rPr>
          <w:rFonts w:ascii="Palatino Linotype" w:eastAsia="Palatino Linotype" w:hAnsi="Palatino Linotype" w:cs="Palatino Linotype"/>
          <w:b/>
          <w:bCs/>
          <w:color w:val="000000" w:themeColor="text1"/>
        </w:rPr>
      </w:pPr>
    </w:p>
    <w:p w:rsidR="001F4188" w:rsidRPr="00461B60" w:rsidRDefault="003E5AB7" w:rsidP="00461B60">
      <w:pPr>
        <w:spacing w:line="360" w:lineRule="auto"/>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b/>
          <w:bCs/>
          <w:color w:val="000000" w:themeColor="text1"/>
        </w:rPr>
        <w:t>PRIMERO.</w:t>
      </w:r>
      <w:r w:rsidRPr="00461B60">
        <w:rPr>
          <w:rFonts w:ascii="Palatino Linotype" w:eastAsia="Palatino Linotype" w:hAnsi="Palatino Linotype" w:cs="Palatino Linotype"/>
          <w:color w:val="000000" w:themeColor="text1"/>
        </w:rPr>
        <w:t xml:space="preserve"> Resultan </w:t>
      </w:r>
      <w:r w:rsidRPr="00461B60">
        <w:rPr>
          <w:rFonts w:ascii="Palatino Linotype" w:eastAsia="Palatino Linotype" w:hAnsi="Palatino Linotype" w:cs="Palatino Linotype"/>
          <w:b/>
          <w:bCs/>
          <w:color w:val="000000" w:themeColor="text1"/>
        </w:rPr>
        <w:t>FUNDADAS</w:t>
      </w:r>
      <w:r w:rsidRPr="00461B60">
        <w:rPr>
          <w:rFonts w:ascii="Palatino Linotype" w:eastAsia="Palatino Linotype" w:hAnsi="Palatino Linotype" w:cs="Palatino Linotype"/>
          <w:color w:val="000000" w:themeColor="text1"/>
        </w:rPr>
        <w:t xml:space="preserve"> las razones o motivos de inconformidad hechos valer en el Recurso de Revisión </w:t>
      </w:r>
      <w:r w:rsidRPr="00461B60">
        <w:rPr>
          <w:rFonts w:ascii="Palatino Linotype" w:eastAsia="Palatino Linotype" w:hAnsi="Palatino Linotype" w:cs="Palatino Linotype"/>
          <w:b/>
          <w:bCs/>
          <w:color w:val="000000" w:themeColor="text1"/>
        </w:rPr>
        <w:t>10778/INFOEM/IP/RR/2025</w:t>
      </w:r>
      <w:r w:rsidRPr="00461B60">
        <w:rPr>
          <w:rFonts w:ascii="Palatino Linotype" w:eastAsia="Palatino Linotype" w:hAnsi="Palatino Linotype" w:cs="Palatino Linotype"/>
          <w:color w:val="000000" w:themeColor="text1"/>
        </w:rPr>
        <w:t xml:space="preserve">, en términos del Considerando </w:t>
      </w:r>
      <w:r w:rsidRPr="00461B60">
        <w:rPr>
          <w:rFonts w:ascii="Palatino Linotype" w:eastAsia="Palatino Linotype" w:hAnsi="Palatino Linotype" w:cs="Palatino Linotype"/>
          <w:b/>
          <w:bCs/>
          <w:color w:val="000000" w:themeColor="text1"/>
        </w:rPr>
        <w:t xml:space="preserve">CUARTO </w:t>
      </w:r>
      <w:r w:rsidRPr="00461B60">
        <w:rPr>
          <w:rFonts w:ascii="Palatino Linotype" w:eastAsia="Palatino Linotype" w:hAnsi="Palatino Linotype" w:cs="Palatino Linotype"/>
          <w:color w:val="000000" w:themeColor="text1"/>
        </w:rPr>
        <w:t xml:space="preserve">de la presente resolución. </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spacing w:line="360" w:lineRule="auto"/>
        <w:jc w:val="both"/>
        <w:rPr>
          <w:rFonts w:ascii="Palatino Linotype" w:eastAsia="Palatino Linotype" w:hAnsi="Palatino Linotype" w:cs="Palatino Linotype"/>
          <w:color w:val="000000" w:themeColor="text1"/>
        </w:rPr>
      </w:pPr>
      <w:r w:rsidRPr="00B96CBC">
        <w:rPr>
          <w:rFonts w:ascii="Palatino Linotype" w:eastAsia="Palatino Linotype" w:hAnsi="Palatino Linotype" w:cs="Palatino Linotype"/>
          <w:b/>
          <w:bCs/>
          <w:color w:val="000000" w:themeColor="text1"/>
        </w:rPr>
        <w:t>SEGUNDO</w:t>
      </w:r>
      <w:r w:rsidRPr="00B96CBC">
        <w:rPr>
          <w:rFonts w:ascii="Palatino Linotype" w:eastAsia="Palatino Linotype" w:hAnsi="Palatino Linotype" w:cs="Palatino Linotype"/>
          <w:color w:val="000000" w:themeColor="text1"/>
        </w:rPr>
        <w:t xml:space="preserve">. Se </w:t>
      </w:r>
      <w:r w:rsidRPr="00B96CBC">
        <w:rPr>
          <w:rFonts w:ascii="Palatino Linotype" w:eastAsia="Palatino Linotype" w:hAnsi="Palatino Linotype" w:cs="Palatino Linotype"/>
          <w:b/>
          <w:bCs/>
          <w:color w:val="000000" w:themeColor="text1"/>
        </w:rPr>
        <w:t>REVOCA</w:t>
      </w:r>
      <w:r w:rsidRPr="00B96CBC">
        <w:rPr>
          <w:rFonts w:ascii="Palatino Linotype" w:eastAsia="Palatino Linotype" w:hAnsi="Palatino Linotype" w:cs="Palatino Linotype"/>
          <w:color w:val="000000" w:themeColor="text1"/>
        </w:rPr>
        <w:t xml:space="preserve"> la respuesta emitida por el Ayuntamiento de Ecatepec de Morelos y se </w:t>
      </w:r>
      <w:r w:rsidRPr="00B96CBC">
        <w:rPr>
          <w:rFonts w:ascii="Palatino Linotype" w:eastAsia="Palatino Linotype" w:hAnsi="Palatino Linotype" w:cs="Palatino Linotype"/>
          <w:b/>
          <w:bCs/>
          <w:color w:val="000000" w:themeColor="text1"/>
        </w:rPr>
        <w:t>ORDENA</w:t>
      </w:r>
      <w:r w:rsidRPr="00B96CBC">
        <w:rPr>
          <w:rFonts w:ascii="Palatino Linotype" w:eastAsia="Palatino Linotype" w:hAnsi="Palatino Linotype" w:cs="Palatino Linotype"/>
          <w:color w:val="000000" w:themeColor="text1"/>
        </w:rPr>
        <w:t xml:space="preserve"> entregar, previa búsqueda exhaustiva, en copias certificadas</w:t>
      </w:r>
      <w:r w:rsidR="009A2475" w:rsidRPr="00B96CBC">
        <w:rPr>
          <w:rFonts w:ascii="Palatino Linotype" w:eastAsia="Palatino Linotype" w:hAnsi="Palatino Linotype" w:cs="Palatino Linotype"/>
          <w:color w:val="000000" w:themeColor="text1"/>
        </w:rPr>
        <w:t xml:space="preserve"> con costo</w:t>
      </w:r>
      <w:r w:rsidR="003532DC" w:rsidRPr="00B96CBC">
        <w:rPr>
          <w:rFonts w:ascii="Palatino Linotype" w:eastAsia="Palatino Linotype" w:hAnsi="Palatino Linotype" w:cs="Palatino Linotype"/>
          <w:color w:val="000000" w:themeColor="text1"/>
        </w:rPr>
        <w:t xml:space="preserve">, exceptuando </w:t>
      </w:r>
      <w:r w:rsidR="00723E1B" w:rsidRPr="00B96CBC">
        <w:rPr>
          <w:rFonts w:ascii="Palatino Linotype" w:eastAsia="Palatino Linotype" w:hAnsi="Palatino Linotype" w:cs="Palatino Linotype"/>
          <w:bCs/>
          <w:iCs/>
          <w:color w:val="000000" w:themeColor="text1"/>
        </w:rPr>
        <w:t>las primeras veinte hojas</w:t>
      </w:r>
      <w:r w:rsidRPr="00B96CBC">
        <w:rPr>
          <w:rFonts w:ascii="Palatino Linotype" w:eastAsia="Palatino Linotype" w:hAnsi="Palatino Linotype" w:cs="Palatino Linotype"/>
          <w:color w:val="000000" w:themeColor="text1"/>
        </w:rPr>
        <w:t>, previa acreditación de identidad y personalidad, lo siguiente:</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b/>
          <w:bCs/>
          <w:color w:val="000000" w:themeColor="text1"/>
        </w:rPr>
        <w:t>Documento en el que conste la respuesta emitida por la Dirección de Medio Ambiente y Ecología, a la petición de "VALORACION DE RIESGO" en escrito de fecha 02 de mayo de 2023, con número de folio 008530.</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spacing w:line="360" w:lineRule="auto"/>
        <w:jc w:val="both"/>
        <w:rPr>
          <w:rFonts w:ascii="Palatino Linotype" w:eastAsia="Palatino Linotype" w:hAnsi="Palatino Linotype" w:cs="Palatino Linotype"/>
          <w:color w:val="000000" w:themeColor="text1"/>
        </w:rPr>
      </w:pPr>
      <w:bookmarkStart w:id="8" w:name="_heading=h.mporhgqlcs97" w:colFirst="0" w:colLast="0"/>
      <w:bookmarkEnd w:id="8"/>
      <w:r w:rsidRPr="00461B60">
        <w:rPr>
          <w:rFonts w:ascii="Palatino Linotype" w:eastAsia="Palatino Linotype" w:hAnsi="Palatino Linotype" w:cs="Palatino Linotype"/>
          <w:color w:val="000000" w:themeColor="text1"/>
        </w:rPr>
        <w:t>A efecto de entregar la información que se ordena en copias certificadas, el SUJETO OBLIGADO deberá hacer del conocimiento del RECURRENTE, vía SAIMEX, el procedimiento para la entrega de la información en el que se establezca: el nombre del o los servidores públicos que lo atenderán, el lugar a acudir para realizar el trámite, los días y horarios en los que podrá presentarse a recoger la información, el periodo durante el cual quedará a su disposición la documentación conforme a lo dispuesto por el artículo 118 de la Ley de Protección de Datos Personales en Posesión de Sujetos Obligados del Estado de México y Municipios, así como el costo por la reproducción de la información de conformidad con lo dispuesto por el artículo 148, del Código Financiero del Estado de México y Municipios.</w:t>
      </w:r>
    </w:p>
    <w:p w:rsidR="00B72D48" w:rsidRPr="00461B60" w:rsidRDefault="00B72D48" w:rsidP="00461B60">
      <w:pPr>
        <w:spacing w:line="360" w:lineRule="auto"/>
        <w:jc w:val="both"/>
        <w:rPr>
          <w:rFonts w:ascii="Palatino Linotype" w:eastAsia="Palatino Linotype" w:hAnsi="Palatino Linotype" w:cs="Palatino Linotype"/>
          <w:color w:val="000000" w:themeColor="text1"/>
        </w:rPr>
      </w:pPr>
      <w:r w:rsidRPr="00B96CBC">
        <w:rPr>
          <w:rFonts w:ascii="Palatino Linotype" w:eastAsia="Palatino Linotype" w:hAnsi="Palatino Linotype" w:cs="Palatino Linotype"/>
          <w:bCs/>
          <w:color w:val="000000" w:themeColor="text1"/>
          <w:lang w:val="es-ES_tradnl"/>
        </w:rPr>
        <w:lastRenderedPageBreak/>
        <w:t xml:space="preserve">Para el caso de que el </w:t>
      </w:r>
      <w:r w:rsidRPr="00B96CBC">
        <w:rPr>
          <w:rFonts w:ascii="Palatino Linotype" w:eastAsia="Palatino Linotype" w:hAnsi="Palatino Linotype" w:cs="Palatino Linotype"/>
          <w:b/>
          <w:bCs/>
          <w:color w:val="000000" w:themeColor="text1"/>
          <w:lang w:val="es-ES_tradnl"/>
        </w:rPr>
        <w:t>SUJETO OBLIGADO</w:t>
      </w:r>
      <w:r w:rsidRPr="00B96CBC">
        <w:rPr>
          <w:rFonts w:ascii="Palatino Linotype" w:eastAsia="Palatino Linotype" w:hAnsi="Palatino Linotype" w:cs="Palatino Linotype"/>
          <w:bCs/>
          <w:color w:val="000000" w:themeColor="text1"/>
          <w:lang w:val="es-ES_tradnl"/>
        </w:rPr>
        <w:t xml:space="preserve">, luego de la búsqueda exhaustiva y razonable no localice la información que se ordena, por no haberse generado, bastará que lo haga del conocimiento del </w:t>
      </w:r>
      <w:r w:rsidRPr="00B96CBC">
        <w:rPr>
          <w:rFonts w:ascii="Palatino Linotype" w:eastAsia="Palatino Linotype" w:hAnsi="Palatino Linotype" w:cs="Palatino Linotype"/>
          <w:b/>
          <w:bCs/>
          <w:color w:val="000000" w:themeColor="text1"/>
          <w:lang w:val="es-ES_tradnl"/>
        </w:rPr>
        <w:t>RECURRENTE</w:t>
      </w:r>
      <w:r w:rsidRPr="00B96CBC">
        <w:rPr>
          <w:rFonts w:ascii="Palatino Linotype" w:eastAsia="Palatino Linotype" w:hAnsi="Palatino Linotype" w:cs="Palatino Linotype"/>
          <w:bCs/>
          <w:color w:val="000000" w:themeColor="text1"/>
          <w:lang w:val="es-ES_tradnl"/>
        </w:rPr>
        <w:t xml:space="preserve"> al momento de dar cumplimiento a la presente Resolución, en términos del artículo 19, párrafo segundo, de la Ley de Transparencia y Acceso a la Información Pública de</w:t>
      </w:r>
      <w:r w:rsidR="00A55BC5" w:rsidRPr="00B96CBC">
        <w:rPr>
          <w:rFonts w:ascii="Palatino Linotype" w:eastAsia="Palatino Linotype" w:hAnsi="Palatino Linotype" w:cs="Palatino Linotype"/>
          <w:bCs/>
          <w:color w:val="000000" w:themeColor="text1"/>
          <w:lang w:val="es-ES_tradnl"/>
        </w:rPr>
        <w:t xml:space="preserve">l Estado de México y Municipios, </w:t>
      </w:r>
      <w:r w:rsidR="00A55BC5" w:rsidRPr="00B96CBC">
        <w:rPr>
          <w:rFonts w:ascii="Palatino Linotype" w:hAnsi="Palatino Linotype"/>
          <w:color w:val="000000" w:themeColor="text1"/>
        </w:rPr>
        <w:t>de aplicación supletoria.</w:t>
      </w:r>
    </w:p>
    <w:p w:rsidR="001F4188" w:rsidRPr="00461B60" w:rsidRDefault="001F4188" w:rsidP="00461B60">
      <w:pPr>
        <w:spacing w:line="360" w:lineRule="auto"/>
        <w:jc w:val="both"/>
        <w:rPr>
          <w:rFonts w:ascii="Palatino Linotype" w:eastAsia="Palatino Linotype" w:hAnsi="Palatino Linotype" w:cs="Palatino Linotype"/>
          <w:b/>
          <w:bCs/>
          <w:color w:val="000000" w:themeColor="text1"/>
        </w:rPr>
      </w:pPr>
    </w:p>
    <w:p w:rsidR="001F4188" w:rsidRPr="00461B60" w:rsidRDefault="003E5AB7" w:rsidP="00461B60">
      <w:pPr>
        <w:spacing w:line="360" w:lineRule="auto"/>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b/>
          <w:bCs/>
          <w:color w:val="000000" w:themeColor="text1"/>
        </w:rPr>
        <w:t>TERCERO. NOTIFÍQUESE</w:t>
      </w:r>
      <w:r w:rsidRPr="00461B60">
        <w:rPr>
          <w:rFonts w:ascii="Palatino Linotype" w:eastAsia="Palatino Linotype" w:hAnsi="Palatino Linotype" w:cs="Palatino Linotype"/>
          <w:color w:val="000000" w:themeColor="text1"/>
        </w:rPr>
        <w:t xml:space="preserve">, la presente resolución al </w:t>
      </w:r>
      <w:r w:rsidRPr="00461B60">
        <w:rPr>
          <w:rFonts w:ascii="Palatino Linotype" w:eastAsia="Palatino Linotype" w:hAnsi="Palatino Linotype" w:cs="Palatino Linotype"/>
          <w:b/>
          <w:bCs/>
          <w:color w:val="000000" w:themeColor="text1"/>
        </w:rPr>
        <w:t>Titular de la Unidad de Transparencia</w:t>
      </w:r>
      <w:r w:rsidRPr="00461B60">
        <w:rPr>
          <w:rFonts w:ascii="Palatino Linotype" w:eastAsia="Palatino Linotype" w:hAnsi="Palatino Linotype" w:cs="Palatino Linotype"/>
          <w:color w:val="000000" w:themeColor="text1"/>
        </w:rPr>
        <w:t xml:space="preserve"> del Sujeto Obligado vía </w:t>
      </w:r>
      <w:r w:rsidRPr="00461B60">
        <w:rPr>
          <w:rFonts w:ascii="Palatino Linotype" w:eastAsia="Palatino Linotype" w:hAnsi="Palatino Linotype" w:cs="Palatino Linotype"/>
          <w:b/>
          <w:bCs/>
          <w:color w:val="000000" w:themeColor="text1"/>
        </w:rPr>
        <w:t>SAIMEX</w:t>
      </w:r>
      <w:r w:rsidRPr="00461B60">
        <w:rPr>
          <w:rFonts w:ascii="Palatino Linotype" w:eastAsia="Palatino Linotype" w:hAnsi="Palatino Linotype" w:cs="Palatino Linotype"/>
          <w:color w:val="000000" w:themeColor="text1"/>
        </w:rPr>
        <w:t xml:space="preserve">, para que conforme al artículo 186 último párrafo, 189 segundo párrafo y 194 de la Ley de Transparencia y Acceso a la Información Pública del Estado de México y Municipios; </w:t>
      </w:r>
      <w:r w:rsidRPr="00E3526A">
        <w:rPr>
          <w:rFonts w:ascii="Palatino Linotype" w:eastAsia="Palatino Linotype" w:hAnsi="Palatino Linotype" w:cs="Palatino Linotype"/>
          <w:b/>
          <w:color w:val="000000" w:themeColor="text1"/>
        </w:rPr>
        <w:t>dé cumplimiento a lo ordenado dentro del plazo de diez días hábiles</w:t>
      </w:r>
      <w:r w:rsidRPr="00461B60">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spacing w:line="360" w:lineRule="auto"/>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b/>
          <w:bCs/>
          <w:color w:val="000000" w:themeColor="text1"/>
        </w:rPr>
        <w:t xml:space="preserve">CUARTO. </w:t>
      </w:r>
      <w:r w:rsidRPr="00461B60">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461B60">
        <w:rPr>
          <w:rFonts w:ascii="Palatino Linotype" w:eastAsia="Palatino Linotype" w:hAnsi="Palatino Linotype" w:cs="Palatino Linotype"/>
          <w:b/>
          <w:bCs/>
          <w:color w:val="000000" w:themeColor="text1"/>
        </w:rPr>
        <w:t>SUJETO OBLIGADO</w:t>
      </w:r>
      <w:r w:rsidRPr="00461B60">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spacing w:line="360" w:lineRule="auto"/>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b/>
          <w:bCs/>
          <w:color w:val="000000" w:themeColor="text1"/>
        </w:rPr>
        <w:t>QUINTO.</w:t>
      </w:r>
      <w:r w:rsidRPr="00461B60">
        <w:rPr>
          <w:rFonts w:ascii="Palatino Linotype" w:eastAsia="Palatino Linotype" w:hAnsi="Palatino Linotype" w:cs="Palatino Linotype"/>
          <w:color w:val="000000" w:themeColor="text1"/>
        </w:rPr>
        <w:t xml:space="preserve"> Notifíquese a </w:t>
      </w:r>
      <w:r w:rsidRPr="00461B60">
        <w:rPr>
          <w:rFonts w:ascii="Palatino Linotype" w:eastAsia="Palatino Linotype" w:hAnsi="Palatino Linotype" w:cs="Palatino Linotype"/>
          <w:b/>
          <w:bCs/>
          <w:color w:val="000000" w:themeColor="text1"/>
        </w:rPr>
        <w:t>L</w:t>
      </w:r>
      <w:r w:rsidR="00E3526A">
        <w:rPr>
          <w:rFonts w:ascii="Palatino Linotype" w:eastAsia="Palatino Linotype" w:hAnsi="Palatino Linotype" w:cs="Palatino Linotype"/>
          <w:b/>
          <w:bCs/>
          <w:color w:val="000000" w:themeColor="text1"/>
        </w:rPr>
        <w:t>A</w:t>
      </w:r>
      <w:r w:rsidRPr="00461B60">
        <w:rPr>
          <w:rFonts w:ascii="Palatino Linotype" w:eastAsia="Palatino Linotype" w:hAnsi="Palatino Linotype" w:cs="Palatino Linotype"/>
          <w:b/>
          <w:bCs/>
          <w:color w:val="000000" w:themeColor="text1"/>
        </w:rPr>
        <w:t xml:space="preserve"> RECURRENTE</w:t>
      </w:r>
      <w:r w:rsidRPr="00461B60">
        <w:rPr>
          <w:rFonts w:ascii="Palatino Linotype" w:eastAsia="Palatino Linotype" w:hAnsi="Palatino Linotype" w:cs="Palatino Linotype"/>
          <w:color w:val="000000" w:themeColor="text1"/>
        </w:rPr>
        <w:t xml:space="preserve"> la presente resolución, vía </w:t>
      </w:r>
      <w:r w:rsidRPr="00461B60">
        <w:rPr>
          <w:rFonts w:ascii="Palatino Linotype" w:eastAsia="Palatino Linotype" w:hAnsi="Palatino Linotype" w:cs="Palatino Linotype"/>
          <w:b/>
          <w:bCs/>
          <w:color w:val="000000" w:themeColor="text1"/>
        </w:rPr>
        <w:t>SAIMEX</w:t>
      </w:r>
      <w:r w:rsidRPr="00461B60">
        <w:rPr>
          <w:rFonts w:ascii="Palatino Linotype" w:eastAsia="Palatino Linotype" w:hAnsi="Palatino Linotype" w:cs="Palatino Linotype"/>
          <w:color w:val="000000" w:themeColor="text1"/>
        </w:rPr>
        <w:t>.</w:t>
      </w: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3E5AB7" w:rsidP="00461B60">
      <w:pPr>
        <w:spacing w:line="360" w:lineRule="auto"/>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b/>
          <w:bCs/>
          <w:color w:val="000000" w:themeColor="text1"/>
        </w:rPr>
        <w:t>SEXTO.</w:t>
      </w:r>
      <w:r w:rsidRPr="00461B60">
        <w:rPr>
          <w:rFonts w:ascii="Palatino Linotype" w:eastAsia="Palatino Linotype" w:hAnsi="Palatino Linotype" w:cs="Palatino Linotype"/>
          <w:color w:val="000000" w:themeColor="text1"/>
        </w:rPr>
        <w:t xml:space="preserve"> Se hace del conocimiento de </w:t>
      </w:r>
      <w:r w:rsidRPr="00461B60">
        <w:rPr>
          <w:rFonts w:ascii="Palatino Linotype" w:eastAsia="Palatino Linotype" w:hAnsi="Palatino Linotype" w:cs="Palatino Linotype"/>
          <w:b/>
          <w:bCs/>
          <w:color w:val="000000" w:themeColor="text1"/>
        </w:rPr>
        <w:t>L</w:t>
      </w:r>
      <w:r w:rsidR="00E3526A">
        <w:rPr>
          <w:rFonts w:ascii="Palatino Linotype" w:eastAsia="Palatino Linotype" w:hAnsi="Palatino Linotype" w:cs="Palatino Linotype"/>
          <w:b/>
          <w:bCs/>
          <w:color w:val="000000" w:themeColor="text1"/>
        </w:rPr>
        <w:t>A</w:t>
      </w:r>
      <w:r w:rsidRPr="00461B60">
        <w:rPr>
          <w:rFonts w:ascii="Palatino Linotype" w:eastAsia="Palatino Linotype" w:hAnsi="Palatino Linotype" w:cs="Palatino Linotype"/>
          <w:b/>
          <w:bCs/>
          <w:color w:val="000000" w:themeColor="text1"/>
        </w:rPr>
        <w:t xml:space="preserve"> RECURRENTE</w:t>
      </w:r>
      <w:r w:rsidRPr="00461B60">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w:t>
      </w:r>
      <w:r w:rsidRPr="00461B60">
        <w:rPr>
          <w:rFonts w:ascii="Palatino Linotype" w:eastAsia="Palatino Linotype" w:hAnsi="Palatino Linotype" w:cs="Palatino Linotype"/>
          <w:color w:val="000000" w:themeColor="text1"/>
        </w:rPr>
        <w:lastRenderedPageBreak/>
        <w:t>Estado de México y Municipios, en caso de que considere que la resolución le cause algún perjuicio podrá impugnarla vía Juicio de Amparo en los términos de las leyes aplicables.</w:t>
      </w:r>
    </w:p>
    <w:p w:rsidR="001F4188" w:rsidRDefault="001F4188" w:rsidP="00461B60">
      <w:pPr>
        <w:keepNext/>
        <w:keepLines/>
        <w:spacing w:line="360" w:lineRule="auto"/>
        <w:rPr>
          <w:rFonts w:ascii="Palatino Linotype" w:eastAsia="Palatino Linotype" w:hAnsi="Palatino Linotype" w:cs="Palatino Linotype"/>
          <w:b/>
          <w:bCs/>
          <w:color w:val="000000" w:themeColor="text1"/>
        </w:rPr>
      </w:pPr>
    </w:p>
    <w:p w:rsidR="00E3526A" w:rsidRPr="00444783" w:rsidRDefault="00E3526A" w:rsidP="00E3526A">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171DDB">
        <w:rPr>
          <w:rFonts w:ascii="Palatino Linotype" w:eastAsia="Palatino Linotype" w:hAnsi="Palatino Linotype" w:cs="Palatino Linotype"/>
        </w:rPr>
        <w:t xml:space="preserve"> EMITIENDO VOTO PARTICULAR CONCURRENTE</w:t>
      </w:r>
      <w:r w:rsidRPr="00575AE2">
        <w:rPr>
          <w:rFonts w:ascii="Palatino Linotype" w:eastAsia="Palatino Linotype" w:hAnsi="Palatino Linotype" w:cs="Palatino Linotype"/>
        </w:rPr>
        <w:t>, MARÍA DEL ROSARIO MEJÍA AYALA, SHARON CRISTINA MORALES MARTÍNEZ, LUIS GUSTAVO PARRA NORIEGA Y GUADALUPE RAMÍREZ PEÑA</w:t>
      </w:r>
      <w:r w:rsidR="00171DDB">
        <w:rPr>
          <w:rFonts w:ascii="Palatino Linotype" w:eastAsia="Palatino Linotype" w:hAnsi="Palatino Linotype" w:cs="Palatino Linotype"/>
        </w:rPr>
        <w:t xml:space="preserve"> EMITIENDO VOTO PARTICULAR CONCURRENTE</w:t>
      </w:r>
      <w:r w:rsidRPr="00575AE2">
        <w:rPr>
          <w:rFonts w:ascii="Palatino Linotype" w:eastAsia="Palatino Linotype" w:hAnsi="Palatino Linotype" w:cs="Palatino Linotype"/>
        </w:rPr>
        <w:t xml:space="preserve">; EN LA </w:t>
      </w:r>
      <w:r>
        <w:rPr>
          <w:rFonts w:ascii="Palatino Linotype" w:eastAsia="Palatino Linotype" w:hAnsi="Palatino Linotype" w:cs="Palatino Linotype"/>
        </w:rPr>
        <w:t xml:space="preserve">CUADRAGÉSIMA SEGUNDA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VEINTICINCO (25)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1F4188" w:rsidRPr="00461B60" w:rsidRDefault="001F4188" w:rsidP="00461B60">
      <w:pPr>
        <w:spacing w:line="360" w:lineRule="auto"/>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1F4188" w:rsidP="00461B60">
      <w:pPr>
        <w:spacing w:line="360" w:lineRule="auto"/>
        <w:jc w:val="both"/>
        <w:rPr>
          <w:rFonts w:ascii="Palatino Linotype" w:eastAsia="Palatino Linotype" w:hAnsi="Palatino Linotype" w:cs="Palatino Linotype"/>
          <w:color w:val="000000" w:themeColor="text1"/>
        </w:rPr>
      </w:pPr>
    </w:p>
    <w:p w:rsidR="001F4188" w:rsidRPr="00461B60" w:rsidRDefault="001F4188" w:rsidP="00461B60">
      <w:pPr>
        <w:spacing w:line="360" w:lineRule="auto"/>
        <w:rPr>
          <w:rFonts w:ascii="Palatino Linotype" w:eastAsia="Palatino Linotype" w:hAnsi="Palatino Linotype" w:cs="Palatino Linotype"/>
          <w:color w:val="000000" w:themeColor="text1"/>
        </w:rPr>
      </w:pPr>
    </w:p>
    <w:p w:rsidR="001F4188" w:rsidRPr="00461B60" w:rsidRDefault="001F4188" w:rsidP="00461B60">
      <w:pPr>
        <w:spacing w:line="360" w:lineRule="auto"/>
        <w:rPr>
          <w:rFonts w:ascii="Palatino Linotype" w:eastAsia="Palatino Linotype" w:hAnsi="Palatino Linotype" w:cs="Palatino Linotype"/>
          <w:color w:val="000000" w:themeColor="text1"/>
        </w:rPr>
      </w:pPr>
    </w:p>
    <w:p w:rsidR="001F4188" w:rsidRPr="00461B60" w:rsidRDefault="001F4188" w:rsidP="00461B60">
      <w:pPr>
        <w:spacing w:line="360" w:lineRule="auto"/>
        <w:rPr>
          <w:rFonts w:ascii="Palatino Linotype" w:eastAsia="Palatino Linotype" w:hAnsi="Palatino Linotype" w:cs="Palatino Linotype"/>
          <w:color w:val="000000" w:themeColor="text1"/>
        </w:rPr>
      </w:pPr>
    </w:p>
    <w:p w:rsidR="001F4188" w:rsidRPr="00461B60" w:rsidRDefault="001F4188" w:rsidP="00461B60">
      <w:pPr>
        <w:rPr>
          <w:rFonts w:ascii="Palatino Linotype" w:eastAsia="Palatino Linotype" w:hAnsi="Palatino Linotype" w:cs="Palatino Linotype"/>
          <w:color w:val="000000" w:themeColor="text1"/>
        </w:rPr>
      </w:pPr>
    </w:p>
    <w:sectPr w:rsidR="001F4188" w:rsidRPr="00461B60" w:rsidSect="00C01FE6">
      <w:headerReference w:type="even" r:id="rId10"/>
      <w:headerReference w:type="default" r:id="rId11"/>
      <w:footerReference w:type="default" r:id="rId12"/>
      <w:headerReference w:type="first" r:id="rId13"/>
      <w:footerReference w:type="first" r:id="rId14"/>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CD0" w:rsidRDefault="003D7CD0">
      <w:r>
        <w:separator/>
      </w:r>
    </w:p>
  </w:endnote>
  <w:endnote w:type="continuationSeparator" w:id="0">
    <w:p w:rsidR="003D7CD0" w:rsidRDefault="003D7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4EBCD36D-C9DA-4148-A996-2688F640641B}"/>
  </w:font>
  <w:font w:name="Palatino Linotype">
    <w:panose1 w:val="02040502050505030304"/>
    <w:charset w:val="00"/>
    <w:family w:val="roman"/>
    <w:pitch w:val="variable"/>
    <w:sig w:usb0="E0000287" w:usb1="40000013" w:usb2="00000000" w:usb3="00000000" w:csb0="0000019F" w:csb1="00000000"/>
    <w:embedRegular r:id="rId2" w:fontKey="{A4A33814-082C-443E-A157-987197864D01}"/>
    <w:embedBold r:id="rId3" w:fontKey="{C02EF9AC-98B8-4754-ABD0-26B1B4A289BA}"/>
    <w:embedItalic r:id="rId4" w:fontKey="{F27AABB0-7793-4093-AF9D-72EEBFD2D755}"/>
    <w:embedBoldItalic r:id="rId5" w:fontKey="{CEB1BE6D-970C-4851-823D-658B06D55215}"/>
  </w:font>
  <w:font w:name="Calibri">
    <w:panose1 w:val="020F0502020204030204"/>
    <w:charset w:val="00"/>
    <w:family w:val="swiss"/>
    <w:pitch w:val="variable"/>
    <w:sig w:usb0="E4002EFF" w:usb1="C200247B" w:usb2="00000009" w:usb3="00000000" w:csb0="000001FF" w:csb1="00000000"/>
    <w:embedRegular r:id="rId6" w:fontKey="{B2E0E457-FE09-42D5-B194-8B7E4DACF7AD}"/>
  </w:font>
  <w:font w:name="Calibri Light">
    <w:panose1 w:val="020F0302020204030204"/>
    <w:charset w:val="00"/>
    <w:family w:val="swiss"/>
    <w:pitch w:val="variable"/>
    <w:sig w:usb0="E4002EFF" w:usb1="C200247B" w:usb2="00000009" w:usb3="00000000" w:csb0="000001FF" w:csb1="00000000"/>
    <w:embedRegular r:id="rId7" w:fontKey="{0C2CBD2C-65AB-4606-9E58-38B23880E4A1}"/>
  </w:font>
  <w:font w:name="Century Gothic">
    <w:panose1 w:val="020B0502020202020204"/>
    <w:charset w:val="00"/>
    <w:family w:val="swiss"/>
    <w:pitch w:val="variable"/>
    <w:sig w:usb0="00000287" w:usb1="00000000" w:usb2="00000000" w:usb3="00000000" w:csb0="0000009F" w:csb1="00000000"/>
    <w:embedRegular r:id="rId8" w:fontKey="{BAF58A53-6FA4-4756-ADA0-D95B8978AB96}"/>
  </w:font>
  <w:font w:name="Georgia">
    <w:panose1 w:val="02040502050405020303"/>
    <w:charset w:val="00"/>
    <w:family w:val="roman"/>
    <w:pitch w:val="variable"/>
    <w:sig w:usb0="00000287" w:usb1="00000000" w:usb2="00000000" w:usb3="00000000" w:csb0="0000009F" w:csb1="00000000"/>
    <w:embedItalic r:id="rId9" w:fontKey="{DC5ED496-5D2B-45B1-8A4B-9CC29B1A7138}"/>
  </w:font>
  <w:font w:name="Garamond">
    <w:panose1 w:val="02020404030301010803"/>
    <w:charset w:val="00"/>
    <w:family w:val="roman"/>
    <w:pitch w:val="variable"/>
    <w:sig w:usb0="00000287" w:usb1="00000000" w:usb2="00000000" w:usb3="00000000" w:csb0="0000009F" w:csb1="00000000"/>
    <w:embedRegular r:id="rId10" w:fontKey="{2CB25ACD-C4B7-466C-8A73-52319A86203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188" w:rsidRDefault="003E5AB7">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FD5229">
      <w:rPr>
        <w:b/>
        <w:bCs/>
        <w:noProof/>
        <w:color w:val="000000"/>
      </w:rPr>
      <w:t>21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FD5229">
      <w:rPr>
        <w:b/>
        <w:bCs/>
        <w:noProof/>
        <w:color w:val="000000"/>
      </w:rPr>
      <w:t>37</w:t>
    </w:r>
    <w:r>
      <w:rPr>
        <w:b/>
        <w:bCs/>
        <w:color w:val="000000"/>
      </w:rPr>
      <w:fldChar w:fldCharType="end"/>
    </w:r>
  </w:p>
  <w:p w:rsidR="001F4188" w:rsidRDefault="001F418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188" w:rsidRDefault="003E5AB7">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FD5229">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FD5229">
      <w:rPr>
        <w:b/>
        <w:bCs/>
        <w:noProof/>
        <w:color w:val="000000"/>
      </w:rPr>
      <w:t>37</w:t>
    </w:r>
    <w:r>
      <w:rPr>
        <w:b/>
        <w:bCs/>
        <w:color w:val="000000"/>
      </w:rPr>
      <w:fldChar w:fldCharType="end"/>
    </w:r>
  </w:p>
  <w:p w:rsidR="001F4188" w:rsidRDefault="001F418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CD0" w:rsidRDefault="003D7CD0">
      <w:r>
        <w:separator/>
      </w:r>
    </w:p>
  </w:footnote>
  <w:footnote w:type="continuationSeparator" w:id="0">
    <w:p w:rsidR="003D7CD0" w:rsidRDefault="003D7CD0">
      <w:r>
        <w:continuationSeparator/>
      </w:r>
    </w:p>
  </w:footnote>
  <w:footnote w:id="1">
    <w:p w:rsidR="001F4188" w:rsidRDefault="003E5AB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2007561. 1a. CCCXXVII/2014 (10a.). Primera Sala. Décima Época. Gaceta del Semanario Judicial de la Federación. Libro 11, Octubre de 2014, Pág. 613.</w:t>
      </w:r>
    </w:p>
  </w:footnote>
  <w:footnote w:id="2">
    <w:p w:rsidR="001F4188" w:rsidRDefault="003E5AB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98, Ley de Protección de Datos Personales en Posesión de Sujetos Obligados del Estado de México y Municipios.</w:t>
      </w:r>
    </w:p>
  </w:footnote>
  <w:footnote w:id="3">
    <w:p w:rsidR="001F4188" w:rsidRDefault="003E5AB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106, Ídem.</w:t>
      </w:r>
    </w:p>
  </w:footnote>
  <w:footnote w:id="4">
    <w:p w:rsidR="001F4188" w:rsidRDefault="003E5AB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107, Ley de Protección de Datos Personales en Posesión de Sujetos Obligados del Estado de México y Municipios.</w:t>
      </w:r>
    </w:p>
  </w:footnote>
  <w:footnote w:id="5">
    <w:p w:rsidR="001F4188" w:rsidRDefault="003E5AB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118, Ídem.</w:t>
      </w:r>
    </w:p>
  </w:footnote>
  <w:footnote w:id="6">
    <w:p w:rsidR="001F4188" w:rsidRDefault="003E5AB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 xml:space="preserve">BURGOA ORIHUELA Ignacio. </w:t>
      </w:r>
      <w:r>
        <w:rPr>
          <w:rFonts w:ascii="Palatino Linotype" w:eastAsia="Palatino Linotype" w:hAnsi="Palatino Linotype" w:cs="Palatino Linotype"/>
          <w:i/>
          <w:iCs/>
          <w:color w:val="000000"/>
          <w:sz w:val="16"/>
          <w:szCs w:val="16"/>
        </w:rPr>
        <w:t>Diccionario De Derecho Constitucional, Garantías y Amparo</w:t>
      </w:r>
      <w:r>
        <w:rPr>
          <w:rFonts w:ascii="Palatino Linotype" w:eastAsia="Palatino Linotype" w:hAnsi="Palatino Linotype" w:cs="Palatino Linotype"/>
          <w:color w:val="000000"/>
          <w:sz w:val="16"/>
          <w:szCs w:val="16"/>
        </w:rPr>
        <w:t>. Ed. Porrúa, S.A., México. 1992. p. 115.</w:t>
      </w:r>
    </w:p>
  </w:footnote>
  <w:footnote w:id="7">
    <w:p w:rsidR="001F4188" w:rsidRDefault="003E5AB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 xml:space="preserve">CIENFUEGOS SALGADO David. </w:t>
      </w:r>
      <w:r>
        <w:rPr>
          <w:rFonts w:ascii="Palatino Linotype" w:eastAsia="Palatino Linotype" w:hAnsi="Palatino Linotype" w:cs="Palatino Linotype"/>
          <w:i/>
          <w:iCs/>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8">
    <w:p w:rsidR="001F4188" w:rsidRDefault="003E5AB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 xml:space="preserve">ROBLES HERNÁNDEZ José Guadalupe. </w:t>
      </w:r>
      <w:r>
        <w:rPr>
          <w:rFonts w:ascii="Palatino Linotype" w:eastAsia="Palatino Linotype" w:hAnsi="Palatino Linotype" w:cs="Palatino Linotype"/>
          <w:i/>
          <w:iCs/>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188" w:rsidRDefault="003D7CD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9923" w:type="dxa"/>
      <w:tblInd w:w="0" w:type="dxa"/>
      <w:tblLayout w:type="fixed"/>
      <w:tblLook w:val="0400" w:firstRow="0" w:lastRow="0" w:firstColumn="0" w:lastColumn="0" w:noHBand="0" w:noVBand="1"/>
    </w:tblPr>
    <w:tblGrid>
      <w:gridCol w:w="2268"/>
      <w:gridCol w:w="7655"/>
    </w:tblGrid>
    <w:tr w:rsidR="001F4188" w:rsidTr="00FD5229">
      <w:trPr>
        <w:trHeight w:val="1435"/>
      </w:trPr>
      <w:tc>
        <w:tcPr>
          <w:tcW w:w="2268" w:type="dxa"/>
          <w:shd w:val="clear" w:color="auto" w:fill="auto"/>
        </w:tcPr>
        <w:p w:rsidR="001F4188" w:rsidRDefault="001F4188">
          <w:pPr>
            <w:tabs>
              <w:tab w:val="right" w:pos="4273"/>
            </w:tabs>
            <w:rPr>
              <w:rFonts w:ascii="Garamond" w:eastAsia="Garamond" w:hAnsi="Garamond" w:cs="Garamond"/>
              <w:sz w:val="16"/>
              <w:szCs w:val="16"/>
            </w:rPr>
          </w:pPr>
        </w:p>
      </w:tc>
      <w:tc>
        <w:tcPr>
          <w:tcW w:w="7655" w:type="dxa"/>
          <w:shd w:val="clear" w:color="auto" w:fill="auto"/>
        </w:tcPr>
        <w:tbl>
          <w:tblPr>
            <w:tblStyle w:val="a4"/>
            <w:tblW w:w="7500" w:type="dxa"/>
            <w:tblInd w:w="594" w:type="dxa"/>
            <w:tblLayout w:type="fixed"/>
            <w:tblLook w:val="0400" w:firstRow="0" w:lastRow="0" w:firstColumn="0" w:lastColumn="0" w:noHBand="0" w:noVBand="1"/>
          </w:tblPr>
          <w:tblGrid>
            <w:gridCol w:w="2539"/>
            <w:gridCol w:w="4961"/>
          </w:tblGrid>
          <w:tr w:rsidR="001F4188" w:rsidTr="00FD5229">
            <w:trPr>
              <w:trHeight w:val="144"/>
            </w:trPr>
            <w:tc>
              <w:tcPr>
                <w:tcW w:w="2539" w:type="dxa"/>
                <w:shd w:val="clear" w:color="auto" w:fill="auto"/>
              </w:tcPr>
              <w:p w:rsidR="001F4188" w:rsidRPr="00461B60" w:rsidRDefault="003E5AB7" w:rsidP="00461B60">
                <w:pPr>
                  <w:tabs>
                    <w:tab w:val="right" w:pos="8838"/>
                  </w:tabs>
                  <w:ind w:left="-264" w:right="-105" w:firstLine="195"/>
                  <w:rPr>
                    <w:rFonts w:ascii="Palatino Linotype" w:eastAsia="Palatino Linotype" w:hAnsi="Palatino Linotype" w:cs="Palatino Linotype"/>
                    <w:b/>
                    <w:bCs/>
                  </w:rPr>
                </w:pPr>
                <w:r w:rsidRPr="00461B60">
                  <w:rPr>
                    <w:rFonts w:ascii="Palatino Linotype" w:eastAsia="Palatino Linotype" w:hAnsi="Palatino Linotype" w:cs="Palatino Linotype"/>
                    <w:b/>
                    <w:bCs/>
                  </w:rPr>
                  <w:t>Recurso de Revisión:</w:t>
                </w:r>
              </w:p>
            </w:tc>
            <w:tc>
              <w:tcPr>
                <w:tcW w:w="4961" w:type="dxa"/>
                <w:shd w:val="clear" w:color="auto" w:fill="auto"/>
              </w:tcPr>
              <w:p w:rsidR="001F4188" w:rsidRPr="00461B60" w:rsidRDefault="003E5AB7" w:rsidP="00461B60">
                <w:pPr>
                  <w:tabs>
                    <w:tab w:val="right" w:pos="8838"/>
                  </w:tabs>
                  <w:ind w:left="-74" w:right="-105"/>
                  <w:jc w:val="both"/>
                  <w:rPr>
                    <w:rFonts w:ascii="Palatino Linotype" w:eastAsia="Palatino Linotype" w:hAnsi="Palatino Linotype" w:cs="Palatino Linotype"/>
                  </w:rPr>
                </w:pPr>
                <w:r w:rsidRPr="00461B60">
                  <w:rPr>
                    <w:rFonts w:ascii="Palatino Linotype" w:eastAsia="Palatino Linotype" w:hAnsi="Palatino Linotype" w:cs="Palatino Linotype"/>
                  </w:rPr>
                  <w:t>10778/INFOEM/IP/RR/2025</w:t>
                </w:r>
              </w:p>
            </w:tc>
          </w:tr>
          <w:tr w:rsidR="001F4188" w:rsidTr="00FD5229">
            <w:trPr>
              <w:trHeight w:val="283"/>
            </w:trPr>
            <w:tc>
              <w:tcPr>
                <w:tcW w:w="2539" w:type="dxa"/>
                <w:shd w:val="clear" w:color="auto" w:fill="auto"/>
              </w:tcPr>
              <w:p w:rsidR="001F4188" w:rsidRPr="00461B60" w:rsidRDefault="003E5AB7" w:rsidP="00461B60">
                <w:pPr>
                  <w:tabs>
                    <w:tab w:val="right" w:pos="8838"/>
                  </w:tabs>
                  <w:ind w:left="-74" w:right="-105"/>
                  <w:rPr>
                    <w:rFonts w:ascii="Palatino Linotype" w:eastAsia="Palatino Linotype" w:hAnsi="Palatino Linotype" w:cs="Palatino Linotype"/>
                    <w:b/>
                    <w:bCs/>
                  </w:rPr>
                </w:pPr>
                <w:r w:rsidRPr="00461B60">
                  <w:rPr>
                    <w:rFonts w:ascii="Palatino Linotype" w:eastAsia="Palatino Linotype" w:hAnsi="Palatino Linotype" w:cs="Palatino Linotype"/>
                    <w:b/>
                    <w:bCs/>
                  </w:rPr>
                  <w:t>Sujeto Obligado:</w:t>
                </w:r>
              </w:p>
            </w:tc>
            <w:tc>
              <w:tcPr>
                <w:tcW w:w="4961" w:type="dxa"/>
                <w:shd w:val="clear" w:color="auto" w:fill="auto"/>
              </w:tcPr>
              <w:p w:rsidR="001F4188" w:rsidRPr="00461B60" w:rsidRDefault="003E5AB7" w:rsidP="00461B60">
                <w:pPr>
                  <w:tabs>
                    <w:tab w:val="left" w:pos="2834"/>
                    <w:tab w:val="right" w:pos="8838"/>
                  </w:tabs>
                  <w:ind w:left="-74" w:right="-105"/>
                  <w:jc w:val="both"/>
                  <w:rPr>
                    <w:rFonts w:ascii="Palatino Linotype" w:eastAsia="Palatino Linotype" w:hAnsi="Palatino Linotype" w:cs="Palatino Linotype"/>
                  </w:rPr>
                </w:pPr>
                <w:r w:rsidRPr="00461B60">
                  <w:rPr>
                    <w:rFonts w:ascii="Palatino Linotype" w:eastAsia="Palatino Linotype" w:hAnsi="Palatino Linotype" w:cs="Palatino Linotype"/>
                  </w:rPr>
                  <w:t>Ayuntamiento de Ecatepec de Morelos</w:t>
                </w:r>
              </w:p>
            </w:tc>
          </w:tr>
          <w:tr w:rsidR="001F4188" w:rsidTr="00FD5229">
            <w:trPr>
              <w:trHeight w:val="283"/>
            </w:trPr>
            <w:tc>
              <w:tcPr>
                <w:tcW w:w="2539" w:type="dxa"/>
                <w:shd w:val="clear" w:color="auto" w:fill="auto"/>
              </w:tcPr>
              <w:p w:rsidR="001F4188" w:rsidRPr="00461B60" w:rsidRDefault="003E5AB7" w:rsidP="00461B60">
                <w:pPr>
                  <w:tabs>
                    <w:tab w:val="right" w:pos="8838"/>
                  </w:tabs>
                  <w:ind w:left="-74" w:right="-105"/>
                  <w:rPr>
                    <w:rFonts w:ascii="Palatino Linotype" w:eastAsia="Palatino Linotype" w:hAnsi="Palatino Linotype" w:cs="Palatino Linotype"/>
                    <w:b/>
                    <w:bCs/>
                  </w:rPr>
                </w:pPr>
                <w:r w:rsidRPr="00461B60">
                  <w:rPr>
                    <w:rFonts w:ascii="Palatino Linotype" w:eastAsia="Palatino Linotype" w:hAnsi="Palatino Linotype" w:cs="Palatino Linotype"/>
                    <w:b/>
                    <w:bCs/>
                  </w:rPr>
                  <w:t>Comisionada ponente:</w:t>
                </w:r>
              </w:p>
            </w:tc>
            <w:tc>
              <w:tcPr>
                <w:tcW w:w="4961" w:type="dxa"/>
                <w:shd w:val="clear" w:color="auto" w:fill="auto"/>
              </w:tcPr>
              <w:p w:rsidR="001F4188" w:rsidRPr="00461B60" w:rsidRDefault="003E5AB7" w:rsidP="00461B60">
                <w:pPr>
                  <w:tabs>
                    <w:tab w:val="right" w:pos="8838"/>
                  </w:tabs>
                  <w:ind w:left="-74" w:right="-105"/>
                  <w:jc w:val="both"/>
                  <w:rPr>
                    <w:rFonts w:ascii="Palatino Linotype" w:eastAsia="Palatino Linotype" w:hAnsi="Palatino Linotype" w:cs="Palatino Linotype"/>
                  </w:rPr>
                </w:pPr>
                <w:r w:rsidRPr="00461B60">
                  <w:rPr>
                    <w:rFonts w:ascii="Palatino Linotype" w:eastAsia="Palatino Linotype" w:hAnsi="Palatino Linotype" w:cs="Palatino Linotype"/>
                  </w:rPr>
                  <w:t>María del Rosario Mejía Ayala</w:t>
                </w:r>
              </w:p>
              <w:p w:rsidR="001F4188" w:rsidRPr="00461B60" w:rsidRDefault="001F4188" w:rsidP="00461B60">
                <w:pPr>
                  <w:tabs>
                    <w:tab w:val="right" w:pos="8838"/>
                  </w:tabs>
                  <w:ind w:left="-74" w:right="-105"/>
                  <w:jc w:val="both"/>
                  <w:rPr>
                    <w:rFonts w:ascii="Palatino Linotype" w:eastAsia="Palatino Linotype" w:hAnsi="Palatino Linotype" w:cs="Palatino Linotype"/>
                    <w:b/>
                    <w:bCs/>
                  </w:rPr>
                </w:pPr>
              </w:p>
            </w:tc>
          </w:tr>
        </w:tbl>
        <w:p w:rsidR="001F4188" w:rsidRDefault="001F4188">
          <w:pPr>
            <w:tabs>
              <w:tab w:val="right" w:pos="8838"/>
            </w:tabs>
            <w:ind w:left="-28"/>
            <w:jc w:val="both"/>
            <w:rPr>
              <w:rFonts w:ascii="Arial" w:eastAsia="Arial" w:hAnsi="Arial" w:cs="Arial"/>
              <w:b/>
              <w:bCs/>
              <w:sz w:val="22"/>
              <w:szCs w:val="22"/>
            </w:rPr>
          </w:pPr>
        </w:p>
      </w:tc>
    </w:tr>
  </w:tbl>
  <w:p w:rsidR="001F4188" w:rsidRDefault="003D7CD0">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10348" w:type="dxa"/>
      <w:tblInd w:w="0" w:type="dxa"/>
      <w:tblLayout w:type="fixed"/>
      <w:tblLook w:val="0400" w:firstRow="0" w:lastRow="0" w:firstColumn="0" w:lastColumn="0" w:noHBand="0" w:noVBand="1"/>
    </w:tblPr>
    <w:tblGrid>
      <w:gridCol w:w="2268"/>
      <w:gridCol w:w="8080"/>
    </w:tblGrid>
    <w:tr w:rsidR="001F4188" w:rsidTr="00461B60">
      <w:trPr>
        <w:trHeight w:val="1435"/>
      </w:trPr>
      <w:tc>
        <w:tcPr>
          <w:tcW w:w="2268" w:type="dxa"/>
          <w:shd w:val="clear" w:color="auto" w:fill="auto"/>
        </w:tcPr>
        <w:p w:rsidR="001F4188" w:rsidRDefault="001F4188">
          <w:pPr>
            <w:tabs>
              <w:tab w:val="right" w:pos="4273"/>
            </w:tabs>
            <w:rPr>
              <w:rFonts w:ascii="Garamond" w:eastAsia="Garamond" w:hAnsi="Garamond" w:cs="Garamond"/>
              <w:sz w:val="22"/>
              <w:szCs w:val="22"/>
            </w:rPr>
          </w:pPr>
        </w:p>
      </w:tc>
      <w:tc>
        <w:tcPr>
          <w:tcW w:w="8080" w:type="dxa"/>
          <w:shd w:val="clear" w:color="auto" w:fill="auto"/>
        </w:tcPr>
        <w:tbl>
          <w:tblPr>
            <w:tblStyle w:val="a6"/>
            <w:tblW w:w="7925" w:type="dxa"/>
            <w:tblInd w:w="311" w:type="dxa"/>
            <w:tblLayout w:type="fixed"/>
            <w:tblLook w:val="0400" w:firstRow="0" w:lastRow="0" w:firstColumn="0" w:lastColumn="0" w:noHBand="0" w:noVBand="1"/>
          </w:tblPr>
          <w:tblGrid>
            <w:gridCol w:w="2680"/>
            <w:gridCol w:w="5245"/>
          </w:tblGrid>
          <w:tr w:rsidR="001F4188" w:rsidTr="00C01FE6">
            <w:trPr>
              <w:trHeight w:val="144"/>
            </w:trPr>
            <w:tc>
              <w:tcPr>
                <w:tcW w:w="2680" w:type="dxa"/>
                <w:shd w:val="clear" w:color="auto" w:fill="auto"/>
              </w:tcPr>
              <w:p w:rsidR="001F4188" w:rsidRPr="00461B60" w:rsidRDefault="003E5AB7" w:rsidP="00461B60">
                <w:pPr>
                  <w:tabs>
                    <w:tab w:val="right" w:pos="8838"/>
                  </w:tabs>
                  <w:ind w:left="-264" w:right="-105" w:firstLine="195"/>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b/>
                    <w:bCs/>
                    <w:color w:val="000000" w:themeColor="text1"/>
                  </w:rPr>
                  <w:t>Recurso de Revisión:</w:t>
                </w:r>
              </w:p>
            </w:tc>
            <w:tc>
              <w:tcPr>
                <w:tcW w:w="5245" w:type="dxa"/>
                <w:shd w:val="clear" w:color="auto" w:fill="auto"/>
              </w:tcPr>
              <w:p w:rsidR="001F4188" w:rsidRPr="00461B60" w:rsidRDefault="003E5AB7" w:rsidP="00461B60">
                <w:pPr>
                  <w:tabs>
                    <w:tab w:val="right" w:pos="8838"/>
                  </w:tabs>
                  <w:ind w:left="-74" w:right="-105"/>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10778/INFOEM/IP/RR/2025</w:t>
                </w:r>
              </w:p>
            </w:tc>
          </w:tr>
          <w:tr w:rsidR="001F4188" w:rsidTr="00C01FE6">
            <w:trPr>
              <w:trHeight w:val="144"/>
            </w:trPr>
            <w:tc>
              <w:tcPr>
                <w:tcW w:w="2680" w:type="dxa"/>
                <w:shd w:val="clear" w:color="auto" w:fill="auto"/>
              </w:tcPr>
              <w:p w:rsidR="001F4188" w:rsidRPr="00461B60" w:rsidRDefault="003E5AB7" w:rsidP="00461B60">
                <w:pPr>
                  <w:tabs>
                    <w:tab w:val="right" w:pos="8838"/>
                  </w:tabs>
                  <w:ind w:left="-74" w:right="-105"/>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b/>
                    <w:bCs/>
                    <w:color w:val="000000" w:themeColor="text1"/>
                  </w:rPr>
                  <w:t>Recurrente:</w:t>
                </w:r>
              </w:p>
            </w:tc>
            <w:tc>
              <w:tcPr>
                <w:tcW w:w="5245" w:type="dxa"/>
                <w:shd w:val="clear" w:color="auto" w:fill="auto"/>
              </w:tcPr>
              <w:p w:rsidR="001F4188" w:rsidRPr="00461B60" w:rsidRDefault="00FD5229" w:rsidP="00461B60">
                <w:pPr>
                  <w:tabs>
                    <w:tab w:val="left" w:pos="3122"/>
                    <w:tab w:val="right" w:pos="8838"/>
                  </w:tabs>
                  <w:ind w:left="-74" w:right="-105"/>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XXXX</w:t>
                </w:r>
              </w:p>
            </w:tc>
          </w:tr>
          <w:tr w:rsidR="001F4188" w:rsidTr="00C01FE6">
            <w:trPr>
              <w:trHeight w:val="283"/>
            </w:trPr>
            <w:tc>
              <w:tcPr>
                <w:tcW w:w="2680" w:type="dxa"/>
                <w:shd w:val="clear" w:color="auto" w:fill="auto"/>
              </w:tcPr>
              <w:p w:rsidR="001F4188" w:rsidRPr="00461B60" w:rsidRDefault="003E5AB7" w:rsidP="00461B60">
                <w:pPr>
                  <w:tabs>
                    <w:tab w:val="right" w:pos="8838"/>
                  </w:tabs>
                  <w:ind w:left="-74" w:right="-105"/>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b/>
                    <w:bCs/>
                    <w:color w:val="000000" w:themeColor="text1"/>
                  </w:rPr>
                  <w:t>Sujeto Obligado:</w:t>
                </w:r>
              </w:p>
            </w:tc>
            <w:tc>
              <w:tcPr>
                <w:tcW w:w="5245" w:type="dxa"/>
                <w:shd w:val="clear" w:color="auto" w:fill="auto"/>
              </w:tcPr>
              <w:p w:rsidR="001F4188" w:rsidRPr="00461B60" w:rsidRDefault="003E5AB7" w:rsidP="00461B60">
                <w:pPr>
                  <w:tabs>
                    <w:tab w:val="left" w:pos="2834"/>
                    <w:tab w:val="right" w:pos="8838"/>
                  </w:tabs>
                  <w:ind w:left="-74" w:right="-105"/>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Ayuntamiento de Ecatepec de Morelos</w:t>
                </w:r>
              </w:p>
            </w:tc>
          </w:tr>
          <w:tr w:rsidR="001F4188" w:rsidTr="00C01FE6">
            <w:trPr>
              <w:trHeight w:val="283"/>
            </w:trPr>
            <w:tc>
              <w:tcPr>
                <w:tcW w:w="2680" w:type="dxa"/>
                <w:shd w:val="clear" w:color="auto" w:fill="auto"/>
              </w:tcPr>
              <w:p w:rsidR="001F4188" w:rsidRPr="00461B60" w:rsidRDefault="003E5AB7" w:rsidP="00461B60">
                <w:pPr>
                  <w:tabs>
                    <w:tab w:val="right" w:pos="8838"/>
                  </w:tabs>
                  <w:ind w:left="-74" w:right="-105"/>
                  <w:rPr>
                    <w:rFonts w:ascii="Palatino Linotype" w:eastAsia="Palatino Linotype" w:hAnsi="Palatino Linotype" w:cs="Palatino Linotype"/>
                    <w:b/>
                    <w:bCs/>
                    <w:color w:val="000000" w:themeColor="text1"/>
                  </w:rPr>
                </w:pPr>
                <w:r w:rsidRPr="00461B60">
                  <w:rPr>
                    <w:rFonts w:ascii="Palatino Linotype" w:eastAsia="Palatino Linotype" w:hAnsi="Palatino Linotype" w:cs="Palatino Linotype"/>
                    <w:b/>
                    <w:bCs/>
                    <w:color w:val="000000" w:themeColor="text1"/>
                  </w:rPr>
                  <w:t>Comisionada ponente:</w:t>
                </w:r>
              </w:p>
            </w:tc>
            <w:tc>
              <w:tcPr>
                <w:tcW w:w="5245" w:type="dxa"/>
                <w:shd w:val="clear" w:color="auto" w:fill="auto"/>
              </w:tcPr>
              <w:p w:rsidR="001F4188" w:rsidRPr="00461B60" w:rsidRDefault="003E5AB7" w:rsidP="00461B60">
                <w:pPr>
                  <w:tabs>
                    <w:tab w:val="right" w:pos="8838"/>
                  </w:tabs>
                  <w:ind w:left="-74" w:right="-105"/>
                  <w:jc w:val="both"/>
                  <w:rPr>
                    <w:rFonts w:ascii="Palatino Linotype" w:eastAsia="Palatino Linotype" w:hAnsi="Palatino Linotype" w:cs="Palatino Linotype"/>
                    <w:color w:val="000000" w:themeColor="text1"/>
                  </w:rPr>
                </w:pPr>
                <w:r w:rsidRPr="00461B60">
                  <w:rPr>
                    <w:rFonts w:ascii="Palatino Linotype" w:eastAsia="Palatino Linotype" w:hAnsi="Palatino Linotype" w:cs="Palatino Linotype"/>
                    <w:color w:val="000000" w:themeColor="text1"/>
                  </w:rPr>
                  <w:t>María del Rosario Mejía Ayala</w:t>
                </w:r>
              </w:p>
              <w:p w:rsidR="001F4188" w:rsidRPr="00461B60" w:rsidRDefault="001F4188" w:rsidP="00461B60">
                <w:pPr>
                  <w:tabs>
                    <w:tab w:val="right" w:pos="8838"/>
                  </w:tabs>
                  <w:ind w:left="-74" w:right="-105"/>
                  <w:jc w:val="both"/>
                  <w:rPr>
                    <w:rFonts w:ascii="Palatino Linotype" w:eastAsia="Palatino Linotype" w:hAnsi="Palatino Linotype" w:cs="Palatino Linotype"/>
                    <w:b/>
                    <w:bCs/>
                    <w:color w:val="000000" w:themeColor="text1"/>
                  </w:rPr>
                </w:pPr>
              </w:p>
            </w:tc>
          </w:tr>
        </w:tbl>
        <w:p w:rsidR="001F4188" w:rsidRDefault="001F4188">
          <w:pPr>
            <w:tabs>
              <w:tab w:val="right" w:pos="8838"/>
            </w:tabs>
            <w:ind w:left="-28"/>
            <w:jc w:val="both"/>
            <w:rPr>
              <w:rFonts w:ascii="Arial" w:eastAsia="Arial" w:hAnsi="Arial" w:cs="Arial"/>
              <w:b/>
              <w:bCs/>
              <w:sz w:val="22"/>
              <w:szCs w:val="22"/>
            </w:rPr>
          </w:pPr>
        </w:p>
      </w:tc>
    </w:tr>
  </w:tbl>
  <w:p w:rsidR="001F4188" w:rsidRDefault="003D7CD0">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0.35pt;margin-top:-128.4pt;width:589.8pt;height:768pt;z-index:-251658752;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517F8"/>
    <w:multiLevelType w:val="hybridMultilevel"/>
    <w:tmpl w:val="222A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70263A"/>
    <w:multiLevelType w:val="multilevel"/>
    <w:tmpl w:val="55BC783E"/>
    <w:lvl w:ilvl="0">
      <w:start w:val="1"/>
      <w:numFmt w:val="bullet"/>
      <w:lvlText w:val="●"/>
      <w:lvlJc w:val="left"/>
      <w:pPr>
        <w:ind w:left="1498" w:hanging="360"/>
      </w:pPr>
      <w:rPr>
        <w:rFonts w:ascii="Noto Sans Symbols" w:eastAsia="Noto Sans Symbols" w:hAnsi="Noto Sans Symbols" w:cs="Noto Sans Symbols"/>
      </w:rPr>
    </w:lvl>
    <w:lvl w:ilvl="1">
      <w:start w:val="1"/>
      <w:numFmt w:val="bullet"/>
      <w:lvlText w:val="o"/>
      <w:lvlJc w:val="left"/>
      <w:pPr>
        <w:ind w:left="2218" w:hanging="360"/>
      </w:pPr>
      <w:rPr>
        <w:rFonts w:ascii="Courier New" w:eastAsia="Courier New" w:hAnsi="Courier New" w:cs="Courier New"/>
      </w:rPr>
    </w:lvl>
    <w:lvl w:ilvl="2">
      <w:start w:val="1"/>
      <w:numFmt w:val="bullet"/>
      <w:lvlText w:val="▪"/>
      <w:lvlJc w:val="left"/>
      <w:pPr>
        <w:ind w:left="2938" w:hanging="360"/>
      </w:pPr>
      <w:rPr>
        <w:rFonts w:ascii="Noto Sans Symbols" w:eastAsia="Noto Sans Symbols" w:hAnsi="Noto Sans Symbols" w:cs="Noto Sans Symbols"/>
      </w:rPr>
    </w:lvl>
    <w:lvl w:ilvl="3">
      <w:start w:val="1"/>
      <w:numFmt w:val="bullet"/>
      <w:lvlText w:val="●"/>
      <w:lvlJc w:val="left"/>
      <w:pPr>
        <w:ind w:left="3658" w:hanging="360"/>
      </w:pPr>
      <w:rPr>
        <w:rFonts w:ascii="Noto Sans Symbols" w:eastAsia="Noto Sans Symbols" w:hAnsi="Noto Sans Symbols" w:cs="Noto Sans Symbols"/>
      </w:rPr>
    </w:lvl>
    <w:lvl w:ilvl="4">
      <w:start w:val="1"/>
      <w:numFmt w:val="bullet"/>
      <w:lvlText w:val="o"/>
      <w:lvlJc w:val="left"/>
      <w:pPr>
        <w:ind w:left="4378" w:hanging="360"/>
      </w:pPr>
      <w:rPr>
        <w:rFonts w:ascii="Courier New" w:eastAsia="Courier New" w:hAnsi="Courier New" w:cs="Courier New"/>
      </w:rPr>
    </w:lvl>
    <w:lvl w:ilvl="5">
      <w:start w:val="1"/>
      <w:numFmt w:val="bullet"/>
      <w:lvlText w:val="▪"/>
      <w:lvlJc w:val="left"/>
      <w:pPr>
        <w:ind w:left="5098" w:hanging="360"/>
      </w:pPr>
      <w:rPr>
        <w:rFonts w:ascii="Noto Sans Symbols" w:eastAsia="Noto Sans Symbols" w:hAnsi="Noto Sans Symbols" w:cs="Noto Sans Symbols"/>
      </w:rPr>
    </w:lvl>
    <w:lvl w:ilvl="6">
      <w:start w:val="1"/>
      <w:numFmt w:val="bullet"/>
      <w:lvlText w:val="●"/>
      <w:lvlJc w:val="left"/>
      <w:pPr>
        <w:ind w:left="5818" w:hanging="360"/>
      </w:pPr>
      <w:rPr>
        <w:rFonts w:ascii="Noto Sans Symbols" w:eastAsia="Noto Sans Symbols" w:hAnsi="Noto Sans Symbols" w:cs="Noto Sans Symbols"/>
      </w:rPr>
    </w:lvl>
    <w:lvl w:ilvl="7">
      <w:start w:val="1"/>
      <w:numFmt w:val="bullet"/>
      <w:lvlText w:val="o"/>
      <w:lvlJc w:val="left"/>
      <w:pPr>
        <w:ind w:left="6538" w:hanging="360"/>
      </w:pPr>
      <w:rPr>
        <w:rFonts w:ascii="Courier New" w:eastAsia="Courier New" w:hAnsi="Courier New" w:cs="Courier New"/>
      </w:rPr>
    </w:lvl>
    <w:lvl w:ilvl="8">
      <w:start w:val="1"/>
      <w:numFmt w:val="bullet"/>
      <w:lvlText w:val="▪"/>
      <w:lvlJc w:val="left"/>
      <w:pPr>
        <w:ind w:left="7258" w:hanging="360"/>
      </w:pPr>
      <w:rPr>
        <w:rFonts w:ascii="Noto Sans Symbols" w:eastAsia="Noto Sans Symbols" w:hAnsi="Noto Sans Symbols" w:cs="Noto Sans Symbols"/>
      </w:rPr>
    </w:lvl>
  </w:abstractNum>
  <w:abstractNum w:abstractNumId="2" w15:restartNumberingAfterBreak="0">
    <w:nsid w:val="2D875B63"/>
    <w:multiLevelType w:val="multilevel"/>
    <w:tmpl w:val="440E3E64"/>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upperRoman"/>
      <w:lvlText w:val="%2."/>
      <w:lvlJc w:val="right"/>
      <w:pPr>
        <w:ind w:left="1440" w:hanging="360"/>
      </w:pPr>
      <w:rPr>
        <w:b/>
        <w:bC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lowerLetter"/>
      <w:lvlText w:val="%4)"/>
      <w:lvlJc w:val="left"/>
      <w:pPr>
        <w:ind w:left="2880" w:hanging="360"/>
      </w:pPr>
      <w:rPr>
        <w:color w:val="000000"/>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6C78EC"/>
    <w:multiLevelType w:val="multilevel"/>
    <w:tmpl w:val="89448A3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47EC7F2A"/>
    <w:multiLevelType w:val="multilevel"/>
    <w:tmpl w:val="60F6197E"/>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upperRoman"/>
      <w:lvlText w:val="%2."/>
      <w:lvlJc w:val="righ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487590"/>
    <w:multiLevelType w:val="multilevel"/>
    <w:tmpl w:val="B5E002F0"/>
    <w:lvl w:ilvl="0">
      <w:start w:val="1"/>
      <w:numFmt w:val="upperRoman"/>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 w15:restartNumberingAfterBreak="0">
    <w:nsid w:val="56280243"/>
    <w:multiLevelType w:val="multilevel"/>
    <w:tmpl w:val="E7843D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DA661C"/>
    <w:multiLevelType w:val="multilevel"/>
    <w:tmpl w:val="35541EFC"/>
    <w:lvl w:ilvl="0">
      <w:start w:val="1"/>
      <w:numFmt w:val="decimal"/>
      <w:lvlText w:val="%1."/>
      <w:lvlJc w:val="left"/>
      <w:pPr>
        <w:ind w:left="248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300E09"/>
    <w:multiLevelType w:val="multilevel"/>
    <w:tmpl w:val="53CC4C74"/>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upperRoman"/>
      <w:lvlText w:val="%2."/>
      <w:lvlJc w:val="right"/>
      <w:pPr>
        <w:ind w:left="1440" w:hanging="360"/>
      </w:pPr>
      <w:rPr>
        <w:rFonts w:ascii="Palatino Linotype" w:eastAsia="Palatino Linotype" w:hAnsi="Palatino Linotype" w:cs="Palatino Linotype"/>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C51015"/>
    <w:multiLevelType w:val="multilevel"/>
    <w:tmpl w:val="30EC5D96"/>
    <w:lvl w:ilvl="0">
      <w:start w:val="1"/>
      <w:numFmt w:val="decimal"/>
      <w:lvlText w:val="%1)"/>
      <w:lvlJc w:val="left"/>
      <w:pPr>
        <w:ind w:left="1487" w:hanging="360"/>
      </w:pPr>
    </w:lvl>
    <w:lvl w:ilvl="1">
      <w:start w:val="1"/>
      <w:numFmt w:val="lowerLetter"/>
      <w:lvlText w:val="%2."/>
      <w:lvlJc w:val="left"/>
      <w:pPr>
        <w:ind w:left="2207" w:hanging="360"/>
      </w:pPr>
    </w:lvl>
    <w:lvl w:ilvl="2">
      <w:start w:val="1"/>
      <w:numFmt w:val="lowerRoman"/>
      <w:lvlText w:val="%3."/>
      <w:lvlJc w:val="right"/>
      <w:pPr>
        <w:ind w:left="2927" w:hanging="180"/>
      </w:pPr>
    </w:lvl>
    <w:lvl w:ilvl="3">
      <w:start w:val="1"/>
      <w:numFmt w:val="decimal"/>
      <w:lvlText w:val="%4."/>
      <w:lvlJc w:val="left"/>
      <w:pPr>
        <w:ind w:left="3647" w:hanging="360"/>
      </w:pPr>
    </w:lvl>
    <w:lvl w:ilvl="4">
      <w:start w:val="1"/>
      <w:numFmt w:val="lowerLetter"/>
      <w:lvlText w:val="%5."/>
      <w:lvlJc w:val="left"/>
      <w:pPr>
        <w:ind w:left="4367" w:hanging="360"/>
      </w:pPr>
    </w:lvl>
    <w:lvl w:ilvl="5">
      <w:start w:val="1"/>
      <w:numFmt w:val="lowerRoman"/>
      <w:lvlText w:val="%6."/>
      <w:lvlJc w:val="right"/>
      <w:pPr>
        <w:ind w:left="5087" w:hanging="180"/>
      </w:pPr>
    </w:lvl>
    <w:lvl w:ilvl="6">
      <w:start w:val="1"/>
      <w:numFmt w:val="decimal"/>
      <w:lvlText w:val="%7."/>
      <w:lvlJc w:val="left"/>
      <w:pPr>
        <w:ind w:left="5807" w:hanging="360"/>
      </w:pPr>
    </w:lvl>
    <w:lvl w:ilvl="7">
      <w:start w:val="1"/>
      <w:numFmt w:val="lowerLetter"/>
      <w:lvlText w:val="%8."/>
      <w:lvlJc w:val="left"/>
      <w:pPr>
        <w:ind w:left="6527" w:hanging="360"/>
      </w:pPr>
    </w:lvl>
    <w:lvl w:ilvl="8">
      <w:start w:val="1"/>
      <w:numFmt w:val="lowerRoman"/>
      <w:lvlText w:val="%9."/>
      <w:lvlJc w:val="right"/>
      <w:pPr>
        <w:ind w:left="7247" w:hanging="180"/>
      </w:pPr>
    </w:lvl>
  </w:abstractNum>
  <w:num w:numId="1">
    <w:abstractNumId w:val="7"/>
  </w:num>
  <w:num w:numId="2">
    <w:abstractNumId w:val="9"/>
  </w:num>
  <w:num w:numId="3">
    <w:abstractNumId w:val="6"/>
  </w:num>
  <w:num w:numId="4">
    <w:abstractNumId w:val="5"/>
  </w:num>
  <w:num w:numId="5">
    <w:abstractNumId w:val="1"/>
  </w:num>
  <w:num w:numId="6">
    <w:abstractNumId w:val="3"/>
  </w:num>
  <w:num w:numId="7">
    <w:abstractNumId w:val="8"/>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188"/>
    <w:rsid w:val="000E03A9"/>
    <w:rsid w:val="00171DDB"/>
    <w:rsid w:val="00177CF3"/>
    <w:rsid w:val="001F4188"/>
    <w:rsid w:val="00294F91"/>
    <w:rsid w:val="003532DC"/>
    <w:rsid w:val="003D7CD0"/>
    <w:rsid w:val="003E5AB7"/>
    <w:rsid w:val="00461B60"/>
    <w:rsid w:val="00564D13"/>
    <w:rsid w:val="00683D55"/>
    <w:rsid w:val="00723E1B"/>
    <w:rsid w:val="00777DF4"/>
    <w:rsid w:val="009A2475"/>
    <w:rsid w:val="00A55BC5"/>
    <w:rsid w:val="00A84306"/>
    <w:rsid w:val="00B72D48"/>
    <w:rsid w:val="00B96CBC"/>
    <w:rsid w:val="00C01FE6"/>
    <w:rsid w:val="00C0594C"/>
    <w:rsid w:val="00D21EE2"/>
    <w:rsid w:val="00E01C63"/>
    <w:rsid w:val="00E3526A"/>
    <w:rsid w:val="00E646F3"/>
    <w:rsid w:val="00E72171"/>
    <w:rsid w:val="00F40E0F"/>
    <w:rsid w:val="00FD52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ED72B12-474F-423B-B1EB-B21BA9ED5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C25591"/>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2559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25591"/>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C25591"/>
    <w:rPr>
      <w:color w:val="0563C1"/>
      <w:u w:val="single"/>
    </w:rPr>
  </w:style>
  <w:style w:type="paragraph" w:styleId="Sinespaciado">
    <w:name w:val="No Spacing"/>
    <w:aliases w:val="Francesa,INAI,Fundamentos"/>
    <w:link w:val="SinespaciadoCar"/>
    <w:uiPriority w:val="1"/>
    <w:qFormat/>
    <w:rsid w:val="00C25591"/>
  </w:style>
  <w:style w:type="character" w:customStyle="1" w:styleId="SinespaciadoCar">
    <w:name w:val="Sin espaciado Car"/>
    <w:aliases w:val="Francesa Car,INAI Car,Fundamentos Car"/>
    <w:link w:val="Sinespaciado"/>
    <w:uiPriority w:val="1"/>
    <w:qFormat/>
    <w:locked/>
    <w:rsid w:val="00C25591"/>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2559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C2559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25591"/>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C25591"/>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C25591"/>
    <w:pPr>
      <w:tabs>
        <w:tab w:val="center" w:pos="4419"/>
        <w:tab w:val="right" w:pos="8838"/>
      </w:tabs>
    </w:pPr>
  </w:style>
  <w:style w:type="character" w:customStyle="1" w:styleId="PiedepginaCar">
    <w:name w:val="Pie de página Car"/>
    <w:basedOn w:val="Fuentedeprrafopredeter"/>
    <w:link w:val="Piedepgina"/>
    <w:uiPriority w:val="99"/>
    <w:rsid w:val="00C25591"/>
    <w:rPr>
      <w:rFonts w:ascii="Times New Roman" w:eastAsia="Times New Roman" w:hAnsi="Times New Roman" w:cs="Times New Roman"/>
      <w:sz w:val="24"/>
      <w:szCs w:val="24"/>
      <w:lang w:eastAsia="es-MX"/>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6KWzEmauHjhv8NIwZMvZarW78Q==">CgMxLjAyCGguZ2pkZ3hzMgloLjFmb2I5dGUyCWguM3pueXNoNzIJaC4yZXQ5MnAwMg5oLmZ6NGhpd3AzeTcxbjIOaC42eHg0ZmFvOGU5YzEyDmguZnI4b3liNnRhcHBzMg5oLm1wb3JoZ3FsY3M5NzgAciExMmxURlRwUElMV0c1cFhZb0E0NmRXWGxnMFJTQTh4SnQ=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37</Pages>
  <Words>10208</Words>
  <Characters>56147</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18</cp:revision>
  <dcterms:created xsi:type="dcterms:W3CDTF">2025-11-21T15:54:00Z</dcterms:created>
  <dcterms:modified xsi:type="dcterms:W3CDTF">2025-12-08T23:49:00Z</dcterms:modified>
</cp:coreProperties>
</file>