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339E3" w14:textId="77777777" w:rsidR="00372BC6" w:rsidRDefault="00372BC6">
      <w:pPr>
        <w:widowControl w:val="0"/>
        <w:pBdr>
          <w:top w:val="nil"/>
          <w:left w:val="nil"/>
          <w:bottom w:val="nil"/>
          <w:right w:val="nil"/>
          <w:between w:val="nil"/>
        </w:pBdr>
        <w:spacing w:line="276" w:lineRule="auto"/>
      </w:pPr>
    </w:p>
    <w:p w14:paraId="3110AAD5" w14:textId="77777777" w:rsidR="00372BC6" w:rsidRPr="00B54C27" w:rsidRDefault="00A969C3">
      <w:pPr>
        <w:tabs>
          <w:tab w:val="left" w:pos="3465"/>
        </w:tabs>
        <w:spacing w:line="360" w:lineRule="auto"/>
        <w:ind w:right="-787"/>
        <w:jc w:val="both"/>
        <w:rPr>
          <w:rFonts w:ascii="Palatino Linotype" w:eastAsia="Palatino Linotype" w:hAnsi="Palatino Linotype" w:cs="Palatino Linotype"/>
        </w:rPr>
      </w:pPr>
      <w:r w:rsidRPr="00B54C27">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(06) de febrero de dos mil veinticinco.</w:t>
      </w:r>
    </w:p>
    <w:p w14:paraId="67768066" w14:textId="77777777" w:rsidR="00372BC6" w:rsidRPr="00B54C27" w:rsidRDefault="00372BC6">
      <w:pPr>
        <w:tabs>
          <w:tab w:val="left" w:pos="3465"/>
        </w:tabs>
        <w:spacing w:line="360" w:lineRule="auto"/>
        <w:ind w:right="-787"/>
        <w:jc w:val="both"/>
        <w:rPr>
          <w:rFonts w:ascii="Palatino Linotype" w:eastAsia="Palatino Linotype" w:hAnsi="Palatino Linotype" w:cs="Palatino Linotype"/>
        </w:rPr>
      </w:pPr>
    </w:p>
    <w:p w14:paraId="4828ACC9" w14:textId="56DC43B3" w:rsidR="00372BC6" w:rsidRPr="00B54C27" w:rsidRDefault="00A969C3">
      <w:pPr>
        <w:spacing w:line="360" w:lineRule="auto"/>
        <w:ind w:right="-787"/>
        <w:jc w:val="both"/>
        <w:rPr>
          <w:rFonts w:ascii="Palatino Linotype" w:eastAsia="Palatino Linotype" w:hAnsi="Palatino Linotype" w:cs="Palatino Linotype"/>
        </w:rPr>
      </w:pPr>
      <w:r w:rsidRPr="00B54C27">
        <w:rPr>
          <w:rFonts w:ascii="Palatino Linotype" w:eastAsia="Palatino Linotype" w:hAnsi="Palatino Linotype" w:cs="Palatino Linotype"/>
          <w:b/>
        </w:rPr>
        <w:t xml:space="preserve">VISTAS </w:t>
      </w:r>
      <w:r w:rsidRPr="00B54C27">
        <w:rPr>
          <w:rFonts w:ascii="Palatino Linotype" w:eastAsia="Palatino Linotype" w:hAnsi="Palatino Linotype" w:cs="Palatino Linotype"/>
        </w:rPr>
        <w:t xml:space="preserve">las constancias para resolver </w:t>
      </w:r>
      <w:r w:rsidRPr="00B54C27">
        <w:rPr>
          <w:rFonts w:ascii="Palatino Linotype" w:eastAsia="Palatino Linotype" w:hAnsi="Palatino Linotype" w:cs="Palatino Linotype"/>
          <w:color w:val="000000"/>
        </w:rPr>
        <w:t xml:space="preserve">el Recurso de Revisión </w:t>
      </w:r>
      <w:r w:rsidRPr="00B54C27">
        <w:rPr>
          <w:rFonts w:ascii="Palatino Linotype" w:eastAsia="Palatino Linotype" w:hAnsi="Palatino Linotype" w:cs="Palatino Linotype"/>
          <w:b/>
          <w:color w:val="000000"/>
        </w:rPr>
        <w:t>01793/INFOEM/IP/RR/2024</w:t>
      </w:r>
      <w:r w:rsidRPr="00B54C27">
        <w:rPr>
          <w:rFonts w:ascii="Palatino Linotype" w:eastAsia="Palatino Linotype" w:hAnsi="Palatino Linotype" w:cs="Palatino Linotype"/>
          <w:color w:val="000000"/>
        </w:rPr>
        <w:t xml:space="preserve">, promovido por </w:t>
      </w:r>
      <w:r w:rsidR="00B54C27" w:rsidRPr="00B54C27">
        <w:rPr>
          <w:rFonts w:ascii="Palatino Linotype" w:eastAsia="Palatino Linotype" w:hAnsi="Palatino Linotype" w:cs="Palatino Linotype"/>
          <w:b/>
        </w:rPr>
        <w:t xml:space="preserve">XXXX XXXXX </w:t>
      </w:r>
      <w:proofErr w:type="spellStart"/>
      <w:r w:rsidR="00B54C27" w:rsidRPr="00B54C27">
        <w:rPr>
          <w:rFonts w:ascii="Palatino Linotype" w:eastAsia="Palatino Linotype" w:hAnsi="Palatino Linotype" w:cs="Palatino Linotype"/>
          <w:b/>
        </w:rPr>
        <w:t>XXXXX</w:t>
      </w:r>
      <w:proofErr w:type="spellEnd"/>
      <w:r w:rsidRPr="00B54C27">
        <w:rPr>
          <w:rFonts w:ascii="Palatino Linotype" w:eastAsia="Palatino Linotype" w:hAnsi="Palatino Linotype" w:cs="Palatino Linotype"/>
          <w:b/>
        </w:rPr>
        <w:t xml:space="preserve">,  </w:t>
      </w:r>
      <w:r w:rsidRPr="00B54C27">
        <w:rPr>
          <w:rFonts w:ascii="Palatino Linotype" w:eastAsia="Palatino Linotype" w:hAnsi="Palatino Linotype" w:cs="Palatino Linotype"/>
        </w:rPr>
        <w:t xml:space="preserve">en lo sucesivo se denominará  </w:t>
      </w:r>
      <w:r w:rsidRPr="00B54C27">
        <w:rPr>
          <w:rFonts w:ascii="Palatino Linotype" w:eastAsia="Palatino Linotype" w:hAnsi="Palatino Linotype" w:cs="Palatino Linotype"/>
          <w:b/>
        </w:rPr>
        <w:t>EL RECURRENTE</w:t>
      </w:r>
      <w:r w:rsidRPr="00B54C27">
        <w:rPr>
          <w:rFonts w:ascii="Palatino Linotype" w:eastAsia="Palatino Linotype" w:hAnsi="Palatino Linotype" w:cs="Palatino Linotype"/>
        </w:rPr>
        <w:t xml:space="preserve">, en contra de la respuesta otorgada a la solicitud de información </w:t>
      </w:r>
      <w:r w:rsidRPr="00B54C27">
        <w:rPr>
          <w:rFonts w:ascii="Palatino Linotype" w:eastAsia="Palatino Linotype" w:hAnsi="Palatino Linotype" w:cs="Palatino Linotype"/>
          <w:b/>
        </w:rPr>
        <w:t>00116/HUIXQUIL/IP/2024</w:t>
      </w:r>
      <w:r w:rsidRPr="00B54C27">
        <w:rPr>
          <w:rFonts w:ascii="Palatino Linotype" w:eastAsia="Palatino Linotype" w:hAnsi="Palatino Linotype" w:cs="Palatino Linotype"/>
        </w:rPr>
        <w:t xml:space="preserve">, por parte del </w:t>
      </w:r>
      <w:r w:rsidRPr="00B54C27">
        <w:rPr>
          <w:rFonts w:ascii="Palatino Linotype" w:eastAsia="Palatino Linotype" w:hAnsi="Palatino Linotype" w:cs="Palatino Linotype"/>
          <w:b/>
        </w:rPr>
        <w:t xml:space="preserve">Ayuntamiento de Huixquilucan, </w:t>
      </w:r>
      <w:r w:rsidRPr="00B54C27">
        <w:rPr>
          <w:rFonts w:ascii="Palatino Linotype" w:eastAsia="Palatino Linotype" w:hAnsi="Palatino Linotype" w:cs="Palatino Linotype"/>
        </w:rPr>
        <w:t xml:space="preserve">en adelante el </w:t>
      </w:r>
      <w:r w:rsidRPr="00B54C27">
        <w:rPr>
          <w:rFonts w:ascii="Palatino Linotype" w:eastAsia="Palatino Linotype" w:hAnsi="Palatino Linotype" w:cs="Palatino Linotype"/>
          <w:b/>
        </w:rPr>
        <w:t>Sujeto Obligado</w:t>
      </w:r>
      <w:r w:rsidRPr="00B54C27">
        <w:rPr>
          <w:rFonts w:ascii="Palatino Linotype" w:eastAsia="Palatino Linotype" w:hAnsi="Palatino Linotype" w:cs="Palatino Linotype"/>
        </w:rPr>
        <w:t>; se emite la presente resolución con base en los siguientes:</w:t>
      </w:r>
    </w:p>
    <w:p w14:paraId="5B796BCA" w14:textId="77777777" w:rsidR="00372BC6" w:rsidRPr="00B54C27" w:rsidRDefault="00372BC6">
      <w:pPr>
        <w:spacing w:line="360" w:lineRule="auto"/>
        <w:ind w:right="-787"/>
        <w:jc w:val="both"/>
        <w:rPr>
          <w:rFonts w:ascii="Palatino Linotype" w:eastAsia="Palatino Linotype" w:hAnsi="Palatino Linotype" w:cs="Palatino Linotype"/>
        </w:rPr>
      </w:pPr>
    </w:p>
    <w:p w14:paraId="5C291D3E" w14:textId="77777777" w:rsidR="00372BC6" w:rsidRPr="00B54C27" w:rsidRDefault="00A969C3">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B54C27">
        <w:rPr>
          <w:rFonts w:ascii="Palatino Linotype" w:eastAsia="Palatino Linotype" w:hAnsi="Palatino Linotype" w:cs="Palatino Linotype"/>
          <w:b/>
          <w:color w:val="000000"/>
          <w:sz w:val="24"/>
          <w:szCs w:val="24"/>
        </w:rPr>
        <w:t>A N T E C E D E N T E S</w:t>
      </w:r>
    </w:p>
    <w:p w14:paraId="3053ACD7" w14:textId="77777777" w:rsidR="00372BC6" w:rsidRPr="00B54C27" w:rsidRDefault="00372BC6">
      <w:pPr>
        <w:pBdr>
          <w:top w:val="nil"/>
          <w:left w:val="nil"/>
          <w:bottom w:val="nil"/>
          <w:right w:val="nil"/>
          <w:between w:val="nil"/>
        </w:pBdr>
        <w:spacing w:line="360" w:lineRule="auto"/>
        <w:ind w:left="720" w:right="-787"/>
        <w:jc w:val="both"/>
        <w:rPr>
          <w:rFonts w:ascii="Palatino Linotype" w:eastAsia="Palatino Linotype" w:hAnsi="Palatino Linotype" w:cs="Palatino Linotype"/>
          <w:b/>
          <w:color w:val="000000"/>
          <w:u w:val="single"/>
        </w:rPr>
      </w:pPr>
    </w:p>
    <w:p w14:paraId="151A7B5D" w14:textId="77777777" w:rsidR="00372BC6" w:rsidRPr="00B54C27" w:rsidRDefault="00A969C3">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B54C27">
        <w:rPr>
          <w:rFonts w:ascii="Palatino Linotype" w:eastAsia="Palatino Linotype" w:hAnsi="Palatino Linotype" w:cs="Palatino Linotype"/>
          <w:color w:val="000000"/>
        </w:rPr>
        <w:t xml:space="preserve">El </w:t>
      </w:r>
      <w:r w:rsidRPr="00B54C27">
        <w:rPr>
          <w:rFonts w:ascii="Palatino Linotype" w:eastAsia="Palatino Linotype" w:hAnsi="Palatino Linotype" w:cs="Palatino Linotype"/>
          <w:b/>
          <w:color w:val="000000"/>
        </w:rPr>
        <w:t>dos de abril de dos mil veinticuatro</w:t>
      </w:r>
      <w:r w:rsidRPr="00B54C27">
        <w:rPr>
          <w:rFonts w:ascii="Palatino Linotype" w:eastAsia="Palatino Linotype" w:hAnsi="Palatino Linotype" w:cs="Palatino Linotype"/>
          <w:color w:val="000000"/>
        </w:rPr>
        <w:t>,</w:t>
      </w:r>
      <w:r w:rsidRPr="00B54C27">
        <w:rPr>
          <w:rFonts w:ascii="Palatino Linotype" w:eastAsia="Palatino Linotype" w:hAnsi="Palatino Linotype" w:cs="Palatino Linotype"/>
          <w:b/>
          <w:color w:val="000000"/>
        </w:rPr>
        <w:t xml:space="preserve"> </w:t>
      </w:r>
      <w:r w:rsidRPr="00B54C27">
        <w:rPr>
          <w:rFonts w:ascii="Palatino Linotype" w:eastAsia="Palatino Linotype" w:hAnsi="Palatino Linotype" w:cs="Palatino Linotype"/>
          <w:color w:val="000000"/>
        </w:rPr>
        <w:t>se presentó ante el Sujeto Obligado a través de la Plataforma Nacional de Transparencia (PNT), misma que se encuentra vinculada con el Sistema de Acceso a la Información Mexiquense (SAIMEX), la siguiente solicitud de información pública:</w:t>
      </w:r>
    </w:p>
    <w:p w14:paraId="33FB6EA9" w14:textId="77777777" w:rsidR="00372BC6" w:rsidRPr="00B54C27" w:rsidRDefault="00372BC6">
      <w:pPr>
        <w:pBdr>
          <w:top w:val="nil"/>
          <w:left w:val="nil"/>
          <w:bottom w:val="nil"/>
          <w:right w:val="nil"/>
          <w:between w:val="nil"/>
        </w:pBdr>
        <w:ind w:right="-787"/>
        <w:jc w:val="both"/>
        <w:rPr>
          <w:rFonts w:ascii="Palatino Linotype" w:eastAsia="Palatino Linotype" w:hAnsi="Palatino Linotype" w:cs="Palatino Linotype"/>
          <w:color w:val="000000"/>
        </w:rPr>
      </w:pPr>
    </w:p>
    <w:p w14:paraId="4FD114FF" w14:textId="77777777" w:rsidR="00372BC6" w:rsidRPr="00B54C27" w:rsidRDefault="00A969C3">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B54C27">
        <w:rPr>
          <w:rFonts w:ascii="Palatino Linotype" w:eastAsia="Palatino Linotype" w:hAnsi="Palatino Linotype" w:cs="Palatino Linotype"/>
          <w:i/>
          <w:color w:val="000000"/>
        </w:rPr>
        <w:t xml:space="preserve">“Derivado de la celebración del Convenio Amistoso para la preposición y reconocimiento de los límites territoriales que celebraron el Estado de México y el entonces Distrito Federal (hoy Ciudad de México), por medio de la presente se solicita la siguiente información: 1.- Copia del Convenio de Bases Administrativas que celebraron el Estado de México y el entonces Distrito Federal (hoy Ciudad de México) para conceder el uso del Deportivo “Año Internacional de la Mujer” también identificado como el “Cacalote” en favor de la entonces Delegación Cuajimalpa 2.- En caso de existir, proporcione documento, convenio, adendum o cualquier otra denominación o figura, mediante el cual se hubiera modificado o actualizado de manera parcial o total el contenido del convenio descrito en el numeral 1 de esta solicitud. 3.- Copia del Plan de Protección Civil con el </w:t>
      </w:r>
      <w:r w:rsidRPr="00B54C27">
        <w:rPr>
          <w:rFonts w:ascii="Palatino Linotype" w:eastAsia="Palatino Linotype" w:hAnsi="Palatino Linotype" w:cs="Palatino Linotype"/>
          <w:i/>
          <w:color w:val="000000"/>
        </w:rPr>
        <w:lastRenderedPageBreak/>
        <w:t>que cuenta el Deportivo. 4.- Proporcione documento que describan las áreas y superficies con las que cuenta el Deportivo “Año Internacional de la Mujer” también identificado como el “Cacalote”. 5.- Indique las medidas de control sanitario, higiene, seguridad, cumplimiento ambiental, acondicionamiento para personas minusválidas, aforo, servicios y seguros con los que cuentan las instalaciones. 6.- Precise si las instalaciones del Deportivo “identificado como el “Cacalote” cuenta con elementos para disuadir o prevenir la comisión de actividades o actos ilícitos (elementos de seguridad, cámaras de vigilancia, protecciones físicas). 7.- Indique si el Centro Deportivo “El Cacalote” cuenta con un área que brinde servicios médicos o de primeros auxilios, en caso de ser afirmativo especificar el nivel de atención clínica que pueden brindar. 8.- Precise que actividades que se desarrollan dentro del Deportivo se encuentra concesionada y valor económico que representan estas según el caso. En caso de existir concesiones, proporcione copia de los contratos o documentos de las mismas. 9.- Proporcione las Estadística de visitantes, afluencia, ingresos y egresos que ha tenido el Centro Deportivo “El Cacalote” durante el periodo de Enero de 2019 al 01 de Abril de 2024. 10.- Facilite copia del aviso o licencia de funcionamiento bajo la cual el Deportivo “identificado como el “Cacalote” opera actualmente. 11.- Copia de los Estudios de Impacto ambiental y vial con los que cuenta el Deportivo.” (Sic)</w:t>
      </w:r>
    </w:p>
    <w:p w14:paraId="231F5F0B" w14:textId="77777777" w:rsidR="00372BC6" w:rsidRPr="00B54C27" w:rsidRDefault="00372BC6">
      <w:pPr>
        <w:spacing w:line="360" w:lineRule="auto"/>
        <w:ind w:right="-787"/>
        <w:jc w:val="both"/>
        <w:rPr>
          <w:rFonts w:ascii="Palatino Linotype" w:eastAsia="Palatino Linotype" w:hAnsi="Palatino Linotype" w:cs="Palatino Linotype"/>
        </w:rPr>
      </w:pPr>
    </w:p>
    <w:p w14:paraId="058DEBC3" w14:textId="77777777" w:rsidR="00372BC6" w:rsidRPr="00B54C27" w:rsidRDefault="00A969C3">
      <w:pPr>
        <w:numPr>
          <w:ilvl w:val="0"/>
          <w:numId w:val="7"/>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B54C27">
        <w:rPr>
          <w:rFonts w:ascii="Palatino Linotype" w:eastAsia="Palatino Linotype" w:hAnsi="Palatino Linotype" w:cs="Palatino Linotype"/>
          <w:color w:val="000000"/>
        </w:rPr>
        <w:t xml:space="preserve">Se eligió como modalidad de entrega de la información: A través del </w:t>
      </w:r>
      <w:r w:rsidRPr="00B54C27">
        <w:rPr>
          <w:rFonts w:ascii="Palatino Linotype" w:eastAsia="Palatino Linotype" w:hAnsi="Palatino Linotype" w:cs="Palatino Linotype"/>
          <w:b/>
          <w:color w:val="000000"/>
        </w:rPr>
        <w:t>SAIMEX.</w:t>
      </w:r>
    </w:p>
    <w:p w14:paraId="309A453F" w14:textId="77777777" w:rsidR="00372BC6" w:rsidRPr="00B54C27" w:rsidRDefault="00372BC6">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p>
    <w:p w14:paraId="295F5E93" w14:textId="77777777" w:rsidR="00372BC6" w:rsidRPr="00B54C27" w:rsidRDefault="00A969C3">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B54C27">
        <w:rPr>
          <w:rFonts w:ascii="Palatino Linotype" w:eastAsia="Palatino Linotype" w:hAnsi="Palatino Linotype" w:cs="Palatino Linotype"/>
          <w:color w:val="000000"/>
        </w:rPr>
        <w:t>El</w:t>
      </w:r>
      <w:r w:rsidRPr="00B54C27">
        <w:rPr>
          <w:rFonts w:ascii="Palatino Linotype" w:eastAsia="Palatino Linotype" w:hAnsi="Palatino Linotype" w:cs="Palatino Linotype"/>
          <w:b/>
          <w:color w:val="000000"/>
        </w:rPr>
        <w:t xml:space="preserve"> tres de abril de dos mil veinticuatro</w:t>
      </w:r>
      <w:r w:rsidRPr="00B54C27">
        <w:rPr>
          <w:rFonts w:ascii="Palatino Linotype" w:eastAsia="Palatino Linotype" w:hAnsi="Palatino Linotype" w:cs="Palatino Linotype"/>
          <w:color w:val="000000"/>
        </w:rPr>
        <w:t>, el Sujeto Obligado</w:t>
      </w:r>
      <w:r w:rsidRPr="00B54C27">
        <w:rPr>
          <w:rFonts w:ascii="Palatino Linotype" w:eastAsia="Palatino Linotype" w:hAnsi="Palatino Linotype" w:cs="Palatino Linotype"/>
          <w:b/>
          <w:color w:val="000000"/>
        </w:rPr>
        <w:t>,</w:t>
      </w:r>
      <w:r w:rsidRPr="00B54C27">
        <w:rPr>
          <w:rFonts w:ascii="Palatino Linotype" w:eastAsia="Palatino Linotype" w:hAnsi="Palatino Linotype" w:cs="Palatino Linotype"/>
          <w:color w:val="000000"/>
        </w:rPr>
        <w:t xml:space="preserve"> notifica una incompetencia a través del archivo siguiente:</w:t>
      </w:r>
    </w:p>
    <w:p w14:paraId="4ABBFB54" w14:textId="77777777" w:rsidR="00372BC6" w:rsidRPr="00B54C27" w:rsidRDefault="00A969C3">
      <w:pPr>
        <w:pBdr>
          <w:top w:val="nil"/>
          <w:left w:val="nil"/>
          <w:bottom w:val="nil"/>
          <w:right w:val="nil"/>
          <w:between w:val="nil"/>
        </w:pBdr>
        <w:tabs>
          <w:tab w:val="left" w:pos="567"/>
        </w:tabs>
        <w:ind w:left="567" w:right="-220"/>
        <w:jc w:val="both"/>
        <w:rPr>
          <w:rFonts w:ascii="Palatino Linotype" w:eastAsia="Palatino Linotype" w:hAnsi="Palatino Linotype" w:cs="Palatino Linotype"/>
          <w:b/>
          <w:i/>
          <w:color w:val="000000"/>
          <w:sz w:val="22"/>
          <w:szCs w:val="22"/>
        </w:rPr>
      </w:pPr>
      <w:r w:rsidRPr="00B54C27">
        <w:rPr>
          <w:rFonts w:ascii="Palatino Linotype" w:eastAsia="Palatino Linotype" w:hAnsi="Palatino Linotype" w:cs="Palatino Linotype"/>
          <w:b/>
          <w:i/>
          <w:color w:val="000000"/>
          <w:sz w:val="22"/>
          <w:szCs w:val="22"/>
        </w:rPr>
        <w:t>INCOMPETENCIA 116 .</w:t>
      </w:r>
      <w:proofErr w:type="spellStart"/>
      <w:r w:rsidRPr="00B54C27">
        <w:rPr>
          <w:rFonts w:ascii="Palatino Linotype" w:eastAsia="Palatino Linotype" w:hAnsi="Palatino Linotype" w:cs="Palatino Linotype"/>
          <w:b/>
          <w:i/>
          <w:color w:val="000000"/>
          <w:sz w:val="22"/>
          <w:szCs w:val="22"/>
        </w:rPr>
        <w:t>pdf</w:t>
      </w:r>
      <w:proofErr w:type="spellEnd"/>
    </w:p>
    <w:p w14:paraId="28A59BC3" w14:textId="77777777" w:rsidR="00372BC6" w:rsidRPr="00B54C27" w:rsidRDefault="00A969C3">
      <w:pPr>
        <w:pBdr>
          <w:top w:val="nil"/>
          <w:left w:val="nil"/>
          <w:bottom w:val="nil"/>
          <w:right w:val="nil"/>
          <w:between w:val="nil"/>
        </w:pBdr>
        <w:tabs>
          <w:tab w:val="left" w:pos="567"/>
        </w:tabs>
        <w:ind w:left="567" w:right="-220"/>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Escrito del Titular de la unidad de transparencia en el que informa que el Sujeto Obligado es incompetente para dar respuesta y atender la solicitud de información, fundamentando este argumento en el artículo 167 de la Ley de Transparencia Local, y sugiriendo al solicitante remitir la solicitud de información a la Alcaldía de Cuajimalpa Morelos, ya que son ellos los generadores y poseedores de la información solicitada.</w:t>
      </w:r>
    </w:p>
    <w:p w14:paraId="74553DEF" w14:textId="77777777" w:rsidR="00372BC6" w:rsidRPr="00B54C27" w:rsidRDefault="00372BC6">
      <w:pPr>
        <w:pBdr>
          <w:top w:val="nil"/>
          <w:left w:val="nil"/>
          <w:bottom w:val="nil"/>
          <w:right w:val="nil"/>
          <w:between w:val="nil"/>
        </w:pBdr>
        <w:tabs>
          <w:tab w:val="left" w:pos="567"/>
        </w:tabs>
        <w:ind w:left="567" w:right="-787"/>
        <w:jc w:val="both"/>
        <w:rPr>
          <w:rFonts w:ascii="Palatino Linotype" w:eastAsia="Palatino Linotype" w:hAnsi="Palatino Linotype" w:cs="Palatino Linotype"/>
          <w:color w:val="000000"/>
        </w:rPr>
      </w:pPr>
    </w:p>
    <w:p w14:paraId="0535FF93" w14:textId="77777777" w:rsidR="00372BC6" w:rsidRPr="00B54C27" w:rsidRDefault="00A969C3">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B54C27">
        <w:rPr>
          <w:rFonts w:ascii="Palatino Linotype" w:eastAsia="Palatino Linotype" w:hAnsi="Palatino Linotype" w:cs="Palatino Linotype"/>
          <w:color w:val="000000"/>
        </w:rPr>
        <w:t>El</w:t>
      </w:r>
      <w:r w:rsidRPr="00B54C27">
        <w:rPr>
          <w:rFonts w:ascii="Palatino Linotype" w:eastAsia="Palatino Linotype" w:hAnsi="Palatino Linotype" w:cs="Palatino Linotype"/>
          <w:b/>
          <w:color w:val="000000"/>
        </w:rPr>
        <w:t xml:space="preserve"> ocho de abril de dos mil veinticuatro</w:t>
      </w:r>
      <w:r w:rsidRPr="00B54C27">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14:paraId="039A66B9" w14:textId="77777777" w:rsidR="00372BC6" w:rsidRPr="00B54C27" w:rsidRDefault="00A969C3">
      <w:pPr>
        <w:numPr>
          <w:ilvl w:val="0"/>
          <w:numId w:val="6"/>
        </w:numPr>
        <w:pBdr>
          <w:top w:val="nil"/>
          <w:left w:val="nil"/>
          <w:bottom w:val="nil"/>
          <w:right w:val="nil"/>
          <w:between w:val="nil"/>
        </w:pBdr>
        <w:ind w:right="-220"/>
        <w:jc w:val="both"/>
        <w:rPr>
          <w:rFonts w:ascii="Palatino Linotype" w:eastAsia="Palatino Linotype" w:hAnsi="Palatino Linotype" w:cs="Palatino Linotype"/>
          <w:i/>
          <w:color w:val="000000"/>
          <w:sz w:val="22"/>
          <w:szCs w:val="22"/>
        </w:rPr>
      </w:pPr>
      <w:bookmarkStart w:id="1" w:name="_heading=h.30j0zll" w:colFirst="0" w:colLast="0"/>
      <w:bookmarkEnd w:id="1"/>
      <w:r w:rsidRPr="00B54C27">
        <w:rPr>
          <w:rFonts w:ascii="Palatino Linotype" w:eastAsia="Palatino Linotype" w:hAnsi="Palatino Linotype" w:cs="Palatino Linotype"/>
          <w:b/>
          <w:color w:val="000000"/>
          <w:sz w:val="22"/>
          <w:szCs w:val="22"/>
        </w:rPr>
        <w:lastRenderedPageBreak/>
        <w:t xml:space="preserve">Acto impugnado: </w:t>
      </w:r>
    </w:p>
    <w:p w14:paraId="55638326" w14:textId="77777777" w:rsidR="00372BC6" w:rsidRPr="00B54C27" w:rsidRDefault="00A969C3">
      <w:pPr>
        <w:pBdr>
          <w:top w:val="nil"/>
          <w:left w:val="nil"/>
          <w:bottom w:val="nil"/>
          <w:right w:val="nil"/>
          <w:between w:val="nil"/>
        </w:pBdr>
        <w:ind w:left="1429"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t xml:space="preserve">“Si bien es cierto la operación del Deportivo corresponde a la Alcaldía de Cuajimalpa de Morelos, el Municipio de Huixquilucan no debe desconocer la suscripción del convenio de Bases Administrativas que sirve como regulación para la operación del Deportivo, toda vez que esta entidad es una de las partes que intervienen y en consecuencia tiene conocimiento y cuenta con el documento y en su caso las actualizaciones o modificaciones al mismo, las cuales se encuentran referidas en los en los numerales 1 y 2 de la solicitud. Por lo anterior se reitera la solicitud a fin de que se proporciones respuesta a dichos cuestionamiento, </w:t>
      </w:r>
      <w:proofErr w:type="spellStart"/>
      <w:r w:rsidRPr="00B54C27">
        <w:rPr>
          <w:rFonts w:ascii="Palatino Linotype" w:eastAsia="Palatino Linotype" w:hAnsi="Palatino Linotype" w:cs="Palatino Linotype"/>
          <w:i/>
          <w:color w:val="000000"/>
          <w:sz w:val="22"/>
          <w:szCs w:val="22"/>
        </w:rPr>
        <w:t>asi</w:t>
      </w:r>
      <w:proofErr w:type="spellEnd"/>
      <w:r w:rsidRPr="00B54C27">
        <w:rPr>
          <w:rFonts w:ascii="Palatino Linotype" w:eastAsia="Palatino Linotype" w:hAnsi="Palatino Linotype" w:cs="Palatino Linotype"/>
          <w:i/>
          <w:color w:val="000000"/>
          <w:sz w:val="22"/>
          <w:szCs w:val="22"/>
        </w:rPr>
        <w:t xml:space="preserve"> como la copia digital de estos documentos.” (Sic)</w:t>
      </w:r>
    </w:p>
    <w:p w14:paraId="65AB2EA1" w14:textId="77777777" w:rsidR="00372BC6" w:rsidRPr="00B54C27" w:rsidRDefault="00372BC6">
      <w:pPr>
        <w:pBdr>
          <w:top w:val="nil"/>
          <w:left w:val="nil"/>
          <w:bottom w:val="nil"/>
          <w:right w:val="nil"/>
          <w:between w:val="nil"/>
        </w:pBdr>
        <w:ind w:left="1429" w:right="-220"/>
        <w:jc w:val="both"/>
        <w:rPr>
          <w:rFonts w:ascii="Palatino Linotype" w:eastAsia="Palatino Linotype" w:hAnsi="Palatino Linotype" w:cs="Palatino Linotype"/>
          <w:i/>
          <w:color w:val="000000"/>
          <w:sz w:val="22"/>
          <w:szCs w:val="22"/>
        </w:rPr>
      </w:pPr>
    </w:p>
    <w:p w14:paraId="7328D0EB" w14:textId="77777777" w:rsidR="00372BC6" w:rsidRPr="00B54C27" w:rsidRDefault="00A969C3">
      <w:pPr>
        <w:numPr>
          <w:ilvl w:val="0"/>
          <w:numId w:val="6"/>
        </w:numPr>
        <w:pBdr>
          <w:top w:val="nil"/>
          <w:left w:val="nil"/>
          <w:bottom w:val="nil"/>
          <w:right w:val="nil"/>
          <w:between w:val="nil"/>
        </w:pBdr>
        <w:ind w:right="-220"/>
        <w:jc w:val="both"/>
        <w:rPr>
          <w:rFonts w:ascii="Palatino Linotype" w:eastAsia="Palatino Linotype" w:hAnsi="Palatino Linotype" w:cs="Palatino Linotype"/>
          <w:i/>
          <w:color w:val="000000"/>
          <w:sz w:val="22"/>
          <w:szCs w:val="22"/>
        </w:rPr>
      </w:pPr>
      <w:bookmarkStart w:id="2" w:name="_heading=h.1fob9te" w:colFirst="0" w:colLast="0"/>
      <w:bookmarkEnd w:id="2"/>
      <w:r w:rsidRPr="00B54C27">
        <w:rPr>
          <w:rFonts w:ascii="Palatino Linotype" w:eastAsia="Palatino Linotype" w:hAnsi="Palatino Linotype" w:cs="Palatino Linotype"/>
          <w:b/>
          <w:color w:val="000000"/>
          <w:sz w:val="22"/>
          <w:szCs w:val="22"/>
        </w:rPr>
        <w:t>Razones o Motivos de inconformidad:</w:t>
      </w:r>
    </w:p>
    <w:p w14:paraId="7FE3BFED" w14:textId="77777777" w:rsidR="00372BC6" w:rsidRPr="00B54C27" w:rsidRDefault="00372BC6">
      <w:pPr>
        <w:pBdr>
          <w:top w:val="nil"/>
          <w:left w:val="nil"/>
          <w:bottom w:val="nil"/>
          <w:right w:val="nil"/>
          <w:between w:val="nil"/>
        </w:pBdr>
        <w:ind w:right="-220"/>
        <w:jc w:val="both"/>
        <w:rPr>
          <w:rFonts w:ascii="Palatino Linotype" w:eastAsia="Palatino Linotype" w:hAnsi="Palatino Linotype" w:cs="Palatino Linotype"/>
          <w:i/>
          <w:color w:val="000000"/>
          <w:sz w:val="22"/>
          <w:szCs w:val="22"/>
        </w:rPr>
      </w:pPr>
    </w:p>
    <w:p w14:paraId="5F46F157" w14:textId="77777777" w:rsidR="00372BC6" w:rsidRPr="00B54C27" w:rsidRDefault="00A969C3">
      <w:pPr>
        <w:pBdr>
          <w:top w:val="nil"/>
          <w:left w:val="nil"/>
          <w:bottom w:val="nil"/>
          <w:right w:val="nil"/>
          <w:between w:val="nil"/>
        </w:pBdr>
        <w:ind w:right="-220"/>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 xml:space="preserve">El recurrente adjunta el archivo digital </w:t>
      </w:r>
      <w:r w:rsidRPr="00B54C27">
        <w:rPr>
          <w:rFonts w:ascii="Palatino Linotype" w:eastAsia="Palatino Linotype" w:hAnsi="Palatino Linotype" w:cs="Palatino Linotype"/>
          <w:b/>
          <w:i/>
          <w:color w:val="000000"/>
          <w:sz w:val="22"/>
          <w:szCs w:val="22"/>
        </w:rPr>
        <w:t>Archivo1712597770470null</w:t>
      </w:r>
      <w:r w:rsidRPr="00B54C27">
        <w:rPr>
          <w:rFonts w:ascii="Palatino Linotype" w:eastAsia="Palatino Linotype" w:hAnsi="Palatino Linotype" w:cs="Palatino Linotype"/>
          <w:color w:val="000000"/>
          <w:sz w:val="22"/>
          <w:szCs w:val="22"/>
        </w:rPr>
        <w:t xml:space="preserve"> mismo que no es posible visualizar. </w:t>
      </w:r>
    </w:p>
    <w:p w14:paraId="3FA57564" w14:textId="77777777" w:rsidR="00372BC6" w:rsidRPr="00B54C27" w:rsidRDefault="00372BC6">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49954E8D" w14:textId="77777777" w:rsidR="00372BC6" w:rsidRPr="00B54C27" w:rsidRDefault="00A969C3">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B54C27">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B54C27">
        <w:rPr>
          <w:rFonts w:ascii="Palatino Linotype" w:eastAsia="Palatino Linotype" w:hAnsi="Palatino Linotype" w:cs="Palatino Linotype"/>
          <w:b/>
          <w:color w:val="000000"/>
        </w:rPr>
        <w:t xml:space="preserve">acuerdo de admisión </w:t>
      </w:r>
      <w:r w:rsidRPr="00B54C27">
        <w:rPr>
          <w:rFonts w:ascii="Palatino Linotype" w:eastAsia="Palatino Linotype" w:hAnsi="Palatino Linotype" w:cs="Palatino Linotype"/>
          <w:color w:val="000000"/>
        </w:rPr>
        <w:t xml:space="preserve">de fecha </w:t>
      </w:r>
      <w:r w:rsidRPr="00B54C27">
        <w:rPr>
          <w:rFonts w:ascii="Palatino Linotype" w:eastAsia="Palatino Linotype" w:hAnsi="Palatino Linotype" w:cs="Palatino Linotype"/>
          <w:b/>
          <w:color w:val="000000"/>
        </w:rPr>
        <w:t xml:space="preserve">once de abril de dos mil veinticuatro, </w:t>
      </w:r>
      <w:r w:rsidRPr="00B54C27">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B54C27">
        <w:rPr>
          <w:rFonts w:ascii="Palatino Linotype" w:eastAsia="Palatino Linotype" w:hAnsi="Palatino Linotype" w:cs="Palatino Linotype"/>
        </w:rPr>
        <w:t>manifestara</w:t>
      </w:r>
      <w:r w:rsidRPr="00B54C27">
        <w:rPr>
          <w:rFonts w:ascii="Palatino Linotype" w:eastAsia="Palatino Linotype" w:hAnsi="Palatino Linotype" w:cs="Palatino Linotype"/>
          <w:color w:val="000000"/>
        </w:rPr>
        <w:t xml:space="preserve"> lo que a su derecho conviniera, </w:t>
      </w:r>
      <w:r w:rsidRPr="00B54C27">
        <w:rPr>
          <w:rFonts w:ascii="Palatino Linotype" w:eastAsia="Palatino Linotype" w:hAnsi="Palatino Linotype" w:cs="Palatino Linotype"/>
        </w:rPr>
        <w:t>ofreciera</w:t>
      </w:r>
      <w:r w:rsidRPr="00B54C27">
        <w:rPr>
          <w:rFonts w:ascii="Palatino Linotype" w:eastAsia="Palatino Linotype" w:hAnsi="Palatino Linotype" w:cs="Palatino Linotype"/>
          <w:color w:val="000000"/>
        </w:rPr>
        <w:t xml:space="preserve"> pruebas y alegatos según corresponda al caso concreto, de esta forma para que el </w:t>
      </w:r>
      <w:r w:rsidRPr="00B54C27">
        <w:rPr>
          <w:rFonts w:ascii="Palatino Linotype" w:eastAsia="Palatino Linotype" w:hAnsi="Palatino Linotype" w:cs="Palatino Linotype"/>
          <w:b/>
          <w:color w:val="000000"/>
        </w:rPr>
        <w:t xml:space="preserve">SUJETO OBLIGADO </w:t>
      </w:r>
      <w:r w:rsidRPr="00B54C27">
        <w:rPr>
          <w:rFonts w:ascii="Palatino Linotype" w:eastAsia="Palatino Linotype" w:hAnsi="Palatino Linotype" w:cs="Palatino Linotype"/>
        </w:rPr>
        <w:t>presentará</w:t>
      </w:r>
      <w:r w:rsidRPr="00B54C27">
        <w:rPr>
          <w:rFonts w:ascii="Palatino Linotype" w:eastAsia="Palatino Linotype" w:hAnsi="Palatino Linotype" w:cs="Palatino Linotype"/>
          <w:color w:val="000000"/>
        </w:rPr>
        <w:t xml:space="preserve"> el Informe Justificado procedente.</w:t>
      </w:r>
    </w:p>
    <w:p w14:paraId="7FF34D29" w14:textId="77777777" w:rsidR="00372BC6" w:rsidRPr="00B54C27" w:rsidRDefault="00372BC6">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14:paraId="33E42B36"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color w:val="000000"/>
        </w:rPr>
        <w:t>El Recurrente</w:t>
      </w:r>
      <w:r w:rsidRPr="00B54C27">
        <w:rPr>
          <w:rFonts w:ascii="Palatino Linotype" w:eastAsia="Palatino Linotype" w:hAnsi="Palatino Linotype" w:cs="Palatino Linotype"/>
          <w:b/>
          <w:color w:val="000000"/>
        </w:rPr>
        <w:t xml:space="preserve"> </w:t>
      </w:r>
      <w:r w:rsidRPr="00B54C27">
        <w:rPr>
          <w:rFonts w:ascii="Palatino Linotype" w:eastAsia="Palatino Linotype" w:hAnsi="Palatino Linotype" w:cs="Palatino Linotype"/>
          <w:color w:val="000000"/>
        </w:rPr>
        <w:t>dejó de realizar manifestaciones que a su derecho conviniera y asistiera. Por su parte, el Sujeto Obligado,</w:t>
      </w:r>
      <w:r w:rsidRPr="00B54C27">
        <w:rPr>
          <w:rFonts w:ascii="Palatino Linotype" w:eastAsia="Palatino Linotype" w:hAnsi="Palatino Linotype" w:cs="Palatino Linotype"/>
          <w:b/>
          <w:color w:val="000000"/>
        </w:rPr>
        <w:t xml:space="preserve"> tampoco </w:t>
      </w:r>
      <w:r w:rsidRPr="00B54C27">
        <w:rPr>
          <w:rFonts w:ascii="Palatino Linotype" w:eastAsia="Palatino Linotype" w:hAnsi="Palatino Linotype" w:cs="Palatino Linotype"/>
          <w:color w:val="000000"/>
        </w:rPr>
        <w:t>presentó informe justificado, tal como se aprecia en la siguiente captura de pantalla.</w:t>
      </w:r>
    </w:p>
    <w:p w14:paraId="535A8045" w14:textId="77777777" w:rsidR="00372BC6" w:rsidRPr="00B54C27" w:rsidRDefault="00A969C3">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B54C27">
        <w:rPr>
          <w:rFonts w:ascii="Palatino Linotype" w:eastAsia="Palatino Linotype" w:hAnsi="Palatino Linotype" w:cs="Palatino Linotype"/>
          <w:b/>
          <w:noProof/>
          <w:color w:val="000000"/>
          <w:lang w:val="es-MX" w:eastAsia="es-MX"/>
        </w:rPr>
        <w:drawing>
          <wp:inline distT="0" distB="0" distL="0" distR="0" wp14:anchorId="7414337E" wp14:editId="46086C6C">
            <wp:extent cx="4630423" cy="1189827"/>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630423" cy="1189827"/>
                    </a:xfrm>
                    <a:prstGeom prst="rect">
                      <a:avLst/>
                    </a:prstGeom>
                    <a:ln/>
                  </pic:spPr>
                </pic:pic>
              </a:graphicData>
            </a:graphic>
          </wp:inline>
        </w:drawing>
      </w:r>
    </w:p>
    <w:p w14:paraId="51F7C61C"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color w:val="000000"/>
        </w:rPr>
        <w:lastRenderedPageBreak/>
        <w:t xml:space="preserve">Seguidamente, en fecha </w:t>
      </w:r>
      <w:r w:rsidRPr="00B54C27">
        <w:rPr>
          <w:rFonts w:ascii="Palatino Linotype" w:eastAsia="Palatino Linotype" w:hAnsi="Palatino Linotype" w:cs="Palatino Linotype"/>
          <w:b/>
          <w:color w:val="000000"/>
        </w:rPr>
        <w:t>seis de junio de dos mil veinticuatro</w:t>
      </w:r>
      <w:r w:rsidRPr="00B54C27">
        <w:rPr>
          <w:rFonts w:ascii="Palatino Linotype" w:eastAsia="Palatino Linotype" w:hAnsi="Palatino Linotype" w:cs="Palatino Linotype"/>
          <w:color w:val="000000"/>
        </w:rPr>
        <w:t xml:space="preserve">, la Comisionada Ponente dictó el </w:t>
      </w:r>
      <w:r w:rsidRPr="00B54C27">
        <w:rPr>
          <w:rFonts w:ascii="Palatino Linotype" w:eastAsia="Palatino Linotype" w:hAnsi="Palatino Linotype" w:cs="Palatino Linotype"/>
          <w:b/>
          <w:color w:val="000000"/>
        </w:rPr>
        <w:t>cierre del periodo de instrucción</w:t>
      </w:r>
      <w:r w:rsidRPr="00B54C27">
        <w:rPr>
          <w:rFonts w:ascii="Palatino Linotype" w:eastAsia="Palatino Linotype" w:hAnsi="Palatino Linotype" w:cs="Palatino Linotype"/>
          <w:color w:val="000000"/>
        </w:rPr>
        <w:t xml:space="preserve"> y, ordenó la resolución que conforme a Derecho proceda.</w:t>
      </w:r>
    </w:p>
    <w:p w14:paraId="2978015B" w14:textId="77777777" w:rsidR="00372BC6" w:rsidRPr="00B54C27" w:rsidRDefault="00372BC6">
      <w:pPr>
        <w:pBdr>
          <w:top w:val="nil"/>
          <w:left w:val="nil"/>
          <w:bottom w:val="nil"/>
          <w:right w:val="nil"/>
          <w:between w:val="nil"/>
        </w:pBdr>
        <w:spacing w:line="360" w:lineRule="auto"/>
        <w:ind w:right="-787"/>
        <w:jc w:val="both"/>
        <w:rPr>
          <w:color w:val="000000"/>
        </w:rPr>
      </w:pPr>
    </w:p>
    <w:p w14:paraId="7BD8CA16"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B54C27">
        <w:rPr>
          <w:rFonts w:ascii="Palatino Linotype" w:eastAsia="Palatino Linotype" w:hAnsi="Palatino Linotype" w:cs="Palatino Linotype"/>
          <w:b/>
          <w:color w:val="000000"/>
        </w:rPr>
        <w:t xml:space="preserve"> doce de agosto de dos mil veinticuatro</w:t>
      </w:r>
      <w:r w:rsidRPr="00B54C27">
        <w:rPr>
          <w:rFonts w:ascii="Palatino Linotype" w:eastAsia="Palatino Linotype" w:hAnsi="Palatino Linotype" w:cs="Palatino Linotype"/>
          <w:color w:val="000000"/>
        </w:rPr>
        <w:t xml:space="preserve"> se acordó ampliar el término para resolver el presente asunto.</w:t>
      </w:r>
    </w:p>
    <w:p w14:paraId="46CD9984" w14:textId="77777777" w:rsidR="00372BC6" w:rsidRPr="00B54C27" w:rsidRDefault="00372BC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5887299B"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453F22E" w14:textId="77777777" w:rsidR="00372BC6" w:rsidRPr="00B54C27" w:rsidRDefault="00372BC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337EA481"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C79C1E1" w14:textId="77777777" w:rsidR="00372BC6" w:rsidRPr="00B54C27" w:rsidRDefault="00372BC6">
      <w:pPr>
        <w:pBdr>
          <w:top w:val="nil"/>
          <w:left w:val="nil"/>
          <w:bottom w:val="nil"/>
          <w:right w:val="nil"/>
          <w:between w:val="nil"/>
        </w:pBdr>
        <w:ind w:left="720" w:right="-787"/>
        <w:rPr>
          <w:rFonts w:ascii="Palatino Linotype" w:eastAsia="Palatino Linotype" w:hAnsi="Palatino Linotype" w:cs="Palatino Linotype"/>
          <w:color w:val="000000"/>
        </w:rPr>
      </w:pPr>
    </w:p>
    <w:p w14:paraId="060FA67D"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sidRPr="00B54C27">
        <w:rPr>
          <w:rFonts w:ascii="Palatino Linotype" w:eastAsia="Palatino Linotype" w:hAnsi="Palatino Linotype" w:cs="Palatino Linotype"/>
          <w:color w:val="000000"/>
        </w:rPr>
        <w:lastRenderedPageBreak/>
        <w:t xml:space="preserve">jurisdiccionales o cuasi jurisdiccionales, tanto por la complejidad de los hechos, como por el número de casos que conocen. </w:t>
      </w:r>
    </w:p>
    <w:p w14:paraId="2172C368" w14:textId="77777777" w:rsidR="00372BC6" w:rsidRPr="00B54C27" w:rsidRDefault="00372BC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4ABF36E3"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4A96E98" w14:textId="77777777" w:rsidR="00372BC6" w:rsidRPr="00B54C27" w:rsidRDefault="00A969C3">
      <w:pPr>
        <w:numPr>
          <w:ilvl w:val="0"/>
          <w:numId w:val="8"/>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 xml:space="preserve">Complejidad del </w:t>
      </w:r>
      <w:r w:rsidRPr="00B54C27">
        <w:rPr>
          <w:rFonts w:ascii="Palatino Linotype" w:eastAsia="Palatino Linotype" w:hAnsi="Palatino Linotype" w:cs="Palatino Linotype"/>
          <w:sz w:val="22"/>
          <w:szCs w:val="22"/>
        </w:rPr>
        <w:t>asunto</w:t>
      </w:r>
      <w:r w:rsidRPr="00B54C27">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130485AD" w14:textId="77777777" w:rsidR="00372BC6" w:rsidRPr="00B54C27" w:rsidRDefault="00A969C3">
      <w:pPr>
        <w:numPr>
          <w:ilvl w:val="0"/>
          <w:numId w:val="8"/>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Actividad Procesal del interesado. Acciones u omisiones del interesado.</w:t>
      </w:r>
    </w:p>
    <w:p w14:paraId="2F890A20" w14:textId="77777777" w:rsidR="00372BC6" w:rsidRPr="00B54C27" w:rsidRDefault="00A969C3">
      <w:pPr>
        <w:numPr>
          <w:ilvl w:val="0"/>
          <w:numId w:val="8"/>
        </w:numPr>
        <w:pBdr>
          <w:top w:val="nil"/>
          <w:left w:val="nil"/>
          <w:bottom w:val="nil"/>
          <w:right w:val="nil"/>
          <w:between w:val="nil"/>
        </w:pBdr>
        <w:ind w:right="-79"/>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37564405" w14:textId="77777777" w:rsidR="00372BC6" w:rsidRPr="00B54C27" w:rsidRDefault="00A969C3">
      <w:pPr>
        <w:ind w:left="851" w:right="-79" w:hanging="284"/>
        <w:jc w:val="both"/>
        <w:rPr>
          <w:rFonts w:ascii="Palatino Linotype" w:eastAsia="Palatino Linotype" w:hAnsi="Palatino Linotype" w:cs="Palatino Linotype"/>
          <w:sz w:val="22"/>
          <w:szCs w:val="22"/>
        </w:rPr>
      </w:pPr>
      <w:r w:rsidRPr="00B54C27">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037C37DB" w14:textId="77777777" w:rsidR="00372BC6" w:rsidRPr="00B54C27" w:rsidRDefault="00372BC6">
      <w:pPr>
        <w:spacing w:line="360" w:lineRule="auto"/>
        <w:ind w:left="851" w:right="-787" w:hanging="284"/>
        <w:jc w:val="both"/>
        <w:rPr>
          <w:rFonts w:ascii="Palatino Linotype" w:eastAsia="Palatino Linotype" w:hAnsi="Palatino Linotype" w:cs="Palatino Linotype"/>
        </w:rPr>
      </w:pPr>
    </w:p>
    <w:p w14:paraId="4F777D56"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6102F99" w14:textId="77777777" w:rsidR="00372BC6" w:rsidRPr="00B54C27" w:rsidRDefault="00372BC6">
      <w:pPr>
        <w:pBdr>
          <w:top w:val="nil"/>
          <w:left w:val="nil"/>
          <w:bottom w:val="nil"/>
          <w:right w:val="nil"/>
          <w:between w:val="nil"/>
        </w:pBdr>
        <w:spacing w:line="360" w:lineRule="auto"/>
        <w:ind w:right="-787"/>
        <w:jc w:val="both"/>
        <w:rPr>
          <w:color w:val="000000"/>
        </w:rPr>
      </w:pPr>
    </w:p>
    <w:p w14:paraId="25FED4E1"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B54C27">
        <w:rPr>
          <w:rFonts w:ascii="Palatino Linotype" w:eastAsia="Palatino Linotype" w:hAnsi="Palatino Linotype" w:cs="Palatino Linotype"/>
        </w:rPr>
        <w:t>del rubro</w:t>
      </w:r>
      <w:r w:rsidRPr="00B54C27">
        <w:rPr>
          <w:rFonts w:ascii="Palatino Linotype" w:eastAsia="Palatino Linotype" w:hAnsi="Palatino Linotype" w:cs="Palatino Linotype"/>
          <w:color w:val="000000"/>
        </w:rPr>
        <w:t xml:space="preserve"> </w:t>
      </w:r>
      <w:r w:rsidRPr="00B54C27">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B54C27">
        <w:rPr>
          <w:rFonts w:ascii="Palatino Linotype" w:eastAsia="Palatino Linotype" w:hAnsi="Palatino Linotype" w:cs="Palatino Linotype"/>
          <w:color w:val="000000"/>
        </w:rPr>
        <w:t xml:space="preserve">, visible en la Gaceta del </w:t>
      </w:r>
      <w:r w:rsidRPr="00B54C27">
        <w:rPr>
          <w:rFonts w:ascii="Palatino Linotype" w:eastAsia="Palatino Linotype" w:hAnsi="Palatino Linotype" w:cs="Palatino Linotype"/>
        </w:rPr>
        <w:t>Semanario</w:t>
      </w:r>
      <w:r w:rsidRPr="00B54C27">
        <w:rPr>
          <w:rFonts w:ascii="Palatino Linotype" w:eastAsia="Palatino Linotype" w:hAnsi="Palatino Linotype" w:cs="Palatino Linotype"/>
          <w:color w:val="000000"/>
        </w:rPr>
        <w:t xml:space="preserve"> Judicial de la Federación con el registro digital 205635.</w:t>
      </w:r>
    </w:p>
    <w:p w14:paraId="3C397C7A" w14:textId="77777777" w:rsidR="00372BC6" w:rsidRPr="00B54C27" w:rsidRDefault="00372BC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04692BC4"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3" w:name="_heading=h.3znysh7" w:colFirst="0" w:colLast="0"/>
      <w:bookmarkEnd w:id="3"/>
      <w:r w:rsidRPr="00B54C27">
        <w:rPr>
          <w:rFonts w:ascii="Palatino Linotype" w:eastAsia="Palatino Linotype" w:hAnsi="Palatino Linotype" w:cs="Palatino Linotype"/>
          <w:color w:val="000000"/>
        </w:rPr>
        <w:lastRenderedPageBreak/>
        <w:t xml:space="preserve">Seguidamente, en fecha </w:t>
      </w:r>
      <w:r w:rsidRPr="00B54C27">
        <w:rPr>
          <w:rFonts w:ascii="Palatino Linotype" w:eastAsia="Palatino Linotype" w:hAnsi="Palatino Linotype" w:cs="Palatino Linotype"/>
          <w:b/>
          <w:color w:val="000000"/>
        </w:rPr>
        <w:t>veintitrés de enero de dos mil veinticinco</w:t>
      </w:r>
      <w:r w:rsidRPr="00B54C27">
        <w:rPr>
          <w:rFonts w:ascii="Palatino Linotype" w:eastAsia="Palatino Linotype" w:hAnsi="Palatino Linotype" w:cs="Palatino Linotype"/>
          <w:color w:val="000000"/>
        </w:rPr>
        <w:t xml:space="preserve">, la Comisionada Ponente dictó el </w:t>
      </w:r>
      <w:r w:rsidRPr="00B54C27">
        <w:rPr>
          <w:rFonts w:ascii="Palatino Linotype" w:eastAsia="Palatino Linotype" w:hAnsi="Palatino Linotype" w:cs="Palatino Linotype"/>
          <w:b/>
          <w:color w:val="000000"/>
        </w:rPr>
        <w:t>cierre del periodo de instrucción</w:t>
      </w:r>
      <w:r w:rsidRPr="00B54C27">
        <w:rPr>
          <w:rFonts w:ascii="Palatino Linotype" w:eastAsia="Palatino Linotype" w:hAnsi="Palatino Linotype" w:cs="Palatino Linotype"/>
          <w:color w:val="000000"/>
        </w:rPr>
        <w:t xml:space="preserve"> y, ordenó la resolución que conforme a Derecho proceda.</w:t>
      </w:r>
    </w:p>
    <w:p w14:paraId="51C0B0B4" w14:textId="77777777" w:rsidR="00372BC6" w:rsidRPr="00B54C27" w:rsidRDefault="00372BC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6847D390" w14:textId="77777777" w:rsidR="00372BC6" w:rsidRPr="00B54C27" w:rsidRDefault="00A969C3">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C O N S I D E R A C I O N E S</w:t>
      </w:r>
    </w:p>
    <w:p w14:paraId="268C23EA" w14:textId="77777777" w:rsidR="00372BC6" w:rsidRPr="00B54C27" w:rsidRDefault="00372BC6">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14:paraId="694A915C" w14:textId="77777777" w:rsidR="00372BC6" w:rsidRPr="00B54C27" w:rsidRDefault="00A969C3">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sidRPr="00B54C27">
        <w:rPr>
          <w:rFonts w:ascii="Palatino Linotype" w:eastAsia="Palatino Linotype" w:hAnsi="Palatino Linotype" w:cs="Palatino Linotype"/>
          <w:b/>
          <w:color w:val="000000"/>
          <w:sz w:val="24"/>
          <w:szCs w:val="24"/>
        </w:rPr>
        <w:t>PRIMERA. Competencia</w:t>
      </w:r>
    </w:p>
    <w:p w14:paraId="6CB76FF4"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44ED54E" w14:textId="77777777" w:rsidR="00372BC6" w:rsidRPr="00B54C27" w:rsidRDefault="00372BC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6F5A004D" w14:textId="77777777" w:rsidR="00372BC6" w:rsidRPr="00B54C27" w:rsidRDefault="00A969C3">
      <w:pPr>
        <w:pStyle w:val="Ttulo2"/>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sidRPr="00B54C27">
        <w:rPr>
          <w:rFonts w:ascii="Palatino Linotype" w:eastAsia="Palatino Linotype" w:hAnsi="Palatino Linotype" w:cs="Palatino Linotype"/>
          <w:b/>
          <w:color w:val="000000"/>
          <w:sz w:val="24"/>
          <w:szCs w:val="24"/>
        </w:rPr>
        <w:t>SEGUNDA. Procedencia</w:t>
      </w:r>
    </w:p>
    <w:p w14:paraId="6ACA8A8C"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Este Órgano Garante considera que el medio de impugnación reúne los requisitos de procedencia </w:t>
      </w:r>
      <w:r w:rsidRPr="00B54C27">
        <w:rPr>
          <w:rFonts w:ascii="Palatino Linotype" w:eastAsia="Palatino Linotype" w:hAnsi="Palatino Linotype" w:cs="Palatino Linotype"/>
          <w:color w:val="000000"/>
        </w:rPr>
        <w:t xml:space="preserve">toda vez que: el recurso fue presentado dentro del plazo establecido en el artículo 178, de la Ley de Transparencia y Acceso a la Información Pública del Estado de </w:t>
      </w:r>
      <w:r w:rsidRPr="00B54C27">
        <w:rPr>
          <w:rFonts w:ascii="Palatino Linotype" w:eastAsia="Palatino Linotype" w:hAnsi="Palatino Linotype" w:cs="Palatino Linotype"/>
          <w:color w:val="000000"/>
        </w:rPr>
        <w:lastRenderedPageBreak/>
        <w:t>México y Municipios; asimismo no se tiene conocimiento de que se encuentre en trámite algún medio de defensa presentado por el Recurrente ante otra instancia.</w:t>
      </w:r>
    </w:p>
    <w:p w14:paraId="7732115F" w14:textId="77777777" w:rsidR="00372BC6" w:rsidRPr="00B54C27" w:rsidRDefault="00372BC6">
      <w:pPr>
        <w:spacing w:line="360" w:lineRule="auto"/>
        <w:ind w:right="-787"/>
        <w:jc w:val="both"/>
        <w:rPr>
          <w:rFonts w:ascii="Palatino Linotype" w:eastAsia="Palatino Linotype" w:hAnsi="Palatino Linotype" w:cs="Palatino Linotype"/>
        </w:rPr>
      </w:pPr>
    </w:p>
    <w:p w14:paraId="56D154BC"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14:paraId="37AC8770" w14:textId="77777777" w:rsidR="00372BC6" w:rsidRPr="00B54C27" w:rsidRDefault="00372BC6">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14:paraId="70D4B70A" w14:textId="77777777" w:rsidR="00372BC6" w:rsidRPr="00B54C27" w:rsidRDefault="00A969C3">
      <w:pPr>
        <w:pStyle w:val="Ttulo1"/>
        <w:spacing w:before="0" w:line="360" w:lineRule="auto"/>
        <w:ind w:right="-787"/>
        <w:rPr>
          <w:rFonts w:ascii="Palatino Linotype" w:eastAsia="Palatino Linotype" w:hAnsi="Palatino Linotype" w:cs="Palatino Linotype"/>
          <w:b/>
          <w:color w:val="000000"/>
          <w:sz w:val="24"/>
          <w:szCs w:val="24"/>
        </w:rPr>
      </w:pPr>
      <w:bookmarkStart w:id="6" w:name="_heading=h.3dy6vkm" w:colFirst="0" w:colLast="0"/>
      <w:bookmarkEnd w:id="6"/>
      <w:r w:rsidRPr="00B54C27">
        <w:rPr>
          <w:rFonts w:ascii="Palatino Linotype" w:eastAsia="Palatino Linotype" w:hAnsi="Palatino Linotype" w:cs="Palatino Linotype"/>
          <w:b/>
          <w:color w:val="000000"/>
          <w:sz w:val="24"/>
          <w:szCs w:val="24"/>
        </w:rPr>
        <w:t>TERCERA. Descripción de hechos y planteamiento de la controversia.</w:t>
      </w:r>
    </w:p>
    <w:p w14:paraId="2B7EF54B"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Se solicitó tener acceso, a la información que a continuación se describe:</w:t>
      </w:r>
    </w:p>
    <w:p w14:paraId="4094FF0F"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t xml:space="preserve">Derivado de la celebración del Convenio Amistoso para la preposición y reconocimiento de los límites territoriales que celebraron el Estado de México y el Distrito, se solicita la siguiente información: </w:t>
      </w:r>
    </w:p>
    <w:p w14:paraId="2F09C0DC" w14:textId="77777777" w:rsidR="00372BC6" w:rsidRPr="00B54C27" w:rsidRDefault="00372BC6">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p>
    <w:p w14:paraId="24388CAB"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t>1.- Copia del Convenio de Bases Administrativas que celebraron el Estado de México y Distrito Federal para conceder el uso del Deportivo “Año Internacional de la Mujer” también identificado como el “Cacalote” en favor de la entonces Delegación Cuajimalpa.</w:t>
      </w:r>
    </w:p>
    <w:p w14:paraId="2879404F" w14:textId="77777777" w:rsidR="00372BC6" w:rsidRPr="00B54C27" w:rsidRDefault="00372BC6">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p>
    <w:p w14:paraId="4EA4D56A"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t xml:space="preserve">2.- En caso de existir, proporcione documento, convenio, adendum o cualquier otra denominación o figura, mediante el cual se hubiera modificado o actualizado de manera parcial o total el contenido del convenio descrito en el numeral 1 de esta solicitud. </w:t>
      </w:r>
    </w:p>
    <w:p w14:paraId="249C1E9F" w14:textId="77777777" w:rsidR="00372BC6" w:rsidRPr="00B54C27" w:rsidRDefault="00372BC6">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p>
    <w:p w14:paraId="144F8ECF"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t xml:space="preserve">3.- Copia del Plan de Protección Civil con el que cuenta el Deportivo. </w:t>
      </w:r>
    </w:p>
    <w:p w14:paraId="4B2654E5" w14:textId="77777777" w:rsidR="00372BC6" w:rsidRPr="00B54C27" w:rsidRDefault="00372BC6">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p>
    <w:p w14:paraId="1893A9CA"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t xml:space="preserve">4.- Proporcione documento que describan las áreas y superficies con las que cuenta el Deportivo “Año Internacional de la Mujer” también identificado como el “Cacalote”. </w:t>
      </w:r>
    </w:p>
    <w:p w14:paraId="73E560A1" w14:textId="77777777" w:rsidR="00372BC6" w:rsidRPr="00B54C27" w:rsidRDefault="00372BC6">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p>
    <w:p w14:paraId="41B8EDCF"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lastRenderedPageBreak/>
        <w:t xml:space="preserve">5.- Indique las medidas de control sanitario, higiene, seguridad, cumplimiento ambiental, acondicionamiento para personas minusválidas, aforo, servicios y seguros con los que cuentan las instalaciones. </w:t>
      </w:r>
    </w:p>
    <w:p w14:paraId="6E87F8A3" w14:textId="77777777" w:rsidR="00372BC6" w:rsidRPr="00B54C27" w:rsidRDefault="00372BC6">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p>
    <w:p w14:paraId="715A6844"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t xml:space="preserve">6.- Precise si las instalaciones del Deportivo identificado como el “Cacalote” cuenta con elementos para disuadir o prevenir la comisión de actividades o actos ilícitos (elementos de seguridad, cámaras de vigilancia, protecciones físicas). </w:t>
      </w:r>
    </w:p>
    <w:p w14:paraId="345EFE00" w14:textId="77777777" w:rsidR="00372BC6" w:rsidRPr="00B54C27" w:rsidRDefault="00372BC6">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p>
    <w:p w14:paraId="3B43253C"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t xml:space="preserve">7.- Indique si el Centro Deportivo “El Cacalote” cuenta con un área que brinde servicios médicos o de primeros auxilios, en caso de ser afirmativo especificar el nivel de atención clínica que pueden brindar. </w:t>
      </w:r>
    </w:p>
    <w:p w14:paraId="19F84378" w14:textId="77777777" w:rsidR="00372BC6" w:rsidRPr="00B54C27" w:rsidRDefault="00372BC6">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p>
    <w:p w14:paraId="64410FCF"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t xml:space="preserve">8.- Precise que actividades se desarrollan dentro del Deportivo se encuentra concesionada y valor económico que representan estas según el caso. En caso de existir concesiones, proporcione copia de los contratos o documentos de las mismas. </w:t>
      </w:r>
    </w:p>
    <w:p w14:paraId="2F086166" w14:textId="77777777" w:rsidR="00372BC6" w:rsidRPr="00B54C27" w:rsidRDefault="00372BC6">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p>
    <w:p w14:paraId="6F8D60CA"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t xml:space="preserve">9.- Proporcione las Estadística de visitantes, afluencia, ingresos y egresos que ha tenido el Centro Deportivo “El Cacalote” durante el periodo de Enero de 2019 al 01 de Abril de 2024. </w:t>
      </w:r>
    </w:p>
    <w:p w14:paraId="1DC72450" w14:textId="77777777" w:rsidR="00372BC6" w:rsidRPr="00B54C27" w:rsidRDefault="00372BC6">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p>
    <w:p w14:paraId="7BC8DF82"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r w:rsidRPr="00B54C27">
        <w:rPr>
          <w:rFonts w:ascii="Palatino Linotype" w:eastAsia="Palatino Linotype" w:hAnsi="Palatino Linotype" w:cs="Palatino Linotype"/>
          <w:i/>
          <w:color w:val="000000"/>
          <w:sz w:val="22"/>
          <w:szCs w:val="22"/>
        </w:rPr>
        <w:t xml:space="preserve">10.- Facilite copia del aviso o licencia de funcionamiento bajo la cual el Deportivo “identificado como el “Cacalote” opera actualmente. </w:t>
      </w:r>
    </w:p>
    <w:p w14:paraId="6433853F" w14:textId="77777777" w:rsidR="00372BC6" w:rsidRPr="00B54C27" w:rsidRDefault="00372BC6">
      <w:pPr>
        <w:pBdr>
          <w:top w:val="nil"/>
          <w:left w:val="nil"/>
          <w:bottom w:val="nil"/>
          <w:right w:val="nil"/>
          <w:between w:val="nil"/>
        </w:pBdr>
        <w:spacing w:line="360" w:lineRule="auto"/>
        <w:ind w:left="851" w:right="-220"/>
        <w:jc w:val="both"/>
        <w:rPr>
          <w:rFonts w:ascii="Palatino Linotype" w:eastAsia="Palatino Linotype" w:hAnsi="Palatino Linotype" w:cs="Palatino Linotype"/>
          <w:i/>
          <w:color w:val="000000"/>
          <w:sz w:val="22"/>
          <w:szCs w:val="22"/>
        </w:rPr>
      </w:pPr>
    </w:p>
    <w:p w14:paraId="278BA804" w14:textId="77777777" w:rsidR="00372BC6" w:rsidRPr="00B54C27" w:rsidRDefault="00A969C3">
      <w:pPr>
        <w:pBdr>
          <w:top w:val="nil"/>
          <w:left w:val="nil"/>
          <w:bottom w:val="nil"/>
          <w:right w:val="nil"/>
          <w:between w:val="nil"/>
        </w:pBdr>
        <w:spacing w:line="360" w:lineRule="auto"/>
        <w:ind w:left="851"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color w:val="000000"/>
          <w:sz w:val="22"/>
          <w:szCs w:val="22"/>
        </w:rPr>
        <w:t>11.- Copia de los Estudios de Impacto ambiental y vial con los que cuenta el Deportivo.”</w:t>
      </w:r>
    </w:p>
    <w:p w14:paraId="33B96B09" w14:textId="77777777" w:rsidR="00372BC6" w:rsidRPr="00B54C27" w:rsidRDefault="00372BC6">
      <w:pPr>
        <w:pBdr>
          <w:top w:val="nil"/>
          <w:left w:val="nil"/>
          <w:bottom w:val="nil"/>
          <w:right w:val="nil"/>
          <w:between w:val="nil"/>
        </w:pBdr>
        <w:spacing w:line="360" w:lineRule="auto"/>
        <w:ind w:left="1428" w:right="-787"/>
        <w:jc w:val="both"/>
        <w:rPr>
          <w:rFonts w:ascii="Palatino Linotype" w:eastAsia="Palatino Linotype" w:hAnsi="Palatino Linotype" w:cs="Palatino Linotype"/>
          <w:b/>
          <w:color w:val="000000"/>
        </w:rPr>
      </w:pPr>
    </w:p>
    <w:p w14:paraId="6B4BF9FB" w14:textId="77777777" w:rsidR="00372BC6" w:rsidRPr="00B54C27" w:rsidRDefault="00A969C3">
      <w:pPr>
        <w:numPr>
          <w:ilvl w:val="0"/>
          <w:numId w:val="1"/>
        </w:numPr>
        <w:spacing w:line="360" w:lineRule="auto"/>
        <w:ind w:left="0" w:right="-787" w:firstLine="0"/>
        <w:jc w:val="both"/>
        <w:rPr>
          <w:color w:val="000000"/>
        </w:rPr>
      </w:pPr>
      <w:r w:rsidRPr="00B54C27">
        <w:rPr>
          <w:rFonts w:ascii="Palatino Linotype" w:eastAsia="Palatino Linotype" w:hAnsi="Palatino Linotype" w:cs="Palatino Linotype"/>
        </w:rPr>
        <w:t>En respuesta, el Titular de la Unidad de Transparencia informó la incompetencia del Sujeto Obligado</w:t>
      </w:r>
      <w:r w:rsidRPr="00B54C27">
        <w:rPr>
          <w:rFonts w:ascii="Palatino Linotype" w:eastAsia="Palatino Linotype" w:hAnsi="Palatino Linotype" w:cs="Palatino Linotype"/>
          <w:b/>
        </w:rPr>
        <w:t xml:space="preserve"> </w:t>
      </w:r>
      <w:r w:rsidRPr="00B54C27">
        <w:rPr>
          <w:rFonts w:ascii="Palatino Linotype" w:eastAsia="Palatino Linotype" w:hAnsi="Palatino Linotype" w:cs="Palatino Linotype"/>
        </w:rPr>
        <w:t xml:space="preserve">para dar respuesta y atender la solicitud de información, inconforme con </w:t>
      </w:r>
      <w:r w:rsidRPr="00B54C27">
        <w:rPr>
          <w:rFonts w:ascii="Palatino Linotype" w:eastAsia="Palatino Linotype" w:hAnsi="Palatino Linotype" w:cs="Palatino Linotype"/>
        </w:rPr>
        <w:lastRenderedPageBreak/>
        <w:t xml:space="preserve">la respuesta, el particular interpuso recurso de revisión confirmando su solicitud a fin de obtener respuesta. </w:t>
      </w:r>
    </w:p>
    <w:p w14:paraId="5CC1F77C" w14:textId="77777777" w:rsidR="00372BC6" w:rsidRPr="00B54C27" w:rsidRDefault="00372BC6">
      <w:pPr>
        <w:spacing w:line="360" w:lineRule="auto"/>
        <w:ind w:right="-787"/>
        <w:jc w:val="both"/>
        <w:rPr>
          <w:rFonts w:ascii="Palatino Linotype" w:eastAsia="Palatino Linotype" w:hAnsi="Palatino Linotype" w:cs="Palatino Linotype"/>
          <w:i/>
          <w:color w:val="000000"/>
        </w:rPr>
      </w:pPr>
    </w:p>
    <w:p w14:paraId="18404011"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 y IV,</w:t>
      </w:r>
      <w:r w:rsidRPr="00B54C27">
        <w:rPr>
          <w:rFonts w:ascii="Palatino Linotype" w:eastAsia="Palatino Linotype" w:hAnsi="Palatino Linotype" w:cs="Palatino Linotype"/>
          <w:b/>
        </w:rPr>
        <w:t xml:space="preserve"> </w:t>
      </w:r>
      <w:r w:rsidRPr="00B54C27">
        <w:rPr>
          <w:rFonts w:ascii="Palatino Linotype" w:eastAsia="Palatino Linotype" w:hAnsi="Palatino Linotype" w:cs="Palatino Linotype"/>
        </w:rPr>
        <w:t>de la Ley de Transparencia y Acceso a la Información Pública del Estado de</w:t>
      </w:r>
      <w:r w:rsidRPr="00B54C27">
        <w:rPr>
          <w:rFonts w:ascii="Palatino Linotype" w:eastAsia="Palatino Linotype" w:hAnsi="Palatino Linotype" w:cs="Palatino Linotype"/>
          <w:b/>
        </w:rPr>
        <w:t xml:space="preserve"> </w:t>
      </w:r>
      <w:r w:rsidRPr="00B54C27">
        <w:rPr>
          <w:rFonts w:ascii="Palatino Linotype" w:eastAsia="Palatino Linotype" w:hAnsi="Palatino Linotype" w:cs="Palatino Linotype"/>
        </w:rPr>
        <w:t>México</w:t>
      </w:r>
      <w:r w:rsidRPr="00B54C27">
        <w:rPr>
          <w:rFonts w:ascii="Palatino Linotype" w:eastAsia="Palatino Linotype" w:hAnsi="Palatino Linotype" w:cs="Palatino Linotype"/>
          <w:b/>
        </w:rPr>
        <w:t xml:space="preserve"> </w:t>
      </w:r>
      <w:r w:rsidRPr="00B54C27">
        <w:rPr>
          <w:rFonts w:ascii="Palatino Linotype" w:eastAsia="Palatino Linotype" w:hAnsi="Palatino Linotype" w:cs="Palatino Linotype"/>
        </w:rPr>
        <w:t>y</w:t>
      </w:r>
      <w:r w:rsidRPr="00B54C27">
        <w:rPr>
          <w:rFonts w:ascii="Palatino Linotype" w:eastAsia="Palatino Linotype" w:hAnsi="Palatino Linotype" w:cs="Palatino Linotype"/>
          <w:b/>
        </w:rPr>
        <w:t xml:space="preserve"> </w:t>
      </w:r>
      <w:r w:rsidRPr="00B54C27">
        <w:rPr>
          <w:rFonts w:ascii="Palatino Linotype" w:eastAsia="Palatino Linotype" w:hAnsi="Palatino Linotype" w:cs="Palatino Linotype"/>
        </w:rPr>
        <w:t xml:space="preserve">Municipios; </w:t>
      </w:r>
      <w:r w:rsidRPr="00B54C27">
        <w:rPr>
          <w:rFonts w:ascii="Palatino Linotype" w:eastAsia="Palatino Linotype" w:hAnsi="Palatino Linotype" w:cs="Palatino Linotype"/>
          <w:color w:val="000000"/>
        </w:rPr>
        <w:t xml:space="preserve">fracciones que determinan las hipótesis relativas a la negativa a la información solicitada y la declaración de incompetencia por el Sujeto Obligado; </w:t>
      </w:r>
      <w:r w:rsidRPr="00B54C27">
        <w:rPr>
          <w:rFonts w:ascii="Palatino Linotype" w:eastAsia="Palatino Linotype" w:hAnsi="Palatino Linotype" w:cs="Palatino Linotype"/>
        </w:rPr>
        <w:t>contexto del cual se dolió el Recurrente al momento de impugnar el acto.</w:t>
      </w:r>
      <w:r w:rsidRPr="00B54C27">
        <w:rPr>
          <w:rFonts w:ascii="Palatino Linotype" w:eastAsia="Palatino Linotype" w:hAnsi="Palatino Linotype" w:cs="Palatino Linotype"/>
          <w:color w:val="000000"/>
        </w:rPr>
        <w:t xml:space="preserve"> De modo tal que el presente recurso de revisión se </w:t>
      </w:r>
      <w:r w:rsidRPr="00B54C27">
        <w:rPr>
          <w:rFonts w:ascii="Palatino Linotype" w:eastAsia="Palatino Linotype" w:hAnsi="Palatino Linotype" w:cs="Palatino Linotype"/>
        </w:rPr>
        <w:t>abocará</w:t>
      </w:r>
      <w:r w:rsidRPr="00B54C27">
        <w:rPr>
          <w:rFonts w:ascii="Palatino Linotype" w:eastAsia="Palatino Linotype" w:hAnsi="Palatino Linotype" w:cs="Palatino Linotype"/>
          <w:color w:val="000000"/>
        </w:rPr>
        <w:t xml:space="preserve"> en determinar si el Sujeto Obligado con su respuesta ciertamente actualiza la causal de procedencia</w:t>
      </w:r>
      <w:r w:rsidRPr="00B54C27">
        <w:rPr>
          <w:rFonts w:ascii="Palatino Linotype" w:eastAsia="Palatino Linotype" w:hAnsi="Palatino Linotype" w:cs="Palatino Linotype"/>
          <w:b/>
          <w:color w:val="000000"/>
        </w:rPr>
        <w:t xml:space="preserve"> </w:t>
      </w:r>
      <w:r w:rsidRPr="00B54C27">
        <w:rPr>
          <w:rFonts w:ascii="Palatino Linotype" w:eastAsia="Palatino Linotype" w:hAnsi="Palatino Linotype" w:cs="Palatino Linotype"/>
          <w:color w:val="000000"/>
        </w:rPr>
        <w:t xml:space="preserve">señalada. </w:t>
      </w:r>
    </w:p>
    <w:p w14:paraId="73E694DA" w14:textId="77777777" w:rsidR="00372BC6" w:rsidRPr="00B54C27" w:rsidRDefault="00372BC6">
      <w:pPr>
        <w:spacing w:line="360" w:lineRule="auto"/>
        <w:ind w:right="-787"/>
        <w:rPr>
          <w:rFonts w:ascii="Palatino Linotype" w:eastAsia="Palatino Linotype" w:hAnsi="Palatino Linotype" w:cs="Palatino Linotype"/>
        </w:rPr>
      </w:pPr>
    </w:p>
    <w:p w14:paraId="6FE976BD" w14:textId="77777777" w:rsidR="00372BC6" w:rsidRPr="00B54C27" w:rsidRDefault="00A969C3">
      <w:pPr>
        <w:pStyle w:val="Ttulo2"/>
        <w:spacing w:before="0" w:line="360" w:lineRule="auto"/>
        <w:ind w:right="-787"/>
        <w:rPr>
          <w:rFonts w:ascii="Palatino Linotype" w:eastAsia="Palatino Linotype" w:hAnsi="Palatino Linotype" w:cs="Palatino Linotype"/>
          <w:b/>
          <w:color w:val="000000"/>
          <w:sz w:val="24"/>
          <w:szCs w:val="24"/>
        </w:rPr>
      </w:pPr>
      <w:bookmarkStart w:id="7" w:name="_heading=h.1t3h5sf" w:colFirst="0" w:colLast="0"/>
      <w:bookmarkEnd w:id="7"/>
      <w:r w:rsidRPr="00B54C27">
        <w:rPr>
          <w:rFonts w:ascii="Palatino Linotype" w:eastAsia="Palatino Linotype" w:hAnsi="Palatino Linotype" w:cs="Palatino Linotype"/>
          <w:b/>
          <w:color w:val="000000"/>
          <w:sz w:val="24"/>
          <w:szCs w:val="24"/>
        </w:rPr>
        <w:t>CUARTA. Estudio de la controversia.</w:t>
      </w:r>
    </w:p>
    <w:p w14:paraId="6A7D2120"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5D6CBB30" w14:textId="77777777" w:rsidR="00372BC6" w:rsidRPr="00B54C27" w:rsidRDefault="00372BC6">
      <w:pPr>
        <w:spacing w:line="360" w:lineRule="auto"/>
        <w:ind w:right="-787"/>
        <w:jc w:val="both"/>
        <w:rPr>
          <w:rFonts w:ascii="Palatino Linotype" w:eastAsia="Palatino Linotype" w:hAnsi="Palatino Linotype" w:cs="Palatino Linotype"/>
        </w:rPr>
      </w:pPr>
    </w:p>
    <w:p w14:paraId="2F56163A"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49F773B" w14:textId="77777777" w:rsidR="00372BC6" w:rsidRPr="00B54C27" w:rsidRDefault="00372BC6">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14:paraId="44ADC2D6"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5918729E" w14:textId="77777777" w:rsidR="00372BC6" w:rsidRPr="00B54C27" w:rsidRDefault="00372BC6">
      <w:pPr>
        <w:spacing w:line="360" w:lineRule="auto"/>
        <w:ind w:right="-787"/>
        <w:jc w:val="both"/>
        <w:rPr>
          <w:rFonts w:ascii="Palatino Linotype" w:eastAsia="Palatino Linotype" w:hAnsi="Palatino Linotype" w:cs="Palatino Linotype"/>
        </w:rPr>
      </w:pPr>
    </w:p>
    <w:p w14:paraId="19F2004D" w14:textId="77777777" w:rsidR="00372BC6" w:rsidRPr="00B54C27" w:rsidRDefault="00A969C3">
      <w:pPr>
        <w:numPr>
          <w:ilvl w:val="0"/>
          <w:numId w:val="4"/>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Del Sujeto Obligado.</w:t>
      </w:r>
    </w:p>
    <w:p w14:paraId="740248D6"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Para el eficiente desempeño de sus funciones la Administración Pública Municipal cuenta con diversas unidades administrativas, tal como lo señala el artículo 65, del Bando Municipal de Huixquilucan, Estado de México 2024:</w:t>
      </w:r>
    </w:p>
    <w:p w14:paraId="16B122CB"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ARTÍCULO 65.- Para el desarrollo de los asuntos administrativos y la prestación de los servicios públicos, la Administración Pública Municipal Centralizada se integra con las Unidades Administrativas siguientes: </w:t>
      </w:r>
    </w:p>
    <w:p w14:paraId="249092B3" w14:textId="77777777" w:rsidR="00372BC6" w:rsidRPr="00B54C27" w:rsidRDefault="00372BC6">
      <w:pPr>
        <w:ind w:left="1134" w:right="-220"/>
        <w:jc w:val="both"/>
        <w:rPr>
          <w:rFonts w:ascii="Palatino Linotype" w:eastAsia="Palatino Linotype" w:hAnsi="Palatino Linotype" w:cs="Palatino Linotype"/>
          <w:i/>
          <w:sz w:val="22"/>
          <w:szCs w:val="22"/>
        </w:rPr>
      </w:pPr>
    </w:p>
    <w:p w14:paraId="5958A568"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I. Secretaría del Ayuntamiento; </w:t>
      </w:r>
    </w:p>
    <w:p w14:paraId="38CE7274"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lastRenderedPageBreak/>
        <w:t xml:space="preserve">II. Tesorería Municipal; </w:t>
      </w:r>
    </w:p>
    <w:p w14:paraId="6309A6A7"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III. Contraloría Interna Municipal; </w:t>
      </w:r>
    </w:p>
    <w:p w14:paraId="044B3EB2"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IV. Dirección General de Administración; </w:t>
      </w:r>
    </w:p>
    <w:p w14:paraId="55B0E6F7"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V. Dirección General de Desarrollo Económico y Empresarial; </w:t>
      </w:r>
    </w:p>
    <w:p w14:paraId="7E996353"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VI. </w:t>
      </w:r>
      <w:proofErr w:type="spellStart"/>
      <w:r w:rsidRPr="00B54C27">
        <w:rPr>
          <w:rFonts w:ascii="Palatino Linotype" w:eastAsia="Palatino Linotype" w:hAnsi="Palatino Linotype" w:cs="Palatino Linotype"/>
          <w:i/>
          <w:sz w:val="22"/>
          <w:szCs w:val="22"/>
        </w:rPr>
        <w:t>Ofcina</w:t>
      </w:r>
      <w:proofErr w:type="spellEnd"/>
      <w:r w:rsidRPr="00B54C27">
        <w:rPr>
          <w:rFonts w:ascii="Palatino Linotype" w:eastAsia="Palatino Linotype" w:hAnsi="Palatino Linotype" w:cs="Palatino Linotype"/>
          <w:i/>
          <w:sz w:val="22"/>
          <w:szCs w:val="22"/>
        </w:rPr>
        <w:t xml:space="preserve"> de la Presidencia; </w:t>
      </w:r>
    </w:p>
    <w:p w14:paraId="5D845FEF"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VII. Secretaría Técnica Municipal; </w:t>
      </w:r>
    </w:p>
    <w:p w14:paraId="3A614C89"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VIII. Dirección General de Mensaje e Imagen Institucional; </w:t>
      </w:r>
    </w:p>
    <w:p w14:paraId="41C1EF26"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IX. Dirección General de Desarrollo Agropecuario y Forestal; </w:t>
      </w:r>
    </w:p>
    <w:p w14:paraId="4800544E"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X. Dirección General de Desarrollo Urbano Sustentable; </w:t>
      </w:r>
    </w:p>
    <w:p w14:paraId="4FAF0376"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XI. Dirección General de Ecología y Medio Ambiente; </w:t>
      </w:r>
    </w:p>
    <w:p w14:paraId="08249884"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XII. Dirección General de Servicios Públicos y Urbanos; </w:t>
      </w:r>
    </w:p>
    <w:p w14:paraId="7EFBC0D6"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XIII. Dirección General de Infraestructura y </w:t>
      </w:r>
      <w:proofErr w:type="spellStart"/>
      <w:r w:rsidRPr="00B54C27">
        <w:rPr>
          <w:rFonts w:ascii="Palatino Linotype" w:eastAsia="Palatino Linotype" w:hAnsi="Palatino Linotype" w:cs="Palatino Linotype"/>
          <w:i/>
          <w:sz w:val="22"/>
          <w:szCs w:val="22"/>
        </w:rPr>
        <w:t>Edifcación</w:t>
      </w:r>
      <w:proofErr w:type="spellEnd"/>
      <w:r w:rsidRPr="00B54C27">
        <w:rPr>
          <w:rFonts w:ascii="Palatino Linotype" w:eastAsia="Palatino Linotype" w:hAnsi="Palatino Linotype" w:cs="Palatino Linotype"/>
          <w:i/>
          <w:sz w:val="22"/>
          <w:szCs w:val="22"/>
        </w:rPr>
        <w:t xml:space="preserve">; </w:t>
      </w:r>
    </w:p>
    <w:p w14:paraId="1B21DD7C"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XIV. Dirección General de Desarrollo Social; </w:t>
      </w:r>
    </w:p>
    <w:p w14:paraId="7D3AAEBE"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XV. Dirección General de Seguridad Pública y Vialidad; </w:t>
      </w:r>
    </w:p>
    <w:p w14:paraId="4F4EA0EA"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XVI. Dirección General de la Agencia Municipal de Energía; </w:t>
      </w:r>
    </w:p>
    <w:p w14:paraId="16800E72"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XVII. Dirección General de la Mujer; </w:t>
      </w:r>
    </w:p>
    <w:p w14:paraId="49B6F24C"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XVIII. Dirección General de Servicios Ciudadanos: </w:t>
      </w:r>
    </w:p>
    <w:p w14:paraId="0A7A2102"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XIX. Dirección General de la Juventud; </w:t>
      </w:r>
    </w:p>
    <w:p w14:paraId="0A510393"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XX. Dirección General de Cultura y Turismo; y </w:t>
      </w:r>
    </w:p>
    <w:p w14:paraId="6102DA91"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XXI. Las demás que apruebe el Honorable Ayuntamiento.</w:t>
      </w:r>
    </w:p>
    <w:p w14:paraId="4587E769" w14:textId="77777777" w:rsidR="00372BC6" w:rsidRPr="00B54C27" w:rsidRDefault="00372BC6">
      <w:pPr>
        <w:spacing w:line="360" w:lineRule="auto"/>
        <w:ind w:right="-787"/>
        <w:jc w:val="both"/>
        <w:rPr>
          <w:rFonts w:ascii="Palatino Linotype" w:eastAsia="Palatino Linotype" w:hAnsi="Palatino Linotype" w:cs="Palatino Linotype"/>
        </w:rPr>
      </w:pPr>
    </w:p>
    <w:p w14:paraId="09C56EDB"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Así mismo, el artículo 29, segundo párrafo, del Bando Municipal citado establece que el Ayuntamiento contará con un área para la atención de las solicitudes de acceso a la información pública, denominada Unidad de Transparencia, que será responsable de tramitar, al interior de la Administración Pública Municipal, las solicitudes, de información y emitirá respuesta en los términos establecidos en las leyes en materia de transparencia.</w:t>
      </w:r>
    </w:p>
    <w:p w14:paraId="763A7483" w14:textId="77777777" w:rsidR="00372BC6" w:rsidRPr="00B54C27" w:rsidRDefault="00372BC6">
      <w:pPr>
        <w:spacing w:line="360" w:lineRule="auto"/>
        <w:ind w:right="-787"/>
        <w:jc w:val="both"/>
        <w:rPr>
          <w:rFonts w:ascii="Palatino Linotype" w:eastAsia="Palatino Linotype" w:hAnsi="Palatino Linotype" w:cs="Palatino Linotype"/>
        </w:rPr>
      </w:pPr>
    </w:p>
    <w:p w14:paraId="3B94C531"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En este tenor y derivado de las documentales contenidas en el expediente electrónico, el Titular de la Unidad de Transparencia, atendiendo a lo establecido en el artículo 167 de la Ley de Transparencia y Acceso a la Información Pública del Estado de México y Municipios, determinó la notoria incompetencia por parte del Sujeto Obligado, para atender </w:t>
      </w:r>
      <w:r w:rsidRPr="00B54C27">
        <w:rPr>
          <w:rFonts w:ascii="Palatino Linotype" w:eastAsia="Palatino Linotype" w:hAnsi="Palatino Linotype" w:cs="Palatino Linotype"/>
        </w:rPr>
        <w:lastRenderedPageBreak/>
        <w:t>la solicitud de acceso a la información, notificándose en el término establecido en la legislación.</w:t>
      </w:r>
    </w:p>
    <w:p w14:paraId="555DCF87" w14:textId="77777777" w:rsidR="00372BC6" w:rsidRPr="00B54C27" w:rsidRDefault="00372BC6">
      <w:pPr>
        <w:spacing w:line="360" w:lineRule="auto"/>
        <w:ind w:right="-787"/>
        <w:jc w:val="both"/>
        <w:rPr>
          <w:rFonts w:ascii="Palatino Linotype" w:eastAsia="Palatino Linotype" w:hAnsi="Palatino Linotype" w:cs="Palatino Linotype"/>
        </w:rPr>
      </w:pPr>
    </w:p>
    <w:p w14:paraId="0AEF4902"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Derivado de lo antedicho, este Organismo procedió a realizar una investigación al respecto de la información solicitada de lo que se desprende el siguiente análisis.</w:t>
      </w:r>
    </w:p>
    <w:p w14:paraId="18D098D6" w14:textId="77777777" w:rsidR="00372BC6" w:rsidRPr="00B54C27" w:rsidRDefault="00372BC6">
      <w:pPr>
        <w:spacing w:line="360" w:lineRule="auto"/>
        <w:ind w:right="-787"/>
        <w:jc w:val="both"/>
        <w:rPr>
          <w:rFonts w:ascii="Palatino Linotype" w:eastAsia="Palatino Linotype" w:hAnsi="Palatino Linotype" w:cs="Palatino Linotype"/>
        </w:rPr>
      </w:pPr>
    </w:p>
    <w:p w14:paraId="15840BAF"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El Convenio Amistoso para la Fijación y Reconocimiento de los Límites Territoriales entre el Estado de México y el entonces Distrito Federal (hoy Ciudad de México) fue un acuerdo firmado el 16 de septiembre de 1898 con el propósito de delimitar de manera oficial y definitiva la frontera entre ambas entidades.</w:t>
      </w:r>
    </w:p>
    <w:p w14:paraId="05C0E60F" w14:textId="77777777" w:rsidR="00372BC6" w:rsidRPr="00B54C27" w:rsidRDefault="00372BC6">
      <w:pPr>
        <w:spacing w:line="360" w:lineRule="auto"/>
        <w:ind w:right="-787"/>
        <w:jc w:val="both"/>
        <w:rPr>
          <w:rFonts w:ascii="Palatino Linotype" w:eastAsia="Palatino Linotype" w:hAnsi="Palatino Linotype" w:cs="Palatino Linotype"/>
        </w:rPr>
      </w:pPr>
    </w:p>
    <w:p w14:paraId="54468ABD" w14:textId="77777777" w:rsidR="00372BC6" w:rsidRPr="00B54C27" w:rsidRDefault="00A969C3">
      <w:pPr>
        <w:spacing w:line="360" w:lineRule="auto"/>
        <w:ind w:right="-787"/>
        <w:jc w:val="both"/>
        <w:rPr>
          <w:rFonts w:ascii="Palatino Linotype" w:eastAsia="Palatino Linotype" w:hAnsi="Palatino Linotype" w:cs="Palatino Linotype"/>
          <w:b/>
        </w:rPr>
      </w:pPr>
      <w:r w:rsidRPr="00B54C27">
        <w:rPr>
          <w:rFonts w:ascii="Palatino Linotype" w:eastAsia="Palatino Linotype" w:hAnsi="Palatino Linotype" w:cs="Palatino Linotype"/>
          <w:b/>
        </w:rPr>
        <w:t>Contexto del Convenio</w:t>
      </w:r>
    </w:p>
    <w:p w14:paraId="314564D4"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Antes de este acuerdo, los límites entre el Estado de México y el Distrito Federal no estaban claramente definidos, lo que generaba disputas sobre la jurisdicción de ciertos territorios. Para solucionar estos conflictos, ambos gobiernos decidieron establecer un convenio que fijará con precisión la división territorial.</w:t>
      </w:r>
    </w:p>
    <w:p w14:paraId="4E39EFA2" w14:textId="77777777" w:rsidR="00372BC6" w:rsidRPr="00B54C27" w:rsidRDefault="00372BC6">
      <w:pPr>
        <w:spacing w:line="360" w:lineRule="auto"/>
        <w:ind w:right="-787"/>
        <w:jc w:val="both"/>
        <w:rPr>
          <w:rFonts w:ascii="Palatino Linotype" w:eastAsia="Palatino Linotype" w:hAnsi="Palatino Linotype" w:cs="Palatino Linotype"/>
        </w:rPr>
      </w:pPr>
    </w:p>
    <w:p w14:paraId="1FAAF2CB" w14:textId="77777777" w:rsidR="00372BC6" w:rsidRPr="00B54C27" w:rsidRDefault="00A969C3">
      <w:pPr>
        <w:spacing w:line="360" w:lineRule="auto"/>
        <w:ind w:right="-787"/>
        <w:jc w:val="both"/>
        <w:rPr>
          <w:rFonts w:ascii="Palatino Linotype" w:eastAsia="Palatino Linotype" w:hAnsi="Palatino Linotype" w:cs="Palatino Linotype"/>
          <w:b/>
        </w:rPr>
      </w:pPr>
      <w:r w:rsidRPr="00B54C27">
        <w:rPr>
          <w:rFonts w:ascii="Palatino Linotype" w:eastAsia="Palatino Linotype" w:hAnsi="Palatino Linotype" w:cs="Palatino Linotype"/>
          <w:b/>
        </w:rPr>
        <w:t>Puntos clave del Convenio</w:t>
      </w:r>
    </w:p>
    <w:p w14:paraId="7C312085"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u w:val="single"/>
        </w:rPr>
        <w:t>Delimitación Oficial</w:t>
      </w:r>
      <w:r w:rsidRPr="00B54C27">
        <w:rPr>
          <w:rFonts w:ascii="Palatino Linotype" w:eastAsia="Palatino Linotype" w:hAnsi="Palatino Linotype" w:cs="Palatino Linotype"/>
        </w:rPr>
        <w:t>: Se establecieron puntos geográficos y referencias específicas para marcar la frontera entre el Estado de México y el Distrito Federal.</w:t>
      </w:r>
    </w:p>
    <w:p w14:paraId="03B9992A" w14:textId="77777777" w:rsidR="00372BC6" w:rsidRPr="00B54C27" w:rsidRDefault="00A969C3">
      <w:pPr>
        <w:spacing w:line="360" w:lineRule="auto"/>
        <w:ind w:right="-787"/>
        <w:jc w:val="both"/>
        <w:rPr>
          <w:rFonts w:ascii="Palatino Linotype" w:eastAsia="Palatino Linotype" w:hAnsi="Palatino Linotype" w:cs="Palatino Linotype"/>
        </w:rPr>
      </w:pPr>
      <w:r w:rsidRPr="00B54C27">
        <w:rPr>
          <w:rFonts w:ascii="Palatino Linotype" w:eastAsia="Palatino Linotype" w:hAnsi="Palatino Linotype" w:cs="Palatino Linotype"/>
          <w:u w:val="single"/>
        </w:rPr>
        <w:t>Reconocimiento Mutuo</w:t>
      </w:r>
      <w:r w:rsidRPr="00B54C27">
        <w:rPr>
          <w:rFonts w:ascii="Palatino Linotype" w:eastAsia="Palatino Linotype" w:hAnsi="Palatino Linotype" w:cs="Palatino Linotype"/>
        </w:rPr>
        <w:t>: Ambas entidades aceptaron y reconocieron los límites acordados en el convenio.</w:t>
      </w:r>
    </w:p>
    <w:p w14:paraId="023583B4" w14:textId="77777777" w:rsidR="00372BC6" w:rsidRPr="00B54C27" w:rsidRDefault="00A969C3">
      <w:pPr>
        <w:spacing w:line="360" w:lineRule="auto"/>
        <w:ind w:right="-787"/>
        <w:jc w:val="both"/>
        <w:rPr>
          <w:rFonts w:ascii="Palatino Linotype" w:eastAsia="Palatino Linotype" w:hAnsi="Palatino Linotype" w:cs="Palatino Linotype"/>
        </w:rPr>
      </w:pPr>
      <w:r w:rsidRPr="00B54C27">
        <w:rPr>
          <w:rFonts w:ascii="Palatino Linotype" w:eastAsia="Palatino Linotype" w:hAnsi="Palatino Linotype" w:cs="Palatino Linotype"/>
          <w:u w:val="single"/>
        </w:rPr>
        <w:t>Base Legal</w:t>
      </w:r>
      <w:r w:rsidRPr="00B54C27">
        <w:rPr>
          <w:rFonts w:ascii="Palatino Linotype" w:eastAsia="Palatino Linotype" w:hAnsi="Palatino Linotype" w:cs="Palatino Linotype"/>
        </w:rPr>
        <w:t>: El acuerdo se convirtió en un documento de referencia para cualquier conflicto territorial futuro.</w:t>
      </w:r>
    </w:p>
    <w:p w14:paraId="5A0A40A5" w14:textId="77777777" w:rsidR="00372BC6" w:rsidRPr="00B54C27" w:rsidRDefault="00A969C3">
      <w:pPr>
        <w:spacing w:line="360" w:lineRule="auto"/>
        <w:ind w:right="-787"/>
        <w:jc w:val="both"/>
        <w:rPr>
          <w:rFonts w:ascii="Palatino Linotype" w:eastAsia="Palatino Linotype" w:hAnsi="Palatino Linotype" w:cs="Palatino Linotype"/>
          <w:b/>
        </w:rPr>
      </w:pPr>
      <w:r w:rsidRPr="00B54C27">
        <w:rPr>
          <w:rFonts w:ascii="Palatino Linotype" w:eastAsia="Palatino Linotype" w:hAnsi="Palatino Linotype" w:cs="Palatino Linotype"/>
          <w:b/>
        </w:rPr>
        <w:lastRenderedPageBreak/>
        <w:t>Importancia y Vigencia</w:t>
      </w:r>
    </w:p>
    <w:p w14:paraId="565ED2E2"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Este convenio sentó las bases para la actual delimitación de la Ciudad de México y el Estado de México.</w:t>
      </w:r>
    </w:p>
    <w:p w14:paraId="0ECD09E3" w14:textId="77777777" w:rsidR="00372BC6" w:rsidRPr="00B54C27" w:rsidRDefault="00A969C3">
      <w:pPr>
        <w:spacing w:line="360" w:lineRule="auto"/>
        <w:ind w:right="-787"/>
        <w:jc w:val="both"/>
        <w:rPr>
          <w:rFonts w:ascii="Palatino Linotype" w:eastAsia="Palatino Linotype" w:hAnsi="Palatino Linotype" w:cs="Palatino Linotype"/>
        </w:rPr>
      </w:pPr>
      <w:r w:rsidRPr="00B54C27">
        <w:rPr>
          <w:rFonts w:ascii="Palatino Linotype" w:eastAsia="Palatino Linotype" w:hAnsi="Palatino Linotype" w:cs="Palatino Linotype"/>
        </w:rPr>
        <w:t>Aunque la Ciudad de México dejó de ser el Distrito Federal en 2016, los límites territoriales definidos en 1898 siguen siendo la referencia oficial.</w:t>
      </w:r>
    </w:p>
    <w:p w14:paraId="6B00FE83" w14:textId="77777777" w:rsidR="00372BC6" w:rsidRPr="00B54C27" w:rsidRDefault="00372BC6">
      <w:pPr>
        <w:spacing w:line="360" w:lineRule="auto"/>
        <w:ind w:right="-787"/>
        <w:jc w:val="both"/>
        <w:rPr>
          <w:rFonts w:ascii="Palatino Linotype" w:eastAsia="Palatino Linotype" w:hAnsi="Palatino Linotype" w:cs="Palatino Linotype"/>
        </w:rPr>
      </w:pPr>
    </w:p>
    <w:p w14:paraId="2030D882"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El 14 de septiembre de 1993 en la Gaceta del Gobierno del Estado de México se publicó el Decreto Número 223 en el que se aprueba el Convenio amistoso para la precisión y reconocimiento de sus respectivos  límites territoriales, celebrado por el Gobierno del Estado de México y el Departamento del Distrito Federal, con fecha 24 de agosto de 1993, consultado en el siguiente link </w:t>
      </w:r>
      <w:hyperlink r:id="rId9">
        <w:r w:rsidRPr="00B54C27">
          <w:rPr>
            <w:rFonts w:ascii="Palatino Linotype" w:eastAsia="Palatino Linotype" w:hAnsi="Palatino Linotype" w:cs="Palatino Linotype"/>
            <w:color w:val="0563C1"/>
            <w:u w:val="single"/>
          </w:rPr>
          <w:t>https://legislacion.edomex.gob.mx/sites/legislacion.edomex.gob.mx/files/files/pdf/gct/1993/sep143.pdf</w:t>
        </w:r>
      </w:hyperlink>
      <w:r w:rsidRPr="00B54C27">
        <w:rPr>
          <w:rFonts w:ascii="Palatino Linotype" w:eastAsia="Palatino Linotype" w:hAnsi="Palatino Linotype" w:cs="Palatino Linotype"/>
        </w:rPr>
        <w:t xml:space="preserve"> </w:t>
      </w:r>
    </w:p>
    <w:p w14:paraId="0CEEC2E1" w14:textId="77777777" w:rsidR="00372BC6" w:rsidRPr="00B54C27" w:rsidRDefault="00372BC6">
      <w:pPr>
        <w:spacing w:line="360" w:lineRule="auto"/>
        <w:ind w:right="-787"/>
        <w:jc w:val="both"/>
        <w:rPr>
          <w:rFonts w:ascii="Palatino Linotype" w:eastAsia="Palatino Linotype" w:hAnsi="Palatino Linotype" w:cs="Palatino Linotype"/>
        </w:rPr>
      </w:pPr>
    </w:p>
    <w:p w14:paraId="3EB6E870"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El 27 de julio de 1994, en el Diario Oficial de la Federación se publicó el Decreto por el que se aprueba el Convenio Amistoso para la Precisión y Reconocimiento de sus respectivos Límites Territoriales, celebrado por el Estado Libre y Soberano de México y por el Departamento del Distrito Federal, celebrado el 24 de agosto en 1993, consultado en el siguiente link </w:t>
      </w:r>
      <w:hyperlink r:id="rId10">
        <w:r w:rsidRPr="00B54C27">
          <w:rPr>
            <w:rFonts w:ascii="Palatino Linotype" w:eastAsia="Palatino Linotype" w:hAnsi="Palatino Linotype" w:cs="Palatino Linotype"/>
            <w:color w:val="0563C1"/>
            <w:u w:val="single"/>
          </w:rPr>
          <w:t>https://dof.gob.mx/nota_to_imagen_fs.php?cod_diario=203441&amp;pagina=2&amp;seccion=1</w:t>
        </w:r>
      </w:hyperlink>
      <w:r w:rsidRPr="00B54C27">
        <w:rPr>
          <w:rFonts w:ascii="Palatino Linotype" w:eastAsia="Palatino Linotype" w:hAnsi="Palatino Linotype" w:cs="Palatino Linotype"/>
        </w:rPr>
        <w:t xml:space="preserve"> </w:t>
      </w:r>
    </w:p>
    <w:p w14:paraId="09FFDB18" w14:textId="77777777" w:rsidR="00372BC6" w:rsidRPr="00B54C27" w:rsidRDefault="00372BC6">
      <w:pPr>
        <w:spacing w:line="360" w:lineRule="auto"/>
        <w:ind w:right="-787"/>
        <w:jc w:val="both"/>
        <w:rPr>
          <w:rFonts w:ascii="Palatino Linotype" w:eastAsia="Palatino Linotype" w:hAnsi="Palatino Linotype" w:cs="Palatino Linotype"/>
        </w:rPr>
      </w:pPr>
    </w:p>
    <w:p w14:paraId="3784E95B"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El 04 de octubre de 2004, se publicó en la Gaceta del Estado de México el Acuerdo de Coordinación para la Instalación de la Comisión Bilateral de Límites, que celebran por una parte el Gobierno del Distrito Federal y por la otra el Gobierno del Estado Libre y Soberano </w:t>
      </w:r>
      <w:r w:rsidRPr="00B54C27">
        <w:rPr>
          <w:rFonts w:ascii="Palatino Linotype" w:eastAsia="Palatino Linotype" w:hAnsi="Palatino Linotype" w:cs="Palatino Linotype"/>
        </w:rPr>
        <w:lastRenderedPageBreak/>
        <w:t xml:space="preserve">de México, por el que se reactiva la Comisión Bilateral de Límites para llevar a cabo trabajos de amojonamiento, rehabilitación y señalización que se requieran en la línea limítrofe entre los territorios del Distrito Federal y del Estado de México, consultado en el siguiente link </w:t>
      </w:r>
      <w:hyperlink r:id="rId11">
        <w:r w:rsidRPr="00B54C27">
          <w:rPr>
            <w:rFonts w:ascii="Palatino Linotype" w:eastAsia="Palatino Linotype" w:hAnsi="Palatino Linotype" w:cs="Palatino Linotype"/>
            <w:color w:val="0563C1"/>
            <w:u w:val="single"/>
          </w:rPr>
          <w:t>https://legislacion.edomex.gob.mx/sites/legislacion.edomex.gob.mx/files/files/pdf/gct/2004/oct043.pdf</w:t>
        </w:r>
      </w:hyperlink>
      <w:r w:rsidRPr="00B54C27">
        <w:rPr>
          <w:rFonts w:ascii="Palatino Linotype" w:eastAsia="Palatino Linotype" w:hAnsi="Palatino Linotype" w:cs="Palatino Linotype"/>
        </w:rPr>
        <w:t xml:space="preserve"> </w:t>
      </w:r>
    </w:p>
    <w:p w14:paraId="00F92666" w14:textId="77777777" w:rsidR="00372BC6" w:rsidRPr="00B54C27" w:rsidRDefault="00372BC6">
      <w:pPr>
        <w:spacing w:line="360" w:lineRule="auto"/>
        <w:ind w:right="-787"/>
        <w:jc w:val="both"/>
        <w:rPr>
          <w:rFonts w:ascii="Palatino Linotype" w:eastAsia="Palatino Linotype" w:hAnsi="Palatino Linotype" w:cs="Palatino Linotype"/>
        </w:rPr>
      </w:pPr>
    </w:p>
    <w:p w14:paraId="7142BE77"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El 12 de noviembre de 2004, en la Gaceta Oficial del Distrito Federal se publicó el mismo acuerdo señalado en el párrafo anterior, consultado en el link </w:t>
      </w:r>
      <w:hyperlink r:id="rId12">
        <w:r w:rsidRPr="00B54C27">
          <w:rPr>
            <w:rFonts w:ascii="Palatino Linotype" w:eastAsia="Palatino Linotype" w:hAnsi="Palatino Linotype" w:cs="Palatino Linotype"/>
            <w:color w:val="0563C1"/>
            <w:u w:val="single"/>
          </w:rPr>
          <w:t>https://data.consejeria.cdmx.gob.mx/portal_old/uploads/gacetas/Noviembre04_12_119.pdf</w:t>
        </w:r>
      </w:hyperlink>
      <w:r w:rsidRPr="00B54C27">
        <w:rPr>
          <w:rFonts w:ascii="Palatino Linotype" w:eastAsia="Palatino Linotype" w:hAnsi="Palatino Linotype" w:cs="Palatino Linotype"/>
        </w:rPr>
        <w:t xml:space="preserve"> </w:t>
      </w:r>
    </w:p>
    <w:p w14:paraId="2891C9E7" w14:textId="77777777" w:rsidR="00372BC6" w:rsidRPr="00B54C27" w:rsidRDefault="00372BC6">
      <w:pPr>
        <w:spacing w:line="360" w:lineRule="auto"/>
        <w:ind w:right="-787"/>
        <w:jc w:val="both"/>
        <w:rPr>
          <w:rFonts w:ascii="Palatino Linotype" w:eastAsia="Palatino Linotype" w:hAnsi="Palatino Linotype" w:cs="Palatino Linotype"/>
        </w:rPr>
      </w:pPr>
    </w:p>
    <w:p w14:paraId="7BFB6CDE"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Dicho documento señala en el los párrafos 5 y 6 de los antecedentes, que del Convenio Amistoso para la precisión y reconocimiento de sus límites territoriales multicitado, “En la Cláusula Novena del Convenio en cita, se prevé la continuación de los trabajos de amojonamiento y rehabilitación que se requieran en su línea limítrofe, cuya responsabilidad corresponderá a la Comisión de Límites de ambas entidades…” </w:t>
      </w:r>
    </w:p>
    <w:p w14:paraId="778C8B90" w14:textId="77777777" w:rsidR="00372BC6" w:rsidRPr="00B54C27" w:rsidRDefault="00372BC6">
      <w:pPr>
        <w:spacing w:line="360" w:lineRule="auto"/>
        <w:ind w:right="-787"/>
        <w:jc w:val="both"/>
        <w:rPr>
          <w:rFonts w:ascii="Palatino Linotype" w:eastAsia="Palatino Linotype" w:hAnsi="Palatino Linotype" w:cs="Palatino Linotype"/>
        </w:rPr>
      </w:pPr>
    </w:p>
    <w:p w14:paraId="65D30A85"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En este orden de ideas, la Gaceta Parlamentaria de la I Legislatura de la Ciudad de México, de fecha 07 de mayo de 2019, publicó dentro de su orden del día, apartado correspondiente a Dictámenes, numeral 36, “la proposición con punto de acuerdo por el cual se exhorta al Titular del Gobierno de la Ciudad de México, para que, a través de la Secretaría de Gobierno, y, en estricta coordinación con la Comisión de Alcaldías y Límites Territoriales del Congreso de la Ciudad de México, analicen la posibilidad de instalar la Comisión Bilateral de Límites con el Gobierno del Estado de México, de conformidad con la Cláusula Novena del Convenio Amistoso para la Precisión y Reconocimiento de sus </w:t>
      </w:r>
      <w:r w:rsidRPr="00B54C27">
        <w:rPr>
          <w:rFonts w:ascii="Palatino Linotype" w:eastAsia="Palatino Linotype" w:hAnsi="Palatino Linotype" w:cs="Palatino Linotype"/>
        </w:rPr>
        <w:lastRenderedPageBreak/>
        <w:t xml:space="preserve">respectivos límites territoriales, celebrado por el Estado Libre y Soberano de México y por el entonces Departamento del Distrito Federal, publicado en el Diario Oficial de la Federación el 27 de julio de 1994, o bien, se busque una alternativa de atención y resolución a la ausencia de certeza jurídica y jurisdiccional que viven los vecinos de la colonia cacalote, ubicada entre la Alcaldía de Cuajimalpa de Morelos y el municipio de Huixquilucan, Estado de México; que presentan las Comisiones Unidas de Alcaldías y Límites Territoriales y la de Desarrollo Metropolitano. Consultada en el link </w:t>
      </w:r>
      <w:hyperlink r:id="rId13">
        <w:r w:rsidRPr="00B54C27">
          <w:rPr>
            <w:rFonts w:ascii="Palatino Linotype" w:eastAsia="Palatino Linotype" w:hAnsi="Palatino Linotype" w:cs="Palatino Linotype"/>
            <w:color w:val="0563C1"/>
            <w:u w:val="single"/>
          </w:rPr>
          <w:t>https://www.congresocdmx.gob.mx/media/documentos/f0bfca8321b4e5f67c15d249d451383ce45c8eff.pdf</w:t>
        </w:r>
      </w:hyperlink>
      <w:r w:rsidRPr="00B54C27">
        <w:rPr>
          <w:rFonts w:ascii="Palatino Linotype" w:eastAsia="Palatino Linotype" w:hAnsi="Palatino Linotype" w:cs="Palatino Linotype"/>
        </w:rPr>
        <w:t xml:space="preserve"> </w:t>
      </w:r>
    </w:p>
    <w:p w14:paraId="6C479037" w14:textId="77777777" w:rsidR="00372BC6" w:rsidRPr="00B54C27" w:rsidRDefault="00372BC6">
      <w:pPr>
        <w:ind w:right="-787"/>
        <w:jc w:val="both"/>
        <w:rPr>
          <w:rFonts w:ascii="Palatino Linotype" w:eastAsia="Palatino Linotype" w:hAnsi="Palatino Linotype" w:cs="Palatino Linotype"/>
        </w:rPr>
      </w:pPr>
    </w:p>
    <w:p w14:paraId="10749082"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En el contenido de dicho dictamen, apartado de antecedentes, fracción II.5 se expone que:</w:t>
      </w:r>
    </w:p>
    <w:p w14:paraId="62D88EE3"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b/>
          <w:i/>
          <w:sz w:val="22"/>
          <w:szCs w:val="22"/>
        </w:rPr>
        <w:t>“…Como resultado de los trabajos realizados por la Comisión de Límites, el entonces Distrito Federal y el Estado de México</w:t>
      </w:r>
      <w:r w:rsidRPr="00B54C27">
        <w:rPr>
          <w:rFonts w:ascii="Palatino Linotype" w:eastAsia="Palatino Linotype" w:hAnsi="Palatino Linotype" w:cs="Palatino Linotype"/>
          <w:i/>
          <w:sz w:val="22"/>
          <w:szCs w:val="22"/>
        </w:rPr>
        <w:t xml:space="preserve">, a través de sus respectivos titulares, </w:t>
      </w:r>
      <w:r w:rsidRPr="00B54C27">
        <w:rPr>
          <w:rFonts w:ascii="Palatino Linotype" w:eastAsia="Palatino Linotype" w:hAnsi="Palatino Linotype" w:cs="Palatino Linotype"/>
          <w:b/>
          <w:i/>
          <w:sz w:val="22"/>
          <w:szCs w:val="22"/>
        </w:rPr>
        <w:t>suscribieron el 24 de agosto de 1993, el Convenio Amistoso para la precisión y reconocimiento de sus límites territoriales</w:t>
      </w:r>
      <w:r w:rsidRPr="00B54C27">
        <w:rPr>
          <w:rFonts w:ascii="Palatino Linotype" w:eastAsia="Palatino Linotype" w:hAnsi="Palatino Linotype" w:cs="Palatino Linotype"/>
          <w:i/>
          <w:sz w:val="22"/>
          <w:szCs w:val="22"/>
        </w:rPr>
        <w:t xml:space="preserve">, mismo que fue ratificado en septiembre de 1993, por la Legislatura del Estado de México, y el 11 de julio de 1994 aprobado por el Congreso de la Unión, publicándose el decreto correspondiente en el Diario Oficial de la Federación, el 27 de julio de 1994. </w:t>
      </w:r>
    </w:p>
    <w:p w14:paraId="28EE7521" w14:textId="77777777" w:rsidR="00372BC6" w:rsidRPr="00B54C27" w:rsidRDefault="00372BC6">
      <w:pPr>
        <w:ind w:left="566" w:right="-220"/>
        <w:jc w:val="both"/>
        <w:rPr>
          <w:rFonts w:ascii="Palatino Linotype" w:eastAsia="Palatino Linotype" w:hAnsi="Palatino Linotype" w:cs="Palatino Linotype"/>
          <w:i/>
          <w:sz w:val="22"/>
          <w:szCs w:val="22"/>
        </w:rPr>
      </w:pPr>
    </w:p>
    <w:p w14:paraId="5F104495"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b/>
          <w:i/>
          <w:sz w:val="22"/>
          <w:szCs w:val="22"/>
        </w:rPr>
        <w:t>El nuevo trazo convenido, modificó la línea virtual en algunos tramos</w:t>
      </w:r>
      <w:r w:rsidRPr="00B54C27">
        <w:rPr>
          <w:rFonts w:ascii="Palatino Linotype" w:eastAsia="Palatino Linotype" w:hAnsi="Palatino Linotype" w:cs="Palatino Linotype"/>
          <w:i/>
          <w:sz w:val="22"/>
          <w:szCs w:val="22"/>
        </w:rPr>
        <w:t xml:space="preserve"> siguiendo las inflexiones de calles o ejes de barranca, conservando en algunos tramos la línea virtual, principalmente en terrenos de grandes dimensiones o de difícil acceso por su topografía; por lo tanto en este caso, nos enfocaremos al límite modificado que parte del eje de la Barranca </w:t>
      </w:r>
      <w:proofErr w:type="spellStart"/>
      <w:r w:rsidRPr="00B54C27">
        <w:rPr>
          <w:rFonts w:ascii="Palatino Linotype" w:eastAsia="Palatino Linotype" w:hAnsi="Palatino Linotype" w:cs="Palatino Linotype"/>
          <w:i/>
          <w:sz w:val="22"/>
          <w:szCs w:val="22"/>
        </w:rPr>
        <w:t>Chulahuaya</w:t>
      </w:r>
      <w:proofErr w:type="spellEnd"/>
      <w:r w:rsidRPr="00B54C27">
        <w:rPr>
          <w:rFonts w:ascii="Palatino Linotype" w:eastAsia="Palatino Linotype" w:hAnsi="Palatino Linotype" w:cs="Palatino Linotype"/>
          <w:i/>
          <w:sz w:val="22"/>
          <w:szCs w:val="22"/>
        </w:rPr>
        <w:t xml:space="preserve"> (la Coyotera), hacia la intersección de las calles Jesús del Monte, San José de los Cedros y Av. México, siguiendo todas las inflexiones de ésta última avenida, hasta su intersección con la cerrada Veracruz. </w:t>
      </w:r>
    </w:p>
    <w:p w14:paraId="0E2400EB" w14:textId="77777777" w:rsidR="00372BC6" w:rsidRPr="00B54C27" w:rsidRDefault="00372BC6">
      <w:pPr>
        <w:ind w:left="566" w:right="-220"/>
        <w:jc w:val="both"/>
        <w:rPr>
          <w:rFonts w:ascii="Palatino Linotype" w:eastAsia="Palatino Linotype" w:hAnsi="Palatino Linotype" w:cs="Palatino Linotype"/>
          <w:i/>
          <w:sz w:val="22"/>
          <w:szCs w:val="22"/>
        </w:rPr>
      </w:pPr>
    </w:p>
    <w:p w14:paraId="1643E35B" w14:textId="77777777" w:rsidR="00372BC6" w:rsidRPr="00B54C27" w:rsidRDefault="00A969C3">
      <w:pPr>
        <w:ind w:left="566" w:right="-220"/>
        <w:jc w:val="both"/>
        <w:rPr>
          <w:rFonts w:ascii="Palatino Linotype" w:eastAsia="Palatino Linotype" w:hAnsi="Palatino Linotype" w:cs="Palatino Linotype"/>
          <w:b/>
          <w:i/>
          <w:sz w:val="22"/>
          <w:szCs w:val="22"/>
        </w:rPr>
      </w:pPr>
      <w:r w:rsidRPr="00B54C27">
        <w:rPr>
          <w:rFonts w:ascii="Palatino Linotype" w:eastAsia="Palatino Linotype" w:hAnsi="Palatino Linotype" w:cs="Palatino Linotype"/>
          <w:b/>
          <w:i/>
          <w:sz w:val="22"/>
          <w:szCs w:val="22"/>
        </w:rPr>
        <w:t>Con esta modificación, se dejó en su totalidad el Deportivo Año Internacional de la Mujer, también conocido como Cacalote, dentro de la jurisdicción del Estado de México, aun y cuando la custodia y la administración desde su construcción, ha estado y continúa bajo responsabilidad de la Alcaldía de Cuajimalpa de Morelos.</w:t>
      </w:r>
    </w:p>
    <w:p w14:paraId="4575E570" w14:textId="77777777" w:rsidR="00372BC6" w:rsidRPr="00B54C27" w:rsidRDefault="00A969C3">
      <w:pPr>
        <w:ind w:left="993" w:right="-787"/>
        <w:jc w:val="both"/>
        <w:rPr>
          <w:rFonts w:ascii="Palatino Linotype" w:eastAsia="Palatino Linotype" w:hAnsi="Palatino Linotype" w:cs="Palatino Linotype"/>
          <w:i/>
        </w:rPr>
      </w:pPr>
      <w:r w:rsidRPr="00B54C27">
        <w:rPr>
          <w:rFonts w:ascii="Palatino Linotype" w:eastAsia="Palatino Linotype" w:hAnsi="Palatino Linotype" w:cs="Palatino Linotype"/>
          <w:i/>
        </w:rPr>
        <w:t>…”</w:t>
      </w:r>
    </w:p>
    <w:p w14:paraId="56EFC92F" w14:textId="77777777" w:rsidR="00372BC6" w:rsidRPr="00B54C27" w:rsidRDefault="00372BC6">
      <w:pPr>
        <w:ind w:right="-787"/>
        <w:jc w:val="both"/>
        <w:rPr>
          <w:rFonts w:ascii="Palatino Linotype" w:eastAsia="Palatino Linotype" w:hAnsi="Palatino Linotype" w:cs="Palatino Linotype"/>
          <w:i/>
        </w:rPr>
      </w:pPr>
    </w:p>
    <w:p w14:paraId="48060590" w14:textId="77777777" w:rsidR="00372BC6" w:rsidRPr="00B54C27" w:rsidRDefault="00372BC6">
      <w:pPr>
        <w:ind w:right="-787"/>
        <w:jc w:val="both"/>
        <w:rPr>
          <w:rFonts w:ascii="Palatino Linotype" w:eastAsia="Palatino Linotype" w:hAnsi="Palatino Linotype" w:cs="Palatino Linotype"/>
          <w:i/>
        </w:rPr>
      </w:pPr>
    </w:p>
    <w:p w14:paraId="2A1037F6"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En el resolutivo único del dictamen mencionado “se exhorta respetuosamente a las personas titulares del Gobierno de la Ciudad de México y del Estado Libre y Soberano de México, para que, en el ámbito de sus facultades se restablezca el acuerdo de coordinación por el que se reactiva la comisión bilateral de límites publicado en la Gaceta Oficial del Distrito Federal el 12 de noviembre de 2004.”</w:t>
      </w:r>
    </w:p>
    <w:p w14:paraId="4B3F9941" w14:textId="77777777" w:rsidR="00372BC6" w:rsidRPr="00B54C27" w:rsidRDefault="00372BC6">
      <w:pPr>
        <w:ind w:right="-787"/>
        <w:jc w:val="both"/>
        <w:rPr>
          <w:rFonts w:ascii="Palatino Linotype" w:eastAsia="Palatino Linotype" w:hAnsi="Palatino Linotype" w:cs="Palatino Linotype"/>
        </w:rPr>
      </w:pPr>
    </w:p>
    <w:p w14:paraId="61E737FD"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De lo señalado anteriormente, se infiere que el Convenio amistoso para la precisión y reconocimiento de sus respectivos  límites territoriales, celebrado por el Gobierno del Estado de México y el Departamento del Distrito Federal, y el </w:t>
      </w:r>
      <w:r w:rsidRPr="00B54C27">
        <w:rPr>
          <w:rFonts w:ascii="Palatino Linotype" w:eastAsia="Palatino Linotype" w:hAnsi="Palatino Linotype" w:cs="Palatino Linotype"/>
          <w:i/>
          <w:color w:val="000000"/>
        </w:rPr>
        <w:t xml:space="preserve">Convenio de Bases Administrativas que celebraron el Estado de México y Distrito Federal para conceder el uso del Deportivo “Año Internacional de la Mujer” también identificado como el “Cacalote” en favor de la entonces Delegación Cuajimalpa, </w:t>
      </w:r>
      <w:r w:rsidRPr="00B54C27">
        <w:rPr>
          <w:rFonts w:ascii="Palatino Linotype" w:eastAsia="Palatino Linotype" w:hAnsi="Palatino Linotype" w:cs="Palatino Linotype"/>
        </w:rPr>
        <w:t>puede ser un documento que posea el Ayuntamiento de Huixquilucan, derivado que el contenido de dichos documentos hacen referencia a los conflictos de límites territoriales que viven los vecinos de la colonia Cacalote, ubicada entre la Alcaldía de Cuajimalpa de Morelos y el Municipio de Huixquilucan, Estado de México.</w:t>
      </w:r>
    </w:p>
    <w:p w14:paraId="7E5BDBE5" w14:textId="77777777" w:rsidR="00372BC6" w:rsidRPr="00B54C27" w:rsidRDefault="00372BC6">
      <w:pPr>
        <w:ind w:right="-787"/>
        <w:jc w:val="both"/>
        <w:rPr>
          <w:rFonts w:ascii="Palatino Linotype" w:eastAsia="Palatino Linotype" w:hAnsi="Palatino Linotype" w:cs="Palatino Linotype"/>
        </w:rPr>
      </w:pPr>
    </w:p>
    <w:p w14:paraId="250FCB1E"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Una vez sentado lo anterior, resulta oportuno señalar que al caso concreto se aprecia una eventual incompetencia ante un sujeto obligado diverso; es decir que al solicitarse información de un convenio firmado por el Gobierno del Estado de México y el Departamento del Distrito Federal, es información que puede ser atendida en su ámbito competencial por la Secretaría General de Gobierno, la Secretaría de Desarrollo Urbano e Infraestructura y el Ayuntamiento de Huixquilucan, en lo que respecta al Estado de México y en cuanto a la Ciudad de México por la Secretaría de Gobierno, la Secretaría de Planeación, </w:t>
      </w:r>
      <w:r w:rsidRPr="00B54C27">
        <w:rPr>
          <w:rFonts w:ascii="Palatino Linotype" w:eastAsia="Palatino Linotype" w:hAnsi="Palatino Linotype" w:cs="Palatino Linotype"/>
        </w:rPr>
        <w:lastRenderedPageBreak/>
        <w:t>Ordenamiento Territorial y Coordinación Metropolitana y por la Alcaldía de Cuajimalpa de Morelos.</w:t>
      </w:r>
    </w:p>
    <w:p w14:paraId="69EFF92A" w14:textId="77777777" w:rsidR="00372BC6" w:rsidRPr="00B54C27" w:rsidRDefault="00372BC6">
      <w:pPr>
        <w:ind w:right="-787"/>
        <w:jc w:val="both"/>
        <w:rPr>
          <w:rFonts w:ascii="Palatino Linotype" w:eastAsia="Palatino Linotype" w:hAnsi="Palatino Linotype" w:cs="Palatino Linotype"/>
        </w:rPr>
      </w:pPr>
    </w:p>
    <w:p w14:paraId="3636B419"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Sirve de sustento a lo anterior el Criterio 15/13 emitido por el Instituto Nacional de Transparencia, Acceso a la Información y Protección de Datos Personales (INAI), a saber:</w:t>
      </w:r>
    </w:p>
    <w:p w14:paraId="6BA7F5E0" w14:textId="77777777" w:rsidR="00372BC6" w:rsidRPr="00B54C27" w:rsidRDefault="00A969C3">
      <w:pPr>
        <w:pBdr>
          <w:top w:val="nil"/>
          <w:left w:val="nil"/>
          <w:bottom w:val="nil"/>
          <w:right w:val="nil"/>
          <w:between w:val="nil"/>
        </w:pBdr>
        <w:ind w:left="426" w:right="-220"/>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b/>
          <w:i/>
          <w:color w:val="000000"/>
          <w:sz w:val="22"/>
          <w:szCs w:val="22"/>
        </w:rPr>
        <w:t>Competencia concurrente.</w:t>
      </w:r>
      <w:r w:rsidRPr="00B54C27">
        <w:rPr>
          <w:rFonts w:ascii="Palatino Linotype" w:eastAsia="Palatino Linotype" w:hAnsi="Palatino Linotype" w:cs="Palatino Linotype"/>
          <w:i/>
          <w:color w:val="000000"/>
          <w:sz w:val="22"/>
          <w:szCs w:val="22"/>
        </w:rPr>
        <w:t xml:space="preserve"> </w:t>
      </w:r>
      <w:r w:rsidRPr="00B54C27">
        <w:rPr>
          <w:rFonts w:ascii="Palatino Linotype" w:eastAsia="Palatino Linotype" w:hAnsi="Palatino Linotype" w:cs="Palatino Linotype"/>
          <w:b/>
          <w:i/>
          <w:color w:val="000000"/>
          <w:sz w:val="22"/>
          <w:szCs w:val="22"/>
        </w:rPr>
        <w:t xml:space="preserve">Los sujetos obligados deberán proporcionar la información con la que cuenten y orientar al particular a las otras autoridades competentes. </w:t>
      </w:r>
      <w:r w:rsidRPr="00B54C27">
        <w:rPr>
          <w:rFonts w:ascii="Palatino Linotype" w:eastAsia="Palatino Linotype" w:hAnsi="Palatino Linotype" w:cs="Palatino Linotype"/>
          <w:i/>
          <w:color w:val="000000"/>
          <w:sz w:val="22"/>
          <w:szCs w:val="22"/>
        </w:rPr>
        <w:t xml:space="preserve">De conformidad con lo dispuesto en el artículo 28, fracción III de la Ley Federal de Transparencia y Acceso a la Información Pública Gubernamental, cuando las dependencias y entidades de la Administración Pública Federal reciban una solicitud de acceso a información gubernamental que no sea de su competencia, deberán orientar al particular para que presente una nueva solicitud de acceso ante la Unidad de Enlace de la autoridad competente para conocer de la información. Ahora bien, cuando sobre una materia, el sujeto obligado tenga una competencia concurrente con otra u otras autoridades, </w:t>
      </w:r>
      <w:r w:rsidRPr="00B54C27">
        <w:rPr>
          <w:rFonts w:ascii="Palatino Linotype" w:eastAsia="Palatino Linotype" w:hAnsi="Palatino Linotype" w:cs="Palatino Linotype"/>
          <w:b/>
          <w:i/>
          <w:color w:val="000000"/>
          <w:sz w:val="22"/>
          <w:szCs w:val="22"/>
        </w:rPr>
        <w:t>deberá agotar el procedimiento de búsqueda de la información y proporcionar aquélla con la que cuente</w:t>
      </w:r>
      <w:r w:rsidRPr="00B54C27">
        <w:rPr>
          <w:rFonts w:ascii="Palatino Linotype" w:eastAsia="Palatino Linotype" w:hAnsi="Palatino Linotype" w:cs="Palatino Linotype"/>
          <w:i/>
          <w:color w:val="000000"/>
          <w:sz w:val="22"/>
          <w:szCs w:val="22"/>
        </w:rPr>
        <w:t xml:space="preserve"> o, de no contar con ésta, deberá declarar formalmente la inexistencia y, en su caso, orientar al particular para que, de así considerarlo, presente su solicitud ante la dependencia o entidad que también tengan competencia para conocer de la información. </w:t>
      </w:r>
      <w:r w:rsidRPr="00B54C27">
        <w:rPr>
          <w:rFonts w:ascii="Palatino Linotype" w:eastAsia="Palatino Linotype" w:hAnsi="Palatino Linotype" w:cs="Palatino Linotype"/>
          <w:color w:val="000000"/>
          <w:sz w:val="22"/>
          <w:szCs w:val="22"/>
        </w:rPr>
        <w:t>Énfasis añadido</w:t>
      </w:r>
    </w:p>
    <w:p w14:paraId="25908791" w14:textId="77777777" w:rsidR="00372BC6" w:rsidRPr="00B54C27" w:rsidRDefault="00372BC6">
      <w:pPr>
        <w:spacing w:line="360" w:lineRule="auto"/>
        <w:ind w:right="-787"/>
        <w:jc w:val="both"/>
        <w:rPr>
          <w:rFonts w:ascii="Palatino Linotype" w:eastAsia="Palatino Linotype" w:hAnsi="Palatino Linotype" w:cs="Palatino Linotype"/>
        </w:rPr>
      </w:pPr>
    </w:p>
    <w:p w14:paraId="34AD7C73"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En este sentido y con la intención de allegarse de mayor información, también se realizó una búsqueda relativa al </w:t>
      </w:r>
      <w:r w:rsidRPr="00B54C27">
        <w:rPr>
          <w:rFonts w:ascii="Palatino Linotype" w:eastAsia="Palatino Linotype" w:hAnsi="Palatino Linotype" w:cs="Palatino Linotype"/>
          <w:b/>
          <w:i/>
        </w:rPr>
        <w:t>Deportivo Año Internacional de la Mujer, también conocido como Cacalote</w:t>
      </w:r>
      <w:r w:rsidRPr="00B54C27">
        <w:rPr>
          <w:rFonts w:ascii="Palatino Linotype" w:eastAsia="Palatino Linotype" w:hAnsi="Palatino Linotype" w:cs="Palatino Linotype"/>
        </w:rPr>
        <w:t>, de la cual se encontraron diversas publicaciones en redes sociales, de las cuales se atribuyen trabajos de mantenimiento y rehabilitación a cargo de la Alcaldía de Cuajimalpa, tal como se muestra en las siguientes capturas de pantalla, cuyas publicaciones corresponden a las fechas de noviembre 2020 y agosto 2024.</w:t>
      </w:r>
    </w:p>
    <w:p w14:paraId="7E8C1925" w14:textId="77777777" w:rsidR="00372BC6" w:rsidRPr="00B54C27" w:rsidRDefault="00372BC6">
      <w:pPr>
        <w:spacing w:line="360" w:lineRule="auto"/>
        <w:ind w:right="-787"/>
        <w:jc w:val="both"/>
        <w:rPr>
          <w:rFonts w:ascii="Palatino Linotype" w:eastAsia="Palatino Linotype" w:hAnsi="Palatino Linotype" w:cs="Palatino Linotype"/>
        </w:rPr>
      </w:pPr>
    </w:p>
    <w:p w14:paraId="5FADAAAF" w14:textId="77777777" w:rsidR="00372BC6" w:rsidRPr="00B54C27" w:rsidRDefault="00A969C3">
      <w:pPr>
        <w:spacing w:line="360" w:lineRule="auto"/>
        <w:ind w:right="-787"/>
        <w:jc w:val="center"/>
        <w:rPr>
          <w:rFonts w:ascii="Palatino Linotype" w:eastAsia="Palatino Linotype" w:hAnsi="Palatino Linotype" w:cs="Palatino Linotype"/>
        </w:rPr>
      </w:pPr>
      <w:r w:rsidRPr="00B54C27">
        <w:rPr>
          <w:rFonts w:ascii="Palatino Linotype" w:eastAsia="Palatino Linotype" w:hAnsi="Palatino Linotype" w:cs="Palatino Linotype"/>
          <w:noProof/>
          <w:lang w:val="es-MX" w:eastAsia="es-MX"/>
        </w:rPr>
        <w:lastRenderedPageBreak/>
        <w:drawing>
          <wp:inline distT="0" distB="0" distL="0" distR="0" wp14:anchorId="4C344A9E" wp14:editId="0D1F7202">
            <wp:extent cx="4192341" cy="485121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192341" cy="4851218"/>
                    </a:xfrm>
                    <a:prstGeom prst="rect">
                      <a:avLst/>
                    </a:prstGeom>
                    <a:ln/>
                  </pic:spPr>
                </pic:pic>
              </a:graphicData>
            </a:graphic>
          </wp:inline>
        </w:drawing>
      </w:r>
    </w:p>
    <w:p w14:paraId="2479DA5C" w14:textId="77777777" w:rsidR="00372BC6" w:rsidRPr="00B54C27" w:rsidRDefault="00A969C3">
      <w:pPr>
        <w:spacing w:line="360" w:lineRule="auto"/>
        <w:ind w:right="-787"/>
        <w:jc w:val="center"/>
        <w:rPr>
          <w:rFonts w:ascii="Palatino Linotype" w:eastAsia="Palatino Linotype" w:hAnsi="Palatino Linotype" w:cs="Palatino Linotype"/>
        </w:rPr>
      </w:pPr>
      <w:r w:rsidRPr="00B54C27">
        <w:rPr>
          <w:rFonts w:ascii="Palatino Linotype" w:eastAsia="Palatino Linotype" w:hAnsi="Palatino Linotype" w:cs="Palatino Linotype"/>
          <w:noProof/>
          <w:lang w:val="es-MX" w:eastAsia="es-MX"/>
        </w:rPr>
        <w:drawing>
          <wp:inline distT="0" distB="0" distL="0" distR="0" wp14:anchorId="0A656BB4" wp14:editId="6FE19BF9">
            <wp:extent cx="4673191" cy="907354"/>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673191" cy="907354"/>
                    </a:xfrm>
                    <a:prstGeom prst="rect">
                      <a:avLst/>
                    </a:prstGeom>
                    <a:ln/>
                  </pic:spPr>
                </pic:pic>
              </a:graphicData>
            </a:graphic>
          </wp:inline>
        </w:drawing>
      </w:r>
    </w:p>
    <w:p w14:paraId="71BACCA4" w14:textId="77777777" w:rsidR="00372BC6" w:rsidRPr="00B54C27" w:rsidRDefault="00372BC6">
      <w:pPr>
        <w:spacing w:line="360" w:lineRule="auto"/>
        <w:ind w:right="-787"/>
        <w:jc w:val="center"/>
        <w:rPr>
          <w:rFonts w:ascii="Palatino Linotype" w:eastAsia="Palatino Linotype" w:hAnsi="Palatino Linotype" w:cs="Palatino Linotype"/>
        </w:rPr>
      </w:pPr>
    </w:p>
    <w:p w14:paraId="2649ABE3" w14:textId="77777777" w:rsidR="00372BC6" w:rsidRPr="00B54C27" w:rsidRDefault="00A969C3">
      <w:pPr>
        <w:numPr>
          <w:ilvl w:val="0"/>
          <w:numId w:val="1"/>
        </w:numPr>
        <w:spacing w:line="360" w:lineRule="auto"/>
        <w:ind w:left="0" w:right="-787" w:firstLine="0"/>
        <w:jc w:val="both"/>
        <w:rPr>
          <w:rFonts w:ascii="Helvetica Neue" w:eastAsia="Helvetica Neue" w:hAnsi="Helvetica Neue" w:cs="Helvetica Neue"/>
          <w:color w:val="333333"/>
        </w:rPr>
      </w:pPr>
      <w:r w:rsidRPr="00B54C27">
        <w:rPr>
          <w:rFonts w:ascii="Palatino Linotype" w:eastAsia="Palatino Linotype" w:hAnsi="Palatino Linotype" w:cs="Palatino Linotype"/>
        </w:rPr>
        <w:t xml:space="preserve">En el mismo orden de ideas, en la página web del instituto del deporte de la ciudad de México, en el apartado denominado “¿Dónde puedo activarme?”, se despliega una lista de las alcaldías de la Ciudad de México, y al seleccionar la correspondiente a Cuajimalpa, dentro de sus opciones se encuentra el </w:t>
      </w:r>
      <w:r w:rsidRPr="00B54C27">
        <w:rPr>
          <w:rFonts w:ascii="Palatino Linotype" w:eastAsia="Palatino Linotype" w:hAnsi="Palatino Linotype" w:cs="Palatino Linotype"/>
          <w:b/>
        </w:rPr>
        <w:t>Deportivo Año Internacional de la Mujer</w:t>
      </w:r>
      <w:r w:rsidRPr="00B54C27">
        <w:rPr>
          <w:rFonts w:ascii="Palatino Linotype" w:eastAsia="Palatino Linotype" w:hAnsi="Palatino Linotype" w:cs="Palatino Linotype"/>
        </w:rPr>
        <w:t xml:space="preserve">, ubicado </w:t>
      </w:r>
      <w:r w:rsidRPr="00B54C27">
        <w:rPr>
          <w:rFonts w:ascii="Palatino Linotype" w:eastAsia="Palatino Linotype" w:hAnsi="Palatino Linotype" w:cs="Palatino Linotype"/>
        </w:rPr>
        <w:lastRenderedPageBreak/>
        <w:t xml:space="preserve">en </w:t>
      </w:r>
      <w:proofErr w:type="spellStart"/>
      <w:r w:rsidRPr="00B54C27">
        <w:rPr>
          <w:rFonts w:ascii="Palatino Linotype" w:eastAsia="Palatino Linotype" w:hAnsi="Palatino Linotype" w:cs="Palatino Linotype"/>
        </w:rPr>
        <w:t>Prol</w:t>
      </w:r>
      <w:proofErr w:type="spellEnd"/>
      <w:r w:rsidRPr="00B54C27">
        <w:rPr>
          <w:rFonts w:ascii="Palatino Linotype" w:eastAsia="Palatino Linotype" w:hAnsi="Palatino Linotype" w:cs="Palatino Linotype"/>
        </w:rPr>
        <w:t xml:space="preserve">. </w:t>
      </w:r>
      <w:proofErr w:type="spellStart"/>
      <w:r w:rsidRPr="00B54C27">
        <w:rPr>
          <w:rFonts w:ascii="Palatino Linotype" w:eastAsia="Palatino Linotype" w:hAnsi="Palatino Linotype" w:cs="Palatino Linotype"/>
        </w:rPr>
        <w:t>Av</w:t>
      </w:r>
      <w:proofErr w:type="spellEnd"/>
      <w:r w:rsidRPr="00B54C27">
        <w:rPr>
          <w:rFonts w:ascii="Palatino Linotype" w:eastAsia="Palatino Linotype" w:hAnsi="Palatino Linotype" w:cs="Palatino Linotype"/>
        </w:rPr>
        <w:t xml:space="preserve"> México Col. Jesús del Monte, consultado en el link </w:t>
      </w:r>
      <w:hyperlink r:id="rId16">
        <w:r w:rsidRPr="00B54C27">
          <w:rPr>
            <w:rFonts w:ascii="Palatino Linotype" w:eastAsia="Palatino Linotype" w:hAnsi="Palatino Linotype" w:cs="Palatino Linotype"/>
            <w:color w:val="0563C1"/>
            <w:u w:val="single"/>
          </w:rPr>
          <w:t>https://indeporte.cdmx.gob.mx/informate/donde-puedo-activarme</w:t>
        </w:r>
      </w:hyperlink>
      <w:r w:rsidRPr="00B54C27">
        <w:rPr>
          <w:rFonts w:ascii="Palatino Linotype" w:eastAsia="Palatino Linotype" w:hAnsi="Palatino Linotype" w:cs="Palatino Linotype"/>
        </w:rPr>
        <w:t xml:space="preserve">  , como se muestra en la siguiente captura de pantalla:</w:t>
      </w:r>
    </w:p>
    <w:p w14:paraId="7353E420" w14:textId="77777777" w:rsidR="00372BC6" w:rsidRPr="00B54C27" w:rsidRDefault="00A969C3">
      <w:pPr>
        <w:spacing w:line="360" w:lineRule="auto"/>
        <w:ind w:right="-787"/>
        <w:jc w:val="center"/>
        <w:rPr>
          <w:rFonts w:ascii="Helvetica Neue" w:eastAsia="Helvetica Neue" w:hAnsi="Helvetica Neue" w:cs="Helvetica Neue"/>
          <w:color w:val="333333"/>
        </w:rPr>
      </w:pPr>
      <w:r w:rsidRPr="00B54C27">
        <w:rPr>
          <w:rFonts w:ascii="Helvetica Neue" w:eastAsia="Helvetica Neue" w:hAnsi="Helvetica Neue" w:cs="Helvetica Neue"/>
          <w:noProof/>
          <w:color w:val="333333"/>
          <w:lang w:val="es-MX" w:eastAsia="es-MX"/>
        </w:rPr>
        <w:drawing>
          <wp:inline distT="0" distB="0" distL="0" distR="0" wp14:anchorId="3D299984" wp14:editId="7FF332BE">
            <wp:extent cx="3641538" cy="5004636"/>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641538" cy="5004636"/>
                    </a:xfrm>
                    <a:prstGeom prst="rect">
                      <a:avLst/>
                    </a:prstGeom>
                    <a:ln/>
                  </pic:spPr>
                </pic:pic>
              </a:graphicData>
            </a:graphic>
          </wp:inline>
        </w:drawing>
      </w:r>
    </w:p>
    <w:p w14:paraId="74639675" w14:textId="77777777" w:rsidR="00372BC6" w:rsidRPr="00B54C27" w:rsidRDefault="00372BC6">
      <w:pPr>
        <w:spacing w:line="360" w:lineRule="auto"/>
        <w:ind w:right="-787"/>
        <w:jc w:val="both"/>
        <w:rPr>
          <w:rFonts w:ascii="Helvetica Neue" w:eastAsia="Helvetica Neue" w:hAnsi="Helvetica Neue" w:cs="Helvetica Neue"/>
          <w:color w:val="333333"/>
        </w:rPr>
      </w:pPr>
    </w:p>
    <w:p w14:paraId="2B900A01"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En ese sentido, es de destacar el valor probatorio de las notas periodísticas, por lo que es importante traer a colación la tesis aislada número I.4o.T.4 K, emitida por el Cuatro Tribunal Colegiado en Materia de Trabajo del Primer Circuito, publicada en el Semanario Judicial de la Federación y su Gaceta, en el Tomo II, página 541, en Diciembre de mil </w:t>
      </w:r>
      <w:r w:rsidRPr="00B54C27">
        <w:rPr>
          <w:rFonts w:ascii="Palatino Linotype" w:eastAsia="Palatino Linotype" w:hAnsi="Palatino Linotype" w:cs="Palatino Linotype"/>
        </w:rPr>
        <w:lastRenderedPageBreak/>
        <w:t xml:space="preserve">novecientos noventa y cinco, de la Novena Época, titulada </w:t>
      </w:r>
      <w:r w:rsidRPr="00B54C27">
        <w:rPr>
          <w:rFonts w:ascii="Palatino Linotype" w:eastAsia="Palatino Linotype" w:hAnsi="Palatino Linotype" w:cs="Palatino Linotype"/>
          <w:b/>
          <w:i/>
        </w:rPr>
        <w:t>“NOTAS PERIODISTICAS, EL CONOCIMIENTO QUE DE ELLAS SE OBTIENE NO CONSTITUYE ‘UN HECHO PUBLICO Y NOTORIO”</w:t>
      </w:r>
      <w:r w:rsidRPr="00B54C27">
        <w:rPr>
          <w:rFonts w:ascii="Palatino Linotype" w:eastAsia="Palatino Linotype" w:hAnsi="Palatino Linotype" w:cs="Palatino Linotype"/>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forma parte de la cultura propia de un círculo social determinado, en el tiempo de su realización.</w:t>
      </w:r>
    </w:p>
    <w:p w14:paraId="4FDC99CF" w14:textId="77777777" w:rsidR="00372BC6" w:rsidRPr="00B54C27" w:rsidRDefault="00372BC6">
      <w:pPr>
        <w:spacing w:line="360" w:lineRule="auto"/>
        <w:ind w:right="-787"/>
        <w:jc w:val="both"/>
        <w:rPr>
          <w:rFonts w:ascii="Palatino Linotype" w:eastAsia="Palatino Linotype" w:hAnsi="Palatino Linotype" w:cs="Palatino Linotype"/>
        </w:rPr>
      </w:pPr>
    </w:p>
    <w:p w14:paraId="5D05850C"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 xml:space="preserve"> De tal situación, lo consignado en las notas periodísticas no constituye un hecho público o notorio, sino que es una opinión de su autor, por lo que sólo se pueden tomar como indicios.</w:t>
      </w:r>
    </w:p>
    <w:p w14:paraId="37CDF7F3" w14:textId="77777777" w:rsidR="00372BC6" w:rsidRPr="00B54C27" w:rsidRDefault="00372BC6">
      <w:pPr>
        <w:spacing w:line="360" w:lineRule="auto"/>
        <w:ind w:right="-787"/>
        <w:jc w:val="both"/>
        <w:rPr>
          <w:rFonts w:ascii="Palatino Linotype" w:eastAsia="Palatino Linotype" w:hAnsi="Palatino Linotype" w:cs="Palatino Linotype"/>
        </w:rPr>
      </w:pPr>
    </w:p>
    <w:p w14:paraId="73ADEFE7"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De igual forma, si bien de las notas periodísticas señaladas, contienen información que guarda relación con lo solicitado, también es de precisar que esto no constituyen prueba plena, al ser una opinión privada realizada por particulares; sin embargo, en el presente caso, sirven de indicio para verificar la competencia del Sujeto Obligado respecto del Convenio Amistoso para la Precisión y Reconocimiento de sus respectivos Límites Territoriales, celebrado por el Estado Libre y Soberano de México y por el Departamento del Distrito Federal</w:t>
      </w:r>
      <w:r w:rsidRPr="00B54C27">
        <w:rPr>
          <w:rFonts w:ascii="Palatino Linotype" w:eastAsia="Palatino Linotype" w:hAnsi="Palatino Linotype" w:cs="Palatino Linotype"/>
          <w:i/>
          <w:color w:val="000000"/>
        </w:rPr>
        <w:t xml:space="preserve"> </w:t>
      </w:r>
      <w:r w:rsidRPr="00B54C27">
        <w:rPr>
          <w:rFonts w:ascii="Palatino Linotype" w:eastAsia="Palatino Linotype" w:hAnsi="Palatino Linotype" w:cs="Palatino Linotype"/>
          <w:color w:val="000000"/>
        </w:rPr>
        <w:t xml:space="preserve"> y lo relacionado al Deportivo “Año Internacional de la Mujer” también conocido como el “Cacalote”</w:t>
      </w:r>
      <w:r w:rsidRPr="00B54C27">
        <w:rPr>
          <w:rFonts w:ascii="Palatino Linotype" w:eastAsia="Palatino Linotype" w:hAnsi="Palatino Linotype" w:cs="Palatino Linotype"/>
        </w:rPr>
        <w:t>.</w:t>
      </w:r>
    </w:p>
    <w:p w14:paraId="72D96DD2" w14:textId="77777777" w:rsidR="00372BC6" w:rsidRPr="00B54C27" w:rsidRDefault="00372BC6">
      <w:pPr>
        <w:spacing w:line="360" w:lineRule="auto"/>
        <w:ind w:right="-787"/>
        <w:jc w:val="both"/>
        <w:rPr>
          <w:rFonts w:ascii="Palatino Linotype" w:eastAsia="Palatino Linotype" w:hAnsi="Palatino Linotype" w:cs="Palatino Linotype"/>
        </w:rPr>
      </w:pPr>
    </w:p>
    <w:p w14:paraId="1A5709B4" w14:textId="77777777" w:rsidR="00372BC6" w:rsidRPr="00B54C27" w:rsidRDefault="00A969C3">
      <w:pPr>
        <w:numPr>
          <w:ilvl w:val="0"/>
          <w:numId w:val="1"/>
        </w:numPr>
        <w:spacing w:line="360" w:lineRule="auto"/>
        <w:ind w:left="0" w:right="-787" w:firstLine="0"/>
        <w:jc w:val="both"/>
        <w:rPr>
          <w:rFonts w:ascii="Helvetica Neue" w:eastAsia="Helvetica Neue" w:hAnsi="Helvetica Neue" w:cs="Helvetica Neue"/>
          <w:color w:val="333333"/>
        </w:rPr>
      </w:pPr>
      <w:r w:rsidRPr="00B54C27">
        <w:rPr>
          <w:rFonts w:ascii="Palatino Linotype" w:eastAsia="Palatino Linotype" w:hAnsi="Palatino Linotype" w:cs="Palatino Linotype"/>
        </w:rPr>
        <w:t>De lo anterior se concluye la existencia de</w:t>
      </w:r>
      <w:r w:rsidRPr="00B54C27">
        <w:rPr>
          <w:rFonts w:ascii="Palatino Linotype" w:eastAsia="Palatino Linotype" w:hAnsi="Palatino Linotype" w:cs="Palatino Linotype"/>
          <w:b/>
        </w:rPr>
        <w:t xml:space="preserve">l </w:t>
      </w:r>
      <w:r w:rsidRPr="00B54C27">
        <w:rPr>
          <w:rFonts w:ascii="Palatino Linotype" w:eastAsia="Palatino Linotype" w:hAnsi="Palatino Linotype" w:cs="Palatino Linotype"/>
        </w:rPr>
        <w:t xml:space="preserve">Convenio amistoso para la precisión y reconocimiento de sus respectivos  límites territoriales, celebrado por el Gobierno del </w:t>
      </w:r>
      <w:r w:rsidRPr="00B54C27">
        <w:rPr>
          <w:rFonts w:ascii="Palatino Linotype" w:eastAsia="Palatino Linotype" w:hAnsi="Palatino Linotype" w:cs="Palatino Linotype"/>
        </w:rPr>
        <w:lastRenderedPageBreak/>
        <w:t>Estado de México y el Departamento del Distrito Federal, y la supuesta jurisdicción dentro del municipio de Huixquilucan, Estado de México, del Deportivo Año Internacional de la Mujer, también conocido como Cacalote.</w:t>
      </w:r>
    </w:p>
    <w:p w14:paraId="181BEDF9" w14:textId="77777777" w:rsidR="00372BC6" w:rsidRPr="00B54C27" w:rsidRDefault="00372BC6">
      <w:pPr>
        <w:spacing w:line="360" w:lineRule="auto"/>
        <w:ind w:right="-787"/>
        <w:jc w:val="both"/>
        <w:rPr>
          <w:rFonts w:ascii="Helvetica Neue" w:eastAsia="Helvetica Neue" w:hAnsi="Helvetica Neue" w:cs="Helvetica Neue"/>
          <w:color w:val="333333"/>
        </w:rPr>
      </w:pPr>
    </w:p>
    <w:p w14:paraId="02852A0D" w14:textId="77777777" w:rsidR="00372BC6" w:rsidRPr="00B54C27" w:rsidRDefault="00A969C3">
      <w:pPr>
        <w:numPr>
          <w:ilvl w:val="0"/>
          <w:numId w:val="1"/>
        </w:numPr>
        <w:spacing w:line="360" w:lineRule="auto"/>
        <w:ind w:left="0" w:right="-787" w:firstLine="0"/>
        <w:jc w:val="both"/>
        <w:rPr>
          <w:rFonts w:ascii="Helvetica Neue" w:eastAsia="Helvetica Neue" w:hAnsi="Helvetica Neue" w:cs="Helvetica Neue"/>
          <w:color w:val="333333"/>
        </w:rPr>
      </w:pPr>
      <w:r w:rsidRPr="00B54C27">
        <w:rPr>
          <w:rFonts w:ascii="Palatino Linotype" w:eastAsia="Palatino Linotype" w:hAnsi="Palatino Linotype" w:cs="Palatino Linotype"/>
        </w:rPr>
        <w:t>En este orden de ideas es de señalar que el Plan de Desarrollo Municipal de Huixquilucan, Estado de México 2022-2024, en la fracción VI, pilar 1, social, denominado municipio socialmente responsable, solidario e incluyente, en su fracción VI.I.VII. Tema: Cultura física, deporte y recreación, establece que “El Municipio de Huixquilucan cuenta con una infraestructura de deportivos, canchas y unidades deportivas, los cuales año con año se rehabilitan para mantenerlos en buen estado y así poder beneficiar a cada comunidad que cuenta con un área deportiva se muestra la lista de cada uno de ellos en la siguiente tabla.”</w:t>
      </w:r>
    </w:p>
    <w:p w14:paraId="49AAD7DD" w14:textId="77777777" w:rsidR="00372BC6" w:rsidRPr="00B54C27" w:rsidRDefault="00372BC6">
      <w:pPr>
        <w:spacing w:line="360" w:lineRule="auto"/>
        <w:ind w:right="-787"/>
        <w:jc w:val="both"/>
        <w:rPr>
          <w:rFonts w:ascii="Palatino Linotype" w:eastAsia="Palatino Linotype" w:hAnsi="Palatino Linotype" w:cs="Palatino Linotype"/>
        </w:rPr>
      </w:pPr>
    </w:p>
    <w:p w14:paraId="3A281A65" w14:textId="77777777" w:rsidR="00372BC6" w:rsidRPr="00B54C27" w:rsidRDefault="00A969C3">
      <w:pPr>
        <w:spacing w:line="360" w:lineRule="auto"/>
        <w:ind w:right="-787"/>
        <w:jc w:val="both"/>
        <w:rPr>
          <w:rFonts w:ascii="Helvetica Neue" w:eastAsia="Helvetica Neue" w:hAnsi="Helvetica Neue" w:cs="Helvetica Neue"/>
          <w:color w:val="333333"/>
        </w:rPr>
      </w:pPr>
      <w:r w:rsidRPr="00B54C27">
        <w:rPr>
          <w:rFonts w:ascii="Helvetica Neue" w:eastAsia="Helvetica Neue" w:hAnsi="Helvetica Neue" w:cs="Helvetica Neue"/>
          <w:noProof/>
          <w:color w:val="333333"/>
          <w:lang w:val="es-MX" w:eastAsia="es-MX"/>
        </w:rPr>
        <w:lastRenderedPageBreak/>
        <w:drawing>
          <wp:inline distT="0" distB="0" distL="0" distR="0" wp14:anchorId="2FEEA267" wp14:editId="70D91B29">
            <wp:extent cx="5612130" cy="752983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612130" cy="7529830"/>
                    </a:xfrm>
                    <a:prstGeom prst="rect">
                      <a:avLst/>
                    </a:prstGeom>
                    <a:ln/>
                  </pic:spPr>
                </pic:pic>
              </a:graphicData>
            </a:graphic>
          </wp:inline>
        </w:drawing>
      </w:r>
    </w:p>
    <w:p w14:paraId="2F896EC2"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lastRenderedPageBreak/>
        <w:t xml:space="preserve">De manera notoria, el municipio de Huixquilucan si cuenta con un deportivo denominado </w:t>
      </w:r>
      <w:r w:rsidRPr="00B54C27">
        <w:rPr>
          <w:rFonts w:ascii="Palatino Linotype" w:eastAsia="Palatino Linotype" w:hAnsi="Palatino Linotype" w:cs="Palatino Linotype"/>
          <w:b/>
          <w:i/>
        </w:rPr>
        <w:t xml:space="preserve">el </w:t>
      </w:r>
      <w:proofErr w:type="spellStart"/>
      <w:r w:rsidRPr="00B54C27">
        <w:rPr>
          <w:rFonts w:ascii="Palatino Linotype" w:eastAsia="Palatino Linotype" w:hAnsi="Palatino Linotype" w:cs="Palatino Linotype"/>
          <w:b/>
          <w:i/>
        </w:rPr>
        <w:t>caclote</w:t>
      </w:r>
      <w:proofErr w:type="spellEnd"/>
      <w:r w:rsidRPr="00B54C27">
        <w:rPr>
          <w:rFonts w:ascii="Palatino Linotype" w:eastAsia="Palatino Linotype" w:hAnsi="Palatino Linotype" w:cs="Palatino Linotype"/>
        </w:rPr>
        <w:t>, por lo que se determina que pudiera obrar información de la cual fue objeto la solicitud de información y el presente recurso de inconformidad, en diversas unidades administrativas del Sujeto Obligado, como lo son de manera enunciativa más no limitativa la Dirección Jurídica, Consejería Jurídica, la Coordinación Municipal de Protección Civil, Dirección General de Infraestructura y Edificación, Tesorería Municipal, la Dirección General de Administración, y la Dirección General de Ecología y Medio Ambiente.</w:t>
      </w:r>
    </w:p>
    <w:p w14:paraId="466AC8B1" w14:textId="77777777" w:rsidR="00372BC6" w:rsidRPr="00B54C27" w:rsidRDefault="00372BC6">
      <w:pPr>
        <w:spacing w:line="360" w:lineRule="auto"/>
        <w:ind w:right="-787"/>
        <w:jc w:val="both"/>
        <w:rPr>
          <w:rFonts w:ascii="Palatino Linotype" w:eastAsia="Palatino Linotype" w:hAnsi="Palatino Linotype" w:cs="Palatino Linotype"/>
        </w:rPr>
      </w:pPr>
    </w:p>
    <w:p w14:paraId="09A1FB55" w14:textId="77777777" w:rsidR="00372BC6" w:rsidRPr="00B54C27" w:rsidRDefault="00A969C3">
      <w:pPr>
        <w:numPr>
          <w:ilvl w:val="0"/>
          <w:numId w:val="1"/>
        </w:numPr>
        <w:spacing w:line="360" w:lineRule="auto"/>
        <w:ind w:left="0" w:right="-787" w:firstLine="0"/>
        <w:jc w:val="both"/>
      </w:pPr>
      <w:r w:rsidRPr="00B54C27">
        <w:rPr>
          <w:rFonts w:ascii="Palatino Linotype" w:eastAsia="Palatino Linotype" w:hAnsi="Palatino Linotype" w:cs="Palatino Linotype"/>
        </w:rPr>
        <w:t>Lo anterior conforme a lo establecido en el Reglamento Orgánico de la Administración Pública Municipal de Huixquilucan, México 2022-2024.</w:t>
      </w:r>
    </w:p>
    <w:p w14:paraId="263394DE"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Artículo 50. </w:t>
      </w:r>
      <w:r w:rsidRPr="00B54C27">
        <w:rPr>
          <w:rFonts w:ascii="Palatino Linotype" w:eastAsia="Palatino Linotype" w:hAnsi="Palatino Linotype" w:cs="Palatino Linotype"/>
          <w:b/>
          <w:i/>
          <w:sz w:val="22"/>
          <w:szCs w:val="22"/>
        </w:rPr>
        <w:t>La Consejería Jurídica</w:t>
      </w:r>
      <w:r w:rsidRPr="00B54C27">
        <w:rPr>
          <w:rFonts w:ascii="Palatino Linotype" w:eastAsia="Palatino Linotype" w:hAnsi="Palatino Linotype" w:cs="Palatino Linotype"/>
          <w:i/>
          <w:sz w:val="22"/>
          <w:szCs w:val="22"/>
        </w:rPr>
        <w:t xml:space="preserve"> de la Presidencia Municipal, tendrá a su cargo las siguientes atribuciones, facultades y obligaciones:</w:t>
      </w:r>
    </w:p>
    <w:p w14:paraId="23E2C9D7"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4E65F1A1"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XII. Revisar en conjunto con la Dirección Jurídica los convenios interinstitucionales de coordinación y cooperación con dependencias federales, estatales y/o con otros municipios, que suscribirá la Presidenta Municipal;</w:t>
      </w:r>
    </w:p>
    <w:p w14:paraId="37F393FE"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16813D56"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XIV. Coordinar la comunicación e intercambio de información en materia jurídica con las diversas Dependencias, Entidades y Unidades Administrativas del Ayuntamiento a fin de desempeñar las acciones conducentes de manera oportuna en los asuntos que competen a la Presidencia Municipal.</w:t>
      </w:r>
    </w:p>
    <w:p w14:paraId="771AB959"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57457282" w14:textId="77777777" w:rsidR="00372BC6" w:rsidRPr="00B54C27" w:rsidRDefault="00372BC6">
      <w:pPr>
        <w:ind w:left="566" w:right="-220"/>
        <w:jc w:val="both"/>
        <w:rPr>
          <w:rFonts w:ascii="Palatino Linotype" w:eastAsia="Palatino Linotype" w:hAnsi="Palatino Linotype" w:cs="Palatino Linotype"/>
          <w:i/>
          <w:sz w:val="22"/>
          <w:szCs w:val="22"/>
        </w:rPr>
      </w:pPr>
    </w:p>
    <w:p w14:paraId="1E46C3B7"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Artículo 78. La </w:t>
      </w:r>
      <w:r w:rsidRPr="00B54C27">
        <w:rPr>
          <w:rFonts w:ascii="Palatino Linotype" w:eastAsia="Palatino Linotype" w:hAnsi="Palatino Linotype" w:cs="Palatino Linotype"/>
          <w:b/>
          <w:i/>
          <w:sz w:val="22"/>
          <w:szCs w:val="22"/>
        </w:rPr>
        <w:t>Coordinación Municipal de Protección Civil</w:t>
      </w:r>
      <w:r w:rsidRPr="00B54C27">
        <w:rPr>
          <w:rFonts w:ascii="Palatino Linotype" w:eastAsia="Palatino Linotype" w:hAnsi="Palatino Linotype" w:cs="Palatino Linotype"/>
          <w:i/>
          <w:sz w:val="22"/>
          <w:szCs w:val="22"/>
        </w:rPr>
        <w:t xml:space="preserve">, será encabezada por un Coordinador que será nombrado por la Presidenta Municipal y que le responderá directamente en los casos de emergencias y tendrá las siguientes facultades: </w:t>
      </w:r>
    </w:p>
    <w:p w14:paraId="1BCEF8D5" w14:textId="77777777" w:rsidR="00372BC6" w:rsidRPr="00B54C27" w:rsidRDefault="00372BC6">
      <w:pPr>
        <w:ind w:left="566" w:right="-220"/>
        <w:jc w:val="both"/>
        <w:rPr>
          <w:rFonts w:ascii="Palatino Linotype" w:eastAsia="Palatino Linotype" w:hAnsi="Palatino Linotype" w:cs="Palatino Linotype"/>
          <w:i/>
          <w:sz w:val="22"/>
          <w:szCs w:val="22"/>
        </w:rPr>
      </w:pPr>
    </w:p>
    <w:p w14:paraId="6E2CC371"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I. Proponer los mecanismos, instrumentos y procedimientos de carácter técnico operativo, de servicios y logística que permitan prevenir y atender la eventualidad de un desastre y a salvaguardar la integridad física de las personas, sus bienes y entorno frente a la eventualidad de un riesgo, emergencia, siniestro o desastre; </w:t>
      </w:r>
    </w:p>
    <w:p w14:paraId="4652AB81"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lastRenderedPageBreak/>
        <w:t>II. Supervisar y evaluar la elaboración, operación y actualización del Atlas de Riesgo en materia de protección civil;</w:t>
      </w:r>
    </w:p>
    <w:p w14:paraId="6C8A4B9A"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108347B0"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IV. Supervisar la atención de las emergencias en conjunto con el área encargada de la Seguridad Municipal;</w:t>
      </w:r>
    </w:p>
    <w:p w14:paraId="1761DE6B"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209E5A2F"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VII. Fomentar una cultura de protección y auto protección, para motivar en momentos de riesgo, catástrofe o calamidad, una respuesta eficaz, responsable y participativa; </w:t>
      </w:r>
    </w:p>
    <w:p w14:paraId="75F67019"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VIII. Desarrollar Programas básicos de prevención, y realizar las acciones necesarias para garantizar la protección de las personas, instalaciones y bienes de interés común, con la finalidad de estar preparados en caso de algún riesgo, contingencia, catástrofe o calamidad pública; </w:t>
      </w:r>
    </w:p>
    <w:p w14:paraId="0A3763AD"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IX. Emitir dictamen de protección civil de bajo riesgo, incluyendo a los establecimientos mercantiles que vendan bebidas alcohólicas para su consumo, en</w:t>
      </w:r>
      <w:r w:rsidRPr="00B54C27">
        <w:rPr>
          <w:rFonts w:ascii="Palatino Linotype" w:eastAsia="Palatino Linotype" w:hAnsi="Palatino Linotype" w:cs="Palatino Linotype"/>
          <w:sz w:val="22"/>
          <w:szCs w:val="22"/>
        </w:rPr>
        <w:t xml:space="preserve"> </w:t>
      </w:r>
      <w:r w:rsidRPr="00B54C27">
        <w:rPr>
          <w:rFonts w:ascii="Palatino Linotype" w:eastAsia="Palatino Linotype" w:hAnsi="Palatino Linotype" w:cs="Palatino Linotype"/>
          <w:i/>
          <w:sz w:val="22"/>
          <w:szCs w:val="22"/>
        </w:rPr>
        <w:t>envase cerrado o al copeo, en términos de lo establecido en el artículo 6.25 bis del Código Administrativo del Estado de México;</w:t>
      </w:r>
    </w:p>
    <w:p w14:paraId="09F7893E"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7858B522"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XI. Llevar a cabo verificaciones periódicamente que los establecimientos comerciales, industriales y de servicios ubicados en el territorio municipal cumplan con las condiciones de seguridad en materia de la regulación de protección civil, para efectos de la expedición de permisos, autorizaciones o licencias de funcionamiento;</w:t>
      </w:r>
    </w:p>
    <w:p w14:paraId="7E29E098"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279A222E" w14:textId="77777777" w:rsidR="00372BC6" w:rsidRPr="00B54C27" w:rsidRDefault="00372BC6">
      <w:pPr>
        <w:ind w:left="566" w:right="-220"/>
        <w:jc w:val="both"/>
        <w:rPr>
          <w:rFonts w:ascii="Palatino Linotype" w:eastAsia="Palatino Linotype" w:hAnsi="Palatino Linotype" w:cs="Palatino Linotype"/>
          <w:i/>
          <w:sz w:val="22"/>
          <w:szCs w:val="22"/>
        </w:rPr>
      </w:pPr>
    </w:p>
    <w:p w14:paraId="5F1DF508"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Artículo 86. La </w:t>
      </w:r>
      <w:r w:rsidRPr="00B54C27">
        <w:rPr>
          <w:rFonts w:ascii="Palatino Linotype" w:eastAsia="Palatino Linotype" w:hAnsi="Palatino Linotype" w:cs="Palatino Linotype"/>
          <w:b/>
          <w:i/>
          <w:sz w:val="22"/>
          <w:szCs w:val="22"/>
        </w:rPr>
        <w:t>Dirección Jurídica</w:t>
      </w:r>
      <w:r w:rsidRPr="00B54C27">
        <w:rPr>
          <w:rFonts w:ascii="Palatino Linotype" w:eastAsia="Palatino Linotype" w:hAnsi="Palatino Linotype" w:cs="Palatino Linotype"/>
          <w:i/>
          <w:sz w:val="22"/>
          <w:szCs w:val="22"/>
        </w:rPr>
        <w:t xml:space="preserve"> tendrá las siguientes atribuciones:</w:t>
      </w:r>
    </w:p>
    <w:p w14:paraId="1B4E2833" w14:textId="77777777" w:rsidR="00372BC6" w:rsidRPr="00B54C27" w:rsidRDefault="00372BC6">
      <w:pPr>
        <w:ind w:left="566" w:right="-220"/>
        <w:jc w:val="both"/>
        <w:rPr>
          <w:rFonts w:ascii="Palatino Linotype" w:eastAsia="Palatino Linotype" w:hAnsi="Palatino Linotype" w:cs="Palatino Linotype"/>
          <w:i/>
          <w:sz w:val="22"/>
          <w:szCs w:val="22"/>
        </w:rPr>
      </w:pPr>
    </w:p>
    <w:p w14:paraId="2068DC69"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I. Asesorar y asistir jurídicamente a la Presidencia Municipal, miembros del Ayuntamiento y a las Dependencias y Unidades Administrativas;</w:t>
      </w:r>
    </w:p>
    <w:p w14:paraId="71DC5E3D"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2E184FE9"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V. Participar con previa solicitud, en los procedimientos relacionados con la concesión o autorización de servicios públicos, asegurando el cumplimiento de la normatividad y la protección de los derechos e intereses del Municipio;</w:t>
      </w:r>
    </w:p>
    <w:p w14:paraId="75BE59F5"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228E14AD"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VIII. Coadyuvar con las Dependencias y Unidades Administrativas en la revisión, análisis, elaboración y emitir opinión, respecto de los convenios, contratos y demás instrumentos jurídicos que se celebren con otros órganos gubernamentales o con particulares, en el ámbito de su competencia y dar el Visto Bueno jurídico para las firmas correspondientes;</w:t>
      </w:r>
    </w:p>
    <w:p w14:paraId="3FBBF050"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27FF0122" w14:textId="77777777" w:rsidR="00372BC6" w:rsidRPr="00B54C27" w:rsidRDefault="00372BC6">
      <w:pPr>
        <w:ind w:left="566" w:right="-220"/>
        <w:jc w:val="center"/>
        <w:rPr>
          <w:rFonts w:ascii="Palatino Linotype" w:eastAsia="Palatino Linotype" w:hAnsi="Palatino Linotype" w:cs="Palatino Linotype"/>
          <w:b/>
          <w:i/>
          <w:sz w:val="22"/>
          <w:szCs w:val="22"/>
        </w:rPr>
      </w:pPr>
    </w:p>
    <w:p w14:paraId="7CDB478B" w14:textId="77777777" w:rsidR="00372BC6" w:rsidRPr="00B54C27" w:rsidRDefault="00A969C3">
      <w:pPr>
        <w:ind w:left="566" w:right="-220"/>
        <w:jc w:val="center"/>
        <w:rPr>
          <w:rFonts w:ascii="Palatino Linotype" w:eastAsia="Palatino Linotype" w:hAnsi="Palatino Linotype" w:cs="Palatino Linotype"/>
          <w:b/>
          <w:i/>
          <w:sz w:val="22"/>
          <w:szCs w:val="22"/>
        </w:rPr>
      </w:pPr>
      <w:r w:rsidRPr="00B54C27">
        <w:rPr>
          <w:rFonts w:ascii="Palatino Linotype" w:eastAsia="Palatino Linotype" w:hAnsi="Palatino Linotype" w:cs="Palatino Linotype"/>
          <w:b/>
          <w:i/>
          <w:sz w:val="22"/>
          <w:szCs w:val="22"/>
        </w:rPr>
        <w:t>DE LA TESORERÍA MUNICIPAL</w:t>
      </w:r>
    </w:p>
    <w:p w14:paraId="0354A9AB" w14:textId="77777777" w:rsidR="00372BC6" w:rsidRPr="00B54C27" w:rsidRDefault="00372BC6">
      <w:pPr>
        <w:ind w:left="566" w:right="-220"/>
        <w:jc w:val="center"/>
        <w:rPr>
          <w:rFonts w:ascii="Palatino Linotype" w:eastAsia="Palatino Linotype" w:hAnsi="Palatino Linotype" w:cs="Palatino Linotype"/>
          <w:b/>
          <w:i/>
          <w:sz w:val="22"/>
          <w:szCs w:val="22"/>
        </w:rPr>
      </w:pPr>
    </w:p>
    <w:p w14:paraId="61FDB67F"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lastRenderedPageBreak/>
        <w:t>Artículo 95. La Tesorería Municipal es la Dependencia encargada de la recaudación, planeación, administración, comprobación, programación y presupuesto del ejercicio de los recursos públicos, así como ser el responsable de dar viabilidad a los planes, programas, proyectos y demás acciones de la administración a través de la conducción de la política económica y financiera.</w:t>
      </w:r>
    </w:p>
    <w:p w14:paraId="5D4F1AE0" w14:textId="77777777" w:rsidR="00372BC6" w:rsidRPr="00B54C27" w:rsidRDefault="00372BC6">
      <w:pPr>
        <w:ind w:left="566" w:right="-220"/>
        <w:jc w:val="both"/>
        <w:rPr>
          <w:rFonts w:ascii="Palatino Linotype" w:eastAsia="Palatino Linotype" w:hAnsi="Palatino Linotype" w:cs="Palatino Linotype"/>
          <w:i/>
          <w:sz w:val="22"/>
          <w:szCs w:val="22"/>
        </w:rPr>
      </w:pPr>
    </w:p>
    <w:p w14:paraId="3EC6F411"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Artículo 96. La Tesorería Municipal, estará a cargo de un Tesorero Municipal y tendrá las atribuciones, responsabilidades y funciones que le otorguen las leyes, reglamentos y demás disposiciones aplicables en la materia, así como las que a continuación se establecen:</w:t>
      </w:r>
    </w:p>
    <w:p w14:paraId="718E1135"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I. Elaborar y proponer para la aprobación del Ayuntamiento, a través de la Presidenta Municipal, los proyectos de Reglamentos, acuerdos y programación, presupuestación y evaluación de la actividad económica y financiera del Municipio, entre ellos los lineamientos anuales para el ejercicio y seguimiento del presupuesto de egresos, en coordinación con la Secretaría Técnica Municipal, la Dirección General de Administración y la Contraloría Interna Municipal; </w:t>
      </w:r>
    </w:p>
    <w:p w14:paraId="723700B5" w14:textId="77777777" w:rsidR="00372BC6" w:rsidRPr="00B54C27" w:rsidRDefault="00372BC6">
      <w:pPr>
        <w:ind w:left="566" w:right="-220"/>
        <w:jc w:val="both"/>
        <w:rPr>
          <w:rFonts w:ascii="Palatino Linotype" w:eastAsia="Palatino Linotype" w:hAnsi="Palatino Linotype" w:cs="Palatino Linotype"/>
          <w:i/>
          <w:sz w:val="22"/>
          <w:szCs w:val="22"/>
        </w:rPr>
      </w:pPr>
    </w:p>
    <w:p w14:paraId="432313AB"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II. Administrar la hacienda pública municipal, de conformidad con las disposiciones legales aplicables;</w:t>
      </w:r>
    </w:p>
    <w:p w14:paraId="33B660F6"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76B28F09"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XIII. Coadyuvar con la Secretaría del Ayuntamiento para mantener actualizado el Registro del Patrimonio Público Municipal;</w:t>
      </w:r>
    </w:p>
    <w:p w14:paraId="3B264C06"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473F507B"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XX. Administrar, recaudar, comprobar, determinar, notificar y cobrar las contribuciones, productos, aprovechamientos y los accesorios, conforme a la Ley de Ingresos aplicable;</w:t>
      </w:r>
    </w:p>
    <w:p w14:paraId="62FF5167"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77E2CAA2" w14:textId="77777777" w:rsidR="00372BC6" w:rsidRPr="00B54C27" w:rsidRDefault="00372BC6">
      <w:pPr>
        <w:ind w:left="566" w:right="-220"/>
        <w:jc w:val="both"/>
        <w:rPr>
          <w:rFonts w:ascii="Palatino Linotype" w:eastAsia="Palatino Linotype" w:hAnsi="Palatino Linotype" w:cs="Palatino Linotype"/>
          <w:i/>
          <w:sz w:val="22"/>
          <w:szCs w:val="22"/>
        </w:rPr>
      </w:pPr>
    </w:p>
    <w:p w14:paraId="5284B079" w14:textId="77777777" w:rsidR="00372BC6" w:rsidRPr="00B54C27" w:rsidRDefault="00A969C3">
      <w:pPr>
        <w:ind w:left="566" w:right="-220"/>
        <w:jc w:val="center"/>
        <w:rPr>
          <w:rFonts w:ascii="Palatino Linotype" w:eastAsia="Palatino Linotype" w:hAnsi="Palatino Linotype" w:cs="Palatino Linotype"/>
          <w:b/>
          <w:i/>
          <w:sz w:val="22"/>
          <w:szCs w:val="22"/>
        </w:rPr>
      </w:pPr>
      <w:r w:rsidRPr="00B54C27">
        <w:rPr>
          <w:rFonts w:ascii="Palatino Linotype" w:eastAsia="Palatino Linotype" w:hAnsi="Palatino Linotype" w:cs="Palatino Linotype"/>
          <w:b/>
          <w:i/>
          <w:sz w:val="22"/>
          <w:szCs w:val="22"/>
        </w:rPr>
        <w:t>DE LA DIRECCIÓN GENERAL DE ADMINISTRACIÓN</w:t>
      </w:r>
    </w:p>
    <w:p w14:paraId="4772E31B" w14:textId="77777777" w:rsidR="00372BC6" w:rsidRPr="00B54C27" w:rsidRDefault="00372BC6">
      <w:pPr>
        <w:ind w:left="566" w:right="-220"/>
        <w:jc w:val="both"/>
        <w:rPr>
          <w:rFonts w:ascii="Palatino Linotype" w:eastAsia="Palatino Linotype" w:hAnsi="Palatino Linotype" w:cs="Palatino Linotype"/>
          <w:i/>
          <w:sz w:val="22"/>
          <w:szCs w:val="22"/>
        </w:rPr>
      </w:pPr>
    </w:p>
    <w:p w14:paraId="1D7F51C9"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Artículo 123. La Dirección General de Administración es la Unidad Administrativa encargada de administrar, comprobar y controlar los recursos humanos, materiales y técnicos que sean necesarios para el desarrollo del funcionamiento de las distintas Dependencias y Unidades Administrativas que conforman la administración, considerando la capacidad financiera, así como el Plan de Desarrollo Municipal. </w:t>
      </w:r>
    </w:p>
    <w:p w14:paraId="387150BB" w14:textId="77777777" w:rsidR="00372BC6" w:rsidRPr="00B54C27" w:rsidRDefault="00372BC6">
      <w:pPr>
        <w:ind w:left="566" w:right="-220"/>
        <w:jc w:val="both"/>
        <w:rPr>
          <w:rFonts w:ascii="Palatino Linotype" w:eastAsia="Palatino Linotype" w:hAnsi="Palatino Linotype" w:cs="Palatino Linotype"/>
          <w:i/>
          <w:sz w:val="22"/>
          <w:szCs w:val="22"/>
        </w:rPr>
      </w:pPr>
    </w:p>
    <w:p w14:paraId="6E32DF10"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Artículo 124. La Dirección General de Administración tendrá las siguientes atribuciones: </w:t>
      </w:r>
    </w:p>
    <w:p w14:paraId="30A44D71" w14:textId="77777777" w:rsidR="00372BC6" w:rsidRPr="00B54C27" w:rsidRDefault="00372BC6">
      <w:pPr>
        <w:ind w:left="566" w:right="-220"/>
        <w:jc w:val="both"/>
        <w:rPr>
          <w:rFonts w:ascii="Palatino Linotype" w:eastAsia="Palatino Linotype" w:hAnsi="Palatino Linotype" w:cs="Palatino Linotype"/>
          <w:i/>
          <w:sz w:val="22"/>
          <w:szCs w:val="22"/>
        </w:rPr>
      </w:pPr>
    </w:p>
    <w:p w14:paraId="2A3BBFCB"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I. Planear, coordinar, comprobar y controlar la administración y aprovechamiento de los recursos humanos, materiales y de prestación de servicios que requieran las Dependencias;</w:t>
      </w:r>
    </w:p>
    <w:p w14:paraId="51399D1F"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2A4D87F4"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IV. Participar en los procedimientos de adquisición de bienes y servicios, requeridos y autorizados para la administración conforme a la normatividad aplicable;</w:t>
      </w:r>
    </w:p>
    <w:p w14:paraId="7B655F5F"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lastRenderedPageBreak/>
        <w:t>…</w:t>
      </w:r>
    </w:p>
    <w:p w14:paraId="7B08C781"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VI. Realizar los procesos de licitación de los bienes y servicios requeridos por la administración, de conformidad con las disposiciones legales aplicables;</w:t>
      </w:r>
    </w:p>
    <w:p w14:paraId="1ADA93C8"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VII. Participar en los procedimientos de adjudicación, bajo los supuestos de excepción a la Licitación Pública, conforme a la legislación aplicable; VIII. Participar en los comités de Arrendamientos, Adquisiciones de Inmuebles y Enajenaciones; Adquisiciones y Servicios o en su caso Adquisiciones, Arrendamientos y Servicios; así como en la elaboración de la propuesta de regulación municipal que establezca los instrumentos para la sistematización de los procedimientos de adquisiciones, arrendamientos y servicios que se realicen por la administración;</w:t>
      </w:r>
    </w:p>
    <w:p w14:paraId="4E641322"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703ED105" w14:textId="77777777" w:rsidR="00372BC6" w:rsidRPr="00B54C27" w:rsidRDefault="00372BC6">
      <w:pPr>
        <w:ind w:left="566" w:right="-220"/>
        <w:jc w:val="both"/>
        <w:rPr>
          <w:rFonts w:ascii="Palatino Linotype" w:eastAsia="Palatino Linotype" w:hAnsi="Palatino Linotype" w:cs="Palatino Linotype"/>
          <w:i/>
          <w:sz w:val="22"/>
          <w:szCs w:val="22"/>
        </w:rPr>
      </w:pPr>
    </w:p>
    <w:p w14:paraId="34E5AC92" w14:textId="77777777" w:rsidR="00372BC6" w:rsidRPr="00B54C27" w:rsidRDefault="00A969C3">
      <w:pPr>
        <w:ind w:left="566" w:right="-220"/>
        <w:jc w:val="center"/>
        <w:rPr>
          <w:rFonts w:ascii="Palatino Linotype" w:eastAsia="Palatino Linotype" w:hAnsi="Palatino Linotype" w:cs="Palatino Linotype"/>
          <w:b/>
          <w:i/>
          <w:sz w:val="22"/>
          <w:szCs w:val="22"/>
        </w:rPr>
      </w:pPr>
      <w:r w:rsidRPr="00B54C27">
        <w:rPr>
          <w:rFonts w:ascii="Palatino Linotype" w:eastAsia="Palatino Linotype" w:hAnsi="Palatino Linotype" w:cs="Palatino Linotype"/>
          <w:b/>
          <w:i/>
          <w:sz w:val="22"/>
          <w:szCs w:val="22"/>
        </w:rPr>
        <w:t>DE LA DIRECCIÓN GENERAL DE ECOLOGÍA Y MEDIO AMBIENTE</w:t>
      </w:r>
    </w:p>
    <w:p w14:paraId="6A1A2B56" w14:textId="77777777" w:rsidR="00372BC6" w:rsidRPr="00B54C27" w:rsidRDefault="00372BC6">
      <w:pPr>
        <w:ind w:left="566" w:right="-220"/>
        <w:jc w:val="both"/>
        <w:rPr>
          <w:rFonts w:ascii="Palatino Linotype" w:eastAsia="Palatino Linotype" w:hAnsi="Palatino Linotype" w:cs="Palatino Linotype"/>
          <w:i/>
          <w:sz w:val="22"/>
          <w:szCs w:val="22"/>
        </w:rPr>
      </w:pPr>
    </w:p>
    <w:p w14:paraId="08FD7B54"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Artículo 169. La Dirección General de Ecología y Medio Ambiente será la encargada de abordar los fenómenos ecológicos y ambientales a través de acciones encaminadas a su cuidado, preservación, protección y mejora. De igual forma se ocupará de implementar medidas y mecanismos para incentivar los principios de responsabilidad ambiental, gestión, educación y recuperación, así como de conservación, sustentabilidad y seguridad ecológica. Su Titular tendrá las atribuciones, responsabilidades y funciones que le otorguen las leyes, reglamentos y demás disposiciones legales aplicables en la materia, así como las que a continuación se establecen: </w:t>
      </w:r>
    </w:p>
    <w:p w14:paraId="7F710D5E" w14:textId="77777777" w:rsidR="00372BC6" w:rsidRPr="00B54C27" w:rsidRDefault="00372BC6">
      <w:pPr>
        <w:ind w:left="566" w:right="-220"/>
        <w:jc w:val="both"/>
        <w:rPr>
          <w:rFonts w:ascii="Palatino Linotype" w:eastAsia="Palatino Linotype" w:hAnsi="Palatino Linotype" w:cs="Palatino Linotype"/>
          <w:i/>
          <w:sz w:val="22"/>
          <w:szCs w:val="22"/>
        </w:rPr>
      </w:pPr>
    </w:p>
    <w:p w14:paraId="2F1AD6C5"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I. Planear, implementar y evaluar las políticas municipales en materia de ecología y protección del medio ambiente, considerando la normatividad en el ámbito federal y estatal que le aplique;</w:t>
      </w:r>
    </w:p>
    <w:p w14:paraId="33AE14B7"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385D7F75"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XIV. Coadyuvar con la Secretaría del Medio Ambiente del Gobierno del Estado, para la elaboración y desarrollo de programas que permitan la mitigación de impacto ambiental provocado por la actividad minera, disposición de residuos sólidos, contaminación de mantos acuíferos y otros en los que se involucre el entorno geológico;</w:t>
      </w:r>
    </w:p>
    <w:p w14:paraId="75EF7036"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7DB0B71B" w14:textId="77777777" w:rsidR="00372BC6" w:rsidRPr="00B54C27" w:rsidRDefault="00372BC6">
      <w:pPr>
        <w:ind w:left="566" w:right="-220"/>
        <w:jc w:val="both"/>
        <w:rPr>
          <w:rFonts w:ascii="Palatino Linotype" w:eastAsia="Palatino Linotype" w:hAnsi="Palatino Linotype" w:cs="Palatino Linotype"/>
          <w:i/>
          <w:sz w:val="22"/>
          <w:szCs w:val="22"/>
        </w:rPr>
      </w:pPr>
    </w:p>
    <w:p w14:paraId="7F6D91CC" w14:textId="77777777" w:rsidR="00372BC6" w:rsidRPr="00B54C27" w:rsidRDefault="00A969C3">
      <w:pPr>
        <w:ind w:left="566" w:right="-220"/>
        <w:jc w:val="center"/>
        <w:rPr>
          <w:rFonts w:ascii="Palatino Linotype" w:eastAsia="Palatino Linotype" w:hAnsi="Palatino Linotype" w:cs="Palatino Linotype"/>
          <w:b/>
          <w:i/>
          <w:sz w:val="22"/>
          <w:szCs w:val="22"/>
        </w:rPr>
      </w:pPr>
      <w:r w:rsidRPr="00B54C27">
        <w:rPr>
          <w:rFonts w:ascii="Palatino Linotype" w:eastAsia="Palatino Linotype" w:hAnsi="Palatino Linotype" w:cs="Palatino Linotype"/>
          <w:b/>
          <w:i/>
          <w:sz w:val="22"/>
          <w:szCs w:val="22"/>
        </w:rPr>
        <w:t>DE LA DIRECCIÓN GENERAL DE INFRAESTRUCTURA Y EDIFICACIÓN</w:t>
      </w:r>
    </w:p>
    <w:p w14:paraId="297F3D37" w14:textId="77777777" w:rsidR="00372BC6" w:rsidRPr="00B54C27" w:rsidRDefault="00372BC6">
      <w:pPr>
        <w:ind w:left="566" w:right="-220"/>
        <w:jc w:val="both"/>
        <w:rPr>
          <w:rFonts w:ascii="Palatino Linotype" w:eastAsia="Palatino Linotype" w:hAnsi="Palatino Linotype" w:cs="Palatino Linotype"/>
          <w:i/>
          <w:sz w:val="22"/>
          <w:szCs w:val="22"/>
        </w:rPr>
      </w:pPr>
    </w:p>
    <w:p w14:paraId="115C356F"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Artículo 186. La Dirección General de Infraestructura y Edificación tiene como objeto planear, programar, presupuestar, adjudicar, contratar, ejecutar, vigilar, supervisar, controlar, recibir, adecuar, conservar y mantener las obras públicas y equipamiento urbano municipal; así como otorgar el debiendo cumplimiento a lo establecido en el Libro Décimo Segundo del Código Administrativo del Estado de México, su respectivo Reglamento, y los demás ordenamientos legales aplicables. Su Titular tendrá como atribuciones, responsabilidades y funciones las que le </w:t>
      </w:r>
      <w:r w:rsidRPr="00B54C27">
        <w:rPr>
          <w:rFonts w:ascii="Palatino Linotype" w:eastAsia="Palatino Linotype" w:hAnsi="Palatino Linotype" w:cs="Palatino Linotype"/>
          <w:i/>
          <w:sz w:val="22"/>
          <w:szCs w:val="22"/>
        </w:rPr>
        <w:lastRenderedPageBreak/>
        <w:t xml:space="preserve">otorguen las leyes, reglamentos y demás disposiciones legales aplicables en la materia, así como las que a continuación se establecen: </w:t>
      </w:r>
    </w:p>
    <w:p w14:paraId="197A9D9F" w14:textId="77777777" w:rsidR="00372BC6" w:rsidRPr="00B54C27" w:rsidRDefault="00372BC6">
      <w:pPr>
        <w:ind w:left="566" w:right="-220"/>
        <w:jc w:val="both"/>
        <w:rPr>
          <w:rFonts w:ascii="Palatino Linotype" w:eastAsia="Palatino Linotype" w:hAnsi="Palatino Linotype" w:cs="Palatino Linotype"/>
          <w:i/>
          <w:sz w:val="22"/>
          <w:szCs w:val="22"/>
        </w:rPr>
      </w:pPr>
    </w:p>
    <w:p w14:paraId="0FFD9C61"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I. Promover y planear, la obra pública que se apruebe y se requiera ejecutar; </w:t>
      </w:r>
    </w:p>
    <w:p w14:paraId="0F64F0E2"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II. Elaborar y proponer ante las instancias competentes, el Programa Anual de Obra Pública Municipal; </w:t>
      </w:r>
    </w:p>
    <w:p w14:paraId="2E79D80F"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III. Coordinarse con las autoridades federales, estatales y municipales de acuerdo con los lineamientos, para la realización de la obra municipal;</w:t>
      </w:r>
    </w:p>
    <w:p w14:paraId="136275A5"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4347E547"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VIII. Construir y ejecutar todas aquellas obras que se autoricen por el Ayuntamiento en el Municipio, y trabajando en forma coordinada con las Dependencias, Entidades, Dependencias y Unidades Administrativas, otras instancias auxiliares del Ayuntamiento que realicen obra pública;</w:t>
      </w:r>
    </w:p>
    <w:p w14:paraId="3833A052"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2F9A473A"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X. Proponer para la aprobación de la Presidenta Municipal los programas a cargo de la Dirección General de Infraestructura y Edificación derivados del Plan de Desarrollo Municipal, así como encomendar a las Unidades Administrativas adscritas a ésta la ejecución y acciones derivadas de los mismos;</w:t>
      </w:r>
    </w:p>
    <w:p w14:paraId="4CAB42F4"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p>
    <w:p w14:paraId="61345E09" w14:textId="77777777" w:rsidR="00372BC6" w:rsidRPr="00B54C27" w:rsidRDefault="00372BC6">
      <w:pPr>
        <w:ind w:left="566" w:right="-220"/>
        <w:jc w:val="both"/>
        <w:rPr>
          <w:rFonts w:ascii="Palatino Linotype" w:eastAsia="Palatino Linotype" w:hAnsi="Palatino Linotype" w:cs="Palatino Linotype"/>
          <w:i/>
          <w:sz w:val="22"/>
          <w:szCs w:val="22"/>
        </w:rPr>
      </w:pPr>
    </w:p>
    <w:p w14:paraId="31085F7B" w14:textId="77777777" w:rsidR="00372BC6" w:rsidRPr="00B54C27" w:rsidRDefault="00A969C3">
      <w:pPr>
        <w:ind w:left="566" w:right="-220"/>
        <w:jc w:val="center"/>
        <w:rPr>
          <w:rFonts w:ascii="Palatino Linotype" w:eastAsia="Palatino Linotype" w:hAnsi="Palatino Linotype" w:cs="Palatino Linotype"/>
          <w:b/>
          <w:i/>
          <w:sz w:val="22"/>
          <w:szCs w:val="22"/>
        </w:rPr>
      </w:pPr>
      <w:r w:rsidRPr="00B54C27">
        <w:rPr>
          <w:rFonts w:ascii="Palatino Linotype" w:eastAsia="Palatino Linotype" w:hAnsi="Palatino Linotype" w:cs="Palatino Linotype"/>
          <w:b/>
          <w:i/>
          <w:sz w:val="22"/>
          <w:szCs w:val="22"/>
        </w:rPr>
        <w:t>DE LA DIRECCIÓN GENERAL DE SEGURIDAD PÚBLICA Y VIALIDAD</w:t>
      </w:r>
    </w:p>
    <w:p w14:paraId="2943ADDA" w14:textId="77777777" w:rsidR="00372BC6" w:rsidRPr="00B54C27" w:rsidRDefault="00372BC6">
      <w:pPr>
        <w:ind w:left="566" w:right="-220"/>
        <w:jc w:val="center"/>
        <w:rPr>
          <w:rFonts w:ascii="Palatino Linotype" w:eastAsia="Palatino Linotype" w:hAnsi="Palatino Linotype" w:cs="Palatino Linotype"/>
          <w:b/>
          <w:i/>
          <w:sz w:val="22"/>
          <w:szCs w:val="22"/>
        </w:rPr>
      </w:pPr>
    </w:p>
    <w:p w14:paraId="24715891"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 xml:space="preserve">Artículo 202. La Dirección General de Seguridad Pública y Vialidad será la encargada de conservar la tranquilidad y el orden público en el Municipio, así como de ser responsable de planear, coordinar, dirigir, administrar y controlar las políticas, programas y acciones en materia de Seguridad Pública, Tránsito, Vialidad, Bomberos y Rescate, para preservar el estado de derecho, los derechos fundamentales de las personas, la prevención de los delitos y la protección de la integridad física, bienes y derechos de la ciudadanía en general. Su Titular tendrá como atribuciones, responsabilidades y funciones las que le otorguen las leyes, reglamentos y demás disposiciones legales aplicables en la materia, así como las que a continuación se establecen: </w:t>
      </w:r>
    </w:p>
    <w:p w14:paraId="2B5F7A62" w14:textId="77777777" w:rsidR="00372BC6" w:rsidRPr="00B54C27" w:rsidRDefault="00372BC6">
      <w:pPr>
        <w:ind w:left="566" w:right="-220"/>
        <w:jc w:val="both"/>
        <w:rPr>
          <w:rFonts w:ascii="Palatino Linotype" w:eastAsia="Palatino Linotype" w:hAnsi="Palatino Linotype" w:cs="Palatino Linotype"/>
          <w:i/>
          <w:sz w:val="22"/>
          <w:szCs w:val="22"/>
        </w:rPr>
      </w:pPr>
    </w:p>
    <w:p w14:paraId="08E6D4ED" w14:textId="77777777" w:rsidR="00372BC6" w:rsidRPr="00B54C27" w:rsidRDefault="00A969C3">
      <w:pPr>
        <w:ind w:left="566"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I. Planear, programar, dirigir, operar, controlar y evaluar las funciones de los cuerpos de seguridad pública, policía auxiliar, tránsito, vialidad, bomberos, unidad de rescate, atendiendo el mando directo de la Presidenta Municipal y garantizando en todo tiempo el respeto de los Derechos Humanos de la población de Huixquilucan y los transeúntes del territorio Municipal;</w:t>
      </w:r>
    </w:p>
    <w:p w14:paraId="1A833AFA" w14:textId="77777777" w:rsidR="00372BC6" w:rsidRPr="00B54C27" w:rsidRDefault="00A969C3">
      <w:pPr>
        <w:ind w:left="993" w:right="-787"/>
        <w:jc w:val="both"/>
        <w:rPr>
          <w:rFonts w:ascii="Palatino Linotype" w:eastAsia="Palatino Linotype" w:hAnsi="Palatino Linotype" w:cs="Palatino Linotype"/>
          <w:i/>
        </w:rPr>
      </w:pPr>
      <w:r w:rsidRPr="00B54C27">
        <w:rPr>
          <w:rFonts w:ascii="Palatino Linotype" w:eastAsia="Palatino Linotype" w:hAnsi="Palatino Linotype" w:cs="Palatino Linotype"/>
          <w:i/>
        </w:rPr>
        <w:t>…</w:t>
      </w:r>
    </w:p>
    <w:p w14:paraId="377A491C" w14:textId="77777777" w:rsidR="00372BC6" w:rsidRPr="00B54C27" w:rsidRDefault="00372BC6">
      <w:pPr>
        <w:ind w:left="993" w:right="-787"/>
        <w:jc w:val="both"/>
        <w:rPr>
          <w:rFonts w:ascii="Palatino Linotype" w:eastAsia="Palatino Linotype" w:hAnsi="Palatino Linotype" w:cs="Palatino Linotype"/>
        </w:rPr>
      </w:pPr>
    </w:p>
    <w:p w14:paraId="69538B2A"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bookmarkStart w:id="8" w:name="_heading=h.26in1rg" w:colFirst="0" w:colLast="0"/>
      <w:bookmarkEnd w:id="8"/>
      <w:r w:rsidRPr="00B54C27">
        <w:rPr>
          <w:rFonts w:ascii="Palatino Linotype" w:eastAsia="Palatino Linotype" w:hAnsi="Palatino Linotype" w:cs="Palatino Linotype"/>
          <w:color w:val="000000"/>
        </w:rPr>
        <w:t xml:space="preserve">Para lo anterior es necesario precisar que toda vez que el Sujeto Obligado respondió de manera unilateral a la solicitud de información declarando una notoria incompetencia, </w:t>
      </w:r>
      <w:r w:rsidRPr="00B54C27">
        <w:rPr>
          <w:rFonts w:ascii="Palatino Linotype" w:eastAsia="Palatino Linotype" w:hAnsi="Palatino Linotype" w:cs="Palatino Linotype"/>
          <w:color w:val="000000"/>
        </w:rPr>
        <w:lastRenderedPageBreak/>
        <w:t>es dable ordenar una búsqueda en todas aquellas áreas que conforman en su conjunto el Sujeto Obligado, que de acuerdo a sus facultades puedan poseer la información, y dar así certeza a la particular de que se realizó una correcta búsqueda de la información requerida, siguiendo el procedimiento inmerso en la normatividad aplicable, vigilando lo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450EBBD9" w14:textId="77777777" w:rsidR="00372BC6" w:rsidRPr="00B54C27" w:rsidRDefault="00A969C3">
      <w:pPr>
        <w:ind w:left="1134" w:right="-79"/>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b/>
          <w:i/>
          <w:sz w:val="22"/>
          <w:szCs w:val="22"/>
        </w:rPr>
        <w:t>XXXIX.</w:t>
      </w:r>
      <w:r w:rsidRPr="00B54C27">
        <w:rPr>
          <w:rFonts w:ascii="Palatino Linotype" w:eastAsia="Palatino Linotype" w:hAnsi="Palatino Linotype" w:cs="Palatino Linotype"/>
          <w:i/>
          <w:sz w:val="22"/>
          <w:szCs w:val="22"/>
        </w:rPr>
        <w:t xml:space="preserve"> </w:t>
      </w:r>
      <w:r w:rsidRPr="00B54C27">
        <w:rPr>
          <w:rFonts w:ascii="Palatino Linotype" w:eastAsia="Palatino Linotype" w:hAnsi="Palatino Linotype" w:cs="Palatino Linotype"/>
          <w:b/>
          <w:i/>
          <w:sz w:val="22"/>
          <w:szCs w:val="22"/>
        </w:rPr>
        <w:t>Servidor público habilitado</w:t>
      </w:r>
      <w:r w:rsidRPr="00B54C27">
        <w:rPr>
          <w:rFonts w:ascii="Palatino Linotype" w:eastAsia="Palatino Linotype" w:hAnsi="Palatino Linotype" w:cs="Palatino Linotype"/>
          <w:i/>
          <w:sz w:val="22"/>
          <w:szCs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1495BC2" w14:textId="77777777" w:rsidR="00372BC6" w:rsidRPr="00B54C27" w:rsidRDefault="00372BC6">
      <w:pPr>
        <w:spacing w:line="360" w:lineRule="auto"/>
        <w:ind w:right="-787"/>
        <w:jc w:val="both"/>
        <w:rPr>
          <w:rFonts w:ascii="Palatino Linotype" w:eastAsia="Palatino Linotype" w:hAnsi="Palatino Linotype" w:cs="Palatino Linotype"/>
        </w:rPr>
      </w:pPr>
    </w:p>
    <w:p w14:paraId="5651F8D8"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Así las cosas, se señala que la Unidad de Transparencia deberá cumplir con lo establecido en el artículo 162 de la Ley de Transparencia y Acceso a la Información Pública del Estado de México y Municipios, el cual menciona lo siguiente:</w:t>
      </w:r>
    </w:p>
    <w:p w14:paraId="21C4485E" w14:textId="77777777" w:rsidR="00372BC6" w:rsidRPr="00B54C27" w:rsidRDefault="00A969C3">
      <w:pPr>
        <w:ind w:left="1134" w:right="-79"/>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i/>
          <w:sz w:val="22"/>
          <w:szCs w:val="22"/>
        </w:rPr>
        <w:t>“</w:t>
      </w:r>
      <w:r w:rsidRPr="00B54C27">
        <w:rPr>
          <w:rFonts w:ascii="Palatino Linotype" w:eastAsia="Palatino Linotype" w:hAnsi="Palatino Linotype" w:cs="Palatino Linotype"/>
          <w:b/>
          <w:i/>
          <w:sz w:val="22"/>
          <w:szCs w:val="22"/>
        </w:rPr>
        <w:t>Artículo 162.</w:t>
      </w:r>
      <w:r w:rsidRPr="00B54C27">
        <w:rPr>
          <w:rFonts w:ascii="Palatino Linotype" w:eastAsia="Palatino Linotype" w:hAnsi="Palatino Linotype" w:cs="Palatino Linotype"/>
          <w:i/>
          <w:sz w:val="22"/>
          <w:szCs w:val="22"/>
        </w:rPr>
        <w:t xml:space="preserve"> Las unidades de transparencia deberán garantizar que las solicitudes se turnen a </w:t>
      </w:r>
      <w:r w:rsidRPr="00B54C27">
        <w:rPr>
          <w:rFonts w:ascii="Palatino Linotype" w:eastAsia="Palatino Linotype" w:hAnsi="Palatino Linotype" w:cs="Palatino Linotype"/>
          <w:b/>
          <w:i/>
          <w:sz w:val="22"/>
          <w:szCs w:val="22"/>
        </w:rPr>
        <w:t>todas las Áreas competentes</w:t>
      </w:r>
      <w:r w:rsidRPr="00B54C27">
        <w:rPr>
          <w:rFonts w:ascii="Palatino Linotype" w:eastAsia="Palatino Linotype" w:hAnsi="Palatino Linotype" w:cs="Palatino Linotype"/>
          <w:i/>
          <w:sz w:val="22"/>
          <w:szCs w:val="22"/>
        </w:rPr>
        <w:t xml:space="preserve"> que cuenten con la información o deban tenerla de acuerdo a sus facultades, competencias y funciones, con el objeto de que realicen una búsqueda exhaustiva y razonable de la información solicitada.”</w:t>
      </w:r>
    </w:p>
    <w:p w14:paraId="02190615" w14:textId="77777777" w:rsidR="00372BC6" w:rsidRPr="00B54C27" w:rsidRDefault="00372BC6">
      <w:pPr>
        <w:spacing w:line="360" w:lineRule="auto"/>
        <w:ind w:right="-787"/>
        <w:jc w:val="both"/>
        <w:rPr>
          <w:rFonts w:ascii="Palatino Linotype" w:eastAsia="Palatino Linotype" w:hAnsi="Palatino Linotype" w:cs="Palatino Linotype"/>
        </w:rPr>
      </w:pPr>
    </w:p>
    <w:p w14:paraId="150B157E"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En el caso que la información cuente con datos personales confidenciales, el Sujeto Obligado deberá hacer entrega de la información en versión pública acompañada del acuerdo que para tales efectos emita su Comité de Transparencia de conformidad con los artículos 49, fracciones II y VIII, 143, fracción I y 149 de la Ley de Transparencia y Acceso a la Información Pública del Estado de México y Municipios.</w:t>
      </w:r>
    </w:p>
    <w:p w14:paraId="65444FA6" w14:textId="77777777" w:rsidR="00372BC6" w:rsidRPr="00B54C27" w:rsidRDefault="00372BC6">
      <w:pPr>
        <w:tabs>
          <w:tab w:val="left" w:pos="1470"/>
        </w:tabs>
        <w:spacing w:line="360" w:lineRule="auto"/>
        <w:ind w:right="-787"/>
        <w:jc w:val="both"/>
        <w:rPr>
          <w:rFonts w:ascii="Palatino Linotype" w:eastAsia="Palatino Linotype" w:hAnsi="Palatino Linotype" w:cs="Palatino Linotype"/>
        </w:rPr>
      </w:pPr>
    </w:p>
    <w:p w14:paraId="08B09216"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lastRenderedPageBreak/>
        <w:t>Aunado a ello, cabe precisar que el Sujeto Obligado no se encuentra forzado normativamente a procesar la información; ello, conforme al artículo 12 de la Ley de Transparencia y Acceso a la Información Pública del Estado de México y Municipios, que prevé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78E1165A" w14:textId="77777777" w:rsidR="00372BC6" w:rsidRPr="00B54C27" w:rsidRDefault="00372BC6">
      <w:pPr>
        <w:tabs>
          <w:tab w:val="left" w:pos="4962"/>
        </w:tabs>
        <w:spacing w:line="360" w:lineRule="auto"/>
        <w:ind w:right="-787"/>
        <w:jc w:val="both"/>
        <w:rPr>
          <w:rFonts w:ascii="Palatino Linotype" w:eastAsia="Palatino Linotype" w:hAnsi="Palatino Linotype" w:cs="Palatino Linotype"/>
        </w:rPr>
      </w:pPr>
    </w:p>
    <w:p w14:paraId="6E237C05"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 xml:space="preserve">De esta manera, el derecho de acceso a la información pública se satisface en aquellos casos en que se entregue el soporte documental en el que conste la información solicitada, sin necesidad de elaborar documentos </w:t>
      </w:r>
      <w:r w:rsidRPr="00B54C27">
        <w:rPr>
          <w:rFonts w:ascii="Palatino Linotype" w:eastAsia="Palatino Linotype" w:hAnsi="Palatino Linotype" w:cs="Palatino Linotype"/>
          <w:i/>
          <w:color w:val="000000"/>
        </w:rPr>
        <w:t>ad hoc</w:t>
      </w:r>
      <w:r w:rsidRPr="00B54C27">
        <w:rPr>
          <w:rFonts w:ascii="Palatino Linotype" w:eastAsia="Palatino Linotype" w:hAnsi="Palatino Linotype" w:cs="Palatino Linotype"/>
          <w:color w:val="000000"/>
        </w:rPr>
        <w:t>; lo cual, toma sustento en el artículo 160 de la Ley de Transparencia y Acceso a la Información Pública del Estado de México y Municipios, el cual refiere que los sujetos obligados deberán entregar la información que obre en sus archivos. Además, resulta aplicable el Criterio 03/17 del Instituto Nacional de Transparencia, Acceso a la Información y Protección de Datos Personales que a continuación se cita:</w:t>
      </w:r>
    </w:p>
    <w:p w14:paraId="6259B96F" w14:textId="77777777" w:rsidR="00372BC6" w:rsidRPr="00B54C27" w:rsidRDefault="00372BC6">
      <w:pPr>
        <w:spacing w:line="360" w:lineRule="auto"/>
        <w:ind w:left="567" w:right="-787"/>
        <w:jc w:val="both"/>
        <w:rPr>
          <w:rFonts w:ascii="Palatino Linotype" w:eastAsia="Palatino Linotype" w:hAnsi="Palatino Linotype" w:cs="Palatino Linotype"/>
          <w:b/>
        </w:rPr>
      </w:pPr>
    </w:p>
    <w:p w14:paraId="272BCDA3" w14:textId="77777777" w:rsidR="00372BC6" w:rsidRPr="00B54C27" w:rsidRDefault="00A969C3">
      <w:pPr>
        <w:ind w:left="1134" w:right="-220"/>
        <w:jc w:val="both"/>
        <w:rPr>
          <w:rFonts w:ascii="Palatino Linotype" w:eastAsia="Palatino Linotype" w:hAnsi="Palatino Linotype" w:cs="Palatino Linotype"/>
          <w:i/>
          <w:sz w:val="22"/>
          <w:szCs w:val="22"/>
        </w:rPr>
      </w:pPr>
      <w:r w:rsidRPr="00B54C27">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B54C27">
        <w:rPr>
          <w:rFonts w:ascii="Palatino Linotype" w:eastAsia="Palatino Linotype" w:hAnsi="Palatino Linotype" w:cs="Palatino Linotype"/>
          <w:i/>
          <w:sz w:val="22"/>
          <w:szCs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B54C27">
        <w:rPr>
          <w:rFonts w:ascii="Palatino Linotype" w:eastAsia="Palatino Linotype" w:hAnsi="Palatino Linotype" w:cs="Palatino Linotype"/>
          <w:i/>
          <w:sz w:val="22"/>
          <w:szCs w:val="22"/>
        </w:rPr>
        <w:lastRenderedPageBreak/>
        <w:t>sus archivos; sin necesidad de elaborar documentos ad hoc para atender las solicitudes de información.</w:t>
      </w:r>
    </w:p>
    <w:p w14:paraId="567CB8C9" w14:textId="77777777" w:rsidR="00372BC6" w:rsidRPr="00B54C27" w:rsidRDefault="00372BC6">
      <w:pPr>
        <w:spacing w:line="360" w:lineRule="auto"/>
        <w:ind w:right="-787"/>
        <w:jc w:val="both"/>
        <w:rPr>
          <w:rFonts w:ascii="Palatino Linotype" w:eastAsia="Palatino Linotype" w:hAnsi="Palatino Linotype" w:cs="Palatino Linotype"/>
        </w:rPr>
      </w:pPr>
    </w:p>
    <w:p w14:paraId="09C9D74E"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De tales circunstancias, se concluye que los Sujetos Obligados únicamente se encuentran constreñidos a proporcionar los documentos que den cuenta de la información solicitada, como obren en sus archivos, sin tener que elaborarlos a las necesidades del Recurrente.</w:t>
      </w:r>
    </w:p>
    <w:p w14:paraId="1F558E79" w14:textId="77777777" w:rsidR="00372BC6" w:rsidRPr="00B54C27" w:rsidRDefault="00372BC6">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30478835"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Así las cosas, una vez que la información sea localizada, los servidores públicos habilitados deberán de valorar si se entrega en su totalidad, en versión pública o si es susceptible de clasificarse.</w:t>
      </w:r>
    </w:p>
    <w:p w14:paraId="43412156" w14:textId="77777777" w:rsidR="00204574" w:rsidRPr="00B54C27" w:rsidRDefault="00204574" w:rsidP="00204574">
      <w:pPr>
        <w:pBdr>
          <w:top w:val="nil"/>
          <w:left w:val="nil"/>
          <w:bottom w:val="nil"/>
          <w:right w:val="nil"/>
          <w:between w:val="nil"/>
        </w:pBdr>
        <w:spacing w:line="360" w:lineRule="auto"/>
        <w:ind w:right="-787"/>
        <w:jc w:val="both"/>
        <w:rPr>
          <w:color w:val="000000"/>
        </w:rPr>
      </w:pPr>
    </w:p>
    <w:p w14:paraId="34A8B00B" w14:textId="77777777" w:rsidR="00204574" w:rsidRPr="00B54C27" w:rsidRDefault="00204574" w:rsidP="00136A54">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theme="majorHAnsi"/>
          <w:lang w:val="es-MX"/>
        </w:rPr>
      </w:pPr>
      <w:r w:rsidRPr="00B54C27">
        <w:rPr>
          <w:rFonts w:ascii="Palatino Linotype" w:hAnsi="Palatino Linotype" w:cstheme="majorHAnsi"/>
          <w:color w:val="000000"/>
        </w:rPr>
        <w:t>Ahora bien, al no existir certeza plena que el SUJETO OBLIGADO cuente con</w:t>
      </w:r>
      <w:r w:rsidRPr="00B54C27">
        <w:rPr>
          <w:rFonts w:ascii="Palatino Linotype" w:eastAsia="Palatino Linotype" w:hAnsi="Palatino Linotype" w:cstheme="majorHAnsi"/>
        </w:rPr>
        <w:t xml:space="preserve"> la información requerida por el particular, exceptuando </w:t>
      </w:r>
      <w:r w:rsidR="00136A54" w:rsidRPr="00B54C27">
        <w:rPr>
          <w:rFonts w:ascii="Palatino Linotype" w:eastAsia="Palatino Linotype" w:hAnsi="Palatino Linotype" w:cstheme="majorHAnsi"/>
        </w:rPr>
        <w:t xml:space="preserve">el </w:t>
      </w:r>
      <w:r w:rsidR="00136A54" w:rsidRPr="00B54C27">
        <w:rPr>
          <w:rFonts w:ascii="Palatino Linotype" w:hAnsi="Palatino Linotype" w:cstheme="majorHAnsi"/>
          <w:lang w:val="es-MX"/>
        </w:rPr>
        <w:t>documento en que conste o se advierta la descripción de sus áreas y superficies del</w:t>
      </w:r>
      <w:r w:rsidR="00136A54" w:rsidRPr="00B54C27">
        <w:rPr>
          <w:rFonts w:ascii="Palatino Linotype" w:hAnsi="Palatino Linotype" w:cstheme="majorHAnsi"/>
          <w:b/>
          <w:lang w:val="es-MX"/>
        </w:rPr>
        <w:t xml:space="preserve"> </w:t>
      </w:r>
      <w:r w:rsidR="00136A54" w:rsidRPr="00B54C27">
        <w:rPr>
          <w:rFonts w:ascii="Palatino Linotype" w:eastAsia="Palatino Linotype" w:hAnsi="Palatino Linotype" w:cstheme="majorHAnsi"/>
        </w:rPr>
        <w:t xml:space="preserve">Deportivo “Año Internacional de la Mujer”, también conocido como “Cacalote”, </w:t>
      </w:r>
      <w:r w:rsidRPr="00B54C27">
        <w:rPr>
          <w:rFonts w:ascii="Palatino Linotype" w:hAnsi="Palatino Linotype" w:cstheme="majorHAnsi"/>
          <w:color w:val="000000"/>
        </w:rPr>
        <w:t xml:space="preserve">deberá entonces atender a la siguiente salvedad para el caso que de la búsqueda exhaustiva y razonable no localizara soporte documental al respecto.  </w:t>
      </w:r>
    </w:p>
    <w:p w14:paraId="46765AA1" w14:textId="77777777" w:rsidR="00204574" w:rsidRPr="00B54C27" w:rsidRDefault="00204574" w:rsidP="00204574">
      <w:pPr>
        <w:pBdr>
          <w:top w:val="nil"/>
          <w:left w:val="nil"/>
          <w:bottom w:val="nil"/>
          <w:right w:val="nil"/>
          <w:between w:val="nil"/>
        </w:pBdr>
        <w:spacing w:line="360" w:lineRule="auto"/>
        <w:ind w:left="360" w:right="-787"/>
        <w:jc w:val="both"/>
        <w:rPr>
          <w:rFonts w:ascii="Palatino Linotype" w:hAnsi="Palatino Linotype" w:cstheme="majorHAnsi"/>
          <w:color w:val="000000"/>
        </w:rPr>
      </w:pPr>
    </w:p>
    <w:p w14:paraId="457FBB03" w14:textId="77777777" w:rsidR="00204574" w:rsidRPr="00B54C27" w:rsidRDefault="00204574" w:rsidP="00204574">
      <w:pPr>
        <w:numPr>
          <w:ilvl w:val="0"/>
          <w:numId w:val="1"/>
        </w:numPr>
        <w:pBdr>
          <w:top w:val="nil"/>
          <w:left w:val="nil"/>
          <w:bottom w:val="nil"/>
          <w:right w:val="nil"/>
          <w:between w:val="nil"/>
        </w:pBdr>
        <w:spacing w:line="360" w:lineRule="auto"/>
        <w:ind w:left="0" w:right="-787" w:firstLine="0"/>
        <w:jc w:val="both"/>
        <w:rPr>
          <w:rFonts w:ascii="Palatino Linotype" w:hAnsi="Palatino Linotype" w:cstheme="majorHAnsi"/>
          <w:color w:val="000000"/>
        </w:rPr>
      </w:pPr>
      <w:r w:rsidRPr="00B54C27">
        <w:rPr>
          <w:rFonts w:ascii="Palatino Linotype" w:hAnsi="Palatino Linotype" w:cstheme="majorHAnsi"/>
          <w:color w:val="000000"/>
        </w:rPr>
        <w:t>El artículo 19</w:t>
      </w:r>
      <w:r w:rsidR="00136A54" w:rsidRPr="00B54C27">
        <w:rPr>
          <w:rFonts w:ascii="Palatino Linotype" w:hAnsi="Palatino Linotype" w:cstheme="majorHAnsi"/>
          <w:color w:val="000000"/>
        </w:rPr>
        <w:t xml:space="preserve"> de la Ley de Transparencia Local</w:t>
      </w:r>
      <w:r w:rsidRPr="00B54C27">
        <w:rPr>
          <w:rFonts w:ascii="Palatino Linotype" w:hAnsi="Palatino Linotype" w:cstheme="majorHAnsi"/>
          <w:color w:val="000000"/>
        </w:rPr>
        <w:t xml:space="preserve">, </w:t>
      </w:r>
      <w:r w:rsidR="00136A54" w:rsidRPr="00B54C27">
        <w:rPr>
          <w:rFonts w:ascii="Palatino Linotype" w:hAnsi="Palatino Linotype" w:cstheme="majorHAnsi"/>
          <w:color w:val="000000"/>
        </w:rPr>
        <w:t xml:space="preserve">establece </w:t>
      </w:r>
      <w:r w:rsidRPr="00B54C27">
        <w:rPr>
          <w:rFonts w:ascii="Palatino Linotype" w:hAnsi="Palatino Linotype" w:cstheme="majorHAnsi"/>
          <w:color w:val="000000"/>
        </w:rPr>
        <w:t xml:space="preserve">dos supuestos generales para proceder en el caso de información inexistente pero cuya existencia se presume por relacionarse con las facultades, competencias y funciones legales de los sujetos obligados, como a continuación se observa: </w:t>
      </w:r>
    </w:p>
    <w:p w14:paraId="50364AD7" w14:textId="77777777" w:rsidR="00204574" w:rsidRPr="00B54C27" w:rsidRDefault="00204574" w:rsidP="00204574">
      <w:pPr>
        <w:pBdr>
          <w:top w:val="nil"/>
          <w:left w:val="nil"/>
          <w:bottom w:val="nil"/>
          <w:right w:val="nil"/>
          <w:between w:val="nil"/>
        </w:pBdr>
        <w:spacing w:line="360" w:lineRule="auto"/>
        <w:ind w:left="360" w:right="-787"/>
        <w:jc w:val="both"/>
        <w:rPr>
          <w:rFonts w:ascii="Palatino Linotype" w:hAnsi="Palatino Linotype" w:cstheme="majorHAnsi"/>
          <w:color w:val="000000"/>
        </w:rPr>
      </w:pPr>
    </w:p>
    <w:p w14:paraId="4DE1F165" w14:textId="77777777" w:rsidR="00204574" w:rsidRPr="00B54C27" w:rsidRDefault="00204574" w:rsidP="00136A54">
      <w:pPr>
        <w:pBdr>
          <w:top w:val="nil"/>
          <w:left w:val="nil"/>
          <w:bottom w:val="nil"/>
          <w:right w:val="nil"/>
          <w:between w:val="nil"/>
        </w:pBdr>
        <w:ind w:left="1134" w:right="902"/>
        <w:jc w:val="both"/>
        <w:rPr>
          <w:rFonts w:ascii="Palatino Linotype" w:hAnsi="Palatino Linotype" w:cstheme="majorHAnsi"/>
          <w:i/>
          <w:color w:val="000000"/>
          <w:sz w:val="22"/>
          <w:szCs w:val="22"/>
        </w:rPr>
      </w:pPr>
      <w:r w:rsidRPr="00B54C27">
        <w:rPr>
          <w:rFonts w:ascii="Palatino Linotype" w:hAnsi="Palatino Linotype" w:cstheme="majorHAnsi"/>
          <w:i/>
          <w:color w:val="000000"/>
          <w:sz w:val="22"/>
          <w:szCs w:val="22"/>
        </w:rPr>
        <w:lastRenderedPageBreak/>
        <w:t>“</w:t>
      </w:r>
      <w:r w:rsidRPr="00B54C27">
        <w:rPr>
          <w:rFonts w:ascii="Palatino Linotype" w:hAnsi="Palatino Linotype" w:cstheme="majorHAnsi"/>
          <w:b/>
          <w:i/>
          <w:color w:val="000000"/>
          <w:sz w:val="22"/>
          <w:szCs w:val="22"/>
        </w:rPr>
        <w:t>Artículo 19</w:t>
      </w:r>
      <w:r w:rsidRPr="00B54C27">
        <w:rPr>
          <w:rFonts w:ascii="Palatino Linotype" w:hAnsi="Palatino Linotype" w:cstheme="majorHAnsi"/>
          <w:i/>
          <w:color w:val="000000"/>
          <w:sz w:val="22"/>
          <w:szCs w:val="22"/>
        </w:rPr>
        <w:t>. Se presume que la información debe existir si se refiere a las facultades, competencias y funciones que los ordenamientos jurídicos aplicables otorgan a los sujetos obligados.</w:t>
      </w:r>
    </w:p>
    <w:p w14:paraId="6FF6A0FB" w14:textId="77777777" w:rsidR="00136A54" w:rsidRPr="00B54C27" w:rsidRDefault="00136A54" w:rsidP="00136A54">
      <w:pPr>
        <w:pBdr>
          <w:top w:val="nil"/>
          <w:left w:val="nil"/>
          <w:bottom w:val="nil"/>
          <w:right w:val="nil"/>
          <w:between w:val="nil"/>
        </w:pBdr>
        <w:ind w:left="1134" w:right="902"/>
        <w:jc w:val="both"/>
        <w:rPr>
          <w:rFonts w:ascii="Palatino Linotype" w:hAnsi="Palatino Linotype" w:cstheme="majorHAnsi"/>
          <w:i/>
          <w:color w:val="000000"/>
          <w:sz w:val="22"/>
          <w:szCs w:val="22"/>
        </w:rPr>
      </w:pPr>
    </w:p>
    <w:p w14:paraId="638AAF99" w14:textId="77777777" w:rsidR="00204574" w:rsidRPr="00B54C27" w:rsidRDefault="00204574" w:rsidP="00136A54">
      <w:pPr>
        <w:pBdr>
          <w:top w:val="nil"/>
          <w:left w:val="nil"/>
          <w:bottom w:val="nil"/>
          <w:right w:val="nil"/>
          <w:between w:val="nil"/>
        </w:pBdr>
        <w:ind w:left="1134" w:right="902"/>
        <w:jc w:val="both"/>
        <w:rPr>
          <w:rFonts w:ascii="Palatino Linotype" w:hAnsi="Palatino Linotype" w:cstheme="majorHAnsi"/>
          <w:b/>
          <w:i/>
          <w:color w:val="000000"/>
          <w:sz w:val="22"/>
          <w:szCs w:val="22"/>
        </w:rPr>
      </w:pPr>
      <w:r w:rsidRPr="00B54C27">
        <w:rPr>
          <w:rFonts w:ascii="Palatino Linotype" w:hAnsi="Palatino Linotype" w:cstheme="majorHAnsi"/>
          <w:b/>
          <w:i/>
          <w:color w:val="000000"/>
          <w:sz w:val="22"/>
          <w:szCs w:val="22"/>
        </w:rPr>
        <w:t>En los casos en que ciertas facultades, competencias o funciones no se hayan ejercido, se debe motivar la respuesta en función de las causas que motiven tal circunstancia.</w:t>
      </w:r>
    </w:p>
    <w:p w14:paraId="5A7F6882" w14:textId="77777777" w:rsidR="00136A54" w:rsidRPr="00B54C27" w:rsidRDefault="00136A54" w:rsidP="00136A54">
      <w:pPr>
        <w:pBdr>
          <w:top w:val="nil"/>
          <w:left w:val="nil"/>
          <w:bottom w:val="nil"/>
          <w:right w:val="nil"/>
          <w:between w:val="nil"/>
        </w:pBdr>
        <w:ind w:left="1134" w:right="902"/>
        <w:jc w:val="both"/>
        <w:rPr>
          <w:rFonts w:ascii="Palatino Linotype" w:hAnsi="Palatino Linotype" w:cstheme="majorHAnsi"/>
          <w:i/>
          <w:color w:val="000000"/>
          <w:sz w:val="22"/>
          <w:szCs w:val="22"/>
        </w:rPr>
      </w:pPr>
    </w:p>
    <w:p w14:paraId="64D91A97" w14:textId="77777777" w:rsidR="00204574" w:rsidRPr="00B54C27" w:rsidRDefault="00204574" w:rsidP="00136A54">
      <w:pPr>
        <w:pBdr>
          <w:top w:val="nil"/>
          <w:left w:val="nil"/>
          <w:bottom w:val="nil"/>
          <w:right w:val="nil"/>
          <w:between w:val="nil"/>
        </w:pBdr>
        <w:ind w:left="1134" w:right="902"/>
        <w:jc w:val="both"/>
        <w:rPr>
          <w:rFonts w:ascii="Palatino Linotype" w:hAnsi="Palatino Linotype" w:cstheme="majorHAnsi"/>
          <w:i/>
          <w:color w:val="000000"/>
          <w:sz w:val="22"/>
          <w:szCs w:val="22"/>
        </w:rPr>
      </w:pPr>
      <w:r w:rsidRPr="00B54C27">
        <w:rPr>
          <w:rFonts w:ascii="Palatino Linotype" w:hAnsi="Palatino Linotype" w:cstheme="majorHAnsi"/>
          <w:i/>
          <w:color w:val="000000"/>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w:t>
      </w:r>
      <w:r w:rsidR="00136A54" w:rsidRPr="00B54C27">
        <w:rPr>
          <w:rFonts w:ascii="Palatino Linotype" w:hAnsi="Palatino Linotype" w:cstheme="majorHAnsi"/>
          <w:i/>
          <w:color w:val="000000"/>
          <w:sz w:val="22"/>
          <w:szCs w:val="22"/>
        </w:rPr>
        <w:t>r qué no obra en sus archivos.”</w:t>
      </w:r>
    </w:p>
    <w:p w14:paraId="77DE0B1D" w14:textId="77777777" w:rsidR="00204574" w:rsidRPr="00B54C27" w:rsidRDefault="00204574" w:rsidP="00204574">
      <w:pPr>
        <w:pBdr>
          <w:top w:val="nil"/>
          <w:left w:val="nil"/>
          <w:bottom w:val="nil"/>
          <w:right w:val="nil"/>
          <w:between w:val="nil"/>
        </w:pBdr>
        <w:spacing w:line="360" w:lineRule="auto"/>
        <w:ind w:left="360" w:right="-787"/>
        <w:jc w:val="both"/>
        <w:rPr>
          <w:rFonts w:ascii="Palatino Linotype" w:hAnsi="Palatino Linotype" w:cstheme="majorHAnsi"/>
          <w:color w:val="000000"/>
        </w:rPr>
      </w:pPr>
    </w:p>
    <w:p w14:paraId="1C5D45D5" w14:textId="77777777" w:rsidR="00204574" w:rsidRPr="00B54C27" w:rsidRDefault="00204574" w:rsidP="00204574">
      <w:pPr>
        <w:numPr>
          <w:ilvl w:val="0"/>
          <w:numId w:val="1"/>
        </w:numPr>
        <w:pBdr>
          <w:top w:val="nil"/>
          <w:left w:val="nil"/>
          <w:bottom w:val="nil"/>
          <w:right w:val="nil"/>
          <w:between w:val="nil"/>
        </w:pBdr>
        <w:spacing w:line="360" w:lineRule="auto"/>
        <w:ind w:left="0" w:right="-787" w:firstLine="0"/>
        <w:jc w:val="both"/>
        <w:rPr>
          <w:rFonts w:ascii="Palatino Linotype" w:hAnsi="Palatino Linotype" w:cstheme="majorHAnsi"/>
          <w:color w:val="000000"/>
        </w:rPr>
      </w:pPr>
      <w:r w:rsidRPr="00B54C27">
        <w:rPr>
          <w:rFonts w:ascii="Palatino Linotype" w:hAnsi="Palatino Linotype" w:cstheme="majorHAnsi"/>
          <w:color w:val="000000"/>
        </w:rPr>
        <w:t>El segundo párrafo, alude a actos no realizados y contemplados en alguna hip</w:t>
      </w:r>
      <w:r w:rsidR="00136A54" w:rsidRPr="00B54C27">
        <w:rPr>
          <w:rFonts w:ascii="Palatino Linotype" w:hAnsi="Palatino Linotype" w:cstheme="majorHAnsi"/>
          <w:color w:val="000000"/>
        </w:rPr>
        <w:t xml:space="preserve">ótesis jurídica: </w:t>
      </w:r>
      <w:r w:rsidRPr="00B54C27">
        <w:rPr>
          <w:rFonts w:ascii="Palatino Linotype" w:hAnsi="Palatino Linotype" w:cstheme="majorHAnsi"/>
          <w:color w:val="000000"/>
        </w:rPr>
        <w:t xml:space="preserve">a) cuya realización dependa de que un tercero demande la </w:t>
      </w:r>
      <w:r w:rsidR="00136A54" w:rsidRPr="00B54C27">
        <w:rPr>
          <w:rFonts w:ascii="Palatino Linotype" w:hAnsi="Palatino Linotype" w:cstheme="majorHAnsi"/>
          <w:color w:val="000000"/>
        </w:rPr>
        <w:t>emisión de un acto de autoridad</w:t>
      </w:r>
      <w:r w:rsidRPr="00B54C27">
        <w:rPr>
          <w:rFonts w:ascii="Palatino Linotype" w:hAnsi="Palatino Linotype" w:cstheme="majorHAnsi"/>
          <w:color w:val="000000"/>
        </w:rPr>
        <w:t>; b) de un acontec</w:t>
      </w:r>
      <w:r w:rsidR="00136A54" w:rsidRPr="00B54C27">
        <w:rPr>
          <w:rFonts w:ascii="Palatino Linotype" w:hAnsi="Palatino Linotype" w:cstheme="majorHAnsi"/>
          <w:color w:val="000000"/>
        </w:rPr>
        <w:t>imiento de realización probable</w:t>
      </w:r>
      <w:r w:rsidRPr="00B54C27">
        <w:rPr>
          <w:rFonts w:ascii="Palatino Linotype" w:hAnsi="Palatino Linotype" w:cstheme="majorHAnsi"/>
          <w:color w:val="000000"/>
        </w:rPr>
        <w:t>; o, C) una facultad potestativa, la firma de convenio de colaboración, por ejemplo. En estos casos, el sujeto obligado, al emitir su respuesta o cumplir con una resolución emitida por éste órgano garante, deberá manifestar, de manera precisa y clara, las razones que expliquen las causas por las que no se ha realizado el acto de autoridad y, en consecuencia, no se ha documentado decisión alguna.</w:t>
      </w:r>
    </w:p>
    <w:p w14:paraId="414CBE3E" w14:textId="77777777" w:rsidR="00204574" w:rsidRPr="00B54C27" w:rsidRDefault="00204574" w:rsidP="00204574">
      <w:pPr>
        <w:pBdr>
          <w:top w:val="nil"/>
          <w:left w:val="nil"/>
          <w:bottom w:val="nil"/>
          <w:right w:val="nil"/>
          <w:between w:val="nil"/>
        </w:pBdr>
        <w:spacing w:line="360" w:lineRule="auto"/>
        <w:ind w:left="360" w:right="-787"/>
        <w:jc w:val="both"/>
        <w:rPr>
          <w:rFonts w:ascii="Palatino Linotype" w:hAnsi="Palatino Linotype" w:cstheme="majorHAnsi"/>
          <w:color w:val="000000"/>
        </w:rPr>
      </w:pPr>
    </w:p>
    <w:p w14:paraId="382B1D67" w14:textId="77777777" w:rsidR="00204574" w:rsidRPr="00B54C27" w:rsidRDefault="00204574" w:rsidP="00204574">
      <w:pPr>
        <w:numPr>
          <w:ilvl w:val="0"/>
          <w:numId w:val="1"/>
        </w:numPr>
        <w:pBdr>
          <w:top w:val="nil"/>
          <w:left w:val="nil"/>
          <w:bottom w:val="nil"/>
          <w:right w:val="nil"/>
          <w:between w:val="nil"/>
        </w:pBdr>
        <w:spacing w:line="360" w:lineRule="auto"/>
        <w:ind w:left="0" w:right="-787" w:firstLine="0"/>
        <w:jc w:val="both"/>
        <w:rPr>
          <w:rFonts w:ascii="Palatino Linotype" w:hAnsi="Palatino Linotype" w:cstheme="majorHAnsi"/>
          <w:color w:val="000000"/>
        </w:rPr>
      </w:pPr>
      <w:r w:rsidRPr="00B54C27">
        <w:rPr>
          <w:rFonts w:ascii="Palatino Linotype" w:hAnsi="Palatino Linotype" w:cstheme="majorHAnsi"/>
          <w:color w:val="000000"/>
        </w:rPr>
        <w:t>Por lo que de ser el caso que dicha información no haya sido generada el SUJETO OBLIGADO deberá de manifestar, de manera precisa y clara, las razones que expliquen las causas por las que no se haya generado la información requerida, en observancia a la salvedad contenida en el segundo párrafo del artículo 19 antes transcrito.</w:t>
      </w:r>
    </w:p>
    <w:p w14:paraId="6913B9D4" w14:textId="77777777" w:rsidR="005C6DCF" w:rsidRPr="00B54C27" w:rsidRDefault="005C6DCF" w:rsidP="005C6DCF">
      <w:pPr>
        <w:pBdr>
          <w:top w:val="nil"/>
          <w:left w:val="nil"/>
          <w:bottom w:val="nil"/>
          <w:right w:val="nil"/>
          <w:between w:val="nil"/>
        </w:pBdr>
        <w:spacing w:line="360" w:lineRule="auto"/>
        <w:ind w:right="-787"/>
        <w:jc w:val="both"/>
        <w:rPr>
          <w:color w:val="000000"/>
        </w:rPr>
      </w:pPr>
    </w:p>
    <w:p w14:paraId="34CCE9CF" w14:textId="77777777" w:rsidR="005C6DCF" w:rsidRPr="00B54C27" w:rsidRDefault="00AD4D38" w:rsidP="005C6DCF">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B54C27">
        <w:rPr>
          <w:rFonts w:ascii="Palatino Linotype" w:eastAsia="Palatino Linotype" w:hAnsi="Palatino Linotype" w:cs="Palatino Linotype"/>
        </w:rPr>
        <w:t>En otro orden de ideas, e</w:t>
      </w:r>
      <w:r w:rsidR="005C6DCF" w:rsidRPr="00B54C27">
        <w:rPr>
          <w:rFonts w:ascii="Palatino Linotype" w:eastAsia="Palatino Linotype" w:hAnsi="Palatino Linotype" w:cs="Palatino Linotype"/>
        </w:rPr>
        <w:t xml:space="preserve">s importante precisar, que en la descripción de la solicitud de información, el particular refirió para diversos de los puntos de solicitud requerir copia </w:t>
      </w:r>
      <w:r w:rsidR="005C6DCF" w:rsidRPr="00B54C27">
        <w:rPr>
          <w:rFonts w:ascii="Palatino Linotype" w:eastAsia="Palatino Linotype" w:hAnsi="Palatino Linotype" w:cs="Palatino Linotype"/>
        </w:rPr>
        <w:lastRenderedPageBreak/>
        <w:t>simple</w:t>
      </w:r>
      <w:r w:rsidR="005C6DCF" w:rsidRPr="00B54C27">
        <w:rPr>
          <w:rFonts w:ascii="Palatino Linotype" w:eastAsia="Palatino Linotype" w:hAnsi="Palatino Linotype" w:cs="Palatino Linotype"/>
          <w:b/>
        </w:rPr>
        <w:t xml:space="preserve">, </w:t>
      </w:r>
      <w:r w:rsidR="005C6DCF" w:rsidRPr="00B54C27">
        <w:rPr>
          <w:rFonts w:ascii="Palatino Linotype" w:eastAsia="Palatino Linotype" w:hAnsi="Palatino Linotype" w:cs="Palatino Linotype"/>
        </w:rPr>
        <w:t>por lo que</w:t>
      </w:r>
      <w:r w:rsidR="005C6DCF" w:rsidRPr="00B54C27">
        <w:rPr>
          <w:rFonts w:ascii="Palatino Linotype" w:eastAsia="Palatino Linotype" w:hAnsi="Palatino Linotype" w:cs="Palatino Linotype"/>
          <w:b/>
        </w:rPr>
        <w:t xml:space="preserve"> </w:t>
      </w:r>
      <w:r w:rsidR="005C6DCF" w:rsidRPr="00B54C27">
        <w:rPr>
          <w:rFonts w:ascii="Palatino Linotype" w:eastAsia="Palatino Linotype" w:hAnsi="Palatino Linotype" w:cs="Palatino Linotype"/>
        </w:rPr>
        <w:t>es de señalar que atendiendo al principio de expedit</w:t>
      </w:r>
      <w:r w:rsidR="00841A6D" w:rsidRPr="00B54C27">
        <w:rPr>
          <w:rFonts w:ascii="Palatino Linotype" w:eastAsia="Palatino Linotype" w:hAnsi="Palatino Linotype" w:cs="Palatino Linotype"/>
        </w:rPr>
        <w:t>é</w:t>
      </w:r>
      <w:r w:rsidR="005C6DCF" w:rsidRPr="00B54C27">
        <w:rPr>
          <w:rFonts w:ascii="Palatino Linotype" w:eastAsia="Palatino Linotype" w:hAnsi="Palatino Linotype" w:cs="Palatino Linotype"/>
        </w:rPr>
        <w:t xml:space="preserve">z establecido en la Constitución Federal y la Ley de Transparencia Local, buscando garantizar a toda persona el derecho de acceso a la información pública, a través de procedimientos sencillos, expeditos, oportunos y gratuitos, y no dilatar el acceso a la información, ni hacer un procedimiento más largo y complicado para el particular, este Organismo ha considerado que la notificación por medios electrónicos, en este caso por el </w:t>
      </w:r>
      <w:r w:rsidR="005C6DCF" w:rsidRPr="00B54C27">
        <w:rPr>
          <w:rFonts w:ascii="Palatino Linotype" w:eastAsia="Palatino Linotype" w:hAnsi="Palatino Linotype" w:cs="Palatino Linotype"/>
          <w:color w:val="000000"/>
        </w:rPr>
        <w:t xml:space="preserve">Sistema de Acceso a la Información Mexiquense </w:t>
      </w:r>
      <w:r w:rsidR="005C6DCF" w:rsidRPr="00B54C27">
        <w:rPr>
          <w:rFonts w:ascii="Palatino Linotype" w:eastAsia="Palatino Linotype" w:hAnsi="Palatino Linotype" w:cs="Palatino Linotype"/>
          <w:b/>
          <w:color w:val="000000"/>
        </w:rPr>
        <w:t>(SAIMEX)</w:t>
      </w:r>
      <w:r w:rsidR="005C6DCF" w:rsidRPr="00B54C27">
        <w:rPr>
          <w:rFonts w:ascii="Palatino Linotype" w:eastAsia="Palatino Linotype" w:hAnsi="Palatino Linotype" w:cs="Palatino Linotype"/>
          <w:color w:val="000000"/>
        </w:rPr>
        <w:t>, satisface la modalidad de copias simples, ya que la información estará a disposición del particular de manera oportuna y accesible, misma que permite su consulta y reproducción.</w:t>
      </w:r>
    </w:p>
    <w:p w14:paraId="34328457" w14:textId="77777777" w:rsidR="000314CD" w:rsidRPr="00B54C27" w:rsidRDefault="000314CD" w:rsidP="000314CD">
      <w:pPr>
        <w:pBdr>
          <w:top w:val="nil"/>
          <w:left w:val="nil"/>
          <w:bottom w:val="nil"/>
          <w:right w:val="nil"/>
          <w:between w:val="nil"/>
        </w:pBdr>
        <w:tabs>
          <w:tab w:val="left" w:pos="142"/>
        </w:tabs>
        <w:spacing w:line="360" w:lineRule="auto"/>
        <w:ind w:right="-787"/>
        <w:jc w:val="both"/>
        <w:rPr>
          <w:rFonts w:ascii="Palatino Linotype" w:eastAsia="Palatino Linotype" w:hAnsi="Palatino Linotype" w:cs="Palatino Linotype"/>
        </w:rPr>
      </w:pPr>
    </w:p>
    <w:p w14:paraId="110BC4CA" w14:textId="77777777" w:rsidR="00ED73FC" w:rsidRPr="00B54C27" w:rsidRDefault="00ED73FC" w:rsidP="009F42FC">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Times New Roman" w:hAnsi="Palatino Linotype" w:cs="Arial"/>
          <w:strike/>
          <w:lang w:val="es-ES"/>
        </w:rPr>
      </w:pPr>
      <w:r w:rsidRPr="00B54C27">
        <w:rPr>
          <w:rFonts w:ascii="Palatino Linotype" w:eastAsia="Palatino Linotype" w:hAnsi="Palatino Linotype" w:cs="Palatino Linotype"/>
        </w:rPr>
        <w:t xml:space="preserve">En relación al punto de solicitud referente a precisar si </w:t>
      </w:r>
      <w:r w:rsidRPr="00B54C27">
        <w:rPr>
          <w:rFonts w:ascii="Palatino Linotype" w:hAnsi="Palatino Linotype" w:cstheme="majorHAnsi"/>
          <w:lang w:val="es-MX"/>
        </w:rPr>
        <w:t>el</w:t>
      </w:r>
      <w:r w:rsidRPr="00B54C27">
        <w:rPr>
          <w:rFonts w:ascii="Palatino Linotype" w:hAnsi="Palatino Linotype" w:cstheme="majorHAnsi"/>
          <w:b/>
          <w:lang w:val="es-MX"/>
        </w:rPr>
        <w:t xml:space="preserve"> </w:t>
      </w:r>
      <w:r w:rsidRPr="00B54C27">
        <w:rPr>
          <w:rFonts w:ascii="Palatino Linotype" w:eastAsia="Palatino Linotype" w:hAnsi="Palatino Linotype" w:cstheme="majorHAnsi"/>
        </w:rPr>
        <w:t xml:space="preserve">Deportivo </w:t>
      </w:r>
      <w:proofErr w:type="spellStart"/>
      <w:r w:rsidRPr="00B54C27">
        <w:rPr>
          <w:rFonts w:ascii="Palatino Linotype" w:eastAsia="Palatino Linotype" w:hAnsi="Palatino Linotype" w:cstheme="majorHAnsi"/>
        </w:rPr>
        <w:t>multiseñalado</w:t>
      </w:r>
      <w:proofErr w:type="spellEnd"/>
      <w:r w:rsidRPr="00B54C27">
        <w:rPr>
          <w:rFonts w:ascii="Palatino Linotype" w:eastAsia="Palatino Linotype" w:hAnsi="Palatino Linotype" w:cstheme="majorHAnsi"/>
        </w:rPr>
        <w:t xml:space="preserve"> </w:t>
      </w:r>
      <w:r w:rsidRPr="00B54C27">
        <w:rPr>
          <w:rFonts w:ascii="Palatino Linotype" w:eastAsia="Palatino Linotype" w:hAnsi="Palatino Linotype" w:cs="Palatino Linotype"/>
          <w:b/>
        </w:rPr>
        <w:t xml:space="preserve">cuenta con los elementos de seguridad para prevenir la comisión de </w:t>
      </w:r>
      <w:r w:rsidR="00D04F31" w:rsidRPr="00B54C27">
        <w:rPr>
          <w:rFonts w:ascii="Palatino Linotype" w:eastAsia="Palatino Linotype" w:hAnsi="Palatino Linotype" w:cs="Palatino Linotype"/>
          <w:b/>
        </w:rPr>
        <w:t>ilícitos (cámaras de vigilancia</w:t>
      </w:r>
      <w:r w:rsidRPr="00B54C27">
        <w:rPr>
          <w:rFonts w:ascii="Palatino Linotype" w:eastAsia="Palatino Linotype" w:hAnsi="Palatino Linotype" w:cs="Palatino Linotype"/>
          <w:b/>
        </w:rPr>
        <w:t>)</w:t>
      </w:r>
      <w:r w:rsidRPr="00B54C27">
        <w:rPr>
          <w:rFonts w:ascii="Palatino Linotype" w:eastAsia="Palatino Linotype" w:hAnsi="Palatino Linotype" w:cs="Palatino Linotype"/>
        </w:rPr>
        <w:t xml:space="preserve"> es necesario precisar  que </w:t>
      </w:r>
      <w:r w:rsidRPr="00B54C27">
        <w:rPr>
          <w:rFonts w:ascii="Palatino Linotype" w:eastAsia="Times New Roman" w:hAnsi="Palatino Linotype" w:cs="Arial"/>
          <w:lang w:val="es-ES"/>
        </w:rPr>
        <w:t xml:space="preserve">La Ley de Transparencia y Acceso a la Información Pública del Estado de México y Municipios, establece en su </w:t>
      </w:r>
      <w:r w:rsidRPr="00B54C27">
        <w:rPr>
          <w:rFonts w:ascii="Palatino Linotype" w:eastAsia="Times New Roman" w:hAnsi="Palatino Linotype" w:cs="Arial"/>
          <w:b/>
          <w:lang w:val="es-ES"/>
        </w:rPr>
        <w:t>Título Sexto</w:t>
      </w:r>
      <w:r w:rsidRPr="00B54C27">
        <w:rPr>
          <w:rFonts w:ascii="Palatino Linotype" w:eastAsia="Times New Roman" w:hAnsi="Palatino Linotype" w:cs="Arial"/>
          <w:lang w:val="es-ES"/>
        </w:rPr>
        <w:t xml:space="preserve">, </w:t>
      </w:r>
      <w:r w:rsidR="009F42FC" w:rsidRPr="00B54C27">
        <w:rPr>
          <w:rFonts w:ascii="Palatino Linotype" w:eastAsia="Times New Roman" w:hAnsi="Palatino Linotype" w:cs="Arial"/>
          <w:lang w:val="es-ES"/>
        </w:rPr>
        <w:t>de la información clasificada</w:t>
      </w:r>
      <w:r w:rsidRPr="00B54C27">
        <w:rPr>
          <w:rFonts w:ascii="Palatino Linotype" w:eastAsia="Times New Roman" w:hAnsi="Palatino Linotype" w:cs="Arial"/>
          <w:lang w:val="es-ES"/>
        </w:rPr>
        <w:t xml:space="preserve"> y el procedimiento que deben seguir los sujetos obligados para clasificar la informació</w:t>
      </w:r>
      <w:r w:rsidR="009F42FC" w:rsidRPr="00B54C27">
        <w:rPr>
          <w:rFonts w:ascii="Palatino Linotype" w:eastAsia="Times New Roman" w:hAnsi="Palatino Linotype" w:cs="Arial"/>
          <w:lang w:val="es-ES"/>
        </w:rPr>
        <w:t>n que encuadre en dicha calidad.</w:t>
      </w:r>
    </w:p>
    <w:p w14:paraId="0B89424B" w14:textId="77777777" w:rsidR="009F42FC" w:rsidRPr="00B54C27" w:rsidRDefault="009F42FC" w:rsidP="009F42FC">
      <w:pPr>
        <w:pBdr>
          <w:top w:val="nil"/>
          <w:left w:val="nil"/>
          <w:bottom w:val="nil"/>
          <w:right w:val="nil"/>
          <w:between w:val="nil"/>
        </w:pBdr>
        <w:tabs>
          <w:tab w:val="left" w:pos="142"/>
        </w:tabs>
        <w:spacing w:line="360" w:lineRule="auto"/>
        <w:ind w:right="-787"/>
        <w:jc w:val="both"/>
        <w:rPr>
          <w:rFonts w:ascii="Palatino Linotype" w:eastAsia="Times New Roman" w:hAnsi="Palatino Linotype" w:cs="Arial"/>
          <w:strike/>
          <w:lang w:val="es-ES"/>
        </w:rPr>
      </w:pPr>
    </w:p>
    <w:p w14:paraId="2BC0E09C" w14:textId="77777777" w:rsidR="00ED73FC" w:rsidRPr="00B54C27" w:rsidRDefault="00ED73FC" w:rsidP="00A06A60">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Times New Roman" w:hAnsi="Palatino Linotype" w:cs="Arial"/>
          <w:lang w:val="es-ES"/>
        </w:rPr>
      </w:pPr>
      <w:r w:rsidRPr="00B54C27">
        <w:rPr>
          <w:rFonts w:ascii="Palatino Linotype" w:eastAsia="Times New Roman" w:hAnsi="Palatino Linotype" w:cs="Arial"/>
          <w:lang w:val="es-ES"/>
        </w:rPr>
        <w:t xml:space="preserve">Ahora bien, el artículo 135 de la multicitada Ley , establece que de igual manera en los casos en que se pretenda </w:t>
      </w:r>
      <w:r w:rsidR="009F42FC" w:rsidRPr="00B54C27">
        <w:rPr>
          <w:rFonts w:ascii="Palatino Linotype" w:eastAsia="Times New Roman" w:hAnsi="Palatino Linotype" w:cs="Arial"/>
          <w:lang w:val="es-ES"/>
        </w:rPr>
        <w:t>clasificar</w:t>
      </w:r>
      <w:r w:rsidRPr="00B54C27">
        <w:rPr>
          <w:rFonts w:ascii="Palatino Linotype" w:eastAsia="Times New Roman" w:hAnsi="Palatino Linotype" w:cs="Arial"/>
          <w:lang w:val="es-ES"/>
        </w:rPr>
        <w:t xml:space="preserve"> la información, los sujetos obligados tienen que observar los Lineamientos generales que se emitan en materia de clasificación, por lo anterior, es decir de los “Lineamientos generales en materia de clasificación y desclasificación de la información, así como para la elaboración de versiones públicas”, que pueden ser consultados en la página electrónica siguiente: </w:t>
      </w:r>
      <w:hyperlink r:id="rId19" w:history="1">
        <w:r w:rsidRPr="00B54C27">
          <w:rPr>
            <w:rFonts w:ascii="Palatino Linotype" w:eastAsia="Times New Roman" w:hAnsi="Palatino Linotype" w:cs="Arial"/>
            <w:color w:val="0563C1" w:themeColor="hyperlink"/>
            <w:u w:val="single"/>
            <w:lang w:val="es-ES"/>
          </w:rPr>
          <w:t>http://www.dof.gob.mx/nota_detalle.php?codigo=5433280&amp;fecha=15/04/2016</w:t>
        </w:r>
      </w:hyperlink>
      <w:r w:rsidRPr="00B54C27">
        <w:rPr>
          <w:rFonts w:ascii="Palatino Linotype" w:eastAsia="Times New Roman" w:hAnsi="Palatino Linotype" w:cs="Arial"/>
          <w:lang w:val="es-ES"/>
        </w:rPr>
        <w:t xml:space="preserve">. </w:t>
      </w:r>
    </w:p>
    <w:p w14:paraId="21757E57" w14:textId="77777777" w:rsidR="00ED73FC" w:rsidRPr="00B54C27" w:rsidRDefault="00ED73FC" w:rsidP="00ED73FC">
      <w:pPr>
        <w:autoSpaceDE w:val="0"/>
        <w:autoSpaceDN w:val="0"/>
        <w:adjustRightInd w:val="0"/>
        <w:spacing w:line="360" w:lineRule="auto"/>
        <w:jc w:val="both"/>
        <w:rPr>
          <w:rFonts w:ascii="Palatino Linotype" w:eastAsia="Times New Roman" w:hAnsi="Palatino Linotype" w:cs="Arial"/>
          <w:lang w:val="es-ES"/>
        </w:rPr>
      </w:pPr>
    </w:p>
    <w:p w14:paraId="337C95E4" w14:textId="77777777" w:rsidR="005167EA" w:rsidRPr="00B54C27" w:rsidRDefault="005167EA" w:rsidP="00A06A60">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Times New Roman" w:hAnsi="Palatino Linotype" w:cs="Arial"/>
          <w:lang w:val="es-ES"/>
        </w:rPr>
      </w:pPr>
      <w:r w:rsidRPr="00B54C27">
        <w:rPr>
          <w:rFonts w:ascii="Palatino Linotype" w:eastAsia="Times New Roman" w:hAnsi="Palatino Linotype" w:cs="Arial"/>
          <w:lang w:val="es-ES"/>
        </w:rPr>
        <w:t xml:space="preserve">Por su parte, los Lineamientos generales en materia de clasificación y desclasificación de la información, así como para la elaboración de versiones públicas -en adelante Lineamientos Generales- disponen: </w:t>
      </w:r>
    </w:p>
    <w:p w14:paraId="4D8F0DD7" w14:textId="77777777" w:rsidR="005167EA" w:rsidRPr="00B54C27" w:rsidRDefault="005167EA" w:rsidP="00ED73FC">
      <w:pPr>
        <w:autoSpaceDE w:val="0"/>
        <w:autoSpaceDN w:val="0"/>
        <w:adjustRightInd w:val="0"/>
        <w:spacing w:line="360" w:lineRule="auto"/>
        <w:jc w:val="both"/>
        <w:rPr>
          <w:rFonts w:ascii="Palatino Linotype" w:eastAsia="Times New Roman" w:hAnsi="Palatino Linotype" w:cs="Arial"/>
          <w:sz w:val="22"/>
          <w:szCs w:val="22"/>
          <w:lang w:val="es-ES"/>
        </w:rPr>
      </w:pPr>
    </w:p>
    <w:p w14:paraId="0412CBEC" w14:textId="77777777" w:rsidR="00197D1F" w:rsidRPr="00B54C27" w:rsidRDefault="005167EA" w:rsidP="00197D1F">
      <w:pPr>
        <w:autoSpaceDE w:val="0"/>
        <w:autoSpaceDN w:val="0"/>
        <w:adjustRightInd w:val="0"/>
        <w:ind w:left="1134" w:right="900"/>
        <w:jc w:val="both"/>
        <w:rPr>
          <w:rFonts w:ascii="Palatino Linotype" w:eastAsia="Times New Roman" w:hAnsi="Palatino Linotype" w:cs="Arial"/>
          <w:i/>
          <w:sz w:val="22"/>
          <w:szCs w:val="22"/>
          <w:lang w:val="es-ES"/>
        </w:rPr>
      </w:pPr>
      <w:r w:rsidRPr="00B54C27">
        <w:rPr>
          <w:rFonts w:ascii="Palatino Linotype" w:eastAsia="Times New Roman" w:hAnsi="Palatino Linotype" w:cs="Arial"/>
          <w:i/>
          <w:sz w:val="22"/>
          <w:szCs w:val="22"/>
          <w:lang w:val="es-ES"/>
        </w:rPr>
        <w:t>“</w:t>
      </w:r>
      <w:r w:rsidRPr="00B54C27">
        <w:rPr>
          <w:rFonts w:ascii="Palatino Linotype" w:eastAsia="Times New Roman" w:hAnsi="Palatino Linotype" w:cs="Arial"/>
          <w:b/>
          <w:i/>
          <w:sz w:val="22"/>
          <w:szCs w:val="22"/>
          <w:lang w:val="es-ES"/>
        </w:rPr>
        <w:t>Décimo octavo</w:t>
      </w:r>
      <w:r w:rsidRPr="00B54C27">
        <w:rPr>
          <w:rFonts w:ascii="Palatino Linotype" w:eastAsia="Times New Roman" w:hAnsi="Palatino Linotype" w:cs="Arial"/>
          <w:i/>
          <w:sz w:val="22"/>
          <w:szCs w:val="22"/>
          <w:lang w:val="es-ES"/>
        </w:rPr>
        <w:t xml:space="preserve">. De conformidad con el artículo 113, fracción I de la Ley General, </w:t>
      </w:r>
      <w:r w:rsidRPr="00B54C27">
        <w:rPr>
          <w:rFonts w:ascii="Palatino Linotype" w:eastAsia="Times New Roman" w:hAnsi="Palatino Linotype" w:cs="Arial"/>
          <w:b/>
          <w:i/>
          <w:sz w:val="22"/>
          <w:szCs w:val="22"/>
          <w:lang w:val="es-ES"/>
        </w:rPr>
        <w:t>podrá considerarse como información reservada, aquella que comprometa la seguridad pública</w:t>
      </w:r>
      <w:r w:rsidRPr="00B54C27">
        <w:rPr>
          <w:rFonts w:ascii="Palatino Linotype" w:eastAsia="Times New Roman" w:hAnsi="Palatino Linotype" w:cs="Arial"/>
          <w:i/>
          <w:sz w:val="22"/>
          <w:szCs w:val="22"/>
          <w:lang w:val="es-ES"/>
        </w:rPr>
        <w:t>, al poner en peligro las funciones a cargo de la Federación, la Ciudad de México, los Estados y los Municipios, tendientes a preservar y resguardar la vida, la salud, la integridad y el ejercicio de los derechos de las personas, así como para el m</w:t>
      </w:r>
      <w:r w:rsidR="00197D1F" w:rsidRPr="00B54C27">
        <w:rPr>
          <w:rFonts w:ascii="Palatino Linotype" w:eastAsia="Times New Roman" w:hAnsi="Palatino Linotype" w:cs="Arial"/>
          <w:i/>
          <w:sz w:val="22"/>
          <w:szCs w:val="22"/>
          <w:lang w:val="es-ES"/>
        </w:rPr>
        <w:t>antenimiento del orden público.</w:t>
      </w:r>
    </w:p>
    <w:p w14:paraId="6025D5E7" w14:textId="77777777" w:rsidR="00197D1F" w:rsidRPr="00B54C27" w:rsidRDefault="00197D1F" w:rsidP="00197D1F">
      <w:pPr>
        <w:autoSpaceDE w:val="0"/>
        <w:autoSpaceDN w:val="0"/>
        <w:adjustRightInd w:val="0"/>
        <w:ind w:left="1134" w:right="900"/>
        <w:jc w:val="both"/>
        <w:rPr>
          <w:rFonts w:ascii="Palatino Linotype" w:eastAsia="Times New Roman" w:hAnsi="Palatino Linotype" w:cs="Arial"/>
          <w:i/>
          <w:sz w:val="22"/>
          <w:szCs w:val="22"/>
          <w:lang w:val="es-ES"/>
        </w:rPr>
      </w:pPr>
    </w:p>
    <w:p w14:paraId="268BEF76" w14:textId="77777777" w:rsidR="00197D1F" w:rsidRPr="00B54C27" w:rsidRDefault="005167EA" w:rsidP="00197D1F">
      <w:pPr>
        <w:autoSpaceDE w:val="0"/>
        <w:autoSpaceDN w:val="0"/>
        <w:adjustRightInd w:val="0"/>
        <w:ind w:left="1134" w:right="900"/>
        <w:jc w:val="both"/>
        <w:rPr>
          <w:rFonts w:ascii="Palatino Linotype" w:eastAsia="Times New Roman" w:hAnsi="Palatino Linotype" w:cs="Arial"/>
          <w:i/>
          <w:sz w:val="22"/>
          <w:szCs w:val="22"/>
          <w:lang w:val="es-ES"/>
        </w:rPr>
      </w:pPr>
      <w:r w:rsidRPr="00B54C27">
        <w:rPr>
          <w:rFonts w:ascii="Palatino Linotype" w:eastAsia="Times New Roman" w:hAnsi="Palatino Linotype" w:cs="Arial"/>
          <w:i/>
          <w:sz w:val="22"/>
          <w:szCs w:val="22"/>
          <w:lang w:val="es-ES"/>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616E54F6" w14:textId="77777777" w:rsidR="00197D1F" w:rsidRPr="00B54C27" w:rsidRDefault="00197D1F" w:rsidP="00197D1F">
      <w:pPr>
        <w:autoSpaceDE w:val="0"/>
        <w:autoSpaceDN w:val="0"/>
        <w:adjustRightInd w:val="0"/>
        <w:ind w:left="1134" w:right="900"/>
        <w:jc w:val="both"/>
        <w:rPr>
          <w:rFonts w:ascii="Palatino Linotype" w:eastAsia="Times New Roman" w:hAnsi="Palatino Linotype" w:cs="Arial"/>
          <w:i/>
          <w:sz w:val="22"/>
          <w:szCs w:val="22"/>
          <w:lang w:val="es-ES"/>
        </w:rPr>
      </w:pPr>
    </w:p>
    <w:p w14:paraId="60BE4C10" w14:textId="77777777" w:rsidR="005167EA" w:rsidRPr="00B54C27" w:rsidRDefault="005167EA" w:rsidP="00197D1F">
      <w:pPr>
        <w:autoSpaceDE w:val="0"/>
        <w:autoSpaceDN w:val="0"/>
        <w:adjustRightInd w:val="0"/>
        <w:ind w:left="1134" w:right="900"/>
        <w:jc w:val="both"/>
        <w:rPr>
          <w:rFonts w:ascii="Palatino Linotype" w:eastAsia="Times New Roman" w:hAnsi="Palatino Linotype" w:cs="Arial"/>
          <w:sz w:val="22"/>
          <w:szCs w:val="22"/>
          <w:lang w:val="es-ES"/>
        </w:rPr>
      </w:pPr>
      <w:r w:rsidRPr="00B54C27">
        <w:rPr>
          <w:rFonts w:ascii="Palatino Linotype" w:eastAsia="Times New Roman" w:hAnsi="Palatino Linotype" w:cs="Arial"/>
          <w:i/>
          <w:sz w:val="22"/>
          <w:szCs w:val="22"/>
          <w:lang w:val="es-ES"/>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r w:rsidRPr="00B54C27">
        <w:rPr>
          <w:rFonts w:ascii="Palatino Linotype" w:eastAsia="Times New Roman" w:hAnsi="Palatino Linotype" w:cs="Arial"/>
          <w:sz w:val="22"/>
          <w:szCs w:val="22"/>
          <w:lang w:val="es-ES"/>
        </w:rPr>
        <w:t xml:space="preserve"> </w:t>
      </w:r>
    </w:p>
    <w:p w14:paraId="7F78F4D3" w14:textId="77777777" w:rsidR="005167EA" w:rsidRPr="00B54C27" w:rsidRDefault="005167EA" w:rsidP="005167EA">
      <w:pPr>
        <w:autoSpaceDE w:val="0"/>
        <w:autoSpaceDN w:val="0"/>
        <w:adjustRightInd w:val="0"/>
        <w:jc w:val="both"/>
        <w:rPr>
          <w:rFonts w:ascii="Palatino Linotype" w:eastAsia="Times New Roman" w:hAnsi="Palatino Linotype" w:cs="Arial"/>
          <w:lang w:val="es-ES"/>
        </w:rPr>
      </w:pPr>
    </w:p>
    <w:p w14:paraId="5E553BE3" w14:textId="77777777" w:rsidR="00197D1F" w:rsidRPr="00B54C27" w:rsidRDefault="005167EA" w:rsidP="00A06A60">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Times New Roman" w:hAnsi="Palatino Linotype" w:cs="Arial"/>
          <w:lang w:val="es-ES"/>
        </w:rPr>
      </w:pPr>
      <w:r w:rsidRPr="00B54C27">
        <w:rPr>
          <w:rFonts w:ascii="Palatino Linotype" w:eastAsia="Times New Roman" w:hAnsi="Palatino Linotype" w:cs="Arial"/>
          <w:lang w:val="es-ES"/>
        </w:rPr>
        <w:t xml:space="preserve">Así, es posible observar que podrá clasificarse,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 </w:t>
      </w:r>
    </w:p>
    <w:p w14:paraId="06E74969" w14:textId="77777777" w:rsidR="00197D1F" w:rsidRPr="00B54C27" w:rsidRDefault="00197D1F" w:rsidP="00197D1F">
      <w:pPr>
        <w:autoSpaceDE w:val="0"/>
        <w:autoSpaceDN w:val="0"/>
        <w:adjustRightInd w:val="0"/>
        <w:spacing w:line="360" w:lineRule="auto"/>
        <w:jc w:val="both"/>
        <w:rPr>
          <w:rFonts w:ascii="Palatino Linotype" w:eastAsia="Times New Roman" w:hAnsi="Palatino Linotype" w:cs="Arial"/>
          <w:lang w:val="es-ES"/>
        </w:rPr>
      </w:pPr>
    </w:p>
    <w:p w14:paraId="71F801BB" w14:textId="77777777" w:rsidR="005167EA" w:rsidRPr="00B54C27" w:rsidRDefault="005167EA" w:rsidP="00A06A60">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Times New Roman" w:hAnsi="Palatino Linotype" w:cs="Arial"/>
        </w:rPr>
      </w:pPr>
      <w:r w:rsidRPr="00B54C27">
        <w:rPr>
          <w:rFonts w:ascii="Palatino Linotype" w:eastAsia="Times New Roman" w:hAnsi="Palatino Linotype" w:cs="Arial"/>
          <w:lang w:val="es-ES"/>
        </w:rPr>
        <w:t xml:space="preserve">De la misma manera, será información </w:t>
      </w:r>
      <w:r w:rsidR="00DF59A9" w:rsidRPr="00B54C27">
        <w:rPr>
          <w:rFonts w:ascii="Palatino Linotype" w:eastAsia="Times New Roman" w:hAnsi="Palatino Linotype" w:cs="Arial"/>
          <w:lang w:val="es-ES"/>
        </w:rPr>
        <w:t>clasificada</w:t>
      </w:r>
      <w:r w:rsidRPr="00B54C27">
        <w:rPr>
          <w:rFonts w:ascii="Palatino Linotype" w:eastAsia="Times New Roman" w:hAnsi="Palatino Linotype" w:cs="Arial"/>
          <w:lang w:val="es-ES"/>
        </w:rPr>
        <w:t xml:space="preserve"> </w:t>
      </w:r>
      <w:r w:rsidR="00DF59A9" w:rsidRPr="00B54C27">
        <w:rPr>
          <w:rFonts w:ascii="Palatino Linotype" w:eastAsia="Times New Roman" w:hAnsi="Palatino Linotype" w:cs="Arial"/>
          <w:lang w:val="es-ES"/>
        </w:rPr>
        <w:t xml:space="preserve">en la versión pública </w:t>
      </w:r>
      <w:r w:rsidRPr="00B54C27">
        <w:rPr>
          <w:rFonts w:ascii="Palatino Linotype" w:eastAsia="Times New Roman" w:hAnsi="Palatino Linotype" w:cs="Arial"/>
          <w:lang w:val="es-ES"/>
        </w:rPr>
        <w:t>aquella que revele datos que pudieran ser aprovechados para conocer</w:t>
      </w:r>
      <w:r w:rsidR="00D04F31" w:rsidRPr="00B54C27">
        <w:rPr>
          <w:rFonts w:ascii="Palatino Linotype" w:eastAsia="Times New Roman" w:hAnsi="Palatino Linotype" w:cs="Arial"/>
          <w:lang w:val="es-ES"/>
        </w:rPr>
        <w:t xml:space="preserve"> la ubicación de cámaras,</w:t>
      </w:r>
      <w:r w:rsidRPr="00B54C27">
        <w:rPr>
          <w:rFonts w:ascii="Palatino Linotype" w:eastAsia="Times New Roman" w:hAnsi="Palatino Linotype" w:cs="Arial"/>
          <w:lang w:val="es-ES"/>
        </w:rPr>
        <w:t xml:space="preserve"> la </w:t>
      </w:r>
      <w:r w:rsidRPr="00B54C27">
        <w:rPr>
          <w:rFonts w:ascii="Palatino Linotype" w:eastAsia="Times New Roman" w:hAnsi="Palatino Linotype" w:cs="Arial"/>
          <w:lang w:val="es-ES"/>
        </w:rPr>
        <w:lastRenderedPageBreak/>
        <w:t>capacidad de reacción de las instituciones encargadas de la</w:t>
      </w:r>
      <w:r w:rsidR="00197D1F" w:rsidRPr="00B54C27">
        <w:rPr>
          <w:rFonts w:ascii="Palatino Linotype" w:eastAsia="Times New Roman" w:hAnsi="Palatino Linotype" w:cs="Arial"/>
          <w:lang w:val="es-ES"/>
        </w:rPr>
        <w:t xml:space="preserve"> </w:t>
      </w:r>
      <w:r w:rsidR="00197D1F" w:rsidRPr="00B54C27">
        <w:rPr>
          <w:rFonts w:ascii="Palatino Linotype" w:eastAsia="Times New Roman" w:hAnsi="Palatino Linotype" w:cs="Arial"/>
        </w:rPr>
        <w:t>seguridad pública, sus planes, estrategias, tecnología, información, sistemas de comunicaciones.</w:t>
      </w:r>
    </w:p>
    <w:p w14:paraId="526752CD" w14:textId="77777777" w:rsidR="00197D1F" w:rsidRPr="00B54C27" w:rsidRDefault="00197D1F" w:rsidP="00197D1F">
      <w:pPr>
        <w:autoSpaceDE w:val="0"/>
        <w:autoSpaceDN w:val="0"/>
        <w:adjustRightInd w:val="0"/>
        <w:spacing w:line="360" w:lineRule="auto"/>
        <w:jc w:val="both"/>
        <w:rPr>
          <w:rFonts w:ascii="Palatino Linotype" w:eastAsia="Times New Roman" w:hAnsi="Palatino Linotype" w:cs="Arial"/>
        </w:rPr>
      </w:pPr>
    </w:p>
    <w:p w14:paraId="60E063A7" w14:textId="77777777" w:rsidR="00197D1F" w:rsidRPr="00B54C27" w:rsidRDefault="00197D1F" w:rsidP="00A06A60">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Times New Roman" w:hAnsi="Palatino Linotype" w:cs="Arial"/>
        </w:rPr>
      </w:pPr>
      <w:r w:rsidRPr="00B54C27">
        <w:rPr>
          <w:rFonts w:ascii="Palatino Linotype" w:eastAsia="Times New Roman" w:hAnsi="Palatino Linotype" w:cs="Arial"/>
        </w:rPr>
        <w:t>En ese contexto, el artículo 81 de la Ley de Seguridad del Estado de México, que establece lo siguiente:</w:t>
      </w:r>
    </w:p>
    <w:p w14:paraId="1B5BEE10" w14:textId="77777777" w:rsidR="00197D1F" w:rsidRPr="00B54C27" w:rsidRDefault="00197D1F" w:rsidP="00197D1F">
      <w:pPr>
        <w:autoSpaceDE w:val="0"/>
        <w:autoSpaceDN w:val="0"/>
        <w:adjustRightInd w:val="0"/>
        <w:spacing w:line="360" w:lineRule="auto"/>
        <w:jc w:val="both"/>
        <w:rPr>
          <w:rFonts w:ascii="Palatino Linotype" w:eastAsia="Times New Roman" w:hAnsi="Palatino Linotype" w:cs="Arial"/>
        </w:rPr>
      </w:pPr>
    </w:p>
    <w:p w14:paraId="30C8A0F9" w14:textId="77777777" w:rsidR="00197D1F" w:rsidRPr="00B54C27" w:rsidRDefault="00197D1F" w:rsidP="00197D1F">
      <w:pPr>
        <w:autoSpaceDE w:val="0"/>
        <w:autoSpaceDN w:val="0"/>
        <w:adjustRightInd w:val="0"/>
        <w:ind w:left="1134" w:right="902"/>
        <w:jc w:val="both"/>
        <w:rPr>
          <w:rFonts w:ascii="Palatino Linotype" w:eastAsia="Times New Roman" w:hAnsi="Palatino Linotype" w:cs="Arial"/>
          <w:i/>
          <w:sz w:val="22"/>
          <w:szCs w:val="22"/>
        </w:rPr>
      </w:pPr>
      <w:r w:rsidRPr="00B54C27">
        <w:rPr>
          <w:rFonts w:ascii="Palatino Linotype" w:eastAsia="Times New Roman" w:hAnsi="Palatino Linotype" w:cs="Arial"/>
          <w:i/>
          <w:sz w:val="22"/>
          <w:szCs w:val="22"/>
        </w:rPr>
        <w:t>“</w:t>
      </w:r>
      <w:r w:rsidRPr="00B54C27">
        <w:rPr>
          <w:rFonts w:ascii="Palatino Linotype" w:eastAsia="Times New Roman" w:hAnsi="Palatino Linotype" w:cs="Arial"/>
          <w:b/>
          <w:i/>
          <w:sz w:val="22"/>
          <w:szCs w:val="22"/>
        </w:rPr>
        <w:t>Artículo 81</w:t>
      </w:r>
      <w:r w:rsidRPr="00B54C27">
        <w:rPr>
          <w:rFonts w:ascii="Palatino Linotype" w:eastAsia="Times New Roman" w:hAnsi="Palatino Linotype" w:cs="Arial"/>
          <w:i/>
          <w:sz w:val="22"/>
          <w:szCs w:val="22"/>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1BD43D09" w14:textId="77777777" w:rsidR="00197D1F" w:rsidRPr="00B54C27" w:rsidRDefault="00197D1F" w:rsidP="00197D1F">
      <w:pPr>
        <w:autoSpaceDE w:val="0"/>
        <w:autoSpaceDN w:val="0"/>
        <w:adjustRightInd w:val="0"/>
        <w:ind w:left="1134" w:right="902"/>
        <w:jc w:val="both"/>
        <w:rPr>
          <w:rFonts w:ascii="Palatino Linotype" w:eastAsia="Times New Roman" w:hAnsi="Palatino Linotype" w:cs="Arial"/>
          <w:i/>
          <w:sz w:val="22"/>
          <w:szCs w:val="22"/>
        </w:rPr>
      </w:pPr>
    </w:p>
    <w:p w14:paraId="38364E2C" w14:textId="77777777" w:rsidR="00197D1F" w:rsidRPr="00B54C27" w:rsidRDefault="00197D1F" w:rsidP="00197D1F">
      <w:pPr>
        <w:autoSpaceDE w:val="0"/>
        <w:autoSpaceDN w:val="0"/>
        <w:adjustRightInd w:val="0"/>
        <w:ind w:left="1134" w:right="902"/>
        <w:jc w:val="both"/>
        <w:rPr>
          <w:rFonts w:ascii="Palatino Linotype" w:eastAsia="Times New Roman" w:hAnsi="Palatino Linotype" w:cs="Arial"/>
          <w:i/>
          <w:sz w:val="22"/>
          <w:szCs w:val="22"/>
        </w:rPr>
      </w:pPr>
      <w:r w:rsidRPr="00B54C27">
        <w:rPr>
          <w:rFonts w:ascii="Palatino Linotype" w:eastAsia="Times New Roman" w:hAnsi="Palatino Linotype" w:cs="Arial"/>
          <w:i/>
          <w:sz w:val="22"/>
          <w:szCs w:val="22"/>
        </w:rPr>
        <w:t xml:space="preserve">I. Aquella cuya divulgación implique la revelación de normas, procedimientos, métodos, fuentes, </w:t>
      </w:r>
      <w:r w:rsidRPr="00B54C27">
        <w:rPr>
          <w:rFonts w:ascii="Palatino Linotype" w:eastAsia="Times New Roman" w:hAnsi="Palatino Linotype" w:cs="Arial"/>
          <w:b/>
          <w:i/>
          <w:sz w:val="22"/>
          <w:szCs w:val="22"/>
        </w:rPr>
        <w:t>especificaciones técnicas, sistemas, tecnología o equipos útiles</w:t>
      </w:r>
      <w:r w:rsidRPr="00B54C27">
        <w:rPr>
          <w:rFonts w:ascii="Palatino Linotype" w:eastAsia="Times New Roman" w:hAnsi="Palatino Linotype" w:cs="Arial"/>
          <w:i/>
          <w:sz w:val="22"/>
          <w:szCs w:val="22"/>
        </w:rPr>
        <w:t xml:space="preserve"> a la generación de inteligencia para la seguridad pública o el combate a la delincuencia en el Estado de México; </w:t>
      </w:r>
    </w:p>
    <w:p w14:paraId="1661C7E7" w14:textId="77777777" w:rsidR="00197D1F" w:rsidRPr="00B54C27" w:rsidRDefault="00197D1F" w:rsidP="00197D1F">
      <w:pPr>
        <w:autoSpaceDE w:val="0"/>
        <w:autoSpaceDN w:val="0"/>
        <w:adjustRightInd w:val="0"/>
        <w:ind w:left="1134" w:right="902"/>
        <w:jc w:val="both"/>
        <w:rPr>
          <w:rFonts w:ascii="Palatino Linotype" w:eastAsia="Times New Roman" w:hAnsi="Palatino Linotype" w:cs="Arial"/>
          <w:i/>
          <w:sz w:val="22"/>
          <w:szCs w:val="22"/>
        </w:rPr>
      </w:pPr>
    </w:p>
    <w:p w14:paraId="403E9B32" w14:textId="77777777" w:rsidR="00197D1F" w:rsidRPr="00B54C27" w:rsidRDefault="00197D1F" w:rsidP="00197D1F">
      <w:pPr>
        <w:autoSpaceDE w:val="0"/>
        <w:autoSpaceDN w:val="0"/>
        <w:adjustRightInd w:val="0"/>
        <w:ind w:left="1134" w:right="902"/>
        <w:jc w:val="both"/>
        <w:rPr>
          <w:rFonts w:ascii="Palatino Linotype" w:eastAsia="Times New Roman" w:hAnsi="Palatino Linotype" w:cs="Arial"/>
          <w:i/>
          <w:sz w:val="22"/>
          <w:szCs w:val="22"/>
        </w:rPr>
      </w:pPr>
      <w:r w:rsidRPr="00B54C27">
        <w:rPr>
          <w:rFonts w:ascii="Palatino Linotype" w:eastAsia="Times New Roman" w:hAnsi="Palatino Linotype" w:cs="Arial"/>
          <w:i/>
          <w:sz w:val="22"/>
          <w:szCs w:val="22"/>
        </w:rPr>
        <w:t xml:space="preserve">II. Aquella cuya revelación pueda ser utilizada para actualizar o potenciar una amenaza a la seguridad pública o a las instituciones del Estado de México; </w:t>
      </w:r>
    </w:p>
    <w:p w14:paraId="3CD4A26F" w14:textId="77777777" w:rsidR="00197D1F" w:rsidRPr="00B54C27" w:rsidRDefault="00197D1F" w:rsidP="00197D1F">
      <w:pPr>
        <w:autoSpaceDE w:val="0"/>
        <w:autoSpaceDN w:val="0"/>
        <w:adjustRightInd w:val="0"/>
        <w:ind w:left="1134" w:right="902"/>
        <w:jc w:val="both"/>
        <w:rPr>
          <w:rFonts w:ascii="Palatino Linotype" w:eastAsia="Times New Roman" w:hAnsi="Palatino Linotype" w:cs="Arial"/>
          <w:i/>
          <w:sz w:val="22"/>
          <w:szCs w:val="22"/>
        </w:rPr>
      </w:pPr>
    </w:p>
    <w:p w14:paraId="44684AED" w14:textId="77777777" w:rsidR="00197D1F" w:rsidRPr="00B54C27" w:rsidRDefault="00197D1F" w:rsidP="00197D1F">
      <w:pPr>
        <w:autoSpaceDE w:val="0"/>
        <w:autoSpaceDN w:val="0"/>
        <w:adjustRightInd w:val="0"/>
        <w:ind w:left="1134" w:right="902"/>
        <w:jc w:val="both"/>
        <w:rPr>
          <w:rFonts w:ascii="Palatino Linotype" w:eastAsia="Times New Roman" w:hAnsi="Palatino Linotype" w:cs="Arial"/>
          <w:i/>
          <w:sz w:val="22"/>
          <w:szCs w:val="22"/>
          <w:lang w:val="es-ES"/>
        </w:rPr>
      </w:pPr>
      <w:r w:rsidRPr="00B54C27">
        <w:rPr>
          <w:rFonts w:ascii="Palatino Linotype" w:eastAsia="Times New Roman" w:hAnsi="Palatino Linotype" w:cs="Arial"/>
          <w:i/>
          <w:sz w:val="22"/>
          <w:szCs w:val="22"/>
        </w:rPr>
        <w:t>III a V…”</w:t>
      </w:r>
    </w:p>
    <w:p w14:paraId="700F2E53" w14:textId="77777777" w:rsidR="005167EA" w:rsidRPr="00B54C27" w:rsidRDefault="005167EA" w:rsidP="00ED73FC">
      <w:pPr>
        <w:autoSpaceDE w:val="0"/>
        <w:autoSpaceDN w:val="0"/>
        <w:adjustRightInd w:val="0"/>
        <w:spacing w:line="360" w:lineRule="auto"/>
        <w:jc w:val="both"/>
        <w:rPr>
          <w:rFonts w:ascii="Palatino Linotype" w:eastAsia="Times New Roman" w:hAnsi="Palatino Linotype" w:cs="Arial"/>
          <w:lang w:val="es-ES"/>
        </w:rPr>
      </w:pPr>
    </w:p>
    <w:p w14:paraId="11712A41" w14:textId="77777777" w:rsidR="00197D1F" w:rsidRPr="00B54C27" w:rsidRDefault="00197D1F" w:rsidP="00A06A60">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Times New Roman" w:hAnsi="Palatino Linotype" w:cs="Arial"/>
        </w:rPr>
      </w:pPr>
      <w:r w:rsidRPr="00B54C27">
        <w:rPr>
          <w:rFonts w:ascii="Palatino Linotype" w:eastAsia="Times New Roman" w:hAnsi="Palatino Linotype" w:cs="Arial"/>
        </w:rPr>
        <w:t xml:space="preserve">De lo anterior, se logra desprender que es información </w:t>
      </w:r>
      <w:r w:rsidR="00DF59A9" w:rsidRPr="00B54C27">
        <w:rPr>
          <w:rFonts w:ascii="Palatino Linotype" w:eastAsia="Times New Roman" w:hAnsi="Palatino Linotype" w:cs="Arial"/>
        </w:rPr>
        <w:t>clasificada en la versión pública</w:t>
      </w:r>
      <w:r w:rsidRPr="00B54C27">
        <w:rPr>
          <w:rFonts w:ascii="Palatino Linotype" w:eastAsia="Times New Roman" w:hAnsi="Palatino Linotype" w:cs="Arial"/>
        </w:rPr>
        <w:t>,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w:t>
      </w:r>
    </w:p>
    <w:p w14:paraId="3D6EBC15" w14:textId="77777777" w:rsidR="00197D1F" w:rsidRPr="00B54C27" w:rsidRDefault="00197D1F" w:rsidP="00ED73FC">
      <w:pPr>
        <w:autoSpaceDE w:val="0"/>
        <w:autoSpaceDN w:val="0"/>
        <w:adjustRightInd w:val="0"/>
        <w:spacing w:line="360" w:lineRule="auto"/>
        <w:jc w:val="both"/>
        <w:rPr>
          <w:rFonts w:ascii="Palatino Linotype" w:eastAsia="Times New Roman" w:hAnsi="Palatino Linotype" w:cs="Arial"/>
          <w:lang w:val="es-ES"/>
        </w:rPr>
      </w:pPr>
    </w:p>
    <w:p w14:paraId="5C323B82" w14:textId="508380E0" w:rsidR="00C648AD" w:rsidRPr="00B54C27" w:rsidRDefault="00C648AD" w:rsidP="00DF59A9">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Times New Roman" w:hAnsi="Palatino Linotype" w:cs="Arial"/>
        </w:rPr>
      </w:pPr>
      <w:r w:rsidRPr="00B54C27">
        <w:rPr>
          <w:rFonts w:ascii="Palatino Linotype" w:hAnsi="Palatino Linotype" w:cs="Arial"/>
          <w:lang w:val="es-ES"/>
        </w:rPr>
        <w:t xml:space="preserve">Con base en lo anterior, podemos concluir que se </w:t>
      </w:r>
      <w:r w:rsidR="00DF59A9" w:rsidRPr="00B54C27">
        <w:rPr>
          <w:rFonts w:ascii="Palatino Linotype" w:hAnsi="Palatino Linotype" w:cs="Arial"/>
          <w:lang w:val="es-ES"/>
        </w:rPr>
        <w:t>deberá clasificar la información</w:t>
      </w:r>
      <w:r w:rsidR="00DF59A9" w:rsidRPr="00B54C27">
        <w:rPr>
          <w:rFonts w:ascii="Palatino Linotype" w:eastAsia="Times New Roman" w:hAnsi="Palatino Linotype" w:cs="Arial"/>
        </w:rPr>
        <w:t xml:space="preserve"> </w:t>
      </w:r>
      <w:r w:rsidRPr="00B54C27">
        <w:rPr>
          <w:rFonts w:ascii="Palatino Linotype" w:hAnsi="Palatino Linotype" w:cs="Arial"/>
        </w:rPr>
        <w:t xml:space="preserve">relativa a especificaciones técnicas de cámaras de videovigilancia, </w:t>
      </w:r>
      <w:r w:rsidR="002C4C29" w:rsidRPr="00B54C27">
        <w:rPr>
          <w:rFonts w:ascii="Palatino Linotype" w:hAnsi="Palatino Linotype" w:cs="Arial"/>
        </w:rPr>
        <w:t xml:space="preserve">ubicación específica de </w:t>
      </w:r>
      <w:r w:rsidR="002C4C29" w:rsidRPr="00B54C27">
        <w:rPr>
          <w:rFonts w:ascii="Palatino Linotype" w:hAnsi="Palatino Linotype" w:cs="Arial"/>
        </w:rPr>
        <w:lastRenderedPageBreak/>
        <w:t xml:space="preserve">cámaras, </w:t>
      </w:r>
      <w:r w:rsidRPr="00B54C27">
        <w:rPr>
          <w:rFonts w:ascii="Palatino Linotype" w:hAnsi="Palatino Linotype" w:cs="Arial"/>
        </w:rPr>
        <w:t xml:space="preserve">elementos de seguridad, y aquella que por su propia naturaleza, de ser </w:t>
      </w:r>
      <w:r w:rsidR="00DF59A9" w:rsidRPr="00B54C27">
        <w:rPr>
          <w:rFonts w:ascii="Palatino Linotype" w:hAnsi="Palatino Linotype" w:cs="Arial"/>
        </w:rPr>
        <w:t>re</w:t>
      </w:r>
      <w:r w:rsidRPr="00B54C27">
        <w:rPr>
          <w:rFonts w:ascii="Palatino Linotype" w:hAnsi="Palatino Linotype" w:cs="Arial"/>
        </w:rPr>
        <w:t xml:space="preserve">velada </w:t>
      </w:r>
      <w:r w:rsidRPr="00B54C27">
        <w:rPr>
          <w:rFonts w:ascii="Palatino Linotype" w:eastAsia="Times New Roman" w:hAnsi="Palatino Linotype" w:cs="Arial"/>
        </w:rPr>
        <w:t>pueda potenciar una amenaza a la seguridad pública.</w:t>
      </w:r>
    </w:p>
    <w:p w14:paraId="0E21C7D1" w14:textId="77777777" w:rsidR="00ED73FC" w:rsidRPr="00B54C27" w:rsidRDefault="00ED73FC" w:rsidP="00ED73FC">
      <w:pPr>
        <w:spacing w:line="360" w:lineRule="auto"/>
        <w:jc w:val="both"/>
        <w:rPr>
          <w:rFonts w:ascii="Palatino Linotype" w:hAnsi="Palatino Linotype" w:cs="Arial"/>
          <w:strike/>
        </w:rPr>
      </w:pPr>
    </w:p>
    <w:p w14:paraId="40FB4B62" w14:textId="77777777" w:rsidR="00ED73FC" w:rsidRPr="00B54C27" w:rsidRDefault="00C648AD" w:rsidP="00ED73FC">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rPr>
      </w:pPr>
      <w:r w:rsidRPr="00B54C27">
        <w:rPr>
          <w:rFonts w:ascii="Palatino Linotype" w:eastAsia="Palatino Linotype" w:hAnsi="Palatino Linotype" w:cs="Palatino Linotype"/>
        </w:rPr>
        <w:t xml:space="preserve">No se omite señalar que los datos generales, que no corresponden a las características técnicas </w:t>
      </w:r>
      <w:r w:rsidR="00A06A60" w:rsidRPr="00B54C27">
        <w:rPr>
          <w:rFonts w:ascii="Palatino Linotype" w:eastAsia="Palatino Linotype" w:hAnsi="Palatino Linotype" w:cs="Palatino Linotype"/>
        </w:rPr>
        <w:t>y que en consecuencia no acrediten un riesgo real, demostrable e identificable</w:t>
      </w:r>
      <w:r w:rsidRPr="00B54C27">
        <w:rPr>
          <w:rFonts w:ascii="Palatino Linotype" w:eastAsia="Palatino Linotype" w:hAnsi="Palatino Linotype" w:cs="Palatino Linotype"/>
        </w:rPr>
        <w:t xml:space="preserve">, se deberá </w:t>
      </w:r>
      <w:r w:rsidR="00DF59A9" w:rsidRPr="00B54C27">
        <w:rPr>
          <w:rFonts w:ascii="Palatino Linotype" w:eastAsia="Palatino Linotype" w:hAnsi="Palatino Linotype" w:cs="Palatino Linotype"/>
        </w:rPr>
        <w:t>dejar visible en el soporte documental que eventualmente se entregue.</w:t>
      </w:r>
    </w:p>
    <w:p w14:paraId="0387B9C2" w14:textId="77777777" w:rsidR="00372BC6" w:rsidRPr="00B54C27" w:rsidRDefault="00372BC6">
      <w:pPr>
        <w:pBdr>
          <w:top w:val="nil"/>
          <w:left w:val="nil"/>
          <w:bottom w:val="nil"/>
          <w:right w:val="nil"/>
          <w:between w:val="nil"/>
        </w:pBdr>
        <w:spacing w:line="360" w:lineRule="auto"/>
        <w:ind w:right="-787"/>
        <w:jc w:val="both"/>
        <w:rPr>
          <w:rFonts w:ascii="Palatino Linotype" w:eastAsia="Palatino Linotype" w:hAnsi="Palatino Linotype" w:cs="Palatino Linotype"/>
          <w:b/>
        </w:rPr>
      </w:pPr>
    </w:p>
    <w:p w14:paraId="08EE0213" w14:textId="77777777" w:rsidR="00372BC6" w:rsidRPr="00B54C27" w:rsidRDefault="00A969C3">
      <w:pPr>
        <w:keepNext/>
        <w:keepLines/>
        <w:spacing w:after="160" w:line="360" w:lineRule="auto"/>
        <w:ind w:right="-787"/>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QUINTA. De la versión pública.</w:t>
      </w:r>
    </w:p>
    <w:p w14:paraId="2DD24807" w14:textId="77777777" w:rsidR="00372BC6" w:rsidRPr="00B54C27" w:rsidRDefault="00A969C3">
      <w:pPr>
        <w:keepNext/>
        <w:keepLines/>
        <w:numPr>
          <w:ilvl w:val="0"/>
          <w:numId w:val="3"/>
        </w:numPr>
        <w:tabs>
          <w:tab w:val="left" w:pos="284"/>
        </w:tabs>
        <w:spacing w:after="160" w:line="360" w:lineRule="auto"/>
        <w:ind w:right="-787"/>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 xml:space="preserve">Nociones generales. </w:t>
      </w:r>
    </w:p>
    <w:p w14:paraId="77220610"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pPr>
      <w:r w:rsidRPr="00B54C27">
        <w:rPr>
          <w:rFonts w:ascii="Palatino Linotype" w:eastAsia="Palatino Linotype" w:hAnsi="Palatino Linotype" w:cs="Palatino Linotype"/>
        </w:rPr>
        <w:t xml:space="preserve">Debe destacarse, que si debido a la información solicitada por el </w:t>
      </w:r>
      <w:r w:rsidRPr="00B54C27">
        <w:rPr>
          <w:rFonts w:ascii="Palatino Linotype" w:eastAsia="Palatino Linotype" w:hAnsi="Palatino Linotype" w:cs="Palatino Linotype"/>
          <w:b/>
        </w:rPr>
        <w:t>RECURRENTE</w:t>
      </w:r>
      <w:r w:rsidRPr="00B54C27">
        <w:rPr>
          <w:rFonts w:ascii="Palatino Linotype" w:eastAsia="Palatino Linotype" w:hAnsi="Palatino Linotype" w:cs="Palatino Linotype"/>
        </w:rPr>
        <w:t xml:space="preserve">, obran datos personales susceptibles de protegerse, así como información susceptible de clasificarse como confidencial,  el </w:t>
      </w:r>
      <w:r w:rsidRPr="00B54C27">
        <w:rPr>
          <w:rFonts w:ascii="Palatino Linotype" w:eastAsia="Palatino Linotype" w:hAnsi="Palatino Linotype" w:cs="Palatino Linotype"/>
          <w:b/>
        </w:rPr>
        <w:t xml:space="preserve">SUJETO OBLIGADO </w:t>
      </w:r>
      <w:r w:rsidRPr="00B54C27">
        <w:rPr>
          <w:rFonts w:ascii="Palatino Linotype" w:eastAsia="Palatino Linotype" w:hAnsi="Palatino Linotype" w:cs="Palatino Linotype"/>
        </w:rPr>
        <w:t xml:space="preserve">deberá de hacer la adecuada versión pública, protegiendo los datos que no son susceptibles de ser proporcionados. </w:t>
      </w:r>
    </w:p>
    <w:p w14:paraId="6F4F85A0" w14:textId="77777777" w:rsidR="00372BC6" w:rsidRPr="00B54C27" w:rsidRDefault="00372BC6">
      <w:pPr>
        <w:tabs>
          <w:tab w:val="left" w:pos="0"/>
          <w:tab w:val="left" w:pos="284"/>
        </w:tabs>
        <w:spacing w:line="360" w:lineRule="auto"/>
        <w:ind w:right="-787"/>
        <w:jc w:val="both"/>
        <w:rPr>
          <w:rFonts w:ascii="Palatino Linotype" w:eastAsia="Palatino Linotype" w:hAnsi="Palatino Linotype" w:cs="Palatino Linotype"/>
        </w:rPr>
      </w:pPr>
    </w:p>
    <w:p w14:paraId="58C64807"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color w:val="000000"/>
        </w:rPr>
        <w:t>No pasa desapercibido para este Órgano Garante que los sujetos obligados</w:t>
      </w:r>
      <w:r w:rsidRPr="00B54C27">
        <w:rPr>
          <w:rFonts w:ascii="Palatino Linotype" w:eastAsia="Palatino Linotype" w:hAnsi="Palatino Linotype" w:cs="Palatino Linotype"/>
          <w:b/>
          <w:color w:val="000000"/>
        </w:rPr>
        <w:t xml:space="preserve"> </w:t>
      </w:r>
      <w:r w:rsidRPr="00B54C27">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9C62CF4" w14:textId="77777777" w:rsidR="00372BC6" w:rsidRPr="00B54C27" w:rsidRDefault="00372BC6">
      <w:pPr>
        <w:tabs>
          <w:tab w:val="left" w:pos="284"/>
        </w:tabs>
        <w:spacing w:after="160" w:line="360" w:lineRule="auto"/>
        <w:ind w:right="-787"/>
        <w:jc w:val="both"/>
        <w:rPr>
          <w:rFonts w:ascii="Palatino Linotype" w:eastAsia="Palatino Linotype" w:hAnsi="Palatino Linotype" w:cs="Palatino Linotype"/>
          <w:color w:val="000000"/>
        </w:rPr>
      </w:pPr>
    </w:p>
    <w:tbl>
      <w:tblPr>
        <w:tblStyle w:val="a5"/>
        <w:tblW w:w="969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0"/>
        <w:gridCol w:w="6870"/>
      </w:tblGrid>
      <w:tr w:rsidR="00372BC6" w:rsidRPr="00B54C27" w14:paraId="05D64ED7" w14:textId="77777777">
        <w:tc>
          <w:tcPr>
            <w:tcW w:w="2820" w:type="dxa"/>
          </w:tcPr>
          <w:p w14:paraId="52B76282" w14:textId="77777777" w:rsidR="00372BC6" w:rsidRPr="00B54C27" w:rsidRDefault="00A969C3">
            <w:pPr>
              <w:tabs>
                <w:tab w:val="left" w:pos="284"/>
              </w:tabs>
              <w:spacing w:line="360" w:lineRule="auto"/>
              <w:ind w:right="35"/>
              <w:rPr>
                <w:rFonts w:ascii="Palatino Linotype" w:eastAsia="Palatino Linotype" w:hAnsi="Palatino Linotype" w:cs="Palatino Linotype"/>
                <w:b/>
                <w:sz w:val="22"/>
                <w:szCs w:val="22"/>
              </w:rPr>
            </w:pPr>
            <w:r w:rsidRPr="00B54C27">
              <w:rPr>
                <w:rFonts w:ascii="Palatino Linotype" w:eastAsia="Palatino Linotype" w:hAnsi="Palatino Linotype" w:cs="Palatino Linotype"/>
                <w:b/>
                <w:sz w:val="22"/>
                <w:szCs w:val="22"/>
              </w:rPr>
              <w:t>a) Requisitos previos.</w:t>
            </w:r>
          </w:p>
        </w:tc>
        <w:tc>
          <w:tcPr>
            <w:tcW w:w="6870" w:type="dxa"/>
          </w:tcPr>
          <w:p w14:paraId="604AF535"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b/>
                <w:color w:val="000000"/>
                <w:sz w:val="22"/>
                <w:szCs w:val="22"/>
              </w:rPr>
            </w:pPr>
            <w:r w:rsidRPr="00B54C27">
              <w:rPr>
                <w:rFonts w:ascii="Palatino Linotype" w:eastAsia="Palatino Linotype" w:hAnsi="Palatino Linotype" w:cs="Palatino Linotype"/>
                <w:b/>
                <w:color w:val="000000"/>
                <w:sz w:val="22"/>
                <w:szCs w:val="22"/>
              </w:rPr>
              <w:t xml:space="preserve">Los artículos 100 y 122 de la Ley Estatal y de la Ley General, respectivamente, señalan que si los Sujetos Obligados determinan </w:t>
            </w:r>
            <w:r w:rsidRPr="00B54C27">
              <w:rPr>
                <w:rFonts w:ascii="Palatino Linotype" w:eastAsia="Palatino Linotype" w:hAnsi="Palatino Linotype" w:cs="Palatino Linotype"/>
                <w:b/>
                <w:color w:val="000000"/>
                <w:sz w:val="22"/>
                <w:szCs w:val="22"/>
              </w:rPr>
              <w:lastRenderedPageBreak/>
              <w:t xml:space="preserve">que la información actualiza alguno de los supuestos de clasificación, es deber de los titulares de las áreas proponer su clasificación y no del Comité de Transparencia. </w:t>
            </w:r>
          </w:p>
          <w:p w14:paraId="36ADE63E"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b/>
                <w:color w:val="000000"/>
                <w:sz w:val="22"/>
                <w:szCs w:val="22"/>
              </w:rPr>
            </w:pPr>
            <w:r w:rsidRPr="00B54C27">
              <w:rPr>
                <w:rFonts w:ascii="Palatino Linotype" w:eastAsia="Palatino Linotype" w:hAnsi="Palatino Linotype" w:cs="Palatino Linotype"/>
                <w:b/>
                <w:color w:val="000000"/>
                <w:sz w:val="22"/>
                <w:szCs w:val="22"/>
              </w:rPr>
              <w:t>Al hacerlo tienen que precisar de qué información se trata, señalando el supuesto de clasificación (confidencialidad o reserva).</w:t>
            </w:r>
          </w:p>
          <w:p w14:paraId="4866B941"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b/>
                <w:color w:val="000000"/>
                <w:sz w:val="22"/>
                <w:szCs w:val="22"/>
              </w:rPr>
            </w:pPr>
            <w:r w:rsidRPr="00B54C27">
              <w:rPr>
                <w:rFonts w:ascii="Palatino Linotype" w:eastAsia="Palatino Linotype" w:hAnsi="Palatino Linotype" w:cs="Palatino Linotype"/>
                <w:b/>
                <w:color w:val="000000"/>
                <w:sz w:val="22"/>
                <w:szCs w:val="22"/>
              </w:rPr>
              <w:t>Además, se debe señalar el procedimiento, de los tres que establecen los artículos 132 y 106 de la Ley Estatal y General, respectivamente.</w:t>
            </w:r>
          </w:p>
          <w:p w14:paraId="27DDDF90"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b/>
                <w:sz w:val="22"/>
                <w:szCs w:val="22"/>
              </w:rPr>
            </w:pPr>
            <w:r w:rsidRPr="00B54C27">
              <w:rPr>
                <w:rFonts w:ascii="Palatino Linotype" w:eastAsia="Palatino Linotype" w:hAnsi="Palatino Linotype" w:cs="Palatino Linotype"/>
                <w:b/>
                <w:color w:val="000000"/>
                <w:sz w:val="22"/>
                <w:szCs w:val="22"/>
              </w:rPr>
              <w:t xml:space="preserve">El último de estos requisitos previos consiste en que no se pueden emitir acuerdos de carácter general ni particular, esto es, </w:t>
            </w:r>
            <w:r w:rsidRPr="00B54C27">
              <w:rPr>
                <w:rFonts w:ascii="Palatino Linotype" w:eastAsia="Palatino Linotype" w:hAnsi="Palatino Linotype" w:cs="Palatino Linotype"/>
                <w:b/>
                <w:color w:val="000000"/>
                <w:sz w:val="22"/>
                <w:szCs w:val="22"/>
                <w:u w:val="single"/>
              </w:rPr>
              <w:t>no se puede hacer un acuerdo para clasificar de manera general todos los documentos de un expediente o área, sin</w:t>
            </w:r>
            <w:r w:rsidRPr="00B54C27">
              <w:rPr>
                <w:rFonts w:ascii="Palatino Linotype" w:eastAsia="Palatino Linotype" w:hAnsi="Palatino Linotype" w:cs="Palatino Linotype"/>
                <w:b/>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372BC6" w:rsidRPr="00B54C27" w14:paraId="0889A6F7" w14:textId="77777777">
        <w:tc>
          <w:tcPr>
            <w:tcW w:w="2820" w:type="dxa"/>
          </w:tcPr>
          <w:p w14:paraId="099B3213" w14:textId="77777777" w:rsidR="00372BC6" w:rsidRPr="00B54C27" w:rsidRDefault="00A969C3">
            <w:pPr>
              <w:tabs>
                <w:tab w:val="left" w:pos="284"/>
              </w:tabs>
              <w:spacing w:line="360" w:lineRule="auto"/>
              <w:ind w:right="35"/>
              <w:rPr>
                <w:rFonts w:ascii="Palatino Linotype" w:eastAsia="Palatino Linotype" w:hAnsi="Palatino Linotype" w:cs="Palatino Linotype"/>
                <w:b/>
                <w:sz w:val="22"/>
                <w:szCs w:val="22"/>
              </w:rPr>
            </w:pPr>
            <w:r w:rsidRPr="00B54C27">
              <w:rPr>
                <w:rFonts w:ascii="Palatino Linotype" w:eastAsia="Palatino Linotype" w:hAnsi="Palatino Linotype" w:cs="Palatino Linotype"/>
                <w:b/>
                <w:sz w:val="22"/>
                <w:szCs w:val="22"/>
              </w:rPr>
              <w:lastRenderedPageBreak/>
              <w:t>b) Supuestos de clasificación.</w:t>
            </w:r>
          </w:p>
        </w:tc>
        <w:tc>
          <w:tcPr>
            <w:tcW w:w="6870" w:type="dxa"/>
          </w:tcPr>
          <w:p w14:paraId="21DCBD93"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14:paraId="2C616C7F"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w:t>
            </w:r>
            <w:r w:rsidRPr="00B54C27">
              <w:rPr>
                <w:rFonts w:ascii="Palatino Linotype" w:eastAsia="Palatino Linotype" w:hAnsi="Palatino Linotype" w:cs="Palatino Linotype"/>
                <w:color w:val="000000"/>
                <w:sz w:val="22"/>
                <w:szCs w:val="22"/>
              </w:rPr>
              <w:lastRenderedPageBreak/>
              <w:t>cumple con esta condición y no se pueden ampliar las excepciones o supuestos de clasificación aduciendo analogía o mayoría de razón.</w:t>
            </w:r>
          </w:p>
          <w:p w14:paraId="308C118A"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sz w:val="22"/>
                <w:szCs w:val="22"/>
              </w:rPr>
            </w:pPr>
            <w:r w:rsidRPr="00B54C27">
              <w:rPr>
                <w:rFonts w:ascii="Palatino Linotype" w:eastAsia="Palatino Linotype" w:hAnsi="Palatino Linotype" w:cs="Palatino Linotype"/>
                <w:color w:val="000000"/>
                <w:sz w:val="22"/>
                <w:szCs w:val="22"/>
              </w:rPr>
              <w:t xml:space="preserve">El </w:t>
            </w:r>
            <w:r w:rsidRPr="00B54C27">
              <w:rPr>
                <w:rFonts w:ascii="Palatino Linotype" w:eastAsia="Palatino Linotype" w:hAnsi="Palatino Linotype" w:cs="Palatino Linotype"/>
                <w:b/>
                <w:color w:val="000000"/>
                <w:sz w:val="22"/>
                <w:szCs w:val="22"/>
              </w:rPr>
              <w:t>Sujeto Obligado</w:t>
            </w:r>
            <w:r w:rsidRPr="00B54C27">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72BC6" w:rsidRPr="00B54C27" w14:paraId="3D4A7C06" w14:textId="77777777">
        <w:tc>
          <w:tcPr>
            <w:tcW w:w="2820" w:type="dxa"/>
          </w:tcPr>
          <w:p w14:paraId="23D6FE51" w14:textId="77777777" w:rsidR="00372BC6" w:rsidRPr="00B54C27" w:rsidRDefault="00A969C3">
            <w:pPr>
              <w:tabs>
                <w:tab w:val="left" w:pos="284"/>
              </w:tabs>
              <w:spacing w:line="360" w:lineRule="auto"/>
              <w:ind w:right="35"/>
              <w:rPr>
                <w:rFonts w:ascii="Palatino Linotype" w:eastAsia="Palatino Linotype" w:hAnsi="Palatino Linotype" w:cs="Palatino Linotype"/>
                <w:b/>
                <w:sz w:val="22"/>
                <w:szCs w:val="22"/>
              </w:rPr>
            </w:pPr>
            <w:r w:rsidRPr="00B54C27">
              <w:rPr>
                <w:rFonts w:ascii="Palatino Linotype" w:eastAsia="Palatino Linotype" w:hAnsi="Palatino Linotype" w:cs="Palatino Linotype"/>
                <w:b/>
                <w:sz w:val="22"/>
                <w:szCs w:val="22"/>
              </w:rPr>
              <w:lastRenderedPageBreak/>
              <w:t>c) Formalidades para emitir el acuerdo de clasificación.</w:t>
            </w:r>
          </w:p>
        </w:tc>
        <w:tc>
          <w:tcPr>
            <w:tcW w:w="6870" w:type="dxa"/>
          </w:tcPr>
          <w:p w14:paraId="09E71FD4"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14:paraId="02BCB68D"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 xml:space="preserve">Es necesario que </w:t>
            </w:r>
            <w:r w:rsidRPr="00B54C27">
              <w:rPr>
                <w:rFonts w:ascii="Palatino Linotype" w:eastAsia="Palatino Linotype" w:hAnsi="Palatino Linotype" w:cs="Palatino Linotype"/>
                <w:b/>
                <w:color w:val="000000"/>
                <w:sz w:val="22"/>
                <w:szCs w:val="22"/>
                <w:u w:val="single"/>
              </w:rPr>
              <w:t>el acto reúna con los requisitos elementales</w:t>
            </w:r>
            <w:r w:rsidRPr="00B54C27">
              <w:rPr>
                <w:rFonts w:ascii="Palatino Linotype" w:eastAsia="Palatino Linotype" w:hAnsi="Palatino Linotype" w:cs="Palatino Linotype"/>
                <w:color w:val="000000"/>
                <w:sz w:val="22"/>
                <w:szCs w:val="22"/>
              </w:rPr>
              <w:t>, entre ellos, que la autoridad que va a emitir el acto de autoridad sea la legalmente facultada para ello.</w:t>
            </w:r>
          </w:p>
          <w:p w14:paraId="1CB3EAFC"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sz w:val="22"/>
                <w:szCs w:val="22"/>
              </w:rPr>
            </w:pPr>
            <w:r w:rsidRPr="00B54C27">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B54C27">
              <w:rPr>
                <w:rFonts w:ascii="Palatino Linotype" w:eastAsia="Palatino Linotype" w:hAnsi="Palatino Linotype" w:cs="Palatino Linotype"/>
                <w:sz w:val="22"/>
                <w:szCs w:val="22"/>
              </w:rPr>
              <w:t>El área</w:t>
            </w:r>
            <w:r w:rsidRPr="00B54C27">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72BC6" w:rsidRPr="00B54C27" w14:paraId="577981C6" w14:textId="77777777">
        <w:tc>
          <w:tcPr>
            <w:tcW w:w="2820" w:type="dxa"/>
          </w:tcPr>
          <w:p w14:paraId="6D84BEAE" w14:textId="77777777" w:rsidR="00372BC6" w:rsidRPr="00B54C27" w:rsidRDefault="00372BC6">
            <w:pPr>
              <w:tabs>
                <w:tab w:val="left" w:pos="284"/>
              </w:tabs>
              <w:spacing w:line="360" w:lineRule="auto"/>
              <w:ind w:right="35"/>
              <w:rPr>
                <w:rFonts w:ascii="Palatino Linotype" w:eastAsia="Palatino Linotype" w:hAnsi="Palatino Linotype" w:cs="Palatino Linotype"/>
                <w:b/>
                <w:sz w:val="22"/>
                <w:szCs w:val="22"/>
              </w:rPr>
            </w:pPr>
          </w:p>
          <w:p w14:paraId="18940483"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b/>
                <w:sz w:val="22"/>
                <w:szCs w:val="22"/>
              </w:rPr>
            </w:pPr>
            <w:r w:rsidRPr="00B54C27">
              <w:rPr>
                <w:rFonts w:ascii="Palatino Linotype" w:eastAsia="Palatino Linotype" w:hAnsi="Palatino Linotype" w:cs="Palatino Linotype"/>
                <w:b/>
                <w:color w:val="000000"/>
                <w:sz w:val="22"/>
                <w:szCs w:val="22"/>
              </w:rPr>
              <w:t xml:space="preserve">d) Requisitos de fondo del acuerdo de clasificación. </w:t>
            </w:r>
          </w:p>
        </w:tc>
        <w:tc>
          <w:tcPr>
            <w:tcW w:w="6870" w:type="dxa"/>
          </w:tcPr>
          <w:p w14:paraId="017DCD44"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w:t>
            </w:r>
            <w:r w:rsidRPr="00B54C27">
              <w:rPr>
                <w:rFonts w:ascii="Palatino Linotype" w:eastAsia="Palatino Linotype" w:hAnsi="Palatino Linotype" w:cs="Palatino Linotype"/>
                <w:color w:val="000000"/>
                <w:sz w:val="22"/>
                <w:szCs w:val="22"/>
              </w:rPr>
              <w:lastRenderedPageBreak/>
              <w:t xml:space="preserve">las restricciones, corresponde a los </w:t>
            </w:r>
            <w:r w:rsidRPr="00B54C27">
              <w:rPr>
                <w:rFonts w:ascii="Palatino Linotype" w:eastAsia="Palatino Linotype" w:hAnsi="Palatino Linotype" w:cs="Palatino Linotype"/>
                <w:b/>
                <w:color w:val="000000"/>
                <w:sz w:val="22"/>
                <w:szCs w:val="22"/>
              </w:rPr>
              <w:t>Sujetos Obligados</w:t>
            </w:r>
            <w:r w:rsidRPr="00B54C27">
              <w:rPr>
                <w:rFonts w:ascii="Palatino Linotype" w:eastAsia="Palatino Linotype" w:hAnsi="Palatino Linotype" w:cs="Palatino Linotype"/>
                <w:color w:val="000000"/>
                <w:sz w:val="22"/>
                <w:szCs w:val="22"/>
              </w:rPr>
              <w:t xml:space="preserve">, por lo que deberán fundar y motivar debidamente la clasificación. </w:t>
            </w:r>
          </w:p>
          <w:p w14:paraId="52385B9B"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 xml:space="preserve">De lo anterior, se desprende que para una correcta </w:t>
            </w:r>
            <w:r w:rsidRPr="00B54C27">
              <w:rPr>
                <w:rFonts w:ascii="Palatino Linotype" w:eastAsia="Palatino Linotype" w:hAnsi="Palatino Linotype" w:cs="Palatino Linotype"/>
                <w:b/>
                <w:color w:val="000000"/>
                <w:sz w:val="22"/>
                <w:szCs w:val="22"/>
              </w:rPr>
              <w:t>clasificación total o parcial</w:t>
            </w:r>
            <w:r w:rsidRPr="00B54C27">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71F2219"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06C07C0"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14:paraId="2B723575"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 xml:space="preserve">Ahora bien, </w:t>
            </w:r>
            <w:r w:rsidRPr="00B54C27">
              <w:rPr>
                <w:rFonts w:ascii="Palatino Linotype" w:eastAsia="Palatino Linotype" w:hAnsi="Palatino Linotype" w:cs="Palatino Linotype"/>
                <w:b/>
                <w:color w:val="000000"/>
                <w:sz w:val="22"/>
                <w:szCs w:val="22"/>
                <w:u w:val="single"/>
              </w:rPr>
              <w:t>para cada caso además de fundar y motivar</w:t>
            </w:r>
            <w:r w:rsidRPr="00B54C27">
              <w:rPr>
                <w:rFonts w:ascii="Palatino Linotype" w:eastAsia="Palatino Linotype" w:hAnsi="Palatino Linotype" w:cs="Palatino Linotype"/>
                <w:color w:val="000000"/>
                <w:sz w:val="22"/>
                <w:szCs w:val="22"/>
              </w:rPr>
              <w:t xml:space="preserve">, se debe identificar con claridad </w:t>
            </w:r>
            <w:r w:rsidRPr="00B54C27">
              <w:rPr>
                <w:rFonts w:ascii="Palatino Linotype" w:eastAsia="Palatino Linotype" w:hAnsi="Palatino Linotype" w:cs="Palatino Linotype"/>
                <w:sz w:val="22"/>
                <w:szCs w:val="22"/>
              </w:rPr>
              <w:t>qué</w:t>
            </w:r>
            <w:r w:rsidRPr="00B54C27">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372BC6" w:rsidRPr="00B54C27" w14:paraId="46110126" w14:textId="77777777">
        <w:tc>
          <w:tcPr>
            <w:tcW w:w="2820" w:type="dxa"/>
          </w:tcPr>
          <w:p w14:paraId="6B747294"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b/>
                <w:sz w:val="22"/>
                <w:szCs w:val="22"/>
              </w:rPr>
            </w:pPr>
            <w:r w:rsidRPr="00B54C27">
              <w:rPr>
                <w:rFonts w:ascii="Palatino Linotype" w:eastAsia="Palatino Linotype" w:hAnsi="Palatino Linotype" w:cs="Palatino Linotype"/>
                <w:b/>
                <w:sz w:val="22"/>
                <w:szCs w:val="22"/>
              </w:rPr>
              <w:lastRenderedPageBreak/>
              <w:t xml:space="preserve">e) Condiciones especiales de la clasificación de la información como confidencial. </w:t>
            </w:r>
          </w:p>
        </w:tc>
        <w:tc>
          <w:tcPr>
            <w:tcW w:w="6870" w:type="dxa"/>
          </w:tcPr>
          <w:p w14:paraId="6D5C75F3"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14:paraId="0F25D18F" w14:textId="77777777" w:rsidR="00372BC6" w:rsidRPr="00B54C27" w:rsidRDefault="00A969C3">
            <w:pPr>
              <w:tabs>
                <w:tab w:val="left" w:pos="284"/>
              </w:tabs>
              <w:spacing w:line="360" w:lineRule="auto"/>
              <w:ind w:right="35"/>
              <w:jc w:val="both"/>
              <w:rPr>
                <w:rFonts w:ascii="Palatino Linotype" w:eastAsia="Palatino Linotype" w:hAnsi="Palatino Linotype" w:cs="Palatino Linotype"/>
                <w:color w:val="000000"/>
                <w:sz w:val="22"/>
                <w:szCs w:val="22"/>
              </w:rPr>
            </w:pPr>
            <w:r w:rsidRPr="00B54C27">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8E50C2E" w14:textId="77777777" w:rsidR="00372BC6" w:rsidRPr="00B54C27" w:rsidRDefault="00A969C3">
            <w:pPr>
              <w:tabs>
                <w:tab w:val="left" w:pos="284"/>
              </w:tabs>
              <w:spacing w:line="360" w:lineRule="auto"/>
              <w:ind w:right="35"/>
              <w:rPr>
                <w:rFonts w:ascii="Palatino Linotype" w:eastAsia="Palatino Linotype" w:hAnsi="Palatino Linotype" w:cs="Palatino Linotype"/>
                <w:sz w:val="22"/>
                <w:szCs w:val="22"/>
              </w:rPr>
            </w:pPr>
            <w:r w:rsidRPr="00B54C27">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565F0BD" w14:textId="77777777" w:rsidR="00372BC6" w:rsidRPr="00B54C27" w:rsidRDefault="00372BC6">
      <w:pPr>
        <w:tabs>
          <w:tab w:val="left" w:pos="284"/>
        </w:tabs>
        <w:spacing w:line="360" w:lineRule="auto"/>
        <w:ind w:right="-787"/>
        <w:rPr>
          <w:rFonts w:ascii="Palatino Linotype" w:eastAsia="Palatino Linotype" w:hAnsi="Palatino Linotype" w:cs="Palatino Linotype"/>
          <w:color w:val="000000"/>
        </w:rPr>
      </w:pPr>
    </w:p>
    <w:p w14:paraId="02D145A6"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pPr>
      <w:r w:rsidRPr="00B54C27">
        <w:rPr>
          <w:rFonts w:ascii="Palatino Linotype" w:eastAsia="Palatino Linotype" w:hAnsi="Palatino Linotype" w:cs="Palatino Linotype"/>
        </w:rPr>
        <w:t xml:space="preserve">De lo anterior, se debe de mencionar que el </w:t>
      </w:r>
      <w:r w:rsidRPr="00B54C27">
        <w:rPr>
          <w:rFonts w:ascii="Palatino Linotype" w:eastAsia="Palatino Linotype" w:hAnsi="Palatino Linotype" w:cs="Palatino Linotype"/>
          <w:b/>
        </w:rPr>
        <w:t xml:space="preserve">SUJETO OBLIGADO </w:t>
      </w:r>
      <w:r w:rsidRPr="00B54C27">
        <w:rPr>
          <w:rFonts w:ascii="Palatino Linotype" w:eastAsia="Palatino Linotype" w:hAnsi="Palatino Linotype" w:cs="Palatino Linotype"/>
        </w:rPr>
        <w:t>deberá de realizar un análisis respecto al contenido de los documentos a entregar, ya que estos solo deberán de ser clasificados como confidenciales si tiene relación con datos personales.</w:t>
      </w:r>
    </w:p>
    <w:p w14:paraId="3169B39E" w14:textId="77777777" w:rsidR="00372BC6" w:rsidRPr="00B54C27" w:rsidRDefault="00372BC6">
      <w:pPr>
        <w:tabs>
          <w:tab w:val="left" w:pos="284"/>
        </w:tabs>
        <w:spacing w:line="360" w:lineRule="auto"/>
        <w:ind w:right="-787"/>
        <w:jc w:val="both"/>
        <w:rPr>
          <w:rFonts w:ascii="Palatino Linotype" w:eastAsia="Palatino Linotype" w:hAnsi="Palatino Linotype" w:cs="Palatino Linotype"/>
          <w:color w:val="000000"/>
        </w:rPr>
      </w:pPr>
    </w:p>
    <w:p w14:paraId="3F1C84B9"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rPr>
        <w:t xml:space="preserve">Derivado de lo establecido en párrafos anteriores, si el </w:t>
      </w:r>
      <w:r w:rsidRPr="00B54C27">
        <w:rPr>
          <w:rFonts w:ascii="Palatino Linotype" w:eastAsia="Palatino Linotype" w:hAnsi="Palatino Linotype" w:cs="Palatino Linotype"/>
          <w:b/>
        </w:rPr>
        <w:t>SUJETO OBLIGADO</w:t>
      </w:r>
      <w:r w:rsidRPr="00B54C27">
        <w:rPr>
          <w:rFonts w:ascii="Palatino Linotype" w:eastAsia="Palatino Linotype" w:hAnsi="Palatino Linotype" w:cs="Palatino Linotype"/>
        </w:rPr>
        <w:t xml:space="preserve"> incumple con estas formalidades y entrega la información sin proteger los datos personales incumple con lo que estipula las disposiciones legales establecidas, asimismo que si entrega un documento testado sin el debido acuerdo de clasificación.</w:t>
      </w:r>
    </w:p>
    <w:p w14:paraId="441C9342" w14:textId="77777777" w:rsidR="00372BC6" w:rsidRPr="00B54C27" w:rsidRDefault="00372BC6">
      <w:pPr>
        <w:ind w:right="-787"/>
        <w:rPr>
          <w:rFonts w:ascii="Palatino Linotype" w:eastAsia="Palatino Linotype" w:hAnsi="Palatino Linotype" w:cs="Palatino Linotype"/>
          <w:color w:val="000000"/>
        </w:rPr>
      </w:pPr>
    </w:p>
    <w:p w14:paraId="174A33F4" w14:textId="77777777" w:rsidR="00372BC6" w:rsidRPr="00B54C27" w:rsidRDefault="00A969C3">
      <w:pPr>
        <w:numPr>
          <w:ilvl w:val="0"/>
          <w:numId w:val="2"/>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u w:val="single"/>
        </w:rPr>
        <w:t xml:space="preserve">Conclusión </w:t>
      </w:r>
    </w:p>
    <w:p w14:paraId="14B7DD7A"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color w:val="000000"/>
        </w:rPr>
      </w:pPr>
      <w:r w:rsidRPr="00B54C27">
        <w:rPr>
          <w:rFonts w:ascii="Palatino Linotype" w:eastAsia="Palatino Linotype" w:hAnsi="Palatino Linotype" w:cs="Palatino Linotype"/>
        </w:rPr>
        <w:lastRenderedPageBreak/>
        <w:t>En consecuencia, se consideran fundadas las razones o motivos de inconformidad que plantea el</w:t>
      </w:r>
      <w:r w:rsidRPr="00B54C27">
        <w:rPr>
          <w:rFonts w:ascii="Palatino Linotype" w:eastAsia="Palatino Linotype" w:hAnsi="Palatino Linotype" w:cs="Palatino Linotype"/>
          <w:b/>
        </w:rPr>
        <w:t xml:space="preserve"> RECURRENTE</w:t>
      </w:r>
      <w:r w:rsidRPr="00B54C27">
        <w:rPr>
          <w:rFonts w:ascii="Palatino Linotype" w:eastAsia="Palatino Linotype" w:hAnsi="Palatino Linotype" w:cs="Palatino Linotype"/>
        </w:rPr>
        <w:t xml:space="preserve">. </w:t>
      </w:r>
    </w:p>
    <w:p w14:paraId="6CB84FE2" w14:textId="77777777" w:rsidR="00372BC6" w:rsidRPr="00B54C27" w:rsidRDefault="00372BC6">
      <w:pPr>
        <w:ind w:right="-787"/>
        <w:rPr>
          <w:rFonts w:ascii="Palatino Linotype" w:eastAsia="Palatino Linotype" w:hAnsi="Palatino Linotype" w:cs="Palatino Linotype"/>
          <w:color w:val="000000"/>
        </w:rPr>
      </w:pPr>
    </w:p>
    <w:p w14:paraId="75DD84A3" w14:textId="77777777" w:rsidR="00372BC6" w:rsidRPr="00B54C27" w:rsidRDefault="00A969C3">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B54C27">
        <w:rPr>
          <w:rFonts w:ascii="Palatino Linotype" w:eastAsia="Palatino Linotype" w:hAnsi="Palatino Linotype" w:cs="Palatino Linotype"/>
          <w:b/>
          <w:color w:val="000000"/>
        </w:rPr>
        <w:t>ÓRGANO GARANTE</w:t>
      </w:r>
      <w:r w:rsidRPr="00B54C27">
        <w:rPr>
          <w:rFonts w:ascii="Palatino Linotype" w:eastAsia="Palatino Linotype" w:hAnsi="Palatino Linotype" w:cs="Palatino Linotype"/>
          <w:color w:val="000000"/>
        </w:rPr>
        <w:t xml:space="preserve"> emite los siguientes</w:t>
      </w:r>
      <w:r w:rsidRPr="00B54C27">
        <w:rPr>
          <w:rFonts w:ascii="Palatino Linotype" w:eastAsia="Palatino Linotype" w:hAnsi="Palatino Linotype" w:cs="Palatino Linotype"/>
          <w:color w:val="222222"/>
        </w:rPr>
        <w:t>: —----------------------------------------------------</w:t>
      </w:r>
    </w:p>
    <w:p w14:paraId="577EC382" w14:textId="77777777" w:rsidR="00372BC6" w:rsidRPr="00B54C27" w:rsidRDefault="00372BC6">
      <w:pPr>
        <w:spacing w:line="360" w:lineRule="auto"/>
        <w:ind w:right="-787"/>
        <w:jc w:val="both"/>
        <w:rPr>
          <w:rFonts w:ascii="Palatino Linotype" w:eastAsia="Palatino Linotype" w:hAnsi="Palatino Linotype" w:cs="Palatino Linotype"/>
          <w:color w:val="000000"/>
        </w:rPr>
      </w:pPr>
    </w:p>
    <w:p w14:paraId="351F2E50" w14:textId="77777777" w:rsidR="00372BC6" w:rsidRPr="00B54C27" w:rsidRDefault="00A969C3">
      <w:pPr>
        <w:keepNext/>
        <w:keepLines/>
        <w:spacing w:line="360" w:lineRule="auto"/>
        <w:ind w:right="-787"/>
        <w:jc w:val="center"/>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R E S O L U T I V O S</w:t>
      </w:r>
    </w:p>
    <w:p w14:paraId="084095F9" w14:textId="77777777" w:rsidR="00372BC6" w:rsidRPr="00B54C27" w:rsidRDefault="00372BC6">
      <w:pPr>
        <w:ind w:right="-787"/>
        <w:rPr>
          <w:rFonts w:ascii="Palatino Linotype" w:eastAsia="Palatino Linotype" w:hAnsi="Palatino Linotype" w:cs="Palatino Linotype"/>
          <w:b/>
        </w:rPr>
      </w:pPr>
    </w:p>
    <w:p w14:paraId="30C61BF1" w14:textId="77777777" w:rsidR="00372BC6" w:rsidRPr="00B54C27" w:rsidRDefault="00A969C3">
      <w:pPr>
        <w:spacing w:line="360" w:lineRule="auto"/>
        <w:ind w:right="-787"/>
        <w:jc w:val="both"/>
        <w:rPr>
          <w:rFonts w:ascii="Palatino Linotype" w:eastAsia="Palatino Linotype" w:hAnsi="Palatino Linotype" w:cs="Palatino Linotype"/>
        </w:rPr>
      </w:pPr>
      <w:r w:rsidRPr="00B54C27">
        <w:rPr>
          <w:rFonts w:ascii="Palatino Linotype" w:eastAsia="Palatino Linotype" w:hAnsi="Palatino Linotype" w:cs="Palatino Linotype"/>
          <w:b/>
        </w:rPr>
        <w:t xml:space="preserve">PRIMERO. </w:t>
      </w:r>
      <w:r w:rsidRPr="00B54C27">
        <w:rPr>
          <w:rFonts w:ascii="Palatino Linotype" w:eastAsia="Palatino Linotype" w:hAnsi="Palatino Linotype" w:cs="Palatino Linotype"/>
        </w:rPr>
        <w:t>Resultan fundadas las</w:t>
      </w:r>
      <w:r w:rsidRPr="00B54C27">
        <w:rPr>
          <w:rFonts w:ascii="Palatino Linotype" w:eastAsia="Palatino Linotype" w:hAnsi="Palatino Linotype" w:cs="Palatino Linotype"/>
          <w:b/>
        </w:rPr>
        <w:t xml:space="preserve"> </w:t>
      </w:r>
      <w:r w:rsidRPr="00B54C27">
        <w:rPr>
          <w:rFonts w:ascii="Palatino Linotype" w:eastAsia="Palatino Linotype" w:hAnsi="Palatino Linotype" w:cs="Palatino Linotype"/>
        </w:rPr>
        <w:t>razones o motivos de inconformidad hechos valer en el Recurso de Revisión</w:t>
      </w:r>
      <w:r w:rsidRPr="00B54C27">
        <w:rPr>
          <w:rFonts w:ascii="Palatino Linotype" w:eastAsia="Palatino Linotype" w:hAnsi="Palatino Linotype" w:cs="Palatino Linotype"/>
          <w:b/>
        </w:rPr>
        <w:t> </w:t>
      </w:r>
      <w:r w:rsidRPr="00B54C27">
        <w:rPr>
          <w:rFonts w:ascii="Palatino Linotype" w:eastAsia="Palatino Linotype" w:hAnsi="Palatino Linotype" w:cs="Palatino Linotype"/>
          <w:b/>
          <w:color w:val="000000"/>
        </w:rPr>
        <w:t xml:space="preserve">01793/INFOEM/IP/RR/2024 </w:t>
      </w:r>
      <w:r w:rsidRPr="00B54C27">
        <w:rPr>
          <w:rFonts w:ascii="Palatino Linotype" w:eastAsia="Palatino Linotype" w:hAnsi="Palatino Linotype" w:cs="Palatino Linotype"/>
        </w:rPr>
        <w:t xml:space="preserve">en términos del </w:t>
      </w:r>
      <w:r w:rsidRPr="00B54C27">
        <w:rPr>
          <w:rFonts w:ascii="Palatino Linotype" w:eastAsia="Palatino Linotype" w:hAnsi="Palatino Linotype" w:cs="Palatino Linotype"/>
          <w:b/>
        </w:rPr>
        <w:t xml:space="preserve">Considerando CUARTO Y QUINTO </w:t>
      </w:r>
      <w:r w:rsidRPr="00B54C27">
        <w:rPr>
          <w:rFonts w:ascii="Palatino Linotype" w:eastAsia="Palatino Linotype" w:hAnsi="Palatino Linotype" w:cs="Palatino Linotype"/>
        </w:rPr>
        <w:t>de la presente resolución.</w:t>
      </w:r>
    </w:p>
    <w:p w14:paraId="3B2AC604" w14:textId="77777777" w:rsidR="00372BC6" w:rsidRPr="00B54C27" w:rsidRDefault="00372BC6">
      <w:pPr>
        <w:spacing w:line="360" w:lineRule="auto"/>
        <w:ind w:right="-787"/>
        <w:jc w:val="both"/>
        <w:rPr>
          <w:rFonts w:ascii="Palatino Linotype" w:eastAsia="Palatino Linotype" w:hAnsi="Palatino Linotype" w:cs="Palatino Linotype"/>
          <w:b/>
        </w:rPr>
      </w:pPr>
    </w:p>
    <w:p w14:paraId="72FB5CA5" w14:textId="77777777" w:rsidR="00372BC6" w:rsidRPr="00B54C27" w:rsidRDefault="00A969C3">
      <w:pPr>
        <w:spacing w:line="360" w:lineRule="auto"/>
        <w:ind w:right="-787"/>
        <w:jc w:val="both"/>
        <w:rPr>
          <w:rFonts w:ascii="Palatino Linotype" w:eastAsia="Palatino Linotype" w:hAnsi="Palatino Linotype" w:cs="Palatino Linotype"/>
        </w:rPr>
      </w:pPr>
      <w:bookmarkStart w:id="9" w:name="_heading=h.17dp8vu" w:colFirst="0" w:colLast="0"/>
      <w:bookmarkEnd w:id="9"/>
      <w:r w:rsidRPr="00B54C27">
        <w:rPr>
          <w:rFonts w:ascii="Palatino Linotype" w:eastAsia="Palatino Linotype" w:hAnsi="Palatino Linotype" w:cs="Palatino Linotype"/>
          <w:b/>
        </w:rPr>
        <w:t>SEGUNDO.</w:t>
      </w:r>
      <w:r w:rsidRPr="00B54C27">
        <w:rPr>
          <w:rFonts w:ascii="Palatino Linotype" w:eastAsia="Palatino Linotype" w:hAnsi="Palatino Linotype" w:cs="Palatino Linotype"/>
          <w:color w:val="2F5496"/>
        </w:rPr>
        <w:t xml:space="preserve"> </w:t>
      </w:r>
      <w:r w:rsidRPr="00B54C27">
        <w:rPr>
          <w:rFonts w:ascii="Palatino Linotype" w:eastAsia="Palatino Linotype" w:hAnsi="Palatino Linotype" w:cs="Palatino Linotype"/>
          <w:color w:val="000000"/>
        </w:rPr>
        <w:t xml:space="preserve">Se </w:t>
      </w:r>
      <w:r w:rsidRPr="00B54C27">
        <w:rPr>
          <w:rFonts w:ascii="Palatino Linotype" w:eastAsia="Palatino Linotype" w:hAnsi="Palatino Linotype" w:cs="Palatino Linotype"/>
          <w:b/>
          <w:color w:val="000000"/>
        </w:rPr>
        <w:t xml:space="preserve">MODIFICA </w:t>
      </w:r>
      <w:r w:rsidRPr="00B54C27">
        <w:rPr>
          <w:rFonts w:ascii="Palatino Linotype" w:eastAsia="Palatino Linotype" w:hAnsi="Palatino Linotype" w:cs="Palatino Linotype"/>
          <w:color w:val="000000"/>
        </w:rPr>
        <w:t xml:space="preserve">la respuesta emitida por el </w:t>
      </w:r>
      <w:r w:rsidRPr="00B54C27">
        <w:rPr>
          <w:rFonts w:ascii="Palatino Linotype" w:eastAsia="Palatino Linotype" w:hAnsi="Palatino Linotype" w:cs="Palatino Linotype"/>
          <w:b/>
          <w:color w:val="000000"/>
        </w:rPr>
        <w:t xml:space="preserve">Ayuntamiento de Huixquilucan </w:t>
      </w:r>
      <w:r w:rsidRPr="00B54C27">
        <w:rPr>
          <w:rFonts w:ascii="Palatino Linotype" w:eastAsia="Palatino Linotype" w:hAnsi="Palatino Linotype" w:cs="Palatino Linotype"/>
          <w:color w:val="000000"/>
        </w:rPr>
        <w:t xml:space="preserve">y se </w:t>
      </w:r>
      <w:r w:rsidRPr="00B54C27">
        <w:rPr>
          <w:rFonts w:ascii="Palatino Linotype" w:eastAsia="Palatino Linotype" w:hAnsi="Palatino Linotype" w:cs="Palatino Linotype"/>
          <w:b/>
          <w:color w:val="000000"/>
        </w:rPr>
        <w:t>ORDENA</w:t>
      </w:r>
      <w:r w:rsidRPr="00B54C27">
        <w:rPr>
          <w:rFonts w:ascii="Palatino Linotype" w:eastAsia="Palatino Linotype" w:hAnsi="Palatino Linotype" w:cs="Palatino Linotype"/>
          <w:color w:val="000000"/>
        </w:rPr>
        <w:t xml:space="preserve"> entregar vía Sistema de Acceso a la Información Mexiquense </w:t>
      </w:r>
      <w:r w:rsidRPr="00B54C27">
        <w:rPr>
          <w:rFonts w:ascii="Palatino Linotype" w:eastAsia="Palatino Linotype" w:hAnsi="Palatino Linotype" w:cs="Palatino Linotype"/>
          <w:b/>
          <w:color w:val="000000"/>
        </w:rPr>
        <w:t>(SAIMEX)</w:t>
      </w:r>
      <w:r w:rsidRPr="00B54C27">
        <w:rPr>
          <w:rFonts w:ascii="Palatino Linotype" w:eastAsia="Palatino Linotype" w:hAnsi="Palatino Linotype" w:cs="Palatino Linotype"/>
        </w:rPr>
        <w:t xml:space="preserve">, previa búsqueda exhaustiva y razonable, de ser el caso en versión pública, la siguiente información al </w:t>
      </w:r>
      <w:r w:rsidRPr="00B54C27">
        <w:rPr>
          <w:rFonts w:ascii="Palatino Linotype" w:eastAsia="Palatino Linotype" w:hAnsi="Palatino Linotype" w:cs="Palatino Linotype"/>
          <w:b/>
          <w:color w:val="000000"/>
        </w:rPr>
        <w:t>dos de abril de dos mil veinticuatro</w:t>
      </w:r>
      <w:r w:rsidRPr="00B54C27">
        <w:rPr>
          <w:rFonts w:ascii="Palatino Linotype" w:eastAsia="Palatino Linotype" w:hAnsi="Palatino Linotype" w:cs="Palatino Linotype"/>
        </w:rPr>
        <w:t>:</w:t>
      </w:r>
    </w:p>
    <w:p w14:paraId="301E13F0" w14:textId="77777777" w:rsidR="00372BC6" w:rsidRPr="00B54C27" w:rsidRDefault="00372BC6">
      <w:pPr>
        <w:spacing w:line="360" w:lineRule="auto"/>
        <w:ind w:right="-787"/>
        <w:jc w:val="both"/>
        <w:rPr>
          <w:rFonts w:ascii="Palatino Linotype" w:eastAsia="Palatino Linotype" w:hAnsi="Palatino Linotype" w:cs="Palatino Linotype"/>
        </w:rPr>
      </w:pPr>
    </w:p>
    <w:p w14:paraId="0CEFAA8B" w14:textId="77777777" w:rsidR="00372BC6" w:rsidRPr="00B54C27" w:rsidRDefault="00A969C3">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Convenio de Bases Administrativas que celebraron el Estado de México y Distrito Federal para conceder el uso del Deportivo “Año Internacional de la Mujer” también identificado como el “Cacalote” en favor de la entonces Delegación Cuajimalpa.</w:t>
      </w:r>
    </w:p>
    <w:p w14:paraId="616E4D7E" w14:textId="77777777" w:rsidR="00372BC6" w:rsidRPr="00B54C27" w:rsidRDefault="00A969C3">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lastRenderedPageBreak/>
        <w:t>Documento mediante el cual se hubiera modificado o actualizado de manera parcial o total el contenido del convenio descrito en el numeral 1.</w:t>
      </w:r>
    </w:p>
    <w:p w14:paraId="5F9FC10D" w14:textId="77777777" w:rsidR="00372BC6" w:rsidRPr="00B54C27" w:rsidRDefault="00372BC6">
      <w:p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p>
    <w:p w14:paraId="0EBDE73E" w14:textId="77777777" w:rsidR="00372BC6" w:rsidRPr="00B54C27" w:rsidRDefault="00A969C3">
      <w:pPr>
        <w:pBdr>
          <w:top w:val="nil"/>
          <w:left w:val="nil"/>
          <w:bottom w:val="nil"/>
          <w:right w:val="nil"/>
          <w:between w:val="nil"/>
        </w:pBdr>
        <w:spacing w:line="360" w:lineRule="auto"/>
        <w:ind w:left="993" w:right="-787"/>
        <w:jc w:val="both"/>
        <w:rPr>
          <w:rFonts w:ascii="Palatino Linotype" w:eastAsia="Palatino Linotype" w:hAnsi="Palatino Linotype" w:cs="Palatino Linotype"/>
        </w:rPr>
      </w:pPr>
      <w:r w:rsidRPr="00B54C27">
        <w:rPr>
          <w:rFonts w:ascii="Palatino Linotype" w:eastAsia="Palatino Linotype" w:hAnsi="Palatino Linotype" w:cs="Palatino Linotype"/>
        </w:rPr>
        <w:t>En relación al Deportivo “Año Internacional de la Mujer”, también conocido como “Cacalote”:</w:t>
      </w:r>
    </w:p>
    <w:p w14:paraId="265CEEFF" w14:textId="77777777" w:rsidR="00372BC6" w:rsidRPr="00B54C27" w:rsidRDefault="00A969C3">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Plan de Protección Civil.</w:t>
      </w:r>
    </w:p>
    <w:p w14:paraId="56496C53" w14:textId="77777777" w:rsidR="00372BC6" w:rsidRPr="00B54C27" w:rsidRDefault="00A969C3">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Documento en que conste o se advierta la descripción de sus áreas y superficies.</w:t>
      </w:r>
    </w:p>
    <w:p w14:paraId="59CD9520" w14:textId="77777777" w:rsidR="00372BC6" w:rsidRPr="00B54C27" w:rsidRDefault="00A969C3">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rPr>
        <w:t>Documento en que conste o se adviertan las m</w:t>
      </w:r>
      <w:r w:rsidRPr="00B54C27">
        <w:rPr>
          <w:rFonts w:ascii="Palatino Linotype" w:eastAsia="Palatino Linotype" w:hAnsi="Palatino Linotype" w:cs="Palatino Linotype"/>
          <w:b/>
          <w:color w:val="000000"/>
        </w:rPr>
        <w:t>edidas de control sanitario, higiene, seguridad, cumplimiento ambiental, acondicionamiento para personas con discapacidad, aforo, servicios y seguros.</w:t>
      </w:r>
    </w:p>
    <w:p w14:paraId="3EDED8D2" w14:textId="777632C1" w:rsidR="00372BC6" w:rsidRPr="00B54C27" w:rsidRDefault="00A969C3">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rPr>
        <w:t>Documento en que conste o se adviertan los e</w:t>
      </w:r>
      <w:r w:rsidRPr="00B54C27">
        <w:rPr>
          <w:rFonts w:ascii="Palatino Linotype" w:eastAsia="Palatino Linotype" w:hAnsi="Palatino Linotype" w:cs="Palatino Linotype"/>
          <w:b/>
          <w:color w:val="000000"/>
        </w:rPr>
        <w:t xml:space="preserve">lementos de seguridad para prevenir la comisión de ilícitos </w:t>
      </w:r>
    </w:p>
    <w:p w14:paraId="0630D539" w14:textId="77777777" w:rsidR="00372BC6" w:rsidRPr="00B54C27" w:rsidRDefault="00A969C3">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Documento que contenga o advierta las áreas de servicios médicos o primeros auxilios, y el nivel de atención clínica que pueden brindar.</w:t>
      </w:r>
    </w:p>
    <w:p w14:paraId="1A709286" w14:textId="77777777" w:rsidR="00372BC6" w:rsidRPr="00B54C27" w:rsidRDefault="00A969C3">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Documento que contenga o advierta las actividades que se desarrollan, el costo de cada una y en caso de estar concesionadas, se proporcione copia de los contratos o documentos de las mismas.</w:t>
      </w:r>
    </w:p>
    <w:p w14:paraId="6BB1D59A" w14:textId="77777777" w:rsidR="00372BC6" w:rsidRPr="00B54C27" w:rsidRDefault="00A969C3">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 xml:space="preserve">Estadística de visitantes, afluencia, ingresos y egresos durante el periodo de </w:t>
      </w:r>
      <w:r w:rsidRPr="00B54C27">
        <w:rPr>
          <w:rFonts w:ascii="Palatino Linotype" w:eastAsia="Palatino Linotype" w:hAnsi="Palatino Linotype" w:cs="Palatino Linotype"/>
          <w:b/>
        </w:rPr>
        <w:t>enero</w:t>
      </w:r>
      <w:r w:rsidRPr="00B54C27">
        <w:rPr>
          <w:rFonts w:ascii="Palatino Linotype" w:eastAsia="Palatino Linotype" w:hAnsi="Palatino Linotype" w:cs="Palatino Linotype"/>
          <w:b/>
          <w:color w:val="000000"/>
        </w:rPr>
        <w:t xml:space="preserve"> de 2019 al 01 de </w:t>
      </w:r>
      <w:r w:rsidRPr="00B54C27">
        <w:rPr>
          <w:rFonts w:ascii="Palatino Linotype" w:eastAsia="Palatino Linotype" w:hAnsi="Palatino Linotype" w:cs="Palatino Linotype"/>
          <w:b/>
        </w:rPr>
        <w:t>abril</w:t>
      </w:r>
      <w:r w:rsidRPr="00B54C27">
        <w:rPr>
          <w:rFonts w:ascii="Palatino Linotype" w:eastAsia="Palatino Linotype" w:hAnsi="Palatino Linotype" w:cs="Palatino Linotype"/>
          <w:b/>
          <w:color w:val="000000"/>
        </w:rPr>
        <w:t xml:space="preserve"> de 2024.</w:t>
      </w:r>
    </w:p>
    <w:p w14:paraId="205C5442" w14:textId="77777777" w:rsidR="00372BC6" w:rsidRPr="00B54C27" w:rsidRDefault="00A969C3">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Aviso o licencia de funcionamiento.</w:t>
      </w:r>
    </w:p>
    <w:p w14:paraId="11191D41" w14:textId="77777777" w:rsidR="00372BC6" w:rsidRPr="00B54C27" w:rsidRDefault="00A969C3">
      <w:pPr>
        <w:numPr>
          <w:ilvl w:val="0"/>
          <w:numId w:val="5"/>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sidRPr="00B54C27">
        <w:rPr>
          <w:rFonts w:ascii="Palatino Linotype" w:eastAsia="Palatino Linotype" w:hAnsi="Palatino Linotype" w:cs="Palatino Linotype"/>
          <w:b/>
          <w:color w:val="000000"/>
        </w:rPr>
        <w:t>Estudios de impacto ambiental y vial.</w:t>
      </w:r>
    </w:p>
    <w:p w14:paraId="0B83FFB6" w14:textId="77777777" w:rsidR="00372BC6" w:rsidRPr="00B54C27" w:rsidRDefault="00372BC6">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61F5AC53" w14:textId="77777777" w:rsidR="00372BC6" w:rsidRPr="00B54C27" w:rsidRDefault="00A969C3">
      <w:pPr>
        <w:tabs>
          <w:tab w:val="left" w:pos="8080"/>
        </w:tabs>
        <w:spacing w:line="360" w:lineRule="auto"/>
        <w:ind w:right="-787"/>
        <w:jc w:val="both"/>
        <w:rPr>
          <w:rFonts w:ascii="Palatino Linotype" w:eastAsia="Palatino Linotype" w:hAnsi="Palatino Linotype" w:cs="Palatino Linotype"/>
          <w:b/>
        </w:rPr>
      </w:pPr>
      <w:r w:rsidRPr="00B54C27">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w:t>
      </w:r>
      <w:r w:rsidRPr="00B54C27">
        <w:rPr>
          <w:rFonts w:ascii="Palatino Linotype" w:eastAsia="Palatino Linotype" w:hAnsi="Palatino Linotype" w:cs="Palatino Linotype"/>
        </w:rPr>
        <w:lastRenderedPageBreak/>
        <w:t xml:space="preserve">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B54C27">
        <w:rPr>
          <w:rFonts w:ascii="Palatino Linotype" w:eastAsia="Palatino Linotype" w:hAnsi="Palatino Linotype" w:cs="Palatino Linotype"/>
          <w:b/>
        </w:rPr>
        <w:t>RECURRENTE.</w:t>
      </w:r>
    </w:p>
    <w:p w14:paraId="28E0E9BC" w14:textId="77777777" w:rsidR="00372BC6" w:rsidRPr="00B54C27" w:rsidRDefault="00372BC6">
      <w:pPr>
        <w:tabs>
          <w:tab w:val="left" w:pos="8080"/>
        </w:tabs>
        <w:spacing w:line="360" w:lineRule="auto"/>
        <w:ind w:right="-787"/>
        <w:jc w:val="both"/>
        <w:rPr>
          <w:rFonts w:ascii="Palatino Linotype" w:eastAsia="Palatino Linotype" w:hAnsi="Palatino Linotype" w:cs="Palatino Linotype"/>
          <w:b/>
        </w:rPr>
      </w:pPr>
    </w:p>
    <w:p w14:paraId="57739541" w14:textId="77777777" w:rsidR="00372BC6" w:rsidRPr="00B54C27" w:rsidRDefault="00A969C3">
      <w:pPr>
        <w:spacing w:line="360" w:lineRule="auto"/>
        <w:ind w:right="-787"/>
        <w:jc w:val="both"/>
        <w:rPr>
          <w:rFonts w:ascii="Palatino Linotype" w:eastAsia="Palatino Linotype" w:hAnsi="Palatino Linotype" w:cs="Palatino Linotype"/>
        </w:rPr>
      </w:pPr>
      <w:r w:rsidRPr="00B54C27">
        <w:rPr>
          <w:rFonts w:ascii="Palatino Linotype" w:eastAsia="Palatino Linotype" w:hAnsi="Palatino Linotype" w:cs="Palatino Linotype"/>
        </w:rPr>
        <w:t>Para el caso de que el SUJETO OBLIGADO, luego de la búsqueda exhaustiva y razonable no cuente con la información ordenada, exceptuando a la ordenada en el numeral 4, bastará que lo haga del conocimiento del RECURRENTE al momento de dar cumplimiento a la presente Resolución, en términos del artículo 19, párrafo segundo, de la Ley de Transparencia y Acceso a la Información Pública del Estado de México y Municipios que al respecto emita su Comité de Transparencia.</w:t>
      </w:r>
    </w:p>
    <w:p w14:paraId="0831D527" w14:textId="77777777" w:rsidR="00372BC6" w:rsidRPr="00B54C27" w:rsidRDefault="00372BC6">
      <w:pPr>
        <w:spacing w:line="360" w:lineRule="auto"/>
        <w:ind w:right="-787"/>
        <w:jc w:val="both"/>
        <w:rPr>
          <w:rFonts w:ascii="Palatino Linotype" w:eastAsia="Palatino Linotype" w:hAnsi="Palatino Linotype" w:cs="Palatino Linotype"/>
        </w:rPr>
      </w:pPr>
    </w:p>
    <w:p w14:paraId="7ACAFA47" w14:textId="77777777" w:rsidR="00372BC6" w:rsidRPr="00B54C27" w:rsidRDefault="00A969C3">
      <w:pPr>
        <w:tabs>
          <w:tab w:val="left" w:pos="8080"/>
        </w:tabs>
        <w:spacing w:line="360" w:lineRule="auto"/>
        <w:ind w:right="-787"/>
        <w:jc w:val="both"/>
        <w:rPr>
          <w:rFonts w:ascii="Palatino Linotype" w:eastAsia="Palatino Linotype" w:hAnsi="Palatino Linotype" w:cs="Palatino Linotype"/>
        </w:rPr>
      </w:pPr>
      <w:r w:rsidRPr="00B54C27">
        <w:rPr>
          <w:rFonts w:ascii="Palatino Linotype" w:eastAsia="Palatino Linotype" w:hAnsi="Palatino Linotype" w:cs="Palatino Linotype"/>
          <w:b/>
        </w:rPr>
        <w:t xml:space="preserve">TERCERO. </w:t>
      </w:r>
      <w:r w:rsidRPr="00B54C27">
        <w:rPr>
          <w:rFonts w:ascii="Palatino Linotype" w:eastAsia="Palatino Linotype" w:hAnsi="Palatino Linotype" w:cs="Palatino Linotype"/>
          <w:b/>
          <w:color w:val="000000"/>
        </w:rPr>
        <w:t>Notifíquese</w:t>
      </w:r>
      <w:r w:rsidRPr="00B54C27">
        <w:rPr>
          <w:rFonts w:ascii="Palatino Linotype" w:eastAsia="Palatino Linotype" w:hAnsi="Palatino Linotype" w:cs="Palatino Linotype"/>
          <w:color w:val="000000"/>
        </w:rPr>
        <w:t xml:space="preserve"> al </w:t>
      </w:r>
      <w:r w:rsidRPr="00B54C27">
        <w:rPr>
          <w:rFonts w:ascii="Palatino Linotype" w:eastAsia="Palatino Linotype" w:hAnsi="Palatino Linotype" w:cs="Palatino Linotype"/>
          <w:color w:val="222222"/>
        </w:rPr>
        <w:t xml:space="preserve">Titular de la Unidad de Transparencia del </w:t>
      </w:r>
      <w:r w:rsidRPr="00B54C27">
        <w:rPr>
          <w:rFonts w:ascii="Palatino Linotype" w:eastAsia="Palatino Linotype" w:hAnsi="Palatino Linotype" w:cs="Palatino Linotype"/>
          <w:b/>
          <w:color w:val="222222"/>
        </w:rPr>
        <w:t>SUJETO OBLIGADO</w:t>
      </w:r>
      <w:r w:rsidRPr="00B54C27">
        <w:rPr>
          <w:rFonts w:ascii="Palatino Linotype" w:eastAsia="Palatino Linotype" w:hAnsi="Palatino Linotype" w:cs="Palatino Linotype"/>
          <w:color w:val="222222"/>
        </w:rPr>
        <w:t xml:space="preserve">, vía SAIMEX, la presente resolución, para que conforme al artículo 186 último párrafo, 189 segundo párrafo y 194 de la Ley de Transparencia y Acceso a la Información Pública del Estado de México y Municipios </w:t>
      </w:r>
      <w:r w:rsidRPr="00B54C27">
        <w:rPr>
          <w:rFonts w:ascii="Palatino Linotype" w:eastAsia="Palatino Linotype" w:hAnsi="Palatino Linotype" w:cs="Palatino Linotype"/>
          <w:b/>
          <w:color w:val="222222"/>
        </w:rPr>
        <w:t>de cumplimiento a lo ordenado dentro del plazo de diez días hábiles,</w:t>
      </w:r>
      <w:r w:rsidRPr="00B54C27">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B54C27">
        <w:rPr>
          <w:rFonts w:ascii="Palatino Linotype" w:eastAsia="Palatino Linotype" w:hAnsi="Palatino Linotype" w:cs="Palatino Linotype"/>
        </w:rPr>
        <w:t>.</w:t>
      </w:r>
    </w:p>
    <w:p w14:paraId="57F07013" w14:textId="77777777" w:rsidR="00372BC6" w:rsidRPr="00B54C27" w:rsidRDefault="00372BC6">
      <w:pPr>
        <w:tabs>
          <w:tab w:val="left" w:pos="8080"/>
        </w:tabs>
        <w:spacing w:line="360" w:lineRule="auto"/>
        <w:ind w:right="-787"/>
        <w:jc w:val="both"/>
        <w:rPr>
          <w:rFonts w:ascii="Palatino Linotype" w:eastAsia="Palatino Linotype" w:hAnsi="Palatino Linotype" w:cs="Palatino Linotype"/>
        </w:rPr>
      </w:pPr>
    </w:p>
    <w:p w14:paraId="3E087387" w14:textId="77777777" w:rsidR="00372BC6" w:rsidRPr="00B54C27" w:rsidRDefault="00A969C3">
      <w:pPr>
        <w:spacing w:line="360" w:lineRule="auto"/>
        <w:ind w:right="-787"/>
        <w:jc w:val="both"/>
        <w:rPr>
          <w:rFonts w:ascii="Palatino Linotype" w:eastAsia="Palatino Linotype" w:hAnsi="Palatino Linotype" w:cs="Palatino Linotype"/>
        </w:rPr>
      </w:pPr>
      <w:r w:rsidRPr="00B54C27">
        <w:rPr>
          <w:rFonts w:ascii="Palatino Linotype" w:eastAsia="Palatino Linotype" w:hAnsi="Palatino Linotype" w:cs="Palatino Linotype"/>
          <w:b/>
        </w:rPr>
        <w:lastRenderedPageBreak/>
        <w:t xml:space="preserve">CUARTO. </w:t>
      </w:r>
      <w:r w:rsidRPr="00B54C2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B54C27">
        <w:rPr>
          <w:rFonts w:ascii="Palatino Linotype" w:eastAsia="Palatino Linotype" w:hAnsi="Palatino Linotype" w:cs="Palatino Linotype"/>
          <w:b/>
        </w:rPr>
        <w:t>SUJETO OBLIGADO</w:t>
      </w:r>
      <w:r w:rsidRPr="00B54C27">
        <w:rPr>
          <w:rFonts w:ascii="Palatino Linotype" w:eastAsia="Palatino Linotype" w:hAnsi="Palatino Linotype" w:cs="Palatino Linotype"/>
        </w:rPr>
        <w:t xml:space="preserve"> de manera fundada y motivada, podrá solicitar una ampliación de plazo para el cumplimiento de la presente resolución.</w:t>
      </w:r>
    </w:p>
    <w:p w14:paraId="6544C7B9" w14:textId="77777777" w:rsidR="00372BC6" w:rsidRPr="00B54C27" w:rsidRDefault="00372BC6">
      <w:pPr>
        <w:shd w:val="clear" w:color="auto" w:fill="FFFFFF"/>
        <w:spacing w:line="360" w:lineRule="auto"/>
        <w:ind w:right="-787"/>
        <w:jc w:val="both"/>
        <w:rPr>
          <w:rFonts w:ascii="Palatino Linotype" w:eastAsia="Palatino Linotype" w:hAnsi="Palatino Linotype" w:cs="Palatino Linotype"/>
          <w:b/>
        </w:rPr>
      </w:pPr>
    </w:p>
    <w:p w14:paraId="1AAF0191" w14:textId="77777777" w:rsidR="00372BC6" w:rsidRPr="00B54C27" w:rsidRDefault="00A969C3">
      <w:pPr>
        <w:shd w:val="clear" w:color="auto" w:fill="FFFFFF"/>
        <w:spacing w:line="360" w:lineRule="auto"/>
        <w:ind w:right="-787"/>
        <w:jc w:val="both"/>
        <w:rPr>
          <w:rFonts w:ascii="Palatino Linotype" w:eastAsia="Palatino Linotype" w:hAnsi="Palatino Linotype" w:cs="Palatino Linotype"/>
        </w:rPr>
      </w:pPr>
      <w:r w:rsidRPr="00B54C27">
        <w:rPr>
          <w:rFonts w:ascii="Palatino Linotype" w:eastAsia="Palatino Linotype" w:hAnsi="Palatino Linotype" w:cs="Palatino Linotype"/>
          <w:b/>
        </w:rPr>
        <w:t xml:space="preserve">QUINTO. </w:t>
      </w:r>
      <w:r w:rsidRPr="00B54C27">
        <w:rPr>
          <w:rFonts w:ascii="Palatino Linotype" w:eastAsia="Palatino Linotype" w:hAnsi="Palatino Linotype" w:cs="Palatino Linotype"/>
        </w:rPr>
        <w:t xml:space="preserve">Notifíquese al </w:t>
      </w:r>
      <w:r w:rsidRPr="00B54C27">
        <w:rPr>
          <w:rFonts w:ascii="Palatino Linotype" w:eastAsia="Palatino Linotype" w:hAnsi="Palatino Linotype" w:cs="Palatino Linotype"/>
          <w:b/>
        </w:rPr>
        <w:t xml:space="preserve">RECURRENTE </w:t>
      </w:r>
      <w:r w:rsidRPr="00B54C27">
        <w:rPr>
          <w:rFonts w:ascii="Palatino Linotype" w:eastAsia="Palatino Linotype" w:hAnsi="Palatino Linotype" w:cs="Palatino Linotype"/>
        </w:rPr>
        <w:t>la presente resolución vía Sistema de Acceso a Información Mexiquense (SAIMEX)</w:t>
      </w:r>
      <w:r w:rsidRPr="00B54C27">
        <w:rPr>
          <w:rFonts w:ascii="Palatino Linotype" w:eastAsia="Palatino Linotype" w:hAnsi="Palatino Linotype" w:cs="Palatino Linotype"/>
          <w:b/>
        </w:rPr>
        <w:t xml:space="preserve">, </w:t>
      </w:r>
      <w:r w:rsidRPr="00B54C27">
        <w:rPr>
          <w:rFonts w:ascii="Palatino Linotype" w:eastAsia="Palatino Linotype" w:hAnsi="Palatino Linotype" w:cs="Palatino Linotype"/>
        </w:rPr>
        <w:t>y se hace de su conocimiento</w:t>
      </w:r>
      <w:r w:rsidRPr="00B54C27">
        <w:rPr>
          <w:rFonts w:ascii="Palatino Linotype" w:eastAsia="Palatino Linotype" w:hAnsi="Palatino Linotype" w:cs="Palatino Linotype"/>
          <w:b/>
        </w:rPr>
        <w:t xml:space="preserve"> </w:t>
      </w:r>
      <w:r w:rsidRPr="00B54C27">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46DBC6BB" w14:textId="77777777" w:rsidR="00372BC6" w:rsidRPr="00B54C27" w:rsidRDefault="00372BC6">
      <w:pPr>
        <w:spacing w:line="360" w:lineRule="auto"/>
        <w:ind w:right="-787"/>
        <w:jc w:val="both"/>
        <w:rPr>
          <w:rFonts w:ascii="Palatino Linotype" w:eastAsia="Palatino Linotype" w:hAnsi="Palatino Linotype" w:cs="Palatino Linotype"/>
          <w:b/>
        </w:rPr>
      </w:pPr>
    </w:p>
    <w:p w14:paraId="5C4D9A6C" w14:textId="74CBA040" w:rsidR="00D63CAC" w:rsidRPr="003C7186" w:rsidRDefault="00D63CAC" w:rsidP="00D63CAC">
      <w:pPr>
        <w:spacing w:line="360" w:lineRule="auto"/>
        <w:ind w:left="-142" w:right="-801" w:firstLine="1"/>
        <w:jc w:val="both"/>
        <w:rPr>
          <w:rFonts w:ascii="Palatino Linotype" w:hAnsi="Palatino Linotype"/>
        </w:rPr>
      </w:pPr>
      <w:r w:rsidRPr="00B54C2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D6CCF" w:rsidRPr="00B54C27">
        <w:rPr>
          <w:rFonts w:ascii="Palatino Linotype" w:hAnsi="Palatino Linotype"/>
        </w:rPr>
        <w:t xml:space="preserve"> EMITIENDO VOTO PARTICULAR</w:t>
      </w:r>
      <w:r w:rsidRPr="00B54C27">
        <w:rPr>
          <w:rFonts w:ascii="Palatino Linotype" w:hAnsi="Palatino Linotype"/>
        </w:rPr>
        <w:t xml:space="preserve"> Y GUADALUPE RAMÍREZ PEÑA; EN LA CUARTA SESIÓN ORDINARIA CELEBRADA EL SEIS (06) DE FEBRERO DE DOS MIL VEINTICINCO, ANTE EL SECRETARIO TÉCNICO DEL PLENO ALEXIS TAPIA RAMÍREZ.</w:t>
      </w:r>
      <w:bookmarkStart w:id="10" w:name="_GoBack"/>
      <w:bookmarkEnd w:id="10"/>
      <w:r w:rsidRPr="003C7186">
        <w:rPr>
          <w:rFonts w:ascii="Palatino Linotype" w:hAnsi="Palatino Linotype"/>
        </w:rPr>
        <w:t xml:space="preserve"> </w:t>
      </w:r>
    </w:p>
    <w:p w14:paraId="01D5F783" w14:textId="77777777" w:rsidR="00372BC6" w:rsidRDefault="00372BC6" w:rsidP="00D63CAC">
      <w:pPr>
        <w:spacing w:line="360" w:lineRule="auto"/>
        <w:ind w:right="-801"/>
        <w:rPr>
          <w:rFonts w:ascii="Palatino Linotype" w:eastAsia="Palatino Linotype" w:hAnsi="Palatino Linotype" w:cs="Palatino Linotype"/>
        </w:rPr>
      </w:pPr>
    </w:p>
    <w:p w14:paraId="08851491" w14:textId="77777777" w:rsidR="00372BC6" w:rsidRDefault="00372BC6">
      <w:pPr>
        <w:spacing w:line="360" w:lineRule="auto"/>
        <w:ind w:right="-787"/>
        <w:rPr>
          <w:rFonts w:ascii="Palatino Linotype" w:eastAsia="Palatino Linotype" w:hAnsi="Palatino Linotype" w:cs="Palatino Linotype"/>
        </w:rPr>
      </w:pPr>
    </w:p>
    <w:p w14:paraId="7472A616" w14:textId="77777777" w:rsidR="00372BC6" w:rsidRDefault="00372BC6">
      <w:pPr>
        <w:spacing w:line="360" w:lineRule="auto"/>
        <w:ind w:right="-787"/>
        <w:rPr>
          <w:rFonts w:ascii="Palatino Linotype" w:eastAsia="Palatino Linotype" w:hAnsi="Palatino Linotype" w:cs="Palatino Linotype"/>
        </w:rPr>
      </w:pPr>
    </w:p>
    <w:p w14:paraId="6D5A9FA7" w14:textId="77777777" w:rsidR="00372BC6" w:rsidRDefault="00372BC6">
      <w:pPr>
        <w:spacing w:line="360" w:lineRule="auto"/>
        <w:ind w:right="-787"/>
        <w:rPr>
          <w:rFonts w:ascii="Palatino Linotype" w:eastAsia="Palatino Linotype" w:hAnsi="Palatino Linotype" w:cs="Palatino Linotype"/>
        </w:rPr>
      </w:pPr>
    </w:p>
    <w:p w14:paraId="48ABBC88" w14:textId="77777777" w:rsidR="00372BC6" w:rsidRDefault="00372BC6">
      <w:pPr>
        <w:spacing w:line="360" w:lineRule="auto"/>
        <w:ind w:right="-787"/>
        <w:rPr>
          <w:rFonts w:ascii="Palatino Linotype" w:eastAsia="Palatino Linotype" w:hAnsi="Palatino Linotype" w:cs="Palatino Linotype"/>
        </w:rPr>
      </w:pPr>
    </w:p>
    <w:p w14:paraId="7F6C98C6" w14:textId="77777777" w:rsidR="00372BC6" w:rsidRDefault="00372BC6">
      <w:pPr>
        <w:spacing w:line="360" w:lineRule="auto"/>
        <w:ind w:right="-787"/>
        <w:rPr>
          <w:rFonts w:ascii="Palatino Linotype" w:eastAsia="Palatino Linotype" w:hAnsi="Palatino Linotype" w:cs="Palatino Linotype"/>
        </w:rPr>
      </w:pPr>
    </w:p>
    <w:p w14:paraId="042DEF4D" w14:textId="77777777" w:rsidR="00372BC6" w:rsidRDefault="00372BC6">
      <w:pPr>
        <w:spacing w:line="360" w:lineRule="auto"/>
        <w:ind w:right="-787"/>
        <w:rPr>
          <w:rFonts w:ascii="Palatino Linotype" w:eastAsia="Palatino Linotype" w:hAnsi="Palatino Linotype" w:cs="Palatino Linotype"/>
        </w:rPr>
      </w:pPr>
    </w:p>
    <w:p w14:paraId="71420AC0" w14:textId="77777777" w:rsidR="00372BC6" w:rsidRDefault="00372BC6">
      <w:pPr>
        <w:spacing w:line="360" w:lineRule="auto"/>
        <w:ind w:right="-787"/>
        <w:rPr>
          <w:rFonts w:ascii="Palatino Linotype" w:eastAsia="Palatino Linotype" w:hAnsi="Palatino Linotype" w:cs="Palatino Linotype"/>
        </w:rPr>
      </w:pPr>
    </w:p>
    <w:p w14:paraId="0DA36748" w14:textId="77777777" w:rsidR="00372BC6" w:rsidRDefault="00372BC6">
      <w:pPr>
        <w:spacing w:line="360" w:lineRule="auto"/>
        <w:ind w:right="-787"/>
        <w:rPr>
          <w:rFonts w:ascii="Palatino Linotype" w:eastAsia="Palatino Linotype" w:hAnsi="Palatino Linotype" w:cs="Palatino Linotype"/>
        </w:rPr>
      </w:pPr>
    </w:p>
    <w:p w14:paraId="50BDEEA0" w14:textId="77777777" w:rsidR="00372BC6" w:rsidRDefault="00372BC6">
      <w:pPr>
        <w:spacing w:line="360" w:lineRule="auto"/>
        <w:ind w:right="-787"/>
        <w:rPr>
          <w:rFonts w:ascii="Palatino Linotype" w:eastAsia="Palatino Linotype" w:hAnsi="Palatino Linotype" w:cs="Palatino Linotype"/>
        </w:rPr>
      </w:pPr>
    </w:p>
    <w:p w14:paraId="2178562E" w14:textId="77777777" w:rsidR="00372BC6" w:rsidRDefault="00372BC6">
      <w:pPr>
        <w:spacing w:line="360" w:lineRule="auto"/>
        <w:ind w:right="-787"/>
        <w:rPr>
          <w:rFonts w:ascii="Palatino Linotype" w:eastAsia="Palatino Linotype" w:hAnsi="Palatino Linotype" w:cs="Palatino Linotype"/>
        </w:rPr>
      </w:pPr>
    </w:p>
    <w:p w14:paraId="208EE553" w14:textId="77777777" w:rsidR="00372BC6" w:rsidRDefault="00372BC6">
      <w:pPr>
        <w:spacing w:line="360" w:lineRule="auto"/>
        <w:ind w:right="-787"/>
        <w:rPr>
          <w:rFonts w:ascii="Palatino Linotype" w:eastAsia="Palatino Linotype" w:hAnsi="Palatino Linotype" w:cs="Palatino Linotype"/>
        </w:rPr>
      </w:pPr>
    </w:p>
    <w:p w14:paraId="250066FD" w14:textId="77777777" w:rsidR="00372BC6" w:rsidRDefault="00372BC6">
      <w:pPr>
        <w:spacing w:line="360" w:lineRule="auto"/>
        <w:ind w:right="-787"/>
        <w:rPr>
          <w:rFonts w:ascii="Palatino Linotype" w:eastAsia="Palatino Linotype" w:hAnsi="Palatino Linotype" w:cs="Palatino Linotype"/>
        </w:rPr>
      </w:pPr>
    </w:p>
    <w:p w14:paraId="1B7BB67A" w14:textId="77777777" w:rsidR="00372BC6" w:rsidRDefault="00A969C3">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sectPr w:rsidR="00372BC6">
      <w:headerReference w:type="even" r:id="rId20"/>
      <w:headerReference w:type="default" r:id="rId21"/>
      <w:footerReference w:type="default" r:id="rId22"/>
      <w:headerReference w:type="first" r:id="rId23"/>
      <w:footerReference w:type="first" r:id="rId2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0499C" w14:textId="77777777" w:rsidR="00EE1525" w:rsidRDefault="00EE1525">
      <w:r>
        <w:separator/>
      </w:r>
    </w:p>
  </w:endnote>
  <w:endnote w:type="continuationSeparator" w:id="0">
    <w:p w14:paraId="2E6AA9B8" w14:textId="77777777" w:rsidR="00EE1525" w:rsidRDefault="00EE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65B7" w14:textId="77777777" w:rsidR="00DF59A9" w:rsidRDefault="00DF59A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54C27">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54C27">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p>
  <w:p w14:paraId="5C29EE67" w14:textId="77777777" w:rsidR="00DF59A9" w:rsidRDefault="00DF59A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8E4F8" w14:textId="77777777" w:rsidR="00DF59A9" w:rsidRDefault="00DF59A9">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B54C2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B54C27">
      <w:rPr>
        <w:rFonts w:ascii="Palatino Linotype" w:eastAsia="Palatino Linotype" w:hAnsi="Palatino Linotype" w:cs="Palatino Linotype"/>
        <w:noProof/>
        <w:color w:val="000000"/>
        <w:sz w:val="20"/>
        <w:szCs w:val="20"/>
      </w:rPr>
      <w:t>44</w:t>
    </w:r>
    <w:r>
      <w:rPr>
        <w:rFonts w:ascii="Palatino Linotype" w:eastAsia="Palatino Linotype" w:hAnsi="Palatino Linotype" w:cs="Palatino Linotype"/>
        <w:color w:val="000000"/>
        <w:sz w:val="20"/>
        <w:szCs w:val="20"/>
      </w:rPr>
      <w:fldChar w:fldCharType="end"/>
    </w:r>
  </w:p>
  <w:p w14:paraId="70A4DE13" w14:textId="77777777" w:rsidR="00DF59A9" w:rsidRDefault="00DF59A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89351" w14:textId="77777777" w:rsidR="00EE1525" w:rsidRDefault="00EE1525">
      <w:r>
        <w:separator/>
      </w:r>
    </w:p>
  </w:footnote>
  <w:footnote w:type="continuationSeparator" w:id="0">
    <w:p w14:paraId="1910C540" w14:textId="77777777" w:rsidR="00EE1525" w:rsidRDefault="00EE1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66F6" w14:textId="77777777" w:rsidR="00DF59A9" w:rsidRDefault="00EE1525">
    <w:pPr>
      <w:pBdr>
        <w:top w:val="nil"/>
        <w:left w:val="nil"/>
        <w:bottom w:val="nil"/>
        <w:right w:val="nil"/>
        <w:between w:val="nil"/>
      </w:pBdr>
      <w:tabs>
        <w:tab w:val="center" w:pos="4419"/>
        <w:tab w:val="right" w:pos="8838"/>
      </w:tabs>
      <w:rPr>
        <w:color w:val="000000"/>
      </w:rPr>
    </w:pPr>
    <w:r>
      <w:rPr>
        <w:color w:val="000000"/>
      </w:rPr>
      <w:pict w14:anchorId="0E86D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DDADB" w14:textId="77777777" w:rsidR="00DF59A9" w:rsidRDefault="00DF59A9">
    <w:pPr>
      <w:widowControl w:val="0"/>
      <w:pBdr>
        <w:top w:val="nil"/>
        <w:left w:val="nil"/>
        <w:bottom w:val="nil"/>
        <w:right w:val="nil"/>
        <w:between w:val="nil"/>
      </w:pBdr>
      <w:spacing w:line="276" w:lineRule="auto"/>
      <w:rPr>
        <w:color w:val="000000"/>
      </w:rPr>
    </w:pPr>
  </w:p>
  <w:tbl>
    <w:tblPr>
      <w:tblStyle w:val="a6"/>
      <w:tblW w:w="7890" w:type="dxa"/>
      <w:tblInd w:w="2552" w:type="dxa"/>
      <w:tblLayout w:type="fixed"/>
      <w:tblLook w:val="0400" w:firstRow="0" w:lastRow="0" w:firstColumn="0" w:lastColumn="0" w:noHBand="0" w:noVBand="1"/>
    </w:tblPr>
    <w:tblGrid>
      <w:gridCol w:w="2970"/>
      <w:gridCol w:w="4920"/>
    </w:tblGrid>
    <w:tr w:rsidR="00DF59A9" w14:paraId="68BFB937" w14:textId="77777777">
      <w:trPr>
        <w:trHeight w:val="227"/>
      </w:trPr>
      <w:tc>
        <w:tcPr>
          <w:tcW w:w="2970" w:type="dxa"/>
          <w:vAlign w:val="center"/>
        </w:tcPr>
        <w:p w14:paraId="2D31ECFC" w14:textId="77777777" w:rsidR="00DF59A9" w:rsidRDefault="00DF59A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vAlign w:val="center"/>
        </w:tcPr>
        <w:p w14:paraId="6F5D48D3" w14:textId="77777777" w:rsidR="00DF59A9" w:rsidRDefault="00DF59A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01793/INFOEM/IP/RR/2024</w:t>
          </w:r>
        </w:p>
      </w:tc>
    </w:tr>
    <w:tr w:rsidR="00DF59A9" w14:paraId="75CD9ADD" w14:textId="77777777">
      <w:trPr>
        <w:trHeight w:val="342"/>
      </w:trPr>
      <w:tc>
        <w:tcPr>
          <w:tcW w:w="2970" w:type="dxa"/>
        </w:tcPr>
        <w:p w14:paraId="1E3168D8" w14:textId="77777777" w:rsidR="00DF59A9" w:rsidRDefault="00DF59A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vAlign w:val="center"/>
        </w:tcPr>
        <w:p w14:paraId="688FF597" w14:textId="77777777" w:rsidR="00DF59A9" w:rsidRDefault="00DF59A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Huixquilucan</w:t>
          </w:r>
        </w:p>
      </w:tc>
    </w:tr>
    <w:tr w:rsidR="00DF59A9" w14:paraId="5391CA3E" w14:textId="77777777">
      <w:trPr>
        <w:trHeight w:val="342"/>
      </w:trPr>
      <w:tc>
        <w:tcPr>
          <w:tcW w:w="2970" w:type="dxa"/>
          <w:vAlign w:val="center"/>
        </w:tcPr>
        <w:p w14:paraId="6BBAF789" w14:textId="77777777" w:rsidR="00DF59A9" w:rsidRDefault="00DF59A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vAlign w:val="center"/>
        </w:tcPr>
        <w:p w14:paraId="7EB7284B" w14:textId="77777777" w:rsidR="00DF59A9" w:rsidRDefault="00DF59A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B089640" w14:textId="77777777" w:rsidR="00DF59A9" w:rsidRDefault="00EE1525">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66B19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20D45" w14:textId="77777777" w:rsidR="00DF59A9" w:rsidRDefault="00DF59A9">
    <w:pPr>
      <w:widowControl w:val="0"/>
      <w:pBdr>
        <w:top w:val="nil"/>
        <w:left w:val="nil"/>
        <w:bottom w:val="nil"/>
        <w:right w:val="nil"/>
        <w:between w:val="nil"/>
      </w:pBdr>
      <w:spacing w:line="276" w:lineRule="auto"/>
      <w:rPr>
        <w:color w:val="000000"/>
        <w:sz w:val="14"/>
        <w:szCs w:val="14"/>
      </w:rPr>
    </w:pPr>
  </w:p>
  <w:tbl>
    <w:tblPr>
      <w:tblStyle w:val="a7"/>
      <w:tblW w:w="7890" w:type="dxa"/>
      <w:tblInd w:w="2552" w:type="dxa"/>
      <w:tblLayout w:type="fixed"/>
      <w:tblLook w:val="0400" w:firstRow="0" w:lastRow="0" w:firstColumn="0" w:lastColumn="0" w:noHBand="0" w:noVBand="1"/>
    </w:tblPr>
    <w:tblGrid>
      <w:gridCol w:w="3744"/>
      <w:gridCol w:w="4146"/>
    </w:tblGrid>
    <w:tr w:rsidR="00DF59A9" w14:paraId="46090A0D" w14:textId="77777777">
      <w:trPr>
        <w:trHeight w:val="281"/>
      </w:trPr>
      <w:tc>
        <w:tcPr>
          <w:tcW w:w="3744" w:type="dxa"/>
          <w:vAlign w:val="center"/>
        </w:tcPr>
        <w:p w14:paraId="1453D813" w14:textId="77777777" w:rsidR="00DF59A9" w:rsidRDefault="00DF59A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14:paraId="6F9519BB" w14:textId="77777777" w:rsidR="00DF59A9" w:rsidRDefault="00DF59A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01793/INFOEM/IP/RR/2024</w:t>
          </w:r>
        </w:p>
      </w:tc>
    </w:tr>
    <w:tr w:rsidR="00DF59A9" w14:paraId="51B616F1" w14:textId="77777777">
      <w:trPr>
        <w:trHeight w:val="242"/>
      </w:trPr>
      <w:tc>
        <w:tcPr>
          <w:tcW w:w="3744" w:type="dxa"/>
          <w:vAlign w:val="center"/>
        </w:tcPr>
        <w:p w14:paraId="63D37CF2" w14:textId="77777777" w:rsidR="00DF59A9" w:rsidRDefault="00DF59A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14:paraId="436D4327" w14:textId="4985437F" w:rsidR="00DF59A9" w:rsidRDefault="00B54C27">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 XXXXX XXXX</w:t>
          </w:r>
        </w:p>
      </w:tc>
    </w:tr>
    <w:tr w:rsidR="00DF59A9" w14:paraId="0FDD3E5B" w14:textId="77777777">
      <w:trPr>
        <w:trHeight w:val="342"/>
      </w:trPr>
      <w:tc>
        <w:tcPr>
          <w:tcW w:w="3744" w:type="dxa"/>
        </w:tcPr>
        <w:p w14:paraId="519B0B58" w14:textId="77777777" w:rsidR="00DF59A9" w:rsidRDefault="00DF59A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14:paraId="440F091C" w14:textId="77777777" w:rsidR="00DF59A9" w:rsidRDefault="00DF59A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Huixquilucan</w:t>
          </w:r>
        </w:p>
      </w:tc>
    </w:tr>
    <w:tr w:rsidR="00DF59A9" w14:paraId="4109262C" w14:textId="77777777">
      <w:trPr>
        <w:trHeight w:val="342"/>
      </w:trPr>
      <w:tc>
        <w:tcPr>
          <w:tcW w:w="3744" w:type="dxa"/>
          <w:vAlign w:val="center"/>
        </w:tcPr>
        <w:p w14:paraId="35ADF1F7" w14:textId="77777777" w:rsidR="00DF59A9" w:rsidRDefault="00DF59A9">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14:paraId="6D286074" w14:textId="77777777" w:rsidR="00DF59A9" w:rsidRDefault="00DF59A9">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70A2C58" w14:textId="77777777" w:rsidR="00DF59A9" w:rsidRDefault="00EE1525">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47053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9D7"/>
    <w:multiLevelType w:val="multilevel"/>
    <w:tmpl w:val="DD885DAA"/>
    <w:lvl w:ilvl="0">
      <w:start w:val="1"/>
      <w:numFmt w:val="decimal"/>
      <w:lvlText w:val="%1."/>
      <w:lvlJc w:val="left"/>
      <w:pPr>
        <w:ind w:left="2291" w:hanging="360"/>
      </w:p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 w15:restartNumberingAfterBreak="0">
    <w:nsid w:val="166E33A1"/>
    <w:multiLevelType w:val="multilevel"/>
    <w:tmpl w:val="D32828B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1F0130DF"/>
    <w:multiLevelType w:val="multilevel"/>
    <w:tmpl w:val="1FAA080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230F55"/>
    <w:multiLevelType w:val="multilevel"/>
    <w:tmpl w:val="DD242BD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8BC4A34"/>
    <w:multiLevelType w:val="multilevel"/>
    <w:tmpl w:val="E110A6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8C74DCB"/>
    <w:multiLevelType w:val="multilevel"/>
    <w:tmpl w:val="4B4400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903CAA"/>
    <w:multiLevelType w:val="multilevel"/>
    <w:tmpl w:val="02280B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7" w15:restartNumberingAfterBreak="0">
    <w:nsid w:val="683D4380"/>
    <w:multiLevelType w:val="multilevel"/>
    <w:tmpl w:val="A9A6E4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7BD72DAD"/>
    <w:multiLevelType w:val="multilevel"/>
    <w:tmpl w:val="1300548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5"/>
  </w:num>
  <w:num w:numId="4">
    <w:abstractNumId w:val="6"/>
  </w:num>
  <w:num w:numId="5">
    <w:abstractNumId w:val="0"/>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C6"/>
    <w:rsid w:val="000314CD"/>
    <w:rsid w:val="00136A54"/>
    <w:rsid w:val="00197D1F"/>
    <w:rsid w:val="00204574"/>
    <w:rsid w:val="002C4C29"/>
    <w:rsid w:val="002D6CCF"/>
    <w:rsid w:val="00321C9D"/>
    <w:rsid w:val="00372BC6"/>
    <w:rsid w:val="003A43FD"/>
    <w:rsid w:val="005167EA"/>
    <w:rsid w:val="005870CA"/>
    <w:rsid w:val="005B2218"/>
    <w:rsid w:val="005C6DCF"/>
    <w:rsid w:val="00696801"/>
    <w:rsid w:val="00754433"/>
    <w:rsid w:val="0079372B"/>
    <w:rsid w:val="00841A6D"/>
    <w:rsid w:val="00930461"/>
    <w:rsid w:val="009F42FC"/>
    <w:rsid w:val="00A06A60"/>
    <w:rsid w:val="00A969C3"/>
    <w:rsid w:val="00AD4D38"/>
    <w:rsid w:val="00B54C27"/>
    <w:rsid w:val="00BF70DE"/>
    <w:rsid w:val="00C648AD"/>
    <w:rsid w:val="00CA1BCC"/>
    <w:rsid w:val="00CD5749"/>
    <w:rsid w:val="00D04F31"/>
    <w:rsid w:val="00D27C75"/>
    <w:rsid w:val="00D63CAC"/>
    <w:rsid w:val="00DB7D2C"/>
    <w:rsid w:val="00DF59A9"/>
    <w:rsid w:val="00ED73FC"/>
    <w:rsid w:val="00EE1525"/>
    <w:rsid w:val="00FB2B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3EE013"/>
  <w15:docId w15:val="{C434A1A9-09FB-4943-B9EC-D645ECCA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semiHidden/>
    <w:unhideWhenUsed/>
    <w:rsid w:val="007F0536"/>
    <w:rPr>
      <w:rFonts w:ascii="Times New Roman" w:hAnsi="Times New Roman" w:cs="Times New Roman"/>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gresocdmx.gob.mx/media/documentos/f0bfca8321b4e5f67c15d249d451383ce45c8eff.pdf"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ata.consejeria.cdmx.gob.mx/portal_old/uploads/gacetas/Noviembre04_12_119.pdf"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deporte.cdmx.gob.mx/informate/donde-puedo-activar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edomex.gob.mx/sites/legislacion.edomex.gob.mx/files/files/pdf/gct/2004/oct043.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s://dof.gob.mx/nota_to_imagen_fs.php?cod_diario=203441&amp;pagina=2&amp;seccion=1" TargetMode="External"/><Relationship Id="rId19" Type="http://schemas.openxmlformats.org/officeDocument/2006/relationships/hyperlink" Target="http://www.dof.gob.mx/nota_detalle.php?codigo=5433280&amp;fecha=15/04/2016" TargetMode="External"/><Relationship Id="rId4" Type="http://schemas.openxmlformats.org/officeDocument/2006/relationships/settings" Target="settings.xml"/><Relationship Id="rId9" Type="http://schemas.openxmlformats.org/officeDocument/2006/relationships/hyperlink" Target="https://legislacion.edomex.gob.mx/sites/legislacion.edomex.gob.mx/files/files/pdf/gct/1993/sep143.pdf"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U+4sZLo8Q/Xoej/E3HehdNFw==">CgMxLjAyCGguZ2pkZ3hzMgloLjMwajB6bGwyCWguMWZvYjl0ZTIJaC4zem55c2g3MgloLjJldDkycDAyCGgudHlqY3d0MgloLjNkeTZ2a20yCWguMXQzaDVzZjIJaC4yNmluMXJnMgloLjE3ZHA4dnU4AHIhMUlaOTJhNERUUjBNNm5fWkdXWEF4d0tNYnJCZmw5cTVI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44</Pages>
  <Words>10797</Words>
  <Characters>59386</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18</cp:revision>
  <cp:lastPrinted>2025-02-07T16:27:00Z</cp:lastPrinted>
  <dcterms:created xsi:type="dcterms:W3CDTF">2025-02-04T17:25:00Z</dcterms:created>
  <dcterms:modified xsi:type="dcterms:W3CDTF">2025-03-13T19:37:00Z</dcterms:modified>
</cp:coreProperties>
</file>