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E490A" w:rsidRDefault="00AE3DA7" w:rsidP="00AE490A">
          <w:pPr>
            <w:pStyle w:val="TtulodeTDC"/>
            <w:spacing w:before="0" w:line="240" w:lineRule="auto"/>
            <w:rPr>
              <w:rFonts w:ascii="Palatino Linotype" w:hAnsi="Palatino Linotype"/>
              <w:color w:val="auto"/>
              <w:sz w:val="24"/>
              <w:szCs w:val="24"/>
              <w:lang w:val="es-ES"/>
            </w:rPr>
          </w:pPr>
          <w:r w:rsidRPr="00AE490A">
            <w:rPr>
              <w:rFonts w:ascii="Palatino Linotype" w:hAnsi="Palatino Linotype"/>
              <w:color w:val="auto"/>
              <w:sz w:val="24"/>
              <w:szCs w:val="24"/>
              <w:lang w:val="es-ES"/>
            </w:rPr>
            <w:t>Contenido</w:t>
          </w:r>
        </w:p>
        <w:p w14:paraId="3EB312A7" w14:textId="77777777" w:rsidR="00AA6EA9" w:rsidRPr="00AE490A" w:rsidRDefault="00AA6EA9" w:rsidP="00AE490A">
          <w:pPr>
            <w:spacing w:line="240" w:lineRule="auto"/>
            <w:rPr>
              <w:sz w:val="16"/>
              <w:szCs w:val="16"/>
              <w:lang w:val="es-ES" w:eastAsia="es-MX"/>
            </w:rPr>
          </w:pPr>
        </w:p>
        <w:p w14:paraId="7F29865A" w14:textId="77777777" w:rsidR="00AE490A" w:rsidRDefault="00AE3DA7">
          <w:pPr>
            <w:pStyle w:val="TDC1"/>
            <w:tabs>
              <w:tab w:val="right" w:leader="dot" w:pos="9034"/>
            </w:tabs>
            <w:rPr>
              <w:rFonts w:asciiTheme="minorHAnsi" w:eastAsiaTheme="minorEastAsia" w:hAnsiTheme="minorHAnsi" w:cstheme="minorBidi"/>
              <w:noProof/>
              <w:szCs w:val="22"/>
              <w:lang w:eastAsia="es-MX"/>
            </w:rPr>
          </w:pPr>
          <w:r w:rsidRPr="00AE490A">
            <w:rPr>
              <w:sz w:val="16"/>
              <w:szCs w:val="16"/>
            </w:rPr>
            <w:fldChar w:fldCharType="begin"/>
          </w:r>
          <w:r w:rsidRPr="00AE490A">
            <w:rPr>
              <w:sz w:val="16"/>
              <w:szCs w:val="16"/>
            </w:rPr>
            <w:instrText xml:space="preserve"> TOC \o "1-3" \h \z \u </w:instrText>
          </w:r>
          <w:r w:rsidRPr="00AE490A">
            <w:rPr>
              <w:sz w:val="16"/>
              <w:szCs w:val="16"/>
            </w:rPr>
            <w:fldChar w:fldCharType="separate"/>
          </w:r>
          <w:hyperlink w:anchor="_Toc198747244" w:history="1">
            <w:r w:rsidR="00AE490A" w:rsidRPr="00FB20D9">
              <w:rPr>
                <w:rStyle w:val="Hipervnculo"/>
                <w:noProof/>
              </w:rPr>
              <w:t>ANTECEDENTES</w:t>
            </w:r>
            <w:r w:rsidR="00AE490A">
              <w:rPr>
                <w:noProof/>
                <w:webHidden/>
              </w:rPr>
              <w:tab/>
            </w:r>
            <w:r w:rsidR="00AE490A">
              <w:rPr>
                <w:noProof/>
                <w:webHidden/>
              </w:rPr>
              <w:fldChar w:fldCharType="begin"/>
            </w:r>
            <w:r w:rsidR="00AE490A">
              <w:rPr>
                <w:noProof/>
                <w:webHidden/>
              </w:rPr>
              <w:instrText xml:space="preserve"> PAGEREF _Toc198747244 \h </w:instrText>
            </w:r>
            <w:r w:rsidR="00AE490A">
              <w:rPr>
                <w:noProof/>
                <w:webHidden/>
              </w:rPr>
            </w:r>
            <w:r w:rsidR="00AE490A">
              <w:rPr>
                <w:noProof/>
                <w:webHidden/>
              </w:rPr>
              <w:fldChar w:fldCharType="separate"/>
            </w:r>
            <w:r w:rsidR="00011176">
              <w:rPr>
                <w:noProof/>
                <w:webHidden/>
              </w:rPr>
              <w:t>1</w:t>
            </w:r>
            <w:r w:rsidR="00AE490A">
              <w:rPr>
                <w:noProof/>
                <w:webHidden/>
              </w:rPr>
              <w:fldChar w:fldCharType="end"/>
            </w:r>
          </w:hyperlink>
        </w:p>
        <w:p w14:paraId="771419F6" w14:textId="77777777" w:rsidR="00AE490A" w:rsidRDefault="00011176">
          <w:pPr>
            <w:pStyle w:val="TDC2"/>
            <w:rPr>
              <w:rFonts w:asciiTheme="minorHAnsi" w:eastAsiaTheme="minorEastAsia" w:hAnsiTheme="minorHAnsi" w:cstheme="minorBidi"/>
              <w:noProof/>
              <w:szCs w:val="22"/>
              <w:lang w:eastAsia="es-MX"/>
            </w:rPr>
          </w:pPr>
          <w:hyperlink w:anchor="_Toc198747245" w:history="1">
            <w:r w:rsidR="00AE490A" w:rsidRPr="00FB20D9">
              <w:rPr>
                <w:rStyle w:val="Hipervnculo"/>
                <w:noProof/>
              </w:rPr>
              <w:t>DE LAS SOLICITUDES DE INFORMACIÓN</w:t>
            </w:r>
            <w:r w:rsidR="00AE490A">
              <w:rPr>
                <w:noProof/>
                <w:webHidden/>
              </w:rPr>
              <w:tab/>
            </w:r>
            <w:r w:rsidR="00AE490A">
              <w:rPr>
                <w:noProof/>
                <w:webHidden/>
              </w:rPr>
              <w:fldChar w:fldCharType="begin"/>
            </w:r>
            <w:r w:rsidR="00AE490A">
              <w:rPr>
                <w:noProof/>
                <w:webHidden/>
              </w:rPr>
              <w:instrText xml:space="preserve"> PAGEREF _Toc198747245 \h </w:instrText>
            </w:r>
            <w:r w:rsidR="00AE490A">
              <w:rPr>
                <w:noProof/>
                <w:webHidden/>
              </w:rPr>
            </w:r>
            <w:r w:rsidR="00AE490A">
              <w:rPr>
                <w:noProof/>
                <w:webHidden/>
              </w:rPr>
              <w:fldChar w:fldCharType="separate"/>
            </w:r>
            <w:r>
              <w:rPr>
                <w:noProof/>
                <w:webHidden/>
              </w:rPr>
              <w:t>1</w:t>
            </w:r>
            <w:r w:rsidR="00AE490A">
              <w:rPr>
                <w:noProof/>
                <w:webHidden/>
              </w:rPr>
              <w:fldChar w:fldCharType="end"/>
            </w:r>
          </w:hyperlink>
        </w:p>
        <w:p w14:paraId="5934E887" w14:textId="77777777" w:rsidR="00AE490A" w:rsidRDefault="00011176">
          <w:pPr>
            <w:pStyle w:val="TDC3"/>
            <w:rPr>
              <w:rFonts w:asciiTheme="minorHAnsi" w:eastAsiaTheme="minorEastAsia" w:hAnsiTheme="minorHAnsi" w:cstheme="minorBidi"/>
              <w:noProof/>
              <w:szCs w:val="22"/>
              <w:lang w:eastAsia="es-MX"/>
            </w:rPr>
          </w:pPr>
          <w:hyperlink w:anchor="_Toc198747246" w:history="1">
            <w:r w:rsidR="00AE490A" w:rsidRPr="00FB20D9">
              <w:rPr>
                <w:rStyle w:val="Hipervnculo"/>
                <w:noProof/>
              </w:rPr>
              <w:t>a) Solicitudes de información</w:t>
            </w:r>
            <w:r w:rsidR="00AE490A">
              <w:rPr>
                <w:noProof/>
                <w:webHidden/>
              </w:rPr>
              <w:tab/>
            </w:r>
            <w:r w:rsidR="00AE490A">
              <w:rPr>
                <w:noProof/>
                <w:webHidden/>
              </w:rPr>
              <w:fldChar w:fldCharType="begin"/>
            </w:r>
            <w:r w:rsidR="00AE490A">
              <w:rPr>
                <w:noProof/>
                <w:webHidden/>
              </w:rPr>
              <w:instrText xml:space="preserve"> PAGEREF _Toc198747246 \h </w:instrText>
            </w:r>
            <w:r w:rsidR="00AE490A">
              <w:rPr>
                <w:noProof/>
                <w:webHidden/>
              </w:rPr>
            </w:r>
            <w:r w:rsidR="00AE490A">
              <w:rPr>
                <w:noProof/>
                <w:webHidden/>
              </w:rPr>
              <w:fldChar w:fldCharType="separate"/>
            </w:r>
            <w:r>
              <w:rPr>
                <w:noProof/>
                <w:webHidden/>
              </w:rPr>
              <w:t>1</w:t>
            </w:r>
            <w:r w:rsidR="00AE490A">
              <w:rPr>
                <w:noProof/>
                <w:webHidden/>
              </w:rPr>
              <w:fldChar w:fldCharType="end"/>
            </w:r>
          </w:hyperlink>
        </w:p>
        <w:p w14:paraId="5DC96E1D" w14:textId="77777777" w:rsidR="00AE490A" w:rsidRDefault="00011176">
          <w:pPr>
            <w:pStyle w:val="TDC3"/>
            <w:rPr>
              <w:rFonts w:asciiTheme="minorHAnsi" w:eastAsiaTheme="minorEastAsia" w:hAnsiTheme="minorHAnsi" w:cstheme="minorBidi"/>
              <w:noProof/>
              <w:szCs w:val="22"/>
              <w:lang w:eastAsia="es-MX"/>
            </w:rPr>
          </w:pPr>
          <w:hyperlink w:anchor="_Toc198747247" w:history="1">
            <w:r w:rsidR="00AE490A" w:rsidRPr="00FB20D9">
              <w:rPr>
                <w:rStyle w:val="Hipervnculo"/>
                <w:noProof/>
              </w:rPr>
              <w:t>b) Turno de las solicitudes de información</w:t>
            </w:r>
            <w:r w:rsidR="00AE490A">
              <w:rPr>
                <w:noProof/>
                <w:webHidden/>
              </w:rPr>
              <w:tab/>
            </w:r>
            <w:r w:rsidR="00AE490A">
              <w:rPr>
                <w:noProof/>
                <w:webHidden/>
              </w:rPr>
              <w:fldChar w:fldCharType="begin"/>
            </w:r>
            <w:r w:rsidR="00AE490A">
              <w:rPr>
                <w:noProof/>
                <w:webHidden/>
              </w:rPr>
              <w:instrText xml:space="preserve"> PAGEREF _Toc198747247 \h </w:instrText>
            </w:r>
            <w:r w:rsidR="00AE490A">
              <w:rPr>
                <w:noProof/>
                <w:webHidden/>
              </w:rPr>
            </w:r>
            <w:r w:rsidR="00AE490A">
              <w:rPr>
                <w:noProof/>
                <w:webHidden/>
              </w:rPr>
              <w:fldChar w:fldCharType="separate"/>
            </w:r>
            <w:r>
              <w:rPr>
                <w:noProof/>
                <w:webHidden/>
              </w:rPr>
              <w:t>2</w:t>
            </w:r>
            <w:r w:rsidR="00AE490A">
              <w:rPr>
                <w:noProof/>
                <w:webHidden/>
              </w:rPr>
              <w:fldChar w:fldCharType="end"/>
            </w:r>
          </w:hyperlink>
        </w:p>
        <w:p w14:paraId="13923E08" w14:textId="77777777" w:rsidR="00AE490A" w:rsidRDefault="00011176">
          <w:pPr>
            <w:pStyle w:val="TDC3"/>
            <w:rPr>
              <w:rFonts w:asciiTheme="minorHAnsi" w:eastAsiaTheme="minorEastAsia" w:hAnsiTheme="minorHAnsi" w:cstheme="minorBidi"/>
              <w:noProof/>
              <w:szCs w:val="22"/>
              <w:lang w:eastAsia="es-MX"/>
            </w:rPr>
          </w:pPr>
          <w:hyperlink w:anchor="_Toc198747248" w:history="1">
            <w:r w:rsidR="00AE490A" w:rsidRPr="00FB20D9">
              <w:rPr>
                <w:rStyle w:val="Hipervnculo"/>
                <w:noProof/>
              </w:rPr>
              <w:t xml:space="preserve">c) </w:t>
            </w:r>
            <w:r w:rsidR="00AE490A" w:rsidRPr="00FB20D9">
              <w:rPr>
                <w:rStyle w:val="Hipervnculo"/>
                <w:noProof/>
                <w:lang w:val="es-ES"/>
              </w:rPr>
              <w:t xml:space="preserve">Respuestas </w:t>
            </w:r>
            <w:r w:rsidR="00AE490A" w:rsidRPr="00FB20D9">
              <w:rPr>
                <w:rStyle w:val="Hipervnculo"/>
                <w:rFonts w:eastAsia="Calibri"/>
                <w:noProof/>
                <w:lang w:eastAsia="en-US"/>
              </w:rPr>
              <w:t>del Sujeto Obligado</w:t>
            </w:r>
            <w:r w:rsidR="00AE490A">
              <w:rPr>
                <w:noProof/>
                <w:webHidden/>
              </w:rPr>
              <w:tab/>
            </w:r>
            <w:r w:rsidR="00AE490A">
              <w:rPr>
                <w:noProof/>
                <w:webHidden/>
              </w:rPr>
              <w:fldChar w:fldCharType="begin"/>
            </w:r>
            <w:r w:rsidR="00AE490A">
              <w:rPr>
                <w:noProof/>
                <w:webHidden/>
              </w:rPr>
              <w:instrText xml:space="preserve"> PAGEREF _Toc198747248 \h </w:instrText>
            </w:r>
            <w:r w:rsidR="00AE490A">
              <w:rPr>
                <w:noProof/>
                <w:webHidden/>
              </w:rPr>
            </w:r>
            <w:r w:rsidR="00AE490A">
              <w:rPr>
                <w:noProof/>
                <w:webHidden/>
              </w:rPr>
              <w:fldChar w:fldCharType="separate"/>
            </w:r>
            <w:r>
              <w:rPr>
                <w:noProof/>
                <w:webHidden/>
              </w:rPr>
              <w:t>2</w:t>
            </w:r>
            <w:r w:rsidR="00AE490A">
              <w:rPr>
                <w:noProof/>
                <w:webHidden/>
              </w:rPr>
              <w:fldChar w:fldCharType="end"/>
            </w:r>
          </w:hyperlink>
        </w:p>
        <w:p w14:paraId="6C62772B" w14:textId="77777777" w:rsidR="00AE490A" w:rsidRDefault="00011176">
          <w:pPr>
            <w:pStyle w:val="TDC2"/>
            <w:rPr>
              <w:rFonts w:asciiTheme="minorHAnsi" w:eastAsiaTheme="minorEastAsia" w:hAnsiTheme="minorHAnsi" w:cstheme="minorBidi"/>
              <w:noProof/>
              <w:szCs w:val="22"/>
              <w:lang w:eastAsia="es-MX"/>
            </w:rPr>
          </w:pPr>
          <w:hyperlink w:anchor="_Toc198747249" w:history="1">
            <w:r w:rsidR="00AE490A" w:rsidRPr="00FB20D9">
              <w:rPr>
                <w:rStyle w:val="Hipervnculo"/>
                <w:noProof/>
              </w:rPr>
              <w:t>DEL RECURSO DE REVISIÓN</w:t>
            </w:r>
            <w:r w:rsidR="00AE490A">
              <w:rPr>
                <w:noProof/>
                <w:webHidden/>
              </w:rPr>
              <w:tab/>
            </w:r>
            <w:r w:rsidR="00AE490A">
              <w:rPr>
                <w:noProof/>
                <w:webHidden/>
              </w:rPr>
              <w:fldChar w:fldCharType="begin"/>
            </w:r>
            <w:r w:rsidR="00AE490A">
              <w:rPr>
                <w:noProof/>
                <w:webHidden/>
              </w:rPr>
              <w:instrText xml:space="preserve"> PAGEREF _Toc198747249 \h </w:instrText>
            </w:r>
            <w:r w:rsidR="00AE490A">
              <w:rPr>
                <w:noProof/>
                <w:webHidden/>
              </w:rPr>
            </w:r>
            <w:r w:rsidR="00AE490A">
              <w:rPr>
                <w:noProof/>
                <w:webHidden/>
              </w:rPr>
              <w:fldChar w:fldCharType="separate"/>
            </w:r>
            <w:r>
              <w:rPr>
                <w:noProof/>
                <w:webHidden/>
              </w:rPr>
              <w:t>3</w:t>
            </w:r>
            <w:r w:rsidR="00AE490A">
              <w:rPr>
                <w:noProof/>
                <w:webHidden/>
              </w:rPr>
              <w:fldChar w:fldCharType="end"/>
            </w:r>
          </w:hyperlink>
        </w:p>
        <w:p w14:paraId="1882AAA7" w14:textId="77777777" w:rsidR="00AE490A" w:rsidRDefault="00011176">
          <w:pPr>
            <w:pStyle w:val="TDC3"/>
            <w:rPr>
              <w:rFonts w:asciiTheme="minorHAnsi" w:eastAsiaTheme="minorEastAsia" w:hAnsiTheme="minorHAnsi" w:cstheme="minorBidi"/>
              <w:noProof/>
              <w:szCs w:val="22"/>
              <w:lang w:eastAsia="es-MX"/>
            </w:rPr>
          </w:pPr>
          <w:hyperlink w:anchor="_Toc198747250" w:history="1">
            <w:r w:rsidR="00AE490A" w:rsidRPr="00FB20D9">
              <w:rPr>
                <w:rStyle w:val="Hipervnculo"/>
                <w:noProof/>
              </w:rPr>
              <w:t>a) Interposición del Recurso de Revisión</w:t>
            </w:r>
            <w:r w:rsidR="00AE490A">
              <w:rPr>
                <w:noProof/>
                <w:webHidden/>
              </w:rPr>
              <w:tab/>
            </w:r>
            <w:r w:rsidR="00AE490A">
              <w:rPr>
                <w:noProof/>
                <w:webHidden/>
              </w:rPr>
              <w:fldChar w:fldCharType="begin"/>
            </w:r>
            <w:r w:rsidR="00AE490A">
              <w:rPr>
                <w:noProof/>
                <w:webHidden/>
              </w:rPr>
              <w:instrText xml:space="preserve"> PAGEREF _Toc198747250 \h </w:instrText>
            </w:r>
            <w:r w:rsidR="00AE490A">
              <w:rPr>
                <w:noProof/>
                <w:webHidden/>
              </w:rPr>
            </w:r>
            <w:r w:rsidR="00AE490A">
              <w:rPr>
                <w:noProof/>
                <w:webHidden/>
              </w:rPr>
              <w:fldChar w:fldCharType="separate"/>
            </w:r>
            <w:r>
              <w:rPr>
                <w:noProof/>
                <w:webHidden/>
              </w:rPr>
              <w:t>3</w:t>
            </w:r>
            <w:r w:rsidR="00AE490A">
              <w:rPr>
                <w:noProof/>
                <w:webHidden/>
              </w:rPr>
              <w:fldChar w:fldCharType="end"/>
            </w:r>
          </w:hyperlink>
        </w:p>
        <w:p w14:paraId="67D99039" w14:textId="77777777" w:rsidR="00AE490A" w:rsidRDefault="00011176">
          <w:pPr>
            <w:pStyle w:val="TDC3"/>
            <w:rPr>
              <w:rFonts w:asciiTheme="minorHAnsi" w:eastAsiaTheme="minorEastAsia" w:hAnsiTheme="minorHAnsi" w:cstheme="minorBidi"/>
              <w:noProof/>
              <w:szCs w:val="22"/>
              <w:lang w:eastAsia="es-MX"/>
            </w:rPr>
          </w:pPr>
          <w:hyperlink w:anchor="_Toc198747251" w:history="1">
            <w:r w:rsidR="00AE490A" w:rsidRPr="00FB20D9">
              <w:rPr>
                <w:rStyle w:val="Hipervnculo"/>
                <w:noProof/>
              </w:rPr>
              <w:t>b) Turno del Recurso de Revisión</w:t>
            </w:r>
            <w:r w:rsidR="00AE490A">
              <w:rPr>
                <w:noProof/>
                <w:webHidden/>
              </w:rPr>
              <w:tab/>
            </w:r>
            <w:r w:rsidR="00AE490A">
              <w:rPr>
                <w:noProof/>
                <w:webHidden/>
              </w:rPr>
              <w:fldChar w:fldCharType="begin"/>
            </w:r>
            <w:r w:rsidR="00AE490A">
              <w:rPr>
                <w:noProof/>
                <w:webHidden/>
              </w:rPr>
              <w:instrText xml:space="preserve"> PAGEREF _Toc198747251 \h </w:instrText>
            </w:r>
            <w:r w:rsidR="00AE490A">
              <w:rPr>
                <w:noProof/>
                <w:webHidden/>
              </w:rPr>
            </w:r>
            <w:r w:rsidR="00AE490A">
              <w:rPr>
                <w:noProof/>
                <w:webHidden/>
              </w:rPr>
              <w:fldChar w:fldCharType="separate"/>
            </w:r>
            <w:r>
              <w:rPr>
                <w:noProof/>
                <w:webHidden/>
              </w:rPr>
              <w:t>4</w:t>
            </w:r>
            <w:r w:rsidR="00AE490A">
              <w:rPr>
                <w:noProof/>
                <w:webHidden/>
              </w:rPr>
              <w:fldChar w:fldCharType="end"/>
            </w:r>
          </w:hyperlink>
        </w:p>
        <w:p w14:paraId="207EC675" w14:textId="77777777" w:rsidR="00AE490A" w:rsidRDefault="00011176">
          <w:pPr>
            <w:pStyle w:val="TDC3"/>
            <w:rPr>
              <w:rFonts w:asciiTheme="minorHAnsi" w:eastAsiaTheme="minorEastAsia" w:hAnsiTheme="minorHAnsi" w:cstheme="minorBidi"/>
              <w:noProof/>
              <w:szCs w:val="22"/>
              <w:lang w:eastAsia="es-MX"/>
            </w:rPr>
          </w:pPr>
          <w:hyperlink w:anchor="_Toc198747252" w:history="1">
            <w:r w:rsidR="00AE490A" w:rsidRPr="00FB20D9">
              <w:rPr>
                <w:rStyle w:val="Hipervnculo"/>
                <w:noProof/>
              </w:rPr>
              <w:t>c) Admisión del Recurso de Revisión</w:t>
            </w:r>
            <w:r w:rsidR="00AE490A">
              <w:rPr>
                <w:noProof/>
                <w:webHidden/>
              </w:rPr>
              <w:tab/>
            </w:r>
            <w:r w:rsidR="00AE490A">
              <w:rPr>
                <w:noProof/>
                <w:webHidden/>
              </w:rPr>
              <w:fldChar w:fldCharType="begin"/>
            </w:r>
            <w:r w:rsidR="00AE490A">
              <w:rPr>
                <w:noProof/>
                <w:webHidden/>
              </w:rPr>
              <w:instrText xml:space="preserve"> PAGEREF _Toc198747252 \h </w:instrText>
            </w:r>
            <w:r w:rsidR="00AE490A">
              <w:rPr>
                <w:noProof/>
                <w:webHidden/>
              </w:rPr>
            </w:r>
            <w:r w:rsidR="00AE490A">
              <w:rPr>
                <w:noProof/>
                <w:webHidden/>
              </w:rPr>
              <w:fldChar w:fldCharType="separate"/>
            </w:r>
            <w:r>
              <w:rPr>
                <w:noProof/>
                <w:webHidden/>
              </w:rPr>
              <w:t>5</w:t>
            </w:r>
            <w:r w:rsidR="00AE490A">
              <w:rPr>
                <w:noProof/>
                <w:webHidden/>
              </w:rPr>
              <w:fldChar w:fldCharType="end"/>
            </w:r>
          </w:hyperlink>
        </w:p>
        <w:p w14:paraId="3A90319F" w14:textId="77777777" w:rsidR="00AE490A" w:rsidRDefault="00011176">
          <w:pPr>
            <w:pStyle w:val="TDC3"/>
            <w:rPr>
              <w:rFonts w:asciiTheme="minorHAnsi" w:eastAsiaTheme="minorEastAsia" w:hAnsiTheme="minorHAnsi" w:cstheme="minorBidi"/>
              <w:noProof/>
              <w:szCs w:val="22"/>
              <w:lang w:eastAsia="es-MX"/>
            </w:rPr>
          </w:pPr>
          <w:hyperlink w:anchor="_Toc198747253" w:history="1">
            <w:r w:rsidR="00AE490A" w:rsidRPr="00FB20D9">
              <w:rPr>
                <w:rStyle w:val="Hipervnculo"/>
                <w:noProof/>
              </w:rPr>
              <w:t>d) Acumulación de los Recursos de Revisión</w:t>
            </w:r>
            <w:r w:rsidR="00AE490A">
              <w:rPr>
                <w:noProof/>
                <w:webHidden/>
              </w:rPr>
              <w:tab/>
            </w:r>
            <w:r w:rsidR="00AE490A">
              <w:rPr>
                <w:noProof/>
                <w:webHidden/>
              </w:rPr>
              <w:fldChar w:fldCharType="begin"/>
            </w:r>
            <w:r w:rsidR="00AE490A">
              <w:rPr>
                <w:noProof/>
                <w:webHidden/>
              </w:rPr>
              <w:instrText xml:space="preserve"> PAGEREF _Toc198747253 \h </w:instrText>
            </w:r>
            <w:r w:rsidR="00AE490A">
              <w:rPr>
                <w:noProof/>
                <w:webHidden/>
              </w:rPr>
            </w:r>
            <w:r w:rsidR="00AE490A">
              <w:rPr>
                <w:noProof/>
                <w:webHidden/>
              </w:rPr>
              <w:fldChar w:fldCharType="separate"/>
            </w:r>
            <w:r>
              <w:rPr>
                <w:noProof/>
                <w:webHidden/>
              </w:rPr>
              <w:t>5</w:t>
            </w:r>
            <w:r w:rsidR="00AE490A">
              <w:rPr>
                <w:noProof/>
                <w:webHidden/>
              </w:rPr>
              <w:fldChar w:fldCharType="end"/>
            </w:r>
          </w:hyperlink>
        </w:p>
        <w:p w14:paraId="48CC86AA" w14:textId="77777777" w:rsidR="00AE490A" w:rsidRDefault="00011176">
          <w:pPr>
            <w:pStyle w:val="TDC3"/>
            <w:rPr>
              <w:rFonts w:asciiTheme="minorHAnsi" w:eastAsiaTheme="minorEastAsia" w:hAnsiTheme="minorHAnsi" w:cstheme="minorBidi"/>
              <w:noProof/>
              <w:szCs w:val="22"/>
              <w:lang w:eastAsia="es-MX"/>
            </w:rPr>
          </w:pPr>
          <w:hyperlink w:anchor="_Toc198747254" w:history="1">
            <w:r w:rsidR="00AE490A" w:rsidRPr="00FB20D9">
              <w:rPr>
                <w:rStyle w:val="Hipervnculo"/>
                <w:noProof/>
              </w:rPr>
              <w:t>e) Informe Justificado del Sujeto Obligado</w:t>
            </w:r>
            <w:r w:rsidR="00AE490A">
              <w:rPr>
                <w:noProof/>
                <w:webHidden/>
              </w:rPr>
              <w:tab/>
            </w:r>
            <w:r w:rsidR="00AE490A">
              <w:rPr>
                <w:noProof/>
                <w:webHidden/>
              </w:rPr>
              <w:fldChar w:fldCharType="begin"/>
            </w:r>
            <w:r w:rsidR="00AE490A">
              <w:rPr>
                <w:noProof/>
                <w:webHidden/>
              </w:rPr>
              <w:instrText xml:space="preserve"> PAGEREF _Toc198747254 \h </w:instrText>
            </w:r>
            <w:r w:rsidR="00AE490A">
              <w:rPr>
                <w:noProof/>
                <w:webHidden/>
              </w:rPr>
            </w:r>
            <w:r w:rsidR="00AE490A">
              <w:rPr>
                <w:noProof/>
                <w:webHidden/>
              </w:rPr>
              <w:fldChar w:fldCharType="separate"/>
            </w:r>
            <w:r>
              <w:rPr>
                <w:noProof/>
                <w:webHidden/>
              </w:rPr>
              <w:t>5</w:t>
            </w:r>
            <w:r w:rsidR="00AE490A">
              <w:rPr>
                <w:noProof/>
                <w:webHidden/>
              </w:rPr>
              <w:fldChar w:fldCharType="end"/>
            </w:r>
          </w:hyperlink>
        </w:p>
        <w:p w14:paraId="695702CB" w14:textId="77777777" w:rsidR="00AE490A" w:rsidRDefault="00011176">
          <w:pPr>
            <w:pStyle w:val="TDC3"/>
            <w:rPr>
              <w:rFonts w:asciiTheme="minorHAnsi" w:eastAsiaTheme="minorEastAsia" w:hAnsiTheme="minorHAnsi" w:cstheme="minorBidi"/>
              <w:noProof/>
              <w:szCs w:val="22"/>
              <w:lang w:eastAsia="es-MX"/>
            </w:rPr>
          </w:pPr>
          <w:hyperlink w:anchor="_Toc198747255" w:history="1">
            <w:r w:rsidR="00AE490A" w:rsidRPr="00FB20D9">
              <w:rPr>
                <w:rStyle w:val="Hipervnculo"/>
                <w:rFonts w:eastAsia="Calibri"/>
                <w:bCs/>
                <w:noProof/>
                <w:lang w:eastAsia="en-US"/>
              </w:rPr>
              <w:t>f)</w:t>
            </w:r>
            <w:r w:rsidR="00AE490A" w:rsidRPr="00FB20D9">
              <w:rPr>
                <w:rStyle w:val="Hipervnculo"/>
                <w:noProof/>
              </w:rPr>
              <w:t xml:space="preserve"> </w:t>
            </w:r>
            <w:r w:rsidR="00AE490A" w:rsidRPr="00FB20D9">
              <w:rPr>
                <w:rStyle w:val="Hipervnculo"/>
                <w:noProof/>
                <w:lang w:val="es-ES"/>
              </w:rPr>
              <w:t>Manifestaciones de la Parte Recurrente</w:t>
            </w:r>
            <w:r w:rsidR="00AE490A">
              <w:rPr>
                <w:noProof/>
                <w:webHidden/>
              </w:rPr>
              <w:tab/>
            </w:r>
            <w:r w:rsidR="00AE490A">
              <w:rPr>
                <w:noProof/>
                <w:webHidden/>
              </w:rPr>
              <w:fldChar w:fldCharType="begin"/>
            </w:r>
            <w:r w:rsidR="00AE490A">
              <w:rPr>
                <w:noProof/>
                <w:webHidden/>
              </w:rPr>
              <w:instrText xml:space="preserve"> PAGEREF _Toc198747255 \h </w:instrText>
            </w:r>
            <w:r w:rsidR="00AE490A">
              <w:rPr>
                <w:noProof/>
                <w:webHidden/>
              </w:rPr>
            </w:r>
            <w:r w:rsidR="00AE490A">
              <w:rPr>
                <w:noProof/>
                <w:webHidden/>
              </w:rPr>
              <w:fldChar w:fldCharType="separate"/>
            </w:r>
            <w:r>
              <w:rPr>
                <w:noProof/>
                <w:webHidden/>
              </w:rPr>
              <w:t>5</w:t>
            </w:r>
            <w:r w:rsidR="00AE490A">
              <w:rPr>
                <w:noProof/>
                <w:webHidden/>
              </w:rPr>
              <w:fldChar w:fldCharType="end"/>
            </w:r>
          </w:hyperlink>
        </w:p>
        <w:p w14:paraId="4A131A2F" w14:textId="77777777" w:rsidR="00AE490A" w:rsidRDefault="00011176">
          <w:pPr>
            <w:pStyle w:val="TDC3"/>
            <w:rPr>
              <w:rFonts w:asciiTheme="minorHAnsi" w:eastAsiaTheme="minorEastAsia" w:hAnsiTheme="minorHAnsi" w:cstheme="minorBidi"/>
              <w:noProof/>
              <w:szCs w:val="22"/>
              <w:lang w:eastAsia="es-MX"/>
            </w:rPr>
          </w:pPr>
          <w:hyperlink w:anchor="_Toc198747256" w:history="1">
            <w:r w:rsidR="00AE490A" w:rsidRPr="00FB20D9">
              <w:rPr>
                <w:rStyle w:val="Hipervnculo"/>
                <w:rFonts w:eastAsia="Calibri"/>
                <w:noProof/>
              </w:rPr>
              <w:t xml:space="preserve">g) </w:t>
            </w:r>
            <w:r w:rsidR="00AE490A" w:rsidRPr="00FB20D9">
              <w:rPr>
                <w:rStyle w:val="Hipervnculo"/>
                <w:noProof/>
              </w:rPr>
              <w:t>Cierre de instrucción</w:t>
            </w:r>
            <w:r w:rsidR="00AE490A">
              <w:rPr>
                <w:noProof/>
                <w:webHidden/>
              </w:rPr>
              <w:tab/>
            </w:r>
            <w:r w:rsidR="00AE490A">
              <w:rPr>
                <w:noProof/>
                <w:webHidden/>
              </w:rPr>
              <w:fldChar w:fldCharType="begin"/>
            </w:r>
            <w:r w:rsidR="00AE490A">
              <w:rPr>
                <w:noProof/>
                <w:webHidden/>
              </w:rPr>
              <w:instrText xml:space="preserve"> PAGEREF _Toc198747256 \h </w:instrText>
            </w:r>
            <w:r w:rsidR="00AE490A">
              <w:rPr>
                <w:noProof/>
                <w:webHidden/>
              </w:rPr>
            </w:r>
            <w:r w:rsidR="00AE490A">
              <w:rPr>
                <w:noProof/>
                <w:webHidden/>
              </w:rPr>
              <w:fldChar w:fldCharType="separate"/>
            </w:r>
            <w:r>
              <w:rPr>
                <w:noProof/>
                <w:webHidden/>
              </w:rPr>
              <w:t>5</w:t>
            </w:r>
            <w:r w:rsidR="00AE490A">
              <w:rPr>
                <w:noProof/>
                <w:webHidden/>
              </w:rPr>
              <w:fldChar w:fldCharType="end"/>
            </w:r>
          </w:hyperlink>
        </w:p>
        <w:p w14:paraId="59E06141" w14:textId="77777777" w:rsidR="00AE490A" w:rsidRDefault="00011176">
          <w:pPr>
            <w:pStyle w:val="TDC3"/>
            <w:rPr>
              <w:rFonts w:asciiTheme="minorHAnsi" w:eastAsiaTheme="minorEastAsia" w:hAnsiTheme="minorHAnsi" w:cstheme="minorBidi"/>
              <w:noProof/>
              <w:szCs w:val="22"/>
              <w:lang w:eastAsia="es-MX"/>
            </w:rPr>
          </w:pPr>
          <w:hyperlink w:anchor="_Toc198747257" w:history="1">
            <w:r w:rsidR="00AE490A" w:rsidRPr="00FB20D9">
              <w:rPr>
                <w:rStyle w:val="Hipervnculo"/>
                <w:rFonts w:eastAsia="Calibri"/>
                <w:noProof/>
              </w:rPr>
              <w:t>h) Ampliación de Plazo para Resolver</w:t>
            </w:r>
            <w:r w:rsidR="00AE490A">
              <w:rPr>
                <w:noProof/>
                <w:webHidden/>
              </w:rPr>
              <w:tab/>
            </w:r>
            <w:r w:rsidR="00AE490A">
              <w:rPr>
                <w:noProof/>
                <w:webHidden/>
              </w:rPr>
              <w:fldChar w:fldCharType="begin"/>
            </w:r>
            <w:r w:rsidR="00AE490A">
              <w:rPr>
                <w:noProof/>
                <w:webHidden/>
              </w:rPr>
              <w:instrText xml:space="preserve"> PAGEREF _Toc198747257 \h </w:instrText>
            </w:r>
            <w:r w:rsidR="00AE490A">
              <w:rPr>
                <w:noProof/>
                <w:webHidden/>
              </w:rPr>
            </w:r>
            <w:r w:rsidR="00AE490A">
              <w:rPr>
                <w:noProof/>
                <w:webHidden/>
              </w:rPr>
              <w:fldChar w:fldCharType="separate"/>
            </w:r>
            <w:r>
              <w:rPr>
                <w:noProof/>
                <w:webHidden/>
              </w:rPr>
              <w:t>6</w:t>
            </w:r>
            <w:r w:rsidR="00AE490A">
              <w:rPr>
                <w:noProof/>
                <w:webHidden/>
              </w:rPr>
              <w:fldChar w:fldCharType="end"/>
            </w:r>
          </w:hyperlink>
        </w:p>
        <w:p w14:paraId="0FFFCED6" w14:textId="77777777" w:rsidR="00AE490A" w:rsidRDefault="00011176">
          <w:pPr>
            <w:pStyle w:val="TDC1"/>
            <w:tabs>
              <w:tab w:val="right" w:leader="dot" w:pos="9034"/>
            </w:tabs>
            <w:rPr>
              <w:rFonts w:asciiTheme="minorHAnsi" w:eastAsiaTheme="minorEastAsia" w:hAnsiTheme="minorHAnsi" w:cstheme="minorBidi"/>
              <w:noProof/>
              <w:szCs w:val="22"/>
              <w:lang w:eastAsia="es-MX"/>
            </w:rPr>
          </w:pPr>
          <w:hyperlink w:anchor="_Toc198747258" w:history="1">
            <w:r w:rsidR="00AE490A" w:rsidRPr="00FB20D9">
              <w:rPr>
                <w:rStyle w:val="Hipervnculo"/>
                <w:rFonts w:eastAsiaTheme="minorHAnsi"/>
                <w:noProof/>
                <w:lang w:eastAsia="en-US"/>
              </w:rPr>
              <w:t>CONSIDERANDOS</w:t>
            </w:r>
            <w:r w:rsidR="00AE490A">
              <w:rPr>
                <w:noProof/>
                <w:webHidden/>
              </w:rPr>
              <w:tab/>
            </w:r>
            <w:r w:rsidR="00AE490A">
              <w:rPr>
                <w:noProof/>
                <w:webHidden/>
              </w:rPr>
              <w:fldChar w:fldCharType="begin"/>
            </w:r>
            <w:r w:rsidR="00AE490A">
              <w:rPr>
                <w:noProof/>
                <w:webHidden/>
              </w:rPr>
              <w:instrText xml:space="preserve"> PAGEREF _Toc198747258 \h </w:instrText>
            </w:r>
            <w:r w:rsidR="00AE490A">
              <w:rPr>
                <w:noProof/>
                <w:webHidden/>
              </w:rPr>
            </w:r>
            <w:r w:rsidR="00AE490A">
              <w:rPr>
                <w:noProof/>
                <w:webHidden/>
              </w:rPr>
              <w:fldChar w:fldCharType="separate"/>
            </w:r>
            <w:r>
              <w:rPr>
                <w:noProof/>
                <w:webHidden/>
              </w:rPr>
              <w:t>6</w:t>
            </w:r>
            <w:r w:rsidR="00AE490A">
              <w:rPr>
                <w:noProof/>
                <w:webHidden/>
              </w:rPr>
              <w:fldChar w:fldCharType="end"/>
            </w:r>
          </w:hyperlink>
        </w:p>
        <w:p w14:paraId="63AEA183" w14:textId="77777777" w:rsidR="00AE490A" w:rsidRDefault="00011176">
          <w:pPr>
            <w:pStyle w:val="TDC2"/>
            <w:rPr>
              <w:rFonts w:asciiTheme="minorHAnsi" w:eastAsiaTheme="minorEastAsia" w:hAnsiTheme="minorHAnsi" w:cstheme="minorBidi"/>
              <w:noProof/>
              <w:szCs w:val="22"/>
              <w:lang w:eastAsia="es-MX"/>
            </w:rPr>
          </w:pPr>
          <w:hyperlink w:anchor="_Toc198747259" w:history="1">
            <w:r w:rsidR="00AE490A" w:rsidRPr="00FB20D9">
              <w:rPr>
                <w:rStyle w:val="Hipervnculo"/>
                <w:rFonts w:eastAsia="Batang"/>
                <w:noProof/>
              </w:rPr>
              <w:t>PRIMERO. Procedibilidad</w:t>
            </w:r>
            <w:r w:rsidR="00AE490A">
              <w:rPr>
                <w:noProof/>
                <w:webHidden/>
              </w:rPr>
              <w:tab/>
            </w:r>
            <w:r w:rsidR="00AE490A">
              <w:rPr>
                <w:noProof/>
                <w:webHidden/>
              </w:rPr>
              <w:fldChar w:fldCharType="begin"/>
            </w:r>
            <w:r w:rsidR="00AE490A">
              <w:rPr>
                <w:noProof/>
                <w:webHidden/>
              </w:rPr>
              <w:instrText xml:space="preserve"> PAGEREF _Toc198747259 \h </w:instrText>
            </w:r>
            <w:r w:rsidR="00AE490A">
              <w:rPr>
                <w:noProof/>
                <w:webHidden/>
              </w:rPr>
            </w:r>
            <w:r w:rsidR="00AE490A">
              <w:rPr>
                <w:noProof/>
                <w:webHidden/>
              </w:rPr>
              <w:fldChar w:fldCharType="separate"/>
            </w:r>
            <w:r>
              <w:rPr>
                <w:noProof/>
                <w:webHidden/>
              </w:rPr>
              <w:t>6</w:t>
            </w:r>
            <w:r w:rsidR="00AE490A">
              <w:rPr>
                <w:noProof/>
                <w:webHidden/>
              </w:rPr>
              <w:fldChar w:fldCharType="end"/>
            </w:r>
          </w:hyperlink>
        </w:p>
        <w:p w14:paraId="3D76FA27" w14:textId="77777777" w:rsidR="00AE490A" w:rsidRDefault="00011176">
          <w:pPr>
            <w:pStyle w:val="TDC3"/>
            <w:rPr>
              <w:rFonts w:asciiTheme="minorHAnsi" w:eastAsiaTheme="minorEastAsia" w:hAnsiTheme="minorHAnsi" w:cstheme="minorBidi"/>
              <w:noProof/>
              <w:szCs w:val="22"/>
              <w:lang w:eastAsia="es-MX"/>
            </w:rPr>
          </w:pPr>
          <w:hyperlink w:anchor="_Toc198747260" w:history="1">
            <w:r w:rsidR="00AE490A" w:rsidRPr="00FB20D9">
              <w:rPr>
                <w:rStyle w:val="Hipervnculo"/>
                <w:noProof/>
              </w:rPr>
              <w:t>a) Competencia del Instituto</w:t>
            </w:r>
            <w:r w:rsidR="00AE490A">
              <w:rPr>
                <w:noProof/>
                <w:webHidden/>
              </w:rPr>
              <w:tab/>
            </w:r>
            <w:r w:rsidR="00AE490A">
              <w:rPr>
                <w:noProof/>
                <w:webHidden/>
              </w:rPr>
              <w:fldChar w:fldCharType="begin"/>
            </w:r>
            <w:r w:rsidR="00AE490A">
              <w:rPr>
                <w:noProof/>
                <w:webHidden/>
              </w:rPr>
              <w:instrText xml:space="preserve"> PAGEREF _Toc198747260 \h </w:instrText>
            </w:r>
            <w:r w:rsidR="00AE490A">
              <w:rPr>
                <w:noProof/>
                <w:webHidden/>
              </w:rPr>
            </w:r>
            <w:r w:rsidR="00AE490A">
              <w:rPr>
                <w:noProof/>
                <w:webHidden/>
              </w:rPr>
              <w:fldChar w:fldCharType="separate"/>
            </w:r>
            <w:r>
              <w:rPr>
                <w:noProof/>
                <w:webHidden/>
              </w:rPr>
              <w:t>6</w:t>
            </w:r>
            <w:r w:rsidR="00AE490A">
              <w:rPr>
                <w:noProof/>
                <w:webHidden/>
              </w:rPr>
              <w:fldChar w:fldCharType="end"/>
            </w:r>
          </w:hyperlink>
        </w:p>
        <w:p w14:paraId="186782A9" w14:textId="77777777" w:rsidR="00AE490A" w:rsidRDefault="00011176">
          <w:pPr>
            <w:pStyle w:val="TDC3"/>
            <w:rPr>
              <w:rFonts w:asciiTheme="minorHAnsi" w:eastAsiaTheme="minorEastAsia" w:hAnsiTheme="minorHAnsi" w:cstheme="minorBidi"/>
              <w:noProof/>
              <w:szCs w:val="22"/>
              <w:lang w:eastAsia="es-MX"/>
            </w:rPr>
          </w:pPr>
          <w:hyperlink w:anchor="_Toc198747261" w:history="1">
            <w:r w:rsidR="00AE490A" w:rsidRPr="00FB20D9">
              <w:rPr>
                <w:rStyle w:val="Hipervnculo"/>
                <w:noProof/>
              </w:rPr>
              <w:t>b) Legitimidad de la parte recurrente</w:t>
            </w:r>
            <w:r w:rsidR="00AE490A">
              <w:rPr>
                <w:noProof/>
                <w:webHidden/>
              </w:rPr>
              <w:tab/>
            </w:r>
            <w:r w:rsidR="00AE490A">
              <w:rPr>
                <w:noProof/>
                <w:webHidden/>
              </w:rPr>
              <w:fldChar w:fldCharType="begin"/>
            </w:r>
            <w:r w:rsidR="00AE490A">
              <w:rPr>
                <w:noProof/>
                <w:webHidden/>
              </w:rPr>
              <w:instrText xml:space="preserve"> PAGEREF _Toc198747261 \h </w:instrText>
            </w:r>
            <w:r w:rsidR="00AE490A">
              <w:rPr>
                <w:noProof/>
                <w:webHidden/>
              </w:rPr>
            </w:r>
            <w:r w:rsidR="00AE490A">
              <w:rPr>
                <w:noProof/>
                <w:webHidden/>
              </w:rPr>
              <w:fldChar w:fldCharType="separate"/>
            </w:r>
            <w:r>
              <w:rPr>
                <w:noProof/>
                <w:webHidden/>
              </w:rPr>
              <w:t>7</w:t>
            </w:r>
            <w:r w:rsidR="00AE490A">
              <w:rPr>
                <w:noProof/>
                <w:webHidden/>
              </w:rPr>
              <w:fldChar w:fldCharType="end"/>
            </w:r>
          </w:hyperlink>
        </w:p>
        <w:p w14:paraId="560C54BA" w14:textId="77777777" w:rsidR="00AE490A" w:rsidRDefault="00011176">
          <w:pPr>
            <w:pStyle w:val="TDC3"/>
            <w:rPr>
              <w:rFonts w:asciiTheme="minorHAnsi" w:eastAsiaTheme="minorEastAsia" w:hAnsiTheme="minorHAnsi" w:cstheme="minorBidi"/>
              <w:noProof/>
              <w:szCs w:val="22"/>
              <w:lang w:eastAsia="es-MX"/>
            </w:rPr>
          </w:pPr>
          <w:hyperlink w:anchor="_Toc198747262" w:history="1">
            <w:r w:rsidR="00AE490A" w:rsidRPr="00FB20D9">
              <w:rPr>
                <w:rStyle w:val="Hipervnculo"/>
                <w:rFonts w:eastAsia="Calibri"/>
                <w:noProof/>
                <w:lang w:eastAsia="es-ES_tradnl"/>
              </w:rPr>
              <w:t>c) Plazo para interponer el recurso</w:t>
            </w:r>
            <w:r w:rsidR="00AE490A">
              <w:rPr>
                <w:noProof/>
                <w:webHidden/>
              </w:rPr>
              <w:tab/>
            </w:r>
            <w:r w:rsidR="00AE490A">
              <w:rPr>
                <w:noProof/>
                <w:webHidden/>
              </w:rPr>
              <w:fldChar w:fldCharType="begin"/>
            </w:r>
            <w:r w:rsidR="00AE490A">
              <w:rPr>
                <w:noProof/>
                <w:webHidden/>
              </w:rPr>
              <w:instrText xml:space="preserve"> PAGEREF _Toc198747262 \h </w:instrText>
            </w:r>
            <w:r w:rsidR="00AE490A">
              <w:rPr>
                <w:noProof/>
                <w:webHidden/>
              </w:rPr>
            </w:r>
            <w:r w:rsidR="00AE490A">
              <w:rPr>
                <w:noProof/>
                <w:webHidden/>
              </w:rPr>
              <w:fldChar w:fldCharType="separate"/>
            </w:r>
            <w:r>
              <w:rPr>
                <w:noProof/>
                <w:webHidden/>
              </w:rPr>
              <w:t>7</w:t>
            </w:r>
            <w:r w:rsidR="00AE490A">
              <w:rPr>
                <w:noProof/>
                <w:webHidden/>
              </w:rPr>
              <w:fldChar w:fldCharType="end"/>
            </w:r>
          </w:hyperlink>
        </w:p>
        <w:p w14:paraId="321B3A6A" w14:textId="77777777" w:rsidR="00AE490A" w:rsidRDefault="00011176">
          <w:pPr>
            <w:pStyle w:val="TDC3"/>
            <w:rPr>
              <w:rFonts w:asciiTheme="minorHAnsi" w:eastAsiaTheme="minorEastAsia" w:hAnsiTheme="minorHAnsi" w:cstheme="minorBidi"/>
              <w:noProof/>
              <w:szCs w:val="22"/>
              <w:lang w:eastAsia="es-MX"/>
            </w:rPr>
          </w:pPr>
          <w:hyperlink w:anchor="_Toc198747263" w:history="1">
            <w:r w:rsidR="00AE490A" w:rsidRPr="00FB20D9">
              <w:rPr>
                <w:rStyle w:val="Hipervnculo"/>
                <w:rFonts w:eastAsia="Calibri"/>
                <w:noProof/>
                <w:lang w:eastAsia="es-ES_tradnl"/>
              </w:rPr>
              <w:t>d) Causal de procedencia</w:t>
            </w:r>
            <w:r w:rsidR="00AE490A">
              <w:rPr>
                <w:noProof/>
                <w:webHidden/>
              </w:rPr>
              <w:tab/>
            </w:r>
            <w:r w:rsidR="00AE490A">
              <w:rPr>
                <w:noProof/>
                <w:webHidden/>
              </w:rPr>
              <w:fldChar w:fldCharType="begin"/>
            </w:r>
            <w:r w:rsidR="00AE490A">
              <w:rPr>
                <w:noProof/>
                <w:webHidden/>
              </w:rPr>
              <w:instrText xml:space="preserve"> PAGEREF _Toc198747263 \h </w:instrText>
            </w:r>
            <w:r w:rsidR="00AE490A">
              <w:rPr>
                <w:noProof/>
                <w:webHidden/>
              </w:rPr>
            </w:r>
            <w:r w:rsidR="00AE490A">
              <w:rPr>
                <w:noProof/>
                <w:webHidden/>
              </w:rPr>
              <w:fldChar w:fldCharType="separate"/>
            </w:r>
            <w:r>
              <w:rPr>
                <w:noProof/>
                <w:webHidden/>
              </w:rPr>
              <w:t>7</w:t>
            </w:r>
            <w:r w:rsidR="00AE490A">
              <w:rPr>
                <w:noProof/>
                <w:webHidden/>
              </w:rPr>
              <w:fldChar w:fldCharType="end"/>
            </w:r>
          </w:hyperlink>
        </w:p>
        <w:p w14:paraId="599CBBFD" w14:textId="77777777" w:rsidR="00AE490A" w:rsidRDefault="00011176">
          <w:pPr>
            <w:pStyle w:val="TDC3"/>
            <w:rPr>
              <w:rFonts w:asciiTheme="minorHAnsi" w:eastAsiaTheme="minorEastAsia" w:hAnsiTheme="minorHAnsi" w:cstheme="minorBidi"/>
              <w:noProof/>
              <w:szCs w:val="22"/>
              <w:lang w:eastAsia="es-MX"/>
            </w:rPr>
          </w:pPr>
          <w:hyperlink w:anchor="_Toc198747264" w:history="1">
            <w:r w:rsidR="00AE490A" w:rsidRPr="00FB20D9">
              <w:rPr>
                <w:rStyle w:val="Hipervnculo"/>
                <w:noProof/>
              </w:rPr>
              <w:t>e) Requisitos formales para la interposición del recurso</w:t>
            </w:r>
            <w:r w:rsidR="00AE490A">
              <w:rPr>
                <w:noProof/>
                <w:webHidden/>
              </w:rPr>
              <w:tab/>
            </w:r>
            <w:r w:rsidR="00AE490A">
              <w:rPr>
                <w:noProof/>
                <w:webHidden/>
              </w:rPr>
              <w:fldChar w:fldCharType="begin"/>
            </w:r>
            <w:r w:rsidR="00AE490A">
              <w:rPr>
                <w:noProof/>
                <w:webHidden/>
              </w:rPr>
              <w:instrText xml:space="preserve"> PAGEREF _Toc198747264 \h </w:instrText>
            </w:r>
            <w:r w:rsidR="00AE490A">
              <w:rPr>
                <w:noProof/>
                <w:webHidden/>
              </w:rPr>
            </w:r>
            <w:r w:rsidR="00AE490A">
              <w:rPr>
                <w:noProof/>
                <w:webHidden/>
              </w:rPr>
              <w:fldChar w:fldCharType="separate"/>
            </w:r>
            <w:r>
              <w:rPr>
                <w:noProof/>
                <w:webHidden/>
              </w:rPr>
              <w:t>7</w:t>
            </w:r>
            <w:r w:rsidR="00AE490A">
              <w:rPr>
                <w:noProof/>
                <w:webHidden/>
              </w:rPr>
              <w:fldChar w:fldCharType="end"/>
            </w:r>
          </w:hyperlink>
        </w:p>
        <w:p w14:paraId="6CE4BDB0" w14:textId="77777777" w:rsidR="00AE490A" w:rsidRDefault="00011176">
          <w:pPr>
            <w:pStyle w:val="TDC3"/>
            <w:rPr>
              <w:rFonts w:asciiTheme="minorHAnsi" w:eastAsiaTheme="minorEastAsia" w:hAnsiTheme="minorHAnsi" w:cstheme="minorBidi"/>
              <w:noProof/>
              <w:szCs w:val="22"/>
              <w:lang w:eastAsia="es-MX"/>
            </w:rPr>
          </w:pPr>
          <w:hyperlink w:anchor="_Toc198747265" w:history="1">
            <w:r w:rsidR="00AE490A" w:rsidRPr="00FB20D9">
              <w:rPr>
                <w:rStyle w:val="Hipervnculo"/>
                <w:noProof/>
              </w:rPr>
              <w:t>f) Acumulación de los Recursos de Revisión</w:t>
            </w:r>
            <w:r w:rsidR="00AE490A">
              <w:rPr>
                <w:noProof/>
                <w:webHidden/>
              </w:rPr>
              <w:tab/>
            </w:r>
            <w:r w:rsidR="00AE490A">
              <w:rPr>
                <w:noProof/>
                <w:webHidden/>
              </w:rPr>
              <w:fldChar w:fldCharType="begin"/>
            </w:r>
            <w:r w:rsidR="00AE490A">
              <w:rPr>
                <w:noProof/>
                <w:webHidden/>
              </w:rPr>
              <w:instrText xml:space="preserve"> PAGEREF _Toc198747265 \h </w:instrText>
            </w:r>
            <w:r w:rsidR="00AE490A">
              <w:rPr>
                <w:noProof/>
                <w:webHidden/>
              </w:rPr>
            </w:r>
            <w:r w:rsidR="00AE490A">
              <w:rPr>
                <w:noProof/>
                <w:webHidden/>
              </w:rPr>
              <w:fldChar w:fldCharType="separate"/>
            </w:r>
            <w:r>
              <w:rPr>
                <w:noProof/>
                <w:webHidden/>
              </w:rPr>
              <w:t>8</w:t>
            </w:r>
            <w:r w:rsidR="00AE490A">
              <w:rPr>
                <w:noProof/>
                <w:webHidden/>
              </w:rPr>
              <w:fldChar w:fldCharType="end"/>
            </w:r>
          </w:hyperlink>
        </w:p>
        <w:p w14:paraId="1E4DEE8B" w14:textId="77777777" w:rsidR="00AE490A" w:rsidRDefault="00011176">
          <w:pPr>
            <w:pStyle w:val="TDC2"/>
            <w:rPr>
              <w:rFonts w:asciiTheme="minorHAnsi" w:eastAsiaTheme="minorEastAsia" w:hAnsiTheme="minorHAnsi" w:cstheme="minorBidi"/>
              <w:noProof/>
              <w:szCs w:val="22"/>
              <w:lang w:eastAsia="es-MX"/>
            </w:rPr>
          </w:pPr>
          <w:hyperlink w:anchor="_Toc198747266" w:history="1">
            <w:r w:rsidR="00AE490A" w:rsidRPr="00FB20D9">
              <w:rPr>
                <w:rStyle w:val="Hipervnculo"/>
                <w:noProof/>
              </w:rPr>
              <w:t>SEGUNDO. Estudio de Fondo</w:t>
            </w:r>
            <w:r w:rsidR="00AE490A">
              <w:rPr>
                <w:noProof/>
                <w:webHidden/>
              </w:rPr>
              <w:tab/>
            </w:r>
            <w:r w:rsidR="00AE490A">
              <w:rPr>
                <w:noProof/>
                <w:webHidden/>
              </w:rPr>
              <w:fldChar w:fldCharType="begin"/>
            </w:r>
            <w:r w:rsidR="00AE490A">
              <w:rPr>
                <w:noProof/>
                <w:webHidden/>
              </w:rPr>
              <w:instrText xml:space="preserve"> PAGEREF _Toc198747266 \h </w:instrText>
            </w:r>
            <w:r w:rsidR="00AE490A">
              <w:rPr>
                <w:noProof/>
                <w:webHidden/>
              </w:rPr>
            </w:r>
            <w:r w:rsidR="00AE490A">
              <w:rPr>
                <w:noProof/>
                <w:webHidden/>
              </w:rPr>
              <w:fldChar w:fldCharType="separate"/>
            </w:r>
            <w:r>
              <w:rPr>
                <w:noProof/>
                <w:webHidden/>
              </w:rPr>
              <w:t>9</w:t>
            </w:r>
            <w:r w:rsidR="00AE490A">
              <w:rPr>
                <w:noProof/>
                <w:webHidden/>
              </w:rPr>
              <w:fldChar w:fldCharType="end"/>
            </w:r>
          </w:hyperlink>
        </w:p>
        <w:p w14:paraId="2EC509A9" w14:textId="77777777" w:rsidR="00AE490A" w:rsidRDefault="00011176">
          <w:pPr>
            <w:pStyle w:val="TDC3"/>
            <w:rPr>
              <w:rFonts w:asciiTheme="minorHAnsi" w:eastAsiaTheme="minorEastAsia" w:hAnsiTheme="minorHAnsi" w:cstheme="minorBidi"/>
              <w:noProof/>
              <w:szCs w:val="22"/>
              <w:lang w:eastAsia="es-MX"/>
            </w:rPr>
          </w:pPr>
          <w:hyperlink w:anchor="_Toc198747267" w:history="1">
            <w:r w:rsidR="00AE490A" w:rsidRPr="00FB20D9">
              <w:rPr>
                <w:rStyle w:val="Hipervnculo"/>
                <w:noProof/>
              </w:rPr>
              <w:t>a) Mandato de transparencia y responsabilidad del Sujeto Obligado</w:t>
            </w:r>
            <w:r w:rsidR="00AE490A">
              <w:rPr>
                <w:noProof/>
                <w:webHidden/>
              </w:rPr>
              <w:tab/>
            </w:r>
            <w:r w:rsidR="00AE490A">
              <w:rPr>
                <w:noProof/>
                <w:webHidden/>
              </w:rPr>
              <w:fldChar w:fldCharType="begin"/>
            </w:r>
            <w:r w:rsidR="00AE490A">
              <w:rPr>
                <w:noProof/>
                <w:webHidden/>
              </w:rPr>
              <w:instrText xml:space="preserve"> PAGEREF _Toc198747267 \h </w:instrText>
            </w:r>
            <w:r w:rsidR="00AE490A">
              <w:rPr>
                <w:noProof/>
                <w:webHidden/>
              </w:rPr>
            </w:r>
            <w:r w:rsidR="00AE490A">
              <w:rPr>
                <w:noProof/>
                <w:webHidden/>
              </w:rPr>
              <w:fldChar w:fldCharType="separate"/>
            </w:r>
            <w:r>
              <w:rPr>
                <w:noProof/>
                <w:webHidden/>
              </w:rPr>
              <w:t>9</w:t>
            </w:r>
            <w:r w:rsidR="00AE490A">
              <w:rPr>
                <w:noProof/>
                <w:webHidden/>
              </w:rPr>
              <w:fldChar w:fldCharType="end"/>
            </w:r>
          </w:hyperlink>
        </w:p>
        <w:p w14:paraId="581076F4" w14:textId="77777777" w:rsidR="00AE490A" w:rsidRDefault="00011176">
          <w:pPr>
            <w:pStyle w:val="TDC3"/>
            <w:rPr>
              <w:rFonts w:asciiTheme="minorHAnsi" w:eastAsiaTheme="minorEastAsia" w:hAnsiTheme="minorHAnsi" w:cstheme="minorBidi"/>
              <w:noProof/>
              <w:szCs w:val="22"/>
              <w:lang w:eastAsia="es-MX"/>
            </w:rPr>
          </w:pPr>
          <w:hyperlink w:anchor="_Toc198747268" w:history="1">
            <w:r w:rsidR="00AE490A" w:rsidRPr="00FB20D9">
              <w:rPr>
                <w:rStyle w:val="Hipervnculo"/>
                <w:rFonts w:eastAsia="Calibri"/>
                <w:noProof/>
                <w:lang w:eastAsia="es-ES_tradnl"/>
              </w:rPr>
              <w:t>b) Controversia a resolver</w:t>
            </w:r>
            <w:r w:rsidR="00AE490A">
              <w:rPr>
                <w:noProof/>
                <w:webHidden/>
              </w:rPr>
              <w:tab/>
            </w:r>
            <w:r w:rsidR="00AE490A">
              <w:rPr>
                <w:noProof/>
                <w:webHidden/>
              </w:rPr>
              <w:fldChar w:fldCharType="begin"/>
            </w:r>
            <w:r w:rsidR="00AE490A">
              <w:rPr>
                <w:noProof/>
                <w:webHidden/>
              </w:rPr>
              <w:instrText xml:space="preserve"> PAGEREF _Toc198747268 \h </w:instrText>
            </w:r>
            <w:r w:rsidR="00AE490A">
              <w:rPr>
                <w:noProof/>
                <w:webHidden/>
              </w:rPr>
            </w:r>
            <w:r w:rsidR="00AE490A">
              <w:rPr>
                <w:noProof/>
                <w:webHidden/>
              </w:rPr>
              <w:fldChar w:fldCharType="separate"/>
            </w:r>
            <w:r>
              <w:rPr>
                <w:noProof/>
                <w:webHidden/>
              </w:rPr>
              <w:t>11</w:t>
            </w:r>
            <w:r w:rsidR="00AE490A">
              <w:rPr>
                <w:noProof/>
                <w:webHidden/>
              </w:rPr>
              <w:fldChar w:fldCharType="end"/>
            </w:r>
          </w:hyperlink>
        </w:p>
        <w:p w14:paraId="0AB05153" w14:textId="77777777" w:rsidR="00AE490A" w:rsidRDefault="00011176">
          <w:pPr>
            <w:pStyle w:val="TDC3"/>
            <w:rPr>
              <w:rFonts w:asciiTheme="minorHAnsi" w:eastAsiaTheme="minorEastAsia" w:hAnsiTheme="minorHAnsi" w:cstheme="minorBidi"/>
              <w:noProof/>
              <w:szCs w:val="22"/>
              <w:lang w:eastAsia="es-MX"/>
            </w:rPr>
          </w:pPr>
          <w:hyperlink w:anchor="_Toc198747269" w:history="1">
            <w:r w:rsidR="00AE490A" w:rsidRPr="00FB20D9">
              <w:rPr>
                <w:rStyle w:val="Hipervnculo"/>
                <w:noProof/>
              </w:rPr>
              <w:t>c) Estudio de la controversia</w:t>
            </w:r>
            <w:r w:rsidR="00AE490A">
              <w:rPr>
                <w:noProof/>
                <w:webHidden/>
              </w:rPr>
              <w:tab/>
            </w:r>
            <w:r w:rsidR="00AE490A">
              <w:rPr>
                <w:noProof/>
                <w:webHidden/>
              </w:rPr>
              <w:fldChar w:fldCharType="begin"/>
            </w:r>
            <w:r w:rsidR="00AE490A">
              <w:rPr>
                <w:noProof/>
                <w:webHidden/>
              </w:rPr>
              <w:instrText xml:space="preserve"> PAGEREF _Toc198747269 \h </w:instrText>
            </w:r>
            <w:r w:rsidR="00AE490A">
              <w:rPr>
                <w:noProof/>
                <w:webHidden/>
              </w:rPr>
            </w:r>
            <w:r w:rsidR="00AE490A">
              <w:rPr>
                <w:noProof/>
                <w:webHidden/>
              </w:rPr>
              <w:fldChar w:fldCharType="separate"/>
            </w:r>
            <w:r>
              <w:rPr>
                <w:noProof/>
                <w:webHidden/>
              </w:rPr>
              <w:t>12</w:t>
            </w:r>
            <w:r w:rsidR="00AE490A">
              <w:rPr>
                <w:noProof/>
                <w:webHidden/>
              </w:rPr>
              <w:fldChar w:fldCharType="end"/>
            </w:r>
          </w:hyperlink>
        </w:p>
        <w:p w14:paraId="292C9919" w14:textId="77777777" w:rsidR="00AE490A" w:rsidRDefault="00011176">
          <w:pPr>
            <w:pStyle w:val="TDC3"/>
            <w:rPr>
              <w:rFonts w:asciiTheme="minorHAnsi" w:eastAsiaTheme="minorEastAsia" w:hAnsiTheme="minorHAnsi" w:cstheme="minorBidi"/>
              <w:noProof/>
              <w:szCs w:val="22"/>
              <w:lang w:eastAsia="es-MX"/>
            </w:rPr>
          </w:pPr>
          <w:hyperlink w:anchor="_Toc198747270" w:history="1">
            <w:r w:rsidR="00AE490A" w:rsidRPr="00FB20D9">
              <w:rPr>
                <w:rStyle w:val="Hipervnculo"/>
                <w:noProof/>
              </w:rPr>
              <w:t>d) Versión pública</w:t>
            </w:r>
            <w:r w:rsidR="00AE490A">
              <w:rPr>
                <w:noProof/>
                <w:webHidden/>
              </w:rPr>
              <w:tab/>
            </w:r>
            <w:r w:rsidR="00AE490A">
              <w:rPr>
                <w:noProof/>
                <w:webHidden/>
              </w:rPr>
              <w:fldChar w:fldCharType="begin"/>
            </w:r>
            <w:r w:rsidR="00AE490A">
              <w:rPr>
                <w:noProof/>
                <w:webHidden/>
              </w:rPr>
              <w:instrText xml:space="preserve"> PAGEREF _Toc198747270 \h </w:instrText>
            </w:r>
            <w:r w:rsidR="00AE490A">
              <w:rPr>
                <w:noProof/>
                <w:webHidden/>
              </w:rPr>
            </w:r>
            <w:r w:rsidR="00AE490A">
              <w:rPr>
                <w:noProof/>
                <w:webHidden/>
              </w:rPr>
              <w:fldChar w:fldCharType="separate"/>
            </w:r>
            <w:r>
              <w:rPr>
                <w:noProof/>
                <w:webHidden/>
              </w:rPr>
              <w:t>18</w:t>
            </w:r>
            <w:r w:rsidR="00AE490A">
              <w:rPr>
                <w:noProof/>
                <w:webHidden/>
              </w:rPr>
              <w:fldChar w:fldCharType="end"/>
            </w:r>
          </w:hyperlink>
        </w:p>
        <w:p w14:paraId="2EFA138C" w14:textId="77777777" w:rsidR="00AE490A" w:rsidRDefault="00011176">
          <w:pPr>
            <w:pStyle w:val="TDC3"/>
            <w:rPr>
              <w:rFonts w:asciiTheme="minorHAnsi" w:eastAsiaTheme="minorEastAsia" w:hAnsiTheme="minorHAnsi" w:cstheme="minorBidi"/>
              <w:noProof/>
              <w:szCs w:val="22"/>
              <w:lang w:eastAsia="es-MX"/>
            </w:rPr>
          </w:pPr>
          <w:hyperlink w:anchor="_Toc198747271" w:history="1">
            <w:r w:rsidR="00AE490A" w:rsidRPr="00FB20D9">
              <w:rPr>
                <w:rStyle w:val="Hipervnculo"/>
                <w:noProof/>
              </w:rPr>
              <w:t>e) Conclusión</w:t>
            </w:r>
            <w:r w:rsidR="00AE490A">
              <w:rPr>
                <w:noProof/>
                <w:webHidden/>
              </w:rPr>
              <w:tab/>
            </w:r>
            <w:r w:rsidR="00AE490A">
              <w:rPr>
                <w:noProof/>
                <w:webHidden/>
              </w:rPr>
              <w:fldChar w:fldCharType="begin"/>
            </w:r>
            <w:r w:rsidR="00AE490A">
              <w:rPr>
                <w:noProof/>
                <w:webHidden/>
              </w:rPr>
              <w:instrText xml:space="preserve"> PAGEREF _Toc198747271 \h </w:instrText>
            </w:r>
            <w:r w:rsidR="00AE490A">
              <w:rPr>
                <w:noProof/>
                <w:webHidden/>
              </w:rPr>
            </w:r>
            <w:r w:rsidR="00AE490A">
              <w:rPr>
                <w:noProof/>
                <w:webHidden/>
              </w:rPr>
              <w:fldChar w:fldCharType="separate"/>
            </w:r>
            <w:r>
              <w:rPr>
                <w:noProof/>
                <w:webHidden/>
              </w:rPr>
              <w:t>33</w:t>
            </w:r>
            <w:r w:rsidR="00AE490A">
              <w:rPr>
                <w:noProof/>
                <w:webHidden/>
              </w:rPr>
              <w:fldChar w:fldCharType="end"/>
            </w:r>
          </w:hyperlink>
        </w:p>
        <w:p w14:paraId="4ACCB5EE" w14:textId="77777777" w:rsidR="00AE490A" w:rsidRDefault="00011176">
          <w:pPr>
            <w:pStyle w:val="TDC1"/>
            <w:tabs>
              <w:tab w:val="right" w:leader="dot" w:pos="9034"/>
            </w:tabs>
            <w:rPr>
              <w:rFonts w:asciiTheme="minorHAnsi" w:eastAsiaTheme="minorEastAsia" w:hAnsiTheme="minorHAnsi" w:cstheme="minorBidi"/>
              <w:noProof/>
              <w:szCs w:val="22"/>
              <w:lang w:eastAsia="es-MX"/>
            </w:rPr>
          </w:pPr>
          <w:hyperlink w:anchor="_Toc198747272" w:history="1">
            <w:r w:rsidR="00AE490A" w:rsidRPr="00FB20D9">
              <w:rPr>
                <w:rStyle w:val="Hipervnculo"/>
                <w:noProof/>
              </w:rPr>
              <w:t>RESUELVE</w:t>
            </w:r>
            <w:r w:rsidR="00AE490A">
              <w:rPr>
                <w:noProof/>
                <w:webHidden/>
              </w:rPr>
              <w:tab/>
            </w:r>
            <w:r w:rsidR="00AE490A">
              <w:rPr>
                <w:noProof/>
                <w:webHidden/>
              </w:rPr>
              <w:fldChar w:fldCharType="begin"/>
            </w:r>
            <w:r w:rsidR="00AE490A">
              <w:rPr>
                <w:noProof/>
                <w:webHidden/>
              </w:rPr>
              <w:instrText xml:space="preserve"> PAGEREF _Toc198747272 \h </w:instrText>
            </w:r>
            <w:r w:rsidR="00AE490A">
              <w:rPr>
                <w:noProof/>
                <w:webHidden/>
              </w:rPr>
            </w:r>
            <w:r w:rsidR="00AE490A">
              <w:rPr>
                <w:noProof/>
                <w:webHidden/>
              </w:rPr>
              <w:fldChar w:fldCharType="separate"/>
            </w:r>
            <w:r>
              <w:rPr>
                <w:noProof/>
                <w:webHidden/>
              </w:rPr>
              <w:t>34</w:t>
            </w:r>
            <w:r w:rsidR="00AE490A">
              <w:rPr>
                <w:noProof/>
                <w:webHidden/>
              </w:rPr>
              <w:fldChar w:fldCharType="end"/>
            </w:r>
          </w:hyperlink>
        </w:p>
        <w:p w14:paraId="0C82FD7A" w14:textId="0DF96E84" w:rsidR="009B2945" w:rsidRPr="00AE490A" w:rsidRDefault="00AE3DA7" w:rsidP="00AE490A">
          <w:pPr>
            <w:spacing w:line="240" w:lineRule="auto"/>
            <w:rPr>
              <w:b/>
              <w:bCs/>
              <w:lang w:val="es-ES"/>
            </w:rPr>
          </w:pPr>
          <w:r w:rsidRPr="00AE490A">
            <w:rPr>
              <w:b/>
              <w:bCs/>
              <w:sz w:val="16"/>
              <w:szCs w:val="16"/>
              <w:lang w:val="es-ES"/>
            </w:rPr>
            <w:fldChar w:fldCharType="end"/>
          </w:r>
        </w:p>
      </w:sdtContent>
    </w:sdt>
    <w:p w14:paraId="603A07E2" w14:textId="77777777" w:rsidR="00646436" w:rsidRPr="00AE490A" w:rsidRDefault="00646436" w:rsidP="00AE490A">
      <w:pPr>
        <w:rPr>
          <w:rFonts w:cs="Tahoma"/>
          <w:szCs w:val="22"/>
        </w:rPr>
        <w:sectPr w:rsidR="00646436" w:rsidRPr="00AE490A"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A6C3DA9" w:rsidR="00775BFC" w:rsidRPr="00AE490A" w:rsidRDefault="00775BFC" w:rsidP="00AE490A">
      <w:r w:rsidRPr="00AE490A">
        <w:lastRenderedPageBreak/>
        <w:t>Resolución del Pleno del Instituto de Transparencia, Acceso a la Información Pública y Protección de Datos Personales del Estado de México y Municipios, con domicilio e</w:t>
      </w:r>
      <w:r w:rsidR="004D0573" w:rsidRPr="00AE490A">
        <w:t>n Metepec, Estado de México, de</w:t>
      </w:r>
      <w:r w:rsidR="00AE490A">
        <w:t>l</w:t>
      </w:r>
      <w:r w:rsidR="004D0573" w:rsidRPr="00AE490A">
        <w:t xml:space="preserve"> </w:t>
      </w:r>
      <w:r w:rsidR="00A203AB" w:rsidRPr="00AE490A">
        <w:rPr>
          <w:b/>
        </w:rPr>
        <w:t xml:space="preserve">veintiuno </w:t>
      </w:r>
      <w:r w:rsidR="00FF072C" w:rsidRPr="00AE490A">
        <w:rPr>
          <w:b/>
        </w:rPr>
        <w:t xml:space="preserve">de </w:t>
      </w:r>
      <w:r w:rsidR="00A203AB" w:rsidRPr="00AE490A">
        <w:rPr>
          <w:b/>
        </w:rPr>
        <w:t xml:space="preserve">mayo </w:t>
      </w:r>
      <w:r w:rsidR="00DE63D9" w:rsidRPr="00AE490A">
        <w:rPr>
          <w:b/>
        </w:rPr>
        <w:t>de dos mil veinticinco</w:t>
      </w:r>
      <w:r w:rsidRPr="00AE490A">
        <w:t>.</w:t>
      </w:r>
    </w:p>
    <w:p w14:paraId="0AF3AAC4" w14:textId="77777777" w:rsidR="00775BFC" w:rsidRPr="00AE490A" w:rsidRDefault="00775BFC" w:rsidP="00AE490A"/>
    <w:p w14:paraId="40EAE038" w14:textId="7A2F13E1" w:rsidR="00775BFC" w:rsidRPr="00AE490A" w:rsidRDefault="00775BFC" w:rsidP="00AE490A">
      <w:r w:rsidRPr="00AE490A">
        <w:rPr>
          <w:b/>
        </w:rPr>
        <w:t xml:space="preserve">VISTO </w:t>
      </w:r>
      <w:r w:rsidR="008F2666" w:rsidRPr="00AE490A">
        <w:t>los</w:t>
      </w:r>
      <w:r w:rsidRPr="00AE490A">
        <w:t xml:space="preserve"> expediente</w:t>
      </w:r>
      <w:r w:rsidR="008F2666" w:rsidRPr="00AE490A">
        <w:t>s</w:t>
      </w:r>
      <w:r w:rsidRPr="00AE490A">
        <w:t xml:space="preserve"> formado</w:t>
      </w:r>
      <w:r w:rsidR="008F2666" w:rsidRPr="00AE490A">
        <w:t>s</w:t>
      </w:r>
      <w:r w:rsidRPr="00AE490A">
        <w:t xml:space="preserve"> con motivo de</w:t>
      </w:r>
      <w:r w:rsidR="008F2666" w:rsidRPr="00AE490A">
        <w:t xml:space="preserve"> los</w:t>
      </w:r>
      <w:r w:rsidRPr="00AE490A">
        <w:t xml:space="preserve"> Recurso</w:t>
      </w:r>
      <w:r w:rsidR="008F2666" w:rsidRPr="00AE490A">
        <w:t>s</w:t>
      </w:r>
      <w:r w:rsidRPr="00AE490A">
        <w:t xml:space="preserve"> de Revisión </w:t>
      </w:r>
      <w:r w:rsidR="00DE63D9" w:rsidRPr="00AE490A">
        <w:rPr>
          <w:rFonts w:eastAsia="Calibri"/>
          <w:b/>
          <w:lang w:eastAsia="en-US"/>
        </w:rPr>
        <w:t>0</w:t>
      </w:r>
      <w:r w:rsidR="00FF072C" w:rsidRPr="00AE490A">
        <w:rPr>
          <w:rFonts w:eastAsia="Calibri"/>
          <w:b/>
          <w:lang w:eastAsia="en-US"/>
        </w:rPr>
        <w:t>28</w:t>
      </w:r>
      <w:r w:rsidR="00A203AB" w:rsidRPr="00AE490A">
        <w:rPr>
          <w:rFonts w:eastAsia="Calibri"/>
          <w:b/>
          <w:lang w:eastAsia="en-US"/>
        </w:rPr>
        <w:t>6</w:t>
      </w:r>
      <w:r w:rsidR="00FF072C" w:rsidRPr="00AE490A">
        <w:rPr>
          <w:rFonts w:eastAsia="Calibri"/>
          <w:b/>
          <w:lang w:eastAsia="en-US"/>
        </w:rPr>
        <w:t>7</w:t>
      </w:r>
      <w:r w:rsidR="00DE63D9" w:rsidRPr="00AE490A">
        <w:rPr>
          <w:rFonts w:eastAsia="Calibri"/>
          <w:b/>
          <w:lang w:eastAsia="en-US"/>
        </w:rPr>
        <w:t>/INFOEM/IP/RR/2025</w:t>
      </w:r>
      <w:r w:rsidR="00272BC7" w:rsidRPr="00AE490A">
        <w:rPr>
          <w:rFonts w:eastAsia="Calibri"/>
          <w:b/>
          <w:lang w:eastAsia="en-US"/>
        </w:rPr>
        <w:t xml:space="preserve"> </w:t>
      </w:r>
      <w:r w:rsidR="008F2666" w:rsidRPr="00AE490A">
        <w:rPr>
          <w:rFonts w:eastAsia="Calibri"/>
          <w:lang w:eastAsia="en-US"/>
        </w:rPr>
        <w:t>y</w:t>
      </w:r>
      <w:r w:rsidR="008F2666" w:rsidRPr="00AE490A">
        <w:rPr>
          <w:rFonts w:eastAsia="Calibri"/>
          <w:b/>
          <w:lang w:eastAsia="en-US"/>
        </w:rPr>
        <w:t xml:space="preserve"> </w:t>
      </w:r>
      <w:r w:rsidR="00DE63D9" w:rsidRPr="00AE490A">
        <w:rPr>
          <w:rFonts w:eastAsia="Calibri"/>
          <w:b/>
          <w:lang w:eastAsia="en-US"/>
        </w:rPr>
        <w:t>0</w:t>
      </w:r>
      <w:r w:rsidR="00A203AB" w:rsidRPr="00AE490A">
        <w:rPr>
          <w:rFonts w:eastAsia="Calibri"/>
          <w:b/>
          <w:lang w:eastAsia="en-US"/>
        </w:rPr>
        <w:t>3114</w:t>
      </w:r>
      <w:r w:rsidR="00DE63D9" w:rsidRPr="00AE490A">
        <w:rPr>
          <w:rFonts w:eastAsia="Calibri"/>
          <w:b/>
          <w:lang w:eastAsia="en-US"/>
        </w:rPr>
        <w:t>/INFOEM/IP/RR/2025</w:t>
      </w:r>
      <w:r w:rsidR="00DE63D9" w:rsidRPr="00AE490A">
        <w:rPr>
          <w:rFonts w:eastAsia="Calibri"/>
          <w:lang w:eastAsia="en-US"/>
        </w:rPr>
        <w:t xml:space="preserve">, </w:t>
      </w:r>
      <w:r w:rsidRPr="00AE490A">
        <w:t>interpuesto</w:t>
      </w:r>
      <w:r w:rsidR="008F2666" w:rsidRPr="00AE490A">
        <w:t>s</w:t>
      </w:r>
      <w:r w:rsidRPr="00AE490A">
        <w:t xml:space="preserve"> por </w:t>
      </w:r>
      <w:r w:rsidR="00A203AB" w:rsidRPr="00AE490A">
        <w:rPr>
          <w:b/>
        </w:rPr>
        <w:t>una persona de manera anónima</w:t>
      </w:r>
      <w:r w:rsidR="008F2666" w:rsidRPr="00AE490A">
        <w:rPr>
          <w:rFonts w:eastAsia="Palatino Linotype" w:cs="Palatino Linotype"/>
        </w:rPr>
        <w:t>,</w:t>
      </w:r>
      <w:r w:rsidRPr="00AE490A">
        <w:t xml:space="preserve"> a quien en lo subsecuente se le denominará </w:t>
      </w:r>
      <w:r w:rsidRPr="00AE490A">
        <w:rPr>
          <w:b/>
          <w:bCs/>
        </w:rPr>
        <w:t>LA PARTE RECURRENTE</w:t>
      </w:r>
      <w:r w:rsidRPr="00AE490A">
        <w:t>, en contra de la</w:t>
      </w:r>
      <w:r w:rsidR="008F2666" w:rsidRPr="00AE490A">
        <w:t>s</w:t>
      </w:r>
      <w:r w:rsidRPr="00AE490A">
        <w:t xml:space="preserve"> </w:t>
      </w:r>
      <w:r w:rsidR="00773DD6" w:rsidRPr="00AE490A">
        <w:t>respuesta</w:t>
      </w:r>
      <w:r w:rsidR="008F2666" w:rsidRPr="00AE490A">
        <w:t>s</w:t>
      </w:r>
      <w:r w:rsidR="00773DD6" w:rsidRPr="00AE490A">
        <w:t xml:space="preserve"> </w:t>
      </w:r>
      <w:r w:rsidR="00BA1AB6" w:rsidRPr="00AE490A">
        <w:t>de</w:t>
      </w:r>
      <w:r w:rsidR="00773DD6" w:rsidRPr="00AE490A">
        <w:t xml:space="preserve">l </w:t>
      </w:r>
      <w:r w:rsidR="008F2666" w:rsidRPr="00AE490A">
        <w:rPr>
          <w:b/>
          <w:bCs/>
        </w:rPr>
        <w:t xml:space="preserve">Ayuntamiento de </w:t>
      </w:r>
      <w:r w:rsidR="00A203AB" w:rsidRPr="00AE490A">
        <w:rPr>
          <w:b/>
          <w:bCs/>
        </w:rPr>
        <w:t>Cocotitlán</w:t>
      </w:r>
      <w:r w:rsidRPr="00AE490A">
        <w:rPr>
          <w:b/>
          <w:bCs/>
        </w:rPr>
        <w:t>,</w:t>
      </w:r>
      <w:r w:rsidRPr="00AE490A">
        <w:t xml:space="preserve"> en adelante </w:t>
      </w:r>
      <w:r w:rsidRPr="00AE490A">
        <w:rPr>
          <w:b/>
          <w:bCs/>
        </w:rPr>
        <w:t>EL SUJETO OBLIGADO</w:t>
      </w:r>
      <w:r w:rsidRPr="00AE490A">
        <w:rPr>
          <w:rFonts w:eastAsia="Calibri"/>
          <w:lang w:eastAsia="en-US"/>
        </w:rPr>
        <w:t xml:space="preserve">, </w:t>
      </w:r>
      <w:r w:rsidRPr="00AE490A">
        <w:t>se emite la presente Resolución con base en los Antecedentes y Considerandos que se exponen a continuación:</w:t>
      </w:r>
    </w:p>
    <w:p w14:paraId="2116968C" w14:textId="77777777" w:rsidR="00775BFC" w:rsidRPr="00AE490A" w:rsidRDefault="00775BFC" w:rsidP="00AE490A"/>
    <w:p w14:paraId="5A444FB6" w14:textId="639D3567" w:rsidR="00664420" w:rsidRPr="00AE490A" w:rsidRDefault="00664420" w:rsidP="00AE490A">
      <w:pPr>
        <w:pStyle w:val="Ttulo1"/>
      </w:pPr>
      <w:bookmarkStart w:id="3" w:name="_Toc198747244"/>
      <w:r w:rsidRPr="00AE490A">
        <w:t>ANTECEDENTES</w:t>
      </w:r>
      <w:bookmarkEnd w:id="3"/>
    </w:p>
    <w:p w14:paraId="5CB5034E" w14:textId="77777777" w:rsidR="00AC2DB8" w:rsidRPr="00AE490A" w:rsidRDefault="00AC2DB8" w:rsidP="00AE490A"/>
    <w:p w14:paraId="09B2D38F" w14:textId="0EBC2D68" w:rsidR="00664420" w:rsidRPr="00AE490A" w:rsidRDefault="00E37A3F" w:rsidP="00AE490A">
      <w:pPr>
        <w:pStyle w:val="Ttulo2"/>
      </w:pPr>
      <w:bookmarkStart w:id="4" w:name="_Toc198747245"/>
      <w:r w:rsidRPr="00AE490A">
        <w:t>DE LA</w:t>
      </w:r>
      <w:r w:rsidR="008F2666" w:rsidRPr="00AE490A">
        <w:t>S</w:t>
      </w:r>
      <w:r w:rsidRPr="00AE490A">
        <w:t xml:space="preserve"> SOLICITUD</w:t>
      </w:r>
      <w:r w:rsidR="008F2666" w:rsidRPr="00AE490A">
        <w:t>ES</w:t>
      </w:r>
      <w:r w:rsidRPr="00AE490A">
        <w:t xml:space="preserve"> DE INFORMACIÓN</w:t>
      </w:r>
      <w:bookmarkEnd w:id="4"/>
    </w:p>
    <w:p w14:paraId="2C6AD1A5" w14:textId="1C762CA2" w:rsidR="00664420" w:rsidRPr="00AE490A" w:rsidRDefault="00E37A3F" w:rsidP="00AE490A">
      <w:pPr>
        <w:pStyle w:val="Ttulo3"/>
      </w:pPr>
      <w:bookmarkStart w:id="5" w:name="_Toc198747246"/>
      <w:r w:rsidRPr="00AE490A">
        <w:t xml:space="preserve">a) </w:t>
      </w:r>
      <w:r w:rsidR="006B10B0" w:rsidRPr="00AE490A">
        <w:t>S</w:t>
      </w:r>
      <w:r w:rsidR="00664420" w:rsidRPr="00AE490A">
        <w:t>olicitud</w:t>
      </w:r>
      <w:r w:rsidR="008F2666" w:rsidRPr="00AE490A">
        <w:t>es</w:t>
      </w:r>
      <w:r w:rsidR="00664420" w:rsidRPr="00AE490A">
        <w:t xml:space="preserve"> de </w:t>
      </w:r>
      <w:r w:rsidR="006B10B0" w:rsidRPr="00AE490A">
        <w:t>i</w:t>
      </w:r>
      <w:r w:rsidR="00664420" w:rsidRPr="00AE490A">
        <w:t>nformación</w:t>
      </w:r>
      <w:bookmarkEnd w:id="5"/>
    </w:p>
    <w:p w14:paraId="06DCD29D" w14:textId="4E4E2C0D" w:rsidR="009A2D78" w:rsidRPr="00AE490A" w:rsidRDefault="006B10B0" w:rsidP="00AE490A">
      <w:pPr>
        <w:pStyle w:val="Prrafodelista"/>
        <w:tabs>
          <w:tab w:val="left" w:pos="0"/>
        </w:tabs>
        <w:ind w:left="0"/>
        <w:contextualSpacing w:val="0"/>
        <w:rPr>
          <w:rFonts w:cs="Tahoma"/>
        </w:rPr>
      </w:pPr>
      <w:r w:rsidRPr="00AE490A">
        <w:rPr>
          <w:rFonts w:cs="Tahoma"/>
        </w:rPr>
        <w:t>El</w:t>
      </w:r>
      <w:r w:rsidR="00664420" w:rsidRPr="00AE490A">
        <w:rPr>
          <w:rFonts w:cs="Tahoma"/>
        </w:rPr>
        <w:t xml:space="preserve"> </w:t>
      </w:r>
      <w:r w:rsidR="00A203AB" w:rsidRPr="00AE490A">
        <w:rPr>
          <w:rFonts w:cs="Tahoma"/>
          <w:b/>
          <w:bCs/>
        </w:rPr>
        <w:t xml:space="preserve">diecisiete y diecinueve </w:t>
      </w:r>
      <w:r w:rsidR="00FF072C" w:rsidRPr="00AE490A">
        <w:rPr>
          <w:rFonts w:cs="Tahoma"/>
          <w:b/>
          <w:bCs/>
        </w:rPr>
        <w:t>de febrero de dos mil veinticinco</w:t>
      </w:r>
      <w:r w:rsidR="00664420" w:rsidRPr="00AE490A">
        <w:rPr>
          <w:rFonts w:cs="Tahoma"/>
        </w:rPr>
        <w:t xml:space="preserve">, </w:t>
      </w:r>
      <w:r w:rsidRPr="00AE490A">
        <w:rPr>
          <w:b/>
          <w:bCs/>
        </w:rPr>
        <w:t>LA PARTE RECURRENTE</w:t>
      </w:r>
      <w:r w:rsidR="00664420" w:rsidRPr="00AE490A">
        <w:rPr>
          <w:rFonts w:cs="Tahoma"/>
        </w:rPr>
        <w:t xml:space="preserve"> presentó </w:t>
      </w:r>
      <w:r w:rsidR="008F2666" w:rsidRPr="00AE490A">
        <w:rPr>
          <w:rFonts w:cs="Tahoma"/>
        </w:rPr>
        <w:t>las</w:t>
      </w:r>
      <w:r w:rsidR="00664420" w:rsidRPr="00AE490A">
        <w:rPr>
          <w:rFonts w:cs="Tahoma"/>
        </w:rPr>
        <w:t xml:space="preserve"> solicitud</w:t>
      </w:r>
      <w:r w:rsidR="008F2666" w:rsidRPr="00AE490A">
        <w:rPr>
          <w:rFonts w:cs="Tahoma"/>
        </w:rPr>
        <w:t>es</w:t>
      </w:r>
      <w:r w:rsidR="00664420" w:rsidRPr="00AE490A">
        <w:rPr>
          <w:rFonts w:cs="Tahoma"/>
        </w:rPr>
        <w:t xml:space="preserve"> de acceso a la información pública </w:t>
      </w:r>
      <w:r w:rsidR="001F3515" w:rsidRPr="00AE490A">
        <w:rPr>
          <w:rFonts w:cs="Tahoma"/>
        </w:rPr>
        <w:t xml:space="preserve">ante el </w:t>
      </w:r>
      <w:r w:rsidR="001F3515" w:rsidRPr="00AE490A">
        <w:rPr>
          <w:rFonts w:cs="Tahoma"/>
          <w:b/>
          <w:bCs/>
        </w:rPr>
        <w:t>SUJETO OBLIGADO</w:t>
      </w:r>
      <w:r w:rsidR="001F3515" w:rsidRPr="00AE490A">
        <w:rPr>
          <w:rFonts w:cs="Tahoma"/>
        </w:rPr>
        <w:t xml:space="preserve">, </w:t>
      </w:r>
      <w:r w:rsidR="00664420" w:rsidRPr="00AE490A">
        <w:rPr>
          <w:rFonts w:cs="Tahoma"/>
        </w:rPr>
        <w:t>a través del Sistema de Acceso a la Información Mexiquense</w:t>
      </w:r>
      <w:r w:rsidRPr="00AE490A">
        <w:rPr>
          <w:rFonts w:cs="Tahoma"/>
        </w:rPr>
        <w:t xml:space="preserve"> </w:t>
      </w:r>
      <w:r w:rsidR="009A2D78" w:rsidRPr="00AE490A">
        <w:rPr>
          <w:rFonts w:cs="Tahoma"/>
        </w:rPr>
        <w:t>(</w:t>
      </w:r>
      <w:r w:rsidRPr="00AE490A">
        <w:rPr>
          <w:rFonts w:cs="Tahoma"/>
          <w:b/>
          <w:bCs/>
        </w:rPr>
        <w:t>SAIMEX</w:t>
      </w:r>
      <w:r w:rsidR="009A2D78" w:rsidRPr="00AE490A">
        <w:rPr>
          <w:rFonts w:cs="Tahoma"/>
        </w:rPr>
        <w:t>). Dicha</w:t>
      </w:r>
      <w:r w:rsidR="008F2666" w:rsidRPr="00AE490A">
        <w:rPr>
          <w:rFonts w:cs="Tahoma"/>
        </w:rPr>
        <w:t>s</w:t>
      </w:r>
      <w:r w:rsidR="009A2D78" w:rsidRPr="00AE490A">
        <w:rPr>
          <w:rFonts w:cs="Tahoma"/>
        </w:rPr>
        <w:t xml:space="preserve"> solicitud</w:t>
      </w:r>
      <w:r w:rsidR="008F2666" w:rsidRPr="00AE490A">
        <w:rPr>
          <w:rFonts w:cs="Tahoma"/>
        </w:rPr>
        <w:t>es</w:t>
      </w:r>
      <w:r w:rsidR="009A2D78" w:rsidRPr="00AE490A">
        <w:rPr>
          <w:rFonts w:cs="Tahoma"/>
        </w:rPr>
        <w:t xml:space="preserve"> qued</w:t>
      </w:r>
      <w:r w:rsidR="008F2666" w:rsidRPr="00AE490A">
        <w:rPr>
          <w:rFonts w:cs="Tahoma"/>
        </w:rPr>
        <w:t>aron</w:t>
      </w:r>
      <w:r w:rsidRPr="00AE490A">
        <w:rPr>
          <w:rFonts w:cs="Tahoma"/>
        </w:rPr>
        <w:t xml:space="preserve"> registrada</w:t>
      </w:r>
      <w:r w:rsidR="008F2666" w:rsidRPr="00AE490A">
        <w:rPr>
          <w:rFonts w:cs="Tahoma"/>
        </w:rPr>
        <w:t>s</w:t>
      </w:r>
      <w:r w:rsidRPr="00AE490A">
        <w:rPr>
          <w:rFonts w:cs="Tahoma"/>
        </w:rPr>
        <w:t xml:space="preserve"> c</w:t>
      </w:r>
      <w:r w:rsidR="008F2666" w:rsidRPr="00AE490A">
        <w:rPr>
          <w:rFonts w:cs="Tahoma"/>
        </w:rPr>
        <w:t xml:space="preserve">on </w:t>
      </w:r>
      <w:r w:rsidR="00664420" w:rsidRPr="00AE490A">
        <w:rPr>
          <w:rFonts w:cs="Tahoma"/>
        </w:rPr>
        <w:t>l</w:t>
      </w:r>
      <w:r w:rsidR="008F2666" w:rsidRPr="00AE490A">
        <w:rPr>
          <w:rFonts w:cs="Tahoma"/>
        </w:rPr>
        <w:t>os</w:t>
      </w:r>
      <w:r w:rsidR="00664420" w:rsidRPr="00AE490A">
        <w:rPr>
          <w:rFonts w:cs="Tahoma"/>
        </w:rPr>
        <w:t xml:space="preserve"> número</w:t>
      </w:r>
      <w:r w:rsidR="008F2666" w:rsidRPr="00AE490A">
        <w:rPr>
          <w:rFonts w:cs="Tahoma"/>
        </w:rPr>
        <w:t>s</w:t>
      </w:r>
      <w:r w:rsidR="00664420" w:rsidRPr="00AE490A">
        <w:rPr>
          <w:rFonts w:cs="Tahoma"/>
        </w:rPr>
        <w:t xml:space="preserve"> de folio</w:t>
      </w:r>
      <w:r w:rsidR="00664420" w:rsidRPr="00AE490A">
        <w:rPr>
          <w:rFonts w:cs="Tahoma"/>
          <w:b/>
          <w:bCs/>
        </w:rPr>
        <w:t xml:space="preserve"> </w:t>
      </w:r>
      <w:r w:rsidR="00A203AB" w:rsidRPr="00AE490A">
        <w:rPr>
          <w:rFonts w:cs="Tahoma"/>
          <w:b/>
          <w:bCs/>
        </w:rPr>
        <w:t xml:space="preserve">00139/COCOTIT/IP/2025 </w:t>
      </w:r>
      <w:r w:rsidR="0090467C" w:rsidRPr="00AE490A">
        <w:rPr>
          <w:rFonts w:cs="Tahoma"/>
          <w:bCs/>
        </w:rPr>
        <w:t xml:space="preserve">y </w:t>
      </w:r>
      <w:r w:rsidR="00A203AB" w:rsidRPr="00AE490A">
        <w:rPr>
          <w:rFonts w:cs="Tahoma"/>
          <w:b/>
          <w:bCs/>
        </w:rPr>
        <w:t xml:space="preserve">00145/COCOTIT/IP/2025 </w:t>
      </w:r>
      <w:r w:rsidR="002A3601" w:rsidRPr="00AE490A">
        <w:rPr>
          <w:rFonts w:cs="Tahoma"/>
        </w:rPr>
        <w:t xml:space="preserve">en </w:t>
      </w:r>
      <w:r w:rsidR="008F2666" w:rsidRPr="00AE490A">
        <w:rPr>
          <w:rFonts w:cs="Tahoma"/>
        </w:rPr>
        <w:t xml:space="preserve">las que </w:t>
      </w:r>
      <w:r w:rsidR="009A2D78" w:rsidRPr="00AE490A">
        <w:rPr>
          <w:rFonts w:cs="Tahoma"/>
        </w:rPr>
        <w:t>se requirió la siguiente información:</w:t>
      </w:r>
    </w:p>
    <w:p w14:paraId="4493AB96" w14:textId="77777777" w:rsidR="00120950" w:rsidRPr="00AE490A" w:rsidRDefault="00120950" w:rsidP="00AE490A">
      <w:pPr>
        <w:tabs>
          <w:tab w:val="left" w:pos="4667"/>
        </w:tabs>
        <w:ind w:right="567"/>
        <w:rPr>
          <w:rFonts w:cs="Tahoma"/>
          <w:b/>
          <w:bCs/>
        </w:r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0"/>
        <w:gridCol w:w="6356"/>
      </w:tblGrid>
      <w:tr w:rsidR="00AE490A" w:rsidRPr="00AE490A" w14:paraId="689CF7A8" w14:textId="77777777" w:rsidTr="001038C0">
        <w:trPr>
          <w:trHeight w:val="324"/>
          <w:tblHeader/>
        </w:trPr>
        <w:tc>
          <w:tcPr>
            <w:tcW w:w="3100" w:type="dxa"/>
            <w:shd w:val="clear" w:color="000000" w:fill="D9D9D9"/>
            <w:noWrap/>
            <w:vAlign w:val="center"/>
            <w:hideMark/>
          </w:tcPr>
          <w:p w14:paraId="290EB24C" w14:textId="445F8D8C" w:rsidR="00DE63D9" w:rsidRPr="00AE490A" w:rsidRDefault="00DE63D9" w:rsidP="00AE490A">
            <w:pPr>
              <w:spacing w:line="240" w:lineRule="auto"/>
              <w:jc w:val="center"/>
              <w:rPr>
                <w:rFonts w:cs="Andalus"/>
                <w:b/>
                <w:bCs/>
                <w:szCs w:val="22"/>
              </w:rPr>
            </w:pPr>
            <w:r w:rsidRPr="00AE490A">
              <w:rPr>
                <w:rFonts w:cs="Andalus"/>
                <w:b/>
                <w:bCs/>
                <w:szCs w:val="22"/>
              </w:rPr>
              <w:t xml:space="preserve">Número de solicitud / </w:t>
            </w:r>
          </w:p>
          <w:p w14:paraId="090C8EC8" w14:textId="4B6526BB" w:rsidR="00DE63D9" w:rsidRPr="00AE490A" w:rsidRDefault="00DE63D9" w:rsidP="00AE490A">
            <w:pPr>
              <w:spacing w:line="240" w:lineRule="auto"/>
              <w:jc w:val="center"/>
              <w:rPr>
                <w:rFonts w:cs="Andalus"/>
                <w:b/>
                <w:bCs/>
                <w:szCs w:val="22"/>
              </w:rPr>
            </w:pPr>
            <w:r w:rsidRPr="00AE490A">
              <w:rPr>
                <w:rFonts w:cs="Andalus"/>
                <w:b/>
                <w:bCs/>
                <w:szCs w:val="22"/>
              </w:rPr>
              <w:t>Número de Recurso</w:t>
            </w:r>
          </w:p>
          <w:p w14:paraId="41CE3C96" w14:textId="565FD23E" w:rsidR="00DE63D9" w:rsidRPr="00AE490A" w:rsidRDefault="00DE63D9" w:rsidP="00AE490A">
            <w:pPr>
              <w:spacing w:line="240" w:lineRule="auto"/>
              <w:jc w:val="center"/>
              <w:rPr>
                <w:rFonts w:cs="Andalus"/>
                <w:b/>
                <w:bCs/>
                <w:szCs w:val="22"/>
              </w:rPr>
            </w:pPr>
          </w:p>
        </w:tc>
        <w:tc>
          <w:tcPr>
            <w:tcW w:w="6356" w:type="dxa"/>
            <w:shd w:val="clear" w:color="000000" w:fill="D9D9D9"/>
            <w:noWrap/>
            <w:vAlign w:val="center"/>
            <w:hideMark/>
          </w:tcPr>
          <w:p w14:paraId="1FF72D99" w14:textId="77777777" w:rsidR="00DE63D9" w:rsidRPr="00AE490A" w:rsidRDefault="00DE63D9" w:rsidP="00AE490A">
            <w:pPr>
              <w:spacing w:line="240" w:lineRule="auto"/>
              <w:jc w:val="center"/>
              <w:rPr>
                <w:rFonts w:cs="Andalus"/>
                <w:b/>
                <w:bCs/>
                <w:szCs w:val="22"/>
              </w:rPr>
            </w:pPr>
            <w:r w:rsidRPr="00AE490A">
              <w:rPr>
                <w:rFonts w:cs="Andalus"/>
                <w:b/>
                <w:bCs/>
                <w:szCs w:val="22"/>
              </w:rPr>
              <w:t xml:space="preserve">Contenido de la solicitud </w:t>
            </w:r>
          </w:p>
        </w:tc>
      </w:tr>
      <w:tr w:rsidR="00AE490A" w:rsidRPr="00AE490A" w14:paraId="0E5D9224" w14:textId="77777777" w:rsidTr="001038C0">
        <w:trPr>
          <w:trHeight w:val="962"/>
        </w:trPr>
        <w:tc>
          <w:tcPr>
            <w:tcW w:w="3100" w:type="dxa"/>
            <w:shd w:val="clear" w:color="auto" w:fill="auto"/>
            <w:noWrap/>
          </w:tcPr>
          <w:p w14:paraId="7115B926" w14:textId="001AD037" w:rsidR="00DE63D9" w:rsidRPr="00AE490A" w:rsidRDefault="00A203AB" w:rsidP="00AE490A">
            <w:pPr>
              <w:spacing w:line="240" w:lineRule="auto"/>
              <w:jc w:val="center"/>
              <w:rPr>
                <w:rFonts w:cs="Tahoma"/>
                <w:b/>
                <w:bCs/>
                <w:lang w:val="en-US"/>
              </w:rPr>
            </w:pPr>
            <w:r w:rsidRPr="00AE490A">
              <w:rPr>
                <w:rFonts w:cs="Tahoma"/>
                <w:b/>
                <w:bCs/>
                <w:lang w:val="en-US"/>
              </w:rPr>
              <w:t xml:space="preserve">00139/COCOTIT/IP/2025 </w:t>
            </w:r>
            <w:r w:rsidR="00A80BE5" w:rsidRPr="00AE490A">
              <w:rPr>
                <w:rFonts w:cs="Tahoma"/>
                <w:b/>
                <w:bCs/>
                <w:lang w:val="en-US"/>
              </w:rPr>
              <w:t>0</w:t>
            </w:r>
            <w:r w:rsidRPr="00AE490A">
              <w:rPr>
                <w:rFonts w:cs="Tahoma"/>
                <w:b/>
                <w:bCs/>
                <w:lang w:val="en-US"/>
              </w:rPr>
              <w:t>2867</w:t>
            </w:r>
            <w:r w:rsidR="00A80BE5" w:rsidRPr="00AE490A">
              <w:rPr>
                <w:rFonts w:cs="Tahoma"/>
                <w:b/>
                <w:bCs/>
                <w:lang w:val="en-US"/>
              </w:rPr>
              <w:t>/INFOEM/IP/RR/2025</w:t>
            </w:r>
          </w:p>
        </w:tc>
        <w:tc>
          <w:tcPr>
            <w:tcW w:w="6356" w:type="dxa"/>
            <w:shd w:val="clear" w:color="auto" w:fill="auto"/>
          </w:tcPr>
          <w:p w14:paraId="696CCF67" w14:textId="5DE9B150" w:rsidR="00DE63D9" w:rsidRPr="00AE490A" w:rsidRDefault="00A80BE5" w:rsidP="00AE490A">
            <w:pPr>
              <w:spacing w:line="240" w:lineRule="auto"/>
              <w:rPr>
                <w:rFonts w:cs="Calibri"/>
                <w:i/>
                <w:szCs w:val="22"/>
              </w:rPr>
            </w:pPr>
            <w:r w:rsidRPr="00AE490A">
              <w:rPr>
                <w:rFonts w:cs="Calibri"/>
                <w:i/>
                <w:szCs w:val="22"/>
              </w:rPr>
              <w:t>“</w:t>
            </w:r>
            <w:r w:rsidR="00A203AB" w:rsidRPr="00AE490A">
              <w:rPr>
                <w:rFonts w:cs="Calibri"/>
                <w:i/>
                <w:szCs w:val="22"/>
              </w:rPr>
              <w:t xml:space="preserve">Solicito los recibos de nóminas de todos los directores, coordinadores, encargados, jueces, titulares o equivales de la administración del </w:t>
            </w:r>
            <w:r w:rsidR="00A203AB" w:rsidRPr="00AE490A">
              <w:rPr>
                <w:rFonts w:cs="Calibri"/>
                <w:i/>
                <w:szCs w:val="22"/>
              </w:rPr>
              <w:lastRenderedPageBreak/>
              <w:t>ayuntamiento de Cocotitlan de la 1er y 2da nómina del mes de enero y de la 1er quincena del mes de febrero</w:t>
            </w:r>
            <w:r w:rsidR="00DE63D9" w:rsidRPr="00AE490A">
              <w:rPr>
                <w:rFonts w:cs="Calibri"/>
                <w:i/>
                <w:szCs w:val="22"/>
              </w:rPr>
              <w:t xml:space="preserve">” (sic) </w:t>
            </w:r>
          </w:p>
        </w:tc>
      </w:tr>
      <w:tr w:rsidR="00FF072C" w:rsidRPr="00AE490A" w14:paraId="4E127ACD" w14:textId="77777777" w:rsidTr="001038C0">
        <w:trPr>
          <w:trHeight w:val="962"/>
        </w:trPr>
        <w:tc>
          <w:tcPr>
            <w:tcW w:w="3100" w:type="dxa"/>
            <w:shd w:val="clear" w:color="auto" w:fill="auto"/>
            <w:noWrap/>
          </w:tcPr>
          <w:p w14:paraId="33915C44" w14:textId="21EF90DE" w:rsidR="00FF072C" w:rsidRPr="00AE490A" w:rsidRDefault="00A203AB" w:rsidP="00AE490A">
            <w:pPr>
              <w:spacing w:line="240" w:lineRule="auto"/>
              <w:jc w:val="center"/>
              <w:rPr>
                <w:rFonts w:cs="Tahoma"/>
                <w:b/>
                <w:bCs/>
                <w:lang w:val="en-US"/>
              </w:rPr>
            </w:pPr>
            <w:r w:rsidRPr="00AE490A">
              <w:rPr>
                <w:rFonts w:cs="Tahoma"/>
                <w:b/>
                <w:bCs/>
                <w:lang w:val="en-US"/>
              </w:rPr>
              <w:lastRenderedPageBreak/>
              <w:t>00145/COCOTIT/IP/2025 03114/INFOEM/IP/RR/2025</w:t>
            </w:r>
          </w:p>
        </w:tc>
        <w:tc>
          <w:tcPr>
            <w:tcW w:w="6356" w:type="dxa"/>
            <w:shd w:val="clear" w:color="auto" w:fill="auto"/>
          </w:tcPr>
          <w:p w14:paraId="6A8D696D" w14:textId="418C8FD2" w:rsidR="00FF072C" w:rsidRPr="00AE490A" w:rsidRDefault="00FF072C" w:rsidP="00AE490A">
            <w:pPr>
              <w:spacing w:line="240" w:lineRule="auto"/>
              <w:rPr>
                <w:rFonts w:cs="Calibri"/>
                <w:i/>
                <w:szCs w:val="22"/>
              </w:rPr>
            </w:pPr>
            <w:r w:rsidRPr="00AE490A">
              <w:rPr>
                <w:rFonts w:cs="Calibri"/>
                <w:i/>
                <w:szCs w:val="22"/>
              </w:rPr>
              <w:t>“</w:t>
            </w:r>
            <w:r w:rsidR="00A203AB" w:rsidRPr="00AE490A">
              <w:rPr>
                <w:rFonts w:cs="Calibri"/>
                <w:i/>
                <w:szCs w:val="22"/>
              </w:rPr>
              <w:t>Solicito los recibos de nóminas de los integrantes de cabildo, del Ayuntamiento de Cocotitlan, del mes de enero y la 1er quincena de febrero.</w:t>
            </w:r>
            <w:r w:rsidRPr="00AE490A">
              <w:rPr>
                <w:rFonts w:cs="Calibri"/>
                <w:i/>
                <w:szCs w:val="22"/>
              </w:rPr>
              <w:t xml:space="preserve">” (sic) </w:t>
            </w:r>
          </w:p>
        </w:tc>
      </w:tr>
    </w:tbl>
    <w:p w14:paraId="2A974A5D" w14:textId="77777777" w:rsidR="00DE63D9" w:rsidRPr="00AE490A" w:rsidRDefault="00DE63D9" w:rsidP="00AE490A">
      <w:pPr>
        <w:tabs>
          <w:tab w:val="left" w:pos="4667"/>
        </w:tabs>
        <w:ind w:right="567"/>
        <w:rPr>
          <w:rFonts w:cs="Tahoma"/>
          <w:b/>
          <w:bCs/>
        </w:rPr>
      </w:pPr>
    </w:p>
    <w:p w14:paraId="0BD6321D" w14:textId="56D9ABBC" w:rsidR="00664420" w:rsidRPr="00AE490A" w:rsidRDefault="009A2D78" w:rsidP="00AE490A">
      <w:pPr>
        <w:tabs>
          <w:tab w:val="left" w:pos="4667"/>
        </w:tabs>
        <w:ind w:right="567"/>
        <w:rPr>
          <w:rFonts w:cs="Tahoma"/>
          <w:bCs/>
          <w:szCs w:val="22"/>
        </w:rPr>
      </w:pPr>
      <w:r w:rsidRPr="00AE490A">
        <w:rPr>
          <w:rFonts w:cs="Tahoma"/>
          <w:b/>
          <w:bCs/>
          <w:szCs w:val="22"/>
        </w:rPr>
        <w:t>Modalidad de entrega</w:t>
      </w:r>
      <w:r w:rsidRPr="00AE490A">
        <w:rPr>
          <w:rFonts w:cs="Tahoma"/>
          <w:bCs/>
          <w:szCs w:val="22"/>
        </w:rPr>
        <w:t>: a</w:t>
      </w:r>
      <w:r w:rsidR="00664420" w:rsidRPr="00AE490A">
        <w:rPr>
          <w:rFonts w:cs="Tahoma"/>
          <w:bCs/>
          <w:i/>
          <w:szCs w:val="22"/>
        </w:rPr>
        <w:t xml:space="preserve"> través del </w:t>
      </w:r>
      <w:r w:rsidR="00664420" w:rsidRPr="00AE490A">
        <w:rPr>
          <w:rFonts w:cs="Tahoma"/>
          <w:b/>
          <w:bCs/>
          <w:i/>
          <w:szCs w:val="22"/>
        </w:rPr>
        <w:t>SAIMEX</w:t>
      </w:r>
      <w:r w:rsidRPr="00AE490A">
        <w:rPr>
          <w:rFonts w:cs="Tahoma"/>
          <w:bCs/>
          <w:i/>
          <w:szCs w:val="22"/>
        </w:rPr>
        <w:t>.</w:t>
      </w:r>
    </w:p>
    <w:p w14:paraId="334D2860" w14:textId="77777777" w:rsidR="00664420" w:rsidRPr="00AE490A" w:rsidRDefault="00664420" w:rsidP="00AE490A">
      <w:pPr>
        <w:autoSpaceDE w:val="0"/>
        <w:autoSpaceDN w:val="0"/>
        <w:adjustRightInd w:val="0"/>
        <w:ind w:right="-28"/>
        <w:rPr>
          <w:rFonts w:cs="Tahoma"/>
          <w:bCs/>
          <w:i/>
          <w:szCs w:val="22"/>
        </w:rPr>
      </w:pPr>
    </w:p>
    <w:p w14:paraId="5A3D1D27" w14:textId="4DF3FEE7" w:rsidR="00A203AB" w:rsidRPr="00AE490A" w:rsidRDefault="00A203AB" w:rsidP="00AE490A">
      <w:pPr>
        <w:pStyle w:val="Ttulo3"/>
      </w:pPr>
      <w:bookmarkStart w:id="6" w:name="_Toc195183471"/>
      <w:bookmarkStart w:id="7" w:name="_Toc196232679"/>
      <w:bookmarkStart w:id="8" w:name="_Toc198747247"/>
      <w:r w:rsidRPr="00AE490A">
        <w:t>b) Turno de las solicitudes de información</w:t>
      </w:r>
      <w:bookmarkEnd w:id="6"/>
      <w:bookmarkEnd w:id="7"/>
      <w:bookmarkEnd w:id="8"/>
    </w:p>
    <w:p w14:paraId="75944B57" w14:textId="4AC35A78" w:rsidR="00A203AB" w:rsidRPr="00AE490A" w:rsidRDefault="00A203AB" w:rsidP="00AE490A">
      <w:r w:rsidRPr="00AE490A">
        <w:t xml:space="preserve">En cumplimiento al artículo 162 de la Ley de Transparencia y Acceso a la Información Pública del Estado de México y Municipios, el </w:t>
      </w:r>
      <w:r w:rsidRPr="00AE490A">
        <w:rPr>
          <w:rFonts w:eastAsia="Palatino Linotype" w:cs="Palatino Linotype"/>
          <w:b/>
        </w:rPr>
        <w:t>dieciocho y diecinueve de febrero de dos mil veinticinco</w:t>
      </w:r>
      <w:r w:rsidRPr="00AE490A">
        <w:t xml:space="preserve">, el Titular de la Unidad de Transparencia del </w:t>
      </w:r>
      <w:r w:rsidRPr="00AE490A">
        <w:rPr>
          <w:b/>
        </w:rPr>
        <w:t>SUJETO OBLIGADO</w:t>
      </w:r>
      <w:r w:rsidRPr="00AE490A">
        <w:t xml:space="preserve"> turnó las solicitudes de información al servidor público habilitado que estimó pertinente.</w:t>
      </w:r>
    </w:p>
    <w:p w14:paraId="272F3CD2" w14:textId="77777777" w:rsidR="00A203AB" w:rsidRPr="00AE490A" w:rsidRDefault="00A203AB" w:rsidP="00AE490A">
      <w:pPr>
        <w:autoSpaceDE w:val="0"/>
        <w:autoSpaceDN w:val="0"/>
        <w:adjustRightInd w:val="0"/>
        <w:ind w:right="-28"/>
        <w:rPr>
          <w:rFonts w:cs="Tahoma"/>
          <w:bCs/>
          <w:i/>
          <w:szCs w:val="22"/>
        </w:rPr>
      </w:pPr>
    </w:p>
    <w:p w14:paraId="3212BA4D" w14:textId="1E373D9F" w:rsidR="00664420" w:rsidRPr="00AE490A" w:rsidRDefault="00113BD1" w:rsidP="00AE490A">
      <w:pPr>
        <w:pStyle w:val="Ttulo3"/>
        <w:rPr>
          <w:rFonts w:eastAsia="Calibri"/>
          <w:lang w:eastAsia="en-US"/>
        </w:rPr>
      </w:pPr>
      <w:bookmarkStart w:id="9" w:name="_Toc198747248"/>
      <w:r w:rsidRPr="00AE490A">
        <w:t>c</w:t>
      </w:r>
      <w:r w:rsidR="004F4DD8" w:rsidRPr="00AE490A">
        <w:t xml:space="preserve">) </w:t>
      </w:r>
      <w:r w:rsidR="00664420" w:rsidRPr="00AE490A">
        <w:rPr>
          <w:lang w:val="es-ES"/>
        </w:rPr>
        <w:t>Respuesta</w:t>
      </w:r>
      <w:r w:rsidR="008F2666" w:rsidRPr="00AE490A">
        <w:rPr>
          <w:lang w:val="es-ES"/>
        </w:rPr>
        <w:t>s</w:t>
      </w:r>
      <w:r w:rsidR="00664420" w:rsidRPr="00AE490A">
        <w:rPr>
          <w:lang w:val="es-ES"/>
        </w:rPr>
        <w:t xml:space="preserve"> </w:t>
      </w:r>
      <w:r w:rsidR="00664420" w:rsidRPr="00AE490A">
        <w:rPr>
          <w:rFonts w:eastAsia="Calibri"/>
          <w:lang w:eastAsia="en-US"/>
        </w:rPr>
        <w:t>del Sujeto Obligado</w:t>
      </w:r>
      <w:bookmarkEnd w:id="9"/>
    </w:p>
    <w:p w14:paraId="2143017E" w14:textId="6C0BEBFA" w:rsidR="00BA1AB6" w:rsidRPr="00AE490A" w:rsidRDefault="003B0255" w:rsidP="00AE490A">
      <w:pPr>
        <w:rPr>
          <w:lang w:val="es-ES"/>
        </w:rPr>
      </w:pPr>
      <w:r w:rsidRPr="00AE490A">
        <w:rPr>
          <w:lang w:val="es-ES"/>
        </w:rPr>
        <w:t xml:space="preserve">El </w:t>
      </w:r>
      <w:r w:rsidR="00A203AB" w:rsidRPr="00AE490A">
        <w:rPr>
          <w:b/>
          <w:bCs/>
          <w:lang w:val="es-ES"/>
        </w:rPr>
        <w:t xml:space="preserve">once y trece </w:t>
      </w:r>
      <w:r w:rsidR="00FF072C" w:rsidRPr="00AE490A">
        <w:rPr>
          <w:b/>
          <w:bCs/>
          <w:lang w:val="es-ES"/>
        </w:rPr>
        <w:t xml:space="preserve">de marzo </w:t>
      </w:r>
      <w:r w:rsidR="001038C0" w:rsidRPr="00AE490A">
        <w:rPr>
          <w:b/>
          <w:bCs/>
          <w:lang w:val="es-ES"/>
        </w:rPr>
        <w:t>de dos mil veinticinco</w:t>
      </w:r>
      <w:r w:rsidRPr="00AE490A">
        <w:rPr>
          <w:lang w:val="es-ES"/>
        </w:rPr>
        <w:t xml:space="preserve">, el Titular de la Unidad de </w:t>
      </w:r>
      <w:r w:rsidRPr="00AE490A">
        <w:rPr>
          <w:bCs/>
        </w:rPr>
        <w:t>Transparencia</w:t>
      </w:r>
      <w:r w:rsidR="001038C0" w:rsidRPr="00AE490A">
        <w:rPr>
          <w:bCs/>
        </w:rPr>
        <w:t xml:space="preserve"> del</w:t>
      </w:r>
      <w:r w:rsidR="00623AA5" w:rsidRPr="00AE490A">
        <w:rPr>
          <w:lang w:val="es-ES"/>
        </w:rPr>
        <w:t xml:space="preserve"> </w:t>
      </w:r>
      <w:r w:rsidRPr="00AE490A">
        <w:rPr>
          <w:b/>
          <w:lang w:val="es-ES"/>
        </w:rPr>
        <w:t>SUJETO OBLIGADO</w:t>
      </w:r>
      <w:r w:rsidRPr="00AE490A">
        <w:rPr>
          <w:lang w:val="es-ES"/>
        </w:rPr>
        <w:t xml:space="preserve"> notificó la</w:t>
      </w:r>
      <w:r w:rsidR="008F2666" w:rsidRPr="00AE490A">
        <w:rPr>
          <w:lang w:val="es-ES"/>
        </w:rPr>
        <w:t>s</w:t>
      </w:r>
      <w:r w:rsidRPr="00AE490A">
        <w:rPr>
          <w:lang w:val="es-ES"/>
        </w:rPr>
        <w:t xml:space="preserve"> siguiente</w:t>
      </w:r>
      <w:r w:rsidR="008F2666" w:rsidRPr="00AE490A">
        <w:rPr>
          <w:lang w:val="es-ES"/>
        </w:rPr>
        <w:t>s</w:t>
      </w:r>
      <w:r w:rsidRPr="00AE490A">
        <w:rPr>
          <w:lang w:val="es-ES"/>
        </w:rPr>
        <w:t xml:space="preserve"> respuesta</w:t>
      </w:r>
      <w:r w:rsidR="008F2666" w:rsidRPr="00AE490A">
        <w:rPr>
          <w:lang w:val="es-ES"/>
        </w:rPr>
        <w:t>s</w:t>
      </w:r>
      <w:r w:rsidRPr="00AE490A">
        <w:rPr>
          <w:lang w:val="es-ES"/>
        </w:rPr>
        <w:t xml:space="preserve"> a través del </w:t>
      </w:r>
      <w:r w:rsidRPr="00AE490A">
        <w:rPr>
          <w:b/>
          <w:lang w:val="es-ES"/>
        </w:rPr>
        <w:t>SAIMEX</w:t>
      </w:r>
      <w:r w:rsidRPr="00AE490A">
        <w:rPr>
          <w:lang w:val="es-ES"/>
        </w:rPr>
        <w:t>:</w:t>
      </w:r>
    </w:p>
    <w:p w14:paraId="38A47E9E" w14:textId="77777777" w:rsidR="001038C0" w:rsidRPr="00AE490A" w:rsidRDefault="001038C0" w:rsidP="00AE490A">
      <w:pPr>
        <w:rPr>
          <w:lang w:val="es-ES"/>
        </w:rPr>
      </w:pPr>
    </w:p>
    <w:p w14:paraId="39DFA756" w14:textId="77777777" w:rsidR="00A203AB" w:rsidRPr="00AE490A" w:rsidRDefault="001038C0" w:rsidP="00AE490A">
      <w:pPr>
        <w:pStyle w:val="Puesto"/>
      </w:pPr>
      <w:r w:rsidRPr="00AE490A">
        <w:t>“…</w:t>
      </w:r>
      <w:r w:rsidR="00A203AB" w:rsidRPr="00AE490A">
        <w:t xml:space="preserve">Con fundamento en la Ley de Transparencia y Acceso a la Información Pública del Estado de México y Municipios en el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w:t>
      </w:r>
      <w:r w:rsidR="00A203AB" w:rsidRPr="00AE490A">
        <w:lastRenderedPageBreak/>
        <w:t>practicar investigaciones. Informo a usted que en referencia a su solicitud, esta unidad administrativa se encuentra limitada ya que no se especifica el ejercicio del cual requiere la información.</w:t>
      </w:r>
    </w:p>
    <w:p w14:paraId="316C5891" w14:textId="77777777" w:rsidR="00A203AB" w:rsidRPr="00AE490A" w:rsidRDefault="00A203AB" w:rsidP="00AE490A"/>
    <w:p w14:paraId="542366CE" w14:textId="77777777" w:rsidR="00A203AB" w:rsidRPr="00AE490A" w:rsidRDefault="00A203AB" w:rsidP="00AE490A">
      <w:pPr>
        <w:pStyle w:val="Puesto"/>
      </w:pPr>
      <w:r w:rsidRPr="00AE490A">
        <w:t>ATENTAMENTE</w:t>
      </w:r>
    </w:p>
    <w:p w14:paraId="070E4B0A" w14:textId="77777777" w:rsidR="00A203AB" w:rsidRPr="00AE490A" w:rsidRDefault="00A203AB" w:rsidP="00AE490A"/>
    <w:p w14:paraId="14B9D81D" w14:textId="6D2BE17F" w:rsidR="001038C0" w:rsidRPr="00AE490A" w:rsidRDefault="00A203AB" w:rsidP="00AE490A">
      <w:pPr>
        <w:pStyle w:val="Puesto"/>
      </w:pPr>
      <w:r w:rsidRPr="00AE490A">
        <w:t>Ing. Juan José Montoya Galicia</w:t>
      </w:r>
      <w:r w:rsidR="001038C0" w:rsidRPr="00AE490A">
        <w:t xml:space="preserve">” (sic) </w:t>
      </w:r>
    </w:p>
    <w:p w14:paraId="789364DA" w14:textId="77777777" w:rsidR="00F0405C" w:rsidRPr="00AE490A" w:rsidRDefault="00F0405C" w:rsidP="00AE490A"/>
    <w:p w14:paraId="6FEFEEEF" w14:textId="70F5C1D8" w:rsidR="001038C0" w:rsidRPr="00AE490A" w:rsidRDefault="001038C0" w:rsidP="00AE490A">
      <w:r w:rsidRPr="00AE490A">
        <w:t xml:space="preserve">Advirtiendo de dichas </w:t>
      </w:r>
      <w:r w:rsidRPr="00AE490A">
        <w:rPr>
          <w:rFonts w:cs="Arial"/>
        </w:rPr>
        <w:t>respuestas</w:t>
      </w:r>
      <w:r w:rsidRPr="00AE490A">
        <w:t xml:space="preserve">, que </w:t>
      </w:r>
      <w:r w:rsidRPr="00AE490A">
        <w:rPr>
          <w:rFonts w:cs="Arial"/>
          <w:b/>
        </w:rPr>
        <w:t>EL SUJETO OBLIGADO</w:t>
      </w:r>
      <w:r w:rsidRPr="00AE490A">
        <w:t xml:space="preserve"> acompañó los archivos electrónicos que se describen a continuación: </w:t>
      </w:r>
    </w:p>
    <w:p w14:paraId="61A13D0E" w14:textId="77777777" w:rsidR="00E34279" w:rsidRPr="00AE490A" w:rsidRDefault="00E34279" w:rsidP="00AE490A">
      <w:pPr>
        <w:rPr>
          <w:lang w:val="es-E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3"/>
        <w:gridCol w:w="6214"/>
      </w:tblGrid>
      <w:tr w:rsidR="00AE490A" w:rsidRPr="00AE490A" w14:paraId="51D0AE4D" w14:textId="2480EFE5" w:rsidTr="001038C0">
        <w:trPr>
          <w:trHeight w:val="324"/>
          <w:tblHeader/>
        </w:trPr>
        <w:tc>
          <w:tcPr>
            <w:tcW w:w="2853" w:type="dxa"/>
            <w:shd w:val="clear" w:color="000000" w:fill="D9D9D9"/>
            <w:noWrap/>
            <w:vAlign w:val="center"/>
            <w:hideMark/>
          </w:tcPr>
          <w:p w14:paraId="6F034D4C" w14:textId="77777777" w:rsidR="001038C0" w:rsidRPr="00AE490A" w:rsidRDefault="001038C0" w:rsidP="00AE490A">
            <w:pPr>
              <w:spacing w:line="240" w:lineRule="auto"/>
              <w:jc w:val="center"/>
              <w:rPr>
                <w:rFonts w:cs="Andalus"/>
                <w:b/>
                <w:bCs/>
                <w:szCs w:val="22"/>
              </w:rPr>
            </w:pPr>
            <w:r w:rsidRPr="00AE490A">
              <w:rPr>
                <w:rFonts w:cs="Andalus"/>
                <w:b/>
                <w:bCs/>
                <w:szCs w:val="22"/>
              </w:rPr>
              <w:t xml:space="preserve">Número de solicitud / </w:t>
            </w:r>
          </w:p>
          <w:p w14:paraId="6CB95C6F" w14:textId="77777777" w:rsidR="001038C0" w:rsidRPr="00AE490A" w:rsidRDefault="001038C0" w:rsidP="00AE490A">
            <w:pPr>
              <w:spacing w:line="240" w:lineRule="auto"/>
              <w:jc w:val="center"/>
              <w:rPr>
                <w:rFonts w:cs="Andalus"/>
                <w:b/>
                <w:bCs/>
                <w:szCs w:val="22"/>
              </w:rPr>
            </w:pPr>
            <w:r w:rsidRPr="00AE490A">
              <w:rPr>
                <w:rFonts w:cs="Andalus"/>
                <w:b/>
                <w:bCs/>
                <w:szCs w:val="22"/>
              </w:rPr>
              <w:t>Número de Recurso</w:t>
            </w:r>
          </w:p>
          <w:p w14:paraId="1E1C0A09" w14:textId="77777777" w:rsidR="001038C0" w:rsidRPr="00AE490A" w:rsidRDefault="001038C0" w:rsidP="00AE490A">
            <w:pPr>
              <w:spacing w:line="240" w:lineRule="auto"/>
              <w:jc w:val="center"/>
              <w:rPr>
                <w:rFonts w:cs="Andalus"/>
                <w:b/>
                <w:bCs/>
                <w:szCs w:val="22"/>
              </w:rPr>
            </w:pPr>
          </w:p>
        </w:tc>
        <w:tc>
          <w:tcPr>
            <w:tcW w:w="6214" w:type="dxa"/>
            <w:shd w:val="clear" w:color="000000" w:fill="D9D9D9"/>
            <w:noWrap/>
            <w:vAlign w:val="center"/>
            <w:hideMark/>
          </w:tcPr>
          <w:p w14:paraId="34B9AA8D" w14:textId="7B444301" w:rsidR="001038C0" w:rsidRPr="00AE490A" w:rsidRDefault="00A80BE5" w:rsidP="00AE490A">
            <w:pPr>
              <w:spacing w:line="240" w:lineRule="auto"/>
              <w:jc w:val="center"/>
              <w:rPr>
                <w:rFonts w:cs="Andalus"/>
                <w:b/>
                <w:bCs/>
                <w:szCs w:val="22"/>
              </w:rPr>
            </w:pPr>
            <w:r w:rsidRPr="00AE490A">
              <w:rPr>
                <w:rFonts w:cs="Andalus"/>
                <w:b/>
                <w:bCs/>
                <w:szCs w:val="22"/>
              </w:rPr>
              <w:t>Archivos adjuntos</w:t>
            </w:r>
            <w:r w:rsidR="001038C0" w:rsidRPr="00AE490A">
              <w:rPr>
                <w:rFonts w:cs="Andalus"/>
                <w:b/>
                <w:bCs/>
                <w:szCs w:val="22"/>
              </w:rPr>
              <w:t xml:space="preserve"> </w:t>
            </w:r>
          </w:p>
        </w:tc>
      </w:tr>
      <w:tr w:rsidR="00AE490A" w:rsidRPr="00AE490A" w14:paraId="0D6BB4F9" w14:textId="258C3E3B" w:rsidTr="001038C0">
        <w:trPr>
          <w:trHeight w:val="962"/>
        </w:trPr>
        <w:tc>
          <w:tcPr>
            <w:tcW w:w="2853" w:type="dxa"/>
            <w:shd w:val="clear" w:color="auto" w:fill="auto"/>
            <w:noWrap/>
          </w:tcPr>
          <w:p w14:paraId="4DBB99F6" w14:textId="7423CCB8" w:rsidR="00A203AB" w:rsidRPr="00AE490A" w:rsidRDefault="00A203AB" w:rsidP="00AE490A">
            <w:pPr>
              <w:spacing w:line="240" w:lineRule="auto"/>
              <w:jc w:val="center"/>
              <w:rPr>
                <w:rFonts w:cs="Arial"/>
                <w:b/>
                <w:lang w:val="en-US"/>
              </w:rPr>
            </w:pPr>
            <w:r w:rsidRPr="00AE490A">
              <w:rPr>
                <w:rFonts w:cs="Tahoma"/>
                <w:b/>
                <w:bCs/>
                <w:lang w:val="en-US"/>
              </w:rPr>
              <w:t>00139/COCOTIT/IP/2025 02867/INFOEM/IP/RR/2025</w:t>
            </w:r>
          </w:p>
        </w:tc>
        <w:tc>
          <w:tcPr>
            <w:tcW w:w="6214" w:type="dxa"/>
            <w:shd w:val="clear" w:color="auto" w:fill="auto"/>
          </w:tcPr>
          <w:p w14:paraId="310E51FA" w14:textId="5CA29090" w:rsidR="00A203AB" w:rsidRPr="00AE490A" w:rsidRDefault="006A065D" w:rsidP="00AE490A">
            <w:pPr>
              <w:pStyle w:val="Prrafodelista"/>
              <w:numPr>
                <w:ilvl w:val="0"/>
                <w:numId w:val="39"/>
              </w:numPr>
              <w:spacing w:line="240" w:lineRule="auto"/>
              <w:rPr>
                <w:rFonts w:cs="Calibri"/>
                <w:i/>
                <w:szCs w:val="22"/>
              </w:rPr>
            </w:pPr>
            <w:r w:rsidRPr="00AE490A">
              <w:rPr>
                <w:rFonts w:eastAsiaTheme="majorEastAsia"/>
                <w:b/>
                <w:bCs/>
                <w:i/>
              </w:rPr>
              <w:t xml:space="preserve">Respuesta 00139.pdf, </w:t>
            </w:r>
            <w:r w:rsidRPr="00AE490A">
              <w:rPr>
                <w:rFonts w:eastAsiaTheme="majorEastAsia"/>
                <w:iCs/>
              </w:rPr>
              <w:t>el cual contiene el oficio del once de marzo de dos mil veinticinco, por medio del cual la Tesorera Municipal, medularmente informa que se encuentra limitada ya que no se específica el ejercicio que requiere la información.</w:t>
            </w:r>
          </w:p>
        </w:tc>
      </w:tr>
      <w:tr w:rsidR="00A203AB" w:rsidRPr="00AE490A" w14:paraId="4F5A6DBD" w14:textId="6C2C3EB3" w:rsidTr="001038C0">
        <w:trPr>
          <w:trHeight w:val="962"/>
        </w:trPr>
        <w:tc>
          <w:tcPr>
            <w:tcW w:w="2853" w:type="dxa"/>
            <w:shd w:val="clear" w:color="auto" w:fill="auto"/>
            <w:noWrap/>
          </w:tcPr>
          <w:p w14:paraId="40A14040" w14:textId="4CB79AC0" w:rsidR="00A203AB" w:rsidRPr="00AE490A" w:rsidRDefault="00A203AB" w:rsidP="00AE490A">
            <w:pPr>
              <w:spacing w:line="240" w:lineRule="auto"/>
              <w:jc w:val="center"/>
              <w:rPr>
                <w:rFonts w:cs="Tahoma"/>
                <w:b/>
                <w:bCs/>
                <w:lang w:val="en-US"/>
              </w:rPr>
            </w:pPr>
            <w:r w:rsidRPr="00AE490A">
              <w:rPr>
                <w:rFonts w:cs="Tahoma"/>
                <w:b/>
                <w:bCs/>
                <w:lang w:val="en-US"/>
              </w:rPr>
              <w:t>00145/COCOTIT/IP/2025 03114/INFOEM/IP/RR/2025</w:t>
            </w:r>
          </w:p>
        </w:tc>
        <w:tc>
          <w:tcPr>
            <w:tcW w:w="6214" w:type="dxa"/>
            <w:shd w:val="clear" w:color="auto" w:fill="auto"/>
          </w:tcPr>
          <w:p w14:paraId="052AA075" w14:textId="3DC8DA67" w:rsidR="00A203AB" w:rsidRPr="00AE490A" w:rsidRDefault="00A203AB" w:rsidP="00AE490A">
            <w:pPr>
              <w:pStyle w:val="Prrafodelista"/>
              <w:numPr>
                <w:ilvl w:val="0"/>
                <w:numId w:val="39"/>
              </w:numPr>
              <w:spacing w:line="240" w:lineRule="auto"/>
              <w:rPr>
                <w:rFonts w:eastAsiaTheme="majorEastAsia"/>
                <w:b/>
                <w:bCs/>
                <w:i/>
              </w:rPr>
            </w:pPr>
            <w:r w:rsidRPr="00AE490A">
              <w:rPr>
                <w:rFonts w:eastAsiaTheme="majorEastAsia"/>
                <w:b/>
                <w:bCs/>
                <w:i/>
              </w:rPr>
              <w:t xml:space="preserve">Respuesta 00145.pdf, </w:t>
            </w:r>
            <w:r w:rsidRPr="00AE490A">
              <w:rPr>
                <w:rFonts w:eastAsiaTheme="majorEastAsia"/>
                <w:iCs/>
              </w:rPr>
              <w:t xml:space="preserve">el cual contiene el oficio del trece de marzo de dos mil veinticinco, por medio del cual la Tesorera Municipal, medularmente informa que se encuentra limitada ya que no se específica el ejercicio que requiere la información. </w:t>
            </w:r>
          </w:p>
        </w:tc>
      </w:tr>
    </w:tbl>
    <w:p w14:paraId="6B6FE4F6" w14:textId="77777777" w:rsidR="0057464A" w:rsidRPr="00AE490A" w:rsidRDefault="0057464A" w:rsidP="00AE490A"/>
    <w:p w14:paraId="5A5DAB9E" w14:textId="77777777" w:rsidR="00E37A3F" w:rsidRPr="00AE490A" w:rsidRDefault="00E37A3F" w:rsidP="00AE490A">
      <w:pPr>
        <w:pStyle w:val="Ttulo2"/>
        <w:jc w:val="left"/>
      </w:pPr>
      <w:bookmarkStart w:id="10" w:name="_Toc198747249"/>
      <w:r w:rsidRPr="00AE490A">
        <w:t>DEL RECURSO DE REVISIÓN</w:t>
      </w:r>
      <w:bookmarkEnd w:id="10"/>
    </w:p>
    <w:p w14:paraId="2B216813" w14:textId="61ADBB2B" w:rsidR="00664420" w:rsidRPr="00AE490A" w:rsidRDefault="006E25BC" w:rsidP="00AE490A">
      <w:pPr>
        <w:pStyle w:val="Ttulo3"/>
      </w:pPr>
      <w:bookmarkStart w:id="11" w:name="_Toc198747250"/>
      <w:r w:rsidRPr="00AE490A">
        <w:rPr>
          <w:szCs w:val="32"/>
        </w:rPr>
        <w:t>a)</w:t>
      </w:r>
      <w:r w:rsidRPr="00AE490A">
        <w:t xml:space="preserve"> </w:t>
      </w:r>
      <w:r w:rsidR="00664420" w:rsidRPr="00AE490A">
        <w:t>Interposición del Recurso de Revisión</w:t>
      </w:r>
      <w:bookmarkEnd w:id="11"/>
    </w:p>
    <w:p w14:paraId="6279C622" w14:textId="7972AC46" w:rsidR="00664420" w:rsidRPr="00AE490A" w:rsidRDefault="00664420" w:rsidP="00AE490A">
      <w:pPr>
        <w:autoSpaceDE w:val="0"/>
        <w:autoSpaceDN w:val="0"/>
        <w:adjustRightInd w:val="0"/>
        <w:ind w:right="-28"/>
        <w:rPr>
          <w:rFonts w:cs="Tahoma"/>
          <w:szCs w:val="22"/>
        </w:rPr>
      </w:pPr>
      <w:r w:rsidRPr="00AE490A">
        <w:rPr>
          <w:rFonts w:cs="Tahoma"/>
          <w:szCs w:val="22"/>
        </w:rPr>
        <w:t xml:space="preserve">El </w:t>
      </w:r>
      <w:r w:rsidR="00DB4C89" w:rsidRPr="00AE490A">
        <w:rPr>
          <w:rFonts w:cs="Tahoma"/>
          <w:b/>
          <w:bCs/>
          <w:szCs w:val="22"/>
        </w:rPr>
        <w:t xml:space="preserve">doce </w:t>
      </w:r>
      <w:r w:rsidR="006A065D" w:rsidRPr="00AE490A">
        <w:rPr>
          <w:rFonts w:cs="Tahoma"/>
          <w:b/>
          <w:bCs/>
          <w:szCs w:val="22"/>
        </w:rPr>
        <w:t>y dieci</w:t>
      </w:r>
      <w:r w:rsidR="00F903E2" w:rsidRPr="00AE490A">
        <w:rPr>
          <w:rFonts w:cs="Tahoma"/>
          <w:b/>
          <w:bCs/>
          <w:szCs w:val="22"/>
        </w:rPr>
        <w:t>ocho</w:t>
      </w:r>
      <w:r w:rsidR="00F903E2" w:rsidRPr="00AE490A">
        <w:rPr>
          <w:rStyle w:val="Refdenotaalpie"/>
          <w:rFonts w:cs="Tahoma"/>
          <w:b/>
          <w:bCs/>
          <w:szCs w:val="22"/>
        </w:rPr>
        <w:footnoteReference w:id="1"/>
      </w:r>
      <w:r w:rsidR="006A065D" w:rsidRPr="00AE490A">
        <w:rPr>
          <w:rFonts w:cs="Tahoma"/>
          <w:b/>
          <w:bCs/>
          <w:szCs w:val="22"/>
        </w:rPr>
        <w:t xml:space="preserve"> </w:t>
      </w:r>
      <w:r w:rsidR="00DB4C89" w:rsidRPr="00AE490A">
        <w:rPr>
          <w:rFonts w:cs="Tahoma"/>
          <w:b/>
          <w:bCs/>
          <w:szCs w:val="22"/>
        </w:rPr>
        <w:t xml:space="preserve">de marzo </w:t>
      </w:r>
      <w:r w:rsidR="00444DE3" w:rsidRPr="00AE490A">
        <w:rPr>
          <w:rFonts w:cs="Tahoma"/>
          <w:b/>
          <w:bCs/>
          <w:szCs w:val="22"/>
        </w:rPr>
        <w:t xml:space="preserve">de dos mil veinticinco </w:t>
      </w:r>
      <w:r w:rsidR="00F75D23" w:rsidRPr="00AE490A">
        <w:rPr>
          <w:rFonts w:cs="Tahoma"/>
          <w:b/>
          <w:bCs/>
          <w:szCs w:val="22"/>
        </w:rPr>
        <w:t>LA PARTE RECURRENTE</w:t>
      </w:r>
      <w:r w:rsidR="00F75D23" w:rsidRPr="00AE490A">
        <w:rPr>
          <w:rFonts w:cs="Tahoma"/>
          <w:szCs w:val="22"/>
        </w:rPr>
        <w:t xml:space="preserve"> interpuso </w:t>
      </w:r>
      <w:r w:rsidR="0068301E" w:rsidRPr="00AE490A">
        <w:rPr>
          <w:rFonts w:cs="Tahoma"/>
          <w:szCs w:val="22"/>
        </w:rPr>
        <w:t>los</w:t>
      </w:r>
      <w:r w:rsidR="00F75D23" w:rsidRPr="00AE490A">
        <w:rPr>
          <w:rFonts w:cs="Tahoma"/>
          <w:szCs w:val="22"/>
        </w:rPr>
        <w:t xml:space="preserve"> recurso</w:t>
      </w:r>
      <w:r w:rsidR="0068301E" w:rsidRPr="00AE490A">
        <w:rPr>
          <w:rFonts w:cs="Tahoma"/>
          <w:szCs w:val="22"/>
        </w:rPr>
        <w:t>s</w:t>
      </w:r>
      <w:r w:rsidR="00F75D23" w:rsidRPr="00AE490A">
        <w:rPr>
          <w:rFonts w:cs="Tahoma"/>
          <w:szCs w:val="22"/>
        </w:rPr>
        <w:t xml:space="preserve"> de revisión en contra de la</w:t>
      </w:r>
      <w:r w:rsidR="0068301E" w:rsidRPr="00AE490A">
        <w:rPr>
          <w:rFonts w:cs="Tahoma"/>
          <w:szCs w:val="22"/>
        </w:rPr>
        <w:t>s</w:t>
      </w:r>
      <w:r w:rsidR="00F75D23" w:rsidRPr="00AE490A">
        <w:rPr>
          <w:rFonts w:cs="Tahoma"/>
          <w:szCs w:val="22"/>
        </w:rPr>
        <w:t xml:space="preserve"> respuesta</w:t>
      </w:r>
      <w:r w:rsidR="0068301E" w:rsidRPr="00AE490A">
        <w:rPr>
          <w:rFonts w:cs="Tahoma"/>
          <w:szCs w:val="22"/>
        </w:rPr>
        <w:t>s</w:t>
      </w:r>
      <w:r w:rsidR="00F75D23" w:rsidRPr="00AE490A">
        <w:rPr>
          <w:rFonts w:cs="Tahoma"/>
          <w:szCs w:val="22"/>
        </w:rPr>
        <w:t xml:space="preserve"> emitida</w:t>
      </w:r>
      <w:r w:rsidR="0068301E" w:rsidRPr="00AE490A">
        <w:rPr>
          <w:rFonts w:cs="Tahoma"/>
          <w:szCs w:val="22"/>
        </w:rPr>
        <w:t>s</w:t>
      </w:r>
      <w:r w:rsidR="00F75D23" w:rsidRPr="00AE490A">
        <w:rPr>
          <w:rFonts w:cs="Tahoma"/>
          <w:szCs w:val="22"/>
        </w:rPr>
        <w:t xml:space="preserve"> por el </w:t>
      </w:r>
      <w:r w:rsidR="00F75D23" w:rsidRPr="00AE490A">
        <w:rPr>
          <w:rFonts w:cs="Tahoma"/>
          <w:b/>
          <w:bCs/>
          <w:szCs w:val="22"/>
        </w:rPr>
        <w:t>SUJETO OBLIGADO</w:t>
      </w:r>
      <w:r w:rsidR="00953430" w:rsidRPr="00AE490A">
        <w:rPr>
          <w:rFonts w:cs="Tahoma"/>
          <w:szCs w:val="22"/>
        </w:rPr>
        <w:t xml:space="preserve">, </w:t>
      </w:r>
      <w:r w:rsidR="00953430" w:rsidRPr="00AE490A">
        <w:rPr>
          <w:rFonts w:cs="Tahoma"/>
          <w:szCs w:val="22"/>
        </w:rPr>
        <w:lastRenderedPageBreak/>
        <w:t>mismo</w:t>
      </w:r>
      <w:r w:rsidR="0068301E" w:rsidRPr="00AE490A">
        <w:rPr>
          <w:rFonts w:cs="Tahoma"/>
          <w:szCs w:val="22"/>
        </w:rPr>
        <w:t>s</w:t>
      </w:r>
      <w:r w:rsidR="00953430" w:rsidRPr="00AE490A">
        <w:rPr>
          <w:rFonts w:cs="Tahoma"/>
          <w:szCs w:val="22"/>
        </w:rPr>
        <w:t xml:space="preserve"> que fue</w:t>
      </w:r>
      <w:r w:rsidR="0068301E" w:rsidRPr="00AE490A">
        <w:rPr>
          <w:rFonts w:cs="Tahoma"/>
          <w:szCs w:val="22"/>
        </w:rPr>
        <w:t>ron</w:t>
      </w:r>
      <w:r w:rsidR="00953430" w:rsidRPr="00AE490A">
        <w:rPr>
          <w:rFonts w:cs="Tahoma"/>
          <w:szCs w:val="22"/>
        </w:rPr>
        <w:t xml:space="preserve"> registrado</w:t>
      </w:r>
      <w:r w:rsidR="0068301E" w:rsidRPr="00AE490A">
        <w:rPr>
          <w:rFonts w:cs="Tahoma"/>
          <w:szCs w:val="22"/>
        </w:rPr>
        <w:t>s</w:t>
      </w:r>
      <w:r w:rsidR="00953430" w:rsidRPr="00AE490A">
        <w:rPr>
          <w:rFonts w:cs="Tahoma"/>
          <w:szCs w:val="22"/>
        </w:rPr>
        <w:t xml:space="preserve"> en el </w:t>
      </w:r>
      <w:r w:rsidR="00953430" w:rsidRPr="00AE490A">
        <w:rPr>
          <w:rFonts w:cs="Tahoma"/>
          <w:b/>
          <w:szCs w:val="22"/>
        </w:rPr>
        <w:t>SAIMEX</w:t>
      </w:r>
      <w:r w:rsidR="00953430" w:rsidRPr="00AE490A">
        <w:rPr>
          <w:rFonts w:cs="Tahoma"/>
          <w:szCs w:val="22"/>
        </w:rPr>
        <w:t xml:space="preserve"> con </w:t>
      </w:r>
      <w:r w:rsidR="0068301E" w:rsidRPr="00AE490A">
        <w:rPr>
          <w:rFonts w:cs="Tahoma"/>
          <w:szCs w:val="22"/>
        </w:rPr>
        <w:t>los</w:t>
      </w:r>
      <w:r w:rsidR="00953430" w:rsidRPr="00AE490A">
        <w:rPr>
          <w:rFonts w:cs="Tahoma"/>
          <w:szCs w:val="22"/>
        </w:rPr>
        <w:t xml:space="preserve"> número</w:t>
      </w:r>
      <w:r w:rsidR="0068301E" w:rsidRPr="00AE490A">
        <w:rPr>
          <w:rFonts w:cs="Tahoma"/>
          <w:szCs w:val="22"/>
        </w:rPr>
        <w:t>s</w:t>
      </w:r>
      <w:r w:rsidR="00953430" w:rsidRPr="00AE490A">
        <w:rPr>
          <w:rFonts w:cs="Tahoma"/>
          <w:szCs w:val="22"/>
        </w:rPr>
        <w:t xml:space="preserve"> de expediente </w:t>
      </w:r>
      <w:r w:rsidR="006A065D" w:rsidRPr="00AE490A">
        <w:rPr>
          <w:rFonts w:eastAsia="Calibri"/>
          <w:b/>
          <w:lang w:eastAsia="en-US"/>
        </w:rPr>
        <w:t xml:space="preserve">02867/INFOEM/IP/RR/2025 </w:t>
      </w:r>
      <w:r w:rsidR="006A065D" w:rsidRPr="00AE490A">
        <w:rPr>
          <w:rFonts w:eastAsia="Calibri"/>
          <w:lang w:eastAsia="en-US"/>
        </w:rPr>
        <w:t>y</w:t>
      </w:r>
      <w:r w:rsidR="006A065D" w:rsidRPr="00AE490A">
        <w:rPr>
          <w:rFonts w:eastAsia="Calibri"/>
          <w:b/>
          <w:lang w:eastAsia="en-US"/>
        </w:rPr>
        <w:t xml:space="preserve"> 03114/INFOEM/IP/RR/2025</w:t>
      </w:r>
      <w:r w:rsidR="00953430" w:rsidRPr="00AE490A">
        <w:rPr>
          <w:rFonts w:cs="Tahoma"/>
          <w:szCs w:val="22"/>
        </w:rPr>
        <w:t>, en l</w:t>
      </w:r>
      <w:r w:rsidR="0068301E" w:rsidRPr="00AE490A">
        <w:rPr>
          <w:rFonts w:cs="Tahoma"/>
          <w:szCs w:val="22"/>
        </w:rPr>
        <w:t>os</w:t>
      </w:r>
      <w:r w:rsidR="00953430" w:rsidRPr="00AE490A">
        <w:rPr>
          <w:rFonts w:cs="Tahoma"/>
          <w:szCs w:val="22"/>
        </w:rPr>
        <w:t xml:space="preserve"> cual</w:t>
      </w:r>
      <w:r w:rsidR="0068301E" w:rsidRPr="00AE490A">
        <w:rPr>
          <w:rFonts w:cs="Tahoma"/>
          <w:szCs w:val="22"/>
        </w:rPr>
        <w:t>es</w:t>
      </w:r>
      <w:r w:rsidR="00953430" w:rsidRPr="00AE490A">
        <w:rPr>
          <w:rFonts w:cs="Tahoma"/>
          <w:szCs w:val="22"/>
        </w:rPr>
        <w:t xml:space="preserve"> manifiesta lo siguiente</w:t>
      </w:r>
      <w:r w:rsidRPr="00AE490A">
        <w:rPr>
          <w:rFonts w:cs="Tahoma"/>
          <w:szCs w:val="22"/>
        </w:rPr>
        <w:t>:</w:t>
      </w:r>
    </w:p>
    <w:p w14:paraId="74B30008" w14:textId="77777777" w:rsidR="00664420" w:rsidRPr="00AE490A" w:rsidRDefault="00664420" w:rsidP="00AE490A">
      <w:pPr>
        <w:tabs>
          <w:tab w:val="left" w:pos="4667"/>
        </w:tabs>
        <w:ind w:right="539"/>
        <w:rPr>
          <w:rFonts w:cs="Tahoma"/>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0"/>
        <w:gridCol w:w="2991"/>
        <w:gridCol w:w="2976"/>
      </w:tblGrid>
      <w:tr w:rsidR="00AE490A" w:rsidRPr="00AE490A" w14:paraId="6F08417B" w14:textId="7499294D" w:rsidTr="004453B1">
        <w:trPr>
          <w:trHeight w:val="324"/>
          <w:tblHeader/>
        </w:trPr>
        <w:tc>
          <w:tcPr>
            <w:tcW w:w="3100" w:type="dxa"/>
            <w:shd w:val="clear" w:color="000000" w:fill="D9D9D9"/>
            <w:noWrap/>
            <w:vAlign w:val="center"/>
            <w:hideMark/>
          </w:tcPr>
          <w:p w14:paraId="7FDE7CD6" w14:textId="77777777" w:rsidR="004453B1" w:rsidRPr="00AE490A" w:rsidRDefault="004453B1" w:rsidP="00AE490A">
            <w:pPr>
              <w:spacing w:line="240" w:lineRule="auto"/>
              <w:jc w:val="center"/>
              <w:rPr>
                <w:rFonts w:cs="Andalus"/>
                <w:b/>
                <w:bCs/>
                <w:szCs w:val="22"/>
              </w:rPr>
            </w:pPr>
            <w:r w:rsidRPr="00AE490A">
              <w:rPr>
                <w:rFonts w:cs="Andalus"/>
                <w:b/>
                <w:bCs/>
                <w:szCs w:val="22"/>
              </w:rPr>
              <w:t xml:space="preserve">Número de solicitud / </w:t>
            </w:r>
          </w:p>
          <w:p w14:paraId="15681A5A" w14:textId="77777777" w:rsidR="004453B1" w:rsidRPr="00AE490A" w:rsidRDefault="004453B1" w:rsidP="00AE490A">
            <w:pPr>
              <w:spacing w:line="240" w:lineRule="auto"/>
              <w:jc w:val="center"/>
              <w:rPr>
                <w:rFonts w:cs="Andalus"/>
                <w:b/>
                <w:bCs/>
                <w:szCs w:val="22"/>
              </w:rPr>
            </w:pPr>
            <w:r w:rsidRPr="00AE490A">
              <w:rPr>
                <w:rFonts w:cs="Andalus"/>
                <w:b/>
                <w:bCs/>
                <w:szCs w:val="22"/>
              </w:rPr>
              <w:t>Número de Recurso</w:t>
            </w:r>
          </w:p>
          <w:p w14:paraId="55C7A4DE" w14:textId="77777777" w:rsidR="004453B1" w:rsidRPr="00AE490A" w:rsidRDefault="004453B1" w:rsidP="00AE490A">
            <w:pPr>
              <w:spacing w:line="240" w:lineRule="auto"/>
              <w:jc w:val="center"/>
              <w:rPr>
                <w:rFonts w:cs="Andalus"/>
                <w:b/>
                <w:bCs/>
                <w:szCs w:val="22"/>
              </w:rPr>
            </w:pPr>
          </w:p>
        </w:tc>
        <w:tc>
          <w:tcPr>
            <w:tcW w:w="2991" w:type="dxa"/>
            <w:shd w:val="clear" w:color="000000" w:fill="D9D9D9"/>
            <w:noWrap/>
            <w:vAlign w:val="center"/>
            <w:hideMark/>
          </w:tcPr>
          <w:p w14:paraId="670CBF00" w14:textId="01832DE9" w:rsidR="004453B1" w:rsidRPr="00AE490A" w:rsidRDefault="004453B1" w:rsidP="00AE490A">
            <w:pPr>
              <w:spacing w:line="240" w:lineRule="auto"/>
              <w:jc w:val="center"/>
              <w:rPr>
                <w:rFonts w:cs="Andalus"/>
                <w:b/>
                <w:bCs/>
                <w:szCs w:val="22"/>
              </w:rPr>
            </w:pPr>
            <w:r w:rsidRPr="00AE490A">
              <w:rPr>
                <w:rFonts w:cs="Andalus"/>
                <w:b/>
                <w:bCs/>
                <w:szCs w:val="22"/>
              </w:rPr>
              <w:t xml:space="preserve">Acto Impugnado  </w:t>
            </w:r>
          </w:p>
        </w:tc>
        <w:tc>
          <w:tcPr>
            <w:tcW w:w="2976" w:type="dxa"/>
            <w:shd w:val="clear" w:color="000000" w:fill="D9D9D9"/>
            <w:vAlign w:val="center"/>
          </w:tcPr>
          <w:p w14:paraId="32D259AC" w14:textId="0F3BFEE7" w:rsidR="004453B1" w:rsidRPr="00AE490A" w:rsidRDefault="004453B1" w:rsidP="00AE490A">
            <w:pPr>
              <w:spacing w:line="240" w:lineRule="auto"/>
              <w:jc w:val="center"/>
              <w:rPr>
                <w:rFonts w:cs="Andalus"/>
                <w:b/>
                <w:bCs/>
                <w:szCs w:val="22"/>
              </w:rPr>
            </w:pPr>
            <w:r w:rsidRPr="00AE490A">
              <w:rPr>
                <w:rFonts w:cs="Andalus"/>
                <w:b/>
                <w:bCs/>
                <w:szCs w:val="22"/>
              </w:rPr>
              <w:t xml:space="preserve">Razones o motivos de inconformidad </w:t>
            </w:r>
          </w:p>
        </w:tc>
      </w:tr>
      <w:tr w:rsidR="00AE490A" w:rsidRPr="00AE490A" w14:paraId="768ED05E" w14:textId="4AC6E823" w:rsidTr="004453B1">
        <w:trPr>
          <w:trHeight w:val="962"/>
        </w:trPr>
        <w:tc>
          <w:tcPr>
            <w:tcW w:w="3100" w:type="dxa"/>
            <w:shd w:val="clear" w:color="auto" w:fill="auto"/>
            <w:noWrap/>
          </w:tcPr>
          <w:p w14:paraId="2AC50DC3" w14:textId="19906F49" w:rsidR="006A065D" w:rsidRPr="00AE490A" w:rsidRDefault="006A065D" w:rsidP="00AE490A">
            <w:pPr>
              <w:spacing w:line="240" w:lineRule="auto"/>
              <w:jc w:val="center"/>
              <w:rPr>
                <w:rFonts w:cs="Arial"/>
                <w:b/>
                <w:lang w:val="en-US"/>
              </w:rPr>
            </w:pPr>
            <w:r w:rsidRPr="00AE490A">
              <w:rPr>
                <w:rFonts w:cs="Tahoma"/>
                <w:b/>
                <w:bCs/>
                <w:lang w:val="en-US"/>
              </w:rPr>
              <w:t>00139/COCOTIT/IP/2025 02867/INFOEM/IP/RR/2025</w:t>
            </w:r>
          </w:p>
        </w:tc>
        <w:tc>
          <w:tcPr>
            <w:tcW w:w="2991" w:type="dxa"/>
            <w:shd w:val="clear" w:color="auto" w:fill="auto"/>
          </w:tcPr>
          <w:p w14:paraId="64ADB1E7" w14:textId="6E95FF01" w:rsidR="006A065D" w:rsidRPr="00AE490A" w:rsidRDefault="006A065D" w:rsidP="00AE490A">
            <w:pPr>
              <w:spacing w:line="240" w:lineRule="auto"/>
              <w:rPr>
                <w:rFonts w:cs="Calibri"/>
                <w:i/>
                <w:szCs w:val="22"/>
              </w:rPr>
            </w:pPr>
            <w:r w:rsidRPr="00AE490A">
              <w:rPr>
                <w:rFonts w:cs="Calibri"/>
                <w:i/>
                <w:szCs w:val="22"/>
              </w:rPr>
              <w:t>“No se entrega la información solicitada” (sic)</w:t>
            </w:r>
          </w:p>
        </w:tc>
        <w:tc>
          <w:tcPr>
            <w:tcW w:w="2976" w:type="dxa"/>
          </w:tcPr>
          <w:p w14:paraId="4BC45996" w14:textId="6D9D7098" w:rsidR="006A065D" w:rsidRPr="00AE490A" w:rsidRDefault="006A065D" w:rsidP="00AE490A">
            <w:pPr>
              <w:spacing w:line="240" w:lineRule="auto"/>
              <w:rPr>
                <w:rFonts w:cs="Calibri"/>
                <w:i/>
                <w:szCs w:val="22"/>
              </w:rPr>
            </w:pPr>
            <w:r w:rsidRPr="00AE490A">
              <w:rPr>
                <w:rFonts w:cs="Calibri"/>
                <w:i/>
                <w:szCs w:val="22"/>
              </w:rPr>
              <w:t>“No se entrega la información solicitada” (sic)</w:t>
            </w:r>
          </w:p>
        </w:tc>
      </w:tr>
      <w:tr w:rsidR="006A065D" w:rsidRPr="00AE490A" w14:paraId="76F5CF2A" w14:textId="46ADA549" w:rsidTr="004453B1">
        <w:trPr>
          <w:trHeight w:val="962"/>
        </w:trPr>
        <w:tc>
          <w:tcPr>
            <w:tcW w:w="3100" w:type="dxa"/>
            <w:shd w:val="clear" w:color="auto" w:fill="auto"/>
            <w:noWrap/>
          </w:tcPr>
          <w:p w14:paraId="2E906053" w14:textId="7CF3282C" w:rsidR="006A065D" w:rsidRPr="00AE490A" w:rsidRDefault="006A065D" w:rsidP="00AE490A">
            <w:pPr>
              <w:spacing w:line="240" w:lineRule="auto"/>
              <w:jc w:val="center"/>
              <w:rPr>
                <w:rFonts w:cs="Tahoma"/>
                <w:b/>
                <w:bCs/>
                <w:lang w:val="en-US"/>
              </w:rPr>
            </w:pPr>
            <w:r w:rsidRPr="00AE490A">
              <w:rPr>
                <w:rFonts w:cs="Tahoma"/>
                <w:b/>
                <w:bCs/>
                <w:lang w:val="en-US"/>
              </w:rPr>
              <w:t>00145/COCOTIT/IP/2025 03114/INFOEM/IP/RR/2025</w:t>
            </w:r>
          </w:p>
        </w:tc>
        <w:tc>
          <w:tcPr>
            <w:tcW w:w="2991" w:type="dxa"/>
            <w:shd w:val="clear" w:color="auto" w:fill="auto"/>
          </w:tcPr>
          <w:p w14:paraId="73CC12B0" w14:textId="2995C643" w:rsidR="006A065D" w:rsidRPr="00AE490A" w:rsidRDefault="006A065D" w:rsidP="00AE490A">
            <w:pPr>
              <w:spacing w:line="240" w:lineRule="auto"/>
              <w:rPr>
                <w:rFonts w:cs="Calibri"/>
                <w:i/>
                <w:szCs w:val="22"/>
              </w:rPr>
            </w:pPr>
            <w:r w:rsidRPr="00AE490A">
              <w:rPr>
                <w:rFonts w:cs="Calibri"/>
                <w:i/>
                <w:szCs w:val="22"/>
              </w:rPr>
              <w:t>“Se me niega la información le recuerdo que como ciudadano debemos de saber cuanto están ganando los servidores públicos para que exista una mayor transparencia y con esto solo dan indicios que están haciendo mal uso de los recursos al negar la información” (sic)</w:t>
            </w:r>
          </w:p>
        </w:tc>
        <w:tc>
          <w:tcPr>
            <w:tcW w:w="2976" w:type="dxa"/>
          </w:tcPr>
          <w:p w14:paraId="0EAABA8A" w14:textId="2FA70569" w:rsidR="006A065D" w:rsidRPr="00AE490A" w:rsidRDefault="006A065D" w:rsidP="00AE490A">
            <w:pPr>
              <w:spacing w:line="240" w:lineRule="auto"/>
              <w:rPr>
                <w:rFonts w:cs="Calibri"/>
                <w:i/>
                <w:szCs w:val="22"/>
              </w:rPr>
            </w:pPr>
            <w:r w:rsidRPr="00AE490A">
              <w:rPr>
                <w:rFonts w:cs="Calibri"/>
                <w:i/>
                <w:szCs w:val="22"/>
              </w:rPr>
              <w:t xml:space="preserve">“La Tesorera Municipal de Cocotitlan niega la información que es de interés público” (sic) </w:t>
            </w:r>
          </w:p>
        </w:tc>
      </w:tr>
    </w:tbl>
    <w:p w14:paraId="1A5667F2" w14:textId="77777777" w:rsidR="00444DE3" w:rsidRPr="00AE490A" w:rsidRDefault="00444DE3" w:rsidP="00AE490A">
      <w:pPr>
        <w:tabs>
          <w:tab w:val="left" w:pos="4667"/>
        </w:tabs>
        <w:ind w:right="539"/>
        <w:rPr>
          <w:rFonts w:cs="Tahoma"/>
          <w:szCs w:val="22"/>
        </w:rPr>
      </w:pPr>
    </w:p>
    <w:p w14:paraId="6804DEF1" w14:textId="3C4F6CB5" w:rsidR="00664420" w:rsidRPr="00AE490A" w:rsidRDefault="006E25BC" w:rsidP="00AE490A">
      <w:pPr>
        <w:pStyle w:val="Ttulo3"/>
      </w:pPr>
      <w:bookmarkStart w:id="12" w:name="_Toc198747251"/>
      <w:r w:rsidRPr="00AE490A">
        <w:t>b</w:t>
      </w:r>
      <w:r w:rsidR="00664420" w:rsidRPr="00AE490A">
        <w:t>) Turno del Recurso de Revisión</w:t>
      </w:r>
      <w:bookmarkEnd w:id="12"/>
    </w:p>
    <w:p w14:paraId="283CBB48" w14:textId="71B4BFC0" w:rsidR="002C5298" w:rsidRPr="00AE490A" w:rsidRDefault="00C72DAA" w:rsidP="00AE490A">
      <w:pPr>
        <w:rPr>
          <w:rFonts w:eastAsia="Batang" w:cs="Tahoma"/>
          <w:bCs/>
          <w:szCs w:val="22"/>
        </w:rPr>
      </w:pPr>
      <w:r w:rsidRPr="00AE490A">
        <w:t>Con fundamento en el artículo 185, fracción I de la Ley de Transparencia y Acceso a la Información Pública del Estado de México y Municipios, el</w:t>
      </w:r>
      <w:r w:rsidRPr="00AE490A">
        <w:rPr>
          <w:b/>
          <w:bCs/>
        </w:rPr>
        <w:t xml:space="preserve"> </w:t>
      </w:r>
      <w:r w:rsidR="006A065D" w:rsidRPr="00AE490A">
        <w:rPr>
          <w:rFonts w:eastAsia="Palatino Linotype" w:cs="Palatino Linotype"/>
          <w:b/>
        </w:rPr>
        <w:t xml:space="preserve">doce y diecisiete </w:t>
      </w:r>
      <w:r w:rsidR="00DB4C89" w:rsidRPr="00AE490A">
        <w:rPr>
          <w:rFonts w:eastAsia="Palatino Linotype" w:cs="Palatino Linotype"/>
          <w:b/>
        </w:rPr>
        <w:t xml:space="preserve">de marzo </w:t>
      </w:r>
      <w:r w:rsidR="004453B1" w:rsidRPr="00AE490A">
        <w:rPr>
          <w:rFonts w:eastAsia="Palatino Linotype" w:cs="Palatino Linotype"/>
          <w:b/>
        </w:rPr>
        <w:t>de dos mil veinticinco</w:t>
      </w:r>
      <w:r w:rsidR="00657603" w:rsidRPr="00AE490A">
        <w:rPr>
          <w:rFonts w:eastAsia="Palatino Linotype" w:cs="Palatino Linotype"/>
          <w:b/>
        </w:rPr>
        <w:t xml:space="preserve"> </w:t>
      </w:r>
      <w:r w:rsidRPr="00AE490A">
        <w:t xml:space="preserve">se </w:t>
      </w:r>
      <w:r w:rsidR="00013A12" w:rsidRPr="00AE490A">
        <w:t>tunaron a través del</w:t>
      </w:r>
      <w:r w:rsidR="00013A12" w:rsidRPr="00AE490A">
        <w:rPr>
          <w:rFonts w:eastAsia="Arial Unicode MS"/>
        </w:rPr>
        <w:t xml:space="preserve"> </w:t>
      </w:r>
      <w:r w:rsidR="00013A12" w:rsidRPr="00AE490A">
        <w:rPr>
          <w:rFonts w:eastAsia="Arial Unicode MS"/>
          <w:b/>
          <w:bCs/>
        </w:rPr>
        <w:t>SAIMEX</w:t>
      </w:r>
      <w:r w:rsidR="00013A12" w:rsidRPr="00AE490A">
        <w:t xml:space="preserve"> </w:t>
      </w:r>
      <w:r w:rsidR="002C5298" w:rsidRPr="00AE490A">
        <w:rPr>
          <w:rFonts w:eastAsia="Batang" w:cs="Tahoma"/>
          <w:bCs/>
          <w:szCs w:val="22"/>
        </w:rPr>
        <w:t xml:space="preserve">el Recursos de Revisión </w:t>
      </w:r>
      <w:r w:rsidR="006A065D" w:rsidRPr="00AE490A">
        <w:rPr>
          <w:rFonts w:cs="Tahoma"/>
          <w:b/>
          <w:bCs/>
        </w:rPr>
        <w:t xml:space="preserve">02867/INFOEM/IP/RR/2025 </w:t>
      </w:r>
      <w:r w:rsidR="002C5298" w:rsidRPr="00AE490A">
        <w:rPr>
          <w:rFonts w:eastAsia="Batang" w:cs="Tahoma"/>
          <w:bCs/>
          <w:szCs w:val="22"/>
        </w:rPr>
        <w:t>a la comisionada</w:t>
      </w:r>
      <w:r w:rsidR="002C5298" w:rsidRPr="00AE490A">
        <w:rPr>
          <w:rFonts w:eastAsia="Batang" w:cs="Tahoma"/>
          <w:b/>
          <w:bCs/>
          <w:szCs w:val="22"/>
        </w:rPr>
        <w:t xml:space="preserve"> Sharon Cristina Morales Martínez</w:t>
      </w:r>
      <w:r w:rsidR="006A065D" w:rsidRPr="00AE490A">
        <w:rPr>
          <w:rFonts w:eastAsia="Batang" w:cs="Tahoma"/>
          <w:b/>
          <w:bCs/>
          <w:szCs w:val="22"/>
        </w:rPr>
        <w:t xml:space="preserve"> </w:t>
      </w:r>
      <w:r w:rsidR="006A065D" w:rsidRPr="00AE490A">
        <w:rPr>
          <w:rFonts w:eastAsia="Batang" w:cs="Tahoma"/>
          <w:szCs w:val="22"/>
        </w:rPr>
        <w:t>y</w:t>
      </w:r>
      <w:r w:rsidR="002C5298" w:rsidRPr="00AE490A">
        <w:rPr>
          <w:rFonts w:eastAsia="Batang" w:cs="Tahoma"/>
          <w:b/>
          <w:bCs/>
          <w:szCs w:val="22"/>
        </w:rPr>
        <w:t xml:space="preserve"> </w:t>
      </w:r>
      <w:r w:rsidR="002C5298" w:rsidRPr="00AE490A">
        <w:rPr>
          <w:rFonts w:eastAsia="Batang" w:cs="Tahoma"/>
          <w:szCs w:val="22"/>
        </w:rPr>
        <w:t>e</w:t>
      </w:r>
      <w:r w:rsidR="002C5298" w:rsidRPr="00AE490A">
        <w:rPr>
          <w:rFonts w:eastAsia="Batang" w:cs="Tahoma"/>
          <w:bCs/>
          <w:szCs w:val="22"/>
        </w:rPr>
        <w:t xml:space="preserve">l Recurso de Revisión </w:t>
      </w:r>
      <w:r w:rsidR="006A065D" w:rsidRPr="00AE490A">
        <w:rPr>
          <w:rFonts w:cs="Tahoma"/>
          <w:b/>
          <w:bCs/>
        </w:rPr>
        <w:t xml:space="preserve">03114/INFOEM/IP/RR/2025 </w:t>
      </w:r>
      <w:r w:rsidR="002C5298" w:rsidRPr="00AE490A">
        <w:rPr>
          <w:rFonts w:eastAsia="Batang" w:cs="Tahoma"/>
          <w:bCs/>
          <w:szCs w:val="22"/>
        </w:rPr>
        <w:t xml:space="preserve">a la comisionada </w:t>
      </w:r>
      <w:r w:rsidR="002C5298" w:rsidRPr="00AE490A">
        <w:rPr>
          <w:rFonts w:eastAsia="Batang" w:cs="Tahoma"/>
          <w:b/>
          <w:bCs/>
          <w:szCs w:val="22"/>
        </w:rPr>
        <w:t>Guadalupe Ramírez Peña</w:t>
      </w:r>
      <w:r w:rsidR="002C5298" w:rsidRPr="00AE490A">
        <w:rPr>
          <w:rFonts w:eastAsia="Batang" w:cs="Tahoma"/>
          <w:bCs/>
          <w:szCs w:val="22"/>
        </w:rPr>
        <w:t xml:space="preserve">, a efecto de decretar su admisión o desechamiento. </w:t>
      </w:r>
    </w:p>
    <w:p w14:paraId="18F305CB" w14:textId="77777777" w:rsidR="00664420" w:rsidRPr="00AE490A" w:rsidRDefault="00664420" w:rsidP="00AE490A">
      <w:pPr>
        <w:rPr>
          <w:rFonts w:eastAsia="Batang" w:cs="Tahoma"/>
          <w:bCs/>
          <w:szCs w:val="22"/>
        </w:rPr>
      </w:pPr>
    </w:p>
    <w:p w14:paraId="3E31EC2D" w14:textId="295256A1" w:rsidR="00664420" w:rsidRPr="00AE490A" w:rsidRDefault="006E25BC" w:rsidP="00AE490A">
      <w:pPr>
        <w:pStyle w:val="Ttulo3"/>
      </w:pPr>
      <w:bookmarkStart w:id="13" w:name="_Toc198747252"/>
      <w:r w:rsidRPr="00AE490A">
        <w:lastRenderedPageBreak/>
        <w:t>c</w:t>
      </w:r>
      <w:r w:rsidR="00664420" w:rsidRPr="00AE490A">
        <w:t>) Admisión del Recurso de Revisión</w:t>
      </w:r>
      <w:bookmarkEnd w:id="13"/>
    </w:p>
    <w:p w14:paraId="240447D5" w14:textId="27C66697" w:rsidR="000E09C4" w:rsidRPr="00AE490A" w:rsidRDefault="000E09C4" w:rsidP="00AE490A">
      <w:pPr>
        <w:rPr>
          <w:rFonts w:cs="Arial"/>
        </w:rPr>
      </w:pPr>
      <w:r w:rsidRPr="00AE490A">
        <w:rPr>
          <w:rFonts w:cs="Arial"/>
        </w:rPr>
        <w:t xml:space="preserve">El </w:t>
      </w:r>
      <w:r w:rsidR="002C5298" w:rsidRPr="00AE490A">
        <w:rPr>
          <w:rFonts w:eastAsia="Palatino Linotype" w:cs="Palatino Linotype"/>
          <w:b/>
        </w:rPr>
        <w:t>dieciocho</w:t>
      </w:r>
      <w:r w:rsidR="006A065D" w:rsidRPr="00AE490A">
        <w:rPr>
          <w:rFonts w:eastAsia="Palatino Linotype" w:cs="Palatino Linotype"/>
          <w:b/>
        </w:rPr>
        <w:t xml:space="preserve"> y veintiuno </w:t>
      </w:r>
      <w:r w:rsidR="00ED0CEC" w:rsidRPr="00AE490A">
        <w:rPr>
          <w:rFonts w:eastAsia="Palatino Linotype" w:cs="Palatino Linotype"/>
          <w:b/>
        </w:rPr>
        <w:t xml:space="preserve">de </w:t>
      </w:r>
      <w:r w:rsidR="002C5298" w:rsidRPr="00AE490A">
        <w:rPr>
          <w:rFonts w:eastAsia="Palatino Linotype" w:cs="Palatino Linotype"/>
          <w:b/>
        </w:rPr>
        <w:t xml:space="preserve">marzo </w:t>
      </w:r>
      <w:r w:rsidR="00ED0CEC" w:rsidRPr="00AE490A">
        <w:rPr>
          <w:rFonts w:eastAsia="Palatino Linotype" w:cs="Palatino Linotype"/>
          <w:b/>
        </w:rPr>
        <w:t>d</w:t>
      </w:r>
      <w:r w:rsidR="004453B1" w:rsidRPr="00AE490A">
        <w:rPr>
          <w:rFonts w:eastAsia="Palatino Linotype" w:cs="Palatino Linotype"/>
          <w:b/>
        </w:rPr>
        <w:t>e dos mil veinticinco</w:t>
      </w:r>
      <w:r w:rsidRPr="00AE490A">
        <w:rPr>
          <w:rFonts w:cs="Arial"/>
        </w:rPr>
        <w:t xml:space="preserve"> se acordó la admisión a trámite de</w:t>
      </w:r>
      <w:r w:rsidR="0068301E" w:rsidRPr="00AE490A">
        <w:rPr>
          <w:rFonts w:cs="Arial"/>
        </w:rPr>
        <w:t xml:space="preserve"> </w:t>
      </w:r>
      <w:r w:rsidRPr="00AE490A">
        <w:rPr>
          <w:rFonts w:cs="Arial"/>
        </w:rPr>
        <w:t>l</w:t>
      </w:r>
      <w:r w:rsidR="0068301E" w:rsidRPr="00AE490A">
        <w:rPr>
          <w:rFonts w:cs="Arial"/>
        </w:rPr>
        <w:t>os</w:t>
      </w:r>
      <w:r w:rsidRPr="00AE490A">
        <w:rPr>
          <w:rFonts w:cs="Arial"/>
        </w:rPr>
        <w:t xml:space="preserve"> Recurso</w:t>
      </w:r>
      <w:r w:rsidR="0068301E" w:rsidRPr="00AE490A">
        <w:rPr>
          <w:rFonts w:cs="Arial"/>
        </w:rPr>
        <w:t>s</w:t>
      </w:r>
      <w:r w:rsidRPr="00AE490A">
        <w:rPr>
          <w:rFonts w:cs="Arial"/>
        </w:rPr>
        <w:t xml:space="preserve"> de Revisión y se integr</w:t>
      </w:r>
      <w:r w:rsidR="0068301E" w:rsidRPr="00AE490A">
        <w:rPr>
          <w:rFonts w:cs="Arial"/>
        </w:rPr>
        <w:t xml:space="preserve">aron </w:t>
      </w:r>
      <w:r w:rsidRPr="00AE490A">
        <w:rPr>
          <w:rFonts w:cs="Arial"/>
        </w:rPr>
        <w:t>l</w:t>
      </w:r>
      <w:r w:rsidR="0068301E" w:rsidRPr="00AE490A">
        <w:rPr>
          <w:rFonts w:cs="Arial"/>
        </w:rPr>
        <w:t>os</w:t>
      </w:r>
      <w:r w:rsidRPr="00AE490A">
        <w:rPr>
          <w:rFonts w:cs="Arial"/>
        </w:rPr>
        <w:t xml:space="preserve"> expediente</w:t>
      </w:r>
      <w:r w:rsidR="0068301E" w:rsidRPr="00AE490A">
        <w:rPr>
          <w:rFonts w:cs="Arial"/>
        </w:rPr>
        <w:t>s</w:t>
      </w:r>
      <w:r w:rsidRPr="00AE490A">
        <w:rPr>
          <w:rFonts w:cs="Arial"/>
        </w:rPr>
        <w:t xml:space="preserve"> respectivo</w:t>
      </w:r>
      <w:r w:rsidR="0068301E" w:rsidRPr="00AE490A">
        <w:rPr>
          <w:rFonts w:cs="Arial"/>
        </w:rPr>
        <w:t>s</w:t>
      </w:r>
      <w:r w:rsidRPr="00AE490A">
        <w:rPr>
          <w:rFonts w:cs="Arial"/>
        </w:rPr>
        <w:t>, mismo</w:t>
      </w:r>
      <w:r w:rsidR="0068301E" w:rsidRPr="00AE490A">
        <w:rPr>
          <w:rFonts w:cs="Arial"/>
        </w:rPr>
        <w:t xml:space="preserve">s que se pusieron </w:t>
      </w:r>
      <w:r w:rsidRPr="00AE490A">
        <w:rPr>
          <w:rFonts w:cs="Arial"/>
        </w:rPr>
        <w:t>a disposición de las partes para que, en un plazo de siete días hábiles, manifestaran lo que a su derecho conviniera, conforme a lo dispuesto por el artículo 185</w:t>
      </w:r>
      <w:r w:rsidR="00865CF4" w:rsidRPr="00AE490A">
        <w:rPr>
          <w:rFonts w:cs="Arial"/>
        </w:rPr>
        <w:t>, fracción II</w:t>
      </w:r>
      <w:r w:rsidRPr="00AE490A">
        <w:rPr>
          <w:rFonts w:cs="Arial"/>
        </w:rPr>
        <w:t xml:space="preserve"> de la Ley de Transparencia y Acceso a la Información Pública del Estado de México y Municipios.</w:t>
      </w:r>
    </w:p>
    <w:p w14:paraId="34EC3F86" w14:textId="77777777" w:rsidR="00D2790D" w:rsidRPr="00AE490A" w:rsidRDefault="00D2790D" w:rsidP="00AE490A">
      <w:pPr>
        <w:rPr>
          <w:rFonts w:cs="Arial"/>
        </w:rPr>
      </w:pPr>
    </w:p>
    <w:p w14:paraId="4F7ACE35" w14:textId="77777777" w:rsidR="00C50AC4" w:rsidRPr="00AE490A" w:rsidRDefault="00C50AC4" w:rsidP="00AE490A">
      <w:pPr>
        <w:pStyle w:val="Ttulo3"/>
      </w:pPr>
      <w:bookmarkStart w:id="14" w:name="_Toc165402865"/>
      <w:bookmarkStart w:id="15" w:name="_Toc198747253"/>
      <w:r w:rsidRPr="00AE490A">
        <w:t>d) Acumulación de los Recursos de Revisión</w:t>
      </w:r>
      <w:bookmarkEnd w:id="14"/>
      <w:bookmarkEnd w:id="15"/>
    </w:p>
    <w:p w14:paraId="0CBC0CED" w14:textId="580ED12C" w:rsidR="002C5298" w:rsidRPr="00AE490A" w:rsidRDefault="002C5298" w:rsidP="00AE490A">
      <w:pPr>
        <w:rPr>
          <w:rFonts w:cs="Arial"/>
          <w:b/>
          <w:lang w:val="es-ES_tradnl"/>
        </w:rPr>
      </w:pPr>
      <w:r w:rsidRPr="00AE490A">
        <w:rPr>
          <w:rFonts w:cs="Arial"/>
          <w:lang w:val="es-ES_tradnl"/>
        </w:rPr>
        <w:t xml:space="preserve">Por economía procesal y </w:t>
      </w:r>
      <w:r w:rsidRPr="00AE490A">
        <w:rPr>
          <w:rFonts w:cs="Arial"/>
        </w:rPr>
        <w:t xml:space="preserve">con la finalidad de evitar resoluciones contradictorias, en la </w:t>
      </w:r>
      <w:r w:rsidR="006A065D" w:rsidRPr="00AE490A">
        <w:rPr>
          <w:rFonts w:cs="Arial"/>
          <w:b/>
        </w:rPr>
        <w:t xml:space="preserve">Décima Segunda Sesión </w:t>
      </w:r>
      <w:r w:rsidRPr="00AE490A">
        <w:rPr>
          <w:rFonts w:cs="Arial"/>
          <w:b/>
        </w:rPr>
        <w:t>Ordinaria</w:t>
      </w:r>
      <w:r w:rsidRPr="00AE490A">
        <w:rPr>
          <w:rFonts w:cs="Arial"/>
        </w:rPr>
        <w:t xml:space="preserve">, celebrada </w:t>
      </w:r>
      <w:r w:rsidRPr="00AE490A">
        <w:rPr>
          <w:rFonts w:cs="Arial"/>
          <w:bCs/>
        </w:rPr>
        <w:t>el</w:t>
      </w:r>
      <w:r w:rsidRPr="00AE490A">
        <w:rPr>
          <w:rFonts w:cs="Arial"/>
          <w:b/>
          <w:bCs/>
        </w:rPr>
        <w:t xml:space="preserve"> </w:t>
      </w:r>
      <w:r w:rsidR="006A065D" w:rsidRPr="00AE490A">
        <w:rPr>
          <w:rFonts w:cs="Arial"/>
          <w:b/>
          <w:bCs/>
        </w:rPr>
        <w:t xml:space="preserve">dos de abril </w:t>
      </w:r>
      <w:r w:rsidRPr="00AE490A">
        <w:rPr>
          <w:rFonts w:cs="Arial"/>
          <w:b/>
          <w:bCs/>
        </w:rPr>
        <w:t>de dos mil veinticinco</w:t>
      </w:r>
      <w:r w:rsidRPr="00AE490A">
        <w:rPr>
          <w:rFonts w:cs="Arial"/>
        </w:rPr>
        <w:t>, el Pleno de este Instituto determinó acumular los Recursos de Revisión</w:t>
      </w:r>
      <w:bookmarkStart w:id="16" w:name="_Hlk109159636"/>
      <w:r w:rsidRPr="00AE490A">
        <w:rPr>
          <w:rFonts w:cs="Arial"/>
          <w:b/>
          <w:bCs/>
        </w:rPr>
        <w:t xml:space="preserve"> </w:t>
      </w:r>
      <w:bookmarkEnd w:id="16"/>
      <w:r w:rsidR="006A065D" w:rsidRPr="00AE490A">
        <w:rPr>
          <w:rFonts w:eastAsia="Calibri"/>
          <w:b/>
          <w:lang w:eastAsia="en-US"/>
        </w:rPr>
        <w:t xml:space="preserve">02867/INFOEM/IP/RR/2025 </w:t>
      </w:r>
      <w:r w:rsidR="006A065D" w:rsidRPr="00AE490A">
        <w:rPr>
          <w:rFonts w:eastAsia="Calibri"/>
          <w:lang w:eastAsia="en-US"/>
        </w:rPr>
        <w:t>y</w:t>
      </w:r>
      <w:r w:rsidR="006A065D" w:rsidRPr="00AE490A">
        <w:rPr>
          <w:rFonts w:eastAsia="Calibri"/>
          <w:b/>
          <w:lang w:eastAsia="en-US"/>
        </w:rPr>
        <w:t xml:space="preserve"> 03114/INFOEM/IP/RR/2025</w:t>
      </w:r>
      <w:r w:rsidRPr="00AE490A">
        <w:rPr>
          <w:rFonts w:cs="Arial"/>
          <w:b/>
        </w:rPr>
        <w:t>.</w:t>
      </w:r>
    </w:p>
    <w:p w14:paraId="03903CD8" w14:textId="77777777" w:rsidR="00C50AC4" w:rsidRPr="00AE490A" w:rsidRDefault="00C50AC4" w:rsidP="00AE490A">
      <w:pPr>
        <w:rPr>
          <w:rFonts w:cs="Arial"/>
          <w:lang w:val="es-ES_tradnl"/>
        </w:rPr>
      </w:pPr>
    </w:p>
    <w:p w14:paraId="3B820F58" w14:textId="203E335B" w:rsidR="00865CF4" w:rsidRPr="00AE490A" w:rsidRDefault="00C50AC4" w:rsidP="00AE490A">
      <w:pPr>
        <w:pStyle w:val="Ttulo3"/>
      </w:pPr>
      <w:bookmarkStart w:id="17" w:name="_Toc198747254"/>
      <w:r w:rsidRPr="00AE490A">
        <w:t>e</w:t>
      </w:r>
      <w:r w:rsidR="00664420" w:rsidRPr="00AE490A">
        <w:t xml:space="preserve">) </w:t>
      </w:r>
      <w:r w:rsidR="00865CF4" w:rsidRPr="00AE490A">
        <w:t>Informe Justificado del Sujeto Obligado</w:t>
      </w:r>
      <w:bookmarkEnd w:id="17"/>
    </w:p>
    <w:p w14:paraId="62E91BA4" w14:textId="7D9E52F3" w:rsidR="006A065D" w:rsidRPr="00AE490A" w:rsidRDefault="006A065D" w:rsidP="00AE490A">
      <w:pPr>
        <w:rPr>
          <w:rFonts w:eastAsia="Arial Unicode MS" w:cs="Arial"/>
        </w:rPr>
      </w:pPr>
      <w:r w:rsidRPr="00AE490A">
        <w:rPr>
          <w:rFonts w:cs="Tahoma"/>
          <w:b/>
          <w:szCs w:val="24"/>
        </w:rPr>
        <w:t xml:space="preserve">EL SUJETO OBLIGADO </w:t>
      </w:r>
      <w:r w:rsidRPr="00AE490A">
        <w:rPr>
          <w:rFonts w:eastAsia="Arial Unicode MS" w:cs="Arial"/>
        </w:rPr>
        <w:t>no rindió sus informes justificados dentro del término legalmente concedido para tal efecto.</w:t>
      </w:r>
    </w:p>
    <w:p w14:paraId="66BA6FC7" w14:textId="77777777" w:rsidR="00865CF4" w:rsidRPr="00AE490A" w:rsidRDefault="00865CF4" w:rsidP="00AE490A">
      <w:pPr>
        <w:rPr>
          <w:rFonts w:cs="Tahoma"/>
          <w:bCs/>
          <w:szCs w:val="24"/>
        </w:rPr>
      </w:pPr>
    </w:p>
    <w:p w14:paraId="755B7730" w14:textId="2A32318F" w:rsidR="00664420" w:rsidRPr="00AE490A" w:rsidRDefault="00C50AC4" w:rsidP="00AE490A">
      <w:pPr>
        <w:pStyle w:val="Ttulo3"/>
        <w:rPr>
          <w:lang w:val="es-ES"/>
        </w:rPr>
      </w:pPr>
      <w:bookmarkStart w:id="18" w:name="_Toc198747255"/>
      <w:r w:rsidRPr="00AE490A">
        <w:rPr>
          <w:rFonts w:eastAsia="Calibri"/>
          <w:bCs/>
          <w:lang w:eastAsia="en-US"/>
        </w:rPr>
        <w:t>f</w:t>
      </w:r>
      <w:r w:rsidR="00664420" w:rsidRPr="00AE490A">
        <w:rPr>
          <w:rFonts w:eastAsia="Calibri"/>
          <w:bCs/>
          <w:lang w:eastAsia="en-US"/>
        </w:rPr>
        <w:t>)</w:t>
      </w:r>
      <w:r w:rsidR="00664420" w:rsidRPr="00AE490A">
        <w:t xml:space="preserve"> </w:t>
      </w:r>
      <w:r w:rsidR="00865CF4" w:rsidRPr="00AE490A">
        <w:rPr>
          <w:lang w:val="es-ES"/>
        </w:rPr>
        <w:t>Manifestaciones de la Parte Recurrente</w:t>
      </w:r>
      <w:bookmarkEnd w:id="18"/>
    </w:p>
    <w:p w14:paraId="4E8AF011" w14:textId="77777777" w:rsidR="00865CF4" w:rsidRPr="00AE490A" w:rsidRDefault="00865CF4" w:rsidP="00AE490A">
      <w:pPr>
        <w:rPr>
          <w:rFonts w:eastAsia="Arial Unicode MS" w:cs="Arial"/>
        </w:rPr>
      </w:pPr>
      <w:r w:rsidRPr="00AE490A">
        <w:rPr>
          <w:rFonts w:cs="Tahoma"/>
          <w:b/>
          <w:szCs w:val="24"/>
        </w:rPr>
        <w:t xml:space="preserve">LA PARTE RECURRENTE </w:t>
      </w:r>
      <w:r w:rsidRPr="00AE490A">
        <w:rPr>
          <w:rFonts w:eastAsia="Arial Unicode MS" w:cs="Arial"/>
        </w:rPr>
        <w:t>no realizó manifestación alguna dentro del término legalmente concedido para tal efecto, ni presentó pruebas o alegatos.</w:t>
      </w:r>
    </w:p>
    <w:p w14:paraId="43289D82" w14:textId="77777777" w:rsidR="00865CF4" w:rsidRPr="00AE490A" w:rsidRDefault="00865CF4" w:rsidP="00AE490A">
      <w:pPr>
        <w:rPr>
          <w:rFonts w:eastAsia="Arial Unicode MS" w:cs="Arial"/>
        </w:rPr>
      </w:pPr>
    </w:p>
    <w:p w14:paraId="0E651988" w14:textId="0164EC65" w:rsidR="00664420" w:rsidRPr="00AE490A" w:rsidRDefault="00C50AC4" w:rsidP="00AE490A">
      <w:pPr>
        <w:pStyle w:val="Ttulo3"/>
      </w:pPr>
      <w:bookmarkStart w:id="19" w:name="_Toc198747256"/>
      <w:r w:rsidRPr="00AE490A">
        <w:rPr>
          <w:rFonts w:eastAsia="Calibri"/>
        </w:rPr>
        <w:t>g</w:t>
      </w:r>
      <w:r w:rsidR="007517BD" w:rsidRPr="00AE490A">
        <w:rPr>
          <w:rFonts w:eastAsia="Calibri"/>
        </w:rPr>
        <w:t xml:space="preserve">) </w:t>
      </w:r>
      <w:r w:rsidR="00664420" w:rsidRPr="00AE490A">
        <w:t>Cierre de instrucción</w:t>
      </w:r>
      <w:bookmarkEnd w:id="19"/>
    </w:p>
    <w:p w14:paraId="79AF95DC" w14:textId="04B1DC40" w:rsidR="00664420" w:rsidRPr="00AE490A" w:rsidRDefault="00BF091A" w:rsidP="00AE490A">
      <w:r w:rsidRPr="00AE490A">
        <w:rPr>
          <w:rFonts w:cs="Tahoma"/>
          <w:szCs w:val="22"/>
        </w:rPr>
        <w:t>Al no existir diligencias pendientes por desahogar</w:t>
      </w:r>
      <w:r w:rsidRPr="00AE490A">
        <w:rPr>
          <w:rFonts w:cs="Arial"/>
        </w:rPr>
        <w:t xml:space="preserve">, </w:t>
      </w:r>
      <w:r w:rsidRPr="00AE490A">
        <w:rPr>
          <w:rFonts w:cs="Arial"/>
          <w:bCs/>
        </w:rPr>
        <w:t xml:space="preserve">el </w:t>
      </w:r>
      <w:bookmarkStart w:id="20" w:name="_Hlk104892386"/>
      <w:r w:rsidR="006A065D" w:rsidRPr="00AE490A">
        <w:rPr>
          <w:rFonts w:cs="Arial"/>
          <w:b/>
        </w:rPr>
        <w:t>doce y trece de mayo</w:t>
      </w:r>
      <w:r w:rsidR="00263678" w:rsidRPr="00AE490A">
        <w:rPr>
          <w:rFonts w:cs="Arial"/>
          <w:b/>
        </w:rPr>
        <w:t xml:space="preserve"> </w:t>
      </w:r>
      <w:bookmarkEnd w:id="20"/>
      <w:r w:rsidR="00D16E34" w:rsidRPr="00AE490A">
        <w:rPr>
          <w:rFonts w:cs="Arial"/>
          <w:b/>
        </w:rPr>
        <w:t>de</w:t>
      </w:r>
      <w:r w:rsidRPr="00AE490A">
        <w:rPr>
          <w:rFonts w:cs="Arial"/>
          <w:b/>
        </w:rPr>
        <w:t xml:space="preserve"> dos mil </w:t>
      </w:r>
      <w:r w:rsidR="0075751F" w:rsidRPr="00AE490A">
        <w:rPr>
          <w:rFonts w:cs="Arial"/>
          <w:b/>
        </w:rPr>
        <w:t>veintic</w:t>
      </w:r>
      <w:r w:rsidR="00D16E34" w:rsidRPr="00AE490A">
        <w:rPr>
          <w:rFonts w:cs="Arial"/>
          <w:b/>
        </w:rPr>
        <w:t>inco</w:t>
      </w:r>
      <w:r w:rsidR="0075751F" w:rsidRPr="00AE490A">
        <w:rPr>
          <w:rFonts w:cs="Arial"/>
          <w:b/>
        </w:rPr>
        <w:t xml:space="preserve"> </w:t>
      </w:r>
      <w:r w:rsidRPr="00AE490A">
        <w:rPr>
          <w:rFonts w:cs="Arial"/>
        </w:rPr>
        <w:t xml:space="preserve">la </w:t>
      </w:r>
      <w:r w:rsidRPr="00AE490A">
        <w:rPr>
          <w:rFonts w:cs="Arial"/>
          <w:b/>
          <w:bCs/>
        </w:rPr>
        <w:t xml:space="preserve">Comisionada </w:t>
      </w:r>
      <w:r w:rsidRPr="00AE490A">
        <w:rPr>
          <w:b/>
        </w:rPr>
        <w:t xml:space="preserve">Sharon Cristina Morales Martínez </w:t>
      </w:r>
      <w:r w:rsidR="00B4615A" w:rsidRPr="00AE490A">
        <w:rPr>
          <w:rFonts w:cs="Arial"/>
        </w:rPr>
        <w:t>notificó</w:t>
      </w:r>
      <w:r w:rsidRPr="00AE490A">
        <w:rPr>
          <w:rFonts w:cs="Arial"/>
        </w:rPr>
        <w:t xml:space="preserve"> el cierre de </w:t>
      </w:r>
      <w:r w:rsidRPr="00AE490A">
        <w:rPr>
          <w:rFonts w:cs="Arial"/>
        </w:rPr>
        <w:lastRenderedPageBreak/>
        <w:t>instrucción</w:t>
      </w:r>
      <w:r w:rsidR="0011350D" w:rsidRPr="00AE490A">
        <w:rPr>
          <w:rFonts w:cs="Arial"/>
        </w:rPr>
        <w:t xml:space="preserve"> y</w:t>
      </w:r>
      <w:r w:rsidRPr="00AE490A">
        <w:rPr>
          <w:rFonts w:cs="Arial"/>
        </w:rPr>
        <w:t xml:space="preserve"> </w:t>
      </w:r>
      <w:r w:rsidR="0011350D" w:rsidRPr="00AE490A">
        <w:rPr>
          <w:rFonts w:cs="Arial"/>
        </w:rPr>
        <w:t xml:space="preserve">la </w:t>
      </w:r>
      <w:r w:rsidRPr="00AE490A">
        <w:rPr>
          <w:rFonts w:cs="Arial"/>
        </w:rPr>
        <w:t>remisión de</w:t>
      </w:r>
      <w:r w:rsidR="0068301E" w:rsidRPr="00AE490A">
        <w:rPr>
          <w:rFonts w:cs="Arial"/>
        </w:rPr>
        <w:t xml:space="preserve"> </w:t>
      </w:r>
      <w:r w:rsidRPr="00AE490A">
        <w:rPr>
          <w:rFonts w:cs="Arial"/>
        </w:rPr>
        <w:t>l</w:t>
      </w:r>
      <w:r w:rsidR="0068301E" w:rsidRPr="00AE490A">
        <w:rPr>
          <w:rFonts w:cs="Arial"/>
        </w:rPr>
        <w:t>os</w:t>
      </w:r>
      <w:r w:rsidRPr="00AE490A">
        <w:rPr>
          <w:rFonts w:cs="Arial"/>
        </w:rPr>
        <w:t xml:space="preserve"> expediente</w:t>
      </w:r>
      <w:r w:rsidR="0068301E" w:rsidRPr="00AE490A">
        <w:rPr>
          <w:rFonts w:cs="Arial"/>
        </w:rPr>
        <w:t>s</w:t>
      </w:r>
      <w:r w:rsidRPr="00AE490A">
        <w:rPr>
          <w:rFonts w:cs="Arial"/>
        </w:rPr>
        <w:t xml:space="preserve"> a efecto de ser resuelto</w:t>
      </w:r>
      <w:r w:rsidR="0068301E" w:rsidRPr="00AE490A">
        <w:rPr>
          <w:rFonts w:cs="Arial"/>
        </w:rPr>
        <w:t>s</w:t>
      </w:r>
      <w:r w:rsidRPr="00AE490A">
        <w:rPr>
          <w:rFonts w:cs="Arial"/>
        </w:rPr>
        <w:t>, de conformidad con lo establecido en el artículo 185 fracciones VI y VIII de la Ley de Transparencia y Acceso a la Información Pública del Estado de México y Municipios</w:t>
      </w:r>
      <w:r w:rsidRPr="00AE490A">
        <w:t>.</w:t>
      </w:r>
      <w:r w:rsidR="0011350D" w:rsidRPr="00AE490A">
        <w:t xml:space="preserve"> Dicho acuerdo </w:t>
      </w:r>
      <w:r w:rsidR="00664420" w:rsidRPr="00AE490A">
        <w:rPr>
          <w:rFonts w:cs="Tahoma"/>
          <w:szCs w:val="22"/>
        </w:rPr>
        <w:t xml:space="preserve">fue notificado a las partes el mismo día a través del </w:t>
      </w:r>
      <w:r w:rsidR="00664420" w:rsidRPr="00AE490A">
        <w:rPr>
          <w:rFonts w:cs="Tahoma"/>
          <w:b/>
          <w:szCs w:val="22"/>
          <w:lang w:val="es-ES"/>
        </w:rPr>
        <w:t>SAIMEX</w:t>
      </w:r>
      <w:r w:rsidR="00664420" w:rsidRPr="00AE490A">
        <w:rPr>
          <w:rFonts w:cs="Tahoma"/>
          <w:szCs w:val="22"/>
        </w:rPr>
        <w:t>.</w:t>
      </w:r>
    </w:p>
    <w:p w14:paraId="741683E3" w14:textId="77777777" w:rsidR="0011350D" w:rsidRPr="00AE490A" w:rsidRDefault="0011350D" w:rsidP="00AE490A">
      <w:pPr>
        <w:rPr>
          <w:rFonts w:cs="Tahoma"/>
          <w:szCs w:val="22"/>
        </w:rPr>
      </w:pPr>
    </w:p>
    <w:p w14:paraId="72AB8E30" w14:textId="09E32B75" w:rsidR="006A065D" w:rsidRPr="00AE490A" w:rsidRDefault="006A065D" w:rsidP="00AE490A">
      <w:pPr>
        <w:pStyle w:val="Ttulo3"/>
        <w:rPr>
          <w:rFonts w:eastAsia="Calibri"/>
        </w:rPr>
      </w:pPr>
      <w:bookmarkStart w:id="21" w:name="_Toc171349463"/>
      <w:bookmarkStart w:id="22" w:name="_Toc194501117"/>
      <w:bookmarkStart w:id="23" w:name="_Toc196843280"/>
      <w:bookmarkStart w:id="24" w:name="_Toc197955306"/>
      <w:bookmarkStart w:id="25" w:name="_Toc198747257"/>
      <w:r w:rsidRPr="00AE490A">
        <w:rPr>
          <w:rFonts w:eastAsia="Calibri"/>
        </w:rPr>
        <w:t>h) Ampliación de Plazo para Resolver</w:t>
      </w:r>
      <w:bookmarkEnd w:id="21"/>
      <w:bookmarkEnd w:id="22"/>
      <w:bookmarkEnd w:id="23"/>
      <w:bookmarkEnd w:id="24"/>
      <w:bookmarkEnd w:id="25"/>
      <w:r w:rsidRPr="00AE490A">
        <w:rPr>
          <w:rFonts w:eastAsia="Calibri"/>
        </w:rPr>
        <w:t xml:space="preserve"> </w:t>
      </w:r>
    </w:p>
    <w:p w14:paraId="3A7AABFE" w14:textId="476D13E9" w:rsidR="006A065D" w:rsidRPr="00AE490A" w:rsidRDefault="006A065D" w:rsidP="00AE490A">
      <w:pPr>
        <w:rPr>
          <w:rFonts w:eastAsia="Palatino Linotype" w:cs="Palatino Linotype"/>
        </w:rPr>
      </w:pPr>
      <w:r w:rsidRPr="00AE490A">
        <w:rPr>
          <w:rFonts w:eastAsia="Palatino Linotype" w:cs="Palatino Linotype"/>
        </w:rPr>
        <w:t xml:space="preserve">El </w:t>
      </w:r>
      <w:r w:rsidR="00113BD1" w:rsidRPr="00AE490A">
        <w:rPr>
          <w:rFonts w:eastAsia="Palatino Linotype" w:cs="Palatino Linotype"/>
          <w:b/>
        </w:rPr>
        <w:t>trece</w:t>
      </w:r>
      <w:r w:rsidRPr="00AE490A">
        <w:rPr>
          <w:rFonts w:eastAsia="Palatino Linotype" w:cs="Palatino Linotype"/>
          <w:b/>
        </w:rPr>
        <w:t xml:space="preserve"> de mayo de dos mil veinticinco</w:t>
      </w:r>
      <w:r w:rsidRPr="00AE490A">
        <w:rPr>
          <w:rFonts w:eastAsia="Palatino Linotype" w:cs="Palatino Linotype"/>
        </w:rPr>
        <w:t xml:space="preserve">, se notificó el acuerdo de ampliación de plazo para resolver </w:t>
      </w:r>
      <w:r w:rsidR="00113BD1" w:rsidRPr="00AE490A">
        <w:rPr>
          <w:rFonts w:eastAsia="Palatino Linotype" w:cs="Palatino Linotype"/>
        </w:rPr>
        <w:t>los</w:t>
      </w:r>
      <w:r w:rsidRPr="00AE490A">
        <w:rPr>
          <w:rFonts w:eastAsia="Palatino Linotype" w:cs="Palatino Linotype"/>
        </w:rPr>
        <w:t xml:space="preserve"> presente</w:t>
      </w:r>
      <w:r w:rsidR="00113BD1" w:rsidRPr="00AE490A">
        <w:rPr>
          <w:rFonts w:eastAsia="Palatino Linotype" w:cs="Palatino Linotype"/>
        </w:rPr>
        <w:t>s</w:t>
      </w:r>
      <w:r w:rsidRPr="00AE490A">
        <w:rPr>
          <w:rFonts w:eastAsia="Palatino Linotype" w:cs="Palatino Linotype"/>
        </w:rPr>
        <w:t xml:space="preserve"> Recurso</w:t>
      </w:r>
      <w:r w:rsidR="00113BD1" w:rsidRPr="00AE490A">
        <w:rPr>
          <w:rFonts w:eastAsia="Palatino Linotype" w:cs="Palatino Linotype"/>
        </w:rPr>
        <w:t>s</w:t>
      </w:r>
      <w:r w:rsidRPr="00AE490A">
        <w:rPr>
          <w:rFonts w:eastAsia="Palatino Linotype" w:cs="Palatino Linotype"/>
        </w:rPr>
        <w:t xml:space="preserve"> de Revisión, previsto en el artículo 181, tercer párrafo de la Ley de Transparencia y Acceso a la Información Pública del Estado de México y Municipios.</w:t>
      </w:r>
    </w:p>
    <w:p w14:paraId="5715996B" w14:textId="77777777" w:rsidR="006A065D" w:rsidRPr="00AE490A" w:rsidRDefault="006A065D" w:rsidP="00AE490A">
      <w:pPr>
        <w:rPr>
          <w:rFonts w:cs="Tahoma"/>
          <w:szCs w:val="22"/>
        </w:rPr>
      </w:pPr>
    </w:p>
    <w:p w14:paraId="7A9629DE" w14:textId="77777777" w:rsidR="00664420" w:rsidRPr="00AE490A" w:rsidRDefault="00664420" w:rsidP="00AE490A">
      <w:pPr>
        <w:pStyle w:val="Ttulo1"/>
        <w:rPr>
          <w:rFonts w:eastAsiaTheme="minorHAnsi"/>
          <w:lang w:eastAsia="en-US"/>
        </w:rPr>
      </w:pPr>
      <w:bookmarkStart w:id="26" w:name="_Toc198747258"/>
      <w:r w:rsidRPr="00AE490A">
        <w:rPr>
          <w:rFonts w:eastAsiaTheme="minorHAnsi"/>
          <w:lang w:eastAsia="en-US"/>
        </w:rPr>
        <w:t>CONSIDERANDOS</w:t>
      </w:r>
      <w:bookmarkEnd w:id="26"/>
    </w:p>
    <w:p w14:paraId="6DD1243B" w14:textId="77777777" w:rsidR="00664420" w:rsidRPr="00AE490A" w:rsidRDefault="00664420" w:rsidP="00AE490A">
      <w:pPr>
        <w:contextualSpacing/>
        <w:jc w:val="center"/>
        <w:rPr>
          <w:rFonts w:eastAsiaTheme="minorHAnsi" w:cs="Tahoma"/>
          <w:b/>
          <w:szCs w:val="22"/>
          <w:lang w:eastAsia="en-US"/>
        </w:rPr>
      </w:pPr>
    </w:p>
    <w:p w14:paraId="0B67CB92" w14:textId="2E307D3B" w:rsidR="00664420" w:rsidRPr="00AE490A" w:rsidRDefault="00664420" w:rsidP="00AE490A">
      <w:pPr>
        <w:pStyle w:val="Ttulo2"/>
        <w:rPr>
          <w:rFonts w:eastAsia="Batang"/>
        </w:rPr>
      </w:pPr>
      <w:bookmarkStart w:id="27" w:name="_Toc198747259"/>
      <w:r w:rsidRPr="00AE490A">
        <w:rPr>
          <w:rFonts w:eastAsia="Batang"/>
        </w:rPr>
        <w:t xml:space="preserve">PRIMERO. </w:t>
      </w:r>
      <w:r w:rsidR="00BA55A8" w:rsidRPr="00AE490A">
        <w:rPr>
          <w:rFonts w:eastAsia="Batang"/>
        </w:rPr>
        <w:t>Procedibilidad</w:t>
      </w:r>
      <w:bookmarkEnd w:id="27"/>
    </w:p>
    <w:p w14:paraId="39C52BC1" w14:textId="56FCC20D" w:rsidR="00BA55A8" w:rsidRPr="00AE490A" w:rsidRDefault="00BA55A8" w:rsidP="00AE490A">
      <w:pPr>
        <w:pStyle w:val="Ttulo3"/>
      </w:pPr>
      <w:bookmarkStart w:id="28" w:name="_Toc198747260"/>
      <w:r w:rsidRPr="00AE490A">
        <w:t>a) Competencia</w:t>
      </w:r>
      <w:r w:rsidR="00150C49" w:rsidRPr="00AE490A">
        <w:t xml:space="preserve"> del Instituto</w:t>
      </w:r>
      <w:bookmarkEnd w:id="28"/>
    </w:p>
    <w:p w14:paraId="56E64942" w14:textId="05CC11E6" w:rsidR="0011350D" w:rsidRPr="00AE490A" w:rsidRDefault="0011350D" w:rsidP="00AE490A">
      <w:pPr>
        <w:rPr>
          <w:rFonts w:cs="Arial"/>
        </w:rPr>
      </w:pPr>
      <w:r w:rsidRPr="00AE490A">
        <w:t xml:space="preserve">Este Instituto de Transparencia, Acceso a la Información Pública y Protección de Datos Personales del Estado de México y Municipios es competente para conocer y resolver </w:t>
      </w:r>
      <w:r w:rsidR="005F65B7" w:rsidRPr="00AE490A">
        <w:t xml:space="preserve">el </w:t>
      </w:r>
      <w:r w:rsidRPr="00AE490A">
        <w:t xml:space="preserve">presente Recurso de Revisión, conforme a lo dispuesto en los artículos 6, Apartado A de la Constitución Política de los Estados Unidos Mexicanos; 5, </w:t>
      </w:r>
      <w:r w:rsidR="008214DF" w:rsidRPr="00AE490A">
        <w:rPr>
          <w:bCs/>
        </w:rPr>
        <w:t xml:space="preserve">párrafos </w:t>
      </w:r>
      <w:r w:rsidR="008214DF" w:rsidRPr="00AE490A">
        <w:t>trigésimo séptimo, trigésimo octavo, trigésimo noveno,</w:t>
      </w:r>
      <w:r w:rsidRPr="00AE490A">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E490A">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AE490A" w:rsidRDefault="00DB1C09" w:rsidP="00AE490A">
      <w:pPr>
        <w:rPr>
          <w:rFonts w:cs="Arial"/>
        </w:rPr>
      </w:pPr>
    </w:p>
    <w:p w14:paraId="517A2DD6" w14:textId="4169BE4D" w:rsidR="00664420" w:rsidRPr="00AE490A" w:rsidRDefault="00BA55A8" w:rsidP="00AE490A">
      <w:pPr>
        <w:pStyle w:val="Ttulo3"/>
      </w:pPr>
      <w:bookmarkStart w:id="29" w:name="_Toc198747261"/>
      <w:r w:rsidRPr="00AE490A">
        <w:lastRenderedPageBreak/>
        <w:t>b)</w:t>
      </w:r>
      <w:r w:rsidR="00664420" w:rsidRPr="00AE490A">
        <w:t xml:space="preserve"> </w:t>
      </w:r>
      <w:r w:rsidR="00D91CB4" w:rsidRPr="00AE490A">
        <w:t>Legitimidad</w:t>
      </w:r>
      <w:r w:rsidRPr="00AE490A">
        <w:t xml:space="preserve"> de la parte recurrente</w:t>
      </w:r>
      <w:bookmarkEnd w:id="29"/>
    </w:p>
    <w:p w14:paraId="26FEA382" w14:textId="130B122E" w:rsidR="00D91CB4" w:rsidRPr="00AE490A" w:rsidRDefault="0068301E" w:rsidP="00AE490A">
      <w:pPr>
        <w:rPr>
          <w:rFonts w:cs="Arial"/>
          <w:bCs/>
        </w:rPr>
      </w:pPr>
      <w:r w:rsidRPr="00AE490A">
        <w:rPr>
          <w:rFonts w:cs="Arial"/>
          <w:bCs/>
        </w:rPr>
        <w:t>Los</w:t>
      </w:r>
      <w:r w:rsidR="00D91CB4" w:rsidRPr="00AE490A">
        <w:rPr>
          <w:rFonts w:cs="Arial"/>
          <w:bCs/>
        </w:rPr>
        <w:t xml:space="preserve"> recurso</w:t>
      </w:r>
      <w:r w:rsidRPr="00AE490A">
        <w:rPr>
          <w:rFonts w:cs="Arial"/>
          <w:bCs/>
        </w:rPr>
        <w:t>s</w:t>
      </w:r>
      <w:r w:rsidR="00D91CB4" w:rsidRPr="00AE490A">
        <w:rPr>
          <w:rFonts w:cs="Arial"/>
          <w:bCs/>
        </w:rPr>
        <w:t xml:space="preserve"> de revisión fue</w:t>
      </w:r>
      <w:r w:rsidRPr="00AE490A">
        <w:rPr>
          <w:rFonts w:cs="Arial"/>
          <w:bCs/>
        </w:rPr>
        <w:t>ron</w:t>
      </w:r>
      <w:r w:rsidR="00D91CB4" w:rsidRPr="00AE490A">
        <w:rPr>
          <w:rFonts w:cs="Arial"/>
          <w:bCs/>
        </w:rPr>
        <w:t xml:space="preserve"> interpuesto</w:t>
      </w:r>
      <w:r w:rsidRPr="00AE490A">
        <w:rPr>
          <w:rFonts w:cs="Arial"/>
          <w:bCs/>
        </w:rPr>
        <w:t>s</w:t>
      </w:r>
      <w:r w:rsidR="00D91CB4" w:rsidRPr="00AE490A">
        <w:rPr>
          <w:rFonts w:cs="Arial"/>
          <w:bCs/>
        </w:rPr>
        <w:t xml:space="preserve"> por parte legítima, ya que se present</w:t>
      </w:r>
      <w:r w:rsidRPr="00AE490A">
        <w:rPr>
          <w:rFonts w:cs="Arial"/>
          <w:bCs/>
        </w:rPr>
        <w:t>aron</w:t>
      </w:r>
      <w:r w:rsidR="00D91CB4" w:rsidRPr="00AE490A">
        <w:rPr>
          <w:rFonts w:cs="Arial"/>
          <w:bCs/>
        </w:rPr>
        <w:t xml:space="preserve"> por la misma persona que formuló la</w:t>
      </w:r>
      <w:r w:rsidRPr="00AE490A">
        <w:rPr>
          <w:rFonts w:cs="Arial"/>
          <w:bCs/>
        </w:rPr>
        <w:t>s</w:t>
      </w:r>
      <w:r w:rsidR="00D91CB4" w:rsidRPr="00AE490A">
        <w:rPr>
          <w:rFonts w:cs="Arial"/>
          <w:bCs/>
        </w:rPr>
        <w:t xml:space="preserve"> solicitud</w:t>
      </w:r>
      <w:r w:rsidRPr="00AE490A">
        <w:rPr>
          <w:rFonts w:cs="Arial"/>
          <w:bCs/>
        </w:rPr>
        <w:t>es</w:t>
      </w:r>
      <w:r w:rsidR="00D91CB4" w:rsidRPr="00AE490A">
        <w:rPr>
          <w:rFonts w:cs="Arial"/>
          <w:bCs/>
        </w:rPr>
        <w:t xml:space="preserve"> de acceso a la Información Pública,</w:t>
      </w:r>
      <w:r w:rsidR="00D91CB4" w:rsidRPr="00AE490A">
        <w:rPr>
          <w:rFonts w:cs="Arial"/>
          <w:b/>
          <w:bCs/>
        </w:rPr>
        <w:t xml:space="preserve"> </w:t>
      </w:r>
      <w:r w:rsidR="00D91CB4" w:rsidRPr="00AE490A">
        <w:rPr>
          <w:rFonts w:cs="Arial"/>
        </w:rPr>
        <w:t>debido a que los datos de acceso</w:t>
      </w:r>
      <w:r w:rsidR="00D91CB4" w:rsidRPr="00AE490A">
        <w:rPr>
          <w:rFonts w:cs="Arial"/>
          <w:b/>
          <w:bCs/>
        </w:rPr>
        <w:t xml:space="preserve"> </w:t>
      </w:r>
      <w:r w:rsidR="00D91CB4" w:rsidRPr="00AE490A">
        <w:rPr>
          <w:rFonts w:cs="Arial"/>
          <w:b/>
        </w:rPr>
        <w:t>SAIMEX</w:t>
      </w:r>
      <w:r w:rsidR="00D91CB4" w:rsidRPr="00AE490A">
        <w:rPr>
          <w:rFonts w:eastAsia="Calibri" w:cs="Arial"/>
          <w:lang w:eastAsia="en-US"/>
        </w:rPr>
        <w:t xml:space="preserve"> son personales e irrepetibles.</w:t>
      </w:r>
    </w:p>
    <w:p w14:paraId="2C367810" w14:textId="77777777" w:rsidR="00D91CB4" w:rsidRPr="00AE490A" w:rsidRDefault="00D91CB4" w:rsidP="00AE490A"/>
    <w:p w14:paraId="5C5FA5A8" w14:textId="77777777" w:rsidR="004565C2" w:rsidRPr="00AE490A" w:rsidRDefault="004565C2" w:rsidP="00AE490A">
      <w:pPr>
        <w:pStyle w:val="Ttulo3"/>
        <w:rPr>
          <w:rFonts w:eastAsia="Calibri"/>
          <w:lang w:eastAsia="es-ES_tradnl"/>
        </w:rPr>
      </w:pPr>
      <w:bookmarkStart w:id="30" w:name="_Toc170932820"/>
      <w:bookmarkStart w:id="31" w:name="_Toc198747262"/>
      <w:r w:rsidRPr="00AE490A">
        <w:rPr>
          <w:rFonts w:eastAsia="Calibri"/>
          <w:lang w:eastAsia="es-ES_tradnl"/>
        </w:rPr>
        <w:t>c) Plazo para interponer el recurso</w:t>
      </w:r>
      <w:bookmarkEnd w:id="30"/>
      <w:bookmarkEnd w:id="31"/>
    </w:p>
    <w:p w14:paraId="5C63152A" w14:textId="46DF1E71" w:rsidR="004565C2" w:rsidRPr="00AE490A" w:rsidRDefault="004565C2" w:rsidP="00AE490A">
      <w:pPr>
        <w:rPr>
          <w:rFonts w:eastAsiaTheme="minorEastAsia" w:cs="Arial"/>
          <w:lang w:val="es-ES_tradnl"/>
        </w:rPr>
      </w:pPr>
      <w:r w:rsidRPr="00AE490A">
        <w:rPr>
          <w:rFonts w:cs="Arial"/>
          <w:b/>
        </w:rPr>
        <w:t>EL SUJETO OBLIGADO</w:t>
      </w:r>
      <w:r w:rsidRPr="00AE490A">
        <w:rPr>
          <w:rFonts w:cs="Arial"/>
        </w:rPr>
        <w:t xml:space="preserve"> notificó la</w:t>
      </w:r>
      <w:r w:rsidR="0068301E" w:rsidRPr="00AE490A">
        <w:rPr>
          <w:rFonts w:cs="Arial"/>
        </w:rPr>
        <w:t>s</w:t>
      </w:r>
      <w:r w:rsidRPr="00AE490A">
        <w:rPr>
          <w:rFonts w:cs="Arial"/>
        </w:rPr>
        <w:t xml:space="preserve"> respuesta</w:t>
      </w:r>
      <w:r w:rsidR="0068301E" w:rsidRPr="00AE490A">
        <w:rPr>
          <w:rFonts w:cs="Arial"/>
        </w:rPr>
        <w:t>s</w:t>
      </w:r>
      <w:r w:rsidRPr="00AE490A">
        <w:rPr>
          <w:rFonts w:cs="Arial"/>
        </w:rPr>
        <w:t xml:space="preserve"> a la</w:t>
      </w:r>
      <w:r w:rsidR="0068301E" w:rsidRPr="00AE490A">
        <w:rPr>
          <w:rFonts w:cs="Arial"/>
        </w:rPr>
        <w:t>s</w:t>
      </w:r>
      <w:r w:rsidRPr="00AE490A">
        <w:rPr>
          <w:rFonts w:cs="Arial"/>
        </w:rPr>
        <w:t xml:space="preserve"> solicitud</w:t>
      </w:r>
      <w:r w:rsidR="0068301E" w:rsidRPr="00AE490A">
        <w:rPr>
          <w:rFonts w:cs="Arial"/>
        </w:rPr>
        <w:t>es</w:t>
      </w:r>
      <w:r w:rsidRPr="00AE490A">
        <w:rPr>
          <w:rFonts w:cs="Arial"/>
        </w:rPr>
        <w:t xml:space="preserve"> de acceso a la Información Pública el </w:t>
      </w:r>
      <w:r w:rsidR="00113BD1" w:rsidRPr="00AE490A">
        <w:rPr>
          <w:b/>
          <w:bCs/>
          <w:lang w:val="es-ES"/>
        </w:rPr>
        <w:t xml:space="preserve">once y trece </w:t>
      </w:r>
      <w:r w:rsidR="00263678" w:rsidRPr="00AE490A">
        <w:rPr>
          <w:b/>
          <w:bCs/>
          <w:lang w:val="es-ES"/>
        </w:rPr>
        <w:t xml:space="preserve">de marzo </w:t>
      </w:r>
      <w:r w:rsidR="0025745F" w:rsidRPr="00AE490A">
        <w:rPr>
          <w:b/>
          <w:bCs/>
          <w:lang w:val="es-ES"/>
        </w:rPr>
        <w:t>de dos mil veintic</w:t>
      </w:r>
      <w:r w:rsidR="00233166" w:rsidRPr="00AE490A">
        <w:rPr>
          <w:b/>
          <w:bCs/>
          <w:lang w:val="es-ES"/>
        </w:rPr>
        <w:t>inco</w:t>
      </w:r>
      <w:r w:rsidR="00233166" w:rsidRPr="00AE490A">
        <w:rPr>
          <w:rFonts w:cs="Arial"/>
        </w:rPr>
        <w:t xml:space="preserve"> </w:t>
      </w:r>
      <w:r w:rsidRPr="00AE490A">
        <w:rPr>
          <w:rFonts w:cs="Arial"/>
        </w:rPr>
        <w:t>y</w:t>
      </w:r>
      <w:r w:rsidR="0068301E" w:rsidRPr="00AE490A">
        <w:rPr>
          <w:rFonts w:cs="Arial"/>
        </w:rPr>
        <w:t xml:space="preserve"> </w:t>
      </w:r>
      <w:r w:rsidRPr="00AE490A">
        <w:rPr>
          <w:rFonts w:cs="Arial"/>
        </w:rPr>
        <w:t>l</w:t>
      </w:r>
      <w:r w:rsidR="0068301E" w:rsidRPr="00AE490A">
        <w:rPr>
          <w:rFonts w:cs="Arial"/>
        </w:rPr>
        <w:t>os</w:t>
      </w:r>
      <w:r w:rsidRPr="00AE490A">
        <w:rPr>
          <w:rFonts w:cs="Arial"/>
        </w:rPr>
        <w:t xml:space="preserve"> recurso</w:t>
      </w:r>
      <w:r w:rsidR="0068301E" w:rsidRPr="00AE490A">
        <w:rPr>
          <w:rFonts w:cs="Arial"/>
        </w:rPr>
        <w:t>s</w:t>
      </w:r>
      <w:r w:rsidRPr="00AE490A">
        <w:rPr>
          <w:rFonts w:cs="Arial"/>
        </w:rPr>
        <w:t xml:space="preserve"> </w:t>
      </w:r>
      <w:r w:rsidRPr="00AE490A">
        <w:rPr>
          <w:rFonts w:eastAsia="Palatino Linotype" w:cs="Palatino Linotype"/>
        </w:rPr>
        <w:t>que nos ocupa</w:t>
      </w:r>
      <w:r w:rsidR="0068301E" w:rsidRPr="00AE490A">
        <w:rPr>
          <w:rFonts w:eastAsia="Palatino Linotype" w:cs="Palatino Linotype"/>
        </w:rPr>
        <w:t>n</w:t>
      </w:r>
      <w:r w:rsidRPr="00AE490A">
        <w:rPr>
          <w:rFonts w:eastAsia="Palatino Linotype" w:cs="Palatino Linotype"/>
        </w:rPr>
        <w:t xml:space="preserve"> se interpus</w:t>
      </w:r>
      <w:r w:rsidR="0068301E" w:rsidRPr="00AE490A">
        <w:rPr>
          <w:rFonts w:eastAsia="Palatino Linotype" w:cs="Palatino Linotype"/>
        </w:rPr>
        <w:t xml:space="preserve">ieron </w:t>
      </w:r>
      <w:r w:rsidRPr="00AE490A">
        <w:rPr>
          <w:rFonts w:eastAsia="Palatino Linotype" w:cs="Palatino Linotype"/>
        </w:rPr>
        <w:t xml:space="preserve">el </w:t>
      </w:r>
      <w:r w:rsidR="00F903E2" w:rsidRPr="00AE490A">
        <w:rPr>
          <w:rFonts w:cs="Tahoma"/>
          <w:b/>
          <w:bCs/>
          <w:szCs w:val="22"/>
        </w:rPr>
        <w:t>doce y dieciocho</w:t>
      </w:r>
      <w:r w:rsidR="00113BD1" w:rsidRPr="00AE490A">
        <w:rPr>
          <w:rFonts w:cs="Tahoma"/>
          <w:b/>
          <w:bCs/>
          <w:szCs w:val="22"/>
        </w:rPr>
        <w:t xml:space="preserve"> </w:t>
      </w:r>
      <w:r w:rsidR="00263678" w:rsidRPr="00AE490A">
        <w:rPr>
          <w:rFonts w:cs="Tahoma"/>
          <w:b/>
          <w:bCs/>
          <w:szCs w:val="22"/>
        </w:rPr>
        <w:t xml:space="preserve">de marzo </w:t>
      </w:r>
      <w:r w:rsidR="00233166" w:rsidRPr="00AE490A">
        <w:rPr>
          <w:rFonts w:cs="Tahoma"/>
          <w:b/>
          <w:bCs/>
          <w:szCs w:val="22"/>
        </w:rPr>
        <w:t>de dos mil veinticinco</w:t>
      </w:r>
      <w:r w:rsidRPr="00AE490A">
        <w:rPr>
          <w:rFonts w:eastAsia="Palatino Linotype" w:cs="Palatino Linotype"/>
          <w:bCs/>
        </w:rPr>
        <w:t>;</w:t>
      </w:r>
      <w:r w:rsidRPr="00AE490A">
        <w:rPr>
          <w:rFonts w:eastAsia="Palatino Linotype" w:cs="Palatino Linotype"/>
        </w:rPr>
        <w:t xml:space="preserve"> por lo tanto, éste se encuentra dentro del margen temporal previsto en el artículo 178 de la </w:t>
      </w:r>
      <w:r w:rsidRPr="00AE490A">
        <w:rPr>
          <w:rFonts w:cs="Arial"/>
        </w:rPr>
        <w:t>Ley de Transparencia y Acceso a la Información Pública del Estado de México y Municipios</w:t>
      </w:r>
      <w:r w:rsidRPr="00AE490A">
        <w:rPr>
          <w:rFonts w:eastAsiaTheme="minorEastAsia" w:cs="Arial"/>
          <w:lang w:val="es-ES_tradnl"/>
        </w:rPr>
        <w:t>.</w:t>
      </w:r>
    </w:p>
    <w:p w14:paraId="11CC0EC7" w14:textId="77777777" w:rsidR="004565C2" w:rsidRPr="00AE490A" w:rsidRDefault="004565C2" w:rsidP="00AE490A"/>
    <w:p w14:paraId="78A7E587" w14:textId="77777777" w:rsidR="00113BD1" w:rsidRPr="00AE490A" w:rsidRDefault="00113BD1" w:rsidP="00AE490A">
      <w:pPr>
        <w:pStyle w:val="Ttulo3"/>
        <w:rPr>
          <w:rFonts w:eastAsia="Calibri"/>
          <w:lang w:eastAsia="es-ES_tradnl"/>
        </w:rPr>
      </w:pPr>
      <w:bookmarkStart w:id="32" w:name="_Toc196119298"/>
      <w:bookmarkStart w:id="33" w:name="_Toc198747263"/>
      <w:r w:rsidRPr="00AE490A">
        <w:rPr>
          <w:rFonts w:eastAsia="Calibri"/>
          <w:lang w:eastAsia="es-ES_tradnl"/>
        </w:rPr>
        <w:t>d) Causal de procedencia</w:t>
      </w:r>
      <w:bookmarkEnd w:id="32"/>
      <w:bookmarkEnd w:id="33"/>
    </w:p>
    <w:p w14:paraId="5C1D6666" w14:textId="59748905" w:rsidR="00113BD1" w:rsidRPr="00AE490A" w:rsidRDefault="00113BD1" w:rsidP="00AE490A">
      <w:r w:rsidRPr="00AE490A">
        <w:rPr>
          <w:rFonts w:cs="Arial"/>
        </w:rPr>
        <w:t xml:space="preserve">Resulta procedente la interposición de los Recursos de revisión, ya que </w:t>
      </w:r>
      <w:r w:rsidRPr="00AE490A">
        <w:rPr>
          <w:rFonts w:eastAsia="Calibri" w:cs="Tahoma"/>
          <w:szCs w:val="22"/>
          <w:lang w:eastAsia="es-MX"/>
        </w:rPr>
        <w:t>se actualiza la causal de procedencia señalada en el artículo 179, fracción I</w:t>
      </w:r>
      <w:r w:rsidRPr="00AE490A">
        <w:rPr>
          <w:rFonts w:cs="Arial"/>
        </w:rPr>
        <w:t xml:space="preserve"> de la </w:t>
      </w:r>
      <w:r w:rsidRPr="00AE490A">
        <w:t>Ley de Transparencia y Acceso a la Información Pública del Estado de México y Municipios.</w:t>
      </w:r>
    </w:p>
    <w:p w14:paraId="5A1F2A55" w14:textId="77777777" w:rsidR="00113BD1" w:rsidRPr="00AE490A" w:rsidRDefault="00113BD1" w:rsidP="00AE490A"/>
    <w:p w14:paraId="2284D7EB" w14:textId="072256EE" w:rsidR="00BA55A8" w:rsidRPr="00AE490A" w:rsidRDefault="00113BD1" w:rsidP="00AE490A">
      <w:pPr>
        <w:pStyle w:val="Ttulo3"/>
      </w:pPr>
      <w:bookmarkStart w:id="34" w:name="_Toc198747264"/>
      <w:r w:rsidRPr="00AE490A">
        <w:t>e</w:t>
      </w:r>
      <w:r w:rsidR="00362A11" w:rsidRPr="00AE490A">
        <w:t>) Requisitos formales para la interposición del recurso</w:t>
      </w:r>
      <w:bookmarkEnd w:id="34"/>
    </w:p>
    <w:p w14:paraId="6390674A" w14:textId="78A894DD" w:rsidR="00BA55A8" w:rsidRPr="00AE490A" w:rsidRDefault="00BA55A8" w:rsidP="00AE490A">
      <w:pPr>
        <w:rPr>
          <w:rFonts w:cs="Arial"/>
        </w:rPr>
      </w:pPr>
      <w:r w:rsidRPr="00AE490A">
        <w:rPr>
          <w:rFonts w:cs="Arial"/>
          <w:b/>
          <w:bCs/>
        </w:rPr>
        <w:t xml:space="preserve">LA PARTE RECURRENTE </w:t>
      </w:r>
      <w:r w:rsidRPr="00AE490A">
        <w:rPr>
          <w:rFonts w:cs="Arial"/>
        </w:rPr>
        <w:t>acreditó todos y cada uno de los elementos formales exigidos por el artículo 180 de la misma normatividad.</w:t>
      </w:r>
    </w:p>
    <w:p w14:paraId="20BDA7EE" w14:textId="77777777" w:rsidR="005F5301" w:rsidRPr="00AE490A" w:rsidRDefault="005F5301" w:rsidP="00AE490A">
      <w:pPr>
        <w:rPr>
          <w:rFonts w:cs="Arial"/>
        </w:rPr>
      </w:pPr>
    </w:p>
    <w:p w14:paraId="0A72CD10" w14:textId="1E28C742" w:rsidR="0068301E" w:rsidRPr="00AE490A" w:rsidRDefault="0068301E" w:rsidP="00AE490A">
      <w:pPr>
        <w:rPr>
          <w:rFonts w:cs="Arial"/>
          <w:lang w:val="es-ES"/>
        </w:rPr>
      </w:pPr>
      <w:r w:rsidRPr="00AE490A">
        <w:rPr>
          <w:lang w:val="es-ES"/>
        </w:rPr>
        <w:t xml:space="preserve">Sin embargo, es importante mencionar que, de la revisión de los expedientes electrónicos del </w:t>
      </w:r>
      <w:r w:rsidRPr="00AE490A">
        <w:rPr>
          <w:b/>
          <w:bCs/>
          <w:lang w:val="es-ES"/>
        </w:rPr>
        <w:t>SAIMEX</w:t>
      </w:r>
      <w:r w:rsidRPr="00AE490A">
        <w:rPr>
          <w:bCs/>
          <w:lang w:val="es-ES"/>
        </w:rPr>
        <w:t>,</w:t>
      </w:r>
      <w:r w:rsidRPr="00AE490A">
        <w:rPr>
          <w:lang w:val="es-ES"/>
        </w:rPr>
        <w:t xml:space="preserve"> se observa que </w:t>
      </w:r>
      <w:r w:rsidRPr="00AE490A">
        <w:rPr>
          <w:b/>
          <w:bCs/>
          <w:lang w:val="es-ES"/>
        </w:rPr>
        <w:t>LA PARTE RECURRENTE</w:t>
      </w:r>
      <w:r w:rsidRPr="00AE490A">
        <w:rPr>
          <w:lang w:val="es-ES"/>
        </w:rPr>
        <w:t xml:space="preserve"> no proporcionó su nombre para ser identificado, lo que en estricto sentido provoca que </w:t>
      </w:r>
      <w:r w:rsidRPr="00AE490A">
        <w:rPr>
          <w:rFonts w:cs="Arial"/>
          <w:lang w:val="es-ES"/>
        </w:rPr>
        <w:t>no</w:t>
      </w:r>
      <w:r w:rsidRPr="00AE490A">
        <w:rPr>
          <w:lang w:val="es-ES"/>
        </w:rPr>
        <w:t xml:space="preserve"> se colmen los requisitos establecidos en el artículo 180 de la Ley de Transparencia; sin embargo, el artículo 15 de </w:t>
      </w:r>
      <w:r w:rsidRPr="00AE490A">
        <w:rPr>
          <w:rFonts w:cs="Arial"/>
          <w:lang w:val="es-ES" w:eastAsia="es-MX"/>
        </w:rPr>
        <w:t xml:space="preserve">Ley de </w:t>
      </w:r>
      <w:r w:rsidRPr="00AE490A">
        <w:rPr>
          <w:rFonts w:cs="Arial"/>
          <w:lang w:val="es-ES" w:eastAsia="es-MX"/>
        </w:rPr>
        <w:lastRenderedPageBreak/>
        <w:t xml:space="preserve">Transparencia y Acceso a la </w:t>
      </w:r>
      <w:r w:rsidRPr="00AE490A">
        <w:rPr>
          <w:rFonts w:cs="Arial"/>
          <w:lang w:val="es-ES"/>
        </w:rPr>
        <w:t>Información</w:t>
      </w:r>
      <w:r w:rsidRPr="00AE490A">
        <w:rPr>
          <w:rFonts w:cs="Arial"/>
          <w:lang w:val="es-ES" w:eastAsia="es-MX"/>
        </w:rPr>
        <w:t xml:space="preserve"> Pública del Estado de México y Municipios </w:t>
      </w:r>
      <w:r w:rsidRPr="00AE490A">
        <w:rPr>
          <w:rFonts w:cs="Arial"/>
          <w:iCs/>
          <w:lang w:val="es-ES"/>
        </w:rPr>
        <w:t xml:space="preserve">prevé que </w:t>
      </w:r>
      <w:r w:rsidRPr="00AE490A">
        <w:rPr>
          <w:lang w:val="es-ES"/>
        </w:rPr>
        <w:t xml:space="preserve">toda persona tendrá acceso a la información </w:t>
      </w:r>
      <w:r w:rsidRPr="00AE490A">
        <w:rPr>
          <w:rFonts w:cs="Arial"/>
          <w:lang w:val="es-ES"/>
        </w:rPr>
        <w:t xml:space="preserve">sin necesidad de acreditar interés alguno o justificar su utilización, de lo que se infiere que </w:t>
      </w:r>
      <w:r w:rsidRPr="00AE490A">
        <w:rPr>
          <w:rFonts w:cs="Arial"/>
          <w:b/>
          <w:u w:val="single"/>
          <w:lang w:val="es-ES"/>
        </w:rPr>
        <w:t xml:space="preserve">el nombre no es un requisito </w:t>
      </w:r>
      <w:r w:rsidRPr="00AE490A">
        <w:rPr>
          <w:rFonts w:cs="Arial"/>
          <w:b/>
          <w:iCs/>
          <w:u w:val="single"/>
          <w:lang w:val="es-ES"/>
        </w:rPr>
        <w:t>indispensable</w:t>
      </w:r>
      <w:r w:rsidRPr="00AE490A">
        <w:rPr>
          <w:rFonts w:cs="Arial"/>
          <w:lang w:val="es-ES"/>
        </w:rPr>
        <w:t xml:space="preserve"> para que las y los ciudadanos ejerzan el derecho de acceso a la información pública. </w:t>
      </w:r>
    </w:p>
    <w:p w14:paraId="71319967" w14:textId="77777777" w:rsidR="0068301E" w:rsidRPr="00AE490A" w:rsidRDefault="0068301E" w:rsidP="00AE490A">
      <w:pPr>
        <w:rPr>
          <w:rFonts w:cs="Arial"/>
          <w:sz w:val="24"/>
          <w:szCs w:val="24"/>
          <w:lang w:val="es-ES"/>
        </w:rPr>
      </w:pPr>
    </w:p>
    <w:p w14:paraId="16D70646" w14:textId="77777777" w:rsidR="0068301E" w:rsidRPr="00AE490A" w:rsidRDefault="0068301E" w:rsidP="00AE490A">
      <w:pPr>
        <w:rPr>
          <w:lang w:val="es-ES"/>
        </w:rPr>
      </w:pPr>
      <w:r w:rsidRPr="00AE490A">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AE490A">
        <w:rPr>
          <w:b/>
          <w:bCs/>
          <w:lang w:val="es-ES"/>
        </w:rPr>
        <w:t>LA PARTE RECURRENTE</w:t>
      </w:r>
      <w:r w:rsidRPr="00AE490A">
        <w:rPr>
          <w:b/>
          <w:lang w:val="es-ES"/>
        </w:rPr>
        <w:t>;</w:t>
      </w:r>
      <w:r w:rsidRPr="00AE490A">
        <w:rPr>
          <w:lang w:val="es-ES"/>
        </w:rPr>
        <w:t xml:space="preserve"> por lo que, en el presente caso, al haber sido presentado el recurso de revisión vía </w:t>
      </w:r>
      <w:r w:rsidRPr="00AE490A">
        <w:rPr>
          <w:b/>
          <w:bCs/>
          <w:lang w:val="es-ES"/>
        </w:rPr>
        <w:t>SAIMEX</w:t>
      </w:r>
      <w:r w:rsidRPr="00AE490A">
        <w:rPr>
          <w:lang w:val="es-ES"/>
        </w:rPr>
        <w:t>, dicho requisito resulta innecesario.</w:t>
      </w:r>
    </w:p>
    <w:p w14:paraId="521856AA" w14:textId="77777777" w:rsidR="0068301E" w:rsidRPr="00AE490A" w:rsidRDefault="0068301E" w:rsidP="00AE490A">
      <w:pPr>
        <w:rPr>
          <w:rFonts w:cs="Arial"/>
        </w:rPr>
      </w:pPr>
    </w:p>
    <w:p w14:paraId="3BDBDAE8" w14:textId="456ECA18" w:rsidR="005544D3" w:rsidRPr="00AE490A" w:rsidRDefault="00113BD1" w:rsidP="00AE490A">
      <w:pPr>
        <w:pStyle w:val="Ttulo3"/>
      </w:pPr>
      <w:bookmarkStart w:id="35" w:name="_Toc165402877"/>
      <w:bookmarkStart w:id="36" w:name="_Toc198747265"/>
      <w:r w:rsidRPr="00AE490A">
        <w:t>f</w:t>
      </w:r>
      <w:r w:rsidR="005544D3" w:rsidRPr="00AE490A">
        <w:t>) Acumulación de los Recursos de Revisión</w:t>
      </w:r>
      <w:bookmarkEnd w:id="35"/>
      <w:bookmarkEnd w:id="36"/>
    </w:p>
    <w:p w14:paraId="0DB87A79" w14:textId="54E12FAD" w:rsidR="00263678" w:rsidRPr="00AE490A" w:rsidRDefault="00263678" w:rsidP="00AE490A">
      <w:pPr>
        <w:rPr>
          <w:rFonts w:eastAsiaTheme="minorEastAsia"/>
        </w:rPr>
      </w:pPr>
      <w:r w:rsidRPr="00AE490A">
        <w:rPr>
          <w:rFonts w:eastAsiaTheme="minorEastAsia"/>
          <w:lang w:val="es-ES_tradnl"/>
        </w:rPr>
        <w:t xml:space="preserve">De las constancias que obran en los expedientes acumulados, se advierte que los recursos de revisión </w:t>
      </w:r>
      <w:r w:rsidR="00113BD1" w:rsidRPr="00AE490A">
        <w:rPr>
          <w:rFonts w:eastAsia="Calibri"/>
          <w:b/>
          <w:lang w:eastAsia="en-US"/>
        </w:rPr>
        <w:t xml:space="preserve">02867/INFOEM/IP/RR/2025 </w:t>
      </w:r>
      <w:r w:rsidR="00113BD1" w:rsidRPr="00AE490A">
        <w:rPr>
          <w:rFonts w:eastAsia="Calibri"/>
          <w:lang w:eastAsia="en-US"/>
        </w:rPr>
        <w:t>y</w:t>
      </w:r>
      <w:r w:rsidR="00113BD1" w:rsidRPr="00AE490A">
        <w:rPr>
          <w:rFonts w:eastAsia="Calibri"/>
          <w:b/>
          <w:lang w:eastAsia="en-US"/>
        </w:rPr>
        <w:t xml:space="preserve"> 03114/INFOEM/IP/RR/2025 </w:t>
      </w:r>
      <w:r w:rsidRPr="00AE490A">
        <w:rPr>
          <w:rFonts w:eastAsiaTheme="minorEastAsia"/>
          <w:lang w:val="es-ES_tradnl"/>
        </w:rPr>
        <w:t xml:space="preserve">fueron presentados por la misma </w:t>
      </w:r>
      <w:r w:rsidRPr="00AE490A">
        <w:rPr>
          <w:rFonts w:eastAsiaTheme="minorEastAsia"/>
          <w:b/>
          <w:lang w:val="es-ES_tradnl"/>
        </w:rPr>
        <w:t>PARTE RECURRENTE</w:t>
      </w:r>
      <w:r w:rsidRPr="00AE490A">
        <w:rPr>
          <w:rFonts w:eastAsiaTheme="minorEastAsia"/>
          <w:lang w:val="es-ES_tradnl"/>
        </w:rPr>
        <w:t xml:space="preserve"> respecto de actos u omisiones similares, realizados por el mismo </w:t>
      </w:r>
      <w:r w:rsidRPr="00AE490A">
        <w:rPr>
          <w:rFonts w:eastAsiaTheme="minorEastAsia"/>
          <w:b/>
          <w:lang w:val="es-ES_tradnl"/>
        </w:rPr>
        <w:t>SUJETO OBLIGADO</w:t>
      </w:r>
      <w:r w:rsidRPr="00AE490A">
        <w:rPr>
          <w:rFonts w:eastAsiaTheme="minorEastAsia"/>
          <w:lang w:val="es-ES_tradnl"/>
        </w:rPr>
        <w:t xml:space="preserve">, razón por la cual, con la finalidad de evitar la emisión de resoluciones contradictorias, este Órgano Garante realizó la acumulación respectiva, de conformidad con lo dispuesto en el artículo 18 del </w:t>
      </w:r>
      <w:r w:rsidRPr="00AE490A">
        <w:rPr>
          <w:rFonts w:eastAsiaTheme="minorEastAsia"/>
          <w:lang w:val="es-ES"/>
        </w:rPr>
        <w:t xml:space="preserve">Código de Procedimientos Administrativos del Estado de México, de aplicación supletoria en términos del </w:t>
      </w:r>
      <w:r w:rsidRPr="00AE490A">
        <w:rPr>
          <w:rFonts w:eastAsiaTheme="minorEastAsia"/>
          <w:lang w:val="es-ES_tradnl"/>
        </w:rPr>
        <w:t>artículo 195 de la Ley de Transparencia y Acceso a la Información Pública del Estado de México y Municipios en vigor.</w:t>
      </w:r>
    </w:p>
    <w:p w14:paraId="55FF7D04" w14:textId="77777777" w:rsidR="005544D3" w:rsidRPr="00AE490A" w:rsidRDefault="005544D3" w:rsidP="00AE490A">
      <w:pPr>
        <w:rPr>
          <w:rFonts w:cs="Arial"/>
        </w:rPr>
      </w:pPr>
    </w:p>
    <w:p w14:paraId="457548E9" w14:textId="3F7AF03B" w:rsidR="00C71CEF" w:rsidRPr="00AE490A" w:rsidRDefault="00C71CEF" w:rsidP="00AE490A">
      <w:pPr>
        <w:pStyle w:val="Ttulo2"/>
      </w:pPr>
      <w:bookmarkStart w:id="37" w:name="_Toc198747266"/>
      <w:r w:rsidRPr="00AE490A">
        <w:lastRenderedPageBreak/>
        <w:t>SEGUNDO. Estudio de Fondo</w:t>
      </w:r>
      <w:bookmarkEnd w:id="37"/>
    </w:p>
    <w:p w14:paraId="2A308F59" w14:textId="0FF373F0" w:rsidR="00C049E2" w:rsidRPr="00AE490A" w:rsidRDefault="00C71CEF" w:rsidP="00AE490A">
      <w:pPr>
        <w:pStyle w:val="Ttulo3"/>
      </w:pPr>
      <w:bookmarkStart w:id="38" w:name="_Toc198747267"/>
      <w:r w:rsidRPr="00AE490A">
        <w:t>a</w:t>
      </w:r>
      <w:r w:rsidR="00C049E2" w:rsidRPr="00AE490A">
        <w:t>) Mandato de transparencia y responsabilidad del Sujeto Obligado</w:t>
      </w:r>
      <w:bookmarkEnd w:id="38"/>
    </w:p>
    <w:p w14:paraId="6901A889" w14:textId="59EEDAE1" w:rsidR="00C049E2" w:rsidRPr="00AE490A" w:rsidRDefault="00C049E2" w:rsidP="00AE490A">
      <w:pPr>
        <w:rPr>
          <w:rFonts w:eastAsia="Palatino Linotype"/>
        </w:rPr>
      </w:pPr>
      <w:r w:rsidRPr="00AE490A">
        <w:rPr>
          <w:rFonts w:eastAsia="Palatino Linotype"/>
        </w:rPr>
        <w:t xml:space="preserve">El </w:t>
      </w:r>
      <w:r w:rsidR="00717E59" w:rsidRPr="00AE490A">
        <w:rPr>
          <w:rFonts w:eastAsia="Palatino Linotype"/>
        </w:rPr>
        <w:t>d</w:t>
      </w:r>
      <w:r w:rsidRPr="00AE490A">
        <w:rPr>
          <w:rFonts w:eastAsia="Palatino Linotype"/>
        </w:rPr>
        <w:t xml:space="preserve">erecho de </w:t>
      </w:r>
      <w:r w:rsidR="00717E59" w:rsidRPr="00AE490A">
        <w:rPr>
          <w:rFonts w:eastAsia="Palatino Linotype"/>
        </w:rPr>
        <w:t>a</w:t>
      </w:r>
      <w:r w:rsidRPr="00AE490A">
        <w:rPr>
          <w:rFonts w:eastAsia="Palatino Linotype"/>
        </w:rPr>
        <w:t xml:space="preserve">cceso a la </w:t>
      </w:r>
      <w:r w:rsidR="00717E59" w:rsidRPr="00AE490A">
        <w:rPr>
          <w:rFonts w:eastAsia="Palatino Linotype"/>
        </w:rPr>
        <w:t>i</w:t>
      </w:r>
      <w:r w:rsidRPr="00AE490A">
        <w:rPr>
          <w:rFonts w:eastAsia="Palatino Linotype"/>
        </w:rPr>
        <w:t xml:space="preserve">nformación </w:t>
      </w:r>
      <w:r w:rsidR="00717E59" w:rsidRPr="00AE490A">
        <w:rPr>
          <w:rFonts w:eastAsia="Palatino Linotype"/>
        </w:rPr>
        <w:t>p</w:t>
      </w:r>
      <w:r w:rsidRPr="00AE490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E490A">
        <w:rPr>
          <w:rFonts w:eastAsia="Palatino Linotype"/>
        </w:rPr>
        <w:t>:</w:t>
      </w:r>
    </w:p>
    <w:p w14:paraId="7FAB8D32" w14:textId="77777777" w:rsidR="00C049E2" w:rsidRPr="00AE490A" w:rsidRDefault="00C049E2" w:rsidP="00AE490A">
      <w:pPr>
        <w:rPr>
          <w:rFonts w:eastAsia="Palatino Linotype"/>
        </w:rPr>
      </w:pPr>
    </w:p>
    <w:p w14:paraId="05320813" w14:textId="77777777" w:rsidR="00C049E2" w:rsidRPr="00AE490A" w:rsidRDefault="00C049E2" w:rsidP="00AE490A">
      <w:pPr>
        <w:pStyle w:val="Puesto"/>
        <w:rPr>
          <w:rFonts w:eastAsia="Palatino Linotype"/>
          <w:b/>
        </w:rPr>
      </w:pPr>
      <w:r w:rsidRPr="00AE490A">
        <w:rPr>
          <w:rFonts w:eastAsia="Palatino Linotype"/>
          <w:b/>
        </w:rPr>
        <w:t>Constitución Política de los Estados Unidos Mexicanos</w:t>
      </w:r>
    </w:p>
    <w:p w14:paraId="6B6C67B6" w14:textId="77777777" w:rsidR="00C049E2" w:rsidRPr="00AE490A" w:rsidRDefault="00C049E2" w:rsidP="00AE490A">
      <w:pPr>
        <w:pStyle w:val="Puesto"/>
        <w:rPr>
          <w:rFonts w:eastAsia="Palatino Linotype"/>
          <w:b/>
        </w:rPr>
      </w:pPr>
      <w:r w:rsidRPr="00AE490A">
        <w:rPr>
          <w:rFonts w:eastAsia="Palatino Linotype"/>
        </w:rPr>
        <w:t>“</w:t>
      </w:r>
      <w:r w:rsidRPr="00AE490A">
        <w:rPr>
          <w:rFonts w:eastAsia="Palatino Linotype"/>
          <w:b/>
        </w:rPr>
        <w:t>Artículo 6.</w:t>
      </w:r>
    </w:p>
    <w:p w14:paraId="38D3B4C4" w14:textId="77777777" w:rsidR="00C049E2" w:rsidRPr="00AE490A" w:rsidRDefault="00C049E2" w:rsidP="00AE490A">
      <w:pPr>
        <w:pStyle w:val="Puesto"/>
        <w:rPr>
          <w:rFonts w:eastAsia="Palatino Linotype"/>
        </w:rPr>
      </w:pPr>
      <w:r w:rsidRPr="00AE490A">
        <w:rPr>
          <w:rFonts w:eastAsia="Palatino Linotype"/>
        </w:rPr>
        <w:t>(…)</w:t>
      </w:r>
    </w:p>
    <w:p w14:paraId="2CCAA297" w14:textId="6602827B" w:rsidR="00C049E2" w:rsidRPr="00AE490A" w:rsidRDefault="00C049E2" w:rsidP="00AE490A">
      <w:pPr>
        <w:pStyle w:val="Puesto"/>
        <w:rPr>
          <w:rFonts w:eastAsia="Palatino Linotype"/>
        </w:rPr>
      </w:pPr>
      <w:r w:rsidRPr="00AE490A">
        <w:rPr>
          <w:rFonts w:eastAsia="Palatino Linotype"/>
        </w:rPr>
        <w:t>Para efectos de lo dispuesto en el presente artículo se observará lo siguiente:</w:t>
      </w:r>
    </w:p>
    <w:p w14:paraId="74CC3718" w14:textId="77777777" w:rsidR="00C049E2" w:rsidRPr="00AE490A" w:rsidRDefault="00C049E2" w:rsidP="00AE490A">
      <w:pPr>
        <w:pStyle w:val="Puesto"/>
        <w:rPr>
          <w:rFonts w:eastAsia="Palatino Linotype"/>
        </w:rPr>
      </w:pPr>
      <w:r w:rsidRPr="00AE490A">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AE490A" w:rsidRDefault="00C049E2" w:rsidP="00AE490A">
      <w:pPr>
        <w:pStyle w:val="Puesto"/>
        <w:rPr>
          <w:rFonts w:eastAsia="Palatino Linotype"/>
        </w:rPr>
      </w:pPr>
      <w:r w:rsidRPr="00AE490A">
        <w:rPr>
          <w:rFonts w:eastAsia="Palatino Linotype"/>
        </w:rPr>
        <w:t xml:space="preserve">I. </w:t>
      </w:r>
      <w:r w:rsidRPr="00AE490A">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AE490A" w:rsidRDefault="00C049E2" w:rsidP="00AE490A">
      <w:pPr>
        <w:pStyle w:val="Puesto"/>
        <w:rPr>
          <w:rFonts w:eastAsia="Palatino Linotype"/>
        </w:rPr>
      </w:pPr>
    </w:p>
    <w:p w14:paraId="504F12DB" w14:textId="77777777" w:rsidR="00C049E2" w:rsidRPr="00AE490A" w:rsidRDefault="00C049E2" w:rsidP="00AE490A">
      <w:pPr>
        <w:pStyle w:val="Puesto"/>
        <w:rPr>
          <w:rFonts w:eastAsia="Palatino Linotype"/>
          <w:b/>
        </w:rPr>
      </w:pPr>
      <w:r w:rsidRPr="00AE490A">
        <w:rPr>
          <w:rFonts w:eastAsia="Palatino Linotype"/>
          <w:b/>
        </w:rPr>
        <w:t>Constitución Política del Estado Libre y Soberano de México</w:t>
      </w:r>
    </w:p>
    <w:p w14:paraId="04932D29" w14:textId="77777777" w:rsidR="00C049E2" w:rsidRPr="00AE490A" w:rsidRDefault="00C049E2" w:rsidP="00AE490A">
      <w:pPr>
        <w:pStyle w:val="Puesto"/>
        <w:rPr>
          <w:rFonts w:eastAsia="Palatino Linotype"/>
          <w:b/>
        </w:rPr>
      </w:pPr>
      <w:r w:rsidRPr="00AE490A">
        <w:rPr>
          <w:rFonts w:eastAsia="Palatino Linotype"/>
        </w:rPr>
        <w:t>“</w:t>
      </w:r>
      <w:r w:rsidRPr="00AE490A">
        <w:rPr>
          <w:rFonts w:eastAsia="Palatino Linotype"/>
          <w:b/>
        </w:rPr>
        <w:t xml:space="preserve">Artículo 5.- </w:t>
      </w:r>
    </w:p>
    <w:p w14:paraId="1D3829F4" w14:textId="77777777" w:rsidR="00C049E2" w:rsidRPr="00AE490A" w:rsidRDefault="00C049E2" w:rsidP="00AE490A">
      <w:pPr>
        <w:pStyle w:val="Puesto"/>
        <w:rPr>
          <w:rFonts w:eastAsia="Palatino Linotype"/>
        </w:rPr>
      </w:pPr>
      <w:r w:rsidRPr="00AE490A">
        <w:rPr>
          <w:rFonts w:eastAsia="Palatino Linotype"/>
        </w:rPr>
        <w:t>(…)</w:t>
      </w:r>
    </w:p>
    <w:p w14:paraId="0EAE47FD" w14:textId="77777777" w:rsidR="00C049E2" w:rsidRPr="00AE490A" w:rsidRDefault="00C049E2" w:rsidP="00AE490A">
      <w:pPr>
        <w:pStyle w:val="Puesto"/>
        <w:rPr>
          <w:rFonts w:eastAsia="Palatino Linotype"/>
        </w:rPr>
      </w:pPr>
      <w:r w:rsidRPr="00AE490A">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AE490A" w:rsidRDefault="00C049E2" w:rsidP="00AE490A">
      <w:pPr>
        <w:pStyle w:val="Puesto"/>
        <w:rPr>
          <w:rFonts w:eastAsia="Palatino Linotype"/>
        </w:rPr>
      </w:pPr>
      <w:r w:rsidRPr="00AE490A">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E490A" w:rsidRDefault="00C049E2" w:rsidP="00AE490A">
      <w:pPr>
        <w:pStyle w:val="Puesto"/>
        <w:rPr>
          <w:rFonts w:eastAsia="Palatino Linotype"/>
        </w:rPr>
      </w:pPr>
      <w:r w:rsidRPr="00AE490A">
        <w:rPr>
          <w:rFonts w:eastAsia="Palatino Linotype"/>
        </w:rPr>
        <w:t>Este derecho se regirá por los principios y bases siguientes:</w:t>
      </w:r>
    </w:p>
    <w:p w14:paraId="4A3E8CBA" w14:textId="77777777" w:rsidR="00C049E2" w:rsidRPr="00AE490A" w:rsidRDefault="00C049E2" w:rsidP="00AE490A">
      <w:pPr>
        <w:pStyle w:val="Puesto"/>
        <w:rPr>
          <w:rFonts w:eastAsia="Palatino Linotype"/>
        </w:rPr>
      </w:pPr>
      <w:r w:rsidRPr="00AE490A">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AE490A" w:rsidRDefault="00C049E2" w:rsidP="00AE490A">
      <w:pPr>
        <w:rPr>
          <w:rFonts w:eastAsia="Palatino Linotype"/>
          <w:b/>
          <w:i/>
        </w:rPr>
      </w:pPr>
    </w:p>
    <w:p w14:paraId="6FC1BB3B" w14:textId="3BF4A33D" w:rsidR="00C049E2" w:rsidRPr="00AE490A" w:rsidRDefault="00717E59" w:rsidP="00AE490A">
      <w:pPr>
        <w:rPr>
          <w:rFonts w:eastAsia="Palatino Linotype"/>
          <w:i/>
        </w:rPr>
      </w:pPr>
      <w:r w:rsidRPr="00AE490A">
        <w:rPr>
          <w:rFonts w:eastAsia="Palatino Linotype"/>
        </w:rPr>
        <w:t xml:space="preserve">Asimismo, </w:t>
      </w:r>
      <w:r w:rsidR="00C049E2" w:rsidRPr="00AE490A">
        <w:rPr>
          <w:rFonts w:eastAsia="Palatino Linotype"/>
        </w:rPr>
        <w:t>el artículo 150 de la Ley de Transparencia y Acceso a la Información Pública del Estado de México y Municipios</w:t>
      </w:r>
      <w:r w:rsidR="00057B2D" w:rsidRPr="00AE490A">
        <w:rPr>
          <w:rFonts w:eastAsia="Palatino Linotype"/>
        </w:rPr>
        <w:t xml:space="preserve"> </w:t>
      </w:r>
      <w:r w:rsidR="00E9335C" w:rsidRPr="00AE490A">
        <w:rPr>
          <w:rFonts w:eastAsia="Palatino Linotype"/>
        </w:rPr>
        <w:t xml:space="preserve">indica </w:t>
      </w:r>
      <w:r w:rsidR="00057B2D" w:rsidRPr="00AE490A">
        <w:rPr>
          <w:rFonts w:eastAsia="Palatino Linotype"/>
        </w:rPr>
        <w:t>que</w:t>
      </w:r>
      <w:r w:rsidR="00C049E2" w:rsidRPr="00AE490A">
        <w:rPr>
          <w:rFonts w:eastAsia="Palatino Linotype"/>
        </w:rPr>
        <w:t xml:space="preserve"> la solicitud es la garantía primaria del Derecho de Acceso a la Información, además, establece que se regirá </w:t>
      </w:r>
      <w:r w:rsidR="00C049E2" w:rsidRPr="00AE490A">
        <w:rPr>
          <w:rFonts w:eastAsia="Palatino Linotype"/>
          <w:i/>
        </w:rPr>
        <w:t>por los principios de simplicidad, rapidez</w:t>
      </w:r>
      <w:r w:rsidR="005F65B7" w:rsidRPr="00AE490A">
        <w:rPr>
          <w:rFonts w:eastAsia="Palatino Linotype"/>
          <w:i/>
        </w:rPr>
        <w:t>,</w:t>
      </w:r>
      <w:r w:rsidR="00C049E2" w:rsidRPr="00AE490A">
        <w:rPr>
          <w:rFonts w:eastAsia="Palatino Linotype"/>
          <w:i/>
        </w:rPr>
        <w:t xml:space="preserve"> gratuidad del procedimiento, auxilio y orientación a los particulare</w:t>
      </w:r>
      <w:r w:rsidR="001A58B3" w:rsidRPr="00AE490A">
        <w:rPr>
          <w:rFonts w:eastAsia="Palatino Linotype"/>
          <w:i/>
        </w:rPr>
        <w:t>s.</w:t>
      </w:r>
    </w:p>
    <w:p w14:paraId="033466A6" w14:textId="77777777" w:rsidR="001A58B3" w:rsidRPr="00AE490A" w:rsidRDefault="001A58B3" w:rsidP="00AE490A">
      <w:pPr>
        <w:rPr>
          <w:rFonts w:eastAsia="Palatino Linotype"/>
          <w:i/>
        </w:rPr>
      </w:pPr>
    </w:p>
    <w:p w14:paraId="04ADA10B" w14:textId="574A944A" w:rsidR="001A58B3" w:rsidRPr="00AE490A" w:rsidRDefault="00233F17" w:rsidP="00AE490A">
      <w:pPr>
        <w:rPr>
          <w:rFonts w:eastAsia="Palatino Linotype" w:cs="Palatino Linotype"/>
          <w:i/>
          <w:szCs w:val="22"/>
        </w:rPr>
      </w:pPr>
      <w:r w:rsidRPr="00AE490A">
        <w:rPr>
          <w:rFonts w:eastAsia="Palatino Linotype" w:cs="Palatino Linotype"/>
        </w:rPr>
        <w:t xml:space="preserve">Por su parte, el artículo 4 de </w:t>
      </w:r>
      <w:r w:rsidR="001A58B3" w:rsidRPr="00AE490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E490A">
        <w:rPr>
          <w:rFonts w:eastAsia="Palatino Linotype" w:cs="Palatino Linotype"/>
        </w:rPr>
        <w:t>.</w:t>
      </w:r>
    </w:p>
    <w:p w14:paraId="1407DBB8" w14:textId="77777777" w:rsidR="001A58B3" w:rsidRPr="00AE490A" w:rsidRDefault="001A58B3" w:rsidP="00AE490A">
      <w:pPr>
        <w:rPr>
          <w:rFonts w:eastAsia="Palatino Linotype" w:cs="Palatino Linotype"/>
        </w:rPr>
      </w:pPr>
    </w:p>
    <w:p w14:paraId="7552AA79" w14:textId="5C52E4A4" w:rsidR="001A58B3" w:rsidRPr="00AE490A" w:rsidRDefault="001A58B3" w:rsidP="00AE490A">
      <w:pPr>
        <w:rPr>
          <w:rFonts w:eastAsia="Palatino Linotype" w:cs="Palatino Linotype"/>
        </w:rPr>
      </w:pPr>
      <w:r w:rsidRPr="00AE490A">
        <w:rPr>
          <w:rFonts w:eastAsia="Palatino Linotype" w:cs="Palatino Linotype"/>
        </w:rPr>
        <w:t xml:space="preserve">Esto es, que los Sujetos Obligados </w:t>
      </w:r>
      <w:r w:rsidR="00FA5957" w:rsidRPr="00AE490A">
        <w:rPr>
          <w:rFonts w:eastAsia="Palatino Linotype" w:cs="Palatino Linotype"/>
        </w:rPr>
        <w:t>deben</w:t>
      </w:r>
      <w:r w:rsidRPr="00AE490A">
        <w:rPr>
          <w:rFonts w:eastAsia="Palatino Linotype" w:cs="Palatino Linotype"/>
        </w:rPr>
        <w:t xml:space="preserve"> atender las solicitudes de acceso a la información pública que se les </w:t>
      </w:r>
      <w:r w:rsidR="00FA5957" w:rsidRPr="00AE490A">
        <w:rPr>
          <w:rFonts w:eastAsia="Palatino Linotype" w:cs="Palatino Linotype"/>
        </w:rPr>
        <w:t>sean realizadas,</w:t>
      </w:r>
      <w:r w:rsidRPr="00AE490A">
        <w:rPr>
          <w:rFonts w:eastAsia="Palatino Linotype" w:cs="Palatino Linotype"/>
        </w:rPr>
        <w:t xml:space="preserve"> y proporcionar la información pública que obre en su poder</w:t>
      </w:r>
      <w:r w:rsidR="00FA5957" w:rsidRPr="00AE490A">
        <w:rPr>
          <w:rFonts w:eastAsia="Palatino Linotype" w:cs="Palatino Linotype"/>
        </w:rPr>
        <w:t>,</w:t>
      </w:r>
      <w:r w:rsidRPr="00AE490A">
        <w:rPr>
          <w:rFonts w:eastAsia="Palatino Linotype" w:cs="Palatino Linotype"/>
        </w:rPr>
        <w:t xml:space="preserve"> conforme </w:t>
      </w:r>
      <w:r w:rsidR="00FA5957" w:rsidRPr="00AE490A">
        <w:rPr>
          <w:rFonts w:eastAsia="Palatino Linotype" w:cs="Palatino Linotype"/>
        </w:rPr>
        <w:t>a</w:t>
      </w:r>
      <w:r w:rsidRPr="00AE490A">
        <w:rPr>
          <w:rFonts w:eastAsia="Palatino Linotype" w:cs="Palatino Linotype"/>
        </w:rPr>
        <w:t xml:space="preserve">l estado </w:t>
      </w:r>
      <w:r w:rsidR="00FA5957" w:rsidRPr="00AE490A">
        <w:rPr>
          <w:rFonts w:eastAsia="Palatino Linotype" w:cs="Palatino Linotype"/>
        </w:rPr>
        <w:t xml:space="preserve">en </w:t>
      </w:r>
      <w:r w:rsidRPr="00AE490A">
        <w:rPr>
          <w:rFonts w:eastAsia="Palatino Linotype" w:cs="Palatino Linotype"/>
        </w:rPr>
        <w:t>que se encuentr</w:t>
      </w:r>
      <w:r w:rsidR="00FA5957" w:rsidRPr="00AE490A">
        <w:rPr>
          <w:rFonts w:eastAsia="Palatino Linotype" w:cs="Palatino Linotype"/>
        </w:rPr>
        <w:t>e, sin que sea necesario</w:t>
      </w:r>
      <w:r w:rsidRPr="00AE490A">
        <w:rPr>
          <w:rFonts w:eastAsia="Palatino Linotype" w:cs="Palatino Linotype"/>
        </w:rPr>
        <w:t xml:space="preserve"> </w:t>
      </w:r>
      <w:r w:rsidR="00FA5957" w:rsidRPr="00AE490A">
        <w:rPr>
          <w:rFonts w:eastAsia="Palatino Linotype" w:cs="Palatino Linotype"/>
        </w:rPr>
        <w:t>procesar</w:t>
      </w:r>
      <w:r w:rsidRPr="00AE490A">
        <w:rPr>
          <w:rFonts w:eastAsia="Palatino Linotype" w:cs="Palatino Linotype"/>
        </w:rPr>
        <w:t xml:space="preserve"> la misma, ni presentarla conforme al interés del solicitante; </w:t>
      </w:r>
      <w:r w:rsidR="00FA5957" w:rsidRPr="00AE490A">
        <w:rPr>
          <w:rFonts w:eastAsia="Palatino Linotype" w:cs="Palatino Linotype"/>
        </w:rPr>
        <w:t>tal y como</w:t>
      </w:r>
      <w:r w:rsidRPr="00AE490A">
        <w:rPr>
          <w:rFonts w:eastAsia="Palatino Linotype" w:cs="Palatino Linotype"/>
        </w:rPr>
        <w:t xml:space="preserve"> lo establece el artículo 12 de la Ley de Transparencia y Acceso a la Información Pública del Estado de México y Municipios</w:t>
      </w:r>
      <w:r w:rsidR="00970EB3" w:rsidRPr="00AE490A">
        <w:rPr>
          <w:rFonts w:eastAsia="Palatino Linotype" w:cs="Palatino Linotype"/>
        </w:rPr>
        <w:t>.</w:t>
      </w:r>
    </w:p>
    <w:p w14:paraId="73245195" w14:textId="77777777" w:rsidR="00970EB3" w:rsidRPr="00AE490A" w:rsidRDefault="00970EB3" w:rsidP="00AE490A">
      <w:pPr>
        <w:rPr>
          <w:rFonts w:eastAsia="Palatino Linotype" w:cs="Palatino Linotype"/>
        </w:rPr>
      </w:pPr>
    </w:p>
    <w:p w14:paraId="7F62D4DF" w14:textId="775730E1" w:rsidR="001A58B3" w:rsidRPr="00AE490A" w:rsidRDefault="001A58B3" w:rsidP="00AE490A">
      <w:pPr>
        <w:rPr>
          <w:rFonts w:eastAsia="Palatino Linotype" w:cs="Palatino Linotype"/>
        </w:rPr>
      </w:pPr>
      <w:r w:rsidRPr="00AE490A">
        <w:rPr>
          <w:rFonts w:eastAsia="Palatino Linotype" w:cs="Palatino Linotype"/>
        </w:rPr>
        <w:lastRenderedPageBreak/>
        <w:t>Es decir, que todo sujeto obligado que genere, recopile, administre, procese, archive, posea o conserven, son responsables de la misma</w:t>
      </w:r>
      <w:r w:rsidR="00970EB3" w:rsidRPr="00AE490A">
        <w:rPr>
          <w:rFonts w:eastAsia="Palatino Linotype" w:cs="Palatino Linotype"/>
        </w:rPr>
        <w:t>,</w:t>
      </w:r>
      <w:r w:rsidRPr="00AE490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E490A">
        <w:rPr>
          <w:rFonts w:eastAsia="Palatino Linotype" w:cs="Palatino Linotype"/>
        </w:rPr>
        <w:t>o</w:t>
      </w:r>
      <w:r w:rsidRPr="00AE490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E490A" w:rsidRDefault="001A58B3" w:rsidP="00AE490A">
      <w:pPr>
        <w:rPr>
          <w:rFonts w:eastAsia="Palatino Linotype" w:cs="Palatino Linotype"/>
        </w:rPr>
      </w:pPr>
    </w:p>
    <w:p w14:paraId="04E42DFE" w14:textId="573F1198" w:rsidR="001A58B3" w:rsidRPr="00AE490A" w:rsidRDefault="001A58B3" w:rsidP="00AE490A">
      <w:pPr>
        <w:rPr>
          <w:rFonts w:eastAsia="Palatino Linotype" w:cs="Palatino Linotype"/>
        </w:rPr>
      </w:pPr>
      <w:r w:rsidRPr="00AE490A">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E490A">
        <w:rPr>
          <w:rFonts w:eastAsia="Palatino Linotype" w:cs="Palatino Linotype"/>
        </w:rPr>
        <w:t>, s</w:t>
      </w:r>
      <w:r w:rsidRPr="00AE490A">
        <w:rPr>
          <w:rFonts w:eastAsia="Palatino Linotype" w:cs="Palatino Linotype"/>
        </w:rPr>
        <w:t xml:space="preserve">iempre y cuando no se trate de información reservada o </w:t>
      </w:r>
      <w:r w:rsidR="00331F35" w:rsidRPr="00AE490A">
        <w:rPr>
          <w:rFonts w:eastAsia="Palatino Linotype" w:cs="Palatino Linotype"/>
        </w:rPr>
        <w:t>confidencial.</w:t>
      </w:r>
    </w:p>
    <w:p w14:paraId="40C5219F" w14:textId="77777777" w:rsidR="001A58B3" w:rsidRPr="00AE490A" w:rsidRDefault="001A58B3" w:rsidP="00AE490A">
      <w:pPr>
        <w:rPr>
          <w:rFonts w:eastAsia="Palatino Linotype" w:cs="Palatino Linotype"/>
        </w:rPr>
      </w:pPr>
    </w:p>
    <w:p w14:paraId="2E629608" w14:textId="01727E15" w:rsidR="00C049E2" w:rsidRPr="00AE490A" w:rsidRDefault="006067C7" w:rsidP="00AE490A">
      <w:pPr>
        <w:rPr>
          <w:rFonts w:eastAsia="Palatino Linotype"/>
        </w:rPr>
      </w:pPr>
      <w:bookmarkStart w:id="39" w:name="_heading=h.2s8eyo1" w:colFirst="0" w:colLast="0"/>
      <w:bookmarkEnd w:id="39"/>
      <w:r w:rsidRPr="00AE490A">
        <w:rPr>
          <w:rFonts w:eastAsia="Palatino Linotype"/>
        </w:rPr>
        <w:t>Con base en lo anterior</w:t>
      </w:r>
      <w:r w:rsidR="00B22A80" w:rsidRPr="00AE490A">
        <w:rPr>
          <w:rFonts w:eastAsia="Palatino Linotype"/>
        </w:rPr>
        <w:t>, se considera que</w:t>
      </w:r>
      <w:r w:rsidR="00C049E2" w:rsidRPr="00AE490A">
        <w:rPr>
          <w:rFonts w:eastAsia="Palatino Linotype"/>
        </w:rPr>
        <w:t xml:space="preserve"> </w:t>
      </w:r>
      <w:r w:rsidR="00B22A80" w:rsidRPr="00AE490A">
        <w:rPr>
          <w:rFonts w:eastAsia="Palatino Linotype"/>
          <w:b/>
          <w:bCs/>
        </w:rPr>
        <w:t>EL</w:t>
      </w:r>
      <w:r w:rsidR="00C049E2" w:rsidRPr="00AE490A">
        <w:rPr>
          <w:rFonts w:eastAsia="Palatino Linotype"/>
        </w:rPr>
        <w:t xml:space="preserve"> </w:t>
      </w:r>
      <w:r w:rsidR="00C049E2" w:rsidRPr="00AE490A">
        <w:rPr>
          <w:rFonts w:eastAsia="Palatino Linotype"/>
          <w:b/>
        </w:rPr>
        <w:t>SUJETO OBLIGADO</w:t>
      </w:r>
      <w:r w:rsidR="00C049E2" w:rsidRPr="00AE490A">
        <w:rPr>
          <w:rFonts w:eastAsia="Palatino Linotype"/>
        </w:rPr>
        <w:t xml:space="preserve"> </w:t>
      </w:r>
      <w:r w:rsidR="00B22A80" w:rsidRPr="00AE490A">
        <w:rPr>
          <w:rFonts w:eastAsia="Palatino Linotype"/>
        </w:rPr>
        <w:t xml:space="preserve">se </w:t>
      </w:r>
      <w:r w:rsidR="00717E59" w:rsidRPr="00AE490A">
        <w:rPr>
          <w:rFonts w:eastAsia="Palatino Linotype"/>
        </w:rPr>
        <w:t>encontraba</w:t>
      </w:r>
      <w:r w:rsidR="00B22A80" w:rsidRPr="00AE490A">
        <w:rPr>
          <w:rFonts w:eastAsia="Palatino Linotype"/>
        </w:rPr>
        <w:t xml:space="preserve"> compelido a</w:t>
      </w:r>
      <w:r w:rsidR="00C049E2" w:rsidRPr="00AE490A">
        <w:rPr>
          <w:rFonts w:eastAsia="Palatino Linotype"/>
        </w:rPr>
        <w:t xml:space="preserve"> atender la solicitud de acceso a la información </w:t>
      </w:r>
      <w:r w:rsidR="00B22A80" w:rsidRPr="00AE490A">
        <w:rPr>
          <w:rFonts w:eastAsia="Palatino Linotype"/>
        </w:rPr>
        <w:t xml:space="preserve">realizada por </w:t>
      </w:r>
      <w:r w:rsidR="00B22A80" w:rsidRPr="00AE490A">
        <w:rPr>
          <w:rFonts w:eastAsia="Palatino Linotype"/>
          <w:b/>
          <w:bCs/>
        </w:rPr>
        <w:t>LA PARTE RECURRENTE</w:t>
      </w:r>
      <w:r w:rsidR="00331F35" w:rsidRPr="00AE490A">
        <w:rPr>
          <w:rFonts w:eastAsia="Palatino Linotype"/>
        </w:rPr>
        <w:t>.</w:t>
      </w:r>
    </w:p>
    <w:p w14:paraId="1611F147" w14:textId="77777777" w:rsidR="00BD5A7C" w:rsidRPr="00AE490A" w:rsidRDefault="00BD5A7C" w:rsidP="00AE490A">
      <w:pPr>
        <w:rPr>
          <w:rFonts w:eastAsia="Palatino Linotype"/>
        </w:rPr>
      </w:pPr>
    </w:p>
    <w:p w14:paraId="51A0E8B4" w14:textId="676DCA47" w:rsidR="00664420" w:rsidRPr="00AE490A" w:rsidRDefault="00C71CEF" w:rsidP="00AE490A">
      <w:pPr>
        <w:pStyle w:val="Ttulo3"/>
        <w:rPr>
          <w:rFonts w:eastAsia="Calibri"/>
          <w:lang w:eastAsia="es-ES_tradnl"/>
        </w:rPr>
      </w:pPr>
      <w:bookmarkStart w:id="40" w:name="_Toc198747268"/>
      <w:r w:rsidRPr="00AE490A">
        <w:rPr>
          <w:rFonts w:eastAsia="Calibri"/>
          <w:lang w:eastAsia="es-ES_tradnl"/>
        </w:rPr>
        <w:t>b)</w:t>
      </w:r>
      <w:r w:rsidR="00A53315" w:rsidRPr="00AE490A">
        <w:rPr>
          <w:rFonts w:eastAsia="Calibri"/>
          <w:lang w:eastAsia="es-ES_tradnl"/>
        </w:rPr>
        <w:t xml:space="preserve"> </w:t>
      </w:r>
      <w:r w:rsidR="00A21A20" w:rsidRPr="00AE490A">
        <w:rPr>
          <w:rFonts w:eastAsia="Calibri"/>
          <w:lang w:eastAsia="es-ES_tradnl"/>
        </w:rPr>
        <w:t>Controversia a resolver</w:t>
      </w:r>
      <w:bookmarkEnd w:id="40"/>
    </w:p>
    <w:p w14:paraId="31C58838" w14:textId="4A9E4BCF" w:rsidR="00113BD1" w:rsidRPr="00AE490A" w:rsidRDefault="00664420" w:rsidP="00AE490A">
      <w:pPr>
        <w:rPr>
          <w:rFonts w:eastAsia="Calibri"/>
          <w:lang w:eastAsia="es-ES_tradnl"/>
        </w:rPr>
      </w:pPr>
      <w:r w:rsidRPr="00AE490A">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AE490A">
        <w:rPr>
          <w:rFonts w:eastAsia="Calibri"/>
          <w:b/>
          <w:bCs/>
          <w:lang w:eastAsia="es-ES_tradnl"/>
        </w:rPr>
        <w:t>LA PARTE RECURRENTE</w:t>
      </w:r>
      <w:r w:rsidR="004565C2" w:rsidRPr="00AE490A">
        <w:rPr>
          <w:rFonts w:eastAsia="Calibri"/>
          <w:lang w:eastAsia="es-ES_tradnl"/>
        </w:rPr>
        <w:t xml:space="preserve"> solicitó</w:t>
      </w:r>
      <w:r w:rsidR="00113BD1" w:rsidRPr="00AE490A">
        <w:rPr>
          <w:rFonts w:eastAsia="Calibri"/>
          <w:lang w:eastAsia="es-ES_tradnl"/>
        </w:rPr>
        <w:t xml:space="preserve"> los recibos de nómina de los integrantes de cabildo; así como, de los directores, coordinadores, encargados, jueces, titulares o equivale</w:t>
      </w:r>
      <w:r w:rsidR="00A7679B" w:rsidRPr="00AE490A">
        <w:rPr>
          <w:rFonts w:eastAsia="Calibri"/>
          <w:lang w:eastAsia="es-ES_tradnl"/>
        </w:rPr>
        <w:t>nte</w:t>
      </w:r>
      <w:r w:rsidR="00113BD1" w:rsidRPr="00AE490A">
        <w:rPr>
          <w:rFonts w:eastAsia="Calibri"/>
          <w:lang w:eastAsia="es-ES_tradnl"/>
        </w:rPr>
        <w:t xml:space="preserve">s, correspondientes al mes de enero y primera quincena de febrero. </w:t>
      </w:r>
    </w:p>
    <w:p w14:paraId="79069BAF" w14:textId="77777777" w:rsidR="00113BD1" w:rsidRPr="00AE490A" w:rsidRDefault="00113BD1" w:rsidP="00AE490A">
      <w:pPr>
        <w:rPr>
          <w:rFonts w:eastAsia="Calibri"/>
          <w:lang w:eastAsia="es-ES_tradnl"/>
        </w:rPr>
      </w:pPr>
    </w:p>
    <w:p w14:paraId="41B60DA1" w14:textId="30749A24" w:rsidR="00113BD1" w:rsidRPr="00AE490A" w:rsidRDefault="00E11AA0" w:rsidP="00AE490A">
      <w:pPr>
        <w:tabs>
          <w:tab w:val="left" w:pos="4962"/>
        </w:tabs>
        <w:contextualSpacing/>
        <w:rPr>
          <w:rFonts w:cs="Tahoma"/>
          <w:iCs/>
        </w:rPr>
      </w:pPr>
      <w:r w:rsidRPr="00AE490A">
        <w:rPr>
          <w:rFonts w:eastAsiaTheme="minorHAnsi" w:cs="Tahoma"/>
          <w:bCs/>
          <w:iCs/>
          <w:szCs w:val="22"/>
          <w:lang w:eastAsia="en-US"/>
        </w:rPr>
        <w:lastRenderedPageBreak/>
        <w:t>Al respecto</w:t>
      </w:r>
      <w:r w:rsidR="00664420" w:rsidRPr="00AE490A">
        <w:rPr>
          <w:rFonts w:eastAsiaTheme="minorHAnsi" w:cs="Tahoma"/>
          <w:bCs/>
          <w:iCs/>
          <w:szCs w:val="22"/>
          <w:lang w:eastAsia="en-US"/>
        </w:rPr>
        <w:t xml:space="preserve"> </w:t>
      </w:r>
      <w:r w:rsidR="005D5A50" w:rsidRPr="00AE490A">
        <w:rPr>
          <w:rFonts w:eastAsiaTheme="minorHAnsi" w:cs="Tahoma"/>
          <w:b/>
          <w:iCs/>
          <w:szCs w:val="22"/>
          <w:lang w:eastAsia="en-US"/>
        </w:rPr>
        <w:t>EL SUJETO OBLIGADO</w:t>
      </w:r>
      <w:r w:rsidRPr="00AE490A">
        <w:rPr>
          <w:rFonts w:eastAsiaTheme="minorHAnsi" w:cs="Tahoma"/>
          <w:bCs/>
          <w:iCs/>
          <w:szCs w:val="22"/>
          <w:lang w:eastAsia="en-US"/>
        </w:rPr>
        <w:t xml:space="preserve"> </w:t>
      </w:r>
      <w:r w:rsidR="00DC013B" w:rsidRPr="00AE490A">
        <w:rPr>
          <w:bCs/>
          <w:lang w:val="es-ES"/>
        </w:rPr>
        <w:t>mediante respuesta</w:t>
      </w:r>
      <w:r w:rsidR="00263678" w:rsidRPr="00AE490A">
        <w:rPr>
          <w:bCs/>
          <w:lang w:val="es-ES"/>
        </w:rPr>
        <w:t>s</w:t>
      </w:r>
      <w:r w:rsidR="00DC013B" w:rsidRPr="00AE490A">
        <w:rPr>
          <w:bCs/>
          <w:lang w:val="es-ES"/>
        </w:rPr>
        <w:t xml:space="preserve"> </w:t>
      </w:r>
      <w:r w:rsidR="0025745F" w:rsidRPr="00AE490A">
        <w:rPr>
          <w:bCs/>
          <w:lang w:val="es-ES"/>
        </w:rPr>
        <w:t>adjuntó</w:t>
      </w:r>
      <w:r w:rsidR="00113BD1" w:rsidRPr="00AE490A">
        <w:rPr>
          <w:bCs/>
          <w:lang w:val="es-ES"/>
        </w:rPr>
        <w:t xml:space="preserve"> </w:t>
      </w:r>
      <w:r w:rsidR="00113BD1" w:rsidRPr="00AE490A">
        <w:rPr>
          <w:rFonts w:eastAsiaTheme="majorEastAsia"/>
          <w:iCs/>
        </w:rPr>
        <w:t>oficios por medio del cual la Tesorera Municipal, medularmente informó que se encontraba limitada ya que no se específica el ejercicio del cual se requería la información.</w:t>
      </w:r>
    </w:p>
    <w:p w14:paraId="55C5E9EC" w14:textId="77777777" w:rsidR="00263678" w:rsidRPr="00AE490A" w:rsidRDefault="00263678" w:rsidP="00AE490A">
      <w:pPr>
        <w:tabs>
          <w:tab w:val="left" w:pos="4962"/>
        </w:tabs>
        <w:contextualSpacing/>
        <w:rPr>
          <w:bCs/>
          <w:lang w:val="es-ES"/>
        </w:rPr>
      </w:pPr>
    </w:p>
    <w:p w14:paraId="5A0249EE" w14:textId="14195B1A" w:rsidR="00167822" w:rsidRPr="00AE490A" w:rsidRDefault="00CF7586" w:rsidP="00AE490A">
      <w:pPr>
        <w:tabs>
          <w:tab w:val="left" w:pos="4962"/>
        </w:tabs>
        <w:contextualSpacing/>
        <w:rPr>
          <w:rFonts w:eastAsiaTheme="minorHAnsi" w:cs="Tahoma"/>
          <w:bCs/>
          <w:iCs/>
          <w:szCs w:val="22"/>
          <w:lang w:eastAsia="en-US"/>
        </w:rPr>
      </w:pPr>
      <w:r w:rsidRPr="00AE490A">
        <w:rPr>
          <w:rFonts w:eastAsiaTheme="minorHAnsi" w:cs="Tahoma"/>
          <w:bCs/>
          <w:iCs/>
          <w:szCs w:val="22"/>
          <w:lang w:eastAsia="en-US"/>
        </w:rPr>
        <w:t xml:space="preserve">Ahora bien, en la interposición del presente recurso </w:t>
      </w:r>
      <w:r w:rsidRPr="00AE490A">
        <w:rPr>
          <w:rFonts w:eastAsiaTheme="minorHAnsi" w:cs="Tahoma"/>
          <w:b/>
          <w:iCs/>
          <w:szCs w:val="22"/>
          <w:lang w:eastAsia="en-US"/>
        </w:rPr>
        <w:t>LA PARTE RECURRENTE</w:t>
      </w:r>
      <w:r w:rsidR="00237120" w:rsidRPr="00AE490A">
        <w:rPr>
          <w:rFonts w:eastAsiaTheme="minorHAnsi" w:cs="Tahoma"/>
          <w:bCs/>
          <w:iCs/>
          <w:szCs w:val="22"/>
          <w:lang w:eastAsia="en-US"/>
        </w:rPr>
        <w:t xml:space="preserve"> s</w:t>
      </w:r>
      <w:r w:rsidR="00E11AA0" w:rsidRPr="00AE490A">
        <w:rPr>
          <w:rFonts w:eastAsiaTheme="minorHAnsi" w:cs="Tahoma"/>
          <w:bCs/>
          <w:iCs/>
          <w:szCs w:val="22"/>
          <w:lang w:eastAsia="en-US"/>
        </w:rPr>
        <w:t>e inconformó medularmente por</w:t>
      </w:r>
      <w:r w:rsidR="00113BD1" w:rsidRPr="00AE490A">
        <w:rPr>
          <w:rFonts w:eastAsiaTheme="minorHAnsi" w:cs="Tahoma"/>
          <w:bCs/>
          <w:iCs/>
          <w:szCs w:val="22"/>
          <w:lang w:eastAsia="en-US"/>
        </w:rPr>
        <w:t xml:space="preserve"> la negativa de la información solicitada</w:t>
      </w:r>
      <w:r w:rsidR="00167822" w:rsidRPr="00AE490A">
        <w:rPr>
          <w:rFonts w:eastAsiaTheme="minorHAnsi" w:cs="Tahoma"/>
          <w:bCs/>
          <w:iCs/>
          <w:szCs w:val="22"/>
          <w:lang w:eastAsia="en-US"/>
        </w:rPr>
        <w:t xml:space="preserve">. </w:t>
      </w:r>
    </w:p>
    <w:p w14:paraId="71CA02C9" w14:textId="77777777" w:rsidR="00167822" w:rsidRPr="00AE490A" w:rsidRDefault="00167822" w:rsidP="00AE490A">
      <w:pPr>
        <w:tabs>
          <w:tab w:val="left" w:pos="4962"/>
        </w:tabs>
        <w:contextualSpacing/>
        <w:rPr>
          <w:rFonts w:eastAsiaTheme="minorHAnsi" w:cs="Tahoma"/>
          <w:bCs/>
          <w:iCs/>
          <w:szCs w:val="22"/>
          <w:lang w:eastAsia="en-US"/>
        </w:rPr>
      </w:pPr>
    </w:p>
    <w:p w14:paraId="4B747F31" w14:textId="77777777" w:rsidR="00113BD1" w:rsidRPr="00AE490A" w:rsidRDefault="00113BD1" w:rsidP="00AE490A">
      <w:pPr>
        <w:pStyle w:val="Prrafodelista"/>
        <w:widowControl w:val="0"/>
        <w:autoSpaceDE w:val="0"/>
        <w:autoSpaceDN w:val="0"/>
        <w:adjustRightInd w:val="0"/>
        <w:ind w:left="0"/>
      </w:pPr>
      <w:r w:rsidRPr="00AE490A">
        <w:rPr>
          <w:rFonts w:eastAsiaTheme="minorHAnsi" w:cs="Tahoma"/>
          <w:bCs/>
          <w:iCs/>
          <w:szCs w:val="22"/>
          <w:lang w:eastAsia="en-US"/>
        </w:rPr>
        <w:t>Asimismo</w:t>
      </w:r>
      <w:r w:rsidRPr="00AE490A">
        <w:t xml:space="preserve">, es importante señalar que </w:t>
      </w:r>
      <w:r w:rsidRPr="00AE490A">
        <w:rPr>
          <w:b/>
          <w:iCs/>
        </w:rPr>
        <w:t>LA PARTE RECURRENTE</w:t>
      </w:r>
      <w:r w:rsidRPr="00AE490A">
        <w:rPr>
          <w:bCs/>
          <w:iCs/>
        </w:rPr>
        <w:t xml:space="preserve"> </w:t>
      </w:r>
      <w:r w:rsidRPr="00AE490A">
        <w:t xml:space="preserve">no realizó manifestaciones, alegatos o pruebas y por su parte </w:t>
      </w:r>
      <w:r w:rsidRPr="00AE490A">
        <w:rPr>
          <w:b/>
        </w:rPr>
        <w:t>EL SUJETO OBLIGADO</w:t>
      </w:r>
      <w:r w:rsidRPr="00AE490A">
        <w:rPr>
          <w:rFonts w:cs="Arial"/>
        </w:rPr>
        <w:t xml:space="preserve"> omitió rendir su </w:t>
      </w:r>
      <w:r w:rsidRPr="00AE490A">
        <w:t xml:space="preserve">Informe Justificado, en el término establecido en el numeral 185, fracción II de la Ley de Transparencia y Acceso a la Información Pública del Estado de México y Municipios. </w:t>
      </w:r>
    </w:p>
    <w:p w14:paraId="6AD50C91" w14:textId="77777777" w:rsidR="00F0405C" w:rsidRPr="00AE490A" w:rsidRDefault="00F0405C" w:rsidP="00AE490A">
      <w:pPr>
        <w:pStyle w:val="Prrafodelista"/>
        <w:widowControl w:val="0"/>
        <w:autoSpaceDE w:val="0"/>
        <w:autoSpaceDN w:val="0"/>
        <w:adjustRightInd w:val="0"/>
        <w:ind w:left="0"/>
      </w:pPr>
    </w:p>
    <w:p w14:paraId="3CCEEE6B" w14:textId="7320BA45" w:rsidR="00113BD1" w:rsidRPr="00AE490A" w:rsidRDefault="00113BD1" w:rsidP="00AE490A">
      <w:pPr>
        <w:tabs>
          <w:tab w:val="left" w:pos="4962"/>
        </w:tabs>
        <w:contextualSpacing/>
        <w:rPr>
          <w:rFonts w:eastAsiaTheme="minorHAnsi" w:cs="Tahoma"/>
          <w:bCs/>
          <w:iCs/>
          <w:szCs w:val="22"/>
          <w:lang w:eastAsia="en-US"/>
        </w:rPr>
      </w:pPr>
      <w:r w:rsidRPr="00AE490A">
        <w:rPr>
          <w:rFonts w:eastAsiaTheme="minorHAnsi" w:cs="Tahoma"/>
          <w:bCs/>
          <w:iCs/>
          <w:szCs w:val="22"/>
          <w:lang w:eastAsia="en-US"/>
        </w:rPr>
        <w:t xml:space="preserve">Derivado de lo anterior, el estudio se centrará en determinar si la respuesta otorgada es correcta para tener por colmado el derecho de acceso a la información ejercido por </w:t>
      </w:r>
      <w:r w:rsidRPr="00AE490A">
        <w:rPr>
          <w:rFonts w:eastAsiaTheme="minorHAnsi" w:cs="Tahoma"/>
          <w:b/>
          <w:bCs/>
          <w:iCs/>
          <w:szCs w:val="22"/>
          <w:lang w:eastAsia="en-US"/>
        </w:rPr>
        <w:t>LA PARTE RECURRENTE</w:t>
      </w:r>
      <w:r w:rsidRPr="00AE490A">
        <w:rPr>
          <w:rFonts w:eastAsiaTheme="minorHAnsi" w:cs="Tahoma"/>
          <w:bCs/>
          <w:iCs/>
          <w:szCs w:val="22"/>
          <w:lang w:eastAsia="en-US"/>
        </w:rPr>
        <w:t>.</w:t>
      </w:r>
    </w:p>
    <w:p w14:paraId="69D73A18" w14:textId="77777777" w:rsidR="006A3EA5" w:rsidRPr="00AE490A" w:rsidRDefault="006A3EA5" w:rsidP="00AE490A"/>
    <w:p w14:paraId="1579C5C9" w14:textId="77777777" w:rsidR="00062C7C" w:rsidRPr="00AE490A" w:rsidRDefault="00062C7C" w:rsidP="00AE490A">
      <w:pPr>
        <w:pStyle w:val="Ttulo3"/>
      </w:pPr>
      <w:bookmarkStart w:id="41" w:name="_Toc172153599"/>
      <w:bookmarkStart w:id="42" w:name="_Toc198747269"/>
      <w:r w:rsidRPr="00AE490A">
        <w:t>c) Estudio de la controversia</w:t>
      </w:r>
      <w:bookmarkEnd w:id="41"/>
      <w:bookmarkEnd w:id="42"/>
    </w:p>
    <w:p w14:paraId="4947AECF" w14:textId="77777777" w:rsidR="00113BD1" w:rsidRPr="00AE490A" w:rsidRDefault="00113BD1" w:rsidP="00AE490A">
      <w:pPr>
        <w:rPr>
          <w:rFonts w:eastAsia="Palatino Linotype" w:cs="Palatino Linotype"/>
        </w:rPr>
      </w:pPr>
      <w:r w:rsidRPr="00AE490A">
        <w:rPr>
          <w:rFonts w:cs="Arial"/>
        </w:rPr>
        <w:t xml:space="preserve">Primero, se considera necesario </w:t>
      </w:r>
      <w:r w:rsidRPr="00AE490A">
        <w:rPr>
          <w:rFonts w:eastAsia="Palatino Linotype" w:cs="Palatino Linotype"/>
        </w:rPr>
        <w:t xml:space="preserve">traer a colación el contenido del artículo 147 de la Constitución Política del Estado Libre y Soberano de México, el cual establece lo siguiente: </w:t>
      </w:r>
    </w:p>
    <w:p w14:paraId="5E0A1B55" w14:textId="77777777" w:rsidR="00113BD1" w:rsidRPr="00AE490A" w:rsidRDefault="00113BD1" w:rsidP="00AE490A"/>
    <w:p w14:paraId="44C76771" w14:textId="77777777" w:rsidR="00113BD1" w:rsidRPr="00AE490A" w:rsidRDefault="00113BD1" w:rsidP="00AE490A">
      <w:pPr>
        <w:pStyle w:val="Puesto"/>
        <w:rPr>
          <w:rFonts w:eastAsia="Palatino Linotype"/>
          <w:b/>
        </w:rPr>
      </w:pPr>
      <w:r w:rsidRPr="00AE490A">
        <w:t>“</w:t>
      </w:r>
      <w:r w:rsidRPr="00AE490A">
        <w:rPr>
          <w:b/>
        </w:rPr>
        <w:t>Artículo 147.-</w:t>
      </w:r>
      <w:r w:rsidRPr="00AE490A">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w:t>
      </w:r>
      <w:r w:rsidRPr="00AE490A">
        <w:rPr>
          <w:b/>
        </w:rPr>
        <w:t>así como los miembros de los ayuntamientos</w:t>
      </w:r>
      <w:r w:rsidRPr="00AE490A">
        <w:t xml:space="preserve"> y demás servidores públicos municipales </w:t>
      </w:r>
      <w:r w:rsidRPr="00AE490A">
        <w:rPr>
          <w:b/>
        </w:rPr>
        <w:t xml:space="preserve">recibirán una retribución adecuada e irrenunciable por el desempeño de su empleo, cargo o comisión, que será determinada en el presupuesto de egresos que corresponda. </w:t>
      </w:r>
    </w:p>
    <w:p w14:paraId="30D8328B" w14:textId="77777777" w:rsidR="00113BD1" w:rsidRPr="00AE490A" w:rsidRDefault="00113BD1" w:rsidP="00AE490A">
      <w:pPr>
        <w:spacing w:line="240" w:lineRule="auto"/>
        <w:ind w:left="567" w:right="567"/>
        <w:contextualSpacing/>
        <w:rPr>
          <w:rFonts w:eastAsia="Palatino Linotype"/>
          <w:i/>
          <w:kern w:val="28"/>
          <w:szCs w:val="56"/>
        </w:rPr>
      </w:pPr>
      <w:r w:rsidRPr="00AE490A">
        <w:rPr>
          <w:rFonts w:eastAsia="Palatino Linotype"/>
          <w:i/>
          <w:kern w:val="28"/>
          <w:szCs w:val="56"/>
        </w:rPr>
        <w:lastRenderedPageBreak/>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7117C5D3" w14:textId="77777777" w:rsidR="00113BD1" w:rsidRPr="00AE490A" w:rsidRDefault="00113BD1" w:rsidP="00AE490A">
      <w:pPr>
        <w:spacing w:line="240" w:lineRule="auto"/>
        <w:ind w:left="567" w:right="567"/>
        <w:contextualSpacing/>
        <w:rPr>
          <w:rFonts w:eastAsia="Palatino Linotype"/>
          <w:i/>
          <w:kern w:val="28"/>
          <w:szCs w:val="56"/>
        </w:rPr>
      </w:pPr>
      <w:r w:rsidRPr="00AE490A">
        <w:rPr>
          <w:rFonts w:eastAsia="Palatino Linotype"/>
          <w:i/>
          <w:kern w:val="28"/>
          <w:szCs w:val="56"/>
        </w:rPr>
        <w:t>La remuneración será determinada anual y equitativamente en el Presupuesto de Egresos correspondiente bajo las bases siguientes:</w:t>
      </w:r>
    </w:p>
    <w:p w14:paraId="380D2CDC" w14:textId="77777777" w:rsidR="00113BD1" w:rsidRPr="00AE490A" w:rsidRDefault="00113BD1" w:rsidP="00AE490A">
      <w:pPr>
        <w:spacing w:line="240" w:lineRule="auto"/>
        <w:ind w:left="567" w:right="567"/>
        <w:contextualSpacing/>
        <w:rPr>
          <w:rFonts w:eastAsia="Palatino Linotype"/>
          <w:i/>
          <w:kern w:val="28"/>
          <w:szCs w:val="56"/>
        </w:rPr>
      </w:pPr>
      <w:r w:rsidRPr="00AE490A">
        <w:rPr>
          <w:rFonts w:eastAsia="Palatino Linotype"/>
          <w:i/>
          <w:kern w:val="28"/>
          <w:szCs w:val="56"/>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6C7EBB7A" w14:textId="77777777" w:rsidR="00113BD1" w:rsidRPr="00AE490A" w:rsidRDefault="00113BD1" w:rsidP="00AE490A">
      <w:pPr>
        <w:spacing w:line="240" w:lineRule="auto"/>
        <w:ind w:left="567" w:right="567"/>
        <w:contextualSpacing/>
        <w:rPr>
          <w:rFonts w:eastAsia="Palatino Linotype"/>
          <w:i/>
          <w:kern w:val="28"/>
          <w:szCs w:val="56"/>
        </w:rPr>
      </w:pPr>
      <w:r w:rsidRPr="00AE490A">
        <w:rPr>
          <w:rFonts w:eastAsia="Palatino Linotype"/>
          <w:i/>
          <w:kern w:val="28"/>
          <w:szCs w:val="56"/>
        </w:rPr>
        <w:t xml:space="preserve">II. Ningún servidor público podrá recibir remuneración, en términos de la fracción anterior, por el desempeño de su función, empleo, cargo o comisión, mayor a la establecida; </w:t>
      </w:r>
    </w:p>
    <w:p w14:paraId="54EB2311" w14:textId="77777777" w:rsidR="00113BD1" w:rsidRPr="00AE490A" w:rsidRDefault="00113BD1" w:rsidP="00AE490A">
      <w:pPr>
        <w:spacing w:line="240" w:lineRule="auto"/>
        <w:ind w:left="567" w:right="567"/>
        <w:contextualSpacing/>
        <w:rPr>
          <w:rFonts w:eastAsia="Palatino Linotype"/>
          <w:i/>
          <w:kern w:val="28"/>
          <w:szCs w:val="56"/>
        </w:rPr>
      </w:pPr>
      <w:r w:rsidRPr="00AE490A">
        <w:rPr>
          <w:rFonts w:eastAsia="Palatino Linotype"/>
          <w:i/>
          <w:kern w:val="28"/>
          <w:szCs w:val="56"/>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5BAD24CE" w14:textId="77777777" w:rsidR="00113BD1" w:rsidRPr="00AE490A" w:rsidRDefault="00113BD1" w:rsidP="00AE490A">
      <w:pPr>
        <w:spacing w:line="240" w:lineRule="auto"/>
        <w:ind w:left="567" w:right="567"/>
        <w:contextualSpacing/>
        <w:rPr>
          <w:rFonts w:eastAsia="Palatino Linotype"/>
          <w:i/>
          <w:kern w:val="28"/>
          <w:szCs w:val="56"/>
        </w:rPr>
      </w:pPr>
      <w:r w:rsidRPr="00AE490A">
        <w:rPr>
          <w:rFonts w:eastAsia="Palatino Linotype"/>
          <w:i/>
          <w:kern w:val="28"/>
          <w:szCs w:val="56"/>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1C69E6AD" w14:textId="77777777" w:rsidR="00113BD1" w:rsidRPr="00AE490A" w:rsidRDefault="00113BD1" w:rsidP="00AE490A">
      <w:pPr>
        <w:spacing w:line="240" w:lineRule="auto"/>
        <w:ind w:left="567" w:right="567"/>
        <w:contextualSpacing/>
        <w:rPr>
          <w:rFonts w:eastAsia="Palatino Linotype"/>
          <w:i/>
          <w:kern w:val="28"/>
          <w:szCs w:val="56"/>
        </w:rPr>
      </w:pPr>
      <w:r w:rsidRPr="00AE490A">
        <w:rPr>
          <w:rFonts w:eastAsia="Palatino Linotype"/>
          <w:i/>
          <w:kern w:val="28"/>
          <w:szCs w:val="56"/>
        </w:rPr>
        <w:t>V. Las remuneraciones y sus tabuladores serán públicos, y deberán especificar y diferenciar la totalidad de sus elementos fijos y variables tanto en efectivo como en especie”</w:t>
      </w:r>
    </w:p>
    <w:p w14:paraId="25C34DA5" w14:textId="77777777" w:rsidR="00113BD1" w:rsidRPr="00AE490A" w:rsidRDefault="00113BD1" w:rsidP="00AE490A">
      <w:pPr>
        <w:spacing w:line="240" w:lineRule="auto"/>
        <w:ind w:left="567" w:right="567"/>
        <w:contextualSpacing/>
        <w:rPr>
          <w:rFonts w:eastAsia="Palatino Linotype"/>
          <w:i/>
          <w:kern w:val="28"/>
          <w:szCs w:val="56"/>
        </w:rPr>
      </w:pPr>
      <w:r w:rsidRPr="00AE490A">
        <w:rPr>
          <w:rFonts w:eastAsia="Palatino Linotype"/>
          <w:i/>
          <w:kern w:val="28"/>
          <w:szCs w:val="56"/>
        </w:rPr>
        <w:t>(Énfasis añadido)</w:t>
      </w:r>
    </w:p>
    <w:p w14:paraId="508681C4" w14:textId="77777777" w:rsidR="00113BD1" w:rsidRPr="00AE490A" w:rsidRDefault="00113BD1" w:rsidP="00AE490A">
      <w:pPr>
        <w:ind w:left="851" w:right="899"/>
        <w:rPr>
          <w:rFonts w:eastAsia="Palatino Linotype" w:cs="Palatino Linotype"/>
          <w:i/>
          <w:szCs w:val="22"/>
        </w:rPr>
      </w:pPr>
    </w:p>
    <w:p w14:paraId="0431EFFB" w14:textId="52E71684" w:rsidR="00113BD1" w:rsidRPr="00AE490A" w:rsidRDefault="00113BD1" w:rsidP="00AE490A">
      <w:pPr>
        <w:rPr>
          <w:rFonts w:eastAsia="Palatino Linotype" w:cs="Palatino Linotype"/>
        </w:rPr>
      </w:pPr>
      <w:r w:rsidRPr="00AE490A">
        <w:rPr>
          <w:rFonts w:eastAsia="Palatino Linotype" w:cs="Palatino Linotype"/>
        </w:rPr>
        <w:t xml:space="preserve">En este orden de ideas, el artículo 3°, fracción </w:t>
      </w:r>
      <w:r w:rsidR="00AB069C" w:rsidRPr="00AE490A">
        <w:rPr>
          <w:rFonts w:eastAsia="Palatino Linotype" w:cs="Palatino Linotype"/>
        </w:rPr>
        <w:t>LXVIII</w:t>
      </w:r>
      <w:r w:rsidRPr="00AE490A">
        <w:rPr>
          <w:rFonts w:eastAsia="Palatino Linotype" w:cs="Palatino Linotype"/>
        </w:rPr>
        <w:t>, del Código Financiero del Estado de México y Municipios</w:t>
      </w:r>
      <w:r w:rsidR="00AB069C" w:rsidRPr="00AE490A">
        <w:rPr>
          <w:rStyle w:val="Refdenotaalpie"/>
          <w:rFonts w:eastAsia="Palatino Linotype" w:cs="Palatino Linotype"/>
        </w:rPr>
        <w:footnoteReference w:id="2"/>
      </w:r>
      <w:r w:rsidRPr="00AE490A">
        <w:rPr>
          <w:rFonts w:eastAsia="Palatino Linotype" w:cs="Palatino Linotype"/>
        </w:rPr>
        <w:t xml:space="preserve">, establece que la remuneración consiste en los pagos hechos por concepto de sueldo, compensaciones, gratificaciones, habitación, primas, comisiones, prestaciones, en especie y cualquier otra percepción o prestación que se entregue </w:t>
      </w:r>
      <w:r w:rsidR="00AB069C" w:rsidRPr="00AE490A">
        <w:rPr>
          <w:rFonts w:eastAsia="Palatino Linotype" w:cs="Palatino Linotype"/>
        </w:rPr>
        <w:t>a la persona servidora pública por su trabajo.</w:t>
      </w:r>
    </w:p>
    <w:p w14:paraId="5E243B87" w14:textId="77777777" w:rsidR="00AB069C" w:rsidRPr="00AE490A" w:rsidRDefault="00AB069C" w:rsidP="00AE490A">
      <w:pPr>
        <w:rPr>
          <w:rFonts w:eastAsia="Palatino Linotype" w:cs="Palatino Linotype"/>
        </w:rPr>
      </w:pPr>
    </w:p>
    <w:p w14:paraId="0AD02DB4" w14:textId="2F0C83BC" w:rsidR="00113BD1" w:rsidRPr="00AE490A" w:rsidRDefault="00113BD1" w:rsidP="00AE490A">
      <w:pPr>
        <w:ind w:right="49"/>
        <w:rPr>
          <w:rFonts w:eastAsia="Palatino Linotype" w:cs="Palatino Linotype"/>
        </w:rPr>
      </w:pPr>
      <w:r w:rsidRPr="00AE490A">
        <w:rPr>
          <w:rFonts w:eastAsia="Palatino Linotype" w:cs="Palatino Linotype"/>
        </w:rPr>
        <w:t>Resulta importante señalar que por cuanto hace a las percepciones, la Ley Federal del Trabajo</w:t>
      </w:r>
      <w:r w:rsidR="00AB069C" w:rsidRPr="00AE490A">
        <w:rPr>
          <w:rStyle w:val="Refdenotaalpie"/>
          <w:rFonts w:eastAsia="Palatino Linotype" w:cs="Palatino Linotype"/>
        </w:rPr>
        <w:footnoteReference w:id="3"/>
      </w:r>
      <w:r w:rsidRPr="00AE490A">
        <w:rPr>
          <w:rFonts w:eastAsia="Palatino Linotype" w:cs="Palatino Linotype"/>
        </w:rPr>
        <w:t xml:space="preserve"> que en su artículo 84 establece lo siguiente: </w:t>
      </w:r>
    </w:p>
    <w:p w14:paraId="6F760ABC" w14:textId="77777777" w:rsidR="00113BD1" w:rsidRPr="00AE490A" w:rsidRDefault="00113BD1" w:rsidP="00AE490A">
      <w:pPr>
        <w:ind w:right="49"/>
        <w:rPr>
          <w:rFonts w:eastAsia="Palatino Linotype" w:cs="Palatino Linotype"/>
        </w:rPr>
      </w:pPr>
    </w:p>
    <w:p w14:paraId="1E86BEEB" w14:textId="77777777" w:rsidR="00113BD1" w:rsidRPr="00AE490A" w:rsidRDefault="00113BD1" w:rsidP="00AE490A">
      <w:pPr>
        <w:pStyle w:val="Puesto"/>
      </w:pPr>
      <w:bookmarkStart w:id="43" w:name="bookmark=id.gjdgxs"/>
      <w:bookmarkEnd w:id="43"/>
      <w:r w:rsidRPr="00AE490A">
        <w:t>“</w:t>
      </w:r>
      <w:r w:rsidRPr="00AE490A">
        <w:rPr>
          <w:b/>
          <w:bCs/>
        </w:rPr>
        <w:t>Artículo 84.-</w:t>
      </w:r>
      <w:r w:rsidRPr="00AE490A">
        <w:t xml:space="preserve"> El salario se integra con los pagos hechos en efectivo por cuota diaria, gratificaciones, percepciones, habitación, primas, comisiones, prestaciones en especie y cualquiera otra cantidad o prestación que se entregue al trabajador por su trabajo.”</w:t>
      </w:r>
    </w:p>
    <w:p w14:paraId="3256F126" w14:textId="77777777" w:rsidR="00113BD1" w:rsidRPr="00AE490A" w:rsidRDefault="00113BD1" w:rsidP="00AE490A">
      <w:pPr>
        <w:ind w:left="567" w:right="900"/>
        <w:rPr>
          <w:rFonts w:eastAsia="Palatino Linotype" w:cs="Palatino Linotype"/>
          <w:i/>
          <w:szCs w:val="22"/>
        </w:rPr>
      </w:pPr>
    </w:p>
    <w:p w14:paraId="4C6E05FC" w14:textId="77777777" w:rsidR="00113BD1" w:rsidRPr="00AE490A" w:rsidRDefault="00113BD1" w:rsidP="00AE490A">
      <w:pPr>
        <w:rPr>
          <w:rFonts w:eastAsia="Palatino Linotype" w:cs="Palatino Linotype"/>
        </w:rPr>
      </w:pPr>
      <w:bookmarkStart w:id="44" w:name="_heading=h.gjdgxs"/>
      <w:bookmarkEnd w:id="44"/>
      <w:r w:rsidRPr="00AE490A">
        <w:rPr>
          <w:rFonts w:eastAsia="Palatino Linotype" w:cs="Palatino Linotype"/>
        </w:rPr>
        <w:t xml:space="preserve">De igual forma, la Ley del Trabajo de los Servidores Públicos del Estado y Municipios, en su artículo 220 K, establece los documentos que tiene la obligación de conservar </w:t>
      </w:r>
      <w:r w:rsidRPr="00AE490A">
        <w:rPr>
          <w:rFonts w:eastAsia="Palatino Linotype" w:cs="Palatino Linotype"/>
          <w:b/>
        </w:rPr>
        <w:t>EL SUJETO OBLIGADO</w:t>
      </w:r>
      <w:r w:rsidRPr="00AE490A">
        <w:rPr>
          <w:rFonts w:eastAsia="Palatino Linotype" w:cs="Palatino Linotype"/>
        </w:rPr>
        <w:t xml:space="preserve">, entre los que se encuentran los recibos de pagos: </w:t>
      </w:r>
    </w:p>
    <w:p w14:paraId="33E883D1" w14:textId="77777777" w:rsidR="00113BD1" w:rsidRPr="00AE490A" w:rsidRDefault="00113BD1" w:rsidP="00AE490A">
      <w:pPr>
        <w:rPr>
          <w:rFonts w:eastAsia="Palatino Linotype" w:cs="Palatino Linotype"/>
          <w:szCs w:val="22"/>
        </w:rPr>
      </w:pPr>
    </w:p>
    <w:p w14:paraId="7A15B8A5" w14:textId="77777777" w:rsidR="00113BD1" w:rsidRPr="00AE490A" w:rsidRDefault="00113BD1" w:rsidP="00AE490A">
      <w:pPr>
        <w:spacing w:line="240" w:lineRule="auto"/>
        <w:ind w:left="567" w:right="567"/>
        <w:contextualSpacing/>
        <w:rPr>
          <w:rFonts w:eastAsia="Palatino Linotype"/>
          <w:i/>
          <w:kern w:val="28"/>
          <w:szCs w:val="56"/>
        </w:rPr>
      </w:pPr>
      <w:r w:rsidRPr="00AE490A">
        <w:rPr>
          <w:rFonts w:eastAsia="Palatino Linotype"/>
          <w:b/>
          <w:i/>
          <w:kern w:val="28"/>
          <w:szCs w:val="56"/>
        </w:rPr>
        <w:t>“ARTÍCULO 220 K.-</w:t>
      </w:r>
      <w:r w:rsidRPr="00AE490A">
        <w:rPr>
          <w:rFonts w:eastAsia="Palatino Linotype"/>
          <w:i/>
          <w:kern w:val="28"/>
          <w:szCs w:val="56"/>
        </w:rPr>
        <w:t xml:space="preserve"> La institución o dependencia pública tiene la obligación de conservar y exhibir en el proceso los documentos que a continuación se precisan:</w:t>
      </w:r>
    </w:p>
    <w:p w14:paraId="2E599C56" w14:textId="77777777" w:rsidR="00113BD1" w:rsidRPr="00AE490A" w:rsidRDefault="00113BD1" w:rsidP="00AE490A">
      <w:pPr>
        <w:spacing w:line="240" w:lineRule="auto"/>
        <w:ind w:left="567" w:right="567"/>
        <w:contextualSpacing/>
        <w:rPr>
          <w:i/>
          <w:kern w:val="28"/>
          <w:szCs w:val="56"/>
        </w:rPr>
      </w:pPr>
      <w:r w:rsidRPr="00AE490A">
        <w:rPr>
          <w:i/>
          <w:kern w:val="28"/>
          <w:szCs w:val="56"/>
        </w:rPr>
        <w:t>I. Contratos, Nombramientos o Formato Único de Movimientos de Personal, cuando no exista Convenio de condiciones generales de trabajo aplicable;</w:t>
      </w:r>
    </w:p>
    <w:p w14:paraId="3ECF559A" w14:textId="77777777" w:rsidR="00113BD1" w:rsidRPr="00AE490A" w:rsidRDefault="00113BD1" w:rsidP="00AE490A">
      <w:pPr>
        <w:spacing w:line="240" w:lineRule="auto"/>
        <w:ind w:left="567" w:right="567"/>
        <w:contextualSpacing/>
        <w:rPr>
          <w:rFonts w:eastAsia="Palatino Linotype"/>
          <w:b/>
          <w:i/>
          <w:kern w:val="28"/>
          <w:szCs w:val="56"/>
        </w:rPr>
      </w:pPr>
      <w:r w:rsidRPr="00AE490A">
        <w:rPr>
          <w:rFonts w:eastAsia="Palatino Linotype"/>
          <w:b/>
          <w:i/>
          <w:kern w:val="28"/>
          <w:szCs w:val="56"/>
        </w:rPr>
        <w:t>II. Recibos de pagos de salarios o las constancias documentales del pago de salario cuando sea por depósito o mediante información electrónica;</w:t>
      </w:r>
    </w:p>
    <w:p w14:paraId="3313BDED" w14:textId="77777777" w:rsidR="00113BD1" w:rsidRPr="00AE490A" w:rsidRDefault="00113BD1" w:rsidP="00AE490A">
      <w:pPr>
        <w:spacing w:line="240" w:lineRule="auto"/>
        <w:ind w:left="567" w:right="567"/>
        <w:contextualSpacing/>
        <w:rPr>
          <w:rFonts w:eastAsia="Palatino Linotype"/>
          <w:i/>
          <w:kern w:val="28"/>
          <w:szCs w:val="56"/>
        </w:rPr>
      </w:pPr>
      <w:r w:rsidRPr="00AE490A">
        <w:rPr>
          <w:rFonts w:eastAsia="Palatino Linotype"/>
          <w:i/>
          <w:kern w:val="28"/>
          <w:szCs w:val="56"/>
        </w:rPr>
        <w:t>III. Controles de asistencia o la información magnética o electrónica de asistencia de los servidores públicos;</w:t>
      </w:r>
    </w:p>
    <w:p w14:paraId="176A03CB" w14:textId="77777777" w:rsidR="00113BD1" w:rsidRPr="00AE490A" w:rsidRDefault="00113BD1" w:rsidP="00AE490A">
      <w:pPr>
        <w:spacing w:line="240" w:lineRule="auto"/>
        <w:ind w:left="567" w:right="567"/>
        <w:contextualSpacing/>
        <w:rPr>
          <w:rFonts w:eastAsia="Palatino Linotype"/>
          <w:b/>
          <w:i/>
          <w:kern w:val="28"/>
          <w:szCs w:val="56"/>
        </w:rPr>
      </w:pPr>
      <w:r w:rsidRPr="00AE490A">
        <w:rPr>
          <w:rFonts w:eastAsia="Palatino Linotype"/>
          <w:b/>
          <w:i/>
          <w:kern w:val="28"/>
          <w:szCs w:val="56"/>
        </w:rPr>
        <w:t>IV. Recibos o las constancias de depósito o del medio de información magnética o electrónica que sean utilizadas para el pago de salarios, prima vacacional, aguinaldo y demás prestaciones establecidas en la presente ley; y</w:t>
      </w:r>
    </w:p>
    <w:p w14:paraId="59203C4A" w14:textId="77777777" w:rsidR="00113BD1" w:rsidRPr="00AE490A" w:rsidRDefault="00113BD1" w:rsidP="00AE490A">
      <w:pPr>
        <w:spacing w:line="240" w:lineRule="auto"/>
        <w:ind w:left="567" w:right="567"/>
        <w:contextualSpacing/>
        <w:rPr>
          <w:rFonts w:eastAsia="Palatino Linotype"/>
          <w:i/>
          <w:kern w:val="28"/>
          <w:szCs w:val="56"/>
        </w:rPr>
      </w:pPr>
      <w:r w:rsidRPr="00AE490A">
        <w:rPr>
          <w:rFonts w:eastAsia="Palatino Linotype"/>
          <w:i/>
          <w:kern w:val="28"/>
          <w:szCs w:val="56"/>
        </w:rPr>
        <w:t>V. Los demás que señalen las leyes.</w:t>
      </w:r>
    </w:p>
    <w:p w14:paraId="7174B3FC" w14:textId="77777777" w:rsidR="00AB069C" w:rsidRPr="00AE490A" w:rsidRDefault="00AB069C" w:rsidP="00AE490A">
      <w:pPr>
        <w:spacing w:line="240" w:lineRule="auto"/>
        <w:ind w:left="567" w:right="567"/>
        <w:contextualSpacing/>
        <w:rPr>
          <w:rFonts w:eastAsia="Palatino Linotype"/>
          <w:i/>
          <w:kern w:val="28"/>
          <w:szCs w:val="56"/>
        </w:rPr>
      </w:pPr>
    </w:p>
    <w:p w14:paraId="44B5CFE7" w14:textId="02221B0F" w:rsidR="00113BD1" w:rsidRPr="00AE490A" w:rsidRDefault="00113BD1" w:rsidP="00AE490A">
      <w:pPr>
        <w:spacing w:line="240" w:lineRule="auto"/>
        <w:ind w:left="567" w:right="567"/>
        <w:contextualSpacing/>
        <w:rPr>
          <w:rFonts w:eastAsia="Palatino Linotype"/>
          <w:i/>
          <w:kern w:val="28"/>
          <w:szCs w:val="56"/>
        </w:rPr>
      </w:pPr>
      <w:r w:rsidRPr="00AE490A">
        <w:rPr>
          <w:rFonts w:eastAsia="Palatino Linotype"/>
          <w:i/>
          <w:kern w:val="28"/>
          <w:szCs w:val="56"/>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w:t>
      </w:r>
      <w:r w:rsidRPr="00AE490A">
        <w:rPr>
          <w:rFonts w:eastAsia="Palatino Linotype"/>
          <w:i/>
          <w:kern w:val="28"/>
          <w:szCs w:val="56"/>
        </w:rPr>
        <w:lastRenderedPageBreak/>
        <w:t>descubierto por la ciencia y las constancias expedidas por el encargado del área de personal de éstas, harán prueba plena. “</w:t>
      </w:r>
    </w:p>
    <w:p w14:paraId="0DF5B5C6" w14:textId="77777777" w:rsidR="00113BD1" w:rsidRPr="00AE490A" w:rsidRDefault="00113BD1" w:rsidP="00AE490A">
      <w:pPr>
        <w:rPr>
          <w:rFonts w:eastAsia="Palatino Linotype" w:cs="Palatino Linotype"/>
          <w:szCs w:val="22"/>
        </w:rPr>
      </w:pPr>
    </w:p>
    <w:p w14:paraId="264B3324" w14:textId="77777777" w:rsidR="00113BD1" w:rsidRPr="00AE490A" w:rsidRDefault="00113BD1" w:rsidP="00AE490A">
      <w:pPr>
        <w:rPr>
          <w:rFonts w:eastAsia="Palatino Linotype" w:cs="Palatino Linotype"/>
        </w:rPr>
      </w:pPr>
      <w:r w:rsidRPr="00AE490A">
        <w:rPr>
          <w:rFonts w:eastAsia="Palatino Linotype" w:cs="Palatino Linotype"/>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2DF5A720" w14:textId="77777777" w:rsidR="00113BD1" w:rsidRPr="00AE490A" w:rsidRDefault="00113BD1" w:rsidP="00AE490A">
      <w:pPr>
        <w:rPr>
          <w:rFonts w:eastAsia="Palatino Linotype" w:cs="Palatino Linotype"/>
        </w:rPr>
      </w:pPr>
    </w:p>
    <w:p w14:paraId="6073B975" w14:textId="022BA2B8" w:rsidR="00AB1165" w:rsidRPr="00AE490A" w:rsidRDefault="00AB1165" w:rsidP="00AE490A">
      <w:pPr>
        <w:pStyle w:val="Prrafodelista"/>
        <w:widowControl w:val="0"/>
        <w:autoSpaceDE w:val="0"/>
        <w:autoSpaceDN w:val="0"/>
        <w:adjustRightInd w:val="0"/>
        <w:ind w:left="0"/>
        <w:rPr>
          <w:lang w:eastAsia="es-MX"/>
        </w:rPr>
      </w:pPr>
      <w:r w:rsidRPr="00AE490A">
        <w:rPr>
          <w:lang w:eastAsia="es-MX"/>
        </w:rPr>
        <w:t>Por otro lado</w:t>
      </w:r>
      <w:r w:rsidR="00113BD1" w:rsidRPr="00AE490A">
        <w:rPr>
          <w:lang w:eastAsia="es-MX"/>
        </w:rPr>
        <w:t xml:space="preserve">, </w:t>
      </w:r>
      <w:r w:rsidRPr="00AE490A">
        <w:rPr>
          <w:lang w:eastAsia="es-MX"/>
        </w:rPr>
        <w:t xml:space="preserve">se considera necesario precisar que de acuerdo con los artículo 31 y 41 del Bando Municipal de Cocotitlán, el Ayuntamiento está integrado por un Presidente Municipal, un Síndico y cuatro Regidores, electos por planilla según el principio de mayoría relativa y tres Regidores asignados según el principio de representación proporcional; asimismo, para el despacho, estudio y planeación de los diversos asuntos de la administración pública el Ayuntamiento cuenta con las siguientes dependencias: </w:t>
      </w:r>
    </w:p>
    <w:p w14:paraId="39C9C5DD" w14:textId="77777777" w:rsidR="00AB1165" w:rsidRPr="00AE490A" w:rsidRDefault="00AB1165" w:rsidP="00AE490A">
      <w:pPr>
        <w:pStyle w:val="Prrafodelista"/>
        <w:widowControl w:val="0"/>
        <w:autoSpaceDE w:val="0"/>
        <w:autoSpaceDN w:val="0"/>
        <w:adjustRightInd w:val="0"/>
        <w:ind w:left="0"/>
        <w:rPr>
          <w:lang w:eastAsia="es-MX"/>
        </w:rPr>
      </w:pPr>
    </w:p>
    <w:p w14:paraId="35AC5BF2" w14:textId="77777777" w:rsidR="00AB1165" w:rsidRPr="00AE490A" w:rsidRDefault="00AB1165" w:rsidP="00AE490A">
      <w:pPr>
        <w:pStyle w:val="Puesto"/>
        <w:rPr>
          <w:lang w:eastAsia="es-MX"/>
        </w:rPr>
      </w:pPr>
      <w:r w:rsidRPr="00AE490A">
        <w:rPr>
          <w:lang w:eastAsia="es-MX"/>
        </w:rPr>
        <w:t xml:space="preserve">I. La Secretaría del Ayuntamiento. </w:t>
      </w:r>
    </w:p>
    <w:p w14:paraId="1010D6E6" w14:textId="77777777" w:rsidR="00AB1165" w:rsidRPr="00AE490A" w:rsidRDefault="00AB1165" w:rsidP="00AE490A">
      <w:pPr>
        <w:pStyle w:val="Puesto"/>
        <w:rPr>
          <w:lang w:eastAsia="es-MX"/>
        </w:rPr>
      </w:pPr>
      <w:r w:rsidRPr="00AE490A">
        <w:rPr>
          <w:lang w:eastAsia="es-MX"/>
        </w:rPr>
        <w:t xml:space="preserve">a. Juzgado Cívico. </w:t>
      </w:r>
    </w:p>
    <w:p w14:paraId="14A265DE" w14:textId="77777777" w:rsidR="00AB1165" w:rsidRPr="00AE490A" w:rsidRDefault="00AB1165" w:rsidP="00AE490A">
      <w:pPr>
        <w:pStyle w:val="Puesto"/>
        <w:rPr>
          <w:lang w:eastAsia="es-MX"/>
        </w:rPr>
      </w:pPr>
    </w:p>
    <w:p w14:paraId="73063A55" w14:textId="7EE0E447" w:rsidR="00AB1165" w:rsidRPr="00AE490A" w:rsidRDefault="00AB1165" w:rsidP="00AE490A">
      <w:pPr>
        <w:pStyle w:val="Puesto"/>
        <w:rPr>
          <w:lang w:eastAsia="es-MX"/>
        </w:rPr>
      </w:pPr>
      <w:r w:rsidRPr="00AE490A">
        <w:rPr>
          <w:lang w:eastAsia="es-MX"/>
        </w:rPr>
        <w:t xml:space="preserve">II. Contraloría Interna Municipal. </w:t>
      </w:r>
    </w:p>
    <w:p w14:paraId="71B4C6D3" w14:textId="77777777" w:rsidR="00AB1165" w:rsidRPr="00AE490A" w:rsidRDefault="00AB1165" w:rsidP="00AE490A">
      <w:pPr>
        <w:pStyle w:val="Puesto"/>
        <w:rPr>
          <w:lang w:eastAsia="es-MX"/>
        </w:rPr>
      </w:pPr>
      <w:r w:rsidRPr="00AE490A">
        <w:rPr>
          <w:lang w:eastAsia="es-MX"/>
        </w:rPr>
        <w:t xml:space="preserve">a. Autoridad Sustanciadora. </w:t>
      </w:r>
    </w:p>
    <w:p w14:paraId="0FD22C72" w14:textId="77777777" w:rsidR="00AB1165" w:rsidRPr="00AE490A" w:rsidRDefault="00AB1165" w:rsidP="00AE490A">
      <w:pPr>
        <w:pStyle w:val="Puesto"/>
        <w:rPr>
          <w:lang w:eastAsia="es-MX"/>
        </w:rPr>
      </w:pPr>
      <w:r w:rsidRPr="00AE490A">
        <w:rPr>
          <w:lang w:eastAsia="es-MX"/>
        </w:rPr>
        <w:t xml:space="preserve">b. Autoridad Resolutora. </w:t>
      </w:r>
    </w:p>
    <w:p w14:paraId="4C59432E" w14:textId="77777777" w:rsidR="00AB1165" w:rsidRPr="00AE490A" w:rsidRDefault="00AB1165" w:rsidP="00AE490A">
      <w:pPr>
        <w:pStyle w:val="Puesto"/>
        <w:rPr>
          <w:lang w:eastAsia="es-MX"/>
        </w:rPr>
      </w:pPr>
      <w:r w:rsidRPr="00AE490A">
        <w:rPr>
          <w:lang w:eastAsia="es-MX"/>
        </w:rPr>
        <w:t xml:space="preserve">c. Autoridad Investigadora. </w:t>
      </w:r>
    </w:p>
    <w:p w14:paraId="349E78F0" w14:textId="77777777" w:rsidR="00AB1165" w:rsidRPr="00AE490A" w:rsidRDefault="00AB1165" w:rsidP="00AE490A">
      <w:pPr>
        <w:pStyle w:val="Puesto"/>
        <w:rPr>
          <w:lang w:eastAsia="es-MX"/>
        </w:rPr>
      </w:pPr>
      <w:r w:rsidRPr="00AE490A">
        <w:rPr>
          <w:lang w:eastAsia="es-MX"/>
        </w:rPr>
        <w:t xml:space="preserve">d. Unidad de Transparencia y Acceso a la Información. </w:t>
      </w:r>
    </w:p>
    <w:p w14:paraId="12D99773" w14:textId="77777777" w:rsidR="00AB1165" w:rsidRPr="00AE490A" w:rsidRDefault="00AB1165" w:rsidP="00AE490A">
      <w:pPr>
        <w:pStyle w:val="Puesto"/>
        <w:rPr>
          <w:lang w:eastAsia="es-MX"/>
        </w:rPr>
      </w:pPr>
    </w:p>
    <w:p w14:paraId="3FAFCD6B" w14:textId="77777777" w:rsidR="00AB1165" w:rsidRPr="00AE490A" w:rsidRDefault="00AB1165" w:rsidP="00AE490A">
      <w:pPr>
        <w:pStyle w:val="Puesto"/>
        <w:rPr>
          <w:lang w:eastAsia="es-MX"/>
        </w:rPr>
      </w:pPr>
      <w:r w:rsidRPr="00AE490A">
        <w:rPr>
          <w:lang w:eastAsia="es-MX"/>
        </w:rPr>
        <w:t xml:space="preserve">III. La Tesorería Municipal. </w:t>
      </w:r>
    </w:p>
    <w:p w14:paraId="7DE097C9" w14:textId="77777777" w:rsidR="00AB1165" w:rsidRPr="00AE490A" w:rsidRDefault="00AB1165" w:rsidP="00AE490A">
      <w:pPr>
        <w:pStyle w:val="Puesto"/>
        <w:rPr>
          <w:lang w:eastAsia="es-MX"/>
        </w:rPr>
      </w:pPr>
      <w:r w:rsidRPr="00AE490A">
        <w:rPr>
          <w:lang w:eastAsia="es-MX"/>
        </w:rPr>
        <w:t xml:space="preserve">a. Catastro. </w:t>
      </w:r>
    </w:p>
    <w:p w14:paraId="2B738DC1" w14:textId="77777777" w:rsidR="00AB1165" w:rsidRPr="00AE490A" w:rsidRDefault="00AB1165" w:rsidP="00AE490A">
      <w:pPr>
        <w:pStyle w:val="Puesto"/>
        <w:rPr>
          <w:lang w:eastAsia="es-MX"/>
        </w:rPr>
      </w:pPr>
      <w:r w:rsidRPr="00AE490A">
        <w:rPr>
          <w:lang w:eastAsia="es-MX"/>
        </w:rPr>
        <w:t xml:space="preserve">b. Jefatura de Ingresos. </w:t>
      </w:r>
    </w:p>
    <w:p w14:paraId="47A33F89" w14:textId="77777777" w:rsidR="00AB1165" w:rsidRPr="00AE490A" w:rsidRDefault="00AB1165" w:rsidP="00AE490A">
      <w:pPr>
        <w:pStyle w:val="Puesto"/>
        <w:rPr>
          <w:lang w:eastAsia="es-MX"/>
        </w:rPr>
      </w:pPr>
      <w:r w:rsidRPr="00AE490A">
        <w:rPr>
          <w:lang w:eastAsia="es-MX"/>
        </w:rPr>
        <w:t xml:space="preserve">c. Jefatura de Egresos. </w:t>
      </w:r>
    </w:p>
    <w:p w14:paraId="2F880FC9" w14:textId="77777777" w:rsidR="00AB1165" w:rsidRPr="00AE490A" w:rsidRDefault="00AB1165" w:rsidP="00AE490A">
      <w:pPr>
        <w:pStyle w:val="Puesto"/>
        <w:rPr>
          <w:lang w:eastAsia="es-MX"/>
        </w:rPr>
      </w:pPr>
      <w:r w:rsidRPr="00AE490A">
        <w:rPr>
          <w:lang w:eastAsia="es-MX"/>
        </w:rPr>
        <w:t xml:space="preserve">d. Coordinación de Administración y Desarrollo Personal. </w:t>
      </w:r>
    </w:p>
    <w:p w14:paraId="4F8693D8" w14:textId="77777777" w:rsidR="00AB1165" w:rsidRPr="00AE490A" w:rsidRDefault="00AB1165" w:rsidP="00AE490A">
      <w:pPr>
        <w:pStyle w:val="Puesto"/>
        <w:rPr>
          <w:lang w:eastAsia="es-MX"/>
        </w:rPr>
      </w:pPr>
    </w:p>
    <w:p w14:paraId="6A74766B" w14:textId="77777777" w:rsidR="00AB1165" w:rsidRPr="00AE490A" w:rsidRDefault="00AB1165" w:rsidP="00AE490A">
      <w:pPr>
        <w:pStyle w:val="Puesto"/>
        <w:rPr>
          <w:lang w:eastAsia="es-MX"/>
        </w:rPr>
      </w:pPr>
      <w:r w:rsidRPr="00AE490A">
        <w:rPr>
          <w:lang w:eastAsia="es-MX"/>
        </w:rPr>
        <w:t xml:space="preserve">IV. Coordinación Jurídica Municipal. </w:t>
      </w:r>
    </w:p>
    <w:p w14:paraId="2EC63BFF" w14:textId="77777777" w:rsidR="00AB1165" w:rsidRPr="00AE490A" w:rsidRDefault="00AB1165" w:rsidP="00AE490A">
      <w:pPr>
        <w:pStyle w:val="Puesto"/>
        <w:rPr>
          <w:lang w:eastAsia="es-MX"/>
        </w:rPr>
      </w:pPr>
      <w:r w:rsidRPr="00AE490A">
        <w:rPr>
          <w:lang w:eastAsia="es-MX"/>
        </w:rPr>
        <w:lastRenderedPageBreak/>
        <w:t xml:space="preserve">V. Coordinación General Municipal de Mejora Regulatoria. </w:t>
      </w:r>
    </w:p>
    <w:p w14:paraId="52BE8642" w14:textId="77777777" w:rsidR="00AB1165" w:rsidRPr="00AE490A" w:rsidRDefault="00AB1165" w:rsidP="00AE490A">
      <w:pPr>
        <w:pStyle w:val="Puesto"/>
        <w:rPr>
          <w:lang w:eastAsia="es-MX"/>
        </w:rPr>
      </w:pPr>
      <w:r w:rsidRPr="00AE490A">
        <w:rPr>
          <w:lang w:eastAsia="es-MX"/>
        </w:rPr>
        <w:t xml:space="preserve">VI. Oficialía del Registro Civil. </w:t>
      </w:r>
    </w:p>
    <w:p w14:paraId="01807079" w14:textId="186FF657" w:rsidR="00AB1165" w:rsidRPr="00AE490A" w:rsidRDefault="00AB1165" w:rsidP="00AE490A">
      <w:pPr>
        <w:pStyle w:val="Puesto"/>
        <w:rPr>
          <w:lang w:eastAsia="es-MX"/>
        </w:rPr>
      </w:pPr>
      <w:r w:rsidRPr="00AE490A">
        <w:rPr>
          <w:lang w:eastAsia="es-MX"/>
        </w:rPr>
        <w:t xml:space="preserve">VII. Dirección de Desarrollo Urbano. </w:t>
      </w:r>
    </w:p>
    <w:p w14:paraId="236495B8" w14:textId="1A4A2068" w:rsidR="00AB1165" w:rsidRPr="00AE490A" w:rsidRDefault="00AB1165" w:rsidP="00AE490A">
      <w:pPr>
        <w:pStyle w:val="Puesto"/>
        <w:rPr>
          <w:lang w:eastAsia="es-MX"/>
        </w:rPr>
      </w:pPr>
      <w:r w:rsidRPr="00AE490A">
        <w:rPr>
          <w:lang w:eastAsia="es-MX"/>
        </w:rPr>
        <w:t xml:space="preserve">VIII. Dirección de Obras Públicas. </w:t>
      </w:r>
    </w:p>
    <w:p w14:paraId="1CE1D447" w14:textId="042F5B5A" w:rsidR="00AB1165" w:rsidRPr="00AE490A" w:rsidRDefault="00AB1165" w:rsidP="00AE490A">
      <w:pPr>
        <w:pStyle w:val="Puesto"/>
        <w:rPr>
          <w:lang w:eastAsia="es-MX"/>
        </w:rPr>
      </w:pPr>
      <w:r w:rsidRPr="00AE490A">
        <w:rPr>
          <w:lang w:eastAsia="es-MX"/>
        </w:rPr>
        <w:t>IX. Dirección de Ecología.</w:t>
      </w:r>
    </w:p>
    <w:p w14:paraId="6362D97B" w14:textId="77777777" w:rsidR="00AB1165" w:rsidRPr="00AE490A" w:rsidRDefault="00AB1165" w:rsidP="00AE490A">
      <w:pPr>
        <w:pStyle w:val="Puesto"/>
        <w:rPr>
          <w:lang w:eastAsia="es-MX"/>
        </w:rPr>
      </w:pPr>
      <w:r w:rsidRPr="00AE490A">
        <w:rPr>
          <w:lang w:eastAsia="es-MX"/>
        </w:rPr>
        <w:t xml:space="preserve">X. Dirección de Servicios Públicos Municipales. </w:t>
      </w:r>
    </w:p>
    <w:p w14:paraId="29E085B5" w14:textId="77777777" w:rsidR="00AB1165" w:rsidRPr="00AE490A" w:rsidRDefault="00AB1165" w:rsidP="00AE490A">
      <w:pPr>
        <w:pStyle w:val="Puesto"/>
        <w:rPr>
          <w:lang w:eastAsia="es-MX"/>
        </w:rPr>
      </w:pPr>
      <w:r w:rsidRPr="00AE490A">
        <w:rPr>
          <w:lang w:eastAsia="es-MX"/>
        </w:rPr>
        <w:t xml:space="preserve">XI. Dirección de Agua Potable. </w:t>
      </w:r>
    </w:p>
    <w:p w14:paraId="43F534B6" w14:textId="77777777" w:rsidR="00AB1165" w:rsidRPr="00AE490A" w:rsidRDefault="00AB1165" w:rsidP="00AE490A">
      <w:pPr>
        <w:pStyle w:val="Puesto"/>
        <w:rPr>
          <w:lang w:eastAsia="es-MX"/>
        </w:rPr>
      </w:pPr>
    </w:p>
    <w:p w14:paraId="10B762FC" w14:textId="1A40D341" w:rsidR="00AB1165" w:rsidRPr="00AE490A" w:rsidRDefault="00AB1165" w:rsidP="00AE490A">
      <w:pPr>
        <w:pStyle w:val="Puesto"/>
        <w:rPr>
          <w:lang w:eastAsia="es-MX"/>
        </w:rPr>
      </w:pPr>
      <w:r w:rsidRPr="00AE490A">
        <w:rPr>
          <w:lang w:eastAsia="es-MX"/>
        </w:rPr>
        <w:t xml:space="preserve">XII. Dirección de Desarrollo Social. </w:t>
      </w:r>
    </w:p>
    <w:p w14:paraId="1CFDF25C" w14:textId="77777777" w:rsidR="00AB1165" w:rsidRPr="00AE490A" w:rsidRDefault="00AB1165" w:rsidP="00AE490A">
      <w:pPr>
        <w:pStyle w:val="Puesto"/>
        <w:rPr>
          <w:lang w:eastAsia="es-MX"/>
        </w:rPr>
      </w:pPr>
      <w:r w:rsidRPr="00AE490A">
        <w:rPr>
          <w:lang w:eastAsia="es-MX"/>
        </w:rPr>
        <w:t xml:space="preserve">a. Coordinación del Instituto para la Protección de los Derechos de las Mujeres de Cocotitlán. </w:t>
      </w:r>
    </w:p>
    <w:p w14:paraId="32DE0DB7" w14:textId="77777777" w:rsidR="00AB1165" w:rsidRPr="00AE490A" w:rsidRDefault="00AB1165" w:rsidP="00AE490A">
      <w:pPr>
        <w:pStyle w:val="Puesto"/>
        <w:rPr>
          <w:lang w:eastAsia="es-MX"/>
        </w:rPr>
      </w:pPr>
      <w:r w:rsidRPr="00AE490A">
        <w:rPr>
          <w:lang w:eastAsia="es-MX"/>
        </w:rPr>
        <w:t xml:space="preserve">b. Coordinación del Instituto Municipal de la Juventud. </w:t>
      </w:r>
    </w:p>
    <w:p w14:paraId="1D48742B" w14:textId="77777777" w:rsidR="00AB1165" w:rsidRPr="00AE490A" w:rsidRDefault="00AB1165" w:rsidP="00AE490A">
      <w:pPr>
        <w:pStyle w:val="Puesto"/>
        <w:rPr>
          <w:lang w:eastAsia="es-MX"/>
        </w:rPr>
      </w:pPr>
    </w:p>
    <w:p w14:paraId="527F996E" w14:textId="77777777" w:rsidR="00AB1165" w:rsidRPr="00AE490A" w:rsidRDefault="00AB1165" w:rsidP="00AE490A">
      <w:pPr>
        <w:pStyle w:val="Puesto"/>
        <w:rPr>
          <w:lang w:eastAsia="es-MX"/>
        </w:rPr>
      </w:pPr>
      <w:r w:rsidRPr="00AE490A">
        <w:rPr>
          <w:lang w:eastAsia="es-MX"/>
        </w:rPr>
        <w:t xml:space="preserve">XIII. Dirección de Desarrollo Económico. </w:t>
      </w:r>
    </w:p>
    <w:p w14:paraId="7341AD5D" w14:textId="77777777" w:rsidR="00AB1165" w:rsidRPr="00AE490A" w:rsidRDefault="00AB1165" w:rsidP="00AE490A">
      <w:pPr>
        <w:pStyle w:val="Puesto"/>
        <w:rPr>
          <w:lang w:eastAsia="es-MX"/>
        </w:rPr>
      </w:pPr>
      <w:r w:rsidRPr="00AE490A">
        <w:rPr>
          <w:lang w:eastAsia="es-MX"/>
        </w:rPr>
        <w:t xml:space="preserve">a. Coordinación de Desarrollo Comercial y de Servicios. </w:t>
      </w:r>
    </w:p>
    <w:p w14:paraId="149038BD" w14:textId="77777777" w:rsidR="00AB1165" w:rsidRPr="00AE490A" w:rsidRDefault="00AB1165" w:rsidP="00AE490A">
      <w:pPr>
        <w:pStyle w:val="Puesto"/>
        <w:rPr>
          <w:lang w:eastAsia="es-MX"/>
        </w:rPr>
      </w:pPr>
    </w:p>
    <w:p w14:paraId="7A006D63" w14:textId="77777777" w:rsidR="00AB1165" w:rsidRPr="00AE490A" w:rsidRDefault="00AB1165" w:rsidP="00AE490A">
      <w:pPr>
        <w:pStyle w:val="Puesto"/>
        <w:rPr>
          <w:lang w:eastAsia="es-MX"/>
        </w:rPr>
      </w:pPr>
      <w:r w:rsidRPr="00AE490A">
        <w:rPr>
          <w:lang w:eastAsia="es-MX"/>
        </w:rPr>
        <w:t xml:space="preserve">XIV. Dirección de Desarrollo Agropecuario. </w:t>
      </w:r>
    </w:p>
    <w:p w14:paraId="03669A83" w14:textId="77777777" w:rsidR="00AB1165" w:rsidRPr="00AE490A" w:rsidRDefault="00AB1165" w:rsidP="00AE490A">
      <w:pPr>
        <w:pStyle w:val="Puesto"/>
        <w:rPr>
          <w:lang w:eastAsia="es-MX"/>
        </w:rPr>
      </w:pPr>
      <w:r w:rsidRPr="00AE490A">
        <w:rPr>
          <w:lang w:eastAsia="es-MX"/>
        </w:rPr>
        <w:t xml:space="preserve">XV. Dirección de Educación Cultural y Bienestar Social. </w:t>
      </w:r>
    </w:p>
    <w:p w14:paraId="116E42B7" w14:textId="77777777" w:rsidR="00AB1165" w:rsidRPr="00AE490A" w:rsidRDefault="00AB1165" w:rsidP="00AE490A">
      <w:pPr>
        <w:pStyle w:val="Puesto"/>
        <w:rPr>
          <w:lang w:eastAsia="es-MX"/>
        </w:rPr>
      </w:pPr>
    </w:p>
    <w:p w14:paraId="44623E61" w14:textId="77777777" w:rsidR="00AB1165" w:rsidRPr="00AE490A" w:rsidRDefault="00AB1165" w:rsidP="00AE490A">
      <w:pPr>
        <w:pStyle w:val="Puesto"/>
        <w:rPr>
          <w:lang w:eastAsia="es-MX"/>
        </w:rPr>
      </w:pPr>
      <w:r w:rsidRPr="00AE490A">
        <w:rPr>
          <w:lang w:eastAsia="es-MX"/>
        </w:rPr>
        <w:t xml:space="preserve">XVI. Dirección Municipal de Seguridad Pública. </w:t>
      </w:r>
    </w:p>
    <w:p w14:paraId="7F91F674" w14:textId="77777777" w:rsidR="00AB1165" w:rsidRPr="00AE490A" w:rsidRDefault="00AB1165" w:rsidP="00AE490A">
      <w:pPr>
        <w:pStyle w:val="Puesto"/>
        <w:rPr>
          <w:lang w:eastAsia="es-MX"/>
        </w:rPr>
      </w:pPr>
      <w:r w:rsidRPr="00AE490A">
        <w:rPr>
          <w:lang w:eastAsia="es-MX"/>
        </w:rPr>
        <w:t xml:space="preserve">a. Coordinación de Vialidad y Transporte. </w:t>
      </w:r>
    </w:p>
    <w:p w14:paraId="036F54F4" w14:textId="77777777" w:rsidR="00AB1165" w:rsidRPr="00AE490A" w:rsidRDefault="00AB1165" w:rsidP="00AE490A">
      <w:pPr>
        <w:pStyle w:val="Puesto"/>
        <w:rPr>
          <w:lang w:eastAsia="es-MX"/>
        </w:rPr>
      </w:pPr>
    </w:p>
    <w:p w14:paraId="1459954B" w14:textId="77777777" w:rsidR="00AB1165" w:rsidRPr="00AE490A" w:rsidRDefault="00AB1165" w:rsidP="00AE490A">
      <w:pPr>
        <w:pStyle w:val="Puesto"/>
        <w:rPr>
          <w:lang w:eastAsia="es-MX"/>
        </w:rPr>
      </w:pPr>
      <w:r w:rsidRPr="00AE490A">
        <w:rPr>
          <w:lang w:eastAsia="es-MX"/>
        </w:rPr>
        <w:t xml:space="preserve">XVII. Secretaría Técnica del Consejo de Seguridad Pública. </w:t>
      </w:r>
    </w:p>
    <w:p w14:paraId="48CBF823" w14:textId="77777777" w:rsidR="00AB1165" w:rsidRPr="00AE490A" w:rsidRDefault="00AB1165" w:rsidP="00AE490A">
      <w:pPr>
        <w:pStyle w:val="Puesto"/>
        <w:rPr>
          <w:lang w:eastAsia="es-MX"/>
        </w:rPr>
      </w:pPr>
    </w:p>
    <w:p w14:paraId="67AD7BCE" w14:textId="77777777" w:rsidR="00AB1165" w:rsidRPr="00AE490A" w:rsidRDefault="00AB1165" w:rsidP="00AE490A">
      <w:pPr>
        <w:pStyle w:val="Puesto"/>
        <w:rPr>
          <w:lang w:eastAsia="es-MX"/>
        </w:rPr>
      </w:pPr>
      <w:r w:rsidRPr="00AE490A">
        <w:rPr>
          <w:lang w:eastAsia="es-MX"/>
        </w:rPr>
        <w:t xml:space="preserve">XVIII. Dirección de Casa de Cultura. </w:t>
      </w:r>
    </w:p>
    <w:p w14:paraId="3C0EB376" w14:textId="77777777" w:rsidR="00AB1165" w:rsidRPr="00AE490A" w:rsidRDefault="00AB1165" w:rsidP="00AE490A">
      <w:pPr>
        <w:pStyle w:val="Puesto"/>
        <w:rPr>
          <w:lang w:eastAsia="es-MX"/>
        </w:rPr>
      </w:pPr>
      <w:r w:rsidRPr="00AE490A">
        <w:rPr>
          <w:lang w:eastAsia="es-MX"/>
        </w:rPr>
        <w:t xml:space="preserve">a. Coordinación de Bibliotecas. </w:t>
      </w:r>
    </w:p>
    <w:p w14:paraId="0C9F5EBD" w14:textId="77777777" w:rsidR="00AB1165" w:rsidRPr="00AE490A" w:rsidRDefault="00AB1165" w:rsidP="00AE490A">
      <w:pPr>
        <w:pStyle w:val="Puesto"/>
        <w:rPr>
          <w:lang w:eastAsia="es-MX"/>
        </w:rPr>
      </w:pPr>
      <w:r w:rsidRPr="00AE490A">
        <w:rPr>
          <w:lang w:eastAsia="es-MX"/>
        </w:rPr>
        <w:t xml:space="preserve">b. Coordinación de Asuntos Indígenas. </w:t>
      </w:r>
    </w:p>
    <w:p w14:paraId="44E53B0F" w14:textId="77777777" w:rsidR="00AB1165" w:rsidRPr="00AE490A" w:rsidRDefault="00AB1165" w:rsidP="00AE490A">
      <w:pPr>
        <w:pStyle w:val="Puesto"/>
        <w:rPr>
          <w:lang w:eastAsia="es-MX"/>
        </w:rPr>
      </w:pPr>
    </w:p>
    <w:p w14:paraId="047E6B75" w14:textId="77777777" w:rsidR="00AB1165" w:rsidRPr="00AE490A" w:rsidRDefault="00AB1165" w:rsidP="00AE490A">
      <w:pPr>
        <w:pStyle w:val="Puesto"/>
        <w:rPr>
          <w:lang w:eastAsia="es-MX"/>
        </w:rPr>
      </w:pPr>
      <w:r w:rsidRPr="00AE490A">
        <w:rPr>
          <w:lang w:eastAsia="es-MX"/>
        </w:rPr>
        <w:t xml:space="preserve">XIX. Dirección de Protección Civil. </w:t>
      </w:r>
    </w:p>
    <w:p w14:paraId="25198ADF" w14:textId="77777777" w:rsidR="00AB1165" w:rsidRPr="00AE490A" w:rsidRDefault="00AB1165" w:rsidP="00AE490A">
      <w:pPr>
        <w:pStyle w:val="Puesto"/>
        <w:rPr>
          <w:lang w:eastAsia="es-MX"/>
        </w:rPr>
      </w:pPr>
      <w:r w:rsidRPr="00AE490A">
        <w:rPr>
          <w:lang w:eastAsia="es-MX"/>
        </w:rPr>
        <w:t xml:space="preserve">a. Antirrábico, Unidad de Control y Bienestar Animal. </w:t>
      </w:r>
    </w:p>
    <w:p w14:paraId="3BF5D100" w14:textId="77777777" w:rsidR="00AB1165" w:rsidRPr="00AE490A" w:rsidRDefault="00AB1165" w:rsidP="00AE490A">
      <w:pPr>
        <w:pStyle w:val="Puesto"/>
        <w:rPr>
          <w:lang w:eastAsia="es-MX"/>
        </w:rPr>
      </w:pPr>
    </w:p>
    <w:p w14:paraId="55369975" w14:textId="77777777" w:rsidR="00AB1165" w:rsidRPr="00AE490A" w:rsidRDefault="00AB1165" w:rsidP="00AE490A">
      <w:pPr>
        <w:pStyle w:val="Puesto"/>
        <w:rPr>
          <w:lang w:eastAsia="es-MX"/>
        </w:rPr>
      </w:pPr>
      <w:r w:rsidRPr="00AE490A">
        <w:rPr>
          <w:lang w:eastAsia="es-MX"/>
        </w:rPr>
        <w:t xml:space="preserve">XX. Dirección de Turismo. </w:t>
      </w:r>
    </w:p>
    <w:p w14:paraId="57B9032A" w14:textId="77777777" w:rsidR="00AB1165" w:rsidRPr="00AE490A" w:rsidRDefault="00AB1165" w:rsidP="00AE490A">
      <w:pPr>
        <w:pStyle w:val="Puesto"/>
        <w:rPr>
          <w:lang w:eastAsia="es-MX"/>
        </w:rPr>
      </w:pPr>
      <w:r w:rsidRPr="00AE490A">
        <w:rPr>
          <w:lang w:eastAsia="es-MX"/>
        </w:rPr>
        <w:t xml:space="preserve">XXI. Unidad de Información, Programación, Planeación y Evaluación. </w:t>
      </w:r>
    </w:p>
    <w:p w14:paraId="49C65C25" w14:textId="5ADEEDFD" w:rsidR="00AB1165" w:rsidRPr="00AE490A" w:rsidRDefault="00AB1165" w:rsidP="00AE490A">
      <w:pPr>
        <w:pStyle w:val="Puesto"/>
        <w:rPr>
          <w:lang w:eastAsia="es-MX"/>
        </w:rPr>
      </w:pPr>
      <w:r w:rsidRPr="00AE490A">
        <w:rPr>
          <w:lang w:eastAsia="es-MX"/>
        </w:rPr>
        <w:t>XXII. Cronista municipal”</w:t>
      </w:r>
    </w:p>
    <w:p w14:paraId="2E0409CA" w14:textId="77777777" w:rsidR="00AB1165" w:rsidRPr="00AE490A" w:rsidRDefault="00AB1165" w:rsidP="00AE490A">
      <w:pPr>
        <w:widowControl w:val="0"/>
        <w:autoSpaceDE w:val="0"/>
        <w:autoSpaceDN w:val="0"/>
        <w:adjustRightInd w:val="0"/>
        <w:rPr>
          <w:lang w:eastAsia="es-MX"/>
        </w:rPr>
      </w:pPr>
    </w:p>
    <w:p w14:paraId="6F5D3978" w14:textId="3B894CCB" w:rsidR="00AB069C" w:rsidRPr="00AE490A" w:rsidRDefault="00AB1165" w:rsidP="00AE490A">
      <w:pPr>
        <w:pStyle w:val="Prrafodelista"/>
        <w:widowControl w:val="0"/>
        <w:autoSpaceDE w:val="0"/>
        <w:autoSpaceDN w:val="0"/>
        <w:adjustRightInd w:val="0"/>
        <w:ind w:left="0"/>
        <w:rPr>
          <w:rFonts w:cs="Tahoma"/>
          <w:iCs/>
        </w:rPr>
      </w:pPr>
      <w:r w:rsidRPr="00AE490A">
        <w:rPr>
          <w:lang w:eastAsia="es-MX"/>
        </w:rPr>
        <w:t xml:space="preserve">Una vez precisado lo anterior, es necesario precisar que </w:t>
      </w:r>
      <w:r w:rsidRPr="00AE490A">
        <w:rPr>
          <w:b/>
          <w:bCs/>
          <w:lang w:eastAsia="es-MX"/>
        </w:rPr>
        <w:t xml:space="preserve">EL SUJETO OBLIGADO </w:t>
      </w:r>
      <w:r w:rsidRPr="00AE490A">
        <w:rPr>
          <w:lang w:eastAsia="es-MX"/>
        </w:rPr>
        <w:t xml:space="preserve">es </w:t>
      </w:r>
      <w:r w:rsidR="00113BD1" w:rsidRPr="00AE490A">
        <w:rPr>
          <w:lang w:eastAsia="es-MX"/>
        </w:rPr>
        <w:t xml:space="preserve">competente para generar, recopilar, administrar, manejar, procesar, archivar, corregir o poseer </w:t>
      </w:r>
      <w:r w:rsidR="00113BD1" w:rsidRPr="00AE490A">
        <w:rPr>
          <w:lang w:eastAsia="es-MX"/>
        </w:rPr>
        <w:lastRenderedPageBreak/>
        <w:t xml:space="preserve">la información requerida por </w:t>
      </w:r>
      <w:r w:rsidR="00113BD1" w:rsidRPr="00AE490A">
        <w:rPr>
          <w:b/>
          <w:lang w:eastAsia="es-MX"/>
        </w:rPr>
        <w:t>LA PARTE RECURRENTE</w:t>
      </w:r>
      <w:r w:rsidR="00113BD1" w:rsidRPr="00AE490A">
        <w:rPr>
          <w:lang w:eastAsia="es-MX"/>
        </w:rPr>
        <w:t>, derivado de que éste ha asumido la misma, ya que en respuesta</w:t>
      </w:r>
      <w:r w:rsidR="00AB069C" w:rsidRPr="00AE490A">
        <w:rPr>
          <w:lang w:eastAsia="es-MX"/>
        </w:rPr>
        <w:t xml:space="preserve"> no negó contar con la información; sin embargo, argumentó su negativa de proporcionar la información porque el contenido de la solicitud no especificaba </w:t>
      </w:r>
      <w:r w:rsidR="00AB069C" w:rsidRPr="00AE490A">
        <w:rPr>
          <w:rFonts w:eastAsiaTheme="majorEastAsia"/>
          <w:iCs/>
        </w:rPr>
        <w:t>el ejercicio del cual se requería la información.</w:t>
      </w:r>
    </w:p>
    <w:p w14:paraId="716FF6D5" w14:textId="77777777" w:rsidR="00AB069C" w:rsidRPr="00AE490A" w:rsidRDefault="00AB069C" w:rsidP="00AE490A">
      <w:pPr>
        <w:pStyle w:val="Prrafodelista"/>
        <w:widowControl w:val="0"/>
        <w:autoSpaceDE w:val="0"/>
        <w:autoSpaceDN w:val="0"/>
        <w:adjustRightInd w:val="0"/>
        <w:ind w:left="0"/>
        <w:rPr>
          <w:lang w:eastAsia="es-MX"/>
        </w:rPr>
      </w:pPr>
    </w:p>
    <w:p w14:paraId="6300D85F" w14:textId="5A770FF6" w:rsidR="00FB0120" w:rsidRPr="00AE490A" w:rsidRDefault="00FB0120" w:rsidP="00AE490A">
      <w:pPr>
        <w:rPr>
          <w:lang w:val="es-ES" w:eastAsia="es-MX"/>
        </w:rPr>
      </w:pPr>
      <w:r w:rsidRPr="00AE490A">
        <w:rPr>
          <w:rFonts w:cs="Arial"/>
        </w:rPr>
        <w:t xml:space="preserve">Ahora bien, del análisis realizado a las documentales que integran el expediente electrónico, se desprende que </w:t>
      </w:r>
      <w:r w:rsidRPr="00AE490A">
        <w:rPr>
          <w:lang w:eastAsia="en-US"/>
        </w:rPr>
        <w:t xml:space="preserve">el </w:t>
      </w:r>
      <w:r w:rsidRPr="00AE490A">
        <w:rPr>
          <w:shd w:val="clear" w:color="auto" w:fill="FFFFFF"/>
        </w:rPr>
        <w:t xml:space="preserve">Titular de la Unidad de Transparencia </w:t>
      </w:r>
      <w:r w:rsidRPr="00AE490A">
        <w:rPr>
          <w:rFonts w:cs="Arial"/>
        </w:rPr>
        <w:t>no siguió a cabalidad el procedimiento previsto en el artículo 159 de la Ley de Transparencia y Acceso a la Información Pública del Estado de México y Municipios</w:t>
      </w:r>
      <w:r w:rsidRPr="00AE490A">
        <w:rPr>
          <w:rFonts w:cs="Arial"/>
          <w:vertAlign w:val="superscript"/>
        </w:rPr>
        <w:footnoteReference w:id="4"/>
      </w:r>
      <w:r w:rsidRPr="00AE490A">
        <w:rPr>
          <w:rFonts w:cs="Arial"/>
        </w:rPr>
        <w:t xml:space="preserve">, esto dado que omitió requerir </w:t>
      </w:r>
      <w:r w:rsidRPr="00AE490A">
        <w:rPr>
          <w:lang w:val="es-ES" w:eastAsia="es-MX"/>
        </w:rPr>
        <w:t xml:space="preserve">al solicitante a fin de que indicara mayores elementos que complementaran los datos proporcionados en la solicitud primigenia. </w:t>
      </w:r>
    </w:p>
    <w:p w14:paraId="3279B16B" w14:textId="77777777" w:rsidR="00FB0120" w:rsidRPr="00AE490A" w:rsidRDefault="00FB0120" w:rsidP="00AE490A">
      <w:pPr>
        <w:rPr>
          <w:rFonts w:cs="Arial"/>
        </w:rPr>
      </w:pPr>
    </w:p>
    <w:p w14:paraId="44218054" w14:textId="4933653A" w:rsidR="00FB0120" w:rsidRPr="00AE490A" w:rsidRDefault="00FB0120" w:rsidP="00AE490A">
      <w:pPr>
        <w:rPr>
          <w:rFonts w:cs="Arial"/>
        </w:rPr>
      </w:pPr>
      <w:r w:rsidRPr="00AE490A">
        <w:rPr>
          <w:rFonts w:cs="Arial"/>
          <w:lang w:val="es-ES"/>
        </w:rPr>
        <w:t xml:space="preserve">Ahora bien, es de señalar que si bien </w:t>
      </w:r>
      <w:r w:rsidRPr="00AE490A">
        <w:rPr>
          <w:lang w:val="es-ES"/>
        </w:rPr>
        <w:t xml:space="preserve">del contenido de la solicitud materia del presente asunto, no se advierte el año fiscal solicitado; este Órgano Garante determina que no es razón </w:t>
      </w:r>
      <w:r w:rsidRPr="00AE490A">
        <w:rPr>
          <w:lang w:val="es-ES"/>
        </w:rPr>
        <w:lastRenderedPageBreak/>
        <w:t xml:space="preserve">suficiente para no dar curso a una solicitud de información; pues se aprecien elementos mínimos que permiten identificar la información requerida; atento a ello, </w:t>
      </w:r>
      <w:r w:rsidRPr="00AE490A">
        <w:t xml:space="preserve">en término de los </w:t>
      </w:r>
      <w:r w:rsidRPr="00AE490A">
        <w:rPr>
          <w:rFonts w:cs="Arial"/>
        </w:rPr>
        <w:t xml:space="preserve">artículo 13 y 181 párrafo cuarto de la Ley de la materia, se suple la deficiencia presentada respecto a la temporalidad de su solicitud, por lo que, determina que la información solicitada corresponderá al ejercicio fiscal en curso; es decir, del año dos mil veinticinco. </w:t>
      </w:r>
    </w:p>
    <w:p w14:paraId="666511D6" w14:textId="77777777" w:rsidR="00FB0120" w:rsidRPr="00AE490A" w:rsidRDefault="00FB0120" w:rsidP="00AE490A">
      <w:pPr>
        <w:rPr>
          <w:rFonts w:cs="Arial"/>
        </w:rPr>
      </w:pPr>
    </w:p>
    <w:p w14:paraId="0CB1FFBF" w14:textId="16F43517" w:rsidR="00FB0120" w:rsidRPr="00AE490A" w:rsidRDefault="00113BD1" w:rsidP="00AE490A">
      <w:pPr>
        <w:contextualSpacing/>
        <w:rPr>
          <w:rFonts w:eastAsia="Calibri"/>
          <w:lang w:eastAsia="es-ES_tradnl"/>
        </w:rPr>
      </w:pPr>
      <w:r w:rsidRPr="00AE490A">
        <w:rPr>
          <w:rFonts w:cs="Arial"/>
          <w:lang w:val="es-ES"/>
        </w:rPr>
        <w:t>En consecuencia</w:t>
      </w:r>
      <w:r w:rsidRPr="00AE490A">
        <w:rPr>
          <w:rFonts w:cs="Arial"/>
        </w:rPr>
        <w:t xml:space="preserve">, el Pleno de este Instituto determina ordenar al </w:t>
      </w:r>
      <w:r w:rsidRPr="00AE490A">
        <w:rPr>
          <w:rFonts w:cs="Arial"/>
          <w:b/>
        </w:rPr>
        <w:t>SUJETO OBLIGADO</w:t>
      </w:r>
      <w:r w:rsidRPr="00AE490A">
        <w:rPr>
          <w:rFonts w:cs="Arial"/>
        </w:rPr>
        <w:t xml:space="preserve">, entregue al </w:t>
      </w:r>
      <w:r w:rsidRPr="00AE490A">
        <w:rPr>
          <w:rFonts w:cs="Arial"/>
          <w:b/>
        </w:rPr>
        <w:t xml:space="preserve">RECURRENTE </w:t>
      </w:r>
      <w:r w:rsidRPr="00AE490A">
        <w:rPr>
          <w:rFonts w:cs="Arial"/>
        </w:rPr>
        <w:t xml:space="preserve">en </w:t>
      </w:r>
      <w:r w:rsidRPr="00AE490A">
        <w:rPr>
          <w:rFonts w:cs="Arial"/>
          <w:b/>
        </w:rPr>
        <w:t>versión pública,</w:t>
      </w:r>
      <w:r w:rsidRPr="00AE490A">
        <w:t xml:space="preserve"> </w:t>
      </w:r>
      <w:r w:rsidR="00FB0120" w:rsidRPr="00AE490A">
        <w:rPr>
          <w:rFonts w:eastAsia="Calibri"/>
          <w:lang w:eastAsia="es-ES_tradnl"/>
        </w:rPr>
        <w:t>los recibos de nómina de los integrantes de cabildo; así como, de los directores, coordinadores, encargados, jueces, titulares o equivale</w:t>
      </w:r>
      <w:r w:rsidR="00A7679B" w:rsidRPr="00AE490A">
        <w:rPr>
          <w:rFonts w:eastAsia="Calibri"/>
          <w:lang w:eastAsia="es-ES_tradnl"/>
        </w:rPr>
        <w:t>ntes</w:t>
      </w:r>
      <w:r w:rsidR="00FB0120" w:rsidRPr="00AE490A">
        <w:rPr>
          <w:rFonts w:eastAsia="Calibri"/>
          <w:lang w:eastAsia="es-ES_tradnl"/>
        </w:rPr>
        <w:t xml:space="preserve">, correspondientes al mes de enero y primera quincena de febrero de dos mil veinticinco. </w:t>
      </w:r>
    </w:p>
    <w:p w14:paraId="0009A2AA" w14:textId="77777777" w:rsidR="00FB0120" w:rsidRPr="00AE490A" w:rsidRDefault="00FB0120" w:rsidP="00AE490A">
      <w:pPr>
        <w:contextualSpacing/>
      </w:pPr>
    </w:p>
    <w:p w14:paraId="496C8EA6" w14:textId="77777777" w:rsidR="00113BD1" w:rsidRPr="00AE490A" w:rsidRDefault="00113BD1" w:rsidP="00AE490A">
      <w:pPr>
        <w:pStyle w:val="Ttulo3"/>
      </w:pPr>
      <w:bookmarkStart w:id="45" w:name="_Toc165402882"/>
      <w:bookmarkStart w:id="46" w:name="_Toc174007540"/>
      <w:bookmarkStart w:id="47" w:name="_Toc198747270"/>
      <w:r w:rsidRPr="00AE490A">
        <w:t>d) Versión pública</w:t>
      </w:r>
      <w:bookmarkEnd w:id="45"/>
      <w:bookmarkEnd w:id="46"/>
      <w:bookmarkEnd w:id="47"/>
    </w:p>
    <w:p w14:paraId="64A954F0" w14:textId="77777777" w:rsidR="00113BD1" w:rsidRPr="00AE490A" w:rsidRDefault="00113BD1" w:rsidP="00AE490A">
      <w:pPr>
        <w:rPr>
          <w:bCs/>
        </w:rPr>
      </w:pPr>
      <w:r w:rsidRPr="00AE490A">
        <w:t xml:space="preserve">Para el caso de que el o los documentos de los cuales se ordena su entrega contengan datos personales susceptibles de ser testados, deberán ser entregados en </w:t>
      </w:r>
      <w:r w:rsidRPr="00AE490A">
        <w:rPr>
          <w:b/>
        </w:rPr>
        <w:t>versión pública</w:t>
      </w:r>
      <w:r w:rsidRPr="00AE490A">
        <w:t>, pues el</w:t>
      </w:r>
      <w:r w:rsidRPr="00AE490A">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F2C64D6" w14:textId="77777777" w:rsidR="00113BD1" w:rsidRPr="00AE490A" w:rsidRDefault="00113BD1" w:rsidP="00AE490A">
      <w:pPr>
        <w:rPr>
          <w:rFonts w:eastAsia="Calibri"/>
          <w:bCs/>
          <w:lang w:eastAsia="en-US"/>
        </w:rPr>
      </w:pPr>
    </w:p>
    <w:p w14:paraId="752543ED" w14:textId="77777777" w:rsidR="00113BD1" w:rsidRPr="00AE490A" w:rsidRDefault="00113BD1" w:rsidP="00AE490A">
      <w:pPr>
        <w:rPr>
          <w:bCs/>
        </w:rPr>
      </w:pPr>
      <w:r w:rsidRPr="00AE490A">
        <w:rPr>
          <w:bCs/>
        </w:rPr>
        <w:t>A este respecto, los artículos 3, fracciones IX, XX, XXI y XLV; 51 y 52 de la Ley de Transparencia y Acceso a la Información Pública del Estado de México y Municipios establecen:</w:t>
      </w:r>
    </w:p>
    <w:p w14:paraId="31ABC14D" w14:textId="77777777" w:rsidR="00113BD1" w:rsidRPr="00AE490A" w:rsidRDefault="00113BD1" w:rsidP="00AE490A"/>
    <w:p w14:paraId="25237786" w14:textId="77777777" w:rsidR="00113BD1" w:rsidRPr="00AE490A" w:rsidRDefault="00113BD1" w:rsidP="00AE490A">
      <w:pPr>
        <w:pStyle w:val="Puesto"/>
      </w:pPr>
      <w:r w:rsidRPr="00AE490A">
        <w:rPr>
          <w:b/>
          <w:bCs/>
          <w:noProof/>
        </w:rPr>
        <w:t>“</w:t>
      </w:r>
      <w:r w:rsidRPr="00AE490A">
        <w:rPr>
          <w:b/>
          <w:bCs/>
        </w:rPr>
        <w:t xml:space="preserve">Artículo 3. </w:t>
      </w:r>
      <w:r w:rsidRPr="00AE490A">
        <w:t xml:space="preserve">Para los efectos de la presente Ley se entenderá por: </w:t>
      </w:r>
    </w:p>
    <w:p w14:paraId="5CAD0D45" w14:textId="77777777" w:rsidR="00113BD1" w:rsidRPr="00AE490A" w:rsidRDefault="00113BD1" w:rsidP="00AE490A">
      <w:pPr>
        <w:pStyle w:val="Puesto"/>
      </w:pPr>
      <w:r w:rsidRPr="00AE490A">
        <w:rPr>
          <w:b/>
        </w:rPr>
        <w:t>IX.</w:t>
      </w:r>
      <w:r w:rsidRPr="00AE490A">
        <w:t xml:space="preserve"> </w:t>
      </w:r>
      <w:r w:rsidRPr="00AE490A">
        <w:rPr>
          <w:b/>
        </w:rPr>
        <w:t xml:space="preserve">Datos personales: </w:t>
      </w:r>
      <w:r w:rsidRPr="00AE490A">
        <w:t xml:space="preserve">La información concerniente a una persona, identificada o identificable según lo dispuesto por la Ley de Protección de Datos Personales del Estado de México; </w:t>
      </w:r>
    </w:p>
    <w:p w14:paraId="75E2F5BE" w14:textId="77777777" w:rsidR="00113BD1" w:rsidRPr="00AE490A" w:rsidRDefault="00113BD1" w:rsidP="00AE490A"/>
    <w:p w14:paraId="1EFA6686" w14:textId="77777777" w:rsidR="00113BD1" w:rsidRPr="00AE490A" w:rsidRDefault="00113BD1" w:rsidP="00AE490A">
      <w:pPr>
        <w:pStyle w:val="Puesto"/>
      </w:pPr>
      <w:r w:rsidRPr="00AE490A">
        <w:rPr>
          <w:b/>
        </w:rPr>
        <w:t>XX.</w:t>
      </w:r>
      <w:r w:rsidRPr="00AE490A">
        <w:t xml:space="preserve"> </w:t>
      </w:r>
      <w:r w:rsidRPr="00AE490A">
        <w:rPr>
          <w:b/>
        </w:rPr>
        <w:t>Información clasificada:</w:t>
      </w:r>
      <w:r w:rsidRPr="00AE490A">
        <w:t xml:space="preserve"> Aquella considerada por la presente Ley como reservada o confidencial; </w:t>
      </w:r>
    </w:p>
    <w:p w14:paraId="073BD6C2" w14:textId="77777777" w:rsidR="00113BD1" w:rsidRPr="00AE490A" w:rsidRDefault="00113BD1" w:rsidP="00AE490A"/>
    <w:p w14:paraId="1DAA8D2C" w14:textId="77777777" w:rsidR="00113BD1" w:rsidRPr="00AE490A" w:rsidRDefault="00113BD1" w:rsidP="00AE490A">
      <w:pPr>
        <w:pStyle w:val="Puesto"/>
      </w:pPr>
      <w:r w:rsidRPr="00AE490A">
        <w:rPr>
          <w:b/>
        </w:rPr>
        <w:t>XXI.</w:t>
      </w:r>
      <w:r w:rsidRPr="00AE490A">
        <w:t xml:space="preserve"> </w:t>
      </w:r>
      <w:r w:rsidRPr="00AE490A">
        <w:rPr>
          <w:b/>
        </w:rPr>
        <w:t>Información confidencial</w:t>
      </w:r>
      <w:r w:rsidRPr="00AE490A">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2F68968" w14:textId="77777777" w:rsidR="00113BD1" w:rsidRPr="00AE490A" w:rsidRDefault="00113BD1" w:rsidP="00AE490A"/>
    <w:p w14:paraId="37022C01" w14:textId="77777777" w:rsidR="00113BD1" w:rsidRPr="00AE490A" w:rsidRDefault="00113BD1" w:rsidP="00AE490A">
      <w:pPr>
        <w:pStyle w:val="Puesto"/>
      </w:pPr>
      <w:r w:rsidRPr="00AE490A">
        <w:rPr>
          <w:b/>
        </w:rPr>
        <w:t>XLV. Versión pública:</w:t>
      </w:r>
      <w:r w:rsidRPr="00AE490A">
        <w:t xml:space="preserve"> Documento en el que se elimine, suprime o borra la información clasificada como reservada o confidencial para permitir su acceso. </w:t>
      </w:r>
    </w:p>
    <w:p w14:paraId="695EF84E" w14:textId="77777777" w:rsidR="00113BD1" w:rsidRPr="00AE490A" w:rsidRDefault="00113BD1" w:rsidP="00AE490A"/>
    <w:p w14:paraId="7B68AF49" w14:textId="77777777" w:rsidR="00113BD1" w:rsidRPr="00AE490A" w:rsidRDefault="00113BD1" w:rsidP="00AE490A">
      <w:pPr>
        <w:pStyle w:val="Puesto"/>
      </w:pPr>
      <w:r w:rsidRPr="00AE490A">
        <w:rPr>
          <w:b/>
        </w:rPr>
        <w:t>Artículo 51.</w:t>
      </w:r>
      <w:r w:rsidRPr="00AE490A">
        <w:t xml:space="preserve"> Los sujetos obligados designaran a un responsable para atender la Unidad de Transparencia, quien fungirá como enlace entre éstos y los solicitantes. Dicha Unidad será la encargada de tramitar internamente la solicitud de información </w:t>
      </w:r>
      <w:r w:rsidRPr="00AE490A">
        <w:rPr>
          <w:b/>
        </w:rPr>
        <w:t xml:space="preserve">y tendrá la responsabilidad de verificar en cada caso que la misma no sea confidencial o reservada. </w:t>
      </w:r>
      <w:r w:rsidRPr="00AE490A">
        <w:t>Dicha Unidad contará con las facultades internas necesarias para gestionar la atención a las solicitudes de información en los términos de la Ley General y la presente Ley.</w:t>
      </w:r>
    </w:p>
    <w:p w14:paraId="7A197362" w14:textId="77777777" w:rsidR="00113BD1" w:rsidRPr="00AE490A" w:rsidRDefault="00113BD1" w:rsidP="00AE490A"/>
    <w:p w14:paraId="3D6C7E26" w14:textId="77777777" w:rsidR="00113BD1" w:rsidRPr="00AE490A" w:rsidRDefault="00113BD1" w:rsidP="00AE490A">
      <w:pPr>
        <w:pStyle w:val="Puesto"/>
      </w:pPr>
      <w:r w:rsidRPr="00AE490A">
        <w:rPr>
          <w:b/>
        </w:rPr>
        <w:t>Artículo 52.</w:t>
      </w:r>
      <w:r w:rsidRPr="00AE490A">
        <w:t xml:space="preserve"> Las solicitudes de acceso a la información y las respuestas que se les dé, incluyendo, en su caso, </w:t>
      </w:r>
      <w:r w:rsidRPr="00AE490A">
        <w:rPr>
          <w:u w:val="single"/>
        </w:rPr>
        <w:t>la información entregada, así como las resoluciones a los recursos que en su caso se promuevan serán públicas, y de ser el caso que contenga datos personales que deban ser protegidos se podrá dar su acceso en su versión pública</w:t>
      </w:r>
      <w:r w:rsidRPr="00AE490A">
        <w:t>, siempre y cuando la resolución de referencia se someta a un proceso de disociación, es decir, no haga identificable al titular de tales datos personales.</w:t>
      </w:r>
      <w:r w:rsidRPr="00AE490A">
        <w:rPr>
          <w:bCs/>
          <w:noProof/>
        </w:rPr>
        <w:t xml:space="preserve">” </w:t>
      </w:r>
      <w:r w:rsidRPr="00AE490A">
        <w:rPr>
          <w:i w:val="0"/>
          <w:iCs/>
          <w:szCs w:val="22"/>
        </w:rPr>
        <w:t>(Énfasis añadido)</w:t>
      </w:r>
    </w:p>
    <w:p w14:paraId="063041EA" w14:textId="77777777" w:rsidR="00113BD1" w:rsidRPr="00AE490A" w:rsidRDefault="00113BD1" w:rsidP="00AE490A"/>
    <w:p w14:paraId="045D53C7" w14:textId="77777777" w:rsidR="00113BD1" w:rsidRPr="00AE490A" w:rsidRDefault="00113BD1" w:rsidP="00AE490A">
      <w:r w:rsidRPr="00AE490A">
        <w:t xml:space="preserve">Así, los datos personales que obren en poder de los Sujetos Obligados deben estar protegidos, adoptando las medidas de seguridad administrativas, físicas y técnicas necesarias para </w:t>
      </w:r>
      <w:r w:rsidRPr="00AE490A">
        <w:lastRenderedPageBreak/>
        <w:t xml:space="preserve">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B639B64" w14:textId="77777777" w:rsidR="00113BD1" w:rsidRPr="00AE490A" w:rsidRDefault="00113BD1" w:rsidP="00AE490A"/>
    <w:p w14:paraId="074CF13F" w14:textId="77777777" w:rsidR="00113BD1" w:rsidRPr="00AE490A" w:rsidRDefault="00113BD1" w:rsidP="00AE490A">
      <w:pPr>
        <w:pStyle w:val="Puesto"/>
        <w:rPr>
          <w:rFonts w:eastAsia="Arial Unicode MS"/>
        </w:rPr>
      </w:pPr>
      <w:r w:rsidRPr="00AE490A">
        <w:rPr>
          <w:rFonts w:eastAsia="Arial Unicode MS"/>
          <w:b/>
        </w:rPr>
        <w:t>“Artículo 22.</w:t>
      </w:r>
      <w:r w:rsidRPr="00AE490A">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2DCFADEB" w14:textId="77777777" w:rsidR="00113BD1" w:rsidRPr="00AE490A" w:rsidRDefault="00113BD1" w:rsidP="00AE490A">
      <w:pPr>
        <w:rPr>
          <w:rFonts w:eastAsia="Arial Unicode MS"/>
        </w:rPr>
      </w:pPr>
    </w:p>
    <w:p w14:paraId="134FD469" w14:textId="77777777" w:rsidR="00113BD1" w:rsidRPr="00AE490A" w:rsidRDefault="00113BD1" w:rsidP="00AE490A">
      <w:pPr>
        <w:pStyle w:val="Puesto"/>
        <w:rPr>
          <w:rFonts w:eastAsia="Arial Unicode MS"/>
        </w:rPr>
      </w:pPr>
      <w:r w:rsidRPr="00AE490A">
        <w:rPr>
          <w:rFonts w:eastAsia="Arial Unicode MS"/>
          <w:b/>
        </w:rPr>
        <w:t>Artículo 38.</w:t>
      </w:r>
      <w:r w:rsidRPr="00AE490A">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E490A">
        <w:rPr>
          <w:rFonts w:eastAsia="Arial Unicode MS"/>
          <w:b/>
        </w:rPr>
        <w:t>”</w:t>
      </w:r>
      <w:r w:rsidRPr="00AE490A">
        <w:rPr>
          <w:rFonts w:eastAsia="Arial Unicode MS"/>
        </w:rPr>
        <w:t xml:space="preserve"> </w:t>
      </w:r>
    </w:p>
    <w:p w14:paraId="789470EB" w14:textId="77777777" w:rsidR="00113BD1" w:rsidRPr="00AE490A" w:rsidRDefault="00113BD1" w:rsidP="00AE490A">
      <w:pPr>
        <w:rPr>
          <w:rFonts w:eastAsia="Arial Unicode MS"/>
          <w:i/>
          <w:szCs w:val="22"/>
        </w:rPr>
      </w:pPr>
    </w:p>
    <w:p w14:paraId="71BCF116" w14:textId="77777777" w:rsidR="00113BD1" w:rsidRPr="00AE490A" w:rsidRDefault="00113BD1" w:rsidP="00AE490A">
      <w:r w:rsidRPr="00AE490A">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879D3CC" w14:textId="77777777" w:rsidR="00113BD1" w:rsidRPr="00AE490A" w:rsidRDefault="00113BD1" w:rsidP="00AE490A"/>
    <w:p w14:paraId="74BF2E38" w14:textId="77777777" w:rsidR="00113BD1" w:rsidRPr="00AE490A" w:rsidRDefault="00113BD1" w:rsidP="00AE490A">
      <w:r w:rsidRPr="00AE490A">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AE490A">
        <w:lastRenderedPageBreak/>
        <w:t>información confidencial</w:t>
      </w:r>
      <w:r w:rsidRPr="00AE490A">
        <w:rPr>
          <w:rFonts w:eastAsia="Arial Unicode MS"/>
        </w:rPr>
        <w:t xml:space="preserve"> que debe ser protegida por </w:t>
      </w:r>
      <w:r w:rsidRPr="00AE490A">
        <w:rPr>
          <w:rFonts w:eastAsia="Arial Unicode MS"/>
          <w:b/>
        </w:rPr>
        <w:t>EL SUJETO OBLIGADO,</w:t>
      </w:r>
      <w:r w:rsidRPr="00AE490A">
        <w:rPr>
          <w:rFonts w:eastAsia="Arial Unicode MS"/>
        </w:rPr>
        <w:t xml:space="preserve"> por lo </w:t>
      </w:r>
      <w:r w:rsidRPr="00AE490A">
        <w:t>que, todo dato personal susceptible de clasificación debe ser protegido.</w:t>
      </w:r>
    </w:p>
    <w:p w14:paraId="655D16F3" w14:textId="77777777" w:rsidR="00113BD1" w:rsidRPr="00AE490A" w:rsidRDefault="00113BD1" w:rsidP="00AE490A"/>
    <w:p w14:paraId="3F4644D0" w14:textId="77777777" w:rsidR="00113BD1" w:rsidRPr="00AE490A" w:rsidRDefault="00113BD1" w:rsidP="00AE490A">
      <w:r w:rsidRPr="00AE490A">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5CAC5EB" w14:textId="77777777" w:rsidR="00113BD1" w:rsidRPr="00AE490A" w:rsidRDefault="00113BD1" w:rsidP="00AE490A"/>
    <w:p w14:paraId="4F17807E" w14:textId="77777777" w:rsidR="00113BD1" w:rsidRPr="00AE490A" w:rsidRDefault="00113BD1" w:rsidP="00AE490A">
      <w:r w:rsidRPr="00AE490A">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3A93D7C" w14:textId="77777777" w:rsidR="00113BD1" w:rsidRPr="00AE490A" w:rsidRDefault="00113BD1" w:rsidP="00AE490A"/>
    <w:p w14:paraId="1EA8A47A" w14:textId="77777777" w:rsidR="00113BD1" w:rsidRPr="00AE490A" w:rsidRDefault="00113BD1" w:rsidP="00AE490A">
      <w:pPr>
        <w:pStyle w:val="Puesto"/>
        <w:jc w:val="center"/>
        <w:rPr>
          <w:b/>
        </w:rPr>
      </w:pPr>
      <w:r w:rsidRPr="00AE490A">
        <w:rPr>
          <w:b/>
          <w:lang w:val="es-ES_tradnl"/>
        </w:rPr>
        <w:t>Ley de Transparencia y Acceso a la Información Pública del Estado de México y Municipios</w:t>
      </w:r>
    </w:p>
    <w:p w14:paraId="46BA9B69" w14:textId="77777777" w:rsidR="00113BD1" w:rsidRPr="00AE490A" w:rsidRDefault="00113BD1" w:rsidP="00AE490A"/>
    <w:p w14:paraId="7FE8E2BB" w14:textId="77777777" w:rsidR="00113BD1" w:rsidRPr="00AE490A" w:rsidRDefault="00113BD1" w:rsidP="00AE490A">
      <w:pPr>
        <w:pStyle w:val="Puesto"/>
      </w:pPr>
      <w:r w:rsidRPr="00AE490A">
        <w:rPr>
          <w:b/>
        </w:rPr>
        <w:t xml:space="preserve">“Artículo 49. </w:t>
      </w:r>
      <w:r w:rsidRPr="00AE490A">
        <w:t>Los Comités de Transparencia tendrán las siguientes atribuciones:</w:t>
      </w:r>
    </w:p>
    <w:p w14:paraId="244F2D1A" w14:textId="77777777" w:rsidR="00113BD1" w:rsidRPr="00AE490A" w:rsidRDefault="00113BD1" w:rsidP="00AE490A">
      <w:pPr>
        <w:pStyle w:val="Puesto"/>
      </w:pPr>
      <w:r w:rsidRPr="00AE490A">
        <w:rPr>
          <w:b/>
        </w:rPr>
        <w:t>VIII.</w:t>
      </w:r>
      <w:r w:rsidRPr="00AE490A">
        <w:t xml:space="preserve"> Aprobar, modificar o revocar la clasificación de la información;</w:t>
      </w:r>
    </w:p>
    <w:p w14:paraId="0C81FA04" w14:textId="77777777" w:rsidR="00113BD1" w:rsidRPr="00AE490A" w:rsidRDefault="00113BD1" w:rsidP="00AE490A"/>
    <w:p w14:paraId="71612E70" w14:textId="77777777" w:rsidR="00113BD1" w:rsidRPr="00AE490A" w:rsidRDefault="00113BD1" w:rsidP="00AE490A">
      <w:pPr>
        <w:pStyle w:val="Puesto"/>
      </w:pPr>
      <w:r w:rsidRPr="00AE490A">
        <w:rPr>
          <w:b/>
        </w:rPr>
        <w:t>Artículo 132.</w:t>
      </w:r>
      <w:r w:rsidRPr="00AE490A">
        <w:t xml:space="preserve"> La clasificación de la información se llevará a cabo en el momento en que:</w:t>
      </w:r>
    </w:p>
    <w:p w14:paraId="383F675D" w14:textId="77777777" w:rsidR="00113BD1" w:rsidRPr="00AE490A" w:rsidRDefault="00113BD1" w:rsidP="00AE490A">
      <w:pPr>
        <w:pStyle w:val="Puesto"/>
      </w:pPr>
      <w:r w:rsidRPr="00AE490A">
        <w:rPr>
          <w:b/>
        </w:rPr>
        <w:t>I.</w:t>
      </w:r>
      <w:r w:rsidRPr="00AE490A">
        <w:t xml:space="preserve"> Se reciba una solicitud de acceso a la información;</w:t>
      </w:r>
    </w:p>
    <w:p w14:paraId="736D2B2E" w14:textId="77777777" w:rsidR="00113BD1" w:rsidRPr="00AE490A" w:rsidRDefault="00113BD1" w:rsidP="00AE490A">
      <w:pPr>
        <w:pStyle w:val="Puesto"/>
      </w:pPr>
      <w:r w:rsidRPr="00AE490A">
        <w:rPr>
          <w:b/>
        </w:rPr>
        <w:t>II.</w:t>
      </w:r>
      <w:r w:rsidRPr="00AE490A">
        <w:t xml:space="preserve"> Se determine mediante resolución de autoridad competente; o</w:t>
      </w:r>
    </w:p>
    <w:p w14:paraId="3E1E8018" w14:textId="77777777" w:rsidR="00113BD1" w:rsidRPr="00AE490A" w:rsidRDefault="00113BD1" w:rsidP="00AE490A">
      <w:pPr>
        <w:pStyle w:val="Puesto"/>
        <w:rPr>
          <w:b/>
        </w:rPr>
      </w:pPr>
      <w:r w:rsidRPr="00AE490A">
        <w:rPr>
          <w:b/>
          <w:bCs/>
        </w:rPr>
        <w:t>III.</w:t>
      </w:r>
      <w:r w:rsidRPr="00AE490A">
        <w:t xml:space="preserve"> Se generen versiones públicas para dar cumplimiento a las obligaciones de transparencia previstas en esta Ley.</w:t>
      </w:r>
      <w:r w:rsidRPr="00AE490A">
        <w:rPr>
          <w:b/>
        </w:rPr>
        <w:t>”</w:t>
      </w:r>
    </w:p>
    <w:p w14:paraId="3324E047" w14:textId="77777777" w:rsidR="00113BD1" w:rsidRPr="00AE490A" w:rsidRDefault="00113BD1" w:rsidP="00AE490A"/>
    <w:p w14:paraId="28BCC92E" w14:textId="77777777" w:rsidR="00113BD1" w:rsidRPr="00AE490A" w:rsidRDefault="00113BD1" w:rsidP="00AE490A">
      <w:pPr>
        <w:pStyle w:val="Puesto"/>
      </w:pPr>
      <w:r w:rsidRPr="00AE490A">
        <w:rPr>
          <w:b/>
        </w:rPr>
        <w:lastRenderedPageBreak/>
        <w:t>“Segundo. -</w:t>
      </w:r>
      <w:r w:rsidRPr="00AE490A">
        <w:t xml:space="preserve"> Para efectos de los presentes Lineamientos Generales, se entenderá por:</w:t>
      </w:r>
    </w:p>
    <w:p w14:paraId="6D7EA4D4" w14:textId="77777777" w:rsidR="00113BD1" w:rsidRPr="00AE490A" w:rsidRDefault="00113BD1" w:rsidP="00AE490A">
      <w:pPr>
        <w:pStyle w:val="Puesto"/>
      </w:pPr>
      <w:r w:rsidRPr="00AE490A">
        <w:rPr>
          <w:b/>
        </w:rPr>
        <w:t>XVIII.</w:t>
      </w:r>
      <w:r w:rsidRPr="00AE490A">
        <w:t xml:space="preserve">  </w:t>
      </w:r>
      <w:r w:rsidRPr="00AE490A">
        <w:rPr>
          <w:b/>
        </w:rPr>
        <w:t>Versión pública:</w:t>
      </w:r>
      <w:r w:rsidRPr="00AE490A">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E863EEB" w14:textId="77777777" w:rsidR="00113BD1" w:rsidRPr="00AE490A" w:rsidRDefault="00113BD1" w:rsidP="00AE490A">
      <w:pPr>
        <w:pStyle w:val="Puesto"/>
      </w:pPr>
    </w:p>
    <w:p w14:paraId="6F289868" w14:textId="77777777" w:rsidR="00113BD1" w:rsidRPr="00AE490A" w:rsidRDefault="00113BD1" w:rsidP="00AE490A">
      <w:pPr>
        <w:pStyle w:val="Puesto"/>
        <w:rPr>
          <w:b/>
          <w:lang w:val="es-ES_tradnl" w:eastAsia="es-MX"/>
        </w:rPr>
      </w:pPr>
      <w:r w:rsidRPr="00AE490A">
        <w:rPr>
          <w:b/>
          <w:lang w:val="es-ES_tradnl" w:eastAsia="es-MX"/>
        </w:rPr>
        <w:t xml:space="preserve">Lineamientos Generales en materia de Clasificación y Desclasificación de la </w:t>
      </w:r>
      <w:r w:rsidRPr="00AE490A">
        <w:rPr>
          <w:b/>
          <w:lang w:val="es-ES_tradnl"/>
        </w:rPr>
        <w:t>Información</w:t>
      </w:r>
    </w:p>
    <w:p w14:paraId="036BC239" w14:textId="77777777" w:rsidR="00113BD1" w:rsidRPr="00AE490A" w:rsidRDefault="00113BD1" w:rsidP="00AE490A">
      <w:pPr>
        <w:pStyle w:val="Puesto"/>
      </w:pPr>
    </w:p>
    <w:p w14:paraId="5806C2AC" w14:textId="77777777" w:rsidR="00113BD1" w:rsidRPr="00AE490A" w:rsidRDefault="00113BD1" w:rsidP="00AE490A">
      <w:pPr>
        <w:pStyle w:val="Puesto"/>
      </w:pPr>
      <w:r w:rsidRPr="00AE490A">
        <w:rPr>
          <w:b/>
        </w:rPr>
        <w:t>Cuarto.</w:t>
      </w:r>
      <w:r w:rsidRPr="00AE490A">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66722A5" w14:textId="77777777" w:rsidR="00113BD1" w:rsidRPr="00AE490A" w:rsidRDefault="00113BD1" w:rsidP="00AE490A">
      <w:pPr>
        <w:pStyle w:val="Puesto"/>
      </w:pPr>
      <w:r w:rsidRPr="00AE490A">
        <w:t>Los sujetos obligados deberán aplicar, de manera estricta, las excepciones al derecho de acceso a la información y sólo podrán invocarlas cuando acrediten su procedencia.</w:t>
      </w:r>
    </w:p>
    <w:p w14:paraId="0DA8C579" w14:textId="77777777" w:rsidR="00113BD1" w:rsidRPr="00AE490A" w:rsidRDefault="00113BD1" w:rsidP="00AE490A"/>
    <w:p w14:paraId="1EAC68E8" w14:textId="77777777" w:rsidR="00113BD1" w:rsidRPr="00AE490A" w:rsidRDefault="00113BD1" w:rsidP="00AE490A">
      <w:pPr>
        <w:pStyle w:val="Puesto"/>
      </w:pPr>
      <w:r w:rsidRPr="00AE490A">
        <w:rPr>
          <w:b/>
        </w:rPr>
        <w:t>Quinto.</w:t>
      </w:r>
      <w:r w:rsidRPr="00AE490A">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7415DBA" w14:textId="77777777" w:rsidR="00113BD1" w:rsidRPr="00AE490A" w:rsidRDefault="00113BD1" w:rsidP="00AE490A"/>
    <w:p w14:paraId="01B5936C" w14:textId="77777777" w:rsidR="00113BD1" w:rsidRPr="00AE490A" w:rsidRDefault="00113BD1" w:rsidP="00AE490A">
      <w:pPr>
        <w:pStyle w:val="Puesto"/>
      </w:pPr>
      <w:r w:rsidRPr="00AE490A">
        <w:rPr>
          <w:b/>
        </w:rPr>
        <w:t>Sexto.</w:t>
      </w:r>
      <w:r w:rsidRPr="00AE490A">
        <w:t xml:space="preserve"> Se deroga.</w:t>
      </w:r>
    </w:p>
    <w:p w14:paraId="2DE54A76" w14:textId="77777777" w:rsidR="00113BD1" w:rsidRPr="00AE490A" w:rsidRDefault="00113BD1" w:rsidP="00AE490A"/>
    <w:p w14:paraId="50665B7F" w14:textId="77777777" w:rsidR="00113BD1" w:rsidRPr="00AE490A" w:rsidRDefault="00113BD1" w:rsidP="00AE490A">
      <w:pPr>
        <w:pStyle w:val="Puesto"/>
      </w:pPr>
      <w:r w:rsidRPr="00AE490A">
        <w:rPr>
          <w:b/>
        </w:rPr>
        <w:t>Séptimo.</w:t>
      </w:r>
      <w:r w:rsidRPr="00AE490A">
        <w:t xml:space="preserve"> La clasificación de la información se llevará a cabo en el momento en que:</w:t>
      </w:r>
    </w:p>
    <w:p w14:paraId="01D104B0" w14:textId="77777777" w:rsidR="00113BD1" w:rsidRPr="00AE490A" w:rsidRDefault="00113BD1" w:rsidP="00AE490A">
      <w:pPr>
        <w:pStyle w:val="Puesto"/>
      </w:pPr>
      <w:r w:rsidRPr="00AE490A">
        <w:rPr>
          <w:b/>
        </w:rPr>
        <w:t>I.</w:t>
      </w:r>
      <w:r w:rsidRPr="00AE490A">
        <w:t xml:space="preserve">        Se reciba una solicitud de acceso a la información;</w:t>
      </w:r>
    </w:p>
    <w:p w14:paraId="4AAD767B" w14:textId="77777777" w:rsidR="00113BD1" w:rsidRPr="00AE490A" w:rsidRDefault="00113BD1" w:rsidP="00AE490A">
      <w:pPr>
        <w:pStyle w:val="Puesto"/>
      </w:pPr>
      <w:r w:rsidRPr="00AE490A">
        <w:rPr>
          <w:b/>
        </w:rPr>
        <w:t>II.</w:t>
      </w:r>
      <w:r w:rsidRPr="00AE490A">
        <w:t xml:space="preserve">       Se determine mediante resolución del Comité de Transparencia, el órgano garante competente, o en cumplimiento a una sentencia del Poder Judicial; o</w:t>
      </w:r>
    </w:p>
    <w:p w14:paraId="7BA71C68" w14:textId="77777777" w:rsidR="00113BD1" w:rsidRPr="00AE490A" w:rsidRDefault="00113BD1" w:rsidP="00AE490A">
      <w:pPr>
        <w:pStyle w:val="Puesto"/>
      </w:pPr>
      <w:r w:rsidRPr="00AE490A">
        <w:rPr>
          <w:b/>
        </w:rPr>
        <w:t>III.</w:t>
      </w:r>
      <w:r w:rsidRPr="00AE490A">
        <w:t xml:space="preserve">      Se generen versiones públicas para dar cumplimiento a las obligaciones de transparencia previstas en la Ley General, la Ley Federal y las correspondientes de las entidades federativas.</w:t>
      </w:r>
    </w:p>
    <w:p w14:paraId="54F9BCD0" w14:textId="77777777" w:rsidR="00113BD1" w:rsidRPr="00AE490A" w:rsidRDefault="00113BD1" w:rsidP="00AE490A">
      <w:pPr>
        <w:pStyle w:val="Puesto"/>
      </w:pPr>
      <w:r w:rsidRPr="00AE490A">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0BCD5B4C" w14:textId="77777777" w:rsidR="00113BD1" w:rsidRPr="00AE490A" w:rsidRDefault="00113BD1" w:rsidP="00AE490A"/>
    <w:p w14:paraId="60341D04" w14:textId="77777777" w:rsidR="00113BD1" w:rsidRPr="00AE490A" w:rsidRDefault="00113BD1" w:rsidP="00AE490A">
      <w:pPr>
        <w:pStyle w:val="Puesto"/>
      </w:pPr>
      <w:r w:rsidRPr="00AE490A">
        <w:rPr>
          <w:b/>
        </w:rPr>
        <w:t>Octavo.</w:t>
      </w:r>
      <w:r w:rsidRPr="00AE490A">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A4A1B50" w14:textId="77777777" w:rsidR="00113BD1" w:rsidRPr="00AE490A" w:rsidRDefault="00113BD1" w:rsidP="00AE490A">
      <w:pPr>
        <w:pStyle w:val="Puesto"/>
      </w:pPr>
      <w:r w:rsidRPr="00AE490A">
        <w:t>Para motivar la clasificación se deberán señalar las razones o circunstancias especiales que lo llevaron a concluir que el caso particular se ajusta al supuesto previsto por la norma legal invocada como fundamento.</w:t>
      </w:r>
    </w:p>
    <w:p w14:paraId="1806A561" w14:textId="77777777" w:rsidR="00113BD1" w:rsidRPr="00AE490A" w:rsidRDefault="00113BD1" w:rsidP="00AE490A">
      <w:pPr>
        <w:pStyle w:val="Puesto"/>
      </w:pPr>
      <w:r w:rsidRPr="00AE490A">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203417F" w14:textId="77777777" w:rsidR="00113BD1" w:rsidRPr="00AE490A" w:rsidRDefault="00113BD1" w:rsidP="00AE490A"/>
    <w:p w14:paraId="61F47502" w14:textId="77777777" w:rsidR="00113BD1" w:rsidRPr="00AE490A" w:rsidRDefault="00113BD1" w:rsidP="00AE490A">
      <w:pPr>
        <w:pStyle w:val="Puesto"/>
      </w:pPr>
      <w:r w:rsidRPr="00AE490A">
        <w:rPr>
          <w:b/>
        </w:rPr>
        <w:t>Noveno.</w:t>
      </w:r>
      <w:r w:rsidRPr="00AE490A">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A39BFB0" w14:textId="77777777" w:rsidR="00113BD1" w:rsidRPr="00AE490A" w:rsidRDefault="00113BD1" w:rsidP="00AE490A"/>
    <w:p w14:paraId="147BCDB5" w14:textId="77777777" w:rsidR="00113BD1" w:rsidRPr="00AE490A" w:rsidRDefault="00113BD1" w:rsidP="00AE490A">
      <w:pPr>
        <w:pStyle w:val="Puesto"/>
      </w:pPr>
      <w:r w:rsidRPr="00AE490A">
        <w:rPr>
          <w:b/>
        </w:rPr>
        <w:t>Décimo.</w:t>
      </w:r>
      <w:r w:rsidRPr="00AE490A">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C8F5B83" w14:textId="77777777" w:rsidR="00113BD1" w:rsidRPr="00AE490A" w:rsidRDefault="00113BD1" w:rsidP="00AE490A">
      <w:pPr>
        <w:pStyle w:val="Puesto"/>
      </w:pPr>
      <w:r w:rsidRPr="00AE490A">
        <w:t>En ausencia de los titulares de las áreas, la información será clasificada o desclasificada por la persona que lo supla, en términos de la normativa que rija la actuación del sujeto obligado.</w:t>
      </w:r>
    </w:p>
    <w:p w14:paraId="52B6AAB9" w14:textId="77777777" w:rsidR="00113BD1" w:rsidRPr="00AE490A" w:rsidRDefault="00113BD1" w:rsidP="00AE490A">
      <w:pPr>
        <w:pStyle w:val="Puesto"/>
        <w:rPr>
          <w:b/>
        </w:rPr>
      </w:pPr>
      <w:r w:rsidRPr="00AE490A">
        <w:rPr>
          <w:b/>
        </w:rPr>
        <w:t>Décimo primero.</w:t>
      </w:r>
      <w:r w:rsidRPr="00AE490A">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E490A">
        <w:rPr>
          <w:b/>
        </w:rPr>
        <w:t>”</w:t>
      </w:r>
    </w:p>
    <w:p w14:paraId="44C0580B" w14:textId="77777777" w:rsidR="00113BD1" w:rsidRPr="00AE490A" w:rsidRDefault="00113BD1" w:rsidP="00AE490A"/>
    <w:p w14:paraId="21FE79DC" w14:textId="77777777" w:rsidR="00113BD1" w:rsidRPr="00AE490A" w:rsidRDefault="00113BD1" w:rsidP="00AE490A">
      <w:pPr>
        <w:rPr>
          <w:lang w:eastAsia="es-CO"/>
        </w:rPr>
      </w:pPr>
      <w:r w:rsidRPr="00AE490A">
        <w:t xml:space="preserve">Consecuentemente, se destaca que la versión pública que elabore </w:t>
      </w:r>
      <w:r w:rsidRPr="00AE490A">
        <w:rPr>
          <w:b/>
        </w:rPr>
        <w:t>EL SUJETO OBLIGADO</w:t>
      </w:r>
      <w:r w:rsidRPr="00AE490A">
        <w:t xml:space="preserve"> debe cumplir con las formalidades exigidas en la Ley, por lo que para tal efecto emitirá el </w:t>
      </w:r>
      <w:r w:rsidRPr="00AE490A">
        <w:rPr>
          <w:b/>
        </w:rPr>
        <w:lastRenderedPageBreak/>
        <w:t>Acuerdo del Comité de Transparencia</w:t>
      </w:r>
      <w:r w:rsidRPr="00AE490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E490A">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A95BAEC" w14:textId="77777777" w:rsidR="00113BD1" w:rsidRPr="00AE490A" w:rsidRDefault="00113BD1" w:rsidP="00AE490A">
      <w:pPr>
        <w:rPr>
          <w:lang w:eastAsia="es-CO"/>
        </w:rPr>
      </w:pPr>
    </w:p>
    <w:p w14:paraId="1D30CCF3" w14:textId="77777777" w:rsidR="00113BD1" w:rsidRPr="00AE490A" w:rsidRDefault="00113BD1" w:rsidP="00AE490A">
      <w:pPr>
        <w:rPr>
          <w:lang w:eastAsia="es-CO"/>
        </w:rPr>
      </w:pPr>
      <w:r w:rsidRPr="00AE490A">
        <w:rPr>
          <w:lang w:eastAsia="es-CO"/>
        </w:rPr>
        <w:t>Es importante señalar que, para el caso en concreto, se deben tomar en consideración los siguientes datos que de manera enunciativa más no limitativa se pudieran clasificar como confidenciales:</w:t>
      </w:r>
    </w:p>
    <w:p w14:paraId="74333840" w14:textId="77777777" w:rsidR="00113BD1" w:rsidRPr="00AE490A" w:rsidRDefault="00113BD1" w:rsidP="00AE490A"/>
    <w:p w14:paraId="6C01F55F" w14:textId="77777777" w:rsidR="00113BD1" w:rsidRPr="00AE490A" w:rsidRDefault="00113BD1" w:rsidP="00AE490A">
      <w:pPr>
        <w:pStyle w:val="Prrafodelista"/>
        <w:numPr>
          <w:ilvl w:val="0"/>
          <w:numId w:val="34"/>
        </w:numPr>
      </w:pPr>
      <w:r w:rsidRPr="00AE490A">
        <w:rPr>
          <w:rFonts w:cs="Arial"/>
          <w:b/>
          <w:lang w:val="es-ES_tradnl" w:eastAsia="es-MX"/>
        </w:rPr>
        <w:t>Registro Federal de Contribuyentes</w:t>
      </w:r>
      <w:r w:rsidRPr="00AE490A">
        <w:rPr>
          <w:rFonts w:cs="Arial"/>
          <w:lang w:val="es-ES_tradnl" w:eastAsia="es-MX"/>
        </w:rPr>
        <w:t xml:space="preserve"> </w:t>
      </w:r>
      <w:r w:rsidRPr="00AE490A">
        <w:rPr>
          <w:rFonts w:cs="Arial"/>
          <w:b/>
          <w:lang w:val="es-ES_tradnl" w:eastAsia="es-MX"/>
        </w:rPr>
        <w:t>de las personas físicas</w:t>
      </w:r>
    </w:p>
    <w:p w14:paraId="222F1CBF" w14:textId="77777777" w:rsidR="00113BD1" w:rsidRPr="00AE490A" w:rsidRDefault="00113BD1" w:rsidP="00AE490A">
      <w:pPr>
        <w:pStyle w:val="Prrafodelista"/>
      </w:pPr>
    </w:p>
    <w:p w14:paraId="046EA022" w14:textId="77777777" w:rsidR="00113BD1" w:rsidRPr="00AE490A" w:rsidRDefault="00113BD1" w:rsidP="00AE490A">
      <w:pPr>
        <w:rPr>
          <w:lang w:val="es-ES_tradnl"/>
        </w:rPr>
      </w:pPr>
      <w:r w:rsidRPr="00AE490A">
        <w:rPr>
          <w:rFonts w:cs="Arial"/>
          <w:lang w:val="es-ES_tradnl" w:eastAsia="es-MX"/>
        </w:rPr>
        <w:t xml:space="preserve">Constituye un dato personal, ya que se genera con caracteres alfanuméricos obtenidos a partir del nombre en mayúsculas sin acentos ni diéresis y la fecha de nacimiento de cada persona; es decir la primera letra </w:t>
      </w:r>
      <w:r w:rsidRPr="00AE490A">
        <w:rPr>
          <w:rFonts w:cs="Arial"/>
          <w:lang w:val="es-ES_tradnl"/>
        </w:rPr>
        <w:t>del</w:t>
      </w:r>
      <w:r w:rsidRPr="00AE490A">
        <w:rPr>
          <w:rFonts w:cs="Arial"/>
          <w:lang w:val="es-ES_tradnl" w:eastAsia="es-MX"/>
        </w:rPr>
        <w:t xml:space="preserve"> apellido paterno; seguida de la primera letra Vocal del primer apellido; </w:t>
      </w:r>
      <w:r w:rsidRPr="00AE490A">
        <w:rPr>
          <w:rFonts w:eastAsia="Arial Unicode MS" w:cs="Arial"/>
          <w:lang w:val="es-ES_tradnl"/>
        </w:rPr>
        <w:t>seguida</w:t>
      </w:r>
      <w:r w:rsidRPr="00AE490A">
        <w:rPr>
          <w:rFonts w:cs="Arial"/>
          <w:lang w:val="es-ES_tradnl" w:eastAsia="es-MX"/>
        </w:rPr>
        <w:t xml:space="preserve"> de la primera letra del segundo apellido y por último la primera letra del nombre, posterior la fecha de nacimiento año/mes/día</w:t>
      </w:r>
      <w:r w:rsidRPr="00AE490A">
        <w:rPr>
          <w:lang w:val="es-ES_tradnl"/>
        </w:rPr>
        <w:t xml:space="preserve"> y finalmente la homoclave; la cual, para su obtención es necesario acreditar personalidad, fecha de nacimiento entre otros con documentos oficiales.</w:t>
      </w:r>
    </w:p>
    <w:p w14:paraId="2301FC8A" w14:textId="77777777" w:rsidR="00113BD1" w:rsidRPr="00AE490A" w:rsidRDefault="00113BD1" w:rsidP="00AE490A">
      <w:pPr>
        <w:rPr>
          <w:lang w:val="es-ES_tradnl"/>
        </w:rPr>
      </w:pPr>
    </w:p>
    <w:p w14:paraId="1E41F8DA" w14:textId="77777777" w:rsidR="00113BD1" w:rsidRPr="00AE490A" w:rsidRDefault="00113BD1" w:rsidP="00AE490A">
      <w:pPr>
        <w:rPr>
          <w:b/>
          <w:bCs/>
          <w:lang w:val="es-ES_tradnl"/>
        </w:rPr>
      </w:pPr>
      <w:r w:rsidRPr="00AE490A">
        <w:rPr>
          <w:rFonts w:cs="Arial"/>
          <w:lang w:val="es-ES_tradnl" w:eastAsia="es-MX"/>
        </w:rPr>
        <w:lastRenderedPageBreak/>
        <w:t xml:space="preserve">Al respecto, </w:t>
      </w:r>
      <w:r w:rsidRPr="00AE490A">
        <w:rPr>
          <w:rFonts w:cs="Arial"/>
          <w:lang w:val="es-ES_tradnl"/>
        </w:rPr>
        <w:t xml:space="preserve">es aplicable el Criterio 19/17 de la Segunda Época, emitido por </w:t>
      </w:r>
      <w:r w:rsidRPr="00AE490A">
        <w:rPr>
          <w:rFonts w:eastAsia="Arial Unicode MS" w:cs="Arial"/>
          <w:lang w:val="es-ES_tradnl"/>
        </w:rPr>
        <w:t xml:space="preserve">el Instituto Nacional de </w:t>
      </w:r>
      <w:r w:rsidRPr="00AE490A">
        <w:rPr>
          <w:bCs/>
          <w:lang w:val="es-ES_tradnl"/>
        </w:rPr>
        <w:t>Transparencia</w:t>
      </w:r>
      <w:r w:rsidRPr="00AE490A">
        <w:rPr>
          <w:rFonts w:eastAsia="Arial Unicode MS" w:cs="Arial"/>
          <w:lang w:val="es-ES_tradnl"/>
        </w:rPr>
        <w:t xml:space="preserve">, Acceso a la </w:t>
      </w:r>
      <w:r w:rsidRPr="00AE490A">
        <w:rPr>
          <w:rFonts w:cs="Arial"/>
          <w:lang w:val="es-ES_tradnl"/>
        </w:rPr>
        <w:t>Información</w:t>
      </w:r>
      <w:r w:rsidRPr="00AE490A">
        <w:rPr>
          <w:rFonts w:eastAsia="Arial Unicode MS" w:cs="Arial"/>
          <w:lang w:val="es-ES_tradnl"/>
        </w:rPr>
        <w:t xml:space="preserve"> y Protección de Datos Personales,</w:t>
      </w:r>
      <w:r w:rsidRPr="00AE490A">
        <w:rPr>
          <w:bCs/>
          <w:lang w:val="es-ES_tradnl"/>
        </w:rPr>
        <w:t xml:space="preserve"> que dice:</w:t>
      </w:r>
      <w:r w:rsidRPr="00AE490A">
        <w:rPr>
          <w:b/>
          <w:bCs/>
          <w:lang w:val="es-ES_tradnl"/>
        </w:rPr>
        <w:t xml:space="preserve"> </w:t>
      </w:r>
    </w:p>
    <w:p w14:paraId="63F477F1" w14:textId="77777777" w:rsidR="00113BD1" w:rsidRPr="00AE490A" w:rsidRDefault="00113BD1" w:rsidP="00AE490A">
      <w:pPr>
        <w:rPr>
          <w:b/>
          <w:bCs/>
          <w:lang w:val="es-ES_tradnl"/>
        </w:rPr>
      </w:pPr>
    </w:p>
    <w:p w14:paraId="34AA53F5" w14:textId="77777777" w:rsidR="00113BD1" w:rsidRPr="00AE490A" w:rsidRDefault="00113BD1" w:rsidP="00AE490A">
      <w:pPr>
        <w:pStyle w:val="Puesto"/>
        <w:rPr>
          <w:lang w:val="es-ES_tradnl" w:eastAsia="en-US"/>
        </w:rPr>
      </w:pPr>
      <w:r w:rsidRPr="00AE490A">
        <w:rPr>
          <w:lang w:val="es-ES_tradnl"/>
        </w:rPr>
        <w:t>“</w:t>
      </w:r>
      <w:r w:rsidRPr="00AE490A">
        <w:rPr>
          <w:b/>
          <w:lang w:val="es-ES_tradnl"/>
        </w:rPr>
        <w:t>Registro Federal de Contribuyentes (RFC) de personas físicas.</w:t>
      </w:r>
      <w:r w:rsidRPr="00AE490A">
        <w:rPr>
          <w:lang w:val="es-ES_tradnl"/>
        </w:rPr>
        <w:t xml:space="preserve"> El RFC es una clave de carácter fiscal, única e irrepetible, que permite identificar al titular, su edad y fecha de nacimiento, </w:t>
      </w:r>
      <w:r w:rsidRPr="00AE490A">
        <w:rPr>
          <w:lang w:val="es-ES_tradnl" w:eastAsia="es-MX"/>
        </w:rPr>
        <w:t>por</w:t>
      </w:r>
      <w:r w:rsidRPr="00AE490A">
        <w:rPr>
          <w:lang w:val="es-ES_tradnl"/>
        </w:rPr>
        <w:t xml:space="preserve"> lo que es un dato personal de carácter confidencial.</w:t>
      </w:r>
    </w:p>
    <w:p w14:paraId="0563BE11" w14:textId="77777777" w:rsidR="00113BD1" w:rsidRPr="00AE490A" w:rsidRDefault="00113BD1" w:rsidP="00AE490A">
      <w:pPr>
        <w:pStyle w:val="Puesto"/>
        <w:rPr>
          <w:lang w:val="es-ES_tradnl"/>
        </w:rPr>
      </w:pPr>
      <w:r w:rsidRPr="00AE490A">
        <w:rPr>
          <w:lang w:val="es-ES_tradnl"/>
        </w:rPr>
        <w:t xml:space="preserve"> (Énfasis añadido)</w:t>
      </w:r>
    </w:p>
    <w:p w14:paraId="5E7F4068" w14:textId="77777777" w:rsidR="00113BD1" w:rsidRPr="00AE490A" w:rsidRDefault="00113BD1" w:rsidP="00AE490A">
      <w:pPr>
        <w:autoSpaceDE w:val="0"/>
        <w:autoSpaceDN w:val="0"/>
        <w:adjustRightInd w:val="0"/>
        <w:ind w:left="851" w:right="899"/>
        <w:rPr>
          <w:rFonts w:cs="Arial"/>
          <w:lang w:val="es-ES_tradnl"/>
        </w:rPr>
      </w:pPr>
    </w:p>
    <w:p w14:paraId="52D6B264" w14:textId="77777777" w:rsidR="00113BD1" w:rsidRPr="00AE490A" w:rsidRDefault="00113BD1" w:rsidP="00AE490A">
      <w:pPr>
        <w:rPr>
          <w:rFonts w:cs="Arial"/>
          <w:lang w:val="es-ES_tradnl"/>
        </w:rPr>
      </w:pPr>
      <w:r w:rsidRPr="00AE490A">
        <w:rPr>
          <w:rFonts w:cs="Arial"/>
          <w:lang w:val="es-ES_tradnl" w:eastAsia="es-MX"/>
        </w:rPr>
        <w:t xml:space="preserve">De lo anterior, se desprende que el Registro Federal de Contribuyentes se vincula al nombre de su </w:t>
      </w:r>
      <w:r w:rsidRPr="00AE490A">
        <w:rPr>
          <w:bCs/>
          <w:lang w:val="es-ES_tradnl"/>
        </w:rPr>
        <w:t>titular</w:t>
      </w:r>
      <w:r w:rsidRPr="00AE490A">
        <w:rPr>
          <w:rFonts w:cs="Arial"/>
          <w:lang w:val="es-ES_tradnl" w:eastAsia="es-MX"/>
        </w:rPr>
        <w:t xml:space="preserve">, permitiendo identificar la edad de la persona y fecha de nacimiento, determinando </w:t>
      </w:r>
      <w:r w:rsidRPr="00AE490A">
        <w:rPr>
          <w:rFonts w:cs="Arial"/>
          <w:lang w:val="es-ES_tradnl"/>
        </w:rPr>
        <w:t>l</w:t>
      </w:r>
      <w:r w:rsidRPr="00AE490A">
        <w:rPr>
          <w:rFonts w:cs="Arial"/>
          <w:lang w:val="es-ES_tradnl" w:eastAsia="es-MX"/>
        </w:rPr>
        <w:t xml:space="preserve">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AE490A">
        <w:rPr>
          <w:lang w:val="es-ES_tradnl" w:eastAsia="es-MX"/>
        </w:rPr>
        <w:t>Municipios</w:t>
      </w:r>
      <w:r w:rsidRPr="00AE490A">
        <w:rPr>
          <w:rFonts w:cs="Arial"/>
          <w:lang w:val="es-ES_tradnl" w:eastAsia="es-MX"/>
        </w:rPr>
        <w:t xml:space="preserve"> y </w:t>
      </w:r>
      <w:r w:rsidRPr="00AE490A">
        <w:rPr>
          <w:rFonts w:cs="Arial"/>
          <w:lang w:val="es-ES_tradnl"/>
        </w:rPr>
        <w:t>4 fracción XI</w:t>
      </w:r>
      <w:r w:rsidRPr="00AE490A">
        <w:rPr>
          <w:rFonts w:cs="Arial"/>
          <w:lang w:val="es-ES_tradnl" w:eastAsia="es-MX"/>
        </w:rPr>
        <w:t xml:space="preserve"> </w:t>
      </w:r>
      <w:r w:rsidRPr="00AE490A">
        <w:rPr>
          <w:rFonts w:cs="Arial"/>
          <w:lang w:val="es-ES_tradnl"/>
        </w:rPr>
        <w:t>de la Ley de Protección de Datos Personales en Posesión de Sujetos Obligados del Estado de México y Municipios.</w:t>
      </w:r>
    </w:p>
    <w:p w14:paraId="118693A7" w14:textId="77777777" w:rsidR="00113BD1" w:rsidRPr="00AE490A" w:rsidRDefault="00113BD1" w:rsidP="00AE490A">
      <w:pPr>
        <w:rPr>
          <w:rFonts w:cs="Arial"/>
          <w:lang w:val="es-ES_tradnl" w:eastAsia="es-MX"/>
        </w:rPr>
      </w:pPr>
    </w:p>
    <w:p w14:paraId="72DB21AA" w14:textId="77777777" w:rsidR="00113BD1" w:rsidRPr="00AE490A" w:rsidRDefault="00113BD1" w:rsidP="00AE490A">
      <w:pPr>
        <w:pStyle w:val="Prrafodelista"/>
        <w:numPr>
          <w:ilvl w:val="0"/>
          <w:numId w:val="34"/>
        </w:numPr>
        <w:rPr>
          <w:rFonts w:cs="Arial"/>
          <w:lang w:val="es-ES_tradnl" w:eastAsia="es-MX"/>
        </w:rPr>
      </w:pPr>
      <w:r w:rsidRPr="00AE490A">
        <w:rPr>
          <w:rFonts w:cs="Arial"/>
          <w:b/>
          <w:lang w:val="es-ES_tradnl"/>
        </w:rPr>
        <w:t>Clave Única de Registro de Población</w:t>
      </w:r>
    </w:p>
    <w:p w14:paraId="5BA77935" w14:textId="77777777" w:rsidR="00113BD1" w:rsidRPr="00AE490A" w:rsidRDefault="00113BD1" w:rsidP="00AE490A">
      <w:pPr>
        <w:pStyle w:val="Prrafodelista"/>
        <w:rPr>
          <w:rFonts w:cs="Arial"/>
          <w:lang w:val="es-ES_tradnl" w:eastAsia="es-MX"/>
        </w:rPr>
      </w:pPr>
    </w:p>
    <w:p w14:paraId="42E1C93C" w14:textId="77777777" w:rsidR="00113BD1" w:rsidRPr="00AE490A" w:rsidRDefault="00113BD1" w:rsidP="00AE490A">
      <w:pPr>
        <w:rPr>
          <w:rFonts w:cs="Arial"/>
          <w:lang w:val="es-ES_tradnl" w:eastAsia="es-MX"/>
        </w:rPr>
      </w:pPr>
      <w:r w:rsidRPr="00AE490A">
        <w:rPr>
          <w:rFonts w:cs="Arial"/>
          <w:lang w:val="es-ES_tradnl" w:eastAsia="es-MX"/>
        </w:rPr>
        <w:t xml:space="preserve">Constituye un dato personal ya que </w:t>
      </w:r>
      <w:r w:rsidRPr="00AE490A">
        <w:rPr>
          <w:lang w:val="es-ES_tradnl" w:eastAsia="es-MX"/>
        </w:rPr>
        <w:t>tiene</w:t>
      </w:r>
      <w:r w:rsidRPr="00AE490A">
        <w:rPr>
          <w:rFonts w:cs="Arial"/>
          <w:lang w:val="es-ES_tradnl"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6AF1DA9C" w14:textId="77777777" w:rsidR="00113BD1" w:rsidRPr="00AE490A" w:rsidRDefault="00113BD1" w:rsidP="00AE490A">
      <w:pPr>
        <w:rPr>
          <w:rFonts w:cs="Arial"/>
          <w:lang w:val="es-ES_tradnl" w:eastAsia="es-MX"/>
        </w:rPr>
      </w:pPr>
    </w:p>
    <w:p w14:paraId="5B5C8E61" w14:textId="77777777" w:rsidR="00113BD1" w:rsidRPr="00AE490A" w:rsidRDefault="00113BD1" w:rsidP="00AE490A">
      <w:pPr>
        <w:rPr>
          <w:rFonts w:cs="Arial"/>
          <w:lang w:val="es-ES_tradnl" w:eastAsia="es-MX"/>
        </w:rPr>
      </w:pPr>
      <w:r w:rsidRPr="00AE490A">
        <w:rPr>
          <w:rFonts w:cs="Arial"/>
          <w:lang w:val="es-ES_tradnl" w:eastAsia="es-MX"/>
        </w:rPr>
        <w:t xml:space="preserve">Lo </w:t>
      </w:r>
      <w:r w:rsidRPr="00AE490A">
        <w:rPr>
          <w:lang w:val="es-ES_tradnl" w:eastAsia="es-MX"/>
        </w:rPr>
        <w:t>anterior</w:t>
      </w:r>
      <w:r w:rsidRPr="00AE490A">
        <w:rPr>
          <w:rFonts w:cs="Arial"/>
          <w:lang w:val="es-ES_tradnl" w:eastAsia="es-MX"/>
        </w:rPr>
        <w:t xml:space="preserve">, </w:t>
      </w:r>
      <w:r w:rsidRPr="00AE490A">
        <w:rPr>
          <w:rFonts w:cs="Arial"/>
          <w:lang w:val="es-ES_tradnl"/>
        </w:rPr>
        <w:t>tiene</w:t>
      </w:r>
      <w:r w:rsidRPr="00AE490A">
        <w:rPr>
          <w:rFonts w:cs="Arial"/>
          <w:lang w:val="es-ES_tradnl" w:eastAsia="es-MX"/>
        </w:rPr>
        <w:t xml:space="preserve"> sustento en los artículos 86 y 91 de la Ley General de Población, la cual señala lo siguiente:</w:t>
      </w:r>
    </w:p>
    <w:p w14:paraId="08CEF4E3" w14:textId="77777777" w:rsidR="00113BD1" w:rsidRPr="00AE490A" w:rsidRDefault="00113BD1" w:rsidP="00AE490A">
      <w:pPr>
        <w:rPr>
          <w:rFonts w:cs="Arial"/>
          <w:lang w:val="es-ES_tradnl" w:eastAsia="es-MX"/>
        </w:rPr>
      </w:pPr>
    </w:p>
    <w:p w14:paraId="06954D2F" w14:textId="77777777" w:rsidR="00113BD1" w:rsidRPr="00AE490A" w:rsidRDefault="00113BD1" w:rsidP="00AE490A">
      <w:pPr>
        <w:pStyle w:val="Puesto"/>
        <w:rPr>
          <w:lang w:val="es-ES_tradnl" w:eastAsia="es-MX"/>
        </w:rPr>
      </w:pPr>
      <w:r w:rsidRPr="00AE490A">
        <w:rPr>
          <w:rFonts w:cs="Arial,Bold"/>
          <w:bCs/>
          <w:lang w:val="es-ES_tradnl" w:eastAsia="es-MX"/>
        </w:rPr>
        <w:lastRenderedPageBreak/>
        <w:t>“</w:t>
      </w:r>
      <w:r w:rsidRPr="00AE490A">
        <w:rPr>
          <w:rFonts w:cs="Arial,Bold"/>
          <w:b/>
          <w:bCs/>
          <w:lang w:val="es-ES_tradnl" w:eastAsia="es-MX"/>
        </w:rPr>
        <w:t xml:space="preserve">Artículo 86. </w:t>
      </w:r>
      <w:r w:rsidRPr="00AE490A">
        <w:rPr>
          <w:lang w:val="es-ES_tradnl" w:eastAsia="es-MX"/>
        </w:rPr>
        <w:t>El Registro Nacional de Población tiene como finalidad registrar a cada una de las personas que integran la población del país, con los datos que permitan certificar y acreditar fehacientemente su identidad.</w:t>
      </w:r>
    </w:p>
    <w:p w14:paraId="28BEB7B4" w14:textId="77777777" w:rsidR="00113BD1" w:rsidRPr="00AE490A" w:rsidRDefault="00113BD1" w:rsidP="00AE490A">
      <w:pPr>
        <w:pStyle w:val="Puesto"/>
        <w:rPr>
          <w:lang w:val="es-ES_tradnl" w:eastAsia="es-MX"/>
        </w:rPr>
      </w:pPr>
      <w:r w:rsidRPr="00AE490A">
        <w:rPr>
          <w:rFonts w:cs="Arial,Bold"/>
          <w:b/>
          <w:bCs/>
          <w:lang w:val="es-ES_tradnl" w:eastAsia="es-MX"/>
        </w:rPr>
        <w:t xml:space="preserve">Artículo 91. </w:t>
      </w:r>
      <w:r w:rsidRPr="00AE490A">
        <w:rPr>
          <w:b/>
          <w:u w:val="single"/>
          <w:lang w:val="es-ES_tradnl" w:eastAsia="es-MX"/>
        </w:rPr>
        <w:t>Al incorporar a una persona en el Registro Nacional de Población</w:t>
      </w:r>
      <w:r w:rsidRPr="00AE490A">
        <w:rPr>
          <w:lang w:val="es-ES_tradnl" w:eastAsia="es-MX"/>
        </w:rPr>
        <w:t xml:space="preserve">, se le asignará una clave </w:t>
      </w:r>
      <w:r w:rsidRPr="00AE490A">
        <w:rPr>
          <w:b/>
          <w:u w:val="single"/>
          <w:lang w:val="es-ES_tradnl" w:eastAsia="es-MX"/>
        </w:rPr>
        <w:t>que se denominará Clave Única de Registro de Población</w:t>
      </w:r>
      <w:r w:rsidRPr="00AE490A">
        <w:rPr>
          <w:lang w:val="es-ES_tradnl" w:eastAsia="es-MX"/>
        </w:rPr>
        <w:t xml:space="preserve">. </w:t>
      </w:r>
      <w:r w:rsidRPr="00AE490A">
        <w:rPr>
          <w:b/>
          <w:u w:val="single"/>
          <w:lang w:val="es-ES_tradnl" w:eastAsia="es-MX"/>
        </w:rPr>
        <w:t>Esta servirá para</w:t>
      </w:r>
      <w:r w:rsidRPr="00AE490A">
        <w:rPr>
          <w:lang w:val="es-ES_tradnl" w:eastAsia="es-MX"/>
        </w:rPr>
        <w:t xml:space="preserve"> registrarla e </w:t>
      </w:r>
      <w:r w:rsidRPr="00AE490A">
        <w:rPr>
          <w:b/>
          <w:u w:val="single"/>
          <w:lang w:val="es-ES_tradnl" w:eastAsia="es-MX"/>
        </w:rPr>
        <w:t>identificarla en forma individual</w:t>
      </w:r>
      <w:r w:rsidRPr="00AE490A">
        <w:rPr>
          <w:lang w:val="es-ES_tradnl" w:eastAsia="es-MX"/>
        </w:rPr>
        <w:t xml:space="preserve">.” </w:t>
      </w:r>
    </w:p>
    <w:p w14:paraId="379A2DA3" w14:textId="77777777" w:rsidR="00113BD1" w:rsidRPr="00AE490A" w:rsidRDefault="00113BD1" w:rsidP="00AE490A">
      <w:pPr>
        <w:pStyle w:val="Puesto"/>
        <w:rPr>
          <w:lang w:val="es-ES_tradnl" w:eastAsia="es-MX"/>
        </w:rPr>
      </w:pPr>
      <w:r w:rsidRPr="00AE490A">
        <w:rPr>
          <w:lang w:val="es-ES_tradnl" w:eastAsia="es-MX"/>
        </w:rPr>
        <w:t>(Énfasis añadido)</w:t>
      </w:r>
    </w:p>
    <w:p w14:paraId="30D5975D" w14:textId="77777777" w:rsidR="00113BD1" w:rsidRPr="00AE490A" w:rsidRDefault="00113BD1" w:rsidP="00AE490A">
      <w:pPr>
        <w:rPr>
          <w:lang w:val="es-ES_tradnl" w:eastAsia="es-MX"/>
        </w:rPr>
      </w:pPr>
    </w:p>
    <w:p w14:paraId="0D1C99C3" w14:textId="77777777" w:rsidR="00113BD1" w:rsidRPr="00AE490A" w:rsidRDefault="00113BD1" w:rsidP="00AE490A">
      <w:pPr>
        <w:rPr>
          <w:lang w:val="es-ES_tradnl" w:eastAsia="es-MX"/>
        </w:rPr>
      </w:pPr>
      <w:r w:rsidRPr="00AE490A">
        <w:rPr>
          <w:lang w:val="es-ES_tradnl" w:eastAsia="es-MX"/>
        </w:rPr>
        <w:t xml:space="preserve">Ahora bien, la Clave Única de Registro de Población, está integrada de 18 elementos representados por letras y números, que se generan a partir de los datos contenidos en un documento probatorio de </w:t>
      </w:r>
      <w:r w:rsidRPr="00AE490A">
        <w:rPr>
          <w:bCs/>
          <w:lang w:val="es-ES_tradnl"/>
        </w:rPr>
        <w:t>identidad</w:t>
      </w:r>
      <w:r w:rsidRPr="00AE490A">
        <w:rPr>
          <w:lang w:val="es-ES_tradnl" w:eastAsia="es-MX"/>
        </w:rPr>
        <w:t xml:space="preserve"> (acta de nacimiento, carta de naturalización o documento migratorio), la </w:t>
      </w:r>
      <w:r w:rsidRPr="00AE490A">
        <w:rPr>
          <w:rFonts w:cs="Arial"/>
          <w:lang w:val="es-ES_tradnl"/>
        </w:rPr>
        <w:t>cual</w:t>
      </w:r>
      <w:r w:rsidRPr="00AE490A">
        <w:rPr>
          <w:lang w:val="es-ES_tradnl" w:eastAsia="es-MX"/>
        </w:rPr>
        <w:t xml:space="preserve"> se integra de</w:t>
      </w:r>
      <w:r w:rsidRPr="00AE490A">
        <w:rPr>
          <w:rFonts w:cs="Arial"/>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AE490A">
        <w:rPr>
          <w:lang w:val="es-ES_tradnl" w:eastAsia="es-MX"/>
        </w:rPr>
        <w:t xml:space="preserve">; sexo; Entidad Federativa de nacimiento; consonantes internas del nombre y apellidos; un diferenciador de homonimia y siglo; y un digito verificador, que garantizan la correcta integración. </w:t>
      </w:r>
    </w:p>
    <w:p w14:paraId="1D43928D" w14:textId="77777777" w:rsidR="00113BD1" w:rsidRPr="00AE490A" w:rsidRDefault="00113BD1" w:rsidP="00AE490A">
      <w:pPr>
        <w:rPr>
          <w:lang w:val="es-ES_tradnl" w:eastAsia="es-MX"/>
        </w:rPr>
      </w:pPr>
    </w:p>
    <w:p w14:paraId="4459F45A" w14:textId="77777777" w:rsidR="00113BD1" w:rsidRPr="00AE490A" w:rsidRDefault="00113BD1" w:rsidP="00AE490A">
      <w:pPr>
        <w:rPr>
          <w:rFonts w:cs="Arial"/>
          <w:lang w:val="es-ES_tradnl" w:eastAsia="es-MX"/>
        </w:rPr>
      </w:pPr>
      <w:r w:rsidRPr="00AE490A">
        <w:rPr>
          <w:rFonts w:cs="Arial"/>
          <w:lang w:val="es-ES_tradnl" w:eastAsia="es-MX"/>
        </w:rPr>
        <w:t xml:space="preserve">Al respecto, el </w:t>
      </w:r>
      <w:r w:rsidRPr="00AE490A">
        <w:rPr>
          <w:rFonts w:eastAsia="Arial Unicode MS" w:cs="Arial"/>
          <w:lang w:val="es-ES_tradnl"/>
        </w:rPr>
        <w:t>Instituto Nacional de Transparencia, Acceso a la Información y Protección de Datos Personales (INAI),</w:t>
      </w:r>
      <w:r w:rsidRPr="00AE490A">
        <w:rPr>
          <w:rFonts w:cs="Arial"/>
          <w:lang w:val="es-ES_tradnl" w:eastAsia="es-MX"/>
        </w:rPr>
        <w:t xml:space="preserve"> a través del Criterio 18/17 de la Segunda Época, señala literalmente lo siguiente:</w:t>
      </w:r>
    </w:p>
    <w:p w14:paraId="4A000553" w14:textId="77777777" w:rsidR="00113BD1" w:rsidRPr="00AE490A" w:rsidRDefault="00113BD1" w:rsidP="00AE490A">
      <w:pPr>
        <w:rPr>
          <w:rFonts w:cs="Arial"/>
          <w:lang w:val="es-ES_tradnl" w:eastAsia="es-MX"/>
        </w:rPr>
      </w:pPr>
    </w:p>
    <w:p w14:paraId="7DD918D1" w14:textId="77777777" w:rsidR="00113BD1" w:rsidRPr="00AE490A" w:rsidRDefault="00113BD1" w:rsidP="00AE490A">
      <w:pPr>
        <w:pStyle w:val="Puesto"/>
        <w:rPr>
          <w:lang w:val="es-ES_tradnl" w:eastAsia="es-MX"/>
        </w:rPr>
      </w:pPr>
      <w:r w:rsidRPr="00AE490A">
        <w:rPr>
          <w:lang w:val="es-ES_tradnl" w:eastAsia="es-MX"/>
        </w:rPr>
        <w:t>“</w:t>
      </w:r>
      <w:r w:rsidRPr="00AE490A">
        <w:rPr>
          <w:b/>
          <w:lang w:val="es-ES_tradnl" w:eastAsia="es-MX"/>
        </w:rPr>
        <w:t>Clave Única de Registro de Población (CURP). La Clave Única de Registro de Población</w:t>
      </w:r>
      <w:r w:rsidRPr="00AE490A">
        <w:rPr>
          <w:lang w:val="es-ES_tradnl" w:eastAsia="es-MX"/>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C99F7B3" w14:textId="77777777" w:rsidR="00113BD1" w:rsidRPr="00AE490A" w:rsidRDefault="00113BD1" w:rsidP="00AE490A">
      <w:pPr>
        <w:pStyle w:val="Puesto"/>
        <w:rPr>
          <w:lang w:val="es-ES_tradnl" w:eastAsia="es-MX"/>
        </w:rPr>
      </w:pPr>
      <w:r w:rsidRPr="00AE490A">
        <w:rPr>
          <w:lang w:val="es-ES_tradnl" w:eastAsia="es-MX"/>
        </w:rPr>
        <w:t xml:space="preserve"> (Énfasis añadido)</w:t>
      </w:r>
    </w:p>
    <w:p w14:paraId="09C0458E" w14:textId="77777777" w:rsidR="00113BD1" w:rsidRPr="00AE490A" w:rsidRDefault="00113BD1" w:rsidP="00AE490A">
      <w:pPr>
        <w:autoSpaceDE w:val="0"/>
        <w:autoSpaceDN w:val="0"/>
        <w:adjustRightInd w:val="0"/>
        <w:ind w:left="851" w:right="902"/>
        <w:rPr>
          <w:rFonts w:cs="Arial"/>
          <w:lang w:val="es-ES_tradnl"/>
        </w:rPr>
      </w:pPr>
    </w:p>
    <w:p w14:paraId="3038FC8E" w14:textId="77777777" w:rsidR="00113BD1" w:rsidRPr="00AE490A" w:rsidRDefault="00113BD1" w:rsidP="00AE490A">
      <w:pPr>
        <w:rPr>
          <w:rFonts w:cs="Arial"/>
          <w:lang w:val="es-ES_tradnl" w:eastAsia="es-MX"/>
        </w:rPr>
      </w:pPr>
      <w:r w:rsidRPr="00AE490A">
        <w:rPr>
          <w:rFonts w:cs="Arial"/>
          <w:lang w:val="es-ES_tradnl" w:eastAsia="es-MX"/>
        </w:rPr>
        <w:t xml:space="preserve">De lo anterior, se desprende que la </w:t>
      </w:r>
      <w:r w:rsidRPr="00AE490A">
        <w:rPr>
          <w:lang w:val="es-ES_tradnl" w:eastAsia="es-MX"/>
        </w:rPr>
        <w:t xml:space="preserve">Clave Única de Registro de Población, </w:t>
      </w:r>
      <w:r w:rsidRPr="00AE490A">
        <w:rPr>
          <w:rFonts w:cs="Arial"/>
          <w:lang w:val="es-ES_tradnl" w:eastAsia="es-MX"/>
        </w:rPr>
        <w:t xml:space="preserve">se encuentra vinculada al nombre y apellidos de la persona, permitiendo identificar fecha y lugar de </w:t>
      </w:r>
      <w:r w:rsidRPr="00AE490A">
        <w:rPr>
          <w:rFonts w:cs="Arial"/>
          <w:lang w:val="es-ES_tradnl" w:eastAsia="es-MX"/>
        </w:rPr>
        <w:lastRenderedPageBreak/>
        <w:t xml:space="preserve">nacimiento, así como el sexo; datos que únicamente le atañen a su titular, por lo que, ésta constituye un dato </w:t>
      </w:r>
      <w:r w:rsidRPr="00AE490A">
        <w:rPr>
          <w:bCs/>
          <w:lang w:val="es-ES_tradnl"/>
        </w:rPr>
        <w:t>personal</w:t>
      </w:r>
      <w:r w:rsidRPr="00AE490A">
        <w:rPr>
          <w:rFonts w:cs="Arial"/>
          <w:lang w:val="es-ES_tradnl" w:eastAsia="es-MX"/>
        </w:rPr>
        <w:t xml:space="preserve"> que concierne a una persona física identificada e identificable en términos de los artículos 2, fracción II de la Ley de Transparencia y Acceso a la Información Pública del Estado de México y Municipios y </w:t>
      </w:r>
      <w:r w:rsidRPr="00AE490A">
        <w:rPr>
          <w:rFonts w:cs="Arial"/>
          <w:lang w:val="es-ES_tradnl"/>
        </w:rPr>
        <w:t>4, fracción XI</w:t>
      </w:r>
      <w:r w:rsidRPr="00AE490A">
        <w:rPr>
          <w:rFonts w:cs="Arial"/>
          <w:lang w:val="es-ES_tradnl" w:eastAsia="es-MX"/>
        </w:rPr>
        <w:t xml:space="preserve"> </w:t>
      </w:r>
      <w:r w:rsidRPr="00AE490A">
        <w:rPr>
          <w:rFonts w:cs="Arial"/>
          <w:lang w:val="es-ES_tradnl"/>
        </w:rPr>
        <w:t>de la Ley de Protección de Datos Personales en Posesión de Sujetos Obligados del Estado de México y Municipios</w:t>
      </w:r>
      <w:r w:rsidRPr="00AE490A">
        <w:rPr>
          <w:rFonts w:cs="Arial"/>
          <w:lang w:val="es-ES_tradnl" w:eastAsia="es-MX"/>
        </w:rPr>
        <w:t>.</w:t>
      </w:r>
    </w:p>
    <w:p w14:paraId="153D8E42" w14:textId="77777777" w:rsidR="00113BD1" w:rsidRPr="00AE490A" w:rsidRDefault="00113BD1" w:rsidP="00AE490A"/>
    <w:p w14:paraId="75873611" w14:textId="77777777" w:rsidR="00113BD1" w:rsidRPr="00AE490A" w:rsidRDefault="00113BD1" w:rsidP="00AE490A">
      <w:pPr>
        <w:pStyle w:val="Prrafodelista"/>
        <w:numPr>
          <w:ilvl w:val="0"/>
          <w:numId w:val="34"/>
        </w:numPr>
        <w:rPr>
          <w:rFonts w:cs="Arial"/>
          <w:b/>
        </w:rPr>
      </w:pPr>
      <w:r w:rsidRPr="00AE490A">
        <w:rPr>
          <w:rFonts w:cs="Arial"/>
          <w:b/>
        </w:rPr>
        <w:t xml:space="preserve">Clave de cualquier tipo de </w:t>
      </w:r>
      <w:r w:rsidRPr="00AE490A">
        <w:rPr>
          <w:b/>
        </w:rPr>
        <w:t>seguridad</w:t>
      </w:r>
      <w:r w:rsidRPr="00AE490A">
        <w:rPr>
          <w:rFonts w:cs="Arial"/>
          <w:b/>
        </w:rPr>
        <w:t xml:space="preserve"> social</w:t>
      </w:r>
    </w:p>
    <w:p w14:paraId="5F321DF0" w14:textId="77777777" w:rsidR="00113BD1" w:rsidRPr="00AE490A" w:rsidRDefault="00113BD1" w:rsidP="00AE490A"/>
    <w:p w14:paraId="20B37275" w14:textId="77777777" w:rsidR="00113BD1" w:rsidRPr="00AE490A" w:rsidRDefault="00113BD1" w:rsidP="00AE490A">
      <w:pPr>
        <w:rPr>
          <w:rFonts w:cs="Arial"/>
        </w:rPr>
      </w:pPr>
      <w:r w:rsidRPr="00AE490A">
        <w:rPr>
          <w:rFonts w:cs="Arial"/>
        </w:rPr>
        <w:t xml:space="preserve">Por cuanto hace a la </w:t>
      </w:r>
      <w:r w:rsidRPr="00AE490A">
        <w:rPr>
          <w:rFonts w:cs="Arial"/>
          <w:b/>
        </w:rPr>
        <w:t>Clave de cualquier tipo de seguridad social</w:t>
      </w:r>
      <w:r w:rsidRPr="00AE490A">
        <w:rPr>
          <w:rFonts w:cs="Arial"/>
        </w:rPr>
        <w:t xml:space="preserve"> (ISSEMYM, u otros), está integrado por una </w:t>
      </w:r>
      <w:r w:rsidRPr="00AE490A">
        <w:rPr>
          <w:rFonts w:cs="Arial"/>
          <w:bCs/>
        </w:rPr>
        <w:t xml:space="preserve">secuencia de números con los que se identifica a los trabajadores que </w:t>
      </w:r>
      <w:r w:rsidRPr="00AE490A">
        <w:t>cubren</w:t>
      </w:r>
      <w:r w:rsidRPr="00AE490A">
        <w:rPr>
          <w:rFonts w:cs="Arial"/>
          <w:bCs/>
        </w:rPr>
        <w:t xml:space="preserve"> las cuotas respectivas, asimismo, lo identifica con la fuente de trabajo; por lo que al ser una clave de </w:t>
      </w:r>
      <w:r w:rsidRPr="00AE490A">
        <w:rPr>
          <w:rFonts w:cs="Arial"/>
        </w:rPr>
        <w:t>identificación</w:t>
      </w:r>
      <w:r w:rsidRPr="00AE490A">
        <w:rPr>
          <w:rFonts w:cs="Arial"/>
          <w:bCs/>
        </w:rPr>
        <w:t xml:space="preserve"> de los trabajadores, constituye información confidencial, </w:t>
      </w:r>
      <w:r w:rsidRPr="00AE490A">
        <w:rPr>
          <w:rFonts w:cs="Arial"/>
        </w:rPr>
        <w:t>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F3AA60F" w14:textId="77777777" w:rsidR="00113BD1" w:rsidRPr="00AE490A" w:rsidRDefault="00113BD1" w:rsidP="00AE490A"/>
    <w:p w14:paraId="28013FBA" w14:textId="77777777" w:rsidR="00113BD1" w:rsidRPr="00AE490A" w:rsidRDefault="00113BD1" w:rsidP="00AE490A">
      <w:pPr>
        <w:pStyle w:val="Prrafodelista"/>
        <w:numPr>
          <w:ilvl w:val="0"/>
          <w:numId w:val="34"/>
        </w:numPr>
        <w:rPr>
          <w:b/>
        </w:rPr>
      </w:pPr>
      <w:r w:rsidRPr="00AE490A">
        <w:rPr>
          <w:b/>
        </w:rPr>
        <w:t>Número de cuenta bancaria de los particulares</w:t>
      </w:r>
    </w:p>
    <w:p w14:paraId="52F697D6" w14:textId="77777777" w:rsidR="00113BD1" w:rsidRPr="00AE490A" w:rsidRDefault="00113BD1" w:rsidP="00AE490A">
      <w:pPr>
        <w:pStyle w:val="Prrafodelista"/>
        <w:rPr>
          <w:b/>
        </w:rPr>
      </w:pPr>
    </w:p>
    <w:p w14:paraId="592BE1B4" w14:textId="77777777" w:rsidR="00113BD1" w:rsidRPr="00AE490A" w:rsidRDefault="00113BD1" w:rsidP="00AE490A">
      <w:r w:rsidRPr="00AE490A">
        <w:rPr>
          <w:rFonts w:cs="Arial"/>
        </w:rPr>
        <w:t xml:space="preserve">Por otro lado, es importante señalar que </w:t>
      </w:r>
      <w:r w:rsidRPr="00AE490A">
        <w:t>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037EA4FD" w14:textId="77777777" w:rsidR="00113BD1" w:rsidRPr="00AE490A" w:rsidRDefault="00113BD1" w:rsidP="00AE490A">
      <w:pPr>
        <w:autoSpaceDE w:val="0"/>
        <w:autoSpaceDN w:val="0"/>
        <w:adjustRightInd w:val="0"/>
        <w:ind w:right="50"/>
      </w:pPr>
    </w:p>
    <w:p w14:paraId="2C8C3549" w14:textId="77777777" w:rsidR="00113BD1" w:rsidRPr="00AE490A" w:rsidRDefault="00113BD1" w:rsidP="00AE490A">
      <w:pPr>
        <w:autoSpaceDE w:val="0"/>
        <w:autoSpaceDN w:val="0"/>
        <w:adjustRightInd w:val="0"/>
        <w:ind w:right="51"/>
      </w:pPr>
      <w:r w:rsidRPr="00AE490A">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9E4EDEA" w14:textId="77777777" w:rsidR="00113BD1" w:rsidRPr="00AE490A" w:rsidRDefault="00113BD1" w:rsidP="00AE490A">
      <w:pPr>
        <w:autoSpaceDE w:val="0"/>
        <w:autoSpaceDN w:val="0"/>
        <w:adjustRightInd w:val="0"/>
        <w:ind w:right="51"/>
      </w:pPr>
    </w:p>
    <w:p w14:paraId="7E87ECEA" w14:textId="77777777" w:rsidR="00113BD1" w:rsidRPr="00AE490A" w:rsidRDefault="00113BD1" w:rsidP="00AE490A">
      <w:pPr>
        <w:autoSpaceDE w:val="0"/>
        <w:autoSpaceDN w:val="0"/>
        <w:adjustRightInd w:val="0"/>
        <w:ind w:right="50"/>
      </w:pPr>
      <w:r w:rsidRPr="00AE490A">
        <w:t>Lo anterior encuentra sustento en el criterio 10/17 emitido por el Instituto Nacional de Transparencia y Acceso a la Información Pública del Estado de México y Municipios, que a la letra dicen:</w:t>
      </w:r>
    </w:p>
    <w:p w14:paraId="3F98D514" w14:textId="77777777" w:rsidR="00113BD1" w:rsidRPr="00AE490A" w:rsidRDefault="00113BD1" w:rsidP="00AE490A">
      <w:pPr>
        <w:autoSpaceDE w:val="0"/>
        <w:autoSpaceDN w:val="0"/>
        <w:adjustRightInd w:val="0"/>
        <w:ind w:right="50"/>
      </w:pPr>
    </w:p>
    <w:p w14:paraId="653334B5" w14:textId="77777777" w:rsidR="00113BD1" w:rsidRPr="00AE490A" w:rsidRDefault="00113BD1" w:rsidP="00AE490A">
      <w:pPr>
        <w:pStyle w:val="Puesto"/>
      </w:pPr>
      <w:r w:rsidRPr="00AE490A">
        <w:rPr>
          <w:b/>
        </w:rPr>
        <w:t>“Cuentas bancarias y/o CLABE interbancaria de personas físicas y morales privadas.</w:t>
      </w:r>
      <w:r w:rsidRPr="00AE490A">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879F8CA" w14:textId="77777777" w:rsidR="00113BD1" w:rsidRPr="00AE490A" w:rsidRDefault="00113BD1" w:rsidP="00AE490A">
      <w:pPr>
        <w:autoSpaceDE w:val="0"/>
        <w:autoSpaceDN w:val="0"/>
        <w:adjustRightInd w:val="0"/>
        <w:ind w:left="851" w:right="1134"/>
        <w:jc w:val="center"/>
        <w:rPr>
          <w:b/>
          <w:i/>
        </w:rPr>
      </w:pPr>
    </w:p>
    <w:p w14:paraId="7A4A52F1" w14:textId="77777777" w:rsidR="00113BD1" w:rsidRPr="00AE490A" w:rsidRDefault="00113BD1" w:rsidP="00AE490A">
      <w:pPr>
        <w:pStyle w:val="Prrafodelista"/>
        <w:numPr>
          <w:ilvl w:val="0"/>
          <w:numId w:val="34"/>
        </w:numPr>
        <w:rPr>
          <w:rFonts w:eastAsia="Palatino Linotype" w:cs="Palatino Linotype"/>
          <w:b/>
        </w:rPr>
      </w:pPr>
      <w:r w:rsidRPr="00AE490A">
        <w:rPr>
          <w:rFonts w:eastAsia="Palatino Linotype" w:cs="Palatino Linotype"/>
          <w:b/>
        </w:rPr>
        <w:t>Número de empleado de servidores públicos o su equivalente</w:t>
      </w:r>
    </w:p>
    <w:p w14:paraId="105CE79B" w14:textId="77777777" w:rsidR="00113BD1" w:rsidRPr="00AE490A" w:rsidRDefault="00113BD1" w:rsidP="00AE490A"/>
    <w:p w14:paraId="572DE91E" w14:textId="77777777" w:rsidR="00113BD1" w:rsidRPr="00AE490A" w:rsidRDefault="00113BD1" w:rsidP="00AE490A">
      <w:pPr>
        <w:rPr>
          <w:lang w:eastAsia="es-MX"/>
        </w:rPr>
      </w:pPr>
      <w:r w:rsidRPr="00AE490A">
        <w:rPr>
          <w:rFonts w:cs="Arial"/>
        </w:rPr>
        <w:t xml:space="preserve">Por otro lado, </w:t>
      </w:r>
      <w:r w:rsidRPr="00AE490A">
        <w:rPr>
          <w:rFonts w:eastAsia="Palatino Linotype" w:cs="Palatino Linotype"/>
        </w:rPr>
        <w:t xml:space="preserve">es necesario precisar que el </w:t>
      </w:r>
      <w:r w:rsidRPr="00AE490A">
        <w:rPr>
          <w:rFonts w:eastAsia="Palatino Linotype" w:cs="Palatino Linotype"/>
          <w:b/>
        </w:rPr>
        <w:t>número de empleado de servidores públicos o su equivalente</w:t>
      </w:r>
      <w:r w:rsidRPr="00AE490A">
        <w:rPr>
          <w:rFonts w:eastAsia="Palatino Linotype" w:cs="Palatino Linotype"/>
        </w:rPr>
        <w:t xml:space="preserve">, con independencia del nombre que reciba, constituye un instrumento de control interno que permite a las dependencias y entidades identificar a sus trabajadores y a estos les facilita la realización de gestiones en su carácter de empleado. </w:t>
      </w:r>
    </w:p>
    <w:p w14:paraId="17550C80" w14:textId="77777777" w:rsidR="00113BD1" w:rsidRPr="00AE490A" w:rsidRDefault="00113BD1" w:rsidP="00AE490A">
      <w:pPr>
        <w:pBdr>
          <w:top w:val="nil"/>
          <w:left w:val="nil"/>
          <w:bottom w:val="nil"/>
          <w:right w:val="nil"/>
          <w:between w:val="nil"/>
        </w:pBdr>
        <w:spacing w:before="240" w:after="240"/>
        <w:ind w:right="49"/>
        <w:rPr>
          <w:rFonts w:eastAsia="Palatino Linotype" w:cs="Palatino Linotype"/>
        </w:rPr>
      </w:pPr>
      <w:r w:rsidRPr="00AE490A">
        <w:rPr>
          <w:rFonts w:eastAsia="Palatino Linotype" w:cs="Palatino Linotype"/>
        </w:rPr>
        <w:lastRenderedPageBreak/>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34CD53DB" w14:textId="77777777" w:rsidR="00113BD1" w:rsidRPr="00AE490A" w:rsidRDefault="00113BD1" w:rsidP="00AE490A">
      <w:pPr>
        <w:pBdr>
          <w:top w:val="nil"/>
          <w:left w:val="nil"/>
          <w:bottom w:val="nil"/>
          <w:right w:val="nil"/>
          <w:between w:val="nil"/>
        </w:pBdr>
        <w:spacing w:before="240" w:after="240"/>
        <w:ind w:right="49"/>
        <w:rPr>
          <w:rFonts w:eastAsia="Palatino Linotype" w:cs="Palatino Linotype"/>
        </w:rPr>
      </w:pPr>
      <w:r w:rsidRPr="00AE490A">
        <w:rPr>
          <w:rFonts w:eastAsia="Palatino Linotype" w:cs="Palatino Linotype"/>
        </w:rPr>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4416CBBB" w14:textId="77777777" w:rsidR="00113BD1" w:rsidRPr="00AE490A" w:rsidRDefault="00113BD1" w:rsidP="00AE490A">
      <w:pPr>
        <w:pStyle w:val="Puesto"/>
        <w:rPr>
          <w:rFonts w:eastAsia="Palatino Linotype"/>
        </w:rPr>
      </w:pPr>
      <w:r w:rsidRPr="00AE490A">
        <w:rPr>
          <w:rFonts w:eastAsia="Palatino Linotype"/>
        </w:rPr>
        <w:t>“</w:t>
      </w:r>
      <w:r w:rsidRPr="00AE490A">
        <w:rPr>
          <w:rFonts w:eastAsia="Palatino Linotype"/>
          <w:b/>
        </w:rPr>
        <w:t>Número de empleado.</w:t>
      </w:r>
      <w:r w:rsidRPr="00AE490A">
        <w:rPr>
          <w:rFonts w:eastAsia="Palatino Linotype"/>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3992903D" w14:textId="77777777" w:rsidR="00113BD1" w:rsidRPr="00AE490A" w:rsidRDefault="00113BD1" w:rsidP="00AE490A">
      <w:pPr>
        <w:pBdr>
          <w:top w:val="nil"/>
          <w:left w:val="nil"/>
          <w:bottom w:val="nil"/>
          <w:right w:val="nil"/>
          <w:between w:val="nil"/>
        </w:pBdr>
        <w:spacing w:before="240" w:after="240"/>
        <w:ind w:right="49"/>
        <w:rPr>
          <w:rFonts w:eastAsia="Palatino Linotype" w:cs="Palatino Linotype"/>
        </w:rPr>
      </w:pPr>
      <w:r w:rsidRPr="00AE490A">
        <w:rPr>
          <w:rFonts w:eastAsia="Palatino Linotype" w:cs="Palatino Linotype"/>
        </w:rPr>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46B43CB1" w14:textId="77777777" w:rsidR="00113BD1" w:rsidRPr="00AE490A" w:rsidRDefault="00113BD1" w:rsidP="00AE490A">
      <w:pPr>
        <w:pStyle w:val="Prrafodelista"/>
        <w:numPr>
          <w:ilvl w:val="0"/>
          <w:numId w:val="35"/>
        </w:numPr>
        <w:rPr>
          <w:rFonts w:eastAsia="Palatino Linotype" w:cs="Palatino Linotype"/>
        </w:rPr>
      </w:pPr>
      <w:r w:rsidRPr="00AE490A">
        <w:rPr>
          <w:rFonts w:cs="Arial"/>
          <w:b/>
        </w:rPr>
        <w:t>Códigos Bidimensionales</w:t>
      </w:r>
      <w:r w:rsidRPr="00AE490A">
        <w:rPr>
          <w:rFonts w:cs="Arial"/>
        </w:rPr>
        <w:t xml:space="preserve">  (</w:t>
      </w:r>
      <w:r w:rsidRPr="00AE490A">
        <w:rPr>
          <w:rFonts w:cs="Arial"/>
          <w:b/>
        </w:rPr>
        <w:t>Códigos QR)</w:t>
      </w:r>
    </w:p>
    <w:p w14:paraId="0B89258D" w14:textId="77777777" w:rsidR="00113BD1" w:rsidRPr="00AE490A" w:rsidRDefault="00113BD1" w:rsidP="00AE490A">
      <w:pPr>
        <w:pStyle w:val="Prrafodelista"/>
        <w:rPr>
          <w:rFonts w:eastAsia="Palatino Linotype" w:cs="Palatino Linotype"/>
        </w:rPr>
      </w:pPr>
    </w:p>
    <w:p w14:paraId="27723E22" w14:textId="77777777" w:rsidR="00113BD1" w:rsidRPr="00AE490A" w:rsidRDefault="00113BD1" w:rsidP="00AE490A">
      <w:pPr>
        <w:rPr>
          <w:rFonts w:cs="Arial"/>
        </w:rPr>
      </w:pPr>
      <w:r w:rsidRPr="00AE490A">
        <w:rPr>
          <w:rFonts w:cs="Arial"/>
        </w:rPr>
        <w:t xml:space="preserve">Por lo que hace a los </w:t>
      </w:r>
      <w:r w:rsidRPr="00AE490A">
        <w:rPr>
          <w:rFonts w:cs="Arial"/>
          <w:b/>
        </w:rPr>
        <w:t>Códigos Bidimensionales</w:t>
      </w:r>
      <w:r w:rsidRPr="00AE490A">
        <w:rPr>
          <w:rFonts w:cs="Arial"/>
        </w:rPr>
        <w:t xml:space="preserve"> y los denominados </w:t>
      </w:r>
      <w:r w:rsidRPr="00AE490A">
        <w:rPr>
          <w:rFonts w:cs="Arial"/>
          <w:b/>
        </w:rPr>
        <w:t>Códigos QR</w:t>
      </w:r>
      <w:r w:rsidRPr="00AE490A">
        <w:rPr>
          <w:rFonts w:cs="Arial"/>
        </w:rPr>
        <w:t xml:space="preserve">, se trata de barras en dos dimensiones que al igual a los códigos de barras o códigos unidimensionales, </w:t>
      </w:r>
      <w:r w:rsidRPr="00AE490A">
        <w:rPr>
          <w:rFonts w:cs="Arial"/>
        </w:rPr>
        <w:lastRenderedPageBreak/>
        <w:t xml:space="preserve">son utilizados para almacenar diversos tipos datos de manera codificada, los cuales a través de lectores que pueden ser obtenidos por cualquier persona, pueden obtener los referidos datos, los cuales pueden corresponder a datos personales como </w:t>
      </w:r>
      <w:r w:rsidRPr="00AE490A">
        <w:rPr>
          <w:rFonts w:cs="Arial"/>
          <w:b/>
        </w:rPr>
        <w:t>Registro Federal de Contribuyentes</w:t>
      </w:r>
      <w:r w:rsidRPr="00AE490A">
        <w:rPr>
          <w:rFonts w:cs="Arial"/>
        </w:rPr>
        <w:t xml:space="preserve"> (RFC) y la </w:t>
      </w:r>
      <w:r w:rsidRPr="00AE490A">
        <w:rPr>
          <w:rFonts w:cs="Arial"/>
          <w:b/>
        </w:rPr>
        <w:t>Clave Única de Registro de Población</w:t>
      </w:r>
      <w:r w:rsidRPr="00AE490A">
        <w:rPr>
          <w:rFonts w:cs="Arial"/>
        </w:rPr>
        <w:t xml:space="preserve"> (CURP).</w:t>
      </w:r>
    </w:p>
    <w:p w14:paraId="64C662C2" w14:textId="77777777" w:rsidR="00113BD1" w:rsidRPr="00AE490A" w:rsidRDefault="00113BD1" w:rsidP="00AE490A">
      <w:pPr>
        <w:pBdr>
          <w:top w:val="nil"/>
          <w:left w:val="nil"/>
          <w:bottom w:val="nil"/>
          <w:right w:val="nil"/>
          <w:between w:val="nil"/>
        </w:pBdr>
        <w:spacing w:before="240" w:after="240"/>
        <w:ind w:right="49"/>
        <w:rPr>
          <w:rFonts w:eastAsia="Palatino Linotype" w:cs="Palatino Linotype"/>
        </w:rPr>
      </w:pPr>
    </w:p>
    <w:p w14:paraId="29C7A676" w14:textId="77777777" w:rsidR="00113BD1" w:rsidRPr="00AE490A" w:rsidRDefault="00113BD1" w:rsidP="00AE490A">
      <w:pPr>
        <w:pStyle w:val="Prrafodelista"/>
        <w:numPr>
          <w:ilvl w:val="0"/>
          <w:numId w:val="35"/>
        </w:numPr>
        <w:rPr>
          <w:rFonts w:eastAsia="Palatino Linotype" w:cs="Palatino Linotype"/>
          <w:b/>
        </w:rPr>
      </w:pPr>
      <w:r w:rsidRPr="00AE490A">
        <w:rPr>
          <w:b/>
          <w:lang w:eastAsia="es-MX"/>
        </w:rPr>
        <w:t>Folio fiscal, número de serie del certificado del emisor, sello digital del SAT y Cadena Original del SAT</w:t>
      </w:r>
    </w:p>
    <w:p w14:paraId="6B49CB9D" w14:textId="77777777" w:rsidR="00113BD1" w:rsidRPr="00AE490A" w:rsidRDefault="00113BD1" w:rsidP="00AE490A">
      <w:pPr>
        <w:rPr>
          <w:rFonts w:cs="Arial"/>
        </w:rPr>
      </w:pPr>
    </w:p>
    <w:p w14:paraId="09154292" w14:textId="77777777" w:rsidR="00113BD1" w:rsidRPr="00AE490A" w:rsidRDefault="00113BD1" w:rsidP="00AE490A">
      <w:pPr>
        <w:rPr>
          <w:rFonts w:cs="Tahoma"/>
          <w:bCs/>
          <w:szCs w:val="22"/>
          <w:lang w:val="es-ES"/>
        </w:rPr>
      </w:pPr>
      <w:r w:rsidRPr="00AE490A">
        <w:rPr>
          <w:rFonts w:cs="Arial"/>
        </w:rPr>
        <w:t xml:space="preserve">Al respecto, </w:t>
      </w:r>
      <w:r w:rsidRPr="00AE490A">
        <w:rPr>
          <w:lang w:eastAsia="es-MX"/>
        </w:rPr>
        <w:t xml:space="preserve">es necesario precisar que </w:t>
      </w:r>
      <w:r w:rsidRPr="00AE490A">
        <w:rPr>
          <w:rFonts w:cs="Tahoma"/>
          <w:bCs/>
          <w:szCs w:val="22"/>
          <w:lang w:val="es-ES"/>
        </w:rPr>
        <w:t>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0FA78A52" w14:textId="77777777" w:rsidR="00113BD1" w:rsidRPr="00AE490A" w:rsidRDefault="00113BD1" w:rsidP="00AE490A">
      <w:pPr>
        <w:contextualSpacing/>
        <w:rPr>
          <w:rFonts w:cs="Tahoma"/>
          <w:bCs/>
          <w:szCs w:val="22"/>
          <w:lang w:val="es-ES"/>
        </w:rPr>
      </w:pPr>
      <w:r w:rsidRPr="00AE490A">
        <w:rPr>
          <w:rFonts w:cs="Tahoma"/>
          <w:bCs/>
          <w:szCs w:val="22"/>
          <w:lang w:val="es-ES"/>
        </w:rPr>
        <w:t> </w:t>
      </w:r>
    </w:p>
    <w:p w14:paraId="297236DE" w14:textId="77777777" w:rsidR="00113BD1" w:rsidRPr="00AE490A" w:rsidRDefault="00113BD1" w:rsidP="00AE490A">
      <w:pPr>
        <w:contextualSpacing/>
        <w:rPr>
          <w:rFonts w:cs="Tahoma"/>
          <w:bCs/>
          <w:szCs w:val="22"/>
          <w:lang w:val="es-ES"/>
        </w:rPr>
      </w:pPr>
      <w:r w:rsidRPr="00AE490A">
        <w:rPr>
          <w:rFonts w:cs="Tahoma"/>
          <w:szCs w:val="22"/>
          <w:lang w:val="es-ES"/>
        </w:rPr>
        <w:t>Las cadenas originales y sellos que se agregan a las facturas</w:t>
      </w:r>
      <w:r w:rsidRPr="00AE490A">
        <w:rPr>
          <w:rFonts w:cs="Tahoma"/>
          <w:bCs/>
          <w:szCs w:val="22"/>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w:t>
      </w:r>
      <w:r w:rsidRPr="00AE490A">
        <w:rPr>
          <w:rFonts w:cs="Tahoma"/>
          <w:bCs/>
          <w:szCs w:val="22"/>
          <w:lang w:val="es-ES"/>
        </w:rPr>
        <w:lastRenderedPageBreak/>
        <w:t>de los que se componen los elementos de seguridad y se puntualiza que dicha información está encriptada.</w:t>
      </w:r>
    </w:p>
    <w:p w14:paraId="1DAFBCA4" w14:textId="77777777" w:rsidR="00113BD1" w:rsidRPr="00AE490A" w:rsidRDefault="00113BD1" w:rsidP="00AE490A">
      <w:pPr>
        <w:contextualSpacing/>
        <w:rPr>
          <w:rFonts w:cs="Tahoma"/>
          <w:bCs/>
          <w:szCs w:val="22"/>
          <w:lang w:val="es-ES"/>
        </w:rPr>
      </w:pPr>
    </w:p>
    <w:p w14:paraId="79E498D2" w14:textId="77777777" w:rsidR="00113BD1" w:rsidRPr="00AE490A" w:rsidRDefault="00113BD1" w:rsidP="00AE490A">
      <w:pPr>
        <w:pStyle w:val="Puesto"/>
        <w:rPr>
          <w:rFonts w:eastAsia="Calibri"/>
          <w:lang w:val="es-ES" w:eastAsia="en-US"/>
        </w:rPr>
      </w:pPr>
      <w:r w:rsidRPr="00AE490A">
        <w:rPr>
          <w:rFonts w:eastAsia="Calibri"/>
          <w:lang w:val="es-ES" w:eastAsia="en-US"/>
        </w:rPr>
        <w:t>“…</w:t>
      </w:r>
    </w:p>
    <w:p w14:paraId="51C7A7CD" w14:textId="77777777" w:rsidR="00113BD1" w:rsidRPr="00AE490A" w:rsidRDefault="00113BD1" w:rsidP="00AE490A">
      <w:pPr>
        <w:pStyle w:val="Puesto"/>
        <w:rPr>
          <w:rFonts w:eastAsia="Calibri"/>
          <w:lang w:val="es-ES" w:eastAsia="en-US"/>
        </w:rPr>
      </w:pPr>
      <w:r w:rsidRPr="00AE490A">
        <w:rPr>
          <w:rFonts w:eastAsia="Calibri"/>
          <w:lang w:val="es-ES" w:eastAsia="en-US"/>
        </w:rPr>
        <w:t>Elementos utilizados en la generación de Sellos Digitales:</w:t>
      </w:r>
    </w:p>
    <w:p w14:paraId="737D3285" w14:textId="77777777" w:rsidR="00113BD1" w:rsidRPr="00AE490A" w:rsidRDefault="00113BD1" w:rsidP="00AE490A">
      <w:pPr>
        <w:pStyle w:val="Puesto"/>
        <w:rPr>
          <w:rFonts w:eastAsia="Calibri"/>
          <w:lang w:val="es-ES" w:eastAsia="en-US"/>
        </w:rPr>
      </w:pPr>
      <w:r w:rsidRPr="00AE490A">
        <w:rPr>
          <w:rFonts w:eastAsia="Calibri"/>
          <w:lang w:val="es-ES" w:eastAsia="en-US"/>
        </w:rPr>
        <w:t>•</w:t>
      </w:r>
      <w:r w:rsidRPr="00AE490A">
        <w:rPr>
          <w:rFonts w:eastAsia="Calibri"/>
          <w:lang w:val="es-ES" w:eastAsia="en-US"/>
        </w:rPr>
        <w:tab/>
        <w:t>Cadena Original, el elemento a sellar, en este caso de un comprobante fiscal digital a través de Internet.</w:t>
      </w:r>
    </w:p>
    <w:p w14:paraId="25080A5C" w14:textId="77777777" w:rsidR="00113BD1" w:rsidRPr="00AE490A" w:rsidRDefault="00113BD1" w:rsidP="00AE490A">
      <w:pPr>
        <w:pStyle w:val="Puesto"/>
        <w:rPr>
          <w:rFonts w:eastAsia="Calibri"/>
          <w:lang w:val="es-ES" w:eastAsia="en-US"/>
        </w:rPr>
      </w:pPr>
      <w:r w:rsidRPr="00AE490A">
        <w:rPr>
          <w:rFonts w:eastAsia="Calibri"/>
          <w:lang w:val="es-ES" w:eastAsia="en-US"/>
        </w:rPr>
        <w:t>•</w:t>
      </w:r>
      <w:r w:rsidRPr="00AE490A">
        <w:rPr>
          <w:rFonts w:eastAsia="Calibri"/>
          <w:lang w:val="es-ES" w:eastAsia="en-US"/>
        </w:rPr>
        <w:tab/>
        <w:t>Certificado de Sello Digital y su correspondiente clave privada.</w:t>
      </w:r>
    </w:p>
    <w:p w14:paraId="40823095" w14:textId="77777777" w:rsidR="00113BD1" w:rsidRPr="00AE490A" w:rsidRDefault="00113BD1" w:rsidP="00AE490A">
      <w:pPr>
        <w:pStyle w:val="Puesto"/>
        <w:rPr>
          <w:rFonts w:eastAsia="Calibri"/>
          <w:lang w:val="es-ES" w:eastAsia="en-US"/>
        </w:rPr>
      </w:pPr>
      <w:r w:rsidRPr="00AE490A">
        <w:rPr>
          <w:rFonts w:eastAsia="Calibri"/>
          <w:lang w:val="es-ES" w:eastAsia="en-US"/>
        </w:rPr>
        <w:t>•</w:t>
      </w:r>
      <w:r w:rsidRPr="00AE490A">
        <w:rPr>
          <w:rFonts w:eastAsia="Calibri"/>
          <w:lang w:val="es-ES" w:eastAsia="en-US"/>
        </w:rPr>
        <w:tab/>
        <w:t>Algoritmos de criptografía de clave pública para firma electrónica avanzada.</w:t>
      </w:r>
    </w:p>
    <w:p w14:paraId="5D8E90B4" w14:textId="77777777" w:rsidR="00113BD1" w:rsidRPr="00AE490A" w:rsidRDefault="00113BD1" w:rsidP="00AE490A">
      <w:pPr>
        <w:pStyle w:val="Puesto"/>
        <w:rPr>
          <w:rFonts w:eastAsia="Calibri"/>
          <w:lang w:val="es-ES" w:eastAsia="en-US"/>
        </w:rPr>
      </w:pPr>
      <w:r w:rsidRPr="00AE490A">
        <w:rPr>
          <w:rFonts w:eastAsia="Calibri"/>
          <w:lang w:val="es-ES" w:eastAsia="en-US"/>
        </w:rPr>
        <w:t>•</w:t>
      </w:r>
      <w:r w:rsidRPr="00AE490A">
        <w:rPr>
          <w:rFonts w:eastAsia="Calibri"/>
          <w:lang w:val="es-ES" w:eastAsia="en-US"/>
        </w:rPr>
        <w:tab/>
        <w:t>Especificaciones de conversión de la firma electrónica avanzada a Base 64.</w:t>
      </w:r>
    </w:p>
    <w:p w14:paraId="41523BA8" w14:textId="77777777" w:rsidR="00113BD1" w:rsidRPr="00AE490A" w:rsidRDefault="00113BD1" w:rsidP="00AE490A">
      <w:pPr>
        <w:pStyle w:val="Puesto"/>
        <w:rPr>
          <w:rFonts w:eastAsia="Calibri"/>
          <w:lang w:val="es-ES" w:eastAsia="en-US"/>
        </w:rPr>
      </w:pPr>
      <w:r w:rsidRPr="00AE490A">
        <w:rPr>
          <w:rFonts w:eastAsia="Calibri"/>
          <w:lang w:val="es-ES" w:eastAsia="en-US"/>
        </w:rPr>
        <w:t>Para la generación de sellos digitales se utiliza criptografía de clave pública aplicada a una cadena original.</w:t>
      </w:r>
    </w:p>
    <w:p w14:paraId="0AC775F3" w14:textId="77777777" w:rsidR="00113BD1" w:rsidRPr="00AE490A" w:rsidRDefault="00113BD1" w:rsidP="00AE490A">
      <w:pPr>
        <w:pStyle w:val="Puesto"/>
        <w:rPr>
          <w:rFonts w:eastAsia="Calibri"/>
          <w:lang w:val="es-ES" w:eastAsia="en-US"/>
        </w:rPr>
      </w:pPr>
      <w:r w:rsidRPr="00AE490A">
        <w:rPr>
          <w:rFonts w:eastAsia="Calibri"/>
          <w:lang w:val="es-ES" w:eastAsia="en-US"/>
        </w:rPr>
        <w:t>Criptografía de la Clave Pública</w:t>
      </w:r>
    </w:p>
    <w:p w14:paraId="21049D8E" w14:textId="77777777" w:rsidR="00113BD1" w:rsidRPr="00AE490A" w:rsidRDefault="00113BD1" w:rsidP="00AE490A">
      <w:pPr>
        <w:pStyle w:val="Puesto"/>
        <w:rPr>
          <w:rFonts w:eastAsia="Calibri"/>
          <w:lang w:val="es-ES" w:eastAsia="en-US"/>
        </w:rPr>
      </w:pPr>
      <w:r w:rsidRPr="00AE490A">
        <w:rPr>
          <w:rFonts w:eastAsia="Calibri"/>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491D25DB" w14:textId="77777777" w:rsidR="00113BD1" w:rsidRPr="00AE490A" w:rsidRDefault="00113BD1" w:rsidP="00AE490A">
      <w:pPr>
        <w:pStyle w:val="Puesto"/>
        <w:rPr>
          <w:rFonts w:eastAsia="Calibri"/>
          <w:lang w:val="es-ES" w:eastAsia="en-US"/>
        </w:rPr>
      </w:pPr>
      <w:r w:rsidRPr="00AE490A">
        <w:rPr>
          <w:rFonts w:eastAsia="Calibri"/>
          <w:lang w:val="es-ES" w:eastAsia="en-US"/>
        </w:rPr>
        <w:t>…”</w:t>
      </w:r>
    </w:p>
    <w:p w14:paraId="7E421128" w14:textId="77777777" w:rsidR="00113BD1" w:rsidRPr="00AE490A" w:rsidRDefault="00113BD1" w:rsidP="00AE490A">
      <w:pPr>
        <w:contextualSpacing/>
        <w:rPr>
          <w:rFonts w:cs="Tahoma"/>
          <w:bCs/>
          <w:szCs w:val="22"/>
          <w:lang w:val="es-ES"/>
        </w:rPr>
      </w:pPr>
      <w:r w:rsidRPr="00AE490A">
        <w:rPr>
          <w:rFonts w:cs="Tahoma"/>
          <w:bCs/>
          <w:szCs w:val="22"/>
          <w:lang w:val="es-ES"/>
        </w:rPr>
        <w:t> </w:t>
      </w:r>
    </w:p>
    <w:p w14:paraId="47991A20" w14:textId="77777777" w:rsidR="00113BD1" w:rsidRPr="00AE490A" w:rsidRDefault="00113BD1" w:rsidP="00AE490A">
      <w:pPr>
        <w:contextualSpacing/>
        <w:rPr>
          <w:rFonts w:cs="Tahoma"/>
          <w:bCs/>
          <w:lang w:val="es-ES"/>
        </w:rPr>
      </w:pPr>
      <w:r w:rsidRPr="00AE490A">
        <w:rPr>
          <w:rFonts w:cs="Tahoma"/>
          <w:bCs/>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local y, por el contrario, son información que permite corroborar la legitimidad de la factura, de ser el caso, por lo que guardan el carácter de público.</w:t>
      </w:r>
    </w:p>
    <w:p w14:paraId="578C1B5C" w14:textId="77777777" w:rsidR="00113BD1" w:rsidRPr="00AE490A" w:rsidRDefault="00113BD1" w:rsidP="00AE490A">
      <w:pPr>
        <w:contextualSpacing/>
        <w:rPr>
          <w:rFonts w:cs="Tahoma"/>
          <w:bCs/>
          <w:lang w:val="es-ES"/>
        </w:rPr>
      </w:pPr>
    </w:p>
    <w:p w14:paraId="35027B2E" w14:textId="77777777" w:rsidR="00113BD1" w:rsidRPr="00AE490A" w:rsidRDefault="00113BD1" w:rsidP="00AE490A">
      <w:pPr>
        <w:contextualSpacing/>
        <w:rPr>
          <w:rFonts w:cs="Tahoma"/>
          <w:bCs/>
          <w:lang w:val="es-ES"/>
        </w:rPr>
      </w:pPr>
      <w:r w:rsidRPr="00AE490A">
        <w:rPr>
          <w:rFonts w:cs="Tahoma"/>
          <w:bCs/>
          <w:lang w:val="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w:t>
      </w:r>
      <w:r w:rsidRPr="00AE490A">
        <w:rPr>
          <w:rFonts w:cs="Tahoma"/>
          <w:bCs/>
          <w:lang w:val="es-ES"/>
        </w:rPr>
        <w:lastRenderedPageBreak/>
        <w:t xml:space="preserve">emitido por el Instituto Nacional electoral (consultado el quince de agosto del presente año, a las once horas con diez minutos, en la página electrónica </w:t>
      </w:r>
      <w:hyperlink r:id="rId14" w:history="1">
        <w:r w:rsidRPr="00AE490A">
          <w:rPr>
            <w:rFonts w:eastAsia="Yu Gothic Light" w:cs="Tahoma"/>
            <w:bCs/>
            <w:u w:val="single"/>
          </w:rPr>
          <w:t>https://portalanterior.ine.mx/archivos2/tutoriales/sistemas/ApoyoInstitucional/SIF/docs/candidatos/folioFiscalFactura.pdf</w:t>
        </w:r>
      </w:hyperlink>
      <w:r w:rsidRPr="00AE490A">
        <w:rPr>
          <w:rFonts w:cs="Tahoma"/>
          <w:bCs/>
          <w:lang w:val="es-ES"/>
        </w:rPr>
        <w:t>), en la cual se advierte que únicamente se encuentra conformado por números, se muestra a continuación:</w:t>
      </w:r>
    </w:p>
    <w:p w14:paraId="3B3C569F" w14:textId="77777777" w:rsidR="00113BD1" w:rsidRPr="00AE490A" w:rsidRDefault="00113BD1" w:rsidP="00AE490A">
      <w:pPr>
        <w:contextualSpacing/>
        <w:rPr>
          <w:rFonts w:cs="Tahoma"/>
          <w:bCs/>
        </w:rPr>
      </w:pPr>
    </w:p>
    <w:p w14:paraId="14D3F379" w14:textId="77777777" w:rsidR="00113BD1" w:rsidRPr="00AE490A" w:rsidRDefault="00113BD1" w:rsidP="00AE490A">
      <w:pPr>
        <w:contextualSpacing/>
        <w:jc w:val="center"/>
        <w:rPr>
          <w:rFonts w:cs="Tahoma"/>
          <w:bCs/>
        </w:rPr>
      </w:pPr>
      <w:r w:rsidRPr="00AE490A">
        <w:rPr>
          <w:rFonts w:eastAsia="Calibri"/>
          <w:noProof/>
          <w:lang w:eastAsia="es-MX"/>
        </w:rPr>
        <mc:AlternateContent>
          <mc:Choice Requires="wps">
            <w:drawing>
              <wp:anchor distT="0" distB="0" distL="114300" distR="114300" simplePos="0" relativeHeight="251659264" behindDoc="0" locked="0" layoutInCell="1" allowOverlap="1" wp14:anchorId="451F9933" wp14:editId="684514CA">
                <wp:simplePos x="0" y="0"/>
                <wp:positionH relativeFrom="column">
                  <wp:posOffset>163195</wp:posOffset>
                </wp:positionH>
                <wp:positionV relativeFrom="paragraph">
                  <wp:posOffset>859155</wp:posOffset>
                </wp:positionV>
                <wp:extent cx="3648075" cy="228600"/>
                <wp:effectExtent l="19050" t="19050" r="28575" b="19050"/>
                <wp:wrapNone/>
                <wp:docPr id="1" name="Rectángulo 20"/>
                <wp:cNvGraphicFramePr/>
                <a:graphic xmlns:a="http://schemas.openxmlformats.org/drawingml/2006/main">
                  <a:graphicData uri="http://schemas.microsoft.com/office/word/2010/wordprocessingShape">
                    <wps:wsp>
                      <wps:cNvSpPr/>
                      <wps:spPr>
                        <a:xfrm>
                          <a:off x="0" y="0"/>
                          <a:ext cx="3648075" cy="22860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336710" id="Rectángulo 20" o:spid="_x0000_s1026" style="position:absolute;margin-left:12.85pt;margin-top:67.65pt;width:28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" filled="f" strokecolor="windowText" strokeweight="2.25pt"/>
            </w:pict>
          </mc:Fallback>
        </mc:AlternateContent>
      </w:r>
      <w:r w:rsidRPr="00AE490A">
        <w:rPr>
          <w:rFonts w:cs="Tahoma"/>
          <w:noProof/>
          <w:lang w:eastAsia="es-MX"/>
        </w:rPr>
        <w:drawing>
          <wp:inline distT="0" distB="0" distL="0" distR="0" wp14:anchorId="3D3B6C5D" wp14:editId="2BB9039A">
            <wp:extent cx="5753100" cy="1114425"/>
            <wp:effectExtent l="0" t="0" r="0" b="9525"/>
            <wp:docPr id="1257177318" name="Imagen 1257177318"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77318" name="Imagen 1257177318" descr="Interfaz de usuario gráfica, Aplicación&#10;&#10;El contenido generado por IA puede ser incorrec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1114425"/>
                    </a:xfrm>
                    <a:prstGeom prst="rect">
                      <a:avLst/>
                    </a:prstGeom>
                    <a:noFill/>
                    <a:ln>
                      <a:noFill/>
                    </a:ln>
                  </pic:spPr>
                </pic:pic>
              </a:graphicData>
            </a:graphic>
          </wp:inline>
        </w:drawing>
      </w:r>
    </w:p>
    <w:p w14:paraId="2230170A" w14:textId="77777777" w:rsidR="00113BD1" w:rsidRPr="00AE490A" w:rsidRDefault="00113BD1" w:rsidP="00AE490A">
      <w:pPr>
        <w:contextualSpacing/>
        <w:rPr>
          <w:rFonts w:cs="Tahoma"/>
          <w:bCs/>
          <w:lang w:val="es-ES"/>
        </w:rPr>
      </w:pPr>
    </w:p>
    <w:p w14:paraId="29F0A94F" w14:textId="77777777" w:rsidR="00113BD1" w:rsidRPr="00AE490A" w:rsidRDefault="00113BD1" w:rsidP="00AE490A">
      <w:pPr>
        <w:contextualSpacing/>
        <w:rPr>
          <w:rFonts w:cs="Tahoma"/>
          <w:lang w:val="es-ES"/>
        </w:rPr>
      </w:pPr>
      <w:r w:rsidRPr="00AE490A">
        <w:rPr>
          <w:rFonts w:cs="Tahoma"/>
          <w:bCs/>
          <w:lang w:val="es-ES"/>
        </w:rPr>
        <w:t>Como se logra observar, los números de serie del certificado de sello digital no contiene datos personales y con dichos dígitos tampoco se puede obtener información de carácter confidencial,</w:t>
      </w:r>
      <w:r w:rsidRPr="00AE490A">
        <w:rPr>
          <w:rFonts w:cs="Tahoma"/>
          <w:b/>
          <w:bCs/>
          <w:lang w:val="es-ES"/>
        </w:rPr>
        <w:t xml:space="preserve"> </w:t>
      </w:r>
      <w:r w:rsidRPr="00AE490A">
        <w:rPr>
          <w:rFonts w:cs="Tahoma"/>
          <w:lang w:val="es-ES"/>
        </w:rPr>
        <w:t>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109C0AE7" w14:textId="77777777" w:rsidR="00113BD1" w:rsidRPr="00AE490A" w:rsidRDefault="00113BD1" w:rsidP="00AE490A">
      <w:pPr>
        <w:contextualSpacing/>
        <w:rPr>
          <w:rFonts w:cs="Tahoma"/>
          <w:bCs/>
          <w:lang w:val="es-ES"/>
        </w:rPr>
      </w:pPr>
    </w:p>
    <w:p w14:paraId="4D5AF32B" w14:textId="77777777" w:rsidR="00113BD1" w:rsidRPr="00AE490A" w:rsidRDefault="00113BD1" w:rsidP="00AE490A">
      <w:pPr>
        <w:contextualSpacing/>
        <w:rPr>
          <w:rFonts w:cs="Tahoma"/>
          <w:bCs/>
          <w:lang w:val="es-ES"/>
        </w:rPr>
      </w:pPr>
      <w:r w:rsidRPr="00AE490A">
        <w:rPr>
          <w:rFonts w:cs="Tahoma"/>
          <w:bCs/>
          <w:lang w:val="es-ES"/>
        </w:rPr>
        <w:t xml:space="preserve">Ahora bien, respecto al </w:t>
      </w:r>
      <w:r w:rsidRPr="00AE490A">
        <w:rPr>
          <w:rFonts w:cs="Tahoma"/>
          <w:b/>
          <w:bCs/>
          <w:lang w:val="es-ES"/>
        </w:rPr>
        <w:t>Folio Fiscal</w:t>
      </w:r>
      <w:r w:rsidRPr="00AE490A">
        <w:rPr>
          <w:rFonts w:cs="Tahoma"/>
          <w:bCs/>
          <w:lang w:val="es-ES"/>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352F9BC1" w14:textId="77777777" w:rsidR="00113BD1" w:rsidRPr="00AE490A" w:rsidRDefault="00113BD1" w:rsidP="00AE490A">
      <w:pPr>
        <w:contextualSpacing/>
        <w:rPr>
          <w:rFonts w:cs="Tahoma"/>
          <w:bCs/>
          <w:lang w:val="es-ES"/>
        </w:rPr>
      </w:pPr>
    </w:p>
    <w:p w14:paraId="7E76FA80" w14:textId="77777777" w:rsidR="00113BD1" w:rsidRPr="00AE490A" w:rsidRDefault="00113BD1" w:rsidP="00AE490A">
      <w:pPr>
        <w:contextualSpacing/>
        <w:jc w:val="center"/>
        <w:rPr>
          <w:rFonts w:cs="Tahoma"/>
          <w:bCs/>
        </w:rPr>
      </w:pPr>
      <w:r w:rsidRPr="00AE490A">
        <w:rPr>
          <w:rFonts w:cs="Tahoma"/>
          <w:noProof/>
          <w:lang w:eastAsia="es-MX"/>
        </w:rPr>
        <w:lastRenderedPageBreak/>
        <w:drawing>
          <wp:inline distT="0" distB="0" distL="0" distR="0" wp14:anchorId="73CC0049" wp14:editId="7433EC73">
            <wp:extent cx="5467350" cy="1228725"/>
            <wp:effectExtent l="0" t="0" r="0" b="9525"/>
            <wp:docPr id="2"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Texto&#10;&#10;El contenido generado por IA puede ser incorrecto."/>
                    <pic:cNvPicPr>
                      <a:picLocks noChangeAspect="1" noChangeArrowheads="1"/>
                    </pic:cNvPicPr>
                  </pic:nvPicPr>
                  <pic:blipFill>
                    <a:blip r:embed="rId16">
                      <a:extLst>
                        <a:ext uri="{28A0092B-C50C-407E-A947-70E740481C1C}">
                          <a14:useLocalDpi xmlns:a14="http://schemas.microsoft.com/office/drawing/2010/main" val="0"/>
                        </a:ext>
                      </a:extLst>
                    </a:blip>
                    <a:srcRect b="47096"/>
                    <a:stretch>
                      <a:fillRect/>
                    </a:stretch>
                  </pic:blipFill>
                  <pic:spPr bwMode="auto">
                    <a:xfrm>
                      <a:off x="0" y="0"/>
                      <a:ext cx="5467350" cy="1228725"/>
                    </a:xfrm>
                    <a:prstGeom prst="rect">
                      <a:avLst/>
                    </a:prstGeom>
                    <a:noFill/>
                    <a:ln>
                      <a:noFill/>
                    </a:ln>
                  </pic:spPr>
                </pic:pic>
              </a:graphicData>
            </a:graphic>
          </wp:inline>
        </w:drawing>
      </w:r>
    </w:p>
    <w:p w14:paraId="3574F3F7" w14:textId="77777777" w:rsidR="00113BD1" w:rsidRPr="00AE490A" w:rsidRDefault="00113BD1" w:rsidP="00AE490A">
      <w:pPr>
        <w:contextualSpacing/>
        <w:jc w:val="center"/>
        <w:rPr>
          <w:rFonts w:cs="Tahoma"/>
          <w:bCs/>
        </w:rPr>
      </w:pPr>
    </w:p>
    <w:p w14:paraId="62C0211F" w14:textId="77777777" w:rsidR="00113BD1" w:rsidRPr="00AE490A" w:rsidRDefault="00113BD1" w:rsidP="00AE490A">
      <w:pPr>
        <w:rPr>
          <w:rFonts w:cs="Arial"/>
          <w:lang w:val="es-ES"/>
        </w:rPr>
      </w:pPr>
      <w:r w:rsidRPr="00AE490A">
        <w:rPr>
          <w:rFonts w:cs="Tahoma"/>
          <w:bCs/>
          <w:lang w:val="es-ES"/>
        </w:rPr>
        <w:t xml:space="preserve">En ese contexto, de la misma manera que en los casos previamente analizados, </w:t>
      </w:r>
      <w:r w:rsidRPr="00AE490A">
        <w:rPr>
          <w:rFonts w:cs="Tahoma"/>
          <w:lang w:val="es-ES"/>
        </w:rPr>
        <w:t>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FC38CA8" w14:textId="77777777" w:rsidR="00113BD1" w:rsidRPr="00AE490A" w:rsidRDefault="00113BD1" w:rsidP="00AE490A">
      <w:pPr>
        <w:rPr>
          <w:rFonts w:cs="Arial"/>
          <w:lang w:val="es-ES"/>
        </w:rPr>
      </w:pPr>
    </w:p>
    <w:p w14:paraId="0BF8068A" w14:textId="77777777" w:rsidR="00113BD1" w:rsidRPr="00AE490A" w:rsidRDefault="00113BD1" w:rsidP="00AE490A">
      <w:pPr>
        <w:rPr>
          <w:rFonts w:cs="Tahoma"/>
          <w:bCs/>
          <w:lang w:val="es-ES"/>
        </w:rPr>
      </w:pPr>
      <w:r w:rsidRPr="00AE490A">
        <w:rPr>
          <w:rFonts w:eastAsia="Calibri" w:cs="Tahoma"/>
          <w:bCs/>
          <w:iCs/>
          <w:lang w:eastAsia="en-US"/>
        </w:rPr>
        <w:t>Ahora bien, cabe señalar que, en algunos casos, las</w:t>
      </w:r>
      <w:r w:rsidRPr="00AE490A">
        <w:rPr>
          <w:rFonts w:cs="Tahoma"/>
          <w:lang w:val="es-ES"/>
        </w:rPr>
        <w:t xml:space="preserve"> cadenas originales y sellos digitales o </w:t>
      </w:r>
      <w:r w:rsidRPr="00AE490A">
        <w:rPr>
          <w:rFonts w:cs="Tahoma"/>
          <w:bCs/>
          <w:lang w:val="es-ES"/>
        </w:rPr>
        <w:t xml:space="preserve">el número de serie de los certificados digitales, se pueden conformar de datos confidenciales, tales como el Registro Federal de Contribuyentes o la Clave Única de Registro de Población; por lo que, únicamente podrá clasificar estos, si contienen dicha información, de lo contrario </w:t>
      </w:r>
      <w:r w:rsidRPr="00AE490A">
        <w:rPr>
          <w:rFonts w:cs="Tahoma"/>
          <w:b/>
          <w:bCs/>
          <w:lang w:val="es-ES"/>
        </w:rPr>
        <w:t>serán públicos</w:t>
      </w:r>
      <w:r w:rsidRPr="00AE490A">
        <w:rPr>
          <w:rFonts w:cs="Tahoma"/>
          <w:bCs/>
          <w:lang w:val="es-ES"/>
        </w:rPr>
        <w:t>.</w:t>
      </w:r>
    </w:p>
    <w:p w14:paraId="0FE1976B" w14:textId="77777777" w:rsidR="00AB069C" w:rsidRPr="00AE490A" w:rsidRDefault="00AB069C" w:rsidP="00AE490A">
      <w:pPr>
        <w:rPr>
          <w:rFonts w:cs="Arial"/>
          <w:lang w:val="es-ES"/>
        </w:rPr>
      </w:pPr>
    </w:p>
    <w:p w14:paraId="2EC1EE9B" w14:textId="77777777" w:rsidR="00AB069C" w:rsidRPr="00AE490A" w:rsidRDefault="00AB069C" w:rsidP="00AE490A">
      <w:pPr>
        <w:pStyle w:val="Ttulo3"/>
      </w:pPr>
      <w:bookmarkStart w:id="48" w:name="_Toc194501132"/>
      <w:bookmarkStart w:id="49" w:name="_Toc198747271"/>
      <w:r w:rsidRPr="00AE490A">
        <w:t>e) Conclusión</w:t>
      </w:r>
      <w:bookmarkEnd w:id="48"/>
      <w:bookmarkEnd w:id="49"/>
    </w:p>
    <w:p w14:paraId="60EB8C18" w14:textId="77777777" w:rsidR="00AB069C" w:rsidRPr="00AE490A" w:rsidRDefault="00AB069C" w:rsidP="00AE490A">
      <w:pPr>
        <w:widowControl w:val="0"/>
        <w:tabs>
          <w:tab w:val="left" w:pos="1701"/>
          <w:tab w:val="left" w:pos="1843"/>
        </w:tabs>
        <w:rPr>
          <w:rFonts w:eastAsia="Palatino Linotype" w:cs="Palatino Linotype"/>
        </w:rPr>
      </w:pPr>
      <w:r w:rsidRPr="00AE490A">
        <w:rPr>
          <w:rFonts w:eastAsia="Palatino Linotype" w:cs="Palatino Linotype"/>
        </w:rPr>
        <w:t xml:space="preserve">En razón de lo anteriormente expuesto, este Instituto estima que las razones o motivos de inconformidad hechos valer por </w:t>
      </w:r>
      <w:r w:rsidRPr="00AE490A">
        <w:rPr>
          <w:rFonts w:eastAsia="Aptos" w:cs="Tahoma"/>
          <w:b/>
          <w:iCs/>
          <w:szCs w:val="22"/>
          <w:lang w:eastAsia="en-US"/>
        </w:rPr>
        <w:t>LA PARTE RECURRENTE</w:t>
      </w:r>
      <w:r w:rsidRPr="00AE490A">
        <w:rPr>
          <w:rFonts w:eastAsia="Aptos" w:cs="Tahoma"/>
          <w:bCs/>
          <w:iCs/>
          <w:szCs w:val="22"/>
          <w:lang w:eastAsia="en-US"/>
        </w:rPr>
        <w:t xml:space="preserve"> </w:t>
      </w:r>
      <w:r w:rsidRPr="00AE490A">
        <w:rPr>
          <w:rFonts w:eastAsia="Palatino Linotype" w:cs="Palatino Linotype"/>
        </w:rPr>
        <w:t xml:space="preserve">devienen </w:t>
      </w:r>
      <w:r w:rsidRPr="00AE490A">
        <w:rPr>
          <w:rFonts w:eastAsia="Palatino Linotype" w:cs="Palatino Linotype"/>
          <w:b/>
        </w:rPr>
        <w:t>fundadas</w:t>
      </w:r>
      <w:r w:rsidRPr="00AE490A">
        <w:rPr>
          <w:rFonts w:eastAsia="Palatino Linotype" w:cs="Palatino Linotype"/>
        </w:rPr>
        <w:t xml:space="preserve"> y suficientes para </w:t>
      </w:r>
      <w:r w:rsidRPr="00AE490A">
        <w:rPr>
          <w:rFonts w:eastAsia="Palatino Linotype" w:cs="Palatino Linotype"/>
          <w:b/>
        </w:rPr>
        <w:t>REVOCAR</w:t>
      </w:r>
      <w:r w:rsidRPr="00AE490A">
        <w:rPr>
          <w:rFonts w:eastAsia="Palatino Linotype" w:cs="Palatino Linotype"/>
        </w:rPr>
        <w:t xml:space="preserve"> las respuestas del </w:t>
      </w:r>
      <w:r w:rsidRPr="00AE490A">
        <w:rPr>
          <w:rFonts w:eastAsia="Palatino Linotype" w:cs="Palatino Linotype"/>
          <w:b/>
        </w:rPr>
        <w:t>SUJETO OBLIGADO</w:t>
      </w:r>
      <w:r w:rsidRPr="00AE490A">
        <w:rPr>
          <w:rFonts w:eastAsia="Palatino Linotype" w:cs="Palatino Linotype"/>
        </w:rPr>
        <w:t xml:space="preserve"> y ordenarle haga entrega de la información descrita en el presente Considerando.</w:t>
      </w:r>
    </w:p>
    <w:p w14:paraId="3839A325" w14:textId="77777777" w:rsidR="004C59C2" w:rsidRPr="00AE490A" w:rsidRDefault="004C59C2" w:rsidP="00AE490A">
      <w:pPr>
        <w:rPr>
          <w:rFonts w:cs="Arial"/>
          <w:b/>
          <w:bCs/>
        </w:rPr>
      </w:pPr>
    </w:p>
    <w:p w14:paraId="6C4C444E" w14:textId="6155E7DD" w:rsidR="00BD5A7C" w:rsidRPr="00AE490A" w:rsidRDefault="00BD5A7C" w:rsidP="00AE490A">
      <w:pPr>
        <w:ind w:right="-93"/>
        <w:rPr>
          <w:rFonts w:cs="Tahoma"/>
          <w:bCs/>
          <w:szCs w:val="22"/>
        </w:rPr>
      </w:pPr>
      <w:bookmarkStart w:id="50" w:name="_Hlk165381027"/>
      <w:r w:rsidRPr="00AE490A">
        <w:rPr>
          <w:rFonts w:cs="Tahoma"/>
          <w:bCs/>
          <w:szCs w:val="22"/>
        </w:rPr>
        <w:lastRenderedPageBreak/>
        <w:t xml:space="preserve">Así, con fundamento en lo establecido en los artículos 5, </w:t>
      </w:r>
      <w:r w:rsidR="008214DF" w:rsidRPr="00AE490A">
        <w:rPr>
          <w:rFonts w:cs="Tahoma"/>
          <w:bCs/>
          <w:szCs w:val="22"/>
        </w:rPr>
        <w:t>párrafos trigésimo séptimo, trigésimo octavo, trigésimo noveno,</w:t>
      </w:r>
      <w:r w:rsidRPr="00AE490A">
        <w:rPr>
          <w:rFonts w:cs="Tahoma"/>
          <w:bCs/>
          <w:szCs w:val="22"/>
        </w:rPr>
        <w:t xml:space="preserve">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50"/>
    <w:p w14:paraId="7C13D1A0" w14:textId="77777777" w:rsidR="00BD5A7C" w:rsidRPr="00AE490A" w:rsidRDefault="00BD5A7C" w:rsidP="00AE490A"/>
    <w:p w14:paraId="5C396097" w14:textId="684A0E4F" w:rsidR="00664420" w:rsidRPr="00AE490A" w:rsidRDefault="00664420" w:rsidP="00AE490A">
      <w:pPr>
        <w:pStyle w:val="Ttulo1"/>
      </w:pPr>
      <w:bookmarkStart w:id="51" w:name="_Toc198747272"/>
      <w:r w:rsidRPr="00AE490A">
        <w:t>RESUELVE</w:t>
      </w:r>
      <w:bookmarkEnd w:id="51"/>
    </w:p>
    <w:p w14:paraId="203B7093" w14:textId="77777777" w:rsidR="00664420" w:rsidRPr="00AE490A" w:rsidRDefault="00664420" w:rsidP="00AE490A">
      <w:pPr>
        <w:ind w:right="113"/>
        <w:rPr>
          <w:rFonts w:cs="Arial"/>
          <w:b/>
          <w:szCs w:val="22"/>
        </w:rPr>
      </w:pPr>
    </w:p>
    <w:p w14:paraId="3F4CE260" w14:textId="36F1F441" w:rsidR="00FB0120" w:rsidRPr="00AE490A" w:rsidRDefault="00FB0120" w:rsidP="00AE490A">
      <w:pPr>
        <w:widowControl w:val="0"/>
        <w:rPr>
          <w:rFonts w:eastAsia="Calibri" w:cs="Tahoma"/>
          <w:bCs/>
          <w:szCs w:val="22"/>
          <w:lang w:eastAsia="en-US"/>
        </w:rPr>
      </w:pPr>
      <w:r w:rsidRPr="00AE490A">
        <w:rPr>
          <w:b/>
          <w:bCs/>
        </w:rPr>
        <w:t>PRIMERO.</w:t>
      </w:r>
      <w:r w:rsidRPr="00AE490A">
        <w:t xml:space="preserve"> </w:t>
      </w:r>
      <w:r w:rsidRPr="00AE490A">
        <w:rPr>
          <w:rFonts w:cs="Tahoma"/>
          <w:szCs w:val="22"/>
        </w:rPr>
        <w:t xml:space="preserve">Se </w:t>
      </w:r>
      <w:r w:rsidRPr="00AE490A">
        <w:rPr>
          <w:rFonts w:cs="Tahoma"/>
          <w:b/>
          <w:bCs/>
          <w:szCs w:val="22"/>
        </w:rPr>
        <w:t xml:space="preserve">REVOCAN </w:t>
      </w:r>
      <w:r w:rsidRPr="00AE490A">
        <w:rPr>
          <w:rFonts w:cs="Tahoma"/>
          <w:szCs w:val="22"/>
        </w:rPr>
        <w:t xml:space="preserve">las respuestas entregadas por el </w:t>
      </w:r>
      <w:r w:rsidRPr="00AE490A">
        <w:rPr>
          <w:rFonts w:cs="Tahoma"/>
          <w:b/>
          <w:bCs/>
          <w:szCs w:val="22"/>
        </w:rPr>
        <w:t>SUJETO OBLIGADO</w:t>
      </w:r>
      <w:r w:rsidRPr="00AE490A">
        <w:rPr>
          <w:rFonts w:cs="Tahoma"/>
          <w:szCs w:val="22"/>
        </w:rPr>
        <w:t xml:space="preserve"> en las solicitudes de información </w:t>
      </w:r>
      <w:r w:rsidRPr="00AE490A">
        <w:rPr>
          <w:rFonts w:cs="Tahoma"/>
          <w:b/>
          <w:bCs/>
        </w:rPr>
        <w:t xml:space="preserve">00139/COCOTIT/IP/2025 </w:t>
      </w:r>
      <w:r w:rsidRPr="00AE490A">
        <w:rPr>
          <w:rFonts w:cs="Tahoma"/>
          <w:bCs/>
        </w:rPr>
        <w:t xml:space="preserve">y </w:t>
      </w:r>
      <w:r w:rsidRPr="00AE490A">
        <w:rPr>
          <w:rFonts w:cs="Tahoma"/>
          <w:b/>
          <w:bCs/>
        </w:rPr>
        <w:t>00145/COCOTIT/IP/2025</w:t>
      </w:r>
      <w:r w:rsidRPr="00AE490A">
        <w:rPr>
          <w:rFonts w:eastAsia="Palatino Linotype"/>
          <w:b/>
          <w:szCs w:val="22"/>
        </w:rPr>
        <w:t>,</w:t>
      </w:r>
      <w:r w:rsidRPr="00AE490A">
        <w:rPr>
          <w:rFonts w:cs="Tahoma"/>
          <w:bCs/>
          <w:szCs w:val="22"/>
        </w:rPr>
        <w:t xml:space="preserve"> </w:t>
      </w:r>
      <w:r w:rsidRPr="00AE490A">
        <w:rPr>
          <w:rFonts w:eastAsia="Calibri" w:cs="Tahoma"/>
          <w:bCs/>
          <w:szCs w:val="22"/>
          <w:lang w:eastAsia="en-US"/>
        </w:rPr>
        <w:t xml:space="preserve">por resultar </w:t>
      </w:r>
      <w:r w:rsidRPr="00AE490A">
        <w:rPr>
          <w:rFonts w:eastAsia="Calibri" w:cs="Tahoma"/>
          <w:b/>
          <w:bCs/>
          <w:szCs w:val="22"/>
          <w:lang w:eastAsia="en-US"/>
        </w:rPr>
        <w:t>FUNDADAS</w:t>
      </w:r>
      <w:r w:rsidRPr="00AE490A">
        <w:rPr>
          <w:rFonts w:eastAsia="Calibri" w:cs="Tahoma"/>
          <w:bCs/>
          <w:szCs w:val="22"/>
          <w:lang w:eastAsia="en-US"/>
        </w:rPr>
        <w:t xml:space="preserve"> las razones o motivos de inconformidad hechos valer por </w:t>
      </w:r>
      <w:r w:rsidRPr="00AE490A">
        <w:rPr>
          <w:rFonts w:eastAsia="Calibri" w:cs="Tahoma"/>
          <w:b/>
          <w:szCs w:val="22"/>
          <w:lang w:eastAsia="en-US"/>
        </w:rPr>
        <w:t>LA PARTE RECURRENTE</w:t>
      </w:r>
      <w:r w:rsidRPr="00AE490A">
        <w:rPr>
          <w:rFonts w:eastAsia="Calibri" w:cs="Tahoma"/>
          <w:bCs/>
          <w:szCs w:val="22"/>
          <w:lang w:eastAsia="en-US"/>
        </w:rPr>
        <w:t xml:space="preserve"> en los Recursos de Revisión </w:t>
      </w:r>
      <w:r w:rsidRPr="00AE490A">
        <w:rPr>
          <w:rFonts w:eastAsia="Calibri"/>
          <w:b/>
          <w:lang w:eastAsia="en-US"/>
        </w:rPr>
        <w:t xml:space="preserve">02867/INFOEM/IP/RR/2025 </w:t>
      </w:r>
      <w:r w:rsidRPr="00AE490A">
        <w:rPr>
          <w:rFonts w:eastAsia="Calibri"/>
          <w:lang w:eastAsia="en-US"/>
        </w:rPr>
        <w:t>y</w:t>
      </w:r>
      <w:r w:rsidRPr="00AE490A">
        <w:rPr>
          <w:rFonts w:eastAsia="Calibri"/>
          <w:b/>
          <w:lang w:eastAsia="en-US"/>
        </w:rPr>
        <w:t xml:space="preserve"> 03114/INFOEM/IP/RR/2025</w:t>
      </w:r>
      <w:r w:rsidRPr="00AE490A">
        <w:rPr>
          <w:rFonts w:eastAsiaTheme="minorHAnsi" w:cstheme="minorBidi"/>
          <w:szCs w:val="22"/>
          <w:lang w:eastAsia="en-US"/>
        </w:rPr>
        <w:t>,</w:t>
      </w:r>
      <w:r w:rsidRPr="00AE490A">
        <w:rPr>
          <w:rFonts w:cs="Tahoma"/>
          <w:b/>
          <w:szCs w:val="22"/>
        </w:rPr>
        <w:t xml:space="preserve"> </w:t>
      </w:r>
      <w:r w:rsidRPr="00AE490A">
        <w:rPr>
          <w:rFonts w:eastAsia="Calibri" w:cs="Tahoma"/>
          <w:bCs/>
          <w:szCs w:val="22"/>
          <w:lang w:eastAsia="en-US"/>
        </w:rPr>
        <w:t xml:space="preserve">en términos del considerando </w:t>
      </w:r>
      <w:r w:rsidRPr="00AE490A">
        <w:rPr>
          <w:rFonts w:eastAsia="Calibri" w:cs="Tahoma"/>
          <w:b/>
          <w:szCs w:val="22"/>
          <w:lang w:eastAsia="en-US"/>
        </w:rPr>
        <w:t>SEGUNDO</w:t>
      </w:r>
      <w:r w:rsidRPr="00AE490A">
        <w:rPr>
          <w:rFonts w:eastAsia="Calibri" w:cs="Tahoma"/>
          <w:bCs/>
          <w:szCs w:val="22"/>
          <w:lang w:eastAsia="en-US"/>
        </w:rPr>
        <w:t xml:space="preserve"> de la presente Resolución.</w:t>
      </w:r>
    </w:p>
    <w:p w14:paraId="03955332" w14:textId="77777777" w:rsidR="00FB0120" w:rsidRPr="00AE490A" w:rsidRDefault="00FB0120" w:rsidP="00AE490A">
      <w:pPr>
        <w:rPr>
          <w:rFonts w:eastAsia="Palatino Linotype"/>
          <w:b/>
          <w:szCs w:val="22"/>
        </w:rPr>
      </w:pPr>
    </w:p>
    <w:p w14:paraId="12A5623C" w14:textId="77777777" w:rsidR="00FB0120" w:rsidRPr="00AE490A" w:rsidRDefault="00FB0120" w:rsidP="00AE490A">
      <w:pPr>
        <w:rPr>
          <w:rFonts w:eastAsia="Calibri" w:cs="Tahoma"/>
          <w:bCs/>
          <w:szCs w:val="22"/>
          <w:lang w:eastAsia="en-US"/>
        </w:rPr>
      </w:pPr>
      <w:r w:rsidRPr="00AE490A">
        <w:rPr>
          <w:rFonts w:eastAsia="Calibri" w:cs="Tahoma"/>
          <w:b/>
          <w:bCs/>
          <w:szCs w:val="22"/>
          <w:lang w:eastAsia="en-US"/>
        </w:rPr>
        <w:t>SEGUNDO.</w:t>
      </w:r>
      <w:r w:rsidRPr="00AE490A">
        <w:rPr>
          <w:rFonts w:eastAsia="Calibri" w:cs="Tahoma"/>
          <w:szCs w:val="22"/>
          <w:lang w:eastAsia="es-MX"/>
        </w:rPr>
        <w:t xml:space="preserve"> Se </w:t>
      </w:r>
      <w:r w:rsidRPr="00AE490A">
        <w:rPr>
          <w:rFonts w:eastAsia="Calibri" w:cs="Tahoma"/>
          <w:b/>
          <w:szCs w:val="22"/>
          <w:lang w:eastAsia="es-MX"/>
        </w:rPr>
        <w:t xml:space="preserve">ORDENA </w:t>
      </w:r>
      <w:r w:rsidRPr="00AE490A">
        <w:rPr>
          <w:rFonts w:eastAsia="Calibri" w:cs="Tahoma"/>
          <w:szCs w:val="22"/>
          <w:lang w:eastAsia="es-MX"/>
        </w:rPr>
        <w:t xml:space="preserve">al </w:t>
      </w:r>
      <w:r w:rsidRPr="00AE490A">
        <w:rPr>
          <w:rFonts w:eastAsia="Calibri" w:cs="Tahoma"/>
          <w:b/>
          <w:bCs/>
          <w:szCs w:val="22"/>
          <w:lang w:eastAsia="es-MX"/>
        </w:rPr>
        <w:t>SUJETO OBLIGADO</w:t>
      </w:r>
      <w:r w:rsidRPr="00AE490A">
        <w:rPr>
          <w:rFonts w:eastAsia="Calibri" w:cs="Tahoma"/>
          <w:szCs w:val="22"/>
          <w:lang w:eastAsia="es-MX"/>
        </w:rPr>
        <w:t xml:space="preserve">, </w:t>
      </w:r>
      <w:r w:rsidRPr="00AE490A">
        <w:rPr>
          <w:rFonts w:eastAsia="Calibri" w:cs="Tahoma"/>
          <w:bCs/>
          <w:szCs w:val="22"/>
          <w:lang w:eastAsia="en-US"/>
        </w:rPr>
        <w:t xml:space="preserve">a efecto de que entregue a través del </w:t>
      </w:r>
      <w:r w:rsidRPr="00AE490A">
        <w:rPr>
          <w:rFonts w:eastAsia="Calibri" w:cs="Tahoma"/>
          <w:b/>
          <w:bCs/>
          <w:szCs w:val="22"/>
          <w:lang w:eastAsia="en-US"/>
        </w:rPr>
        <w:t>SAIMEX</w:t>
      </w:r>
      <w:r w:rsidRPr="00AE490A">
        <w:rPr>
          <w:rFonts w:eastAsia="Calibri" w:cs="Tahoma"/>
          <w:bCs/>
          <w:szCs w:val="22"/>
          <w:lang w:eastAsia="en-US"/>
        </w:rPr>
        <w:t xml:space="preserve">, en </w:t>
      </w:r>
      <w:r w:rsidRPr="00AE490A">
        <w:rPr>
          <w:rFonts w:eastAsia="Calibri" w:cs="Tahoma"/>
          <w:b/>
          <w:szCs w:val="22"/>
          <w:lang w:eastAsia="en-US"/>
        </w:rPr>
        <w:t xml:space="preserve">versión pública </w:t>
      </w:r>
      <w:r w:rsidRPr="00AE490A">
        <w:rPr>
          <w:rFonts w:eastAsia="Calibri" w:cs="Tahoma"/>
          <w:bCs/>
          <w:szCs w:val="22"/>
          <w:lang w:eastAsia="en-US"/>
        </w:rPr>
        <w:t>lo siguiente</w:t>
      </w:r>
      <w:r w:rsidRPr="00AE490A">
        <w:rPr>
          <w:lang w:eastAsia="es-MX"/>
        </w:rPr>
        <w:t>:</w:t>
      </w:r>
    </w:p>
    <w:p w14:paraId="6DB64CB2" w14:textId="77777777" w:rsidR="00FB0120" w:rsidRPr="00AE490A" w:rsidRDefault="00FB0120" w:rsidP="00AE490A">
      <w:pPr>
        <w:rPr>
          <w:rFonts w:eastAsia="Palatino Linotype"/>
          <w:b/>
          <w:szCs w:val="22"/>
        </w:rPr>
      </w:pPr>
    </w:p>
    <w:p w14:paraId="7D46FE18" w14:textId="762DEDEC" w:rsidR="00FB0120" w:rsidRPr="00AE490A" w:rsidRDefault="00FB0120" w:rsidP="00AE490A">
      <w:pPr>
        <w:pStyle w:val="Puesto"/>
        <w:rPr>
          <w:rFonts w:eastAsia="Calibri"/>
          <w:lang w:eastAsia="es-ES_tradnl"/>
        </w:rPr>
      </w:pPr>
      <w:r w:rsidRPr="00AE490A">
        <w:rPr>
          <w:rFonts w:eastAsia="Calibri"/>
          <w:lang w:eastAsia="es-ES_tradnl"/>
        </w:rPr>
        <w:t xml:space="preserve">Los recibos de nómina </w:t>
      </w:r>
      <w:r w:rsidRPr="00AE490A">
        <w:rPr>
          <w:lang w:eastAsia="es-ES_tradnl"/>
        </w:rPr>
        <w:t>de los integrantes de cabildo; así como, de los directores, coordinadores, encargados, jueces, titulares o equivale</w:t>
      </w:r>
      <w:r w:rsidR="00A7679B" w:rsidRPr="00AE490A">
        <w:rPr>
          <w:lang w:eastAsia="es-ES_tradnl"/>
        </w:rPr>
        <w:t>nte</w:t>
      </w:r>
      <w:r w:rsidRPr="00AE490A">
        <w:rPr>
          <w:lang w:eastAsia="es-ES_tradnl"/>
        </w:rPr>
        <w:t xml:space="preserve">s, correspondientes al mes de enero y primera quincena de febrero de 2025. </w:t>
      </w:r>
    </w:p>
    <w:p w14:paraId="1C194F5A" w14:textId="77777777" w:rsidR="00FB0120" w:rsidRPr="00AE490A" w:rsidRDefault="00FB0120" w:rsidP="00AE490A">
      <w:pPr>
        <w:ind w:right="-93"/>
        <w:rPr>
          <w:rFonts w:eastAsia="Calibri" w:cs="Tahoma"/>
          <w:bCs/>
          <w:szCs w:val="22"/>
          <w:lang w:eastAsia="en-US"/>
        </w:rPr>
      </w:pPr>
    </w:p>
    <w:p w14:paraId="76EA37B0" w14:textId="23DE240A" w:rsidR="00FB0120" w:rsidRPr="00AE490A" w:rsidRDefault="00FB0120" w:rsidP="00AE490A">
      <w:pPr>
        <w:ind w:right="-93"/>
        <w:rPr>
          <w:rFonts w:eastAsia="Calibri" w:cs="Tahoma"/>
          <w:bCs/>
          <w:szCs w:val="22"/>
          <w:lang w:eastAsia="en-US"/>
        </w:rPr>
      </w:pPr>
      <w:r w:rsidRPr="00AE490A">
        <w:rPr>
          <w:rFonts w:eastAsia="Calibri" w:cs="Tahoma"/>
          <w:bCs/>
          <w:szCs w:val="22"/>
          <w:lang w:eastAsia="en-US"/>
        </w:rPr>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26752C0" w14:textId="77777777" w:rsidR="00FB0120" w:rsidRPr="00AE490A" w:rsidRDefault="00FB0120" w:rsidP="00AE490A">
      <w:pPr>
        <w:ind w:right="-93"/>
        <w:rPr>
          <w:rFonts w:eastAsia="Calibri" w:cs="Tahoma"/>
          <w:bCs/>
          <w:szCs w:val="22"/>
          <w:lang w:eastAsia="en-US"/>
        </w:rPr>
      </w:pPr>
    </w:p>
    <w:p w14:paraId="20DE5450" w14:textId="77777777" w:rsidR="00FB0120" w:rsidRPr="00AE490A" w:rsidRDefault="00FB0120" w:rsidP="00AE490A">
      <w:r w:rsidRPr="00AE490A">
        <w:rPr>
          <w:b/>
          <w:bCs/>
        </w:rPr>
        <w:lastRenderedPageBreak/>
        <w:t>TERCERO.</w:t>
      </w:r>
      <w:r w:rsidRPr="00AE490A">
        <w:t xml:space="preserve"> </w:t>
      </w:r>
      <w:r w:rsidRPr="00AE490A">
        <w:rPr>
          <w:rFonts w:eastAsia="Palatino Linotype" w:cs="Palatino Linotype"/>
          <w:b/>
          <w:lang w:eastAsia="es-MX"/>
        </w:rPr>
        <w:t xml:space="preserve">Notifíquese </w:t>
      </w:r>
      <w:r w:rsidRPr="00AE490A">
        <w:rPr>
          <w:szCs w:val="17"/>
          <w:lang w:eastAsia="es-ES_tradnl"/>
        </w:rPr>
        <w:t xml:space="preserve">vía </w:t>
      </w:r>
      <w:r w:rsidRPr="00AE490A">
        <w:rPr>
          <w:rFonts w:cs="Arial"/>
        </w:rPr>
        <w:t>Sistema de Acceso a la Información Mexiquense (</w:t>
      </w:r>
      <w:r w:rsidRPr="00AE490A">
        <w:rPr>
          <w:rFonts w:cs="Arial"/>
          <w:b/>
          <w:bCs/>
        </w:rPr>
        <w:t>SAIMEX)</w:t>
      </w:r>
      <w:r w:rsidRPr="00AE490A">
        <w:rPr>
          <w:shd w:val="clear" w:color="auto" w:fill="FFFFFF"/>
        </w:rPr>
        <w:t xml:space="preserve"> la presente resolución al Titular de la Unidad de Transparencia del Sujeto Obligado</w:t>
      </w:r>
      <w:r w:rsidRPr="00AE490A">
        <w:t xml:space="preserve">, para que conforme al artículo 186 último párrafo, 189 segundo párrafo y 194 de la Ley de Transparencia y Acceso a la Información Pública del Estado de México y Municipios, dé cumplimiento a lo ordenado dentro del plazo de </w:t>
      </w:r>
      <w:r w:rsidRPr="00AE490A">
        <w:rPr>
          <w:b/>
          <w:bCs/>
        </w:rPr>
        <w:t>diez días hábiles</w:t>
      </w:r>
      <w:r w:rsidRPr="00AE490A">
        <w:t xml:space="preserve">, e informe a este Instituto en un plazo de </w:t>
      </w:r>
      <w:r w:rsidRPr="00AE490A">
        <w:rPr>
          <w:b/>
          <w:bCs/>
        </w:rPr>
        <w:t>tres días hábiles</w:t>
      </w:r>
      <w:r w:rsidRPr="00AE490A">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C553C42" w14:textId="77777777" w:rsidR="00FB0120" w:rsidRPr="00AE490A" w:rsidRDefault="00FB0120" w:rsidP="00AE490A"/>
    <w:p w14:paraId="3CF5767C" w14:textId="77777777" w:rsidR="00FB0120" w:rsidRPr="00AE490A" w:rsidRDefault="00FB0120" w:rsidP="00AE490A">
      <w:r w:rsidRPr="00AE490A">
        <w:rPr>
          <w:b/>
          <w:bCs/>
        </w:rPr>
        <w:t>CUARTO.</w:t>
      </w:r>
      <w:r w:rsidRPr="00AE490A">
        <w:t xml:space="preserve"> Notifíquese a </w:t>
      </w:r>
      <w:r w:rsidRPr="00AE490A">
        <w:rPr>
          <w:b/>
          <w:bCs/>
        </w:rPr>
        <w:t>LA PARTE RECURRENTE</w:t>
      </w:r>
      <w:r w:rsidRPr="00AE490A">
        <w:t xml:space="preserve"> la presente resolución vía Sistema de Acceso a la Información Mexiquense (SAIMEX).</w:t>
      </w:r>
    </w:p>
    <w:p w14:paraId="2FCF49F7" w14:textId="77777777" w:rsidR="00FB0120" w:rsidRPr="00AE490A" w:rsidRDefault="00FB0120" w:rsidP="00AE490A"/>
    <w:p w14:paraId="3E55572E" w14:textId="77777777" w:rsidR="00FB0120" w:rsidRPr="00AE490A" w:rsidRDefault="00FB0120" w:rsidP="00AE490A">
      <w:r w:rsidRPr="00AE490A">
        <w:rPr>
          <w:b/>
          <w:bCs/>
        </w:rPr>
        <w:t>QUINTO</w:t>
      </w:r>
      <w:r w:rsidRPr="00AE490A">
        <w:t xml:space="preserve">. Hágase del conocimiento a </w:t>
      </w:r>
      <w:r w:rsidRPr="00AE490A">
        <w:rPr>
          <w:b/>
          <w:bCs/>
        </w:rPr>
        <w:t>LA PARTE RECURRENTE</w:t>
      </w:r>
      <w:r w:rsidRPr="00AE490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AFE605E" w14:textId="77777777" w:rsidR="00FB0120" w:rsidRPr="00AE490A" w:rsidRDefault="00FB0120" w:rsidP="00AE490A"/>
    <w:p w14:paraId="3BC3DC20" w14:textId="77777777" w:rsidR="00FB0120" w:rsidRPr="00AE490A" w:rsidRDefault="00FB0120" w:rsidP="00AE490A">
      <w:r w:rsidRPr="00AE490A">
        <w:rPr>
          <w:b/>
          <w:bCs/>
        </w:rPr>
        <w:t>SEXTO.</w:t>
      </w:r>
      <w:r w:rsidRPr="00AE490A">
        <w:t xml:space="preserve"> De conformidad con el artículo 198 de la Ley de Transparencia y Acceso a la Información Pública del Estado de México y Municipios, el </w:t>
      </w:r>
      <w:r w:rsidRPr="00AE490A">
        <w:rPr>
          <w:b/>
          <w:bCs/>
        </w:rPr>
        <w:t>SUJETO OBLIGADO</w:t>
      </w:r>
      <w:r w:rsidRPr="00AE490A">
        <w:t xml:space="preserve"> podrá solicitar una ampliación de plazo de manera fundada y motivada, para el cumplimiento de la presente resolución.</w:t>
      </w:r>
    </w:p>
    <w:p w14:paraId="77218E82" w14:textId="77777777" w:rsidR="00D53600" w:rsidRDefault="00D53600" w:rsidP="00AE490A">
      <w:pPr>
        <w:rPr>
          <w:rFonts w:eastAsia="Palatino Linotype" w:cs="Palatino Linotype"/>
          <w:szCs w:val="22"/>
        </w:rPr>
      </w:pPr>
    </w:p>
    <w:p w14:paraId="158639D7" w14:textId="77777777" w:rsidR="00AE490A" w:rsidRPr="00AE490A" w:rsidRDefault="00AE490A" w:rsidP="00AE490A">
      <w:pPr>
        <w:rPr>
          <w:rFonts w:eastAsia="Palatino Linotype" w:cs="Palatino Linotype"/>
          <w:szCs w:val="22"/>
        </w:rPr>
      </w:pPr>
    </w:p>
    <w:p w14:paraId="05E3D4D2" w14:textId="7209A3A5" w:rsidR="00FB0120" w:rsidRPr="00AE490A" w:rsidRDefault="00FB0120" w:rsidP="00AE490A">
      <w:r w:rsidRPr="00AE490A">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934F1">
        <w:t xml:space="preserve"> </w:t>
      </w:r>
      <w:r w:rsidRPr="00AE490A">
        <w:t>Y GUADALUPE RAMÍREZ PEÑA, EN LA DÉCIMA OCTAVA SESIÓN ORDINARIA, CELEBRADA EL VEINTIUNO DE MAYO DE DOS MIL VEINTICINCO ANTE EL SECRETARIO TÉCNICO DEL PLENO, ALEXIS TAPIA RAMÍREZ.</w:t>
      </w:r>
    </w:p>
    <w:p w14:paraId="5EFEA0CD" w14:textId="484F43CA" w:rsidR="00664420" w:rsidRPr="00AE490A" w:rsidRDefault="00CE1DFB" w:rsidP="00AE490A">
      <w:pPr>
        <w:ind w:right="-93"/>
        <w:rPr>
          <w:rFonts w:eastAsia="Calibri" w:cs="Tahoma"/>
          <w:szCs w:val="22"/>
          <w:lang w:val="es-ES"/>
        </w:rPr>
      </w:pPr>
      <w:r w:rsidRPr="00AE490A">
        <w:rPr>
          <w:rFonts w:eastAsia="Palatino Linotype" w:cs="Palatino Linotype"/>
          <w:sz w:val="20"/>
        </w:rPr>
        <w:t>SCMM/AGZ/DEMF/RPG</w:t>
      </w:r>
    </w:p>
    <w:p w14:paraId="696BC976" w14:textId="77777777" w:rsidR="00664420" w:rsidRPr="00AE490A" w:rsidRDefault="00664420" w:rsidP="00AE490A">
      <w:pPr>
        <w:ind w:right="-93"/>
        <w:rPr>
          <w:rFonts w:eastAsia="Calibri" w:cs="Tahoma"/>
          <w:bCs/>
          <w:szCs w:val="22"/>
          <w:lang w:val="es-ES" w:eastAsia="en-US"/>
        </w:rPr>
      </w:pPr>
    </w:p>
    <w:p w14:paraId="671CB0C5" w14:textId="77777777" w:rsidR="00664420" w:rsidRPr="00AE490A" w:rsidRDefault="00664420" w:rsidP="00AE490A">
      <w:pPr>
        <w:ind w:right="-93"/>
        <w:rPr>
          <w:rFonts w:eastAsia="Calibri" w:cs="Tahoma"/>
          <w:bCs/>
          <w:szCs w:val="22"/>
          <w:lang w:val="es-ES_tradnl" w:eastAsia="en-US"/>
        </w:rPr>
      </w:pPr>
    </w:p>
    <w:p w14:paraId="52B66DE7" w14:textId="77777777" w:rsidR="00664420" w:rsidRPr="00AE490A" w:rsidRDefault="00664420" w:rsidP="00AE490A">
      <w:pPr>
        <w:ind w:right="-93"/>
        <w:rPr>
          <w:rFonts w:eastAsia="Calibri" w:cs="Tahoma"/>
          <w:bCs/>
          <w:szCs w:val="22"/>
          <w:lang w:val="es-ES_tradnl" w:eastAsia="en-US"/>
        </w:rPr>
      </w:pPr>
    </w:p>
    <w:p w14:paraId="3BA305D1" w14:textId="77777777" w:rsidR="00664420" w:rsidRPr="00AE490A" w:rsidRDefault="00664420" w:rsidP="00AE490A">
      <w:pPr>
        <w:ind w:right="-93"/>
        <w:rPr>
          <w:rFonts w:eastAsia="Calibri" w:cs="Tahoma"/>
          <w:bCs/>
          <w:szCs w:val="22"/>
          <w:lang w:val="es-ES_tradnl" w:eastAsia="en-US"/>
        </w:rPr>
      </w:pPr>
    </w:p>
    <w:p w14:paraId="78230707" w14:textId="77777777" w:rsidR="00664420" w:rsidRPr="00AE490A" w:rsidRDefault="00664420" w:rsidP="00AE490A">
      <w:pPr>
        <w:ind w:right="-93"/>
        <w:rPr>
          <w:rFonts w:eastAsia="Calibri" w:cs="Tahoma"/>
          <w:bCs/>
          <w:szCs w:val="22"/>
          <w:lang w:val="es-ES_tradnl" w:eastAsia="en-US"/>
        </w:rPr>
      </w:pPr>
    </w:p>
    <w:p w14:paraId="72D18B28" w14:textId="77777777" w:rsidR="00664420" w:rsidRPr="00AE490A" w:rsidRDefault="00664420" w:rsidP="00AE490A">
      <w:pPr>
        <w:ind w:right="-93"/>
        <w:rPr>
          <w:rFonts w:eastAsia="Calibri" w:cs="Tahoma"/>
          <w:bCs/>
          <w:szCs w:val="22"/>
          <w:lang w:val="es-ES_tradnl" w:eastAsia="en-US"/>
        </w:rPr>
      </w:pPr>
    </w:p>
    <w:p w14:paraId="6BD461DC" w14:textId="77777777" w:rsidR="00664420" w:rsidRPr="00AE490A" w:rsidRDefault="00664420" w:rsidP="00AE490A">
      <w:pPr>
        <w:tabs>
          <w:tab w:val="center" w:pos="4568"/>
        </w:tabs>
        <w:ind w:right="-93"/>
        <w:rPr>
          <w:rFonts w:eastAsia="Calibri" w:cs="Tahoma"/>
          <w:bCs/>
          <w:szCs w:val="22"/>
          <w:lang w:eastAsia="en-US"/>
        </w:rPr>
      </w:pPr>
    </w:p>
    <w:p w14:paraId="4DBB1727" w14:textId="77777777" w:rsidR="00664420" w:rsidRPr="00AE490A" w:rsidRDefault="00664420" w:rsidP="00AE490A">
      <w:pPr>
        <w:tabs>
          <w:tab w:val="center" w:pos="4568"/>
        </w:tabs>
        <w:ind w:right="-93"/>
        <w:rPr>
          <w:rFonts w:eastAsia="Calibri" w:cs="Tahoma"/>
          <w:bCs/>
          <w:szCs w:val="22"/>
          <w:lang w:eastAsia="en-US"/>
        </w:rPr>
      </w:pPr>
    </w:p>
    <w:p w14:paraId="1D74121B" w14:textId="77777777" w:rsidR="00664420" w:rsidRPr="00AE490A" w:rsidRDefault="00664420" w:rsidP="00AE490A">
      <w:pPr>
        <w:tabs>
          <w:tab w:val="center" w:pos="4568"/>
        </w:tabs>
        <w:ind w:right="-93"/>
        <w:rPr>
          <w:rFonts w:eastAsia="Calibri" w:cs="Tahoma"/>
          <w:bCs/>
          <w:szCs w:val="22"/>
          <w:lang w:eastAsia="en-US"/>
        </w:rPr>
      </w:pPr>
    </w:p>
    <w:p w14:paraId="08E74E9C" w14:textId="77777777" w:rsidR="00664420" w:rsidRPr="00AE490A" w:rsidRDefault="00664420" w:rsidP="00AE490A">
      <w:pPr>
        <w:tabs>
          <w:tab w:val="center" w:pos="4568"/>
        </w:tabs>
        <w:ind w:right="-93"/>
        <w:rPr>
          <w:rFonts w:eastAsia="Calibri" w:cs="Tahoma"/>
          <w:bCs/>
          <w:szCs w:val="22"/>
          <w:lang w:eastAsia="en-US"/>
        </w:rPr>
      </w:pPr>
    </w:p>
    <w:p w14:paraId="2CBF5E03" w14:textId="77777777" w:rsidR="00664420" w:rsidRPr="00AE490A" w:rsidRDefault="00664420" w:rsidP="00AE490A">
      <w:pPr>
        <w:tabs>
          <w:tab w:val="center" w:pos="4568"/>
        </w:tabs>
        <w:ind w:right="-93"/>
        <w:rPr>
          <w:rFonts w:eastAsia="Calibri" w:cs="Tahoma"/>
          <w:bCs/>
          <w:szCs w:val="22"/>
          <w:lang w:eastAsia="en-US"/>
        </w:rPr>
      </w:pPr>
    </w:p>
    <w:p w14:paraId="44865A6D" w14:textId="77777777" w:rsidR="00664420" w:rsidRPr="00AE490A" w:rsidRDefault="00664420" w:rsidP="00AE490A">
      <w:pPr>
        <w:tabs>
          <w:tab w:val="center" w:pos="4568"/>
        </w:tabs>
        <w:ind w:right="-93"/>
        <w:rPr>
          <w:rFonts w:eastAsia="Calibri" w:cs="Tahoma"/>
          <w:bCs/>
          <w:szCs w:val="22"/>
          <w:lang w:eastAsia="en-US"/>
        </w:rPr>
      </w:pPr>
    </w:p>
    <w:p w14:paraId="7147F06B" w14:textId="77777777" w:rsidR="00664420" w:rsidRPr="00AE490A" w:rsidRDefault="00664420" w:rsidP="00AE490A">
      <w:pPr>
        <w:tabs>
          <w:tab w:val="center" w:pos="4568"/>
        </w:tabs>
        <w:ind w:right="-93"/>
        <w:rPr>
          <w:rFonts w:eastAsia="Calibri" w:cs="Tahoma"/>
          <w:bCs/>
          <w:szCs w:val="22"/>
          <w:lang w:eastAsia="en-US"/>
        </w:rPr>
      </w:pPr>
    </w:p>
    <w:p w14:paraId="6FDF3D7E" w14:textId="77777777" w:rsidR="00664420" w:rsidRPr="00AE490A" w:rsidRDefault="00664420" w:rsidP="00AE490A">
      <w:pPr>
        <w:tabs>
          <w:tab w:val="center" w:pos="4568"/>
        </w:tabs>
        <w:ind w:right="-93"/>
        <w:rPr>
          <w:rFonts w:eastAsia="Calibri" w:cs="Tahoma"/>
          <w:bCs/>
          <w:szCs w:val="22"/>
          <w:lang w:eastAsia="en-US"/>
        </w:rPr>
      </w:pPr>
    </w:p>
    <w:p w14:paraId="6246F818" w14:textId="77777777" w:rsidR="00664420" w:rsidRPr="00AE490A" w:rsidRDefault="00664420" w:rsidP="00AE490A">
      <w:pPr>
        <w:tabs>
          <w:tab w:val="center" w:pos="4568"/>
        </w:tabs>
        <w:ind w:right="-93"/>
        <w:rPr>
          <w:rFonts w:eastAsia="Calibri" w:cs="Tahoma"/>
          <w:bCs/>
          <w:szCs w:val="22"/>
          <w:lang w:eastAsia="en-US"/>
        </w:rPr>
      </w:pPr>
    </w:p>
    <w:p w14:paraId="57A88B28" w14:textId="77777777" w:rsidR="00664420" w:rsidRPr="00AE490A" w:rsidRDefault="00664420" w:rsidP="00AE490A">
      <w:pPr>
        <w:tabs>
          <w:tab w:val="center" w:pos="4568"/>
        </w:tabs>
        <w:ind w:right="-93"/>
        <w:rPr>
          <w:rFonts w:eastAsia="Calibri" w:cs="Tahoma"/>
          <w:bCs/>
          <w:szCs w:val="22"/>
          <w:lang w:eastAsia="en-US"/>
        </w:rPr>
      </w:pPr>
    </w:p>
    <w:p w14:paraId="77EF6095" w14:textId="77777777" w:rsidR="00664420" w:rsidRPr="00AE490A" w:rsidRDefault="00664420" w:rsidP="00AE490A">
      <w:pPr>
        <w:tabs>
          <w:tab w:val="center" w:pos="4568"/>
        </w:tabs>
        <w:ind w:right="-93"/>
        <w:rPr>
          <w:rFonts w:eastAsia="Calibri" w:cs="Tahoma"/>
          <w:bCs/>
          <w:szCs w:val="22"/>
          <w:lang w:eastAsia="en-US"/>
        </w:rPr>
      </w:pPr>
    </w:p>
    <w:p w14:paraId="35593947" w14:textId="77777777" w:rsidR="00664420" w:rsidRPr="00AE490A" w:rsidRDefault="00664420" w:rsidP="00AE490A">
      <w:pPr>
        <w:tabs>
          <w:tab w:val="center" w:pos="4568"/>
        </w:tabs>
        <w:ind w:right="-93"/>
        <w:rPr>
          <w:rFonts w:eastAsia="Calibri" w:cs="Tahoma"/>
          <w:bCs/>
          <w:szCs w:val="22"/>
          <w:lang w:eastAsia="en-US"/>
        </w:rPr>
      </w:pPr>
    </w:p>
    <w:p w14:paraId="3AF72A17" w14:textId="77777777" w:rsidR="00664420" w:rsidRPr="00AE490A" w:rsidRDefault="00664420" w:rsidP="00AE490A">
      <w:pPr>
        <w:tabs>
          <w:tab w:val="center" w:pos="4568"/>
        </w:tabs>
        <w:ind w:right="-93"/>
        <w:rPr>
          <w:rFonts w:eastAsia="Calibri" w:cs="Tahoma"/>
          <w:bCs/>
          <w:szCs w:val="22"/>
          <w:lang w:eastAsia="en-US"/>
        </w:rPr>
      </w:pPr>
    </w:p>
    <w:p w14:paraId="37169144" w14:textId="77777777" w:rsidR="00664420" w:rsidRPr="00AE490A" w:rsidRDefault="00664420" w:rsidP="00AE490A">
      <w:pPr>
        <w:tabs>
          <w:tab w:val="center" w:pos="4568"/>
        </w:tabs>
        <w:ind w:right="-93"/>
        <w:rPr>
          <w:rFonts w:eastAsia="Calibri" w:cs="Tahoma"/>
          <w:bCs/>
          <w:szCs w:val="22"/>
          <w:lang w:eastAsia="en-US"/>
        </w:rPr>
      </w:pPr>
    </w:p>
    <w:p w14:paraId="77CFC088" w14:textId="77777777" w:rsidR="00664420" w:rsidRPr="00AE490A" w:rsidRDefault="00664420" w:rsidP="00AE490A">
      <w:pPr>
        <w:tabs>
          <w:tab w:val="center" w:pos="4568"/>
        </w:tabs>
        <w:ind w:right="-93"/>
        <w:rPr>
          <w:rFonts w:eastAsia="Calibri" w:cs="Tahoma"/>
          <w:bCs/>
          <w:szCs w:val="22"/>
          <w:lang w:eastAsia="en-US"/>
        </w:rPr>
      </w:pPr>
    </w:p>
    <w:p w14:paraId="781A11A5" w14:textId="77777777" w:rsidR="00664420" w:rsidRPr="00AE490A" w:rsidRDefault="00664420" w:rsidP="00AE490A">
      <w:pPr>
        <w:tabs>
          <w:tab w:val="center" w:pos="4568"/>
        </w:tabs>
        <w:ind w:right="-93"/>
        <w:rPr>
          <w:rFonts w:eastAsia="Calibri" w:cs="Tahoma"/>
          <w:bCs/>
          <w:szCs w:val="22"/>
          <w:lang w:eastAsia="en-US"/>
        </w:rPr>
      </w:pPr>
    </w:p>
    <w:p w14:paraId="5B4ADFF3" w14:textId="77777777" w:rsidR="00A131AC" w:rsidRPr="00AE490A" w:rsidRDefault="00A131AC" w:rsidP="00AE490A"/>
    <w:sectPr w:rsidR="00A131AC" w:rsidRPr="00AE490A"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B851C" w14:textId="77777777" w:rsidR="00B21369" w:rsidRDefault="00B21369" w:rsidP="00664420">
      <w:pPr>
        <w:spacing w:line="240" w:lineRule="auto"/>
      </w:pPr>
      <w:r>
        <w:separator/>
      </w:r>
    </w:p>
  </w:endnote>
  <w:endnote w:type="continuationSeparator" w:id="0">
    <w:p w14:paraId="696F267A" w14:textId="77777777" w:rsidR="00B21369" w:rsidRDefault="00B2136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BF39D0" w:rsidRDefault="00BF39D0">
    <w:pPr>
      <w:tabs>
        <w:tab w:val="center" w:pos="4550"/>
        <w:tab w:val="left" w:pos="5818"/>
      </w:tabs>
      <w:ind w:right="260"/>
      <w:jc w:val="right"/>
      <w:rPr>
        <w:color w:val="071320" w:themeColor="text2" w:themeShade="80"/>
        <w:sz w:val="24"/>
        <w:szCs w:val="24"/>
      </w:rPr>
    </w:pPr>
  </w:p>
  <w:p w14:paraId="1BCA7F23" w14:textId="77777777" w:rsidR="00BF39D0" w:rsidRDefault="00BF39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BF39D0" w:rsidRDefault="00BF39D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011176" w:rsidRPr="00011176">
      <w:rPr>
        <w:noProof/>
        <w:color w:val="0A1D30" w:themeColor="text2" w:themeShade="BF"/>
        <w:lang w:val="es-ES"/>
      </w:rPr>
      <w:t>37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011176" w:rsidRPr="00011176">
      <w:rPr>
        <w:noProof/>
        <w:color w:val="0A1D30" w:themeColor="text2" w:themeShade="BF"/>
        <w:lang w:val="es-ES"/>
      </w:rPr>
      <w:t>39</w:t>
    </w:r>
    <w:r>
      <w:rPr>
        <w:color w:val="0A1D30" w:themeColor="text2" w:themeShade="BF"/>
        <w:sz w:val="24"/>
        <w:szCs w:val="24"/>
      </w:rPr>
      <w:fldChar w:fldCharType="end"/>
    </w:r>
  </w:p>
  <w:p w14:paraId="310E15C0" w14:textId="77777777" w:rsidR="00BF39D0" w:rsidRDefault="00BF39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5E426" w14:textId="77777777" w:rsidR="00B21369" w:rsidRDefault="00B21369" w:rsidP="00664420">
      <w:pPr>
        <w:spacing w:line="240" w:lineRule="auto"/>
      </w:pPr>
      <w:r>
        <w:separator/>
      </w:r>
    </w:p>
  </w:footnote>
  <w:footnote w:type="continuationSeparator" w:id="0">
    <w:p w14:paraId="324C381D" w14:textId="77777777" w:rsidR="00B21369" w:rsidRDefault="00B21369" w:rsidP="00664420">
      <w:pPr>
        <w:spacing w:line="240" w:lineRule="auto"/>
      </w:pPr>
      <w:r>
        <w:continuationSeparator/>
      </w:r>
    </w:p>
  </w:footnote>
  <w:footnote w:id="1">
    <w:p w14:paraId="3F47E268" w14:textId="77F70758" w:rsidR="00F903E2" w:rsidRDefault="00F903E2">
      <w:pPr>
        <w:pStyle w:val="Textonotapie"/>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diecisiete</w:t>
      </w:r>
      <w:r w:rsidRPr="00F903E2">
        <w:rPr>
          <w:rFonts w:eastAsia="Batang" w:cs="Tahoma"/>
          <w:i/>
          <w:sz w:val="16"/>
          <w:szCs w:val="22"/>
          <w:lang w:val="es-ES"/>
        </w:rPr>
        <w:t xml:space="preserve">  de marzo de dos mil veinticinco</w:t>
      </w:r>
      <w:r w:rsidRPr="002C158B">
        <w:rPr>
          <w:rFonts w:eastAsia="Batang" w:cs="Tahoma"/>
          <w:i/>
          <w:sz w:val="16"/>
          <w:szCs w:val="22"/>
          <w:lang w:val="es-ES"/>
        </w:rPr>
        <w:t xml:space="preserve">,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p>
  </w:footnote>
  <w:footnote w:id="2">
    <w:p w14:paraId="24CA2342" w14:textId="46A5D6F0" w:rsidR="00AB069C" w:rsidRPr="00AB069C" w:rsidRDefault="00AB069C">
      <w:pPr>
        <w:pStyle w:val="Textonotapie"/>
        <w:rPr>
          <w:i/>
          <w:iCs/>
        </w:rPr>
      </w:pPr>
      <w:r>
        <w:rPr>
          <w:rStyle w:val="Refdenotaalpie"/>
        </w:rPr>
        <w:footnoteRef/>
      </w:r>
      <w:r>
        <w:t xml:space="preserve"> </w:t>
      </w:r>
      <w:r w:rsidRPr="00AB069C">
        <w:rPr>
          <w:i/>
          <w:iCs/>
        </w:rPr>
        <w:t>https://legislacion.edomex.gob.mx/sites/legislacion.edomex.gob.mx/files/files/pdf/cod/vig/codvig007.pdf</w:t>
      </w:r>
    </w:p>
  </w:footnote>
  <w:footnote w:id="3">
    <w:p w14:paraId="0E269E0A" w14:textId="048C81B1" w:rsidR="00AB069C" w:rsidRPr="00AB069C" w:rsidRDefault="00AB069C">
      <w:pPr>
        <w:pStyle w:val="Textonotapie"/>
        <w:rPr>
          <w:i/>
          <w:iCs/>
          <w:sz w:val="18"/>
          <w:szCs w:val="18"/>
        </w:rPr>
      </w:pPr>
      <w:r>
        <w:rPr>
          <w:rStyle w:val="Refdenotaalpie"/>
        </w:rPr>
        <w:footnoteRef/>
      </w:r>
      <w:r>
        <w:t xml:space="preserve"> </w:t>
      </w:r>
      <w:r w:rsidRPr="00AB069C">
        <w:rPr>
          <w:i/>
          <w:iCs/>
          <w:sz w:val="18"/>
          <w:szCs w:val="18"/>
        </w:rPr>
        <w:t>https://www.gob.mx/cms/uploads/attachment/file/911476/4._LFT.pdf</w:t>
      </w:r>
    </w:p>
  </w:footnote>
  <w:footnote w:id="4">
    <w:p w14:paraId="5444F2C0" w14:textId="77777777" w:rsidR="00FB0120" w:rsidRDefault="00FB0120" w:rsidP="00FB0120">
      <w:pPr>
        <w:pStyle w:val="Textonotapie"/>
        <w:rPr>
          <w:rFonts w:cs="Arial"/>
          <w:i/>
          <w:sz w:val="18"/>
          <w:szCs w:val="22"/>
        </w:rPr>
      </w:pPr>
      <w:r>
        <w:rPr>
          <w:rStyle w:val="Refdenotaalpie"/>
          <w:rFonts w:eastAsiaTheme="majorEastAsia"/>
        </w:rPr>
        <w:footnoteRef/>
      </w:r>
      <w:r>
        <w:t xml:space="preserve"> </w:t>
      </w:r>
      <w:r w:rsidRPr="00564E58">
        <w:rPr>
          <w:rFonts w:cs="Arial"/>
          <w:b/>
          <w:i/>
          <w:sz w:val="18"/>
          <w:szCs w:val="22"/>
        </w:rPr>
        <w:t>Artículo 159.</w:t>
      </w:r>
      <w:r w:rsidRPr="00564E58">
        <w:rPr>
          <w:rFonts w:cs="Arial"/>
          <w:i/>
          <w:sz w:val="18"/>
          <w:szCs w:val="22"/>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7421A097" w14:textId="77777777" w:rsidR="00FB0120" w:rsidRPr="00564E58" w:rsidRDefault="00FB0120" w:rsidP="00FB0120">
      <w:pPr>
        <w:ind w:right="851"/>
        <w:rPr>
          <w:rFonts w:cs="Arial"/>
          <w:i/>
          <w:sz w:val="18"/>
          <w:szCs w:val="22"/>
        </w:rPr>
      </w:pPr>
    </w:p>
    <w:p w14:paraId="491AAFD3" w14:textId="77777777" w:rsidR="00FB0120" w:rsidRPr="00564E58" w:rsidRDefault="00FB0120" w:rsidP="00FB0120">
      <w:pPr>
        <w:pStyle w:val="Textonotapie"/>
        <w:rPr>
          <w:rFonts w:cs="Arial"/>
          <w:i/>
          <w:sz w:val="18"/>
          <w:szCs w:val="22"/>
        </w:rPr>
      </w:pPr>
      <w:r w:rsidRPr="00564E58">
        <w:rPr>
          <w:rFonts w:cs="Arial"/>
          <w:i/>
          <w:sz w:val="18"/>
          <w:szCs w:val="22"/>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1FD80BF1" w14:textId="77777777" w:rsidR="00FB0120" w:rsidRPr="00564E58" w:rsidRDefault="00FB0120" w:rsidP="00FB0120">
      <w:pPr>
        <w:ind w:left="851" w:right="851"/>
        <w:rPr>
          <w:rFonts w:cs="Arial"/>
          <w:i/>
          <w:sz w:val="18"/>
          <w:szCs w:val="22"/>
        </w:rPr>
      </w:pPr>
    </w:p>
    <w:p w14:paraId="3E4EF1AB" w14:textId="77777777" w:rsidR="00FB0120" w:rsidRPr="00564E58" w:rsidRDefault="00FB0120" w:rsidP="00FB0120">
      <w:pPr>
        <w:pStyle w:val="Textonotapie"/>
        <w:rPr>
          <w:rFonts w:cs="Arial"/>
          <w:b/>
          <w:i/>
          <w:sz w:val="18"/>
          <w:szCs w:val="22"/>
          <w:u w:val="single"/>
        </w:rPr>
      </w:pPr>
      <w:r w:rsidRPr="00564E58">
        <w:rPr>
          <w:rFonts w:cs="Arial"/>
          <w:i/>
          <w:sz w:val="18"/>
          <w:szCs w:val="22"/>
        </w:rPr>
        <w:t xml:space="preserve">La solicitud se tendrá por no presentada cuando los solicitantes no atiendan el requerimiento de información adicional, </w:t>
      </w:r>
      <w:r w:rsidRPr="00564E58">
        <w:rPr>
          <w:rFonts w:cs="Arial"/>
          <w:b/>
          <w:i/>
          <w:sz w:val="18"/>
          <w:szCs w:val="22"/>
          <w:u w:val="single"/>
        </w:rPr>
        <w:t>salvo que en la solicitud inicial se aprecien elementos que permitan identificar la información requerida, quedando a salvo los derechos del particular para volver a presentar su solicitud.</w:t>
      </w:r>
    </w:p>
    <w:p w14:paraId="759A1425" w14:textId="77777777" w:rsidR="00FB0120" w:rsidRPr="00564E58" w:rsidRDefault="00FB0120" w:rsidP="00FB0120">
      <w:pPr>
        <w:pStyle w:val="Textonotapie"/>
        <w:rPr>
          <w:rFonts w:cs="Arial"/>
          <w:i/>
          <w:sz w:val="18"/>
          <w:szCs w:val="22"/>
        </w:rPr>
      </w:pPr>
    </w:p>
    <w:p w14:paraId="3303C647" w14:textId="77777777" w:rsidR="00FB0120" w:rsidRPr="00564E58" w:rsidRDefault="00FB0120" w:rsidP="00FB0120">
      <w:pPr>
        <w:pStyle w:val="Textonotapie"/>
        <w:rPr>
          <w:rFonts w:cs="Arial"/>
          <w:i/>
          <w:sz w:val="18"/>
          <w:szCs w:val="22"/>
        </w:rPr>
      </w:pPr>
      <w:r w:rsidRPr="00564E58">
        <w:rPr>
          <w:rFonts w:cs="Arial"/>
          <w:i/>
          <w:sz w:val="18"/>
          <w:szCs w:val="22"/>
        </w:rPr>
        <w:t>En el caso de requerimientos parciales no desahogados, se tendrá por presentada la solicitud por lo que respecta a los contenidos de información que no formaron parte del requerimiento.</w:t>
      </w:r>
    </w:p>
    <w:p w14:paraId="32DA6EEE" w14:textId="77777777" w:rsidR="00FB0120" w:rsidRPr="00564E58" w:rsidRDefault="00FB0120" w:rsidP="00FB0120">
      <w:pPr>
        <w:pStyle w:val="Textonotapie"/>
        <w:rPr>
          <w:rFonts w:cs="Arial"/>
          <w:b/>
          <w:i/>
          <w:sz w:val="18"/>
          <w:szCs w:val="22"/>
        </w:rPr>
      </w:pPr>
      <w:r w:rsidRPr="00564E58">
        <w:rPr>
          <w:rFonts w:cs="Arial"/>
          <w:b/>
          <w:i/>
          <w:sz w:val="18"/>
          <w:szCs w:val="22"/>
        </w:rPr>
        <w:t xml:space="preserve">(Énfasis añadido) </w:t>
      </w:r>
    </w:p>
    <w:p w14:paraId="00DE71D6" w14:textId="77777777" w:rsidR="00FB0120" w:rsidRDefault="00FB0120" w:rsidP="00FB012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F39D0" w:rsidRPr="00330DA7" w14:paraId="070A4B18" w14:textId="77777777" w:rsidTr="003F35FD">
      <w:trPr>
        <w:trHeight w:val="144"/>
        <w:jc w:val="right"/>
      </w:trPr>
      <w:tc>
        <w:tcPr>
          <w:tcW w:w="2727" w:type="dxa"/>
        </w:tcPr>
        <w:p w14:paraId="62B7493A" w14:textId="77777777" w:rsidR="00BF39D0" w:rsidRPr="00330DA7" w:rsidRDefault="00BF39D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1FD90E7" w:rsidR="00BF39D0" w:rsidRPr="00A90C72" w:rsidRDefault="00BF39D0" w:rsidP="00CA0003">
          <w:pPr>
            <w:tabs>
              <w:tab w:val="right" w:pos="8838"/>
            </w:tabs>
            <w:spacing w:line="240" w:lineRule="auto"/>
            <w:ind w:left="-74" w:right="-105"/>
            <w:rPr>
              <w:rFonts w:eastAsia="Calibri" w:cs="Tahoma"/>
              <w:szCs w:val="22"/>
              <w:lang w:eastAsia="en-US"/>
            </w:rPr>
          </w:pPr>
          <w:r w:rsidRPr="004D0573">
            <w:rPr>
              <w:rFonts w:eastAsia="Calibri" w:cs="Tahoma"/>
              <w:szCs w:val="22"/>
              <w:lang w:eastAsia="en-US"/>
            </w:rPr>
            <w:t>0</w:t>
          </w:r>
          <w:r w:rsidR="00FF072C">
            <w:rPr>
              <w:rFonts w:eastAsia="Calibri" w:cs="Tahoma"/>
              <w:szCs w:val="22"/>
              <w:lang w:eastAsia="en-US"/>
            </w:rPr>
            <w:t>28</w:t>
          </w:r>
          <w:r w:rsidR="00334328">
            <w:rPr>
              <w:rFonts w:eastAsia="Calibri" w:cs="Tahoma"/>
              <w:szCs w:val="22"/>
              <w:lang w:eastAsia="en-US"/>
            </w:rPr>
            <w:t>6</w:t>
          </w:r>
          <w:r w:rsidR="00FF072C">
            <w:rPr>
              <w:rFonts w:eastAsia="Calibri" w:cs="Tahoma"/>
              <w:szCs w:val="22"/>
              <w:lang w:eastAsia="en-US"/>
            </w:rPr>
            <w:t>7</w:t>
          </w:r>
          <w:r w:rsidRPr="004D0573">
            <w:rPr>
              <w:rFonts w:eastAsia="Calibri" w:cs="Tahoma"/>
              <w:szCs w:val="22"/>
              <w:lang w:eastAsia="en-US"/>
            </w:rPr>
            <w:t>/INFOEM/IP/RR/2024</w:t>
          </w:r>
          <w:r>
            <w:rPr>
              <w:rFonts w:eastAsia="Calibri" w:cs="Tahoma"/>
              <w:szCs w:val="22"/>
              <w:lang w:eastAsia="en-US"/>
            </w:rPr>
            <w:t xml:space="preserve"> y acumulados</w:t>
          </w:r>
        </w:p>
      </w:tc>
    </w:tr>
    <w:tr w:rsidR="00BF39D0" w:rsidRPr="00330DA7" w14:paraId="4521E058" w14:textId="77777777" w:rsidTr="003F35FD">
      <w:trPr>
        <w:trHeight w:val="283"/>
        <w:jc w:val="right"/>
      </w:trPr>
      <w:tc>
        <w:tcPr>
          <w:tcW w:w="2727" w:type="dxa"/>
        </w:tcPr>
        <w:p w14:paraId="0B68C086" w14:textId="77777777" w:rsidR="00BF39D0" w:rsidRPr="00330DA7" w:rsidRDefault="00BF39D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D863174" w:rsidR="00BF39D0" w:rsidRPr="00952DD0" w:rsidRDefault="00334328" w:rsidP="006A3EA5">
          <w:pPr>
            <w:tabs>
              <w:tab w:val="right" w:pos="8838"/>
            </w:tabs>
            <w:spacing w:line="240" w:lineRule="auto"/>
            <w:ind w:left="-108" w:right="-105"/>
            <w:rPr>
              <w:rFonts w:eastAsia="Calibri" w:cs="Tahoma"/>
              <w:szCs w:val="22"/>
              <w:lang w:eastAsia="en-US"/>
            </w:rPr>
          </w:pPr>
          <w:r w:rsidRPr="00CA0003">
            <w:rPr>
              <w:rFonts w:eastAsia="Calibri" w:cs="Tahoma"/>
              <w:szCs w:val="22"/>
              <w:lang w:eastAsia="en-US"/>
            </w:rPr>
            <w:t xml:space="preserve">Ayuntamiento de </w:t>
          </w:r>
          <w:r w:rsidRPr="00334328">
            <w:rPr>
              <w:rFonts w:eastAsia="Calibri" w:cs="Tahoma"/>
              <w:szCs w:val="22"/>
              <w:lang w:eastAsia="en-US"/>
            </w:rPr>
            <w:t>Cocotitlán</w:t>
          </w:r>
        </w:p>
      </w:tc>
    </w:tr>
    <w:tr w:rsidR="00BF39D0" w:rsidRPr="00330DA7" w14:paraId="6331D9B6" w14:textId="77777777" w:rsidTr="003F35FD">
      <w:trPr>
        <w:trHeight w:val="283"/>
        <w:jc w:val="right"/>
      </w:trPr>
      <w:tc>
        <w:tcPr>
          <w:tcW w:w="2727" w:type="dxa"/>
        </w:tcPr>
        <w:p w14:paraId="3FA86BAE" w14:textId="6568823B" w:rsidR="00BF39D0" w:rsidRPr="00330DA7" w:rsidRDefault="00BF39D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BF39D0" w:rsidRPr="00EA66FC" w:rsidRDefault="00BF39D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BF39D0" w:rsidRPr="00443C6B" w:rsidRDefault="00BF39D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BF39D0" w:rsidRPr="00330DA7" w14:paraId="29CFF901" w14:textId="77777777" w:rsidTr="004D0573">
      <w:trPr>
        <w:trHeight w:val="1435"/>
      </w:trPr>
      <w:tc>
        <w:tcPr>
          <w:tcW w:w="283" w:type="dxa"/>
          <w:shd w:val="clear" w:color="auto" w:fill="auto"/>
        </w:tcPr>
        <w:p w14:paraId="046B9F8F" w14:textId="77777777" w:rsidR="00BF39D0" w:rsidRPr="00330DA7" w:rsidRDefault="00BF39D0"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F39D0" w:rsidRPr="00330DA7" w14:paraId="04F272D2" w14:textId="77777777" w:rsidTr="004D0573">
            <w:trPr>
              <w:trHeight w:val="144"/>
            </w:trPr>
            <w:tc>
              <w:tcPr>
                <w:tcW w:w="2727" w:type="dxa"/>
              </w:tcPr>
              <w:p w14:paraId="2FD4DBF6" w14:textId="5EE5C9C0" w:rsidR="00BF39D0" w:rsidRPr="00330DA7" w:rsidRDefault="00BF39D0"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2A5D90DB" w:rsidR="00BF39D0" w:rsidRPr="004D0573" w:rsidRDefault="00BF39D0" w:rsidP="00CA0003">
                <w:pPr>
                  <w:tabs>
                    <w:tab w:val="right" w:pos="8838"/>
                  </w:tabs>
                  <w:spacing w:line="240" w:lineRule="auto"/>
                  <w:ind w:left="-74" w:right="-105"/>
                  <w:rPr>
                    <w:rFonts w:eastAsia="Calibri" w:cs="Tahoma"/>
                    <w:szCs w:val="22"/>
                    <w:lang w:eastAsia="en-US"/>
                  </w:rPr>
                </w:pPr>
                <w:r w:rsidRPr="004D0573">
                  <w:rPr>
                    <w:rFonts w:eastAsia="Calibri" w:cs="Tahoma"/>
                    <w:szCs w:val="22"/>
                    <w:lang w:eastAsia="en-US"/>
                  </w:rPr>
                  <w:t>0</w:t>
                </w:r>
                <w:r w:rsidR="00FF072C">
                  <w:rPr>
                    <w:rFonts w:eastAsia="Calibri" w:cs="Tahoma"/>
                    <w:szCs w:val="22"/>
                    <w:lang w:eastAsia="en-US"/>
                  </w:rPr>
                  <w:t>28</w:t>
                </w:r>
                <w:r w:rsidR="00334328">
                  <w:rPr>
                    <w:rFonts w:eastAsia="Calibri" w:cs="Tahoma"/>
                    <w:szCs w:val="22"/>
                    <w:lang w:eastAsia="en-US"/>
                  </w:rPr>
                  <w:t>6</w:t>
                </w:r>
                <w:r w:rsidR="00FF072C">
                  <w:rPr>
                    <w:rFonts w:eastAsia="Calibri" w:cs="Tahoma"/>
                    <w:szCs w:val="22"/>
                    <w:lang w:eastAsia="en-US"/>
                  </w:rPr>
                  <w:t>7</w:t>
                </w:r>
                <w:r w:rsidRPr="004D0573">
                  <w:rPr>
                    <w:rFonts w:eastAsia="Calibri" w:cs="Tahoma"/>
                    <w:szCs w:val="22"/>
                    <w:lang w:eastAsia="en-US"/>
                  </w:rPr>
                  <w:t xml:space="preserve">/INFOEM/IP/RR/2024 </w:t>
                </w:r>
                <w:r>
                  <w:rPr>
                    <w:rFonts w:eastAsia="Calibri" w:cs="Tahoma"/>
                    <w:szCs w:val="22"/>
                    <w:lang w:eastAsia="en-US"/>
                  </w:rPr>
                  <w:t>y acumulado</w:t>
                </w:r>
              </w:p>
            </w:tc>
            <w:tc>
              <w:tcPr>
                <w:tcW w:w="3402" w:type="dxa"/>
              </w:tcPr>
              <w:p w14:paraId="71DEA1CF" w14:textId="77777777" w:rsidR="00BF39D0" w:rsidRDefault="00BF39D0" w:rsidP="004D0573">
                <w:pPr>
                  <w:tabs>
                    <w:tab w:val="right" w:pos="8838"/>
                  </w:tabs>
                  <w:spacing w:line="240" w:lineRule="auto"/>
                  <w:ind w:left="-74" w:right="-105"/>
                  <w:rPr>
                    <w:rFonts w:eastAsia="Calibri" w:cs="Tahoma"/>
                    <w:szCs w:val="22"/>
                    <w:lang w:eastAsia="en-US"/>
                  </w:rPr>
                </w:pPr>
              </w:p>
            </w:tc>
          </w:tr>
          <w:tr w:rsidR="00BF39D0" w:rsidRPr="00330DA7" w14:paraId="05C58951" w14:textId="77777777" w:rsidTr="004D0573">
            <w:trPr>
              <w:trHeight w:val="144"/>
            </w:trPr>
            <w:tc>
              <w:tcPr>
                <w:tcW w:w="2727" w:type="dxa"/>
              </w:tcPr>
              <w:p w14:paraId="642B9610" w14:textId="77777777" w:rsidR="00BF39D0" w:rsidRPr="00330DA7" w:rsidRDefault="00BF39D0"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39E341CC" w:rsidR="00BF39D0" w:rsidRPr="004D0573" w:rsidRDefault="00BF39D0" w:rsidP="007C052E">
                <w:pPr>
                  <w:tabs>
                    <w:tab w:val="right" w:pos="8838"/>
                  </w:tabs>
                  <w:spacing w:line="240" w:lineRule="auto"/>
                  <w:ind w:left="-74" w:right="-105"/>
                  <w:rPr>
                    <w:rFonts w:eastAsia="Calibri" w:cs="Tahoma"/>
                    <w:szCs w:val="22"/>
                    <w:lang w:eastAsia="en-US"/>
                  </w:rPr>
                </w:pPr>
              </w:p>
            </w:tc>
            <w:tc>
              <w:tcPr>
                <w:tcW w:w="3402" w:type="dxa"/>
              </w:tcPr>
              <w:p w14:paraId="73F47F53" w14:textId="77777777" w:rsidR="00BF39D0" w:rsidRPr="005F19B1" w:rsidRDefault="00BF39D0" w:rsidP="004D0573">
                <w:pPr>
                  <w:tabs>
                    <w:tab w:val="left" w:pos="3122"/>
                    <w:tab w:val="right" w:pos="8838"/>
                  </w:tabs>
                  <w:spacing w:line="240" w:lineRule="auto"/>
                  <w:ind w:left="-105" w:right="-105"/>
                  <w:rPr>
                    <w:rFonts w:eastAsia="Calibri" w:cs="Tahoma"/>
                    <w:szCs w:val="22"/>
                    <w:lang w:eastAsia="en-US"/>
                  </w:rPr>
                </w:pPr>
              </w:p>
            </w:tc>
          </w:tr>
          <w:bookmarkEnd w:id="2"/>
          <w:tr w:rsidR="00BF39D0" w:rsidRPr="00330DA7" w14:paraId="00E6CDC1" w14:textId="77777777" w:rsidTr="004D0573">
            <w:trPr>
              <w:trHeight w:val="283"/>
            </w:trPr>
            <w:tc>
              <w:tcPr>
                <w:tcW w:w="2727" w:type="dxa"/>
              </w:tcPr>
              <w:p w14:paraId="0631AD24" w14:textId="77777777" w:rsidR="00BF39D0" w:rsidRPr="00330DA7" w:rsidRDefault="00BF39D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3E12FAD" w:rsidR="00BF39D0" w:rsidRPr="004D0573" w:rsidRDefault="00BF39D0" w:rsidP="00FB374B">
                <w:pPr>
                  <w:tabs>
                    <w:tab w:val="right" w:pos="8838"/>
                  </w:tabs>
                  <w:spacing w:line="240" w:lineRule="auto"/>
                  <w:ind w:left="-74" w:right="-105"/>
                  <w:rPr>
                    <w:rFonts w:eastAsia="Calibri" w:cs="Tahoma"/>
                    <w:szCs w:val="22"/>
                    <w:lang w:eastAsia="en-US"/>
                  </w:rPr>
                </w:pPr>
                <w:r w:rsidRPr="00CA0003">
                  <w:rPr>
                    <w:rFonts w:eastAsia="Calibri" w:cs="Tahoma"/>
                    <w:szCs w:val="22"/>
                    <w:lang w:eastAsia="en-US"/>
                  </w:rPr>
                  <w:t xml:space="preserve">Ayuntamiento de </w:t>
                </w:r>
                <w:r w:rsidR="00334328" w:rsidRPr="00334328">
                  <w:rPr>
                    <w:rFonts w:eastAsia="Calibri" w:cs="Tahoma"/>
                    <w:szCs w:val="22"/>
                    <w:lang w:eastAsia="en-US"/>
                  </w:rPr>
                  <w:t>Cocotitlán</w:t>
                </w:r>
              </w:p>
            </w:tc>
            <w:tc>
              <w:tcPr>
                <w:tcW w:w="3402" w:type="dxa"/>
              </w:tcPr>
              <w:p w14:paraId="3A7DA319" w14:textId="77777777" w:rsidR="00BF39D0" w:rsidRPr="00A90C72" w:rsidRDefault="00BF39D0" w:rsidP="004D0573">
                <w:pPr>
                  <w:tabs>
                    <w:tab w:val="left" w:pos="2834"/>
                    <w:tab w:val="right" w:pos="8838"/>
                  </w:tabs>
                  <w:spacing w:line="240" w:lineRule="auto"/>
                  <w:ind w:left="-108" w:right="-105"/>
                  <w:rPr>
                    <w:rFonts w:eastAsia="Calibri" w:cs="Tahoma"/>
                    <w:szCs w:val="22"/>
                    <w:lang w:eastAsia="en-US"/>
                  </w:rPr>
                </w:pPr>
              </w:p>
            </w:tc>
          </w:tr>
          <w:tr w:rsidR="00BF39D0" w:rsidRPr="00330DA7" w14:paraId="0F6CD8D2" w14:textId="77777777" w:rsidTr="004D0573">
            <w:trPr>
              <w:trHeight w:val="283"/>
            </w:trPr>
            <w:tc>
              <w:tcPr>
                <w:tcW w:w="2727" w:type="dxa"/>
              </w:tcPr>
              <w:p w14:paraId="31700628" w14:textId="0565A62A" w:rsidR="00BF39D0" w:rsidRPr="00330DA7" w:rsidRDefault="00BF39D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BF39D0" w:rsidRPr="00EA66FC" w:rsidRDefault="00BF39D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F39D0" w:rsidRPr="00330DA7" w:rsidRDefault="00BF39D0" w:rsidP="004D0573">
                <w:pPr>
                  <w:tabs>
                    <w:tab w:val="right" w:pos="8838"/>
                  </w:tabs>
                  <w:spacing w:line="240" w:lineRule="auto"/>
                  <w:ind w:left="-108" w:right="-105"/>
                  <w:rPr>
                    <w:rFonts w:eastAsia="Calibri" w:cs="Tahoma"/>
                    <w:szCs w:val="22"/>
                    <w:lang w:eastAsia="en-US"/>
                  </w:rPr>
                </w:pPr>
              </w:p>
            </w:tc>
          </w:tr>
        </w:tbl>
        <w:p w14:paraId="5DC6AC61" w14:textId="77777777" w:rsidR="00BF39D0" w:rsidRPr="00330DA7" w:rsidRDefault="00BF39D0" w:rsidP="004D0573">
          <w:pPr>
            <w:tabs>
              <w:tab w:val="right" w:pos="8838"/>
            </w:tabs>
            <w:ind w:left="-28"/>
            <w:rPr>
              <w:rFonts w:ascii="Arial" w:eastAsia="Calibri" w:hAnsi="Arial" w:cs="Arial"/>
              <w:b/>
              <w:szCs w:val="22"/>
              <w:lang w:eastAsia="en-US"/>
            </w:rPr>
          </w:pPr>
        </w:p>
      </w:tc>
    </w:tr>
  </w:tbl>
  <w:p w14:paraId="2A906731" w14:textId="77777777" w:rsidR="00BF39D0" w:rsidRPr="00765661" w:rsidRDefault="00011176"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A84E0F"/>
    <w:multiLevelType w:val="hybridMultilevel"/>
    <w:tmpl w:val="B2A26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074F76"/>
    <w:multiLevelType w:val="hybridMultilevel"/>
    <w:tmpl w:val="083A0184"/>
    <w:lvl w:ilvl="0" w:tplc="BE6E05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C115A3"/>
    <w:multiLevelType w:val="hybridMultilevel"/>
    <w:tmpl w:val="6A68B4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A566E"/>
    <w:multiLevelType w:val="hybridMultilevel"/>
    <w:tmpl w:val="D346B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5E5673"/>
    <w:multiLevelType w:val="hybridMultilevel"/>
    <w:tmpl w:val="211A6CE6"/>
    <w:lvl w:ilvl="0" w:tplc="7472DC5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15:restartNumberingAfterBreak="0">
    <w:nsid w:val="2C6B48AA"/>
    <w:multiLevelType w:val="hybridMultilevel"/>
    <w:tmpl w:val="C7EA02E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398C5E50"/>
    <w:multiLevelType w:val="hybridMultilevel"/>
    <w:tmpl w:val="FBE07A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EE6D68"/>
    <w:multiLevelType w:val="hybridMultilevel"/>
    <w:tmpl w:val="EA8A4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DD51A31"/>
    <w:multiLevelType w:val="hybridMultilevel"/>
    <w:tmpl w:val="BBEA9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1655D6"/>
    <w:multiLevelType w:val="hybridMultilevel"/>
    <w:tmpl w:val="73D08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F00085"/>
    <w:multiLevelType w:val="hybridMultilevel"/>
    <w:tmpl w:val="0F96319E"/>
    <w:lvl w:ilvl="0" w:tplc="7A64CB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41053C"/>
    <w:multiLevelType w:val="hybridMultilevel"/>
    <w:tmpl w:val="FBE07A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0C211C"/>
    <w:multiLevelType w:val="multilevel"/>
    <w:tmpl w:val="C616C03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36"/>
  </w:num>
  <w:num w:numId="4">
    <w:abstractNumId w:val="12"/>
  </w:num>
  <w:num w:numId="5">
    <w:abstractNumId w:val="3"/>
  </w:num>
  <w:num w:numId="6">
    <w:abstractNumId w:val="38"/>
  </w:num>
  <w:num w:numId="7">
    <w:abstractNumId w:val="23"/>
  </w:num>
  <w:num w:numId="8">
    <w:abstractNumId w:val="8"/>
  </w:num>
  <w:num w:numId="9">
    <w:abstractNumId w:val="22"/>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16"/>
  </w:num>
  <w:num w:numId="12">
    <w:abstractNumId w:val="15"/>
  </w:num>
  <w:num w:numId="13">
    <w:abstractNumId w:val="0"/>
  </w:num>
  <w:num w:numId="14">
    <w:abstractNumId w:val="7"/>
  </w:num>
  <w:num w:numId="15">
    <w:abstractNumId w:val="24"/>
  </w:num>
  <w:num w:numId="16">
    <w:abstractNumId w:val="34"/>
  </w:num>
  <w:num w:numId="17">
    <w:abstractNumId w:val="32"/>
  </w:num>
  <w:num w:numId="18">
    <w:abstractNumId w:val="5"/>
  </w:num>
  <w:num w:numId="19">
    <w:abstractNumId w:val="4"/>
  </w:num>
  <w:num w:numId="20">
    <w:abstractNumId w:val="39"/>
  </w:num>
  <w:num w:numId="21">
    <w:abstractNumId w:val="6"/>
  </w:num>
  <w:num w:numId="22">
    <w:abstractNumId w:val="28"/>
  </w:num>
  <w:num w:numId="23">
    <w:abstractNumId w:val="35"/>
  </w:num>
  <w:num w:numId="24">
    <w:abstractNumId w:val="14"/>
  </w:num>
  <w:num w:numId="25">
    <w:abstractNumId w:val="10"/>
  </w:num>
  <w:num w:numId="26">
    <w:abstractNumId w:val="29"/>
  </w:num>
  <w:num w:numId="27">
    <w:abstractNumId w:val="21"/>
  </w:num>
  <w:num w:numId="28">
    <w:abstractNumId w:val="18"/>
  </w:num>
  <w:num w:numId="29">
    <w:abstractNumId w:val="9"/>
  </w:num>
  <w:num w:numId="30">
    <w:abstractNumId w:val="30"/>
  </w:num>
  <w:num w:numId="31">
    <w:abstractNumId w:val="33"/>
  </w:num>
  <w:num w:numId="32">
    <w:abstractNumId w:val="17"/>
  </w:num>
  <w:num w:numId="33">
    <w:abstractNumId w:val="1"/>
  </w:num>
  <w:num w:numId="34">
    <w:abstractNumId w:val="31"/>
  </w:num>
  <w:num w:numId="35">
    <w:abstractNumId w:val="27"/>
  </w:num>
  <w:num w:numId="36">
    <w:abstractNumId w:val="40"/>
  </w:num>
  <w:num w:numId="37">
    <w:abstractNumId w:val="26"/>
  </w:num>
  <w:num w:numId="38">
    <w:abstractNumId w:val="13"/>
  </w:num>
  <w:num w:numId="39">
    <w:abstractNumId w:val="11"/>
  </w:num>
  <w:num w:numId="40">
    <w:abstractNumId w:val="20"/>
  </w:num>
  <w:num w:numId="41">
    <w:abstractNumId w:val="37"/>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176"/>
    <w:rsid w:val="00013A12"/>
    <w:rsid w:val="0002620C"/>
    <w:rsid w:val="000318BC"/>
    <w:rsid w:val="00057B2D"/>
    <w:rsid w:val="00062C7C"/>
    <w:rsid w:val="00065518"/>
    <w:rsid w:val="00075A17"/>
    <w:rsid w:val="000777E2"/>
    <w:rsid w:val="00080071"/>
    <w:rsid w:val="000C1743"/>
    <w:rsid w:val="000D0D67"/>
    <w:rsid w:val="000D4D92"/>
    <w:rsid w:val="000E09C4"/>
    <w:rsid w:val="000F7466"/>
    <w:rsid w:val="001038C0"/>
    <w:rsid w:val="001051DF"/>
    <w:rsid w:val="0011350D"/>
    <w:rsid w:val="00113BD1"/>
    <w:rsid w:val="00120950"/>
    <w:rsid w:val="00127130"/>
    <w:rsid w:val="00135056"/>
    <w:rsid w:val="00141876"/>
    <w:rsid w:val="0014207B"/>
    <w:rsid w:val="00143200"/>
    <w:rsid w:val="00150C49"/>
    <w:rsid w:val="00167822"/>
    <w:rsid w:val="0018168C"/>
    <w:rsid w:val="00191E95"/>
    <w:rsid w:val="001A58B3"/>
    <w:rsid w:val="001C6BE2"/>
    <w:rsid w:val="001C7688"/>
    <w:rsid w:val="001D56CC"/>
    <w:rsid w:val="001E0CFD"/>
    <w:rsid w:val="001F27F4"/>
    <w:rsid w:val="001F3515"/>
    <w:rsid w:val="002015AE"/>
    <w:rsid w:val="00233005"/>
    <w:rsid w:val="00233166"/>
    <w:rsid w:val="00233F17"/>
    <w:rsid w:val="00237120"/>
    <w:rsid w:val="00245D19"/>
    <w:rsid w:val="002508FD"/>
    <w:rsid w:val="0025745F"/>
    <w:rsid w:val="00263678"/>
    <w:rsid w:val="00272BC7"/>
    <w:rsid w:val="00276F7D"/>
    <w:rsid w:val="00277DDD"/>
    <w:rsid w:val="0029275B"/>
    <w:rsid w:val="002958FA"/>
    <w:rsid w:val="002961A6"/>
    <w:rsid w:val="0029641C"/>
    <w:rsid w:val="002A3601"/>
    <w:rsid w:val="002B1D44"/>
    <w:rsid w:val="002B7C6F"/>
    <w:rsid w:val="002C5298"/>
    <w:rsid w:val="002D111C"/>
    <w:rsid w:val="002D2940"/>
    <w:rsid w:val="002D3F44"/>
    <w:rsid w:val="002E35E7"/>
    <w:rsid w:val="002F6393"/>
    <w:rsid w:val="00302476"/>
    <w:rsid w:val="00331F35"/>
    <w:rsid w:val="00334328"/>
    <w:rsid w:val="0033536E"/>
    <w:rsid w:val="00335CDF"/>
    <w:rsid w:val="00353A30"/>
    <w:rsid w:val="00362A11"/>
    <w:rsid w:val="00364616"/>
    <w:rsid w:val="00366439"/>
    <w:rsid w:val="0037749F"/>
    <w:rsid w:val="00380554"/>
    <w:rsid w:val="003A40C1"/>
    <w:rsid w:val="003B0255"/>
    <w:rsid w:val="003B5D3E"/>
    <w:rsid w:val="003C6ACB"/>
    <w:rsid w:val="003F35FD"/>
    <w:rsid w:val="003F52DA"/>
    <w:rsid w:val="0041385B"/>
    <w:rsid w:val="0041482F"/>
    <w:rsid w:val="00416357"/>
    <w:rsid w:val="0042595F"/>
    <w:rsid w:val="00441BFA"/>
    <w:rsid w:val="00442FDA"/>
    <w:rsid w:val="00444DE3"/>
    <w:rsid w:val="004453B1"/>
    <w:rsid w:val="00446E75"/>
    <w:rsid w:val="00454FBD"/>
    <w:rsid w:val="004565C2"/>
    <w:rsid w:val="004613EC"/>
    <w:rsid w:val="00491201"/>
    <w:rsid w:val="004966E6"/>
    <w:rsid w:val="00497146"/>
    <w:rsid w:val="004B326A"/>
    <w:rsid w:val="004C43D3"/>
    <w:rsid w:val="004C59C2"/>
    <w:rsid w:val="004D0573"/>
    <w:rsid w:val="004D3B27"/>
    <w:rsid w:val="004D7CD8"/>
    <w:rsid w:val="004E5068"/>
    <w:rsid w:val="004F4DD8"/>
    <w:rsid w:val="004F7A00"/>
    <w:rsid w:val="00502563"/>
    <w:rsid w:val="00523E60"/>
    <w:rsid w:val="00523F48"/>
    <w:rsid w:val="005365FA"/>
    <w:rsid w:val="00550AB5"/>
    <w:rsid w:val="005544D3"/>
    <w:rsid w:val="0055624C"/>
    <w:rsid w:val="005607BB"/>
    <w:rsid w:val="005654F8"/>
    <w:rsid w:val="005723CB"/>
    <w:rsid w:val="0057464A"/>
    <w:rsid w:val="00575400"/>
    <w:rsid w:val="00591A20"/>
    <w:rsid w:val="005B18AF"/>
    <w:rsid w:val="005C4AB5"/>
    <w:rsid w:val="005D488E"/>
    <w:rsid w:val="005D5A50"/>
    <w:rsid w:val="005E6DE3"/>
    <w:rsid w:val="005F5301"/>
    <w:rsid w:val="005F65B7"/>
    <w:rsid w:val="00605C38"/>
    <w:rsid w:val="006067C7"/>
    <w:rsid w:val="006159AD"/>
    <w:rsid w:val="00623AA5"/>
    <w:rsid w:val="00626E9D"/>
    <w:rsid w:val="006414F2"/>
    <w:rsid w:val="00645515"/>
    <w:rsid w:val="00646436"/>
    <w:rsid w:val="00657603"/>
    <w:rsid w:val="00664420"/>
    <w:rsid w:val="0068301E"/>
    <w:rsid w:val="006A065D"/>
    <w:rsid w:val="006A3EA5"/>
    <w:rsid w:val="006A646A"/>
    <w:rsid w:val="006B10B0"/>
    <w:rsid w:val="006B7135"/>
    <w:rsid w:val="006E13CF"/>
    <w:rsid w:val="006E25BC"/>
    <w:rsid w:val="006E6BBC"/>
    <w:rsid w:val="006F69AA"/>
    <w:rsid w:val="006F7768"/>
    <w:rsid w:val="007019CA"/>
    <w:rsid w:val="00717E59"/>
    <w:rsid w:val="007517BD"/>
    <w:rsid w:val="00751A41"/>
    <w:rsid w:val="0075669F"/>
    <w:rsid w:val="0075751F"/>
    <w:rsid w:val="00773DD6"/>
    <w:rsid w:val="00775BFC"/>
    <w:rsid w:val="00783191"/>
    <w:rsid w:val="00790EB8"/>
    <w:rsid w:val="00794BA5"/>
    <w:rsid w:val="007A2B8D"/>
    <w:rsid w:val="007A3459"/>
    <w:rsid w:val="007A7050"/>
    <w:rsid w:val="007B3B86"/>
    <w:rsid w:val="007B4B4C"/>
    <w:rsid w:val="007B6074"/>
    <w:rsid w:val="007C052E"/>
    <w:rsid w:val="007D1C55"/>
    <w:rsid w:val="007D1C84"/>
    <w:rsid w:val="007D317F"/>
    <w:rsid w:val="007E07E1"/>
    <w:rsid w:val="007E5BC2"/>
    <w:rsid w:val="007F5D06"/>
    <w:rsid w:val="00803FA3"/>
    <w:rsid w:val="00805A6E"/>
    <w:rsid w:val="00811211"/>
    <w:rsid w:val="008214DF"/>
    <w:rsid w:val="00823BA5"/>
    <w:rsid w:val="00826C28"/>
    <w:rsid w:val="00831728"/>
    <w:rsid w:val="00864CC1"/>
    <w:rsid w:val="00865CF4"/>
    <w:rsid w:val="00866B0A"/>
    <w:rsid w:val="00876DBC"/>
    <w:rsid w:val="00881072"/>
    <w:rsid w:val="00892F72"/>
    <w:rsid w:val="008971BF"/>
    <w:rsid w:val="008A6003"/>
    <w:rsid w:val="008A6F88"/>
    <w:rsid w:val="008B1E16"/>
    <w:rsid w:val="008B3144"/>
    <w:rsid w:val="008E1316"/>
    <w:rsid w:val="008E6224"/>
    <w:rsid w:val="008F2666"/>
    <w:rsid w:val="0090467C"/>
    <w:rsid w:val="00910FD2"/>
    <w:rsid w:val="0091424D"/>
    <w:rsid w:val="0092671E"/>
    <w:rsid w:val="00931437"/>
    <w:rsid w:val="00936B5A"/>
    <w:rsid w:val="00953430"/>
    <w:rsid w:val="00970EB3"/>
    <w:rsid w:val="00976247"/>
    <w:rsid w:val="00993ED0"/>
    <w:rsid w:val="009977C3"/>
    <w:rsid w:val="009A05A8"/>
    <w:rsid w:val="009A2D78"/>
    <w:rsid w:val="009A7C10"/>
    <w:rsid w:val="009B2945"/>
    <w:rsid w:val="009C38D1"/>
    <w:rsid w:val="009D5576"/>
    <w:rsid w:val="009E2DEE"/>
    <w:rsid w:val="009F797C"/>
    <w:rsid w:val="00A131AC"/>
    <w:rsid w:val="00A16D85"/>
    <w:rsid w:val="00A203AB"/>
    <w:rsid w:val="00A21A20"/>
    <w:rsid w:val="00A35DA7"/>
    <w:rsid w:val="00A36A99"/>
    <w:rsid w:val="00A53315"/>
    <w:rsid w:val="00A63966"/>
    <w:rsid w:val="00A6669B"/>
    <w:rsid w:val="00A70EF0"/>
    <w:rsid w:val="00A76102"/>
    <w:rsid w:val="00A7679B"/>
    <w:rsid w:val="00A80BE5"/>
    <w:rsid w:val="00A815EA"/>
    <w:rsid w:val="00A9208D"/>
    <w:rsid w:val="00AA6EA9"/>
    <w:rsid w:val="00AB069C"/>
    <w:rsid w:val="00AB1165"/>
    <w:rsid w:val="00AC2DB8"/>
    <w:rsid w:val="00AC3CA0"/>
    <w:rsid w:val="00AE3DA7"/>
    <w:rsid w:val="00AE490A"/>
    <w:rsid w:val="00AE5AEF"/>
    <w:rsid w:val="00AF03C4"/>
    <w:rsid w:val="00B07B88"/>
    <w:rsid w:val="00B21369"/>
    <w:rsid w:val="00B22A80"/>
    <w:rsid w:val="00B36848"/>
    <w:rsid w:val="00B4615A"/>
    <w:rsid w:val="00B568AC"/>
    <w:rsid w:val="00B65555"/>
    <w:rsid w:val="00B66795"/>
    <w:rsid w:val="00B7033E"/>
    <w:rsid w:val="00BA1AB6"/>
    <w:rsid w:val="00BA55A8"/>
    <w:rsid w:val="00BB2ABF"/>
    <w:rsid w:val="00BB3323"/>
    <w:rsid w:val="00BB64F4"/>
    <w:rsid w:val="00BD1C3D"/>
    <w:rsid w:val="00BD2738"/>
    <w:rsid w:val="00BD3F4F"/>
    <w:rsid w:val="00BD5A7C"/>
    <w:rsid w:val="00BD7035"/>
    <w:rsid w:val="00BE7A1B"/>
    <w:rsid w:val="00BE7BFA"/>
    <w:rsid w:val="00BF0221"/>
    <w:rsid w:val="00BF091A"/>
    <w:rsid w:val="00BF39D0"/>
    <w:rsid w:val="00BF4EAD"/>
    <w:rsid w:val="00C049E2"/>
    <w:rsid w:val="00C1583D"/>
    <w:rsid w:val="00C25B20"/>
    <w:rsid w:val="00C313F6"/>
    <w:rsid w:val="00C36795"/>
    <w:rsid w:val="00C43BF2"/>
    <w:rsid w:val="00C461EC"/>
    <w:rsid w:val="00C507D4"/>
    <w:rsid w:val="00C50AC4"/>
    <w:rsid w:val="00C62AA4"/>
    <w:rsid w:val="00C71CEF"/>
    <w:rsid w:val="00C72DAA"/>
    <w:rsid w:val="00C80B14"/>
    <w:rsid w:val="00CA0003"/>
    <w:rsid w:val="00CA50B3"/>
    <w:rsid w:val="00CB2B61"/>
    <w:rsid w:val="00CB7C31"/>
    <w:rsid w:val="00CB7E9A"/>
    <w:rsid w:val="00CD0B92"/>
    <w:rsid w:val="00CD3244"/>
    <w:rsid w:val="00CE1DFB"/>
    <w:rsid w:val="00CE29D3"/>
    <w:rsid w:val="00CE2F67"/>
    <w:rsid w:val="00CF203D"/>
    <w:rsid w:val="00CF2360"/>
    <w:rsid w:val="00CF2D8B"/>
    <w:rsid w:val="00CF7586"/>
    <w:rsid w:val="00CF7F0C"/>
    <w:rsid w:val="00D036D3"/>
    <w:rsid w:val="00D052EE"/>
    <w:rsid w:val="00D07C17"/>
    <w:rsid w:val="00D16E34"/>
    <w:rsid w:val="00D2790D"/>
    <w:rsid w:val="00D44B43"/>
    <w:rsid w:val="00D51B13"/>
    <w:rsid w:val="00D51ECD"/>
    <w:rsid w:val="00D53600"/>
    <w:rsid w:val="00D5461D"/>
    <w:rsid w:val="00D6170E"/>
    <w:rsid w:val="00D91CB4"/>
    <w:rsid w:val="00D92152"/>
    <w:rsid w:val="00D932E2"/>
    <w:rsid w:val="00D934F1"/>
    <w:rsid w:val="00DB1C09"/>
    <w:rsid w:val="00DB4C89"/>
    <w:rsid w:val="00DB67C9"/>
    <w:rsid w:val="00DC013B"/>
    <w:rsid w:val="00DE1133"/>
    <w:rsid w:val="00DE63D9"/>
    <w:rsid w:val="00DF4E89"/>
    <w:rsid w:val="00E10C48"/>
    <w:rsid w:val="00E11AA0"/>
    <w:rsid w:val="00E16BF5"/>
    <w:rsid w:val="00E34279"/>
    <w:rsid w:val="00E34712"/>
    <w:rsid w:val="00E37A3F"/>
    <w:rsid w:val="00E37D3C"/>
    <w:rsid w:val="00E62E6A"/>
    <w:rsid w:val="00E73A29"/>
    <w:rsid w:val="00E83EF5"/>
    <w:rsid w:val="00E92FE7"/>
    <w:rsid w:val="00E9335C"/>
    <w:rsid w:val="00EB16F1"/>
    <w:rsid w:val="00ED0CEC"/>
    <w:rsid w:val="00ED1C1E"/>
    <w:rsid w:val="00ED52E8"/>
    <w:rsid w:val="00EE2AF2"/>
    <w:rsid w:val="00F0405C"/>
    <w:rsid w:val="00F07EE6"/>
    <w:rsid w:val="00F2558B"/>
    <w:rsid w:val="00F33CC8"/>
    <w:rsid w:val="00F4481C"/>
    <w:rsid w:val="00F45902"/>
    <w:rsid w:val="00F54F05"/>
    <w:rsid w:val="00F602E0"/>
    <w:rsid w:val="00F615A7"/>
    <w:rsid w:val="00F71829"/>
    <w:rsid w:val="00F75D23"/>
    <w:rsid w:val="00F903E2"/>
    <w:rsid w:val="00FA321D"/>
    <w:rsid w:val="00FA5957"/>
    <w:rsid w:val="00FA69D4"/>
    <w:rsid w:val="00FB0120"/>
    <w:rsid w:val="00FB374B"/>
    <w:rsid w:val="00FC3CE0"/>
    <w:rsid w:val="00FD06A8"/>
    <w:rsid w:val="00FE107E"/>
    <w:rsid w:val="00FE61A9"/>
    <w:rsid w:val="00FF07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68C"/>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Citas">
    <w:name w:val="Citas"/>
    <w:basedOn w:val="Normal"/>
    <w:qFormat/>
    <w:rsid w:val="001D56CC"/>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68301E"/>
  </w:style>
  <w:style w:type="paragraph" w:styleId="Textoindependiente2">
    <w:name w:val="Body Text 2"/>
    <w:basedOn w:val="Normal"/>
    <w:link w:val="Textoindependiente2Car"/>
    <w:uiPriority w:val="99"/>
    <w:unhideWhenUsed/>
    <w:rsid w:val="004613EC"/>
    <w:pPr>
      <w:spacing w:after="120" w:line="480" w:lineRule="auto"/>
      <w:jc w:val="left"/>
    </w:pPr>
    <w:rPr>
      <w:rFonts w:ascii="Times New Roman" w:hAnsi="Times New Roman"/>
      <w:sz w:val="24"/>
      <w:szCs w:val="24"/>
      <w:lang w:eastAsia="es-MX"/>
    </w:rPr>
  </w:style>
  <w:style w:type="character" w:customStyle="1" w:styleId="Textoindependiente2Car">
    <w:name w:val="Texto independiente 2 Car"/>
    <w:basedOn w:val="Fuentedeprrafopredeter"/>
    <w:link w:val="Textoindependiente2"/>
    <w:uiPriority w:val="99"/>
    <w:rsid w:val="004613EC"/>
    <w:rPr>
      <w:rFonts w:ascii="Times New Roman" w:eastAsia="Times New Roman" w:hAnsi="Times New Roman" w:cs="Times New Roman"/>
      <w:kern w:val="0"/>
      <w:sz w:val="24"/>
      <w:szCs w:val="24"/>
      <w:lang w:eastAsia="es-MX"/>
      <w14:ligatures w14:val="none"/>
    </w:rPr>
  </w:style>
  <w:style w:type="character" w:customStyle="1" w:styleId="Mencinsinresolver1">
    <w:name w:val="Mención sin resolver1"/>
    <w:basedOn w:val="Fuentedeprrafopredeter"/>
    <w:uiPriority w:val="99"/>
    <w:semiHidden/>
    <w:unhideWhenUsed/>
    <w:rsid w:val="00FF0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404">
      <w:bodyDiv w:val="1"/>
      <w:marLeft w:val="0"/>
      <w:marRight w:val="0"/>
      <w:marTop w:val="0"/>
      <w:marBottom w:val="0"/>
      <w:divBdr>
        <w:top w:val="none" w:sz="0" w:space="0" w:color="auto"/>
        <w:left w:val="none" w:sz="0" w:space="0" w:color="auto"/>
        <w:bottom w:val="none" w:sz="0" w:space="0" w:color="auto"/>
        <w:right w:val="none" w:sz="0" w:space="0" w:color="auto"/>
      </w:divBdr>
    </w:div>
    <w:div w:id="104816175">
      <w:bodyDiv w:val="1"/>
      <w:marLeft w:val="0"/>
      <w:marRight w:val="0"/>
      <w:marTop w:val="0"/>
      <w:marBottom w:val="0"/>
      <w:divBdr>
        <w:top w:val="none" w:sz="0" w:space="0" w:color="auto"/>
        <w:left w:val="none" w:sz="0" w:space="0" w:color="auto"/>
        <w:bottom w:val="none" w:sz="0" w:space="0" w:color="auto"/>
        <w:right w:val="none" w:sz="0" w:space="0" w:color="auto"/>
      </w:divBdr>
    </w:div>
    <w:div w:id="105856356">
      <w:bodyDiv w:val="1"/>
      <w:marLeft w:val="0"/>
      <w:marRight w:val="0"/>
      <w:marTop w:val="0"/>
      <w:marBottom w:val="0"/>
      <w:divBdr>
        <w:top w:val="none" w:sz="0" w:space="0" w:color="auto"/>
        <w:left w:val="none" w:sz="0" w:space="0" w:color="auto"/>
        <w:bottom w:val="none" w:sz="0" w:space="0" w:color="auto"/>
        <w:right w:val="none" w:sz="0" w:space="0" w:color="auto"/>
      </w:divBdr>
    </w:div>
    <w:div w:id="162552972">
      <w:bodyDiv w:val="1"/>
      <w:marLeft w:val="0"/>
      <w:marRight w:val="0"/>
      <w:marTop w:val="0"/>
      <w:marBottom w:val="0"/>
      <w:divBdr>
        <w:top w:val="none" w:sz="0" w:space="0" w:color="auto"/>
        <w:left w:val="none" w:sz="0" w:space="0" w:color="auto"/>
        <w:bottom w:val="none" w:sz="0" w:space="0" w:color="auto"/>
        <w:right w:val="none" w:sz="0" w:space="0" w:color="auto"/>
      </w:divBdr>
    </w:div>
    <w:div w:id="201090739">
      <w:bodyDiv w:val="1"/>
      <w:marLeft w:val="0"/>
      <w:marRight w:val="0"/>
      <w:marTop w:val="0"/>
      <w:marBottom w:val="0"/>
      <w:divBdr>
        <w:top w:val="none" w:sz="0" w:space="0" w:color="auto"/>
        <w:left w:val="none" w:sz="0" w:space="0" w:color="auto"/>
        <w:bottom w:val="none" w:sz="0" w:space="0" w:color="auto"/>
        <w:right w:val="none" w:sz="0" w:space="0" w:color="auto"/>
      </w:divBdr>
    </w:div>
    <w:div w:id="234751109">
      <w:bodyDiv w:val="1"/>
      <w:marLeft w:val="0"/>
      <w:marRight w:val="0"/>
      <w:marTop w:val="0"/>
      <w:marBottom w:val="0"/>
      <w:divBdr>
        <w:top w:val="none" w:sz="0" w:space="0" w:color="auto"/>
        <w:left w:val="none" w:sz="0" w:space="0" w:color="auto"/>
        <w:bottom w:val="none" w:sz="0" w:space="0" w:color="auto"/>
        <w:right w:val="none" w:sz="0" w:space="0" w:color="auto"/>
      </w:divBdr>
    </w:div>
    <w:div w:id="350765133">
      <w:bodyDiv w:val="1"/>
      <w:marLeft w:val="0"/>
      <w:marRight w:val="0"/>
      <w:marTop w:val="0"/>
      <w:marBottom w:val="0"/>
      <w:divBdr>
        <w:top w:val="none" w:sz="0" w:space="0" w:color="auto"/>
        <w:left w:val="none" w:sz="0" w:space="0" w:color="auto"/>
        <w:bottom w:val="none" w:sz="0" w:space="0" w:color="auto"/>
        <w:right w:val="none" w:sz="0" w:space="0" w:color="auto"/>
      </w:divBdr>
    </w:div>
    <w:div w:id="361826494">
      <w:bodyDiv w:val="1"/>
      <w:marLeft w:val="0"/>
      <w:marRight w:val="0"/>
      <w:marTop w:val="0"/>
      <w:marBottom w:val="0"/>
      <w:divBdr>
        <w:top w:val="none" w:sz="0" w:space="0" w:color="auto"/>
        <w:left w:val="none" w:sz="0" w:space="0" w:color="auto"/>
        <w:bottom w:val="none" w:sz="0" w:space="0" w:color="auto"/>
        <w:right w:val="none" w:sz="0" w:space="0" w:color="auto"/>
      </w:divBdr>
    </w:div>
    <w:div w:id="395589747">
      <w:bodyDiv w:val="1"/>
      <w:marLeft w:val="0"/>
      <w:marRight w:val="0"/>
      <w:marTop w:val="0"/>
      <w:marBottom w:val="0"/>
      <w:divBdr>
        <w:top w:val="none" w:sz="0" w:space="0" w:color="auto"/>
        <w:left w:val="none" w:sz="0" w:space="0" w:color="auto"/>
        <w:bottom w:val="none" w:sz="0" w:space="0" w:color="auto"/>
        <w:right w:val="none" w:sz="0" w:space="0" w:color="auto"/>
      </w:divBdr>
    </w:div>
    <w:div w:id="400913150">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12573186">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41215025">
      <w:bodyDiv w:val="1"/>
      <w:marLeft w:val="0"/>
      <w:marRight w:val="0"/>
      <w:marTop w:val="0"/>
      <w:marBottom w:val="0"/>
      <w:divBdr>
        <w:top w:val="none" w:sz="0" w:space="0" w:color="auto"/>
        <w:left w:val="none" w:sz="0" w:space="0" w:color="auto"/>
        <w:bottom w:val="none" w:sz="0" w:space="0" w:color="auto"/>
        <w:right w:val="none" w:sz="0" w:space="0" w:color="auto"/>
      </w:divBdr>
    </w:div>
    <w:div w:id="606884547">
      <w:bodyDiv w:val="1"/>
      <w:marLeft w:val="0"/>
      <w:marRight w:val="0"/>
      <w:marTop w:val="0"/>
      <w:marBottom w:val="0"/>
      <w:divBdr>
        <w:top w:val="none" w:sz="0" w:space="0" w:color="auto"/>
        <w:left w:val="none" w:sz="0" w:space="0" w:color="auto"/>
        <w:bottom w:val="none" w:sz="0" w:space="0" w:color="auto"/>
        <w:right w:val="none" w:sz="0" w:space="0" w:color="auto"/>
      </w:divBdr>
    </w:div>
    <w:div w:id="628169728">
      <w:bodyDiv w:val="1"/>
      <w:marLeft w:val="0"/>
      <w:marRight w:val="0"/>
      <w:marTop w:val="0"/>
      <w:marBottom w:val="0"/>
      <w:divBdr>
        <w:top w:val="none" w:sz="0" w:space="0" w:color="auto"/>
        <w:left w:val="none" w:sz="0" w:space="0" w:color="auto"/>
        <w:bottom w:val="none" w:sz="0" w:space="0" w:color="auto"/>
        <w:right w:val="none" w:sz="0" w:space="0" w:color="auto"/>
      </w:divBdr>
    </w:div>
    <w:div w:id="666791597">
      <w:bodyDiv w:val="1"/>
      <w:marLeft w:val="0"/>
      <w:marRight w:val="0"/>
      <w:marTop w:val="0"/>
      <w:marBottom w:val="0"/>
      <w:divBdr>
        <w:top w:val="none" w:sz="0" w:space="0" w:color="auto"/>
        <w:left w:val="none" w:sz="0" w:space="0" w:color="auto"/>
        <w:bottom w:val="none" w:sz="0" w:space="0" w:color="auto"/>
        <w:right w:val="none" w:sz="0" w:space="0" w:color="auto"/>
      </w:divBdr>
    </w:div>
    <w:div w:id="697508804">
      <w:bodyDiv w:val="1"/>
      <w:marLeft w:val="0"/>
      <w:marRight w:val="0"/>
      <w:marTop w:val="0"/>
      <w:marBottom w:val="0"/>
      <w:divBdr>
        <w:top w:val="none" w:sz="0" w:space="0" w:color="auto"/>
        <w:left w:val="none" w:sz="0" w:space="0" w:color="auto"/>
        <w:bottom w:val="none" w:sz="0" w:space="0" w:color="auto"/>
        <w:right w:val="none" w:sz="0" w:space="0" w:color="auto"/>
      </w:divBdr>
    </w:div>
    <w:div w:id="768427743">
      <w:bodyDiv w:val="1"/>
      <w:marLeft w:val="0"/>
      <w:marRight w:val="0"/>
      <w:marTop w:val="0"/>
      <w:marBottom w:val="0"/>
      <w:divBdr>
        <w:top w:val="none" w:sz="0" w:space="0" w:color="auto"/>
        <w:left w:val="none" w:sz="0" w:space="0" w:color="auto"/>
        <w:bottom w:val="none" w:sz="0" w:space="0" w:color="auto"/>
        <w:right w:val="none" w:sz="0" w:space="0" w:color="auto"/>
      </w:divBdr>
    </w:div>
    <w:div w:id="871504758">
      <w:bodyDiv w:val="1"/>
      <w:marLeft w:val="0"/>
      <w:marRight w:val="0"/>
      <w:marTop w:val="0"/>
      <w:marBottom w:val="0"/>
      <w:divBdr>
        <w:top w:val="none" w:sz="0" w:space="0" w:color="auto"/>
        <w:left w:val="none" w:sz="0" w:space="0" w:color="auto"/>
        <w:bottom w:val="none" w:sz="0" w:space="0" w:color="auto"/>
        <w:right w:val="none" w:sz="0" w:space="0" w:color="auto"/>
      </w:divBdr>
    </w:div>
    <w:div w:id="897322022">
      <w:bodyDiv w:val="1"/>
      <w:marLeft w:val="0"/>
      <w:marRight w:val="0"/>
      <w:marTop w:val="0"/>
      <w:marBottom w:val="0"/>
      <w:divBdr>
        <w:top w:val="none" w:sz="0" w:space="0" w:color="auto"/>
        <w:left w:val="none" w:sz="0" w:space="0" w:color="auto"/>
        <w:bottom w:val="none" w:sz="0" w:space="0" w:color="auto"/>
        <w:right w:val="none" w:sz="0" w:space="0" w:color="auto"/>
      </w:divBdr>
    </w:div>
    <w:div w:id="900676387">
      <w:bodyDiv w:val="1"/>
      <w:marLeft w:val="0"/>
      <w:marRight w:val="0"/>
      <w:marTop w:val="0"/>
      <w:marBottom w:val="0"/>
      <w:divBdr>
        <w:top w:val="none" w:sz="0" w:space="0" w:color="auto"/>
        <w:left w:val="none" w:sz="0" w:space="0" w:color="auto"/>
        <w:bottom w:val="none" w:sz="0" w:space="0" w:color="auto"/>
        <w:right w:val="none" w:sz="0" w:space="0" w:color="auto"/>
      </w:divBdr>
    </w:div>
    <w:div w:id="983310643">
      <w:bodyDiv w:val="1"/>
      <w:marLeft w:val="0"/>
      <w:marRight w:val="0"/>
      <w:marTop w:val="0"/>
      <w:marBottom w:val="0"/>
      <w:divBdr>
        <w:top w:val="none" w:sz="0" w:space="0" w:color="auto"/>
        <w:left w:val="none" w:sz="0" w:space="0" w:color="auto"/>
        <w:bottom w:val="none" w:sz="0" w:space="0" w:color="auto"/>
        <w:right w:val="none" w:sz="0" w:space="0" w:color="auto"/>
      </w:divBdr>
    </w:div>
    <w:div w:id="1123311070">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302923353">
      <w:bodyDiv w:val="1"/>
      <w:marLeft w:val="0"/>
      <w:marRight w:val="0"/>
      <w:marTop w:val="0"/>
      <w:marBottom w:val="0"/>
      <w:divBdr>
        <w:top w:val="none" w:sz="0" w:space="0" w:color="auto"/>
        <w:left w:val="none" w:sz="0" w:space="0" w:color="auto"/>
        <w:bottom w:val="none" w:sz="0" w:space="0" w:color="auto"/>
        <w:right w:val="none" w:sz="0" w:space="0" w:color="auto"/>
      </w:divBdr>
    </w:div>
    <w:div w:id="1354720047">
      <w:bodyDiv w:val="1"/>
      <w:marLeft w:val="0"/>
      <w:marRight w:val="0"/>
      <w:marTop w:val="0"/>
      <w:marBottom w:val="0"/>
      <w:divBdr>
        <w:top w:val="none" w:sz="0" w:space="0" w:color="auto"/>
        <w:left w:val="none" w:sz="0" w:space="0" w:color="auto"/>
        <w:bottom w:val="none" w:sz="0" w:space="0" w:color="auto"/>
        <w:right w:val="none" w:sz="0" w:space="0" w:color="auto"/>
      </w:divBdr>
    </w:div>
    <w:div w:id="1359768967">
      <w:bodyDiv w:val="1"/>
      <w:marLeft w:val="0"/>
      <w:marRight w:val="0"/>
      <w:marTop w:val="0"/>
      <w:marBottom w:val="0"/>
      <w:divBdr>
        <w:top w:val="none" w:sz="0" w:space="0" w:color="auto"/>
        <w:left w:val="none" w:sz="0" w:space="0" w:color="auto"/>
        <w:bottom w:val="none" w:sz="0" w:space="0" w:color="auto"/>
        <w:right w:val="none" w:sz="0" w:space="0" w:color="auto"/>
      </w:divBdr>
    </w:div>
    <w:div w:id="1382705787">
      <w:bodyDiv w:val="1"/>
      <w:marLeft w:val="0"/>
      <w:marRight w:val="0"/>
      <w:marTop w:val="0"/>
      <w:marBottom w:val="0"/>
      <w:divBdr>
        <w:top w:val="none" w:sz="0" w:space="0" w:color="auto"/>
        <w:left w:val="none" w:sz="0" w:space="0" w:color="auto"/>
        <w:bottom w:val="none" w:sz="0" w:space="0" w:color="auto"/>
        <w:right w:val="none" w:sz="0" w:space="0" w:color="auto"/>
      </w:divBdr>
      <w:divsChild>
        <w:div w:id="1739860906">
          <w:marLeft w:val="0"/>
          <w:marRight w:val="0"/>
          <w:marTop w:val="0"/>
          <w:marBottom w:val="0"/>
          <w:divBdr>
            <w:top w:val="none" w:sz="0" w:space="0" w:color="auto"/>
            <w:left w:val="none" w:sz="0" w:space="0" w:color="auto"/>
            <w:bottom w:val="none" w:sz="0" w:space="0" w:color="auto"/>
            <w:right w:val="none" w:sz="0" w:space="0" w:color="auto"/>
          </w:divBdr>
        </w:div>
      </w:divsChild>
    </w:div>
    <w:div w:id="1396313882">
      <w:bodyDiv w:val="1"/>
      <w:marLeft w:val="0"/>
      <w:marRight w:val="0"/>
      <w:marTop w:val="0"/>
      <w:marBottom w:val="0"/>
      <w:divBdr>
        <w:top w:val="none" w:sz="0" w:space="0" w:color="auto"/>
        <w:left w:val="none" w:sz="0" w:space="0" w:color="auto"/>
        <w:bottom w:val="none" w:sz="0" w:space="0" w:color="auto"/>
        <w:right w:val="none" w:sz="0" w:space="0" w:color="auto"/>
      </w:divBdr>
      <w:divsChild>
        <w:div w:id="682244345">
          <w:marLeft w:val="0"/>
          <w:marRight w:val="0"/>
          <w:marTop w:val="0"/>
          <w:marBottom w:val="0"/>
          <w:divBdr>
            <w:top w:val="none" w:sz="0" w:space="0" w:color="auto"/>
            <w:left w:val="none" w:sz="0" w:space="0" w:color="auto"/>
            <w:bottom w:val="none" w:sz="0" w:space="0" w:color="auto"/>
            <w:right w:val="none" w:sz="0" w:space="0" w:color="auto"/>
          </w:divBdr>
        </w:div>
      </w:divsChild>
    </w:div>
    <w:div w:id="1435831839">
      <w:bodyDiv w:val="1"/>
      <w:marLeft w:val="0"/>
      <w:marRight w:val="0"/>
      <w:marTop w:val="0"/>
      <w:marBottom w:val="0"/>
      <w:divBdr>
        <w:top w:val="none" w:sz="0" w:space="0" w:color="auto"/>
        <w:left w:val="none" w:sz="0" w:space="0" w:color="auto"/>
        <w:bottom w:val="none" w:sz="0" w:space="0" w:color="auto"/>
        <w:right w:val="none" w:sz="0" w:space="0" w:color="auto"/>
      </w:divBdr>
    </w:div>
    <w:div w:id="1435859595">
      <w:bodyDiv w:val="1"/>
      <w:marLeft w:val="0"/>
      <w:marRight w:val="0"/>
      <w:marTop w:val="0"/>
      <w:marBottom w:val="0"/>
      <w:divBdr>
        <w:top w:val="none" w:sz="0" w:space="0" w:color="auto"/>
        <w:left w:val="none" w:sz="0" w:space="0" w:color="auto"/>
        <w:bottom w:val="none" w:sz="0" w:space="0" w:color="auto"/>
        <w:right w:val="none" w:sz="0" w:space="0" w:color="auto"/>
      </w:divBdr>
    </w:div>
    <w:div w:id="1443525944">
      <w:bodyDiv w:val="1"/>
      <w:marLeft w:val="0"/>
      <w:marRight w:val="0"/>
      <w:marTop w:val="0"/>
      <w:marBottom w:val="0"/>
      <w:divBdr>
        <w:top w:val="none" w:sz="0" w:space="0" w:color="auto"/>
        <w:left w:val="none" w:sz="0" w:space="0" w:color="auto"/>
        <w:bottom w:val="none" w:sz="0" w:space="0" w:color="auto"/>
        <w:right w:val="none" w:sz="0" w:space="0" w:color="auto"/>
      </w:divBdr>
    </w:div>
    <w:div w:id="1461418288">
      <w:bodyDiv w:val="1"/>
      <w:marLeft w:val="0"/>
      <w:marRight w:val="0"/>
      <w:marTop w:val="0"/>
      <w:marBottom w:val="0"/>
      <w:divBdr>
        <w:top w:val="none" w:sz="0" w:space="0" w:color="auto"/>
        <w:left w:val="none" w:sz="0" w:space="0" w:color="auto"/>
        <w:bottom w:val="none" w:sz="0" w:space="0" w:color="auto"/>
        <w:right w:val="none" w:sz="0" w:space="0" w:color="auto"/>
      </w:divBdr>
      <w:divsChild>
        <w:div w:id="1841964640">
          <w:marLeft w:val="0"/>
          <w:marRight w:val="0"/>
          <w:marTop w:val="0"/>
          <w:marBottom w:val="0"/>
          <w:divBdr>
            <w:top w:val="none" w:sz="0" w:space="0" w:color="auto"/>
            <w:left w:val="none" w:sz="0" w:space="0" w:color="auto"/>
            <w:bottom w:val="none" w:sz="0" w:space="0" w:color="auto"/>
            <w:right w:val="none" w:sz="0" w:space="0" w:color="auto"/>
          </w:divBdr>
        </w:div>
      </w:divsChild>
    </w:div>
    <w:div w:id="1485850068">
      <w:bodyDiv w:val="1"/>
      <w:marLeft w:val="0"/>
      <w:marRight w:val="0"/>
      <w:marTop w:val="0"/>
      <w:marBottom w:val="0"/>
      <w:divBdr>
        <w:top w:val="none" w:sz="0" w:space="0" w:color="auto"/>
        <w:left w:val="none" w:sz="0" w:space="0" w:color="auto"/>
        <w:bottom w:val="none" w:sz="0" w:space="0" w:color="auto"/>
        <w:right w:val="none" w:sz="0" w:space="0" w:color="auto"/>
      </w:divBdr>
    </w:div>
    <w:div w:id="1497723627">
      <w:bodyDiv w:val="1"/>
      <w:marLeft w:val="0"/>
      <w:marRight w:val="0"/>
      <w:marTop w:val="0"/>
      <w:marBottom w:val="0"/>
      <w:divBdr>
        <w:top w:val="none" w:sz="0" w:space="0" w:color="auto"/>
        <w:left w:val="none" w:sz="0" w:space="0" w:color="auto"/>
        <w:bottom w:val="none" w:sz="0" w:space="0" w:color="auto"/>
        <w:right w:val="none" w:sz="0" w:space="0" w:color="auto"/>
      </w:divBdr>
    </w:div>
    <w:div w:id="1670282271">
      <w:bodyDiv w:val="1"/>
      <w:marLeft w:val="0"/>
      <w:marRight w:val="0"/>
      <w:marTop w:val="0"/>
      <w:marBottom w:val="0"/>
      <w:divBdr>
        <w:top w:val="none" w:sz="0" w:space="0" w:color="auto"/>
        <w:left w:val="none" w:sz="0" w:space="0" w:color="auto"/>
        <w:bottom w:val="none" w:sz="0" w:space="0" w:color="auto"/>
        <w:right w:val="none" w:sz="0" w:space="0" w:color="auto"/>
      </w:divBdr>
    </w:div>
    <w:div w:id="1686593568">
      <w:bodyDiv w:val="1"/>
      <w:marLeft w:val="0"/>
      <w:marRight w:val="0"/>
      <w:marTop w:val="0"/>
      <w:marBottom w:val="0"/>
      <w:divBdr>
        <w:top w:val="none" w:sz="0" w:space="0" w:color="auto"/>
        <w:left w:val="none" w:sz="0" w:space="0" w:color="auto"/>
        <w:bottom w:val="none" w:sz="0" w:space="0" w:color="auto"/>
        <w:right w:val="none" w:sz="0" w:space="0" w:color="auto"/>
      </w:divBdr>
    </w:div>
    <w:div w:id="1857301594">
      <w:bodyDiv w:val="1"/>
      <w:marLeft w:val="0"/>
      <w:marRight w:val="0"/>
      <w:marTop w:val="0"/>
      <w:marBottom w:val="0"/>
      <w:divBdr>
        <w:top w:val="none" w:sz="0" w:space="0" w:color="auto"/>
        <w:left w:val="none" w:sz="0" w:space="0" w:color="auto"/>
        <w:bottom w:val="none" w:sz="0" w:space="0" w:color="auto"/>
        <w:right w:val="none" w:sz="0" w:space="0" w:color="auto"/>
      </w:divBdr>
      <w:divsChild>
        <w:div w:id="1649548673">
          <w:marLeft w:val="0"/>
          <w:marRight w:val="0"/>
          <w:marTop w:val="0"/>
          <w:marBottom w:val="0"/>
          <w:divBdr>
            <w:top w:val="none" w:sz="0" w:space="0" w:color="auto"/>
            <w:left w:val="none" w:sz="0" w:space="0" w:color="auto"/>
            <w:bottom w:val="none" w:sz="0" w:space="0" w:color="auto"/>
            <w:right w:val="none" w:sz="0" w:space="0" w:color="auto"/>
          </w:divBdr>
        </w:div>
      </w:divsChild>
    </w:div>
    <w:div w:id="1879198102">
      <w:bodyDiv w:val="1"/>
      <w:marLeft w:val="0"/>
      <w:marRight w:val="0"/>
      <w:marTop w:val="0"/>
      <w:marBottom w:val="0"/>
      <w:divBdr>
        <w:top w:val="none" w:sz="0" w:space="0" w:color="auto"/>
        <w:left w:val="none" w:sz="0" w:space="0" w:color="auto"/>
        <w:bottom w:val="none" w:sz="0" w:space="0" w:color="auto"/>
        <w:right w:val="none" w:sz="0" w:space="0" w:color="auto"/>
      </w:divBdr>
    </w:div>
    <w:div w:id="2010474992">
      <w:bodyDiv w:val="1"/>
      <w:marLeft w:val="0"/>
      <w:marRight w:val="0"/>
      <w:marTop w:val="0"/>
      <w:marBottom w:val="0"/>
      <w:divBdr>
        <w:top w:val="none" w:sz="0" w:space="0" w:color="auto"/>
        <w:left w:val="none" w:sz="0" w:space="0" w:color="auto"/>
        <w:bottom w:val="none" w:sz="0" w:space="0" w:color="auto"/>
        <w:right w:val="none" w:sz="0" w:space="0" w:color="auto"/>
      </w:divBdr>
    </w:div>
    <w:div w:id="2068187388">
      <w:bodyDiv w:val="1"/>
      <w:marLeft w:val="0"/>
      <w:marRight w:val="0"/>
      <w:marTop w:val="0"/>
      <w:marBottom w:val="0"/>
      <w:divBdr>
        <w:top w:val="none" w:sz="0" w:space="0" w:color="auto"/>
        <w:left w:val="none" w:sz="0" w:space="0" w:color="auto"/>
        <w:bottom w:val="none" w:sz="0" w:space="0" w:color="auto"/>
        <w:right w:val="none" w:sz="0" w:space="0" w:color="auto"/>
      </w:divBdr>
    </w:div>
    <w:div w:id="209245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anterior.ine.mx/archivos2/tutoriales/sistemas/ApoyoInstitucional/SIF/docs/candidatos/folioFiscalFactur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documentManagement/types"/>
    <ds:schemaRef ds:uri="http://www.w3.org/XML/1998/namespace"/>
    <ds:schemaRef ds:uri="http://purl.org/dc/elements/1.1/"/>
    <ds:schemaRef ds:uri="76b08bab-a17d-419c-8fa8-b7b9c3c33fd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502A2672-C5E7-4A28-ABAC-91BEFA00A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9881</Words>
  <Characters>54347</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2025-05-22T19:57:00Z</cp:lastPrinted>
  <dcterms:created xsi:type="dcterms:W3CDTF">2025-05-13T18:58:00Z</dcterms:created>
  <dcterms:modified xsi:type="dcterms:W3CDTF">2025-05-22T19:57:00Z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