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0F1A8" w14:textId="2252CB1C" w:rsidR="00F505D5" w:rsidRPr="0046693C" w:rsidRDefault="00F505D5" w:rsidP="00395324">
      <w:pPr>
        <w:tabs>
          <w:tab w:val="left" w:pos="8931"/>
        </w:tabs>
        <w:spacing w:after="0" w:line="360" w:lineRule="auto"/>
        <w:contextualSpacing/>
        <w:rPr>
          <w:rFonts w:eastAsia="Calibri" w:cs="Tahoma"/>
          <w:color w:val="auto"/>
          <w:lang w:val="es-ES"/>
        </w:rPr>
      </w:pPr>
      <w:r w:rsidRPr="0046693C">
        <w:rPr>
          <w:rFonts w:cs="Tahoma"/>
          <w:bCs/>
          <w:color w:val="auto"/>
        </w:rPr>
        <w:t xml:space="preserve">Resolución del Pleno del Instituto de Transparencia, Acceso a la Información Pública y Protección de Datos Personales del Estado de México y Municipios, con domicilio en Metepec, </w:t>
      </w:r>
      <w:r w:rsidRPr="0046693C">
        <w:rPr>
          <w:rFonts w:eastAsia="Calibri" w:cs="Tahoma"/>
          <w:color w:val="auto"/>
          <w:lang w:val="es-ES"/>
        </w:rPr>
        <w:t xml:space="preserve">Estado de México, de </w:t>
      </w:r>
      <w:r w:rsidR="00591F8C" w:rsidRPr="0046693C">
        <w:rPr>
          <w:rFonts w:eastAsia="Calibri" w:cs="Tahoma"/>
          <w:color w:val="auto"/>
          <w:lang w:val="es-ES"/>
        </w:rPr>
        <w:t xml:space="preserve">fecha </w:t>
      </w:r>
      <w:r w:rsidR="00773791">
        <w:rPr>
          <w:rFonts w:eastAsia="Calibri" w:cs="Tahoma"/>
          <w:color w:val="auto"/>
          <w:lang w:val="es-ES"/>
        </w:rPr>
        <w:t>diecisiete de diciembre  de dos mil veinticinco</w:t>
      </w:r>
      <w:r w:rsidR="0046693C" w:rsidRPr="0046693C">
        <w:rPr>
          <w:rFonts w:eastAsia="Calibri" w:cs="Tahoma"/>
          <w:color w:val="auto"/>
          <w:lang w:val="es-ES"/>
        </w:rPr>
        <w:t>.</w:t>
      </w:r>
    </w:p>
    <w:p w14:paraId="69437AEB" w14:textId="77777777" w:rsidR="00F505D5" w:rsidRPr="0046693C" w:rsidRDefault="00F505D5" w:rsidP="00395324">
      <w:pPr>
        <w:spacing w:after="0" w:line="360" w:lineRule="auto"/>
        <w:contextualSpacing/>
        <w:rPr>
          <w:rFonts w:eastAsia="Calibri" w:cs="Tahoma"/>
          <w:b/>
          <w:bCs/>
          <w:color w:val="FF0000"/>
          <w:lang w:val="es-ES"/>
        </w:rPr>
      </w:pPr>
    </w:p>
    <w:p w14:paraId="5CCF6EBF" w14:textId="2A687E86" w:rsidR="00F505D5" w:rsidRPr="0046693C" w:rsidRDefault="00F505D5" w:rsidP="00395324">
      <w:pPr>
        <w:spacing w:after="0" w:line="360" w:lineRule="auto"/>
        <w:contextualSpacing/>
        <w:rPr>
          <w:b/>
          <w:bCs/>
          <w:color w:val="auto"/>
        </w:rPr>
      </w:pPr>
      <w:r w:rsidRPr="0046693C">
        <w:rPr>
          <w:rFonts w:eastAsia="Calibri" w:cs="Tahoma"/>
          <w:b/>
          <w:bCs/>
          <w:color w:val="auto"/>
          <w:lang w:val="es-ES"/>
        </w:rPr>
        <w:t xml:space="preserve">VISTO </w:t>
      </w:r>
      <w:r w:rsidRPr="0046693C">
        <w:rPr>
          <w:rFonts w:eastAsia="Calibri" w:cs="Tahoma"/>
          <w:color w:val="auto"/>
          <w:lang w:val="es-ES"/>
        </w:rPr>
        <w:t>el expediente conformado c</w:t>
      </w:r>
      <w:bookmarkStart w:id="0" w:name="_GoBack"/>
      <w:bookmarkEnd w:id="0"/>
      <w:r w:rsidRPr="0046693C">
        <w:rPr>
          <w:rFonts w:eastAsia="Calibri" w:cs="Tahoma"/>
          <w:color w:val="auto"/>
          <w:lang w:val="es-ES"/>
        </w:rPr>
        <w:t xml:space="preserve">on motivo del Recurso de Revisión </w:t>
      </w:r>
      <w:r w:rsidR="00773791" w:rsidRPr="007F2A65">
        <w:rPr>
          <w:rFonts w:eastAsia="Calibri" w:cs="Tahoma"/>
          <w:b/>
          <w:bCs/>
          <w:color w:val="auto"/>
        </w:rPr>
        <w:t>13096/INFOEM/IP/RR/2025</w:t>
      </w:r>
      <w:r w:rsidRPr="0046693C">
        <w:rPr>
          <w:rFonts w:eastAsia="Calibri" w:cs="Tahoma"/>
          <w:color w:val="auto"/>
        </w:rPr>
        <w:t xml:space="preserve">, </w:t>
      </w:r>
      <w:r w:rsidR="00661311" w:rsidRPr="000103D9">
        <w:t xml:space="preserve">interpuesto por </w:t>
      </w:r>
      <w:r w:rsidR="006F31D4" w:rsidRPr="006F31D4">
        <w:rPr>
          <w:rFonts w:eastAsia="Calibri" w:cs="Tahoma"/>
          <w:b/>
          <w:highlight w:val="black"/>
        </w:rPr>
        <w:t>XXXXXXXXXXX</w:t>
      </w:r>
      <w:r w:rsidR="0046693C" w:rsidRPr="0046693C">
        <w:rPr>
          <w:rFonts w:eastAsia="Calibri" w:cs="Tahoma"/>
          <w:color w:val="auto"/>
        </w:rPr>
        <w:t>, en lo sucesivo</w:t>
      </w:r>
      <w:r w:rsidR="00544F32" w:rsidRPr="0046693C">
        <w:rPr>
          <w:rFonts w:eastAsia="Calibri" w:cs="Tahoma"/>
          <w:color w:val="auto"/>
        </w:rPr>
        <w:t xml:space="preserve"> </w:t>
      </w:r>
      <w:r w:rsidRPr="0046693C">
        <w:rPr>
          <w:rFonts w:cs="Tahoma"/>
          <w:color w:val="auto"/>
        </w:rPr>
        <w:t>Recurrente o Pa</w:t>
      </w:r>
      <w:r w:rsidR="007563FE">
        <w:rPr>
          <w:rFonts w:cs="Tahoma"/>
          <w:color w:val="auto"/>
        </w:rPr>
        <w:t xml:space="preserve">rticular, en contra </w:t>
      </w:r>
      <w:r w:rsidRPr="0046693C">
        <w:rPr>
          <w:rFonts w:cs="Tahoma"/>
          <w:color w:val="auto"/>
        </w:rPr>
        <w:t xml:space="preserve">de </w:t>
      </w:r>
      <w:r w:rsidR="007563FE">
        <w:rPr>
          <w:rFonts w:cs="Tahoma"/>
          <w:color w:val="auto"/>
        </w:rPr>
        <w:t xml:space="preserve">la </w:t>
      </w:r>
      <w:r w:rsidRPr="0046693C">
        <w:rPr>
          <w:rFonts w:cs="Tahoma"/>
          <w:color w:val="auto"/>
        </w:rPr>
        <w:t xml:space="preserve">respuesta del Sujeto Obligado, </w:t>
      </w:r>
      <w:r w:rsidR="007F2A65" w:rsidRPr="007563FE">
        <w:rPr>
          <w:rFonts w:cs="Tahoma"/>
          <w:b/>
          <w:color w:val="auto"/>
        </w:rPr>
        <w:t>Ayuntamiento de Nopaltepec</w:t>
      </w:r>
      <w:r w:rsidRPr="007563FE">
        <w:rPr>
          <w:rFonts w:cs="Tahoma"/>
          <w:b/>
          <w:color w:val="auto"/>
        </w:rPr>
        <w:t>,</w:t>
      </w:r>
      <w:r w:rsidRPr="0046693C">
        <w:rPr>
          <w:rFonts w:cs="Tahoma"/>
          <w:color w:val="auto"/>
        </w:rPr>
        <w:t xml:space="preserve"> a la solicitud de acceso a la información pública</w:t>
      </w:r>
      <w:r w:rsidRPr="0046693C">
        <w:rPr>
          <w:b/>
          <w:bCs/>
          <w:color w:val="auto"/>
        </w:rPr>
        <w:t> </w:t>
      </w:r>
      <w:r w:rsidR="007F2A65" w:rsidRPr="00C80E91">
        <w:rPr>
          <w:rFonts w:cs="Tahoma"/>
          <w:b/>
          <w:bCs/>
          <w:color w:val="auto"/>
        </w:rPr>
        <w:t>00030/NOPALTE/IP/2025</w:t>
      </w:r>
      <w:r w:rsidRPr="0046693C">
        <w:rPr>
          <w:rFonts w:cs="Tahoma"/>
          <w:iCs/>
          <w:color w:val="auto"/>
        </w:rPr>
        <w:t>,</w:t>
      </w:r>
      <w:r w:rsidRPr="0046693C">
        <w:rPr>
          <w:rFonts w:cs="Tahoma"/>
          <w:color w:val="auto"/>
        </w:rPr>
        <w:t xml:space="preserve"> se emite</w:t>
      </w:r>
      <w:r w:rsidRPr="0046693C">
        <w:rPr>
          <w:rFonts w:cs="Tahoma"/>
          <w:bCs/>
          <w:color w:val="auto"/>
        </w:rPr>
        <w:t xml:space="preserve"> la presente Resolución, con base en los Antecedentes y Considerandos que se exponen a continuación:</w:t>
      </w:r>
    </w:p>
    <w:p w14:paraId="1CD88C60" w14:textId="77777777" w:rsidR="00F505D5" w:rsidRPr="0046693C" w:rsidRDefault="00F505D5" w:rsidP="00395324">
      <w:pPr>
        <w:spacing w:after="0" w:line="360" w:lineRule="auto"/>
        <w:contextualSpacing/>
        <w:rPr>
          <w:rFonts w:eastAsia="Calibri" w:cs="Tahoma"/>
          <w:b/>
          <w:bCs/>
          <w:color w:val="auto"/>
        </w:rPr>
      </w:pPr>
    </w:p>
    <w:p w14:paraId="3A8E036F" w14:textId="34A85CD9" w:rsidR="00F505D5" w:rsidRPr="0046693C" w:rsidRDefault="0046693C" w:rsidP="00395324">
      <w:pPr>
        <w:spacing w:after="0" w:line="360" w:lineRule="auto"/>
        <w:contextualSpacing/>
        <w:jc w:val="center"/>
        <w:rPr>
          <w:rFonts w:eastAsia="Calibri" w:cs="Tahoma"/>
          <w:b/>
          <w:bCs/>
          <w:color w:val="auto"/>
          <w:lang w:val="es-ES"/>
        </w:rPr>
      </w:pPr>
      <w:r>
        <w:rPr>
          <w:rFonts w:eastAsia="Calibri" w:cs="Tahoma"/>
          <w:b/>
          <w:bCs/>
          <w:color w:val="auto"/>
          <w:lang w:val="es-ES"/>
        </w:rPr>
        <w:t>A N T E C E D E N T E S</w:t>
      </w:r>
    </w:p>
    <w:p w14:paraId="75269AE1" w14:textId="77777777" w:rsidR="00F505D5" w:rsidRPr="0046693C" w:rsidRDefault="00F505D5" w:rsidP="00395324">
      <w:pPr>
        <w:spacing w:after="0" w:line="360" w:lineRule="auto"/>
        <w:contextualSpacing/>
        <w:rPr>
          <w:color w:val="FF0000"/>
          <w:lang w:val="es-ES"/>
        </w:rPr>
      </w:pPr>
    </w:p>
    <w:p w14:paraId="6510969B" w14:textId="4DFBB1C1" w:rsidR="00F505D5" w:rsidRPr="00917D11" w:rsidRDefault="00F505D5" w:rsidP="00395324">
      <w:pPr>
        <w:spacing w:after="0" w:line="360" w:lineRule="auto"/>
        <w:contextualSpacing/>
        <w:rPr>
          <w:rFonts w:eastAsia="Calibri" w:cs="Tahoma"/>
          <w:b/>
          <w:bCs/>
          <w:color w:val="auto"/>
          <w:lang w:val="es-ES"/>
        </w:rPr>
      </w:pPr>
      <w:r w:rsidRPr="00917D11">
        <w:rPr>
          <w:rFonts w:eastAsia="Calibri" w:cs="Tahoma"/>
          <w:b/>
          <w:bCs/>
          <w:color w:val="auto"/>
          <w:lang w:val="es-ES"/>
        </w:rPr>
        <w:t>I. Presentación</w:t>
      </w:r>
      <w:r w:rsidR="00917D11" w:rsidRPr="00917D11">
        <w:rPr>
          <w:rFonts w:eastAsia="Calibri" w:cs="Tahoma"/>
          <w:b/>
          <w:bCs/>
          <w:color w:val="auto"/>
          <w:lang w:val="es-ES"/>
        </w:rPr>
        <w:t xml:space="preserve"> de la solicitud de información</w:t>
      </w:r>
    </w:p>
    <w:p w14:paraId="486EB5AA" w14:textId="77777777" w:rsidR="00F505D5" w:rsidRPr="0046693C" w:rsidRDefault="00F505D5" w:rsidP="00395324">
      <w:pPr>
        <w:spacing w:after="0" w:line="360" w:lineRule="auto"/>
        <w:contextualSpacing/>
        <w:rPr>
          <w:rFonts w:eastAsia="Calibri" w:cs="Tahoma"/>
          <w:b/>
          <w:bCs/>
          <w:color w:val="FF0000"/>
          <w:lang w:val="es-ES"/>
        </w:rPr>
      </w:pPr>
    </w:p>
    <w:p w14:paraId="5A3C102D" w14:textId="28267A1F" w:rsidR="00F505D5" w:rsidRPr="00917D11" w:rsidRDefault="00544F32" w:rsidP="00395324">
      <w:pPr>
        <w:spacing w:after="0" w:line="360" w:lineRule="auto"/>
        <w:contextualSpacing/>
        <w:rPr>
          <w:rFonts w:eastAsia="Calibri" w:cs="Tahoma"/>
          <w:color w:val="auto"/>
          <w:lang w:val="es-ES"/>
        </w:rPr>
      </w:pPr>
      <w:r w:rsidRPr="00917D11">
        <w:rPr>
          <w:rFonts w:eastAsia="Calibri" w:cs="Tahoma"/>
          <w:color w:val="auto"/>
          <w:lang w:val="es-ES"/>
        </w:rPr>
        <w:t xml:space="preserve">El </w:t>
      </w:r>
      <w:r w:rsidR="007F2A65">
        <w:rPr>
          <w:rFonts w:eastAsia="Calibri" w:cs="Tahoma"/>
          <w:color w:val="auto"/>
          <w:lang w:val="es-ES"/>
        </w:rPr>
        <w:t>catorce de noviembre de dos mil veinticinco</w:t>
      </w:r>
      <w:r w:rsidR="00917D11" w:rsidRPr="00917D11">
        <w:rPr>
          <w:rFonts w:eastAsia="Calibri" w:cs="Tahoma"/>
          <w:color w:val="auto"/>
          <w:lang w:val="es-ES"/>
        </w:rPr>
        <w:t xml:space="preserve"> </w:t>
      </w:r>
      <w:r w:rsidR="00F505D5" w:rsidRPr="00917D11">
        <w:rPr>
          <w:rFonts w:eastAsia="Calibri" w:cs="Tahoma"/>
          <w:color w:val="auto"/>
          <w:lang w:val="es-ES"/>
        </w:rPr>
        <w:t xml:space="preserve">se presentó una solicitud de información del Particular, </w:t>
      </w:r>
      <w:r w:rsidR="00661311" w:rsidRPr="000103D9">
        <w:rPr>
          <w:rFonts w:cs="Tahoma"/>
        </w:rPr>
        <w:t>a través de</w:t>
      </w:r>
      <w:r w:rsidR="001A3135">
        <w:rPr>
          <w:rFonts w:cs="Tahoma"/>
        </w:rPr>
        <w:t>l Sistema de Acceso a la Información Mexiquense SAIMEX</w:t>
      </w:r>
      <w:r w:rsidR="00F505D5" w:rsidRPr="00917D11">
        <w:rPr>
          <w:rFonts w:eastAsia="Calibri" w:cs="Tahoma"/>
          <w:color w:val="auto"/>
          <w:lang w:val="es-ES"/>
        </w:rPr>
        <w:t>, ante el</w:t>
      </w:r>
      <w:r w:rsidR="00F505D5" w:rsidRPr="00917D11">
        <w:rPr>
          <w:color w:val="auto"/>
        </w:rPr>
        <w:t xml:space="preserve"> </w:t>
      </w:r>
      <w:r w:rsidR="007F2A65">
        <w:rPr>
          <w:color w:val="auto"/>
        </w:rPr>
        <w:t>Ayuntamiento de Nopaltepec</w:t>
      </w:r>
      <w:r w:rsidR="00F505D5" w:rsidRPr="00917D11">
        <w:rPr>
          <w:rFonts w:eastAsia="Calibri" w:cs="Tahoma"/>
          <w:color w:val="auto"/>
        </w:rPr>
        <w:t xml:space="preserve">, </w:t>
      </w:r>
      <w:r w:rsidR="00F505D5" w:rsidRPr="00917D11">
        <w:rPr>
          <w:rFonts w:cs="Tahoma"/>
          <w:color w:val="auto"/>
        </w:rPr>
        <w:t>en los siguientes términos:</w:t>
      </w:r>
    </w:p>
    <w:p w14:paraId="4D456AE2" w14:textId="77777777" w:rsidR="00F505D5" w:rsidRPr="0046693C" w:rsidRDefault="00F505D5" w:rsidP="00395324">
      <w:pPr>
        <w:spacing w:after="0" w:line="360" w:lineRule="auto"/>
        <w:contextualSpacing/>
        <w:rPr>
          <w:rFonts w:cs="Tahoma"/>
          <w:color w:val="FF0000"/>
        </w:rPr>
      </w:pPr>
    </w:p>
    <w:p w14:paraId="7B224673" w14:textId="77777777" w:rsidR="00F505D5" w:rsidRPr="00917D11" w:rsidRDefault="00F505D5" w:rsidP="00395324">
      <w:pPr>
        <w:tabs>
          <w:tab w:val="left" w:pos="4667"/>
        </w:tabs>
        <w:spacing w:after="0" w:line="360" w:lineRule="auto"/>
        <w:ind w:left="567" w:right="567"/>
        <w:contextualSpacing/>
        <w:rPr>
          <w:rFonts w:cs="Tahoma"/>
          <w:b/>
          <w:bCs/>
          <w:i/>
          <w:color w:val="auto"/>
          <w:sz w:val="20"/>
          <w:szCs w:val="20"/>
        </w:rPr>
      </w:pPr>
      <w:r w:rsidRPr="00917D11">
        <w:rPr>
          <w:rFonts w:cs="Tahoma"/>
          <w:b/>
          <w:bCs/>
          <w:i/>
          <w:color w:val="auto"/>
          <w:sz w:val="20"/>
          <w:szCs w:val="20"/>
        </w:rPr>
        <w:t>“DESCRIPCIÓN CLARA Y PRECISA DE LA INFORMACIÓN SOLICITADA</w:t>
      </w:r>
    </w:p>
    <w:p w14:paraId="16958E9A" w14:textId="5BC272C9" w:rsidR="00A40551" w:rsidRPr="00917D11" w:rsidRDefault="001A3135" w:rsidP="00395324">
      <w:pPr>
        <w:tabs>
          <w:tab w:val="left" w:pos="4667"/>
        </w:tabs>
        <w:spacing w:after="0" w:line="360" w:lineRule="auto"/>
        <w:ind w:left="567" w:right="567"/>
        <w:rPr>
          <w:rFonts w:eastAsia="Palatino Linotype" w:cs="Palatino Linotype"/>
          <w:bCs/>
          <w:i/>
          <w:color w:val="auto"/>
          <w:sz w:val="20"/>
          <w:szCs w:val="20"/>
          <w:lang w:eastAsia="es-MX"/>
        </w:rPr>
      </w:pPr>
      <w:r w:rsidRPr="001A3135">
        <w:rPr>
          <w:rFonts w:eastAsia="Palatino Linotype" w:cs="Palatino Linotype"/>
          <w:bCs/>
          <w:i/>
          <w:color w:val="auto"/>
          <w:sz w:val="20"/>
          <w:szCs w:val="20"/>
          <w:lang w:eastAsia="es-MX"/>
        </w:rPr>
        <w:t>SOLICITO EL PADRON DE LAS EMPRESAS QUE SE ENCUENTRAN EN LA JURISDICCION DEL MUNICIPIO QUE SE DEDIQUEN A LA FABRICACION DE PRODUCTOS METALICOS EN DONDE SE INFORME LA RAZÓN SOCIAL, DOMICILIO Y NUMERO TELEFONICO, CORREO ELECTRONICO, SOY UN EMPRENDEDOR QUE BUSCA OFERCER ACERO CON EL OBJETO DE GENERAR NUEVOS EMPLEOS.</w:t>
      </w:r>
      <w:r w:rsidR="00F505D5" w:rsidRPr="00917D11">
        <w:rPr>
          <w:rFonts w:eastAsia="Palatino Linotype" w:cs="Palatino Linotype"/>
          <w:bCs/>
          <w:i/>
          <w:color w:val="auto"/>
          <w:sz w:val="20"/>
          <w:szCs w:val="20"/>
          <w:lang w:eastAsia="es-MX"/>
        </w:rPr>
        <w:t xml:space="preserve">” </w:t>
      </w:r>
      <w:r w:rsidR="00917D11">
        <w:rPr>
          <w:rFonts w:eastAsia="Palatino Linotype" w:cs="Palatino Linotype"/>
          <w:bCs/>
          <w:i/>
          <w:color w:val="auto"/>
          <w:sz w:val="20"/>
          <w:szCs w:val="20"/>
          <w:lang w:eastAsia="es-MX"/>
        </w:rPr>
        <w:t>(Sic)</w:t>
      </w:r>
    </w:p>
    <w:p w14:paraId="7FBC4EFE" w14:textId="77777777" w:rsidR="00917D11" w:rsidRDefault="00917D11" w:rsidP="00395324">
      <w:pPr>
        <w:tabs>
          <w:tab w:val="left" w:pos="4667"/>
        </w:tabs>
        <w:spacing w:after="0" w:line="360" w:lineRule="auto"/>
        <w:ind w:left="567" w:right="567"/>
        <w:rPr>
          <w:rFonts w:eastAsia="Palatino Linotype" w:cs="Palatino Linotype"/>
          <w:b/>
          <w:i/>
          <w:color w:val="auto"/>
          <w:sz w:val="20"/>
          <w:szCs w:val="20"/>
          <w:lang w:eastAsia="es-MX"/>
        </w:rPr>
      </w:pPr>
    </w:p>
    <w:p w14:paraId="0FA614C1" w14:textId="77777777" w:rsidR="00661311" w:rsidRDefault="00661311" w:rsidP="00395324">
      <w:pPr>
        <w:tabs>
          <w:tab w:val="left" w:pos="4667"/>
        </w:tabs>
        <w:spacing w:after="0" w:line="360" w:lineRule="auto"/>
        <w:ind w:left="567" w:right="567"/>
        <w:rPr>
          <w:rFonts w:eastAsia="Palatino Linotype" w:cs="Palatino Linotype"/>
          <w:b/>
          <w:i/>
          <w:color w:val="auto"/>
          <w:sz w:val="20"/>
          <w:szCs w:val="20"/>
          <w:lang w:eastAsia="es-MX"/>
        </w:rPr>
      </w:pPr>
    </w:p>
    <w:p w14:paraId="0FD9F551" w14:textId="062E3168" w:rsidR="00917D11" w:rsidRPr="00917D11" w:rsidRDefault="00917D11" w:rsidP="00395324">
      <w:pPr>
        <w:tabs>
          <w:tab w:val="left" w:pos="4667"/>
        </w:tabs>
        <w:spacing w:after="0" w:line="360" w:lineRule="auto"/>
        <w:ind w:left="567" w:right="567"/>
        <w:rPr>
          <w:rFonts w:eastAsia="Palatino Linotype" w:cs="Palatino Linotype"/>
          <w:b/>
          <w:i/>
          <w:color w:val="auto"/>
          <w:sz w:val="20"/>
          <w:szCs w:val="20"/>
          <w:lang w:eastAsia="es-MX"/>
        </w:rPr>
      </w:pPr>
      <w:r w:rsidRPr="00917D11">
        <w:rPr>
          <w:rFonts w:eastAsia="Palatino Linotype" w:cs="Palatino Linotype"/>
          <w:b/>
          <w:i/>
          <w:color w:val="auto"/>
          <w:sz w:val="20"/>
          <w:szCs w:val="20"/>
          <w:lang w:eastAsia="es-MX"/>
        </w:rPr>
        <w:t>Modalidad de Entrega:</w:t>
      </w:r>
    </w:p>
    <w:p w14:paraId="461B06BA" w14:textId="39F1A405" w:rsidR="00917D11" w:rsidRPr="00917D11" w:rsidRDefault="001A3135" w:rsidP="00395324">
      <w:pPr>
        <w:tabs>
          <w:tab w:val="left" w:pos="4667"/>
        </w:tabs>
        <w:spacing w:after="0" w:line="360" w:lineRule="auto"/>
        <w:ind w:left="567" w:right="567"/>
        <w:rPr>
          <w:rFonts w:eastAsia="Palatino Linotype" w:cs="Palatino Linotype"/>
          <w:bCs/>
          <w:i/>
          <w:color w:val="auto"/>
          <w:sz w:val="20"/>
          <w:szCs w:val="20"/>
          <w:lang w:eastAsia="es-MX"/>
        </w:rPr>
      </w:pPr>
      <w:r>
        <w:rPr>
          <w:rFonts w:eastAsia="Palatino Linotype" w:cs="Palatino Linotype"/>
          <w:b/>
          <w:i/>
          <w:color w:val="auto"/>
          <w:sz w:val="20"/>
          <w:szCs w:val="20"/>
          <w:lang w:eastAsia="es-MX"/>
        </w:rPr>
        <w:t>SAIMEX</w:t>
      </w:r>
    </w:p>
    <w:p w14:paraId="15DDD9ED" w14:textId="77777777" w:rsidR="00917D11" w:rsidRPr="00917D11" w:rsidRDefault="00917D11" w:rsidP="00395324">
      <w:pPr>
        <w:spacing w:after="0" w:line="360" w:lineRule="auto"/>
        <w:rPr>
          <w:rFonts w:eastAsia="Palatino Linotype" w:cs="Palatino Linotype"/>
          <w:color w:val="auto"/>
          <w:lang w:eastAsia="es-MX"/>
        </w:rPr>
      </w:pPr>
    </w:p>
    <w:p w14:paraId="52FB3433" w14:textId="77777777" w:rsidR="001A3135" w:rsidRPr="001A3135" w:rsidRDefault="001A3135" w:rsidP="00395324">
      <w:pPr>
        <w:spacing w:after="0" w:line="360" w:lineRule="auto"/>
        <w:rPr>
          <w:rFonts w:eastAsia="Palatino Linotype" w:cs="Palatino Linotype"/>
          <w:b/>
          <w:color w:val="000000"/>
          <w:lang w:eastAsia="es-ES_tradnl"/>
        </w:rPr>
      </w:pPr>
      <w:r w:rsidRPr="001A3135">
        <w:rPr>
          <w:rFonts w:eastAsia="Palatino Linotype" w:cs="Palatino Linotype"/>
          <w:b/>
          <w:color w:val="000000"/>
          <w:lang w:eastAsia="es-ES_tradnl"/>
        </w:rPr>
        <w:t>II. Respuesta del Sujeto Obligado</w:t>
      </w:r>
    </w:p>
    <w:p w14:paraId="0A0E7CF8" w14:textId="77777777" w:rsidR="001A3135" w:rsidRPr="001A3135" w:rsidRDefault="001A3135" w:rsidP="00395324">
      <w:pPr>
        <w:spacing w:after="0" w:line="360" w:lineRule="auto"/>
        <w:rPr>
          <w:rFonts w:eastAsia="Palatino Linotype" w:cs="Palatino Linotype"/>
          <w:b/>
          <w:color w:val="000000"/>
          <w:lang w:eastAsia="es-ES_tradnl"/>
        </w:rPr>
      </w:pPr>
    </w:p>
    <w:p w14:paraId="68DCF3E8" w14:textId="1B927077" w:rsidR="001A3135" w:rsidRDefault="001A3135" w:rsidP="00395324">
      <w:pPr>
        <w:spacing w:after="0" w:line="360" w:lineRule="auto"/>
        <w:rPr>
          <w:rFonts w:eastAsia="Palatino Linotype" w:cs="Palatino Linotype"/>
          <w:color w:val="000000"/>
          <w:lang w:eastAsia="es-ES_tradnl"/>
        </w:rPr>
      </w:pPr>
      <w:r w:rsidRPr="001A3135">
        <w:rPr>
          <w:rFonts w:eastAsia="Palatino Linotype" w:cs="Palatino Linotype"/>
          <w:color w:val="000000"/>
          <w:lang w:eastAsia="es-ES_tradnl"/>
        </w:rPr>
        <w:t xml:space="preserve">Con fecha </w:t>
      </w:r>
      <w:r w:rsidR="00733AAE">
        <w:rPr>
          <w:rFonts w:eastAsia="Palatino Linotype" w:cs="Palatino Linotype"/>
          <w:color w:val="000000"/>
          <w:lang w:eastAsia="es-ES_tradnl"/>
        </w:rPr>
        <w:t>dieciocho de noviembre</w:t>
      </w:r>
      <w:r w:rsidRPr="001A3135">
        <w:rPr>
          <w:rFonts w:eastAsia="Palatino Linotype" w:cs="Palatino Linotype"/>
          <w:color w:val="000000"/>
          <w:lang w:eastAsia="es-ES_tradnl"/>
        </w:rPr>
        <w:t xml:space="preserve"> dos mil veinticinco, el Sujeto Obligado notificó, a través del Sistema de Acceso a la Información Mexiquense (SAIMEX), la respuesta a la solicitud de acceso a la información pública, por medio </w:t>
      </w:r>
      <w:r w:rsidR="00733AAE">
        <w:rPr>
          <w:rFonts w:eastAsia="Palatino Linotype" w:cs="Palatino Linotype"/>
          <w:color w:val="000000"/>
          <w:lang w:eastAsia="es-ES_tradnl"/>
        </w:rPr>
        <w:t xml:space="preserve">de un archivo de texto sin </w:t>
      </w:r>
      <w:r w:rsidR="006F269E">
        <w:rPr>
          <w:rFonts w:eastAsia="Palatino Linotype" w:cs="Palatino Linotype"/>
          <w:color w:val="000000"/>
          <w:lang w:eastAsia="es-ES_tradnl"/>
        </w:rPr>
        <w:t xml:space="preserve">membrete, </w:t>
      </w:r>
      <w:r w:rsidR="00733AAE">
        <w:rPr>
          <w:rFonts w:eastAsia="Palatino Linotype" w:cs="Palatino Linotype"/>
          <w:color w:val="000000"/>
          <w:lang w:eastAsia="es-ES_tradnl"/>
        </w:rPr>
        <w:t xml:space="preserve">nombre, </w:t>
      </w:r>
      <w:r w:rsidR="006F269E">
        <w:rPr>
          <w:rFonts w:eastAsia="Palatino Linotype" w:cs="Palatino Linotype"/>
          <w:color w:val="000000"/>
          <w:lang w:eastAsia="es-ES_tradnl"/>
        </w:rPr>
        <w:t>o firma</w:t>
      </w:r>
      <w:r w:rsidR="00733AAE">
        <w:rPr>
          <w:rFonts w:eastAsia="Palatino Linotype" w:cs="Palatino Linotype"/>
          <w:color w:val="000000"/>
          <w:lang w:eastAsia="es-ES_tradnl"/>
        </w:rPr>
        <w:t xml:space="preserve"> del Servidor Público que la emitió, donde únicamente se plasmó el siguiente link: </w:t>
      </w:r>
    </w:p>
    <w:p w14:paraId="061C056D" w14:textId="77777777" w:rsidR="00C80E91" w:rsidRDefault="00C80E91" w:rsidP="00395324">
      <w:pPr>
        <w:spacing w:after="0" w:line="360" w:lineRule="auto"/>
        <w:jc w:val="center"/>
        <w:rPr>
          <w:rFonts w:eastAsia="Palatino Linotype" w:cs="Palatino Linotype"/>
          <w:b/>
          <w:i/>
          <w:color w:val="000000"/>
          <w:lang w:eastAsia="es-ES_tradnl"/>
        </w:rPr>
      </w:pPr>
    </w:p>
    <w:p w14:paraId="3BE0B684" w14:textId="676FA883" w:rsidR="00733AAE" w:rsidRPr="00395324" w:rsidRDefault="00733AAE" w:rsidP="00395324">
      <w:pPr>
        <w:spacing w:after="0" w:line="360" w:lineRule="auto"/>
        <w:jc w:val="center"/>
        <w:rPr>
          <w:rFonts w:eastAsia="Palatino Linotype" w:cs="Palatino Linotype"/>
          <w:b/>
          <w:i/>
          <w:color w:val="000000"/>
          <w:sz w:val="20"/>
          <w:szCs w:val="20"/>
          <w:lang w:eastAsia="es-ES_tradnl"/>
        </w:rPr>
      </w:pPr>
      <w:r w:rsidRPr="00395324">
        <w:rPr>
          <w:rFonts w:eastAsia="Palatino Linotype" w:cs="Palatino Linotype"/>
          <w:b/>
          <w:i/>
          <w:color w:val="000000"/>
          <w:sz w:val="20"/>
          <w:szCs w:val="20"/>
          <w:lang w:eastAsia="es-ES_tradnl"/>
        </w:rPr>
        <w:t>https://www.nopaltepec.gob.mx/TransparenciaMunicipal.html</w:t>
      </w:r>
    </w:p>
    <w:p w14:paraId="7F8605DC" w14:textId="77777777" w:rsidR="001A3135" w:rsidRPr="001A3135" w:rsidRDefault="001A3135" w:rsidP="00395324">
      <w:pPr>
        <w:spacing w:after="0" w:line="360" w:lineRule="auto"/>
        <w:jc w:val="center"/>
        <w:rPr>
          <w:rFonts w:eastAsia="Palatino Linotype" w:cs="Palatino Linotype"/>
          <w:b/>
          <w:i/>
          <w:color w:val="000000"/>
          <w:lang w:eastAsia="es-ES_tradnl"/>
        </w:rPr>
      </w:pPr>
    </w:p>
    <w:p w14:paraId="539BCF6B" w14:textId="77777777" w:rsidR="001A3135" w:rsidRPr="001A3135" w:rsidRDefault="001A3135" w:rsidP="00395324">
      <w:pPr>
        <w:spacing w:after="0" w:line="360" w:lineRule="auto"/>
        <w:rPr>
          <w:rFonts w:eastAsia="Palatino Linotype" w:cs="Palatino Linotype"/>
          <w:b/>
          <w:color w:val="000000"/>
          <w:lang w:eastAsia="es-ES_tradnl"/>
        </w:rPr>
      </w:pPr>
      <w:r w:rsidRPr="001A3135">
        <w:rPr>
          <w:rFonts w:eastAsia="Palatino Linotype" w:cs="Palatino Linotype"/>
          <w:b/>
          <w:color w:val="000000"/>
          <w:lang w:eastAsia="es-ES_tradnl"/>
        </w:rPr>
        <w:t>III. Interposición del Recurso de Revisión</w:t>
      </w:r>
    </w:p>
    <w:p w14:paraId="1B711783" w14:textId="77777777" w:rsidR="001A3135" w:rsidRPr="001A3135" w:rsidRDefault="001A3135" w:rsidP="00395324">
      <w:pPr>
        <w:spacing w:after="0" w:line="360" w:lineRule="auto"/>
        <w:rPr>
          <w:rFonts w:eastAsia="Palatino Linotype" w:cs="Palatino Linotype"/>
          <w:b/>
          <w:color w:val="000000"/>
          <w:lang w:eastAsia="es-ES_tradnl"/>
        </w:rPr>
      </w:pPr>
    </w:p>
    <w:p w14:paraId="5C9FB5AF" w14:textId="6271A29A" w:rsidR="001A3135" w:rsidRPr="001A3135" w:rsidRDefault="001A3135" w:rsidP="00395324">
      <w:pPr>
        <w:spacing w:after="0" w:line="360" w:lineRule="auto"/>
        <w:rPr>
          <w:rFonts w:eastAsia="Palatino Linotype" w:cs="Palatino Linotype"/>
          <w:color w:val="000000"/>
          <w:lang w:eastAsia="es-ES_tradnl"/>
        </w:rPr>
      </w:pPr>
      <w:r w:rsidRPr="001A3135">
        <w:rPr>
          <w:rFonts w:eastAsia="Palatino Linotype" w:cs="Palatino Linotype"/>
          <w:color w:val="000000"/>
          <w:lang w:eastAsia="es-ES_tradnl"/>
        </w:rPr>
        <w:t xml:space="preserve">Con fecha </w:t>
      </w:r>
      <w:r w:rsidR="006F269E">
        <w:rPr>
          <w:rFonts w:eastAsia="Palatino Linotype" w:cs="Palatino Linotype"/>
          <w:color w:val="000000"/>
          <w:lang w:eastAsia="es-ES_tradnl"/>
        </w:rPr>
        <w:t>dieciocho de noviembre</w:t>
      </w:r>
      <w:r w:rsidRPr="001A3135">
        <w:rPr>
          <w:rFonts w:eastAsia="Palatino Linotype" w:cs="Palatino Linotype"/>
          <w:color w:val="000000"/>
          <w:lang w:eastAsia="es-ES_tradnl"/>
        </w:rPr>
        <w:t xml:space="preserve"> de dos mil veinticinco, se recibió en este Instituto, a través del Sistema de Acceso a la Información Mexiquense (SAIMEX), Recurso de Revisión interpuesto por la parte Recurrente, en contra de la respuesta por el Sujeto Obligado, a la solicitud de información, en los siguientes términos:</w:t>
      </w:r>
    </w:p>
    <w:p w14:paraId="7609E425" w14:textId="77777777" w:rsidR="001A3135" w:rsidRPr="001A3135" w:rsidRDefault="001A3135" w:rsidP="00395324">
      <w:pPr>
        <w:spacing w:after="0" w:line="360" w:lineRule="auto"/>
        <w:rPr>
          <w:rFonts w:eastAsia="Palatino Linotype" w:cs="Palatino Linotype"/>
          <w:b/>
          <w:color w:val="000000"/>
          <w:lang w:eastAsia="es-ES_tradnl"/>
        </w:rPr>
      </w:pPr>
    </w:p>
    <w:p w14:paraId="74825D05" w14:textId="77777777" w:rsidR="001A3135" w:rsidRPr="001A3135" w:rsidRDefault="001A3135" w:rsidP="00395324">
      <w:pPr>
        <w:spacing w:after="0" w:line="360" w:lineRule="auto"/>
        <w:ind w:left="567" w:right="567"/>
        <w:rPr>
          <w:rFonts w:eastAsia="Palatino Linotype" w:cs="Palatino Linotype"/>
          <w:b/>
          <w:i/>
          <w:iCs/>
          <w:color w:val="000000"/>
          <w:sz w:val="20"/>
          <w:szCs w:val="20"/>
          <w:lang w:eastAsia="es-ES_tradnl"/>
        </w:rPr>
      </w:pPr>
      <w:r w:rsidRPr="001A3135">
        <w:rPr>
          <w:rFonts w:eastAsia="Palatino Linotype" w:cs="Palatino Linotype"/>
          <w:b/>
          <w:color w:val="000000"/>
          <w:lang w:eastAsia="es-ES_tradnl"/>
        </w:rPr>
        <w:t>“</w:t>
      </w:r>
      <w:r w:rsidRPr="001A3135">
        <w:rPr>
          <w:rFonts w:eastAsia="Palatino Linotype" w:cs="Palatino Linotype"/>
          <w:b/>
          <w:i/>
          <w:iCs/>
          <w:color w:val="000000"/>
          <w:sz w:val="20"/>
          <w:szCs w:val="20"/>
          <w:lang w:eastAsia="es-ES_tradnl"/>
        </w:rPr>
        <w:t>ACTO IMPUGNADO</w:t>
      </w:r>
    </w:p>
    <w:p w14:paraId="48377324" w14:textId="7F308B87" w:rsidR="001A3135" w:rsidRPr="001A3135" w:rsidRDefault="006F269E" w:rsidP="00395324">
      <w:pPr>
        <w:spacing w:after="0" w:line="360" w:lineRule="auto"/>
        <w:ind w:left="567" w:right="567"/>
        <w:rPr>
          <w:rFonts w:eastAsia="Palatino Linotype" w:cs="Palatino Linotype"/>
          <w:i/>
          <w:iCs/>
          <w:color w:val="000000"/>
          <w:sz w:val="20"/>
          <w:szCs w:val="20"/>
          <w:lang w:eastAsia="es-ES_tradnl"/>
        </w:rPr>
      </w:pPr>
      <w:r w:rsidRPr="006F269E">
        <w:rPr>
          <w:rFonts w:eastAsia="Palatino Linotype" w:cs="Palatino Linotype"/>
          <w:i/>
          <w:iCs/>
          <w:color w:val="000000"/>
          <w:sz w:val="20"/>
          <w:szCs w:val="20"/>
          <w:lang w:eastAsia="es-ES_tradnl"/>
        </w:rPr>
        <w:t>LA RESPUESTA A LA SOLICITUD ELABORADA,</w:t>
      </w:r>
      <w:r w:rsidR="001A3135" w:rsidRPr="001A3135">
        <w:rPr>
          <w:rFonts w:eastAsia="Palatino Linotype" w:cs="Palatino Linotype"/>
          <w:i/>
          <w:iCs/>
          <w:color w:val="000000"/>
          <w:sz w:val="20"/>
          <w:szCs w:val="20"/>
          <w:lang w:eastAsia="es-ES_tradnl"/>
        </w:rPr>
        <w:t>” (Sic.)</w:t>
      </w:r>
    </w:p>
    <w:p w14:paraId="1248FC54" w14:textId="77777777" w:rsidR="001A3135" w:rsidRPr="001A3135" w:rsidRDefault="001A3135" w:rsidP="00395324">
      <w:pPr>
        <w:spacing w:after="0" w:line="360" w:lineRule="auto"/>
        <w:ind w:left="567" w:right="567"/>
        <w:rPr>
          <w:rFonts w:eastAsia="Palatino Linotype" w:cs="Palatino Linotype"/>
          <w:b/>
          <w:i/>
          <w:iCs/>
          <w:color w:val="000000"/>
          <w:sz w:val="20"/>
          <w:szCs w:val="20"/>
          <w:lang w:eastAsia="es-ES_tradnl"/>
        </w:rPr>
      </w:pPr>
    </w:p>
    <w:p w14:paraId="1504EA99" w14:textId="77777777" w:rsidR="001A3135" w:rsidRPr="001A3135" w:rsidRDefault="001A3135" w:rsidP="00395324">
      <w:pPr>
        <w:spacing w:after="0" w:line="360" w:lineRule="auto"/>
        <w:ind w:left="567" w:right="567"/>
        <w:rPr>
          <w:rFonts w:eastAsia="Palatino Linotype" w:cs="Palatino Linotype"/>
          <w:b/>
          <w:i/>
          <w:iCs/>
          <w:color w:val="000000"/>
          <w:sz w:val="20"/>
          <w:szCs w:val="20"/>
          <w:lang w:eastAsia="es-ES_tradnl"/>
        </w:rPr>
      </w:pPr>
      <w:r w:rsidRPr="001A3135">
        <w:rPr>
          <w:rFonts w:eastAsia="Palatino Linotype" w:cs="Palatino Linotype"/>
          <w:b/>
          <w:i/>
          <w:iCs/>
          <w:color w:val="000000"/>
          <w:sz w:val="20"/>
          <w:szCs w:val="20"/>
          <w:lang w:eastAsia="es-ES_tradnl"/>
        </w:rPr>
        <w:t>“RAZONES O MOTIVOS DE LA INCONFORMIDAD</w:t>
      </w:r>
    </w:p>
    <w:p w14:paraId="78A8BF61" w14:textId="0C7A9C5A" w:rsidR="001A3135" w:rsidRPr="001A3135" w:rsidRDefault="006F269E" w:rsidP="00395324">
      <w:pPr>
        <w:spacing w:after="0" w:line="360" w:lineRule="auto"/>
        <w:ind w:left="567" w:right="567"/>
        <w:rPr>
          <w:rFonts w:eastAsia="Palatino Linotype" w:cs="Palatino Linotype"/>
          <w:i/>
          <w:iCs/>
          <w:color w:val="000000"/>
          <w:sz w:val="20"/>
          <w:szCs w:val="20"/>
          <w:lang w:eastAsia="es-ES_tradnl"/>
        </w:rPr>
      </w:pPr>
      <w:r w:rsidRPr="006F269E">
        <w:rPr>
          <w:rFonts w:eastAsia="Palatino Linotype" w:cs="Palatino Linotype"/>
          <w:i/>
          <w:iCs/>
          <w:color w:val="000000"/>
          <w:sz w:val="20"/>
          <w:szCs w:val="20"/>
          <w:lang w:eastAsia="es-ES_tradnl"/>
        </w:rPr>
        <w:t xml:space="preserve">El </w:t>
      </w:r>
      <w:proofErr w:type="spellStart"/>
      <w:r w:rsidRPr="006F269E">
        <w:rPr>
          <w:rFonts w:eastAsia="Palatino Linotype" w:cs="Palatino Linotype"/>
          <w:i/>
          <w:iCs/>
          <w:color w:val="000000"/>
          <w:sz w:val="20"/>
          <w:szCs w:val="20"/>
          <w:lang w:eastAsia="es-ES_tradnl"/>
        </w:rPr>
        <w:t>ayuntamineto</w:t>
      </w:r>
      <w:proofErr w:type="spellEnd"/>
      <w:r w:rsidRPr="006F269E">
        <w:rPr>
          <w:rFonts w:eastAsia="Palatino Linotype" w:cs="Palatino Linotype"/>
          <w:i/>
          <w:iCs/>
          <w:color w:val="000000"/>
          <w:sz w:val="20"/>
          <w:szCs w:val="20"/>
          <w:lang w:eastAsia="es-ES_tradnl"/>
        </w:rPr>
        <w:t xml:space="preserve"> entregó un link que no coincide que la solicitud hecha del link no se desprende la </w:t>
      </w:r>
      <w:proofErr w:type="spellStart"/>
      <w:r w:rsidRPr="006F269E">
        <w:rPr>
          <w:rFonts w:eastAsia="Palatino Linotype" w:cs="Palatino Linotype"/>
          <w:i/>
          <w:iCs/>
          <w:color w:val="000000"/>
          <w:sz w:val="20"/>
          <w:szCs w:val="20"/>
          <w:lang w:eastAsia="es-ES_tradnl"/>
        </w:rPr>
        <w:t>informacion</w:t>
      </w:r>
      <w:proofErr w:type="spellEnd"/>
      <w:r w:rsidRPr="006F269E">
        <w:rPr>
          <w:rFonts w:eastAsia="Palatino Linotype" w:cs="Palatino Linotype"/>
          <w:i/>
          <w:iCs/>
          <w:color w:val="000000"/>
          <w:sz w:val="20"/>
          <w:szCs w:val="20"/>
          <w:lang w:eastAsia="es-ES_tradnl"/>
        </w:rPr>
        <w:t xml:space="preserve"> requerida.</w:t>
      </w:r>
      <w:r w:rsidR="001A3135" w:rsidRPr="001A3135">
        <w:rPr>
          <w:rFonts w:eastAsia="Palatino Linotype" w:cs="Palatino Linotype"/>
          <w:i/>
          <w:iCs/>
          <w:color w:val="000000"/>
          <w:sz w:val="20"/>
          <w:szCs w:val="20"/>
          <w:lang w:eastAsia="es-ES_tradnl"/>
        </w:rPr>
        <w:t>” (Sic.)</w:t>
      </w:r>
    </w:p>
    <w:p w14:paraId="7CC2D73C" w14:textId="77777777" w:rsidR="001A3135" w:rsidRPr="001A3135" w:rsidRDefault="001A3135" w:rsidP="00395324">
      <w:pPr>
        <w:spacing w:after="0" w:line="360" w:lineRule="auto"/>
        <w:rPr>
          <w:rFonts w:eastAsia="Palatino Linotype" w:cs="Palatino Linotype"/>
          <w:b/>
          <w:color w:val="000000"/>
          <w:lang w:eastAsia="es-ES_tradnl"/>
        </w:rPr>
      </w:pPr>
    </w:p>
    <w:p w14:paraId="59C80152" w14:textId="77777777" w:rsidR="001A3135" w:rsidRPr="001A3135" w:rsidRDefault="001A3135" w:rsidP="00395324">
      <w:pPr>
        <w:spacing w:after="0" w:line="360" w:lineRule="auto"/>
        <w:rPr>
          <w:rFonts w:eastAsia="Palatino Linotype" w:cs="Palatino Linotype"/>
          <w:b/>
          <w:color w:val="000000"/>
          <w:lang w:eastAsia="es-ES_tradnl"/>
        </w:rPr>
      </w:pPr>
      <w:r w:rsidRPr="001A3135">
        <w:rPr>
          <w:rFonts w:eastAsia="Palatino Linotype" w:cs="Palatino Linotype"/>
          <w:b/>
          <w:color w:val="000000"/>
          <w:lang w:eastAsia="es-ES_tradnl"/>
        </w:rPr>
        <w:t>IV. Trámite del Recurso de Revisión ante este Instituto</w:t>
      </w:r>
    </w:p>
    <w:p w14:paraId="68E78F9D" w14:textId="77777777" w:rsidR="001A3135" w:rsidRPr="001A3135" w:rsidRDefault="001A3135" w:rsidP="00395324">
      <w:pPr>
        <w:spacing w:after="0" w:line="360" w:lineRule="auto"/>
        <w:rPr>
          <w:rFonts w:eastAsia="Palatino Linotype" w:cs="Palatino Linotype"/>
          <w:b/>
          <w:color w:val="000000"/>
          <w:lang w:eastAsia="es-ES_tradnl"/>
        </w:rPr>
      </w:pPr>
    </w:p>
    <w:p w14:paraId="167D584C" w14:textId="366EACE0" w:rsidR="001A3135" w:rsidRPr="001A3135" w:rsidRDefault="001A3135" w:rsidP="00395324">
      <w:pPr>
        <w:spacing w:after="0" w:line="360" w:lineRule="auto"/>
        <w:rPr>
          <w:rFonts w:eastAsia="Palatino Linotype" w:cs="Palatino Linotype"/>
          <w:color w:val="000000"/>
          <w:lang w:eastAsia="es-ES_tradnl"/>
        </w:rPr>
      </w:pPr>
      <w:r w:rsidRPr="001A3135">
        <w:rPr>
          <w:rFonts w:eastAsia="Palatino Linotype" w:cs="Palatino Linotype"/>
          <w:color w:val="000000"/>
          <w:lang w:eastAsia="es-ES_tradnl"/>
        </w:rPr>
        <w:lastRenderedPageBreak/>
        <w:t xml:space="preserve">a) </w:t>
      </w:r>
      <w:r w:rsidRPr="001A3135">
        <w:rPr>
          <w:rFonts w:eastAsia="Palatino Linotype" w:cs="Palatino Linotype"/>
          <w:b/>
          <w:color w:val="000000"/>
          <w:lang w:eastAsia="es-ES_tradnl"/>
        </w:rPr>
        <w:t>Turno del Medio de Impugnación</w:t>
      </w:r>
      <w:r w:rsidRPr="001A3135">
        <w:rPr>
          <w:rFonts w:eastAsia="Palatino Linotype" w:cs="Palatino Linotype"/>
          <w:color w:val="000000"/>
          <w:lang w:eastAsia="es-ES_tradnl"/>
        </w:rPr>
        <w:t xml:space="preserve">. El </w:t>
      </w:r>
      <w:r w:rsidR="006F269E" w:rsidRPr="006F269E">
        <w:rPr>
          <w:rFonts w:eastAsia="Palatino Linotype" w:cs="Palatino Linotype"/>
          <w:color w:val="000000"/>
          <w:lang w:eastAsia="es-ES_tradnl"/>
        </w:rPr>
        <w:t>dieciocho de noviembre de dos mil veinticinco</w:t>
      </w:r>
      <w:r w:rsidRPr="001A3135">
        <w:rPr>
          <w:rFonts w:eastAsia="Palatino Linotype" w:cs="Palatino Linotype"/>
          <w:color w:val="000000"/>
          <w:lang w:eastAsia="es-ES_tradnl"/>
        </w:rPr>
        <w:t xml:space="preserve">, el Sistema de Acceso a la Información Mexiquense (SAIMEX), asignó el número de expediente </w:t>
      </w:r>
      <w:r w:rsidR="006F269E">
        <w:rPr>
          <w:rFonts w:eastAsia="Palatino Linotype" w:cs="Palatino Linotype"/>
          <w:b/>
          <w:color w:val="000000"/>
          <w:lang w:eastAsia="es-ES_tradnl"/>
        </w:rPr>
        <w:t>13096</w:t>
      </w:r>
      <w:r w:rsidRPr="001A3135">
        <w:rPr>
          <w:rFonts w:eastAsia="Palatino Linotype" w:cs="Palatino Linotype"/>
          <w:b/>
          <w:color w:val="000000"/>
          <w:lang w:eastAsia="es-ES_tradnl"/>
        </w:rPr>
        <w:t>/INFOEM/IP/RR/2025</w:t>
      </w:r>
      <w:r w:rsidRPr="001A3135">
        <w:rPr>
          <w:rFonts w:eastAsia="Palatino Linotype" w:cs="Palatino Linotype"/>
          <w:color w:val="000000"/>
          <w:lang w:eastAsia="es-ES_tradnl"/>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1B1226A" w14:textId="77777777" w:rsidR="001A3135" w:rsidRPr="001A3135" w:rsidRDefault="001A3135" w:rsidP="00395324">
      <w:pPr>
        <w:spacing w:after="0" w:line="360" w:lineRule="auto"/>
        <w:rPr>
          <w:rFonts w:eastAsia="Palatino Linotype" w:cs="Palatino Linotype"/>
          <w:color w:val="000000"/>
          <w:lang w:eastAsia="es-ES_tradnl"/>
        </w:rPr>
      </w:pPr>
    </w:p>
    <w:p w14:paraId="63822F4C" w14:textId="43DF1A1E" w:rsidR="001A3135" w:rsidRPr="001A3135" w:rsidRDefault="001A3135" w:rsidP="00395324">
      <w:pPr>
        <w:spacing w:after="0" w:line="360" w:lineRule="auto"/>
        <w:rPr>
          <w:rFonts w:eastAsia="Palatino Linotype" w:cs="Palatino Linotype"/>
          <w:color w:val="000000"/>
          <w:lang w:eastAsia="es-ES_tradnl"/>
        </w:rPr>
      </w:pPr>
      <w:r w:rsidRPr="001A3135">
        <w:rPr>
          <w:rFonts w:eastAsia="Palatino Linotype" w:cs="Palatino Linotype"/>
          <w:color w:val="000000"/>
          <w:lang w:eastAsia="es-ES_tradnl"/>
        </w:rPr>
        <w:t xml:space="preserve">b) </w:t>
      </w:r>
      <w:r w:rsidRPr="001A3135">
        <w:rPr>
          <w:rFonts w:eastAsia="Palatino Linotype" w:cs="Palatino Linotype"/>
          <w:b/>
          <w:color w:val="000000"/>
          <w:lang w:eastAsia="es-ES_tradnl"/>
        </w:rPr>
        <w:t>Admisión del Recurso de Revisión</w:t>
      </w:r>
      <w:r w:rsidRPr="001A3135">
        <w:rPr>
          <w:rFonts w:eastAsia="Palatino Linotype" w:cs="Palatino Linotype"/>
          <w:color w:val="000000"/>
          <w:lang w:eastAsia="es-ES_tradnl"/>
        </w:rPr>
        <w:t xml:space="preserve">. El </w:t>
      </w:r>
      <w:r w:rsidR="00427ED7">
        <w:rPr>
          <w:rFonts w:eastAsia="Palatino Linotype" w:cs="Palatino Linotype"/>
          <w:color w:val="000000"/>
          <w:lang w:eastAsia="es-ES_tradnl"/>
        </w:rPr>
        <w:t>veintiuno de noviembre</w:t>
      </w:r>
      <w:r w:rsidRPr="001A3135">
        <w:rPr>
          <w:rFonts w:eastAsia="Palatino Linotype" w:cs="Palatino Linotype"/>
          <w:color w:val="000000"/>
          <w:lang w:eastAsia="es-ES_tradnl"/>
        </w:rPr>
        <w:t xml:space="preserve"> 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once de dicho mes y año, a través del Sistema de Acceso a la Información Mexiquense (SAIMEX), en el que se les otorgó un plazo de siete días hábiles posteriores a la misma, para que manifestaran lo que a su derecho conviniera y formularan alegatos.</w:t>
      </w:r>
    </w:p>
    <w:p w14:paraId="145D5AF1" w14:textId="77777777" w:rsidR="001A3135" w:rsidRPr="001A3135" w:rsidRDefault="001A3135" w:rsidP="00395324">
      <w:pPr>
        <w:spacing w:after="0" w:line="360" w:lineRule="auto"/>
        <w:rPr>
          <w:rFonts w:eastAsia="Palatino Linotype" w:cs="Palatino Linotype"/>
          <w:color w:val="000000"/>
          <w:lang w:eastAsia="es-ES_tradnl"/>
        </w:rPr>
      </w:pPr>
    </w:p>
    <w:p w14:paraId="5C768B58" w14:textId="4B5B7730" w:rsidR="001A3135" w:rsidRPr="001A3135" w:rsidRDefault="001A3135" w:rsidP="00395324">
      <w:pPr>
        <w:spacing w:after="0" w:line="360" w:lineRule="auto"/>
        <w:rPr>
          <w:rFonts w:eastAsia="Palatino Linotype" w:cs="Palatino Linotype"/>
          <w:color w:val="000000"/>
          <w:lang w:eastAsia="es-ES_tradnl"/>
        </w:rPr>
      </w:pPr>
      <w:r w:rsidRPr="001A3135">
        <w:rPr>
          <w:rFonts w:eastAsia="Palatino Linotype" w:cs="Palatino Linotype"/>
          <w:color w:val="000000"/>
          <w:lang w:eastAsia="es-ES_tradnl"/>
        </w:rPr>
        <w:t xml:space="preserve">c) </w:t>
      </w:r>
      <w:r w:rsidRPr="001A3135">
        <w:rPr>
          <w:rFonts w:eastAsia="Palatino Linotype" w:cs="Palatino Linotype"/>
          <w:b/>
          <w:color w:val="000000"/>
          <w:lang w:eastAsia="es-ES_tradnl"/>
        </w:rPr>
        <w:t>Informe Justificado o Manifestaciones</w:t>
      </w:r>
      <w:r w:rsidRPr="001A3135">
        <w:rPr>
          <w:rFonts w:eastAsia="Palatino Linotype" w:cs="Palatino Linotype"/>
          <w:color w:val="000000"/>
          <w:lang w:eastAsia="es-ES_tradnl"/>
        </w:rPr>
        <w:t xml:space="preserve">. El </w:t>
      </w:r>
      <w:r w:rsidR="00427ED7">
        <w:rPr>
          <w:rFonts w:eastAsia="Palatino Linotype" w:cs="Palatino Linotype"/>
          <w:color w:val="000000"/>
          <w:lang w:eastAsia="es-ES_tradnl"/>
        </w:rPr>
        <w:t>Sujeto Obligado fue omiso en rendir su informe justificado</w:t>
      </w:r>
      <w:r w:rsidRPr="001A3135">
        <w:rPr>
          <w:rFonts w:eastAsia="Palatino Linotype" w:cs="Palatino Linotype"/>
          <w:color w:val="000000"/>
          <w:lang w:eastAsia="es-ES_tradnl"/>
        </w:rPr>
        <w:t>. Por otro lado el Particular no realizó manifestación alguna vía alegatos.</w:t>
      </w:r>
    </w:p>
    <w:p w14:paraId="4ACC86DC" w14:textId="77777777" w:rsidR="001A3135" w:rsidRPr="001A3135" w:rsidRDefault="001A3135" w:rsidP="00395324">
      <w:pPr>
        <w:spacing w:after="0" w:line="360" w:lineRule="auto"/>
        <w:rPr>
          <w:rFonts w:eastAsia="Palatino Linotype" w:cs="Palatino Linotype"/>
          <w:color w:val="000000"/>
          <w:lang w:eastAsia="es-ES_tradnl"/>
        </w:rPr>
      </w:pPr>
    </w:p>
    <w:p w14:paraId="37EA7A5F" w14:textId="5A62E58F" w:rsidR="001A3135" w:rsidRPr="001A3135" w:rsidRDefault="001A3135" w:rsidP="00395324">
      <w:pPr>
        <w:spacing w:after="0" w:line="360" w:lineRule="auto"/>
        <w:rPr>
          <w:rFonts w:eastAsia="Palatino Linotype" w:cs="Palatino Linotype"/>
          <w:color w:val="000000"/>
          <w:lang w:eastAsia="es-ES_tradnl"/>
        </w:rPr>
      </w:pPr>
      <w:r w:rsidRPr="001A3135">
        <w:rPr>
          <w:rFonts w:eastAsia="Palatino Linotype" w:cs="Palatino Linotype"/>
          <w:b/>
          <w:bCs/>
          <w:color w:val="000000"/>
          <w:lang w:eastAsia="es-ES_tradnl"/>
        </w:rPr>
        <w:t>e)</w:t>
      </w:r>
      <w:r w:rsidRPr="001A3135">
        <w:rPr>
          <w:rFonts w:eastAsia="Palatino Linotype" w:cs="Palatino Linotype"/>
          <w:color w:val="000000"/>
          <w:lang w:eastAsia="es-ES_tradnl"/>
        </w:rPr>
        <w:t xml:space="preserve"> </w:t>
      </w:r>
      <w:r w:rsidRPr="001A3135">
        <w:rPr>
          <w:rFonts w:eastAsia="Palatino Linotype" w:cs="Palatino Linotype"/>
          <w:b/>
          <w:color w:val="000000"/>
          <w:lang w:eastAsia="es-ES_tradnl"/>
        </w:rPr>
        <w:t>Cierre de instrucción</w:t>
      </w:r>
      <w:r w:rsidR="00427ED7">
        <w:rPr>
          <w:rFonts w:eastAsia="Palatino Linotype" w:cs="Palatino Linotype"/>
          <w:color w:val="000000"/>
          <w:lang w:eastAsia="es-ES_tradnl"/>
        </w:rPr>
        <w:t xml:space="preserve">. El </w:t>
      </w:r>
      <w:r w:rsidR="002C4C6A">
        <w:rPr>
          <w:rFonts w:eastAsia="Palatino Linotype" w:cs="Palatino Linotype"/>
          <w:color w:val="000000"/>
          <w:lang w:eastAsia="es-ES_tradnl"/>
        </w:rPr>
        <w:t xml:space="preserve">dieciséis de diciembre </w:t>
      </w:r>
      <w:r w:rsidRPr="001A3135">
        <w:rPr>
          <w:rFonts w:eastAsia="Palatino Linotype" w:cs="Palatino Linotype"/>
          <w:color w:val="000000"/>
          <w:lang w:eastAsia="es-ES_tradnl"/>
        </w:rPr>
        <w:t>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39656940" w14:textId="77777777" w:rsidR="001A3135" w:rsidRPr="001A3135" w:rsidRDefault="001A3135" w:rsidP="00395324">
      <w:pPr>
        <w:spacing w:after="0" w:line="360" w:lineRule="auto"/>
        <w:rPr>
          <w:rFonts w:eastAsia="Palatino Linotype" w:cs="Palatino Linotype"/>
          <w:color w:val="000000"/>
          <w:lang w:eastAsia="es-ES_tradnl"/>
        </w:rPr>
      </w:pPr>
    </w:p>
    <w:p w14:paraId="028394D2" w14:textId="77777777" w:rsidR="001A3135" w:rsidRPr="001A3135" w:rsidRDefault="001A3135" w:rsidP="00395324">
      <w:pPr>
        <w:spacing w:after="0" w:line="360" w:lineRule="auto"/>
        <w:rPr>
          <w:rFonts w:eastAsia="Palatino Linotype" w:cs="Palatino Linotype"/>
          <w:color w:val="000000"/>
          <w:lang w:eastAsia="es-ES_tradnl"/>
        </w:rPr>
      </w:pPr>
      <w:r w:rsidRPr="001A3135">
        <w:rPr>
          <w:rFonts w:eastAsia="Palatino Linotype" w:cs="Palatino Linotype"/>
          <w:color w:val="000000"/>
          <w:lang w:eastAsia="es-ES_tradnl"/>
        </w:rPr>
        <w:lastRenderedPageBreak/>
        <w:t xml:space="preserve">En razón de que fue debidamente sustanciado e integrado el expediente electrónico y no existe diligencia pendiente de desahogo, se emite la resolución que conforme a Derecho proceda, de acuerdo a los siguientes: </w:t>
      </w:r>
    </w:p>
    <w:p w14:paraId="0CF0E43B" w14:textId="77777777" w:rsidR="001A3135" w:rsidRPr="001A3135" w:rsidRDefault="001A3135" w:rsidP="00395324">
      <w:pPr>
        <w:spacing w:after="0" w:line="360" w:lineRule="auto"/>
        <w:rPr>
          <w:rFonts w:eastAsia="Palatino Linotype" w:cs="Palatino Linotype"/>
          <w:color w:val="000000"/>
          <w:lang w:eastAsia="es-ES_tradnl"/>
        </w:rPr>
      </w:pPr>
    </w:p>
    <w:p w14:paraId="107057CC" w14:textId="77777777" w:rsidR="001A3135" w:rsidRPr="001A3135" w:rsidRDefault="001A3135" w:rsidP="00395324">
      <w:pPr>
        <w:spacing w:after="0" w:line="360" w:lineRule="auto"/>
        <w:jc w:val="center"/>
        <w:rPr>
          <w:rFonts w:eastAsia="Palatino Linotype" w:cs="Palatino Linotype"/>
          <w:b/>
          <w:color w:val="000000"/>
          <w:lang w:eastAsia="es-ES_tradnl"/>
        </w:rPr>
      </w:pPr>
      <w:r w:rsidRPr="001A3135">
        <w:rPr>
          <w:rFonts w:eastAsia="Palatino Linotype" w:cs="Palatino Linotype"/>
          <w:b/>
          <w:color w:val="000000"/>
          <w:lang w:eastAsia="es-ES_tradnl"/>
        </w:rPr>
        <w:t>C O N S I D E R A N D O S</w:t>
      </w:r>
    </w:p>
    <w:p w14:paraId="40E4E599" w14:textId="77777777" w:rsidR="001A3135" w:rsidRPr="001A3135" w:rsidRDefault="001A3135" w:rsidP="00395324">
      <w:pPr>
        <w:spacing w:after="0" w:line="360" w:lineRule="auto"/>
        <w:rPr>
          <w:rFonts w:eastAsia="Palatino Linotype" w:cs="Palatino Linotype"/>
          <w:color w:val="000000"/>
          <w:lang w:eastAsia="es-ES_tradnl"/>
        </w:rPr>
      </w:pPr>
    </w:p>
    <w:p w14:paraId="4B9B700C" w14:textId="77777777" w:rsidR="00427ED7" w:rsidRPr="00F710CA" w:rsidRDefault="00427ED7" w:rsidP="00395324">
      <w:pPr>
        <w:spacing w:after="0" w:line="360" w:lineRule="auto"/>
        <w:rPr>
          <w:b/>
        </w:rPr>
      </w:pPr>
      <w:r w:rsidRPr="00F710CA">
        <w:rPr>
          <w:b/>
        </w:rPr>
        <w:t>PRIMERO. Competencia</w:t>
      </w:r>
    </w:p>
    <w:p w14:paraId="252668B5" w14:textId="77777777" w:rsidR="00427ED7" w:rsidRPr="00571578" w:rsidRDefault="00427ED7" w:rsidP="00395324">
      <w:pPr>
        <w:spacing w:after="0" w:line="360" w:lineRule="auto"/>
      </w:pPr>
      <w:r w:rsidRPr="00571578">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w:t>
      </w:r>
      <w:r>
        <w:t xml:space="preserve">cuarto, cuadragésimo quinto y cuadragésimo sexto </w:t>
      </w:r>
      <w:r w:rsidRPr="00571578">
        <w:t>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3D69B0B" w14:textId="77777777" w:rsidR="001A3135" w:rsidRPr="001A3135" w:rsidRDefault="001A3135" w:rsidP="00395324">
      <w:pPr>
        <w:spacing w:after="0" w:line="360" w:lineRule="auto"/>
        <w:rPr>
          <w:rFonts w:eastAsia="Palatino Linotype" w:cs="Palatino Linotype"/>
          <w:b/>
          <w:color w:val="000000"/>
          <w:lang w:eastAsia="es-ES_tradnl"/>
        </w:rPr>
      </w:pPr>
    </w:p>
    <w:p w14:paraId="2B06B510" w14:textId="77777777" w:rsidR="001A3135" w:rsidRPr="001A3135" w:rsidRDefault="001A3135" w:rsidP="00395324">
      <w:pPr>
        <w:spacing w:after="0" w:line="360" w:lineRule="auto"/>
        <w:rPr>
          <w:rFonts w:eastAsia="Palatino Linotype" w:cs="Palatino Linotype"/>
          <w:b/>
          <w:color w:val="000000"/>
          <w:lang w:eastAsia="es-ES_tradnl"/>
        </w:rPr>
      </w:pPr>
      <w:r w:rsidRPr="001A3135">
        <w:rPr>
          <w:rFonts w:eastAsia="Palatino Linotype" w:cs="Palatino Linotype"/>
          <w:b/>
          <w:color w:val="000000"/>
          <w:lang w:eastAsia="es-ES_tradnl"/>
        </w:rPr>
        <w:t>SEGUNDO. Causales de improcedencia y sobreseimiento</w:t>
      </w:r>
    </w:p>
    <w:p w14:paraId="3B5CE5E7" w14:textId="77777777" w:rsidR="001A3135" w:rsidRPr="001A3135" w:rsidRDefault="001A3135" w:rsidP="00395324">
      <w:pPr>
        <w:spacing w:after="0" w:line="360" w:lineRule="auto"/>
        <w:rPr>
          <w:rFonts w:eastAsia="Palatino Linotype" w:cs="Palatino Linotype"/>
          <w:color w:val="000000"/>
          <w:lang w:eastAsia="es-ES_tradnl"/>
        </w:rPr>
      </w:pPr>
    </w:p>
    <w:p w14:paraId="75ECA682" w14:textId="77777777" w:rsidR="001A3135" w:rsidRPr="001A3135" w:rsidRDefault="001A3135" w:rsidP="00395324">
      <w:pPr>
        <w:spacing w:after="0" w:line="360" w:lineRule="auto"/>
        <w:rPr>
          <w:rFonts w:eastAsia="Palatino Linotype" w:cs="Palatino Linotype"/>
          <w:color w:val="000000"/>
          <w:lang w:eastAsia="es-ES_tradnl"/>
        </w:rPr>
      </w:pPr>
      <w:r w:rsidRPr="001A3135">
        <w:rPr>
          <w:rFonts w:eastAsia="Palatino Linotype" w:cs="Palatino Linotype"/>
          <w:color w:val="000000"/>
          <w:lang w:eastAsia="es-ES_tradnl"/>
        </w:rPr>
        <w:t>De las constancias que forma parte del Recurso de Revisión que se analiza, se advierte que previo al estudio del fondo de la litis, es necesario estudiar las causales de improcedencia y sobreseimiento que se adviertan, para determinar lo que en Derecho proceda.</w:t>
      </w:r>
    </w:p>
    <w:p w14:paraId="12BCB008" w14:textId="77777777" w:rsidR="001A3135" w:rsidRPr="001A3135" w:rsidRDefault="001A3135" w:rsidP="00395324">
      <w:pPr>
        <w:spacing w:after="0" w:line="360" w:lineRule="auto"/>
        <w:rPr>
          <w:rFonts w:eastAsia="Palatino Linotype" w:cs="Palatino Linotype"/>
          <w:color w:val="000000"/>
          <w:lang w:eastAsia="es-ES_tradnl"/>
        </w:rPr>
      </w:pPr>
    </w:p>
    <w:p w14:paraId="6BB9DE79" w14:textId="77777777" w:rsidR="001A3135" w:rsidRPr="001A3135" w:rsidRDefault="001A3135" w:rsidP="00395324">
      <w:pPr>
        <w:spacing w:after="0" w:line="360" w:lineRule="auto"/>
        <w:rPr>
          <w:rFonts w:eastAsia="Palatino Linotype" w:cs="Palatino Linotype"/>
          <w:b/>
          <w:color w:val="000000"/>
          <w:lang w:eastAsia="es-ES_tradnl"/>
        </w:rPr>
      </w:pPr>
      <w:r w:rsidRPr="001A3135">
        <w:rPr>
          <w:rFonts w:eastAsia="Palatino Linotype" w:cs="Palatino Linotype"/>
          <w:b/>
          <w:color w:val="000000"/>
          <w:lang w:eastAsia="es-ES_tradnl"/>
        </w:rPr>
        <w:t>Causales de improcedencia</w:t>
      </w:r>
    </w:p>
    <w:p w14:paraId="5498B14E" w14:textId="77777777" w:rsidR="001A3135" w:rsidRPr="001A3135" w:rsidRDefault="001A3135" w:rsidP="00395324">
      <w:pPr>
        <w:spacing w:after="0" w:line="360" w:lineRule="auto"/>
        <w:rPr>
          <w:rFonts w:eastAsia="Palatino Linotype" w:cs="Palatino Linotype"/>
          <w:color w:val="000000"/>
          <w:lang w:eastAsia="es-ES_tradnl"/>
        </w:rPr>
      </w:pPr>
    </w:p>
    <w:p w14:paraId="00D6E62A" w14:textId="77777777" w:rsidR="001A3135" w:rsidRPr="001A3135" w:rsidRDefault="001A3135" w:rsidP="00395324">
      <w:pPr>
        <w:spacing w:after="0" w:line="360" w:lineRule="auto"/>
        <w:rPr>
          <w:rFonts w:eastAsia="Palatino Linotype" w:cs="Palatino Linotype"/>
          <w:color w:val="000000"/>
          <w:lang w:eastAsia="es-ES_tradnl"/>
        </w:rPr>
      </w:pPr>
      <w:r w:rsidRPr="001A3135">
        <w:rPr>
          <w:rFonts w:eastAsia="Palatino Linotype" w:cs="Palatino Linotype"/>
          <w:color w:val="000000"/>
          <w:lang w:eastAsia="es-ES_tradnl"/>
        </w:rPr>
        <w:lastRenderedPageBreak/>
        <w:t xml:space="preserve">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 (Semanario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4F489127" w14:textId="77777777" w:rsidR="001A3135" w:rsidRPr="001A3135" w:rsidRDefault="001A3135" w:rsidP="00395324">
      <w:pPr>
        <w:spacing w:after="0" w:line="360" w:lineRule="auto"/>
        <w:rPr>
          <w:rFonts w:eastAsia="Palatino Linotype" w:cs="Palatino Linotype"/>
          <w:color w:val="000000"/>
          <w:lang w:eastAsia="es-ES_tradnl"/>
        </w:rPr>
      </w:pPr>
    </w:p>
    <w:p w14:paraId="2DF57257" w14:textId="77777777" w:rsidR="001A3135" w:rsidRPr="001A3135" w:rsidRDefault="001A3135" w:rsidP="00395324">
      <w:pPr>
        <w:spacing w:after="0" w:line="360" w:lineRule="auto"/>
        <w:rPr>
          <w:rFonts w:eastAsia="Palatino Linotype" w:cs="Palatino Linotype"/>
          <w:color w:val="000000"/>
          <w:lang w:eastAsia="es-ES_tradnl"/>
        </w:rPr>
      </w:pPr>
      <w:r w:rsidRPr="001A3135">
        <w:rPr>
          <w:rFonts w:eastAsia="Palatino Linotype" w:cs="Palatino Linotype"/>
          <w:color w:val="000000"/>
          <w:lang w:eastAsia="es-ES_tradnl"/>
        </w:rPr>
        <w:t>En el presente caso, no se actualiza ninguna de las causales de improcedencia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3C304B7F" w14:textId="77777777" w:rsidR="001A3135" w:rsidRPr="001A3135" w:rsidRDefault="001A3135" w:rsidP="00395324">
      <w:pPr>
        <w:spacing w:after="0" w:line="360" w:lineRule="auto"/>
        <w:rPr>
          <w:rFonts w:eastAsia="Palatino Linotype" w:cs="Palatino Linotype"/>
          <w:color w:val="000000"/>
          <w:lang w:eastAsia="es-ES_tradnl"/>
        </w:rPr>
      </w:pPr>
    </w:p>
    <w:p w14:paraId="0FD5C43A" w14:textId="4AA21C75" w:rsidR="001A3135" w:rsidRPr="001A3135" w:rsidRDefault="001A3135" w:rsidP="00395324">
      <w:pPr>
        <w:spacing w:after="0" w:line="360" w:lineRule="auto"/>
        <w:rPr>
          <w:rFonts w:eastAsia="Palatino Linotype" w:cs="Palatino Linotype"/>
          <w:color w:val="000000"/>
          <w:lang w:eastAsia="es-ES_tradnl"/>
        </w:rPr>
      </w:pPr>
      <w:r w:rsidRPr="001A3135">
        <w:rPr>
          <w:rFonts w:eastAsia="Palatino Linotype" w:cs="Palatino Linotype"/>
          <w:color w:val="000000"/>
          <w:lang w:eastAsia="es-ES_tradnl"/>
        </w:rPr>
        <w:t xml:space="preserve">Asimismo, se actualiza la causal de procedencia del Recurso de Revisión señalada en el artículo 179, fracción I de la Ley en cita, pues la Recurrente se inconformó con </w:t>
      </w:r>
      <w:r w:rsidR="00247D52">
        <w:rPr>
          <w:rFonts w:eastAsia="Palatino Linotype" w:cs="Palatino Linotype"/>
          <w:color w:val="000000"/>
          <w:lang w:eastAsia="es-ES_tradnl"/>
        </w:rPr>
        <w:t>la negativa de la información.</w:t>
      </w:r>
    </w:p>
    <w:p w14:paraId="482A9EFA" w14:textId="77777777" w:rsidR="00247D52" w:rsidRDefault="00247D52" w:rsidP="00395324">
      <w:pPr>
        <w:spacing w:after="0" w:line="360" w:lineRule="auto"/>
        <w:rPr>
          <w:rFonts w:eastAsia="Palatino Linotype" w:cs="Palatino Linotype"/>
          <w:b/>
          <w:color w:val="000000"/>
          <w:lang w:eastAsia="es-ES_tradnl"/>
        </w:rPr>
      </w:pPr>
    </w:p>
    <w:p w14:paraId="16D5A98F" w14:textId="77777777" w:rsidR="001A3135" w:rsidRPr="001A3135" w:rsidRDefault="001A3135" w:rsidP="00395324">
      <w:pPr>
        <w:spacing w:after="0" w:line="360" w:lineRule="auto"/>
        <w:rPr>
          <w:rFonts w:eastAsia="Palatino Linotype" w:cs="Palatino Linotype"/>
          <w:b/>
          <w:color w:val="000000"/>
          <w:lang w:eastAsia="es-ES_tradnl"/>
        </w:rPr>
      </w:pPr>
      <w:r w:rsidRPr="001A3135">
        <w:rPr>
          <w:rFonts w:eastAsia="Palatino Linotype" w:cs="Palatino Linotype"/>
          <w:b/>
          <w:color w:val="000000"/>
          <w:lang w:eastAsia="es-ES_tradnl"/>
        </w:rPr>
        <w:t>Causales de sobreseimiento.</w:t>
      </w:r>
    </w:p>
    <w:p w14:paraId="1DD6872D" w14:textId="77777777" w:rsidR="001A3135" w:rsidRPr="001A3135" w:rsidRDefault="001A3135" w:rsidP="00395324">
      <w:pPr>
        <w:spacing w:after="0" w:line="360" w:lineRule="auto"/>
        <w:rPr>
          <w:rFonts w:eastAsia="Palatino Linotype" w:cs="Palatino Linotype"/>
          <w:color w:val="000000"/>
          <w:lang w:eastAsia="es-ES_tradnl"/>
        </w:rPr>
      </w:pPr>
    </w:p>
    <w:p w14:paraId="4A0C93FA" w14:textId="77777777" w:rsidR="001A3135" w:rsidRPr="001A3135" w:rsidRDefault="001A3135" w:rsidP="00395324">
      <w:pPr>
        <w:spacing w:after="0" w:line="360" w:lineRule="auto"/>
        <w:rPr>
          <w:rFonts w:eastAsia="Palatino Linotype" w:cs="Palatino Linotype"/>
          <w:color w:val="000000"/>
          <w:lang w:eastAsia="es-ES_tradnl"/>
        </w:rPr>
      </w:pPr>
      <w:r w:rsidRPr="001A3135">
        <w:rPr>
          <w:rFonts w:eastAsia="Palatino Linotype" w:cs="Palatino Linotype"/>
          <w:color w:val="000000"/>
          <w:lang w:eastAsia="es-ES_tradnl"/>
        </w:rPr>
        <w:t>Por ser de previo y especial pronunciamiento, este Instituto analiza si se actualiza alguna causal de sobreseimiento.</w:t>
      </w:r>
    </w:p>
    <w:p w14:paraId="5F95B45C" w14:textId="77777777" w:rsidR="001A3135" w:rsidRPr="001A3135" w:rsidRDefault="001A3135" w:rsidP="00395324">
      <w:pPr>
        <w:spacing w:after="0" w:line="360" w:lineRule="auto"/>
        <w:rPr>
          <w:rFonts w:eastAsia="Palatino Linotype" w:cs="Palatino Linotype"/>
          <w:color w:val="000000"/>
          <w:lang w:eastAsia="es-ES_tradnl"/>
        </w:rPr>
      </w:pPr>
    </w:p>
    <w:p w14:paraId="0D3525C3" w14:textId="77777777" w:rsidR="001A3135" w:rsidRPr="001A3135" w:rsidRDefault="001A3135" w:rsidP="00395324">
      <w:pPr>
        <w:spacing w:after="0" w:line="360" w:lineRule="auto"/>
        <w:rPr>
          <w:rFonts w:eastAsia="Palatino Linotype" w:cs="Palatino Linotype"/>
          <w:color w:val="000000"/>
          <w:lang w:eastAsia="es-ES_tradnl"/>
        </w:rPr>
      </w:pPr>
      <w:r w:rsidRPr="001A3135">
        <w:rPr>
          <w:rFonts w:eastAsia="Palatino Linotype" w:cs="Palatino Linotype"/>
          <w:color w:val="000000"/>
          <w:lang w:eastAsia="es-ES_tradnl"/>
        </w:rPr>
        <w:lastRenderedPageBreak/>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4AF65260" w14:textId="77777777" w:rsidR="001A3135" w:rsidRPr="001A3135" w:rsidRDefault="001A3135" w:rsidP="00395324">
      <w:pPr>
        <w:spacing w:after="0" w:line="360" w:lineRule="auto"/>
        <w:rPr>
          <w:rFonts w:eastAsia="Palatino Linotype" w:cs="Palatino Linotype"/>
          <w:color w:val="000000"/>
          <w:lang w:eastAsia="es-ES_tradnl"/>
        </w:rPr>
      </w:pPr>
    </w:p>
    <w:p w14:paraId="66C310FA" w14:textId="77777777" w:rsidR="001A3135" w:rsidRPr="001A3135" w:rsidRDefault="001A3135" w:rsidP="00395324">
      <w:pPr>
        <w:spacing w:after="0" w:line="360" w:lineRule="auto"/>
        <w:rPr>
          <w:rFonts w:eastAsia="Palatino Linotype" w:cs="Palatino Linotype"/>
          <w:color w:val="000000"/>
          <w:lang w:eastAsia="es-ES_tradnl"/>
        </w:rPr>
      </w:pPr>
      <w:r w:rsidRPr="001A3135">
        <w:rPr>
          <w:rFonts w:eastAsia="Palatino Linotype" w:cs="Palatino Linotype"/>
          <w:color w:val="000000"/>
          <w:lang w:eastAsia="es-ES_tradnl"/>
        </w:rPr>
        <w:t>Por tales motivos, se considera procedente entrar al fondo del presente asunto.</w:t>
      </w:r>
    </w:p>
    <w:p w14:paraId="646F3A6F" w14:textId="77777777" w:rsidR="001A3135" w:rsidRPr="001A3135" w:rsidRDefault="001A3135" w:rsidP="00395324">
      <w:pPr>
        <w:spacing w:after="0" w:line="360" w:lineRule="auto"/>
        <w:rPr>
          <w:rFonts w:eastAsia="Palatino Linotype" w:cs="Palatino Linotype"/>
          <w:color w:val="000000"/>
          <w:lang w:eastAsia="es-ES_tradnl"/>
        </w:rPr>
      </w:pPr>
    </w:p>
    <w:p w14:paraId="1A219895" w14:textId="77777777" w:rsidR="001A3135" w:rsidRPr="001A3135" w:rsidRDefault="001A3135" w:rsidP="00395324">
      <w:pPr>
        <w:spacing w:after="0" w:line="360" w:lineRule="auto"/>
        <w:rPr>
          <w:rFonts w:eastAsia="Palatino Linotype" w:cs="Palatino Linotype"/>
          <w:b/>
          <w:color w:val="000000"/>
          <w:lang w:eastAsia="es-ES_tradnl"/>
        </w:rPr>
      </w:pPr>
      <w:r w:rsidRPr="001A3135">
        <w:rPr>
          <w:rFonts w:eastAsia="Palatino Linotype" w:cs="Palatino Linotype"/>
          <w:b/>
          <w:color w:val="000000"/>
          <w:lang w:eastAsia="es-ES_tradnl"/>
        </w:rPr>
        <w:t xml:space="preserve">TERCERO. Determinación de la Controversia. </w:t>
      </w:r>
    </w:p>
    <w:p w14:paraId="15E740F5" w14:textId="77777777" w:rsidR="001A3135" w:rsidRPr="001A3135" w:rsidRDefault="001A3135" w:rsidP="00395324">
      <w:pPr>
        <w:spacing w:after="0" w:line="360" w:lineRule="auto"/>
        <w:rPr>
          <w:rFonts w:eastAsia="Palatino Linotype" w:cs="Palatino Linotype"/>
          <w:color w:val="000000"/>
          <w:lang w:eastAsia="es-ES_tradnl"/>
        </w:rPr>
      </w:pPr>
    </w:p>
    <w:p w14:paraId="14BB7978" w14:textId="522A872B" w:rsidR="003C005C" w:rsidRDefault="001A3135" w:rsidP="00395324">
      <w:pPr>
        <w:spacing w:after="0" w:line="360" w:lineRule="auto"/>
        <w:rPr>
          <w:rFonts w:eastAsia="Palatino Linotype" w:cs="Palatino Linotype"/>
          <w:color w:val="000000"/>
          <w:lang w:eastAsia="es-ES_tradnl"/>
        </w:rPr>
      </w:pPr>
      <w:r w:rsidRPr="001A3135">
        <w:rPr>
          <w:rFonts w:eastAsia="Palatino Linotype" w:cs="Palatino Linotype"/>
          <w:color w:val="000000"/>
          <w:lang w:eastAsia="es-ES_tradnl"/>
        </w:rPr>
        <w:t xml:space="preserve">Una vez realizado el estudio de las constancias que integran el expediente en que se actúa, se desprende que el Recurrente requirió </w:t>
      </w:r>
      <w:r w:rsidR="00247D52">
        <w:rPr>
          <w:rFonts w:eastAsia="Palatino Linotype" w:cs="Palatino Linotype"/>
          <w:color w:val="000000"/>
          <w:lang w:eastAsia="es-ES_tradnl"/>
        </w:rPr>
        <w:t xml:space="preserve">acceder </w:t>
      </w:r>
      <w:r w:rsidR="00E35932">
        <w:rPr>
          <w:rFonts w:eastAsia="Palatino Linotype" w:cs="Palatino Linotype"/>
          <w:color w:val="000000"/>
          <w:lang w:eastAsia="es-ES_tradnl"/>
        </w:rPr>
        <w:t xml:space="preserve">al </w:t>
      </w:r>
      <w:r w:rsidR="00247D52" w:rsidRPr="00247D52">
        <w:rPr>
          <w:rFonts w:eastAsia="Palatino Linotype" w:cs="Palatino Linotype"/>
          <w:color w:val="000000"/>
          <w:lang w:eastAsia="es-ES_tradnl"/>
        </w:rPr>
        <w:t xml:space="preserve">padrón de las empresas que se dediquen a la </w:t>
      </w:r>
      <w:r w:rsidR="00E35932" w:rsidRPr="00247D52">
        <w:rPr>
          <w:rFonts w:eastAsia="Palatino Linotype" w:cs="Palatino Linotype"/>
          <w:color w:val="000000"/>
          <w:lang w:eastAsia="es-ES_tradnl"/>
        </w:rPr>
        <w:t>fabricación</w:t>
      </w:r>
      <w:r w:rsidR="00247D52" w:rsidRPr="00247D52">
        <w:rPr>
          <w:rFonts w:eastAsia="Palatino Linotype" w:cs="Palatino Linotype"/>
          <w:color w:val="000000"/>
          <w:lang w:eastAsia="es-ES_tradnl"/>
        </w:rPr>
        <w:t xml:space="preserve"> de productos </w:t>
      </w:r>
      <w:r w:rsidR="00E35932" w:rsidRPr="00247D52">
        <w:rPr>
          <w:rFonts w:eastAsia="Palatino Linotype" w:cs="Palatino Linotype"/>
          <w:color w:val="000000"/>
          <w:lang w:eastAsia="es-ES_tradnl"/>
        </w:rPr>
        <w:t>metálicos</w:t>
      </w:r>
      <w:r w:rsidR="00247D52" w:rsidRPr="00247D52">
        <w:rPr>
          <w:rFonts w:eastAsia="Palatino Linotype" w:cs="Palatino Linotype"/>
          <w:color w:val="000000"/>
          <w:lang w:eastAsia="es-ES_tradnl"/>
        </w:rPr>
        <w:t xml:space="preserve"> </w:t>
      </w:r>
      <w:r w:rsidR="00247D52">
        <w:rPr>
          <w:rFonts w:eastAsia="Palatino Linotype" w:cs="Palatino Linotype"/>
          <w:color w:val="000000"/>
          <w:lang w:eastAsia="es-ES_tradnl"/>
        </w:rPr>
        <w:t xml:space="preserve"> </w:t>
      </w:r>
      <w:r w:rsidR="00247D52" w:rsidRPr="00247D52">
        <w:rPr>
          <w:rFonts w:eastAsia="Palatino Linotype" w:cs="Palatino Linotype"/>
          <w:color w:val="000000"/>
          <w:lang w:eastAsia="es-ES_tradnl"/>
        </w:rPr>
        <w:t xml:space="preserve"> donde se infor</w:t>
      </w:r>
      <w:r w:rsidR="00E35932">
        <w:rPr>
          <w:rFonts w:eastAsia="Palatino Linotype" w:cs="Palatino Linotype"/>
          <w:color w:val="000000"/>
          <w:lang w:eastAsia="es-ES_tradnl"/>
        </w:rPr>
        <w:t xml:space="preserve">me la razón social, domicilio, </w:t>
      </w:r>
      <w:r w:rsidR="00E35932" w:rsidRPr="00247D52">
        <w:rPr>
          <w:rFonts w:eastAsia="Palatino Linotype" w:cs="Palatino Linotype"/>
          <w:color w:val="000000"/>
          <w:lang w:eastAsia="es-ES_tradnl"/>
        </w:rPr>
        <w:t>número</w:t>
      </w:r>
      <w:r w:rsidR="00247D52" w:rsidRPr="00247D52">
        <w:rPr>
          <w:rFonts w:eastAsia="Palatino Linotype" w:cs="Palatino Linotype"/>
          <w:color w:val="000000"/>
          <w:lang w:eastAsia="es-ES_tradnl"/>
        </w:rPr>
        <w:t xml:space="preserve"> </w:t>
      </w:r>
      <w:r w:rsidR="00E35932" w:rsidRPr="00247D52">
        <w:rPr>
          <w:rFonts w:eastAsia="Palatino Linotype" w:cs="Palatino Linotype"/>
          <w:color w:val="000000"/>
          <w:lang w:eastAsia="es-ES_tradnl"/>
        </w:rPr>
        <w:t>telefónico</w:t>
      </w:r>
      <w:r w:rsidR="00E35932">
        <w:rPr>
          <w:rFonts w:eastAsia="Palatino Linotype" w:cs="Palatino Linotype"/>
          <w:color w:val="000000"/>
          <w:lang w:eastAsia="es-ES_tradnl"/>
        </w:rPr>
        <w:t xml:space="preserve"> y </w:t>
      </w:r>
      <w:r w:rsidR="00247D52" w:rsidRPr="00247D52">
        <w:rPr>
          <w:rFonts w:eastAsia="Palatino Linotype" w:cs="Palatino Linotype"/>
          <w:color w:val="000000"/>
          <w:lang w:eastAsia="es-ES_tradnl"/>
        </w:rPr>
        <w:t xml:space="preserve"> correo </w:t>
      </w:r>
      <w:proofErr w:type="spellStart"/>
      <w:r w:rsidR="00E35932" w:rsidRPr="00247D52">
        <w:rPr>
          <w:rFonts w:eastAsia="Palatino Linotype" w:cs="Palatino Linotype"/>
          <w:color w:val="000000"/>
          <w:lang w:eastAsia="es-ES_tradnl"/>
        </w:rPr>
        <w:t>electrónico</w:t>
      </w:r>
      <w:r w:rsidR="00E35932">
        <w:rPr>
          <w:rFonts w:eastAsia="Palatino Linotype" w:cs="Palatino Linotype"/>
          <w:color w:val="000000"/>
          <w:lang w:eastAsia="es-ES_tradnl"/>
        </w:rPr>
        <w:t>.</w:t>
      </w:r>
      <w:r w:rsidRPr="001A3135">
        <w:rPr>
          <w:rFonts w:eastAsia="Palatino Linotype" w:cs="Palatino Linotype"/>
          <w:color w:val="000000"/>
          <w:lang w:eastAsia="es-ES_tradnl"/>
        </w:rPr>
        <w:t>En</w:t>
      </w:r>
      <w:proofErr w:type="spellEnd"/>
      <w:r w:rsidRPr="001A3135">
        <w:rPr>
          <w:rFonts w:eastAsia="Palatino Linotype" w:cs="Palatino Linotype"/>
          <w:color w:val="000000"/>
          <w:lang w:eastAsia="es-ES_tradnl"/>
        </w:rPr>
        <w:t xml:space="preserve"> respuesta, el Sujeto Obligado, </w:t>
      </w:r>
      <w:r w:rsidR="00E35932">
        <w:rPr>
          <w:rFonts w:eastAsia="Palatino Linotype" w:cs="Palatino Linotype"/>
          <w:color w:val="000000"/>
          <w:lang w:eastAsia="es-ES_tradnl"/>
        </w:rPr>
        <w:t>proporcionó una dirección electrónica</w:t>
      </w:r>
      <w:r w:rsidRPr="001A3135">
        <w:rPr>
          <w:rFonts w:eastAsia="Palatino Linotype" w:cs="Palatino Linotype"/>
          <w:color w:val="000000"/>
          <w:lang w:eastAsia="es-ES_tradnl"/>
        </w:rPr>
        <w:t>; ante dicha respuesta, el Particular se inconformó, de la negativa de la información</w:t>
      </w:r>
      <w:r w:rsidR="00E35932">
        <w:rPr>
          <w:rFonts w:eastAsia="Palatino Linotype" w:cs="Palatino Linotype"/>
          <w:color w:val="000000"/>
          <w:lang w:eastAsia="es-ES_tradnl"/>
        </w:rPr>
        <w:t>,</w:t>
      </w:r>
      <w:r w:rsidRPr="001A3135">
        <w:rPr>
          <w:rFonts w:eastAsia="Palatino Linotype" w:cs="Palatino Linotype"/>
          <w:color w:val="000000"/>
          <w:lang w:eastAsia="es-ES_tradnl"/>
        </w:rPr>
        <w:t xml:space="preserve">  lo cual actualiza el supuesto de procedencia establecido en el a</w:t>
      </w:r>
      <w:r w:rsidR="003C005C">
        <w:rPr>
          <w:rFonts w:eastAsia="Palatino Linotype" w:cs="Palatino Linotype"/>
          <w:color w:val="000000"/>
          <w:lang w:eastAsia="es-ES_tradnl"/>
        </w:rPr>
        <w:t xml:space="preserve">rtículo 179, fracción I </w:t>
      </w:r>
      <w:r w:rsidRPr="001A3135">
        <w:rPr>
          <w:rFonts w:eastAsia="Palatino Linotype" w:cs="Palatino Linotype"/>
          <w:color w:val="000000"/>
          <w:lang w:eastAsia="es-ES_tradnl"/>
        </w:rPr>
        <w:t xml:space="preserve"> de dicho dispositivo legal. </w:t>
      </w:r>
    </w:p>
    <w:p w14:paraId="79A1F91D" w14:textId="77777777" w:rsidR="003C005C" w:rsidRDefault="003C005C" w:rsidP="00395324">
      <w:pPr>
        <w:spacing w:after="0" w:line="360" w:lineRule="auto"/>
        <w:rPr>
          <w:rFonts w:eastAsia="Palatino Linotype" w:cs="Palatino Linotype"/>
          <w:color w:val="000000"/>
          <w:lang w:eastAsia="es-ES_tradnl"/>
        </w:rPr>
      </w:pPr>
    </w:p>
    <w:p w14:paraId="4CE5BE08" w14:textId="7CA75867" w:rsidR="001A3135" w:rsidRDefault="001A3135" w:rsidP="00395324">
      <w:pPr>
        <w:spacing w:after="0" w:line="360" w:lineRule="auto"/>
        <w:rPr>
          <w:rFonts w:eastAsia="Palatino Linotype" w:cs="Palatino Linotype"/>
          <w:color w:val="000000"/>
          <w:lang w:eastAsia="es-ES_tradnl"/>
        </w:rPr>
      </w:pPr>
      <w:r w:rsidRPr="001A3135">
        <w:rPr>
          <w:rFonts w:eastAsia="Palatino Linotype" w:cs="Palatino Linotype"/>
          <w:color w:val="000000"/>
          <w:lang w:eastAsia="es-ES_tradnl"/>
        </w:rPr>
        <w:t xml:space="preserve">Así las cosas, una vez admitido y notificado el Recurso de Revisión, el Sujeto Obligado </w:t>
      </w:r>
      <w:r w:rsidR="003C005C">
        <w:rPr>
          <w:rFonts w:eastAsia="Palatino Linotype" w:cs="Palatino Linotype"/>
          <w:color w:val="000000"/>
          <w:lang w:eastAsia="es-ES_tradnl"/>
        </w:rPr>
        <w:t xml:space="preserve">fue omiso en remitir su informe justificado, por su parte la Particular no realizó manifestación alguna vía alegatos. </w:t>
      </w:r>
    </w:p>
    <w:p w14:paraId="3AF77183" w14:textId="77777777" w:rsidR="003C005C" w:rsidRPr="001A3135" w:rsidRDefault="003C005C" w:rsidP="00395324">
      <w:pPr>
        <w:spacing w:after="0" w:line="360" w:lineRule="auto"/>
        <w:rPr>
          <w:rFonts w:eastAsia="Palatino Linotype" w:cs="Palatino Linotype"/>
          <w:color w:val="000000"/>
          <w:lang w:eastAsia="es-ES_tradnl"/>
        </w:rPr>
      </w:pPr>
    </w:p>
    <w:p w14:paraId="24B81F8F" w14:textId="3AE1AE11" w:rsidR="001A3135" w:rsidRPr="001A3135" w:rsidRDefault="001A3135" w:rsidP="00395324">
      <w:pPr>
        <w:spacing w:after="0" w:line="360" w:lineRule="auto"/>
        <w:rPr>
          <w:rFonts w:eastAsia="Palatino Linotype" w:cs="Palatino Linotype"/>
          <w:color w:val="000000"/>
          <w:lang w:eastAsia="es-ES_tradnl"/>
        </w:rPr>
      </w:pPr>
      <w:r w:rsidRPr="001A3135">
        <w:rPr>
          <w:rFonts w:eastAsia="Palatino Linotype" w:cs="Palatino Linotype"/>
          <w:color w:val="000000"/>
          <w:lang w:eastAsia="es-ES_tradnl"/>
        </w:rPr>
        <w:t xml:space="preserve">Lo anterior, se desprende de las documentales que obran en los expedientes de referencia, materia de la presente resolución, consistente en: la solicitud de acceso a la información; la </w:t>
      </w:r>
      <w:r w:rsidR="003C005C">
        <w:rPr>
          <w:rFonts w:eastAsia="Palatino Linotype" w:cs="Palatino Linotype"/>
          <w:color w:val="000000"/>
          <w:lang w:eastAsia="es-ES_tradnl"/>
        </w:rPr>
        <w:lastRenderedPageBreak/>
        <w:t xml:space="preserve">respuesta del Sujeto Obligado y </w:t>
      </w:r>
      <w:r w:rsidRPr="001A3135">
        <w:rPr>
          <w:rFonts w:eastAsia="Palatino Linotype" w:cs="Palatino Linotype"/>
          <w:color w:val="000000"/>
          <w:lang w:eastAsia="es-ES_tradnl"/>
        </w:rPr>
        <w:t xml:space="preserve"> el escrito recursal; instrumentales que se toman en cuenta a efecto de resolver el presente medio de impugnación, conforme a lo dispuesto por el artículo 185, fracción IV, de la Ley de Transparencia y Acceso a la Información Pública del Estado de México y Municipios.</w:t>
      </w:r>
    </w:p>
    <w:p w14:paraId="469F84F2" w14:textId="77777777" w:rsidR="001A3135" w:rsidRPr="001A3135" w:rsidRDefault="001A3135" w:rsidP="00395324">
      <w:pPr>
        <w:spacing w:after="0" w:line="360" w:lineRule="auto"/>
        <w:rPr>
          <w:rFonts w:eastAsia="Palatino Linotype" w:cs="Palatino Linotype"/>
          <w:color w:val="000000"/>
          <w:lang w:eastAsia="es-ES_tradnl"/>
        </w:rPr>
      </w:pPr>
    </w:p>
    <w:p w14:paraId="70BC0324" w14:textId="77777777" w:rsidR="001A3135" w:rsidRPr="001A3135" w:rsidRDefault="001A3135" w:rsidP="00395324">
      <w:pPr>
        <w:spacing w:after="0" w:line="360" w:lineRule="auto"/>
        <w:rPr>
          <w:rFonts w:eastAsia="Palatino Linotype" w:cs="Palatino Linotype"/>
          <w:b/>
          <w:color w:val="000000"/>
          <w:lang w:eastAsia="es-ES_tradnl"/>
        </w:rPr>
      </w:pPr>
      <w:r w:rsidRPr="001A3135">
        <w:rPr>
          <w:rFonts w:eastAsia="Palatino Linotype" w:cs="Palatino Linotype"/>
          <w:b/>
          <w:color w:val="000000"/>
          <w:lang w:eastAsia="es-ES_tradnl"/>
        </w:rPr>
        <w:t>CUARTO. Marco normativo aplicable en materia de transparencia y acceso a la información pública</w:t>
      </w:r>
    </w:p>
    <w:p w14:paraId="77D16400" w14:textId="77777777" w:rsidR="001A3135" w:rsidRPr="001A3135" w:rsidRDefault="001A3135" w:rsidP="00395324">
      <w:pPr>
        <w:spacing w:after="0" w:line="360" w:lineRule="auto"/>
        <w:rPr>
          <w:rFonts w:eastAsia="Palatino Linotype" w:cs="Palatino Linotype"/>
          <w:color w:val="000000"/>
          <w:lang w:eastAsia="es-ES_tradnl"/>
        </w:rPr>
      </w:pPr>
    </w:p>
    <w:p w14:paraId="36F651CE" w14:textId="77777777" w:rsidR="001A3135" w:rsidRPr="001A3135" w:rsidRDefault="001A3135" w:rsidP="00395324">
      <w:pPr>
        <w:spacing w:after="0" w:line="360" w:lineRule="auto"/>
        <w:rPr>
          <w:rFonts w:eastAsia="Palatino Linotype" w:cs="Palatino Linotype"/>
          <w:color w:val="000000"/>
          <w:lang w:eastAsia="es-ES_tradnl"/>
        </w:rPr>
      </w:pPr>
      <w:r w:rsidRPr="001A3135">
        <w:rPr>
          <w:rFonts w:eastAsia="Palatino Linotype" w:cs="Palatino Linotype"/>
          <w:color w:val="000000"/>
          <w:lang w:eastAsia="es-ES_tradnl"/>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2AD24C7" w14:textId="77777777" w:rsidR="001A3135" w:rsidRPr="001A3135" w:rsidRDefault="001A3135" w:rsidP="00395324">
      <w:pPr>
        <w:spacing w:after="0" w:line="360" w:lineRule="auto"/>
        <w:rPr>
          <w:rFonts w:eastAsia="Palatino Linotype" w:cs="Palatino Linotype"/>
          <w:color w:val="000000"/>
          <w:lang w:eastAsia="es-ES_tradnl"/>
        </w:rPr>
      </w:pPr>
    </w:p>
    <w:p w14:paraId="6768B112" w14:textId="77777777" w:rsidR="001A3135" w:rsidRPr="001A3135" w:rsidRDefault="001A3135" w:rsidP="00395324">
      <w:pPr>
        <w:spacing w:after="0" w:line="360" w:lineRule="auto"/>
        <w:rPr>
          <w:rFonts w:eastAsia="Palatino Linotype" w:cs="Palatino Linotype"/>
          <w:color w:val="000000"/>
          <w:lang w:eastAsia="es-ES_tradnl"/>
        </w:rPr>
      </w:pPr>
      <w:r w:rsidRPr="001A3135">
        <w:rPr>
          <w:rFonts w:eastAsia="Palatino Linotype" w:cs="Palatino Linotype"/>
          <w:color w:val="000000"/>
          <w:lang w:eastAsia="es-ES_tradnl"/>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365DE405" w14:textId="77777777" w:rsidR="001A3135" w:rsidRPr="001A3135" w:rsidRDefault="001A3135" w:rsidP="00395324">
      <w:pPr>
        <w:spacing w:after="0" w:line="360" w:lineRule="auto"/>
        <w:rPr>
          <w:rFonts w:eastAsia="Palatino Linotype" w:cs="Palatino Linotype"/>
          <w:color w:val="000000"/>
          <w:lang w:eastAsia="es-ES_tradnl"/>
        </w:rPr>
      </w:pPr>
    </w:p>
    <w:p w14:paraId="4B015D8C" w14:textId="77777777" w:rsidR="001A3135" w:rsidRPr="001A3135" w:rsidRDefault="001A3135" w:rsidP="00395324">
      <w:pPr>
        <w:spacing w:after="0" w:line="360" w:lineRule="auto"/>
        <w:rPr>
          <w:rFonts w:eastAsia="Palatino Linotype" w:cs="Palatino Linotype"/>
          <w:color w:val="000000"/>
          <w:lang w:eastAsia="es-ES_tradnl"/>
        </w:rPr>
      </w:pPr>
      <w:r w:rsidRPr="001A3135">
        <w:rPr>
          <w:rFonts w:eastAsia="Palatino Linotype" w:cs="Palatino Linotype"/>
          <w:color w:val="000000"/>
          <w:lang w:eastAsia="es-ES_tradnl"/>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E6E9383" w14:textId="77777777" w:rsidR="001A3135" w:rsidRPr="001A3135" w:rsidRDefault="001A3135" w:rsidP="00395324">
      <w:pPr>
        <w:spacing w:after="0" w:line="360" w:lineRule="auto"/>
        <w:rPr>
          <w:rFonts w:eastAsia="Palatino Linotype" w:cs="Palatino Linotype"/>
          <w:color w:val="000000"/>
          <w:lang w:eastAsia="es-ES_tradnl"/>
        </w:rPr>
      </w:pPr>
    </w:p>
    <w:p w14:paraId="431DBF4A" w14:textId="77777777" w:rsidR="001A3135" w:rsidRPr="001A3135" w:rsidRDefault="001A3135" w:rsidP="00395324">
      <w:pPr>
        <w:spacing w:after="0" w:line="360" w:lineRule="auto"/>
        <w:rPr>
          <w:rFonts w:eastAsia="Palatino Linotype" w:cs="Palatino Linotype"/>
          <w:color w:val="000000"/>
          <w:lang w:eastAsia="es-ES_tradnl"/>
        </w:rPr>
      </w:pPr>
      <w:r w:rsidRPr="001A3135">
        <w:rPr>
          <w:rFonts w:eastAsia="Palatino Linotype" w:cs="Palatino Linotype"/>
          <w:color w:val="000000"/>
          <w:lang w:eastAsia="es-ES_tradnl"/>
        </w:rPr>
        <w:t>Por su parte, la Ley de Transparencia y Acceso a la Información Pública del Estado de México y Municipios (Reglamentaria del artículo 5° de la Constitución Local), establece lo siguiente:</w:t>
      </w:r>
    </w:p>
    <w:p w14:paraId="67404449" w14:textId="77777777" w:rsidR="001A3135" w:rsidRPr="001A3135" w:rsidRDefault="001A3135" w:rsidP="00395324">
      <w:pPr>
        <w:spacing w:after="0" w:line="360" w:lineRule="auto"/>
        <w:rPr>
          <w:rFonts w:eastAsia="Palatino Linotype" w:cs="Palatino Linotype"/>
          <w:color w:val="000000"/>
          <w:lang w:eastAsia="es-ES_tradnl"/>
        </w:rPr>
      </w:pPr>
    </w:p>
    <w:p w14:paraId="27888C86" w14:textId="77777777" w:rsidR="001A3135" w:rsidRPr="001A3135" w:rsidRDefault="001A3135" w:rsidP="00395324">
      <w:pPr>
        <w:spacing w:after="0" w:line="360" w:lineRule="auto"/>
        <w:rPr>
          <w:rFonts w:eastAsia="Palatino Linotype" w:cs="Palatino Linotype"/>
          <w:color w:val="000000"/>
          <w:lang w:eastAsia="es-ES_tradnl"/>
        </w:rPr>
      </w:pPr>
      <w:r w:rsidRPr="001A3135">
        <w:rPr>
          <w:rFonts w:eastAsia="Palatino Linotype" w:cs="Palatino Linotype"/>
          <w:color w:val="000000"/>
          <w:lang w:eastAsia="es-ES_tradnl"/>
        </w:rPr>
        <w:t>El artículo 12, que, quienes generen, recopilen, administren, manejen, procesen, archiven o conserven información pública serán responsables de la misma.</w:t>
      </w:r>
    </w:p>
    <w:p w14:paraId="3C83A8A7" w14:textId="77777777" w:rsidR="001A3135" w:rsidRPr="001A3135" w:rsidRDefault="001A3135" w:rsidP="00395324">
      <w:pPr>
        <w:spacing w:after="0" w:line="360" w:lineRule="auto"/>
        <w:rPr>
          <w:rFonts w:eastAsia="Palatino Linotype" w:cs="Palatino Linotype"/>
          <w:color w:val="000000"/>
          <w:lang w:eastAsia="es-ES_tradnl"/>
        </w:rPr>
      </w:pPr>
    </w:p>
    <w:p w14:paraId="21E9DC72" w14:textId="77777777" w:rsidR="001A3135" w:rsidRPr="001A3135" w:rsidRDefault="001A3135" w:rsidP="00395324">
      <w:pPr>
        <w:spacing w:after="0" w:line="360" w:lineRule="auto"/>
        <w:rPr>
          <w:rFonts w:eastAsia="Palatino Linotype" w:cs="Palatino Linotype"/>
          <w:color w:val="000000"/>
          <w:lang w:eastAsia="es-ES_tradnl"/>
        </w:rPr>
      </w:pPr>
      <w:r w:rsidRPr="001A3135">
        <w:rPr>
          <w:rFonts w:eastAsia="Palatino Linotype" w:cs="Palatino Linotype"/>
          <w:color w:val="000000"/>
          <w:lang w:eastAsia="es-ES_tradnl"/>
        </w:rPr>
        <w:t>El artículo 18, que, los Sujetos Obligados deberán documentar todo acto que derive del ejercicio de sus facultades, competencias o funciones, considerando desde su origen la eventual publicidad y reutilización de la información que generen.</w:t>
      </w:r>
    </w:p>
    <w:p w14:paraId="23BAC9B9" w14:textId="77777777" w:rsidR="001A3135" w:rsidRPr="001A3135" w:rsidRDefault="001A3135" w:rsidP="00395324">
      <w:pPr>
        <w:spacing w:after="0" w:line="360" w:lineRule="auto"/>
        <w:rPr>
          <w:rFonts w:eastAsia="Palatino Linotype" w:cs="Palatino Linotype"/>
          <w:color w:val="000000"/>
          <w:lang w:eastAsia="es-ES_tradnl"/>
        </w:rPr>
      </w:pPr>
    </w:p>
    <w:p w14:paraId="4FD97C8C" w14:textId="77777777" w:rsidR="001A3135" w:rsidRPr="001A3135" w:rsidRDefault="001A3135" w:rsidP="00395324">
      <w:pPr>
        <w:spacing w:after="0" w:line="360" w:lineRule="auto"/>
        <w:rPr>
          <w:rFonts w:eastAsia="Palatino Linotype" w:cs="Palatino Linotype"/>
          <w:color w:val="000000"/>
          <w:lang w:eastAsia="es-ES_tradnl"/>
        </w:rPr>
      </w:pPr>
      <w:r w:rsidRPr="001A3135">
        <w:rPr>
          <w:rFonts w:eastAsia="Palatino Linotype" w:cs="Palatino Linotype"/>
          <w:color w:val="000000"/>
          <w:lang w:eastAsia="es-ES_tradnl"/>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58BE57E" w14:textId="77777777" w:rsidR="001A3135" w:rsidRPr="001A3135" w:rsidRDefault="001A3135" w:rsidP="00395324">
      <w:pPr>
        <w:spacing w:after="0" w:line="360" w:lineRule="auto"/>
        <w:rPr>
          <w:rFonts w:eastAsia="Palatino Linotype" w:cs="Palatino Linotype"/>
          <w:color w:val="000000"/>
          <w:lang w:eastAsia="es-ES_tradnl"/>
        </w:rPr>
      </w:pPr>
    </w:p>
    <w:p w14:paraId="42EFFC6C" w14:textId="77777777" w:rsidR="001A3135" w:rsidRPr="001A3135" w:rsidRDefault="001A3135" w:rsidP="00395324">
      <w:pPr>
        <w:spacing w:after="0" w:line="360" w:lineRule="auto"/>
        <w:rPr>
          <w:rFonts w:eastAsia="Palatino Linotype" w:cs="Palatino Linotype"/>
          <w:b/>
          <w:color w:val="000000"/>
          <w:lang w:eastAsia="es-ES_tradnl"/>
        </w:rPr>
      </w:pPr>
      <w:r w:rsidRPr="001A3135">
        <w:rPr>
          <w:rFonts w:eastAsia="Palatino Linotype" w:cs="Palatino Linotype"/>
          <w:b/>
          <w:color w:val="000000"/>
          <w:lang w:eastAsia="es-ES_tradnl"/>
        </w:rPr>
        <w:t>QUINTO. Estudio de Fondo</w:t>
      </w:r>
    </w:p>
    <w:p w14:paraId="0BB3996C" w14:textId="77777777" w:rsidR="001A3135" w:rsidRPr="001A3135" w:rsidRDefault="001A3135" w:rsidP="00395324">
      <w:pPr>
        <w:spacing w:after="0" w:line="360" w:lineRule="auto"/>
        <w:rPr>
          <w:rFonts w:eastAsia="Palatino Linotype" w:cs="Palatino Linotype"/>
          <w:color w:val="000000"/>
          <w:lang w:eastAsia="es-ES_tradnl"/>
        </w:rPr>
      </w:pPr>
    </w:p>
    <w:p w14:paraId="04118414" w14:textId="7EDFA873" w:rsidR="001A3135" w:rsidRPr="001A3135" w:rsidRDefault="001A3135" w:rsidP="00395324">
      <w:pPr>
        <w:spacing w:after="0" w:line="360" w:lineRule="auto"/>
        <w:rPr>
          <w:rFonts w:eastAsia="Palatino Linotype" w:cs="Palatino Linotype"/>
          <w:color w:val="000000"/>
          <w:lang w:eastAsia="es-ES_tradnl"/>
        </w:rPr>
      </w:pPr>
      <w:r w:rsidRPr="001A3135">
        <w:rPr>
          <w:rFonts w:eastAsia="Palatino Linotype" w:cs="Palatino Linotype"/>
          <w:color w:val="000000"/>
          <w:lang w:eastAsia="es-ES_tradnl"/>
        </w:rPr>
        <w:t>Expuestas las posturas de las partes, se procede al análisis del agravio hecho valer por el Recurrente, concerniente a la negativa de la información, para lo cual en principio en conveniente contextualizar el requerimiento.</w:t>
      </w:r>
    </w:p>
    <w:p w14:paraId="2F049D74" w14:textId="77777777" w:rsidR="001A3135" w:rsidRPr="001A3135" w:rsidRDefault="001A3135" w:rsidP="00395324">
      <w:pPr>
        <w:spacing w:after="0" w:line="360" w:lineRule="auto"/>
        <w:rPr>
          <w:rFonts w:eastAsia="Palatino Linotype" w:cs="Palatino Linotype"/>
          <w:color w:val="000000"/>
          <w:lang w:eastAsia="es-ES_tradnl"/>
        </w:rPr>
      </w:pPr>
    </w:p>
    <w:p w14:paraId="7C4D2DC0" w14:textId="314C3D94" w:rsidR="00FB1771" w:rsidRDefault="00511C0A" w:rsidP="00395324">
      <w:pPr>
        <w:spacing w:after="0" w:line="360" w:lineRule="auto"/>
        <w:rPr>
          <w:rFonts w:eastAsia="Calibri" w:cs="Tahoma"/>
          <w:bCs/>
          <w:color w:val="auto"/>
        </w:rPr>
      </w:pPr>
      <w:r w:rsidRPr="00C30D1C">
        <w:rPr>
          <w:rFonts w:eastAsia="Times New Roman" w:cs="Tahoma"/>
          <w:color w:val="auto"/>
          <w:lang w:eastAsia="es-ES"/>
        </w:rPr>
        <w:t xml:space="preserve">Al respecto, </w:t>
      </w:r>
      <w:r w:rsidR="00FB1771" w:rsidRPr="00FB1771">
        <w:rPr>
          <w:rFonts w:eastAsia="Calibri" w:cs="Tahoma"/>
          <w:bCs/>
          <w:color w:val="auto"/>
        </w:rPr>
        <w:t xml:space="preserve">el artículo 31, fracciones, XXIV Quáter y XLIV, de la Ley Orgánica Municipal el Estado de México, establece que los Ayuntamientos, entre los que se encuentra el de </w:t>
      </w:r>
      <w:r w:rsidR="00BB7314">
        <w:rPr>
          <w:rFonts w:eastAsia="Calibri" w:cs="Tahoma"/>
          <w:bCs/>
          <w:color w:val="auto"/>
        </w:rPr>
        <w:t>Nopaltepec,</w:t>
      </w:r>
      <w:r w:rsidR="00FB1771" w:rsidRPr="00FB1771">
        <w:rPr>
          <w:rFonts w:eastAsia="Calibri" w:cs="Tahoma"/>
          <w:bCs/>
          <w:color w:val="auto"/>
        </w:rPr>
        <w:t xml:space="preserve"> son los encargados de otorgar licencias para el funcionamiento de unidades económicas; así como, de crear el Registro Municipal de Unidades Económicas, donde se especifique la licencia de funcionamiento y las características que se determinen convenientes.</w:t>
      </w:r>
    </w:p>
    <w:p w14:paraId="5C4418B7" w14:textId="77777777" w:rsidR="00FB1771" w:rsidRPr="00FB1771" w:rsidRDefault="00FB1771" w:rsidP="00395324">
      <w:pPr>
        <w:tabs>
          <w:tab w:val="left" w:pos="4962"/>
        </w:tabs>
        <w:spacing w:after="0" w:line="360" w:lineRule="auto"/>
        <w:rPr>
          <w:rFonts w:eastAsia="Calibri" w:cs="Tahoma"/>
          <w:bCs/>
          <w:color w:val="auto"/>
        </w:rPr>
      </w:pPr>
    </w:p>
    <w:p w14:paraId="6A310DF6" w14:textId="77777777" w:rsidR="00FB1771" w:rsidRPr="00FB1771" w:rsidRDefault="00FB1771" w:rsidP="00395324">
      <w:pPr>
        <w:spacing w:after="0" w:line="360" w:lineRule="auto"/>
        <w:rPr>
          <w:rFonts w:eastAsia="Calibri" w:cs="Tahoma"/>
          <w:bCs/>
          <w:color w:val="auto"/>
        </w:rPr>
      </w:pPr>
      <w:r w:rsidRPr="00FB1771">
        <w:rPr>
          <w:rFonts w:eastAsia="Calibri" w:cs="Tahoma"/>
          <w:bCs/>
          <w:color w:val="auto"/>
        </w:rPr>
        <w:t xml:space="preserve">Para lograr lo anterior, los Ayuntamientos contarán con un </w:t>
      </w:r>
      <w:r w:rsidRPr="00FB1771">
        <w:rPr>
          <w:rFonts w:eastAsia="Calibri" w:cs="Tahoma"/>
          <w:b/>
          <w:color w:val="auto"/>
        </w:rPr>
        <w:t>Director de Desarrollo Económico o equivalente</w:t>
      </w:r>
      <w:r w:rsidRPr="00FB1771">
        <w:rPr>
          <w:rFonts w:eastAsia="Calibri" w:cs="Tahoma"/>
          <w:bCs/>
          <w:color w:val="auto"/>
        </w:rPr>
        <w:t xml:space="preserve"> que impulsa la simplificación de trámites y reducción de plazos para el otorgamiento de </w:t>
      </w:r>
      <w:r w:rsidRPr="00EF2809">
        <w:rPr>
          <w:rFonts w:eastAsia="Calibri" w:cs="Tahoma"/>
          <w:bCs/>
          <w:color w:val="auto"/>
        </w:rPr>
        <w:t>permisos, licencias y autorizaciones</w:t>
      </w:r>
      <w:r w:rsidRPr="00FB1771">
        <w:rPr>
          <w:rFonts w:eastAsia="Calibri" w:cs="Tahoma"/>
          <w:bCs/>
          <w:color w:val="auto"/>
        </w:rPr>
        <w:t xml:space="preserve"> del orden municipal, así como de operar y actualizar el Registro Municipal de Unidades Económicas de los permisos o </w:t>
      </w:r>
      <w:r w:rsidRPr="00FB1771">
        <w:rPr>
          <w:rFonts w:eastAsia="Calibri" w:cs="Tahoma"/>
          <w:bCs/>
          <w:color w:val="auto"/>
        </w:rPr>
        <w:lastRenderedPageBreak/>
        <w:t>licencias de funcionamiento otorgadas, de conformidad con el artículo 96 Quáter de la Ley previamente señalada.</w:t>
      </w:r>
    </w:p>
    <w:p w14:paraId="76F187CE" w14:textId="77777777" w:rsidR="00FB1771" w:rsidRPr="00FB1771" w:rsidRDefault="00FB1771" w:rsidP="00395324">
      <w:pPr>
        <w:spacing w:after="0" w:line="360" w:lineRule="auto"/>
        <w:rPr>
          <w:rFonts w:eastAsia="Calibri" w:cs="Tahoma"/>
          <w:bCs/>
          <w:color w:val="auto"/>
        </w:rPr>
      </w:pPr>
    </w:p>
    <w:p w14:paraId="2AF3EA31" w14:textId="77777777" w:rsidR="00FB1771" w:rsidRPr="00EF2809" w:rsidRDefault="00FB1771" w:rsidP="00395324">
      <w:pPr>
        <w:spacing w:after="0" w:line="360" w:lineRule="auto"/>
        <w:rPr>
          <w:rFonts w:eastAsia="Calibri" w:cs="Tahoma"/>
          <w:bCs/>
        </w:rPr>
      </w:pPr>
      <w:r w:rsidRPr="00FB1771">
        <w:rPr>
          <w:rFonts w:eastAsia="Calibri" w:cs="Tahoma"/>
          <w:bCs/>
        </w:rPr>
        <w:t xml:space="preserve">En ese sentido, en el artículo 2°, fracciones XV y XXXVIII, 5°, fracción X, 7°, fracción V, 15, 16 y 33 de la Ley de Competitividad y Ordenamiento Comercial del Estado de México,  </w:t>
      </w:r>
      <w:r w:rsidRPr="00EF2809">
        <w:rPr>
          <w:rFonts w:eastAsia="Calibri" w:cs="Tahoma"/>
          <w:bCs/>
        </w:rPr>
        <w:t>establecen que la licencia de funcionamiento, es el acto administrativo emitido por los Municipios, a través de la Ventanilla Única, a través del cual se autoriza a una persona física o jurídica colectiva a desarrollar actividades económicas de bajo impacto, entre las que se encuentran la intermediación, compraventa, arredramiento, distribución de bienes o  prestación de servicios comerciales.</w:t>
      </w:r>
    </w:p>
    <w:p w14:paraId="6A6C131E" w14:textId="77777777" w:rsidR="00FB1771" w:rsidRPr="00FB1771" w:rsidRDefault="00FB1771" w:rsidP="00395324">
      <w:pPr>
        <w:spacing w:after="0" w:line="360" w:lineRule="auto"/>
        <w:rPr>
          <w:rFonts w:eastAsia="Calibri" w:cs="Tahoma"/>
          <w:b/>
          <w:bCs/>
        </w:rPr>
      </w:pPr>
    </w:p>
    <w:p w14:paraId="1008456E" w14:textId="77777777" w:rsidR="00FB1771" w:rsidRPr="00FB1771" w:rsidRDefault="00FB1771" w:rsidP="00395324">
      <w:pPr>
        <w:spacing w:after="0" w:line="360" w:lineRule="auto"/>
        <w:rPr>
          <w:rFonts w:eastAsia="Calibri" w:cs="Tahoma"/>
          <w:bCs/>
          <w:color w:val="auto"/>
        </w:rPr>
      </w:pPr>
      <w:r w:rsidRPr="00983A27">
        <w:rPr>
          <w:rFonts w:eastAsia="Calibri" w:cs="Tahoma"/>
          <w:bCs/>
          <w:color w:val="auto"/>
        </w:rPr>
        <w:t>En ese contexto, la operación de la Ventanilla Única y la expedición de las licencias de funcionamiento, le corresponde a los Ayuntamientos, al coordinar</w:t>
      </w:r>
      <w:r w:rsidRPr="00FB1771">
        <w:rPr>
          <w:rFonts w:eastAsia="Calibri" w:cs="Tahoma"/>
          <w:bCs/>
          <w:color w:val="auto"/>
        </w:rPr>
        <w:t xml:space="preserve"> la gestión de trámites para la recepción, integración y verificación de los expedientes que presentan los particulares; por tales circunstancias, cada Municipio deberá apegarse a las disposiciones legales que emita, ello conforme a los artículos 16 y 22, fracción I, del Reglamento de la Ley de Competitividad y Ordenamiento Comercial del Estado de México.</w:t>
      </w:r>
    </w:p>
    <w:p w14:paraId="0EF558CD" w14:textId="77777777" w:rsidR="00C30D1C" w:rsidRDefault="00C30D1C" w:rsidP="00395324">
      <w:pPr>
        <w:spacing w:after="0" w:line="360" w:lineRule="auto"/>
        <w:ind w:right="-28"/>
        <w:contextualSpacing/>
        <w:rPr>
          <w:rFonts w:eastAsia="Times New Roman" w:cs="Tahoma"/>
          <w:color w:val="FF0000"/>
          <w:lang w:eastAsia="es-ES"/>
        </w:rPr>
      </w:pPr>
    </w:p>
    <w:p w14:paraId="50E6FBD3" w14:textId="77777777" w:rsidR="00661311" w:rsidRDefault="00661311" w:rsidP="00395324">
      <w:pPr>
        <w:spacing w:after="0" w:line="360" w:lineRule="auto"/>
      </w:pPr>
      <w:r>
        <w:t>Además</w:t>
      </w:r>
      <w:r w:rsidRPr="00576236">
        <w:t xml:space="preserve">, los artículos 10 y 11 </w:t>
      </w:r>
      <w:r>
        <w:t xml:space="preserve">de la </w:t>
      </w:r>
      <w:r>
        <w:rPr>
          <w:rFonts w:eastAsia="Times New Roman" w:cs="Tahoma"/>
          <w:iCs/>
          <w:color w:val="auto"/>
          <w:lang w:val="es-ES" w:eastAsia="es-ES"/>
        </w:rPr>
        <w:t>Ley de Competitividad y Ordenamiento Comercial del Estado de México</w:t>
      </w:r>
      <w:r w:rsidRPr="00576236">
        <w:t xml:space="preserve">, </w:t>
      </w:r>
      <w:r>
        <w:t xml:space="preserve">mencionan que los registros tienen como finalidad crear una base de datos confiable, actualizada e integrada a nivel municipal de las unidades económicas que se apertura en el territorio, e incluirá al menos los datos siguientes: </w:t>
      </w:r>
    </w:p>
    <w:p w14:paraId="4857BF18" w14:textId="77777777" w:rsidR="00661311" w:rsidRDefault="00661311" w:rsidP="00395324">
      <w:pPr>
        <w:spacing w:after="0" w:line="360" w:lineRule="auto"/>
        <w:rPr>
          <w:b/>
          <w:bCs/>
        </w:rPr>
      </w:pPr>
    </w:p>
    <w:p w14:paraId="694AD5B5" w14:textId="77777777" w:rsidR="00661311" w:rsidRPr="00576236" w:rsidRDefault="00661311" w:rsidP="00395324">
      <w:pPr>
        <w:numPr>
          <w:ilvl w:val="0"/>
          <w:numId w:val="34"/>
        </w:numPr>
        <w:spacing w:after="0" w:line="360" w:lineRule="auto"/>
        <w:rPr>
          <w:rFonts w:eastAsia="Calibri" w:cs="Tahoma"/>
          <w:bCs/>
          <w:color w:val="auto"/>
        </w:rPr>
      </w:pPr>
      <w:r w:rsidRPr="00576236">
        <w:rPr>
          <w:rFonts w:eastAsia="Calibri" w:cs="Tahoma"/>
          <w:bCs/>
          <w:color w:val="auto"/>
        </w:rPr>
        <w:t xml:space="preserve">Clave única, que se integrará de una serie alfanumérica. </w:t>
      </w:r>
    </w:p>
    <w:p w14:paraId="76F5605C" w14:textId="77777777" w:rsidR="00661311" w:rsidRPr="00576236" w:rsidRDefault="00661311" w:rsidP="00395324">
      <w:pPr>
        <w:numPr>
          <w:ilvl w:val="0"/>
          <w:numId w:val="34"/>
        </w:numPr>
        <w:spacing w:after="0" w:line="360" w:lineRule="auto"/>
        <w:rPr>
          <w:rFonts w:eastAsia="Calibri" w:cs="Tahoma"/>
          <w:bCs/>
          <w:color w:val="auto"/>
        </w:rPr>
      </w:pPr>
      <w:r w:rsidRPr="00576236">
        <w:rPr>
          <w:rFonts w:eastAsia="Calibri" w:cs="Tahoma"/>
          <w:bCs/>
          <w:color w:val="auto"/>
        </w:rPr>
        <w:t xml:space="preserve">Nombre del municipio. </w:t>
      </w:r>
    </w:p>
    <w:p w14:paraId="3E7EA0EF" w14:textId="77777777" w:rsidR="00661311" w:rsidRPr="00576236" w:rsidRDefault="00661311" w:rsidP="00395324">
      <w:pPr>
        <w:numPr>
          <w:ilvl w:val="0"/>
          <w:numId w:val="34"/>
        </w:numPr>
        <w:spacing w:after="0" w:line="360" w:lineRule="auto"/>
        <w:rPr>
          <w:rFonts w:eastAsia="Calibri" w:cs="Tahoma"/>
          <w:bCs/>
          <w:color w:val="auto"/>
        </w:rPr>
      </w:pPr>
      <w:r w:rsidRPr="00576236">
        <w:rPr>
          <w:rFonts w:eastAsia="Calibri" w:cs="Tahoma"/>
          <w:bCs/>
          <w:color w:val="auto"/>
        </w:rPr>
        <w:t>Nombre del titular.</w:t>
      </w:r>
    </w:p>
    <w:p w14:paraId="1AF0BFE0" w14:textId="77777777" w:rsidR="00661311" w:rsidRPr="00576236" w:rsidRDefault="00661311" w:rsidP="00395324">
      <w:pPr>
        <w:numPr>
          <w:ilvl w:val="0"/>
          <w:numId w:val="34"/>
        </w:numPr>
        <w:spacing w:after="0" w:line="360" w:lineRule="auto"/>
        <w:rPr>
          <w:rFonts w:eastAsia="Calibri" w:cs="Tahoma"/>
          <w:bCs/>
          <w:color w:val="auto"/>
        </w:rPr>
      </w:pPr>
      <w:r w:rsidRPr="00576236">
        <w:rPr>
          <w:rFonts w:eastAsia="Calibri" w:cs="Tahoma"/>
          <w:bCs/>
          <w:color w:val="auto"/>
        </w:rPr>
        <w:t xml:space="preserve">Actividad económica. </w:t>
      </w:r>
    </w:p>
    <w:p w14:paraId="20FDC00E" w14:textId="77777777" w:rsidR="00661311" w:rsidRPr="00576236" w:rsidRDefault="00661311" w:rsidP="00395324">
      <w:pPr>
        <w:numPr>
          <w:ilvl w:val="0"/>
          <w:numId w:val="34"/>
        </w:numPr>
        <w:spacing w:after="0" w:line="360" w:lineRule="auto"/>
        <w:rPr>
          <w:rFonts w:eastAsia="Calibri" w:cs="Tahoma"/>
          <w:bCs/>
          <w:color w:val="auto"/>
        </w:rPr>
      </w:pPr>
      <w:r w:rsidRPr="00576236">
        <w:rPr>
          <w:rFonts w:eastAsia="Calibri" w:cs="Tahoma"/>
          <w:bCs/>
          <w:color w:val="auto"/>
        </w:rPr>
        <w:lastRenderedPageBreak/>
        <w:t xml:space="preserve">Fecha de inicio de actividades. </w:t>
      </w:r>
    </w:p>
    <w:p w14:paraId="41BD9E18" w14:textId="77777777" w:rsidR="00661311" w:rsidRPr="00576236" w:rsidRDefault="00661311" w:rsidP="00395324">
      <w:pPr>
        <w:numPr>
          <w:ilvl w:val="0"/>
          <w:numId w:val="34"/>
        </w:numPr>
        <w:spacing w:after="0" w:line="360" w:lineRule="auto"/>
        <w:rPr>
          <w:rFonts w:eastAsia="Calibri" w:cs="Tahoma"/>
          <w:bCs/>
          <w:color w:val="auto"/>
        </w:rPr>
      </w:pPr>
      <w:r w:rsidRPr="00576236">
        <w:rPr>
          <w:rFonts w:eastAsia="Calibri" w:cs="Tahoma"/>
          <w:bCs/>
          <w:color w:val="auto"/>
        </w:rPr>
        <w:t xml:space="preserve">Tipo de impacto. </w:t>
      </w:r>
    </w:p>
    <w:p w14:paraId="2266E3B9" w14:textId="77777777" w:rsidR="00661311" w:rsidRPr="00576236" w:rsidRDefault="00661311" w:rsidP="00395324">
      <w:pPr>
        <w:numPr>
          <w:ilvl w:val="0"/>
          <w:numId w:val="34"/>
        </w:numPr>
        <w:spacing w:after="0" w:line="360" w:lineRule="auto"/>
        <w:rPr>
          <w:rFonts w:eastAsia="Calibri" w:cs="Tahoma"/>
          <w:bCs/>
          <w:color w:val="auto"/>
        </w:rPr>
      </w:pPr>
      <w:r w:rsidRPr="00576236">
        <w:rPr>
          <w:rFonts w:eastAsia="Calibri" w:cs="Tahoma"/>
          <w:bCs/>
          <w:color w:val="auto"/>
        </w:rPr>
        <w:t xml:space="preserve">Domicilio de la unidad económica. </w:t>
      </w:r>
    </w:p>
    <w:p w14:paraId="603B045A" w14:textId="77777777" w:rsidR="00661311" w:rsidRPr="00576236" w:rsidRDefault="00661311" w:rsidP="00395324">
      <w:pPr>
        <w:numPr>
          <w:ilvl w:val="0"/>
          <w:numId w:val="34"/>
        </w:numPr>
        <w:spacing w:after="0" w:line="360" w:lineRule="auto"/>
        <w:rPr>
          <w:rFonts w:eastAsia="Calibri" w:cs="Tahoma"/>
          <w:bCs/>
          <w:color w:val="auto"/>
        </w:rPr>
      </w:pPr>
      <w:r w:rsidRPr="00576236">
        <w:rPr>
          <w:rFonts w:eastAsia="Calibri" w:cs="Tahoma"/>
          <w:bCs/>
          <w:color w:val="auto"/>
        </w:rPr>
        <w:t xml:space="preserve">Visitas y procedimientos de verificación en su caso. </w:t>
      </w:r>
    </w:p>
    <w:p w14:paraId="5322C9DC" w14:textId="77777777" w:rsidR="00661311" w:rsidRPr="00576236" w:rsidRDefault="00661311" w:rsidP="00395324">
      <w:pPr>
        <w:numPr>
          <w:ilvl w:val="0"/>
          <w:numId w:val="34"/>
        </w:numPr>
        <w:spacing w:after="0" w:line="360" w:lineRule="auto"/>
        <w:rPr>
          <w:rFonts w:eastAsia="Calibri" w:cs="Tahoma"/>
          <w:bCs/>
          <w:color w:val="auto"/>
        </w:rPr>
      </w:pPr>
      <w:r w:rsidRPr="00576236">
        <w:rPr>
          <w:rFonts w:eastAsia="Calibri" w:cs="Tahoma"/>
          <w:bCs/>
          <w:color w:val="auto"/>
        </w:rPr>
        <w:t xml:space="preserve">Sanciones en su caso. </w:t>
      </w:r>
    </w:p>
    <w:p w14:paraId="78A6DC9A" w14:textId="77777777" w:rsidR="00661311" w:rsidRDefault="00661311" w:rsidP="00395324">
      <w:pPr>
        <w:spacing w:after="0" w:line="360" w:lineRule="auto"/>
        <w:rPr>
          <w:rFonts w:eastAsia="Calibri" w:cs="Tahoma"/>
          <w:bCs/>
          <w:color w:val="auto"/>
        </w:rPr>
      </w:pPr>
    </w:p>
    <w:p w14:paraId="3469FE6D" w14:textId="1CB1CD66" w:rsidR="00661311" w:rsidRPr="00043D19" w:rsidRDefault="00661311" w:rsidP="00395324">
      <w:pPr>
        <w:spacing w:after="0" w:line="360" w:lineRule="auto"/>
        <w:rPr>
          <w:rFonts w:eastAsia="Calibri" w:cs="Tahoma"/>
          <w:bCs/>
          <w:color w:val="auto"/>
        </w:rPr>
      </w:pPr>
      <w:r>
        <w:rPr>
          <w:rFonts w:eastAsia="Times New Roman" w:cs="Tahoma"/>
          <w:color w:val="auto"/>
          <w:lang w:val="es-ES" w:eastAsia="es-ES"/>
        </w:rPr>
        <w:t>En ese sentido</w:t>
      </w:r>
      <w:r w:rsidRPr="00043D19">
        <w:rPr>
          <w:rFonts w:eastAsia="Times New Roman" w:cs="Tahoma"/>
          <w:color w:val="auto"/>
          <w:lang w:val="es-ES" w:eastAsia="es-ES"/>
        </w:rPr>
        <w:t xml:space="preserve">, </w:t>
      </w:r>
      <w:r w:rsidRPr="00043D19">
        <w:rPr>
          <w:rFonts w:eastAsia="Calibri" w:cs="Tahoma"/>
          <w:bCs/>
          <w:color w:val="auto"/>
        </w:rPr>
        <w:t xml:space="preserve">el artículo 31, fracciones, XXIV Quáter y XLIV, de la Ley Orgánica Municipal el Estado de México, establece que los Ayuntamientos, entre los que se encuentra el </w:t>
      </w:r>
      <w:r w:rsidR="007F2A65">
        <w:rPr>
          <w:rFonts w:eastAsia="Calibri" w:cs="Tahoma"/>
          <w:bCs/>
          <w:color w:val="auto"/>
        </w:rPr>
        <w:t>Ayuntamiento de Nopaltepec</w:t>
      </w:r>
      <w:r w:rsidRPr="00043D19">
        <w:rPr>
          <w:rFonts w:eastAsia="Calibri" w:cs="Tahoma"/>
          <w:bCs/>
          <w:color w:val="auto"/>
        </w:rPr>
        <w:t xml:space="preserve">, son los encargados de crear </w:t>
      </w:r>
      <w:r w:rsidRPr="003D7B2C">
        <w:rPr>
          <w:rFonts w:eastAsia="Calibri" w:cs="Tahoma"/>
          <w:b/>
          <w:bCs/>
          <w:color w:val="auto"/>
        </w:rPr>
        <w:t>el Registro Municipal de Unidades Económicas</w:t>
      </w:r>
      <w:r w:rsidRPr="00043D19">
        <w:rPr>
          <w:rFonts w:eastAsia="Calibri" w:cs="Tahoma"/>
          <w:bCs/>
          <w:color w:val="auto"/>
        </w:rPr>
        <w:t xml:space="preserve">, así como, de otorgar licencias para el funcionamiento de esas unidades económicas. </w:t>
      </w:r>
    </w:p>
    <w:p w14:paraId="290C1DFB" w14:textId="77777777" w:rsidR="00661311" w:rsidRDefault="00661311" w:rsidP="00395324">
      <w:pPr>
        <w:spacing w:after="0" w:line="360" w:lineRule="auto"/>
        <w:ind w:right="-28"/>
        <w:contextualSpacing/>
        <w:rPr>
          <w:rFonts w:eastAsia="Times New Roman" w:cs="Tahoma"/>
          <w:color w:val="FF0000"/>
          <w:lang w:eastAsia="es-ES"/>
        </w:rPr>
      </w:pPr>
    </w:p>
    <w:p w14:paraId="18FB4340" w14:textId="6075768C" w:rsidR="00C02A36" w:rsidRDefault="00661311" w:rsidP="00395324">
      <w:pPr>
        <w:spacing w:after="0" w:line="360" w:lineRule="auto"/>
        <w:ind w:right="-28"/>
        <w:contextualSpacing/>
        <w:rPr>
          <w:rFonts w:eastAsia="Palatino Linotype" w:cs="Palatino Linotype"/>
          <w:color w:val="000000"/>
          <w:lang w:eastAsia="es-ES"/>
        </w:rPr>
      </w:pPr>
      <w:r>
        <w:rPr>
          <w:rFonts w:eastAsia="Calibri" w:cs="Tahoma"/>
          <w:iCs/>
          <w:lang w:val="es-ES" w:eastAsia="es-ES_tradnl"/>
        </w:rPr>
        <w:t xml:space="preserve">Ahora bien, es necesario precisar que el Particular, requiere </w:t>
      </w:r>
      <w:r w:rsidR="003D7B2C">
        <w:rPr>
          <w:rFonts w:eastAsia="Calibri" w:cs="Tahoma"/>
          <w:iCs/>
          <w:lang w:val="es-ES" w:eastAsia="es-ES_tradnl"/>
        </w:rPr>
        <w:t xml:space="preserve">el </w:t>
      </w:r>
      <w:r w:rsidR="003D7B2C" w:rsidRPr="003D7B2C">
        <w:rPr>
          <w:color w:val="auto"/>
          <w:lang w:val="es-ES"/>
        </w:rPr>
        <w:t>padrón de las empresas que se dediquen a la fabricación de productos metálicos   donde se informe la razón social, domicilio, número t</w:t>
      </w:r>
      <w:r w:rsidR="00ED43D3">
        <w:rPr>
          <w:color w:val="auto"/>
          <w:lang w:val="es-ES"/>
        </w:rPr>
        <w:t>elefónico y  correo electrónico, por lo que</w:t>
      </w:r>
      <w:r w:rsidR="00DC6C16">
        <w:rPr>
          <w:color w:val="auto"/>
          <w:lang w:val="es-ES"/>
        </w:rPr>
        <w:t>, de manera enunciativa,</w:t>
      </w:r>
      <w:r w:rsidR="00ED43D3">
        <w:rPr>
          <w:color w:val="auto"/>
          <w:lang w:val="es-ES"/>
        </w:rPr>
        <w:t xml:space="preserve"> el documento que </w:t>
      </w:r>
      <w:r w:rsidR="00ED43D3" w:rsidRPr="00DC6C16">
        <w:rPr>
          <w:b/>
          <w:color w:val="auto"/>
          <w:lang w:val="es-ES"/>
        </w:rPr>
        <w:t>satisface el requerimiento puede ser el Registro Municipal de Unidades Económicas</w:t>
      </w:r>
      <w:r w:rsidR="00C02A36">
        <w:rPr>
          <w:lang w:val="es-ES"/>
        </w:rPr>
        <w:t xml:space="preserve">; </w:t>
      </w:r>
      <w:r w:rsidR="00C02A36">
        <w:rPr>
          <w:rFonts w:eastAsia="Palatino Linotype" w:cs="Palatino Linotype"/>
          <w:color w:val="0D0D0D"/>
          <w:lang w:eastAsia="es-ES"/>
        </w:rPr>
        <w:t>situación</w:t>
      </w:r>
      <w:r w:rsidR="00C02A36" w:rsidRPr="002F0633">
        <w:rPr>
          <w:rFonts w:eastAsia="Palatino Linotype" w:cs="Palatino Linotype"/>
          <w:color w:val="0D0D0D"/>
          <w:lang w:eastAsia="es-ES"/>
        </w:rPr>
        <w:t xml:space="preserve"> toma relevancia, pues el Criterio de Interpretación, con clave de control SO/016/2017</w:t>
      </w:r>
      <w:r w:rsidR="00C02A36" w:rsidRPr="002F0633">
        <w:rPr>
          <w:rFonts w:eastAsia="Palatino Linotype" w:cs="Palatino Linotype"/>
          <w:color w:val="000000"/>
          <w:lang w:eastAsia="es-ES"/>
        </w:rPr>
        <w:t xml:space="preserve">, de la Segunda Época, emitido por el Instituto Nacional de Transparencia, Acceso a la Información y Protección de Datos Personales, </w:t>
      </w:r>
      <w:r w:rsidR="00C02A36">
        <w:rPr>
          <w:rFonts w:eastAsia="Palatino Linotype" w:cs="Palatino Linotype"/>
          <w:color w:val="000000"/>
          <w:lang w:eastAsia="es-ES"/>
        </w:rPr>
        <w:t xml:space="preserve">el cual precisa que </w:t>
      </w:r>
      <w:r w:rsidR="00C02A36" w:rsidRPr="002F0633">
        <w:rPr>
          <w:rFonts w:eastAsia="Palatino Linotype" w:cs="Palatino Linotype"/>
          <w:color w:val="000000"/>
          <w:lang w:eastAsia="es-ES"/>
        </w:rPr>
        <w:t>cuando los particulares no identifiquen de forma precisa la documentación que podría contener la información de su interés o la solicitud sea una consulta, los Sujetos Obligados deben de proporcionar la expresión documental, que dé cuenta de lo requerido.</w:t>
      </w:r>
    </w:p>
    <w:p w14:paraId="4592A754" w14:textId="77777777" w:rsidR="00ED43D3" w:rsidRPr="00ED43D3" w:rsidRDefault="00ED43D3" w:rsidP="00395324">
      <w:pPr>
        <w:spacing w:after="0" w:line="360" w:lineRule="auto"/>
        <w:ind w:right="-28"/>
        <w:contextualSpacing/>
        <w:rPr>
          <w:color w:val="auto"/>
          <w:lang w:val="es-ES"/>
        </w:rPr>
      </w:pPr>
    </w:p>
    <w:p w14:paraId="54A5FBB5" w14:textId="12CD9010" w:rsidR="00E75697" w:rsidRPr="00335C06" w:rsidRDefault="00E75697" w:rsidP="00395324">
      <w:pPr>
        <w:spacing w:after="0" w:line="360" w:lineRule="auto"/>
        <w:contextualSpacing/>
        <w:rPr>
          <w:rFonts w:cs="Tahoma"/>
          <w:bCs/>
          <w:iCs/>
          <w:color w:val="auto"/>
          <w:lang w:val="es-ES"/>
        </w:rPr>
      </w:pPr>
      <w:r w:rsidRPr="00335C06">
        <w:rPr>
          <w:rFonts w:cs="Tahoma"/>
          <w:bCs/>
          <w:iCs/>
          <w:color w:val="auto"/>
          <w:lang w:val="es-ES"/>
        </w:rPr>
        <w:t xml:space="preserve">Ahora bien, de las constancias que obran en el expediente, se logra vislumbrar que el Sujeto Obligado, </w:t>
      </w:r>
      <w:r w:rsidR="003B3E1B">
        <w:rPr>
          <w:rFonts w:cs="Tahoma"/>
          <w:bCs/>
          <w:iCs/>
          <w:color w:val="auto"/>
          <w:lang w:val="es-ES"/>
        </w:rPr>
        <w:t>proporcionó su respuesta por medio del Titular de la Unidad de Transparencia</w:t>
      </w:r>
      <w:r w:rsidRPr="00335C06">
        <w:rPr>
          <w:rFonts w:cs="Tahoma"/>
          <w:bCs/>
          <w:iCs/>
          <w:color w:val="auto"/>
          <w:lang w:val="es-ES"/>
        </w:rPr>
        <w:t xml:space="preserve">, </w:t>
      </w:r>
      <w:r w:rsidRPr="00335C06">
        <w:rPr>
          <w:rFonts w:cs="Tahoma"/>
          <w:bCs/>
          <w:iCs/>
          <w:color w:val="auto"/>
        </w:rPr>
        <w:t xml:space="preserve">por lo que, es necesario hacer referencia al </w:t>
      </w:r>
      <w:r w:rsidRPr="00335C06">
        <w:rPr>
          <w:rFonts w:cs="Tahoma"/>
          <w:b/>
          <w:iCs/>
          <w:color w:val="auto"/>
        </w:rPr>
        <w:t xml:space="preserve">procedimiento de búsqueda </w:t>
      </w:r>
      <w:r w:rsidRPr="00335C06">
        <w:rPr>
          <w:rFonts w:cs="Tahoma"/>
          <w:b/>
          <w:iCs/>
          <w:color w:val="auto"/>
          <w:lang w:val="es-ES"/>
        </w:rPr>
        <w:t>que deben de seguir los Sujetos Obligados para localizar la información</w:t>
      </w:r>
      <w:r w:rsidRPr="00335C06">
        <w:rPr>
          <w:rFonts w:cs="Tahoma"/>
          <w:bCs/>
          <w:iCs/>
          <w:color w:val="auto"/>
          <w:lang w:val="es-ES"/>
        </w:rPr>
        <w:t xml:space="preserve">, el cual se encuentra previsto en los </w:t>
      </w:r>
      <w:r w:rsidRPr="00335C06">
        <w:rPr>
          <w:rFonts w:cs="Tahoma"/>
          <w:bCs/>
          <w:iCs/>
          <w:color w:val="auto"/>
          <w:lang w:val="es-ES"/>
        </w:rPr>
        <w:lastRenderedPageBreak/>
        <w:t>artículos 160 y 162 de la Ley de Transparencia y Acceso a la Información Pública del Estado de México y Municipios, mismo que es el siguiente:</w:t>
      </w:r>
    </w:p>
    <w:p w14:paraId="7EB63F5E" w14:textId="77777777" w:rsidR="00E75697" w:rsidRPr="00335C06" w:rsidRDefault="00E75697" w:rsidP="00395324">
      <w:pPr>
        <w:spacing w:after="0" w:line="360" w:lineRule="auto"/>
        <w:contextualSpacing/>
        <w:rPr>
          <w:rFonts w:cs="Tahoma"/>
          <w:bCs/>
          <w:iCs/>
          <w:color w:val="auto"/>
        </w:rPr>
      </w:pPr>
    </w:p>
    <w:p w14:paraId="30A9F994" w14:textId="77777777" w:rsidR="00E75697" w:rsidRPr="00335C06" w:rsidRDefault="00E75697" w:rsidP="00395324">
      <w:pPr>
        <w:numPr>
          <w:ilvl w:val="0"/>
          <w:numId w:val="4"/>
        </w:numPr>
        <w:spacing w:after="0" w:line="360" w:lineRule="auto"/>
        <w:contextualSpacing/>
        <w:rPr>
          <w:rFonts w:cs="Tahoma"/>
          <w:bCs/>
          <w:iCs/>
          <w:color w:val="auto"/>
          <w:lang w:val="es-ES"/>
        </w:rPr>
      </w:pPr>
      <w:r w:rsidRPr="00335C06">
        <w:rPr>
          <w:rFonts w:cs="Tahoma"/>
          <w:bCs/>
          <w:iCs/>
          <w:color w:val="auto"/>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3D86322" w14:textId="77777777" w:rsidR="00E75697" w:rsidRPr="00335C06" w:rsidRDefault="00E75697" w:rsidP="00395324">
      <w:pPr>
        <w:spacing w:after="0" w:line="360" w:lineRule="auto"/>
        <w:contextualSpacing/>
        <w:rPr>
          <w:rFonts w:cs="Tahoma"/>
          <w:bCs/>
          <w:iCs/>
          <w:color w:val="auto"/>
          <w:lang w:val="es-ES"/>
        </w:rPr>
      </w:pPr>
    </w:p>
    <w:p w14:paraId="1F5FC3F4" w14:textId="77777777" w:rsidR="00E75697" w:rsidRPr="00335C06" w:rsidRDefault="00E75697" w:rsidP="00395324">
      <w:pPr>
        <w:numPr>
          <w:ilvl w:val="0"/>
          <w:numId w:val="4"/>
        </w:numPr>
        <w:spacing w:after="0" w:line="360" w:lineRule="auto"/>
        <w:contextualSpacing/>
        <w:rPr>
          <w:rFonts w:cs="Tahoma"/>
          <w:bCs/>
          <w:iCs/>
          <w:color w:val="auto"/>
          <w:lang w:val="es-ES"/>
        </w:rPr>
      </w:pPr>
      <w:r w:rsidRPr="00335C06">
        <w:rPr>
          <w:rFonts w:cs="Tahoma"/>
          <w:bCs/>
          <w:iCs/>
          <w:color w:val="auto"/>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79765CC7" w14:textId="77777777" w:rsidR="00E75697" w:rsidRPr="0046693C" w:rsidRDefault="00E75697" w:rsidP="00395324">
      <w:pPr>
        <w:spacing w:after="0" w:line="360" w:lineRule="auto"/>
        <w:rPr>
          <w:rFonts w:eastAsia="Calibri" w:cs="Tahoma"/>
          <w:bCs/>
          <w:color w:val="FF0000"/>
          <w:szCs w:val="24"/>
          <w:lang w:eastAsia="es-MX"/>
        </w:rPr>
      </w:pPr>
    </w:p>
    <w:p w14:paraId="3EA67155" w14:textId="3C76858E" w:rsidR="008B2312" w:rsidRPr="008B2312" w:rsidRDefault="00E75697" w:rsidP="00395324">
      <w:pPr>
        <w:spacing w:after="0" w:line="360" w:lineRule="auto"/>
        <w:rPr>
          <w:bCs/>
          <w:iCs/>
          <w:color w:val="auto"/>
        </w:rPr>
      </w:pPr>
      <w:r w:rsidRPr="008B2312">
        <w:rPr>
          <w:rFonts w:eastAsia="Calibri" w:cs="Tahoma"/>
          <w:bCs/>
          <w:color w:val="auto"/>
          <w:szCs w:val="24"/>
          <w:lang w:eastAsia="es-MX"/>
        </w:rPr>
        <w:t xml:space="preserve">Conforme a lo </w:t>
      </w:r>
      <w:r w:rsidR="00335C06" w:rsidRPr="008B2312">
        <w:rPr>
          <w:rFonts w:eastAsia="Calibri" w:cs="Tahoma"/>
          <w:bCs/>
          <w:color w:val="auto"/>
          <w:szCs w:val="24"/>
          <w:lang w:eastAsia="es-MX"/>
        </w:rPr>
        <w:t xml:space="preserve">señalado en párrafos posteriores, </w:t>
      </w:r>
      <w:r w:rsidRPr="008B2312">
        <w:rPr>
          <w:bCs/>
          <w:iCs/>
          <w:color w:val="auto"/>
        </w:rPr>
        <w:t xml:space="preserve">se advierte que el Sujeto Obligado, </w:t>
      </w:r>
      <w:r w:rsidR="008B2312" w:rsidRPr="008B2312">
        <w:rPr>
          <w:bCs/>
          <w:iCs/>
          <w:color w:val="auto"/>
        </w:rPr>
        <w:t xml:space="preserve">no </w:t>
      </w:r>
      <w:r w:rsidRPr="008B2312">
        <w:rPr>
          <w:bCs/>
          <w:iCs/>
          <w:color w:val="auto"/>
        </w:rPr>
        <w:t xml:space="preserve">cumplió con el procedimiento de búsqueda previsto en el artículo 162 de la Ley de Transparencia y Acceso a la Información Pública del Estado de México y Municipios, toda vez que </w:t>
      </w:r>
      <w:r w:rsidR="003B3E1B">
        <w:rPr>
          <w:bCs/>
          <w:iCs/>
          <w:color w:val="auto"/>
        </w:rPr>
        <w:t xml:space="preserve">no </w:t>
      </w:r>
      <w:r w:rsidRPr="008B2312">
        <w:rPr>
          <w:bCs/>
          <w:iCs/>
          <w:color w:val="auto"/>
        </w:rPr>
        <w:t xml:space="preserve">turno la solicitud de información </w:t>
      </w:r>
      <w:r w:rsidR="008B2312" w:rsidRPr="008B2312">
        <w:rPr>
          <w:bCs/>
          <w:iCs/>
          <w:color w:val="auto"/>
        </w:rPr>
        <w:t>a todas las áreas competentes para conocer de la información solicitada,</w:t>
      </w:r>
      <w:r w:rsidR="003B3E1B">
        <w:rPr>
          <w:bCs/>
          <w:iCs/>
          <w:color w:val="auto"/>
        </w:rPr>
        <w:t xml:space="preserve"> como puede ser </w:t>
      </w:r>
      <w:r w:rsidR="003F1A41">
        <w:rPr>
          <w:color w:val="auto"/>
        </w:rPr>
        <w:t>l</w:t>
      </w:r>
      <w:r w:rsidR="003F1A41" w:rsidRPr="003F1A41">
        <w:rPr>
          <w:color w:val="auto"/>
        </w:rPr>
        <w:t>a Dirección de Desarrollo Económico;</w:t>
      </w:r>
    </w:p>
    <w:p w14:paraId="3A2CEF04" w14:textId="77777777" w:rsidR="00E75697" w:rsidRPr="0074099B" w:rsidRDefault="00E75697" w:rsidP="00395324">
      <w:pPr>
        <w:widowControl w:val="0"/>
        <w:autoSpaceDE w:val="0"/>
        <w:autoSpaceDN w:val="0"/>
        <w:adjustRightInd w:val="0"/>
        <w:spacing w:after="0" w:line="360" w:lineRule="auto"/>
        <w:contextualSpacing/>
        <w:rPr>
          <w:rFonts w:eastAsia="Times New Roman" w:cs="Times New Roman"/>
          <w:color w:val="auto"/>
          <w:lang w:eastAsia="es-ES"/>
        </w:rPr>
      </w:pPr>
    </w:p>
    <w:p w14:paraId="0B7A93D6" w14:textId="4F3B3044" w:rsidR="000711A4" w:rsidRDefault="00E75697" w:rsidP="00395324">
      <w:pPr>
        <w:spacing w:after="0" w:line="360" w:lineRule="auto"/>
        <w:rPr>
          <w:rFonts w:eastAsia="Times New Roman" w:cs="Times New Roman"/>
          <w:color w:val="auto"/>
          <w:lang w:eastAsia="es-ES"/>
        </w:rPr>
      </w:pPr>
      <w:r w:rsidRPr="0074099B">
        <w:rPr>
          <w:rFonts w:eastAsia="Times New Roman" w:cs="Times New Roman"/>
          <w:color w:val="auto"/>
          <w:lang w:eastAsia="es-ES"/>
        </w:rPr>
        <w:t xml:space="preserve">Ahora bien, </w:t>
      </w:r>
      <w:r w:rsidR="008B2312" w:rsidRPr="0074099B">
        <w:rPr>
          <w:rFonts w:eastAsia="Times New Roman" w:cs="Times New Roman"/>
          <w:color w:val="auto"/>
          <w:lang w:eastAsia="es-ES"/>
        </w:rPr>
        <w:t xml:space="preserve">la </w:t>
      </w:r>
      <w:r w:rsidR="003F1A41">
        <w:rPr>
          <w:rFonts w:eastAsia="Times New Roman" w:cs="Times New Roman"/>
          <w:color w:val="auto"/>
          <w:lang w:eastAsia="es-ES"/>
        </w:rPr>
        <w:t xml:space="preserve">Unidad de Transparencia proporcionó el siguiente link: </w:t>
      </w:r>
    </w:p>
    <w:p w14:paraId="056E3C24" w14:textId="77777777" w:rsidR="000C4658" w:rsidRDefault="000C4658" w:rsidP="00395324">
      <w:pPr>
        <w:spacing w:after="0" w:line="360" w:lineRule="auto"/>
        <w:rPr>
          <w:rFonts w:cs="Tahoma"/>
          <w:color w:val="auto"/>
          <w:lang w:val="es-ES_tradnl"/>
        </w:rPr>
      </w:pPr>
    </w:p>
    <w:p w14:paraId="596B0E82" w14:textId="0D78D885" w:rsidR="004F12FB" w:rsidRPr="000C4658" w:rsidRDefault="00BE4C9A" w:rsidP="00395324">
      <w:pPr>
        <w:widowControl w:val="0"/>
        <w:spacing w:after="0" w:line="360" w:lineRule="auto"/>
        <w:jc w:val="center"/>
        <w:rPr>
          <w:rFonts w:eastAsia="Calibri" w:cs="Tahoma"/>
          <w:i/>
          <w:iCs/>
          <w:lang w:val="es-ES" w:eastAsia="es-ES_tradnl"/>
        </w:rPr>
      </w:pPr>
      <w:hyperlink r:id="rId8" w:history="1">
        <w:r w:rsidR="004F12FB" w:rsidRPr="000C4658">
          <w:rPr>
            <w:rStyle w:val="Hipervnculo"/>
            <w:rFonts w:eastAsia="Calibri" w:cs="Tahoma"/>
            <w:i/>
            <w:iCs/>
            <w:lang w:val="es-ES" w:eastAsia="es-ES_tradnl"/>
          </w:rPr>
          <w:t>https://www.nopaltepec.gob.mx/TransparenciaMunicipal.html</w:t>
        </w:r>
      </w:hyperlink>
    </w:p>
    <w:p w14:paraId="7B187B9F" w14:textId="77777777" w:rsidR="004F12FB" w:rsidRDefault="004F12FB" w:rsidP="00395324">
      <w:pPr>
        <w:widowControl w:val="0"/>
        <w:spacing w:after="0" w:line="360" w:lineRule="auto"/>
        <w:rPr>
          <w:rFonts w:eastAsia="Calibri" w:cs="Tahoma"/>
          <w:iCs/>
          <w:lang w:val="es-ES" w:eastAsia="es-ES_tradnl"/>
        </w:rPr>
      </w:pPr>
    </w:p>
    <w:p w14:paraId="70172D45" w14:textId="5DDA227D" w:rsidR="004F12FB" w:rsidRDefault="004F12FB" w:rsidP="00395324">
      <w:pPr>
        <w:widowControl w:val="0"/>
        <w:spacing w:after="0" w:line="360" w:lineRule="auto"/>
        <w:rPr>
          <w:rFonts w:eastAsia="Calibri" w:cs="Tahoma"/>
          <w:iCs/>
          <w:lang w:val="es-ES" w:eastAsia="es-ES_tradnl"/>
        </w:rPr>
      </w:pPr>
      <w:r>
        <w:rPr>
          <w:rFonts w:eastAsia="Calibri" w:cs="Tahoma"/>
          <w:iCs/>
          <w:lang w:val="es-ES" w:eastAsia="es-ES_tradnl"/>
        </w:rPr>
        <w:t xml:space="preserve">En esa virtud, este Instituto procedió a acceder a dicha dirección electrónica, de lo cual se pudo </w:t>
      </w:r>
      <w:r w:rsidR="000C4658">
        <w:rPr>
          <w:rFonts w:eastAsia="Calibri" w:cs="Tahoma"/>
          <w:iCs/>
          <w:lang w:val="es-ES" w:eastAsia="es-ES_tradnl"/>
        </w:rPr>
        <w:t xml:space="preserve">verificar que remite a la siguiente información: </w:t>
      </w:r>
    </w:p>
    <w:p w14:paraId="146A0654" w14:textId="77777777" w:rsidR="000C4658" w:rsidRDefault="000C4658" w:rsidP="00395324">
      <w:pPr>
        <w:widowControl w:val="0"/>
        <w:spacing w:after="0" w:line="360" w:lineRule="auto"/>
        <w:rPr>
          <w:rFonts w:eastAsia="Calibri" w:cs="Tahoma"/>
          <w:iCs/>
          <w:lang w:val="es-ES" w:eastAsia="es-ES_tradnl"/>
        </w:rPr>
      </w:pPr>
    </w:p>
    <w:p w14:paraId="42819417" w14:textId="77777777" w:rsidR="000C4658" w:rsidRDefault="000C4658" w:rsidP="00395324">
      <w:pPr>
        <w:widowControl w:val="0"/>
        <w:spacing w:after="0" w:line="360" w:lineRule="auto"/>
        <w:rPr>
          <w:rFonts w:eastAsia="Calibri" w:cs="Tahoma"/>
          <w:iCs/>
          <w:lang w:val="es-ES" w:eastAsia="es-ES_tradnl"/>
        </w:rPr>
      </w:pPr>
    </w:p>
    <w:p w14:paraId="001B0C74" w14:textId="1BEB1EC1" w:rsidR="000C4658" w:rsidRDefault="000C4658" w:rsidP="00395324">
      <w:pPr>
        <w:widowControl w:val="0"/>
        <w:spacing w:after="0" w:line="360" w:lineRule="auto"/>
        <w:jc w:val="center"/>
        <w:rPr>
          <w:rFonts w:eastAsia="Calibri" w:cs="Tahoma"/>
          <w:iCs/>
          <w:lang w:val="es-ES" w:eastAsia="es-ES_tradnl"/>
        </w:rPr>
      </w:pPr>
      <w:r w:rsidRPr="000C4658">
        <w:rPr>
          <w:rFonts w:eastAsia="Calibri" w:cs="Tahoma"/>
          <w:iCs/>
          <w:noProof/>
          <w:lang w:eastAsia="es-MX"/>
        </w:rPr>
        <w:drawing>
          <wp:inline distT="0" distB="0" distL="0" distR="0" wp14:anchorId="2607A0CA" wp14:editId="24CA716E">
            <wp:extent cx="4045143" cy="2701291"/>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53273" cy="2706720"/>
                    </a:xfrm>
                    <a:prstGeom prst="rect">
                      <a:avLst/>
                    </a:prstGeom>
                  </pic:spPr>
                </pic:pic>
              </a:graphicData>
            </a:graphic>
          </wp:inline>
        </w:drawing>
      </w:r>
    </w:p>
    <w:p w14:paraId="754B8044" w14:textId="77777777" w:rsidR="004F12FB" w:rsidRDefault="004F12FB" w:rsidP="00395324">
      <w:pPr>
        <w:widowControl w:val="0"/>
        <w:spacing w:after="0" w:line="360" w:lineRule="auto"/>
        <w:rPr>
          <w:rFonts w:eastAsia="Calibri" w:cs="Tahoma"/>
          <w:iCs/>
          <w:lang w:val="es-ES" w:eastAsia="es-ES_tradnl"/>
        </w:rPr>
      </w:pPr>
    </w:p>
    <w:p w14:paraId="6C849421" w14:textId="2B0E412C" w:rsidR="004F12FB" w:rsidRDefault="000C4658" w:rsidP="00395324">
      <w:pPr>
        <w:widowControl w:val="0"/>
        <w:spacing w:after="0" w:line="360" w:lineRule="auto"/>
        <w:rPr>
          <w:rFonts w:eastAsia="Calibri" w:cs="Tahoma"/>
          <w:iCs/>
          <w:lang w:val="es-ES" w:eastAsia="es-ES_tradnl"/>
        </w:rPr>
      </w:pPr>
      <w:r>
        <w:rPr>
          <w:rFonts w:eastAsia="Calibri" w:cs="Tahoma"/>
          <w:iCs/>
          <w:lang w:val="es-ES" w:eastAsia="es-ES_tradnl"/>
        </w:rPr>
        <w:t xml:space="preserve">Por lo anterior, es evidente que la respuesta proporcionada por el Ayuntamiento de Nopaltepec no satisface el requerimiento informativo, al proporcionarse una respuesta incongruente con lo solicitado. </w:t>
      </w:r>
    </w:p>
    <w:p w14:paraId="44149C23" w14:textId="77777777" w:rsidR="0044742B" w:rsidRDefault="0044742B" w:rsidP="00395324">
      <w:pPr>
        <w:widowControl w:val="0"/>
        <w:spacing w:after="0" w:line="360" w:lineRule="auto"/>
        <w:rPr>
          <w:rFonts w:eastAsia="Calibri" w:cs="Tahoma"/>
          <w:iCs/>
          <w:lang w:val="es-ES" w:eastAsia="es-ES_tradnl"/>
        </w:rPr>
      </w:pPr>
    </w:p>
    <w:p w14:paraId="28829A27" w14:textId="77777777" w:rsidR="0044742B" w:rsidRPr="00382548" w:rsidRDefault="0044742B" w:rsidP="00395324">
      <w:pPr>
        <w:spacing w:after="0" w:line="360" w:lineRule="auto"/>
        <w:rPr>
          <w:rFonts w:cs="Tahoma"/>
        </w:rPr>
      </w:pPr>
      <w:r w:rsidRPr="00382548">
        <w:rPr>
          <w:rFonts w:cs="Tahoma"/>
        </w:rPr>
        <w:t xml:space="preserve">Al respecto, resulta ilustrador el Criterio </w:t>
      </w:r>
      <w:r>
        <w:rPr>
          <w:rFonts w:cs="Tahoma"/>
        </w:rPr>
        <w:t xml:space="preserve">orientador </w:t>
      </w:r>
      <w:r w:rsidRPr="00382548">
        <w:rPr>
          <w:rFonts w:cs="Tahoma"/>
        </w:rPr>
        <w:t xml:space="preserve">02/17, emitido por el </w:t>
      </w:r>
      <w:r>
        <w:rPr>
          <w:rFonts w:cs="Tahoma"/>
        </w:rPr>
        <w:t xml:space="preserve">entonces </w:t>
      </w:r>
      <w:r w:rsidRPr="00382548">
        <w:rPr>
          <w:rFonts w:cs="Tahoma"/>
        </w:rPr>
        <w:t>Pleno del Instituto de Transparencia, Acceso a la Información Pública y Protección de Datos Personales, de rubro y texto siguientes:</w:t>
      </w:r>
    </w:p>
    <w:p w14:paraId="35609865" w14:textId="77777777" w:rsidR="0044742B" w:rsidRPr="00382548" w:rsidRDefault="0044742B" w:rsidP="00395324">
      <w:pPr>
        <w:pStyle w:val="Prrafodelista"/>
        <w:spacing w:after="0" w:line="360" w:lineRule="auto"/>
        <w:rPr>
          <w:rFonts w:cs="Tahoma"/>
        </w:rPr>
      </w:pPr>
    </w:p>
    <w:p w14:paraId="55C32671" w14:textId="77777777" w:rsidR="0044742B" w:rsidRPr="00300355" w:rsidRDefault="0044742B" w:rsidP="00395324">
      <w:pPr>
        <w:pStyle w:val="Prrafodelista"/>
        <w:spacing w:after="0" w:line="360" w:lineRule="auto"/>
        <w:ind w:right="567"/>
        <w:rPr>
          <w:rFonts w:cs="Tahoma"/>
          <w:i/>
          <w:sz w:val="20"/>
        </w:rPr>
      </w:pPr>
      <w:r w:rsidRPr="00300355">
        <w:rPr>
          <w:rFonts w:cs="Tahoma"/>
          <w:b/>
          <w:i/>
          <w:sz w:val="20"/>
        </w:rPr>
        <w:t xml:space="preserve">Congruencia y exhaustividad. Sus alcances para garantizar el derecho de acceso a la información. </w:t>
      </w:r>
      <w:r w:rsidRPr="00300355">
        <w:rPr>
          <w:rFonts w:cs="Tahoma"/>
          <w:i/>
          <w:sz w:val="2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w:t>
      </w:r>
      <w:r w:rsidRPr="00300355">
        <w:rPr>
          <w:rFonts w:cs="Tahoma"/>
          <w:i/>
          <w:sz w:val="20"/>
        </w:rPr>
        <w:lastRenderedPageBreak/>
        <w:t>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AA6AF64" w14:textId="77777777" w:rsidR="0044742B" w:rsidRDefault="0044742B" w:rsidP="00395324">
      <w:pPr>
        <w:spacing w:after="0" w:line="360" w:lineRule="auto"/>
        <w:rPr>
          <w:rFonts w:cs="Tahoma"/>
        </w:rPr>
      </w:pPr>
    </w:p>
    <w:p w14:paraId="27A37036" w14:textId="1A1BD719" w:rsidR="0044742B" w:rsidRDefault="0044742B" w:rsidP="00395324">
      <w:pPr>
        <w:spacing w:after="0" w:line="360" w:lineRule="auto"/>
        <w:rPr>
          <w:rFonts w:cs="Tahoma"/>
          <w:b/>
        </w:rPr>
      </w:pPr>
      <w:r w:rsidRPr="00382548">
        <w:rPr>
          <w:rFonts w:cs="Tahoma"/>
        </w:rPr>
        <w:t xml:space="preserve">En resumidas cuentas, el </w:t>
      </w:r>
      <w:r>
        <w:rPr>
          <w:rFonts w:cs="Tahoma"/>
        </w:rPr>
        <w:t xml:space="preserve">Ayuntamiento de  </w:t>
      </w:r>
      <w:r w:rsidR="00B52EFD">
        <w:rPr>
          <w:rFonts w:cs="Tahoma"/>
        </w:rPr>
        <w:t>Nopaltepec</w:t>
      </w:r>
      <w:r>
        <w:rPr>
          <w:rFonts w:cs="Tahoma"/>
        </w:rPr>
        <w:t xml:space="preserve"> </w:t>
      </w:r>
      <w:r w:rsidRPr="00382548">
        <w:rPr>
          <w:rFonts w:cs="Tahoma"/>
        </w:rPr>
        <w:t xml:space="preserve">no fue </w:t>
      </w:r>
      <w:r w:rsidR="00B52EFD">
        <w:rPr>
          <w:rFonts w:cs="Tahoma"/>
        </w:rPr>
        <w:t>congruente</w:t>
      </w:r>
      <w:r w:rsidRPr="00382548">
        <w:rPr>
          <w:rFonts w:cs="Tahoma"/>
        </w:rPr>
        <w:t xml:space="preserve"> en la respuesta que otorgó al particular, pues </w:t>
      </w:r>
      <w:r w:rsidR="00B52EFD">
        <w:rPr>
          <w:rFonts w:cs="Tahoma"/>
        </w:rPr>
        <w:t>remitió un link que no dirige a la información requerida</w:t>
      </w:r>
      <w:r>
        <w:rPr>
          <w:rFonts w:cs="Tahoma"/>
        </w:rPr>
        <w:t xml:space="preserve">. De lo anterior, se cuenta con los elementos suficientes para determinar que el agravio deviene de  </w:t>
      </w:r>
      <w:r w:rsidRPr="00FE40AD">
        <w:rPr>
          <w:rFonts w:cs="Tahoma"/>
          <w:b/>
        </w:rPr>
        <w:t>FUNDADO.</w:t>
      </w:r>
    </w:p>
    <w:p w14:paraId="5921AB4C" w14:textId="77777777" w:rsidR="00040F8A" w:rsidRPr="004109F3" w:rsidRDefault="00040F8A" w:rsidP="00395324">
      <w:pPr>
        <w:spacing w:after="0" w:line="360" w:lineRule="auto"/>
        <w:rPr>
          <w:rFonts w:cs="Tahoma"/>
        </w:rPr>
      </w:pPr>
    </w:p>
    <w:p w14:paraId="6D6925B3" w14:textId="35804C78" w:rsidR="000846B3" w:rsidRPr="000846B3" w:rsidRDefault="00830CB9" w:rsidP="00395324">
      <w:pPr>
        <w:widowControl w:val="0"/>
        <w:spacing w:after="0" w:line="360" w:lineRule="auto"/>
        <w:rPr>
          <w:rFonts w:eastAsia="Palatino Linotype" w:cs="Arial"/>
          <w:lang w:val="es-ES" w:eastAsia="es-MX"/>
        </w:rPr>
      </w:pPr>
      <w:r w:rsidRPr="00B52EFD">
        <w:rPr>
          <w:rFonts w:eastAsia="Calibri" w:cs="Tahoma"/>
          <w:iCs/>
          <w:lang w:val="es-ES" w:eastAsia="es-ES_tradnl"/>
        </w:rPr>
        <w:t xml:space="preserve">Por lo que para atender el </w:t>
      </w:r>
      <w:r w:rsidRPr="00B52EFD">
        <w:rPr>
          <w:rFonts w:eastAsia="Palatino Linotype" w:cs="Palatino Linotype"/>
          <w:color w:val="auto"/>
          <w:lang w:eastAsia="es-MX"/>
        </w:rPr>
        <w:t>requerimiento de información, el Sujeto Obligado deberá</w:t>
      </w:r>
      <w:r w:rsidRPr="00830CB9">
        <w:rPr>
          <w:rFonts w:eastAsia="Palatino Linotype" w:cs="Palatino Linotype"/>
          <w:color w:val="auto"/>
          <w:lang w:eastAsia="es-MX"/>
        </w:rPr>
        <w:t xml:space="preserve"> realizar una búsqueda exhaustiva y razonable en </w:t>
      </w:r>
      <w:r w:rsidR="00B52EFD" w:rsidRPr="00830CB9">
        <w:rPr>
          <w:rFonts w:eastAsia="Palatino Linotype" w:cs="Palatino Linotype"/>
          <w:color w:val="auto"/>
          <w:lang w:eastAsia="es-MX"/>
        </w:rPr>
        <w:t>todas las áreas competentes</w:t>
      </w:r>
      <w:r w:rsidRPr="00830CB9">
        <w:rPr>
          <w:rFonts w:eastAsia="Palatino Linotype" w:cs="Palatino Linotype"/>
          <w:color w:val="auto"/>
          <w:lang w:eastAsia="es-MX"/>
        </w:rPr>
        <w:t>, en términos del artículo 162 de la Ley de Transparencia y Acceso a la Información Pública del Estado de México y Municipi</w:t>
      </w:r>
      <w:r w:rsidR="00DC6C16">
        <w:rPr>
          <w:rFonts w:eastAsia="Palatino Linotype" w:cs="Palatino Linotype"/>
          <w:color w:val="auto"/>
          <w:lang w:eastAsia="es-MX"/>
        </w:rPr>
        <w:t>os, a efecto de que proporcione la información solicitada</w:t>
      </w:r>
      <w:r w:rsidR="000846B3">
        <w:rPr>
          <w:rFonts w:eastAsia="Palatino Linotype" w:cs="Arial"/>
          <w:lang w:val="es-ES" w:eastAsia="es-MX"/>
        </w:rPr>
        <w:t>; d</w:t>
      </w:r>
      <w:r w:rsidR="000846B3" w:rsidRPr="000846B3">
        <w:rPr>
          <w:rFonts w:eastAsia="Palatino Linotype" w:cs="Arial"/>
          <w:lang w:val="es-ES" w:eastAsia="es-MX"/>
        </w:rPr>
        <w:t>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5D823DC" w14:textId="77777777" w:rsidR="000846B3" w:rsidRPr="000846B3" w:rsidRDefault="000846B3" w:rsidP="00395324">
      <w:pPr>
        <w:widowControl w:val="0"/>
        <w:spacing w:after="0" w:line="360" w:lineRule="auto"/>
        <w:rPr>
          <w:rFonts w:eastAsia="Palatino Linotype" w:cs="Palatino Linotype"/>
          <w:color w:val="auto"/>
          <w:lang w:eastAsia="es-MX"/>
        </w:rPr>
      </w:pPr>
    </w:p>
    <w:p w14:paraId="7FE4950C" w14:textId="77777777" w:rsidR="000846B3" w:rsidRPr="000846B3" w:rsidRDefault="000846B3" w:rsidP="00395324">
      <w:pPr>
        <w:widowControl w:val="0"/>
        <w:spacing w:after="0" w:line="360" w:lineRule="auto"/>
        <w:rPr>
          <w:rFonts w:eastAsia="Palatino Linotype" w:cs="Palatino Linotype"/>
          <w:color w:val="auto"/>
          <w:lang w:eastAsia="es-MX"/>
        </w:rPr>
      </w:pPr>
      <w:r w:rsidRPr="000846B3">
        <w:rPr>
          <w:rFonts w:eastAsia="Palatino Linotype" w:cs="Palatino Linotype"/>
          <w:color w:val="auto"/>
          <w:lang w:eastAsia="es-MX"/>
        </w:rPr>
        <w:t xml:space="preserve">De esta manera, el derecho de acceso a la información pública se satisface en aquellos casos en que se entregue el soporte documental en el que conste la información solicitada, sin necesidad de elaborar documentos </w:t>
      </w:r>
      <w:r w:rsidRPr="000846B3">
        <w:rPr>
          <w:rFonts w:eastAsia="Palatino Linotype" w:cs="Palatino Linotype"/>
          <w:i/>
          <w:iCs/>
          <w:color w:val="auto"/>
          <w:lang w:eastAsia="es-MX"/>
        </w:rPr>
        <w:t>ad hoc</w:t>
      </w:r>
      <w:r w:rsidRPr="000846B3">
        <w:rPr>
          <w:rFonts w:eastAsia="Palatino Linotype" w:cs="Palatino Linotype"/>
          <w:color w:val="auto"/>
          <w:lang w:eastAsia="es-MX"/>
        </w:rPr>
        <w:t>; lo cual, toma sustento en el artículo 160 de la Ley de Transparencia y Acceso a la Información Pública del Estado de México y Municipios, el cual refiere que los sujetos obligados deberán entregar la información que obre en sus archivos.</w:t>
      </w:r>
    </w:p>
    <w:p w14:paraId="7F36DD60" w14:textId="77777777" w:rsidR="000846B3" w:rsidRPr="000846B3" w:rsidRDefault="000846B3" w:rsidP="00395324">
      <w:pPr>
        <w:widowControl w:val="0"/>
        <w:spacing w:after="0" w:line="360" w:lineRule="auto"/>
        <w:rPr>
          <w:rFonts w:eastAsia="Palatino Linotype" w:cs="Palatino Linotype"/>
          <w:color w:val="auto"/>
          <w:lang w:eastAsia="es-MX"/>
        </w:rPr>
      </w:pPr>
    </w:p>
    <w:p w14:paraId="659AEB83" w14:textId="77777777" w:rsidR="00395324" w:rsidRDefault="000846B3" w:rsidP="00395324">
      <w:pPr>
        <w:widowControl w:val="0"/>
        <w:spacing w:after="0" w:line="360" w:lineRule="auto"/>
        <w:rPr>
          <w:rFonts w:eastAsia="Palatino Linotype" w:cs="Palatino Linotype"/>
          <w:color w:val="auto"/>
          <w:lang w:eastAsia="es-MX"/>
        </w:rPr>
      </w:pPr>
      <w:r w:rsidRPr="000846B3">
        <w:rPr>
          <w:rFonts w:eastAsia="Palatino Linotype" w:cs="Palatino Linotype"/>
          <w:color w:val="auto"/>
          <w:lang w:eastAsia="es-MX"/>
        </w:rPr>
        <w:lastRenderedPageBreak/>
        <w:t>De tales circunstancias, se concluye que los sujetos obligados únicamente se encuentran constreñidos a proporcionar los documentos que den cuenta de la información solicitada, como obren en sus archivos, sin tener que elaborarlos a las necesidades del Recurrente</w:t>
      </w:r>
      <w:r w:rsidR="00C02A36">
        <w:rPr>
          <w:rFonts w:eastAsia="Palatino Linotype" w:cs="Palatino Linotype"/>
          <w:color w:val="auto"/>
          <w:lang w:eastAsia="es-MX"/>
        </w:rPr>
        <w:t xml:space="preserve">; por lo que, en el presnete caso, deberá entregar </w:t>
      </w:r>
      <w:r w:rsidR="00395324">
        <w:rPr>
          <w:rFonts w:eastAsia="Palatino Linotype" w:cs="Palatino Linotype"/>
          <w:color w:val="auto"/>
          <w:lang w:eastAsia="es-MX"/>
        </w:rPr>
        <w:t>el documento donde conste la información solicitada.</w:t>
      </w:r>
    </w:p>
    <w:p w14:paraId="47F38A17" w14:textId="77777777" w:rsidR="00395324" w:rsidRDefault="00395324" w:rsidP="00395324">
      <w:pPr>
        <w:widowControl w:val="0"/>
        <w:spacing w:after="0" w:line="360" w:lineRule="auto"/>
        <w:rPr>
          <w:rFonts w:eastAsia="Palatino Linotype" w:cs="Palatino Linotype"/>
          <w:color w:val="auto"/>
          <w:lang w:eastAsia="es-MX"/>
        </w:rPr>
      </w:pPr>
    </w:p>
    <w:p w14:paraId="7B5E7429" w14:textId="41EE70BA" w:rsidR="00C02A36" w:rsidRPr="00C1308F" w:rsidRDefault="00395324" w:rsidP="00395324">
      <w:pPr>
        <w:widowControl w:val="0"/>
        <w:spacing w:after="0" w:line="360" w:lineRule="auto"/>
        <w:rPr>
          <w:color w:val="auto"/>
          <w:lang w:val="es-ES"/>
        </w:rPr>
      </w:pPr>
      <w:r>
        <w:rPr>
          <w:rFonts w:eastAsia="Palatino Linotype" w:cs="Palatino Linotype"/>
          <w:color w:val="auto"/>
          <w:lang w:eastAsia="es-MX"/>
        </w:rPr>
        <w:t xml:space="preserve">Ahora bien, para el caso de que el Ayuntamiento no tenga registrada alguna unidad económica con el giro solicitado por la persona Recurrente, o bien, no tenga el correo electrónico del establecimiento al no recabarlo, deberá hacerlo del conocimiento de esta, de manera clara y precisa, en términos del artículo 19, párrafo segundo, de la Ley de Transparencia y Acceso a la Información Pública </w:t>
      </w:r>
    </w:p>
    <w:p w14:paraId="1B2F60A9" w14:textId="1BECF909" w:rsidR="00830CB9" w:rsidRDefault="00830CB9" w:rsidP="00395324">
      <w:pPr>
        <w:spacing w:after="0" w:line="360" w:lineRule="auto"/>
        <w:rPr>
          <w:rFonts w:eastAsia="Calibri" w:cs="Tahoma"/>
          <w:iCs/>
          <w:lang w:val="es-ES" w:eastAsia="es-ES_tradnl"/>
        </w:rPr>
      </w:pPr>
    </w:p>
    <w:p w14:paraId="16A46F3E" w14:textId="7E63D04D" w:rsidR="00C02A36" w:rsidRPr="00C02A36" w:rsidRDefault="00C02A36" w:rsidP="00395324">
      <w:pPr>
        <w:spacing w:after="0" w:line="360" w:lineRule="auto"/>
        <w:rPr>
          <w:rFonts w:eastAsia="Times New Roman" w:cs="Tahoma"/>
          <w:color w:val="auto"/>
          <w:szCs w:val="24"/>
          <w:lang w:val="es-ES" w:eastAsia="es-ES"/>
        </w:rPr>
      </w:pPr>
      <w:r w:rsidRPr="00C02A36">
        <w:rPr>
          <w:rFonts w:eastAsia="Times New Roman" w:cs="Tahoma"/>
          <w:color w:val="auto"/>
          <w:szCs w:val="24"/>
          <w:lang w:val="es-ES" w:eastAsia="es-ES"/>
        </w:rPr>
        <w:t xml:space="preserve">Ahora bien, </w:t>
      </w:r>
      <w:r w:rsidR="00040F8A">
        <w:rPr>
          <w:rFonts w:eastAsia="Times New Roman" w:cs="Tahoma"/>
          <w:color w:val="auto"/>
          <w:szCs w:val="24"/>
          <w:lang w:val="es-ES" w:eastAsia="es-ES"/>
        </w:rPr>
        <w:t xml:space="preserve">toda vez </w:t>
      </w:r>
      <w:r w:rsidR="00395324">
        <w:rPr>
          <w:rFonts w:eastAsia="Times New Roman" w:cs="Tahoma"/>
          <w:color w:val="auto"/>
          <w:szCs w:val="24"/>
          <w:lang w:val="es-ES" w:eastAsia="es-ES"/>
        </w:rPr>
        <w:t>que,</w:t>
      </w:r>
      <w:r w:rsidR="00040F8A">
        <w:rPr>
          <w:rFonts w:eastAsia="Times New Roman" w:cs="Tahoma"/>
          <w:color w:val="auto"/>
          <w:szCs w:val="24"/>
          <w:lang w:val="es-ES" w:eastAsia="es-ES"/>
        </w:rPr>
        <w:t xml:space="preserve"> dentro del Registro</w:t>
      </w:r>
      <w:r w:rsidR="00040F8A" w:rsidRPr="00040F8A">
        <w:rPr>
          <w:rFonts w:eastAsia="Times New Roman" w:cs="Tahoma"/>
          <w:color w:val="auto"/>
          <w:szCs w:val="24"/>
          <w:lang w:val="es-ES" w:eastAsia="es-ES"/>
        </w:rPr>
        <w:t xml:space="preserve"> Municipal de Unidades Económicas</w:t>
      </w:r>
      <w:r w:rsidR="00040F8A">
        <w:rPr>
          <w:rFonts w:eastAsia="Times New Roman" w:cs="Tahoma"/>
          <w:color w:val="auto"/>
          <w:szCs w:val="24"/>
          <w:lang w:val="es-ES" w:eastAsia="es-ES"/>
        </w:rPr>
        <w:t xml:space="preserve">, se contemplan los datos de las licencias de </w:t>
      </w:r>
      <w:r w:rsidR="00395324">
        <w:rPr>
          <w:rFonts w:eastAsia="Times New Roman" w:cs="Tahoma"/>
          <w:color w:val="auto"/>
          <w:szCs w:val="24"/>
          <w:lang w:val="es-ES" w:eastAsia="es-ES"/>
        </w:rPr>
        <w:t>funcionamiento, tales</w:t>
      </w:r>
      <w:r w:rsidRPr="00C02A36">
        <w:rPr>
          <w:rFonts w:eastAsia="Times New Roman" w:cs="Tahoma"/>
          <w:color w:val="auto"/>
          <w:szCs w:val="24"/>
          <w:lang w:val="es-ES" w:eastAsia="es-ES"/>
        </w:rPr>
        <w:t xml:space="preserve"> como el nombre y el domicilio del establecimiento</w:t>
      </w:r>
      <w:r w:rsidR="00395324">
        <w:rPr>
          <w:rFonts w:eastAsia="Times New Roman" w:cs="Tahoma"/>
          <w:color w:val="auto"/>
          <w:szCs w:val="24"/>
          <w:lang w:val="es-ES" w:eastAsia="es-ES"/>
        </w:rPr>
        <w:t xml:space="preserve"> y datos de contacto</w:t>
      </w:r>
      <w:r w:rsidRPr="00C02A36">
        <w:rPr>
          <w:rFonts w:eastAsia="Times New Roman" w:cs="Tahoma"/>
          <w:color w:val="auto"/>
          <w:szCs w:val="24"/>
          <w:lang w:val="es-ES" w:eastAsia="es-ES"/>
        </w:rPr>
        <w:t>; por lo que es necesario analizar si dichos datos son públicos o privados.</w:t>
      </w:r>
    </w:p>
    <w:p w14:paraId="3D4C6A66" w14:textId="77777777" w:rsidR="00C02A36" w:rsidRPr="00C02A36" w:rsidRDefault="00C02A36" w:rsidP="00395324">
      <w:pPr>
        <w:spacing w:after="0" w:line="360" w:lineRule="auto"/>
        <w:rPr>
          <w:rFonts w:eastAsia="Times New Roman" w:cs="Tahoma"/>
          <w:bCs/>
          <w:color w:val="auto"/>
          <w:lang w:eastAsia="es-ES"/>
        </w:rPr>
      </w:pPr>
    </w:p>
    <w:p w14:paraId="04FEA3F4" w14:textId="77777777" w:rsidR="00C02A36" w:rsidRPr="00C02A36" w:rsidRDefault="00C02A36" w:rsidP="00395324">
      <w:pPr>
        <w:numPr>
          <w:ilvl w:val="0"/>
          <w:numId w:val="36"/>
        </w:numPr>
        <w:spacing w:after="0" w:line="360" w:lineRule="auto"/>
        <w:ind w:right="-93"/>
        <w:contextualSpacing/>
        <w:jc w:val="left"/>
        <w:rPr>
          <w:rFonts w:eastAsia="Calibri" w:cs="Tahoma"/>
          <w:bCs/>
          <w:color w:val="auto"/>
        </w:rPr>
      </w:pPr>
      <w:r w:rsidRPr="00C02A36">
        <w:rPr>
          <w:rFonts w:eastAsia="Calibri" w:cs="Tahoma"/>
          <w:b/>
          <w:bCs/>
          <w:color w:val="auto"/>
        </w:rPr>
        <w:t>Nombre del titular de la Licencia de funcionamiento (persona física)</w:t>
      </w:r>
    </w:p>
    <w:p w14:paraId="37E486BB" w14:textId="77777777" w:rsidR="00C02A36" w:rsidRPr="00C02A36" w:rsidRDefault="00C02A36" w:rsidP="00395324">
      <w:pPr>
        <w:spacing w:after="0" w:line="360" w:lineRule="auto"/>
        <w:rPr>
          <w:rFonts w:eastAsia="Calibri" w:cs="Tahoma"/>
          <w:bCs/>
          <w:color w:val="auto"/>
          <w:lang w:val="es-ES"/>
        </w:rPr>
      </w:pPr>
    </w:p>
    <w:p w14:paraId="55118B86" w14:textId="77777777" w:rsidR="00C02A36" w:rsidRPr="00C02A36" w:rsidRDefault="00C02A36" w:rsidP="00395324">
      <w:pPr>
        <w:spacing w:after="0" w:line="360" w:lineRule="auto"/>
        <w:ind w:right="-93"/>
        <w:rPr>
          <w:rFonts w:eastAsia="Calibri" w:cs="Tahoma"/>
          <w:b/>
          <w:bCs/>
          <w:color w:val="auto"/>
          <w:lang w:val="es-ES_tradnl"/>
        </w:rPr>
      </w:pPr>
      <w:r w:rsidRPr="00C02A36">
        <w:rPr>
          <w:rFonts w:eastAsia="Calibri" w:cs="Tahoma"/>
          <w:bCs/>
          <w:color w:val="auto"/>
        </w:rPr>
        <w:t xml:space="preserve">Al respecto, se considera que el nombre de una persona se integra </w:t>
      </w:r>
      <w:r w:rsidRPr="00C02A36">
        <w:rPr>
          <w:rFonts w:eastAsia="Calibri" w:cs="Tahoma"/>
          <w:bCs/>
          <w:color w:val="auto"/>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C02A36">
        <w:rPr>
          <w:rFonts w:eastAsia="Calibri" w:cs="Tahoma"/>
          <w:bCs/>
          <w:i/>
          <w:color w:val="auto"/>
          <w:lang w:val="es-ES_tradnl"/>
        </w:rPr>
        <w:t>per se</w:t>
      </w:r>
      <w:r w:rsidRPr="00C02A36">
        <w:rPr>
          <w:rFonts w:eastAsia="Calibri" w:cs="Tahoma"/>
          <w:bCs/>
          <w:color w:val="auto"/>
          <w:lang w:val="es-ES_tradnl"/>
        </w:rPr>
        <w:t xml:space="preserve"> es un elemento que hace a una persona física identificada o identificable, por lo que, </w:t>
      </w:r>
      <w:r w:rsidRPr="00C02A36">
        <w:rPr>
          <w:rFonts w:eastAsia="Calibri" w:cs="Tahoma"/>
          <w:b/>
          <w:bCs/>
          <w:color w:val="auto"/>
          <w:lang w:val="es-ES_tradnl"/>
        </w:rPr>
        <w:t>se considera un dato personal.</w:t>
      </w:r>
    </w:p>
    <w:p w14:paraId="1D227A7C" w14:textId="77777777" w:rsidR="00C02A36" w:rsidRPr="00C02A36" w:rsidRDefault="00C02A36" w:rsidP="00395324">
      <w:pPr>
        <w:spacing w:after="0" w:line="360" w:lineRule="auto"/>
        <w:ind w:right="-93"/>
        <w:rPr>
          <w:rFonts w:eastAsia="Calibri" w:cs="Tahoma"/>
          <w:b/>
          <w:bCs/>
          <w:color w:val="auto"/>
          <w:lang w:val="es-ES_tradnl"/>
        </w:rPr>
      </w:pPr>
    </w:p>
    <w:p w14:paraId="4EC1A29D" w14:textId="77777777" w:rsidR="00C02A36" w:rsidRPr="00C02A36" w:rsidRDefault="00C02A36" w:rsidP="00395324">
      <w:pPr>
        <w:spacing w:after="0" w:line="360" w:lineRule="auto"/>
        <w:rPr>
          <w:rFonts w:eastAsia="Calibri" w:cs="Tahoma"/>
          <w:bCs/>
          <w:color w:val="auto"/>
          <w:lang w:val="es-ES_tradnl"/>
        </w:rPr>
      </w:pPr>
      <w:r w:rsidRPr="00C02A36">
        <w:rPr>
          <w:rFonts w:eastAsia="Calibri" w:cs="Tahoma"/>
          <w:bCs/>
          <w:color w:val="auto"/>
          <w:lang w:val="es-ES_tradnl"/>
        </w:rPr>
        <w:lastRenderedPageBreak/>
        <w:t>Sobre el tema, se tiene presente que este Instituto emitió el Criterio Relevante 01/18, de la Segunda Época de este Instituto, que establece que el nombre del titular de una licencia (persona física), como en el caso que nos ocupa, es información confidencial, cuando no involucra aprovechamiento de recursos públicos.</w:t>
      </w:r>
    </w:p>
    <w:p w14:paraId="75884A62" w14:textId="77777777" w:rsidR="00C02A36" w:rsidRPr="00C02A36" w:rsidRDefault="00C02A36" w:rsidP="00395324">
      <w:pPr>
        <w:spacing w:after="0" w:line="360" w:lineRule="auto"/>
        <w:rPr>
          <w:rFonts w:eastAsia="Calibri" w:cs="Tahoma"/>
          <w:bCs/>
          <w:color w:val="auto"/>
          <w:sz w:val="20"/>
          <w:lang w:val="es-ES_tradnl"/>
        </w:rPr>
      </w:pPr>
    </w:p>
    <w:p w14:paraId="089A7A48" w14:textId="77777777" w:rsidR="00C02A36" w:rsidRPr="00C02A36" w:rsidRDefault="00C02A36" w:rsidP="00395324">
      <w:pPr>
        <w:spacing w:after="0" w:line="360" w:lineRule="auto"/>
        <w:ind w:left="567" w:right="567"/>
        <w:rPr>
          <w:rFonts w:eastAsia="Calibri" w:cs="Tahoma"/>
          <w:bCs/>
          <w:i/>
          <w:color w:val="auto"/>
          <w:sz w:val="20"/>
          <w:lang w:eastAsia="es-MX"/>
        </w:rPr>
      </w:pPr>
      <w:r w:rsidRPr="00C02A36">
        <w:rPr>
          <w:rFonts w:eastAsia="Calibri" w:cs="Tahoma"/>
          <w:b/>
          <w:bCs/>
          <w:i/>
          <w:color w:val="auto"/>
          <w:sz w:val="20"/>
          <w:lang w:eastAsia="es-MX"/>
        </w:rPr>
        <w:t>“Nombre del titular de una licencia que no involucre el aprovechamiento de bienes, servicios y/o recursos públicos, constituye un dato personal susceptible de clasificar como confidencial.</w:t>
      </w:r>
      <w:r w:rsidRPr="00C02A36">
        <w:rPr>
          <w:rFonts w:eastAsia="Calibri" w:cs="Tahoma"/>
          <w:bCs/>
          <w:i/>
          <w:color w:val="auto"/>
          <w:sz w:val="20"/>
          <w:lang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2951C631" w14:textId="77777777" w:rsidR="00C02A36" w:rsidRPr="00C02A36" w:rsidRDefault="00C02A36" w:rsidP="00395324">
      <w:pPr>
        <w:spacing w:after="0" w:line="360" w:lineRule="auto"/>
        <w:ind w:right="-93"/>
        <w:rPr>
          <w:rFonts w:eastAsia="Calibri" w:cs="Tahoma"/>
          <w:bCs/>
          <w:color w:val="auto"/>
        </w:rPr>
      </w:pPr>
    </w:p>
    <w:p w14:paraId="412D1BD2" w14:textId="77777777" w:rsidR="00C02A36" w:rsidRPr="00C02A36" w:rsidRDefault="00C02A36" w:rsidP="00395324">
      <w:pPr>
        <w:spacing w:after="0" w:line="360" w:lineRule="auto"/>
        <w:ind w:right="-93"/>
        <w:rPr>
          <w:rFonts w:eastAsia="Calibri" w:cs="Tahoma"/>
          <w:bCs/>
          <w:color w:val="auto"/>
        </w:rPr>
      </w:pPr>
      <w:r w:rsidRPr="00C02A36">
        <w:rPr>
          <w:rFonts w:eastAsia="Calibri" w:cs="Tahoma"/>
          <w:bCs/>
          <w:color w:val="auto"/>
        </w:rPr>
        <w:lastRenderedPageBreak/>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7A910ED8" w14:textId="77777777" w:rsidR="00C02A36" w:rsidRPr="00C02A36" w:rsidRDefault="00C02A36" w:rsidP="00395324">
      <w:pPr>
        <w:spacing w:after="0" w:line="360" w:lineRule="auto"/>
        <w:ind w:right="-93"/>
        <w:rPr>
          <w:rFonts w:eastAsia="Calibri" w:cs="Tahoma"/>
          <w:bCs/>
          <w:color w:val="auto"/>
        </w:rPr>
      </w:pPr>
    </w:p>
    <w:p w14:paraId="29F36038" w14:textId="710E1C14" w:rsidR="00C02A36" w:rsidRPr="00C02A36" w:rsidRDefault="00C02A36" w:rsidP="00395324">
      <w:pPr>
        <w:spacing w:after="0" w:line="360" w:lineRule="auto"/>
        <w:ind w:right="-93"/>
        <w:rPr>
          <w:rFonts w:eastAsia="Calibri" w:cs="Tahoma"/>
          <w:bCs/>
          <w:color w:val="auto"/>
          <w:lang w:val="es-ES_tradnl"/>
        </w:rPr>
      </w:pPr>
      <w:r w:rsidRPr="00C02A36">
        <w:rPr>
          <w:rFonts w:eastAsia="Calibri" w:cs="Tahoma"/>
          <w:bCs/>
          <w:color w:val="auto"/>
          <w:lang w:val="es-ES_tradnl"/>
        </w:rPr>
        <w:t xml:space="preserve">No obstante, se considera que el nombre localizado en una licencia de funcionamiento, guarda cierto interés público, dado que cualquier actividad comercial, industrial o económica, es regulada por el Municipio de </w:t>
      </w:r>
      <w:r w:rsidR="00334012">
        <w:rPr>
          <w:rFonts w:eastAsia="Calibri" w:cs="Tahoma"/>
          <w:bCs/>
          <w:color w:val="auto"/>
          <w:lang w:val="es-ES_tradnl"/>
        </w:rPr>
        <w:t>Nopaltepec</w:t>
      </w:r>
      <w:r w:rsidRPr="00C02A36">
        <w:rPr>
          <w:rFonts w:eastAsia="Calibri" w:cs="Tahoma"/>
          <w:bCs/>
          <w:color w:val="auto"/>
          <w:lang w:val="es-ES_tradnl"/>
        </w:rPr>
        <w:t xml:space="preserve"> dentro de su circunscripción territorial, pues ayuda a transparentar la gestión pública.</w:t>
      </w:r>
    </w:p>
    <w:p w14:paraId="78BEFF76" w14:textId="77777777" w:rsidR="00C02A36" w:rsidRPr="00C02A36" w:rsidRDefault="00C02A36" w:rsidP="00395324">
      <w:pPr>
        <w:spacing w:after="0" w:line="360" w:lineRule="auto"/>
        <w:ind w:right="-93"/>
        <w:rPr>
          <w:rFonts w:eastAsia="Calibri" w:cs="Tahoma"/>
          <w:bCs/>
          <w:color w:val="auto"/>
        </w:rPr>
      </w:pPr>
    </w:p>
    <w:p w14:paraId="525B37C5" w14:textId="69323725" w:rsidR="00C02A36" w:rsidRDefault="00C02A36" w:rsidP="00395324">
      <w:pPr>
        <w:spacing w:after="0" w:line="360" w:lineRule="auto"/>
        <w:ind w:right="-93"/>
        <w:rPr>
          <w:rFonts w:eastAsia="Calibri" w:cs="Tahoma"/>
          <w:bCs/>
          <w:color w:val="auto"/>
        </w:rPr>
      </w:pPr>
      <w:r w:rsidRPr="00C02A36">
        <w:rPr>
          <w:rFonts w:eastAsia="Calibri" w:cs="Tahoma"/>
          <w:bCs/>
          <w:color w:val="auto"/>
        </w:rPr>
        <w:t xml:space="preserve">Al respecto, cabe puntualizar que las licencias, tal como se estableció en párrafos anteriores, se refiere a los documentos que contienen la autorización por parte del </w:t>
      </w:r>
      <w:r w:rsidR="007F2A65">
        <w:rPr>
          <w:rFonts w:eastAsia="Calibri" w:cs="Tahoma"/>
          <w:bCs/>
          <w:color w:val="auto"/>
        </w:rPr>
        <w:t>Ayuntamiento de Nopaltepec</w:t>
      </w:r>
      <w:r w:rsidRPr="00C02A36">
        <w:rPr>
          <w:rFonts w:eastAsia="Calibri" w:cs="Tahoma"/>
          <w:bCs/>
          <w:color w:val="auto"/>
        </w:rPr>
        <w:t>, a través de la Dirección de Desarrollo Económico, para que un particular o persona jurídica colectiva pueda realizar una actividad económica, comercial o industrial, regulada por las Leyes respectivas.</w:t>
      </w:r>
    </w:p>
    <w:p w14:paraId="637020D6" w14:textId="77777777" w:rsidR="00395324" w:rsidRPr="00C02A36" w:rsidRDefault="00395324" w:rsidP="00395324">
      <w:pPr>
        <w:spacing w:after="0" w:line="360" w:lineRule="auto"/>
        <w:ind w:right="-93"/>
        <w:rPr>
          <w:rFonts w:eastAsia="Calibri" w:cs="Tahoma"/>
          <w:bCs/>
          <w:color w:val="auto"/>
        </w:rPr>
      </w:pPr>
    </w:p>
    <w:p w14:paraId="4E021762" w14:textId="77777777" w:rsidR="00C02A36" w:rsidRPr="00C02A36" w:rsidRDefault="00C02A36" w:rsidP="00395324">
      <w:pPr>
        <w:spacing w:after="0" w:line="360" w:lineRule="auto"/>
        <w:ind w:right="-93"/>
        <w:rPr>
          <w:rFonts w:eastAsia="Calibri" w:cs="Tahoma"/>
          <w:bCs/>
          <w:color w:val="auto"/>
        </w:rPr>
      </w:pPr>
      <w:r w:rsidRPr="00C02A36">
        <w:rPr>
          <w:rFonts w:eastAsia="Calibri" w:cs="Tahoma"/>
          <w:bCs/>
          <w:color w:val="auto"/>
        </w:rPr>
        <w:t xml:space="preserve">En ese sentido, de acuerdo con el artículo 92, fracción XXXII de la Ley en cita, el legislador contempló como información de interés público y que debe estar disponible para consulta, aquellas licencias otorgadas, especificando </w:t>
      </w:r>
      <w:r w:rsidRPr="00C02A36">
        <w:rPr>
          <w:rFonts w:eastAsia="Calibri" w:cs="Tahoma"/>
          <w:b/>
          <w:bCs/>
          <w:color w:val="auto"/>
        </w:rPr>
        <w:t>el nombre de su titular</w:t>
      </w:r>
      <w:r w:rsidRPr="00C02A36">
        <w:rPr>
          <w:rFonts w:eastAsia="Calibri" w:cs="Tahoma"/>
          <w:bCs/>
          <w:color w:val="auto"/>
        </w:rPr>
        <w:t xml:space="preserve"> y las características principales. Lo anterior, en concordancia a lo establecido en la Ley General de Transparencia y Acceso a la Información Pública. </w:t>
      </w:r>
    </w:p>
    <w:p w14:paraId="4147EEC8" w14:textId="77777777" w:rsidR="00C02A36" w:rsidRPr="00C02A36" w:rsidRDefault="00C02A36" w:rsidP="00395324">
      <w:pPr>
        <w:spacing w:after="0" w:line="360" w:lineRule="auto"/>
        <w:ind w:right="-93"/>
        <w:rPr>
          <w:rFonts w:eastAsia="Calibri" w:cs="Tahoma"/>
          <w:bCs/>
          <w:color w:val="auto"/>
        </w:rPr>
      </w:pPr>
    </w:p>
    <w:p w14:paraId="7FA042DF" w14:textId="77777777" w:rsidR="00C02A36" w:rsidRPr="00C02A36" w:rsidRDefault="00C02A36" w:rsidP="00395324">
      <w:pPr>
        <w:spacing w:after="0" w:line="360" w:lineRule="auto"/>
        <w:ind w:right="-93"/>
        <w:rPr>
          <w:rFonts w:eastAsia="Calibri" w:cs="Tahoma"/>
          <w:bCs/>
          <w:color w:val="auto"/>
        </w:rPr>
      </w:pPr>
      <w:r w:rsidRPr="00C02A36">
        <w:rPr>
          <w:rFonts w:eastAsia="Calibri" w:cs="Tahoma"/>
          <w:bCs/>
          <w:color w:val="auto"/>
        </w:rPr>
        <w:t xml:space="preserve">Ello, con la finalidad de asegurar su mayor difusión, que permita a los ciudadanos evaluar de manera permanente los indicadores más importantes de la gestión pública, como lo son, la </w:t>
      </w:r>
      <w:r w:rsidRPr="00C02A36">
        <w:rPr>
          <w:rFonts w:eastAsia="Calibri" w:cs="Tahoma"/>
          <w:bCs/>
          <w:color w:val="auto"/>
        </w:rPr>
        <w:lastRenderedPageBreak/>
        <w:t>autorización de licencias de funcionamiento, pues es facultad exclusiva de los Municipios, ver las cuestiones relacionadas con el tema en cuestión.</w:t>
      </w:r>
      <w:r w:rsidRPr="00C02A36">
        <w:rPr>
          <w:rFonts w:eastAsia="Times New Roman" w:cs="Tahoma"/>
          <w:color w:val="auto"/>
          <w:lang w:eastAsia="es-ES"/>
        </w:rPr>
        <w:t xml:space="preserve"> </w:t>
      </w:r>
      <w:r w:rsidRPr="00C02A36">
        <w:rPr>
          <w:rFonts w:eastAsia="Calibri" w:cs="Tahoma"/>
          <w:bCs/>
          <w:color w:val="auto"/>
        </w:rPr>
        <w:t>Además, se incluyó el deber para los sujetos obligados de proporcionar, en la medida de lo posible, esta información con valor agregado, a efecto de facilitar su uso, comprensión y permitir evaluar su calidad, confiabilidad, oportunidad y veracidad.</w:t>
      </w:r>
    </w:p>
    <w:p w14:paraId="42326B82" w14:textId="77777777" w:rsidR="00C02A36" w:rsidRPr="00C02A36" w:rsidRDefault="00C02A36" w:rsidP="00395324">
      <w:pPr>
        <w:spacing w:after="0" w:line="360" w:lineRule="auto"/>
        <w:ind w:right="-93"/>
        <w:rPr>
          <w:rFonts w:eastAsia="Calibri" w:cs="Tahoma"/>
          <w:bCs/>
          <w:color w:val="auto"/>
        </w:rPr>
      </w:pPr>
    </w:p>
    <w:p w14:paraId="235335DE" w14:textId="77777777" w:rsidR="00C02A36" w:rsidRPr="00C02A36" w:rsidRDefault="00C02A36" w:rsidP="00395324">
      <w:pPr>
        <w:spacing w:after="0" w:line="360" w:lineRule="auto"/>
        <w:ind w:right="-93"/>
        <w:rPr>
          <w:rFonts w:eastAsia="Calibri" w:cs="Tahoma"/>
          <w:bCs/>
          <w:color w:val="auto"/>
        </w:rPr>
      </w:pPr>
      <w:r w:rsidRPr="00C02A36">
        <w:rPr>
          <w:rFonts w:eastAsia="Calibri" w:cs="Tahoma"/>
          <w:bCs/>
          <w:color w:val="auto"/>
        </w:rPr>
        <w:t>Toma sustento, dicha situación, en el Dictamen de las Comisiones Unidas de Anticorrupción y Participación Ciudadana, de Gobernación y de Estudios Legislativos, segunda; relativo a la iniciativa que contiene el proyecto de Decreto por el que se expide la Ley General de Transparencia y Acceso a la Información Pública, ya que de este se desprende que el Poder Legislativo consideró que una de las principales contribuciones que trajo dicha Ley, es el catálogo de las obligaciones de transparencia, a través de un listado amplio, completo, detallado y preciso para todos los sujetos obligados del país, que permitan garantizar, el efectivo ejercicio del derecho de acceso a la información.</w:t>
      </w:r>
    </w:p>
    <w:p w14:paraId="4A463EBE" w14:textId="77777777" w:rsidR="00C02A36" w:rsidRPr="00C02A36" w:rsidRDefault="00C02A36" w:rsidP="00395324">
      <w:pPr>
        <w:spacing w:after="0" w:line="360" w:lineRule="auto"/>
        <w:ind w:right="-93"/>
        <w:rPr>
          <w:rFonts w:eastAsia="Calibri" w:cs="Tahoma"/>
          <w:bCs/>
          <w:color w:val="auto"/>
        </w:rPr>
      </w:pPr>
    </w:p>
    <w:p w14:paraId="03E1E89A" w14:textId="77777777" w:rsidR="00C02A36" w:rsidRPr="00C02A36" w:rsidRDefault="00C02A36" w:rsidP="00395324">
      <w:pPr>
        <w:spacing w:after="0" w:line="360" w:lineRule="auto"/>
        <w:ind w:right="-93"/>
        <w:rPr>
          <w:rFonts w:eastAsia="Calibri" w:cs="Tahoma"/>
          <w:bCs/>
          <w:color w:val="auto"/>
        </w:rPr>
      </w:pPr>
      <w:r w:rsidRPr="00C02A36">
        <w:rPr>
          <w:rFonts w:eastAsia="Calibri" w:cs="Tahoma"/>
          <w:bCs/>
          <w:color w:val="auto"/>
        </w:rPr>
        <w:t>Igualmente, se destacó que aún determinando causales de reserva en las leyes especiales diversas a la Ley General o las Estatales de Transparencia, todos los sujetos obligados deben de dar cumplimiento con todos los principios y procedimientos establecidos en la Ley General de Transparencia y Acceso a la Información Pública, así como con los recursos y criterios de la misma.</w:t>
      </w:r>
    </w:p>
    <w:p w14:paraId="0CA50CCD" w14:textId="77777777" w:rsidR="00C02A36" w:rsidRPr="00C02A36" w:rsidRDefault="00C02A36" w:rsidP="00395324">
      <w:pPr>
        <w:spacing w:after="0" w:line="360" w:lineRule="auto"/>
        <w:ind w:right="-93"/>
        <w:rPr>
          <w:rFonts w:eastAsia="Calibri" w:cs="Tahoma"/>
          <w:bCs/>
          <w:color w:val="auto"/>
        </w:rPr>
      </w:pPr>
    </w:p>
    <w:p w14:paraId="32E8D86F" w14:textId="77777777" w:rsidR="00C02A36" w:rsidRPr="00C02A36" w:rsidRDefault="00C02A36" w:rsidP="00395324">
      <w:pPr>
        <w:spacing w:after="0" w:line="360" w:lineRule="auto"/>
        <w:ind w:right="-93"/>
        <w:rPr>
          <w:rFonts w:eastAsia="Calibri" w:cs="Tahoma"/>
          <w:bCs/>
          <w:color w:val="auto"/>
        </w:rPr>
      </w:pPr>
      <w:r w:rsidRPr="00C02A36">
        <w:rPr>
          <w:rFonts w:eastAsia="Calibri" w:cs="Tahoma"/>
          <w:bCs/>
          <w:color w:val="auto"/>
        </w:rPr>
        <w:t xml:space="preserve">Bajo tal premisa, podría concluirse que la hipótesis normativa del artículo 92, fracción XXXII de la Ley de Transparencia y Acceso a la Información Pública del Estado de México y los Municipios, se traduce en una excepción a la información personal que debe ser protegida, tal como es en el caso que nos ocupa el nombre del titular persona física de una licencia de funcionamiento, por lo que no es dable, como se asienta en el Criterio Relevante, considerar </w:t>
      </w:r>
      <w:r w:rsidRPr="00C02A36">
        <w:rPr>
          <w:rFonts w:eastAsia="Calibri" w:cs="Tahoma"/>
          <w:bCs/>
          <w:color w:val="auto"/>
        </w:rPr>
        <w:lastRenderedPageBreak/>
        <w:t>que el nombre de los titulares estas, deba ser considerado confidencial, aún y cuando el mismo no involucre aprovechamiento de bienes o recursos públicos.</w:t>
      </w:r>
    </w:p>
    <w:p w14:paraId="29C3EA80" w14:textId="77777777" w:rsidR="00C02A36" w:rsidRPr="00C02A36" w:rsidRDefault="00C02A36" w:rsidP="00395324">
      <w:pPr>
        <w:spacing w:after="0" w:line="360" w:lineRule="auto"/>
        <w:ind w:right="-93"/>
        <w:rPr>
          <w:rFonts w:eastAsia="Calibri" w:cs="Tahoma"/>
          <w:bCs/>
          <w:color w:val="auto"/>
        </w:rPr>
      </w:pPr>
    </w:p>
    <w:p w14:paraId="5C07F19C" w14:textId="77777777" w:rsidR="00C02A36" w:rsidRPr="00C02A36" w:rsidRDefault="00C02A36" w:rsidP="00395324">
      <w:pPr>
        <w:spacing w:after="0" w:line="360" w:lineRule="auto"/>
        <w:ind w:right="-93"/>
        <w:rPr>
          <w:rFonts w:eastAsia="Calibri" w:cs="Tahoma"/>
          <w:bCs/>
          <w:color w:val="auto"/>
        </w:rPr>
      </w:pPr>
      <w:r w:rsidRPr="00C02A36">
        <w:rPr>
          <w:rFonts w:eastAsia="Calibri" w:cs="Tahoma"/>
          <w:bCs/>
          <w:color w:val="auto"/>
        </w:rPr>
        <w:t>A mayor abundamiento se puede referir que, el artículo 91 de dicho ordenamiento jurídico, establece que la información pública será restringida excepcionalmente, cuando ésta sea clasificada como reservada o confidencial; por lo que, se colige que las obligaciones de transparencia no superan de forma automática la prohibición de no difundir datos personales sin el consentimiento de su titular, como sucede en el caso concreto.</w:t>
      </w:r>
    </w:p>
    <w:p w14:paraId="37CCE7F5" w14:textId="77777777" w:rsidR="00C02A36" w:rsidRPr="00C02A36" w:rsidRDefault="00C02A36" w:rsidP="00395324">
      <w:pPr>
        <w:spacing w:after="0" w:line="360" w:lineRule="auto"/>
        <w:ind w:right="-93"/>
        <w:rPr>
          <w:rFonts w:eastAsia="Calibri" w:cs="Tahoma"/>
          <w:bCs/>
          <w:color w:val="auto"/>
        </w:rPr>
      </w:pPr>
    </w:p>
    <w:p w14:paraId="4AEB6643" w14:textId="77777777" w:rsidR="00C02A36" w:rsidRPr="00C02A36" w:rsidRDefault="00C02A36" w:rsidP="00395324">
      <w:pPr>
        <w:spacing w:after="0" w:line="360" w:lineRule="auto"/>
        <w:ind w:right="-93"/>
        <w:rPr>
          <w:rFonts w:eastAsia="Calibri" w:cs="Tahoma"/>
          <w:bCs/>
          <w:color w:val="auto"/>
        </w:rPr>
      </w:pPr>
      <w:r w:rsidRPr="00C02A36">
        <w:rPr>
          <w:rFonts w:eastAsia="Calibri" w:cs="Tahoma"/>
          <w:bCs/>
          <w:color w:val="auto"/>
        </w:rPr>
        <w:t xml:space="preserve">Ante tales circunstancias, se desprende que, en el caso concreto, sobreviene una </w:t>
      </w:r>
      <w:r w:rsidRPr="00C02A36">
        <w:rPr>
          <w:rFonts w:eastAsia="Calibri" w:cs="Tahoma"/>
          <w:b/>
          <w:bCs/>
          <w:color w:val="auto"/>
        </w:rPr>
        <w:t>colisión de derechos fundamentales,</w:t>
      </w:r>
      <w:r w:rsidRPr="00C02A36">
        <w:rPr>
          <w:rFonts w:eastAsia="Calibri" w:cs="Tahoma"/>
          <w:bCs/>
          <w:color w:val="auto"/>
        </w:rPr>
        <w:t xml:space="preserve"> esto es, por una parte, se tiene el derecho de acceso a la información del Particular para conocer el nombre de la persona a la cual se le otorgó una licencia para desarrollar determinada actividad, y por la otra, el derecho a la protección de los nombres de aquellas a quienes obtuvieron una autorización específica, lo cual implica dar a conocer datos personales confidenciales consistentes, en el nombre de personas físicas y este vincularlo en la actividad que desarrollan y el lugar en el que se ubica su establecimiento.</w:t>
      </w:r>
    </w:p>
    <w:p w14:paraId="43BF0463" w14:textId="77777777" w:rsidR="00C02A36" w:rsidRPr="00C02A36" w:rsidRDefault="00C02A36" w:rsidP="00395324">
      <w:pPr>
        <w:spacing w:after="0" w:line="360" w:lineRule="auto"/>
        <w:ind w:right="-93"/>
        <w:rPr>
          <w:rFonts w:eastAsia="Calibri" w:cs="Tahoma"/>
          <w:bCs/>
          <w:color w:val="auto"/>
        </w:rPr>
      </w:pPr>
    </w:p>
    <w:p w14:paraId="121820F6" w14:textId="77777777" w:rsidR="00C02A36" w:rsidRPr="00C02A36" w:rsidRDefault="00C02A36" w:rsidP="00395324">
      <w:pPr>
        <w:spacing w:after="0" w:line="360" w:lineRule="auto"/>
        <w:ind w:right="-93"/>
        <w:rPr>
          <w:rFonts w:eastAsia="Calibri" w:cs="Tahoma"/>
          <w:bCs/>
          <w:color w:val="auto"/>
        </w:rPr>
      </w:pPr>
      <w:r w:rsidRPr="00C02A36">
        <w:rPr>
          <w:rFonts w:eastAsia="Calibri" w:cs="Tahoma"/>
          <w:bCs/>
          <w:color w:val="auto"/>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42B52C6C" w14:textId="77777777" w:rsidR="00C02A36" w:rsidRPr="00C02A36" w:rsidRDefault="00C02A36" w:rsidP="00395324">
      <w:pPr>
        <w:spacing w:after="0" w:line="360" w:lineRule="auto"/>
        <w:ind w:right="-93"/>
        <w:rPr>
          <w:rFonts w:eastAsia="Calibri" w:cs="Tahoma"/>
          <w:bCs/>
          <w:color w:val="auto"/>
        </w:rPr>
      </w:pPr>
    </w:p>
    <w:p w14:paraId="3B7607C5" w14:textId="77777777" w:rsidR="00C02A36" w:rsidRPr="00C02A36" w:rsidRDefault="00C02A36" w:rsidP="00395324">
      <w:pPr>
        <w:spacing w:after="0" w:line="360" w:lineRule="auto"/>
        <w:ind w:right="-93"/>
        <w:rPr>
          <w:rFonts w:eastAsia="Calibri" w:cs="Tahoma"/>
          <w:bCs/>
          <w:color w:val="auto"/>
        </w:rPr>
      </w:pPr>
      <w:r w:rsidRPr="00C02A36">
        <w:rPr>
          <w:rFonts w:eastAsia="Calibri" w:cs="Tahoma"/>
          <w:bCs/>
          <w:color w:val="auto"/>
        </w:rPr>
        <w:t xml:space="preserve">Por cuanto hace a la colisión entre el derecho a la información y el derecho a la intimidad o a la vida privada, el Poder Judicial de la Federación ha sostenido la </w:t>
      </w:r>
      <w:r w:rsidRPr="00C02A36">
        <w:rPr>
          <w:rFonts w:eastAsia="Calibri" w:cs="Tahoma"/>
          <w:b/>
          <w:bCs/>
          <w:color w:val="auto"/>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w:t>
      </w:r>
      <w:r w:rsidRPr="00C02A36">
        <w:rPr>
          <w:rFonts w:eastAsia="Calibri" w:cs="Tahoma"/>
          <w:b/>
          <w:bCs/>
          <w:color w:val="auto"/>
        </w:rPr>
        <w:lastRenderedPageBreak/>
        <w:t xml:space="preserve">comunicar y recibir información, atendiendo a las circunstancias de cada caso en concreto, </w:t>
      </w:r>
      <w:r w:rsidRPr="00C02A36">
        <w:rPr>
          <w:rFonts w:eastAsia="Calibri" w:cs="Tahoma"/>
          <w:bCs/>
          <w:color w:val="auto"/>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3A14F6EB" w14:textId="77777777" w:rsidR="00C02A36" w:rsidRPr="00C02A36" w:rsidRDefault="00C02A36" w:rsidP="00395324">
      <w:pPr>
        <w:spacing w:after="0" w:line="360" w:lineRule="auto"/>
        <w:jc w:val="left"/>
        <w:rPr>
          <w:rFonts w:eastAsia="Calibri" w:cs="Tahoma"/>
          <w:bCs/>
          <w:color w:val="auto"/>
        </w:rPr>
      </w:pPr>
    </w:p>
    <w:p w14:paraId="515173DB" w14:textId="77777777" w:rsidR="00C02A36" w:rsidRPr="00C02A36" w:rsidRDefault="00C02A36" w:rsidP="00395324">
      <w:pPr>
        <w:spacing w:after="0" w:line="360" w:lineRule="auto"/>
        <w:rPr>
          <w:rFonts w:eastAsia="Times New Roman" w:cs="Tahoma"/>
          <w:bCs/>
          <w:iCs/>
          <w:color w:val="auto"/>
          <w:lang w:eastAsia="es-ES"/>
        </w:rPr>
      </w:pPr>
      <w:r w:rsidRPr="00C02A36">
        <w:rPr>
          <w:rFonts w:eastAsia="Calibri" w:cs="Tahoma"/>
          <w:bCs/>
          <w:color w:val="auto"/>
        </w:rPr>
        <w:t>En ese mismo sentido y atendiendo a la naturaleza del derecho a la protección de datos personales, por analogía, este debe ceder cuando exista un interés público mayor de acuerdo a las circunstancias del caso.</w:t>
      </w:r>
      <w:r w:rsidRPr="00C02A36">
        <w:rPr>
          <w:rFonts w:eastAsia="Times New Roman" w:cs="Tahoma"/>
          <w:bCs/>
          <w:iCs/>
          <w:color w:val="auto"/>
          <w:lang w:eastAsia="es-ES"/>
        </w:rPr>
        <w:t xml:space="preserve"> Precisado lo anterior, resulta necesario realizar una ponderación de los dos intereses jurídicos tutelados que convergen en la controversia que se dirime; para lo cual, el artículo </w:t>
      </w:r>
      <w:r w:rsidRPr="00C02A36">
        <w:rPr>
          <w:rFonts w:eastAsia="Calibri" w:cs="Tahoma"/>
          <w:bCs/>
          <w:color w:val="auto"/>
        </w:rPr>
        <w:t>184 de la Ley de Transparencia y Acceso a la Información Pública del Estado de México y Municipios</w:t>
      </w:r>
      <w:r w:rsidRPr="00C02A36">
        <w:rPr>
          <w:rFonts w:eastAsia="Times New Roman" w:cs="Tahoma"/>
          <w:bCs/>
          <w:iCs/>
          <w:color w:val="auto"/>
          <w:lang w:eastAsia="es-ES"/>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14:paraId="3CD67445" w14:textId="77777777" w:rsidR="00C02A36" w:rsidRPr="00C02A36" w:rsidRDefault="00C02A36" w:rsidP="00395324">
      <w:pPr>
        <w:spacing w:after="0" w:line="360" w:lineRule="auto"/>
        <w:ind w:right="49"/>
        <w:rPr>
          <w:rFonts w:eastAsia="Times New Roman" w:cs="Tahoma"/>
          <w:bCs/>
          <w:iCs/>
          <w:color w:val="auto"/>
          <w:lang w:eastAsia="es-ES"/>
        </w:rPr>
      </w:pPr>
    </w:p>
    <w:p w14:paraId="0A37617F" w14:textId="77777777" w:rsidR="00C02A36" w:rsidRPr="00C02A36" w:rsidRDefault="00C02A36" w:rsidP="00395324">
      <w:pPr>
        <w:numPr>
          <w:ilvl w:val="0"/>
          <w:numId w:val="35"/>
        </w:numPr>
        <w:spacing w:after="0" w:line="360" w:lineRule="auto"/>
        <w:ind w:left="426" w:right="49" w:hanging="426"/>
        <w:contextualSpacing/>
        <w:rPr>
          <w:rFonts w:eastAsia="Times New Roman" w:cs="Tahoma"/>
          <w:bCs/>
          <w:iCs/>
          <w:color w:val="auto"/>
          <w:lang w:eastAsia="es-ES"/>
        </w:rPr>
      </w:pPr>
      <w:r w:rsidRPr="00C02A36">
        <w:rPr>
          <w:rFonts w:eastAsia="Times New Roman" w:cs="Tahoma"/>
          <w:b/>
          <w:bCs/>
          <w:iCs/>
          <w:color w:val="auto"/>
          <w:lang w:eastAsia="es-ES"/>
        </w:rPr>
        <w:t>Idoneidad:</w:t>
      </w:r>
      <w:r w:rsidRPr="00C02A36">
        <w:rPr>
          <w:rFonts w:eastAsia="Times New Roman" w:cs="Tahoma"/>
          <w:bCs/>
          <w:iCs/>
          <w:color w:val="auto"/>
          <w:lang w:eastAsia="es-ES"/>
        </w:rPr>
        <w:t xml:space="preserve"> La legitimidad del derecho adoptado como preferente, que sea el adecuado para el logro de un fin constitucionalmente válido o apto para conseguir el fin pretendido;</w:t>
      </w:r>
    </w:p>
    <w:p w14:paraId="09A4043B" w14:textId="77777777" w:rsidR="00C02A36" w:rsidRPr="00C02A36" w:rsidRDefault="00C02A36" w:rsidP="00395324">
      <w:pPr>
        <w:spacing w:after="0" w:line="360" w:lineRule="auto"/>
        <w:ind w:left="426" w:right="49"/>
        <w:contextualSpacing/>
        <w:rPr>
          <w:rFonts w:eastAsia="Times New Roman" w:cs="Tahoma"/>
          <w:bCs/>
          <w:iCs/>
          <w:color w:val="auto"/>
          <w:lang w:eastAsia="es-ES"/>
        </w:rPr>
      </w:pPr>
    </w:p>
    <w:p w14:paraId="7442FCA9" w14:textId="77777777" w:rsidR="00C02A36" w:rsidRPr="00C02A36" w:rsidRDefault="00C02A36" w:rsidP="00395324">
      <w:pPr>
        <w:numPr>
          <w:ilvl w:val="0"/>
          <w:numId w:val="35"/>
        </w:numPr>
        <w:spacing w:after="0" w:line="360" w:lineRule="auto"/>
        <w:ind w:left="426" w:right="49" w:hanging="426"/>
        <w:contextualSpacing/>
        <w:rPr>
          <w:rFonts w:eastAsia="Times New Roman" w:cs="Tahoma"/>
          <w:bCs/>
          <w:iCs/>
          <w:color w:val="auto"/>
          <w:lang w:eastAsia="es-ES"/>
        </w:rPr>
      </w:pPr>
      <w:r w:rsidRPr="00C02A36">
        <w:rPr>
          <w:rFonts w:eastAsia="Times New Roman" w:cs="Tahoma"/>
          <w:b/>
          <w:bCs/>
          <w:iCs/>
          <w:color w:val="auto"/>
          <w:lang w:eastAsia="es-ES"/>
        </w:rPr>
        <w:t>Necesidad:</w:t>
      </w:r>
      <w:r w:rsidRPr="00C02A36">
        <w:rPr>
          <w:rFonts w:eastAsia="Times New Roman" w:cs="Tahoma"/>
          <w:bCs/>
          <w:iCs/>
          <w:color w:val="auto"/>
          <w:lang w:eastAsia="es-ES"/>
        </w:rPr>
        <w:t xml:space="preserve"> La falta de un medio alternativo menos lesivo a la apertura de la información, para satisfacer el interés público, y</w:t>
      </w:r>
    </w:p>
    <w:p w14:paraId="48E3C632" w14:textId="77777777" w:rsidR="00C02A36" w:rsidRPr="00C02A36" w:rsidRDefault="00C02A36" w:rsidP="00395324">
      <w:pPr>
        <w:spacing w:after="0" w:line="360" w:lineRule="auto"/>
        <w:ind w:left="426" w:right="49"/>
        <w:contextualSpacing/>
        <w:rPr>
          <w:rFonts w:eastAsia="Times New Roman" w:cs="Tahoma"/>
          <w:bCs/>
          <w:iCs/>
          <w:color w:val="auto"/>
          <w:lang w:eastAsia="es-ES"/>
        </w:rPr>
      </w:pPr>
    </w:p>
    <w:p w14:paraId="65374E18" w14:textId="77777777" w:rsidR="00C02A36" w:rsidRPr="00C02A36" w:rsidRDefault="00C02A36" w:rsidP="00395324">
      <w:pPr>
        <w:widowControl w:val="0"/>
        <w:numPr>
          <w:ilvl w:val="0"/>
          <w:numId w:val="35"/>
        </w:numPr>
        <w:spacing w:after="0" w:line="360" w:lineRule="auto"/>
        <w:ind w:left="425" w:right="51" w:hanging="425"/>
        <w:contextualSpacing/>
        <w:jc w:val="left"/>
        <w:rPr>
          <w:rFonts w:eastAsia="Times New Roman" w:cs="Tahoma"/>
          <w:bCs/>
          <w:iCs/>
          <w:color w:val="auto"/>
          <w:lang w:eastAsia="es-ES"/>
        </w:rPr>
      </w:pPr>
      <w:r w:rsidRPr="00C02A36">
        <w:rPr>
          <w:rFonts w:eastAsia="Times New Roman" w:cs="Tahoma"/>
          <w:b/>
          <w:bCs/>
          <w:iCs/>
          <w:color w:val="auto"/>
          <w:lang w:eastAsia="es-ES"/>
        </w:rPr>
        <w:t>Proporcionalidad:</w:t>
      </w:r>
      <w:r w:rsidRPr="00C02A36">
        <w:rPr>
          <w:rFonts w:eastAsia="Times New Roman" w:cs="Tahoma"/>
          <w:bCs/>
          <w:iCs/>
          <w:color w:val="auto"/>
          <w:lang w:eastAsia="es-ES"/>
        </w:rPr>
        <w:t xml:space="preserve"> El equilibrio entre perjuicio y beneficio a favor del interés público, a fin de que la decisión tomada represente un beneficio mayor al perjuicio que podría causar a la población.</w:t>
      </w:r>
    </w:p>
    <w:p w14:paraId="15BBD812" w14:textId="77777777" w:rsidR="00C02A36" w:rsidRPr="00C02A36" w:rsidRDefault="00C02A36" w:rsidP="00395324">
      <w:pPr>
        <w:spacing w:after="0" w:line="360" w:lineRule="auto"/>
        <w:ind w:right="-93"/>
        <w:rPr>
          <w:rFonts w:eastAsia="Calibri" w:cs="Tahoma"/>
          <w:bCs/>
          <w:color w:val="auto"/>
        </w:rPr>
      </w:pPr>
    </w:p>
    <w:p w14:paraId="625CECD9" w14:textId="77777777" w:rsidR="00C02A36" w:rsidRPr="00C02A36" w:rsidRDefault="00C02A36" w:rsidP="00395324">
      <w:pPr>
        <w:spacing w:after="0" w:line="360" w:lineRule="auto"/>
        <w:ind w:right="-1"/>
        <w:rPr>
          <w:rFonts w:eastAsia="Calibri" w:cs="Tahoma"/>
          <w:color w:val="auto"/>
          <w:lang w:eastAsia="es-ES"/>
        </w:rPr>
      </w:pPr>
      <w:r w:rsidRPr="00C02A36">
        <w:rPr>
          <w:rFonts w:eastAsia="Calibri" w:cs="Tahoma"/>
          <w:color w:val="auto"/>
          <w:lang w:eastAsia="es-ES"/>
        </w:rPr>
        <w:lastRenderedPageBreak/>
        <w:t>En ese orden de ideas, resulta procedente analizar cada uno de los elementos referidos, partiendo de que, en el caso concreto, se estima como preferente el derecho de acceso a la información, bajo las consideraciones que se verterán a continuación.</w:t>
      </w:r>
    </w:p>
    <w:p w14:paraId="21F73785" w14:textId="77777777" w:rsidR="00C02A36" w:rsidRPr="00C02A36" w:rsidRDefault="00C02A36" w:rsidP="00395324">
      <w:pPr>
        <w:spacing w:after="0" w:line="360" w:lineRule="auto"/>
        <w:ind w:right="-1"/>
        <w:rPr>
          <w:rFonts w:eastAsia="Calibri" w:cs="Tahoma"/>
          <w:color w:val="auto"/>
          <w:lang w:eastAsia="es-ES"/>
        </w:rPr>
      </w:pPr>
    </w:p>
    <w:p w14:paraId="2419B85E" w14:textId="2635602D" w:rsidR="00C02A36" w:rsidRPr="00C02A36" w:rsidRDefault="00C02A36" w:rsidP="00395324">
      <w:pPr>
        <w:spacing w:after="0" w:line="360" w:lineRule="auto"/>
        <w:ind w:right="-93"/>
        <w:rPr>
          <w:rFonts w:eastAsia="Calibri" w:cs="Tahoma"/>
          <w:bCs/>
          <w:color w:val="auto"/>
        </w:rPr>
      </w:pPr>
      <w:r w:rsidRPr="00C02A36">
        <w:rPr>
          <w:rFonts w:eastAsia="Calibri" w:cs="Tahoma"/>
          <w:b/>
          <w:bCs/>
          <w:iCs/>
          <w:color w:val="auto"/>
          <w:lang w:eastAsia="es-ES"/>
        </w:rPr>
        <w:t>a) Idoneidad</w:t>
      </w:r>
      <w:r w:rsidRPr="00C02A36">
        <w:rPr>
          <w:rFonts w:eastAsia="Calibri" w:cs="Tahoma"/>
          <w:bCs/>
          <w:color w:val="auto"/>
        </w:rPr>
        <w:t xml:space="preserve">. Existe un fin constitucionalmente válido para dar a conocer el nombre de aquellas personas físicas a quienes les fue otorgada una licencia para realizar una actividad económica, comercial o industrial en el Municipio de </w:t>
      </w:r>
      <w:r w:rsidR="00B06498">
        <w:rPr>
          <w:rFonts w:eastAsia="Calibri" w:cs="Tahoma"/>
          <w:bCs/>
          <w:color w:val="auto"/>
          <w:lang w:val="es-ES_tradnl"/>
        </w:rPr>
        <w:t>Nopaltepec</w:t>
      </w:r>
      <w:r w:rsidRPr="00C02A36">
        <w:rPr>
          <w:rFonts w:eastAsia="Calibri" w:cs="Tahoma"/>
          <w:bCs/>
          <w:color w:val="auto"/>
        </w:rPr>
        <w:t>; dicho fin la rendición de cuentas sobre el quehacer gubernamental que permita identificar a aquellas personas que han sido autorizadas por el Ayuntamiento, para realizar actividades lícitas; esto es, las localizadas en el Catálogo Mexiquense de Actividades Industriales, Comerciales y de Servicios, a efecto de determinar si la misma se realizó atendiendo a la normatividad aplicable.</w:t>
      </w:r>
    </w:p>
    <w:p w14:paraId="09C2B9D4" w14:textId="77777777" w:rsidR="00C02A36" w:rsidRPr="00C02A36" w:rsidRDefault="00C02A36" w:rsidP="00395324">
      <w:pPr>
        <w:spacing w:after="0" w:line="360" w:lineRule="auto"/>
        <w:ind w:right="-93"/>
        <w:rPr>
          <w:rFonts w:eastAsia="Calibri" w:cs="Tahoma"/>
          <w:bCs/>
          <w:color w:val="auto"/>
        </w:rPr>
      </w:pPr>
    </w:p>
    <w:p w14:paraId="0E5FBF07" w14:textId="77777777" w:rsidR="00C02A36" w:rsidRPr="00C02A36" w:rsidRDefault="00C02A36" w:rsidP="00395324">
      <w:pPr>
        <w:spacing w:after="0" w:line="360" w:lineRule="auto"/>
        <w:ind w:right="-93"/>
        <w:rPr>
          <w:rFonts w:eastAsia="Calibri" w:cs="Tahoma"/>
          <w:bCs/>
          <w:color w:val="auto"/>
        </w:rPr>
      </w:pPr>
      <w:r w:rsidRPr="00C02A36">
        <w:rPr>
          <w:rFonts w:eastAsia="Calibri" w:cs="Tahoma"/>
          <w:bCs/>
          <w:color w:val="auto"/>
        </w:rPr>
        <w:t xml:space="preserve">Al respecto, es de señalar que la </w:t>
      </w:r>
      <w:r w:rsidRPr="00C02A36">
        <w:rPr>
          <w:rFonts w:eastAsia="Calibri" w:cs="Tahoma"/>
          <w:b/>
          <w:bCs/>
          <w:color w:val="auto"/>
        </w:rPr>
        <w:t xml:space="preserve">transparencia </w:t>
      </w:r>
      <w:r w:rsidRPr="00C02A36">
        <w:rPr>
          <w:rFonts w:eastAsia="Calibri" w:cs="Tahoma"/>
          <w:bCs/>
          <w:color w:val="auto"/>
        </w:rPr>
        <w:t xml:space="preserve">está orientada a maximizar el uso social de la información de los organismos gubernamentales, misma que sirve para exigir cuentas a las autoridades; mientras que la </w:t>
      </w:r>
      <w:r w:rsidRPr="00C02A36">
        <w:rPr>
          <w:rFonts w:eastAsia="Calibri" w:cs="Tahoma"/>
          <w:b/>
          <w:bCs/>
          <w:color w:val="auto"/>
        </w:rPr>
        <w:t>rendición de cuentas</w:t>
      </w:r>
      <w:r w:rsidRPr="00C02A36">
        <w:rPr>
          <w:rFonts w:eastAsia="Calibri" w:cs="Tahoma"/>
          <w:bCs/>
          <w:color w:val="auto"/>
        </w:rPr>
        <w:t xml:space="preserve"> debe entenderse como la obligación de los funcionarios de responder por lo que hacen y la que atañe al poder de los ciudadanos para sancionar los resultados de la gestión en caso de que los servidores públicos hayan violado sus deberes públicos. Por lo que, estos dos conceptos están asociados de manera notable y por tanto, los gobernados requieren información para evaluar críticamente a sus gobernantes y exigirles cuentas.</w:t>
      </w:r>
    </w:p>
    <w:p w14:paraId="75689537" w14:textId="77777777" w:rsidR="00C02A36" w:rsidRPr="00C02A36" w:rsidRDefault="00C02A36" w:rsidP="00395324">
      <w:pPr>
        <w:spacing w:after="0" w:line="360" w:lineRule="auto"/>
        <w:ind w:right="-93"/>
        <w:rPr>
          <w:rFonts w:eastAsia="Calibri" w:cs="Tahoma"/>
          <w:b/>
          <w:bCs/>
          <w:color w:val="auto"/>
        </w:rPr>
      </w:pPr>
      <w:r w:rsidRPr="00C02A36">
        <w:rPr>
          <w:rFonts w:eastAsia="Calibri" w:cs="Tahoma"/>
          <w:bCs/>
          <w:color w:val="auto"/>
        </w:rPr>
        <w:t xml:space="preserve">En ese orden de ideas, la transparencia, al permitir y ayudar a la rendición de cuentas, funciona de doble manera, </w:t>
      </w:r>
      <w:r w:rsidRPr="00C02A36">
        <w:rPr>
          <w:rFonts w:eastAsia="Calibri" w:cs="Tahoma"/>
          <w:bCs/>
          <w:color w:val="auto"/>
          <w:u w:val="single"/>
        </w:rPr>
        <w:t>capacitadora</w:t>
      </w:r>
      <w:r w:rsidRPr="00C02A36">
        <w:rPr>
          <w:rFonts w:eastAsia="Calibri" w:cs="Tahoma"/>
          <w:bCs/>
          <w:color w:val="auto"/>
        </w:rPr>
        <w:t xml:space="preserve">, al permitir a la sociedad premiar o castigar el desempeño de los entes públicos, y cómo </w:t>
      </w:r>
      <w:r w:rsidRPr="00C02A36">
        <w:rPr>
          <w:rFonts w:eastAsia="Calibri" w:cs="Tahoma"/>
          <w:bCs/>
          <w:color w:val="auto"/>
          <w:u w:val="single"/>
        </w:rPr>
        <w:t>inhibidora</w:t>
      </w:r>
      <w:r w:rsidRPr="00C02A36">
        <w:rPr>
          <w:rFonts w:eastAsia="Calibri" w:cs="Tahoma"/>
          <w:bCs/>
          <w:color w:val="auto"/>
        </w:rPr>
        <w:t xml:space="preserve"> de conductas y acciones que atenten contra </w:t>
      </w:r>
      <w:r w:rsidRPr="00C02A36">
        <w:rPr>
          <w:rFonts w:eastAsia="Calibri" w:cs="Tahoma"/>
          <w:b/>
          <w:bCs/>
          <w:color w:val="auto"/>
        </w:rPr>
        <w:t xml:space="preserve">el interés público. </w:t>
      </w:r>
    </w:p>
    <w:p w14:paraId="48315E82" w14:textId="77777777" w:rsidR="00C02A36" w:rsidRPr="00C02A36" w:rsidRDefault="00C02A36" w:rsidP="00395324">
      <w:pPr>
        <w:spacing w:after="0" w:line="360" w:lineRule="auto"/>
        <w:ind w:right="-93"/>
        <w:rPr>
          <w:rFonts w:eastAsia="Calibri" w:cs="Tahoma"/>
          <w:bCs/>
          <w:color w:val="auto"/>
        </w:rPr>
      </w:pPr>
    </w:p>
    <w:p w14:paraId="290380E9" w14:textId="6278A883" w:rsidR="00C02A36" w:rsidRPr="00C02A36" w:rsidRDefault="00C02A36" w:rsidP="00395324">
      <w:pPr>
        <w:spacing w:after="0" w:line="360" w:lineRule="auto"/>
        <w:ind w:right="-93"/>
        <w:rPr>
          <w:rFonts w:eastAsia="Calibri" w:cs="Tahoma"/>
          <w:b/>
          <w:bCs/>
          <w:color w:val="auto"/>
        </w:rPr>
      </w:pPr>
      <w:r w:rsidRPr="00C02A36">
        <w:rPr>
          <w:rFonts w:eastAsia="Calibri" w:cs="Tahoma"/>
          <w:bCs/>
          <w:color w:val="auto"/>
        </w:rPr>
        <w:t xml:space="preserve">Ahora bien, tal como se estableció en párrafos anteriores, cualquier actividad comercial, industrial o económica, únicamente podrá ser llevada a cabo, bajo el amparo de una licencia </w:t>
      </w:r>
      <w:r w:rsidRPr="00C02A36">
        <w:rPr>
          <w:rFonts w:eastAsia="Calibri" w:cs="Tahoma"/>
          <w:bCs/>
          <w:color w:val="auto"/>
        </w:rPr>
        <w:lastRenderedPageBreak/>
        <w:t xml:space="preserve">de funcionamiento expedida, en el presente caso, por el </w:t>
      </w:r>
      <w:r w:rsidR="007F2A65">
        <w:rPr>
          <w:rFonts w:eastAsia="Calibri" w:cs="Tahoma"/>
          <w:bCs/>
          <w:color w:val="auto"/>
        </w:rPr>
        <w:t>Ayuntamiento de Nopaltepec</w:t>
      </w:r>
      <w:r w:rsidRPr="00C02A36">
        <w:rPr>
          <w:rFonts w:eastAsia="Calibri" w:cs="Tahoma"/>
          <w:bCs/>
          <w:color w:val="auto"/>
        </w:rPr>
        <w:t xml:space="preserve">, siempre y cuando cumplan con los requisitos establecidos en la Ley de Competitividad y Ordenamiento Comercial del Estado de México, su Reglamento, entre otras normatividades; en tal virtud, los nombres de las personas que tienen una autorización para poder realizar diversas unidades económicas, </w:t>
      </w:r>
      <w:r w:rsidRPr="00C02A36">
        <w:rPr>
          <w:rFonts w:eastAsia="Calibri" w:cs="Tahoma"/>
          <w:b/>
          <w:bCs/>
          <w:color w:val="auto"/>
        </w:rPr>
        <w:t>se traduce en información que permite transparentar el otorgamiento por parte del Estado de dichos documentos a diversos particulares.</w:t>
      </w:r>
    </w:p>
    <w:p w14:paraId="067542C4" w14:textId="77777777" w:rsidR="00C02A36" w:rsidRPr="00C02A36" w:rsidRDefault="00C02A36" w:rsidP="00395324">
      <w:pPr>
        <w:spacing w:after="0" w:line="360" w:lineRule="auto"/>
        <w:ind w:right="-93"/>
        <w:rPr>
          <w:rFonts w:eastAsia="Calibri" w:cs="Tahoma"/>
          <w:bCs/>
          <w:color w:val="auto"/>
        </w:rPr>
      </w:pPr>
    </w:p>
    <w:p w14:paraId="5B8EFDB1" w14:textId="77777777" w:rsidR="00C02A36" w:rsidRPr="00C02A36" w:rsidRDefault="00C02A36" w:rsidP="00395324">
      <w:pPr>
        <w:widowControl w:val="0"/>
        <w:spacing w:after="0" w:line="360" w:lineRule="auto"/>
        <w:ind w:right="-91"/>
        <w:rPr>
          <w:rFonts w:eastAsia="Calibri" w:cs="Tahoma"/>
          <w:bCs/>
          <w:color w:val="auto"/>
        </w:rPr>
      </w:pPr>
      <w:r w:rsidRPr="00C02A36">
        <w:rPr>
          <w:rFonts w:eastAsia="Calibri" w:cs="Tahoma"/>
          <w:bCs/>
          <w:color w:val="auto"/>
        </w:rPr>
        <w:t>En ese orden de ideas, la Suprema Corte de Justicia de la Nación, ha definido el acceso a la información como un derecho en sí mismo y como un medio o instrumento para el ejercicio de otros derechos,</w:t>
      </w:r>
      <w:r w:rsidRPr="00C02A36">
        <w:rPr>
          <w:rFonts w:eastAsia="Calibri" w:cs="Tahoma"/>
          <w:b/>
          <w:bCs/>
          <w:color w:val="auto"/>
        </w:rPr>
        <w:t xml:space="preserve"> para que los gobernados ejerzan un control respecto del funcionamiento institucional de los poderes públicos, por lo que se constituye como una exigencia social de todo Estado de Derecho, y como un derecho colectivo o garantía social</w:t>
      </w:r>
      <w:r w:rsidRPr="00C02A36">
        <w:rPr>
          <w:rFonts w:eastAsia="Calibri" w:cs="Tahoma"/>
          <w:bCs/>
          <w:color w:val="auto"/>
        </w:rPr>
        <w:t>, a fin de lograr la publicidad de los actos de gobierno y la transparencia de la administración pública. Lo anterior, a través de la jurisprudencia número P./J. 54/2008, publicada en el Semanario Judicial de la Federación y su Gaceta, Tomo XXVII, página 743, Novena Época, en junio de dos mil ocho.</w:t>
      </w:r>
    </w:p>
    <w:p w14:paraId="17A75AC0" w14:textId="77777777" w:rsidR="00C02A36" w:rsidRPr="00C02A36" w:rsidRDefault="00C02A36" w:rsidP="00395324">
      <w:pPr>
        <w:spacing w:after="0" w:line="360" w:lineRule="auto"/>
        <w:ind w:right="-93"/>
        <w:rPr>
          <w:rFonts w:eastAsia="Calibri" w:cs="Tahoma"/>
          <w:bCs/>
          <w:color w:val="auto"/>
        </w:rPr>
      </w:pPr>
    </w:p>
    <w:p w14:paraId="0A513D5D" w14:textId="77777777" w:rsidR="00C02A36" w:rsidRPr="00C02A36" w:rsidRDefault="00C02A36" w:rsidP="00395324">
      <w:pPr>
        <w:spacing w:after="0" w:line="360" w:lineRule="auto"/>
        <w:ind w:right="-93"/>
        <w:rPr>
          <w:rFonts w:eastAsia="Calibri" w:cs="Tahoma"/>
          <w:bCs/>
          <w:color w:val="auto"/>
        </w:rPr>
      </w:pPr>
      <w:r w:rsidRPr="00C02A36">
        <w:rPr>
          <w:rFonts w:eastAsia="Calibri" w:cs="Tahoma"/>
          <w:bCs/>
          <w:color w:val="auto"/>
        </w:rPr>
        <w:t>A mayor precisión, la transparencia de la información requerida permitiría a la sociedad, en general, conocer los nombres de las personas que acreditaron los elementos necesarios para poder realizar una actividad económica dentro del territorio del Municipio; esto es, de los requisitos establecidos en las leyes respectivas.</w:t>
      </w:r>
    </w:p>
    <w:p w14:paraId="69ABC271" w14:textId="77777777" w:rsidR="00C02A36" w:rsidRPr="00C02A36" w:rsidRDefault="00C02A36" w:rsidP="00395324">
      <w:pPr>
        <w:spacing w:after="0" w:line="360" w:lineRule="auto"/>
        <w:ind w:right="-93"/>
        <w:rPr>
          <w:rFonts w:eastAsia="Calibri" w:cs="Tahoma"/>
          <w:bCs/>
          <w:color w:val="auto"/>
        </w:rPr>
      </w:pPr>
    </w:p>
    <w:p w14:paraId="7D4F68F3" w14:textId="77777777" w:rsidR="00C02A36" w:rsidRPr="002958BA" w:rsidRDefault="00C02A36" w:rsidP="00395324">
      <w:pPr>
        <w:spacing w:after="0" w:line="360" w:lineRule="auto"/>
        <w:ind w:right="-93"/>
        <w:rPr>
          <w:rFonts w:eastAsia="Calibri" w:cs="Tahoma"/>
          <w:bCs/>
          <w:color w:val="auto"/>
        </w:rPr>
      </w:pPr>
      <w:r w:rsidRPr="00C02A36">
        <w:rPr>
          <w:rFonts w:eastAsia="Calibri" w:cs="Tahoma"/>
          <w:bCs/>
          <w:color w:val="auto"/>
        </w:rPr>
        <w:t xml:space="preserve">En ese orden de ideas, resulta necesario precisar, que en el artículo 21, fracción III de la Ley de Competitividad y Ordenamiento Comercial del Estado de </w:t>
      </w:r>
      <w:r w:rsidRPr="002958BA">
        <w:rPr>
          <w:rFonts w:eastAsia="Calibri" w:cs="Tahoma"/>
          <w:bCs/>
          <w:color w:val="auto"/>
        </w:rPr>
        <w:t xml:space="preserve">México, prevé que es obligación de los propietarios de establecimientos, tener en un lugar visible dentro de la unidad económica, el original o copia certificada de la licencia de funcionamiento. </w:t>
      </w:r>
    </w:p>
    <w:p w14:paraId="6A7A34CD" w14:textId="77777777" w:rsidR="00C02A36" w:rsidRPr="00C02A36" w:rsidRDefault="00C02A36" w:rsidP="00395324">
      <w:pPr>
        <w:spacing w:after="0" w:line="360" w:lineRule="auto"/>
        <w:ind w:right="-93"/>
        <w:rPr>
          <w:rFonts w:eastAsia="Calibri" w:cs="Tahoma"/>
          <w:bCs/>
          <w:color w:val="auto"/>
        </w:rPr>
      </w:pPr>
    </w:p>
    <w:p w14:paraId="6D488658" w14:textId="5936EA5C" w:rsidR="00C02A36" w:rsidRPr="00C02A36" w:rsidRDefault="00C02A36" w:rsidP="00395324">
      <w:pPr>
        <w:spacing w:after="0" w:line="360" w:lineRule="auto"/>
        <w:ind w:right="-93"/>
        <w:rPr>
          <w:rFonts w:eastAsia="Calibri" w:cs="Tahoma"/>
          <w:bCs/>
          <w:color w:val="auto"/>
          <w:u w:val="single"/>
        </w:rPr>
      </w:pPr>
      <w:r w:rsidRPr="00C02A36">
        <w:rPr>
          <w:rFonts w:eastAsia="Calibri" w:cs="Tahoma"/>
          <w:bCs/>
          <w:color w:val="auto"/>
        </w:rPr>
        <w:lastRenderedPageBreak/>
        <w:t xml:space="preserve">Por ende, otorgar el nombre de la persona autorizada, a través de una licencia de funcionamiento, </w:t>
      </w:r>
      <w:r w:rsidRPr="00C02A36">
        <w:rPr>
          <w:rFonts w:eastAsia="Calibri" w:cs="Tahoma"/>
          <w:bCs/>
          <w:color w:val="auto"/>
          <w:u w:val="single"/>
        </w:rPr>
        <w:t xml:space="preserve">permite corroborar que la exhibida en el establecimiento comercial, fue emitida efectivamente por la autoridad competente, en el presente caso, por el Municipio de </w:t>
      </w:r>
      <w:r w:rsidR="00B06498">
        <w:rPr>
          <w:rFonts w:eastAsia="Calibri" w:cs="Tahoma"/>
          <w:bCs/>
          <w:color w:val="auto"/>
          <w:u w:val="single"/>
        </w:rPr>
        <w:t>Nopaltepec</w:t>
      </w:r>
      <w:r w:rsidRPr="00C02A36">
        <w:rPr>
          <w:rFonts w:eastAsia="Calibri" w:cs="Tahoma"/>
          <w:bCs/>
          <w:color w:val="auto"/>
          <w:u w:val="single"/>
        </w:rPr>
        <w:t>.</w:t>
      </w:r>
    </w:p>
    <w:p w14:paraId="1256D110" w14:textId="77777777" w:rsidR="00C02A36" w:rsidRPr="00C02A36" w:rsidRDefault="00C02A36" w:rsidP="00395324">
      <w:pPr>
        <w:spacing w:after="0" w:line="360" w:lineRule="auto"/>
        <w:ind w:right="-93"/>
        <w:rPr>
          <w:rFonts w:eastAsia="Calibri" w:cs="Tahoma"/>
          <w:bCs/>
          <w:color w:val="auto"/>
          <w:u w:val="single"/>
        </w:rPr>
      </w:pPr>
    </w:p>
    <w:p w14:paraId="279F064A" w14:textId="77777777" w:rsidR="00C02A36" w:rsidRPr="00C02A36" w:rsidRDefault="00C02A36" w:rsidP="00395324">
      <w:pPr>
        <w:spacing w:after="0" w:line="360" w:lineRule="auto"/>
        <w:ind w:right="-93"/>
        <w:rPr>
          <w:rFonts w:eastAsia="Calibri" w:cs="Tahoma"/>
          <w:bCs/>
          <w:color w:val="auto"/>
        </w:rPr>
      </w:pPr>
      <w:r w:rsidRPr="00C02A36">
        <w:rPr>
          <w:rFonts w:eastAsia="Calibri" w:cs="Tahoma"/>
          <w:bCs/>
          <w:color w:val="auto"/>
        </w:rPr>
        <w:t>Bajo esa premisa, se entiende que la materia sobre la cual versa la presente solicitud, reviste un interés colectivo para la sociedad, dado que el Estado a nivel municipal, es el encargado de regular los establecimientos comerciales o industriales dentro de extensión territorial.</w:t>
      </w:r>
    </w:p>
    <w:p w14:paraId="1AC1168F" w14:textId="77777777" w:rsidR="00C02A36" w:rsidRPr="00C02A36" w:rsidRDefault="00C02A36" w:rsidP="00395324">
      <w:pPr>
        <w:spacing w:after="0" w:line="360" w:lineRule="auto"/>
        <w:ind w:right="-93"/>
        <w:rPr>
          <w:rFonts w:eastAsia="Calibri" w:cs="Tahoma"/>
          <w:bCs/>
          <w:color w:val="auto"/>
        </w:rPr>
      </w:pPr>
    </w:p>
    <w:p w14:paraId="7C8B1EF9" w14:textId="19031CE8" w:rsidR="00C02A36" w:rsidRPr="002958BA" w:rsidRDefault="00C02A36" w:rsidP="00395324">
      <w:pPr>
        <w:spacing w:after="0" w:line="360" w:lineRule="auto"/>
        <w:ind w:right="-93"/>
        <w:rPr>
          <w:rFonts w:eastAsia="Calibri" w:cs="Tahoma"/>
          <w:bCs/>
          <w:color w:val="auto"/>
        </w:rPr>
      </w:pPr>
      <w:r w:rsidRPr="00C02A36">
        <w:rPr>
          <w:rFonts w:eastAsia="Calibri" w:cs="Tahoma"/>
          <w:bCs/>
          <w:color w:val="auto"/>
        </w:rPr>
        <w:t xml:space="preserve">Así, mediante la difusión de los nombres de aquellas personas que cuentan con la licencia de funcionamiento, permitiría una debida rendición de cuentas, pues es indispensable que se conozcan aquellos que están autorizados por parte del Municipio de </w:t>
      </w:r>
      <w:r w:rsidR="00B06498">
        <w:rPr>
          <w:rFonts w:eastAsia="Calibri" w:cs="Tahoma"/>
          <w:bCs/>
          <w:color w:val="auto"/>
          <w:lang w:val="es-ES_tradnl"/>
        </w:rPr>
        <w:t>Nopaltepec</w:t>
      </w:r>
      <w:r w:rsidRPr="00C02A36">
        <w:rPr>
          <w:rFonts w:eastAsia="Calibri" w:cs="Tahoma"/>
          <w:bCs/>
          <w:color w:val="auto"/>
        </w:rPr>
        <w:t xml:space="preserve"> para realizar actividades económicas, mismas que se encuentran reguladas, por lo que, con ello se garantizaría que la sociedad tenga certeza de que </w:t>
      </w:r>
      <w:r w:rsidRPr="002958BA">
        <w:rPr>
          <w:rFonts w:eastAsia="Calibri" w:cs="Tahoma"/>
          <w:bCs/>
          <w:color w:val="auto"/>
        </w:rPr>
        <w:t>las autorizaciones colocadas en los establecimientos, fueron efectivamente emitidas por el sujeto obligado, y no funcionan fuera del marco de la normatividad aplicable.</w:t>
      </w:r>
    </w:p>
    <w:p w14:paraId="00302B0D" w14:textId="77777777" w:rsidR="00C02A36" w:rsidRPr="00C02A36" w:rsidRDefault="00C02A36" w:rsidP="00395324">
      <w:pPr>
        <w:spacing w:after="0" w:line="360" w:lineRule="auto"/>
        <w:ind w:right="-93"/>
        <w:rPr>
          <w:rFonts w:eastAsia="Calibri" w:cs="Tahoma"/>
          <w:bCs/>
          <w:color w:val="auto"/>
        </w:rPr>
      </w:pPr>
    </w:p>
    <w:p w14:paraId="52F0371C" w14:textId="77777777" w:rsidR="00C02A36" w:rsidRPr="00C02A36" w:rsidRDefault="00C02A36" w:rsidP="00395324">
      <w:pPr>
        <w:spacing w:after="0" w:line="360" w:lineRule="auto"/>
        <w:ind w:right="-93"/>
        <w:rPr>
          <w:rFonts w:eastAsia="Calibri" w:cs="Tahoma"/>
          <w:bCs/>
          <w:color w:val="auto"/>
        </w:rPr>
      </w:pPr>
      <w:r w:rsidRPr="00C02A36">
        <w:rPr>
          <w:rFonts w:eastAsia="Calibri" w:cs="Tahoma"/>
          <w:bCs/>
          <w:color w:val="auto"/>
        </w:rPr>
        <w:t>Es bajo ese contexto, que se considera que el derecho de acceso a la información debe prevalecer frente a la protección del nombre de los titules de licencias de funcionamiento, pues resulta de interés público, el que la sociedad pueda identificar a quiénes están autorizados para ejercer la actividad comercial; lo cual permite corroborar que la localizada en el establecimiento fue efectivamente emitida por el Sujeto Obligado.</w:t>
      </w:r>
    </w:p>
    <w:p w14:paraId="647F1F83" w14:textId="77777777" w:rsidR="00C02A36" w:rsidRPr="00C02A36" w:rsidRDefault="00C02A36" w:rsidP="00395324">
      <w:pPr>
        <w:spacing w:after="0" w:line="360" w:lineRule="auto"/>
        <w:ind w:right="-93"/>
        <w:rPr>
          <w:rFonts w:eastAsia="Calibri" w:cs="Tahoma"/>
          <w:bCs/>
          <w:color w:val="auto"/>
        </w:rPr>
      </w:pPr>
    </w:p>
    <w:p w14:paraId="7BE8D3DB" w14:textId="77777777" w:rsidR="00C02A36" w:rsidRPr="00C02A36" w:rsidRDefault="00C02A36" w:rsidP="00395324">
      <w:pPr>
        <w:spacing w:after="0" w:line="360" w:lineRule="auto"/>
        <w:ind w:right="-93"/>
        <w:rPr>
          <w:rFonts w:eastAsia="Calibri" w:cs="Tahoma"/>
          <w:bCs/>
          <w:color w:val="auto"/>
        </w:rPr>
      </w:pPr>
      <w:r w:rsidRPr="00C02A36">
        <w:rPr>
          <w:rFonts w:eastAsia="Calibri" w:cs="Tahoma"/>
          <w:bCs/>
          <w:color w:val="auto"/>
        </w:rPr>
        <w:t>Igualmente, permitiría el escrutinio de la actividad de la autoridad encargada de emitir dichas licencias, en tanto que la sociedad podría advertir si se autorizaron a quienes cumplen con los requisitos establecidos la normatividad aplicable e incluso si dicha licencia se encuentra vigente.</w:t>
      </w:r>
    </w:p>
    <w:p w14:paraId="2E146EA6" w14:textId="77777777" w:rsidR="00C02A36" w:rsidRPr="00C02A36" w:rsidRDefault="00C02A36" w:rsidP="00395324">
      <w:pPr>
        <w:spacing w:after="0" w:line="360" w:lineRule="auto"/>
        <w:ind w:right="-93"/>
        <w:rPr>
          <w:rFonts w:eastAsia="Calibri" w:cs="Tahoma"/>
          <w:b/>
          <w:color w:val="auto"/>
          <w:lang w:eastAsia="es-ES"/>
        </w:rPr>
      </w:pPr>
    </w:p>
    <w:p w14:paraId="60E593F8" w14:textId="77777777" w:rsidR="00C02A36" w:rsidRPr="00C02A36" w:rsidRDefault="00C02A36" w:rsidP="00395324">
      <w:pPr>
        <w:spacing w:after="0" w:line="360" w:lineRule="auto"/>
        <w:ind w:right="-93"/>
        <w:rPr>
          <w:rFonts w:eastAsia="Calibri" w:cs="Tahoma"/>
          <w:b/>
          <w:bCs/>
          <w:color w:val="auto"/>
        </w:rPr>
      </w:pPr>
      <w:r w:rsidRPr="00C02A36">
        <w:rPr>
          <w:rFonts w:eastAsia="Calibri" w:cs="Tahoma"/>
          <w:b/>
          <w:color w:val="auto"/>
          <w:lang w:eastAsia="es-ES"/>
        </w:rPr>
        <w:t>b) Necesidad.</w:t>
      </w:r>
      <w:r w:rsidRPr="00C02A36">
        <w:rPr>
          <w:rFonts w:eastAsia="Calibri" w:cs="Tahoma"/>
          <w:bCs/>
          <w:color w:val="auto"/>
        </w:rPr>
        <w:t xml:space="preserve"> El sacrifico de la protección del nombre de aquellas personas que se les otorgó una licencia de funcionamiento, como medio para lograr el fin constitucionalmente válido señalado previamente, se justifica en razón de que se satisface el interés mayor de los ciudadanos de conocer si los establecimientos comerciales cuentan con la autorización correspondiente. Además, corrobora si la localizada en el inmueble para llevar a cabo la actividad, fue emitida por el Sujeto Obligado, </w:t>
      </w:r>
      <w:r w:rsidRPr="00C02A36">
        <w:rPr>
          <w:rFonts w:eastAsia="Calibri" w:cs="Tahoma"/>
          <w:b/>
          <w:bCs/>
          <w:color w:val="auto"/>
        </w:rPr>
        <w:t>como regulador de las actividades económicas del Municipio, además de que permite identificar a las personas que acceden al servicio quién es el responsable del local.</w:t>
      </w:r>
    </w:p>
    <w:p w14:paraId="626A7DBD" w14:textId="77777777" w:rsidR="00C02A36" w:rsidRPr="00C02A36" w:rsidRDefault="00C02A36" w:rsidP="00395324">
      <w:pPr>
        <w:spacing w:after="0" w:line="360" w:lineRule="auto"/>
        <w:ind w:right="-93"/>
        <w:rPr>
          <w:rFonts w:eastAsia="Calibri" w:cs="Tahoma"/>
          <w:bCs/>
          <w:color w:val="auto"/>
        </w:rPr>
      </w:pPr>
    </w:p>
    <w:p w14:paraId="2A66A409" w14:textId="77777777" w:rsidR="00C02A36" w:rsidRPr="00C02A36" w:rsidRDefault="00C02A36" w:rsidP="00395324">
      <w:pPr>
        <w:spacing w:after="0" w:line="360" w:lineRule="auto"/>
        <w:ind w:right="-93"/>
        <w:rPr>
          <w:rFonts w:eastAsia="Calibri" w:cs="Tahoma"/>
          <w:bCs/>
          <w:color w:val="auto"/>
        </w:rPr>
      </w:pPr>
      <w:r w:rsidRPr="00C02A36">
        <w:rPr>
          <w:rFonts w:eastAsia="Calibri" w:cs="Tahoma"/>
          <w:bCs/>
          <w:color w:val="auto"/>
        </w:rPr>
        <w:t>Sobre el particular, el artículo 2° de la Ley de Transparencia y Acceso a la Información Pública del Estado de México y Municipios, dispone que entre los objetivos de la misma, se encuentran: i) transparentar la gestión pública mediante la difusión de la información generada por los Sujetos Obligados; ii) promover, fomentar y la cultura de la transparencia, el acceso a la información y a la rendición de cuentas y, iii) propiciar la participación ciudadana en la toma de las decisiones públicas, a fin de contribuir a la consolidación de la democracia.</w:t>
      </w:r>
    </w:p>
    <w:p w14:paraId="3EAFC815" w14:textId="77777777" w:rsidR="00C02A36" w:rsidRPr="00C02A36" w:rsidRDefault="00C02A36" w:rsidP="00395324">
      <w:pPr>
        <w:spacing w:after="0" w:line="360" w:lineRule="auto"/>
        <w:ind w:right="-93"/>
        <w:rPr>
          <w:rFonts w:eastAsia="Calibri" w:cs="Tahoma"/>
          <w:bCs/>
          <w:color w:val="auto"/>
        </w:rPr>
      </w:pPr>
    </w:p>
    <w:p w14:paraId="789BAD29" w14:textId="5A575956" w:rsidR="00C02A36" w:rsidRPr="00C02A36" w:rsidRDefault="00C02A36" w:rsidP="00395324">
      <w:pPr>
        <w:spacing w:after="0" w:line="360" w:lineRule="auto"/>
        <w:ind w:right="-93"/>
        <w:rPr>
          <w:rFonts w:eastAsia="Calibri" w:cs="Tahoma"/>
          <w:bCs/>
          <w:color w:val="auto"/>
        </w:rPr>
      </w:pPr>
      <w:r w:rsidRPr="00C02A36">
        <w:rPr>
          <w:rFonts w:eastAsia="Calibri" w:cs="Tahoma"/>
          <w:bCs/>
          <w:color w:val="auto"/>
        </w:rPr>
        <w:t xml:space="preserve">En el caso concreto, se considera que no existe un medio menos oneroso que el ejercicio del derecho de acceso a la información para lograr el fin constitucionalmente válido, que es transparentar y rendir cuentas a la sociedad sobre las personas a quiénes se les otorgaron licencias, por parte del Municipio de </w:t>
      </w:r>
      <w:r w:rsidR="00B06498">
        <w:rPr>
          <w:rFonts w:eastAsia="Calibri" w:cs="Tahoma"/>
          <w:bCs/>
          <w:color w:val="auto"/>
        </w:rPr>
        <w:t>Nopaltepec</w:t>
      </w:r>
      <w:r w:rsidRPr="00C02A36">
        <w:rPr>
          <w:rFonts w:eastAsia="Calibri" w:cs="Tahoma"/>
          <w:bCs/>
          <w:color w:val="auto"/>
        </w:rPr>
        <w:t>, a través de la Dirección de Desarrollo Económico, para que pudieran realizar actividades económicas, comerciales o industriales, pues sólo por esta vía se puede conocer la forma en la cual el ente recurrido ejerció sus facultades emanadas en los diversos ordenamientos jurídicos, lo cual permitiría comprobar que las licencias localizadas en los respectivos establecimientos cumplieron con los requisitos establecidos en los mismos.</w:t>
      </w:r>
    </w:p>
    <w:p w14:paraId="074EEE71" w14:textId="77777777" w:rsidR="00C02A36" w:rsidRPr="00C02A36" w:rsidRDefault="00C02A36" w:rsidP="00395324">
      <w:pPr>
        <w:spacing w:after="0" w:line="360" w:lineRule="auto"/>
        <w:ind w:right="-93"/>
        <w:rPr>
          <w:rFonts w:eastAsia="Calibri" w:cs="Tahoma"/>
          <w:bCs/>
          <w:color w:val="auto"/>
        </w:rPr>
      </w:pPr>
    </w:p>
    <w:p w14:paraId="7A1E11C8" w14:textId="77777777" w:rsidR="00C02A36" w:rsidRPr="00C02A36" w:rsidRDefault="00C02A36" w:rsidP="00395324">
      <w:pPr>
        <w:spacing w:after="0" w:line="360" w:lineRule="auto"/>
        <w:ind w:right="-93"/>
        <w:rPr>
          <w:rFonts w:eastAsia="Calibri" w:cs="Tahoma"/>
          <w:bCs/>
          <w:color w:val="auto"/>
        </w:rPr>
      </w:pPr>
      <w:r w:rsidRPr="00C02A36">
        <w:rPr>
          <w:rFonts w:eastAsia="Calibri" w:cs="Tahoma"/>
          <w:bCs/>
          <w:color w:val="auto"/>
        </w:rPr>
        <w:t>En otras palabras, se considera que sólo con la difusión del nombre del titular de las licencias de funcionamiento, se podrían aportar los elementos necesarios a la ciudadanía para conocer que cualquier establecimiento comercial cuenta con la autorización emitida por el Ayuntamiento.</w:t>
      </w:r>
    </w:p>
    <w:p w14:paraId="6E9D105A" w14:textId="77777777" w:rsidR="00C02A36" w:rsidRPr="00C02A36" w:rsidRDefault="00C02A36" w:rsidP="00395324">
      <w:pPr>
        <w:spacing w:after="0" w:line="360" w:lineRule="auto"/>
        <w:ind w:right="-93"/>
        <w:rPr>
          <w:rFonts w:eastAsia="Calibri" w:cs="Tahoma"/>
          <w:bCs/>
          <w:color w:val="auto"/>
        </w:rPr>
      </w:pPr>
    </w:p>
    <w:p w14:paraId="1A893FB6" w14:textId="77777777" w:rsidR="00C02A36" w:rsidRPr="00C02A36" w:rsidRDefault="00C02A36" w:rsidP="00395324">
      <w:pPr>
        <w:spacing w:after="0" w:line="360" w:lineRule="auto"/>
        <w:ind w:right="-93"/>
        <w:rPr>
          <w:rFonts w:eastAsia="Calibri" w:cs="Tahoma"/>
          <w:bCs/>
          <w:color w:val="auto"/>
        </w:rPr>
      </w:pPr>
      <w:r w:rsidRPr="00C02A36">
        <w:rPr>
          <w:rFonts w:eastAsia="Calibri" w:cs="Tahoma"/>
          <w:bCs/>
          <w:color w:val="auto"/>
        </w:rPr>
        <w:t>Es decir, si se negara el derecho de acceso a la información al nombre localizado en dicho documento, se impediría que los ciudadanos pudieran corroborar que las autorizaciones, que por Ley deben de estar visibles en los establecimientos, efectivamente fueron emitidas por el Sujeto Obligado, pues al proteger dicho dato no se tendría certeza de que el titular corresponda con el emitido por el Municipio en comento, además de que impediría conocer o identificar a la persona responsable del mismo, para atender asuntos relacionados con este, pues debe tener presente que la licencia de funcionamiento se entrega para brindar servicios a terceros, de ahí que se advierta un tema de interés público y que resulte imperativo la difusión de la información, advirtiéndose una desventaja de menor proporción en cuanto a la afectación de la protección de los datos personales.</w:t>
      </w:r>
    </w:p>
    <w:p w14:paraId="1E5DFC11" w14:textId="77777777" w:rsidR="00C02A36" w:rsidRPr="00C02A36" w:rsidRDefault="00C02A36" w:rsidP="00395324">
      <w:pPr>
        <w:spacing w:after="0" w:line="360" w:lineRule="auto"/>
        <w:ind w:right="-93"/>
        <w:rPr>
          <w:rFonts w:eastAsia="Calibri" w:cs="Tahoma"/>
          <w:bCs/>
          <w:color w:val="auto"/>
        </w:rPr>
      </w:pPr>
    </w:p>
    <w:p w14:paraId="169BCE94" w14:textId="77777777" w:rsidR="00C02A36" w:rsidRPr="00C02A36" w:rsidRDefault="00C02A36" w:rsidP="00395324">
      <w:pPr>
        <w:spacing w:after="0" w:line="360" w:lineRule="auto"/>
        <w:ind w:right="-93"/>
        <w:rPr>
          <w:rFonts w:eastAsia="Calibri" w:cs="Tahoma"/>
          <w:bCs/>
          <w:color w:val="auto"/>
        </w:rPr>
      </w:pPr>
      <w:r w:rsidRPr="00C02A36">
        <w:rPr>
          <w:rFonts w:eastAsia="Times New Roman" w:cs="Tahoma"/>
          <w:b/>
          <w:color w:val="auto"/>
          <w:lang w:eastAsia="es-ES"/>
        </w:rPr>
        <w:t>c) Proporcionalidad en sentido estricto</w:t>
      </w:r>
      <w:r w:rsidRPr="00C02A36">
        <w:rPr>
          <w:rFonts w:eastAsia="Times New Roman" w:cs="Tahoma"/>
          <w:color w:val="auto"/>
          <w:lang w:eastAsia="es-ES"/>
        </w:rPr>
        <w:t xml:space="preserve">. </w:t>
      </w:r>
      <w:r w:rsidRPr="00C02A36">
        <w:rPr>
          <w:rFonts w:eastAsia="Calibri" w:cs="Tahoma"/>
          <w:bCs/>
          <w:color w:val="auto"/>
        </w:rPr>
        <w:t>El sacrificio de la protección al nombre de aquellas personas que se les otorgó una licencia para realizar actividades económicas, como medio para lograr el fin constitucionalmente válido señalado previamente, se justifica en razón de que se satisface el interés mayor de los ciudadanos de conocer si los comerciantes cuentan con la autorización correspondiente para llevar a cabo dichas actividades, las cuales son reguladas, específicamente por los Municipios del Estado de México.</w:t>
      </w:r>
    </w:p>
    <w:p w14:paraId="7250B24B" w14:textId="77777777" w:rsidR="00C02A36" w:rsidRPr="00C02A36" w:rsidRDefault="00C02A36" w:rsidP="00395324">
      <w:pPr>
        <w:spacing w:after="0" w:line="360" w:lineRule="auto"/>
        <w:ind w:right="-93"/>
        <w:rPr>
          <w:rFonts w:eastAsia="Calibri" w:cs="Tahoma"/>
          <w:bCs/>
          <w:color w:val="auto"/>
        </w:rPr>
      </w:pPr>
    </w:p>
    <w:p w14:paraId="1CD4DFBC" w14:textId="77777777" w:rsidR="00C02A36" w:rsidRPr="00C02A36" w:rsidRDefault="00C02A36" w:rsidP="00395324">
      <w:pPr>
        <w:spacing w:after="0" w:line="360" w:lineRule="auto"/>
        <w:ind w:right="-93"/>
        <w:rPr>
          <w:rFonts w:eastAsia="Calibri" w:cs="Tahoma"/>
          <w:bCs/>
          <w:color w:val="auto"/>
        </w:rPr>
      </w:pPr>
      <w:r w:rsidRPr="00C02A36">
        <w:rPr>
          <w:rFonts w:eastAsia="Calibri" w:cs="Tahoma"/>
          <w:bCs/>
          <w:color w:val="auto"/>
        </w:rPr>
        <w:t xml:space="preserve">Aunado a ello, se aportarían elementos para determinar si esas autorizaciones se emitieron conforme a derecho y que las que se encuentran visibles en los establecimientos fueron </w:t>
      </w:r>
      <w:r w:rsidRPr="00C02A36">
        <w:rPr>
          <w:rFonts w:eastAsia="Calibri" w:cs="Tahoma"/>
          <w:bCs/>
          <w:color w:val="auto"/>
        </w:rPr>
        <w:lastRenderedPageBreak/>
        <w:t>efectivamente emitidas por el Ayuntamiento, esto es, que se cumplen con los requisitos legales que marcan las disposiciones antes estudiadas.</w:t>
      </w:r>
    </w:p>
    <w:p w14:paraId="2D97E5C5" w14:textId="77777777" w:rsidR="00C02A36" w:rsidRPr="00C02A36" w:rsidRDefault="00C02A36" w:rsidP="00395324">
      <w:pPr>
        <w:spacing w:after="0" w:line="360" w:lineRule="auto"/>
        <w:ind w:right="-93"/>
        <w:rPr>
          <w:rFonts w:eastAsia="Calibri" w:cs="Tahoma"/>
          <w:bCs/>
          <w:color w:val="auto"/>
        </w:rPr>
      </w:pPr>
    </w:p>
    <w:p w14:paraId="3756926E" w14:textId="1A8A613B" w:rsidR="00C02A36" w:rsidRPr="00C02A36" w:rsidRDefault="00C02A36" w:rsidP="00395324">
      <w:pPr>
        <w:widowControl w:val="0"/>
        <w:spacing w:after="0" w:line="360" w:lineRule="auto"/>
        <w:ind w:right="-91"/>
        <w:rPr>
          <w:rFonts w:eastAsia="Calibri" w:cs="Tahoma"/>
          <w:bCs/>
          <w:color w:val="auto"/>
        </w:rPr>
      </w:pPr>
      <w:r w:rsidRPr="00C02A36">
        <w:rPr>
          <w:rFonts w:eastAsia="Calibri" w:cs="Tahoma"/>
          <w:bCs/>
          <w:color w:val="auto"/>
        </w:rPr>
        <w:t xml:space="preserve">Conforme a lo anterior, el </w:t>
      </w:r>
      <w:r w:rsidRPr="00C02A36">
        <w:rPr>
          <w:rFonts w:eastAsia="Times New Roman" w:cs="Tahoma"/>
          <w:color w:val="auto"/>
          <w:lang w:val="es-ES_tradnl" w:eastAsia="es-ES"/>
        </w:rPr>
        <w:t xml:space="preserve">bien jurídico tutelado por el supuesto de confidencialidad previsto en el artículo 143, fracción I de la Ley de la materia, debe ceder frente al derecho de la sociedad de obtener información, en tanto que es mayor el beneficio que representa su publicidad, pues la misma da cuenta del correcto actuar del Sujeto Obligado como regulador de las actividades comerciales en la extensión territorial del </w:t>
      </w:r>
      <w:r w:rsidRPr="002958BA">
        <w:rPr>
          <w:rFonts w:eastAsia="Times New Roman" w:cs="Tahoma"/>
          <w:color w:val="auto"/>
          <w:lang w:val="es-ES_tradnl" w:eastAsia="es-ES"/>
        </w:rPr>
        <w:t xml:space="preserve">Municipio de </w:t>
      </w:r>
      <w:r w:rsidR="00B06498" w:rsidRPr="002958BA">
        <w:rPr>
          <w:rFonts w:eastAsia="Times New Roman" w:cs="Tahoma"/>
          <w:color w:val="auto"/>
          <w:lang w:val="es-ES_tradnl" w:eastAsia="es-ES"/>
        </w:rPr>
        <w:t>Nopaltepec</w:t>
      </w:r>
      <w:r w:rsidRPr="002958BA">
        <w:rPr>
          <w:rFonts w:eastAsia="Times New Roman" w:cs="Tahoma"/>
          <w:color w:val="auto"/>
          <w:lang w:val="es-ES_tradnl" w:eastAsia="es-ES"/>
        </w:rPr>
        <w:t xml:space="preserve"> y permite</w:t>
      </w:r>
      <w:r w:rsidRPr="00C02A36">
        <w:rPr>
          <w:rFonts w:eastAsia="Times New Roman" w:cs="Tahoma"/>
          <w:color w:val="auto"/>
          <w:lang w:val="es-ES_tradnl" w:eastAsia="es-ES"/>
        </w:rPr>
        <w:t xml:space="preserve"> a los usuarios del local comercial identificar al responsable del mismo.</w:t>
      </w:r>
    </w:p>
    <w:p w14:paraId="0F3C53F7" w14:textId="77777777" w:rsidR="00C02A36" w:rsidRPr="00C02A36" w:rsidRDefault="00C02A36" w:rsidP="00395324">
      <w:pPr>
        <w:spacing w:after="0" w:line="360" w:lineRule="auto"/>
        <w:ind w:right="-93"/>
        <w:rPr>
          <w:rFonts w:eastAsia="Calibri" w:cs="Tahoma"/>
          <w:bCs/>
          <w:color w:val="auto"/>
        </w:rPr>
      </w:pPr>
    </w:p>
    <w:p w14:paraId="186DE195" w14:textId="05C1B04D" w:rsidR="00C02A36" w:rsidRDefault="00C02A36" w:rsidP="00395324">
      <w:pPr>
        <w:spacing w:after="0" w:line="360" w:lineRule="auto"/>
        <w:ind w:right="-93"/>
        <w:rPr>
          <w:rFonts w:eastAsia="Calibri" w:cs="Tahoma"/>
          <w:bCs/>
          <w:color w:val="auto"/>
        </w:rPr>
      </w:pPr>
      <w:r w:rsidRPr="00C02A36">
        <w:rPr>
          <w:rFonts w:eastAsia="Calibri" w:cs="Tahoma"/>
          <w:bCs/>
          <w:color w:val="auto"/>
        </w:rPr>
        <w:t xml:space="preserve">En ese sentido, la difusión del nombre de los titulares de las licencias de funcionamiento revisten un claro interés público, puesto que existe una necesidad colectiva de conocer y evaluar la emisión de dichas autorizaciones; en razón de que se trata de información generada con motivo del ejercicio de las funciones del Ente Recurrido, a través de la Dirección de Desarrollo Económico, como regulador de cualquier actividad económica, comercial o industrial dentro de su territorio; lo anterior, conforme a la Ley Orgánica Municipal el Estado de México, la Ley de Competitividad y Ordenamiento Comercial del Estado de México y su Reglamento y el Bando Municipal de </w:t>
      </w:r>
      <w:r w:rsidR="00B06498">
        <w:rPr>
          <w:rFonts w:eastAsia="Calibri" w:cs="Tahoma"/>
          <w:bCs/>
          <w:color w:val="auto"/>
        </w:rPr>
        <w:t>Nopaltepec</w:t>
      </w:r>
      <w:r w:rsidRPr="00C02A36">
        <w:rPr>
          <w:rFonts w:eastAsia="Calibri" w:cs="Tahoma"/>
          <w:bCs/>
          <w:color w:val="auto"/>
        </w:rPr>
        <w:t>.</w:t>
      </w:r>
    </w:p>
    <w:p w14:paraId="3FD927DA" w14:textId="77777777" w:rsidR="00E62296" w:rsidRPr="00C02A36" w:rsidRDefault="00E62296" w:rsidP="00395324">
      <w:pPr>
        <w:spacing w:after="0" w:line="360" w:lineRule="auto"/>
        <w:ind w:right="-93"/>
        <w:rPr>
          <w:rFonts w:eastAsia="Calibri" w:cs="Tahoma"/>
          <w:bCs/>
          <w:color w:val="auto"/>
        </w:rPr>
      </w:pPr>
    </w:p>
    <w:p w14:paraId="4A73C31B" w14:textId="77777777" w:rsidR="00C02A36" w:rsidRPr="00C02A36" w:rsidRDefault="00C02A36" w:rsidP="00395324">
      <w:pPr>
        <w:spacing w:after="0" w:line="360" w:lineRule="auto"/>
        <w:ind w:right="-93"/>
        <w:rPr>
          <w:rFonts w:eastAsia="Calibri" w:cs="Tahoma"/>
          <w:bCs/>
          <w:color w:val="auto"/>
        </w:rPr>
      </w:pPr>
      <w:r w:rsidRPr="00C02A36">
        <w:rPr>
          <w:rFonts w:eastAsia="Calibri" w:cs="Tahoma"/>
          <w:bCs/>
          <w:color w:val="auto"/>
        </w:rPr>
        <w:t xml:space="preserve">Por todo lo expuesto, </w:t>
      </w:r>
      <w:r w:rsidRPr="00C02A36">
        <w:rPr>
          <w:rFonts w:eastAsia="Calibri" w:cs="Tahoma"/>
          <w:b/>
          <w:bCs/>
          <w:color w:val="auto"/>
        </w:rPr>
        <w:t>dar a conocer el nombre de los titulares de licencias, prevalece sobre la protección de los datos personales confidenciales de dichas personas, en razón del interés público que reviste;</w:t>
      </w:r>
      <w:r w:rsidRPr="00C02A36">
        <w:rPr>
          <w:rFonts w:eastAsia="Calibri" w:cs="Tahoma"/>
          <w:bCs/>
          <w:color w:val="auto"/>
        </w:rPr>
        <w:t xml:space="preserve"> por lo que, no resulta aplicable, en el presente caso, el artículo 143, fracción I, de la Ley de Transparencia y Acceso a la Información Pública del Estado de México y Municipios.</w:t>
      </w:r>
    </w:p>
    <w:p w14:paraId="5610C291" w14:textId="77777777" w:rsidR="00C02A36" w:rsidRPr="00C02A36" w:rsidRDefault="00C02A36" w:rsidP="00395324">
      <w:pPr>
        <w:spacing w:after="0" w:line="360" w:lineRule="auto"/>
        <w:rPr>
          <w:rFonts w:eastAsia="Times New Roman" w:cs="Tahoma"/>
          <w:color w:val="auto"/>
          <w:lang w:val="es-ES" w:eastAsia="es-ES"/>
        </w:rPr>
      </w:pPr>
    </w:p>
    <w:p w14:paraId="5C0513C2" w14:textId="77777777" w:rsidR="00C02A36" w:rsidRPr="00C02A36" w:rsidRDefault="00C02A36" w:rsidP="00395324">
      <w:pPr>
        <w:spacing w:after="0" w:line="360" w:lineRule="auto"/>
        <w:ind w:right="-93"/>
        <w:rPr>
          <w:rFonts w:eastAsia="Calibri" w:cs="Tahoma"/>
          <w:b/>
          <w:bCs/>
          <w:color w:val="auto"/>
        </w:rPr>
      </w:pPr>
      <w:r w:rsidRPr="00C02A36">
        <w:rPr>
          <w:rFonts w:eastAsia="Calibri" w:cs="Tahoma"/>
          <w:b/>
          <w:bCs/>
          <w:color w:val="auto"/>
        </w:rPr>
        <w:t>Persona Jurídico-Colectiva.</w:t>
      </w:r>
    </w:p>
    <w:p w14:paraId="49D3E692" w14:textId="77777777" w:rsidR="00C02A36" w:rsidRPr="00C02A36" w:rsidRDefault="00C02A36" w:rsidP="00395324">
      <w:pPr>
        <w:spacing w:after="0" w:line="360" w:lineRule="auto"/>
        <w:ind w:right="-93"/>
        <w:rPr>
          <w:rFonts w:eastAsia="Calibri" w:cs="Tahoma"/>
          <w:b/>
          <w:bCs/>
          <w:color w:val="auto"/>
        </w:rPr>
      </w:pPr>
    </w:p>
    <w:p w14:paraId="61415ADC" w14:textId="77777777" w:rsidR="00C02A36" w:rsidRPr="00C02A36" w:rsidRDefault="00C02A36" w:rsidP="00395324">
      <w:pPr>
        <w:spacing w:after="0" w:line="360" w:lineRule="auto"/>
        <w:rPr>
          <w:rFonts w:eastAsia="Calibri" w:cs="Tahoma"/>
          <w:bCs/>
          <w:color w:val="auto"/>
        </w:rPr>
      </w:pPr>
      <w:r w:rsidRPr="00C02A36">
        <w:rPr>
          <w:rFonts w:eastAsia="Calibri" w:cs="Tahoma"/>
          <w:bCs/>
          <w:color w:val="auto"/>
        </w:rPr>
        <w:lastRenderedPageBreak/>
        <w:t>Al respecto, se considera que la denominación o razón social de una persona moral, es pública, pues dichos datos se encuentran inscritos en el Registro Público del Comercio; lo anterior, toma sustento en el Criterio de interpretación, con clave de control SO/008/2019, de la Segunda Época, emitido por el Pleno del Instituto Nacional de Transparencia, Acceso a la Información y Protección de Datos Personales, el cual establece lo siguiente:</w:t>
      </w:r>
    </w:p>
    <w:p w14:paraId="23479260" w14:textId="77777777" w:rsidR="00C02A36" w:rsidRPr="00C02A36" w:rsidRDefault="00C02A36" w:rsidP="00395324">
      <w:pPr>
        <w:spacing w:after="0" w:line="360" w:lineRule="auto"/>
        <w:rPr>
          <w:rFonts w:eastAsia="Calibri" w:cs="Tahoma"/>
          <w:bCs/>
          <w:color w:val="auto"/>
        </w:rPr>
      </w:pPr>
    </w:p>
    <w:p w14:paraId="0BC7284C" w14:textId="77777777" w:rsidR="00C02A36" w:rsidRPr="00C02A36" w:rsidRDefault="00C02A36" w:rsidP="00395324">
      <w:pPr>
        <w:spacing w:after="0" w:line="360" w:lineRule="auto"/>
        <w:ind w:left="567" w:right="567"/>
        <w:rPr>
          <w:rFonts w:eastAsia="Calibri" w:cs="Tahoma"/>
          <w:bCs/>
          <w:i/>
          <w:color w:val="auto"/>
          <w:sz w:val="20"/>
          <w:szCs w:val="20"/>
        </w:rPr>
      </w:pPr>
      <w:r w:rsidRPr="00C02A36">
        <w:rPr>
          <w:rFonts w:eastAsia="Calibri" w:cs="Tahoma"/>
          <w:b/>
          <w:bCs/>
          <w:i/>
          <w:color w:val="auto"/>
          <w:sz w:val="20"/>
          <w:szCs w:val="20"/>
        </w:rPr>
        <w:t xml:space="preserve">“Razón social y RFC de personas morales. </w:t>
      </w:r>
      <w:r w:rsidRPr="00C02A36">
        <w:rPr>
          <w:rFonts w:eastAsia="Calibri" w:cs="Tahoma"/>
          <w:bCs/>
          <w:i/>
          <w:color w:val="auto"/>
          <w:sz w:val="20"/>
          <w:szCs w:val="20"/>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7261A0A8" w14:textId="77777777" w:rsidR="00C02A36" w:rsidRPr="00C02A36" w:rsidRDefault="00C02A36" w:rsidP="00395324">
      <w:pPr>
        <w:spacing w:after="0" w:line="360" w:lineRule="auto"/>
        <w:rPr>
          <w:rFonts w:eastAsia="Calibri" w:cs="Tahoma"/>
          <w:b/>
          <w:bCs/>
          <w:color w:val="auto"/>
        </w:rPr>
      </w:pPr>
    </w:p>
    <w:p w14:paraId="265D3DF3" w14:textId="77777777" w:rsidR="00C02A36" w:rsidRPr="00C02A36" w:rsidRDefault="00C02A36" w:rsidP="00395324">
      <w:pPr>
        <w:spacing w:after="0" w:line="360" w:lineRule="auto"/>
        <w:rPr>
          <w:rFonts w:eastAsia="Calibri" w:cs="Tahoma"/>
          <w:bCs/>
          <w:color w:val="auto"/>
          <w:lang w:val="es-ES_tradnl"/>
        </w:rPr>
      </w:pPr>
      <w:r w:rsidRPr="00C02A36">
        <w:rPr>
          <w:rFonts w:eastAsia="Calibri" w:cs="Tahoma"/>
          <w:bCs/>
          <w:color w:val="auto"/>
        </w:rPr>
        <w:t xml:space="preserve">Lo anterior, se robustece con el hecho de que el Ente Recurrido tiene como obligación común de transparencia, poner a disposición del público las concesiones, contratos, convenios, permisos, licencias o autorizaciones, el cual debe incluir la razón social del titular, de conformidad con los </w:t>
      </w:r>
      <w:r w:rsidRPr="00C02A36">
        <w:rPr>
          <w:rFonts w:eastAsia="Calibri" w:cs="Tahoma"/>
          <w:bCs/>
          <w:color w:val="auto"/>
          <w:lang w:val="es-ES_tradnl"/>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den de difundir los sujetos obligados en los portales de Internet y en la Plataforma Nacional de Transparencia –Lineamientos técnicos generales-, tal como se observa a continuación:</w:t>
      </w:r>
    </w:p>
    <w:p w14:paraId="621E62ED" w14:textId="77777777" w:rsidR="00C02A36" w:rsidRPr="00C02A36" w:rsidRDefault="00C02A36" w:rsidP="00395324">
      <w:pPr>
        <w:spacing w:after="0" w:line="360" w:lineRule="auto"/>
        <w:rPr>
          <w:rFonts w:eastAsia="Calibri" w:cs="Tahoma"/>
          <w:bCs/>
          <w:color w:val="auto"/>
          <w:lang w:val="es-ES_tradnl"/>
        </w:rPr>
      </w:pPr>
    </w:p>
    <w:p w14:paraId="42C5FB29" w14:textId="77777777" w:rsidR="00C02A36" w:rsidRPr="00C02A36" w:rsidRDefault="00C02A36" w:rsidP="00395324">
      <w:pPr>
        <w:spacing w:after="0" w:line="360" w:lineRule="auto"/>
        <w:rPr>
          <w:rFonts w:eastAsia="Calibri" w:cs="Tahoma"/>
          <w:bCs/>
          <w:color w:val="auto"/>
          <w:lang w:val="es-ES_tradnl"/>
        </w:rPr>
      </w:pPr>
      <w:r w:rsidRPr="00C02A36">
        <w:rPr>
          <w:rFonts w:ascii="Times New Roman" w:eastAsia="Times New Roman" w:hAnsi="Times New Roman" w:cs="Times New Roman"/>
          <w:noProof/>
          <w:color w:val="auto"/>
          <w:sz w:val="20"/>
          <w:szCs w:val="20"/>
          <w:lang w:eastAsia="es-MX"/>
        </w:rPr>
        <w:lastRenderedPageBreak/>
        <mc:AlternateContent>
          <mc:Choice Requires="wps">
            <w:drawing>
              <wp:anchor distT="0" distB="0" distL="114300" distR="114300" simplePos="0" relativeHeight="251659264" behindDoc="0" locked="0" layoutInCell="1" allowOverlap="1" wp14:anchorId="544A3769" wp14:editId="241635D4">
                <wp:simplePos x="0" y="0"/>
                <wp:positionH relativeFrom="column">
                  <wp:posOffset>3849370</wp:posOffset>
                </wp:positionH>
                <wp:positionV relativeFrom="paragraph">
                  <wp:posOffset>1284782</wp:posOffset>
                </wp:positionV>
                <wp:extent cx="933450" cy="457200"/>
                <wp:effectExtent l="19050" t="19050" r="38100" b="38100"/>
                <wp:wrapNone/>
                <wp:docPr id="10" name="Rectángulo 10"/>
                <wp:cNvGraphicFramePr/>
                <a:graphic xmlns:a="http://schemas.openxmlformats.org/drawingml/2006/main">
                  <a:graphicData uri="http://schemas.microsoft.com/office/word/2010/wordprocessingShape">
                    <wps:wsp>
                      <wps:cNvSpPr/>
                      <wps:spPr>
                        <a:xfrm>
                          <a:off x="0" y="0"/>
                          <a:ext cx="933450" cy="457200"/>
                        </a:xfrm>
                        <a:prstGeom prst="rect">
                          <a:avLst/>
                        </a:prstGeom>
                        <a:noFill/>
                        <a:ln w="571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8EE81A2" id="Rectángulo 10" o:spid="_x0000_s1026" style="position:absolute;margin-left:303.1pt;margin-top:101.15pt;width:73.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" filled="f" strokecolor="windowText" strokeweight="4.5pt"/>
            </w:pict>
          </mc:Fallback>
        </mc:AlternateContent>
      </w:r>
      <w:r w:rsidRPr="00C02A36">
        <w:rPr>
          <w:rFonts w:ascii="Times New Roman" w:eastAsia="Times New Roman" w:hAnsi="Times New Roman" w:cs="Times New Roman"/>
          <w:noProof/>
          <w:color w:val="auto"/>
          <w:sz w:val="20"/>
          <w:szCs w:val="20"/>
          <w:lang w:eastAsia="es-MX"/>
        </w:rPr>
        <w:drawing>
          <wp:inline distT="0" distB="0" distL="0" distR="0" wp14:anchorId="33486B18" wp14:editId="4F7120BE">
            <wp:extent cx="5742616" cy="2062716"/>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14624" cy="2088581"/>
                    </a:xfrm>
                    <a:prstGeom prst="rect">
                      <a:avLst/>
                    </a:prstGeom>
                  </pic:spPr>
                </pic:pic>
              </a:graphicData>
            </a:graphic>
          </wp:inline>
        </w:drawing>
      </w:r>
    </w:p>
    <w:p w14:paraId="40411E4C" w14:textId="77777777" w:rsidR="00C02A36" w:rsidRPr="00C02A36" w:rsidRDefault="00C02A36" w:rsidP="00395324">
      <w:pPr>
        <w:spacing w:after="0" w:line="360" w:lineRule="auto"/>
        <w:rPr>
          <w:rFonts w:eastAsia="Calibri" w:cs="Tahoma"/>
          <w:bCs/>
          <w:color w:val="auto"/>
          <w:lang w:val="es-ES_tradnl"/>
        </w:rPr>
      </w:pPr>
    </w:p>
    <w:p w14:paraId="1D34319D" w14:textId="77777777" w:rsidR="00C02A36" w:rsidRPr="00C02A36" w:rsidRDefault="00C02A36" w:rsidP="00395324">
      <w:pPr>
        <w:spacing w:after="0" w:line="360" w:lineRule="auto"/>
        <w:rPr>
          <w:rFonts w:eastAsia="Calibri" w:cs="Tahoma"/>
          <w:bCs/>
          <w:color w:val="auto"/>
          <w:lang w:val="es-ES_tradnl"/>
        </w:rPr>
      </w:pPr>
      <w:r w:rsidRPr="00C02A36">
        <w:rPr>
          <w:rFonts w:eastAsia="Calibri" w:cs="Tahoma"/>
          <w:bCs/>
          <w:color w:val="auto"/>
          <w:lang w:val="es-ES_tradnl"/>
        </w:rPr>
        <w:t xml:space="preserve">Por lo tanto, </w:t>
      </w:r>
      <w:r w:rsidRPr="00C02A36">
        <w:rPr>
          <w:rFonts w:eastAsia="Calibri" w:cs="Tahoma"/>
          <w:b/>
          <w:bCs/>
          <w:color w:val="auto"/>
          <w:lang w:val="es-ES_tradnl"/>
        </w:rPr>
        <w:t>no procede la clasificación del nombre de las personas morales localizadas en las licencias de funcionamiento</w:t>
      </w:r>
      <w:r w:rsidRPr="00C02A36">
        <w:rPr>
          <w:rFonts w:eastAsia="Calibri" w:cs="Tahoma"/>
          <w:bCs/>
          <w:color w:val="auto"/>
          <w:lang w:val="es-ES_tradnl"/>
        </w:rPr>
        <w:t>, en términos del artículo 143, fracción I de la Ley de Transparencia y Acceso a la Información Pública del Estado de México y Municipios; situación que se robustece, con el hecho de que permite corroborar que la exhibida en el establecimiento comercial, fue emitida efectivamente por la autoridad competente y que su titular corresponde al establecimiento en cuestión.</w:t>
      </w:r>
    </w:p>
    <w:p w14:paraId="76600C01" w14:textId="77777777" w:rsidR="00C02A36" w:rsidRPr="00C02A36" w:rsidRDefault="00C02A36" w:rsidP="00395324">
      <w:pPr>
        <w:spacing w:after="0" w:line="360" w:lineRule="auto"/>
        <w:rPr>
          <w:rFonts w:eastAsia="Calibri" w:cs="Tahoma"/>
          <w:bCs/>
          <w:color w:val="auto"/>
          <w:lang w:val="es-ES_tradnl"/>
        </w:rPr>
      </w:pPr>
    </w:p>
    <w:p w14:paraId="5DB97680" w14:textId="77777777" w:rsidR="00C02A36" w:rsidRPr="00C02A36" w:rsidRDefault="00C02A36" w:rsidP="00395324">
      <w:pPr>
        <w:numPr>
          <w:ilvl w:val="0"/>
          <w:numId w:val="36"/>
        </w:numPr>
        <w:spacing w:after="0" w:line="360" w:lineRule="auto"/>
        <w:jc w:val="left"/>
        <w:rPr>
          <w:rFonts w:eastAsia="Times New Roman" w:cs="Tahoma"/>
          <w:bCs/>
          <w:color w:val="auto"/>
          <w:lang w:eastAsia="es-ES"/>
        </w:rPr>
      </w:pPr>
      <w:r w:rsidRPr="00C02A36">
        <w:rPr>
          <w:rFonts w:eastAsia="Times New Roman" w:cs="Tahoma"/>
          <w:b/>
          <w:bCs/>
          <w:color w:val="auto"/>
          <w:lang w:eastAsia="es-ES"/>
        </w:rPr>
        <w:t>Ubicación de la unidad económica.</w:t>
      </w:r>
    </w:p>
    <w:p w14:paraId="2F03FB2C" w14:textId="77777777" w:rsidR="00C02A36" w:rsidRPr="00C02A36" w:rsidRDefault="00C02A36" w:rsidP="00395324">
      <w:pPr>
        <w:spacing w:after="0" w:line="360" w:lineRule="auto"/>
        <w:rPr>
          <w:rFonts w:eastAsia="Times New Roman" w:cs="Tahoma"/>
          <w:b/>
          <w:bCs/>
          <w:color w:val="auto"/>
          <w:lang w:eastAsia="es-ES"/>
        </w:rPr>
      </w:pPr>
    </w:p>
    <w:p w14:paraId="46C78553" w14:textId="77777777" w:rsidR="00C02A36" w:rsidRPr="00C02A36" w:rsidRDefault="00C02A36" w:rsidP="00395324">
      <w:pPr>
        <w:spacing w:after="0" w:line="360" w:lineRule="auto"/>
        <w:rPr>
          <w:rFonts w:eastAsia="Times New Roman" w:cs="Tahoma"/>
          <w:bCs/>
          <w:color w:val="auto"/>
          <w:lang w:eastAsia="es-ES"/>
        </w:rPr>
      </w:pPr>
      <w:r w:rsidRPr="00C02A36">
        <w:rPr>
          <w:rFonts w:eastAsia="Times New Roman" w:cs="Tahoma"/>
          <w:bCs/>
          <w:color w:val="auto"/>
          <w:lang w:eastAsia="es-ES"/>
        </w:rPr>
        <w:t>Sobre dicho dato, resulta necesario precisar que este no corresponde al domicilio particular del titular de dichas autorizaciones, sino que corresponde a aquel donde se localiza la unidad económica, es decir, en el lugar en donde se realizará la actividad comercial, industrial o de servicios.</w:t>
      </w:r>
    </w:p>
    <w:p w14:paraId="6F529FC9" w14:textId="77777777" w:rsidR="00C02A36" w:rsidRDefault="00C02A36" w:rsidP="00395324">
      <w:pPr>
        <w:spacing w:after="0" w:line="360" w:lineRule="auto"/>
        <w:rPr>
          <w:rFonts w:eastAsia="Times New Roman" w:cs="Tahoma"/>
          <w:bCs/>
          <w:color w:val="auto"/>
          <w:lang w:eastAsia="es-ES"/>
        </w:rPr>
      </w:pPr>
    </w:p>
    <w:p w14:paraId="4FC8CBAB" w14:textId="77777777" w:rsidR="00C02A36" w:rsidRPr="00C02A36" w:rsidRDefault="00C02A36" w:rsidP="00395324">
      <w:pPr>
        <w:widowControl w:val="0"/>
        <w:spacing w:after="0" w:line="360" w:lineRule="auto"/>
        <w:ind w:right="-91"/>
        <w:rPr>
          <w:rFonts w:eastAsia="Calibri" w:cs="Tahoma"/>
          <w:bCs/>
          <w:color w:val="auto"/>
        </w:rPr>
      </w:pPr>
      <w:r w:rsidRPr="00C02A36">
        <w:rPr>
          <w:rFonts w:eastAsia="Times New Roman" w:cs="Tahoma"/>
          <w:bCs/>
          <w:color w:val="auto"/>
          <w:lang w:eastAsia="es-ES"/>
        </w:rPr>
        <w:t xml:space="preserve">Por lo cual, el dato en comento </w:t>
      </w:r>
      <w:r w:rsidRPr="00C02A36">
        <w:rPr>
          <w:rFonts w:eastAsia="Calibri" w:cs="Tahoma"/>
          <w:bCs/>
          <w:color w:val="auto"/>
        </w:rPr>
        <w:t>únicamente identifica la ubicación donde se realiza una actividad económica regulada por el Municipio, respecto del cual se expidió una licencia o permiso.</w:t>
      </w:r>
    </w:p>
    <w:p w14:paraId="1616E1AF" w14:textId="77777777" w:rsidR="00C02A36" w:rsidRPr="00C02A36" w:rsidRDefault="00C02A36" w:rsidP="00395324">
      <w:pPr>
        <w:spacing w:after="0" w:line="360" w:lineRule="auto"/>
        <w:rPr>
          <w:rFonts w:eastAsia="Times New Roman" w:cs="Tahoma"/>
          <w:bCs/>
          <w:color w:val="auto"/>
          <w:lang w:eastAsia="es-ES"/>
        </w:rPr>
      </w:pPr>
    </w:p>
    <w:p w14:paraId="06DCB42B" w14:textId="77777777" w:rsidR="00C02A36" w:rsidRPr="00C02A36" w:rsidRDefault="00C02A36" w:rsidP="00395324">
      <w:pPr>
        <w:spacing w:after="0" w:line="360" w:lineRule="auto"/>
        <w:rPr>
          <w:rFonts w:eastAsia="Times New Roman" w:cs="Tahoma"/>
          <w:bCs/>
          <w:color w:val="auto"/>
          <w:lang w:eastAsia="es-ES"/>
        </w:rPr>
      </w:pPr>
      <w:r w:rsidRPr="00C02A36">
        <w:rPr>
          <w:rFonts w:eastAsia="Times New Roman" w:cs="Tahoma"/>
          <w:bCs/>
          <w:color w:val="auto"/>
          <w:lang w:eastAsia="es-ES"/>
        </w:rPr>
        <w:lastRenderedPageBreak/>
        <w:t>De tales circunstancias, dicho dato guarda la naturaleza de pública, pues permite identificar, que la ubicación de la unidad económica (puesto o establecimiento) corresponde con la licencia o permiso (esto es, que no se puso a la vista una licencia que no corresponda), y que está debidamente registrada ante la autoridad Municipal; por lo que se trata de un dato de acceso a público, pues como se precisó dichos documentos deben de estar a la vista del público en general. Así no resulta procedente, la clasificación, en términos del artículo 143, fracción I de la Ley de Transparencia y Acceso a la Información Pública del Estado de México y Municipios.</w:t>
      </w:r>
    </w:p>
    <w:p w14:paraId="5BF894EF" w14:textId="77777777" w:rsidR="00C02A36" w:rsidRDefault="00C02A36" w:rsidP="00395324">
      <w:pPr>
        <w:widowControl w:val="0"/>
        <w:spacing w:after="0" w:line="360" w:lineRule="auto"/>
        <w:rPr>
          <w:rFonts w:ascii="Arial" w:eastAsia="Palatino Linotype" w:hAnsi="Arial" w:cs="Arial"/>
          <w:color w:val="222222"/>
          <w:shd w:val="clear" w:color="auto" w:fill="FFFFFF"/>
          <w:lang w:eastAsia="es-MX"/>
        </w:rPr>
      </w:pPr>
    </w:p>
    <w:p w14:paraId="1E20EADF" w14:textId="3D11F377" w:rsidR="00395324" w:rsidRDefault="00395324" w:rsidP="00395324">
      <w:pPr>
        <w:numPr>
          <w:ilvl w:val="0"/>
          <w:numId w:val="40"/>
        </w:numPr>
        <w:spacing w:after="0" w:line="360" w:lineRule="auto"/>
        <w:ind w:right="-93"/>
        <w:contextualSpacing/>
        <w:rPr>
          <w:rFonts w:eastAsia="Calibri" w:cs="Tahoma"/>
          <w:b/>
          <w:bCs/>
        </w:rPr>
      </w:pPr>
      <w:r>
        <w:rPr>
          <w:rFonts w:eastAsia="Calibri" w:cs="Tahoma"/>
          <w:b/>
          <w:bCs/>
        </w:rPr>
        <w:t>Teléfono y correo electrónico de establecimiento</w:t>
      </w:r>
    </w:p>
    <w:p w14:paraId="6FDF4041" w14:textId="77777777" w:rsidR="00395324" w:rsidRDefault="00395324" w:rsidP="00395324">
      <w:pPr>
        <w:spacing w:line="360" w:lineRule="auto"/>
        <w:ind w:right="-93"/>
        <w:contextualSpacing/>
        <w:rPr>
          <w:rFonts w:eastAsia="Calibri" w:cs="Tahoma"/>
          <w:b/>
          <w:bCs/>
        </w:rPr>
      </w:pPr>
    </w:p>
    <w:p w14:paraId="62B0F63F" w14:textId="065617E7" w:rsidR="00395324" w:rsidRPr="00DE7454" w:rsidRDefault="00395324" w:rsidP="00395324">
      <w:pPr>
        <w:spacing w:line="360" w:lineRule="auto"/>
        <w:ind w:right="-93"/>
        <w:contextualSpacing/>
        <w:rPr>
          <w:rFonts w:eastAsia="Calibri" w:cs="Tahoma"/>
        </w:rPr>
      </w:pPr>
      <w:r>
        <w:rPr>
          <w:rFonts w:eastAsia="Calibri" w:cs="Tahoma"/>
        </w:rPr>
        <w:t xml:space="preserve">El dato en cuestión corresponde a datos de contacto que pueden utilizar los clientes o personas interesadas para comunicarse con un establecimiento económico, para realizar consultas, solicitar ventas o informes sobre las actividades que se realizan en el mismo; el cual no corresponde a un número particular, al contrario este es utilizado como medio de comunicación en el establecimiento de manera específica, por lo que, se considera que al no dar a conocer información de la vida privada o íntima de las personas titulares se trata de información que no actualiza la </w:t>
      </w:r>
      <w:r w:rsidRPr="005A4A25">
        <w:rPr>
          <w:rFonts w:cs="Tahoma"/>
        </w:rPr>
        <w:t>fracción I, del artículo 143 de la Ley de Transparencia y Acceso a la Información Pública del Estado de México y Municipios</w:t>
      </w:r>
      <w:r>
        <w:rPr>
          <w:rFonts w:cs="Tahoma"/>
        </w:rPr>
        <w:t>.</w:t>
      </w:r>
    </w:p>
    <w:p w14:paraId="710D1664" w14:textId="77777777" w:rsidR="00395324" w:rsidRDefault="00395324" w:rsidP="00395324">
      <w:pPr>
        <w:widowControl w:val="0"/>
        <w:spacing w:after="0" w:line="360" w:lineRule="auto"/>
        <w:rPr>
          <w:rFonts w:ascii="Arial" w:eastAsia="Palatino Linotype" w:hAnsi="Arial" w:cs="Arial"/>
          <w:color w:val="222222"/>
          <w:shd w:val="clear" w:color="auto" w:fill="FFFFFF"/>
          <w:lang w:eastAsia="es-MX"/>
        </w:rPr>
      </w:pPr>
    </w:p>
    <w:p w14:paraId="6A768151" w14:textId="77777777" w:rsidR="00C02A36" w:rsidRPr="00C02A36" w:rsidRDefault="00C02A36" w:rsidP="00395324">
      <w:pPr>
        <w:widowControl w:val="0"/>
        <w:spacing w:after="0" w:line="360" w:lineRule="auto"/>
        <w:rPr>
          <w:rFonts w:eastAsia="Palatino Linotype" w:cs="Palatino Linotype"/>
          <w:color w:val="auto"/>
          <w:lang w:eastAsia="es-MX"/>
        </w:rPr>
      </w:pPr>
      <w:r w:rsidRPr="00C02A36">
        <w:rPr>
          <w:rFonts w:eastAsia="Palatino Linotype" w:cs="Palatino Linotype"/>
          <w:color w:val="auto"/>
          <w:lang w:eastAsia="es-MX"/>
        </w:rPr>
        <w:t xml:space="preserve">Finalmente, no pasa desapercibido para este Instituto que los documentos que den cuenta de lo solicitado, pudieran contener datos confidenciales, tales como el Registro Federal de Contribuyentes de los Titulares de las Unidades Ecónomicas;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w:t>
      </w:r>
      <w:r w:rsidRPr="00C02A36">
        <w:rPr>
          <w:rFonts w:eastAsia="Palatino Linotype" w:cs="Palatino Linotype"/>
          <w:color w:val="auto"/>
          <w:lang w:eastAsia="es-MX"/>
        </w:rPr>
        <w:lastRenderedPageBreak/>
        <w:t>informativo, deberá elaborar una versión pública en la que se testen las partes o secciones clasificadas, indicando su contenido de manera genérica y fundando y motivando su clasificación.</w:t>
      </w:r>
    </w:p>
    <w:p w14:paraId="5F4C013A" w14:textId="77777777" w:rsidR="00C02A36" w:rsidRPr="00C02A36" w:rsidRDefault="00C02A36" w:rsidP="00395324">
      <w:pPr>
        <w:widowControl w:val="0"/>
        <w:spacing w:after="0" w:line="360" w:lineRule="auto"/>
        <w:rPr>
          <w:rFonts w:eastAsia="Palatino Linotype" w:cs="Palatino Linotype"/>
          <w:color w:val="auto"/>
          <w:lang w:eastAsia="es-MX"/>
        </w:rPr>
      </w:pPr>
    </w:p>
    <w:p w14:paraId="01D7F121" w14:textId="77777777" w:rsidR="00C02A36" w:rsidRPr="00C02A36" w:rsidRDefault="00C02A36" w:rsidP="00395324">
      <w:pPr>
        <w:widowControl w:val="0"/>
        <w:spacing w:after="0" w:line="360" w:lineRule="auto"/>
        <w:rPr>
          <w:rFonts w:eastAsia="Palatino Linotype" w:cs="Palatino Linotype"/>
          <w:color w:val="auto"/>
          <w:lang w:eastAsia="es-MX"/>
        </w:rPr>
      </w:pPr>
      <w:r w:rsidRPr="00C02A36">
        <w:rPr>
          <w:rFonts w:eastAsia="Palatino Linotype" w:cs="Palatino Linotype"/>
          <w:color w:val="auto"/>
          <w:lang w:eastAsia="es-MX"/>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320656F" w14:textId="77777777" w:rsidR="00C02A36" w:rsidRDefault="00C02A36" w:rsidP="00395324">
      <w:pPr>
        <w:spacing w:after="0" w:line="360" w:lineRule="auto"/>
        <w:contextualSpacing/>
        <w:rPr>
          <w:rFonts w:eastAsia="Palatino Linotype" w:cs="Palatino Linotype"/>
          <w:color w:val="auto"/>
          <w:lang w:eastAsia="es-MX"/>
        </w:rPr>
      </w:pPr>
    </w:p>
    <w:p w14:paraId="7D02C26E" w14:textId="77777777" w:rsidR="00117AA9" w:rsidRPr="004528C0" w:rsidRDefault="00117AA9" w:rsidP="00395324">
      <w:pPr>
        <w:spacing w:after="0" w:line="360" w:lineRule="auto"/>
        <w:contextualSpacing/>
        <w:rPr>
          <w:rFonts w:eastAsia="Times New Roman" w:cs="Tahoma"/>
          <w:b/>
          <w:bCs/>
          <w:iCs/>
          <w:lang w:val="es-ES" w:eastAsia="es-ES"/>
        </w:rPr>
      </w:pPr>
      <w:r w:rsidRPr="004528C0">
        <w:rPr>
          <w:rFonts w:eastAsia="Times New Roman" w:cs="Tahoma"/>
          <w:b/>
          <w:bCs/>
          <w:iCs/>
          <w:lang w:val="es-ES" w:eastAsia="es-ES"/>
        </w:rPr>
        <w:t>SEXTO. Decisión</w:t>
      </w:r>
    </w:p>
    <w:p w14:paraId="6DE9F88F" w14:textId="77777777" w:rsidR="00117AA9" w:rsidRPr="004528C0" w:rsidRDefault="00117AA9" w:rsidP="00395324">
      <w:pPr>
        <w:spacing w:after="0" w:line="360" w:lineRule="auto"/>
        <w:contextualSpacing/>
        <w:rPr>
          <w:rFonts w:eastAsia="Times New Roman" w:cs="Tahoma"/>
          <w:iCs/>
          <w:lang w:val="es-ES" w:eastAsia="es-ES"/>
        </w:rPr>
      </w:pPr>
    </w:p>
    <w:p w14:paraId="43F176DE" w14:textId="77777777" w:rsidR="00117AA9" w:rsidRPr="004528C0" w:rsidRDefault="00117AA9" w:rsidP="00395324">
      <w:pPr>
        <w:spacing w:after="0" w:line="360" w:lineRule="auto"/>
        <w:contextualSpacing/>
        <w:rPr>
          <w:rFonts w:eastAsia="Times New Roman" w:cs="Tahoma"/>
          <w:iCs/>
          <w:lang w:val="es-ES" w:eastAsia="es-ES"/>
        </w:rPr>
      </w:pPr>
      <w:r w:rsidRPr="004528C0">
        <w:rPr>
          <w:rFonts w:eastAsia="Times New Roman" w:cs="Tahoma"/>
          <w:iCs/>
          <w:lang w:val="es-ES" w:eastAsia="es-ES"/>
        </w:rPr>
        <w:t>Con fundamento en el artículo 186, fracción III, de la Ley de Transparencia y Acceso a la</w:t>
      </w:r>
      <w:r>
        <w:rPr>
          <w:rFonts w:eastAsia="Times New Roman" w:cs="Tahoma"/>
          <w:iCs/>
          <w:lang w:val="es-ES" w:eastAsia="es-ES"/>
        </w:rPr>
        <w:t xml:space="preserve"> </w:t>
      </w:r>
      <w:r w:rsidRPr="004528C0">
        <w:rPr>
          <w:rFonts w:eastAsia="Times New Roman" w:cs="Tahoma"/>
          <w:iCs/>
          <w:lang w:val="es-ES" w:eastAsia="es-ES"/>
        </w:rPr>
        <w:t>Información Pública del Estado de México y Municipios, este Instituto considera procedente</w:t>
      </w:r>
    </w:p>
    <w:p w14:paraId="2169F24D" w14:textId="0C6924D4" w:rsidR="00117AA9" w:rsidRDefault="00EB6F6F" w:rsidP="00395324">
      <w:pPr>
        <w:tabs>
          <w:tab w:val="left" w:pos="4962"/>
        </w:tabs>
        <w:spacing w:after="0" w:line="360" w:lineRule="auto"/>
        <w:contextualSpacing/>
        <w:rPr>
          <w:rFonts w:eastAsia="Times New Roman" w:cs="Tahoma"/>
          <w:iCs/>
          <w:lang w:val="es-ES" w:eastAsia="es-ES"/>
        </w:rPr>
      </w:pPr>
      <w:r>
        <w:rPr>
          <w:rFonts w:eastAsia="Times New Roman" w:cs="Tahoma"/>
          <w:b/>
          <w:bCs/>
          <w:iCs/>
          <w:lang w:val="es-ES" w:eastAsia="es-ES"/>
        </w:rPr>
        <w:t>REVOCAR</w:t>
      </w:r>
      <w:r w:rsidR="00117AA9" w:rsidRPr="004528C0">
        <w:rPr>
          <w:rFonts w:eastAsia="Times New Roman" w:cs="Tahoma"/>
          <w:iCs/>
          <w:lang w:val="es-ES" w:eastAsia="es-ES"/>
        </w:rPr>
        <w:t xml:space="preserve"> la respuesta otorgada a la solicitud</w:t>
      </w:r>
      <w:r w:rsidR="00117AA9">
        <w:rPr>
          <w:rFonts w:eastAsia="Times New Roman" w:cs="Tahoma"/>
          <w:iCs/>
          <w:lang w:val="es-ES" w:eastAsia="es-ES"/>
        </w:rPr>
        <w:t xml:space="preserve"> de información  </w:t>
      </w:r>
      <w:r w:rsidR="00117AA9" w:rsidRPr="00117AA9">
        <w:rPr>
          <w:rFonts w:eastAsia="Times New Roman" w:cs="Tahoma"/>
          <w:b/>
          <w:iCs/>
          <w:lang w:val="es-ES" w:eastAsia="es-ES"/>
        </w:rPr>
        <w:t>00030/NOPALTE/IP/2025</w:t>
      </w:r>
      <w:r w:rsidR="00117AA9">
        <w:rPr>
          <w:rFonts w:eastAsia="Times New Roman" w:cs="Tahoma"/>
          <w:b/>
          <w:iCs/>
          <w:lang w:val="es-ES" w:eastAsia="es-ES"/>
        </w:rPr>
        <w:t xml:space="preserve">, </w:t>
      </w:r>
      <w:r w:rsidR="00117AA9" w:rsidRPr="00117AA9">
        <w:rPr>
          <w:rFonts w:eastAsia="Times New Roman" w:cs="Tahoma"/>
          <w:iCs/>
          <w:lang w:val="es-ES" w:eastAsia="es-ES"/>
        </w:rPr>
        <w:t>por resultar fundados los motivos de inconformidad</w:t>
      </w:r>
      <w:r w:rsidR="00117AA9">
        <w:rPr>
          <w:rFonts w:eastAsia="Times New Roman" w:cs="Tahoma"/>
          <w:b/>
          <w:iCs/>
          <w:lang w:val="es-ES" w:eastAsia="es-ES"/>
        </w:rPr>
        <w:t xml:space="preserve">, </w:t>
      </w:r>
      <w:r w:rsidR="00117AA9" w:rsidRPr="004528C0">
        <w:rPr>
          <w:rFonts w:eastAsia="Times New Roman" w:cs="Tahoma"/>
          <w:iCs/>
          <w:lang w:val="es-ES" w:eastAsia="es-ES"/>
        </w:rPr>
        <w:t>a efecto de que, previa</w:t>
      </w:r>
      <w:r w:rsidR="00117AA9">
        <w:rPr>
          <w:rFonts w:eastAsia="Times New Roman" w:cs="Tahoma"/>
          <w:iCs/>
          <w:lang w:val="es-ES" w:eastAsia="es-ES"/>
        </w:rPr>
        <w:t xml:space="preserve"> </w:t>
      </w:r>
      <w:r w:rsidR="00117AA9" w:rsidRPr="004528C0">
        <w:rPr>
          <w:rFonts w:eastAsia="Times New Roman" w:cs="Tahoma"/>
          <w:iCs/>
          <w:lang w:val="es-ES" w:eastAsia="es-ES"/>
        </w:rPr>
        <w:t>búsqueda exhaustiva y razonable en las unidades administrativas competentes, entregue, en su</w:t>
      </w:r>
      <w:r w:rsidR="00117AA9">
        <w:rPr>
          <w:rFonts w:eastAsia="Times New Roman" w:cs="Tahoma"/>
          <w:iCs/>
          <w:lang w:val="es-ES" w:eastAsia="es-ES"/>
        </w:rPr>
        <w:t xml:space="preserve"> </w:t>
      </w:r>
      <w:r w:rsidR="00117AA9" w:rsidRPr="004528C0">
        <w:rPr>
          <w:rFonts w:eastAsia="Times New Roman" w:cs="Tahoma"/>
          <w:iCs/>
          <w:lang w:val="es-ES" w:eastAsia="es-ES"/>
        </w:rPr>
        <w:t>caso, en versión pública,</w:t>
      </w:r>
      <w:r w:rsidR="00117AA9">
        <w:rPr>
          <w:rFonts w:eastAsia="Times New Roman" w:cs="Tahoma"/>
          <w:iCs/>
          <w:lang w:val="es-ES" w:eastAsia="es-ES"/>
        </w:rPr>
        <w:t xml:space="preserve"> los documentos donde conste </w:t>
      </w:r>
      <w:r w:rsidR="006C0980">
        <w:rPr>
          <w:rFonts w:eastAsia="Times New Roman" w:cs="Tahoma"/>
          <w:iCs/>
          <w:lang w:val="es-ES" w:eastAsia="es-ES"/>
        </w:rPr>
        <w:t>lo solicitado.</w:t>
      </w:r>
    </w:p>
    <w:p w14:paraId="78812AAB" w14:textId="77777777" w:rsidR="00117AA9" w:rsidRPr="008E0FB5" w:rsidRDefault="00117AA9" w:rsidP="00395324">
      <w:pPr>
        <w:tabs>
          <w:tab w:val="left" w:pos="4962"/>
        </w:tabs>
        <w:spacing w:after="0" w:line="360" w:lineRule="auto"/>
        <w:contextualSpacing/>
        <w:rPr>
          <w:rFonts w:eastAsia="Times New Roman" w:cs="Tahoma"/>
          <w:iCs/>
          <w:lang w:eastAsia="es-ES"/>
        </w:rPr>
      </w:pPr>
    </w:p>
    <w:p w14:paraId="0E4ED2E4" w14:textId="77777777" w:rsidR="00117AA9" w:rsidRPr="0099645E" w:rsidRDefault="00117AA9" w:rsidP="00395324">
      <w:pPr>
        <w:spacing w:after="0" w:line="360" w:lineRule="auto"/>
        <w:contextualSpacing/>
        <w:rPr>
          <w:rFonts w:eastAsia="Times New Roman" w:cs="Tahoma"/>
          <w:b/>
          <w:bCs/>
          <w:iCs/>
          <w:lang w:val="es-ES" w:eastAsia="es-ES"/>
        </w:rPr>
      </w:pPr>
      <w:r w:rsidRPr="0099645E">
        <w:rPr>
          <w:rFonts w:eastAsia="Times New Roman" w:cs="Tahoma"/>
          <w:b/>
          <w:bCs/>
          <w:iCs/>
          <w:lang w:val="es-ES" w:eastAsia="es-ES"/>
        </w:rPr>
        <w:t>Términos de la Resolución para conocimiento del Particular</w:t>
      </w:r>
    </w:p>
    <w:p w14:paraId="00FD368B" w14:textId="77777777" w:rsidR="00117AA9" w:rsidRPr="00AF0924" w:rsidRDefault="00117AA9" w:rsidP="00395324">
      <w:pPr>
        <w:spacing w:after="0" w:line="360" w:lineRule="auto"/>
        <w:contextualSpacing/>
        <w:rPr>
          <w:rFonts w:eastAsia="Times New Roman" w:cs="Tahoma"/>
          <w:iCs/>
          <w:lang w:val="es-ES" w:eastAsia="es-ES"/>
        </w:rPr>
      </w:pPr>
    </w:p>
    <w:p w14:paraId="0D223170" w14:textId="53B3CD33" w:rsidR="00117AA9" w:rsidRDefault="00117AA9" w:rsidP="00395324">
      <w:pPr>
        <w:spacing w:after="0" w:line="360" w:lineRule="auto"/>
        <w:contextualSpacing/>
      </w:pPr>
      <w:r>
        <w:t xml:space="preserve">Se le hace del conocimiento a la Particular, que, en el presente caso, se le concede la razón, toda vez que el Sujeto Obligado no entregó la información </w:t>
      </w:r>
      <w:r w:rsidR="006C0980">
        <w:t>requerida</w:t>
      </w:r>
      <w:r>
        <w:t>, por lo que deberá realizar nueva búsqueda en las áreas competentes y entregarla vía SAIMEX</w:t>
      </w:r>
    </w:p>
    <w:p w14:paraId="73CF5F57" w14:textId="77777777" w:rsidR="00117AA9" w:rsidRDefault="00117AA9" w:rsidP="00395324">
      <w:pPr>
        <w:spacing w:after="0" w:line="360" w:lineRule="auto"/>
        <w:contextualSpacing/>
      </w:pPr>
    </w:p>
    <w:p w14:paraId="75898726" w14:textId="77777777" w:rsidR="00117AA9" w:rsidRDefault="00117AA9" w:rsidP="00395324">
      <w:pPr>
        <w:spacing w:after="0" w:line="360" w:lineRule="auto"/>
        <w:contextualSpacing/>
      </w:pPr>
      <w:r>
        <w:t xml:space="preserve">Finalmente, se le hace de su conocimiento que la labor del Instituto de Transparencia, Acceso a la Información Pública y Protección de Datos Personales del Estado de México y </w:t>
      </w:r>
      <w:r>
        <w:lastRenderedPageBreak/>
        <w:t>Municipios, es apoyar a la población a acceder a la información pública y garantizar la protección de sus datos personales.</w:t>
      </w:r>
    </w:p>
    <w:p w14:paraId="3812ACAC" w14:textId="77777777" w:rsidR="00117AA9" w:rsidRDefault="00117AA9" w:rsidP="00395324">
      <w:pPr>
        <w:spacing w:after="0" w:line="360" w:lineRule="auto"/>
        <w:contextualSpacing/>
      </w:pPr>
    </w:p>
    <w:p w14:paraId="3F7723AB" w14:textId="77777777" w:rsidR="00117AA9" w:rsidRDefault="00117AA9" w:rsidP="00395324">
      <w:pPr>
        <w:spacing w:after="0" w:line="360" w:lineRule="auto"/>
        <w:contextualSpacing/>
      </w:pPr>
      <w:r>
        <w:t>Por lo expuesto y fundado, este Pleno:</w:t>
      </w:r>
    </w:p>
    <w:p w14:paraId="58A02126" w14:textId="77777777" w:rsidR="00117AA9" w:rsidRDefault="00117AA9" w:rsidP="00395324">
      <w:pPr>
        <w:spacing w:after="0" w:line="360" w:lineRule="auto"/>
        <w:contextualSpacing/>
      </w:pPr>
    </w:p>
    <w:p w14:paraId="12249A54" w14:textId="77777777" w:rsidR="00117AA9" w:rsidRDefault="00117AA9" w:rsidP="00395324">
      <w:pPr>
        <w:spacing w:after="0" w:line="360" w:lineRule="auto"/>
        <w:contextualSpacing/>
        <w:jc w:val="center"/>
        <w:rPr>
          <w:b/>
          <w:bCs/>
        </w:rPr>
      </w:pPr>
      <w:r w:rsidRPr="006D59E7">
        <w:rPr>
          <w:b/>
          <w:bCs/>
        </w:rPr>
        <w:t>R E S U E L V E</w:t>
      </w:r>
    </w:p>
    <w:p w14:paraId="21415518" w14:textId="77777777" w:rsidR="00117AA9" w:rsidRDefault="00117AA9" w:rsidP="00395324">
      <w:pPr>
        <w:spacing w:after="0" w:line="360" w:lineRule="auto"/>
        <w:contextualSpacing/>
        <w:jc w:val="center"/>
        <w:rPr>
          <w:b/>
          <w:bCs/>
        </w:rPr>
      </w:pPr>
    </w:p>
    <w:p w14:paraId="626A459F" w14:textId="56944AC5" w:rsidR="00117AA9" w:rsidRPr="00A56E19" w:rsidRDefault="00117AA9" w:rsidP="00395324">
      <w:pPr>
        <w:spacing w:after="0" w:line="360" w:lineRule="auto"/>
        <w:contextualSpacing/>
      </w:pPr>
      <w:r w:rsidRPr="00A56E19">
        <w:rPr>
          <w:b/>
          <w:bCs/>
        </w:rPr>
        <w:t>PRIMERO.</w:t>
      </w:r>
      <w:r w:rsidRPr="00A56E19">
        <w:t xml:space="preserve"> Se </w:t>
      </w:r>
      <w:r w:rsidR="006C0980">
        <w:rPr>
          <w:b/>
          <w:bCs/>
        </w:rPr>
        <w:t>REVOCA</w:t>
      </w:r>
      <w:r w:rsidRPr="00A56E19">
        <w:t xml:space="preserve"> la respuesta entregada por el </w:t>
      </w:r>
      <w:r>
        <w:t xml:space="preserve">Ayuntamiento de </w:t>
      </w:r>
      <w:r w:rsidR="006C0980">
        <w:t xml:space="preserve">Nopaltepec </w:t>
      </w:r>
      <w:r>
        <w:t xml:space="preserve"> </w:t>
      </w:r>
      <w:r w:rsidRPr="00A56E19">
        <w:t xml:space="preserve">a la solicitud de </w:t>
      </w:r>
      <w:r w:rsidRPr="00E67882">
        <w:t>información</w:t>
      </w:r>
      <w:r w:rsidRPr="00E67882">
        <w:rPr>
          <w:rFonts w:ascii="Verdana" w:hAnsi="Verdana"/>
          <w:color w:val="FF0000"/>
        </w:rPr>
        <w:t xml:space="preserve"> </w:t>
      </w:r>
      <w:r w:rsidR="006C0980" w:rsidRPr="006C0980">
        <w:rPr>
          <w:b/>
        </w:rPr>
        <w:t>00030/NOPALTE/IP/2025</w:t>
      </w:r>
      <w:r w:rsidR="006C0980">
        <w:rPr>
          <w:b/>
        </w:rPr>
        <w:t xml:space="preserve">, </w:t>
      </w:r>
      <w:r w:rsidRPr="00A56E19">
        <w:t xml:space="preserve">por resultar </w:t>
      </w:r>
      <w:r w:rsidRPr="008E0FB5">
        <w:rPr>
          <w:b/>
          <w:bCs/>
        </w:rPr>
        <w:t xml:space="preserve">FUNDADAS </w:t>
      </w:r>
      <w:r w:rsidRPr="00A56E19">
        <w:t>las razones o</w:t>
      </w:r>
      <w:r>
        <w:t xml:space="preserve"> </w:t>
      </w:r>
      <w:r w:rsidRPr="00A56E19">
        <w:t>motivos de inconformidad hechos valer por el Recurrente, en términos de los</w:t>
      </w:r>
      <w:r>
        <w:t xml:space="preserve"> </w:t>
      </w:r>
      <w:r w:rsidRPr="00A56E19">
        <w:t>considerandos QUINTO y SEXTO de la presente Resolución.</w:t>
      </w:r>
    </w:p>
    <w:p w14:paraId="21FDBEAE" w14:textId="77777777" w:rsidR="00117AA9" w:rsidRPr="00671B91" w:rsidRDefault="00117AA9" w:rsidP="00395324">
      <w:pPr>
        <w:spacing w:after="0" w:line="360" w:lineRule="auto"/>
        <w:contextualSpacing/>
        <w:jc w:val="left"/>
        <w:rPr>
          <w:b/>
          <w:bCs/>
        </w:rPr>
      </w:pPr>
    </w:p>
    <w:p w14:paraId="1E88CB7D" w14:textId="77777777" w:rsidR="00117AA9" w:rsidRDefault="00117AA9" w:rsidP="00395324">
      <w:pPr>
        <w:spacing w:after="0" w:line="360" w:lineRule="auto"/>
        <w:contextualSpacing/>
      </w:pPr>
      <w:r w:rsidRPr="00A725DE">
        <w:rPr>
          <w:b/>
          <w:bCs/>
        </w:rPr>
        <w:t>SEGUNDO</w:t>
      </w:r>
      <w:r w:rsidRPr="003A5923">
        <w:t xml:space="preserve">. Se </w:t>
      </w:r>
      <w:r w:rsidRPr="00A725DE">
        <w:rPr>
          <w:b/>
          <w:bCs/>
        </w:rPr>
        <w:t>ORDENA</w:t>
      </w:r>
      <w:r w:rsidRPr="003A5923">
        <w:t xml:space="preserve"> al Sujeto Obligado, a efecto de que previa búsqueda exhaustiva</w:t>
      </w:r>
      <w:r>
        <w:t xml:space="preserve"> </w:t>
      </w:r>
      <w:r w:rsidRPr="003A5923">
        <w:t>y razonable, en los archivos de las unidades administrativas competentes, entregue a</w:t>
      </w:r>
      <w:r>
        <w:t xml:space="preserve"> </w:t>
      </w:r>
      <w:r w:rsidRPr="003A5923">
        <w:t>través del Sistema de Acceso a la Información Mexiquense (SAIMEX), en</w:t>
      </w:r>
      <w:r>
        <w:t xml:space="preserve"> su caso en </w:t>
      </w:r>
      <w:r w:rsidRPr="003A5923">
        <w:t xml:space="preserve">versión pública, </w:t>
      </w:r>
      <w:r>
        <w:t xml:space="preserve">los documentos donde conste lo siguiente: </w:t>
      </w:r>
    </w:p>
    <w:p w14:paraId="00F34FAF" w14:textId="77777777" w:rsidR="00117AA9" w:rsidRDefault="00117AA9" w:rsidP="00395324">
      <w:pPr>
        <w:spacing w:after="0" w:line="360" w:lineRule="auto"/>
        <w:contextualSpacing/>
        <w:rPr>
          <w:rFonts w:eastAsia="Calibri" w:cs="Times New Roman"/>
          <w:bCs/>
          <w:color w:val="000000"/>
          <w:highlight w:val="cyan"/>
        </w:rPr>
      </w:pPr>
    </w:p>
    <w:p w14:paraId="31ADCF13" w14:textId="39AB14F7" w:rsidR="00AB55DC" w:rsidRPr="006B6798" w:rsidRDefault="0062243B" w:rsidP="00395324">
      <w:pPr>
        <w:pStyle w:val="Prrafodelista"/>
        <w:numPr>
          <w:ilvl w:val="0"/>
          <w:numId w:val="42"/>
        </w:numPr>
        <w:spacing w:after="0" w:line="360" w:lineRule="auto"/>
        <w:rPr>
          <w:b/>
          <w:bCs/>
        </w:rPr>
      </w:pPr>
      <w:r w:rsidRPr="00785F88">
        <w:t xml:space="preserve">El </w:t>
      </w:r>
      <w:r w:rsidR="006B6798" w:rsidRPr="00785F88">
        <w:t>padr</w:t>
      </w:r>
      <w:r w:rsidRPr="00785F88">
        <w:t>ón</w:t>
      </w:r>
      <w:r w:rsidR="006B6798" w:rsidRPr="00785F88">
        <w:t xml:space="preserve"> de las empresas </w:t>
      </w:r>
      <w:r w:rsidR="006B6798">
        <w:t>dedicadas</w:t>
      </w:r>
      <w:r w:rsidR="006B6798" w:rsidRPr="00785F88">
        <w:t xml:space="preserve"> a la fabricación de productos metálicos</w:t>
      </w:r>
      <w:r w:rsidR="006B6798">
        <w:t>,</w:t>
      </w:r>
      <w:r w:rsidR="006B6798" w:rsidRPr="00785F88">
        <w:t xml:space="preserve"> </w:t>
      </w:r>
      <w:r w:rsidR="006B6798" w:rsidRPr="006B6798">
        <w:t>vigente al catorce de noviembre de dos mil veinticinco</w:t>
      </w:r>
      <w:r w:rsidR="006B6798">
        <w:t>, que incluya</w:t>
      </w:r>
      <w:r w:rsidR="006B6798" w:rsidRPr="00785F88">
        <w:t xml:space="preserve"> la razón social</w:t>
      </w:r>
      <w:r w:rsidR="00395324">
        <w:t>,</w:t>
      </w:r>
      <w:r w:rsidR="006B6798">
        <w:t xml:space="preserve"> </w:t>
      </w:r>
      <w:r w:rsidR="006B6798" w:rsidRPr="00785F88">
        <w:t xml:space="preserve"> domicili</w:t>
      </w:r>
      <w:r w:rsidR="006B6798">
        <w:t>o</w:t>
      </w:r>
      <w:r w:rsidR="00395324">
        <w:t>, teléfono y correo electrónico</w:t>
      </w:r>
      <w:r w:rsidR="006B6798">
        <w:t>.</w:t>
      </w:r>
    </w:p>
    <w:p w14:paraId="377AA681" w14:textId="7752719C" w:rsidR="004A10C3" w:rsidRPr="0046693C" w:rsidRDefault="004A10C3" w:rsidP="00395324">
      <w:pPr>
        <w:spacing w:after="0" w:line="360" w:lineRule="auto"/>
        <w:contextualSpacing/>
        <w:rPr>
          <w:color w:val="FF0000"/>
        </w:rPr>
      </w:pPr>
    </w:p>
    <w:p w14:paraId="6A612531" w14:textId="77777777" w:rsidR="009F6194" w:rsidRDefault="009F6194" w:rsidP="00395324">
      <w:pPr>
        <w:spacing w:after="0" w:line="360" w:lineRule="auto"/>
        <w:contextualSpacing/>
      </w:pPr>
      <w:r w:rsidRPr="00222A40">
        <w:t>Además</w:t>
      </w:r>
      <w:r>
        <w:t xml:space="preserve">, </w:t>
      </w:r>
      <w:r w:rsidRPr="00222A40">
        <w:t>deberá proporcionar el Acuerdo de Clasificación donde el</w:t>
      </w:r>
      <w:r>
        <w:t xml:space="preserve"> </w:t>
      </w:r>
      <w:r w:rsidRPr="00222A40">
        <w:t>Comité de Transparencia, confirme la eliminación de los datos</w:t>
      </w:r>
      <w:r>
        <w:t xml:space="preserve"> o información</w:t>
      </w:r>
      <w:r w:rsidRPr="00222A40">
        <w:t>, en la versión pública, de</w:t>
      </w:r>
      <w:r>
        <w:t xml:space="preserve"> </w:t>
      </w:r>
      <w:r w:rsidRPr="00222A40">
        <w:t>conformidad con los artículos 49, fracciones II y VIII y 132, fracción II, de la Ley de</w:t>
      </w:r>
      <w:r>
        <w:t xml:space="preserve"> </w:t>
      </w:r>
      <w:r w:rsidRPr="00222A40">
        <w:t>Transparencia y Acceso a la Información Pública del Estado de México y Municipios.</w:t>
      </w:r>
    </w:p>
    <w:p w14:paraId="62E87DEF" w14:textId="48B056E7" w:rsidR="00395324" w:rsidRDefault="00395324" w:rsidP="00395324">
      <w:pPr>
        <w:spacing w:after="0" w:line="360" w:lineRule="auto"/>
        <w:contextualSpacing/>
      </w:pPr>
      <w:r>
        <w:rPr>
          <w:rFonts w:eastAsia="Palatino Linotype" w:cs="Palatino Linotype"/>
          <w:color w:val="auto"/>
          <w:lang w:eastAsia="es-MX"/>
        </w:rPr>
        <w:t xml:space="preserve">Para el caso de que el Ayuntamiento no tenga registrada alguna unidad económica con el giro solicitado por la persona Recurrente, o bien, no tenga el correo electrónico del </w:t>
      </w:r>
      <w:r>
        <w:rPr>
          <w:rFonts w:eastAsia="Palatino Linotype" w:cs="Palatino Linotype"/>
          <w:color w:val="auto"/>
          <w:lang w:eastAsia="es-MX"/>
        </w:rPr>
        <w:lastRenderedPageBreak/>
        <w:t>establecimiento al no recabarlo, deberá hacerlo del conocimiento de esta, de manera clara y precisa</w:t>
      </w:r>
    </w:p>
    <w:p w14:paraId="2BDCA94F" w14:textId="77777777" w:rsidR="009F6194" w:rsidRDefault="009F6194" w:rsidP="00395324">
      <w:pPr>
        <w:spacing w:after="0" w:line="360" w:lineRule="auto"/>
        <w:contextualSpacing/>
      </w:pPr>
    </w:p>
    <w:p w14:paraId="4B5813BD" w14:textId="77777777" w:rsidR="009F6194" w:rsidRDefault="009F6194" w:rsidP="00395324">
      <w:pPr>
        <w:spacing w:after="0" w:line="360" w:lineRule="auto"/>
        <w:contextualSpacing/>
      </w:pPr>
      <w:r w:rsidRPr="002966D0">
        <w:rPr>
          <w:b/>
          <w:bCs/>
        </w:rPr>
        <w:t>TERCERO. NOTIFÍQUESE</w:t>
      </w:r>
      <w:r>
        <w:t xml:space="preserve"> </w:t>
      </w:r>
      <w:r w:rsidRPr="00AE7D7A">
        <w:rPr>
          <w:b/>
        </w:rPr>
        <w:t>VÍA SAIMEX</w:t>
      </w:r>
      <w: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0CFA23E9" w14:textId="77777777" w:rsidR="009F6194" w:rsidRDefault="009F6194" w:rsidP="00395324">
      <w:pPr>
        <w:spacing w:after="0" w:line="360" w:lineRule="auto"/>
        <w:contextualSpacing/>
      </w:pPr>
    </w:p>
    <w:p w14:paraId="73406AD9" w14:textId="77777777" w:rsidR="009F6194" w:rsidRDefault="009F6194" w:rsidP="00395324">
      <w:pPr>
        <w:spacing w:after="0" w:line="360" w:lineRule="auto"/>
        <w:contextualSpacing/>
      </w:pPr>
      <w: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94FF26F" w14:textId="77777777" w:rsidR="009F6194" w:rsidRDefault="009F6194" w:rsidP="00395324">
      <w:pPr>
        <w:spacing w:after="0" w:line="360" w:lineRule="auto"/>
        <w:contextualSpacing/>
      </w:pPr>
    </w:p>
    <w:p w14:paraId="5B143981" w14:textId="77777777" w:rsidR="009F6194" w:rsidRDefault="009F6194" w:rsidP="00395324">
      <w:pPr>
        <w:spacing w:after="0" w:line="360" w:lineRule="auto"/>
        <w:contextualSpacing/>
      </w:pPr>
      <w:r w:rsidRPr="00A41EB9">
        <w:rPr>
          <w:b/>
          <w:bCs/>
        </w:rPr>
        <w:t>CUARTO. NOTIFÍQUESE</w:t>
      </w:r>
      <w:r>
        <w:t xml:space="preserve"> </w:t>
      </w:r>
      <w:r w:rsidRPr="00D15CC6">
        <w:rPr>
          <w:b/>
        </w:rPr>
        <w:t>VÍA SAIMEX</w:t>
      </w:r>
      <w: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31EEF802" w14:textId="77777777" w:rsidR="009F6194" w:rsidRDefault="009F6194" w:rsidP="00395324">
      <w:pPr>
        <w:spacing w:after="0" w:line="360" w:lineRule="auto"/>
        <w:contextualSpacing/>
      </w:pPr>
    </w:p>
    <w:p w14:paraId="37AD3F04" w14:textId="6696BC48" w:rsidR="009F6194" w:rsidRDefault="009F6194" w:rsidP="00395324">
      <w:pPr>
        <w:spacing w:after="0" w:line="360" w:lineRule="auto"/>
        <w:contextualSpacing/>
      </w:pPr>
      <w:r w:rsidRPr="00AE7D7A">
        <w:t xml:space="preserve">ASÍ LO RESUELVE, POR </w:t>
      </w:r>
      <w:r w:rsidRPr="007563FE">
        <w:rPr>
          <w:b/>
        </w:rPr>
        <w:t xml:space="preserve">UNANIMIDAD </w:t>
      </w:r>
      <w:r w:rsidRPr="00AE7D7A">
        <w:t xml:space="preserve">DE VOTOS EL PLENO DEL INSTITUTO DE TRANSPARENCIA, ACCESO A LA INFORMACIÓN PÚBLICA Y PROTECCIÓN DE DATOS PERSONALES DEL ESTADO DE MÉXICO Y MUNICIPIOS, CONFORMADO POR LOS COMISIONADOS JOSÉ MARTÍNEZ VILCHIS, MARÍA DEL ROSARIO MEJÍA </w:t>
      </w:r>
      <w:r w:rsidRPr="00AE7D7A">
        <w:lastRenderedPageBreak/>
        <w:t>AYALA, SHARON CRISTINA MORALES MARTÍNEZ, LUIS GUSTAVO PARRA NORIEGA Y GUADALUPE RAMÍREZ PEÑA</w:t>
      </w:r>
      <w:r w:rsidR="002C4C6A">
        <w:t xml:space="preserve"> (AUSENCIA JUSTIFICADA)</w:t>
      </w:r>
      <w:r w:rsidRPr="00AE7D7A">
        <w:t xml:space="preserve">, EN LA </w:t>
      </w:r>
      <w:r>
        <w:t>CUADRAGÉSIMA QUINTA</w:t>
      </w:r>
      <w:r w:rsidRPr="00AE7D7A">
        <w:t xml:space="preserve"> SESIÓN ORDINARIA, CELEBRADA EL </w:t>
      </w:r>
      <w:r w:rsidR="00C80E91">
        <w:t>DIECISIETE DE DICIEM</w:t>
      </w:r>
      <w:r>
        <w:t>BRE</w:t>
      </w:r>
      <w:r w:rsidRPr="00AE7D7A">
        <w:t xml:space="preserve">  DE DOS MIL VEINTI</w:t>
      </w:r>
      <w:r>
        <w:t>CINCO</w:t>
      </w:r>
      <w:r w:rsidRPr="00AE7D7A">
        <w:t>, ANTE EL SECRETARIO TÉCNICO DEL PLENO, ALEXIS TAPIA RAMÍREZ.</w:t>
      </w:r>
    </w:p>
    <w:p w14:paraId="5B5D8840" w14:textId="77777777" w:rsidR="00C80E91" w:rsidRDefault="00C80E91" w:rsidP="00395324">
      <w:pPr>
        <w:spacing w:after="0" w:line="360" w:lineRule="auto"/>
        <w:contextualSpacing/>
      </w:pPr>
    </w:p>
    <w:p w14:paraId="2E40E681" w14:textId="77777777" w:rsidR="00C80E91" w:rsidRDefault="00C80E91" w:rsidP="00395324">
      <w:pPr>
        <w:spacing w:after="0" w:line="360" w:lineRule="auto"/>
        <w:contextualSpacing/>
      </w:pPr>
    </w:p>
    <w:p w14:paraId="0AD7A1E2" w14:textId="77777777" w:rsidR="00C80E91" w:rsidRDefault="00C80E91" w:rsidP="00395324">
      <w:pPr>
        <w:spacing w:after="0" w:line="360" w:lineRule="auto"/>
        <w:contextualSpacing/>
      </w:pPr>
    </w:p>
    <w:p w14:paraId="0D6A055D" w14:textId="77777777" w:rsidR="00C80E91" w:rsidRDefault="00C80E91" w:rsidP="00395324">
      <w:pPr>
        <w:spacing w:after="0" w:line="360" w:lineRule="auto"/>
        <w:contextualSpacing/>
      </w:pPr>
    </w:p>
    <w:p w14:paraId="375C8558" w14:textId="77777777" w:rsidR="00C80E91" w:rsidRDefault="00C80E91" w:rsidP="00395324">
      <w:pPr>
        <w:spacing w:after="0" w:line="360" w:lineRule="auto"/>
        <w:contextualSpacing/>
      </w:pPr>
    </w:p>
    <w:p w14:paraId="73746286" w14:textId="77777777" w:rsidR="00C80E91" w:rsidRDefault="00C80E91" w:rsidP="00395324">
      <w:pPr>
        <w:spacing w:after="0" w:line="360" w:lineRule="auto"/>
        <w:contextualSpacing/>
      </w:pPr>
    </w:p>
    <w:p w14:paraId="52F49B8D" w14:textId="77777777" w:rsidR="00C80E91" w:rsidRDefault="00C80E91" w:rsidP="00395324">
      <w:pPr>
        <w:spacing w:after="0" w:line="360" w:lineRule="auto"/>
        <w:contextualSpacing/>
      </w:pPr>
    </w:p>
    <w:p w14:paraId="0D004738" w14:textId="77777777" w:rsidR="00C80E91" w:rsidRDefault="00C80E91" w:rsidP="00395324">
      <w:pPr>
        <w:spacing w:after="0" w:line="360" w:lineRule="auto"/>
        <w:contextualSpacing/>
      </w:pPr>
    </w:p>
    <w:p w14:paraId="5EB8DE66" w14:textId="77777777" w:rsidR="00C80E91" w:rsidRDefault="00C80E91" w:rsidP="00395324">
      <w:pPr>
        <w:spacing w:after="0" w:line="360" w:lineRule="auto"/>
        <w:contextualSpacing/>
      </w:pPr>
    </w:p>
    <w:p w14:paraId="7538CB97" w14:textId="77777777" w:rsidR="00C80E91" w:rsidRDefault="00C80E91" w:rsidP="00395324">
      <w:pPr>
        <w:spacing w:after="0" w:line="360" w:lineRule="auto"/>
        <w:contextualSpacing/>
      </w:pPr>
    </w:p>
    <w:p w14:paraId="1EE74636" w14:textId="77777777" w:rsidR="00C80E91" w:rsidRDefault="00C80E91" w:rsidP="00395324">
      <w:pPr>
        <w:spacing w:after="0" w:line="360" w:lineRule="auto"/>
        <w:contextualSpacing/>
      </w:pPr>
    </w:p>
    <w:p w14:paraId="297D3DE4" w14:textId="77777777" w:rsidR="00C80E91" w:rsidRDefault="00C80E91" w:rsidP="00395324">
      <w:pPr>
        <w:spacing w:after="0" w:line="360" w:lineRule="auto"/>
        <w:contextualSpacing/>
      </w:pPr>
    </w:p>
    <w:p w14:paraId="44BC171D" w14:textId="77777777" w:rsidR="00C80E91" w:rsidRDefault="00C80E91" w:rsidP="00395324">
      <w:pPr>
        <w:spacing w:after="0" w:line="360" w:lineRule="auto"/>
        <w:contextualSpacing/>
      </w:pPr>
    </w:p>
    <w:p w14:paraId="7ECF91B7" w14:textId="77777777" w:rsidR="00C80E91" w:rsidRDefault="00C80E91" w:rsidP="00395324">
      <w:pPr>
        <w:spacing w:after="0" w:line="360" w:lineRule="auto"/>
        <w:contextualSpacing/>
      </w:pPr>
    </w:p>
    <w:p w14:paraId="7C16260B" w14:textId="77777777" w:rsidR="00C80E91" w:rsidRDefault="00C80E91" w:rsidP="00395324">
      <w:pPr>
        <w:spacing w:after="0" w:line="360" w:lineRule="auto"/>
        <w:contextualSpacing/>
      </w:pPr>
    </w:p>
    <w:p w14:paraId="78BE6AE7" w14:textId="77777777" w:rsidR="00C80E91" w:rsidRDefault="00C80E91" w:rsidP="00395324">
      <w:pPr>
        <w:spacing w:after="0" w:line="360" w:lineRule="auto"/>
        <w:contextualSpacing/>
      </w:pPr>
    </w:p>
    <w:p w14:paraId="3C182A50" w14:textId="77777777" w:rsidR="00C80E91" w:rsidRDefault="00C80E91" w:rsidP="00395324">
      <w:pPr>
        <w:spacing w:after="0" w:line="360" w:lineRule="auto"/>
        <w:contextualSpacing/>
      </w:pPr>
    </w:p>
    <w:p w14:paraId="0C575193" w14:textId="77777777" w:rsidR="009F6194" w:rsidRDefault="009F6194" w:rsidP="00395324">
      <w:pPr>
        <w:spacing w:after="0" w:line="360" w:lineRule="auto"/>
        <w:contextualSpacing/>
      </w:pPr>
    </w:p>
    <w:p w14:paraId="0CE13512" w14:textId="77777777" w:rsidR="009F6194" w:rsidRDefault="009F6194" w:rsidP="00395324">
      <w:pPr>
        <w:spacing w:after="0" w:line="360" w:lineRule="auto"/>
        <w:contextualSpacing/>
      </w:pPr>
    </w:p>
    <w:p w14:paraId="36BD9DA6" w14:textId="77777777" w:rsidR="009F6194" w:rsidRDefault="009F6194" w:rsidP="00395324">
      <w:pPr>
        <w:spacing w:after="0" w:line="360" w:lineRule="auto"/>
        <w:contextualSpacing/>
      </w:pPr>
    </w:p>
    <w:p w14:paraId="2355C64B" w14:textId="77777777" w:rsidR="009F6194" w:rsidRDefault="009F6194" w:rsidP="00395324">
      <w:pPr>
        <w:spacing w:after="0" w:line="360" w:lineRule="auto"/>
        <w:contextualSpacing/>
      </w:pPr>
    </w:p>
    <w:p w14:paraId="2CA4EEAF" w14:textId="77777777" w:rsidR="009F6194" w:rsidRDefault="009F6194" w:rsidP="00395324">
      <w:pPr>
        <w:spacing w:after="0" w:line="360" w:lineRule="auto"/>
        <w:contextualSpacing/>
      </w:pPr>
    </w:p>
    <w:p w14:paraId="4E657555" w14:textId="77777777" w:rsidR="009F6194" w:rsidRDefault="009F6194" w:rsidP="00395324">
      <w:pPr>
        <w:spacing w:after="0" w:line="360" w:lineRule="auto"/>
        <w:contextualSpacing/>
      </w:pPr>
    </w:p>
    <w:p w14:paraId="25531BD7" w14:textId="77777777" w:rsidR="009F6194" w:rsidRDefault="009F6194" w:rsidP="00395324">
      <w:pPr>
        <w:spacing w:after="0" w:line="360" w:lineRule="auto"/>
        <w:contextualSpacing/>
      </w:pPr>
    </w:p>
    <w:p w14:paraId="005FD868" w14:textId="77777777" w:rsidR="009F6194" w:rsidRDefault="009F6194" w:rsidP="00395324">
      <w:pPr>
        <w:spacing w:after="0" w:line="360" w:lineRule="auto"/>
        <w:contextualSpacing/>
      </w:pPr>
    </w:p>
    <w:p w14:paraId="30DD6A34" w14:textId="39402289" w:rsidR="004A10C3" w:rsidRPr="0046693C" w:rsidRDefault="004A10C3" w:rsidP="00395324">
      <w:pPr>
        <w:spacing w:after="0" w:line="360" w:lineRule="auto"/>
        <w:contextualSpacing/>
        <w:rPr>
          <w:color w:val="FF0000"/>
        </w:rPr>
      </w:pPr>
    </w:p>
    <w:p w14:paraId="6C79ACD8" w14:textId="12E8DAD3" w:rsidR="004A10C3" w:rsidRPr="0046693C" w:rsidRDefault="004A10C3" w:rsidP="00395324">
      <w:pPr>
        <w:spacing w:after="0" w:line="360" w:lineRule="auto"/>
        <w:contextualSpacing/>
        <w:rPr>
          <w:color w:val="FF0000"/>
        </w:rPr>
      </w:pPr>
    </w:p>
    <w:p w14:paraId="0A1F89FA" w14:textId="76FCED92" w:rsidR="004A10C3" w:rsidRPr="0046693C" w:rsidRDefault="004A10C3" w:rsidP="00395324">
      <w:pPr>
        <w:spacing w:after="0" w:line="360" w:lineRule="auto"/>
        <w:contextualSpacing/>
        <w:rPr>
          <w:color w:val="FF0000"/>
        </w:rPr>
      </w:pPr>
    </w:p>
    <w:p w14:paraId="6032EB41" w14:textId="1C780823" w:rsidR="004A10C3" w:rsidRPr="0046693C" w:rsidRDefault="004A10C3" w:rsidP="00395324">
      <w:pPr>
        <w:spacing w:after="0" w:line="360" w:lineRule="auto"/>
        <w:contextualSpacing/>
        <w:rPr>
          <w:color w:val="FF0000"/>
        </w:rPr>
      </w:pPr>
    </w:p>
    <w:sectPr w:rsidR="004A10C3" w:rsidRPr="0046693C" w:rsidSect="00661311">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57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3FDC8" w14:textId="77777777" w:rsidR="00BE4C9A" w:rsidRDefault="00BE4C9A" w:rsidP="00F505D5">
      <w:pPr>
        <w:spacing w:after="0" w:line="240" w:lineRule="auto"/>
      </w:pPr>
      <w:r>
        <w:separator/>
      </w:r>
    </w:p>
  </w:endnote>
  <w:endnote w:type="continuationSeparator" w:id="0">
    <w:p w14:paraId="05B4D51D" w14:textId="77777777" w:rsidR="00BE4C9A" w:rsidRDefault="00BE4C9A" w:rsidP="00F50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5851F8BA" w14:textId="77777777" w:rsidR="0044742B" w:rsidRDefault="0044742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E408D">
              <w:rPr>
                <w:b/>
                <w:bCs/>
                <w:noProof/>
              </w:rPr>
              <w:t>33</w:t>
            </w:r>
            <w:r>
              <w:rPr>
                <w:b/>
                <w:bCs/>
                <w:sz w:val="24"/>
                <w:szCs w:val="24"/>
              </w:rPr>
              <w:fldChar w:fldCharType="end"/>
            </w:r>
          </w:p>
        </w:sdtContent>
      </w:sdt>
    </w:sdtContent>
  </w:sdt>
  <w:p w14:paraId="5BBFD5E7" w14:textId="77777777" w:rsidR="0044742B" w:rsidRDefault="004474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1FE24EC2" w14:textId="77777777" w:rsidR="0044742B" w:rsidRDefault="0044742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F31D4">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F31D4">
              <w:rPr>
                <w:b/>
                <w:bCs/>
                <w:noProof/>
              </w:rPr>
              <w:t>33</w:t>
            </w:r>
            <w:r>
              <w:rPr>
                <w:b/>
                <w:bCs/>
                <w:sz w:val="24"/>
                <w:szCs w:val="24"/>
              </w:rPr>
              <w:fldChar w:fldCharType="end"/>
            </w:r>
          </w:p>
        </w:sdtContent>
      </w:sdt>
    </w:sdtContent>
  </w:sdt>
  <w:p w14:paraId="47F426D1" w14:textId="77777777" w:rsidR="0044742B" w:rsidRDefault="0044742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7F5315F4" w14:textId="77777777" w:rsidR="0044742B" w:rsidRDefault="0044742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F31D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F31D4">
              <w:rPr>
                <w:b/>
                <w:bCs/>
                <w:noProof/>
              </w:rPr>
              <w:t>33</w:t>
            </w:r>
            <w:r>
              <w:rPr>
                <w:b/>
                <w:bCs/>
                <w:sz w:val="24"/>
                <w:szCs w:val="24"/>
              </w:rPr>
              <w:fldChar w:fldCharType="end"/>
            </w:r>
          </w:p>
        </w:sdtContent>
      </w:sdt>
    </w:sdtContent>
  </w:sdt>
  <w:p w14:paraId="317E36CA" w14:textId="77777777" w:rsidR="0044742B" w:rsidRDefault="004474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47AD5" w14:textId="77777777" w:rsidR="00BE4C9A" w:rsidRDefault="00BE4C9A" w:rsidP="00F505D5">
      <w:pPr>
        <w:spacing w:after="0" w:line="240" w:lineRule="auto"/>
      </w:pPr>
      <w:r>
        <w:separator/>
      </w:r>
    </w:p>
  </w:footnote>
  <w:footnote w:type="continuationSeparator" w:id="0">
    <w:p w14:paraId="0578DDC0" w14:textId="77777777" w:rsidR="00BE4C9A" w:rsidRDefault="00BE4C9A" w:rsidP="00F505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44742B" w:rsidRPr="00E152D8" w14:paraId="4BF64706" w14:textId="77777777" w:rsidTr="00FE373C">
      <w:trPr>
        <w:trHeight w:val="132"/>
      </w:trPr>
      <w:tc>
        <w:tcPr>
          <w:tcW w:w="2691" w:type="dxa"/>
        </w:tcPr>
        <w:p w14:paraId="35045B20" w14:textId="77777777" w:rsidR="0044742B" w:rsidRPr="00E152D8" w:rsidRDefault="0044742B" w:rsidP="00FE373C">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0328B6B7" w14:textId="77777777" w:rsidR="0044742B" w:rsidRPr="00EE1572" w:rsidRDefault="0044742B" w:rsidP="00FE373C">
          <w:pPr>
            <w:tabs>
              <w:tab w:val="right" w:pos="8838"/>
            </w:tabs>
            <w:ind w:left="-28" w:right="-32"/>
            <w:rPr>
              <w:rFonts w:eastAsia="Calibri" w:cs="Tahoma"/>
            </w:rPr>
          </w:pPr>
          <w:r w:rsidRPr="00EE1572">
            <w:rPr>
              <w:rFonts w:eastAsia="Calibri" w:cs="Tahoma"/>
            </w:rPr>
            <w:t>03846/INFOEM/IP/RR/2020</w:t>
          </w:r>
        </w:p>
      </w:tc>
    </w:tr>
    <w:tr w:rsidR="0044742B" w:rsidRPr="00E152D8" w14:paraId="51D73A37" w14:textId="77777777" w:rsidTr="00FE373C">
      <w:trPr>
        <w:trHeight w:val="261"/>
      </w:trPr>
      <w:tc>
        <w:tcPr>
          <w:tcW w:w="2691" w:type="dxa"/>
        </w:tcPr>
        <w:p w14:paraId="420F8208" w14:textId="77777777" w:rsidR="0044742B" w:rsidRPr="00E152D8" w:rsidRDefault="0044742B" w:rsidP="00FE373C">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7FC3702" w14:textId="77777777" w:rsidR="0044742B" w:rsidRPr="00EE1572" w:rsidRDefault="0044742B" w:rsidP="00FE373C">
          <w:pPr>
            <w:tabs>
              <w:tab w:val="right" w:pos="8838"/>
            </w:tabs>
            <w:ind w:right="-32"/>
            <w:rPr>
              <w:rFonts w:eastAsia="Calibri" w:cs="Tahoma"/>
              <w:lang w:val="es-MX"/>
            </w:rPr>
          </w:pPr>
          <w:r>
            <w:rPr>
              <w:rFonts w:eastAsia="Calibri" w:cs="Tahoma"/>
              <w:lang w:val="es-MX"/>
            </w:rPr>
            <w:t>Ayuntamiento de Valle de Chalco Solidaridad</w:t>
          </w:r>
        </w:p>
      </w:tc>
    </w:tr>
    <w:tr w:rsidR="0044742B" w:rsidRPr="00E152D8" w14:paraId="35303E25" w14:textId="77777777" w:rsidTr="00FE373C">
      <w:trPr>
        <w:trHeight w:val="261"/>
      </w:trPr>
      <w:tc>
        <w:tcPr>
          <w:tcW w:w="2691" w:type="dxa"/>
        </w:tcPr>
        <w:p w14:paraId="48E13ECD" w14:textId="77777777" w:rsidR="0044742B" w:rsidRPr="00E152D8" w:rsidRDefault="0044742B" w:rsidP="00FE373C">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04330AC1" w14:textId="77777777" w:rsidR="0044742B" w:rsidRPr="00E152D8" w:rsidRDefault="0044742B" w:rsidP="00FE373C">
          <w:pPr>
            <w:tabs>
              <w:tab w:val="right" w:pos="8838"/>
            </w:tabs>
            <w:ind w:right="-32"/>
            <w:rPr>
              <w:rFonts w:eastAsia="Calibri" w:cs="Tahoma"/>
              <w:b/>
              <w:lang w:val="es-MX"/>
            </w:rPr>
          </w:pPr>
          <w:r w:rsidRPr="00E152D8">
            <w:rPr>
              <w:rFonts w:eastAsia="Calibri" w:cs="Tahoma"/>
              <w:lang w:val="es-MX"/>
            </w:rPr>
            <w:t>Luis Gustavo Parra Noriega</w:t>
          </w:r>
        </w:p>
      </w:tc>
    </w:tr>
  </w:tbl>
  <w:p w14:paraId="16CCD57B" w14:textId="77777777" w:rsidR="0044742B" w:rsidRDefault="00BE4C9A">
    <w:pPr>
      <w:pStyle w:val="Encabezado"/>
    </w:pPr>
    <w:r>
      <w:rPr>
        <w:noProof/>
      </w:rPr>
      <w:pict w14:anchorId="0C34D7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51" type="#_x0000_t75" alt=""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E837F" w14:textId="77777777" w:rsidR="0044742B" w:rsidRDefault="0044742B"/>
  <w:tbl>
    <w:tblPr>
      <w:tblStyle w:val="Tablaconcuadrcula"/>
      <w:tblW w:w="6096"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544"/>
    </w:tblGrid>
    <w:tr w:rsidR="0044742B" w:rsidRPr="00E152D8" w14:paraId="74758C19" w14:textId="77777777" w:rsidTr="00395324">
      <w:trPr>
        <w:trHeight w:val="138"/>
      </w:trPr>
      <w:tc>
        <w:tcPr>
          <w:tcW w:w="2552" w:type="dxa"/>
          <w:vAlign w:val="center"/>
        </w:tcPr>
        <w:p w14:paraId="1F1B1239" w14:textId="77777777" w:rsidR="0044742B" w:rsidRPr="00E152D8" w:rsidRDefault="0044742B" w:rsidP="00FE373C">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14:paraId="6C96E900" w14:textId="4E27E655" w:rsidR="0044742B" w:rsidRPr="00051642" w:rsidRDefault="0044742B" w:rsidP="0046693C">
          <w:pPr>
            <w:tabs>
              <w:tab w:val="right" w:pos="8838"/>
            </w:tabs>
            <w:ind w:left="-28" w:right="-32"/>
            <w:rPr>
              <w:rFonts w:eastAsia="Calibri" w:cs="Tahoma"/>
            </w:rPr>
          </w:pPr>
          <w:r>
            <w:rPr>
              <w:color w:val="000000"/>
            </w:rPr>
            <w:t>13096/INFOEM/IP/RR/2025</w:t>
          </w:r>
        </w:p>
      </w:tc>
    </w:tr>
    <w:tr w:rsidR="0044742B" w:rsidRPr="00E152D8" w14:paraId="4E8C018F" w14:textId="77777777" w:rsidTr="00395324">
      <w:trPr>
        <w:trHeight w:val="273"/>
      </w:trPr>
      <w:tc>
        <w:tcPr>
          <w:tcW w:w="2552" w:type="dxa"/>
        </w:tcPr>
        <w:p w14:paraId="5C8C98E3" w14:textId="77777777" w:rsidR="0044742B" w:rsidRPr="00E152D8" w:rsidRDefault="0044742B" w:rsidP="00FE373C">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14:paraId="18D21568" w14:textId="79924223" w:rsidR="0044742B" w:rsidRPr="00051642" w:rsidRDefault="0044742B" w:rsidP="00FE373C">
          <w:pPr>
            <w:tabs>
              <w:tab w:val="right" w:pos="8838"/>
            </w:tabs>
            <w:ind w:left="-28" w:right="-32"/>
            <w:rPr>
              <w:rFonts w:eastAsia="Calibri" w:cs="Tahoma"/>
              <w:lang w:val="es-MX"/>
            </w:rPr>
          </w:pPr>
          <w:r>
            <w:rPr>
              <w:color w:val="000000"/>
            </w:rPr>
            <w:t>Ayuntamiento de Nopaltepec</w:t>
          </w:r>
        </w:p>
      </w:tc>
    </w:tr>
    <w:tr w:rsidR="0044742B" w:rsidRPr="00E152D8" w14:paraId="5C07CDF3" w14:textId="77777777" w:rsidTr="00395324">
      <w:trPr>
        <w:trHeight w:val="273"/>
      </w:trPr>
      <w:tc>
        <w:tcPr>
          <w:tcW w:w="2552" w:type="dxa"/>
        </w:tcPr>
        <w:p w14:paraId="6C24AF6D" w14:textId="77777777" w:rsidR="0044742B" w:rsidRPr="00E152D8" w:rsidRDefault="0044742B" w:rsidP="00FE373C">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14:paraId="566AD8B0" w14:textId="77777777" w:rsidR="0044742B" w:rsidRPr="00E152D8" w:rsidRDefault="0044742B" w:rsidP="00FE373C">
          <w:pPr>
            <w:tabs>
              <w:tab w:val="right" w:pos="8838"/>
            </w:tabs>
            <w:ind w:left="-28" w:right="-32"/>
            <w:rPr>
              <w:rFonts w:eastAsia="Calibri" w:cs="Tahoma"/>
              <w:b/>
              <w:lang w:val="es-MX"/>
            </w:rPr>
          </w:pPr>
          <w:r w:rsidRPr="00E152D8">
            <w:rPr>
              <w:rFonts w:eastAsia="Calibri" w:cs="Tahoma"/>
              <w:lang w:val="es-MX"/>
            </w:rPr>
            <w:t>Luis Gustavo Parra Noriega</w:t>
          </w:r>
        </w:p>
      </w:tc>
    </w:tr>
  </w:tbl>
  <w:p w14:paraId="3274C057" w14:textId="77777777" w:rsidR="0044742B" w:rsidRDefault="00BE4C9A" w:rsidP="00FE373C">
    <w:pPr>
      <w:pStyle w:val="Encabezado"/>
    </w:pPr>
    <w:r>
      <w:rPr>
        <w:noProof/>
      </w:rPr>
      <w:pict w14:anchorId="622CB6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 style="position:absolute;left:0;text-align:left;margin-left:-84.6pt;margin-top:-122.95pt;width:663.5pt;height:12in;z-index:-25165875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804"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252"/>
    </w:tblGrid>
    <w:tr w:rsidR="0044742B" w:rsidRPr="00E152D8" w14:paraId="2F7E0926" w14:textId="77777777" w:rsidTr="00661311">
      <w:trPr>
        <w:trHeight w:val="132"/>
      </w:trPr>
      <w:tc>
        <w:tcPr>
          <w:tcW w:w="2552" w:type="dxa"/>
        </w:tcPr>
        <w:p w14:paraId="220F9D9A" w14:textId="77777777" w:rsidR="0044742B" w:rsidRPr="00E152D8" w:rsidRDefault="0044742B" w:rsidP="00FE373C">
          <w:pPr>
            <w:tabs>
              <w:tab w:val="right" w:pos="8838"/>
            </w:tabs>
            <w:ind w:right="-105"/>
            <w:rPr>
              <w:rFonts w:eastAsia="Calibri" w:cs="Tahoma"/>
              <w:b/>
              <w:lang w:val="es-MX"/>
            </w:rPr>
          </w:pPr>
          <w:r>
            <w:rPr>
              <w:rFonts w:eastAsia="Calibri" w:cs="Tahoma"/>
              <w:b/>
              <w:lang w:val="es-MX"/>
            </w:rPr>
            <w:t>R</w:t>
          </w:r>
          <w:r w:rsidRPr="00E152D8">
            <w:rPr>
              <w:rFonts w:eastAsia="Calibri" w:cs="Tahoma"/>
              <w:b/>
              <w:lang w:val="es-MX"/>
            </w:rPr>
            <w:t>ecurso de Revisión:</w:t>
          </w:r>
        </w:p>
      </w:tc>
      <w:tc>
        <w:tcPr>
          <w:tcW w:w="4252" w:type="dxa"/>
        </w:tcPr>
        <w:p w14:paraId="4C1DD4EB" w14:textId="02C2E1AB" w:rsidR="0044742B" w:rsidRPr="00051642" w:rsidRDefault="0044742B" w:rsidP="00FE373C">
          <w:pPr>
            <w:tabs>
              <w:tab w:val="right" w:pos="8838"/>
            </w:tabs>
            <w:ind w:left="-111" w:right="-32"/>
            <w:rPr>
              <w:rFonts w:eastAsia="Calibri" w:cs="Tahoma"/>
            </w:rPr>
          </w:pPr>
          <w:r>
            <w:rPr>
              <w:color w:val="000000"/>
            </w:rPr>
            <w:t>13096/INFOEM/IP/RR/2025</w:t>
          </w:r>
        </w:p>
      </w:tc>
    </w:tr>
    <w:tr w:rsidR="0044742B" w:rsidRPr="00E152D8" w14:paraId="34B96503" w14:textId="77777777" w:rsidTr="00661311">
      <w:trPr>
        <w:trHeight w:val="132"/>
      </w:trPr>
      <w:tc>
        <w:tcPr>
          <w:tcW w:w="2552" w:type="dxa"/>
        </w:tcPr>
        <w:p w14:paraId="1131BF1D" w14:textId="77777777" w:rsidR="0044742B" w:rsidRPr="00E152D8" w:rsidRDefault="0044742B" w:rsidP="00FE373C">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252" w:type="dxa"/>
        </w:tcPr>
        <w:p w14:paraId="3C7D79E0" w14:textId="2AAA6AFE" w:rsidR="0044742B" w:rsidRPr="00E152D8" w:rsidRDefault="006F31D4" w:rsidP="00661311">
          <w:pPr>
            <w:tabs>
              <w:tab w:val="right" w:pos="8838"/>
            </w:tabs>
            <w:ind w:left="-111" w:right="1161"/>
            <w:rPr>
              <w:rFonts w:eastAsia="Calibri" w:cs="Tahoma"/>
              <w:lang w:val="es-MX"/>
            </w:rPr>
          </w:pPr>
          <w:r w:rsidRPr="006F31D4">
            <w:rPr>
              <w:rFonts w:eastAsia="Calibri" w:cs="Tahoma"/>
              <w:highlight w:val="black"/>
              <w:lang w:val="es-MX"/>
            </w:rPr>
            <w:t>XXXXXXXX</w:t>
          </w:r>
        </w:p>
      </w:tc>
    </w:tr>
    <w:tr w:rsidR="0044742B" w:rsidRPr="00E152D8" w14:paraId="656021A6" w14:textId="77777777" w:rsidTr="00661311">
      <w:trPr>
        <w:trHeight w:val="261"/>
      </w:trPr>
      <w:tc>
        <w:tcPr>
          <w:tcW w:w="2552" w:type="dxa"/>
        </w:tcPr>
        <w:p w14:paraId="4764E760" w14:textId="77777777" w:rsidR="0044742B" w:rsidRPr="00E152D8" w:rsidRDefault="0044742B" w:rsidP="00FE373C">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2" w:type="dxa"/>
        </w:tcPr>
        <w:p w14:paraId="050D2C10" w14:textId="29CB94FE" w:rsidR="0044742B" w:rsidRPr="0046693C" w:rsidRDefault="0044742B" w:rsidP="0046693C">
          <w:pPr>
            <w:tabs>
              <w:tab w:val="right" w:pos="8838"/>
            </w:tabs>
            <w:ind w:left="-111" w:right="-32"/>
            <w:rPr>
              <w:color w:val="000000"/>
            </w:rPr>
          </w:pPr>
          <w:r w:rsidRPr="007F2A65">
            <w:rPr>
              <w:color w:val="000000"/>
            </w:rPr>
            <w:t>Ayuntamiento de Nopaltepec</w:t>
          </w:r>
        </w:p>
      </w:tc>
    </w:tr>
    <w:tr w:rsidR="0044742B" w:rsidRPr="00E152D8" w14:paraId="05DD2781" w14:textId="77777777" w:rsidTr="00661311">
      <w:trPr>
        <w:trHeight w:val="261"/>
      </w:trPr>
      <w:tc>
        <w:tcPr>
          <w:tcW w:w="2552" w:type="dxa"/>
        </w:tcPr>
        <w:p w14:paraId="33F7D438" w14:textId="77777777" w:rsidR="0044742B" w:rsidRPr="00E152D8" w:rsidRDefault="0044742B" w:rsidP="00FE373C">
          <w:pPr>
            <w:tabs>
              <w:tab w:val="right" w:pos="8838"/>
            </w:tabs>
            <w:ind w:right="-105"/>
            <w:rPr>
              <w:rFonts w:eastAsia="Calibri" w:cs="Tahoma"/>
              <w:b/>
              <w:lang w:val="es-MX"/>
            </w:rPr>
          </w:pPr>
          <w:r w:rsidRPr="00E152D8">
            <w:rPr>
              <w:rFonts w:eastAsia="Calibri" w:cs="Tahoma"/>
              <w:b/>
              <w:lang w:val="es-MX"/>
            </w:rPr>
            <w:t>Comisionado Ponente:</w:t>
          </w:r>
        </w:p>
      </w:tc>
      <w:tc>
        <w:tcPr>
          <w:tcW w:w="4252" w:type="dxa"/>
        </w:tcPr>
        <w:p w14:paraId="459525EF" w14:textId="77777777" w:rsidR="0044742B" w:rsidRPr="00E152D8" w:rsidRDefault="0044742B" w:rsidP="00FE373C">
          <w:pPr>
            <w:tabs>
              <w:tab w:val="right" w:pos="8838"/>
            </w:tabs>
            <w:ind w:left="-111" w:right="-32"/>
            <w:rPr>
              <w:rFonts w:eastAsia="Calibri" w:cs="Tahoma"/>
              <w:b/>
              <w:lang w:val="es-MX"/>
            </w:rPr>
          </w:pPr>
          <w:r w:rsidRPr="00E152D8">
            <w:rPr>
              <w:rFonts w:eastAsia="Calibri" w:cs="Tahoma"/>
              <w:lang w:val="es-MX"/>
            </w:rPr>
            <w:t>Luis Gustavo Parra Noriega</w:t>
          </w:r>
        </w:p>
      </w:tc>
    </w:tr>
  </w:tbl>
  <w:p w14:paraId="10414600" w14:textId="77777777" w:rsidR="0044742B" w:rsidRDefault="00BE4C9A" w:rsidP="00FE373C">
    <w:pPr>
      <w:pStyle w:val="Encabezado"/>
      <w:tabs>
        <w:tab w:val="left" w:pos="5812"/>
      </w:tabs>
    </w:pPr>
    <w:r>
      <w:rPr>
        <w:noProof/>
      </w:rPr>
      <w:pict w14:anchorId="68699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49" type="#_x0000_t75" alt="" style="position:absolute;left:0;text-align:left;margin-left:-82.4pt;margin-top:-131.9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8174C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3F0F08"/>
    <w:multiLevelType w:val="hybridMultilevel"/>
    <w:tmpl w:val="AA445C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B35542"/>
    <w:multiLevelType w:val="multilevel"/>
    <w:tmpl w:val="A9B2A7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2F64D25"/>
    <w:multiLevelType w:val="multilevel"/>
    <w:tmpl w:val="ABE4F524"/>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7B60315"/>
    <w:multiLevelType w:val="hybridMultilevel"/>
    <w:tmpl w:val="DEDE9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D55AB"/>
    <w:multiLevelType w:val="hybridMultilevel"/>
    <w:tmpl w:val="A094F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1D56EF"/>
    <w:multiLevelType w:val="hybridMultilevel"/>
    <w:tmpl w:val="A860F7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066C8D"/>
    <w:multiLevelType w:val="hybridMultilevel"/>
    <w:tmpl w:val="5446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F0BFE"/>
    <w:multiLevelType w:val="hybridMultilevel"/>
    <w:tmpl w:val="A992FB26"/>
    <w:lvl w:ilvl="0" w:tplc="AA4216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57A67EF"/>
    <w:multiLevelType w:val="hybridMultilevel"/>
    <w:tmpl w:val="04187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D710367"/>
    <w:multiLevelType w:val="hybridMultilevel"/>
    <w:tmpl w:val="4D1CC1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2E82B87"/>
    <w:multiLevelType w:val="hybridMultilevel"/>
    <w:tmpl w:val="1AC41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4E85F19"/>
    <w:multiLevelType w:val="hybridMultilevel"/>
    <w:tmpl w:val="FA1EF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854C49"/>
    <w:multiLevelType w:val="hybridMultilevel"/>
    <w:tmpl w:val="8CDC71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5F3C87"/>
    <w:multiLevelType w:val="multilevel"/>
    <w:tmpl w:val="A9B2A7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3D680D76"/>
    <w:multiLevelType w:val="hybridMultilevel"/>
    <w:tmpl w:val="9F64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6D3523"/>
    <w:multiLevelType w:val="hybridMultilevel"/>
    <w:tmpl w:val="6C8C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E7352"/>
    <w:multiLevelType w:val="hybridMultilevel"/>
    <w:tmpl w:val="B7DA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9D7FD1"/>
    <w:multiLevelType w:val="hybridMultilevel"/>
    <w:tmpl w:val="AA4CC9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4C005937"/>
    <w:multiLevelType w:val="hybridMultilevel"/>
    <w:tmpl w:val="9D22BE8E"/>
    <w:lvl w:ilvl="0" w:tplc="080A0001">
      <w:start w:val="1"/>
      <w:numFmt w:val="bullet"/>
      <w:lvlText w:val=""/>
      <w:lvlJc w:val="left"/>
      <w:pPr>
        <w:ind w:left="2871" w:hanging="360"/>
      </w:pPr>
      <w:rPr>
        <w:rFonts w:ascii="Symbol" w:hAnsi="Symbol" w:hint="default"/>
      </w:rPr>
    </w:lvl>
    <w:lvl w:ilvl="1" w:tplc="080A0003" w:tentative="1">
      <w:start w:val="1"/>
      <w:numFmt w:val="bullet"/>
      <w:lvlText w:val="o"/>
      <w:lvlJc w:val="left"/>
      <w:pPr>
        <w:ind w:left="3591" w:hanging="360"/>
      </w:pPr>
      <w:rPr>
        <w:rFonts w:ascii="Courier New" w:hAnsi="Courier New" w:cs="Courier New" w:hint="default"/>
      </w:rPr>
    </w:lvl>
    <w:lvl w:ilvl="2" w:tplc="080A0005" w:tentative="1">
      <w:start w:val="1"/>
      <w:numFmt w:val="bullet"/>
      <w:lvlText w:val=""/>
      <w:lvlJc w:val="left"/>
      <w:pPr>
        <w:ind w:left="4311" w:hanging="360"/>
      </w:pPr>
      <w:rPr>
        <w:rFonts w:ascii="Wingdings" w:hAnsi="Wingdings" w:hint="default"/>
      </w:rPr>
    </w:lvl>
    <w:lvl w:ilvl="3" w:tplc="080A0001" w:tentative="1">
      <w:start w:val="1"/>
      <w:numFmt w:val="bullet"/>
      <w:lvlText w:val=""/>
      <w:lvlJc w:val="left"/>
      <w:pPr>
        <w:ind w:left="5031" w:hanging="360"/>
      </w:pPr>
      <w:rPr>
        <w:rFonts w:ascii="Symbol" w:hAnsi="Symbol" w:hint="default"/>
      </w:rPr>
    </w:lvl>
    <w:lvl w:ilvl="4" w:tplc="080A0003" w:tentative="1">
      <w:start w:val="1"/>
      <w:numFmt w:val="bullet"/>
      <w:lvlText w:val="o"/>
      <w:lvlJc w:val="left"/>
      <w:pPr>
        <w:ind w:left="5751" w:hanging="360"/>
      </w:pPr>
      <w:rPr>
        <w:rFonts w:ascii="Courier New" w:hAnsi="Courier New" w:cs="Courier New" w:hint="default"/>
      </w:rPr>
    </w:lvl>
    <w:lvl w:ilvl="5" w:tplc="080A0005" w:tentative="1">
      <w:start w:val="1"/>
      <w:numFmt w:val="bullet"/>
      <w:lvlText w:val=""/>
      <w:lvlJc w:val="left"/>
      <w:pPr>
        <w:ind w:left="6471" w:hanging="360"/>
      </w:pPr>
      <w:rPr>
        <w:rFonts w:ascii="Wingdings" w:hAnsi="Wingdings" w:hint="default"/>
      </w:rPr>
    </w:lvl>
    <w:lvl w:ilvl="6" w:tplc="080A0001" w:tentative="1">
      <w:start w:val="1"/>
      <w:numFmt w:val="bullet"/>
      <w:lvlText w:val=""/>
      <w:lvlJc w:val="left"/>
      <w:pPr>
        <w:ind w:left="7191" w:hanging="360"/>
      </w:pPr>
      <w:rPr>
        <w:rFonts w:ascii="Symbol" w:hAnsi="Symbol" w:hint="default"/>
      </w:rPr>
    </w:lvl>
    <w:lvl w:ilvl="7" w:tplc="080A0003" w:tentative="1">
      <w:start w:val="1"/>
      <w:numFmt w:val="bullet"/>
      <w:lvlText w:val="o"/>
      <w:lvlJc w:val="left"/>
      <w:pPr>
        <w:ind w:left="7911" w:hanging="360"/>
      </w:pPr>
      <w:rPr>
        <w:rFonts w:ascii="Courier New" w:hAnsi="Courier New" w:cs="Courier New" w:hint="default"/>
      </w:rPr>
    </w:lvl>
    <w:lvl w:ilvl="8" w:tplc="080A0005" w:tentative="1">
      <w:start w:val="1"/>
      <w:numFmt w:val="bullet"/>
      <w:lvlText w:val=""/>
      <w:lvlJc w:val="left"/>
      <w:pPr>
        <w:ind w:left="8631" w:hanging="360"/>
      </w:pPr>
      <w:rPr>
        <w:rFonts w:ascii="Wingdings" w:hAnsi="Wingdings" w:hint="default"/>
      </w:rPr>
    </w:lvl>
  </w:abstractNum>
  <w:abstractNum w:abstractNumId="27" w15:restartNumberingAfterBreak="0">
    <w:nsid w:val="512F3F5A"/>
    <w:multiLevelType w:val="hybridMultilevel"/>
    <w:tmpl w:val="3D1EF3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D76DB7"/>
    <w:multiLevelType w:val="hybridMultilevel"/>
    <w:tmpl w:val="E606FE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54C130FE"/>
    <w:multiLevelType w:val="hybridMultilevel"/>
    <w:tmpl w:val="12CA4730"/>
    <w:lvl w:ilvl="0" w:tplc="98B86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EA4FC4"/>
    <w:multiLevelType w:val="hybridMultilevel"/>
    <w:tmpl w:val="FF7CC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65E25F1"/>
    <w:multiLevelType w:val="hybridMultilevel"/>
    <w:tmpl w:val="A080D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7A150BB"/>
    <w:multiLevelType w:val="hybridMultilevel"/>
    <w:tmpl w:val="D6228A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15:restartNumberingAfterBreak="0">
    <w:nsid w:val="791F66D9"/>
    <w:multiLevelType w:val="hybridMultilevel"/>
    <w:tmpl w:val="B7D29946"/>
    <w:lvl w:ilvl="0" w:tplc="1FFC79E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3"/>
  </w:num>
  <w:num w:numId="2">
    <w:abstractNumId w:val="35"/>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6"/>
  </w:num>
  <w:num w:numId="7">
    <w:abstractNumId w:val="26"/>
  </w:num>
  <w:num w:numId="8">
    <w:abstractNumId w:val="1"/>
  </w:num>
  <w:num w:numId="9">
    <w:abstractNumId w:val="12"/>
  </w:num>
  <w:num w:numId="10">
    <w:abstractNumId w:val="32"/>
  </w:num>
  <w:num w:numId="11">
    <w:abstractNumId w:val="19"/>
  </w:num>
  <w:num w:numId="12">
    <w:abstractNumId w:val="14"/>
  </w:num>
  <w:num w:numId="13">
    <w:abstractNumId w:val="2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9"/>
  </w:num>
  <w:num w:numId="17">
    <w:abstractNumId w:val="36"/>
  </w:num>
  <w:num w:numId="18">
    <w:abstractNumId w:val="5"/>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4"/>
  </w:num>
  <w:num w:numId="23">
    <w:abstractNumId w:val="38"/>
  </w:num>
  <w:num w:numId="24">
    <w:abstractNumId w:val="18"/>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9"/>
  </w:num>
  <w:num w:numId="28">
    <w:abstractNumId w:val="11"/>
  </w:num>
  <w:num w:numId="29">
    <w:abstractNumId w:val="20"/>
  </w:num>
  <w:num w:numId="30">
    <w:abstractNumId w:val="15"/>
  </w:num>
  <w:num w:numId="31">
    <w:abstractNumId w:val="31"/>
  </w:num>
  <w:num w:numId="32">
    <w:abstractNumId w:val="2"/>
  </w:num>
  <w:num w:numId="33">
    <w:abstractNumId w:val="24"/>
  </w:num>
  <w:num w:numId="34">
    <w:abstractNumId w:val="23"/>
  </w:num>
  <w:num w:numId="35">
    <w:abstractNumId w:val="17"/>
  </w:num>
  <w:num w:numId="36">
    <w:abstractNumId w:val="0"/>
  </w:num>
  <w:num w:numId="37">
    <w:abstractNumId w:val="7"/>
  </w:num>
  <w:num w:numId="38">
    <w:abstractNumId w:val="27"/>
  </w:num>
  <w:num w:numId="39">
    <w:abstractNumId w:val="37"/>
  </w:num>
  <w:num w:numId="40">
    <w:abstractNumId w:val="30"/>
  </w:num>
  <w:num w:numId="41">
    <w:abstractNumId w:val="28"/>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5D5"/>
    <w:rsid w:val="000041B5"/>
    <w:rsid w:val="000117EF"/>
    <w:rsid w:val="0002183B"/>
    <w:rsid w:val="00022AE7"/>
    <w:rsid w:val="00026103"/>
    <w:rsid w:val="00030874"/>
    <w:rsid w:val="00031DFF"/>
    <w:rsid w:val="00036DC7"/>
    <w:rsid w:val="00040F8A"/>
    <w:rsid w:val="00047E71"/>
    <w:rsid w:val="00062DA8"/>
    <w:rsid w:val="00064219"/>
    <w:rsid w:val="00065D42"/>
    <w:rsid w:val="000705FD"/>
    <w:rsid w:val="000711A4"/>
    <w:rsid w:val="000846B3"/>
    <w:rsid w:val="00090187"/>
    <w:rsid w:val="00095302"/>
    <w:rsid w:val="000A0E7E"/>
    <w:rsid w:val="000A4599"/>
    <w:rsid w:val="000B1391"/>
    <w:rsid w:val="000B3A0A"/>
    <w:rsid w:val="000B4608"/>
    <w:rsid w:val="000C3C48"/>
    <w:rsid w:val="000C4658"/>
    <w:rsid w:val="000C6AAB"/>
    <w:rsid w:val="000D20D4"/>
    <w:rsid w:val="00117AA9"/>
    <w:rsid w:val="0013454A"/>
    <w:rsid w:val="0014022E"/>
    <w:rsid w:val="00140B80"/>
    <w:rsid w:val="00141764"/>
    <w:rsid w:val="0014324A"/>
    <w:rsid w:val="001476BF"/>
    <w:rsid w:val="00151ECD"/>
    <w:rsid w:val="0015219A"/>
    <w:rsid w:val="00156063"/>
    <w:rsid w:val="0015641C"/>
    <w:rsid w:val="00164EAA"/>
    <w:rsid w:val="00170F4B"/>
    <w:rsid w:val="001742B3"/>
    <w:rsid w:val="001746FB"/>
    <w:rsid w:val="001935BB"/>
    <w:rsid w:val="001A093D"/>
    <w:rsid w:val="001A18CD"/>
    <w:rsid w:val="001A3135"/>
    <w:rsid w:val="001C61A1"/>
    <w:rsid w:val="001C6F61"/>
    <w:rsid w:val="001D0DA3"/>
    <w:rsid w:val="001D2164"/>
    <w:rsid w:val="001D29D4"/>
    <w:rsid w:val="001D508F"/>
    <w:rsid w:val="001E0AA7"/>
    <w:rsid w:val="001E2325"/>
    <w:rsid w:val="001F5F7D"/>
    <w:rsid w:val="00200F86"/>
    <w:rsid w:val="0021724E"/>
    <w:rsid w:val="002252F0"/>
    <w:rsid w:val="00241022"/>
    <w:rsid w:val="00243CE1"/>
    <w:rsid w:val="00244A45"/>
    <w:rsid w:val="00245250"/>
    <w:rsid w:val="00247D52"/>
    <w:rsid w:val="00252E15"/>
    <w:rsid w:val="002576F6"/>
    <w:rsid w:val="002628B5"/>
    <w:rsid w:val="00263048"/>
    <w:rsid w:val="0027067E"/>
    <w:rsid w:val="0028139F"/>
    <w:rsid w:val="002904DA"/>
    <w:rsid w:val="00292944"/>
    <w:rsid w:val="002958BA"/>
    <w:rsid w:val="002A7502"/>
    <w:rsid w:val="002B2879"/>
    <w:rsid w:val="002B2F08"/>
    <w:rsid w:val="002B364F"/>
    <w:rsid w:val="002B540B"/>
    <w:rsid w:val="002C4C6A"/>
    <w:rsid w:val="002D361E"/>
    <w:rsid w:val="002E1258"/>
    <w:rsid w:val="002E61D5"/>
    <w:rsid w:val="002F21AF"/>
    <w:rsid w:val="003004FB"/>
    <w:rsid w:val="0030052C"/>
    <w:rsid w:val="00313D21"/>
    <w:rsid w:val="003144C8"/>
    <w:rsid w:val="00315CF9"/>
    <w:rsid w:val="00322020"/>
    <w:rsid w:val="00322720"/>
    <w:rsid w:val="00323F2D"/>
    <w:rsid w:val="00325704"/>
    <w:rsid w:val="00334012"/>
    <w:rsid w:val="00335C06"/>
    <w:rsid w:val="00335F29"/>
    <w:rsid w:val="00344EAB"/>
    <w:rsid w:val="00352190"/>
    <w:rsid w:val="003528A8"/>
    <w:rsid w:val="00357AEA"/>
    <w:rsid w:val="00395324"/>
    <w:rsid w:val="003A3053"/>
    <w:rsid w:val="003B23D9"/>
    <w:rsid w:val="003B3511"/>
    <w:rsid w:val="003B3E1B"/>
    <w:rsid w:val="003C005C"/>
    <w:rsid w:val="003D2D28"/>
    <w:rsid w:val="003D59E8"/>
    <w:rsid w:val="003D7B2C"/>
    <w:rsid w:val="003F1A41"/>
    <w:rsid w:val="003F4677"/>
    <w:rsid w:val="00401911"/>
    <w:rsid w:val="0042016E"/>
    <w:rsid w:val="00427ED7"/>
    <w:rsid w:val="00431556"/>
    <w:rsid w:val="0043202F"/>
    <w:rsid w:val="00432992"/>
    <w:rsid w:val="00443B1B"/>
    <w:rsid w:val="004442E6"/>
    <w:rsid w:val="00446D36"/>
    <w:rsid w:val="0044742B"/>
    <w:rsid w:val="0045000E"/>
    <w:rsid w:val="004552C7"/>
    <w:rsid w:val="0046693C"/>
    <w:rsid w:val="00466FD5"/>
    <w:rsid w:val="0047397F"/>
    <w:rsid w:val="00473ACE"/>
    <w:rsid w:val="00475A22"/>
    <w:rsid w:val="0048603F"/>
    <w:rsid w:val="00487C3A"/>
    <w:rsid w:val="00493197"/>
    <w:rsid w:val="004A10C3"/>
    <w:rsid w:val="004A1EC9"/>
    <w:rsid w:val="004A5B4A"/>
    <w:rsid w:val="004A6424"/>
    <w:rsid w:val="004B1720"/>
    <w:rsid w:val="004C1C99"/>
    <w:rsid w:val="004C69A0"/>
    <w:rsid w:val="004D14B7"/>
    <w:rsid w:val="004D3646"/>
    <w:rsid w:val="004F12FB"/>
    <w:rsid w:val="004F6A0B"/>
    <w:rsid w:val="0050414B"/>
    <w:rsid w:val="00507F98"/>
    <w:rsid w:val="00511C0A"/>
    <w:rsid w:val="005164E0"/>
    <w:rsid w:val="00517FD9"/>
    <w:rsid w:val="00532C19"/>
    <w:rsid w:val="00536EF3"/>
    <w:rsid w:val="00543B1C"/>
    <w:rsid w:val="00544F32"/>
    <w:rsid w:val="005565C0"/>
    <w:rsid w:val="00560A00"/>
    <w:rsid w:val="005616B3"/>
    <w:rsid w:val="00584645"/>
    <w:rsid w:val="00586D9A"/>
    <w:rsid w:val="00587727"/>
    <w:rsid w:val="0059016D"/>
    <w:rsid w:val="00591F8C"/>
    <w:rsid w:val="00593234"/>
    <w:rsid w:val="005A7387"/>
    <w:rsid w:val="005D2678"/>
    <w:rsid w:val="005D6027"/>
    <w:rsid w:val="005D75C8"/>
    <w:rsid w:val="005F0C58"/>
    <w:rsid w:val="005F31DB"/>
    <w:rsid w:val="00605FE6"/>
    <w:rsid w:val="0060611D"/>
    <w:rsid w:val="00611385"/>
    <w:rsid w:val="0061718D"/>
    <w:rsid w:val="00620917"/>
    <w:rsid w:val="00621EB1"/>
    <w:rsid w:val="0062243B"/>
    <w:rsid w:val="00636BEC"/>
    <w:rsid w:val="0064365C"/>
    <w:rsid w:val="00647AAC"/>
    <w:rsid w:val="0065622C"/>
    <w:rsid w:val="00661311"/>
    <w:rsid w:val="0066349C"/>
    <w:rsid w:val="00666493"/>
    <w:rsid w:val="00667C3B"/>
    <w:rsid w:val="00674D03"/>
    <w:rsid w:val="00685895"/>
    <w:rsid w:val="00686DC4"/>
    <w:rsid w:val="006900F8"/>
    <w:rsid w:val="006912D7"/>
    <w:rsid w:val="006953C3"/>
    <w:rsid w:val="006A2C1C"/>
    <w:rsid w:val="006B42F7"/>
    <w:rsid w:val="006B65F3"/>
    <w:rsid w:val="006B6798"/>
    <w:rsid w:val="006C0980"/>
    <w:rsid w:val="006C2CA4"/>
    <w:rsid w:val="006D3012"/>
    <w:rsid w:val="006D4098"/>
    <w:rsid w:val="006E325D"/>
    <w:rsid w:val="006F21F7"/>
    <w:rsid w:val="006F269E"/>
    <w:rsid w:val="006F31D4"/>
    <w:rsid w:val="007003A4"/>
    <w:rsid w:val="00702E47"/>
    <w:rsid w:val="007116D8"/>
    <w:rsid w:val="00733AAE"/>
    <w:rsid w:val="0074099B"/>
    <w:rsid w:val="007440FC"/>
    <w:rsid w:val="00747075"/>
    <w:rsid w:val="00750190"/>
    <w:rsid w:val="007563FE"/>
    <w:rsid w:val="00771BB3"/>
    <w:rsid w:val="00773791"/>
    <w:rsid w:val="00777392"/>
    <w:rsid w:val="007832E1"/>
    <w:rsid w:val="00783B11"/>
    <w:rsid w:val="00785F88"/>
    <w:rsid w:val="0079312F"/>
    <w:rsid w:val="007A005A"/>
    <w:rsid w:val="007A2059"/>
    <w:rsid w:val="007B66AD"/>
    <w:rsid w:val="007C2875"/>
    <w:rsid w:val="007C4278"/>
    <w:rsid w:val="007D7FA0"/>
    <w:rsid w:val="007E408D"/>
    <w:rsid w:val="007F2A65"/>
    <w:rsid w:val="008006E7"/>
    <w:rsid w:val="00812BAE"/>
    <w:rsid w:val="0081328A"/>
    <w:rsid w:val="008171F9"/>
    <w:rsid w:val="00826909"/>
    <w:rsid w:val="00830CB9"/>
    <w:rsid w:val="00832DE0"/>
    <w:rsid w:val="00850615"/>
    <w:rsid w:val="00853056"/>
    <w:rsid w:val="0086125E"/>
    <w:rsid w:val="00877658"/>
    <w:rsid w:val="00881E16"/>
    <w:rsid w:val="008828DD"/>
    <w:rsid w:val="008B2312"/>
    <w:rsid w:val="008B4835"/>
    <w:rsid w:val="008D159F"/>
    <w:rsid w:val="008D3208"/>
    <w:rsid w:val="008D351C"/>
    <w:rsid w:val="008D7DBF"/>
    <w:rsid w:val="008E4843"/>
    <w:rsid w:val="00902C12"/>
    <w:rsid w:val="00917D11"/>
    <w:rsid w:val="00923BB8"/>
    <w:rsid w:val="00952DB8"/>
    <w:rsid w:val="00953EC9"/>
    <w:rsid w:val="00953F76"/>
    <w:rsid w:val="00963ACA"/>
    <w:rsid w:val="00964295"/>
    <w:rsid w:val="00964384"/>
    <w:rsid w:val="00972110"/>
    <w:rsid w:val="00972B62"/>
    <w:rsid w:val="00973C11"/>
    <w:rsid w:val="00975213"/>
    <w:rsid w:val="00983A27"/>
    <w:rsid w:val="00991581"/>
    <w:rsid w:val="009928BA"/>
    <w:rsid w:val="0099414F"/>
    <w:rsid w:val="0099678E"/>
    <w:rsid w:val="009B065A"/>
    <w:rsid w:val="009B4019"/>
    <w:rsid w:val="009C6CE8"/>
    <w:rsid w:val="009D6125"/>
    <w:rsid w:val="009E4931"/>
    <w:rsid w:val="009E6D2A"/>
    <w:rsid w:val="009F6194"/>
    <w:rsid w:val="00A05B93"/>
    <w:rsid w:val="00A06881"/>
    <w:rsid w:val="00A26255"/>
    <w:rsid w:val="00A33AB9"/>
    <w:rsid w:val="00A40551"/>
    <w:rsid w:val="00A4232A"/>
    <w:rsid w:val="00A46464"/>
    <w:rsid w:val="00A66F19"/>
    <w:rsid w:val="00A70F68"/>
    <w:rsid w:val="00A8130F"/>
    <w:rsid w:val="00A84756"/>
    <w:rsid w:val="00A92492"/>
    <w:rsid w:val="00AA4A95"/>
    <w:rsid w:val="00AB55DC"/>
    <w:rsid w:val="00AC5150"/>
    <w:rsid w:val="00AC5F66"/>
    <w:rsid w:val="00AE0E68"/>
    <w:rsid w:val="00AF2B3E"/>
    <w:rsid w:val="00B06498"/>
    <w:rsid w:val="00B117BE"/>
    <w:rsid w:val="00B11A47"/>
    <w:rsid w:val="00B13D7D"/>
    <w:rsid w:val="00B23193"/>
    <w:rsid w:val="00B250BD"/>
    <w:rsid w:val="00B52EFD"/>
    <w:rsid w:val="00B53457"/>
    <w:rsid w:val="00B64C37"/>
    <w:rsid w:val="00B75D4A"/>
    <w:rsid w:val="00B76274"/>
    <w:rsid w:val="00B77426"/>
    <w:rsid w:val="00B9621A"/>
    <w:rsid w:val="00BA280C"/>
    <w:rsid w:val="00BA5113"/>
    <w:rsid w:val="00BA72E8"/>
    <w:rsid w:val="00BA7EB4"/>
    <w:rsid w:val="00BB7314"/>
    <w:rsid w:val="00BB740A"/>
    <w:rsid w:val="00BB7B62"/>
    <w:rsid w:val="00BC20C6"/>
    <w:rsid w:val="00BC696F"/>
    <w:rsid w:val="00BD2C64"/>
    <w:rsid w:val="00BD2E11"/>
    <w:rsid w:val="00BD3BAA"/>
    <w:rsid w:val="00BD3FFA"/>
    <w:rsid w:val="00BE4C9A"/>
    <w:rsid w:val="00BE631C"/>
    <w:rsid w:val="00BF0CE3"/>
    <w:rsid w:val="00BF2358"/>
    <w:rsid w:val="00C01749"/>
    <w:rsid w:val="00C02A36"/>
    <w:rsid w:val="00C30D1C"/>
    <w:rsid w:val="00C5406B"/>
    <w:rsid w:val="00C55053"/>
    <w:rsid w:val="00C63DD7"/>
    <w:rsid w:val="00C7033F"/>
    <w:rsid w:val="00C721CF"/>
    <w:rsid w:val="00C742B4"/>
    <w:rsid w:val="00C80E91"/>
    <w:rsid w:val="00C83225"/>
    <w:rsid w:val="00C90A76"/>
    <w:rsid w:val="00C960D2"/>
    <w:rsid w:val="00CB6E11"/>
    <w:rsid w:val="00CE7452"/>
    <w:rsid w:val="00CF4430"/>
    <w:rsid w:val="00CF54A8"/>
    <w:rsid w:val="00D0212B"/>
    <w:rsid w:val="00D06E12"/>
    <w:rsid w:val="00D2533B"/>
    <w:rsid w:val="00D344B2"/>
    <w:rsid w:val="00D4088F"/>
    <w:rsid w:val="00D43F73"/>
    <w:rsid w:val="00D44C56"/>
    <w:rsid w:val="00D471CC"/>
    <w:rsid w:val="00D52173"/>
    <w:rsid w:val="00D60717"/>
    <w:rsid w:val="00D6379E"/>
    <w:rsid w:val="00D66177"/>
    <w:rsid w:val="00D72358"/>
    <w:rsid w:val="00D74155"/>
    <w:rsid w:val="00D74FBF"/>
    <w:rsid w:val="00D76131"/>
    <w:rsid w:val="00D90A03"/>
    <w:rsid w:val="00D94C95"/>
    <w:rsid w:val="00DA0F06"/>
    <w:rsid w:val="00DB079F"/>
    <w:rsid w:val="00DC1989"/>
    <w:rsid w:val="00DC34ED"/>
    <w:rsid w:val="00DC6C16"/>
    <w:rsid w:val="00DD098B"/>
    <w:rsid w:val="00DE44EA"/>
    <w:rsid w:val="00DE655A"/>
    <w:rsid w:val="00E00F35"/>
    <w:rsid w:val="00E07383"/>
    <w:rsid w:val="00E1659A"/>
    <w:rsid w:val="00E21A58"/>
    <w:rsid w:val="00E2240A"/>
    <w:rsid w:val="00E255B7"/>
    <w:rsid w:val="00E35932"/>
    <w:rsid w:val="00E42634"/>
    <w:rsid w:val="00E442CA"/>
    <w:rsid w:val="00E62296"/>
    <w:rsid w:val="00E6691D"/>
    <w:rsid w:val="00E75697"/>
    <w:rsid w:val="00E83841"/>
    <w:rsid w:val="00E8646B"/>
    <w:rsid w:val="00EA1706"/>
    <w:rsid w:val="00EB4D24"/>
    <w:rsid w:val="00EB6F6F"/>
    <w:rsid w:val="00ED3C38"/>
    <w:rsid w:val="00ED43D3"/>
    <w:rsid w:val="00EE21B3"/>
    <w:rsid w:val="00EF2809"/>
    <w:rsid w:val="00EF3A0A"/>
    <w:rsid w:val="00F101C6"/>
    <w:rsid w:val="00F22F78"/>
    <w:rsid w:val="00F258C1"/>
    <w:rsid w:val="00F26138"/>
    <w:rsid w:val="00F34BB2"/>
    <w:rsid w:val="00F34F58"/>
    <w:rsid w:val="00F402EB"/>
    <w:rsid w:val="00F41342"/>
    <w:rsid w:val="00F505D5"/>
    <w:rsid w:val="00F5522A"/>
    <w:rsid w:val="00F55550"/>
    <w:rsid w:val="00F64655"/>
    <w:rsid w:val="00FA36E1"/>
    <w:rsid w:val="00FB1771"/>
    <w:rsid w:val="00FB5CD4"/>
    <w:rsid w:val="00FC15C9"/>
    <w:rsid w:val="00FC3AA5"/>
    <w:rsid w:val="00FC63E0"/>
    <w:rsid w:val="00FD37B1"/>
    <w:rsid w:val="00FE373C"/>
    <w:rsid w:val="00FE5577"/>
    <w:rsid w:val="00FE67DB"/>
    <w:rsid w:val="00FF15F4"/>
    <w:rsid w:val="00FF3C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2EC06D"/>
  <w15:chartTrackingRefBased/>
  <w15:docId w15:val="{2D205AC9-F07F-4AA7-B4F1-E0D6C6AF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5D5"/>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05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05D5"/>
    <w:rPr>
      <w:rFonts w:ascii="Palatino Linotype" w:hAnsi="Palatino Linotype"/>
      <w:color w:val="000000" w:themeColor="text1"/>
    </w:rPr>
  </w:style>
  <w:style w:type="paragraph" w:styleId="Piedepgina">
    <w:name w:val="footer"/>
    <w:basedOn w:val="Normal"/>
    <w:link w:val="PiedepginaCar"/>
    <w:uiPriority w:val="99"/>
    <w:unhideWhenUsed/>
    <w:rsid w:val="00F505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05D5"/>
    <w:rPr>
      <w:rFonts w:ascii="Palatino Linotype" w:hAnsi="Palatino Linotype"/>
      <w:color w:val="000000" w:themeColor="text1"/>
    </w:rPr>
  </w:style>
  <w:style w:type="table" w:styleId="Tablaconcuadrcula">
    <w:name w:val="Table Grid"/>
    <w:basedOn w:val="Tablanormal"/>
    <w:uiPriority w:val="39"/>
    <w:qFormat/>
    <w:rsid w:val="00F505D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505D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505D5"/>
    <w:rPr>
      <w:rFonts w:ascii="Palatino Linotype" w:hAnsi="Palatino Linotype"/>
      <w:color w:val="000000" w:themeColor="text1"/>
    </w:rPr>
  </w:style>
  <w:style w:type="character" w:customStyle="1" w:styleId="normaltextrun">
    <w:name w:val="normaltextrun"/>
    <w:basedOn w:val="Fuentedeprrafopredeter"/>
    <w:rsid w:val="00F505D5"/>
  </w:style>
  <w:style w:type="paragraph" w:customStyle="1" w:styleId="paragraph">
    <w:name w:val="paragraph"/>
    <w:basedOn w:val="Normal"/>
    <w:rsid w:val="00F505D5"/>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F505D5"/>
  </w:style>
  <w:style w:type="character" w:styleId="Hipervnculo">
    <w:name w:val="Hyperlink"/>
    <w:basedOn w:val="Fuentedeprrafopredeter"/>
    <w:uiPriority w:val="99"/>
    <w:unhideWhenUsed/>
    <w:rsid w:val="00507F98"/>
    <w:rPr>
      <w:color w:val="0563C1" w:themeColor="hyperlink"/>
      <w:u w:val="single"/>
    </w:rPr>
  </w:style>
  <w:style w:type="character" w:customStyle="1" w:styleId="Mencinsinresolver1">
    <w:name w:val="Mención sin resolver1"/>
    <w:basedOn w:val="Fuentedeprrafopredeter"/>
    <w:uiPriority w:val="99"/>
    <w:semiHidden/>
    <w:unhideWhenUsed/>
    <w:rsid w:val="00507F98"/>
    <w:rPr>
      <w:color w:val="605E5C"/>
      <w:shd w:val="clear" w:color="auto" w:fill="E1DFDD"/>
    </w:rPr>
  </w:style>
  <w:style w:type="paragraph" w:styleId="NormalWeb">
    <w:name w:val="Normal (Web)"/>
    <w:basedOn w:val="Normal"/>
    <w:uiPriority w:val="99"/>
    <w:unhideWhenUsed/>
    <w:rsid w:val="00D2533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0142">
      <w:bodyDiv w:val="1"/>
      <w:marLeft w:val="0"/>
      <w:marRight w:val="0"/>
      <w:marTop w:val="0"/>
      <w:marBottom w:val="0"/>
      <w:divBdr>
        <w:top w:val="none" w:sz="0" w:space="0" w:color="auto"/>
        <w:left w:val="none" w:sz="0" w:space="0" w:color="auto"/>
        <w:bottom w:val="none" w:sz="0" w:space="0" w:color="auto"/>
        <w:right w:val="none" w:sz="0" w:space="0" w:color="auto"/>
      </w:divBdr>
    </w:div>
    <w:div w:id="81530791">
      <w:bodyDiv w:val="1"/>
      <w:marLeft w:val="0"/>
      <w:marRight w:val="0"/>
      <w:marTop w:val="0"/>
      <w:marBottom w:val="0"/>
      <w:divBdr>
        <w:top w:val="none" w:sz="0" w:space="0" w:color="auto"/>
        <w:left w:val="none" w:sz="0" w:space="0" w:color="auto"/>
        <w:bottom w:val="none" w:sz="0" w:space="0" w:color="auto"/>
        <w:right w:val="none" w:sz="0" w:space="0" w:color="auto"/>
      </w:divBdr>
    </w:div>
    <w:div w:id="141429162">
      <w:bodyDiv w:val="1"/>
      <w:marLeft w:val="0"/>
      <w:marRight w:val="0"/>
      <w:marTop w:val="0"/>
      <w:marBottom w:val="0"/>
      <w:divBdr>
        <w:top w:val="none" w:sz="0" w:space="0" w:color="auto"/>
        <w:left w:val="none" w:sz="0" w:space="0" w:color="auto"/>
        <w:bottom w:val="none" w:sz="0" w:space="0" w:color="auto"/>
        <w:right w:val="none" w:sz="0" w:space="0" w:color="auto"/>
      </w:divBdr>
    </w:div>
    <w:div w:id="176695363">
      <w:bodyDiv w:val="1"/>
      <w:marLeft w:val="0"/>
      <w:marRight w:val="0"/>
      <w:marTop w:val="0"/>
      <w:marBottom w:val="0"/>
      <w:divBdr>
        <w:top w:val="none" w:sz="0" w:space="0" w:color="auto"/>
        <w:left w:val="none" w:sz="0" w:space="0" w:color="auto"/>
        <w:bottom w:val="none" w:sz="0" w:space="0" w:color="auto"/>
        <w:right w:val="none" w:sz="0" w:space="0" w:color="auto"/>
      </w:divBdr>
    </w:div>
    <w:div w:id="252515918">
      <w:bodyDiv w:val="1"/>
      <w:marLeft w:val="0"/>
      <w:marRight w:val="0"/>
      <w:marTop w:val="0"/>
      <w:marBottom w:val="0"/>
      <w:divBdr>
        <w:top w:val="none" w:sz="0" w:space="0" w:color="auto"/>
        <w:left w:val="none" w:sz="0" w:space="0" w:color="auto"/>
        <w:bottom w:val="none" w:sz="0" w:space="0" w:color="auto"/>
        <w:right w:val="none" w:sz="0" w:space="0" w:color="auto"/>
      </w:divBdr>
    </w:div>
    <w:div w:id="342050330">
      <w:bodyDiv w:val="1"/>
      <w:marLeft w:val="0"/>
      <w:marRight w:val="0"/>
      <w:marTop w:val="0"/>
      <w:marBottom w:val="0"/>
      <w:divBdr>
        <w:top w:val="none" w:sz="0" w:space="0" w:color="auto"/>
        <w:left w:val="none" w:sz="0" w:space="0" w:color="auto"/>
        <w:bottom w:val="none" w:sz="0" w:space="0" w:color="auto"/>
        <w:right w:val="none" w:sz="0" w:space="0" w:color="auto"/>
      </w:divBdr>
    </w:div>
    <w:div w:id="360133634">
      <w:bodyDiv w:val="1"/>
      <w:marLeft w:val="0"/>
      <w:marRight w:val="0"/>
      <w:marTop w:val="0"/>
      <w:marBottom w:val="0"/>
      <w:divBdr>
        <w:top w:val="none" w:sz="0" w:space="0" w:color="auto"/>
        <w:left w:val="none" w:sz="0" w:space="0" w:color="auto"/>
        <w:bottom w:val="none" w:sz="0" w:space="0" w:color="auto"/>
        <w:right w:val="none" w:sz="0" w:space="0" w:color="auto"/>
      </w:divBdr>
    </w:div>
    <w:div w:id="367491830">
      <w:bodyDiv w:val="1"/>
      <w:marLeft w:val="0"/>
      <w:marRight w:val="0"/>
      <w:marTop w:val="0"/>
      <w:marBottom w:val="0"/>
      <w:divBdr>
        <w:top w:val="none" w:sz="0" w:space="0" w:color="auto"/>
        <w:left w:val="none" w:sz="0" w:space="0" w:color="auto"/>
        <w:bottom w:val="none" w:sz="0" w:space="0" w:color="auto"/>
        <w:right w:val="none" w:sz="0" w:space="0" w:color="auto"/>
      </w:divBdr>
    </w:div>
    <w:div w:id="438648282">
      <w:bodyDiv w:val="1"/>
      <w:marLeft w:val="0"/>
      <w:marRight w:val="0"/>
      <w:marTop w:val="0"/>
      <w:marBottom w:val="0"/>
      <w:divBdr>
        <w:top w:val="none" w:sz="0" w:space="0" w:color="auto"/>
        <w:left w:val="none" w:sz="0" w:space="0" w:color="auto"/>
        <w:bottom w:val="none" w:sz="0" w:space="0" w:color="auto"/>
        <w:right w:val="none" w:sz="0" w:space="0" w:color="auto"/>
      </w:divBdr>
    </w:div>
    <w:div w:id="687367227">
      <w:bodyDiv w:val="1"/>
      <w:marLeft w:val="0"/>
      <w:marRight w:val="0"/>
      <w:marTop w:val="0"/>
      <w:marBottom w:val="0"/>
      <w:divBdr>
        <w:top w:val="none" w:sz="0" w:space="0" w:color="auto"/>
        <w:left w:val="none" w:sz="0" w:space="0" w:color="auto"/>
        <w:bottom w:val="none" w:sz="0" w:space="0" w:color="auto"/>
        <w:right w:val="none" w:sz="0" w:space="0" w:color="auto"/>
      </w:divBdr>
    </w:div>
    <w:div w:id="691995701">
      <w:bodyDiv w:val="1"/>
      <w:marLeft w:val="0"/>
      <w:marRight w:val="0"/>
      <w:marTop w:val="0"/>
      <w:marBottom w:val="0"/>
      <w:divBdr>
        <w:top w:val="none" w:sz="0" w:space="0" w:color="auto"/>
        <w:left w:val="none" w:sz="0" w:space="0" w:color="auto"/>
        <w:bottom w:val="none" w:sz="0" w:space="0" w:color="auto"/>
        <w:right w:val="none" w:sz="0" w:space="0" w:color="auto"/>
      </w:divBdr>
    </w:div>
    <w:div w:id="700055628">
      <w:bodyDiv w:val="1"/>
      <w:marLeft w:val="0"/>
      <w:marRight w:val="0"/>
      <w:marTop w:val="0"/>
      <w:marBottom w:val="0"/>
      <w:divBdr>
        <w:top w:val="none" w:sz="0" w:space="0" w:color="auto"/>
        <w:left w:val="none" w:sz="0" w:space="0" w:color="auto"/>
        <w:bottom w:val="none" w:sz="0" w:space="0" w:color="auto"/>
        <w:right w:val="none" w:sz="0" w:space="0" w:color="auto"/>
      </w:divBdr>
    </w:div>
    <w:div w:id="751780284">
      <w:bodyDiv w:val="1"/>
      <w:marLeft w:val="0"/>
      <w:marRight w:val="0"/>
      <w:marTop w:val="0"/>
      <w:marBottom w:val="0"/>
      <w:divBdr>
        <w:top w:val="none" w:sz="0" w:space="0" w:color="auto"/>
        <w:left w:val="none" w:sz="0" w:space="0" w:color="auto"/>
        <w:bottom w:val="none" w:sz="0" w:space="0" w:color="auto"/>
        <w:right w:val="none" w:sz="0" w:space="0" w:color="auto"/>
      </w:divBdr>
    </w:div>
    <w:div w:id="898398139">
      <w:bodyDiv w:val="1"/>
      <w:marLeft w:val="0"/>
      <w:marRight w:val="0"/>
      <w:marTop w:val="0"/>
      <w:marBottom w:val="0"/>
      <w:divBdr>
        <w:top w:val="none" w:sz="0" w:space="0" w:color="auto"/>
        <w:left w:val="none" w:sz="0" w:space="0" w:color="auto"/>
        <w:bottom w:val="none" w:sz="0" w:space="0" w:color="auto"/>
        <w:right w:val="none" w:sz="0" w:space="0" w:color="auto"/>
      </w:divBdr>
    </w:div>
    <w:div w:id="900019804">
      <w:bodyDiv w:val="1"/>
      <w:marLeft w:val="0"/>
      <w:marRight w:val="0"/>
      <w:marTop w:val="0"/>
      <w:marBottom w:val="0"/>
      <w:divBdr>
        <w:top w:val="none" w:sz="0" w:space="0" w:color="auto"/>
        <w:left w:val="none" w:sz="0" w:space="0" w:color="auto"/>
        <w:bottom w:val="none" w:sz="0" w:space="0" w:color="auto"/>
        <w:right w:val="none" w:sz="0" w:space="0" w:color="auto"/>
      </w:divBdr>
    </w:div>
    <w:div w:id="905070264">
      <w:bodyDiv w:val="1"/>
      <w:marLeft w:val="0"/>
      <w:marRight w:val="0"/>
      <w:marTop w:val="0"/>
      <w:marBottom w:val="0"/>
      <w:divBdr>
        <w:top w:val="none" w:sz="0" w:space="0" w:color="auto"/>
        <w:left w:val="none" w:sz="0" w:space="0" w:color="auto"/>
        <w:bottom w:val="none" w:sz="0" w:space="0" w:color="auto"/>
        <w:right w:val="none" w:sz="0" w:space="0" w:color="auto"/>
      </w:divBdr>
    </w:div>
    <w:div w:id="964502150">
      <w:bodyDiv w:val="1"/>
      <w:marLeft w:val="0"/>
      <w:marRight w:val="0"/>
      <w:marTop w:val="0"/>
      <w:marBottom w:val="0"/>
      <w:divBdr>
        <w:top w:val="none" w:sz="0" w:space="0" w:color="auto"/>
        <w:left w:val="none" w:sz="0" w:space="0" w:color="auto"/>
        <w:bottom w:val="none" w:sz="0" w:space="0" w:color="auto"/>
        <w:right w:val="none" w:sz="0" w:space="0" w:color="auto"/>
      </w:divBdr>
    </w:div>
    <w:div w:id="1093164157">
      <w:bodyDiv w:val="1"/>
      <w:marLeft w:val="0"/>
      <w:marRight w:val="0"/>
      <w:marTop w:val="0"/>
      <w:marBottom w:val="0"/>
      <w:divBdr>
        <w:top w:val="none" w:sz="0" w:space="0" w:color="auto"/>
        <w:left w:val="none" w:sz="0" w:space="0" w:color="auto"/>
        <w:bottom w:val="none" w:sz="0" w:space="0" w:color="auto"/>
        <w:right w:val="none" w:sz="0" w:space="0" w:color="auto"/>
      </w:divBdr>
    </w:div>
    <w:div w:id="1093357303">
      <w:bodyDiv w:val="1"/>
      <w:marLeft w:val="0"/>
      <w:marRight w:val="0"/>
      <w:marTop w:val="0"/>
      <w:marBottom w:val="0"/>
      <w:divBdr>
        <w:top w:val="none" w:sz="0" w:space="0" w:color="auto"/>
        <w:left w:val="none" w:sz="0" w:space="0" w:color="auto"/>
        <w:bottom w:val="none" w:sz="0" w:space="0" w:color="auto"/>
        <w:right w:val="none" w:sz="0" w:space="0" w:color="auto"/>
      </w:divBdr>
    </w:div>
    <w:div w:id="1110904110">
      <w:bodyDiv w:val="1"/>
      <w:marLeft w:val="0"/>
      <w:marRight w:val="0"/>
      <w:marTop w:val="0"/>
      <w:marBottom w:val="0"/>
      <w:divBdr>
        <w:top w:val="none" w:sz="0" w:space="0" w:color="auto"/>
        <w:left w:val="none" w:sz="0" w:space="0" w:color="auto"/>
        <w:bottom w:val="none" w:sz="0" w:space="0" w:color="auto"/>
        <w:right w:val="none" w:sz="0" w:space="0" w:color="auto"/>
      </w:divBdr>
    </w:div>
    <w:div w:id="1144855382">
      <w:bodyDiv w:val="1"/>
      <w:marLeft w:val="0"/>
      <w:marRight w:val="0"/>
      <w:marTop w:val="0"/>
      <w:marBottom w:val="0"/>
      <w:divBdr>
        <w:top w:val="none" w:sz="0" w:space="0" w:color="auto"/>
        <w:left w:val="none" w:sz="0" w:space="0" w:color="auto"/>
        <w:bottom w:val="none" w:sz="0" w:space="0" w:color="auto"/>
        <w:right w:val="none" w:sz="0" w:space="0" w:color="auto"/>
      </w:divBdr>
    </w:div>
    <w:div w:id="1687486698">
      <w:bodyDiv w:val="1"/>
      <w:marLeft w:val="0"/>
      <w:marRight w:val="0"/>
      <w:marTop w:val="0"/>
      <w:marBottom w:val="0"/>
      <w:divBdr>
        <w:top w:val="none" w:sz="0" w:space="0" w:color="auto"/>
        <w:left w:val="none" w:sz="0" w:space="0" w:color="auto"/>
        <w:bottom w:val="none" w:sz="0" w:space="0" w:color="auto"/>
        <w:right w:val="none" w:sz="0" w:space="0" w:color="auto"/>
      </w:divBdr>
    </w:div>
    <w:div w:id="1955746342">
      <w:bodyDiv w:val="1"/>
      <w:marLeft w:val="0"/>
      <w:marRight w:val="0"/>
      <w:marTop w:val="0"/>
      <w:marBottom w:val="0"/>
      <w:divBdr>
        <w:top w:val="none" w:sz="0" w:space="0" w:color="auto"/>
        <w:left w:val="none" w:sz="0" w:space="0" w:color="auto"/>
        <w:bottom w:val="none" w:sz="0" w:space="0" w:color="auto"/>
        <w:right w:val="none" w:sz="0" w:space="0" w:color="auto"/>
      </w:divBdr>
    </w:div>
    <w:div w:id="207326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paltepec.gob.mx/TransparenciaMunicipal.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5E1DD-C290-45DD-81CE-4D1F22F29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8192</Words>
  <Characters>45058</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INFOEM000</cp:lastModifiedBy>
  <cp:revision>4</cp:revision>
  <cp:lastPrinted>2025-12-19T17:00:00Z</cp:lastPrinted>
  <dcterms:created xsi:type="dcterms:W3CDTF">2025-12-19T17:00:00Z</dcterms:created>
  <dcterms:modified xsi:type="dcterms:W3CDTF">2026-02-24T15:02:00Z</dcterms:modified>
</cp:coreProperties>
</file>