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2"/>
          <w:lang w:val="es-ES" w:eastAsia="es-ES"/>
        </w:rPr>
        <w:id w:val="1393005918"/>
        <w:docPartObj>
          <w:docPartGallery w:val="Table of Contents"/>
          <w:docPartUnique/>
        </w:docPartObj>
      </w:sdtPr>
      <w:sdtEndPr>
        <w:rPr>
          <w:b/>
          <w:bCs/>
        </w:rPr>
      </w:sdtEndPr>
      <w:sdtContent>
        <w:p w14:paraId="4C8EBD91" w14:textId="77777777" w:rsidR="00247497" w:rsidRPr="00670CB1" w:rsidRDefault="00247497" w:rsidP="00670CB1">
          <w:pPr>
            <w:pStyle w:val="TtulodeTDC"/>
            <w:rPr>
              <w:color w:val="auto"/>
              <w:sz w:val="22"/>
              <w:szCs w:val="22"/>
            </w:rPr>
          </w:pPr>
          <w:r w:rsidRPr="00670CB1">
            <w:rPr>
              <w:color w:val="auto"/>
              <w:sz w:val="22"/>
              <w:szCs w:val="22"/>
              <w:lang w:val="es-ES"/>
            </w:rPr>
            <w:t>Contenido</w:t>
          </w:r>
        </w:p>
        <w:p w14:paraId="5D530BDE" w14:textId="77777777" w:rsidR="00670CB1" w:rsidRPr="00670CB1" w:rsidRDefault="00247497" w:rsidP="00670CB1">
          <w:pPr>
            <w:pStyle w:val="TDC1"/>
            <w:tabs>
              <w:tab w:val="right" w:leader="dot" w:pos="9034"/>
            </w:tabs>
            <w:rPr>
              <w:rFonts w:asciiTheme="minorHAnsi" w:eastAsiaTheme="minorEastAsia" w:hAnsiTheme="minorHAnsi" w:cstheme="minorBidi"/>
              <w:noProof/>
              <w:szCs w:val="22"/>
              <w:lang w:eastAsia="es-MX"/>
            </w:rPr>
          </w:pPr>
          <w:r w:rsidRPr="00670CB1">
            <w:rPr>
              <w:b/>
              <w:bCs/>
              <w:szCs w:val="22"/>
              <w:lang w:val="es-ES"/>
            </w:rPr>
            <w:fldChar w:fldCharType="begin"/>
          </w:r>
          <w:r w:rsidRPr="00670CB1">
            <w:rPr>
              <w:b/>
              <w:bCs/>
              <w:szCs w:val="22"/>
              <w:lang w:val="es-ES"/>
            </w:rPr>
            <w:instrText xml:space="preserve"> TOC \o "1-3" \h \z \u </w:instrText>
          </w:r>
          <w:r w:rsidRPr="00670CB1">
            <w:rPr>
              <w:b/>
              <w:bCs/>
              <w:szCs w:val="22"/>
              <w:lang w:val="es-ES"/>
            </w:rPr>
            <w:fldChar w:fldCharType="separate"/>
          </w:r>
          <w:hyperlink w:anchor="_Toc198750504" w:history="1">
            <w:r w:rsidR="00670CB1" w:rsidRPr="00670CB1">
              <w:rPr>
                <w:rStyle w:val="Hipervnculo"/>
                <w:rFonts w:eastAsiaTheme="majorEastAsia"/>
                <w:noProof/>
                <w:color w:val="auto"/>
              </w:rPr>
              <w:t>ANTECEDENTES</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_Toc198750504 \h </w:instrText>
            </w:r>
            <w:r w:rsidR="00670CB1" w:rsidRPr="00670CB1">
              <w:rPr>
                <w:noProof/>
                <w:webHidden/>
              </w:rPr>
            </w:r>
            <w:r w:rsidR="00670CB1" w:rsidRPr="00670CB1">
              <w:rPr>
                <w:noProof/>
                <w:webHidden/>
              </w:rPr>
              <w:fldChar w:fldCharType="separate"/>
            </w:r>
            <w:r w:rsidR="00DE0CFB">
              <w:rPr>
                <w:noProof/>
                <w:webHidden/>
              </w:rPr>
              <w:t>1</w:t>
            </w:r>
            <w:r w:rsidR="00670CB1" w:rsidRPr="00670CB1">
              <w:rPr>
                <w:noProof/>
                <w:webHidden/>
              </w:rPr>
              <w:fldChar w:fldCharType="end"/>
            </w:r>
          </w:hyperlink>
        </w:p>
        <w:p w14:paraId="55FB33F7" w14:textId="77777777" w:rsidR="00670CB1" w:rsidRPr="00670CB1" w:rsidRDefault="00DE0CFB" w:rsidP="00670CB1">
          <w:pPr>
            <w:pStyle w:val="TDC2"/>
            <w:rPr>
              <w:rFonts w:asciiTheme="minorHAnsi" w:eastAsiaTheme="minorEastAsia" w:hAnsiTheme="minorHAnsi" w:cstheme="minorBidi"/>
              <w:noProof/>
              <w:szCs w:val="22"/>
              <w:lang w:eastAsia="es-MX"/>
            </w:rPr>
          </w:pPr>
          <w:hyperlink w:anchor="_Toc198750505" w:history="1">
            <w:r w:rsidR="00670CB1" w:rsidRPr="00670CB1">
              <w:rPr>
                <w:rStyle w:val="Hipervnculo"/>
                <w:rFonts w:eastAsiaTheme="majorEastAsia"/>
                <w:noProof/>
                <w:color w:val="auto"/>
              </w:rPr>
              <w:t>DE LA SOLICITUD DE INFORMACIÓN</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_Toc198750505 \h </w:instrText>
            </w:r>
            <w:r w:rsidR="00670CB1" w:rsidRPr="00670CB1">
              <w:rPr>
                <w:noProof/>
                <w:webHidden/>
              </w:rPr>
            </w:r>
            <w:r w:rsidR="00670CB1" w:rsidRPr="00670CB1">
              <w:rPr>
                <w:noProof/>
                <w:webHidden/>
              </w:rPr>
              <w:fldChar w:fldCharType="separate"/>
            </w:r>
            <w:r>
              <w:rPr>
                <w:noProof/>
                <w:webHidden/>
              </w:rPr>
              <w:t>1</w:t>
            </w:r>
            <w:r w:rsidR="00670CB1" w:rsidRPr="00670CB1">
              <w:rPr>
                <w:noProof/>
                <w:webHidden/>
              </w:rPr>
              <w:fldChar w:fldCharType="end"/>
            </w:r>
          </w:hyperlink>
        </w:p>
        <w:p w14:paraId="21056F49"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06" w:history="1">
            <w:r w:rsidR="00670CB1" w:rsidRPr="00670CB1">
              <w:rPr>
                <w:rStyle w:val="Hipervnculo"/>
                <w:rFonts w:eastAsiaTheme="majorEastAsia"/>
                <w:noProof/>
                <w:color w:val="auto"/>
              </w:rPr>
              <w:t>a) Solicitud de información.</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_Toc198750506 \h </w:instrText>
            </w:r>
            <w:r w:rsidR="00670CB1" w:rsidRPr="00670CB1">
              <w:rPr>
                <w:noProof/>
                <w:webHidden/>
              </w:rPr>
            </w:r>
            <w:r w:rsidR="00670CB1" w:rsidRPr="00670CB1">
              <w:rPr>
                <w:noProof/>
                <w:webHidden/>
              </w:rPr>
              <w:fldChar w:fldCharType="separate"/>
            </w:r>
            <w:r>
              <w:rPr>
                <w:noProof/>
                <w:webHidden/>
              </w:rPr>
              <w:t>1</w:t>
            </w:r>
            <w:r w:rsidR="00670CB1" w:rsidRPr="00670CB1">
              <w:rPr>
                <w:noProof/>
                <w:webHidden/>
              </w:rPr>
              <w:fldChar w:fldCharType="end"/>
            </w:r>
          </w:hyperlink>
        </w:p>
        <w:p w14:paraId="688B1437"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07" w:history="1">
            <w:r w:rsidR="00670CB1" w:rsidRPr="00670CB1">
              <w:rPr>
                <w:rStyle w:val="Hipervnculo"/>
                <w:rFonts w:eastAsiaTheme="majorEastAsia"/>
                <w:noProof/>
                <w:color w:val="auto"/>
              </w:rPr>
              <w:t>b) Turno de la solicitud de información.</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_Toc198750507 \h </w:instrText>
            </w:r>
            <w:r w:rsidR="00670CB1" w:rsidRPr="00670CB1">
              <w:rPr>
                <w:noProof/>
                <w:webHidden/>
              </w:rPr>
            </w:r>
            <w:r w:rsidR="00670CB1" w:rsidRPr="00670CB1">
              <w:rPr>
                <w:noProof/>
                <w:webHidden/>
              </w:rPr>
              <w:fldChar w:fldCharType="separate"/>
            </w:r>
            <w:r>
              <w:rPr>
                <w:noProof/>
                <w:webHidden/>
              </w:rPr>
              <w:t>3</w:t>
            </w:r>
            <w:r w:rsidR="00670CB1" w:rsidRPr="00670CB1">
              <w:rPr>
                <w:noProof/>
                <w:webHidden/>
              </w:rPr>
              <w:fldChar w:fldCharType="end"/>
            </w:r>
          </w:hyperlink>
        </w:p>
        <w:p w14:paraId="3A9373DF"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08" w:history="1">
            <w:r w:rsidR="00670CB1" w:rsidRPr="00670CB1">
              <w:rPr>
                <w:rStyle w:val="Hipervnculo"/>
                <w:rFonts w:eastAsiaTheme="majorEastAsia"/>
                <w:noProof/>
                <w:color w:val="auto"/>
              </w:rPr>
              <w:t>c) Respuesta del Sujeto Obligado.</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_Toc198750508 \h </w:instrText>
            </w:r>
            <w:r w:rsidR="00670CB1" w:rsidRPr="00670CB1">
              <w:rPr>
                <w:noProof/>
                <w:webHidden/>
              </w:rPr>
            </w:r>
            <w:r w:rsidR="00670CB1" w:rsidRPr="00670CB1">
              <w:rPr>
                <w:noProof/>
                <w:webHidden/>
              </w:rPr>
              <w:fldChar w:fldCharType="separate"/>
            </w:r>
            <w:r>
              <w:rPr>
                <w:noProof/>
                <w:webHidden/>
              </w:rPr>
              <w:t>3</w:t>
            </w:r>
            <w:r w:rsidR="00670CB1" w:rsidRPr="00670CB1">
              <w:rPr>
                <w:noProof/>
                <w:webHidden/>
              </w:rPr>
              <w:fldChar w:fldCharType="end"/>
            </w:r>
          </w:hyperlink>
        </w:p>
        <w:p w14:paraId="45D10F73" w14:textId="77777777" w:rsidR="00670CB1" w:rsidRPr="00670CB1" w:rsidRDefault="00DE0CFB" w:rsidP="00670CB1">
          <w:pPr>
            <w:pStyle w:val="TDC2"/>
            <w:rPr>
              <w:rFonts w:asciiTheme="minorHAnsi" w:eastAsiaTheme="minorEastAsia" w:hAnsiTheme="minorHAnsi" w:cstheme="minorBidi"/>
              <w:noProof/>
              <w:szCs w:val="22"/>
              <w:lang w:eastAsia="es-MX"/>
            </w:rPr>
          </w:pPr>
          <w:hyperlink w:anchor="_Toc198750509" w:history="1">
            <w:r w:rsidR="00670CB1" w:rsidRPr="00670CB1">
              <w:rPr>
                <w:rStyle w:val="Hipervnculo"/>
                <w:rFonts w:eastAsiaTheme="majorEastAsia"/>
                <w:noProof/>
                <w:color w:val="auto"/>
              </w:rPr>
              <w:t>DEL RECURSO DE REVISIÓN</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_Toc198750509 \h </w:instrText>
            </w:r>
            <w:r w:rsidR="00670CB1" w:rsidRPr="00670CB1">
              <w:rPr>
                <w:noProof/>
                <w:webHidden/>
              </w:rPr>
            </w:r>
            <w:r w:rsidR="00670CB1" w:rsidRPr="00670CB1">
              <w:rPr>
                <w:noProof/>
                <w:webHidden/>
              </w:rPr>
              <w:fldChar w:fldCharType="separate"/>
            </w:r>
            <w:r>
              <w:rPr>
                <w:noProof/>
                <w:webHidden/>
              </w:rPr>
              <w:t>4</w:t>
            </w:r>
            <w:r w:rsidR="00670CB1" w:rsidRPr="00670CB1">
              <w:rPr>
                <w:noProof/>
                <w:webHidden/>
              </w:rPr>
              <w:fldChar w:fldCharType="end"/>
            </w:r>
          </w:hyperlink>
        </w:p>
        <w:p w14:paraId="004A75AA"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10" w:history="1">
            <w:r w:rsidR="00670CB1" w:rsidRPr="00670CB1">
              <w:rPr>
                <w:rStyle w:val="Hipervnculo"/>
                <w:rFonts w:eastAsiaTheme="majorEastAsia"/>
                <w:noProof/>
                <w:color w:val="auto"/>
              </w:rPr>
              <w:t>a) Interposición del Recurso de Revisión.</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_Toc198750510 \h </w:instrText>
            </w:r>
            <w:r w:rsidR="00670CB1" w:rsidRPr="00670CB1">
              <w:rPr>
                <w:noProof/>
                <w:webHidden/>
              </w:rPr>
            </w:r>
            <w:r w:rsidR="00670CB1" w:rsidRPr="00670CB1">
              <w:rPr>
                <w:noProof/>
                <w:webHidden/>
              </w:rPr>
              <w:fldChar w:fldCharType="separate"/>
            </w:r>
            <w:r>
              <w:rPr>
                <w:noProof/>
                <w:webHidden/>
              </w:rPr>
              <w:t>4</w:t>
            </w:r>
            <w:r w:rsidR="00670CB1" w:rsidRPr="00670CB1">
              <w:rPr>
                <w:noProof/>
                <w:webHidden/>
              </w:rPr>
              <w:fldChar w:fldCharType="end"/>
            </w:r>
          </w:hyperlink>
        </w:p>
        <w:p w14:paraId="4390A7CA"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11" w:history="1">
            <w:r w:rsidR="00670CB1" w:rsidRPr="00670CB1">
              <w:rPr>
                <w:rStyle w:val="Hipervnculo"/>
                <w:rFonts w:eastAsiaTheme="majorEastAsia"/>
                <w:noProof/>
                <w:color w:val="auto"/>
              </w:rPr>
              <w:t>b) Turno del Recurso de Revisión.</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_Toc198750511 \h </w:instrText>
            </w:r>
            <w:r w:rsidR="00670CB1" w:rsidRPr="00670CB1">
              <w:rPr>
                <w:noProof/>
                <w:webHidden/>
              </w:rPr>
            </w:r>
            <w:r w:rsidR="00670CB1" w:rsidRPr="00670CB1">
              <w:rPr>
                <w:noProof/>
                <w:webHidden/>
              </w:rPr>
              <w:fldChar w:fldCharType="separate"/>
            </w:r>
            <w:r>
              <w:rPr>
                <w:noProof/>
                <w:webHidden/>
              </w:rPr>
              <w:t>7</w:t>
            </w:r>
            <w:r w:rsidR="00670CB1" w:rsidRPr="00670CB1">
              <w:rPr>
                <w:noProof/>
                <w:webHidden/>
              </w:rPr>
              <w:fldChar w:fldCharType="end"/>
            </w:r>
          </w:hyperlink>
        </w:p>
        <w:p w14:paraId="1F81D098"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12" w:history="1">
            <w:r w:rsidR="00670CB1" w:rsidRPr="00670CB1">
              <w:rPr>
                <w:rStyle w:val="Hipervnculo"/>
                <w:rFonts w:eastAsiaTheme="majorEastAsia"/>
                <w:noProof/>
                <w:color w:val="auto"/>
              </w:rPr>
              <w:t>c) Admisión del Recurso de Revisión.</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_Toc198750512 \h </w:instrText>
            </w:r>
            <w:r w:rsidR="00670CB1" w:rsidRPr="00670CB1">
              <w:rPr>
                <w:noProof/>
                <w:webHidden/>
              </w:rPr>
            </w:r>
            <w:r w:rsidR="00670CB1" w:rsidRPr="00670CB1">
              <w:rPr>
                <w:noProof/>
                <w:webHidden/>
              </w:rPr>
              <w:fldChar w:fldCharType="separate"/>
            </w:r>
            <w:r>
              <w:rPr>
                <w:noProof/>
                <w:webHidden/>
              </w:rPr>
              <w:t>8</w:t>
            </w:r>
            <w:r w:rsidR="00670CB1" w:rsidRPr="00670CB1">
              <w:rPr>
                <w:noProof/>
                <w:webHidden/>
              </w:rPr>
              <w:fldChar w:fldCharType="end"/>
            </w:r>
          </w:hyperlink>
        </w:p>
        <w:p w14:paraId="522C21C6"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13" w:history="1">
            <w:r w:rsidR="00670CB1" w:rsidRPr="00670CB1">
              <w:rPr>
                <w:rStyle w:val="Hipervnculo"/>
                <w:rFonts w:eastAsiaTheme="majorEastAsia"/>
                <w:noProof/>
                <w:color w:val="auto"/>
              </w:rPr>
              <w:t>d) Manifestaciones de la Parte Recurrente.</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_Toc198750513 \h </w:instrText>
            </w:r>
            <w:r w:rsidR="00670CB1" w:rsidRPr="00670CB1">
              <w:rPr>
                <w:noProof/>
                <w:webHidden/>
              </w:rPr>
            </w:r>
            <w:r w:rsidR="00670CB1" w:rsidRPr="00670CB1">
              <w:rPr>
                <w:noProof/>
                <w:webHidden/>
              </w:rPr>
              <w:fldChar w:fldCharType="separate"/>
            </w:r>
            <w:r>
              <w:rPr>
                <w:noProof/>
                <w:webHidden/>
              </w:rPr>
              <w:t>8</w:t>
            </w:r>
            <w:r w:rsidR="00670CB1" w:rsidRPr="00670CB1">
              <w:rPr>
                <w:noProof/>
                <w:webHidden/>
              </w:rPr>
              <w:fldChar w:fldCharType="end"/>
            </w:r>
          </w:hyperlink>
        </w:p>
        <w:p w14:paraId="02187882"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14" w:history="1">
            <w:r w:rsidR="00670CB1" w:rsidRPr="00670CB1">
              <w:rPr>
                <w:rStyle w:val="Hipervnculo"/>
                <w:rFonts w:eastAsiaTheme="majorEastAsia"/>
                <w:noProof/>
                <w:color w:val="auto"/>
              </w:rPr>
              <w:t>e) Informe Justificado del Sujeto Obligado.</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_Toc198750514 \h </w:instrText>
            </w:r>
            <w:r w:rsidR="00670CB1" w:rsidRPr="00670CB1">
              <w:rPr>
                <w:noProof/>
                <w:webHidden/>
              </w:rPr>
            </w:r>
            <w:r w:rsidR="00670CB1" w:rsidRPr="00670CB1">
              <w:rPr>
                <w:noProof/>
                <w:webHidden/>
              </w:rPr>
              <w:fldChar w:fldCharType="separate"/>
            </w:r>
            <w:r>
              <w:rPr>
                <w:noProof/>
                <w:webHidden/>
              </w:rPr>
              <w:t>8</w:t>
            </w:r>
            <w:r w:rsidR="00670CB1" w:rsidRPr="00670CB1">
              <w:rPr>
                <w:noProof/>
                <w:webHidden/>
              </w:rPr>
              <w:fldChar w:fldCharType="end"/>
            </w:r>
          </w:hyperlink>
        </w:p>
        <w:p w14:paraId="7FD3C2F4"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15" w:history="1">
            <w:r w:rsidR="00670CB1" w:rsidRPr="00670CB1">
              <w:rPr>
                <w:rStyle w:val="Hipervnculo"/>
                <w:rFonts w:eastAsiaTheme="majorEastAsia"/>
                <w:noProof/>
                <w:color w:val="auto"/>
              </w:rPr>
              <w:t>f) Cierre de instrucción.</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_Toc198750515 \h </w:instrText>
            </w:r>
            <w:r w:rsidR="00670CB1" w:rsidRPr="00670CB1">
              <w:rPr>
                <w:noProof/>
                <w:webHidden/>
              </w:rPr>
            </w:r>
            <w:r w:rsidR="00670CB1" w:rsidRPr="00670CB1">
              <w:rPr>
                <w:noProof/>
                <w:webHidden/>
              </w:rPr>
              <w:fldChar w:fldCharType="separate"/>
            </w:r>
            <w:r>
              <w:rPr>
                <w:noProof/>
                <w:webHidden/>
              </w:rPr>
              <w:t>8</w:t>
            </w:r>
            <w:r w:rsidR="00670CB1" w:rsidRPr="00670CB1">
              <w:rPr>
                <w:noProof/>
                <w:webHidden/>
              </w:rPr>
              <w:fldChar w:fldCharType="end"/>
            </w:r>
          </w:hyperlink>
        </w:p>
        <w:p w14:paraId="79EAFF87" w14:textId="77777777" w:rsidR="00670CB1" w:rsidRPr="00670CB1" w:rsidRDefault="00DE0CFB" w:rsidP="00670CB1">
          <w:pPr>
            <w:pStyle w:val="TDC1"/>
            <w:tabs>
              <w:tab w:val="right" w:leader="dot" w:pos="9034"/>
            </w:tabs>
            <w:rPr>
              <w:rFonts w:asciiTheme="minorHAnsi" w:eastAsiaTheme="minorEastAsia" w:hAnsiTheme="minorHAnsi" w:cstheme="minorBidi"/>
              <w:noProof/>
              <w:szCs w:val="22"/>
              <w:lang w:eastAsia="es-MX"/>
            </w:rPr>
          </w:pPr>
          <w:hyperlink w:anchor="_Toc198750516" w:history="1">
            <w:r w:rsidR="00670CB1" w:rsidRPr="00670CB1">
              <w:rPr>
                <w:rStyle w:val="Hipervnculo"/>
                <w:rFonts w:eastAsiaTheme="majorEastAsia"/>
                <w:noProof/>
                <w:color w:val="auto"/>
              </w:rPr>
              <w:t>CONSIDERANDOS</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_Toc198750516 \h </w:instrText>
            </w:r>
            <w:r w:rsidR="00670CB1" w:rsidRPr="00670CB1">
              <w:rPr>
                <w:noProof/>
                <w:webHidden/>
              </w:rPr>
            </w:r>
            <w:r w:rsidR="00670CB1" w:rsidRPr="00670CB1">
              <w:rPr>
                <w:noProof/>
                <w:webHidden/>
              </w:rPr>
              <w:fldChar w:fldCharType="separate"/>
            </w:r>
            <w:r>
              <w:rPr>
                <w:noProof/>
                <w:webHidden/>
              </w:rPr>
              <w:t>9</w:t>
            </w:r>
            <w:r w:rsidR="00670CB1" w:rsidRPr="00670CB1">
              <w:rPr>
                <w:noProof/>
                <w:webHidden/>
              </w:rPr>
              <w:fldChar w:fldCharType="end"/>
            </w:r>
          </w:hyperlink>
        </w:p>
        <w:p w14:paraId="4759DCBF" w14:textId="77777777" w:rsidR="00670CB1" w:rsidRPr="00670CB1" w:rsidRDefault="00DE0CFB" w:rsidP="00670CB1">
          <w:pPr>
            <w:pStyle w:val="TDC2"/>
            <w:rPr>
              <w:rFonts w:asciiTheme="minorHAnsi" w:eastAsiaTheme="minorEastAsia" w:hAnsiTheme="minorHAnsi" w:cstheme="minorBidi"/>
              <w:noProof/>
              <w:szCs w:val="22"/>
              <w:lang w:eastAsia="es-MX"/>
            </w:rPr>
          </w:pPr>
          <w:hyperlink w:anchor="_Toc198750517" w:history="1">
            <w:r w:rsidR="00670CB1" w:rsidRPr="00670CB1">
              <w:rPr>
                <w:rStyle w:val="Hipervnculo"/>
                <w:rFonts w:eastAsiaTheme="majorEastAsia"/>
                <w:noProof/>
                <w:color w:val="auto"/>
              </w:rPr>
              <w:t>PRIMERO. Procedibilidad</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_Toc198750517 \h </w:instrText>
            </w:r>
            <w:r w:rsidR="00670CB1" w:rsidRPr="00670CB1">
              <w:rPr>
                <w:noProof/>
                <w:webHidden/>
              </w:rPr>
            </w:r>
            <w:r w:rsidR="00670CB1" w:rsidRPr="00670CB1">
              <w:rPr>
                <w:noProof/>
                <w:webHidden/>
              </w:rPr>
              <w:fldChar w:fldCharType="separate"/>
            </w:r>
            <w:r>
              <w:rPr>
                <w:noProof/>
                <w:webHidden/>
              </w:rPr>
              <w:t>9</w:t>
            </w:r>
            <w:r w:rsidR="00670CB1" w:rsidRPr="00670CB1">
              <w:rPr>
                <w:noProof/>
                <w:webHidden/>
              </w:rPr>
              <w:fldChar w:fldCharType="end"/>
            </w:r>
          </w:hyperlink>
        </w:p>
        <w:p w14:paraId="5D766B38"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18" w:history="1">
            <w:r w:rsidR="00670CB1" w:rsidRPr="00670CB1">
              <w:rPr>
                <w:rStyle w:val="Hipervnculo"/>
                <w:rFonts w:eastAsiaTheme="majorEastAsia"/>
                <w:noProof/>
                <w:color w:val="auto"/>
              </w:rPr>
              <w:t>a) Competencia del Instituto.</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_Toc198750518 \h </w:instrText>
            </w:r>
            <w:r w:rsidR="00670CB1" w:rsidRPr="00670CB1">
              <w:rPr>
                <w:noProof/>
                <w:webHidden/>
              </w:rPr>
            </w:r>
            <w:r w:rsidR="00670CB1" w:rsidRPr="00670CB1">
              <w:rPr>
                <w:noProof/>
                <w:webHidden/>
              </w:rPr>
              <w:fldChar w:fldCharType="separate"/>
            </w:r>
            <w:r>
              <w:rPr>
                <w:noProof/>
                <w:webHidden/>
              </w:rPr>
              <w:t>9</w:t>
            </w:r>
            <w:r w:rsidR="00670CB1" w:rsidRPr="00670CB1">
              <w:rPr>
                <w:noProof/>
                <w:webHidden/>
              </w:rPr>
              <w:fldChar w:fldCharType="end"/>
            </w:r>
          </w:hyperlink>
        </w:p>
        <w:p w14:paraId="22FC2966"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19" w:history="1">
            <w:r w:rsidR="00670CB1" w:rsidRPr="00670CB1">
              <w:rPr>
                <w:rStyle w:val="Hipervnculo"/>
                <w:rFonts w:eastAsiaTheme="majorEastAsia"/>
                <w:noProof/>
                <w:color w:val="auto"/>
              </w:rPr>
              <w:t>b) Legitimidad de la parte recurrente.</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_Toc198750519 \h </w:instrText>
            </w:r>
            <w:r w:rsidR="00670CB1" w:rsidRPr="00670CB1">
              <w:rPr>
                <w:noProof/>
                <w:webHidden/>
              </w:rPr>
            </w:r>
            <w:r w:rsidR="00670CB1" w:rsidRPr="00670CB1">
              <w:rPr>
                <w:noProof/>
                <w:webHidden/>
              </w:rPr>
              <w:fldChar w:fldCharType="separate"/>
            </w:r>
            <w:r>
              <w:rPr>
                <w:noProof/>
                <w:webHidden/>
              </w:rPr>
              <w:t>9</w:t>
            </w:r>
            <w:r w:rsidR="00670CB1" w:rsidRPr="00670CB1">
              <w:rPr>
                <w:noProof/>
                <w:webHidden/>
              </w:rPr>
              <w:fldChar w:fldCharType="end"/>
            </w:r>
          </w:hyperlink>
        </w:p>
        <w:p w14:paraId="3ECCF0AB"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20" w:history="1">
            <w:r w:rsidR="00670CB1" w:rsidRPr="00670CB1">
              <w:rPr>
                <w:rStyle w:val="Hipervnculo"/>
                <w:rFonts w:eastAsiaTheme="majorEastAsia"/>
                <w:noProof/>
                <w:color w:val="auto"/>
              </w:rPr>
              <w:t>c) Plazo para interponer el recurso.</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_Toc198750520 \h </w:instrText>
            </w:r>
            <w:r w:rsidR="00670CB1" w:rsidRPr="00670CB1">
              <w:rPr>
                <w:noProof/>
                <w:webHidden/>
              </w:rPr>
            </w:r>
            <w:r w:rsidR="00670CB1" w:rsidRPr="00670CB1">
              <w:rPr>
                <w:noProof/>
                <w:webHidden/>
              </w:rPr>
              <w:fldChar w:fldCharType="separate"/>
            </w:r>
            <w:r>
              <w:rPr>
                <w:noProof/>
                <w:webHidden/>
              </w:rPr>
              <w:t>10</w:t>
            </w:r>
            <w:r w:rsidR="00670CB1" w:rsidRPr="00670CB1">
              <w:rPr>
                <w:noProof/>
                <w:webHidden/>
              </w:rPr>
              <w:fldChar w:fldCharType="end"/>
            </w:r>
          </w:hyperlink>
        </w:p>
        <w:p w14:paraId="573995F4"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21" w:history="1">
            <w:r w:rsidR="00670CB1" w:rsidRPr="00670CB1">
              <w:rPr>
                <w:rStyle w:val="Hipervnculo"/>
                <w:rFonts w:eastAsiaTheme="majorEastAsia"/>
                <w:noProof/>
                <w:color w:val="auto"/>
              </w:rPr>
              <w:t>d) Causal de procedencia.</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_Toc198750521 \h </w:instrText>
            </w:r>
            <w:r w:rsidR="00670CB1" w:rsidRPr="00670CB1">
              <w:rPr>
                <w:noProof/>
                <w:webHidden/>
              </w:rPr>
            </w:r>
            <w:r w:rsidR="00670CB1" w:rsidRPr="00670CB1">
              <w:rPr>
                <w:noProof/>
                <w:webHidden/>
              </w:rPr>
              <w:fldChar w:fldCharType="separate"/>
            </w:r>
            <w:r>
              <w:rPr>
                <w:noProof/>
                <w:webHidden/>
              </w:rPr>
              <w:t>10</w:t>
            </w:r>
            <w:r w:rsidR="00670CB1" w:rsidRPr="00670CB1">
              <w:rPr>
                <w:noProof/>
                <w:webHidden/>
              </w:rPr>
              <w:fldChar w:fldCharType="end"/>
            </w:r>
          </w:hyperlink>
        </w:p>
        <w:p w14:paraId="573A9691"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22" w:history="1">
            <w:r w:rsidR="00670CB1" w:rsidRPr="00670CB1">
              <w:rPr>
                <w:rStyle w:val="Hipervnculo"/>
                <w:rFonts w:eastAsiaTheme="majorEastAsia"/>
                <w:noProof/>
                <w:color w:val="auto"/>
              </w:rPr>
              <w:t>e) Requisitos formales para la interposición del recurso.</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_Toc198750522 \h </w:instrText>
            </w:r>
            <w:r w:rsidR="00670CB1" w:rsidRPr="00670CB1">
              <w:rPr>
                <w:noProof/>
                <w:webHidden/>
              </w:rPr>
            </w:r>
            <w:r w:rsidR="00670CB1" w:rsidRPr="00670CB1">
              <w:rPr>
                <w:noProof/>
                <w:webHidden/>
              </w:rPr>
              <w:fldChar w:fldCharType="separate"/>
            </w:r>
            <w:r>
              <w:rPr>
                <w:noProof/>
                <w:webHidden/>
              </w:rPr>
              <w:t>10</w:t>
            </w:r>
            <w:r w:rsidR="00670CB1" w:rsidRPr="00670CB1">
              <w:rPr>
                <w:noProof/>
                <w:webHidden/>
              </w:rPr>
              <w:fldChar w:fldCharType="end"/>
            </w:r>
          </w:hyperlink>
        </w:p>
        <w:p w14:paraId="7DAF2C36" w14:textId="77777777" w:rsidR="00670CB1" w:rsidRPr="00670CB1" w:rsidRDefault="00DE0CFB" w:rsidP="00670CB1">
          <w:pPr>
            <w:pStyle w:val="TDC2"/>
            <w:rPr>
              <w:rFonts w:asciiTheme="minorHAnsi" w:eastAsiaTheme="minorEastAsia" w:hAnsiTheme="minorHAnsi" w:cstheme="minorBidi"/>
              <w:noProof/>
              <w:szCs w:val="22"/>
              <w:lang w:eastAsia="es-MX"/>
            </w:rPr>
          </w:pPr>
          <w:hyperlink w:anchor="_Toc198750523" w:history="1">
            <w:r w:rsidR="00670CB1" w:rsidRPr="00670CB1">
              <w:rPr>
                <w:rStyle w:val="Hipervnculo"/>
                <w:rFonts w:eastAsiaTheme="majorEastAsia"/>
                <w:noProof/>
                <w:color w:val="auto"/>
              </w:rPr>
              <w:t>SEGUNDO. Estudio de Fondo.</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_Toc198750523 \h </w:instrText>
            </w:r>
            <w:r w:rsidR="00670CB1" w:rsidRPr="00670CB1">
              <w:rPr>
                <w:noProof/>
                <w:webHidden/>
              </w:rPr>
            </w:r>
            <w:r w:rsidR="00670CB1" w:rsidRPr="00670CB1">
              <w:rPr>
                <w:noProof/>
                <w:webHidden/>
              </w:rPr>
              <w:fldChar w:fldCharType="separate"/>
            </w:r>
            <w:r>
              <w:rPr>
                <w:noProof/>
                <w:webHidden/>
              </w:rPr>
              <w:t>11</w:t>
            </w:r>
            <w:r w:rsidR="00670CB1" w:rsidRPr="00670CB1">
              <w:rPr>
                <w:noProof/>
                <w:webHidden/>
              </w:rPr>
              <w:fldChar w:fldCharType="end"/>
            </w:r>
          </w:hyperlink>
        </w:p>
        <w:p w14:paraId="44401744"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24" w:history="1">
            <w:r w:rsidR="00670CB1" w:rsidRPr="00670CB1">
              <w:rPr>
                <w:rStyle w:val="Hipervnculo"/>
                <w:rFonts w:eastAsiaTheme="majorEastAsia"/>
                <w:noProof/>
                <w:color w:val="auto"/>
              </w:rPr>
              <w:t>a) Mandato de transparencia y responsabilidad del Sujeto Obligado.</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_Toc198750524 \h </w:instrText>
            </w:r>
            <w:r w:rsidR="00670CB1" w:rsidRPr="00670CB1">
              <w:rPr>
                <w:noProof/>
                <w:webHidden/>
              </w:rPr>
            </w:r>
            <w:r w:rsidR="00670CB1" w:rsidRPr="00670CB1">
              <w:rPr>
                <w:noProof/>
                <w:webHidden/>
              </w:rPr>
              <w:fldChar w:fldCharType="separate"/>
            </w:r>
            <w:r>
              <w:rPr>
                <w:noProof/>
                <w:webHidden/>
              </w:rPr>
              <w:t>11</w:t>
            </w:r>
            <w:r w:rsidR="00670CB1" w:rsidRPr="00670CB1">
              <w:rPr>
                <w:noProof/>
                <w:webHidden/>
              </w:rPr>
              <w:fldChar w:fldCharType="end"/>
            </w:r>
          </w:hyperlink>
        </w:p>
        <w:p w14:paraId="69C96B16"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25" w:history="1">
            <w:r w:rsidR="00670CB1" w:rsidRPr="00670CB1">
              <w:rPr>
                <w:rStyle w:val="Hipervnculo"/>
                <w:rFonts w:eastAsiaTheme="majorEastAsia"/>
                <w:noProof/>
                <w:color w:val="auto"/>
              </w:rPr>
              <w:t>b) Controversia a resolver.</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_Toc198750525 \h </w:instrText>
            </w:r>
            <w:r w:rsidR="00670CB1" w:rsidRPr="00670CB1">
              <w:rPr>
                <w:noProof/>
                <w:webHidden/>
              </w:rPr>
            </w:r>
            <w:r w:rsidR="00670CB1" w:rsidRPr="00670CB1">
              <w:rPr>
                <w:noProof/>
                <w:webHidden/>
              </w:rPr>
              <w:fldChar w:fldCharType="separate"/>
            </w:r>
            <w:r>
              <w:rPr>
                <w:noProof/>
                <w:webHidden/>
              </w:rPr>
              <w:t>14</w:t>
            </w:r>
            <w:r w:rsidR="00670CB1" w:rsidRPr="00670CB1">
              <w:rPr>
                <w:noProof/>
                <w:webHidden/>
              </w:rPr>
              <w:fldChar w:fldCharType="end"/>
            </w:r>
          </w:hyperlink>
        </w:p>
        <w:p w14:paraId="6F1E0D98"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26" w:history="1">
            <w:r w:rsidR="00670CB1" w:rsidRPr="00670CB1">
              <w:rPr>
                <w:rStyle w:val="Hipervnculo"/>
                <w:rFonts w:eastAsiaTheme="majorEastAsia"/>
                <w:noProof/>
                <w:color w:val="auto"/>
              </w:rPr>
              <w:t>c) Estudio de la controversia.</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_Toc198750526 \h </w:instrText>
            </w:r>
            <w:r w:rsidR="00670CB1" w:rsidRPr="00670CB1">
              <w:rPr>
                <w:noProof/>
                <w:webHidden/>
              </w:rPr>
            </w:r>
            <w:r w:rsidR="00670CB1" w:rsidRPr="00670CB1">
              <w:rPr>
                <w:noProof/>
                <w:webHidden/>
              </w:rPr>
              <w:fldChar w:fldCharType="separate"/>
            </w:r>
            <w:r>
              <w:rPr>
                <w:noProof/>
                <w:webHidden/>
              </w:rPr>
              <w:t>15</w:t>
            </w:r>
            <w:r w:rsidR="00670CB1" w:rsidRPr="00670CB1">
              <w:rPr>
                <w:noProof/>
                <w:webHidden/>
              </w:rPr>
              <w:fldChar w:fldCharType="end"/>
            </w:r>
          </w:hyperlink>
        </w:p>
        <w:p w14:paraId="6EFC81EB"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27" w:history="1">
            <w:r w:rsidR="00670CB1" w:rsidRPr="00670CB1">
              <w:rPr>
                <w:rStyle w:val="Hipervnculo"/>
                <w:rFonts w:eastAsiaTheme="majorEastAsia"/>
                <w:noProof/>
                <w:color w:val="auto"/>
              </w:rPr>
              <w:t>d) Versión pública</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_Toc198750527 \h </w:instrText>
            </w:r>
            <w:r w:rsidR="00670CB1" w:rsidRPr="00670CB1">
              <w:rPr>
                <w:noProof/>
                <w:webHidden/>
              </w:rPr>
            </w:r>
            <w:r w:rsidR="00670CB1" w:rsidRPr="00670CB1">
              <w:rPr>
                <w:noProof/>
                <w:webHidden/>
              </w:rPr>
              <w:fldChar w:fldCharType="separate"/>
            </w:r>
            <w:r>
              <w:rPr>
                <w:noProof/>
                <w:webHidden/>
              </w:rPr>
              <w:t>24</w:t>
            </w:r>
            <w:r w:rsidR="00670CB1" w:rsidRPr="00670CB1">
              <w:rPr>
                <w:noProof/>
                <w:webHidden/>
              </w:rPr>
              <w:fldChar w:fldCharType="end"/>
            </w:r>
          </w:hyperlink>
        </w:p>
        <w:p w14:paraId="6810FE64" w14:textId="77777777" w:rsidR="00670CB1" w:rsidRPr="00670CB1" w:rsidRDefault="00DE0CFB" w:rsidP="00670CB1">
          <w:pPr>
            <w:pStyle w:val="TDC3"/>
            <w:rPr>
              <w:rFonts w:asciiTheme="minorHAnsi" w:eastAsiaTheme="minorEastAsia" w:hAnsiTheme="minorHAnsi" w:cstheme="minorBidi"/>
              <w:noProof/>
              <w:szCs w:val="22"/>
              <w:lang w:eastAsia="es-MX"/>
            </w:rPr>
          </w:pPr>
          <w:hyperlink w:anchor="_Toc198750528" w:history="1">
            <w:r w:rsidR="00670CB1" w:rsidRPr="00670CB1">
              <w:rPr>
                <w:rStyle w:val="Hipervnculo"/>
                <w:rFonts w:eastAsiaTheme="majorEastAsia"/>
                <w:noProof/>
                <w:color w:val="auto"/>
              </w:rPr>
              <w:t>e) Conclusión.</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_Toc198750528 \h </w:instrText>
            </w:r>
            <w:r w:rsidR="00670CB1" w:rsidRPr="00670CB1">
              <w:rPr>
                <w:noProof/>
                <w:webHidden/>
              </w:rPr>
            </w:r>
            <w:r w:rsidR="00670CB1" w:rsidRPr="00670CB1">
              <w:rPr>
                <w:noProof/>
                <w:webHidden/>
              </w:rPr>
              <w:fldChar w:fldCharType="separate"/>
            </w:r>
            <w:r>
              <w:rPr>
                <w:noProof/>
                <w:webHidden/>
              </w:rPr>
              <w:t>38</w:t>
            </w:r>
            <w:r w:rsidR="00670CB1" w:rsidRPr="00670CB1">
              <w:rPr>
                <w:noProof/>
                <w:webHidden/>
              </w:rPr>
              <w:fldChar w:fldCharType="end"/>
            </w:r>
          </w:hyperlink>
        </w:p>
        <w:p w14:paraId="3A77D8BC" w14:textId="5EB3AB86" w:rsidR="00247497" w:rsidRPr="00670CB1" w:rsidRDefault="00DE0CFB" w:rsidP="00670CB1">
          <w:pPr>
            <w:pStyle w:val="TDC1"/>
            <w:tabs>
              <w:tab w:val="right" w:leader="dot" w:pos="9034"/>
            </w:tabs>
            <w:rPr>
              <w:szCs w:val="22"/>
            </w:rPr>
          </w:pPr>
          <w:hyperlink w:anchor="_Toc198750529" w:history="1">
            <w:r w:rsidR="00670CB1" w:rsidRPr="00670CB1">
              <w:rPr>
                <w:rStyle w:val="Hipervnculo"/>
                <w:rFonts w:eastAsiaTheme="majorEastAsia"/>
                <w:noProof/>
                <w:color w:val="auto"/>
              </w:rPr>
              <w:t>RESUELVE</w:t>
            </w:r>
            <w:r w:rsidR="00670CB1" w:rsidRPr="00670CB1">
              <w:rPr>
                <w:noProof/>
                <w:webHidden/>
              </w:rPr>
              <w:tab/>
            </w:r>
            <w:r w:rsidR="00670CB1" w:rsidRPr="00670CB1">
              <w:rPr>
                <w:noProof/>
                <w:webHidden/>
              </w:rPr>
              <w:fldChar w:fldCharType="begin"/>
            </w:r>
            <w:r w:rsidR="00670CB1" w:rsidRPr="00670CB1">
              <w:rPr>
                <w:noProof/>
                <w:webHidden/>
              </w:rPr>
              <w:instrText xml:space="preserve"> PAGEREF _Toc198750529 \h </w:instrText>
            </w:r>
            <w:r w:rsidR="00670CB1" w:rsidRPr="00670CB1">
              <w:rPr>
                <w:noProof/>
                <w:webHidden/>
              </w:rPr>
            </w:r>
            <w:r w:rsidR="00670CB1" w:rsidRPr="00670CB1">
              <w:rPr>
                <w:noProof/>
                <w:webHidden/>
              </w:rPr>
              <w:fldChar w:fldCharType="separate"/>
            </w:r>
            <w:r>
              <w:rPr>
                <w:noProof/>
                <w:webHidden/>
              </w:rPr>
              <w:t>38</w:t>
            </w:r>
            <w:r w:rsidR="00670CB1" w:rsidRPr="00670CB1">
              <w:rPr>
                <w:noProof/>
                <w:webHidden/>
              </w:rPr>
              <w:fldChar w:fldCharType="end"/>
            </w:r>
          </w:hyperlink>
          <w:r w:rsidR="00247497" w:rsidRPr="00670CB1">
            <w:rPr>
              <w:b/>
              <w:bCs/>
              <w:szCs w:val="22"/>
              <w:lang w:val="es-ES"/>
            </w:rPr>
            <w:fldChar w:fldCharType="end"/>
          </w:r>
        </w:p>
      </w:sdtContent>
    </w:sdt>
    <w:p w14:paraId="22C281BC" w14:textId="77777777" w:rsidR="002B11D9" w:rsidRPr="00670CB1" w:rsidRDefault="002B11D9" w:rsidP="00670CB1">
      <w:pPr>
        <w:rPr>
          <w:szCs w:val="22"/>
        </w:rPr>
        <w:sectPr w:rsidR="002B11D9" w:rsidRPr="00670CB1">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AF7D02E" w14:textId="47A4E230" w:rsidR="002B11D9" w:rsidRPr="00670CB1" w:rsidRDefault="00E43858" w:rsidP="00670CB1">
      <w:pPr>
        <w:rPr>
          <w:b/>
          <w:szCs w:val="22"/>
        </w:rPr>
      </w:pPr>
      <w:r w:rsidRPr="00670CB1">
        <w:rPr>
          <w:szCs w:val="22"/>
        </w:rPr>
        <w:lastRenderedPageBreak/>
        <w:t>Resolución del Pleno del Instituto de Transparencia, Acceso a la Información Pública y Protección de Datos Personales del Estado de México y Municipios, con domicilio en Metepec, Estado de México, de</w:t>
      </w:r>
      <w:r w:rsidR="00090FAC" w:rsidRPr="00670CB1">
        <w:rPr>
          <w:szCs w:val="22"/>
        </w:rPr>
        <w:t>l</w:t>
      </w:r>
      <w:r w:rsidRPr="00670CB1">
        <w:rPr>
          <w:szCs w:val="22"/>
        </w:rPr>
        <w:t xml:space="preserve"> </w:t>
      </w:r>
      <w:r w:rsidR="003C3124" w:rsidRPr="00670CB1">
        <w:rPr>
          <w:b/>
          <w:szCs w:val="22"/>
        </w:rPr>
        <w:t>veintiuno</w:t>
      </w:r>
      <w:r w:rsidR="00090FAC" w:rsidRPr="00670CB1">
        <w:rPr>
          <w:b/>
          <w:szCs w:val="22"/>
        </w:rPr>
        <w:t xml:space="preserve"> </w:t>
      </w:r>
      <w:r w:rsidRPr="00670CB1">
        <w:rPr>
          <w:b/>
          <w:szCs w:val="22"/>
        </w:rPr>
        <w:t xml:space="preserve">de </w:t>
      </w:r>
      <w:r w:rsidR="002C2212" w:rsidRPr="00670CB1">
        <w:rPr>
          <w:b/>
          <w:szCs w:val="22"/>
        </w:rPr>
        <w:t>mayo</w:t>
      </w:r>
      <w:r w:rsidR="00090FAC" w:rsidRPr="00670CB1">
        <w:rPr>
          <w:b/>
          <w:szCs w:val="22"/>
        </w:rPr>
        <w:t xml:space="preserve"> </w:t>
      </w:r>
      <w:r w:rsidRPr="00670CB1">
        <w:rPr>
          <w:b/>
          <w:szCs w:val="22"/>
        </w:rPr>
        <w:t xml:space="preserve">de dos mil </w:t>
      </w:r>
      <w:r w:rsidR="00743588" w:rsidRPr="00670CB1">
        <w:rPr>
          <w:b/>
          <w:szCs w:val="22"/>
        </w:rPr>
        <w:t>veinticinco</w:t>
      </w:r>
      <w:r w:rsidRPr="00670CB1">
        <w:rPr>
          <w:b/>
          <w:szCs w:val="22"/>
        </w:rPr>
        <w:t>.</w:t>
      </w:r>
    </w:p>
    <w:p w14:paraId="2FFA481C" w14:textId="77777777" w:rsidR="002B11D9" w:rsidRPr="00670CB1" w:rsidRDefault="002B11D9" w:rsidP="00670CB1">
      <w:pPr>
        <w:rPr>
          <w:szCs w:val="22"/>
        </w:rPr>
      </w:pPr>
    </w:p>
    <w:p w14:paraId="2FAD1405" w14:textId="5B76D825" w:rsidR="002B11D9" w:rsidRPr="00670CB1" w:rsidRDefault="00E43858" w:rsidP="00670CB1">
      <w:pPr>
        <w:rPr>
          <w:szCs w:val="22"/>
        </w:rPr>
      </w:pPr>
      <w:r w:rsidRPr="00670CB1">
        <w:rPr>
          <w:b/>
          <w:szCs w:val="22"/>
        </w:rPr>
        <w:t xml:space="preserve">VISTO </w:t>
      </w:r>
      <w:r w:rsidRPr="00670CB1">
        <w:rPr>
          <w:szCs w:val="22"/>
        </w:rPr>
        <w:t xml:space="preserve">el expediente formado con motivo del Recurso de Revisión </w:t>
      </w:r>
      <w:r w:rsidR="00EC13AD" w:rsidRPr="00670CB1">
        <w:rPr>
          <w:b/>
          <w:szCs w:val="22"/>
        </w:rPr>
        <w:t>0</w:t>
      </w:r>
      <w:r w:rsidR="003C3124" w:rsidRPr="00670CB1">
        <w:rPr>
          <w:b/>
          <w:szCs w:val="22"/>
        </w:rPr>
        <w:t>4637</w:t>
      </w:r>
      <w:r w:rsidRPr="00670CB1">
        <w:rPr>
          <w:b/>
          <w:szCs w:val="22"/>
        </w:rPr>
        <w:t>/INFOEM/IP/RR/202</w:t>
      </w:r>
      <w:r w:rsidR="00CB091A" w:rsidRPr="00670CB1">
        <w:rPr>
          <w:b/>
          <w:szCs w:val="22"/>
        </w:rPr>
        <w:t>5</w:t>
      </w:r>
      <w:r w:rsidRPr="00670CB1">
        <w:rPr>
          <w:szCs w:val="22"/>
        </w:rPr>
        <w:t xml:space="preserve"> interpuesto por </w:t>
      </w:r>
      <w:r w:rsidR="002C2212" w:rsidRPr="00670CB1">
        <w:rPr>
          <w:b/>
          <w:szCs w:val="22"/>
        </w:rPr>
        <w:t xml:space="preserve">una persona de manera anónima </w:t>
      </w:r>
      <w:r w:rsidRPr="00670CB1">
        <w:rPr>
          <w:szCs w:val="22"/>
        </w:rPr>
        <w:t xml:space="preserve">a quien en lo subsecuente se le denominará </w:t>
      </w:r>
      <w:r w:rsidRPr="00670CB1">
        <w:rPr>
          <w:b/>
          <w:szCs w:val="22"/>
        </w:rPr>
        <w:t>LA PARTE RECURRENTE</w:t>
      </w:r>
      <w:r w:rsidRPr="00670CB1">
        <w:rPr>
          <w:szCs w:val="22"/>
        </w:rPr>
        <w:t xml:space="preserve">, en contra de la respuesta emitida por </w:t>
      </w:r>
      <w:r w:rsidR="00CB091A" w:rsidRPr="00670CB1">
        <w:rPr>
          <w:szCs w:val="22"/>
        </w:rPr>
        <w:t>el</w:t>
      </w:r>
      <w:r w:rsidRPr="00670CB1">
        <w:rPr>
          <w:szCs w:val="22"/>
        </w:rPr>
        <w:t xml:space="preserve"> </w:t>
      </w:r>
      <w:r w:rsidR="000828E0" w:rsidRPr="00670CB1">
        <w:rPr>
          <w:b/>
          <w:szCs w:val="22"/>
        </w:rPr>
        <w:t xml:space="preserve">Ayuntamiento de </w:t>
      </w:r>
      <w:r w:rsidR="003C3124" w:rsidRPr="00670CB1">
        <w:rPr>
          <w:b/>
          <w:szCs w:val="22"/>
        </w:rPr>
        <w:t>Calimaya</w:t>
      </w:r>
      <w:r w:rsidRPr="00670CB1">
        <w:rPr>
          <w:b/>
          <w:szCs w:val="22"/>
        </w:rPr>
        <w:t xml:space="preserve">, </w:t>
      </w:r>
      <w:r w:rsidRPr="00670CB1">
        <w:rPr>
          <w:szCs w:val="22"/>
        </w:rPr>
        <w:t xml:space="preserve">en adelante </w:t>
      </w:r>
      <w:r w:rsidRPr="00670CB1">
        <w:rPr>
          <w:b/>
          <w:szCs w:val="22"/>
        </w:rPr>
        <w:t>EL SUJETO OBLIGADO</w:t>
      </w:r>
      <w:r w:rsidRPr="00670CB1">
        <w:rPr>
          <w:szCs w:val="22"/>
        </w:rPr>
        <w:t>, se emite la presente Resolución con base en los Antecedentes y Considerandos que se exponen a continuación:</w:t>
      </w:r>
    </w:p>
    <w:p w14:paraId="1DE5BFFC" w14:textId="77777777" w:rsidR="002B11D9" w:rsidRPr="00670CB1" w:rsidRDefault="002B11D9" w:rsidP="00670CB1">
      <w:pPr>
        <w:rPr>
          <w:szCs w:val="22"/>
        </w:rPr>
      </w:pPr>
    </w:p>
    <w:p w14:paraId="1202FAEB" w14:textId="77777777" w:rsidR="002B11D9" w:rsidRPr="00670CB1" w:rsidRDefault="00E43858" w:rsidP="00670CB1">
      <w:pPr>
        <w:pStyle w:val="Ttulo1"/>
        <w:rPr>
          <w:szCs w:val="22"/>
        </w:rPr>
      </w:pPr>
      <w:bookmarkStart w:id="3" w:name="_Toc198750504"/>
      <w:r w:rsidRPr="00670CB1">
        <w:rPr>
          <w:szCs w:val="22"/>
        </w:rPr>
        <w:t>ANTECEDENTES</w:t>
      </w:r>
      <w:bookmarkEnd w:id="3"/>
    </w:p>
    <w:p w14:paraId="1760D115" w14:textId="77777777" w:rsidR="002B11D9" w:rsidRPr="00670CB1" w:rsidRDefault="002B11D9" w:rsidP="00670CB1">
      <w:pPr>
        <w:rPr>
          <w:szCs w:val="22"/>
        </w:rPr>
      </w:pPr>
    </w:p>
    <w:p w14:paraId="7841BF95" w14:textId="77777777" w:rsidR="002B11D9" w:rsidRPr="00670CB1" w:rsidRDefault="00E43858" w:rsidP="00670CB1">
      <w:pPr>
        <w:pStyle w:val="Ttulo2"/>
        <w:jc w:val="left"/>
        <w:rPr>
          <w:szCs w:val="22"/>
        </w:rPr>
      </w:pPr>
      <w:bookmarkStart w:id="4" w:name="_Toc198750505"/>
      <w:r w:rsidRPr="00670CB1">
        <w:rPr>
          <w:szCs w:val="22"/>
        </w:rPr>
        <w:t>DE LA SOLICITUD DE INFORMACIÓN</w:t>
      </w:r>
      <w:bookmarkEnd w:id="4"/>
    </w:p>
    <w:p w14:paraId="2BF20AA9" w14:textId="77777777" w:rsidR="002B11D9" w:rsidRPr="00670CB1" w:rsidRDefault="00E43858" w:rsidP="00670CB1">
      <w:pPr>
        <w:pStyle w:val="Ttulo3"/>
        <w:rPr>
          <w:szCs w:val="22"/>
        </w:rPr>
      </w:pPr>
      <w:bookmarkStart w:id="5" w:name="_Toc198750506"/>
      <w:r w:rsidRPr="00670CB1">
        <w:rPr>
          <w:szCs w:val="22"/>
        </w:rPr>
        <w:t>a) Solicitud de información.</w:t>
      </w:r>
      <w:bookmarkEnd w:id="5"/>
    </w:p>
    <w:p w14:paraId="7F8FD05B" w14:textId="360A71FC" w:rsidR="002B11D9" w:rsidRPr="00670CB1" w:rsidRDefault="00E43858" w:rsidP="00670CB1">
      <w:pPr>
        <w:pBdr>
          <w:top w:val="nil"/>
          <w:left w:val="nil"/>
          <w:bottom w:val="nil"/>
          <w:right w:val="nil"/>
          <w:between w:val="nil"/>
        </w:pBdr>
        <w:tabs>
          <w:tab w:val="left" w:pos="0"/>
        </w:tabs>
        <w:rPr>
          <w:rFonts w:eastAsia="Palatino Linotype" w:cs="Palatino Linotype"/>
          <w:szCs w:val="22"/>
        </w:rPr>
      </w:pPr>
      <w:r w:rsidRPr="00670CB1">
        <w:rPr>
          <w:rFonts w:eastAsia="Palatino Linotype" w:cs="Palatino Linotype"/>
          <w:szCs w:val="22"/>
        </w:rPr>
        <w:t xml:space="preserve">El </w:t>
      </w:r>
      <w:r w:rsidR="003C3124" w:rsidRPr="00670CB1">
        <w:rPr>
          <w:rFonts w:eastAsia="Palatino Linotype" w:cs="Palatino Linotype"/>
          <w:b/>
          <w:szCs w:val="22"/>
        </w:rPr>
        <w:t>treinta y uno</w:t>
      </w:r>
      <w:r w:rsidRPr="00670CB1">
        <w:rPr>
          <w:rFonts w:eastAsia="Palatino Linotype" w:cs="Palatino Linotype"/>
          <w:b/>
          <w:szCs w:val="22"/>
        </w:rPr>
        <w:t xml:space="preserve"> de </w:t>
      </w:r>
      <w:r w:rsidR="003C3124" w:rsidRPr="00670CB1">
        <w:rPr>
          <w:rFonts w:eastAsia="Palatino Linotype" w:cs="Palatino Linotype"/>
          <w:b/>
          <w:szCs w:val="22"/>
        </w:rPr>
        <w:t>marzo</w:t>
      </w:r>
      <w:r w:rsidRPr="00670CB1">
        <w:rPr>
          <w:rFonts w:eastAsia="Palatino Linotype" w:cs="Palatino Linotype"/>
          <w:b/>
          <w:szCs w:val="22"/>
        </w:rPr>
        <w:t xml:space="preserve"> de dos mil </w:t>
      </w:r>
      <w:r w:rsidR="001C0893" w:rsidRPr="00670CB1">
        <w:rPr>
          <w:rFonts w:eastAsia="Palatino Linotype" w:cs="Palatino Linotype"/>
          <w:b/>
          <w:szCs w:val="22"/>
        </w:rPr>
        <w:t>veinticinco</w:t>
      </w:r>
      <w:r w:rsidRPr="00670CB1">
        <w:rPr>
          <w:rFonts w:eastAsia="Palatino Linotype" w:cs="Palatino Linotype"/>
          <w:szCs w:val="22"/>
        </w:rPr>
        <w:t xml:space="preserve"> </w:t>
      </w:r>
      <w:r w:rsidRPr="00670CB1">
        <w:rPr>
          <w:rFonts w:eastAsia="Palatino Linotype" w:cs="Palatino Linotype"/>
          <w:b/>
          <w:szCs w:val="22"/>
        </w:rPr>
        <w:t>LA PARTE RECURRENTE</w:t>
      </w:r>
      <w:r w:rsidRPr="00670CB1">
        <w:rPr>
          <w:rFonts w:eastAsia="Palatino Linotype" w:cs="Palatino Linotype"/>
          <w:szCs w:val="22"/>
        </w:rPr>
        <w:t xml:space="preserve"> presentó una solicitud de acceso a la información pública ante el </w:t>
      </w:r>
      <w:r w:rsidRPr="00670CB1">
        <w:rPr>
          <w:rFonts w:eastAsia="Palatino Linotype" w:cs="Palatino Linotype"/>
          <w:b/>
          <w:szCs w:val="22"/>
        </w:rPr>
        <w:t>SUJETO OBLIGADO</w:t>
      </w:r>
      <w:r w:rsidRPr="00670CB1">
        <w:rPr>
          <w:rFonts w:eastAsia="Palatino Linotype" w:cs="Palatino Linotype"/>
          <w:szCs w:val="22"/>
        </w:rPr>
        <w:t>, a través de</w:t>
      </w:r>
      <w:r w:rsidR="004A1070" w:rsidRPr="00670CB1">
        <w:rPr>
          <w:rFonts w:eastAsia="Palatino Linotype" w:cs="Palatino Linotype"/>
          <w:szCs w:val="22"/>
        </w:rPr>
        <w:t xml:space="preserve">l </w:t>
      </w:r>
      <w:r w:rsidRPr="00670CB1">
        <w:rPr>
          <w:rFonts w:eastAsia="Palatino Linotype" w:cs="Palatino Linotype"/>
          <w:szCs w:val="22"/>
        </w:rPr>
        <w:t>Sistema de Acceso a la Información Mexiquense (SAIMEX). Dicha solicitud quedó registrada con el número de folio</w:t>
      </w:r>
      <w:r w:rsidR="00602E1E" w:rsidRPr="00670CB1">
        <w:rPr>
          <w:rFonts w:eastAsia="Palatino Linotype" w:cs="Palatino Linotype"/>
          <w:b/>
          <w:szCs w:val="22"/>
        </w:rPr>
        <w:t xml:space="preserve"> </w:t>
      </w:r>
      <w:r w:rsidR="003C3124" w:rsidRPr="00670CB1">
        <w:rPr>
          <w:rFonts w:eastAsia="Palatino Linotype" w:cs="Palatino Linotype"/>
          <w:b/>
          <w:szCs w:val="22"/>
        </w:rPr>
        <w:t>00174/CALIMAYA/IP/2025</w:t>
      </w:r>
      <w:r w:rsidR="00CB091A" w:rsidRPr="00670CB1">
        <w:rPr>
          <w:rFonts w:eastAsia="Palatino Linotype" w:cs="Palatino Linotype"/>
          <w:b/>
          <w:szCs w:val="22"/>
        </w:rPr>
        <w:t xml:space="preserve"> </w:t>
      </w:r>
      <w:r w:rsidRPr="00670CB1">
        <w:rPr>
          <w:rFonts w:eastAsia="Palatino Linotype" w:cs="Palatino Linotype"/>
          <w:szCs w:val="22"/>
        </w:rPr>
        <w:t>y en ella se requirió la siguiente información:</w:t>
      </w:r>
    </w:p>
    <w:p w14:paraId="4B392087" w14:textId="77777777" w:rsidR="002B11D9" w:rsidRPr="00670CB1" w:rsidRDefault="002B11D9" w:rsidP="00670CB1">
      <w:pPr>
        <w:tabs>
          <w:tab w:val="left" w:pos="4667"/>
        </w:tabs>
        <w:ind w:left="567" w:right="567"/>
        <w:rPr>
          <w:b/>
          <w:szCs w:val="22"/>
        </w:rPr>
      </w:pPr>
    </w:p>
    <w:p w14:paraId="69A1C36A" w14:textId="21EC93F8" w:rsidR="002B11D9" w:rsidRPr="00670CB1" w:rsidRDefault="00E43858" w:rsidP="00670CB1">
      <w:pPr>
        <w:pStyle w:val="Puesto"/>
      </w:pPr>
      <w:r w:rsidRPr="00670CB1">
        <w:t>“</w:t>
      </w:r>
      <w:r w:rsidR="003C3124" w:rsidRPr="00670CB1">
        <w:t xml:space="preserve">Solicitó los recibos de nómina en versión pública de la segunda quincena del mes de marzo de 2025, de los servidores públicos: 1. OMAR GUILLERMO SÁNCHEZ VELÁZQUEZ, PRESIDENTE MUNICIPAL 2. MIRIAM ELIZABETH MEJIA COLÍN, SÍNDICO MUNICIPAL 3. ALLAN SALVADOR ORTIZ MIRANDA, 1ER REGIDOR 4. ANA LAURA ESCAMILLA MEJÍA, 2DO REGIDOR 5. ELVA ELENA PÉREZ LAVANDEROS, 3ER REGIDOR 6. JULIA LAURA ROJAS VALDÉS, 4TO REGIDOR 7. PAOLA HERNÁNDEZ VERGARA, 5TO REGIDOR 8. MARÍA DEL CARMEN SOTO CARREÑO, 6TO REGIDOR 9. ARTURO ESPÍNOLA SÁNCHEZ, 7MO REGIDOR 10. JONATAN JACOB ROSANO BECERRIL, DIRECTOR DE GOBIERNO 11. MARCOS GARAY MALVAIS, DIRECTOR DE COMUNICACIÓN </w:t>
      </w:r>
      <w:r w:rsidR="003C3124" w:rsidRPr="00670CB1">
        <w:lastRenderedPageBreak/>
        <w:t xml:space="preserve">SOCIAL Y GOBIERNO DIGITAL 12. LETICIA AMALIA MARTÍNEZ JIMÉNEZ, TITULAR DEL ÓRGANO INTERNO DE CONTROL 13. JOSÉ ARTURO VÁZQUEZ GUTIÉRREZ, TESORERO MUNICIPAL 14. WILFRIDO ROMERO DELGADO, DIRECTOR DE ADMINISTRACIÓN 15. BERNARDO IZQUIERDO LUNA, ENCARGADO DE DESPACHO DE LA DIRECCIÓN DE DESARROLLO URBANO 16. SULEYKA LETICIA HERNÁNDEZ LEAL, DIRECTORA DE OBRAS PÚBLICAS 17. ADRIANA NALLELY GUADARRAMA CARMONA, COORDINADORA DE PROTECCIÓN CIVIL Y BOMBEROS 18. YULI PATRICIA TARANGO VELAZQUEZ, DIRECTORA DE BIENESTAR SOCIAL 19. RICARDO GENIS SALAZAR, DIRECTOR DE CULTURA Y TURISMO 20. OCTAVIO ALVIRDE PEDROZA, DIRECTOR DE EDUCACIÓN 21. JOSÉ ALEJANDRO ÁGUILA CARMONA, DIRECTOR DE DESARROLLO ECONÓMICO 22. GUADALUPE MONSERRAT MORALES GARCÍA, TITULAR DE ATENCIÓN MUNICIPAL A LAS ADICCIONES 23. NORMA ANGÉLICA HERNÁNDEZ LAVANDEROS, DIRECTORA DE LA MUJER, IGUALDAD DE GÉNERO E INCLUSIÓN 24. RICARDO ALBERTO SERRANO QUIÑONES, SUBDIRECTOR DE CATASTRO 25. RAMIRO MANCILLA GONZÁLEZ, DIRECTOR DE MOVILIDAD 26. AGUSTÍN CONTRERAS BÁRRALES, DIRECTOR DE SALUD 27. CARLOS VARGAS MONDRAGÓN, DIRECTOR DEL CAMPO 28. ARIAN FERNANDO CASTRO AGUILAR, JUEZ CÍVICO 29. OMAR VARGAS GUADARRAMA, FACILITADOR DEL JUEZ CÍVICO 30. VÍCTOR MANUEL LÓPEZ FERNÁNDEZ, SECRETARIO CÍVICO 31. LETICIA MENDIOLA LÓPEZ, TITULAR DE LA UNIDAD DE INFORMACIÓN PLANEACIÓN PROGRAMACIÓN Y EVALUACIÓN (UIPPE) 32. MARI TOÑA OLMEDO CARMONA, TITULAR DE LA UNIDAD DE TRANSPARENCIA 33. NOÉ VÁZQUEZ JUÁREZ, DIRECCIÓN DE ECOLOGÍA Y DESARROLLO SOSTENIBLE 34. SANDRO EDILBERTO ARRIAGA REYES, DIRECCIÓN DE SEGURIDAD PÚBLICA MUNICIPAL 35. ALEJANDRA NICOLE ESTRADA HERNÁNDEZ, SECRETARIA TÉCNICA DEL CONSEJO MUNICIPAL DE SEGURIDAD PÚBLICA 36. JAVIER MENDOZA BOBADILLA, OFICIAL 01 DEL REGISTRO CIVIL 37. JOSÉ DE JESÚS ÁVILA CORTES, OFICIAL 02 38. JOSÉ JUAN ARRIAGA JAIME, TITULAR DE LA CASA DE CULTURA 39. EVER ABDIEL PEÑA MATÍAS, TITULAR DE LA DEFENSORÍA DE DERECHOS HUMANOS 40. JOAQUIN IGNACIO DÍAZ COLÍN, DIRECTOR DE SERVICIOS PÚBLICOS 41. EDUARDO MENDOZA ROBLES, TITULAR DE LA CONSEJERÍA JURÍDICA 42. YAZMIN JESSICA ALEGRÍA </w:t>
      </w:r>
      <w:proofErr w:type="spellStart"/>
      <w:r w:rsidR="003C3124" w:rsidRPr="00670CB1">
        <w:t>ALEGRÍA</w:t>
      </w:r>
      <w:proofErr w:type="spellEnd"/>
      <w:r w:rsidR="003C3124" w:rsidRPr="00670CB1">
        <w:t xml:space="preserve">, SECRETARIA DEL AYUNTAMIENTO 43. ROSA KARLA ROMERO MENDOZA, SECRETARIA PARTICULAR 44. ALEJANDRO MENDOZA VALDÉS, SECRETARIO TÉCNICO 45. ANA VELIA MORALES TAPIA, COORDINADORA DE RECURSOS HUMANOS 46. LUCERO SÁNCHEZ LÓPEZ, TITULAR DEL INSTITUTO DE LA JUVENTUD 47. </w:t>
      </w:r>
      <w:r w:rsidR="003C3124" w:rsidRPr="00670CB1">
        <w:lastRenderedPageBreak/>
        <w:t>ALEJANDRO LÓPEZ CALIXTO, COORDINADOR DE TENENCIA DE LA TIERRA</w:t>
      </w:r>
      <w:r w:rsidRPr="00670CB1">
        <w:t xml:space="preserve">” </w:t>
      </w:r>
      <w:r w:rsidRPr="00670CB1">
        <w:rPr>
          <w:i w:val="0"/>
        </w:rPr>
        <w:t>(sic).</w:t>
      </w:r>
    </w:p>
    <w:p w14:paraId="7DD2BAAE" w14:textId="63A89CDC" w:rsidR="002B11D9" w:rsidRPr="00670CB1" w:rsidRDefault="002B11D9" w:rsidP="00670CB1">
      <w:pPr>
        <w:tabs>
          <w:tab w:val="left" w:pos="5743"/>
        </w:tabs>
        <w:ind w:left="567" w:right="567"/>
        <w:rPr>
          <w:i/>
          <w:szCs w:val="22"/>
        </w:rPr>
      </w:pPr>
    </w:p>
    <w:p w14:paraId="1850AB1C" w14:textId="77777777" w:rsidR="002B11D9" w:rsidRPr="00670CB1" w:rsidRDefault="00E43858" w:rsidP="00670CB1">
      <w:pPr>
        <w:tabs>
          <w:tab w:val="left" w:pos="4667"/>
        </w:tabs>
        <w:ind w:right="567"/>
        <w:rPr>
          <w:szCs w:val="22"/>
        </w:rPr>
      </w:pPr>
      <w:r w:rsidRPr="00670CB1">
        <w:rPr>
          <w:b/>
          <w:szCs w:val="22"/>
        </w:rPr>
        <w:t>Modalidad de entrega</w:t>
      </w:r>
      <w:r w:rsidRPr="00670CB1">
        <w:rPr>
          <w:szCs w:val="22"/>
        </w:rPr>
        <w:t>: a</w:t>
      </w:r>
      <w:r w:rsidRPr="00670CB1">
        <w:rPr>
          <w:i/>
          <w:szCs w:val="22"/>
        </w:rPr>
        <w:t xml:space="preserve"> </w:t>
      </w:r>
      <w:r w:rsidRPr="00670CB1">
        <w:rPr>
          <w:szCs w:val="22"/>
        </w:rPr>
        <w:t xml:space="preserve">través del </w:t>
      </w:r>
      <w:r w:rsidRPr="00670CB1">
        <w:rPr>
          <w:b/>
          <w:szCs w:val="22"/>
        </w:rPr>
        <w:t>SAIMEX</w:t>
      </w:r>
      <w:r w:rsidRPr="00670CB1">
        <w:rPr>
          <w:szCs w:val="22"/>
        </w:rPr>
        <w:t>.</w:t>
      </w:r>
    </w:p>
    <w:p w14:paraId="4349B3F8" w14:textId="77777777" w:rsidR="002C2212" w:rsidRPr="00670CB1" w:rsidRDefault="002C2212" w:rsidP="00670CB1">
      <w:pPr>
        <w:rPr>
          <w:szCs w:val="22"/>
        </w:rPr>
      </w:pPr>
    </w:p>
    <w:p w14:paraId="01BA9388" w14:textId="66A186FC" w:rsidR="000828E0" w:rsidRPr="00670CB1" w:rsidRDefault="003C3124" w:rsidP="00670CB1">
      <w:pPr>
        <w:pStyle w:val="Ttulo3"/>
        <w:rPr>
          <w:szCs w:val="22"/>
        </w:rPr>
      </w:pPr>
      <w:bookmarkStart w:id="6" w:name="_Toc190333697"/>
      <w:bookmarkStart w:id="7" w:name="_Toc191386324"/>
      <w:bookmarkStart w:id="8" w:name="_Toc198750507"/>
      <w:r w:rsidRPr="00670CB1">
        <w:rPr>
          <w:szCs w:val="22"/>
        </w:rPr>
        <w:t>b</w:t>
      </w:r>
      <w:r w:rsidR="000828E0" w:rsidRPr="00670CB1">
        <w:rPr>
          <w:szCs w:val="22"/>
        </w:rPr>
        <w:t>) Turno de la solicitud de información.</w:t>
      </w:r>
      <w:bookmarkEnd w:id="6"/>
      <w:bookmarkEnd w:id="7"/>
      <w:bookmarkEnd w:id="8"/>
    </w:p>
    <w:p w14:paraId="6DBA7C1B" w14:textId="2260E4BF" w:rsidR="000828E0" w:rsidRPr="00670CB1" w:rsidRDefault="000828E0" w:rsidP="00670CB1">
      <w:pPr>
        <w:rPr>
          <w:szCs w:val="22"/>
        </w:rPr>
      </w:pPr>
      <w:r w:rsidRPr="00670CB1">
        <w:rPr>
          <w:szCs w:val="22"/>
        </w:rPr>
        <w:t xml:space="preserve">En cumplimiento al artículo 162 de la Ley de Transparencia y Acceso a la Información Pública del Estado de México y Municipios, el </w:t>
      </w:r>
      <w:r w:rsidR="003C3124" w:rsidRPr="00670CB1">
        <w:rPr>
          <w:b/>
          <w:szCs w:val="22"/>
        </w:rPr>
        <w:t>treinta y uno</w:t>
      </w:r>
      <w:r w:rsidRPr="00670CB1">
        <w:rPr>
          <w:b/>
          <w:szCs w:val="22"/>
        </w:rPr>
        <w:t xml:space="preserve"> de </w:t>
      </w:r>
      <w:r w:rsidR="003C3124" w:rsidRPr="00670CB1">
        <w:rPr>
          <w:b/>
          <w:szCs w:val="22"/>
        </w:rPr>
        <w:t>marzo</w:t>
      </w:r>
      <w:r w:rsidRPr="00670CB1">
        <w:rPr>
          <w:b/>
          <w:szCs w:val="22"/>
        </w:rPr>
        <w:t xml:space="preserve"> de dos mil veinticinco,</w:t>
      </w:r>
      <w:r w:rsidRPr="00670CB1">
        <w:rPr>
          <w:szCs w:val="22"/>
        </w:rPr>
        <w:t xml:space="preserve"> el Titular de la Unidad de Transparencia del </w:t>
      </w:r>
      <w:r w:rsidRPr="00670CB1">
        <w:rPr>
          <w:b/>
          <w:szCs w:val="22"/>
        </w:rPr>
        <w:t>SUJETO OBLIGADO</w:t>
      </w:r>
      <w:r w:rsidR="003C3124" w:rsidRPr="00670CB1">
        <w:rPr>
          <w:szCs w:val="22"/>
        </w:rPr>
        <w:t xml:space="preserve"> turnó la solicitud</w:t>
      </w:r>
      <w:r w:rsidRPr="00670CB1">
        <w:rPr>
          <w:szCs w:val="22"/>
        </w:rPr>
        <w:t xml:space="preserve"> de información a</w:t>
      </w:r>
      <w:r w:rsidR="002C2212" w:rsidRPr="00670CB1">
        <w:rPr>
          <w:szCs w:val="22"/>
        </w:rPr>
        <w:t xml:space="preserve">l </w:t>
      </w:r>
      <w:r w:rsidRPr="00670CB1">
        <w:rPr>
          <w:szCs w:val="22"/>
        </w:rPr>
        <w:t>servidor público habilitado que estimó pertinente.</w:t>
      </w:r>
    </w:p>
    <w:p w14:paraId="4E513195" w14:textId="77777777" w:rsidR="000828E0" w:rsidRPr="00670CB1" w:rsidRDefault="000828E0" w:rsidP="00670CB1">
      <w:pPr>
        <w:rPr>
          <w:szCs w:val="22"/>
        </w:rPr>
      </w:pPr>
    </w:p>
    <w:p w14:paraId="53C684AE" w14:textId="41027895" w:rsidR="002B11D9" w:rsidRPr="00670CB1" w:rsidRDefault="003C3124" w:rsidP="00670CB1">
      <w:pPr>
        <w:pStyle w:val="Ttulo3"/>
        <w:rPr>
          <w:szCs w:val="22"/>
        </w:rPr>
      </w:pPr>
      <w:bookmarkStart w:id="9" w:name="_Toc184287666"/>
      <w:bookmarkStart w:id="10" w:name="_Toc198750508"/>
      <w:r w:rsidRPr="00670CB1">
        <w:rPr>
          <w:szCs w:val="22"/>
        </w:rPr>
        <w:t>c</w:t>
      </w:r>
      <w:r w:rsidR="00EC13AD" w:rsidRPr="00670CB1">
        <w:rPr>
          <w:szCs w:val="22"/>
        </w:rPr>
        <w:t xml:space="preserve">) </w:t>
      </w:r>
      <w:bookmarkEnd w:id="9"/>
      <w:r w:rsidR="00E43858" w:rsidRPr="00670CB1">
        <w:rPr>
          <w:szCs w:val="22"/>
        </w:rPr>
        <w:t>Respuesta del Sujeto Obligado.</w:t>
      </w:r>
      <w:bookmarkEnd w:id="10"/>
    </w:p>
    <w:p w14:paraId="01DCF07D" w14:textId="47F99EF0" w:rsidR="002B11D9" w:rsidRPr="00670CB1" w:rsidRDefault="00E43858" w:rsidP="00670CB1">
      <w:pPr>
        <w:pBdr>
          <w:top w:val="nil"/>
          <w:left w:val="nil"/>
          <w:bottom w:val="nil"/>
          <w:right w:val="nil"/>
          <w:between w:val="nil"/>
        </w:pBdr>
        <w:rPr>
          <w:rFonts w:eastAsia="Palatino Linotype" w:cs="Palatino Linotype"/>
          <w:szCs w:val="22"/>
        </w:rPr>
      </w:pPr>
      <w:r w:rsidRPr="00670CB1">
        <w:rPr>
          <w:rFonts w:eastAsia="Palatino Linotype" w:cs="Palatino Linotype"/>
          <w:szCs w:val="22"/>
        </w:rPr>
        <w:t xml:space="preserve">El </w:t>
      </w:r>
      <w:r w:rsidR="003C3124" w:rsidRPr="00670CB1">
        <w:rPr>
          <w:rFonts w:eastAsia="Palatino Linotype" w:cs="Palatino Linotype"/>
          <w:b/>
          <w:szCs w:val="22"/>
        </w:rPr>
        <w:t>veintidós</w:t>
      </w:r>
      <w:r w:rsidRPr="00670CB1">
        <w:rPr>
          <w:rFonts w:eastAsia="Palatino Linotype" w:cs="Palatino Linotype"/>
          <w:b/>
          <w:szCs w:val="22"/>
        </w:rPr>
        <w:t xml:space="preserve"> de </w:t>
      </w:r>
      <w:r w:rsidR="003C3124" w:rsidRPr="00670CB1">
        <w:rPr>
          <w:rFonts w:eastAsia="Palatino Linotype" w:cs="Palatino Linotype"/>
          <w:b/>
          <w:szCs w:val="22"/>
        </w:rPr>
        <w:t>abril</w:t>
      </w:r>
      <w:r w:rsidRPr="00670CB1">
        <w:rPr>
          <w:rFonts w:eastAsia="Palatino Linotype" w:cs="Palatino Linotype"/>
          <w:b/>
          <w:szCs w:val="22"/>
        </w:rPr>
        <w:t xml:space="preserve"> de dos mil </w:t>
      </w:r>
      <w:r w:rsidR="00732DB5" w:rsidRPr="00670CB1">
        <w:rPr>
          <w:rFonts w:eastAsia="Palatino Linotype" w:cs="Palatino Linotype"/>
          <w:b/>
          <w:szCs w:val="22"/>
        </w:rPr>
        <w:t>veinticinco</w:t>
      </w:r>
      <w:r w:rsidRPr="00670CB1">
        <w:rPr>
          <w:rFonts w:eastAsia="Palatino Linotype" w:cs="Palatino Linotype"/>
          <w:szCs w:val="22"/>
        </w:rPr>
        <w:t xml:space="preserve"> el Titular de la Unidad de Transparencia del </w:t>
      </w:r>
      <w:r w:rsidRPr="00670CB1">
        <w:rPr>
          <w:rFonts w:eastAsia="Palatino Linotype" w:cs="Palatino Linotype"/>
          <w:b/>
          <w:szCs w:val="22"/>
        </w:rPr>
        <w:t>SUJETO OBLIGADO</w:t>
      </w:r>
      <w:r w:rsidRPr="00670CB1">
        <w:rPr>
          <w:rFonts w:eastAsia="Palatino Linotype" w:cs="Palatino Linotype"/>
          <w:szCs w:val="22"/>
        </w:rPr>
        <w:t xml:space="preserve"> notificó la siguiente respuesta a través del </w:t>
      </w:r>
      <w:r w:rsidRPr="00670CB1">
        <w:rPr>
          <w:rFonts w:eastAsia="Palatino Linotype" w:cs="Palatino Linotype"/>
          <w:b/>
          <w:szCs w:val="22"/>
        </w:rPr>
        <w:t>SAIMEX</w:t>
      </w:r>
      <w:r w:rsidRPr="00670CB1">
        <w:rPr>
          <w:rFonts w:eastAsia="Palatino Linotype" w:cs="Palatino Linotype"/>
          <w:szCs w:val="22"/>
        </w:rPr>
        <w:t>:</w:t>
      </w:r>
    </w:p>
    <w:p w14:paraId="1402A6C2" w14:textId="77777777" w:rsidR="002B11D9" w:rsidRPr="00670CB1" w:rsidRDefault="002B11D9" w:rsidP="00670CB1">
      <w:pPr>
        <w:tabs>
          <w:tab w:val="left" w:pos="4667"/>
        </w:tabs>
        <w:ind w:left="567" w:right="567"/>
        <w:rPr>
          <w:b/>
          <w:szCs w:val="22"/>
        </w:rPr>
      </w:pPr>
    </w:p>
    <w:p w14:paraId="083E88EE" w14:textId="77777777" w:rsidR="003C3124" w:rsidRPr="00670CB1" w:rsidRDefault="00E43858" w:rsidP="00670CB1">
      <w:pPr>
        <w:spacing w:line="276" w:lineRule="auto"/>
        <w:ind w:left="851" w:right="822"/>
        <w:rPr>
          <w:i/>
          <w:szCs w:val="22"/>
        </w:rPr>
      </w:pPr>
      <w:r w:rsidRPr="00670CB1">
        <w:rPr>
          <w:i/>
          <w:szCs w:val="22"/>
        </w:rPr>
        <w:t>“</w:t>
      </w:r>
      <w:r w:rsidR="003C3124" w:rsidRPr="00670CB1">
        <w:rPr>
          <w:i/>
          <w:szCs w:val="22"/>
        </w:rPr>
        <w:t>Calimaya, México a 22 de Abril de 2025</w:t>
      </w:r>
    </w:p>
    <w:p w14:paraId="6217BBAB" w14:textId="77777777" w:rsidR="003C3124" w:rsidRPr="00670CB1" w:rsidRDefault="003C3124" w:rsidP="00670CB1">
      <w:pPr>
        <w:spacing w:line="276" w:lineRule="auto"/>
        <w:ind w:left="851" w:right="822"/>
        <w:rPr>
          <w:i/>
          <w:szCs w:val="22"/>
        </w:rPr>
      </w:pPr>
      <w:r w:rsidRPr="00670CB1">
        <w:rPr>
          <w:i/>
          <w:szCs w:val="22"/>
        </w:rPr>
        <w:t>Nombre del solicitante: C. Solicitante</w:t>
      </w:r>
    </w:p>
    <w:p w14:paraId="43878B94" w14:textId="77777777" w:rsidR="003C3124" w:rsidRPr="00670CB1" w:rsidRDefault="003C3124" w:rsidP="00670CB1">
      <w:pPr>
        <w:spacing w:line="276" w:lineRule="auto"/>
        <w:ind w:left="851" w:right="822"/>
        <w:rPr>
          <w:i/>
          <w:szCs w:val="22"/>
        </w:rPr>
      </w:pPr>
      <w:r w:rsidRPr="00670CB1">
        <w:rPr>
          <w:i/>
          <w:szCs w:val="22"/>
        </w:rPr>
        <w:t>Folio de la solicitud: 00174/CALIMAYA/IP/2025</w:t>
      </w:r>
    </w:p>
    <w:p w14:paraId="33BE51AA" w14:textId="77777777" w:rsidR="00157854" w:rsidRPr="00670CB1" w:rsidRDefault="00157854" w:rsidP="00670CB1">
      <w:pPr>
        <w:spacing w:line="276" w:lineRule="auto"/>
        <w:ind w:left="851" w:right="822"/>
        <w:rPr>
          <w:i/>
          <w:szCs w:val="22"/>
        </w:rPr>
      </w:pPr>
    </w:p>
    <w:p w14:paraId="42027B4A" w14:textId="77777777" w:rsidR="003C3124" w:rsidRPr="00670CB1" w:rsidRDefault="003C3124" w:rsidP="00670CB1">
      <w:pPr>
        <w:spacing w:line="276" w:lineRule="auto"/>
        <w:ind w:left="851" w:right="822"/>
        <w:rPr>
          <w:i/>
          <w:szCs w:val="22"/>
        </w:rPr>
      </w:pPr>
      <w:r w:rsidRPr="00670CB1">
        <w:rPr>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4845AF" w14:textId="77777777" w:rsidR="00157854" w:rsidRPr="00670CB1" w:rsidRDefault="00157854" w:rsidP="00670CB1">
      <w:pPr>
        <w:spacing w:line="276" w:lineRule="auto"/>
        <w:ind w:left="851" w:right="822"/>
        <w:rPr>
          <w:i/>
          <w:szCs w:val="22"/>
        </w:rPr>
      </w:pPr>
    </w:p>
    <w:p w14:paraId="7440AD81" w14:textId="77777777" w:rsidR="003C3124" w:rsidRPr="00670CB1" w:rsidRDefault="003C3124" w:rsidP="00670CB1">
      <w:pPr>
        <w:spacing w:line="276" w:lineRule="auto"/>
        <w:ind w:left="851" w:right="822"/>
        <w:rPr>
          <w:i/>
          <w:szCs w:val="22"/>
        </w:rPr>
      </w:pPr>
      <w:r w:rsidRPr="00670CB1">
        <w:rPr>
          <w:i/>
          <w:szCs w:val="22"/>
        </w:rPr>
        <w:t xml:space="preserve">ESTIMADO SOLICITANTE: EN ATENCIÓN A SU SOLICITUD DE INFORMACIÓN CON NÚMERO DE FOLIO 00174/CALIMAYA/IP/2025 POR ESTE MEDIO ME PERMITO HACER DE SU CONOCIMIENTO QUE SU SOLICITUD FUE TURNADA AL SERVIDOR PÚBLICO HABILITADO QUE A CONTINUACIÓN SE ENLISTAN, QUIEN EMITIÓ LA SIGUIENTE </w:t>
      </w:r>
      <w:r w:rsidRPr="00670CB1">
        <w:rPr>
          <w:i/>
          <w:szCs w:val="22"/>
        </w:rPr>
        <w:lastRenderedPageBreak/>
        <w:t>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OFICIO NÚMERO PMC/TM/0309/2025 SE DIÓ RESPUESTA A LA SOLICITUD CON NÚMERO DE FOLIO 00174/CALIMAYA/IP/2025, SE ADJUNTA OFICIO DE RESPUESTA PARA MAYOR REFERENCIA.” (TESORERÍA MUNICIPAL).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p w14:paraId="704D3615" w14:textId="77777777" w:rsidR="003C3124" w:rsidRPr="00670CB1" w:rsidRDefault="003C3124" w:rsidP="00670CB1">
      <w:pPr>
        <w:spacing w:line="276" w:lineRule="auto"/>
        <w:ind w:left="851" w:right="822"/>
        <w:rPr>
          <w:i/>
          <w:szCs w:val="22"/>
        </w:rPr>
      </w:pPr>
      <w:r w:rsidRPr="00670CB1">
        <w:rPr>
          <w:i/>
          <w:szCs w:val="22"/>
        </w:rPr>
        <w:t>ATENTAMENTE</w:t>
      </w:r>
    </w:p>
    <w:p w14:paraId="514DF771" w14:textId="5D20A628" w:rsidR="00633FBD" w:rsidRPr="00670CB1" w:rsidRDefault="003C3124" w:rsidP="00670CB1">
      <w:pPr>
        <w:spacing w:line="276" w:lineRule="auto"/>
        <w:ind w:left="851" w:right="822"/>
        <w:rPr>
          <w:i/>
          <w:szCs w:val="22"/>
        </w:rPr>
      </w:pPr>
      <w:r w:rsidRPr="00670CB1">
        <w:rPr>
          <w:i/>
          <w:szCs w:val="22"/>
        </w:rPr>
        <w:t>Mtra. Mari Toña Olmedo Carmona</w:t>
      </w:r>
      <w:r w:rsidR="00E43858" w:rsidRPr="00670CB1">
        <w:rPr>
          <w:i/>
          <w:szCs w:val="22"/>
        </w:rPr>
        <w:t>”</w:t>
      </w:r>
    </w:p>
    <w:p w14:paraId="3DC3F600" w14:textId="77777777" w:rsidR="00602E1E" w:rsidRPr="00670CB1" w:rsidRDefault="00602E1E" w:rsidP="00670CB1">
      <w:pPr>
        <w:pBdr>
          <w:top w:val="nil"/>
          <w:left w:val="nil"/>
          <w:bottom w:val="nil"/>
          <w:right w:val="nil"/>
          <w:between w:val="nil"/>
        </w:pBdr>
        <w:ind w:right="-28"/>
        <w:rPr>
          <w:szCs w:val="22"/>
        </w:rPr>
      </w:pPr>
    </w:p>
    <w:p w14:paraId="181D8DC3" w14:textId="13696CD9" w:rsidR="009510B8" w:rsidRPr="00670CB1" w:rsidRDefault="009510B8" w:rsidP="00670CB1">
      <w:pPr>
        <w:pBdr>
          <w:top w:val="nil"/>
          <w:left w:val="nil"/>
          <w:bottom w:val="nil"/>
          <w:right w:val="nil"/>
          <w:between w:val="nil"/>
        </w:pBdr>
        <w:ind w:right="-28"/>
        <w:rPr>
          <w:szCs w:val="22"/>
        </w:rPr>
      </w:pPr>
      <w:r w:rsidRPr="00670CB1">
        <w:rPr>
          <w:szCs w:val="22"/>
        </w:rPr>
        <w:t xml:space="preserve">A la respuesta </w:t>
      </w:r>
      <w:r w:rsidRPr="00670CB1">
        <w:rPr>
          <w:b/>
          <w:szCs w:val="22"/>
        </w:rPr>
        <w:t xml:space="preserve">EL SUJETO OBLIGADO </w:t>
      </w:r>
      <w:r w:rsidRPr="00670CB1">
        <w:rPr>
          <w:szCs w:val="22"/>
        </w:rPr>
        <w:t xml:space="preserve">anexó el archivo digital denominado </w:t>
      </w:r>
      <w:r w:rsidRPr="00670CB1">
        <w:rPr>
          <w:b/>
          <w:i/>
          <w:szCs w:val="22"/>
        </w:rPr>
        <w:t>“</w:t>
      </w:r>
      <w:r w:rsidR="003C3124" w:rsidRPr="00670CB1">
        <w:rPr>
          <w:b/>
          <w:i/>
          <w:szCs w:val="22"/>
        </w:rPr>
        <w:t>oficio 174.pdf</w:t>
      </w:r>
      <w:r w:rsidRPr="00670CB1">
        <w:rPr>
          <w:b/>
          <w:i/>
          <w:szCs w:val="22"/>
        </w:rPr>
        <w:t xml:space="preserve">” </w:t>
      </w:r>
      <w:r w:rsidRPr="00670CB1">
        <w:rPr>
          <w:szCs w:val="22"/>
        </w:rPr>
        <w:t xml:space="preserve">que contiene el oficio número </w:t>
      </w:r>
      <w:r w:rsidR="007D2AA0" w:rsidRPr="00670CB1">
        <w:rPr>
          <w:szCs w:val="22"/>
        </w:rPr>
        <w:t>PMC/TM/0309</w:t>
      </w:r>
      <w:r w:rsidRPr="00670CB1">
        <w:rPr>
          <w:szCs w:val="22"/>
        </w:rPr>
        <w:t xml:space="preserve">/2025, suscrito por el </w:t>
      </w:r>
      <w:r w:rsidR="007D2AA0" w:rsidRPr="00670CB1">
        <w:rPr>
          <w:szCs w:val="22"/>
        </w:rPr>
        <w:t>Tesorero</w:t>
      </w:r>
      <w:r w:rsidRPr="00670CB1">
        <w:rPr>
          <w:szCs w:val="22"/>
        </w:rPr>
        <w:t xml:space="preserve"> Municipal, a través del cual </w:t>
      </w:r>
      <w:r w:rsidR="007D2AA0" w:rsidRPr="00670CB1">
        <w:rPr>
          <w:szCs w:val="22"/>
        </w:rPr>
        <w:t>indica la negativa de proporcionar la información solicitada.</w:t>
      </w:r>
    </w:p>
    <w:p w14:paraId="40D430A1" w14:textId="77777777" w:rsidR="009510B8" w:rsidRPr="00670CB1" w:rsidRDefault="009510B8" w:rsidP="00670CB1">
      <w:pPr>
        <w:pBdr>
          <w:top w:val="nil"/>
          <w:left w:val="nil"/>
          <w:bottom w:val="nil"/>
          <w:right w:val="nil"/>
          <w:between w:val="nil"/>
        </w:pBdr>
        <w:ind w:right="-28"/>
        <w:rPr>
          <w:szCs w:val="22"/>
        </w:rPr>
      </w:pPr>
    </w:p>
    <w:p w14:paraId="1355A11E" w14:textId="77777777" w:rsidR="002B11D9" w:rsidRPr="00670CB1" w:rsidRDefault="00E43858" w:rsidP="00670CB1">
      <w:pPr>
        <w:pStyle w:val="Ttulo2"/>
        <w:jc w:val="left"/>
        <w:rPr>
          <w:szCs w:val="22"/>
        </w:rPr>
      </w:pPr>
      <w:bookmarkStart w:id="11" w:name="_Toc198750509"/>
      <w:r w:rsidRPr="00670CB1">
        <w:rPr>
          <w:szCs w:val="22"/>
        </w:rPr>
        <w:t>DEL RECURSO DE REVISIÓN</w:t>
      </w:r>
      <w:bookmarkEnd w:id="11"/>
    </w:p>
    <w:p w14:paraId="030CC57B" w14:textId="77777777" w:rsidR="002B11D9" w:rsidRPr="00670CB1" w:rsidRDefault="00E43858" w:rsidP="00670CB1">
      <w:pPr>
        <w:pStyle w:val="Ttulo3"/>
        <w:rPr>
          <w:szCs w:val="22"/>
        </w:rPr>
      </w:pPr>
      <w:bookmarkStart w:id="12" w:name="_Toc198750510"/>
      <w:r w:rsidRPr="00670CB1">
        <w:rPr>
          <w:szCs w:val="22"/>
        </w:rPr>
        <w:t>a) Interposición del Recurso de Revisión.</w:t>
      </w:r>
      <w:bookmarkEnd w:id="12"/>
    </w:p>
    <w:p w14:paraId="1C00BD81" w14:textId="6016D0A4" w:rsidR="002B11D9" w:rsidRPr="00670CB1" w:rsidRDefault="00E43858" w:rsidP="00670CB1">
      <w:pPr>
        <w:ind w:right="-28"/>
        <w:rPr>
          <w:szCs w:val="22"/>
        </w:rPr>
      </w:pPr>
      <w:r w:rsidRPr="00670CB1">
        <w:rPr>
          <w:szCs w:val="22"/>
        </w:rPr>
        <w:t xml:space="preserve">El </w:t>
      </w:r>
      <w:r w:rsidR="007D2AA0" w:rsidRPr="00670CB1">
        <w:rPr>
          <w:b/>
          <w:szCs w:val="22"/>
        </w:rPr>
        <w:t>veintitrés</w:t>
      </w:r>
      <w:r w:rsidR="00324E04" w:rsidRPr="00670CB1">
        <w:rPr>
          <w:b/>
          <w:szCs w:val="22"/>
        </w:rPr>
        <w:t xml:space="preserve"> de </w:t>
      </w:r>
      <w:r w:rsidR="007D2AA0" w:rsidRPr="00670CB1">
        <w:rPr>
          <w:b/>
          <w:szCs w:val="22"/>
        </w:rPr>
        <w:t>abril</w:t>
      </w:r>
      <w:r w:rsidRPr="00670CB1">
        <w:rPr>
          <w:b/>
          <w:szCs w:val="22"/>
        </w:rPr>
        <w:t xml:space="preserve"> de dos mil </w:t>
      </w:r>
      <w:r w:rsidR="00732DB5" w:rsidRPr="00670CB1">
        <w:rPr>
          <w:b/>
          <w:szCs w:val="22"/>
        </w:rPr>
        <w:t>veinticinco</w:t>
      </w:r>
      <w:r w:rsidRPr="00670CB1">
        <w:rPr>
          <w:szCs w:val="22"/>
        </w:rPr>
        <w:t xml:space="preserve"> </w:t>
      </w:r>
      <w:r w:rsidRPr="00670CB1">
        <w:rPr>
          <w:b/>
          <w:szCs w:val="22"/>
        </w:rPr>
        <w:t>LA PARTE RECURRENTE</w:t>
      </w:r>
      <w:r w:rsidRPr="00670CB1">
        <w:rPr>
          <w:szCs w:val="22"/>
        </w:rPr>
        <w:t xml:space="preserve"> interpuso el recurso de revisión en contra de la respuesta emitida por el </w:t>
      </w:r>
      <w:r w:rsidRPr="00670CB1">
        <w:rPr>
          <w:b/>
          <w:szCs w:val="22"/>
        </w:rPr>
        <w:t>SUJETO OBLIGADO</w:t>
      </w:r>
      <w:r w:rsidRPr="00670CB1">
        <w:rPr>
          <w:szCs w:val="22"/>
        </w:rPr>
        <w:t xml:space="preserve">, mismo que fue registrado en </w:t>
      </w:r>
      <w:r w:rsidR="00680595" w:rsidRPr="00670CB1">
        <w:rPr>
          <w:b/>
          <w:szCs w:val="22"/>
        </w:rPr>
        <w:t>EL SAIMEX</w:t>
      </w:r>
      <w:r w:rsidR="00680595" w:rsidRPr="00670CB1">
        <w:rPr>
          <w:szCs w:val="22"/>
        </w:rPr>
        <w:t xml:space="preserve"> </w:t>
      </w:r>
      <w:r w:rsidRPr="00670CB1">
        <w:rPr>
          <w:szCs w:val="22"/>
        </w:rPr>
        <w:t xml:space="preserve">con el número de expediente </w:t>
      </w:r>
      <w:r w:rsidR="00706BBF" w:rsidRPr="00670CB1">
        <w:rPr>
          <w:b/>
          <w:szCs w:val="22"/>
        </w:rPr>
        <w:t>0</w:t>
      </w:r>
      <w:r w:rsidR="007D2AA0" w:rsidRPr="00670CB1">
        <w:rPr>
          <w:b/>
          <w:szCs w:val="22"/>
        </w:rPr>
        <w:t>4637</w:t>
      </w:r>
      <w:r w:rsidRPr="00670CB1">
        <w:rPr>
          <w:b/>
          <w:szCs w:val="22"/>
        </w:rPr>
        <w:t>/INFOEM/IP/RR/202</w:t>
      </w:r>
      <w:r w:rsidR="00732DB5" w:rsidRPr="00670CB1">
        <w:rPr>
          <w:b/>
          <w:szCs w:val="22"/>
        </w:rPr>
        <w:t>5</w:t>
      </w:r>
      <w:r w:rsidRPr="00670CB1">
        <w:rPr>
          <w:szCs w:val="22"/>
        </w:rPr>
        <w:t xml:space="preserve"> y en el cual manifiesta lo siguiente:</w:t>
      </w:r>
    </w:p>
    <w:p w14:paraId="4BD314D7" w14:textId="77777777" w:rsidR="009123BE" w:rsidRPr="00670CB1" w:rsidRDefault="009123BE" w:rsidP="00670CB1">
      <w:pPr>
        <w:tabs>
          <w:tab w:val="left" w:pos="4667"/>
        </w:tabs>
        <w:ind w:right="539"/>
        <w:rPr>
          <w:szCs w:val="22"/>
        </w:rPr>
      </w:pPr>
    </w:p>
    <w:p w14:paraId="755E6A05" w14:textId="3CA60385" w:rsidR="001B5316" w:rsidRPr="00670CB1" w:rsidRDefault="00E43858" w:rsidP="00670CB1">
      <w:pPr>
        <w:ind w:right="-28"/>
        <w:rPr>
          <w:b/>
          <w:szCs w:val="22"/>
        </w:rPr>
      </w:pPr>
      <w:r w:rsidRPr="00670CB1">
        <w:rPr>
          <w:b/>
          <w:szCs w:val="22"/>
        </w:rPr>
        <w:t>ACTO IMPUGNADO</w:t>
      </w:r>
      <w:bookmarkStart w:id="13" w:name="_Hlk188528269"/>
      <w:r w:rsidR="007D2AA0" w:rsidRPr="00670CB1">
        <w:rPr>
          <w:b/>
          <w:szCs w:val="22"/>
        </w:rPr>
        <w:t xml:space="preserve"> Y </w:t>
      </w:r>
      <w:r w:rsidR="001B5316" w:rsidRPr="00670CB1">
        <w:rPr>
          <w:b/>
          <w:szCs w:val="22"/>
        </w:rPr>
        <w:t>RAZ</w:t>
      </w:r>
      <w:r w:rsidR="007D2AA0" w:rsidRPr="00670CB1">
        <w:rPr>
          <w:b/>
          <w:szCs w:val="22"/>
        </w:rPr>
        <w:t>ONES O MOTIVOS DE INCONFORMIDAD:</w:t>
      </w:r>
    </w:p>
    <w:p w14:paraId="7808848D" w14:textId="77777777" w:rsidR="001B5316" w:rsidRPr="00670CB1" w:rsidRDefault="001B5316" w:rsidP="00670CB1">
      <w:pPr>
        <w:tabs>
          <w:tab w:val="left" w:pos="4667"/>
        </w:tabs>
        <w:ind w:left="567" w:right="539"/>
        <w:rPr>
          <w:szCs w:val="22"/>
        </w:rPr>
      </w:pPr>
    </w:p>
    <w:p w14:paraId="2132426C" w14:textId="4D21ED37" w:rsidR="001B5316" w:rsidRPr="00670CB1" w:rsidRDefault="001B5316" w:rsidP="00670CB1">
      <w:pPr>
        <w:pStyle w:val="Puesto"/>
      </w:pPr>
      <w:r w:rsidRPr="00670CB1">
        <w:t>“</w:t>
      </w:r>
      <w:r w:rsidR="007D2AA0" w:rsidRPr="00670CB1">
        <w:rPr>
          <w:b/>
        </w:rPr>
        <w:t>Omisión por parte del sujeto obligado del Ayuntamiento de Calimaya, al no proporcionar la información solicitada</w:t>
      </w:r>
      <w:r w:rsidR="007D2AA0" w:rsidRPr="00670CB1">
        <w:t xml:space="preserve">, en incumplimiento a los artículo 92 fracción VIII de la Ley de Transparencia y Acceso a la Información Pública del Estado de México y Municipios; y 65 fracción VII Ley General de Transparencia y Acceso a la Información Pública, que a la letra dicen: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Artículo 65.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 VII. 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 Poniendo en consideración los Criterios 1/2003 y 2/2023 emitidos por el Comité de Acceso a la Información y de Protección de Datos Personales de la Suprema Corte de Justicia de la Nación que a la letra dicen: Criterio 01/2003 INGRESOS DE LOS SERVIDORES PÚBLICOS. CONSTITUYEN INFORMACIÓN PÚBLICA AUN CUANDO SU DIFUSIÓN PUEDE AFECTAR LA VIDA O LA SEGURIDAD DE AQUÉLLOS.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cuando en ese supuesto podría encuadrar la relativa a las percepciones ordinarias y extraordinarias de los servidores públicos, ello no obsta para reconocer que el legislador estableció en el artículo 7º de ese mismo ordenamiento que la referida información, como una obligación de transparencia, debe publicarse en medios remotos o locales de comunicación electrónica, lo que se sustenta en el hecho de que el monto de todos los ingresos que recibe un servidor público por desarrollar las labores que les son encomendadas con motivo del desempeño del cargo respectivo, constituyen información pública, en tanto que se trata de erogaciones que realiza un órgano del Estado con base en los recursos que encuentran su origen, en mayor medida, en las contribuciones aportadas </w:t>
      </w:r>
      <w:r w:rsidR="007D2AA0" w:rsidRPr="00670CB1">
        <w:lastRenderedPageBreak/>
        <w:t xml:space="preserve">por los gobernados. Criterio 02/2003 INGRESOS DE LOS SERVIDORES PÚBLICOS. SON INFORMACIÓN PÚBLICA AUN CUANDO CONSTITUYEN DATOS PERSONALES QUE SE REFIEREN AL PATRIMONIO DE AQUÉLLOS.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cuando se trata de datos personales relativos a su patrimonio, para su difusión no se requiere del consentimiento de aquéllos, lo que deriva del hecho de que en términos de lo previsto en el citado ordenamiento deben ponerse a disposición del público a través de medios remotos o locales de comunicación electrónica, tanto el directorio de servidores públicos como las remuneraciones mensuales por puesto, incluso el sistema de compensación. 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 Razones por las cuales presento mi inconformidad a la respuesta dada por el Tesorero Municipal en la negativa; dado que lo procedente era entregar los recibos de nómina en versión pública de la segunda quincena del mes de marzo de 2025, de los servidores públicos: 1. OMAR GUILLERMO SÁNCHEZ VELÁZQUEZ, PRESIDENTE MUNICIPAL 2. MIRIAM ELIZABETH MEJIA COLÍN, SÍNDICO MUNICIPAL 3. ALLAN SALVADOR ORTIZ MIRANDA, 1ER REGIDOR 4. ANA LAURA ESCAMILLA MEJÍA, 2DO REGIDOR 5. ELVA ELENA PÉREZ LAVANDEROS, 3ER REGIDOR 6. JULIA LAURA ROJAS VALDÉS, 4TO REGIDOR 7. PAOLA HERNÁNDEZ VERGARA, 5TO REGIDOR 8. MARÍA DEL CARMEN SOTO CARREÑO, 6TO REGIDOR 9. ARTURO ESPÍNOLA SÁNCHEZ, 7MO REGIDOR 10. JONATAN JACOB ROSANO BECERRIL, DIRECTOR DE GOBIERNO 11. MARCOS GARAY MALVAIS, DIRECTOR DE COMUNICACIÓN SOCIAL Y GOBIERNO DIGITAL 12. LETICIA AMALIA MARTÍNEZ JIMÉNEZ, TITULAR DEL ÓRGANO INTERNO DE CONTROL 13. JOSÉ ARTURO VÁZQUEZ GUTIÉRREZ, TESORERO MUNICIPAL 14. WILFRIDO ROMERO DELGADO, DIRECTOR DE ADMINISTRACIÓN 15. BERNARDO IZQUIERDO LUNA, ENCARGADO DE DESPACHO DE LA DIRECCIÓN DE DESARROLLO URBANO 16. SULEYKA LETICIA HERNÁNDEZ LEAL, DIRECTORA DE OBRAS PÚBLICAS 17. ADRIANA NALLELY GUADARRAMA CARMONA, COORDINADORA DE PROTECCIÓN CIVIL Y BOMBEROS 18. YULI PATRICIA TARANGO VELAZQUEZ, DIRECTORA DE BIENESTAR SOCIAL 19. RICARDO GENIS SALAZAR, DIRECTOR DE CULTURA Y TURISMO 20. OCTAVIO ALVIRDE PEDROZA, DIRECTOR DE EDUCACIÓN 21. JOSÉ ALEJANDRO ÁGUILA </w:t>
      </w:r>
      <w:r w:rsidR="007D2AA0" w:rsidRPr="00670CB1">
        <w:lastRenderedPageBreak/>
        <w:t xml:space="preserve">CARMONA, DIRECTOR DE DESARROLLO ECONÓMICO 22. GUADALUPE MONSERRAT MORALES GARCÍA, TITULAR DE ATENCIÓN MUNICIPAL A LAS ADICCIONES 23. NORMA ANGÉLICA HERNÁNDEZ LAVANDEROS, DIRECTORA DE LA MUJER, IGUALDAD DE GÉNERO E INCLUSIÓN 24. RICARDO ALBERTO SERRANO QUIÑONES, SUBDIRECTOR DE CATASTRO 25. RAMIRO MANCILLA GONZÁLEZ, DIRECTOR DE MOVILIDAD 26. AGUSTÍN CONTRERAS BÁRRALES, DIRECTOR DE SALUD 27. CARLOS VARGAS MONDRAGÓN, DIRECTOR DEL CAMPO 28. ARIAN FERNANDO CASTRO AGUILAR, JUEZ CÍVICO 29. OMAR VARGAS GUADARRAMA, FACILITADOR DEL JUEZ CÍVICO 30. VÍCTOR MANUEL LÓPEZ FERNÁNDEZ, SECRETARIO CÍVICO 31. LETICIA MENDIOLA LÓPEZ, TITULAR DE LA UNIDAD DE INFORMACIÓN PLANEACIÓN PROGRAMACIÓN Y EVALUACIÓN (UIPPE) 32. MARI TOÑA OLMEDO CARMONA, TITULAR DE LA UNIDAD DE TRANSPARENCIA 33. NOÉ VÁZQUEZ JUÁREZ, DIRECCIÓN DE ECOLOGÍA Y DESARROLLO SOSTENIBLE 34. SANDRO EDILBERTO ARRIAGA REYES, DIRECCIÓN DE SEGURIDAD PÚBLICA MUNICIPAL 35. ALEJANDRA NICOLE ESTRADA HERNÁNDEZ, SECRETARIA TÉCNICA DEL CONSEJO MUNICIPAL DE SEGURIDAD PÚBLICA 36. JAVIER MENDOZA BOBADILLA, OFICIAL 01 DEL REGISTRO CIVIL 37. JOSÉ DE JESÚS ÁVILA CORTES, OFICIAL 02 38. JOSÉ JUAN ARRIAGA JAIME, TITULAR DE LA CASA DE CULTURA 39. EVER ABDIEL PEÑA MATÍAS, TITULAR DE LA DEFENSORÍA DE DERECHOS HUMANOS 40. JOAQUIN IGNACIO DÍAZ COLÍN, DIRECTOR DE SERVICIOS PÚBLICOS 41. EDUARDO MENDOZA ROBLES, TITULAR DE LA CONSEJERÍA JURÍDICA 42. YAZMIN JESSICA ALEGRÍA </w:t>
      </w:r>
      <w:proofErr w:type="spellStart"/>
      <w:r w:rsidR="007D2AA0" w:rsidRPr="00670CB1">
        <w:t>ALEGRÍA</w:t>
      </w:r>
      <w:proofErr w:type="spellEnd"/>
      <w:r w:rsidR="007D2AA0" w:rsidRPr="00670CB1">
        <w:t>, SECRETARIA DEL AYUNTAMIENTO 43. ROSA KARLA ROMERO MENDOZA, SECRETARIA PARTICULAR 44. ALEJANDRO MENDOZA VALDÉS, SECRETARIO TÉCNICO 45. ANA VELIA MORALES TAPIA, COORDINADORA DE RECURSOS HUMANOS 46. LUCERO SÁNCHEZ LÓPEZ, TITULAR DEL INSTITUTO DE LA JUVENTUD 47. ALEJANDRO LÓPEZ CALIXTO, COORDINADOR DE TENENCIA DE LA TIERRA; en términos de lo señalado por la Ley de Transparencia y Acceso a la Información Pública del Estado de México y Municipios.</w:t>
      </w:r>
      <w:r w:rsidR="00057B4D" w:rsidRPr="00670CB1">
        <w:t>” (Sic).</w:t>
      </w:r>
    </w:p>
    <w:p w14:paraId="060C6657" w14:textId="1862342D" w:rsidR="001B5316" w:rsidRPr="00670CB1" w:rsidRDefault="001B5316" w:rsidP="00670CB1">
      <w:pPr>
        <w:tabs>
          <w:tab w:val="left" w:pos="4667"/>
        </w:tabs>
        <w:ind w:left="567" w:right="539"/>
        <w:rPr>
          <w:szCs w:val="22"/>
        </w:rPr>
      </w:pPr>
    </w:p>
    <w:p w14:paraId="1DE31879" w14:textId="77777777" w:rsidR="002B11D9" w:rsidRPr="00670CB1" w:rsidRDefault="00E43858" w:rsidP="00670CB1">
      <w:pPr>
        <w:pStyle w:val="Ttulo3"/>
        <w:rPr>
          <w:szCs w:val="22"/>
        </w:rPr>
      </w:pPr>
      <w:bookmarkStart w:id="14" w:name="_Toc198750511"/>
      <w:bookmarkEnd w:id="13"/>
      <w:r w:rsidRPr="00670CB1">
        <w:rPr>
          <w:szCs w:val="22"/>
        </w:rPr>
        <w:t>b) Turno del Recurso de Revisión.</w:t>
      </w:r>
      <w:bookmarkEnd w:id="14"/>
    </w:p>
    <w:p w14:paraId="2C2E947A" w14:textId="78790BAA" w:rsidR="002B11D9" w:rsidRPr="00670CB1" w:rsidRDefault="00E43858" w:rsidP="00670CB1">
      <w:pPr>
        <w:rPr>
          <w:szCs w:val="22"/>
        </w:rPr>
      </w:pPr>
      <w:r w:rsidRPr="00670CB1">
        <w:rPr>
          <w:szCs w:val="22"/>
        </w:rPr>
        <w:t>Con fundamento en el artículo 185, fracción I de la Ley de Transparencia y Acceso a la Información Pública del Estado de México y Municipios, el</w:t>
      </w:r>
      <w:r w:rsidR="00263A58" w:rsidRPr="00670CB1">
        <w:rPr>
          <w:b/>
          <w:szCs w:val="22"/>
        </w:rPr>
        <w:t xml:space="preserve"> </w:t>
      </w:r>
      <w:r w:rsidR="007D2AA0" w:rsidRPr="00670CB1">
        <w:rPr>
          <w:b/>
          <w:szCs w:val="22"/>
        </w:rPr>
        <w:t>veintitrés</w:t>
      </w:r>
      <w:r w:rsidRPr="00670CB1">
        <w:rPr>
          <w:b/>
          <w:szCs w:val="22"/>
        </w:rPr>
        <w:t xml:space="preserve"> de </w:t>
      </w:r>
      <w:r w:rsidR="00397DCC" w:rsidRPr="00670CB1">
        <w:rPr>
          <w:b/>
          <w:szCs w:val="22"/>
        </w:rPr>
        <w:t>abril</w:t>
      </w:r>
      <w:r w:rsidRPr="00670CB1">
        <w:rPr>
          <w:b/>
          <w:szCs w:val="22"/>
        </w:rPr>
        <w:t xml:space="preserve"> de dos mil </w:t>
      </w:r>
      <w:r w:rsidR="00732DB5" w:rsidRPr="00670CB1">
        <w:rPr>
          <w:b/>
          <w:szCs w:val="22"/>
        </w:rPr>
        <w:lastRenderedPageBreak/>
        <w:t>veinticinco</w:t>
      </w:r>
      <w:r w:rsidRPr="00670CB1">
        <w:rPr>
          <w:szCs w:val="22"/>
        </w:rPr>
        <w:t xml:space="preserve"> se turnó el recurso de revisión a través del SAIMEX a la </w:t>
      </w:r>
      <w:r w:rsidRPr="00670CB1">
        <w:rPr>
          <w:b/>
          <w:szCs w:val="22"/>
        </w:rPr>
        <w:t>Comisionada Sharon Cristina Morales Martínez</w:t>
      </w:r>
      <w:r w:rsidRPr="00670CB1">
        <w:rPr>
          <w:szCs w:val="22"/>
        </w:rPr>
        <w:t>, a efecto de decret</w:t>
      </w:r>
      <w:r w:rsidR="00B95674" w:rsidRPr="00670CB1">
        <w:rPr>
          <w:szCs w:val="22"/>
        </w:rPr>
        <w:t xml:space="preserve">ar su admisión o </w:t>
      </w:r>
      <w:proofErr w:type="spellStart"/>
      <w:r w:rsidR="00B95674" w:rsidRPr="00670CB1">
        <w:rPr>
          <w:szCs w:val="22"/>
        </w:rPr>
        <w:t>desechamiento</w:t>
      </w:r>
      <w:proofErr w:type="spellEnd"/>
      <w:r w:rsidR="00B95674" w:rsidRPr="00670CB1">
        <w:rPr>
          <w:szCs w:val="22"/>
        </w:rPr>
        <w:t>.</w:t>
      </w:r>
    </w:p>
    <w:p w14:paraId="1202E0D8" w14:textId="77777777" w:rsidR="002B11D9" w:rsidRPr="00670CB1" w:rsidRDefault="002B11D9" w:rsidP="00670CB1">
      <w:pPr>
        <w:rPr>
          <w:szCs w:val="22"/>
        </w:rPr>
      </w:pPr>
    </w:p>
    <w:p w14:paraId="13786DC0" w14:textId="77777777" w:rsidR="002B11D9" w:rsidRPr="00670CB1" w:rsidRDefault="00E43858" w:rsidP="00670CB1">
      <w:pPr>
        <w:pStyle w:val="Ttulo3"/>
        <w:rPr>
          <w:szCs w:val="22"/>
        </w:rPr>
      </w:pPr>
      <w:bookmarkStart w:id="15" w:name="_Toc198750512"/>
      <w:r w:rsidRPr="00670CB1">
        <w:rPr>
          <w:szCs w:val="22"/>
        </w:rPr>
        <w:t>c) Admisión del Recurso de Revisión.</w:t>
      </w:r>
      <w:bookmarkEnd w:id="15"/>
    </w:p>
    <w:p w14:paraId="0E1729D5" w14:textId="669BDF31" w:rsidR="002B11D9" w:rsidRPr="00670CB1" w:rsidRDefault="00E43858" w:rsidP="00670CB1">
      <w:pPr>
        <w:rPr>
          <w:szCs w:val="22"/>
        </w:rPr>
      </w:pPr>
      <w:r w:rsidRPr="00670CB1">
        <w:rPr>
          <w:szCs w:val="22"/>
        </w:rPr>
        <w:t xml:space="preserve">El </w:t>
      </w:r>
      <w:r w:rsidR="00397DCC" w:rsidRPr="00670CB1">
        <w:rPr>
          <w:b/>
          <w:szCs w:val="22"/>
        </w:rPr>
        <w:t>veintiocho</w:t>
      </w:r>
      <w:r w:rsidR="00FD79D8" w:rsidRPr="00670CB1">
        <w:rPr>
          <w:b/>
          <w:szCs w:val="22"/>
        </w:rPr>
        <w:t xml:space="preserve"> </w:t>
      </w:r>
      <w:r w:rsidRPr="00670CB1">
        <w:rPr>
          <w:b/>
          <w:szCs w:val="22"/>
        </w:rPr>
        <w:t xml:space="preserve">de </w:t>
      </w:r>
      <w:r w:rsidR="00397DCC" w:rsidRPr="00670CB1">
        <w:rPr>
          <w:b/>
          <w:szCs w:val="22"/>
        </w:rPr>
        <w:t>abril</w:t>
      </w:r>
      <w:r w:rsidRPr="00670CB1">
        <w:rPr>
          <w:b/>
          <w:szCs w:val="22"/>
        </w:rPr>
        <w:t xml:space="preserve"> de dos mil </w:t>
      </w:r>
      <w:r w:rsidR="00732DB5" w:rsidRPr="00670CB1">
        <w:rPr>
          <w:b/>
          <w:szCs w:val="22"/>
        </w:rPr>
        <w:t>veinticinco</w:t>
      </w:r>
      <w:r w:rsidRPr="00670CB1">
        <w:rPr>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9AC8402" w14:textId="77777777" w:rsidR="002B11D9" w:rsidRPr="00670CB1" w:rsidRDefault="002B11D9" w:rsidP="00670CB1">
      <w:pPr>
        <w:rPr>
          <w:b/>
          <w:szCs w:val="22"/>
        </w:rPr>
      </w:pPr>
    </w:p>
    <w:p w14:paraId="3837FEF0" w14:textId="3C33C2CF" w:rsidR="003445FC" w:rsidRPr="00670CB1" w:rsidRDefault="003445FC" w:rsidP="00670CB1">
      <w:pPr>
        <w:pStyle w:val="Ttulo3"/>
        <w:spacing w:line="360" w:lineRule="auto"/>
      </w:pPr>
      <w:bookmarkStart w:id="16" w:name="_Toc191412510"/>
      <w:bookmarkStart w:id="17" w:name="_Toc198750513"/>
      <w:r w:rsidRPr="00670CB1">
        <w:t>d) Manifestaciones de</w:t>
      </w:r>
      <w:r w:rsidR="00263A58" w:rsidRPr="00670CB1">
        <w:rPr>
          <w:szCs w:val="22"/>
        </w:rPr>
        <w:t xml:space="preserve"> la Parte Recurrente</w:t>
      </w:r>
      <w:r w:rsidRPr="00670CB1">
        <w:t>.</w:t>
      </w:r>
      <w:bookmarkEnd w:id="16"/>
      <w:bookmarkEnd w:id="17"/>
    </w:p>
    <w:p w14:paraId="3A25AF18" w14:textId="6D6F9A2F" w:rsidR="00263A58" w:rsidRPr="00670CB1" w:rsidRDefault="00263A58" w:rsidP="00670CB1">
      <w:r w:rsidRPr="00670CB1">
        <w:rPr>
          <w:b/>
        </w:rPr>
        <w:t xml:space="preserve">LA PARTE RECURRENTE </w:t>
      </w:r>
      <w:r w:rsidR="00397DCC" w:rsidRPr="00670CB1">
        <w:t xml:space="preserve">adjuntó el documento denominado </w:t>
      </w:r>
      <w:r w:rsidR="00397DCC" w:rsidRPr="00670CB1">
        <w:rPr>
          <w:i/>
        </w:rPr>
        <w:t>“ALEGATOS.docx”</w:t>
      </w:r>
      <w:r w:rsidR="00397DCC" w:rsidRPr="00670CB1">
        <w:t xml:space="preserve"> mediante el cual reitera su inconformidad.</w:t>
      </w:r>
    </w:p>
    <w:p w14:paraId="61ECA6FB" w14:textId="77777777" w:rsidR="00F465D2" w:rsidRPr="00670CB1" w:rsidRDefault="00F465D2" w:rsidP="00670CB1">
      <w:pPr>
        <w:ind w:right="539"/>
        <w:rPr>
          <w:szCs w:val="22"/>
        </w:rPr>
      </w:pPr>
    </w:p>
    <w:p w14:paraId="0D5AC062" w14:textId="01E9A550" w:rsidR="002B11D9" w:rsidRPr="00670CB1" w:rsidRDefault="00E43858" w:rsidP="00670CB1">
      <w:pPr>
        <w:pStyle w:val="Ttulo3"/>
        <w:rPr>
          <w:szCs w:val="22"/>
        </w:rPr>
      </w:pPr>
      <w:bookmarkStart w:id="18" w:name="_Toc198750514"/>
      <w:r w:rsidRPr="00670CB1">
        <w:rPr>
          <w:szCs w:val="22"/>
        </w:rPr>
        <w:t xml:space="preserve">e) </w:t>
      </w:r>
      <w:r w:rsidR="00283435" w:rsidRPr="00670CB1">
        <w:rPr>
          <w:szCs w:val="22"/>
        </w:rPr>
        <w:t xml:space="preserve">Informe Justificado </w:t>
      </w:r>
      <w:r w:rsidRPr="00670CB1">
        <w:rPr>
          <w:szCs w:val="22"/>
        </w:rPr>
        <w:t>de</w:t>
      </w:r>
      <w:r w:rsidR="00263A58" w:rsidRPr="00670CB1">
        <w:rPr>
          <w:szCs w:val="22"/>
        </w:rPr>
        <w:t xml:space="preserve">l </w:t>
      </w:r>
      <w:r w:rsidR="00263A58" w:rsidRPr="00670CB1">
        <w:t>Sujeto Obligado</w:t>
      </w:r>
      <w:r w:rsidRPr="00670CB1">
        <w:rPr>
          <w:szCs w:val="22"/>
        </w:rPr>
        <w:t>.</w:t>
      </w:r>
      <w:bookmarkEnd w:id="18"/>
    </w:p>
    <w:p w14:paraId="45B9B11C" w14:textId="77777777" w:rsidR="009510B8" w:rsidRPr="00670CB1" w:rsidRDefault="009510B8" w:rsidP="00670CB1">
      <w:bookmarkStart w:id="19" w:name="_heading=h.26in1rg" w:colFirst="0" w:colLast="0"/>
      <w:bookmarkEnd w:id="19"/>
      <w:r w:rsidRPr="00670CB1">
        <w:t xml:space="preserve">De las constancias que obra en el expediente electrónico del </w:t>
      </w:r>
      <w:r w:rsidRPr="00670CB1">
        <w:rPr>
          <w:b/>
        </w:rPr>
        <w:t>SAIMEX</w:t>
      </w:r>
      <w:r w:rsidRPr="00670CB1">
        <w:t xml:space="preserve">, se advierte que </w:t>
      </w:r>
      <w:r w:rsidRPr="00670CB1">
        <w:rPr>
          <w:b/>
        </w:rPr>
        <w:t>EL SUJETO OBLIGADO</w:t>
      </w:r>
      <w:r w:rsidRPr="00670CB1">
        <w:t xml:space="preserve"> omitió remitir su informe justificado dentro del plazo legalmente concedido.</w:t>
      </w:r>
    </w:p>
    <w:p w14:paraId="5EEFF756" w14:textId="77777777" w:rsidR="002B11D9" w:rsidRPr="00670CB1" w:rsidRDefault="002B11D9" w:rsidP="00670CB1">
      <w:pPr>
        <w:rPr>
          <w:szCs w:val="22"/>
        </w:rPr>
      </w:pPr>
    </w:p>
    <w:p w14:paraId="36F09980" w14:textId="6C347413" w:rsidR="002B11D9" w:rsidRPr="00670CB1" w:rsidRDefault="0038711B" w:rsidP="00670CB1">
      <w:pPr>
        <w:pStyle w:val="Ttulo3"/>
        <w:rPr>
          <w:szCs w:val="22"/>
        </w:rPr>
      </w:pPr>
      <w:bookmarkStart w:id="20" w:name="_Toc198750515"/>
      <w:r w:rsidRPr="00670CB1">
        <w:rPr>
          <w:szCs w:val="22"/>
        </w:rPr>
        <w:t>f</w:t>
      </w:r>
      <w:r w:rsidR="00E43858" w:rsidRPr="00670CB1">
        <w:rPr>
          <w:szCs w:val="22"/>
        </w:rPr>
        <w:t>) Cierre de instrucción.</w:t>
      </w:r>
      <w:bookmarkEnd w:id="20"/>
    </w:p>
    <w:p w14:paraId="473D959F" w14:textId="53F20CB2" w:rsidR="002B11D9" w:rsidRPr="00670CB1" w:rsidRDefault="00E43858" w:rsidP="00670CB1">
      <w:pPr>
        <w:rPr>
          <w:szCs w:val="22"/>
        </w:rPr>
      </w:pPr>
      <w:bookmarkStart w:id="21" w:name="_heading=h.35nkun2" w:colFirst="0" w:colLast="0"/>
      <w:bookmarkEnd w:id="21"/>
      <w:r w:rsidRPr="00670CB1">
        <w:rPr>
          <w:szCs w:val="22"/>
        </w:rPr>
        <w:t xml:space="preserve">Al no existir diligencias pendientes por desahogar, el </w:t>
      </w:r>
      <w:r w:rsidR="00157854" w:rsidRPr="00670CB1">
        <w:rPr>
          <w:b/>
          <w:szCs w:val="22"/>
        </w:rPr>
        <w:t>quince</w:t>
      </w:r>
      <w:r w:rsidR="00743588" w:rsidRPr="00670CB1">
        <w:rPr>
          <w:b/>
          <w:szCs w:val="22"/>
        </w:rPr>
        <w:t xml:space="preserve"> </w:t>
      </w:r>
      <w:r w:rsidRPr="00670CB1">
        <w:rPr>
          <w:b/>
          <w:szCs w:val="22"/>
        </w:rPr>
        <w:t xml:space="preserve">de </w:t>
      </w:r>
      <w:r w:rsidR="00397DCC" w:rsidRPr="00670CB1">
        <w:rPr>
          <w:b/>
          <w:szCs w:val="22"/>
        </w:rPr>
        <w:t>mayo</w:t>
      </w:r>
      <w:r w:rsidR="00680595" w:rsidRPr="00670CB1">
        <w:rPr>
          <w:b/>
          <w:szCs w:val="22"/>
        </w:rPr>
        <w:t xml:space="preserve"> d</w:t>
      </w:r>
      <w:r w:rsidRPr="00670CB1">
        <w:rPr>
          <w:b/>
          <w:szCs w:val="22"/>
        </w:rPr>
        <w:t xml:space="preserve">e dos mil </w:t>
      </w:r>
      <w:r w:rsidR="00743588" w:rsidRPr="00670CB1">
        <w:rPr>
          <w:b/>
          <w:szCs w:val="22"/>
        </w:rPr>
        <w:t>veinticinco</w:t>
      </w:r>
      <w:r w:rsidRPr="00670CB1">
        <w:rPr>
          <w:szCs w:val="22"/>
        </w:rPr>
        <w:t xml:space="preserve"> la </w:t>
      </w:r>
      <w:r w:rsidRPr="00670CB1">
        <w:rPr>
          <w:b/>
          <w:szCs w:val="22"/>
        </w:rPr>
        <w:t xml:space="preserve">Comisionada Sharon Cristina Morales Martínez </w:t>
      </w:r>
      <w:r w:rsidRPr="00670CB1">
        <w:rPr>
          <w:szCs w:val="22"/>
        </w:rPr>
        <w:t xml:space="preserve">acordó el cierre de instrucción y la remisión del expediente a efecto de ser resuelto, de conformidad con lo establecido en el artículo 185 fracciones VI y VIII de la Ley de Transparencia y Acceso a la Información Pública </w:t>
      </w:r>
      <w:r w:rsidRPr="00670CB1">
        <w:rPr>
          <w:szCs w:val="22"/>
        </w:rPr>
        <w:lastRenderedPageBreak/>
        <w:t xml:space="preserve">del Estado de México y Municipios. Dicho acuerdo fue notificado a las partes el mismo día a través del </w:t>
      </w:r>
      <w:r w:rsidRPr="00670CB1">
        <w:rPr>
          <w:b/>
          <w:szCs w:val="22"/>
        </w:rPr>
        <w:t>SAIMEX</w:t>
      </w:r>
      <w:r w:rsidRPr="00670CB1">
        <w:rPr>
          <w:szCs w:val="22"/>
        </w:rPr>
        <w:t>.</w:t>
      </w:r>
    </w:p>
    <w:p w14:paraId="20A1D19A" w14:textId="77777777" w:rsidR="002B11D9" w:rsidRPr="00670CB1" w:rsidRDefault="002B11D9" w:rsidP="00670CB1">
      <w:pPr>
        <w:rPr>
          <w:szCs w:val="22"/>
        </w:rPr>
      </w:pPr>
    </w:p>
    <w:p w14:paraId="7AF2B671" w14:textId="77777777" w:rsidR="002B11D9" w:rsidRPr="00670CB1" w:rsidRDefault="00E43858" w:rsidP="00670CB1">
      <w:pPr>
        <w:pStyle w:val="Ttulo1"/>
        <w:rPr>
          <w:szCs w:val="22"/>
        </w:rPr>
      </w:pPr>
      <w:bookmarkStart w:id="22" w:name="_Toc198750516"/>
      <w:r w:rsidRPr="00670CB1">
        <w:rPr>
          <w:szCs w:val="22"/>
        </w:rPr>
        <w:t>CONSIDERANDOS</w:t>
      </w:r>
      <w:bookmarkEnd w:id="22"/>
    </w:p>
    <w:p w14:paraId="4C4E016A" w14:textId="77777777" w:rsidR="002B11D9" w:rsidRPr="00670CB1" w:rsidRDefault="002B11D9" w:rsidP="00670CB1">
      <w:pPr>
        <w:jc w:val="center"/>
        <w:rPr>
          <w:b/>
          <w:szCs w:val="22"/>
        </w:rPr>
      </w:pPr>
    </w:p>
    <w:p w14:paraId="67991CCB" w14:textId="77777777" w:rsidR="002B11D9" w:rsidRPr="00670CB1" w:rsidRDefault="00E43858" w:rsidP="00670CB1">
      <w:pPr>
        <w:pStyle w:val="Ttulo2"/>
        <w:rPr>
          <w:szCs w:val="22"/>
        </w:rPr>
      </w:pPr>
      <w:bookmarkStart w:id="23" w:name="_Toc198750517"/>
      <w:r w:rsidRPr="00670CB1">
        <w:rPr>
          <w:szCs w:val="22"/>
        </w:rPr>
        <w:t xml:space="preserve">PRIMERO. </w:t>
      </w:r>
      <w:proofErr w:type="spellStart"/>
      <w:r w:rsidRPr="00670CB1">
        <w:rPr>
          <w:szCs w:val="22"/>
        </w:rPr>
        <w:t>Procedibilidad</w:t>
      </w:r>
      <w:bookmarkEnd w:id="23"/>
      <w:proofErr w:type="spellEnd"/>
    </w:p>
    <w:p w14:paraId="77F2770D" w14:textId="77777777" w:rsidR="002B11D9" w:rsidRPr="00670CB1" w:rsidRDefault="00E43858" w:rsidP="00670CB1">
      <w:pPr>
        <w:pStyle w:val="Ttulo3"/>
        <w:rPr>
          <w:szCs w:val="22"/>
        </w:rPr>
      </w:pPr>
      <w:bookmarkStart w:id="24" w:name="_Toc198750518"/>
      <w:r w:rsidRPr="00670CB1">
        <w:rPr>
          <w:szCs w:val="22"/>
        </w:rPr>
        <w:t>a) Competencia del Instituto.</w:t>
      </w:r>
      <w:bookmarkEnd w:id="24"/>
    </w:p>
    <w:p w14:paraId="2BCE2FBA" w14:textId="77777777" w:rsidR="002B11D9" w:rsidRPr="00670CB1" w:rsidRDefault="00E43858" w:rsidP="00670CB1">
      <w:pPr>
        <w:rPr>
          <w:szCs w:val="22"/>
        </w:rPr>
      </w:pPr>
      <w:r w:rsidRPr="00670CB1">
        <w:rPr>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009ABBE" w14:textId="77777777" w:rsidR="002B11D9" w:rsidRPr="00670CB1" w:rsidRDefault="002B11D9" w:rsidP="00670CB1">
      <w:pPr>
        <w:rPr>
          <w:szCs w:val="22"/>
        </w:rPr>
      </w:pPr>
    </w:p>
    <w:p w14:paraId="2E0E6234" w14:textId="77777777" w:rsidR="002B11D9" w:rsidRPr="00670CB1" w:rsidRDefault="00E43858" w:rsidP="00670CB1">
      <w:pPr>
        <w:pStyle w:val="Ttulo3"/>
        <w:rPr>
          <w:szCs w:val="22"/>
        </w:rPr>
      </w:pPr>
      <w:bookmarkStart w:id="25" w:name="_Toc198750519"/>
      <w:r w:rsidRPr="00670CB1">
        <w:rPr>
          <w:szCs w:val="22"/>
        </w:rPr>
        <w:t>b) Legitimidad de la parte recurrente.</w:t>
      </w:r>
      <w:bookmarkEnd w:id="25"/>
    </w:p>
    <w:p w14:paraId="78DA37FC" w14:textId="77777777" w:rsidR="002B11D9" w:rsidRPr="00670CB1" w:rsidRDefault="00E43858" w:rsidP="00670CB1">
      <w:pPr>
        <w:rPr>
          <w:szCs w:val="22"/>
        </w:rPr>
      </w:pPr>
      <w:r w:rsidRPr="00670CB1">
        <w:rPr>
          <w:szCs w:val="22"/>
        </w:rPr>
        <w:t>El recurso de revisión fue interpuesto por parte legítima, ya que se presentó por la misma persona que formuló la solicitud de acceso a la Información Pública,</w:t>
      </w:r>
      <w:r w:rsidRPr="00670CB1">
        <w:rPr>
          <w:b/>
          <w:szCs w:val="22"/>
        </w:rPr>
        <w:t xml:space="preserve"> </w:t>
      </w:r>
      <w:r w:rsidRPr="00670CB1">
        <w:rPr>
          <w:szCs w:val="22"/>
        </w:rPr>
        <w:t>debido a que los datos de acceso</w:t>
      </w:r>
      <w:r w:rsidRPr="00670CB1">
        <w:rPr>
          <w:b/>
          <w:szCs w:val="22"/>
        </w:rPr>
        <w:t xml:space="preserve"> SAIMEX</w:t>
      </w:r>
      <w:r w:rsidRPr="00670CB1">
        <w:rPr>
          <w:szCs w:val="22"/>
        </w:rPr>
        <w:t xml:space="preserve"> son personales e irrepetibles.</w:t>
      </w:r>
    </w:p>
    <w:p w14:paraId="66A2A93E" w14:textId="77777777" w:rsidR="002B11D9" w:rsidRPr="00670CB1" w:rsidRDefault="002B11D9" w:rsidP="00670CB1">
      <w:pPr>
        <w:rPr>
          <w:szCs w:val="22"/>
        </w:rPr>
      </w:pPr>
    </w:p>
    <w:p w14:paraId="0943A28B" w14:textId="77777777" w:rsidR="002B11D9" w:rsidRPr="00670CB1" w:rsidRDefault="00E43858" w:rsidP="00670CB1">
      <w:pPr>
        <w:pStyle w:val="Ttulo3"/>
        <w:rPr>
          <w:szCs w:val="22"/>
        </w:rPr>
      </w:pPr>
      <w:bookmarkStart w:id="26" w:name="_Toc198750520"/>
      <w:r w:rsidRPr="00670CB1">
        <w:rPr>
          <w:szCs w:val="22"/>
        </w:rPr>
        <w:lastRenderedPageBreak/>
        <w:t>c) Plazo para interponer el recurso.</w:t>
      </w:r>
      <w:bookmarkEnd w:id="26"/>
    </w:p>
    <w:p w14:paraId="02BF5B02" w14:textId="31B0BBF7" w:rsidR="002B11D9" w:rsidRPr="00670CB1" w:rsidRDefault="00E43858" w:rsidP="00670CB1">
      <w:pPr>
        <w:rPr>
          <w:szCs w:val="22"/>
        </w:rPr>
      </w:pPr>
      <w:bookmarkStart w:id="27" w:name="_heading=h.1y810tw" w:colFirst="0" w:colLast="0"/>
      <w:bookmarkEnd w:id="27"/>
      <w:r w:rsidRPr="00670CB1">
        <w:rPr>
          <w:b/>
          <w:szCs w:val="22"/>
        </w:rPr>
        <w:t>EL SUJETO OBLIGADO</w:t>
      </w:r>
      <w:r w:rsidRPr="00670CB1">
        <w:rPr>
          <w:szCs w:val="22"/>
        </w:rPr>
        <w:t xml:space="preserve"> notificó la respuesta a la solicitud de acceso a la Información Pública el </w:t>
      </w:r>
      <w:r w:rsidR="00397DCC" w:rsidRPr="00670CB1">
        <w:rPr>
          <w:b/>
          <w:szCs w:val="22"/>
        </w:rPr>
        <w:t>veintidós</w:t>
      </w:r>
      <w:r w:rsidRPr="00670CB1">
        <w:rPr>
          <w:b/>
          <w:szCs w:val="22"/>
        </w:rPr>
        <w:t xml:space="preserve"> de </w:t>
      </w:r>
      <w:r w:rsidR="00397DCC" w:rsidRPr="00670CB1">
        <w:rPr>
          <w:b/>
          <w:szCs w:val="22"/>
        </w:rPr>
        <w:t>abril</w:t>
      </w:r>
      <w:r w:rsidRPr="00670CB1">
        <w:rPr>
          <w:b/>
          <w:szCs w:val="22"/>
        </w:rPr>
        <w:t xml:space="preserve"> de dos mil </w:t>
      </w:r>
      <w:r w:rsidR="000955A6" w:rsidRPr="00670CB1">
        <w:rPr>
          <w:b/>
          <w:szCs w:val="22"/>
        </w:rPr>
        <w:t>veinticinco</w:t>
      </w:r>
      <w:r w:rsidRPr="00670CB1">
        <w:rPr>
          <w:szCs w:val="22"/>
        </w:rPr>
        <w:t xml:space="preserve"> y el recurso que nos ocupa se interpuso el </w:t>
      </w:r>
      <w:r w:rsidR="00397DCC" w:rsidRPr="00670CB1">
        <w:rPr>
          <w:b/>
          <w:szCs w:val="22"/>
        </w:rPr>
        <w:t>veintitrés</w:t>
      </w:r>
      <w:r w:rsidRPr="00670CB1">
        <w:rPr>
          <w:b/>
          <w:szCs w:val="22"/>
        </w:rPr>
        <w:t xml:space="preserve"> de </w:t>
      </w:r>
      <w:r w:rsidR="00397DCC" w:rsidRPr="00670CB1">
        <w:rPr>
          <w:b/>
          <w:szCs w:val="22"/>
        </w:rPr>
        <w:t>abril</w:t>
      </w:r>
      <w:r w:rsidRPr="00670CB1">
        <w:rPr>
          <w:b/>
          <w:szCs w:val="22"/>
        </w:rPr>
        <w:t xml:space="preserve"> de dos mil </w:t>
      </w:r>
      <w:r w:rsidR="000955A6" w:rsidRPr="00670CB1">
        <w:rPr>
          <w:b/>
          <w:szCs w:val="22"/>
        </w:rPr>
        <w:t>veinticinco</w:t>
      </w:r>
      <w:r w:rsidRPr="00670CB1">
        <w:rPr>
          <w:szCs w:val="22"/>
        </w:rPr>
        <w:t xml:space="preserve"> por lo tanto, éste se encuentra dentro del margen temporal previsto en el artículo 178 de la Ley de Transparencia y Acceso a la Información Pública del Estado de México y Municipios, el cual transcurrió del </w:t>
      </w:r>
      <w:r w:rsidR="00397DCC" w:rsidRPr="00670CB1">
        <w:rPr>
          <w:b/>
          <w:szCs w:val="22"/>
        </w:rPr>
        <w:t>veintitrés</w:t>
      </w:r>
      <w:r w:rsidR="001C0893" w:rsidRPr="00670CB1">
        <w:rPr>
          <w:b/>
          <w:szCs w:val="22"/>
        </w:rPr>
        <w:t xml:space="preserve"> </w:t>
      </w:r>
      <w:r w:rsidR="001B5316" w:rsidRPr="00670CB1">
        <w:rPr>
          <w:b/>
          <w:szCs w:val="22"/>
        </w:rPr>
        <w:t xml:space="preserve">de </w:t>
      </w:r>
      <w:r w:rsidR="00397DCC" w:rsidRPr="00670CB1">
        <w:rPr>
          <w:b/>
          <w:szCs w:val="22"/>
        </w:rPr>
        <w:t>abril</w:t>
      </w:r>
      <w:r w:rsidR="001B5316" w:rsidRPr="00670CB1">
        <w:rPr>
          <w:b/>
          <w:szCs w:val="22"/>
        </w:rPr>
        <w:t xml:space="preserve"> </w:t>
      </w:r>
      <w:r w:rsidR="00F465D2" w:rsidRPr="00670CB1">
        <w:rPr>
          <w:b/>
          <w:szCs w:val="22"/>
        </w:rPr>
        <w:t xml:space="preserve">al </w:t>
      </w:r>
      <w:r w:rsidR="00397DCC" w:rsidRPr="00670CB1">
        <w:rPr>
          <w:b/>
          <w:szCs w:val="22"/>
        </w:rPr>
        <w:t>quince</w:t>
      </w:r>
      <w:r w:rsidR="00F465D2" w:rsidRPr="00670CB1">
        <w:rPr>
          <w:b/>
          <w:szCs w:val="22"/>
        </w:rPr>
        <w:t xml:space="preserve"> de </w:t>
      </w:r>
      <w:r w:rsidR="00397DCC" w:rsidRPr="00670CB1">
        <w:rPr>
          <w:b/>
          <w:szCs w:val="22"/>
        </w:rPr>
        <w:t>mayo</w:t>
      </w:r>
      <w:r w:rsidR="00F465D2" w:rsidRPr="00670CB1">
        <w:rPr>
          <w:b/>
          <w:szCs w:val="22"/>
        </w:rPr>
        <w:t xml:space="preserve"> </w:t>
      </w:r>
      <w:r w:rsidR="001C0893" w:rsidRPr="00670CB1">
        <w:rPr>
          <w:b/>
          <w:szCs w:val="22"/>
        </w:rPr>
        <w:t>de d</w:t>
      </w:r>
      <w:r w:rsidRPr="00670CB1">
        <w:rPr>
          <w:b/>
          <w:szCs w:val="22"/>
        </w:rPr>
        <w:t xml:space="preserve">os mil </w:t>
      </w:r>
      <w:r w:rsidR="00502F3C" w:rsidRPr="00670CB1">
        <w:rPr>
          <w:b/>
          <w:szCs w:val="22"/>
        </w:rPr>
        <w:t>veinticinco</w:t>
      </w:r>
      <w:r w:rsidRPr="00670CB1">
        <w:rPr>
          <w:szCs w:val="22"/>
        </w:rPr>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02130B29" w14:textId="77777777" w:rsidR="002B11D9" w:rsidRPr="00670CB1" w:rsidRDefault="002B11D9" w:rsidP="00670CB1">
      <w:pPr>
        <w:rPr>
          <w:szCs w:val="22"/>
        </w:rPr>
      </w:pPr>
    </w:p>
    <w:p w14:paraId="2F9FD68D" w14:textId="77777777" w:rsidR="002B11D9" w:rsidRPr="00670CB1" w:rsidRDefault="00E43858" w:rsidP="00670CB1">
      <w:pPr>
        <w:pStyle w:val="Ttulo3"/>
        <w:rPr>
          <w:szCs w:val="22"/>
        </w:rPr>
      </w:pPr>
      <w:bookmarkStart w:id="28" w:name="_Toc198750521"/>
      <w:r w:rsidRPr="00670CB1">
        <w:rPr>
          <w:szCs w:val="22"/>
        </w:rPr>
        <w:t>d) Causal de procedencia.</w:t>
      </w:r>
      <w:bookmarkEnd w:id="28"/>
    </w:p>
    <w:p w14:paraId="21F6A19B" w14:textId="632B0DE0" w:rsidR="002B11D9" w:rsidRPr="00670CB1" w:rsidRDefault="00E43858" w:rsidP="00670CB1">
      <w:pPr>
        <w:rPr>
          <w:szCs w:val="22"/>
        </w:rPr>
      </w:pPr>
      <w:r w:rsidRPr="00670CB1">
        <w:rPr>
          <w:szCs w:val="22"/>
        </w:rPr>
        <w:t>Resulta procedente la interposición del recurso de revisión, ya que se actualiza la causal de procedencia señalad</w:t>
      </w:r>
      <w:r w:rsidR="00263A58" w:rsidRPr="00670CB1">
        <w:rPr>
          <w:szCs w:val="22"/>
        </w:rPr>
        <w:t xml:space="preserve">a en el artículo 179, fracción </w:t>
      </w:r>
      <w:r w:rsidR="00397DCC" w:rsidRPr="00670CB1">
        <w:rPr>
          <w:szCs w:val="22"/>
        </w:rPr>
        <w:t>I</w:t>
      </w:r>
      <w:r w:rsidRPr="00670CB1">
        <w:rPr>
          <w:szCs w:val="22"/>
        </w:rPr>
        <w:t xml:space="preserve"> de la Ley de Transparencia y Acceso a la Información Pública del Estado de México y Municipios.</w:t>
      </w:r>
    </w:p>
    <w:p w14:paraId="0DA286F6" w14:textId="77777777" w:rsidR="002B11D9" w:rsidRPr="00670CB1" w:rsidRDefault="002B11D9" w:rsidP="00670CB1">
      <w:pPr>
        <w:rPr>
          <w:szCs w:val="22"/>
        </w:rPr>
      </w:pPr>
    </w:p>
    <w:p w14:paraId="2F204211" w14:textId="77777777" w:rsidR="002B11D9" w:rsidRPr="00670CB1" w:rsidRDefault="00E43858" w:rsidP="00670CB1">
      <w:pPr>
        <w:pStyle w:val="Ttulo3"/>
        <w:rPr>
          <w:szCs w:val="22"/>
        </w:rPr>
      </w:pPr>
      <w:bookmarkStart w:id="29" w:name="_Toc198750522"/>
      <w:r w:rsidRPr="00670CB1">
        <w:rPr>
          <w:szCs w:val="22"/>
        </w:rPr>
        <w:t>e) Requisitos formales para la interposición del recurso.</w:t>
      </w:r>
      <w:bookmarkEnd w:id="29"/>
    </w:p>
    <w:p w14:paraId="28593350" w14:textId="77777777" w:rsidR="00C57E63" w:rsidRPr="00670CB1" w:rsidRDefault="00C57E63" w:rsidP="00670CB1">
      <w:r w:rsidRPr="00670CB1">
        <w:t xml:space="preserve">Es importante mencionar que, de la revisión del expediente electrónico del </w:t>
      </w:r>
      <w:r w:rsidRPr="00670CB1">
        <w:rPr>
          <w:b/>
          <w:bCs/>
        </w:rPr>
        <w:t>SAIMEX</w:t>
      </w:r>
      <w:r w:rsidRPr="00670CB1">
        <w:t xml:space="preserve">, se observa que </w:t>
      </w:r>
      <w:r w:rsidRPr="00670CB1">
        <w:rPr>
          <w:b/>
        </w:rPr>
        <w:t>LA PARTE RECURRENTE</w:t>
      </w:r>
      <w:r w:rsidRPr="00670CB1">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670CB1">
        <w:rPr>
          <w:b/>
          <w:u w:val="single"/>
        </w:rPr>
        <w:t>el nombre no es un requisito indispensable</w:t>
      </w:r>
      <w:r w:rsidRPr="00670CB1">
        <w:t xml:space="preserve"> para que las y los ciudadanos ejerzan el derecho de acceso a la información pública. </w:t>
      </w:r>
    </w:p>
    <w:p w14:paraId="01125331" w14:textId="77777777" w:rsidR="00C57E63" w:rsidRPr="00670CB1" w:rsidRDefault="00C57E63" w:rsidP="00670CB1"/>
    <w:p w14:paraId="370E2B16" w14:textId="77777777" w:rsidR="00C57E63" w:rsidRPr="00670CB1" w:rsidRDefault="00C57E63" w:rsidP="00670CB1">
      <w:r w:rsidRPr="00670CB1">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70CB1">
        <w:rPr>
          <w:b/>
        </w:rPr>
        <w:t>LA PARTE RECURRENTE;</w:t>
      </w:r>
      <w:r w:rsidRPr="00670CB1">
        <w:t xml:space="preserve"> por lo que, en el presente caso, al haber sido presentado el recurso de revisión vía </w:t>
      </w:r>
      <w:r w:rsidRPr="00670CB1">
        <w:rPr>
          <w:b/>
        </w:rPr>
        <w:t>SAIMEX</w:t>
      </w:r>
      <w:r w:rsidRPr="00670CB1">
        <w:t>, dicho requisito resulta innecesario.</w:t>
      </w:r>
    </w:p>
    <w:p w14:paraId="458725C4" w14:textId="77777777" w:rsidR="002B11D9" w:rsidRPr="00670CB1" w:rsidRDefault="002B11D9" w:rsidP="00670CB1">
      <w:pPr>
        <w:rPr>
          <w:szCs w:val="22"/>
        </w:rPr>
      </w:pPr>
    </w:p>
    <w:p w14:paraId="6CC0AE89" w14:textId="142E352E" w:rsidR="002B11D9" w:rsidRPr="00670CB1" w:rsidRDefault="00E43858" w:rsidP="00670CB1">
      <w:pPr>
        <w:pStyle w:val="Ttulo2"/>
        <w:rPr>
          <w:szCs w:val="22"/>
        </w:rPr>
      </w:pPr>
      <w:bookmarkStart w:id="30" w:name="_Toc198750523"/>
      <w:r w:rsidRPr="00670CB1">
        <w:rPr>
          <w:szCs w:val="22"/>
        </w:rPr>
        <w:t xml:space="preserve">SEGUNDO. </w:t>
      </w:r>
      <w:r w:rsidR="005201C8" w:rsidRPr="00670CB1">
        <w:rPr>
          <w:szCs w:val="22"/>
        </w:rPr>
        <w:t>Estudio de Fondo</w:t>
      </w:r>
      <w:r w:rsidRPr="00670CB1">
        <w:rPr>
          <w:szCs w:val="22"/>
        </w:rPr>
        <w:t>.</w:t>
      </w:r>
      <w:bookmarkEnd w:id="30"/>
    </w:p>
    <w:p w14:paraId="36F4B1E9" w14:textId="77777777" w:rsidR="002B11D9" w:rsidRPr="00670CB1" w:rsidRDefault="00E43858" w:rsidP="00670CB1">
      <w:pPr>
        <w:pStyle w:val="Ttulo3"/>
        <w:rPr>
          <w:szCs w:val="22"/>
        </w:rPr>
      </w:pPr>
      <w:bookmarkStart w:id="31" w:name="_Toc198750524"/>
      <w:r w:rsidRPr="00670CB1">
        <w:rPr>
          <w:szCs w:val="22"/>
        </w:rPr>
        <w:t>a) Mandato de transparencia y responsabilidad del Sujeto Obligado.</w:t>
      </w:r>
      <w:bookmarkEnd w:id="31"/>
    </w:p>
    <w:p w14:paraId="645A0019" w14:textId="77777777" w:rsidR="002B11D9" w:rsidRPr="00670CB1" w:rsidRDefault="00E43858" w:rsidP="00670CB1">
      <w:pPr>
        <w:rPr>
          <w:szCs w:val="22"/>
        </w:rPr>
      </w:pPr>
      <w:r w:rsidRPr="00670CB1">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BC2B1B8" w14:textId="77777777" w:rsidR="002B11D9" w:rsidRPr="00670CB1" w:rsidRDefault="002B11D9" w:rsidP="00670CB1">
      <w:pPr>
        <w:rPr>
          <w:szCs w:val="22"/>
        </w:rPr>
      </w:pPr>
    </w:p>
    <w:p w14:paraId="2728DC9A" w14:textId="77777777" w:rsidR="002B11D9" w:rsidRPr="00670CB1" w:rsidRDefault="00E43858" w:rsidP="00670CB1">
      <w:pPr>
        <w:spacing w:line="240" w:lineRule="auto"/>
        <w:ind w:left="567" w:right="539"/>
        <w:rPr>
          <w:b/>
          <w:i/>
          <w:szCs w:val="22"/>
        </w:rPr>
      </w:pPr>
      <w:r w:rsidRPr="00670CB1">
        <w:rPr>
          <w:b/>
          <w:i/>
          <w:szCs w:val="22"/>
        </w:rPr>
        <w:t>Constitución Política de los Estados Unidos Mexicanos</w:t>
      </w:r>
    </w:p>
    <w:p w14:paraId="65A3C40E" w14:textId="77777777" w:rsidR="002B11D9" w:rsidRPr="00670CB1" w:rsidRDefault="00E43858" w:rsidP="00670CB1">
      <w:pPr>
        <w:spacing w:line="240" w:lineRule="auto"/>
        <w:ind w:left="567" w:right="539"/>
        <w:rPr>
          <w:b/>
          <w:i/>
          <w:szCs w:val="22"/>
        </w:rPr>
      </w:pPr>
      <w:r w:rsidRPr="00670CB1">
        <w:rPr>
          <w:b/>
          <w:i/>
          <w:szCs w:val="22"/>
        </w:rPr>
        <w:t>“Artículo 6.</w:t>
      </w:r>
    </w:p>
    <w:p w14:paraId="56A52B32" w14:textId="77777777" w:rsidR="002B11D9" w:rsidRPr="00670CB1" w:rsidRDefault="00E43858" w:rsidP="00670CB1">
      <w:pPr>
        <w:spacing w:line="240" w:lineRule="auto"/>
        <w:ind w:left="567" w:right="539"/>
        <w:rPr>
          <w:i/>
          <w:szCs w:val="22"/>
        </w:rPr>
      </w:pPr>
      <w:r w:rsidRPr="00670CB1">
        <w:rPr>
          <w:i/>
          <w:szCs w:val="22"/>
        </w:rPr>
        <w:t>(…)</w:t>
      </w:r>
    </w:p>
    <w:p w14:paraId="1976FC67" w14:textId="77777777" w:rsidR="002B11D9" w:rsidRPr="00670CB1" w:rsidRDefault="00E43858" w:rsidP="00670CB1">
      <w:pPr>
        <w:spacing w:line="240" w:lineRule="auto"/>
        <w:ind w:left="567" w:right="539"/>
        <w:rPr>
          <w:i/>
          <w:szCs w:val="22"/>
        </w:rPr>
      </w:pPr>
      <w:r w:rsidRPr="00670CB1">
        <w:rPr>
          <w:i/>
          <w:szCs w:val="22"/>
        </w:rPr>
        <w:t>Para efectos de lo dispuesto en el presente artículo se observará lo siguiente:</w:t>
      </w:r>
    </w:p>
    <w:p w14:paraId="04BDA9BA" w14:textId="77777777" w:rsidR="002B11D9" w:rsidRPr="00670CB1" w:rsidRDefault="00E43858" w:rsidP="00670CB1">
      <w:pPr>
        <w:spacing w:line="240" w:lineRule="auto"/>
        <w:ind w:left="567" w:right="539"/>
        <w:rPr>
          <w:b/>
          <w:i/>
          <w:szCs w:val="22"/>
        </w:rPr>
      </w:pPr>
      <w:r w:rsidRPr="00670CB1">
        <w:rPr>
          <w:b/>
          <w:i/>
          <w:szCs w:val="22"/>
        </w:rPr>
        <w:t>A</w:t>
      </w:r>
      <w:r w:rsidRPr="00670CB1">
        <w:rPr>
          <w:i/>
          <w:szCs w:val="22"/>
        </w:rPr>
        <w:t xml:space="preserve">. </w:t>
      </w:r>
      <w:r w:rsidRPr="00670CB1">
        <w:rPr>
          <w:b/>
          <w:i/>
          <w:szCs w:val="22"/>
        </w:rPr>
        <w:t>Para el ejercicio del derecho de acceso a la información</w:t>
      </w:r>
      <w:r w:rsidRPr="00670CB1">
        <w:rPr>
          <w:i/>
          <w:szCs w:val="22"/>
        </w:rPr>
        <w:t xml:space="preserve">, la Federación y </w:t>
      </w:r>
      <w:r w:rsidRPr="00670CB1">
        <w:rPr>
          <w:b/>
          <w:i/>
          <w:szCs w:val="22"/>
        </w:rPr>
        <w:t>las entidades federativas, en el ámbito de sus respectivas competencias, se regirán por los siguientes principios y bases:</w:t>
      </w:r>
    </w:p>
    <w:p w14:paraId="7B2501C9" w14:textId="77777777" w:rsidR="002B11D9" w:rsidRPr="00670CB1" w:rsidRDefault="00E43858" w:rsidP="00670CB1">
      <w:pPr>
        <w:spacing w:line="240" w:lineRule="auto"/>
        <w:ind w:left="567" w:right="539"/>
        <w:rPr>
          <w:i/>
          <w:szCs w:val="22"/>
        </w:rPr>
      </w:pPr>
      <w:r w:rsidRPr="00670CB1">
        <w:rPr>
          <w:b/>
          <w:i/>
          <w:szCs w:val="22"/>
        </w:rPr>
        <w:t xml:space="preserve">I. </w:t>
      </w:r>
      <w:r w:rsidRPr="00670CB1">
        <w:rPr>
          <w:b/>
          <w:i/>
          <w:szCs w:val="22"/>
        </w:rPr>
        <w:tab/>
        <w:t>Toda la información en posesión de cualquier</w:t>
      </w:r>
      <w:r w:rsidRPr="00670CB1">
        <w:rPr>
          <w:i/>
          <w:szCs w:val="22"/>
        </w:rPr>
        <w:t xml:space="preserve"> </w:t>
      </w:r>
      <w:r w:rsidRPr="00670CB1">
        <w:rPr>
          <w:b/>
          <w:i/>
          <w:szCs w:val="22"/>
        </w:rPr>
        <w:t>autoridad</w:t>
      </w:r>
      <w:r w:rsidRPr="00670CB1">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70CB1">
        <w:rPr>
          <w:b/>
          <w:i/>
          <w:szCs w:val="22"/>
        </w:rPr>
        <w:t>municipal</w:t>
      </w:r>
      <w:r w:rsidRPr="00670CB1">
        <w:rPr>
          <w:i/>
          <w:szCs w:val="22"/>
        </w:rPr>
        <w:t xml:space="preserve">, </w:t>
      </w:r>
      <w:r w:rsidRPr="00670CB1">
        <w:rPr>
          <w:b/>
          <w:i/>
          <w:szCs w:val="22"/>
        </w:rPr>
        <w:t>es pública</w:t>
      </w:r>
      <w:r w:rsidRPr="00670CB1">
        <w:rPr>
          <w:i/>
          <w:szCs w:val="22"/>
        </w:rPr>
        <w:t xml:space="preserve"> y sólo podrá ser reservada temporalmente por razones de interés público y seguridad nacional, en los términos que fijen las leyes. </w:t>
      </w:r>
      <w:r w:rsidRPr="00670CB1">
        <w:rPr>
          <w:b/>
          <w:i/>
          <w:szCs w:val="22"/>
        </w:rPr>
        <w:t xml:space="preserve">En la interpretación de este derecho deberá prevalecer el principio de máxima publicidad. Los sujetos obligados deberán documentar todo acto que derive del </w:t>
      </w:r>
      <w:r w:rsidRPr="00670CB1">
        <w:rPr>
          <w:b/>
          <w:i/>
          <w:szCs w:val="22"/>
        </w:rPr>
        <w:lastRenderedPageBreak/>
        <w:t>ejercicio de sus facultades, competencias o funciones</w:t>
      </w:r>
      <w:r w:rsidRPr="00670CB1">
        <w:rPr>
          <w:i/>
          <w:szCs w:val="22"/>
        </w:rPr>
        <w:t>, la ley determinará los supuestos específicos bajo los cuales procederá la declaración de inexistencia de la información.”</w:t>
      </w:r>
    </w:p>
    <w:p w14:paraId="55C26538" w14:textId="77777777" w:rsidR="002B11D9" w:rsidRPr="00670CB1" w:rsidRDefault="002B11D9" w:rsidP="00670CB1">
      <w:pPr>
        <w:spacing w:line="240" w:lineRule="auto"/>
        <w:ind w:left="567" w:right="539"/>
        <w:rPr>
          <w:b/>
          <w:i/>
          <w:szCs w:val="22"/>
        </w:rPr>
      </w:pPr>
    </w:p>
    <w:p w14:paraId="1DB1F016" w14:textId="77777777" w:rsidR="002B11D9" w:rsidRPr="00670CB1" w:rsidRDefault="00E43858" w:rsidP="00670CB1">
      <w:pPr>
        <w:spacing w:line="240" w:lineRule="auto"/>
        <w:ind w:left="567" w:right="539"/>
        <w:rPr>
          <w:b/>
          <w:i/>
          <w:szCs w:val="22"/>
        </w:rPr>
      </w:pPr>
      <w:r w:rsidRPr="00670CB1">
        <w:rPr>
          <w:b/>
          <w:i/>
          <w:szCs w:val="22"/>
        </w:rPr>
        <w:t>Constitución Política del Estado Libre y Soberano de México</w:t>
      </w:r>
    </w:p>
    <w:p w14:paraId="4E542E32" w14:textId="77777777" w:rsidR="002B11D9" w:rsidRPr="00670CB1" w:rsidRDefault="00E43858" w:rsidP="00670CB1">
      <w:pPr>
        <w:spacing w:line="240" w:lineRule="auto"/>
        <w:ind w:left="567" w:right="539"/>
        <w:rPr>
          <w:i/>
          <w:szCs w:val="22"/>
        </w:rPr>
      </w:pPr>
      <w:r w:rsidRPr="00670CB1">
        <w:rPr>
          <w:b/>
          <w:i/>
          <w:szCs w:val="22"/>
        </w:rPr>
        <w:t>“Artículo 5</w:t>
      </w:r>
      <w:r w:rsidRPr="00670CB1">
        <w:rPr>
          <w:i/>
          <w:szCs w:val="22"/>
        </w:rPr>
        <w:t xml:space="preserve">.- </w:t>
      </w:r>
    </w:p>
    <w:p w14:paraId="0E7D0278" w14:textId="77777777" w:rsidR="002B11D9" w:rsidRPr="00670CB1" w:rsidRDefault="00E43858" w:rsidP="00670CB1">
      <w:pPr>
        <w:spacing w:line="240" w:lineRule="auto"/>
        <w:ind w:left="567" w:right="539"/>
        <w:rPr>
          <w:i/>
          <w:szCs w:val="22"/>
        </w:rPr>
      </w:pPr>
      <w:r w:rsidRPr="00670CB1">
        <w:rPr>
          <w:i/>
          <w:szCs w:val="22"/>
        </w:rPr>
        <w:t>(…)</w:t>
      </w:r>
    </w:p>
    <w:p w14:paraId="6CD461F3" w14:textId="77777777" w:rsidR="002B11D9" w:rsidRPr="00670CB1" w:rsidRDefault="00E43858" w:rsidP="00670CB1">
      <w:pPr>
        <w:spacing w:line="240" w:lineRule="auto"/>
        <w:ind w:left="567" w:right="539"/>
        <w:rPr>
          <w:i/>
          <w:szCs w:val="22"/>
        </w:rPr>
      </w:pPr>
      <w:r w:rsidRPr="00670CB1">
        <w:rPr>
          <w:b/>
          <w:i/>
          <w:szCs w:val="22"/>
        </w:rPr>
        <w:t>El derecho a la información será garantizado por el Estado. La ley establecerá las previsiones que permitan asegurar la protección, el respeto y la difusión de este derecho</w:t>
      </w:r>
      <w:r w:rsidRPr="00670CB1">
        <w:rPr>
          <w:i/>
          <w:szCs w:val="22"/>
        </w:rPr>
        <w:t>.</w:t>
      </w:r>
    </w:p>
    <w:p w14:paraId="2ABE9580" w14:textId="77777777" w:rsidR="002B11D9" w:rsidRPr="00670CB1" w:rsidRDefault="00E43858" w:rsidP="00670CB1">
      <w:pPr>
        <w:spacing w:line="240" w:lineRule="auto"/>
        <w:ind w:left="567" w:right="539"/>
        <w:rPr>
          <w:i/>
          <w:szCs w:val="22"/>
        </w:rPr>
      </w:pPr>
      <w:r w:rsidRPr="00670CB1">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7A0A77" w14:textId="77777777" w:rsidR="002B11D9" w:rsidRPr="00670CB1" w:rsidRDefault="00E43858" w:rsidP="00670CB1">
      <w:pPr>
        <w:spacing w:line="240" w:lineRule="auto"/>
        <w:ind w:left="567" w:right="539"/>
        <w:rPr>
          <w:i/>
          <w:szCs w:val="22"/>
        </w:rPr>
      </w:pPr>
      <w:r w:rsidRPr="00670CB1">
        <w:rPr>
          <w:b/>
          <w:i/>
          <w:szCs w:val="22"/>
        </w:rPr>
        <w:t>Este derecho se regirá por los principios y bases siguientes</w:t>
      </w:r>
      <w:r w:rsidRPr="00670CB1">
        <w:rPr>
          <w:i/>
          <w:szCs w:val="22"/>
        </w:rPr>
        <w:t>:</w:t>
      </w:r>
    </w:p>
    <w:p w14:paraId="20F07590" w14:textId="77777777" w:rsidR="002B11D9" w:rsidRPr="00670CB1" w:rsidRDefault="00E43858" w:rsidP="00670CB1">
      <w:pPr>
        <w:spacing w:line="240" w:lineRule="auto"/>
        <w:ind w:left="567" w:right="539"/>
        <w:rPr>
          <w:i/>
          <w:szCs w:val="22"/>
        </w:rPr>
      </w:pPr>
      <w:r w:rsidRPr="00670CB1">
        <w:rPr>
          <w:b/>
          <w:i/>
          <w:szCs w:val="22"/>
        </w:rPr>
        <w:t>I. Toda la información en posesión de cualquier autoridad, entidad, órgano y organismos de los</w:t>
      </w:r>
      <w:r w:rsidRPr="00670CB1">
        <w:rPr>
          <w:i/>
          <w:szCs w:val="22"/>
        </w:rPr>
        <w:t xml:space="preserve"> Poderes Ejecutivo, Legislativo y Judicial, órganos autónomos, partidos políticos, fideicomisos y fondos públicos estatales y </w:t>
      </w:r>
      <w:r w:rsidRPr="00670CB1">
        <w:rPr>
          <w:b/>
          <w:i/>
          <w:szCs w:val="22"/>
        </w:rPr>
        <w:t>municipales</w:t>
      </w:r>
      <w:r w:rsidRPr="00670CB1">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70CB1">
        <w:rPr>
          <w:b/>
          <w:i/>
          <w:szCs w:val="22"/>
        </w:rPr>
        <w:t>es pública</w:t>
      </w:r>
      <w:r w:rsidRPr="00670CB1">
        <w:rPr>
          <w:i/>
          <w:szCs w:val="22"/>
        </w:rPr>
        <w:t xml:space="preserve"> y sólo podrá ser reservada temporalmente por razones previstas en la Constitución Política de los Estados Unidos Mexicanos de interés público y seguridad, en los términos que fijen las leyes. </w:t>
      </w:r>
      <w:r w:rsidRPr="00670CB1">
        <w:rPr>
          <w:b/>
          <w:i/>
          <w:szCs w:val="22"/>
        </w:rPr>
        <w:t>En la interpretación de este derecho deberá prevalecer el principio de máxima publicidad</w:t>
      </w:r>
      <w:r w:rsidRPr="00670CB1">
        <w:rPr>
          <w:i/>
          <w:szCs w:val="22"/>
        </w:rPr>
        <w:t xml:space="preserve">. </w:t>
      </w:r>
      <w:r w:rsidRPr="00670CB1">
        <w:rPr>
          <w:b/>
          <w:i/>
          <w:szCs w:val="22"/>
        </w:rPr>
        <w:t>Los sujetos obligados deberán documentar todo acto que derive del ejercicio de sus facultades, competencias o funciones</w:t>
      </w:r>
      <w:r w:rsidRPr="00670CB1">
        <w:rPr>
          <w:i/>
          <w:szCs w:val="22"/>
        </w:rPr>
        <w:t>, la ley determinará los supuestos específicos bajo los cuales procederá la declaración de inexistencia de la información.”</w:t>
      </w:r>
    </w:p>
    <w:p w14:paraId="43DAD261" w14:textId="77777777" w:rsidR="002B11D9" w:rsidRPr="00670CB1" w:rsidRDefault="002B11D9" w:rsidP="00670CB1">
      <w:pPr>
        <w:rPr>
          <w:b/>
          <w:i/>
          <w:szCs w:val="22"/>
        </w:rPr>
      </w:pPr>
    </w:p>
    <w:p w14:paraId="3CC5AE80" w14:textId="77777777" w:rsidR="002B11D9" w:rsidRPr="00670CB1" w:rsidRDefault="00E43858" w:rsidP="00670CB1">
      <w:pPr>
        <w:rPr>
          <w:i/>
          <w:szCs w:val="22"/>
        </w:rPr>
      </w:pPr>
      <w:r w:rsidRPr="00670CB1">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70CB1">
        <w:rPr>
          <w:i/>
          <w:szCs w:val="22"/>
        </w:rPr>
        <w:t>por los principios de simplicidad, rapidez, gratuidad del procedimiento, auxilio y orientación a los particulares.</w:t>
      </w:r>
    </w:p>
    <w:p w14:paraId="06C4477C" w14:textId="77777777" w:rsidR="002B11D9" w:rsidRPr="00670CB1" w:rsidRDefault="002B11D9" w:rsidP="00670CB1">
      <w:pPr>
        <w:rPr>
          <w:i/>
          <w:szCs w:val="22"/>
        </w:rPr>
      </w:pPr>
    </w:p>
    <w:p w14:paraId="32F71180" w14:textId="77777777" w:rsidR="002B11D9" w:rsidRPr="00670CB1" w:rsidRDefault="00E43858" w:rsidP="00670CB1">
      <w:pPr>
        <w:rPr>
          <w:i/>
          <w:szCs w:val="22"/>
        </w:rPr>
      </w:pPr>
      <w:r w:rsidRPr="00670CB1">
        <w:rPr>
          <w:szCs w:val="22"/>
        </w:rPr>
        <w:t xml:space="preserve">Por su parte, el artículo 4 de la Ley de Transparencia y Acceso a la Información Pública del Estado de México y Municipios refiere que toda la información generada, obtenida, adquirida, </w:t>
      </w:r>
      <w:r w:rsidRPr="00670CB1">
        <w:rPr>
          <w:szCs w:val="22"/>
        </w:rPr>
        <w:lastRenderedPageBreak/>
        <w:t>transformada, administrada o en posesión de los sujetos obligados es pública y accesible de manera permanente a cualquier persona, privilegiando el principio de máxima publicidad.</w:t>
      </w:r>
    </w:p>
    <w:p w14:paraId="4B6730D8" w14:textId="77777777" w:rsidR="002B11D9" w:rsidRPr="00670CB1" w:rsidRDefault="002B11D9" w:rsidP="00670CB1">
      <w:pPr>
        <w:rPr>
          <w:szCs w:val="22"/>
        </w:rPr>
      </w:pPr>
    </w:p>
    <w:p w14:paraId="50C9A409" w14:textId="77777777" w:rsidR="002B11D9" w:rsidRPr="00670CB1" w:rsidRDefault="00E43858" w:rsidP="00670CB1">
      <w:pPr>
        <w:rPr>
          <w:szCs w:val="22"/>
        </w:rPr>
      </w:pPr>
      <w:r w:rsidRPr="00670CB1">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2A6D7BE" w14:textId="77777777" w:rsidR="002B11D9" w:rsidRPr="00670CB1" w:rsidRDefault="002B11D9" w:rsidP="00670CB1">
      <w:pPr>
        <w:rPr>
          <w:szCs w:val="22"/>
        </w:rPr>
      </w:pPr>
    </w:p>
    <w:p w14:paraId="35AF7222" w14:textId="77777777" w:rsidR="002B11D9" w:rsidRPr="00670CB1" w:rsidRDefault="00E43858" w:rsidP="00670CB1">
      <w:pPr>
        <w:rPr>
          <w:szCs w:val="22"/>
        </w:rPr>
      </w:pPr>
      <w:r w:rsidRPr="00670CB1">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6BA6196" w14:textId="77777777" w:rsidR="002B11D9" w:rsidRPr="00670CB1" w:rsidRDefault="002B11D9" w:rsidP="00670CB1">
      <w:pPr>
        <w:rPr>
          <w:szCs w:val="22"/>
        </w:rPr>
      </w:pPr>
    </w:p>
    <w:p w14:paraId="573E8C29" w14:textId="77777777" w:rsidR="002B11D9" w:rsidRPr="00670CB1" w:rsidRDefault="00E43858" w:rsidP="00670CB1">
      <w:pPr>
        <w:rPr>
          <w:szCs w:val="22"/>
        </w:rPr>
      </w:pPr>
      <w:r w:rsidRPr="00670CB1">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593E47A" w14:textId="77777777" w:rsidR="002B11D9" w:rsidRPr="00670CB1" w:rsidRDefault="002B11D9" w:rsidP="00670CB1">
      <w:pPr>
        <w:rPr>
          <w:szCs w:val="22"/>
        </w:rPr>
      </w:pPr>
    </w:p>
    <w:p w14:paraId="65B0DF28" w14:textId="77777777" w:rsidR="002B11D9" w:rsidRPr="00670CB1" w:rsidRDefault="00E43858" w:rsidP="00670CB1">
      <w:pPr>
        <w:rPr>
          <w:szCs w:val="22"/>
        </w:rPr>
      </w:pPr>
      <w:bookmarkStart w:id="32" w:name="_heading=h.2bn6wsx" w:colFirst="0" w:colLast="0"/>
      <w:bookmarkEnd w:id="32"/>
      <w:r w:rsidRPr="00670CB1">
        <w:rPr>
          <w:szCs w:val="22"/>
        </w:rPr>
        <w:t xml:space="preserve">Con base en lo anterior, se considera que </w:t>
      </w:r>
      <w:r w:rsidRPr="00670CB1">
        <w:rPr>
          <w:b/>
          <w:szCs w:val="22"/>
        </w:rPr>
        <w:t>EL</w:t>
      </w:r>
      <w:r w:rsidRPr="00670CB1">
        <w:rPr>
          <w:szCs w:val="22"/>
        </w:rPr>
        <w:t xml:space="preserve"> </w:t>
      </w:r>
      <w:r w:rsidRPr="00670CB1">
        <w:rPr>
          <w:b/>
          <w:szCs w:val="22"/>
        </w:rPr>
        <w:t>SUJETO OBLIGADO</w:t>
      </w:r>
      <w:r w:rsidRPr="00670CB1">
        <w:rPr>
          <w:szCs w:val="22"/>
        </w:rPr>
        <w:t xml:space="preserve"> se encontraba compelido a atender la solicitud de acceso a la información realizada por </w:t>
      </w:r>
      <w:r w:rsidRPr="00670CB1">
        <w:rPr>
          <w:b/>
          <w:szCs w:val="22"/>
        </w:rPr>
        <w:t>LA PARTE RECURRENTE</w:t>
      </w:r>
      <w:r w:rsidRPr="00670CB1">
        <w:rPr>
          <w:szCs w:val="22"/>
        </w:rPr>
        <w:t>.</w:t>
      </w:r>
    </w:p>
    <w:p w14:paraId="4D6DDC45" w14:textId="77777777" w:rsidR="002B11D9" w:rsidRPr="00670CB1" w:rsidRDefault="002B11D9" w:rsidP="00670CB1">
      <w:pPr>
        <w:rPr>
          <w:szCs w:val="22"/>
        </w:rPr>
      </w:pPr>
    </w:p>
    <w:p w14:paraId="0AA81BA3" w14:textId="7A07553B" w:rsidR="002B11D9" w:rsidRPr="00670CB1" w:rsidRDefault="00E43858" w:rsidP="00670CB1">
      <w:pPr>
        <w:pStyle w:val="Ttulo3"/>
        <w:rPr>
          <w:szCs w:val="22"/>
        </w:rPr>
      </w:pPr>
      <w:bookmarkStart w:id="33" w:name="_Toc198750525"/>
      <w:r w:rsidRPr="00670CB1">
        <w:rPr>
          <w:szCs w:val="22"/>
        </w:rPr>
        <w:t>b) Controversia a resolver</w:t>
      </w:r>
      <w:r w:rsidR="0043233B" w:rsidRPr="00670CB1">
        <w:rPr>
          <w:szCs w:val="22"/>
        </w:rPr>
        <w:t>.</w:t>
      </w:r>
      <w:bookmarkEnd w:id="33"/>
    </w:p>
    <w:p w14:paraId="499CC18B" w14:textId="314FE0FB" w:rsidR="00204541" w:rsidRPr="00670CB1" w:rsidRDefault="00C57E63" w:rsidP="00670CB1">
      <w:pPr>
        <w:rPr>
          <w:szCs w:val="22"/>
        </w:rPr>
      </w:pPr>
      <w:r w:rsidRPr="00670CB1">
        <w:t xml:space="preserve">Con el objeto de ilustrar la controversia planteada, resulta conveniente precisar que, una vez realizado el estudio de las constancias que integran el expediente en que se actúa, se desprende que </w:t>
      </w:r>
      <w:r w:rsidRPr="00670CB1">
        <w:rPr>
          <w:b/>
        </w:rPr>
        <w:t>LA PARTE RECURRENTE</w:t>
      </w:r>
      <w:r w:rsidRPr="00670CB1">
        <w:t xml:space="preserve"> solicitó </w:t>
      </w:r>
      <w:r w:rsidR="00397DCC" w:rsidRPr="00670CB1">
        <w:t>de los 47 servidores públicos enlistados en su requerimiento, lo</w:t>
      </w:r>
      <w:r w:rsidR="00157854" w:rsidRPr="00670CB1">
        <w:t>s r</w:t>
      </w:r>
      <w:r w:rsidR="00397DCC" w:rsidRPr="00670CB1">
        <w:rPr>
          <w:szCs w:val="22"/>
        </w:rPr>
        <w:t>ecibos de nómina en versión pública de la segunda quincena del mes de marzo de 2025.</w:t>
      </w:r>
    </w:p>
    <w:p w14:paraId="35F64FF7" w14:textId="77777777" w:rsidR="00397DCC" w:rsidRPr="00670CB1" w:rsidRDefault="00397DCC" w:rsidP="00670CB1">
      <w:pPr>
        <w:tabs>
          <w:tab w:val="left" w:pos="4667"/>
          <w:tab w:val="left" w:pos="4962"/>
        </w:tabs>
        <w:ind w:right="567"/>
        <w:rPr>
          <w:szCs w:val="22"/>
        </w:rPr>
      </w:pPr>
    </w:p>
    <w:p w14:paraId="5F776076" w14:textId="74BB8942" w:rsidR="005C3D60" w:rsidRPr="00670CB1" w:rsidRDefault="00D96DE4" w:rsidP="00670CB1">
      <w:pPr>
        <w:pBdr>
          <w:top w:val="nil"/>
          <w:left w:val="nil"/>
          <w:bottom w:val="nil"/>
          <w:right w:val="nil"/>
          <w:between w:val="nil"/>
        </w:pBdr>
        <w:ind w:right="-28"/>
        <w:rPr>
          <w:b/>
          <w:szCs w:val="22"/>
        </w:rPr>
      </w:pPr>
      <w:r w:rsidRPr="00670CB1">
        <w:rPr>
          <w:szCs w:val="22"/>
        </w:rPr>
        <w:t xml:space="preserve">En respuesta, </w:t>
      </w:r>
      <w:r w:rsidRPr="00670CB1">
        <w:rPr>
          <w:b/>
          <w:szCs w:val="22"/>
        </w:rPr>
        <w:t>EL SUJETO OBLIGADO</w:t>
      </w:r>
      <w:r w:rsidR="000B7D6E" w:rsidRPr="00670CB1">
        <w:rPr>
          <w:b/>
          <w:szCs w:val="22"/>
        </w:rPr>
        <w:t xml:space="preserve"> </w:t>
      </w:r>
      <w:r w:rsidR="00397DCC" w:rsidRPr="00670CB1">
        <w:rPr>
          <w:szCs w:val="22"/>
        </w:rPr>
        <w:t>se pronunció por conducto del Tesorero Municipal, quien apuntó que, se niega la entrega de la información por salvaguardar la integridad física de</w:t>
      </w:r>
      <w:r w:rsidR="00BC1F7D" w:rsidRPr="00670CB1">
        <w:rPr>
          <w:szCs w:val="22"/>
        </w:rPr>
        <w:t>l personal que labora en el Ayuntamiento de Calimaya</w:t>
      </w:r>
      <w:r w:rsidR="00397DCC" w:rsidRPr="00670CB1">
        <w:rPr>
          <w:szCs w:val="22"/>
        </w:rPr>
        <w:t xml:space="preserve"> referidos por el solicitante, así como la de sus familiares, debido a los acontecimientos presentados a nivel estatal y federal </w:t>
      </w:r>
      <w:r w:rsidR="00BC1F7D" w:rsidRPr="00670CB1">
        <w:rPr>
          <w:szCs w:val="22"/>
        </w:rPr>
        <w:t>en la que se expone la integridad y el patrimonio de los servidores públicos.</w:t>
      </w:r>
    </w:p>
    <w:p w14:paraId="4925E25D" w14:textId="77777777" w:rsidR="005C3D60" w:rsidRPr="00670CB1" w:rsidRDefault="005C3D60" w:rsidP="00670CB1">
      <w:pPr>
        <w:pBdr>
          <w:top w:val="nil"/>
          <w:left w:val="nil"/>
          <w:bottom w:val="nil"/>
          <w:right w:val="nil"/>
          <w:between w:val="nil"/>
        </w:pBdr>
        <w:ind w:right="-28"/>
        <w:rPr>
          <w:szCs w:val="22"/>
        </w:rPr>
      </w:pPr>
    </w:p>
    <w:p w14:paraId="3A9BA8BF" w14:textId="38EDEBBC" w:rsidR="002B11D9" w:rsidRPr="00670CB1" w:rsidRDefault="00E43858" w:rsidP="00670CB1">
      <w:pPr>
        <w:tabs>
          <w:tab w:val="left" w:pos="4962"/>
        </w:tabs>
        <w:rPr>
          <w:szCs w:val="22"/>
        </w:rPr>
      </w:pPr>
      <w:r w:rsidRPr="00670CB1">
        <w:rPr>
          <w:szCs w:val="22"/>
        </w:rPr>
        <w:t xml:space="preserve">Ahora bien, en la interposición del presente recurso </w:t>
      </w:r>
      <w:r w:rsidRPr="00670CB1">
        <w:rPr>
          <w:b/>
          <w:szCs w:val="22"/>
        </w:rPr>
        <w:t>LA PARTE RECURRENTE</w:t>
      </w:r>
      <w:r w:rsidRPr="00670CB1">
        <w:rPr>
          <w:szCs w:val="22"/>
        </w:rPr>
        <w:t xml:space="preserve"> se inconformó </w:t>
      </w:r>
      <w:r w:rsidR="00036E41" w:rsidRPr="00670CB1">
        <w:rPr>
          <w:szCs w:val="22"/>
        </w:rPr>
        <w:t xml:space="preserve">sobre la </w:t>
      </w:r>
      <w:r w:rsidR="00BC1F7D" w:rsidRPr="00670CB1">
        <w:rPr>
          <w:szCs w:val="22"/>
        </w:rPr>
        <w:t>negativa a la información solicitada</w:t>
      </w:r>
      <w:r w:rsidR="003A592F" w:rsidRPr="00670CB1">
        <w:rPr>
          <w:szCs w:val="22"/>
        </w:rPr>
        <w:t>.</w:t>
      </w:r>
    </w:p>
    <w:p w14:paraId="3213D847" w14:textId="77777777" w:rsidR="00F10C1B" w:rsidRPr="00670CB1" w:rsidRDefault="00F10C1B" w:rsidP="00670CB1">
      <w:pPr>
        <w:rPr>
          <w:szCs w:val="22"/>
        </w:rPr>
      </w:pPr>
    </w:p>
    <w:p w14:paraId="7E535975" w14:textId="3D282AC0" w:rsidR="000B4924" w:rsidRPr="00670CB1" w:rsidRDefault="00D707EC" w:rsidP="00670CB1">
      <w:pPr>
        <w:rPr>
          <w:szCs w:val="22"/>
        </w:rPr>
      </w:pPr>
      <w:r w:rsidRPr="00670CB1">
        <w:rPr>
          <w:szCs w:val="22"/>
        </w:rPr>
        <w:t>Por otra parte, en el apartado de manifestaciones</w:t>
      </w:r>
      <w:r w:rsidR="003A592F" w:rsidRPr="00670CB1">
        <w:rPr>
          <w:szCs w:val="22"/>
        </w:rPr>
        <w:t xml:space="preserve">, </w:t>
      </w:r>
      <w:r w:rsidR="00DD11B8" w:rsidRPr="00670CB1">
        <w:rPr>
          <w:b/>
          <w:szCs w:val="22"/>
        </w:rPr>
        <w:t xml:space="preserve">EL SUJETO OBLIGADO </w:t>
      </w:r>
      <w:r w:rsidR="005C3D60" w:rsidRPr="00670CB1">
        <w:rPr>
          <w:szCs w:val="22"/>
        </w:rPr>
        <w:t>omitió remitir su informe justificado</w:t>
      </w:r>
      <w:r w:rsidR="00DD11B8" w:rsidRPr="00670CB1">
        <w:rPr>
          <w:szCs w:val="22"/>
        </w:rPr>
        <w:t xml:space="preserve"> y</w:t>
      </w:r>
      <w:r w:rsidR="00615A89" w:rsidRPr="00670CB1">
        <w:rPr>
          <w:szCs w:val="22"/>
        </w:rPr>
        <w:t>,</w:t>
      </w:r>
      <w:r w:rsidR="00DD11B8" w:rsidRPr="00670CB1">
        <w:rPr>
          <w:szCs w:val="22"/>
        </w:rPr>
        <w:t xml:space="preserve"> por su parte, el solicitante </w:t>
      </w:r>
      <w:r w:rsidR="00BC1F7D" w:rsidRPr="00670CB1">
        <w:rPr>
          <w:szCs w:val="22"/>
        </w:rPr>
        <w:t xml:space="preserve">reiteró </w:t>
      </w:r>
      <w:r w:rsidR="006E6DC0" w:rsidRPr="00670CB1">
        <w:rPr>
          <w:szCs w:val="22"/>
        </w:rPr>
        <w:t>su inconformidad</w:t>
      </w:r>
      <w:r w:rsidR="00DD11B8" w:rsidRPr="00670CB1">
        <w:rPr>
          <w:szCs w:val="22"/>
        </w:rPr>
        <w:t>.</w:t>
      </w:r>
    </w:p>
    <w:p w14:paraId="348631A2" w14:textId="77777777" w:rsidR="004A4AA5" w:rsidRPr="00670CB1" w:rsidRDefault="004A4AA5" w:rsidP="00670CB1">
      <w:pPr>
        <w:rPr>
          <w:b/>
          <w:szCs w:val="22"/>
        </w:rPr>
      </w:pPr>
    </w:p>
    <w:p w14:paraId="7D151D0D" w14:textId="33312847" w:rsidR="005F7177" w:rsidRPr="00670CB1" w:rsidRDefault="00D707EC" w:rsidP="00670CB1">
      <w:pPr>
        <w:tabs>
          <w:tab w:val="left" w:pos="4962"/>
        </w:tabs>
        <w:rPr>
          <w:bCs/>
          <w:szCs w:val="22"/>
        </w:rPr>
      </w:pPr>
      <w:r w:rsidRPr="00670CB1">
        <w:rPr>
          <w:szCs w:val="22"/>
        </w:rPr>
        <w:t xml:space="preserve">En razón de lo anterior, el estudio se centrará en determinar </w:t>
      </w:r>
      <w:r w:rsidR="00E54A54" w:rsidRPr="00670CB1">
        <w:rPr>
          <w:szCs w:val="22"/>
        </w:rPr>
        <w:t xml:space="preserve">si </w:t>
      </w:r>
      <w:r w:rsidR="005F7177" w:rsidRPr="00670CB1">
        <w:rPr>
          <w:b/>
          <w:szCs w:val="22"/>
        </w:rPr>
        <w:t xml:space="preserve">EL SUJETO OBLIGADO </w:t>
      </w:r>
      <w:r w:rsidR="006E6DC0" w:rsidRPr="00670CB1">
        <w:rPr>
          <w:bCs/>
          <w:szCs w:val="22"/>
        </w:rPr>
        <w:t>negó</w:t>
      </w:r>
      <w:r w:rsidR="00615A89" w:rsidRPr="00670CB1">
        <w:rPr>
          <w:bCs/>
          <w:szCs w:val="22"/>
        </w:rPr>
        <w:t xml:space="preserve"> </w:t>
      </w:r>
      <w:r w:rsidR="00F465D2" w:rsidRPr="00670CB1">
        <w:rPr>
          <w:bCs/>
          <w:szCs w:val="22"/>
        </w:rPr>
        <w:t xml:space="preserve">la información requerida por </w:t>
      </w:r>
      <w:r w:rsidR="00210D17" w:rsidRPr="00670CB1">
        <w:rPr>
          <w:b/>
          <w:bCs/>
          <w:szCs w:val="22"/>
        </w:rPr>
        <w:t>LA PARTE RECURRENTE</w:t>
      </w:r>
      <w:r w:rsidR="005F7177" w:rsidRPr="00670CB1">
        <w:rPr>
          <w:bCs/>
          <w:szCs w:val="22"/>
        </w:rPr>
        <w:t>.</w:t>
      </w:r>
    </w:p>
    <w:p w14:paraId="6371A379" w14:textId="77777777" w:rsidR="00193492" w:rsidRPr="00670CB1" w:rsidRDefault="00193492" w:rsidP="00670CB1">
      <w:pPr>
        <w:rPr>
          <w:szCs w:val="22"/>
        </w:rPr>
      </w:pPr>
    </w:p>
    <w:p w14:paraId="19995242" w14:textId="77777777" w:rsidR="002B11D9" w:rsidRPr="00670CB1" w:rsidRDefault="00E43858" w:rsidP="00670CB1">
      <w:pPr>
        <w:pStyle w:val="Ttulo3"/>
        <w:tabs>
          <w:tab w:val="left" w:pos="6015"/>
        </w:tabs>
        <w:rPr>
          <w:szCs w:val="22"/>
        </w:rPr>
      </w:pPr>
      <w:bookmarkStart w:id="34" w:name="_Toc198750526"/>
      <w:r w:rsidRPr="00670CB1">
        <w:rPr>
          <w:szCs w:val="22"/>
        </w:rPr>
        <w:lastRenderedPageBreak/>
        <w:t>c) Estudio de la controversia.</w:t>
      </w:r>
      <w:bookmarkEnd w:id="34"/>
    </w:p>
    <w:p w14:paraId="08833BBD" w14:textId="77777777" w:rsidR="00602ACA" w:rsidRPr="00670CB1" w:rsidRDefault="00602ACA" w:rsidP="00670CB1">
      <w:pPr>
        <w:ind w:right="-93"/>
        <w:rPr>
          <w:szCs w:val="22"/>
        </w:rPr>
      </w:pPr>
      <w:r w:rsidRPr="00670CB1">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2D976840" w14:textId="77777777" w:rsidR="00602ACA" w:rsidRPr="00670CB1" w:rsidRDefault="00602ACA" w:rsidP="00670CB1">
      <w:pPr>
        <w:ind w:right="-93"/>
        <w:rPr>
          <w:szCs w:val="22"/>
        </w:rPr>
      </w:pPr>
    </w:p>
    <w:p w14:paraId="248727A2" w14:textId="77777777" w:rsidR="00602ACA" w:rsidRPr="00670CB1" w:rsidRDefault="00602ACA" w:rsidP="00670CB1">
      <w:pPr>
        <w:pStyle w:val="Puesto"/>
        <w:ind w:firstLine="567"/>
        <w:rPr>
          <w:szCs w:val="22"/>
        </w:rPr>
      </w:pPr>
      <w:r w:rsidRPr="00670CB1">
        <w:rPr>
          <w:b/>
          <w:szCs w:val="22"/>
        </w:rPr>
        <w:t>Artículo 18</w:t>
      </w:r>
      <w:r w:rsidRPr="00670CB1">
        <w:rPr>
          <w:szCs w:val="22"/>
        </w:rPr>
        <w:t>. Los sujetos obligados deberán documentar todo acto que derive del ejercicio de sus facultades, competencias o funciones, considerando desde su origen la eventual publicidad y reutilización de la información que generen</w:t>
      </w:r>
    </w:p>
    <w:p w14:paraId="70083728" w14:textId="77777777" w:rsidR="00602ACA" w:rsidRPr="00670CB1" w:rsidRDefault="00602ACA" w:rsidP="00670CB1">
      <w:pPr>
        <w:ind w:right="-93"/>
        <w:rPr>
          <w:szCs w:val="22"/>
        </w:rPr>
      </w:pPr>
    </w:p>
    <w:p w14:paraId="0638FA69" w14:textId="77777777" w:rsidR="00602ACA" w:rsidRPr="00670CB1" w:rsidRDefault="00602ACA" w:rsidP="00670CB1">
      <w:pPr>
        <w:ind w:right="-93"/>
        <w:rPr>
          <w:szCs w:val="22"/>
        </w:rPr>
      </w:pPr>
      <w:r w:rsidRPr="00670CB1">
        <w:rPr>
          <w:szCs w:val="22"/>
        </w:rPr>
        <w:t xml:space="preserve">Lo anterior toma relevancia, pues según Jarquín, Soledad (2019), en el “Diccionario de Transparencia y Acceso a la Información Pública” (p. 126 y 127), todos los </w:t>
      </w:r>
      <w:r w:rsidRPr="00670CB1">
        <w:rPr>
          <w:b/>
          <w:szCs w:val="22"/>
        </w:rPr>
        <w:t>SUJETOS OBLIGADOS</w:t>
      </w:r>
      <w:r w:rsidRPr="00670CB1">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2EB51CE" w14:textId="77777777" w:rsidR="00602ACA" w:rsidRPr="00670CB1" w:rsidRDefault="00602ACA" w:rsidP="00670CB1">
      <w:pPr>
        <w:ind w:right="-93"/>
        <w:rPr>
          <w:szCs w:val="22"/>
        </w:rPr>
      </w:pPr>
    </w:p>
    <w:p w14:paraId="4600B17C" w14:textId="20FC6561" w:rsidR="002D32B2" w:rsidRPr="00670CB1" w:rsidRDefault="00602ACA" w:rsidP="00670CB1">
      <w:pPr>
        <w:widowControl w:val="0"/>
        <w:rPr>
          <w:szCs w:val="22"/>
        </w:rPr>
      </w:pPr>
      <w:r w:rsidRPr="00670CB1">
        <w:rPr>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r w:rsidR="00B95B77" w:rsidRPr="00670CB1">
        <w:rPr>
          <w:szCs w:val="22"/>
        </w:rPr>
        <w:t>.</w:t>
      </w:r>
    </w:p>
    <w:p w14:paraId="6076C291" w14:textId="77777777" w:rsidR="00157854" w:rsidRPr="00670CB1" w:rsidRDefault="00157854" w:rsidP="00670CB1">
      <w:pPr>
        <w:widowControl w:val="0"/>
        <w:rPr>
          <w:szCs w:val="22"/>
        </w:rPr>
      </w:pPr>
    </w:p>
    <w:p w14:paraId="23A5B778" w14:textId="0839FC10" w:rsidR="002D32B2" w:rsidRPr="00670CB1" w:rsidRDefault="00B95B77" w:rsidP="00670CB1">
      <w:pPr>
        <w:tabs>
          <w:tab w:val="left" w:pos="4962"/>
        </w:tabs>
      </w:pPr>
      <w:r w:rsidRPr="00670CB1">
        <w:t xml:space="preserve">Así las cosas, resulta relevante iniciar el presente estudio señalando que, para dar atención al requerimiento del particular, se pronunció el servidor público habilitado que se estima competente, dada la propia y especial naturaleza de la solicitud y de conformidad con lo </w:t>
      </w:r>
      <w:r w:rsidRPr="00670CB1">
        <w:lastRenderedPageBreak/>
        <w:t>previsto en el artículo 63 del Bando Municipal del ayuntamiento de Calimaya, como a continuación se observa:</w:t>
      </w:r>
    </w:p>
    <w:p w14:paraId="3387B267" w14:textId="77777777" w:rsidR="00B95B77" w:rsidRPr="00670CB1" w:rsidRDefault="00B95B77" w:rsidP="00670CB1">
      <w:pPr>
        <w:tabs>
          <w:tab w:val="left" w:pos="4962"/>
        </w:tabs>
      </w:pPr>
    </w:p>
    <w:p w14:paraId="77D3E2EB" w14:textId="61CE6685" w:rsidR="00B95B77" w:rsidRPr="00670CB1" w:rsidRDefault="00B95B77" w:rsidP="00670CB1">
      <w:pPr>
        <w:pStyle w:val="Puesto"/>
      </w:pPr>
      <w:r w:rsidRPr="00670CB1">
        <w:t>“</w:t>
      </w:r>
      <w:r w:rsidRPr="00670CB1">
        <w:rPr>
          <w:b/>
        </w:rPr>
        <w:t>Artículo</w:t>
      </w:r>
      <w:r w:rsidRPr="00670CB1">
        <w:t xml:space="preserve"> </w:t>
      </w:r>
      <w:r w:rsidRPr="00670CB1">
        <w:rPr>
          <w:b/>
        </w:rPr>
        <w:t>63</w:t>
      </w:r>
      <w:r w:rsidRPr="00670CB1">
        <w:t>. La Tesorería Municipal es el órgano encargado de la recaudación de los ingresos municipales y responsable de realizar las erogaciones que haga el Ayuntamiento; estará a cargo de un Tesorero Municipal, el cual al tomar posesión de su cargo, recibirá la Hacienda Pública de acuerdo con las previsiones a que se refiere el artículo 19 de la Ley Orgánica Municipal y remitirá un ejemplar de dicha documentación al Ayuntamiento, al Órgano Superior de Fiscalización del Estado de México y al Archivo de la Tesorería. El Tesorero Municipal tendrá las atribuciones que le confiere la Ley Orgánica Municipal, en su artículo 95 y demás disposiciones aplicables.”</w:t>
      </w:r>
    </w:p>
    <w:p w14:paraId="16374634" w14:textId="77777777" w:rsidR="00B95B77" w:rsidRPr="00670CB1" w:rsidRDefault="00B95B77" w:rsidP="00670CB1">
      <w:pPr>
        <w:tabs>
          <w:tab w:val="left" w:pos="4962"/>
        </w:tabs>
      </w:pPr>
    </w:p>
    <w:p w14:paraId="1B7F818B" w14:textId="0B292274" w:rsidR="001334FD" w:rsidRPr="00670CB1" w:rsidRDefault="00B95B77" w:rsidP="00670CB1">
      <w:pPr>
        <w:rPr>
          <w:rFonts w:eastAsia="Palatino Linotype" w:cs="Palatino Linotype"/>
        </w:rPr>
      </w:pPr>
      <w:r w:rsidRPr="00670CB1">
        <w:rPr>
          <w:rFonts w:cs="Arial"/>
        </w:rPr>
        <w:t>Ahora bien</w:t>
      </w:r>
      <w:r w:rsidR="001334FD" w:rsidRPr="00670CB1">
        <w:rPr>
          <w:rFonts w:cs="Arial"/>
        </w:rPr>
        <w:t xml:space="preserve">, respecto las documentales donde se adviertan las percepciones de los servidores públicos, como </w:t>
      </w:r>
      <w:r w:rsidRPr="00670CB1">
        <w:rPr>
          <w:rFonts w:cs="Arial"/>
        </w:rPr>
        <w:t>los recibos de nómina</w:t>
      </w:r>
      <w:r w:rsidR="001334FD" w:rsidRPr="00670CB1">
        <w:rPr>
          <w:rFonts w:cs="Arial"/>
        </w:rPr>
        <w:t>, es</w:t>
      </w:r>
      <w:r w:rsidR="001334FD" w:rsidRPr="00670CB1">
        <w:rPr>
          <w:rFonts w:eastAsia="Palatino Linotype" w:cs="Palatino Linotype"/>
        </w:rPr>
        <w:t xml:space="preserve"> importante traer a colación el contenido del artículo 147 de la Constitución Política del Estado Libre y Soberano de México, el cual establece lo siguiente: </w:t>
      </w:r>
    </w:p>
    <w:p w14:paraId="05996BB8" w14:textId="77777777" w:rsidR="001334FD" w:rsidRPr="00670CB1" w:rsidRDefault="001334FD" w:rsidP="00670CB1">
      <w:pPr>
        <w:rPr>
          <w:rFonts w:eastAsia="Palatino Linotype" w:cs="Palatino Linotype"/>
        </w:rPr>
      </w:pPr>
    </w:p>
    <w:p w14:paraId="69C62A7D" w14:textId="77777777" w:rsidR="001334FD" w:rsidRPr="00670CB1" w:rsidRDefault="001334FD" w:rsidP="00670CB1">
      <w:pPr>
        <w:pStyle w:val="Puesto"/>
        <w:rPr>
          <w:rFonts w:eastAsia="Palatino Linotype"/>
        </w:rPr>
      </w:pPr>
      <w:r w:rsidRPr="00670CB1">
        <w:rPr>
          <w:rFonts w:eastAsia="Palatino Linotype"/>
        </w:rPr>
        <w:t>“</w:t>
      </w:r>
      <w:r w:rsidRPr="00670CB1">
        <w:rPr>
          <w:rFonts w:eastAsia="Palatino Linotype"/>
          <w:b/>
        </w:rPr>
        <w:t>Artículo 147.-</w:t>
      </w:r>
      <w:r w:rsidRPr="00670CB1">
        <w:rPr>
          <w:rFonts w:eastAsia="Palatino Linotype"/>
        </w:rPr>
        <w:t xml:space="preserve"> El Gobernador o Gobernadora, los Diputados o Diputadas, y los Magistrados o Magistradas de los Tribunales Superior de Justicia y de Justicia Administrativa del Estado de México, los miembros del Consejo de la </w:t>
      </w:r>
      <w:r w:rsidRPr="00670CB1">
        <w:t>Judicatura</w:t>
      </w:r>
      <w:r w:rsidRPr="00670CB1">
        <w:rPr>
          <w:rFonts w:eastAsia="Palatino Linotype"/>
        </w:rPr>
        <w:t xml:space="preserve">, los trabajadores y </w:t>
      </w:r>
      <w:r w:rsidRPr="00670CB1">
        <w:rPr>
          <w:rFonts w:eastAsia="Palatino Linotype"/>
          <w:b/>
        </w:rPr>
        <w:t>trabajadoras al servicio del Estado</w:t>
      </w:r>
      <w:r w:rsidRPr="00670CB1">
        <w:rPr>
          <w:rFonts w:eastAsia="Palatino Linotype"/>
        </w:rPr>
        <w:t>, las y los integrantes, y las y los servidores de los organismos constitucionalmente autónomos, así como los</w:t>
      </w:r>
      <w:r w:rsidRPr="00670CB1">
        <w:rPr>
          <w:rFonts w:eastAsia="Palatino Linotype"/>
          <w:b/>
        </w:rPr>
        <w:t xml:space="preserve"> </w:t>
      </w:r>
      <w:r w:rsidRPr="00670CB1">
        <w:rPr>
          <w:rFonts w:eastAsia="Palatino Linotype"/>
        </w:rPr>
        <w:t xml:space="preserve">miembros de los ayuntamientos y demás servidores públicos municipales </w:t>
      </w:r>
      <w:r w:rsidRPr="00670CB1">
        <w:rPr>
          <w:rFonts w:eastAsia="Palatino Linotype"/>
          <w:b/>
        </w:rPr>
        <w:t>recibirán una retribución adecuada e irrenunciable por el desempeño de su empleo, cargo o comisión, que será determinada en el presupuesto de egresos que corresponda.</w:t>
      </w:r>
      <w:r w:rsidRPr="00670CB1">
        <w:rPr>
          <w:rFonts w:eastAsia="Palatino Linotype"/>
        </w:rPr>
        <w:t xml:space="preserve"> </w:t>
      </w:r>
    </w:p>
    <w:p w14:paraId="7258E389" w14:textId="77777777" w:rsidR="001334FD" w:rsidRPr="00670CB1" w:rsidRDefault="001334FD" w:rsidP="00670CB1">
      <w:pPr>
        <w:pStyle w:val="Puesto"/>
        <w:rPr>
          <w:rFonts w:eastAsia="Palatino Linotype"/>
        </w:rPr>
      </w:pPr>
      <w:r w:rsidRPr="00670CB1">
        <w:rPr>
          <w:rFonts w:eastAsia="Palatino Linotype"/>
        </w:rPr>
        <w:t xml:space="preserve">Las remuneraciones mínimas y máximas se determinarán con base, entre otros, en los factores siguientes: población, recursos económicos disponibles, costo promedio de vida, índice inflacionario, grado de marginalidad, productividad en la prestación de </w:t>
      </w:r>
      <w:r w:rsidRPr="00670CB1">
        <w:t>servicios</w:t>
      </w:r>
      <w:r w:rsidRPr="00670CB1">
        <w:rPr>
          <w:rFonts w:eastAsia="Palatino Linotype"/>
        </w:rPr>
        <w:t xml:space="preserve"> públicos, responsabilidad de la función y eficiencia en la recaudación de ingresos, de acuerdo con la información oficial correspondiente. </w:t>
      </w:r>
    </w:p>
    <w:p w14:paraId="571DEEB6" w14:textId="77777777" w:rsidR="001334FD" w:rsidRPr="00670CB1" w:rsidRDefault="001334FD" w:rsidP="00670CB1">
      <w:pPr>
        <w:pStyle w:val="Puesto"/>
      </w:pPr>
      <w:r w:rsidRPr="00670CB1">
        <w:rPr>
          <w:rFonts w:eastAsia="Palatino Linotype"/>
        </w:rPr>
        <w:t>La remuneración será determinada anual y equitativamente en el Presupuesto de Egresos correspondiente bajo las bases siguientes:</w:t>
      </w:r>
    </w:p>
    <w:p w14:paraId="325BA458" w14:textId="77777777" w:rsidR="001334FD" w:rsidRPr="00670CB1" w:rsidRDefault="001334FD" w:rsidP="00670CB1">
      <w:pPr>
        <w:pStyle w:val="Puesto"/>
        <w:rPr>
          <w:rFonts w:eastAsia="Palatino Linotype"/>
        </w:rPr>
      </w:pPr>
      <w:r w:rsidRPr="00670CB1">
        <w:rPr>
          <w:rFonts w:eastAsia="Palatino Linotype"/>
        </w:rPr>
        <w:lastRenderedPageBreak/>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00BC90D9" w14:textId="77777777" w:rsidR="001334FD" w:rsidRPr="00670CB1" w:rsidRDefault="001334FD" w:rsidP="00670CB1">
      <w:pPr>
        <w:pStyle w:val="Puesto"/>
        <w:rPr>
          <w:rFonts w:eastAsia="Palatino Linotype"/>
        </w:rPr>
      </w:pPr>
      <w:r w:rsidRPr="00670CB1">
        <w:rPr>
          <w:rFonts w:eastAsia="Palatino Linotype"/>
        </w:rPr>
        <w:t xml:space="preserve">II. Ningún servidor público podrá recibir remuneración, en términos de la fracción anterior, por el desempeño de su función, empleo, cargo o comisión, mayor a la establecida; </w:t>
      </w:r>
    </w:p>
    <w:p w14:paraId="5D0D963E" w14:textId="77777777" w:rsidR="001334FD" w:rsidRPr="00670CB1" w:rsidRDefault="001334FD" w:rsidP="00670CB1">
      <w:pPr>
        <w:pStyle w:val="Puesto"/>
        <w:rPr>
          <w:rFonts w:eastAsia="Palatino Linotype"/>
        </w:rPr>
      </w:pPr>
      <w:r w:rsidRPr="00670CB1">
        <w:rPr>
          <w:rFonts w:eastAsia="Palatino Linotype"/>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6D49B851" w14:textId="77777777" w:rsidR="001334FD" w:rsidRPr="00670CB1" w:rsidRDefault="001334FD" w:rsidP="00670CB1">
      <w:pPr>
        <w:pStyle w:val="Puesto"/>
        <w:rPr>
          <w:rFonts w:eastAsia="Palatino Linotype"/>
        </w:rPr>
      </w:pPr>
      <w:r w:rsidRPr="00670CB1">
        <w:rPr>
          <w:rFonts w:eastAsia="Palatino Linotype"/>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4030E107" w14:textId="77777777" w:rsidR="001334FD" w:rsidRPr="00670CB1" w:rsidRDefault="001334FD" w:rsidP="00670CB1">
      <w:pPr>
        <w:pStyle w:val="Puesto"/>
        <w:rPr>
          <w:rFonts w:eastAsia="Palatino Linotype"/>
        </w:rPr>
      </w:pPr>
      <w:r w:rsidRPr="00670CB1">
        <w:rPr>
          <w:rFonts w:eastAsia="Palatino Linotype"/>
        </w:rPr>
        <w:t>V. Las remuneraciones y sus tabuladores serán públicos, y deberán especificar y diferenciar la totalidad de sus elementos fijos y variables tanto en efectivo como en especie”</w:t>
      </w:r>
    </w:p>
    <w:p w14:paraId="2E35AF12" w14:textId="77777777" w:rsidR="001334FD" w:rsidRPr="00670CB1" w:rsidRDefault="001334FD" w:rsidP="00670CB1">
      <w:pPr>
        <w:pStyle w:val="Puesto"/>
        <w:rPr>
          <w:rFonts w:cs="Arial"/>
        </w:rPr>
      </w:pPr>
    </w:p>
    <w:p w14:paraId="5C8A2419" w14:textId="77777777" w:rsidR="001334FD" w:rsidRPr="00670CB1" w:rsidRDefault="001334FD" w:rsidP="00670CB1">
      <w:pPr>
        <w:rPr>
          <w:rFonts w:eastAsia="Palatino Linotype" w:cs="Palatino Linotype"/>
        </w:rPr>
      </w:pPr>
      <w:r w:rsidRPr="00670CB1">
        <w:rPr>
          <w:rFonts w:eastAsia="Palatino Linotype" w:cs="Palatino Linotype"/>
        </w:rPr>
        <w:t xml:space="preserve">Por otra parte, la Ley del Trabajo de los Servidores Públicos del Estado y Municipios, en su artículo 220 K, establece los documentos que tiene la obligación de conservar el </w:t>
      </w:r>
      <w:r w:rsidRPr="00670CB1">
        <w:rPr>
          <w:rFonts w:eastAsia="Palatino Linotype" w:cs="Palatino Linotype"/>
          <w:b/>
        </w:rPr>
        <w:t>Sujeto Obligado</w:t>
      </w:r>
      <w:r w:rsidRPr="00670CB1">
        <w:rPr>
          <w:rFonts w:eastAsia="Palatino Linotype" w:cs="Palatino Linotype"/>
        </w:rPr>
        <w:t xml:space="preserve">, entre los que se encuentran los recibos de pagos: </w:t>
      </w:r>
    </w:p>
    <w:p w14:paraId="3A97B5C3" w14:textId="77777777" w:rsidR="001334FD" w:rsidRPr="00670CB1" w:rsidRDefault="001334FD" w:rsidP="00670CB1">
      <w:pPr>
        <w:rPr>
          <w:rFonts w:eastAsia="Palatino Linotype" w:cs="Palatino Linotype"/>
        </w:rPr>
      </w:pPr>
    </w:p>
    <w:p w14:paraId="6924DC25" w14:textId="77777777" w:rsidR="001334FD" w:rsidRPr="00670CB1" w:rsidRDefault="001334FD" w:rsidP="00670CB1">
      <w:pPr>
        <w:pStyle w:val="Puesto"/>
      </w:pPr>
      <w:r w:rsidRPr="00670CB1">
        <w:rPr>
          <w:rFonts w:eastAsia="Palatino Linotype"/>
          <w:b/>
        </w:rPr>
        <w:t>“ARTÍCULO 220 K.-</w:t>
      </w:r>
      <w:r w:rsidRPr="00670CB1">
        <w:rPr>
          <w:rFonts w:eastAsia="Palatino Linotype"/>
        </w:rPr>
        <w:t xml:space="preserve"> La institución o dependencia pública tiene la obligación de conservar y exhibir en el proceso los documentos que a </w:t>
      </w:r>
      <w:r w:rsidRPr="00670CB1">
        <w:t>continuación se precisan:</w:t>
      </w:r>
    </w:p>
    <w:p w14:paraId="461E5D45" w14:textId="77777777" w:rsidR="001334FD" w:rsidRPr="00670CB1" w:rsidRDefault="001334FD" w:rsidP="00670CB1">
      <w:pPr>
        <w:pStyle w:val="Puesto"/>
      </w:pPr>
      <w:r w:rsidRPr="00670CB1">
        <w:t>(…)</w:t>
      </w:r>
    </w:p>
    <w:p w14:paraId="15ECF424" w14:textId="77777777" w:rsidR="001334FD" w:rsidRPr="00670CB1" w:rsidRDefault="001334FD" w:rsidP="00670CB1">
      <w:pPr>
        <w:pStyle w:val="Puesto"/>
        <w:rPr>
          <w:rFonts w:eastAsia="Palatino Linotype"/>
          <w:b/>
        </w:rPr>
      </w:pPr>
      <w:r w:rsidRPr="00670CB1">
        <w:t>II. Recibos de pagos de salarios o las constancias documentales del pago de salario cuando sea por depósito o mediante información</w:t>
      </w:r>
      <w:r w:rsidRPr="00670CB1">
        <w:rPr>
          <w:rFonts w:eastAsia="Palatino Linotype"/>
          <w:b/>
        </w:rPr>
        <w:t xml:space="preserve"> electrónica;</w:t>
      </w:r>
      <w:r w:rsidRPr="00670CB1">
        <w:rPr>
          <w:rFonts w:eastAsia="Palatino Linotype"/>
        </w:rPr>
        <w:t xml:space="preserve"> “</w:t>
      </w:r>
    </w:p>
    <w:p w14:paraId="3E5EB4E9" w14:textId="77777777" w:rsidR="001334FD" w:rsidRPr="00670CB1" w:rsidRDefault="001334FD" w:rsidP="00670CB1">
      <w:pPr>
        <w:rPr>
          <w:rFonts w:eastAsia="Palatino Linotype" w:cs="Palatino Linotype"/>
        </w:rPr>
      </w:pPr>
    </w:p>
    <w:p w14:paraId="524F3273" w14:textId="77777777" w:rsidR="001334FD" w:rsidRPr="00670CB1" w:rsidRDefault="001334FD" w:rsidP="00670CB1">
      <w:pPr>
        <w:rPr>
          <w:rFonts w:eastAsia="Palatino Linotype" w:cs="Palatino Linotype"/>
        </w:rPr>
      </w:pPr>
      <w:r w:rsidRPr="00670CB1">
        <w:rPr>
          <w:rFonts w:eastAsia="Palatino Linotype" w:cs="Palatino Linotype"/>
        </w:rPr>
        <w:t xml:space="preserve">Del anterior precepto legal, se advierte que toda entidad pública del Estado de México, debe conservar las constancias documentales del pago de salario cuando sea por depósito o mediante información electrónica, debe conservar dicha documentación durante el último año </w:t>
      </w:r>
      <w:r w:rsidRPr="00670CB1">
        <w:rPr>
          <w:rFonts w:eastAsia="Palatino Linotype" w:cs="Palatino Linotype"/>
        </w:rPr>
        <w:lastRenderedPageBreak/>
        <w:t>y un año después de que se extinga la relación laboral, a través de los sistemas de digitalización o de información magnética o electrónica.</w:t>
      </w:r>
    </w:p>
    <w:p w14:paraId="434F3D85" w14:textId="77777777" w:rsidR="001334FD" w:rsidRPr="00670CB1" w:rsidRDefault="001334FD" w:rsidP="00670CB1">
      <w:pPr>
        <w:rPr>
          <w:rFonts w:cs="Arial"/>
        </w:rPr>
      </w:pPr>
    </w:p>
    <w:p w14:paraId="51F7E5B1" w14:textId="77777777" w:rsidR="001334FD" w:rsidRPr="00670CB1" w:rsidRDefault="001334FD" w:rsidP="00670CB1">
      <w:pPr>
        <w:rPr>
          <w:rFonts w:cs="Arial"/>
        </w:rPr>
      </w:pPr>
      <w:r w:rsidRPr="00670CB1">
        <w:rPr>
          <w:rFonts w:cs="Arial"/>
        </w:rPr>
        <w:t>Por su parte el artículo 804, fracción II de la Ley Federal del Trabajo prevé lo siguiente:</w:t>
      </w:r>
    </w:p>
    <w:p w14:paraId="2E3390FE" w14:textId="77777777" w:rsidR="001334FD" w:rsidRPr="00670CB1" w:rsidRDefault="001334FD" w:rsidP="00670CB1">
      <w:pPr>
        <w:rPr>
          <w:rFonts w:cs="Arial"/>
        </w:rPr>
      </w:pPr>
    </w:p>
    <w:p w14:paraId="0B4E2403" w14:textId="77777777" w:rsidR="001334FD" w:rsidRPr="00670CB1" w:rsidRDefault="001334FD" w:rsidP="00670CB1">
      <w:pPr>
        <w:pStyle w:val="Puesto"/>
      </w:pPr>
      <w:r w:rsidRPr="00670CB1">
        <w:t>“</w:t>
      </w:r>
      <w:r w:rsidRPr="00670CB1">
        <w:rPr>
          <w:b/>
        </w:rPr>
        <w:t>Artículo 804.-</w:t>
      </w:r>
      <w:r w:rsidRPr="00670CB1">
        <w:t xml:space="preserve"> El patrón tiene obligación de conservar y exhibir en juicio los documentos que a continuación se precisan:</w:t>
      </w:r>
    </w:p>
    <w:p w14:paraId="4FC8425C" w14:textId="77777777" w:rsidR="001334FD" w:rsidRPr="00670CB1" w:rsidRDefault="001334FD" w:rsidP="00670CB1">
      <w:pPr>
        <w:pStyle w:val="Puesto"/>
      </w:pPr>
      <w:r w:rsidRPr="00670CB1">
        <w:t>(…)</w:t>
      </w:r>
    </w:p>
    <w:p w14:paraId="50A690E6" w14:textId="77777777" w:rsidR="001334FD" w:rsidRPr="00670CB1" w:rsidRDefault="001334FD" w:rsidP="00670CB1">
      <w:pPr>
        <w:pStyle w:val="Puesto"/>
        <w:rPr>
          <w:rFonts w:cs="Arial"/>
        </w:rPr>
      </w:pPr>
      <w:r w:rsidRPr="00670CB1">
        <w:t>II. Listas de raya o nómina de personal, cuando se lleven en el centro de trabajo; o recibos de pagos de salarios;”</w:t>
      </w:r>
    </w:p>
    <w:p w14:paraId="21119A5A" w14:textId="77777777" w:rsidR="001334FD" w:rsidRPr="00670CB1" w:rsidRDefault="001334FD" w:rsidP="00670CB1">
      <w:pPr>
        <w:ind w:left="851"/>
        <w:rPr>
          <w:rFonts w:cs="Arial"/>
        </w:rPr>
      </w:pPr>
    </w:p>
    <w:p w14:paraId="3B5B3D85" w14:textId="77777777" w:rsidR="001334FD" w:rsidRPr="00670CB1" w:rsidRDefault="001334FD" w:rsidP="00670CB1">
      <w:pPr>
        <w:rPr>
          <w:rFonts w:cs="Arial"/>
        </w:rPr>
      </w:pPr>
      <w:r w:rsidRPr="00670CB1">
        <w:rPr>
          <w:rFonts w:cs="Arial"/>
        </w:rPr>
        <w:t xml:space="preserve">Aunado a lo anterior, es necesario destacar que los artículos 342, 343, 344 y 345, del Código </w:t>
      </w:r>
      <w:r w:rsidRPr="00670CB1">
        <w:rPr>
          <w:rFonts w:eastAsia="Palatino Linotype" w:cs="Palatino Linotype"/>
        </w:rPr>
        <w:t>Financiero</w:t>
      </w:r>
      <w:r w:rsidRPr="00670CB1">
        <w:rPr>
          <w:rFonts w:cs="Arial"/>
        </w:rPr>
        <w:t xml:space="preserve"> del Estado de México y Municipios, disponen el sistema y las políticas que deben seguirse para llevar el registro contable y presupuestal de las operaciones financieras que llevan a cabo los Municipios del Estado de México, en los siguientes términos:</w:t>
      </w:r>
    </w:p>
    <w:p w14:paraId="3653F474" w14:textId="77777777" w:rsidR="001334FD" w:rsidRPr="00670CB1" w:rsidRDefault="001334FD" w:rsidP="00670CB1">
      <w:pPr>
        <w:ind w:left="851"/>
        <w:rPr>
          <w:rFonts w:cs="Arial"/>
        </w:rPr>
      </w:pPr>
    </w:p>
    <w:p w14:paraId="2EC08615" w14:textId="2AE4AE72" w:rsidR="00B95B77" w:rsidRPr="00670CB1" w:rsidRDefault="001334FD" w:rsidP="00670CB1">
      <w:pPr>
        <w:pStyle w:val="Puesto"/>
      </w:pPr>
      <w:r w:rsidRPr="00670CB1">
        <w:rPr>
          <w:rFonts w:eastAsia="Arial Unicode MS"/>
        </w:rPr>
        <w:t>“</w:t>
      </w:r>
      <w:r w:rsidRPr="00670CB1">
        <w:rPr>
          <w:b/>
        </w:rPr>
        <w:t>Artículo 342</w:t>
      </w:r>
      <w:r w:rsidRPr="00670CB1">
        <w:t xml:space="preserve">.- El registro contable del efecto patrimonial y presupuestal de las operaciones financieras, se realizará conforme al sistema y a las disposiciones que se aprueben en materia de planeación, programación, </w:t>
      </w:r>
      <w:proofErr w:type="spellStart"/>
      <w:r w:rsidRPr="00670CB1">
        <w:t>presupuestación</w:t>
      </w:r>
      <w:proofErr w:type="spellEnd"/>
      <w:r w:rsidRPr="00670CB1">
        <w:t xml:space="preserve">, evaluación y contabilidad gubernamental. </w:t>
      </w:r>
    </w:p>
    <w:p w14:paraId="47131628" w14:textId="77777777" w:rsidR="00157854" w:rsidRPr="00670CB1" w:rsidRDefault="00157854" w:rsidP="00670CB1">
      <w:pPr>
        <w:pStyle w:val="Puesto"/>
      </w:pPr>
    </w:p>
    <w:p w14:paraId="1FB9A079" w14:textId="77777777" w:rsidR="001334FD" w:rsidRPr="00670CB1" w:rsidRDefault="001334FD" w:rsidP="00670CB1">
      <w:pPr>
        <w:pStyle w:val="Puesto"/>
      </w:pPr>
      <w:r w:rsidRPr="00670CB1">
        <w:t xml:space="preserve">En el caso de los municipios, el registro a que se refiere el párrafo anterior, se realizará conforme al sistema y a las disposiciones en materia de planeación, programación, </w:t>
      </w:r>
      <w:proofErr w:type="spellStart"/>
      <w:r w:rsidRPr="00670CB1">
        <w:t>presupuestación</w:t>
      </w:r>
      <w:proofErr w:type="spellEnd"/>
      <w:r w:rsidRPr="00670CB1">
        <w:t>, evaluación y contabilidad gubernamental, que se aprueben en el marco del Sistema de Coordinación Hacendaria del Estado de México.</w:t>
      </w:r>
    </w:p>
    <w:p w14:paraId="2F4DFA4E" w14:textId="77777777" w:rsidR="001334FD" w:rsidRPr="00670CB1" w:rsidRDefault="001334FD" w:rsidP="00670CB1">
      <w:pPr>
        <w:pStyle w:val="Puesto"/>
        <w:rPr>
          <w:rFonts w:eastAsia="Arial Unicode MS"/>
        </w:rPr>
      </w:pPr>
    </w:p>
    <w:p w14:paraId="5D884C97" w14:textId="77777777" w:rsidR="001334FD" w:rsidRPr="00670CB1" w:rsidRDefault="001334FD" w:rsidP="00670CB1">
      <w:pPr>
        <w:pStyle w:val="Puesto"/>
        <w:rPr>
          <w:rFonts w:eastAsia="Arial Unicode MS"/>
        </w:rPr>
      </w:pPr>
      <w:r w:rsidRPr="00670CB1">
        <w:rPr>
          <w:b/>
        </w:rPr>
        <w:t>Artículo 343.-</w:t>
      </w:r>
      <w:r w:rsidRPr="00670CB1">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50EF16EB" w14:textId="77777777" w:rsidR="001334FD" w:rsidRPr="00670CB1" w:rsidRDefault="001334FD" w:rsidP="00670CB1">
      <w:pPr>
        <w:ind w:left="851"/>
        <w:rPr>
          <w:rFonts w:eastAsia="Arial Unicode MS"/>
        </w:rPr>
      </w:pPr>
    </w:p>
    <w:p w14:paraId="7F4F1BF2" w14:textId="77777777" w:rsidR="001334FD" w:rsidRPr="00670CB1" w:rsidRDefault="001334FD" w:rsidP="00670CB1">
      <w:pPr>
        <w:pStyle w:val="Puesto"/>
      </w:pPr>
      <w:r w:rsidRPr="00670CB1">
        <w:rPr>
          <w:b/>
        </w:rPr>
        <w:lastRenderedPageBreak/>
        <w:t>Artículo 344.-</w:t>
      </w:r>
      <w:r w:rsidRPr="00670CB1">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18F0064E" w14:textId="77777777" w:rsidR="001334FD" w:rsidRPr="00670CB1" w:rsidRDefault="001334FD" w:rsidP="00670CB1">
      <w:pPr>
        <w:pStyle w:val="Puesto"/>
      </w:pPr>
      <w:r w:rsidRPr="00670CB1">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4B2EADAF" w14:textId="77777777" w:rsidR="001334FD" w:rsidRPr="00670CB1" w:rsidRDefault="001334FD" w:rsidP="00670CB1">
      <w:pPr>
        <w:pStyle w:val="Puesto"/>
      </w:pPr>
      <w:r w:rsidRPr="00670CB1">
        <w:t xml:space="preserve">Tratándose de documentos de carácter histórico, se estará a lo dispuesto por la legislación de la materia. </w:t>
      </w:r>
    </w:p>
    <w:p w14:paraId="58C9FA20" w14:textId="77777777" w:rsidR="001334FD" w:rsidRPr="00670CB1" w:rsidRDefault="001334FD" w:rsidP="00670CB1">
      <w:pPr>
        <w:pStyle w:val="Puesto"/>
      </w:pPr>
    </w:p>
    <w:p w14:paraId="578D7883" w14:textId="77777777" w:rsidR="001334FD" w:rsidRPr="00670CB1" w:rsidRDefault="001334FD" w:rsidP="00670CB1">
      <w:pPr>
        <w:pStyle w:val="Puesto"/>
      </w:pPr>
      <w:r w:rsidRPr="00670CB1">
        <w:t xml:space="preserve">Artículo 345.-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69552017" w14:textId="77777777" w:rsidR="001334FD" w:rsidRPr="00670CB1" w:rsidRDefault="001334FD" w:rsidP="00670CB1">
      <w:pPr>
        <w:pStyle w:val="Puesto"/>
      </w:pPr>
      <w:r w:rsidRPr="00670CB1">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01BCFEC8" w14:textId="77777777" w:rsidR="001334FD" w:rsidRPr="00670CB1" w:rsidRDefault="001334FD" w:rsidP="00670CB1">
      <w:pPr>
        <w:pStyle w:val="Puesto"/>
      </w:pPr>
      <w:r w:rsidRPr="00670CB1">
        <w:t>El plazo señalado en este artículo empezará a contar a partir de la publicación en el Periódico Oficial, del decreto correspondiente.”</w:t>
      </w:r>
    </w:p>
    <w:p w14:paraId="4A86EBC3" w14:textId="77777777" w:rsidR="001334FD" w:rsidRPr="00670CB1" w:rsidRDefault="001334FD" w:rsidP="00670CB1">
      <w:pPr>
        <w:rPr>
          <w:rFonts w:eastAsia="Arial Unicode MS" w:cs="Arial"/>
          <w:i/>
        </w:rPr>
      </w:pPr>
    </w:p>
    <w:p w14:paraId="350F7F05" w14:textId="77777777" w:rsidR="001334FD" w:rsidRPr="00670CB1" w:rsidRDefault="001334FD" w:rsidP="00670CB1">
      <w:pPr>
        <w:rPr>
          <w:rFonts w:cs="Arial"/>
        </w:rPr>
      </w:pPr>
      <w:r w:rsidRPr="00670CB1">
        <w:rPr>
          <w:rFonts w:cs="Arial"/>
        </w:rPr>
        <w:t xml:space="preserve">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w:t>
      </w:r>
      <w:r w:rsidRPr="00670CB1">
        <w:rPr>
          <w:rFonts w:cs="Arial"/>
        </w:rPr>
        <w:lastRenderedPageBreak/>
        <w:t xml:space="preserve">materia de planeación, programación, </w:t>
      </w:r>
      <w:proofErr w:type="spellStart"/>
      <w:r w:rsidRPr="00670CB1">
        <w:rPr>
          <w:rFonts w:cs="Arial"/>
        </w:rPr>
        <w:t>presupuestación</w:t>
      </w:r>
      <w:proofErr w:type="spellEnd"/>
      <w:r w:rsidRPr="00670CB1">
        <w:rPr>
          <w:rFonts w:cs="Arial"/>
        </w:rPr>
        <w:t>, evaluación y contabilidad gubernamental.</w:t>
      </w:r>
    </w:p>
    <w:p w14:paraId="2E88B1DE" w14:textId="77777777" w:rsidR="001334FD" w:rsidRPr="00670CB1" w:rsidRDefault="001334FD" w:rsidP="00670CB1">
      <w:pPr>
        <w:rPr>
          <w:rFonts w:cs="Arial"/>
        </w:rPr>
      </w:pPr>
    </w:p>
    <w:p w14:paraId="4D1C5D53" w14:textId="77777777" w:rsidR="001334FD" w:rsidRPr="00670CB1" w:rsidRDefault="001334FD" w:rsidP="00670CB1">
      <w:pPr>
        <w:rPr>
          <w:rFonts w:cs="Arial"/>
        </w:rPr>
      </w:pPr>
      <w:r w:rsidRPr="00670CB1">
        <w:rPr>
          <w:rFonts w:cs="Arial"/>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54352486" w14:textId="77777777" w:rsidR="001334FD" w:rsidRPr="00670CB1" w:rsidRDefault="001334FD" w:rsidP="00670CB1">
      <w:pPr>
        <w:rPr>
          <w:rFonts w:cs="Arial"/>
        </w:rPr>
      </w:pPr>
    </w:p>
    <w:p w14:paraId="15C70DB0" w14:textId="77777777" w:rsidR="001334FD" w:rsidRPr="00670CB1" w:rsidRDefault="001334FD" w:rsidP="00670CB1">
      <w:pPr>
        <w:rPr>
          <w:rFonts w:cs="Arial"/>
        </w:rPr>
      </w:pPr>
      <w:r w:rsidRPr="00670CB1">
        <w:rPr>
          <w:rFonts w:cs="Arial"/>
        </w:rPr>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670CB1">
        <w:rPr>
          <w:rFonts w:cs="Arial"/>
        </w:rPr>
        <w:t>Presupuestación</w:t>
      </w:r>
      <w:proofErr w:type="spellEnd"/>
      <w:r w:rsidRPr="00670CB1">
        <w:rPr>
          <w:rFonts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064C6B9" w14:textId="77777777" w:rsidR="001334FD" w:rsidRPr="00670CB1" w:rsidRDefault="001334FD" w:rsidP="00670CB1">
      <w:pPr>
        <w:rPr>
          <w:rFonts w:cs="Arial"/>
        </w:rPr>
      </w:pPr>
    </w:p>
    <w:p w14:paraId="05285A03" w14:textId="77777777" w:rsidR="001334FD" w:rsidRPr="00670CB1" w:rsidRDefault="001334FD" w:rsidP="00670CB1">
      <w:pPr>
        <w:pStyle w:val="Puesto"/>
        <w:rPr>
          <w:b/>
        </w:rPr>
      </w:pPr>
      <w:r w:rsidRPr="00670CB1">
        <w:rPr>
          <w:rFonts w:eastAsia="Arial Unicode MS"/>
        </w:rPr>
        <w:t>“</w:t>
      </w:r>
      <w:r w:rsidRPr="00670CB1">
        <w:rPr>
          <w:b/>
        </w:rPr>
        <w:t xml:space="preserve">REGISTRO CONTABLE </w:t>
      </w:r>
    </w:p>
    <w:p w14:paraId="7811DE68" w14:textId="77777777" w:rsidR="001334FD" w:rsidRPr="00670CB1" w:rsidRDefault="001334FD" w:rsidP="00670CB1">
      <w:pPr>
        <w:pStyle w:val="Puesto"/>
      </w:pPr>
      <w:r w:rsidRPr="00670CB1">
        <w:t>Asiento que se realiza en los libros de contabilidad de las actividades relacionadas con el ingreso y egresos de un ente económico.”</w:t>
      </w:r>
    </w:p>
    <w:p w14:paraId="608E3A42" w14:textId="77777777" w:rsidR="001334FD" w:rsidRPr="00670CB1" w:rsidRDefault="001334FD" w:rsidP="00670CB1">
      <w:pPr>
        <w:pStyle w:val="Puesto"/>
      </w:pPr>
    </w:p>
    <w:p w14:paraId="4B5DE731" w14:textId="77777777" w:rsidR="001334FD" w:rsidRPr="00670CB1" w:rsidRDefault="001334FD" w:rsidP="00670CB1">
      <w:pPr>
        <w:pStyle w:val="Puesto"/>
        <w:rPr>
          <w:b/>
        </w:rPr>
      </w:pPr>
      <w:r w:rsidRPr="00670CB1">
        <w:t>“</w:t>
      </w:r>
      <w:r w:rsidRPr="00670CB1">
        <w:rPr>
          <w:b/>
        </w:rPr>
        <w:t>REGISTRO PRESUPUESTARIO</w:t>
      </w:r>
    </w:p>
    <w:p w14:paraId="6C7B2E3F" w14:textId="77777777" w:rsidR="001334FD" w:rsidRPr="00670CB1" w:rsidRDefault="001334FD" w:rsidP="00670CB1">
      <w:pPr>
        <w:pStyle w:val="Puesto"/>
      </w:pPr>
      <w:r w:rsidRPr="00670CB1">
        <w:t>Asiento contable de las erogaciones realizadas por las dependencias y entidades con relación a la asignación, modificación y ejercicio de los recursos presupuestarios que se les hayan autorizado.”</w:t>
      </w:r>
    </w:p>
    <w:p w14:paraId="4CAA12DC" w14:textId="77777777" w:rsidR="001334FD" w:rsidRPr="00670CB1" w:rsidRDefault="001334FD" w:rsidP="00670CB1">
      <w:pPr>
        <w:pStyle w:val="Texto"/>
        <w:spacing w:after="0" w:line="360" w:lineRule="auto"/>
        <w:ind w:firstLine="0"/>
        <w:rPr>
          <w:rFonts w:ascii="Palatino Linotype" w:hAnsi="Palatino Linotype"/>
          <w:sz w:val="24"/>
          <w:szCs w:val="24"/>
          <w:lang w:val="es-AR"/>
        </w:rPr>
      </w:pPr>
    </w:p>
    <w:p w14:paraId="33A25205" w14:textId="77777777" w:rsidR="001334FD" w:rsidRPr="00670CB1" w:rsidRDefault="001334FD" w:rsidP="00670CB1">
      <w:pPr>
        <w:rPr>
          <w:rFonts w:cs="Arial"/>
          <w:lang w:val="es-AR"/>
        </w:rPr>
      </w:pPr>
      <w:r w:rsidRPr="00670CB1">
        <w:rPr>
          <w:rFonts w:cs="Arial"/>
          <w:bCs/>
        </w:rPr>
        <w:lastRenderedPageBreak/>
        <w:t xml:space="preserve">Aunado a lo establecido en el Código Financiero del Estado de México y Municipios, el treinta y uno de </w:t>
      </w:r>
      <w:r w:rsidRPr="00670CB1">
        <w:rPr>
          <w:rFonts w:cs="Arial"/>
          <w:lang w:val="es-AR"/>
        </w:rPr>
        <w:t>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75316A52" w14:textId="77777777" w:rsidR="001334FD" w:rsidRPr="00670CB1" w:rsidRDefault="001334FD" w:rsidP="00670CB1">
      <w:pPr>
        <w:pStyle w:val="Texto"/>
        <w:spacing w:after="0" w:line="360" w:lineRule="auto"/>
        <w:ind w:firstLine="0"/>
        <w:rPr>
          <w:rFonts w:ascii="Palatino Linotype" w:hAnsi="Palatino Linotype"/>
          <w:sz w:val="24"/>
          <w:szCs w:val="24"/>
          <w:lang w:val="es-AR"/>
        </w:rPr>
      </w:pPr>
    </w:p>
    <w:p w14:paraId="03C8CA32" w14:textId="77777777" w:rsidR="001334FD" w:rsidRPr="00670CB1" w:rsidRDefault="001334FD" w:rsidP="00670CB1">
      <w:pPr>
        <w:rPr>
          <w:lang w:val="es-AR"/>
        </w:rPr>
      </w:pPr>
      <w:r w:rsidRPr="00670CB1">
        <w:rPr>
          <w:lang w:val="es-AR"/>
        </w:rPr>
        <w:t>La Ley General de Contabilidad Gubernamental, es de observancia obligatoria para los poderes Ejecutivo, Legislativo y Judicial de la Federación, las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para que cada uno de sus municipios logre cumplir con los objetivos que dicha ley ordena, debiendo brindar la cooperación y asistencia necesarias a los gobiernos de sus municipios, para que éstos logren armonizar su contabilidad, con base en las decisiones que alcance el Consejo Nacional de Armonización Contable.</w:t>
      </w:r>
    </w:p>
    <w:p w14:paraId="4901A420" w14:textId="77777777" w:rsidR="001334FD" w:rsidRPr="00670CB1" w:rsidRDefault="001334FD" w:rsidP="00670CB1">
      <w:pPr>
        <w:pStyle w:val="Texto"/>
        <w:spacing w:after="0" w:line="360" w:lineRule="auto"/>
        <w:ind w:firstLine="0"/>
        <w:rPr>
          <w:rFonts w:ascii="Palatino Linotype" w:hAnsi="Palatino Linotype"/>
          <w:sz w:val="24"/>
          <w:szCs w:val="24"/>
          <w:lang w:val="es-AR"/>
        </w:rPr>
      </w:pPr>
    </w:p>
    <w:p w14:paraId="5F022FCC" w14:textId="77777777" w:rsidR="001334FD" w:rsidRPr="00670CB1" w:rsidRDefault="001334FD" w:rsidP="00670CB1">
      <w:pPr>
        <w:rPr>
          <w:lang w:val="es-AR"/>
        </w:rPr>
      </w:pPr>
      <w:r w:rsidRPr="00670CB1">
        <w:rPr>
          <w:lang w:val="es-AR"/>
        </w:rPr>
        <w:t xml:space="preserve">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publicado en el Periódico Oficial del Gobierno del Estado de México “Gaceta del Gobierno” el ocho de febrero de dos mil </w:t>
      </w:r>
      <w:r w:rsidRPr="00670CB1">
        <w:rPr>
          <w:lang w:val="es-AR"/>
        </w:rPr>
        <w:lastRenderedPageBreak/>
        <w:t>veintitrés</w:t>
      </w:r>
      <w:r w:rsidRPr="00670CB1">
        <w:rPr>
          <w:rStyle w:val="Refdenotaalpie"/>
          <w:sz w:val="24"/>
          <w:szCs w:val="24"/>
          <w:lang w:val="es-AR"/>
        </w:rPr>
        <w:footnoteReference w:id="1"/>
      </w:r>
      <w:r w:rsidRPr="00670CB1">
        <w:rPr>
          <w:lang w:val="es-AR"/>
        </w:rPr>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71F08C95" w14:textId="77777777" w:rsidR="001334FD" w:rsidRPr="00670CB1" w:rsidRDefault="001334FD" w:rsidP="00670CB1">
      <w:pPr>
        <w:autoSpaceDE w:val="0"/>
        <w:autoSpaceDN w:val="0"/>
        <w:adjustRightInd w:val="0"/>
        <w:rPr>
          <w:rFonts w:cs="Arial"/>
        </w:rPr>
      </w:pPr>
    </w:p>
    <w:p w14:paraId="344E2A6A" w14:textId="77777777" w:rsidR="001334FD" w:rsidRPr="00670CB1" w:rsidRDefault="001334FD" w:rsidP="00670CB1">
      <w:pPr>
        <w:rPr>
          <w:lang w:val="es-AR"/>
        </w:rPr>
      </w:pPr>
      <w:r w:rsidRPr="00670CB1">
        <w:rPr>
          <w:lang w:val="es-AR"/>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35BDE8C5" w14:textId="77777777" w:rsidR="001334FD" w:rsidRPr="00670CB1" w:rsidRDefault="001334FD" w:rsidP="00670CB1">
      <w:pPr>
        <w:autoSpaceDE w:val="0"/>
        <w:autoSpaceDN w:val="0"/>
        <w:adjustRightInd w:val="0"/>
        <w:rPr>
          <w:rFonts w:cs="Arial"/>
        </w:rPr>
      </w:pPr>
    </w:p>
    <w:p w14:paraId="51979340" w14:textId="77777777" w:rsidR="001334FD" w:rsidRPr="00670CB1" w:rsidRDefault="001334FD" w:rsidP="00670CB1">
      <w:pPr>
        <w:rPr>
          <w:lang w:val="es-AR"/>
        </w:rPr>
      </w:pPr>
      <w:r w:rsidRPr="00670CB1">
        <w:rPr>
          <w:lang w:val="es-AR"/>
        </w:rPr>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3EF8D53E" w14:textId="77777777" w:rsidR="001334FD" w:rsidRPr="00670CB1" w:rsidRDefault="001334FD" w:rsidP="00670CB1">
      <w:pPr>
        <w:autoSpaceDE w:val="0"/>
        <w:autoSpaceDN w:val="0"/>
        <w:adjustRightInd w:val="0"/>
        <w:rPr>
          <w:rFonts w:cs="Arial"/>
        </w:rPr>
      </w:pPr>
    </w:p>
    <w:p w14:paraId="6B1980F0" w14:textId="77777777" w:rsidR="001334FD" w:rsidRPr="00670CB1" w:rsidRDefault="001334FD" w:rsidP="00670CB1">
      <w:pPr>
        <w:autoSpaceDE w:val="0"/>
        <w:autoSpaceDN w:val="0"/>
        <w:adjustRightInd w:val="0"/>
        <w:ind w:right="50"/>
        <w:rPr>
          <w:rFonts w:cs="Arial"/>
          <w:bCs/>
        </w:rPr>
      </w:pPr>
      <w:r w:rsidRPr="00670CB1">
        <w:rPr>
          <w:rFonts w:cs="Arial"/>
          <w:bCs/>
        </w:rPr>
        <w:t xml:space="preserve">En esa virtud, el referido Manual Único de Contabilidad señala en el numeral 9 la “Guía Contabilizadora para el Registro Contable y Presupuestal de Operaciones Específicas”: 9.3) Municipios y sus Organismos Descentralizados, en la cual se hace referencia directa al manejo de la nómina, como se aprecia de la siguiente imagen: </w:t>
      </w:r>
    </w:p>
    <w:p w14:paraId="4C747A16" w14:textId="77777777" w:rsidR="001334FD" w:rsidRPr="00670CB1" w:rsidRDefault="001334FD" w:rsidP="00670CB1">
      <w:pPr>
        <w:autoSpaceDE w:val="0"/>
        <w:autoSpaceDN w:val="0"/>
        <w:adjustRightInd w:val="0"/>
        <w:ind w:right="50"/>
        <w:jc w:val="center"/>
        <w:rPr>
          <w:rFonts w:cs="Arial"/>
          <w:bCs/>
        </w:rPr>
      </w:pPr>
      <w:r w:rsidRPr="00670CB1">
        <w:rPr>
          <w:rFonts w:cs="Arial"/>
          <w:bCs/>
          <w:noProof/>
          <w:lang w:eastAsia="es-MX"/>
        </w:rPr>
        <w:lastRenderedPageBreak/>
        <mc:AlternateContent>
          <mc:Choice Requires="wps">
            <w:drawing>
              <wp:anchor distT="0" distB="0" distL="114300" distR="114300" simplePos="0" relativeHeight="251659264" behindDoc="0" locked="0" layoutInCell="1" allowOverlap="1" wp14:anchorId="1DEFF7B4" wp14:editId="19FE7B33">
                <wp:simplePos x="0" y="0"/>
                <wp:positionH relativeFrom="column">
                  <wp:posOffset>414268</wp:posOffset>
                </wp:positionH>
                <wp:positionV relativeFrom="paragraph">
                  <wp:posOffset>278103</wp:posOffset>
                </wp:positionV>
                <wp:extent cx="1160890" cy="453224"/>
                <wp:effectExtent l="57150" t="19050" r="77470" b="99695"/>
                <wp:wrapNone/>
                <wp:docPr id="13" name="Rectángulo redondeado 13"/>
                <wp:cNvGraphicFramePr/>
                <a:graphic xmlns:a="http://schemas.openxmlformats.org/drawingml/2006/main">
                  <a:graphicData uri="http://schemas.microsoft.com/office/word/2010/wordprocessingShape">
                    <wps:wsp>
                      <wps:cNvSpPr/>
                      <wps:spPr>
                        <a:xfrm>
                          <a:off x="0" y="0"/>
                          <a:ext cx="1160890" cy="453224"/>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164AB5" id="Rectángulo redondeado 13" o:spid="_x0000_s1026" style="position:absolute;margin-left:32.6pt;margin-top:21.9pt;width:91.4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" filled="f" strokecolor="red" strokeweight="1.5pt">
                <v:stroke joinstyle="miter"/>
              </v:roundrect>
            </w:pict>
          </mc:Fallback>
        </mc:AlternateContent>
      </w:r>
      <w:r w:rsidRPr="00670CB1">
        <w:rPr>
          <w:rFonts w:cs="Arial"/>
          <w:bCs/>
          <w:noProof/>
          <w:lang w:eastAsia="es-MX"/>
        </w:rPr>
        <w:drawing>
          <wp:inline distT="0" distB="0" distL="0" distR="0" wp14:anchorId="52C91FF4" wp14:editId="08DBB7F9">
            <wp:extent cx="5751468" cy="2695492"/>
            <wp:effectExtent l="0" t="0" r="190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2345" cy="2733396"/>
                    </a:xfrm>
                    <a:prstGeom prst="rect">
                      <a:avLst/>
                    </a:prstGeom>
                  </pic:spPr>
                </pic:pic>
              </a:graphicData>
            </a:graphic>
          </wp:inline>
        </w:drawing>
      </w:r>
    </w:p>
    <w:p w14:paraId="2B7C846C" w14:textId="77777777" w:rsidR="001334FD" w:rsidRPr="00670CB1" w:rsidRDefault="001334FD" w:rsidP="00670CB1">
      <w:pPr>
        <w:autoSpaceDE w:val="0"/>
        <w:autoSpaceDN w:val="0"/>
        <w:adjustRightInd w:val="0"/>
        <w:ind w:right="50"/>
        <w:rPr>
          <w:rFonts w:cs="Arial"/>
          <w:bCs/>
        </w:rPr>
      </w:pPr>
    </w:p>
    <w:p w14:paraId="62F0E252" w14:textId="77777777" w:rsidR="001334FD" w:rsidRPr="00670CB1" w:rsidRDefault="001334FD" w:rsidP="00670CB1">
      <w:r w:rsidRPr="00670CB1">
        <w:rPr>
          <w:rFonts w:eastAsia="Palatino Linotype" w:cs="Palatino Linotype"/>
        </w:rPr>
        <w:t>Por otra parte, es preciso referir la fuente normativa en relación a las documentales requeridas por el particular, a saber del apartado de las</w:t>
      </w:r>
      <w:r w:rsidRPr="00670CB1">
        <w:t xml:space="preserve"> Obligaciones de Transparencia Común y Específicas plasmadas en el artículo 92, fracción, VIII de la Ley local de la materia, que a la letra establecen lo siguiente:</w:t>
      </w:r>
    </w:p>
    <w:p w14:paraId="4E2761BE" w14:textId="77777777" w:rsidR="001334FD" w:rsidRPr="00670CB1" w:rsidRDefault="001334FD" w:rsidP="00670CB1">
      <w:pPr>
        <w:ind w:right="51"/>
        <w:rPr>
          <w:rFonts w:eastAsia="Palatino Linotype" w:cs="Palatino Linotype"/>
        </w:rPr>
      </w:pPr>
    </w:p>
    <w:p w14:paraId="57DD9CD3" w14:textId="77777777" w:rsidR="001334FD" w:rsidRPr="00670CB1" w:rsidRDefault="001334FD" w:rsidP="00670CB1">
      <w:pPr>
        <w:pStyle w:val="Puesto"/>
        <w:ind w:left="851" w:right="822"/>
      </w:pPr>
      <w:r w:rsidRPr="00670CB1">
        <w:t>“</w:t>
      </w:r>
      <w:r w:rsidRPr="00670CB1">
        <w:rPr>
          <w:b/>
        </w:rPr>
        <w:t>Artículo 92.</w:t>
      </w:r>
      <w:r w:rsidRPr="00670CB1">
        <w:t xml:space="preserve"> Los sujetos obligados deberán poner a disposición del público de manera permanente y actualizada de forma sencilla, precisa y entendible, en los </w:t>
      </w:r>
      <w:r w:rsidRPr="00670CB1">
        <w:rPr>
          <w:u w:val="single"/>
        </w:rPr>
        <w:t>respectivos medios</w:t>
      </w:r>
      <w:r w:rsidRPr="00670CB1">
        <w:t xml:space="preserve"> electrónicos, de acuerdo con sus facultades, atribuciones, funciones u objeto social, según corresponda, la información, por lo menos, de los temas, documentos y políticas que a continuación se señalan:</w:t>
      </w:r>
    </w:p>
    <w:p w14:paraId="6BD62C95" w14:textId="77777777" w:rsidR="001334FD" w:rsidRPr="00670CB1" w:rsidRDefault="001334FD" w:rsidP="00670CB1">
      <w:pPr>
        <w:pStyle w:val="Puesto"/>
        <w:ind w:left="851" w:right="822"/>
      </w:pPr>
      <w:r w:rsidRPr="00670CB1">
        <w:rPr>
          <w:b/>
        </w:rPr>
        <w:t>(…)</w:t>
      </w:r>
    </w:p>
    <w:p w14:paraId="1279397B" w14:textId="68C9E0BC" w:rsidR="001334FD" w:rsidRPr="00670CB1" w:rsidRDefault="001334FD" w:rsidP="00670CB1">
      <w:pPr>
        <w:pStyle w:val="Puesto"/>
        <w:ind w:left="851" w:right="822"/>
      </w:pPr>
      <w:r w:rsidRPr="00670CB1">
        <w:rPr>
          <w:b/>
        </w:rPr>
        <w:t>VIII</w:t>
      </w:r>
      <w:r w:rsidRPr="00670CB1">
        <w:t xml:space="preserve">. La </w:t>
      </w:r>
      <w:r w:rsidRPr="00670CB1">
        <w:rPr>
          <w:b/>
        </w:rPr>
        <w:t>remuneración</w:t>
      </w:r>
      <w:r w:rsidRPr="00670CB1">
        <w:t xml:space="preserve">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00B95B77" w:rsidRPr="00670CB1">
        <w:t>”</w:t>
      </w:r>
    </w:p>
    <w:p w14:paraId="7EB1B62E" w14:textId="77777777" w:rsidR="0099282A" w:rsidRPr="00670CB1" w:rsidRDefault="0099282A" w:rsidP="00670CB1">
      <w:pPr>
        <w:rPr>
          <w:rFonts w:eastAsia="Palatino Linotype" w:cs="Palatino Linotype"/>
        </w:rPr>
      </w:pPr>
    </w:p>
    <w:p w14:paraId="3130A538" w14:textId="1951C13B" w:rsidR="0099282A" w:rsidRPr="00670CB1" w:rsidRDefault="00510207" w:rsidP="00670CB1">
      <w:pPr>
        <w:rPr>
          <w:rFonts w:eastAsia="Palatino Linotype" w:cs="Palatino Linotype"/>
        </w:rPr>
      </w:pPr>
      <w:r w:rsidRPr="00670CB1">
        <w:rPr>
          <w:rFonts w:eastAsia="Palatino Linotype" w:cs="Palatino Linotype"/>
        </w:rPr>
        <w:t>Ahora, s</w:t>
      </w:r>
      <w:r w:rsidR="0099282A" w:rsidRPr="00670CB1">
        <w:rPr>
          <w:rFonts w:eastAsia="Palatino Linotype" w:cs="Palatino Linotype"/>
        </w:rPr>
        <w:t xml:space="preserve">i bien es cierto que la divulgación de ciertos datos personales contenidos en los recibos de nómina podría representar un riesgo para la privacidad de los servidores públicos, la </w:t>
      </w:r>
      <w:r w:rsidRPr="00670CB1">
        <w:rPr>
          <w:rFonts w:eastAsia="Palatino Linotype" w:cs="Palatino Linotype"/>
        </w:rPr>
        <w:lastRenderedPageBreak/>
        <w:t>normatividad de la materia</w:t>
      </w:r>
      <w:r w:rsidR="0099282A" w:rsidRPr="00670CB1">
        <w:rPr>
          <w:rFonts w:eastAsia="Palatino Linotype" w:cs="Palatino Linotype"/>
        </w:rPr>
        <w:t xml:space="preserve"> prevé la entrega de versiones públicas de los documentos, en las que se testan los datos personales sensibles o que no guardan relación con el ejercicio de la función pública, como el domicilio particular, número de cuenta bancaria, RFC, CURP, entre otros.</w:t>
      </w:r>
    </w:p>
    <w:p w14:paraId="02A6FB80" w14:textId="77777777" w:rsidR="0099282A" w:rsidRPr="00670CB1" w:rsidRDefault="0099282A" w:rsidP="00670CB1">
      <w:pPr>
        <w:rPr>
          <w:rFonts w:eastAsia="Palatino Linotype" w:cs="Palatino Linotype"/>
        </w:rPr>
      </w:pPr>
    </w:p>
    <w:p w14:paraId="323F2A17" w14:textId="2F4DF144" w:rsidR="0099282A" w:rsidRPr="00670CB1" w:rsidRDefault="0099282A" w:rsidP="00670CB1">
      <w:pPr>
        <w:rPr>
          <w:rFonts w:eastAsia="Palatino Linotype" w:cs="Palatino Linotype"/>
        </w:rPr>
      </w:pPr>
      <w:r w:rsidRPr="00670CB1">
        <w:rPr>
          <w:rFonts w:eastAsia="Palatino Linotype" w:cs="Palatino Linotype"/>
        </w:rPr>
        <w:t>En este sentido, la negativa del Tesorero Municipal no se encuentra debidamente fundada ni motivada conforme a lo establecido en la</w:t>
      </w:r>
      <w:r w:rsidR="00510207" w:rsidRPr="00670CB1">
        <w:rPr>
          <w:rFonts w:eastAsia="Palatino Linotype" w:cs="Palatino Linotype"/>
        </w:rPr>
        <w:t xml:space="preserve"> Ley de Transparencia local</w:t>
      </w:r>
      <w:r w:rsidRPr="00670CB1">
        <w:rPr>
          <w:rFonts w:eastAsia="Palatino Linotype" w:cs="Palatino Linotype"/>
        </w:rPr>
        <w:t>, ya que no se acreditó de manera fehaciente que la entreg</w:t>
      </w:r>
      <w:r w:rsidR="00510207" w:rsidRPr="00670CB1">
        <w:rPr>
          <w:rFonts w:eastAsia="Palatino Linotype" w:cs="Palatino Linotype"/>
        </w:rPr>
        <w:t>a de la información solicitada</w:t>
      </w:r>
      <w:r w:rsidRPr="00670CB1">
        <w:rPr>
          <w:rFonts w:eastAsia="Palatino Linotype" w:cs="Palatino Linotype"/>
        </w:rPr>
        <w:t>, represente un riesgo real y específico para la integridad de los servidores públicos.</w:t>
      </w:r>
    </w:p>
    <w:p w14:paraId="5C2D8782" w14:textId="77777777" w:rsidR="00510207" w:rsidRPr="00670CB1" w:rsidRDefault="00510207" w:rsidP="00670CB1">
      <w:pPr>
        <w:rPr>
          <w:rFonts w:eastAsia="Palatino Linotype" w:cs="Palatino Linotype"/>
        </w:rPr>
      </w:pPr>
    </w:p>
    <w:p w14:paraId="59B45CD8" w14:textId="02A4BE68" w:rsidR="00510207" w:rsidRPr="00670CB1" w:rsidRDefault="00510207" w:rsidP="00670CB1">
      <w:pPr>
        <w:rPr>
          <w:rFonts w:eastAsia="Palatino Linotype" w:cs="Palatino Linotype"/>
        </w:rPr>
      </w:pPr>
      <w:r w:rsidRPr="00670CB1">
        <w:rPr>
          <w:rFonts w:eastAsia="Palatino Linotype" w:cs="Palatino Linotype"/>
        </w:rPr>
        <w:t xml:space="preserve">En virtud de lo anterior, este Instituto colige que el ejercicio derecho de acceso a la información pública no fue colmado por </w:t>
      </w:r>
      <w:r w:rsidRPr="00670CB1">
        <w:rPr>
          <w:rFonts w:eastAsia="Palatino Linotype" w:cs="Palatino Linotype"/>
          <w:b/>
        </w:rPr>
        <w:t xml:space="preserve">EL SUJETO OBLIGADO, </w:t>
      </w:r>
      <w:r w:rsidRPr="00670CB1">
        <w:rPr>
          <w:rFonts w:eastAsia="Palatino Linotype" w:cs="Palatino Linotype"/>
        </w:rPr>
        <w:t>por lo que se estima prudente ordenar la entrega en versión pública de los recibos de nómina de la segunda quincena de marzo de 2025 de los servidores públicos referidos en la solicitud del particular.</w:t>
      </w:r>
    </w:p>
    <w:p w14:paraId="7C9EA1F7" w14:textId="77777777" w:rsidR="001334FD" w:rsidRPr="00670CB1" w:rsidRDefault="001334FD" w:rsidP="00670CB1"/>
    <w:p w14:paraId="74C3F4DF" w14:textId="77777777" w:rsidR="00157854" w:rsidRPr="00670CB1" w:rsidRDefault="00157854" w:rsidP="00670CB1">
      <w:pPr>
        <w:pStyle w:val="Ttulo3"/>
      </w:pPr>
      <w:bookmarkStart w:id="35" w:name="_Toc165402882"/>
      <w:bookmarkStart w:id="36" w:name="_Toc174007540"/>
      <w:bookmarkStart w:id="37" w:name="_Toc198750527"/>
      <w:r w:rsidRPr="00670CB1">
        <w:t>d) Versión pública</w:t>
      </w:r>
      <w:bookmarkEnd w:id="35"/>
      <w:bookmarkEnd w:id="36"/>
      <w:bookmarkEnd w:id="37"/>
    </w:p>
    <w:p w14:paraId="1C95FCC9" w14:textId="77777777" w:rsidR="00157854" w:rsidRPr="00670CB1" w:rsidRDefault="00157854" w:rsidP="00670CB1">
      <w:pPr>
        <w:rPr>
          <w:bCs/>
        </w:rPr>
      </w:pPr>
      <w:r w:rsidRPr="00670CB1">
        <w:t xml:space="preserve">Para el caso de que el o los documentos de los cuales se ordena su entrega contengan datos personales susceptibles de ser testados, deberán ser entregados en </w:t>
      </w:r>
      <w:r w:rsidRPr="00670CB1">
        <w:rPr>
          <w:b/>
        </w:rPr>
        <w:t>versión pública</w:t>
      </w:r>
      <w:r w:rsidRPr="00670CB1">
        <w:t>, pues el</w:t>
      </w:r>
      <w:r w:rsidRPr="00670CB1">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10F628B" w14:textId="77777777" w:rsidR="00157854" w:rsidRPr="00670CB1" w:rsidRDefault="00157854" w:rsidP="00670CB1">
      <w:pPr>
        <w:rPr>
          <w:rFonts w:eastAsia="Calibri"/>
          <w:bCs/>
          <w:lang w:eastAsia="en-US"/>
        </w:rPr>
      </w:pPr>
    </w:p>
    <w:p w14:paraId="064438D4" w14:textId="77777777" w:rsidR="00157854" w:rsidRPr="00670CB1" w:rsidRDefault="00157854" w:rsidP="00670CB1">
      <w:pPr>
        <w:rPr>
          <w:bCs/>
        </w:rPr>
      </w:pPr>
      <w:r w:rsidRPr="00670CB1">
        <w:rPr>
          <w:bCs/>
        </w:rPr>
        <w:t>A este respecto, los artículos 3, fracciones IX, XX, XXI y XLV; 51 y 52 de la Ley de Transparencia y Acceso a la Información Pública del Estado de México y Municipios establecen:</w:t>
      </w:r>
    </w:p>
    <w:p w14:paraId="0244D7B0" w14:textId="77777777" w:rsidR="00157854" w:rsidRPr="00670CB1" w:rsidRDefault="00157854" w:rsidP="00670CB1"/>
    <w:p w14:paraId="26133708" w14:textId="77777777" w:rsidR="00157854" w:rsidRPr="00670CB1" w:rsidRDefault="00157854" w:rsidP="00670CB1">
      <w:pPr>
        <w:pStyle w:val="Puesto"/>
      </w:pPr>
      <w:r w:rsidRPr="00670CB1">
        <w:rPr>
          <w:b/>
          <w:bCs/>
          <w:noProof/>
        </w:rPr>
        <w:t>“</w:t>
      </w:r>
      <w:r w:rsidRPr="00670CB1">
        <w:rPr>
          <w:b/>
          <w:bCs/>
        </w:rPr>
        <w:t xml:space="preserve">Artículo 3. </w:t>
      </w:r>
      <w:r w:rsidRPr="00670CB1">
        <w:t xml:space="preserve">Para los efectos de la presente Ley se entenderá por: </w:t>
      </w:r>
    </w:p>
    <w:p w14:paraId="4A32FB4F" w14:textId="77777777" w:rsidR="00157854" w:rsidRPr="00670CB1" w:rsidRDefault="00157854" w:rsidP="00670CB1">
      <w:pPr>
        <w:pStyle w:val="Puesto"/>
      </w:pPr>
      <w:r w:rsidRPr="00670CB1">
        <w:rPr>
          <w:b/>
        </w:rPr>
        <w:t>IX.</w:t>
      </w:r>
      <w:r w:rsidRPr="00670CB1">
        <w:t xml:space="preserve"> </w:t>
      </w:r>
      <w:r w:rsidRPr="00670CB1">
        <w:rPr>
          <w:b/>
        </w:rPr>
        <w:t xml:space="preserve">Datos personales: </w:t>
      </w:r>
      <w:r w:rsidRPr="00670CB1">
        <w:t xml:space="preserve">La información concerniente a una persona, identificada o identificable según lo dispuesto por la Ley de Protección de Datos Personales del Estado de México; </w:t>
      </w:r>
    </w:p>
    <w:p w14:paraId="20DFE888" w14:textId="77777777" w:rsidR="00157854" w:rsidRPr="00670CB1" w:rsidRDefault="00157854" w:rsidP="00670CB1"/>
    <w:p w14:paraId="48E87349" w14:textId="77777777" w:rsidR="00157854" w:rsidRPr="00670CB1" w:rsidRDefault="00157854" w:rsidP="00670CB1">
      <w:pPr>
        <w:pStyle w:val="Puesto"/>
      </w:pPr>
      <w:r w:rsidRPr="00670CB1">
        <w:rPr>
          <w:b/>
        </w:rPr>
        <w:t>XX.</w:t>
      </w:r>
      <w:r w:rsidRPr="00670CB1">
        <w:t xml:space="preserve"> </w:t>
      </w:r>
      <w:r w:rsidRPr="00670CB1">
        <w:rPr>
          <w:b/>
        </w:rPr>
        <w:t>Información clasificada:</w:t>
      </w:r>
      <w:r w:rsidRPr="00670CB1">
        <w:t xml:space="preserve"> Aquella considerada por la presente Ley como reservada o confidencial; </w:t>
      </w:r>
    </w:p>
    <w:p w14:paraId="189B951C" w14:textId="77777777" w:rsidR="00157854" w:rsidRPr="00670CB1" w:rsidRDefault="00157854" w:rsidP="00670CB1"/>
    <w:p w14:paraId="23B401A1" w14:textId="77777777" w:rsidR="00157854" w:rsidRPr="00670CB1" w:rsidRDefault="00157854" w:rsidP="00670CB1">
      <w:pPr>
        <w:pStyle w:val="Puesto"/>
      </w:pPr>
      <w:r w:rsidRPr="00670CB1">
        <w:rPr>
          <w:b/>
        </w:rPr>
        <w:t>XXI.</w:t>
      </w:r>
      <w:r w:rsidRPr="00670CB1">
        <w:t xml:space="preserve"> </w:t>
      </w:r>
      <w:r w:rsidRPr="00670CB1">
        <w:rPr>
          <w:b/>
        </w:rPr>
        <w:t>Información confidencial</w:t>
      </w:r>
      <w:r w:rsidRPr="00670CB1">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BAF48A4" w14:textId="77777777" w:rsidR="00157854" w:rsidRPr="00670CB1" w:rsidRDefault="00157854" w:rsidP="00670CB1"/>
    <w:p w14:paraId="1E829C8A" w14:textId="77777777" w:rsidR="00157854" w:rsidRPr="00670CB1" w:rsidRDefault="00157854" w:rsidP="00670CB1">
      <w:pPr>
        <w:pStyle w:val="Puesto"/>
      </w:pPr>
      <w:r w:rsidRPr="00670CB1">
        <w:rPr>
          <w:b/>
        </w:rPr>
        <w:t>XLV. Versión pública:</w:t>
      </w:r>
      <w:r w:rsidRPr="00670CB1">
        <w:t xml:space="preserve"> Documento en el que se elimine, suprime o borra la información clasificada como reservada o confidencial para permitir su acceso. </w:t>
      </w:r>
    </w:p>
    <w:p w14:paraId="13BC0F43" w14:textId="77777777" w:rsidR="00157854" w:rsidRPr="00670CB1" w:rsidRDefault="00157854" w:rsidP="00670CB1"/>
    <w:p w14:paraId="30A22880" w14:textId="77777777" w:rsidR="00157854" w:rsidRPr="00670CB1" w:rsidRDefault="00157854" w:rsidP="00670CB1">
      <w:pPr>
        <w:pStyle w:val="Puesto"/>
      </w:pPr>
      <w:r w:rsidRPr="00670CB1">
        <w:rPr>
          <w:b/>
        </w:rPr>
        <w:t>Artículo 51.</w:t>
      </w:r>
      <w:r w:rsidRPr="00670CB1">
        <w:t xml:space="preserve"> Los sujetos obligados designaran a un responsable para atender la Unidad de Transparencia, quien fungirá como enlace entre éstos y los solicitantes. Dicha Unidad será la encargada de tramitar internamente la solicitud de información </w:t>
      </w:r>
      <w:r w:rsidRPr="00670CB1">
        <w:rPr>
          <w:b/>
        </w:rPr>
        <w:t xml:space="preserve">y tendrá la responsabilidad de verificar en cada caso que la misma no sea confidencial o reservada. </w:t>
      </w:r>
      <w:r w:rsidRPr="00670CB1">
        <w:t>Dicha Unidad contará con las facultades internas necesarias para gestionar la atención a las solicitudes de información en los términos de la Ley General y la presente Ley.</w:t>
      </w:r>
    </w:p>
    <w:p w14:paraId="57F881F4" w14:textId="77777777" w:rsidR="00157854" w:rsidRPr="00670CB1" w:rsidRDefault="00157854" w:rsidP="00670CB1"/>
    <w:p w14:paraId="739E441B" w14:textId="77777777" w:rsidR="00157854" w:rsidRPr="00670CB1" w:rsidRDefault="00157854" w:rsidP="00670CB1">
      <w:pPr>
        <w:pStyle w:val="Puesto"/>
      </w:pPr>
      <w:r w:rsidRPr="00670CB1">
        <w:rPr>
          <w:b/>
        </w:rPr>
        <w:t>Artículo 52.</w:t>
      </w:r>
      <w:r w:rsidRPr="00670CB1">
        <w:t xml:space="preserve"> Las solicitudes de acceso a la información y las respuestas que se les dé, incluyendo, en su caso, </w:t>
      </w:r>
      <w:r w:rsidRPr="00670CB1">
        <w:rPr>
          <w:u w:val="single"/>
        </w:rPr>
        <w:t>la información entregada, así como las resoluciones a los recursos que en su caso se promuevan serán públicas, y de ser el caso que contenga datos personales que deban ser protegidos se podrá dar su acceso en su versión pública</w:t>
      </w:r>
      <w:r w:rsidRPr="00670CB1">
        <w:t>, siempre y cuando la resolución de referencia se someta a un proceso de disociación, es decir, no haga identificable al titular de tales datos personales.</w:t>
      </w:r>
      <w:r w:rsidRPr="00670CB1">
        <w:rPr>
          <w:bCs/>
          <w:noProof/>
        </w:rPr>
        <w:t xml:space="preserve">” </w:t>
      </w:r>
      <w:r w:rsidRPr="00670CB1">
        <w:rPr>
          <w:i w:val="0"/>
          <w:iCs/>
          <w:szCs w:val="22"/>
        </w:rPr>
        <w:t>(Énfasis añadido)</w:t>
      </w:r>
    </w:p>
    <w:p w14:paraId="19A7B12E" w14:textId="77777777" w:rsidR="00157854" w:rsidRPr="00670CB1" w:rsidRDefault="00157854" w:rsidP="00670CB1"/>
    <w:p w14:paraId="5144DE71" w14:textId="77777777" w:rsidR="00157854" w:rsidRPr="00670CB1" w:rsidRDefault="00157854" w:rsidP="00670CB1">
      <w:r w:rsidRPr="00670CB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A167FBF" w14:textId="77777777" w:rsidR="00157854" w:rsidRPr="00670CB1" w:rsidRDefault="00157854" w:rsidP="00670CB1"/>
    <w:p w14:paraId="2C2FB567" w14:textId="77777777" w:rsidR="00157854" w:rsidRPr="00670CB1" w:rsidRDefault="00157854" w:rsidP="00670CB1">
      <w:pPr>
        <w:pStyle w:val="Puesto"/>
        <w:rPr>
          <w:rFonts w:eastAsia="Arial Unicode MS"/>
        </w:rPr>
      </w:pPr>
      <w:r w:rsidRPr="00670CB1">
        <w:rPr>
          <w:rFonts w:eastAsia="Arial Unicode MS"/>
          <w:b/>
        </w:rPr>
        <w:t>“Artículo 22.</w:t>
      </w:r>
      <w:r w:rsidRPr="00670CB1">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3D4F034A" w14:textId="77777777" w:rsidR="00157854" w:rsidRPr="00670CB1" w:rsidRDefault="00157854" w:rsidP="00670CB1">
      <w:pPr>
        <w:rPr>
          <w:rFonts w:eastAsia="Arial Unicode MS"/>
        </w:rPr>
      </w:pPr>
    </w:p>
    <w:p w14:paraId="1B3E03AE" w14:textId="77777777" w:rsidR="00157854" w:rsidRPr="00670CB1" w:rsidRDefault="00157854" w:rsidP="00670CB1">
      <w:pPr>
        <w:pStyle w:val="Puesto"/>
        <w:rPr>
          <w:rFonts w:eastAsia="Arial Unicode MS"/>
        </w:rPr>
      </w:pPr>
      <w:r w:rsidRPr="00670CB1">
        <w:rPr>
          <w:rFonts w:eastAsia="Arial Unicode MS"/>
          <w:b/>
        </w:rPr>
        <w:t>Artículo 38.</w:t>
      </w:r>
      <w:r w:rsidRPr="00670CB1">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70CB1">
        <w:rPr>
          <w:rFonts w:eastAsia="Arial Unicode MS"/>
          <w:b/>
        </w:rPr>
        <w:t>”</w:t>
      </w:r>
      <w:r w:rsidRPr="00670CB1">
        <w:rPr>
          <w:rFonts w:eastAsia="Arial Unicode MS"/>
        </w:rPr>
        <w:t xml:space="preserve"> </w:t>
      </w:r>
    </w:p>
    <w:p w14:paraId="351FDCDD" w14:textId="77777777" w:rsidR="00157854" w:rsidRPr="00670CB1" w:rsidRDefault="00157854" w:rsidP="00670CB1">
      <w:pPr>
        <w:rPr>
          <w:rFonts w:eastAsia="Arial Unicode MS"/>
          <w:i/>
          <w:szCs w:val="22"/>
        </w:rPr>
      </w:pPr>
    </w:p>
    <w:p w14:paraId="2268DC09" w14:textId="77777777" w:rsidR="00157854" w:rsidRPr="00670CB1" w:rsidRDefault="00157854" w:rsidP="00670CB1">
      <w:r w:rsidRPr="00670CB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BCDFF44" w14:textId="77777777" w:rsidR="00157854" w:rsidRPr="00670CB1" w:rsidRDefault="00157854" w:rsidP="00670CB1"/>
    <w:p w14:paraId="18C69DCF" w14:textId="77777777" w:rsidR="00157854" w:rsidRPr="00670CB1" w:rsidRDefault="00157854" w:rsidP="00670CB1">
      <w:r w:rsidRPr="00670CB1">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70CB1">
        <w:rPr>
          <w:rFonts w:eastAsia="Arial Unicode MS"/>
        </w:rPr>
        <w:t xml:space="preserve"> que debe ser protegida por </w:t>
      </w:r>
      <w:r w:rsidRPr="00670CB1">
        <w:rPr>
          <w:rFonts w:eastAsia="Arial Unicode MS"/>
          <w:b/>
        </w:rPr>
        <w:t>EL SUJETO OBLIGADO,</w:t>
      </w:r>
      <w:r w:rsidRPr="00670CB1">
        <w:rPr>
          <w:rFonts w:eastAsia="Arial Unicode MS"/>
        </w:rPr>
        <w:t xml:space="preserve"> por lo </w:t>
      </w:r>
      <w:r w:rsidRPr="00670CB1">
        <w:t>que, todo dato personal susceptible de clasificación debe ser protegido.</w:t>
      </w:r>
    </w:p>
    <w:p w14:paraId="16A0DA54" w14:textId="77777777" w:rsidR="00157854" w:rsidRPr="00670CB1" w:rsidRDefault="00157854" w:rsidP="00670CB1"/>
    <w:p w14:paraId="33E490F9" w14:textId="77777777" w:rsidR="00157854" w:rsidRPr="00670CB1" w:rsidRDefault="00157854" w:rsidP="00670CB1">
      <w:r w:rsidRPr="00670CB1">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29A6CBB" w14:textId="77777777" w:rsidR="00157854" w:rsidRPr="00670CB1" w:rsidRDefault="00157854" w:rsidP="00670CB1"/>
    <w:p w14:paraId="594A3EB0" w14:textId="77777777" w:rsidR="00157854" w:rsidRPr="00670CB1" w:rsidRDefault="00157854" w:rsidP="00670CB1">
      <w:r w:rsidRPr="00670CB1">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53D057" w14:textId="77777777" w:rsidR="00157854" w:rsidRPr="00670CB1" w:rsidRDefault="00157854" w:rsidP="00670CB1"/>
    <w:p w14:paraId="7A6C4A61" w14:textId="77777777" w:rsidR="00157854" w:rsidRPr="00670CB1" w:rsidRDefault="00157854" w:rsidP="00670CB1">
      <w:pPr>
        <w:pStyle w:val="Puesto"/>
        <w:jc w:val="center"/>
        <w:rPr>
          <w:b/>
        </w:rPr>
      </w:pPr>
      <w:r w:rsidRPr="00670CB1">
        <w:rPr>
          <w:b/>
          <w:lang w:val="es-ES_tradnl"/>
        </w:rPr>
        <w:t>Ley de Transparencia y Acceso a la Información Pública del Estado de México y Municipios</w:t>
      </w:r>
    </w:p>
    <w:p w14:paraId="276E74F5" w14:textId="77777777" w:rsidR="00157854" w:rsidRPr="00670CB1" w:rsidRDefault="00157854" w:rsidP="00670CB1"/>
    <w:p w14:paraId="5389AF72" w14:textId="77777777" w:rsidR="00157854" w:rsidRPr="00670CB1" w:rsidRDefault="00157854" w:rsidP="00670CB1">
      <w:pPr>
        <w:pStyle w:val="Puesto"/>
      </w:pPr>
      <w:r w:rsidRPr="00670CB1">
        <w:rPr>
          <w:b/>
        </w:rPr>
        <w:t xml:space="preserve">“Artículo 49. </w:t>
      </w:r>
      <w:r w:rsidRPr="00670CB1">
        <w:t>Los Comités de Transparencia tendrán las siguientes atribuciones:</w:t>
      </w:r>
    </w:p>
    <w:p w14:paraId="641C9D73" w14:textId="77777777" w:rsidR="00157854" w:rsidRPr="00670CB1" w:rsidRDefault="00157854" w:rsidP="00670CB1">
      <w:pPr>
        <w:pStyle w:val="Puesto"/>
      </w:pPr>
      <w:r w:rsidRPr="00670CB1">
        <w:rPr>
          <w:b/>
        </w:rPr>
        <w:t>VIII.</w:t>
      </w:r>
      <w:r w:rsidRPr="00670CB1">
        <w:t xml:space="preserve"> Aprobar, modificar o revocar la clasificación de la información;</w:t>
      </w:r>
    </w:p>
    <w:p w14:paraId="38D13A57" w14:textId="77777777" w:rsidR="00157854" w:rsidRPr="00670CB1" w:rsidRDefault="00157854" w:rsidP="00670CB1"/>
    <w:p w14:paraId="4DB7F538" w14:textId="77777777" w:rsidR="00157854" w:rsidRPr="00670CB1" w:rsidRDefault="00157854" w:rsidP="00670CB1">
      <w:pPr>
        <w:pStyle w:val="Puesto"/>
      </w:pPr>
      <w:r w:rsidRPr="00670CB1">
        <w:rPr>
          <w:b/>
        </w:rPr>
        <w:lastRenderedPageBreak/>
        <w:t>Artículo 132.</w:t>
      </w:r>
      <w:r w:rsidRPr="00670CB1">
        <w:t xml:space="preserve"> La clasificación de la información se llevará a cabo en el momento en que:</w:t>
      </w:r>
    </w:p>
    <w:p w14:paraId="2547487A" w14:textId="77777777" w:rsidR="00157854" w:rsidRPr="00670CB1" w:rsidRDefault="00157854" w:rsidP="00670CB1">
      <w:pPr>
        <w:pStyle w:val="Puesto"/>
      </w:pPr>
      <w:r w:rsidRPr="00670CB1">
        <w:rPr>
          <w:b/>
        </w:rPr>
        <w:t>I.</w:t>
      </w:r>
      <w:r w:rsidRPr="00670CB1">
        <w:t xml:space="preserve"> Se reciba una solicitud de acceso a la información;</w:t>
      </w:r>
    </w:p>
    <w:p w14:paraId="3AB42FB6" w14:textId="77777777" w:rsidR="00157854" w:rsidRPr="00670CB1" w:rsidRDefault="00157854" w:rsidP="00670CB1">
      <w:pPr>
        <w:pStyle w:val="Puesto"/>
      </w:pPr>
      <w:r w:rsidRPr="00670CB1">
        <w:rPr>
          <w:b/>
        </w:rPr>
        <w:t>II.</w:t>
      </w:r>
      <w:r w:rsidRPr="00670CB1">
        <w:t xml:space="preserve"> Se determine mediante resolución de autoridad competente; o</w:t>
      </w:r>
    </w:p>
    <w:p w14:paraId="2D972638" w14:textId="77777777" w:rsidR="00157854" w:rsidRPr="00670CB1" w:rsidRDefault="00157854" w:rsidP="00670CB1">
      <w:pPr>
        <w:pStyle w:val="Puesto"/>
        <w:rPr>
          <w:b/>
        </w:rPr>
      </w:pPr>
      <w:r w:rsidRPr="00670CB1">
        <w:rPr>
          <w:b/>
          <w:bCs/>
        </w:rPr>
        <w:t>III.</w:t>
      </w:r>
      <w:r w:rsidRPr="00670CB1">
        <w:t xml:space="preserve"> Se generen versiones públicas para dar cumplimiento a las obligaciones de transparencia previstas en esta Ley.</w:t>
      </w:r>
      <w:r w:rsidRPr="00670CB1">
        <w:rPr>
          <w:b/>
        </w:rPr>
        <w:t>”</w:t>
      </w:r>
    </w:p>
    <w:p w14:paraId="1AA208AA" w14:textId="77777777" w:rsidR="00157854" w:rsidRPr="00670CB1" w:rsidRDefault="00157854" w:rsidP="00670CB1"/>
    <w:p w14:paraId="55331ED3" w14:textId="77777777" w:rsidR="00157854" w:rsidRPr="00670CB1" w:rsidRDefault="00157854" w:rsidP="00670CB1">
      <w:pPr>
        <w:pStyle w:val="Puesto"/>
      </w:pPr>
      <w:r w:rsidRPr="00670CB1">
        <w:rPr>
          <w:b/>
        </w:rPr>
        <w:t>“Segundo. -</w:t>
      </w:r>
      <w:r w:rsidRPr="00670CB1">
        <w:t xml:space="preserve"> Para efectos de los presentes Lineamientos Generales, se entenderá por:</w:t>
      </w:r>
    </w:p>
    <w:p w14:paraId="25325FEB" w14:textId="77777777" w:rsidR="00157854" w:rsidRPr="00670CB1" w:rsidRDefault="00157854" w:rsidP="00670CB1">
      <w:pPr>
        <w:pStyle w:val="Puesto"/>
      </w:pPr>
      <w:r w:rsidRPr="00670CB1">
        <w:rPr>
          <w:b/>
        </w:rPr>
        <w:t>XVIII.</w:t>
      </w:r>
      <w:r w:rsidRPr="00670CB1">
        <w:t xml:space="preserve">  </w:t>
      </w:r>
      <w:r w:rsidRPr="00670CB1">
        <w:rPr>
          <w:b/>
        </w:rPr>
        <w:t>Versión pública:</w:t>
      </w:r>
      <w:r w:rsidRPr="00670CB1">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89676FE" w14:textId="77777777" w:rsidR="00157854" w:rsidRPr="00670CB1" w:rsidRDefault="00157854" w:rsidP="00670CB1">
      <w:pPr>
        <w:pStyle w:val="Puesto"/>
      </w:pPr>
    </w:p>
    <w:p w14:paraId="5F5F9FB9" w14:textId="77777777" w:rsidR="00157854" w:rsidRPr="00670CB1" w:rsidRDefault="00157854" w:rsidP="00670CB1">
      <w:pPr>
        <w:pStyle w:val="Puesto"/>
        <w:rPr>
          <w:b/>
          <w:lang w:val="es-ES_tradnl" w:eastAsia="es-MX"/>
        </w:rPr>
      </w:pPr>
      <w:r w:rsidRPr="00670CB1">
        <w:rPr>
          <w:b/>
          <w:lang w:val="es-ES_tradnl" w:eastAsia="es-MX"/>
        </w:rPr>
        <w:t xml:space="preserve">Lineamientos Generales en materia de Clasificación y Desclasificación de la </w:t>
      </w:r>
      <w:r w:rsidRPr="00670CB1">
        <w:rPr>
          <w:b/>
          <w:lang w:val="es-ES_tradnl"/>
        </w:rPr>
        <w:t>Información</w:t>
      </w:r>
    </w:p>
    <w:p w14:paraId="727F77E9" w14:textId="77777777" w:rsidR="00157854" w:rsidRPr="00670CB1" w:rsidRDefault="00157854" w:rsidP="00670CB1">
      <w:pPr>
        <w:pStyle w:val="Puesto"/>
      </w:pPr>
    </w:p>
    <w:p w14:paraId="1F282194" w14:textId="77777777" w:rsidR="00157854" w:rsidRPr="00670CB1" w:rsidRDefault="00157854" w:rsidP="00670CB1">
      <w:pPr>
        <w:pStyle w:val="Puesto"/>
      </w:pPr>
      <w:r w:rsidRPr="00670CB1">
        <w:rPr>
          <w:b/>
        </w:rPr>
        <w:t>Cuarto.</w:t>
      </w:r>
      <w:r w:rsidRPr="00670CB1">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9CEF06" w14:textId="77777777" w:rsidR="00157854" w:rsidRPr="00670CB1" w:rsidRDefault="00157854" w:rsidP="00670CB1">
      <w:pPr>
        <w:pStyle w:val="Puesto"/>
      </w:pPr>
      <w:r w:rsidRPr="00670CB1">
        <w:t>Los sujetos obligados deberán aplicar, de manera estricta, las excepciones al derecho de acceso a la información y sólo podrán invocarlas cuando acrediten su procedencia.</w:t>
      </w:r>
    </w:p>
    <w:p w14:paraId="5C8AA53A" w14:textId="77777777" w:rsidR="00157854" w:rsidRPr="00670CB1" w:rsidRDefault="00157854" w:rsidP="00670CB1"/>
    <w:p w14:paraId="4DF17910" w14:textId="77777777" w:rsidR="00157854" w:rsidRPr="00670CB1" w:rsidRDefault="00157854" w:rsidP="00670CB1">
      <w:pPr>
        <w:pStyle w:val="Puesto"/>
      </w:pPr>
      <w:r w:rsidRPr="00670CB1">
        <w:rPr>
          <w:b/>
        </w:rPr>
        <w:t>Quinto.</w:t>
      </w:r>
      <w:r w:rsidRPr="00670CB1">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BE303B" w14:textId="77777777" w:rsidR="00157854" w:rsidRPr="00670CB1" w:rsidRDefault="00157854" w:rsidP="00670CB1"/>
    <w:p w14:paraId="724D23F8" w14:textId="77777777" w:rsidR="00157854" w:rsidRPr="00670CB1" w:rsidRDefault="00157854" w:rsidP="00670CB1">
      <w:pPr>
        <w:pStyle w:val="Puesto"/>
      </w:pPr>
      <w:r w:rsidRPr="00670CB1">
        <w:rPr>
          <w:b/>
        </w:rPr>
        <w:t>Sexto.</w:t>
      </w:r>
      <w:r w:rsidRPr="00670CB1">
        <w:t xml:space="preserve"> Se deroga.</w:t>
      </w:r>
    </w:p>
    <w:p w14:paraId="1469C773" w14:textId="77777777" w:rsidR="00157854" w:rsidRPr="00670CB1" w:rsidRDefault="00157854" w:rsidP="00670CB1"/>
    <w:p w14:paraId="39153F0D" w14:textId="77777777" w:rsidR="00157854" w:rsidRPr="00670CB1" w:rsidRDefault="00157854" w:rsidP="00670CB1">
      <w:pPr>
        <w:pStyle w:val="Puesto"/>
      </w:pPr>
      <w:r w:rsidRPr="00670CB1">
        <w:rPr>
          <w:b/>
        </w:rPr>
        <w:t>Séptimo.</w:t>
      </w:r>
      <w:r w:rsidRPr="00670CB1">
        <w:t xml:space="preserve"> La clasificación de la información se llevará a cabo en el momento en que:</w:t>
      </w:r>
    </w:p>
    <w:p w14:paraId="7F209901" w14:textId="77777777" w:rsidR="00157854" w:rsidRPr="00670CB1" w:rsidRDefault="00157854" w:rsidP="00670CB1">
      <w:pPr>
        <w:pStyle w:val="Puesto"/>
      </w:pPr>
      <w:r w:rsidRPr="00670CB1">
        <w:rPr>
          <w:b/>
        </w:rPr>
        <w:t>I.</w:t>
      </w:r>
      <w:r w:rsidRPr="00670CB1">
        <w:t xml:space="preserve">        Se reciba una solicitud de acceso a la información;</w:t>
      </w:r>
    </w:p>
    <w:p w14:paraId="209ABFEA" w14:textId="77777777" w:rsidR="00157854" w:rsidRPr="00670CB1" w:rsidRDefault="00157854" w:rsidP="00670CB1">
      <w:pPr>
        <w:pStyle w:val="Puesto"/>
      </w:pPr>
      <w:r w:rsidRPr="00670CB1">
        <w:rPr>
          <w:b/>
        </w:rPr>
        <w:lastRenderedPageBreak/>
        <w:t>II.</w:t>
      </w:r>
      <w:r w:rsidRPr="00670CB1">
        <w:t xml:space="preserve">       Se determine mediante resolución del Comité de Transparencia, el órgano garante competente, o en cumplimiento a una sentencia del Poder Judicial; o</w:t>
      </w:r>
    </w:p>
    <w:p w14:paraId="6BC133EB" w14:textId="77777777" w:rsidR="00157854" w:rsidRPr="00670CB1" w:rsidRDefault="00157854" w:rsidP="00670CB1">
      <w:pPr>
        <w:pStyle w:val="Puesto"/>
      </w:pPr>
      <w:r w:rsidRPr="00670CB1">
        <w:rPr>
          <w:b/>
        </w:rPr>
        <w:t>III.</w:t>
      </w:r>
      <w:r w:rsidRPr="00670CB1">
        <w:t xml:space="preserve">      Se generen versiones públicas para dar cumplimiento a las obligaciones de transparencia previstas en la Ley General, la Ley Federal y las correspondientes de las entidades federativas.</w:t>
      </w:r>
    </w:p>
    <w:p w14:paraId="6DF1BC40" w14:textId="77777777" w:rsidR="00157854" w:rsidRPr="00670CB1" w:rsidRDefault="00157854" w:rsidP="00670CB1">
      <w:pPr>
        <w:pStyle w:val="Puesto"/>
      </w:pPr>
      <w:r w:rsidRPr="00670CB1">
        <w:t xml:space="preserve">Los titulares de las áreas deberán revisar la información requerida al momento de la recepción de una solicitud de acceso, para verificar, conforme a su naturaleza, si encuadra en una causal de reserva o de confidencialidad. </w:t>
      </w:r>
    </w:p>
    <w:p w14:paraId="6DCFC315" w14:textId="77777777" w:rsidR="00157854" w:rsidRPr="00670CB1" w:rsidRDefault="00157854" w:rsidP="00670CB1"/>
    <w:p w14:paraId="567BE2C1" w14:textId="77777777" w:rsidR="00157854" w:rsidRPr="00670CB1" w:rsidRDefault="00157854" w:rsidP="00670CB1">
      <w:pPr>
        <w:pStyle w:val="Puesto"/>
      </w:pPr>
      <w:r w:rsidRPr="00670CB1">
        <w:rPr>
          <w:b/>
        </w:rPr>
        <w:t>Octavo.</w:t>
      </w:r>
      <w:r w:rsidRPr="00670CB1">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B6F621" w14:textId="77777777" w:rsidR="00157854" w:rsidRPr="00670CB1" w:rsidRDefault="00157854" w:rsidP="00670CB1">
      <w:pPr>
        <w:pStyle w:val="Puesto"/>
      </w:pPr>
      <w:r w:rsidRPr="00670CB1">
        <w:t>Para motivar la clasificación se deberán señalar las razones o circunstancias especiales que lo llevaron a concluir que el caso particular se ajusta al supuesto previsto por la norma legal invocada como fundamento.</w:t>
      </w:r>
    </w:p>
    <w:p w14:paraId="2B0D3F09" w14:textId="77777777" w:rsidR="00157854" w:rsidRPr="00670CB1" w:rsidRDefault="00157854" w:rsidP="00670CB1">
      <w:pPr>
        <w:pStyle w:val="Puesto"/>
      </w:pPr>
      <w:r w:rsidRPr="00670CB1">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637F717" w14:textId="77777777" w:rsidR="00157854" w:rsidRPr="00670CB1" w:rsidRDefault="00157854" w:rsidP="00670CB1"/>
    <w:p w14:paraId="1C0EF763" w14:textId="77777777" w:rsidR="00157854" w:rsidRPr="00670CB1" w:rsidRDefault="00157854" w:rsidP="00670CB1">
      <w:pPr>
        <w:pStyle w:val="Puesto"/>
      </w:pPr>
      <w:r w:rsidRPr="00670CB1">
        <w:rPr>
          <w:b/>
        </w:rPr>
        <w:t>Noveno.</w:t>
      </w:r>
      <w:r w:rsidRPr="00670CB1">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355621" w14:textId="77777777" w:rsidR="00157854" w:rsidRPr="00670CB1" w:rsidRDefault="00157854" w:rsidP="00670CB1"/>
    <w:p w14:paraId="6A35D633" w14:textId="77777777" w:rsidR="00157854" w:rsidRPr="00670CB1" w:rsidRDefault="00157854" w:rsidP="00670CB1">
      <w:pPr>
        <w:pStyle w:val="Puesto"/>
      </w:pPr>
      <w:r w:rsidRPr="00670CB1">
        <w:rPr>
          <w:b/>
        </w:rPr>
        <w:t>Décimo.</w:t>
      </w:r>
      <w:r w:rsidRPr="00670CB1">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E6754CB" w14:textId="77777777" w:rsidR="00157854" w:rsidRPr="00670CB1" w:rsidRDefault="00157854" w:rsidP="00670CB1">
      <w:pPr>
        <w:pStyle w:val="Puesto"/>
      </w:pPr>
      <w:r w:rsidRPr="00670CB1">
        <w:t>En ausencia de los titulares de las áreas, la información será clasificada o desclasificada por la persona que lo supla, en términos de la normativa que rija la actuación del sujeto obligado.</w:t>
      </w:r>
    </w:p>
    <w:p w14:paraId="4D2CC9A9" w14:textId="77777777" w:rsidR="00157854" w:rsidRPr="00670CB1" w:rsidRDefault="00157854" w:rsidP="00670CB1">
      <w:pPr>
        <w:pStyle w:val="Puesto"/>
        <w:rPr>
          <w:b/>
        </w:rPr>
      </w:pPr>
      <w:r w:rsidRPr="00670CB1">
        <w:rPr>
          <w:b/>
        </w:rPr>
        <w:t>Décimo primero.</w:t>
      </w:r>
      <w:r w:rsidRPr="00670CB1">
        <w:t xml:space="preserve"> En el intercambio de información entre sujetos obligados para el ejercicio de sus atribuciones, los documentos que se encuentren clasificados deberán llevar </w:t>
      </w:r>
      <w:r w:rsidRPr="00670CB1">
        <w:lastRenderedPageBreak/>
        <w:t>la leyenda correspondiente de conformidad con lo dispuesto en el Capítulo VIII de los presentes lineamientos.</w:t>
      </w:r>
      <w:r w:rsidRPr="00670CB1">
        <w:rPr>
          <w:b/>
        </w:rPr>
        <w:t>”</w:t>
      </w:r>
    </w:p>
    <w:p w14:paraId="4A413109" w14:textId="77777777" w:rsidR="00157854" w:rsidRPr="00670CB1" w:rsidRDefault="00157854" w:rsidP="00670CB1"/>
    <w:p w14:paraId="4202FB8A" w14:textId="77777777" w:rsidR="00157854" w:rsidRPr="00670CB1" w:rsidRDefault="00157854" w:rsidP="00670CB1">
      <w:pPr>
        <w:rPr>
          <w:lang w:eastAsia="es-CO"/>
        </w:rPr>
      </w:pPr>
      <w:r w:rsidRPr="00670CB1">
        <w:t xml:space="preserve">Consecuentemente, se destaca que la versión pública que elabore </w:t>
      </w:r>
      <w:r w:rsidRPr="00670CB1">
        <w:rPr>
          <w:b/>
        </w:rPr>
        <w:t>EL SUJETO OBLIGADO</w:t>
      </w:r>
      <w:r w:rsidRPr="00670CB1">
        <w:t xml:space="preserve"> debe cumplir con las formalidades exigidas en la Ley, por lo que para tal efecto emitirá el </w:t>
      </w:r>
      <w:r w:rsidRPr="00670CB1">
        <w:rPr>
          <w:b/>
        </w:rPr>
        <w:t>Acuerdo del Comité de Transparencia</w:t>
      </w:r>
      <w:r w:rsidRPr="00670CB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70CB1">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778ABBD" w14:textId="77777777" w:rsidR="00157854" w:rsidRPr="00670CB1" w:rsidRDefault="00157854" w:rsidP="00670CB1">
      <w:pPr>
        <w:rPr>
          <w:lang w:eastAsia="es-CO"/>
        </w:rPr>
      </w:pPr>
    </w:p>
    <w:p w14:paraId="3B611387" w14:textId="77777777" w:rsidR="00157854" w:rsidRPr="00670CB1" w:rsidRDefault="00157854" w:rsidP="00670CB1">
      <w:pPr>
        <w:rPr>
          <w:lang w:eastAsia="es-CO"/>
        </w:rPr>
      </w:pPr>
      <w:r w:rsidRPr="00670CB1">
        <w:rPr>
          <w:lang w:eastAsia="es-CO"/>
        </w:rPr>
        <w:t>Es importante señalar que, para el caso en concreto, se deben tomar en consideración los siguientes datos que de manera enunciativa más no limitativa se pudieran clasificar como confidenciales:</w:t>
      </w:r>
    </w:p>
    <w:p w14:paraId="1636FFC8" w14:textId="77777777" w:rsidR="00157854" w:rsidRPr="00670CB1" w:rsidRDefault="00157854" w:rsidP="00670CB1"/>
    <w:p w14:paraId="56FF580C" w14:textId="77777777" w:rsidR="00157854" w:rsidRPr="00670CB1" w:rsidRDefault="00157854" w:rsidP="00670CB1">
      <w:pPr>
        <w:pStyle w:val="Prrafodelista"/>
        <w:numPr>
          <w:ilvl w:val="0"/>
          <w:numId w:val="12"/>
        </w:numPr>
      </w:pPr>
      <w:r w:rsidRPr="00670CB1">
        <w:rPr>
          <w:rFonts w:cs="Arial"/>
          <w:b/>
          <w:lang w:val="es-ES_tradnl" w:eastAsia="es-MX"/>
        </w:rPr>
        <w:t>Registro Federal de Contribuyentes</w:t>
      </w:r>
      <w:r w:rsidRPr="00670CB1">
        <w:rPr>
          <w:rFonts w:cs="Arial"/>
          <w:lang w:val="es-ES_tradnl" w:eastAsia="es-MX"/>
        </w:rPr>
        <w:t xml:space="preserve"> </w:t>
      </w:r>
      <w:r w:rsidRPr="00670CB1">
        <w:rPr>
          <w:rFonts w:cs="Arial"/>
          <w:b/>
          <w:lang w:val="es-ES_tradnl" w:eastAsia="es-MX"/>
        </w:rPr>
        <w:t>de las personas físicas</w:t>
      </w:r>
    </w:p>
    <w:p w14:paraId="1CE1ADA3" w14:textId="77777777" w:rsidR="00157854" w:rsidRPr="00670CB1" w:rsidRDefault="00157854" w:rsidP="00670CB1">
      <w:pPr>
        <w:pStyle w:val="Prrafodelista"/>
      </w:pPr>
    </w:p>
    <w:p w14:paraId="18CF0190" w14:textId="77777777" w:rsidR="00157854" w:rsidRPr="00670CB1" w:rsidRDefault="00157854" w:rsidP="00670CB1">
      <w:pPr>
        <w:rPr>
          <w:lang w:val="es-ES_tradnl"/>
        </w:rPr>
      </w:pPr>
      <w:r w:rsidRPr="00670CB1">
        <w:rPr>
          <w:rFonts w:cs="Arial"/>
          <w:lang w:val="es-ES_tradnl" w:eastAsia="es-MX"/>
        </w:rPr>
        <w:t xml:space="preserve">Constituye un dato personal, ya que se genera con caracteres alfanuméricos obtenidos a partir del nombre en mayúsculas sin acentos ni diéresis y la fecha de nacimiento de cada persona; es decir la primera letra </w:t>
      </w:r>
      <w:r w:rsidRPr="00670CB1">
        <w:rPr>
          <w:rFonts w:cs="Arial"/>
          <w:lang w:val="es-ES_tradnl"/>
        </w:rPr>
        <w:t>del</w:t>
      </w:r>
      <w:r w:rsidRPr="00670CB1">
        <w:rPr>
          <w:rFonts w:cs="Arial"/>
          <w:lang w:val="es-ES_tradnl" w:eastAsia="es-MX"/>
        </w:rPr>
        <w:t xml:space="preserve"> apellido paterno; seguida de la primera letra Vocal del primer apellido; </w:t>
      </w:r>
      <w:r w:rsidRPr="00670CB1">
        <w:rPr>
          <w:rFonts w:eastAsia="Arial Unicode MS" w:cs="Arial"/>
          <w:lang w:val="es-ES_tradnl"/>
        </w:rPr>
        <w:t>seguida</w:t>
      </w:r>
      <w:r w:rsidRPr="00670CB1">
        <w:rPr>
          <w:rFonts w:cs="Arial"/>
          <w:lang w:val="es-ES_tradnl" w:eastAsia="es-MX"/>
        </w:rPr>
        <w:t xml:space="preserve"> de la primera letra del segundo apellido y por último la primera letra del nombre, posterior la fecha de nacimiento año/mes/día</w:t>
      </w:r>
      <w:r w:rsidRPr="00670CB1">
        <w:rPr>
          <w:lang w:val="es-ES_tradnl"/>
        </w:rPr>
        <w:t xml:space="preserve"> y finalmente la </w:t>
      </w:r>
      <w:proofErr w:type="spellStart"/>
      <w:r w:rsidRPr="00670CB1">
        <w:rPr>
          <w:lang w:val="es-ES_tradnl"/>
        </w:rPr>
        <w:t>homoclave</w:t>
      </w:r>
      <w:proofErr w:type="spellEnd"/>
      <w:r w:rsidRPr="00670CB1">
        <w:rPr>
          <w:lang w:val="es-ES_tradnl"/>
        </w:rPr>
        <w:t xml:space="preserve">; la cual, para </w:t>
      </w:r>
      <w:r w:rsidRPr="00670CB1">
        <w:rPr>
          <w:lang w:val="es-ES_tradnl"/>
        </w:rPr>
        <w:lastRenderedPageBreak/>
        <w:t>su obtención es necesario acreditar personalidad, fecha de nacimiento entre otros con documentos oficiales.</w:t>
      </w:r>
    </w:p>
    <w:p w14:paraId="587B9F64" w14:textId="77777777" w:rsidR="00157854" w:rsidRPr="00670CB1" w:rsidRDefault="00157854" w:rsidP="00670CB1">
      <w:pPr>
        <w:rPr>
          <w:lang w:val="es-ES_tradnl"/>
        </w:rPr>
      </w:pPr>
    </w:p>
    <w:p w14:paraId="199EB45E" w14:textId="77777777" w:rsidR="00157854" w:rsidRPr="00670CB1" w:rsidRDefault="00157854" w:rsidP="00670CB1">
      <w:pPr>
        <w:rPr>
          <w:b/>
          <w:bCs/>
          <w:lang w:val="es-ES_tradnl"/>
        </w:rPr>
      </w:pPr>
      <w:r w:rsidRPr="00670CB1">
        <w:rPr>
          <w:rFonts w:cs="Arial"/>
          <w:lang w:val="es-ES_tradnl" w:eastAsia="es-MX"/>
        </w:rPr>
        <w:t xml:space="preserve">Al respecto, </w:t>
      </w:r>
      <w:r w:rsidRPr="00670CB1">
        <w:rPr>
          <w:rFonts w:cs="Arial"/>
          <w:lang w:val="es-ES_tradnl"/>
        </w:rPr>
        <w:t xml:space="preserve">es aplicable el Criterio 19/17 de la Segunda Época, emitido por </w:t>
      </w:r>
      <w:r w:rsidRPr="00670CB1">
        <w:rPr>
          <w:rFonts w:eastAsia="Arial Unicode MS" w:cs="Arial"/>
          <w:lang w:val="es-ES_tradnl"/>
        </w:rPr>
        <w:t xml:space="preserve">el Instituto Nacional de </w:t>
      </w:r>
      <w:r w:rsidRPr="00670CB1">
        <w:rPr>
          <w:bCs/>
          <w:lang w:val="es-ES_tradnl"/>
        </w:rPr>
        <w:t>Transparencia</w:t>
      </w:r>
      <w:r w:rsidRPr="00670CB1">
        <w:rPr>
          <w:rFonts w:eastAsia="Arial Unicode MS" w:cs="Arial"/>
          <w:lang w:val="es-ES_tradnl"/>
        </w:rPr>
        <w:t xml:space="preserve">, Acceso a la </w:t>
      </w:r>
      <w:r w:rsidRPr="00670CB1">
        <w:rPr>
          <w:rFonts w:cs="Arial"/>
          <w:lang w:val="es-ES_tradnl"/>
        </w:rPr>
        <w:t>Información</w:t>
      </w:r>
      <w:r w:rsidRPr="00670CB1">
        <w:rPr>
          <w:rFonts w:eastAsia="Arial Unicode MS" w:cs="Arial"/>
          <w:lang w:val="es-ES_tradnl"/>
        </w:rPr>
        <w:t xml:space="preserve"> y Protección de Datos Personales,</w:t>
      </w:r>
      <w:r w:rsidRPr="00670CB1">
        <w:rPr>
          <w:bCs/>
          <w:lang w:val="es-ES_tradnl"/>
        </w:rPr>
        <w:t xml:space="preserve"> que dice:</w:t>
      </w:r>
      <w:r w:rsidRPr="00670CB1">
        <w:rPr>
          <w:b/>
          <w:bCs/>
          <w:lang w:val="es-ES_tradnl"/>
        </w:rPr>
        <w:t xml:space="preserve"> </w:t>
      </w:r>
    </w:p>
    <w:p w14:paraId="787A4958" w14:textId="77777777" w:rsidR="00157854" w:rsidRPr="00670CB1" w:rsidRDefault="00157854" w:rsidP="00670CB1">
      <w:pPr>
        <w:rPr>
          <w:b/>
          <w:bCs/>
          <w:lang w:val="es-ES_tradnl"/>
        </w:rPr>
      </w:pPr>
    </w:p>
    <w:p w14:paraId="065CB4F3" w14:textId="77777777" w:rsidR="00157854" w:rsidRPr="00670CB1" w:rsidRDefault="00157854" w:rsidP="00670CB1">
      <w:pPr>
        <w:pStyle w:val="Puesto"/>
        <w:rPr>
          <w:lang w:val="es-ES_tradnl" w:eastAsia="en-US"/>
        </w:rPr>
      </w:pPr>
      <w:r w:rsidRPr="00670CB1">
        <w:rPr>
          <w:lang w:val="es-ES_tradnl"/>
        </w:rPr>
        <w:t>“</w:t>
      </w:r>
      <w:r w:rsidRPr="00670CB1">
        <w:rPr>
          <w:b/>
          <w:lang w:val="es-ES_tradnl"/>
        </w:rPr>
        <w:t>Registro Federal de Contribuyentes (RFC) de personas físicas.</w:t>
      </w:r>
      <w:r w:rsidRPr="00670CB1">
        <w:rPr>
          <w:lang w:val="es-ES_tradnl"/>
        </w:rPr>
        <w:t xml:space="preserve"> El RFC es una clave de carácter fiscal, </w:t>
      </w:r>
      <w:proofErr w:type="gramStart"/>
      <w:r w:rsidRPr="00670CB1">
        <w:rPr>
          <w:lang w:val="es-ES_tradnl"/>
        </w:rPr>
        <w:t>única</w:t>
      </w:r>
      <w:proofErr w:type="gramEnd"/>
      <w:r w:rsidRPr="00670CB1">
        <w:rPr>
          <w:lang w:val="es-ES_tradnl"/>
        </w:rPr>
        <w:t xml:space="preserve"> e irrepetible, que permite identificar al titular, su edad y fecha de nacimiento, </w:t>
      </w:r>
      <w:r w:rsidRPr="00670CB1">
        <w:rPr>
          <w:lang w:val="es-ES_tradnl" w:eastAsia="es-MX"/>
        </w:rPr>
        <w:t>por</w:t>
      </w:r>
      <w:r w:rsidRPr="00670CB1">
        <w:rPr>
          <w:lang w:val="es-ES_tradnl"/>
        </w:rPr>
        <w:t xml:space="preserve"> lo que es un dato personal de carácter confidencial.</w:t>
      </w:r>
    </w:p>
    <w:p w14:paraId="2D968B0C" w14:textId="77777777" w:rsidR="00157854" w:rsidRPr="00670CB1" w:rsidRDefault="00157854" w:rsidP="00670CB1">
      <w:pPr>
        <w:pStyle w:val="Puesto"/>
        <w:rPr>
          <w:lang w:val="es-ES_tradnl"/>
        </w:rPr>
      </w:pPr>
      <w:r w:rsidRPr="00670CB1">
        <w:rPr>
          <w:lang w:val="es-ES_tradnl"/>
        </w:rPr>
        <w:t xml:space="preserve"> (Énfasis añadido)</w:t>
      </w:r>
    </w:p>
    <w:p w14:paraId="03610AC1" w14:textId="77777777" w:rsidR="00157854" w:rsidRPr="00670CB1" w:rsidRDefault="00157854" w:rsidP="00670CB1">
      <w:pPr>
        <w:autoSpaceDE w:val="0"/>
        <w:autoSpaceDN w:val="0"/>
        <w:adjustRightInd w:val="0"/>
        <w:ind w:left="851" w:right="899"/>
        <w:rPr>
          <w:rFonts w:cs="Arial"/>
          <w:lang w:val="es-ES_tradnl"/>
        </w:rPr>
      </w:pPr>
    </w:p>
    <w:p w14:paraId="3CE634DA" w14:textId="77777777" w:rsidR="00157854" w:rsidRPr="00670CB1" w:rsidRDefault="00157854" w:rsidP="00670CB1">
      <w:pPr>
        <w:rPr>
          <w:rFonts w:cs="Arial"/>
          <w:lang w:val="es-ES_tradnl"/>
        </w:rPr>
      </w:pPr>
      <w:r w:rsidRPr="00670CB1">
        <w:rPr>
          <w:rFonts w:cs="Arial"/>
          <w:lang w:val="es-ES_tradnl" w:eastAsia="es-MX"/>
        </w:rPr>
        <w:t xml:space="preserve">De lo anterior, se desprende que el Registro Federal de Contribuyentes se vincula al nombre de su </w:t>
      </w:r>
      <w:r w:rsidRPr="00670CB1">
        <w:rPr>
          <w:bCs/>
          <w:lang w:val="es-ES_tradnl"/>
        </w:rPr>
        <w:t>titular</w:t>
      </w:r>
      <w:r w:rsidRPr="00670CB1">
        <w:rPr>
          <w:rFonts w:cs="Arial"/>
          <w:lang w:val="es-ES_tradnl" w:eastAsia="es-MX"/>
        </w:rPr>
        <w:t xml:space="preserve">, permitiendo identificar la edad de la persona y fecha de nacimiento, determinando </w:t>
      </w:r>
      <w:r w:rsidRPr="00670CB1">
        <w:rPr>
          <w:rFonts w:cs="Arial"/>
          <w:lang w:val="es-ES_tradnl"/>
        </w:rPr>
        <w:t>l</w:t>
      </w:r>
      <w:r w:rsidRPr="00670CB1">
        <w:rPr>
          <w:rFonts w:cs="Arial"/>
          <w:lang w:val="es-ES_tradnl" w:eastAsia="es-MX"/>
        </w:rPr>
        <w:t xml:space="preserve">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670CB1">
        <w:rPr>
          <w:lang w:val="es-ES_tradnl" w:eastAsia="es-MX"/>
        </w:rPr>
        <w:t>Municipios</w:t>
      </w:r>
      <w:r w:rsidRPr="00670CB1">
        <w:rPr>
          <w:rFonts w:cs="Arial"/>
          <w:lang w:val="es-ES_tradnl" w:eastAsia="es-MX"/>
        </w:rPr>
        <w:t xml:space="preserve"> y </w:t>
      </w:r>
      <w:r w:rsidRPr="00670CB1">
        <w:rPr>
          <w:rFonts w:cs="Arial"/>
          <w:lang w:val="es-ES_tradnl"/>
        </w:rPr>
        <w:t>4 fracción XI</w:t>
      </w:r>
      <w:r w:rsidRPr="00670CB1">
        <w:rPr>
          <w:rFonts w:cs="Arial"/>
          <w:lang w:val="es-ES_tradnl" w:eastAsia="es-MX"/>
        </w:rPr>
        <w:t xml:space="preserve"> </w:t>
      </w:r>
      <w:r w:rsidRPr="00670CB1">
        <w:rPr>
          <w:rFonts w:cs="Arial"/>
          <w:lang w:val="es-ES_tradnl"/>
        </w:rPr>
        <w:t>de la Ley de Protección de Datos Personales en Posesión de Sujetos Obligados del Estado de México y Municipios.</w:t>
      </w:r>
    </w:p>
    <w:p w14:paraId="66866583" w14:textId="77777777" w:rsidR="00157854" w:rsidRPr="00670CB1" w:rsidRDefault="00157854" w:rsidP="00670CB1">
      <w:pPr>
        <w:rPr>
          <w:rFonts w:cs="Arial"/>
          <w:lang w:val="es-ES_tradnl" w:eastAsia="es-MX"/>
        </w:rPr>
      </w:pPr>
    </w:p>
    <w:p w14:paraId="4CF13605" w14:textId="77777777" w:rsidR="00157854" w:rsidRPr="00670CB1" w:rsidRDefault="00157854" w:rsidP="00670CB1">
      <w:pPr>
        <w:pStyle w:val="Prrafodelista"/>
        <w:numPr>
          <w:ilvl w:val="0"/>
          <w:numId w:val="12"/>
        </w:numPr>
        <w:rPr>
          <w:rFonts w:cs="Arial"/>
          <w:lang w:val="es-ES_tradnl" w:eastAsia="es-MX"/>
        </w:rPr>
      </w:pPr>
      <w:r w:rsidRPr="00670CB1">
        <w:rPr>
          <w:rFonts w:cs="Arial"/>
          <w:b/>
          <w:lang w:val="es-ES_tradnl"/>
        </w:rPr>
        <w:t>Clave Única de Registro de Población</w:t>
      </w:r>
    </w:p>
    <w:p w14:paraId="5CB23914" w14:textId="77777777" w:rsidR="00157854" w:rsidRPr="00670CB1" w:rsidRDefault="00157854" w:rsidP="00670CB1">
      <w:pPr>
        <w:pStyle w:val="Prrafodelista"/>
        <w:rPr>
          <w:rFonts w:cs="Arial"/>
          <w:lang w:val="es-ES_tradnl" w:eastAsia="es-MX"/>
        </w:rPr>
      </w:pPr>
    </w:p>
    <w:p w14:paraId="3C44973F" w14:textId="77777777" w:rsidR="00157854" w:rsidRPr="00670CB1" w:rsidRDefault="00157854" w:rsidP="00670CB1">
      <w:pPr>
        <w:rPr>
          <w:rFonts w:cs="Arial"/>
          <w:lang w:val="es-ES_tradnl" w:eastAsia="es-MX"/>
        </w:rPr>
      </w:pPr>
      <w:r w:rsidRPr="00670CB1">
        <w:rPr>
          <w:rFonts w:cs="Arial"/>
          <w:lang w:val="es-ES_tradnl" w:eastAsia="es-MX"/>
        </w:rPr>
        <w:t xml:space="preserve">Constituye un dato personal ya que </w:t>
      </w:r>
      <w:r w:rsidRPr="00670CB1">
        <w:rPr>
          <w:lang w:val="es-ES_tradnl" w:eastAsia="es-MX"/>
        </w:rPr>
        <w:t>tiene</w:t>
      </w:r>
      <w:r w:rsidRPr="00670CB1">
        <w:rPr>
          <w:rFonts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E6B23B4" w14:textId="77777777" w:rsidR="00157854" w:rsidRPr="00670CB1" w:rsidRDefault="00157854" w:rsidP="00670CB1">
      <w:pPr>
        <w:rPr>
          <w:rFonts w:cs="Arial"/>
          <w:lang w:val="es-ES_tradnl" w:eastAsia="es-MX"/>
        </w:rPr>
      </w:pPr>
    </w:p>
    <w:p w14:paraId="5F4585BB" w14:textId="77777777" w:rsidR="00157854" w:rsidRPr="00670CB1" w:rsidRDefault="00157854" w:rsidP="00670CB1">
      <w:pPr>
        <w:rPr>
          <w:rFonts w:cs="Arial"/>
          <w:lang w:val="es-ES_tradnl" w:eastAsia="es-MX"/>
        </w:rPr>
      </w:pPr>
      <w:r w:rsidRPr="00670CB1">
        <w:rPr>
          <w:rFonts w:cs="Arial"/>
          <w:lang w:val="es-ES_tradnl" w:eastAsia="es-MX"/>
        </w:rPr>
        <w:lastRenderedPageBreak/>
        <w:t xml:space="preserve">Lo </w:t>
      </w:r>
      <w:r w:rsidRPr="00670CB1">
        <w:rPr>
          <w:lang w:val="es-ES_tradnl" w:eastAsia="es-MX"/>
        </w:rPr>
        <w:t>anterior</w:t>
      </w:r>
      <w:r w:rsidRPr="00670CB1">
        <w:rPr>
          <w:rFonts w:cs="Arial"/>
          <w:lang w:val="es-ES_tradnl" w:eastAsia="es-MX"/>
        </w:rPr>
        <w:t xml:space="preserve">, </w:t>
      </w:r>
      <w:r w:rsidRPr="00670CB1">
        <w:rPr>
          <w:rFonts w:cs="Arial"/>
          <w:lang w:val="es-ES_tradnl"/>
        </w:rPr>
        <w:t>tiene</w:t>
      </w:r>
      <w:r w:rsidRPr="00670CB1">
        <w:rPr>
          <w:rFonts w:cs="Arial"/>
          <w:lang w:val="es-ES_tradnl" w:eastAsia="es-MX"/>
        </w:rPr>
        <w:t xml:space="preserve"> sustento en los artículos 86 y 91 de la Ley General de Población, la cual señala lo siguiente:</w:t>
      </w:r>
    </w:p>
    <w:p w14:paraId="092852DE" w14:textId="77777777" w:rsidR="00157854" w:rsidRPr="00670CB1" w:rsidRDefault="00157854" w:rsidP="00670CB1">
      <w:pPr>
        <w:rPr>
          <w:rFonts w:cs="Arial"/>
          <w:lang w:val="es-ES_tradnl" w:eastAsia="es-MX"/>
        </w:rPr>
      </w:pPr>
    </w:p>
    <w:p w14:paraId="6AFFD2C2" w14:textId="77777777" w:rsidR="00157854" w:rsidRPr="00670CB1" w:rsidRDefault="00157854" w:rsidP="00670CB1">
      <w:pPr>
        <w:pStyle w:val="Puesto"/>
        <w:rPr>
          <w:lang w:val="es-ES_tradnl" w:eastAsia="es-MX"/>
        </w:rPr>
      </w:pPr>
      <w:r w:rsidRPr="00670CB1">
        <w:rPr>
          <w:rFonts w:cs="Arial,Bold"/>
          <w:bCs/>
          <w:lang w:val="es-ES_tradnl" w:eastAsia="es-MX"/>
        </w:rPr>
        <w:t>“</w:t>
      </w:r>
      <w:r w:rsidRPr="00670CB1">
        <w:rPr>
          <w:rFonts w:cs="Arial,Bold"/>
          <w:b/>
          <w:bCs/>
          <w:lang w:val="es-ES_tradnl" w:eastAsia="es-MX"/>
        </w:rPr>
        <w:t xml:space="preserve">Artículo 86. </w:t>
      </w:r>
      <w:r w:rsidRPr="00670CB1">
        <w:rPr>
          <w:lang w:val="es-ES_tradnl" w:eastAsia="es-MX"/>
        </w:rPr>
        <w:t>El Registro Nacional de Población tiene como finalidad registrar a cada una de las personas que integran la población del país, con los datos que permitan certificar y acreditar fehacientemente su identidad.</w:t>
      </w:r>
    </w:p>
    <w:p w14:paraId="73453A95" w14:textId="77777777" w:rsidR="00157854" w:rsidRPr="00670CB1" w:rsidRDefault="00157854" w:rsidP="00670CB1">
      <w:pPr>
        <w:pStyle w:val="Puesto"/>
        <w:rPr>
          <w:lang w:val="es-ES_tradnl" w:eastAsia="es-MX"/>
        </w:rPr>
      </w:pPr>
      <w:r w:rsidRPr="00670CB1">
        <w:rPr>
          <w:rFonts w:cs="Arial,Bold"/>
          <w:b/>
          <w:bCs/>
          <w:lang w:val="es-ES_tradnl" w:eastAsia="es-MX"/>
        </w:rPr>
        <w:t xml:space="preserve">Artículo 91. </w:t>
      </w:r>
      <w:r w:rsidRPr="00670CB1">
        <w:rPr>
          <w:b/>
          <w:u w:val="single"/>
          <w:lang w:val="es-ES_tradnl" w:eastAsia="es-MX"/>
        </w:rPr>
        <w:t>Al incorporar a una persona en el Registro Nacional de Población</w:t>
      </w:r>
      <w:r w:rsidRPr="00670CB1">
        <w:rPr>
          <w:lang w:val="es-ES_tradnl" w:eastAsia="es-MX"/>
        </w:rPr>
        <w:t xml:space="preserve">, se le asignará una clave </w:t>
      </w:r>
      <w:r w:rsidRPr="00670CB1">
        <w:rPr>
          <w:b/>
          <w:u w:val="single"/>
          <w:lang w:val="es-ES_tradnl" w:eastAsia="es-MX"/>
        </w:rPr>
        <w:t>que se denominará Clave Única de Registro de Población</w:t>
      </w:r>
      <w:r w:rsidRPr="00670CB1">
        <w:rPr>
          <w:lang w:val="es-ES_tradnl" w:eastAsia="es-MX"/>
        </w:rPr>
        <w:t xml:space="preserve">. </w:t>
      </w:r>
      <w:r w:rsidRPr="00670CB1">
        <w:rPr>
          <w:b/>
          <w:u w:val="single"/>
          <w:lang w:val="es-ES_tradnl" w:eastAsia="es-MX"/>
        </w:rPr>
        <w:t>Esta servirá para</w:t>
      </w:r>
      <w:r w:rsidRPr="00670CB1">
        <w:rPr>
          <w:lang w:val="es-ES_tradnl" w:eastAsia="es-MX"/>
        </w:rPr>
        <w:t xml:space="preserve"> registrarla e </w:t>
      </w:r>
      <w:r w:rsidRPr="00670CB1">
        <w:rPr>
          <w:b/>
          <w:u w:val="single"/>
          <w:lang w:val="es-ES_tradnl" w:eastAsia="es-MX"/>
        </w:rPr>
        <w:t>identificarla en forma individual</w:t>
      </w:r>
      <w:r w:rsidRPr="00670CB1">
        <w:rPr>
          <w:lang w:val="es-ES_tradnl" w:eastAsia="es-MX"/>
        </w:rPr>
        <w:t xml:space="preserve">.” </w:t>
      </w:r>
    </w:p>
    <w:p w14:paraId="41E56BBA" w14:textId="77777777" w:rsidR="00157854" w:rsidRPr="00670CB1" w:rsidRDefault="00157854" w:rsidP="00670CB1">
      <w:pPr>
        <w:pStyle w:val="Puesto"/>
        <w:rPr>
          <w:lang w:val="es-ES_tradnl" w:eastAsia="es-MX"/>
        </w:rPr>
      </w:pPr>
      <w:r w:rsidRPr="00670CB1">
        <w:rPr>
          <w:lang w:val="es-ES_tradnl" w:eastAsia="es-MX"/>
        </w:rPr>
        <w:t>(Énfasis añadido)</w:t>
      </w:r>
    </w:p>
    <w:p w14:paraId="19629351" w14:textId="77777777" w:rsidR="00157854" w:rsidRPr="00670CB1" w:rsidRDefault="00157854" w:rsidP="00670CB1">
      <w:pPr>
        <w:rPr>
          <w:lang w:val="es-ES_tradnl" w:eastAsia="es-MX"/>
        </w:rPr>
      </w:pPr>
    </w:p>
    <w:p w14:paraId="75BA4E9C" w14:textId="77777777" w:rsidR="00157854" w:rsidRPr="00670CB1" w:rsidRDefault="00157854" w:rsidP="00670CB1">
      <w:pPr>
        <w:rPr>
          <w:lang w:val="es-ES_tradnl" w:eastAsia="es-MX"/>
        </w:rPr>
      </w:pPr>
      <w:r w:rsidRPr="00670CB1">
        <w:rPr>
          <w:lang w:val="es-ES_tradnl" w:eastAsia="es-MX"/>
        </w:rPr>
        <w:t xml:space="preserve">Ahora bien, la Clave Única de Registro de Población, está integrada de 18 elementos representados por letras y números, que se generan a partir de los datos contenidos en un documento probatorio de </w:t>
      </w:r>
      <w:r w:rsidRPr="00670CB1">
        <w:rPr>
          <w:bCs/>
          <w:lang w:val="es-ES_tradnl"/>
        </w:rPr>
        <w:t>identidad</w:t>
      </w:r>
      <w:r w:rsidRPr="00670CB1">
        <w:rPr>
          <w:lang w:val="es-ES_tradnl" w:eastAsia="es-MX"/>
        </w:rPr>
        <w:t xml:space="preserve"> (acta de nacimiento, carta de naturalización o documento migratorio), la </w:t>
      </w:r>
      <w:r w:rsidRPr="00670CB1">
        <w:rPr>
          <w:rFonts w:cs="Arial"/>
          <w:lang w:val="es-ES_tradnl"/>
        </w:rPr>
        <w:t>cual</w:t>
      </w:r>
      <w:r w:rsidRPr="00670CB1">
        <w:rPr>
          <w:lang w:val="es-ES_tradnl" w:eastAsia="es-MX"/>
        </w:rPr>
        <w:t xml:space="preserve"> se integra de</w:t>
      </w:r>
      <w:r w:rsidRPr="00670CB1">
        <w:rPr>
          <w:rFonts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670CB1">
        <w:rPr>
          <w:lang w:val="es-ES_tradnl" w:eastAsia="es-MX"/>
        </w:rPr>
        <w:t xml:space="preserve">; sexo; Entidad Federativa de nacimiento; consonantes internas del nombre y apellidos; un diferenciador de homonimia y siglo; y un digito verificador, que garantizan la correcta integración. </w:t>
      </w:r>
    </w:p>
    <w:p w14:paraId="07669BC1" w14:textId="77777777" w:rsidR="00157854" w:rsidRPr="00670CB1" w:rsidRDefault="00157854" w:rsidP="00670CB1">
      <w:pPr>
        <w:rPr>
          <w:lang w:val="es-ES_tradnl" w:eastAsia="es-MX"/>
        </w:rPr>
      </w:pPr>
    </w:p>
    <w:p w14:paraId="0671EFF1" w14:textId="77777777" w:rsidR="00157854" w:rsidRPr="00670CB1" w:rsidRDefault="00157854" w:rsidP="00670CB1">
      <w:pPr>
        <w:rPr>
          <w:rFonts w:cs="Arial"/>
          <w:lang w:val="es-ES_tradnl" w:eastAsia="es-MX"/>
        </w:rPr>
      </w:pPr>
      <w:r w:rsidRPr="00670CB1">
        <w:rPr>
          <w:rFonts w:cs="Arial"/>
          <w:lang w:val="es-ES_tradnl" w:eastAsia="es-MX"/>
        </w:rPr>
        <w:t xml:space="preserve">Al respecto, el </w:t>
      </w:r>
      <w:r w:rsidRPr="00670CB1">
        <w:rPr>
          <w:rFonts w:eastAsia="Arial Unicode MS" w:cs="Arial"/>
          <w:lang w:val="es-ES_tradnl"/>
        </w:rPr>
        <w:t>Instituto Nacional de Transparencia, Acceso a la Información y Protección de Datos Personales (INAI),</w:t>
      </w:r>
      <w:r w:rsidRPr="00670CB1">
        <w:rPr>
          <w:rFonts w:cs="Arial"/>
          <w:lang w:val="es-ES_tradnl" w:eastAsia="es-MX"/>
        </w:rPr>
        <w:t xml:space="preserve"> a través del Criterio 18/17 de la Segunda Época, señala literalmente lo siguiente:</w:t>
      </w:r>
    </w:p>
    <w:p w14:paraId="5C0EA633" w14:textId="77777777" w:rsidR="00157854" w:rsidRPr="00670CB1" w:rsidRDefault="00157854" w:rsidP="00670CB1">
      <w:pPr>
        <w:rPr>
          <w:rFonts w:cs="Arial"/>
          <w:lang w:val="es-ES_tradnl" w:eastAsia="es-MX"/>
        </w:rPr>
      </w:pPr>
    </w:p>
    <w:p w14:paraId="390ACE77" w14:textId="77777777" w:rsidR="00157854" w:rsidRPr="00670CB1" w:rsidRDefault="00157854" w:rsidP="00670CB1">
      <w:pPr>
        <w:pStyle w:val="Puesto"/>
        <w:rPr>
          <w:lang w:val="es-ES_tradnl" w:eastAsia="es-MX"/>
        </w:rPr>
      </w:pPr>
      <w:r w:rsidRPr="00670CB1">
        <w:rPr>
          <w:lang w:val="es-ES_tradnl" w:eastAsia="es-MX"/>
        </w:rPr>
        <w:t>“</w:t>
      </w:r>
      <w:r w:rsidRPr="00670CB1">
        <w:rPr>
          <w:b/>
          <w:lang w:val="es-ES_tradnl" w:eastAsia="es-MX"/>
        </w:rPr>
        <w:t>Clave Única de Registro de Población (CURP). La Clave Única de Registro de Población</w:t>
      </w:r>
      <w:r w:rsidRPr="00670CB1">
        <w:rPr>
          <w:lang w:val="es-ES_tradnl" w:eastAsia="es-MX"/>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E9F8032" w14:textId="77777777" w:rsidR="00157854" w:rsidRPr="00670CB1" w:rsidRDefault="00157854" w:rsidP="00670CB1">
      <w:pPr>
        <w:pStyle w:val="Puesto"/>
        <w:rPr>
          <w:lang w:val="es-ES_tradnl" w:eastAsia="es-MX"/>
        </w:rPr>
      </w:pPr>
      <w:r w:rsidRPr="00670CB1">
        <w:rPr>
          <w:lang w:val="es-ES_tradnl" w:eastAsia="es-MX"/>
        </w:rPr>
        <w:lastRenderedPageBreak/>
        <w:t xml:space="preserve"> (Énfasis añadido)</w:t>
      </w:r>
    </w:p>
    <w:p w14:paraId="7805FD9D" w14:textId="77777777" w:rsidR="00157854" w:rsidRPr="00670CB1" w:rsidRDefault="00157854" w:rsidP="00670CB1">
      <w:pPr>
        <w:autoSpaceDE w:val="0"/>
        <w:autoSpaceDN w:val="0"/>
        <w:adjustRightInd w:val="0"/>
        <w:ind w:left="851" w:right="902"/>
        <w:rPr>
          <w:rFonts w:cs="Arial"/>
          <w:lang w:val="es-ES_tradnl"/>
        </w:rPr>
      </w:pPr>
    </w:p>
    <w:p w14:paraId="18DF6F31" w14:textId="77777777" w:rsidR="00157854" w:rsidRPr="00670CB1" w:rsidRDefault="00157854" w:rsidP="00670CB1">
      <w:pPr>
        <w:rPr>
          <w:rFonts w:cs="Arial"/>
          <w:lang w:val="es-ES_tradnl" w:eastAsia="es-MX"/>
        </w:rPr>
      </w:pPr>
      <w:r w:rsidRPr="00670CB1">
        <w:rPr>
          <w:rFonts w:cs="Arial"/>
          <w:lang w:val="es-ES_tradnl" w:eastAsia="es-MX"/>
        </w:rPr>
        <w:t xml:space="preserve">De lo anterior, se desprende que la </w:t>
      </w:r>
      <w:r w:rsidRPr="00670CB1">
        <w:rPr>
          <w:lang w:val="es-ES_tradnl" w:eastAsia="es-MX"/>
        </w:rPr>
        <w:t xml:space="preserve">Clave Única de Registro de Población, </w:t>
      </w:r>
      <w:r w:rsidRPr="00670CB1">
        <w:rPr>
          <w:rFonts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670CB1">
        <w:rPr>
          <w:bCs/>
          <w:lang w:val="es-ES_tradnl"/>
        </w:rPr>
        <w:t>personal</w:t>
      </w:r>
      <w:r w:rsidRPr="00670CB1">
        <w:rPr>
          <w:rFonts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670CB1">
        <w:rPr>
          <w:rFonts w:cs="Arial"/>
          <w:lang w:val="es-ES_tradnl"/>
        </w:rPr>
        <w:t>4, fracción XI</w:t>
      </w:r>
      <w:r w:rsidRPr="00670CB1">
        <w:rPr>
          <w:rFonts w:cs="Arial"/>
          <w:lang w:val="es-ES_tradnl" w:eastAsia="es-MX"/>
        </w:rPr>
        <w:t xml:space="preserve"> </w:t>
      </w:r>
      <w:r w:rsidRPr="00670CB1">
        <w:rPr>
          <w:rFonts w:cs="Arial"/>
          <w:lang w:val="es-ES_tradnl"/>
        </w:rPr>
        <w:t>de la Ley de Protección de Datos Personales en Posesión de Sujetos Obligados del Estado de México y Municipios</w:t>
      </w:r>
      <w:r w:rsidRPr="00670CB1">
        <w:rPr>
          <w:rFonts w:cs="Arial"/>
          <w:lang w:val="es-ES_tradnl" w:eastAsia="es-MX"/>
        </w:rPr>
        <w:t>.</w:t>
      </w:r>
    </w:p>
    <w:p w14:paraId="4EB967B8" w14:textId="77777777" w:rsidR="00157854" w:rsidRPr="00670CB1" w:rsidRDefault="00157854" w:rsidP="00670CB1"/>
    <w:p w14:paraId="39CCCB2C" w14:textId="77777777" w:rsidR="00157854" w:rsidRPr="00670CB1" w:rsidRDefault="00157854" w:rsidP="00670CB1">
      <w:pPr>
        <w:pStyle w:val="Prrafodelista"/>
        <w:numPr>
          <w:ilvl w:val="0"/>
          <w:numId w:val="12"/>
        </w:numPr>
        <w:rPr>
          <w:rFonts w:cs="Arial"/>
          <w:b/>
        </w:rPr>
      </w:pPr>
      <w:r w:rsidRPr="00670CB1">
        <w:rPr>
          <w:rFonts w:cs="Arial"/>
          <w:b/>
        </w:rPr>
        <w:t xml:space="preserve">Clave de cualquier tipo de </w:t>
      </w:r>
      <w:r w:rsidRPr="00670CB1">
        <w:rPr>
          <w:b/>
        </w:rPr>
        <w:t>seguridad</w:t>
      </w:r>
      <w:r w:rsidRPr="00670CB1">
        <w:rPr>
          <w:rFonts w:cs="Arial"/>
          <w:b/>
        </w:rPr>
        <w:t xml:space="preserve"> social</w:t>
      </w:r>
    </w:p>
    <w:p w14:paraId="009B1BD9" w14:textId="77777777" w:rsidR="00157854" w:rsidRPr="00670CB1" w:rsidRDefault="00157854" w:rsidP="00670CB1"/>
    <w:p w14:paraId="59880489" w14:textId="77777777" w:rsidR="00157854" w:rsidRPr="00670CB1" w:rsidRDefault="00157854" w:rsidP="00670CB1">
      <w:pPr>
        <w:rPr>
          <w:rFonts w:cs="Arial"/>
        </w:rPr>
      </w:pPr>
      <w:r w:rsidRPr="00670CB1">
        <w:rPr>
          <w:rFonts w:cs="Arial"/>
        </w:rPr>
        <w:t xml:space="preserve">Por cuanto hace a la </w:t>
      </w:r>
      <w:r w:rsidRPr="00670CB1">
        <w:rPr>
          <w:rFonts w:cs="Arial"/>
          <w:b/>
        </w:rPr>
        <w:t>Clave de cualquier tipo de seguridad social</w:t>
      </w:r>
      <w:r w:rsidRPr="00670CB1">
        <w:rPr>
          <w:rFonts w:cs="Arial"/>
        </w:rPr>
        <w:t xml:space="preserve"> (ISSEMYM, u otros), está integrado por una </w:t>
      </w:r>
      <w:r w:rsidRPr="00670CB1">
        <w:rPr>
          <w:rFonts w:cs="Arial"/>
          <w:bCs/>
        </w:rPr>
        <w:t xml:space="preserve">secuencia de números con los que se identifica a los trabajadores que </w:t>
      </w:r>
      <w:r w:rsidRPr="00670CB1">
        <w:t>cubren</w:t>
      </w:r>
      <w:r w:rsidRPr="00670CB1">
        <w:rPr>
          <w:rFonts w:cs="Arial"/>
          <w:bCs/>
        </w:rPr>
        <w:t xml:space="preserve"> las cuotas respectivas, asimismo, lo identifica con la fuente de trabajo; por lo que al ser una clave de </w:t>
      </w:r>
      <w:r w:rsidRPr="00670CB1">
        <w:rPr>
          <w:rFonts w:cs="Arial"/>
        </w:rPr>
        <w:t>identificación</w:t>
      </w:r>
      <w:r w:rsidRPr="00670CB1">
        <w:rPr>
          <w:rFonts w:cs="Arial"/>
          <w:bCs/>
        </w:rPr>
        <w:t xml:space="preserve"> de los trabajadores, constituye información confidencial, </w:t>
      </w:r>
      <w:r w:rsidRPr="00670CB1">
        <w:rPr>
          <w:rFonts w:cs="Arial"/>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222D828" w14:textId="77777777" w:rsidR="00157854" w:rsidRPr="00670CB1" w:rsidRDefault="00157854" w:rsidP="00670CB1"/>
    <w:p w14:paraId="1DCB5A6A" w14:textId="77777777" w:rsidR="00157854" w:rsidRPr="00670CB1" w:rsidRDefault="00157854" w:rsidP="00670CB1">
      <w:pPr>
        <w:pStyle w:val="Prrafodelista"/>
        <w:numPr>
          <w:ilvl w:val="0"/>
          <w:numId w:val="12"/>
        </w:numPr>
        <w:rPr>
          <w:b/>
        </w:rPr>
      </w:pPr>
      <w:r w:rsidRPr="00670CB1">
        <w:rPr>
          <w:b/>
        </w:rPr>
        <w:t>Número de cuenta bancaria de los particulares</w:t>
      </w:r>
    </w:p>
    <w:p w14:paraId="1D584CDB" w14:textId="77777777" w:rsidR="00157854" w:rsidRPr="00670CB1" w:rsidRDefault="00157854" w:rsidP="00670CB1">
      <w:pPr>
        <w:pStyle w:val="Prrafodelista"/>
        <w:rPr>
          <w:b/>
        </w:rPr>
      </w:pPr>
    </w:p>
    <w:p w14:paraId="5F8937D0" w14:textId="25857E51" w:rsidR="00157854" w:rsidRPr="00670CB1" w:rsidRDefault="00157854" w:rsidP="00670CB1">
      <w:r w:rsidRPr="00670CB1">
        <w:rPr>
          <w:rFonts w:cs="Arial"/>
        </w:rPr>
        <w:t xml:space="preserve">Por otro lado, es importante señalar que </w:t>
      </w:r>
      <w:r w:rsidRPr="00670CB1">
        <w:t xml:space="preserve">por cuanto hace al número de cuenta bancaria de los particulares debe ser clasificado como confidencial con fundamento en las fracciones I y II del </w:t>
      </w:r>
      <w:r w:rsidRPr="00670CB1">
        <w:lastRenderedPageBreak/>
        <w:t>artículo 143 de la Ley de la Materia de la Entidad; en razón de que, con su difusión se estaría poniendo en riesgo la seguridad de su titular.</w:t>
      </w:r>
    </w:p>
    <w:p w14:paraId="2E2F00A1" w14:textId="77777777" w:rsidR="00157854" w:rsidRPr="00670CB1" w:rsidRDefault="00157854" w:rsidP="00670CB1">
      <w:pPr>
        <w:autoSpaceDE w:val="0"/>
        <w:autoSpaceDN w:val="0"/>
        <w:adjustRightInd w:val="0"/>
        <w:ind w:right="50"/>
      </w:pPr>
    </w:p>
    <w:p w14:paraId="5C37E0B3" w14:textId="77777777" w:rsidR="00157854" w:rsidRPr="00670CB1" w:rsidRDefault="00157854" w:rsidP="00670CB1">
      <w:pPr>
        <w:autoSpaceDE w:val="0"/>
        <w:autoSpaceDN w:val="0"/>
        <w:adjustRightInd w:val="0"/>
        <w:ind w:right="51"/>
      </w:pPr>
      <w:r w:rsidRPr="00670CB1">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6B4266A" w14:textId="77777777" w:rsidR="00157854" w:rsidRPr="00670CB1" w:rsidRDefault="00157854" w:rsidP="00670CB1">
      <w:pPr>
        <w:autoSpaceDE w:val="0"/>
        <w:autoSpaceDN w:val="0"/>
        <w:adjustRightInd w:val="0"/>
        <w:ind w:right="51"/>
      </w:pPr>
    </w:p>
    <w:p w14:paraId="2832A639" w14:textId="77777777" w:rsidR="00157854" w:rsidRPr="00670CB1" w:rsidRDefault="00157854" w:rsidP="00670CB1">
      <w:pPr>
        <w:autoSpaceDE w:val="0"/>
        <w:autoSpaceDN w:val="0"/>
        <w:adjustRightInd w:val="0"/>
        <w:ind w:right="50"/>
      </w:pPr>
      <w:r w:rsidRPr="00670CB1">
        <w:t>Lo anterior encuentra sustento en el criterio 10/17 emitido por el Instituto Nacional de Transparencia y Acceso a la Información Pública del Estado de México y Municipios, que a la letra dicen:</w:t>
      </w:r>
    </w:p>
    <w:p w14:paraId="3A1F99E5" w14:textId="77777777" w:rsidR="00157854" w:rsidRPr="00670CB1" w:rsidRDefault="00157854" w:rsidP="00670CB1">
      <w:pPr>
        <w:autoSpaceDE w:val="0"/>
        <w:autoSpaceDN w:val="0"/>
        <w:adjustRightInd w:val="0"/>
        <w:ind w:right="50"/>
      </w:pPr>
    </w:p>
    <w:p w14:paraId="695FC114" w14:textId="77777777" w:rsidR="00157854" w:rsidRPr="00670CB1" w:rsidRDefault="00157854" w:rsidP="00670CB1">
      <w:pPr>
        <w:pStyle w:val="Puesto"/>
      </w:pPr>
      <w:r w:rsidRPr="00670CB1">
        <w:rPr>
          <w:b/>
        </w:rPr>
        <w:t>“Cuentas bancarias y/o CLABE interbancaria de personas físicas y morales privadas.</w:t>
      </w:r>
      <w:r w:rsidRPr="00670CB1">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97F02C5" w14:textId="77777777" w:rsidR="00157854" w:rsidRPr="00670CB1" w:rsidRDefault="00157854" w:rsidP="00670CB1">
      <w:pPr>
        <w:autoSpaceDE w:val="0"/>
        <w:autoSpaceDN w:val="0"/>
        <w:adjustRightInd w:val="0"/>
        <w:ind w:left="851" w:right="1134"/>
        <w:jc w:val="center"/>
        <w:rPr>
          <w:b/>
          <w:i/>
        </w:rPr>
      </w:pPr>
    </w:p>
    <w:p w14:paraId="389A05A0" w14:textId="77777777" w:rsidR="00157854" w:rsidRPr="00670CB1" w:rsidRDefault="00157854" w:rsidP="00670CB1">
      <w:pPr>
        <w:pStyle w:val="Prrafodelista"/>
        <w:numPr>
          <w:ilvl w:val="0"/>
          <w:numId w:val="12"/>
        </w:numPr>
        <w:rPr>
          <w:rFonts w:eastAsia="Palatino Linotype" w:cs="Palatino Linotype"/>
          <w:b/>
        </w:rPr>
      </w:pPr>
      <w:r w:rsidRPr="00670CB1">
        <w:rPr>
          <w:rFonts w:eastAsia="Palatino Linotype" w:cs="Palatino Linotype"/>
          <w:b/>
        </w:rPr>
        <w:t>Número de empleado de servidores públicos o su equivalente</w:t>
      </w:r>
    </w:p>
    <w:p w14:paraId="07D69E99" w14:textId="77777777" w:rsidR="00157854" w:rsidRPr="00670CB1" w:rsidRDefault="00157854" w:rsidP="00670CB1"/>
    <w:p w14:paraId="4F8F1465" w14:textId="77777777" w:rsidR="00157854" w:rsidRPr="00670CB1" w:rsidRDefault="00157854" w:rsidP="00670CB1">
      <w:pPr>
        <w:rPr>
          <w:lang w:eastAsia="es-MX"/>
        </w:rPr>
      </w:pPr>
      <w:r w:rsidRPr="00670CB1">
        <w:rPr>
          <w:rFonts w:cs="Arial"/>
        </w:rPr>
        <w:t xml:space="preserve">Por otro lado, </w:t>
      </w:r>
      <w:r w:rsidRPr="00670CB1">
        <w:rPr>
          <w:rFonts w:eastAsia="Palatino Linotype" w:cs="Palatino Linotype"/>
        </w:rPr>
        <w:t xml:space="preserve">es necesario precisar que el </w:t>
      </w:r>
      <w:r w:rsidRPr="00670CB1">
        <w:rPr>
          <w:rFonts w:eastAsia="Palatino Linotype" w:cs="Palatino Linotype"/>
          <w:b/>
        </w:rPr>
        <w:t>número de empleado de servidores públicos o su equivalente</w:t>
      </w:r>
      <w:r w:rsidRPr="00670CB1">
        <w:rPr>
          <w:rFonts w:eastAsia="Palatino Linotype" w:cs="Palatino Linotype"/>
        </w:rPr>
        <w:t xml:space="preserve">, con independencia del nombre que reciba, constituye un instrumento de control </w:t>
      </w:r>
      <w:r w:rsidRPr="00670CB1">
        <w:rPr>
          <w:rFonts w:eastAsia="Palatino Linotype" w:cs="Palatino Linotype"/>
        </w:rPr>
        <w:lastRenderedPageBreak/>
        <w:t xml:space="preserve">interno que permite a las dependencias y entidades identificar a sus trabajadores y a estos les facilita la realización de gestiones en su carácter de empleado. </w:t>
      </w:r>
    </w:p>
    <w:p w14:paraId="3F0E451A" w14:textId="77777777" w:rsidR="00157854" w:rsidRPr="00670CB1" w:rsidRDefault="00157854" w:rsidP="00670CB1">
      <w:pPr>
        <w:pBdr>
          <w:top w:val="nil"/>
          <w:left w:val="nil"/>
          <w:bottom w:val="nil"/>
          <w:right w:val="nil"/>
          <w:between w:val="nil"/>
        </w:pBdr>
        <w:spacing w:before="240" w:after="240"/>
        <w:ind w:right="49"/>
        <w:rPr>
          <w:rFonts w:eastAsia="Palatino Linotype" w:cs="Palatino Linotype"/>
        </w:rPr>
      </w:pPr>
      <w:r w:rsidRPr="00670CB1">
        <w:rPr>
          <w:rFonts w:eastAsia="Palatino Linotype" w:cs="Palatino Linotype"/>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217DCB31" w14:textId="77777777" w:rsidR="00157854" w:rsidRPr="00670CB1" w:rsidRDefault="00157854" w:rsidP="00670CB1">
      <w:pPr>
        <w:pBdr>
          <w:top w:val="nil"/>
          <w:left w:val="nil"/>
          <w:bottom w:val="nil"/>
          <w:right w:val="nil"/>
          <w:between w:val="nil"/>
        </w:pBdr>
        <w:spacing w:before="240" w:after="240"/>
        <w:ind w:right="49"/>
        <w:rPr>
          <w:rFonts w:eastAsia="Palatino Linotype" w:cs="Palatino Linotype"/>
        </w:rPr>
      </w:pPr>
      <w:r w:rsidRPr="00670CB1">
        <w:rPr>
          <w:rFonts w:eastAsia="Palatino Linotype" w:cs="Palatino Linotype"/>
        </w:rPr>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71E8DAFC" w14:textId="77777777" w:rsidR="00157854" w:rsidRPr="00670CB1" w:rsidRDefault="00157854" w:rsidP="00670CB1">
      <w:pPr>
        <w:pStyle w:val="Puesto"/>
        <w:rPr>
          <w:rFonts w:eastAsia="Palatino Linotype"/>
        </w:rPr>
      </w:pPr>
      <w:r w:rsidRPr="00670CB1">
        <w:rPr>
          <w:rFonts w:eastAsia="Palatino Linotype"/>
        </w:rPr>
        <w:t>“</w:t>
      </w:r>
      <w:r w:rsidRPr="00670CB1">
        <w:rPr>
          <w:rFonts w:eastAsia="Palatino Linotype"/>
          <w:b/>
        </w:rPr>
        <w:t>Número de empleado.</w:t>
      </w:r>
      <w:r w:rsidRPr="00670CB1">
        <w:rPr>
          <w:rFonts w:eastAsia="Palatino Linotype"/>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0D25DAA1" w14:textId="77777777" w:rsidR="00157854" w:rsidRPr="00670CB1" w:rsidRDefault="00157854" w:rsidP="00670CB1">
      <w:pPr>
        <w:pBdr>
          <w:top w:val="nil"/>
          <w:left w:val="nil"/>
          <w:bottom w:val="nil"/>
          <w:right w:val="nil"/>
          <w:between w:val="nil"/>
        </w:pBdr>
        <w:spacing w:before="240" w:after="240"/>
        <w:ind w:right="49"/>
        <w:rPr>
          <w:rFonts w:eastAsia="Palatino Linotype" w:cs="Palatino Linotype"/>
        </w:rPr>
      </w:pPr>
      <w:r w:rsidRPr="00670CB1">
        <w:rPr>
          <w:rFonts w:eastAsia="Palatino Linotype" w:cs="Palatino Linotype"/>
        </w:rPr>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00410751" w14:textId="77777777" w:rsidR="00157854" w:rsidRPr="00670CB1" w:rsidRDefault="00157854" w:rsidP="00670CB1">
      <w:pPr>
        <w:pStyle w:val="Prrafodelista"/>
        <w:numPr>
          <w:ilvl w:val="0"/>
          <w:numId w:val="13"/>
        </w:numPr>
        <w:rPr>
          <w:rFonts w:eastAsia="Palatino Linotype" w:cs="Palatino Linotype"/>
        </w:rPr>
      </w:pPr>
      <w:r w:rsidRPr="00670CB1">
        <w:rPr>
          <w:rFonts w:cs="Arial"/>
          <w:b/>
        </w:rPr>
        <w:t>Códigos Bidimensionales</w:t>
      </w:r>
      <w:r w:rsidRPr="00670CB1">
        <w:rPr>
          <w:rFonts w:cs="Arial"/>
        </w:rPr>
        <w:t xml:space="preserve">  (</w:t>
      </w:r>
      <w:r w:rsidRPr="00670CB1">
        <w:rPr>
          <w:rFonts w:cs="Arial"/>
          <w:b/>
        </w:rPr>
        <w:t>Códigos QR)</w:t>
      </w:r>
    </w:p>
    <w:p w14:paraId="118608D8" w14:textId="77777777" w:rsidR="00157854" w:rsidRPr="00670CB1" w:rsidRDefault="00157854" w:rsidP="00670CB1">
      <w:pPr>
        <w:spacing w:after="240"/>
        <w:rPr>
          <w:rFonts w:cs="Arial"/>
        </w:rPr>
      </w:pPr>
      <w:r w:rsidRPr="00670CB1">
        <w:rPr>
          <w:rFonts w:cs="Arial"/>
        </w:rPr>
        <w:lastRenderedPageBreak/>
        <w:t xml:space="preserve">Por lo que hace a los </w:t>
      </w:r>
      <w:r w:rsidRPr="00670CB1">
        <w:rPr>
          <w:rFonts w:cs="Arial"/>
          <w:b/>
        </w:rPr>
        <w:t>Códigos Bidimensionales</w:t>
      </w:r>
      <w:r w:rsidRPr="00670CB1">
        <w:rPr>
          <w:rFonts w:cs="Arial"/>
        </w:rPr>
        <w:t xml:space="preserve"> y los denominados </w:t>
      </w:r>
      <w:r w:rsidRPr="00670CB1">
        <w:rPr>
          <w:rFonts w:cs="Arial"/>
          <w:b/>
        </w:rPr>
        <w:t>Códigos QR</w:t>
      </w:r>
      <w:r w:rsidRPr="00670CB1">
        <w:rPr>
          <w:rFonts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datos personales como </w:t>
      </w:r>
      <w:r w:rsidRPr="00670CB1">
        <w:rPr>
          <w:rFonts w:cs="Arial"/>
          <w:b/>
        </w:rPr>
        <w:t>Registro Federal de Contribuyentes</w:t>
      </w:r>
      <w:r w:rsidRPr="00670CB1">
        <w:rPr>
          <w:rFonts w:cs="Arial"/>
        </w:rPr>
        <w:t xml:space="preserve"> (RFC) y la </w:t>
      </w:r>
      <w:r w:rsidRPr="00670CB1">
        <w:rPr>
          <w:rFonts w:cs="Arial"/>
          <w:b/>
        </w:rPr>
        <w:t>Clave Única de Registro de Población</w:t>
      </w:r>
      <w:r w:rsidRPr="00670CB1">
        <w:rPr>
          <w:rFonts w:cs="Arial"/>
        </w:rPr>
        <w:t xml:space="preserve"> (CURP).</w:t>
      </w:r>
    </w:p>
    <w:p w14:paraId="5AA79A29" w14:textId="77777777" w:rsidR="00157854" w:rsidRPr="00670CB1" w:rsidRDefault="00157854" w:rsidP="00670CB1">
      <w:pPr>
        <w:pStyle w:val="Prrafodelista"/>
        <w:numPr>
          <w:ilvl w:val="0"/>
          <w:numId w:val="13"/>
        </w:numPr>
        <w:spacing w:after="240"/>
        <w:rPr>
          <w:rFonts w:eastAsia="Palatino Linotype" w:cs="Palatino Linotype"/>
          <w:b/>
        </w:rPr>
      </w:pPr>
      <w:r w:rsidRPr="00670CB1">
        <w:rPr>
          <w:b/>
          <w:lang w:eastAsia="es-MX"/>
        </w:rPr>
        <w:t>Folio fiscal, número de serie del certificado del emisor, sello digital del SAT y Cadena Original del SAT</w:t>
      </w:r>
    </w:p>
    <w:p w14:paraId="1509F715" w14:textId="77777777" w:rsidR="00157854" w:rsidRPr="00670CB1" w:rsidRDefault="00157854" w:rsidP="00670CB1">
      <w:pPr>
        <w:spacing w:after="240"/>
        <w:rPr>
          <w:rFonts w:cs="Tahoma"/>
          <w:bCs/>
          <w:szCs w:val="22"/>
          <w:lang w:val="es-ES"/>
        </w:rPr>
      </w:pPr>
      <w:r w:rsidRPr="00670CB1">
        <w:rPr>
          <w:rFonts w:cs="Arial"/>
        </w:rPr>
        <w:t xml:space="preserve">Al respecto, </w:t>
      </w:r>
      <w:r w:rsidRPr="00670CB1">
        <w:rPr>
          <w:lang w:eastAsia="es-MX"/>
        </w:rPr>
        <w:t xml:space="preserve">es necesario precisar que </w:t>
      </w:r>
      <w:r w:rsidRPr="00670CB1">
        <w:rPr>
          <w:rFonts w:cs="Tahoma"/>
          <w:bCs/>
          <w:szCs w:val="22"/>
          <w:lang w:val="es-ES"/>
        </w:rPr>
        <w:t>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3142308" w14:textId="753F0E9D" w:rsidR="00157854" w:rsidRPr="00670CB1" w:rsidRDefault="00157854" w:rsidP="00670CB1">
      <w:pPr>
        <w:spacing w:after="240"/>
        <w:contextualSpacing/>
        <w:rPr>
          <w:rFonts w:cs="Tahoma"/>
          <w:bCs/>
          <w:szCs w:val="22"/>
          <w:lang w:val="es-ES"/>
        </w:rPr>
      </w:pPr>
      <w:r w:rsidRPr="00670CB1">
        <w:rPr>
          <w:rFonts w:cs="Tahoma"/>
          <w:szCs w:val="22"/>
          <w:lang w:val="es-ES"/>
        </w:rPr>
        <w:t xml:space="preserve">Las cadenas originales y sellos que se agregan a </w:t>
      </w:r>
      <w:r w:rsidR="00E31E1F" w:rsidRPr="00670CB1">
        <w:rPr>
          <w:rFonts w:cs="Tahoma"/>
          <w:szCs w:val="22"/>
          <w:lang w:val="es-ES"/>
        </w:rPr>
        <w:t>los documentos de pago</w:t>
      </w:r>
      <w:r w:rsidRPr="00670CB1">
        <w:rPr>
          <w:rFonts w:cs="Tahoma"/>
          <w:bCs/>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w:t>
      </w:r>
      <w:r w:rsidRPr="00670CB1">
        <w:rPr>
          <w:rFonts w:cs="Tahoma"/>
          <w:bCs/>
          <w:szCs w:val="22"/>
          <w:lang w:val="es-ES"/>
        </w:rPr>
        <w:lastRenderedPageBreak/>
        <w:t>de los que se componen los elementos de seguridad y se puntualiza que dicha información está encriptada.</w:t>
      </w:r>
    </w:p>
    <w:p w14:paraId="5C4A75C5" w14:textId="77777777" w:rsidR="00157854" w:rsidRPr="00670CB1" w:rsidRDefault="00157854" w:rsidP="00670CB1">
      <w:pPr>
        <w:pStyle w:val="Puesto"/>
        <w:rPr>
          <w:rFonts w:eastAsia="Calibri"/>
          <w:lang w:val="es-ES" w:eastAsia="en-US"/>
        </w:rPr>
      </w:pPr>
      <w:r w:rsidRPr="00670CB1">
        <w:rPr>
          <w:rFonts w:eastAsia="Calibri"/>
          <w:lang w:val="es-ES" w:eastAsia="en-US"/>
        </w:rPr>
        <w:t>“…</w:t>
      </w:r>
    </w:p>
    <w:p w14:paraId="2F94DD2F" w14:textId="77777777" w:rsidR="00157854" w:rsidRPr="00670CB1" w:rsidRDefault="00157854" w:rsidP="00670CB1">
      <w:pPr>
        <w:pStyle w:val="Puesto"/>
        <w:rPr>
          <w:rFonts w:eastAsia="Calibri"/>
          <w:lang w:val="es-ES" w:eastAsia="en-US"/>
        </w:rPr>
      </w:pPr>
      <w:r w:rsidRPr="00670CB1">
        <w:rPr>
          <w:rFonts w:eastAsia="Calibri"/>
          <w:lang w:val="es-ES" w:eastAsia="en-US"/>
        </w:rPr>
        <w:t>Elementos utilizados en la generación de Sellos Digitales:</w:t>
      </w:r>
    </w:p>
    <w:p w14:paraId="7CF62D03" w14:textId="77777777" w:rsidR="00157854" w:rsidRPr="00670CB1" w:rsidRDefault="00157854" w:rsidP="00670CB1">
      <w:pPr>
        <w:pStyle w:val="Puesto"/>
        <w:rPr>
          <w:rFonts w:eastAsia="Calibri"/>
          <w:lang w:val="es-ES" w:eastAsia="en-US"/>
        </w:rPr>
      </w:pPr>
      <w:r w:rsidRPr="00670CB1">
        <w:rPr>
          <w:rFonts w:eastAsia="Calibri"/>
          <w:lang w:val="es-ES" w:eastAsia="en-US"/>
        </w:rPr>
        <w:t>•</w:t>
      </w:r>
      <w:r w:rsidRPr="00670CB1">
        <w:rPr>
          <w:rFonts w:eastAsia="Calibri"/>
          <w:lang w:val="es-ES" w:eastAsia="en-US"/>
        </w:rPr>
        <w:tab/>
        <w:t>Cadena Original, el elemento a sellar, en este caso de un comprobante fiscal digital a través de Internet.</w:t>
      </w:r>
    </w:p>
    <w:p w14:paraId="0B29BD3C" w14:textId="77777777" w:rsidR="00157854" w:rsidRPr="00670CB1" w:rsidRDefault="00157854" w:rsidP="00670CB1">
      <w:pPr>
        <w:pStyle w:val="Puesto"/>
        <w:rPr>
          <w:rFonts w:eastAsia="Calibri"/>
          <w:lang w:val="es-ES" w:eastAsia="en-US"/>
        </w:rPr>
      </w:pPr>
      <w:r w:rsidRPr="00670CB1">
        <w:rPr>
          <w:rFonts w:eastAsia="Calibri"/>
          <w:lang w:val="es-ES" w:eastAsia="en-US"/>
        </w:rPr>
        <w:t>•</w:t>
      </w:r>
      <w:r w:rsidRPr="00670CB1">
        <w:rPr>
          <w:rFonts w:eastAsia="Calibri"/>
          <w:lang w:val="es-ES" w:eastAsia="en-US"/>
        </w:rPr>
        <w:tab/>
        <w:t>Certificado de Sello Digital y su correspondiente clave privada.</w:t>
      </w:r>
    </w:p>
    <w:p w14:paraId="5B4D6510" w14:textId="77777777" w:rsidR="00157854" w:rsidRPr="00670CB1" w:rsidRDefault="00157854" w:rsidP="00670CB1">
      <w:pPr>
        <w:pStyle w:val="Puesto"/>
        <w:rPr>
          <w:rFonts w:eastAsia="Calibri"/>
          <w:lang w:val="es-ES" w:eastAsia="en-US"/>
        </w:rPr>
      </w:pPr>
      <w:r w:rsidRPr="00670CB1">
        <w:rPr>
          <w:rFonts w:eastAsia="Calibri"/>
          <w:lang w:val="es-ES" w:eastAsia="en-US"/>
        </w:rPr>
        <w:t>•</w:t>
      </w:r>
      <w:r w:rsidRPr="00670CB1">
        <w:rPr>
          <w:rFonts w:eastAsia="Calibri"/>
          <w:lang w:val="es-ES" w:eastAsia="en-US"/>
        </w:rPr>
        <w:tab/>
        <w:t>Algoritmos de criptografía de clave pública para firma electrónica avanzada.</w:t>
      </w:r>
    </w:p>
    <w:p w14:paraId="432AEE7B" w14:textId="77777777" w:rsidR="00157854" w:rsidRPr="00670CB1" w:rsidRDefault="00157854" w:rsidP="00670CB1">
      <w:pPr>
        <w:pStyle w:val="Puesto"/>
        <w:rPr>
          <w:rFonts w:eastAsia="Calibri"/>
          <w:lang w:val="es-ES" w:eastAsia="en-US"/>
        </w:rPr>
      </w:pPr>
      <w:r w:rsidRPr="00670CB1">
        <w:rPr>
          <w:rFonts w:eastAsia="Calibri"/>
          <w:lang w:val="es-ES" w:eastAsia="en-US"/>
        </w:rPr>
        <w:t>•</w:t>
      </w:r>
      <w:r w:rsidRPr="00670CB1">
        <w:rPr>
          <w:rFonts w:eastAsia="Calibri"/>
          <w:lang w:val="es-ES" w:eastAsia="en-US"/>
        </w:rPr>
        <w:tab/>
        <w:t>Especificaciones de conversión de la firma electrónica avanzada a Base 64.</w:t>
      </w:r>
    </w:p>
    <w:p w14:paraId="610BAC17" w14:textId="77777777" w:rsidR="00157854" w:rsidRPr="00670CB1" w:rsidRDefault="00157854" w:rsidP="00670CB1">
      <w:pPr>
        <w:pStyle w:val="Puesto"/>
        <w:rPr>
          <w:rFonts w:eastAsia="Calibri"/>
          <w:lang w:val="es-ES" w:eastAsia="en-US"/>
        </w:rPr>
      </w:pPr>
      <w:r w:rsidRPr="00670CB1">
        <w:rPr>
          <w:rFonts w:eastAsia="Calibri"/>
          <w:lang w:val="es-ES" w:eastAsia="en-US"/>
        </w:rPr>
        <w:t>Para la generación de sellos digitales se utiliza criptografía de clave pública aplicada a una cadena original.</w:t>
      </w:r>
    </w:p>
    <w:p w14:paraId="17D5CC2B" w14:textId="77777777" w:rsidR="00157854" w:rsidRPr="00670CB1" w:rsidRDefault="00157854" w:rsidP="00670CB1">
      <w:pPr>
        <w:pStyle w:val="Puesto"/>
        <w:rPr>
          <w:rFonts w:eastAsia="Calibri"/>
          <w:lang w:val="es-ES" w:eastAsia="en-US"/>
        </w:rPr>
      </w:pPr>
      <w:r w:rsidRPr="00670CB1">
        <w:rPr>
          <w:rFonts w:eastAsia="Calibri"/>
          <w:lang w:val="es-ES" w:eastAsia="en-US"/>
        </w:rPr>
        <w:t>Criptografía de la Clave Pública</w:t>
      </w:r>
    </w:p>
    <w:p w14:paraId="000650FC" w14:textId="77777777" w:rsidR="00157854" w:rsidRPr="00670CB1" w:rsidRDefault="00157854" w:rsidP="00670CB1">
      <w:pPr>
        <w:pStyle w:val="Puesto"/>
        <w:rPr>
          <w:rFonts w:eastAsia="Calibri"/>
          <w:lang w:val="es-ES" w:eastAsia="en-US"/>
        </w:rPr>
      </w:pPr>
      <w:r w:rsidRPr="00670CB1">
        <w:rPr>
          <w:rFonts w:eastAsia="Calibri"/>
          <w:lang w:val="es-ES" w:eastAsia="en-US"/>
        </w:rPr>
        <w:t xml:space="preserve">La criptografía de Clave Pública se basa en la generación de una pareja de números muy grandes relacionados íntimamente entre sí, de tal manera que una operación de </w:t>
      </w:r>
      <w:proofErr w:type="spellStart"/>
      <w:r w:rsidRPr="00670CB1">
        <w:rPr>
          <w:rFonts w:eastAsia="Calibri"/>
          <w:lang w:val="es-ES" w:eastAsia="en-US"/>
        </w:rPr>
        <w:t>encripción</w:t>
      </w:r>
      <w:proofErr w:type="spellEnd"/>
      <w:r w:rsidRPr="00670CB1">
        <w:rPr>
          <w:rFonts w:eastAsia="Calibri"/>
          <w:lang w:val="es-ES" w:eastAsia="en-US"/>
        </w:rPr>
        <w:t xml:space="preserve"> sobre un mensaje tomando como clave de </w:t>
      </w:r>
      <w:proofErr w:type="spellStart"/>
      <w:r w:rsidRPr="00670CB1">
        <w:rPr>
          <w:rFonts w:eastAsia="Calibri"/>
          <w:lang w:val="es-ES" w:eastAsia="en-US"/>
        </w:rPr>
        <w:t>encripción</w:t>
      </w:r>
      <w:proofErr w:type="spellEnd"/>
      <w:r w:rsidRPr="00670CB1">
        <w:rPr>
          <w:rFonts w:eastAsia="Calibri"/>
          <w:lang w:val="es-ES" w:eastAsia="en-US"/>
        </w:rPr>
        <w:t xml:space="preserve"> a uno de los dos números, produce un mensaje alterado en su significado que solo puede ser devuelto a su estado original mediante la operación de </w:t>
      </w:r>
      <w:proofErr w:type="spellStart"/>
      <w:r w:rsidRPr="00670CB1">
        <w:rPr>
          <w:rFonts w:eastAsia="Calibri"/>
          <w:lang w:val="es-ES" w:eastAsia="en-US"/>
        </w:rPr>
        <w:t>desencripción</w:t>
      </w:r>
      <w:proofErr w:type="spellEnd"/>
      <w:r w:rsidRPr="00670CB1">
        <w:rPr>
          <w:rFonts w:eastAsia="Calibri"/>
          <w:lang w:val="es-ES" w:eastAsia="en-US"/>
        </w:rPr>
        <w:t xml:space="preserve"> correspondiente tomando como clave de </w:t>
      </w:r>
      <w:proofErr w:type="spellStart"/>
      <w:r w:rsidRPr="00670CB1">
        <w:rPr>
          <w:rFonts w:eastAsia="Calibri"/>
          <w:lang w:val="es-ES" w:eastAsia="en-US"/>
        </w:rPr>
        <w:t>desencripción</w:t>
      </w:r>
      <w:proofErr w:type="spellEnd"/>
      <w:r w:rsidRPr="00670CB1">
        <w:rPr>
          <w:rFonts w:eastAsia="Calibri"/>
          <w:lang w:val="es-ES" w:eastAsia="en-US"/>
        </w:rPr>
        <w:t xml:space="preserve"> al otro número de la pareja.</w:t>
      </w:r>
    </w:p>
    <w:p w14:paraId="0D5D9257" w14:textId="77777777" w:rsidR="00157854" w:rsidRPr="00670CB1" w:rsidRDefault="00157854" w:rsidP="00670CB1">
      <w:pPr>
        <w:pStyle w:val="Puesto"/>
        <w:spacing w:after="240"/>
        <w:rPr>
          <w:rFonts w:eastAsia="Calibri"/>
          <w:lang w:val="es-ES" w:eastAsia="en-US"/>
        </w:rPr>
      </w:pPr>
      <w:r w:rsidRPr="00670CB1">
        <w:rPr>
          <w:rFonts w:eastAsia="Calibri"/>
          <w:lang w:val="es-ES" w:eastAsia="en-US"/>
        </w:rPr>
        <w:t>…”</w:t>
      </w:r>
    </w:p>
    <w:p w14:paraId="47F581BB" w14:textId="512C976C" w:rsidR="00157854" w:rsidRDefault="00157854" w:rsidP="00670CB1">
      <w:pPr>
        <w:contextualSpacing/>
        <w:rPr>
          <w:rFonts w:cs="Tahoma"/>
          <w:bCs/>
          <w:lang w:val="es-ES"/>
        </w:rPr>
      </w:pPr>
      <w:r w:rsidRPr="00670CB1">
        <w:rPr>
          <w:rFonts w:cs="Tahoma"/>
          <w:b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local y, por el contrario, son información que permite corroborar la legitimidad de la factura, de ser el caso, por lo que guardan el carácter de público.</w:t>
      </w:r>
    </w:p>
    <w:p w14:paraId="2A0C0288" w14:textId="77777777" w:rsidR="00670CB1" w:rsidRPr="00670CB1" w:rsidRDefault="00670CB1" w:rsidP="00670CB1">
      <w:pPr>
        <w:contextualSpacing/>
        <w:rPr>
          <w:rFonts w:cs="Tahoma"/>
          <w:bCs/>
          <w:lang w:val="es-ES"/>
        </w:rPr>
      </w:pPr>
    </w:p>
    <w:p w14:paraId="4CB36B32" w14:textId="77777777" w:rsidR="00157854" w:rsidRPr="00670CB1" w:rsidRDefault="00157854" w:rsidP="00670CB1">
      <w:pPr>
        <w:rPr>
          <w:rFonts w:cs="Arial"/>
          <w:lang w:val="es-ES"/>
        </w:rPr>
      </w:pPr>
      <w:r w:rsidRPr="00670CB1">
        <w:rPr>
          <w:rFonts w:eastAsia="Calibri" w:cs="Tahoma"/>
          <w:bCs/>
          <w:iCs/>
          <w:lang w:eastAsia="en-US"/>
        </w:rPr>
        <w:t>Ahora bien, cabe señalar que, en algunos casos, las</w:t>
      </w:r>
      <w:r w:rsidRPr="00670CB1">
        <w:rPr>
          <w:rFonts w:cs="Tahoma"/>
          <w:lang w:val="es-ES"/>
        </w:rPr>
        <w:t xml:space="preserve"> cadenas originales y sellos digitales o </w:t>
      </w:r>
      <w:r w:rsidRPr="00670CB1">
        <w:rPr>
          <w:rFonts w:cs="Tahoma"/>
          <w:bCs/>
          <w:lang w:val="es-ES"/>
        </w:rPr>
        <w:t xml:space="preserve">el número de serie de los certificados digitales, se pueden conformar de datos confidenciales, tales como el Registro Federal de Contribuyentes o la Clave Única de Registro de Población; por lo que, únicamente podrá clasificar estos, si contienen dicha información, de lo contrario </w:t>
      </w:r>
      <w:r w:rsidRPr="00670CB1">
        <w:rPr>
          <w:rFonts w:cs="Tahoma"/>
          <w:b/>
          <w:bCs/>
          <w:lang w:val="es-ES"/>
        </w:rPr>
        <w:t>serán públicos</w:t>
      </w:r>
      <w:r w:rsidRPr="00670CB1">
        <w:rPr>
          <w:rFonts w:cs="Tahoma"/>
          <w:bCs/>
          <w:lang w:val="es-ES"/>
        </w:rPr>
        <w:t>.</w:t>
      </w:r>
    </w:p>
    <w:p w14:paraId="43ED6F9C" w14:textId="32F71BFC" w:rsidR="0008720D" w:rsidRPr="00670CB1" w:rsidRDefault="00157854" w:rsidP="00670CB1">
      <w:pPr>
        <w:pStyle w:val="Ttulo3"/>
        <w:spacing w:line="360" w:lineRule="auto"/>
      </w:pPr>
      <w:bookmarkStart w:id="38" w:name="_Toc189124219"/>
      <w:bookmarkStart w:id="39" w:name="_Toc198750528"/>
      <w:r w:rsidRPr="00670CB1">
        <w:lastRenderedPageBreak/>
        <w:t>e</w:t>
      </w:r>
      <w:r w:rsidR="000F553A" w:rsidRPr="00670CB1">
        <w:t>)</w:t>
      </w:r>
      <w:bookmarkEnd w:id="38"/>
      <w:r w:rsidR="0008720D" w:rsidRPr="00670CB1">
        <w:t xml:space="preserve"> Conclusión.</w:t>
      </w:r>
      <w:bookmarkEnd w:id="39"/>
    </w:p>
    <w:p w14:paraId="06DF9F1F" w14:textId="77777777" w:rsidR="0008720D" w:rsidRPr="00670CB1" w:rsidRDefault="0008720D" w:rsidP="00670CB1">
      <w:pPr>
        <w:widowControl w:val="0"/>
        <w:tabs>
          <w:tab w:val="left" w:pos="1701"/>
          <w:tab w:val="left" w:pos="1843"/>
        </w:tabs>
      </w:pPr>
      <w:r w:rsidRPr="00670CB1">
        <w:t xml:space="preserve">En razón de lo anteriormente expuesto, este Instituto estima que las razones o motivos de inconformidad hechos valer por </w:t>
      </w:r>
      <w:r w:rsidRPr="00670CB1">
        <w:rPr>
          <w:b/>
        </w:rPr>
        <w:t>EL RECURRENTE</w:t>
      </w:r>
      <w:r w:rsidRPr="00670CB1">
        <w:t xml:space="preserve"> devienen </w:t>
      </w:r>
      <w:r w:rsidRPr="00670CB1">
        <w:rPr>
          <w:b/>
        </w:rPr>
        <w:t>fundadas</w:t>
      </w:r>
      <w:r w:rsidRPr="00670CB1">
        <w:t xml:space="preserve">; motivo por el cual, este Órgano Garante determina </w:t>
      </w:r>
      <w:r w:rsidRPr="00670CB1">
        <w:rPr>
          <w:b/>
        </w:rPr>
        <w:t xml:space="preserve">REVOCAR </w:t>
      </w:r>
      <w:r w:rsidRPr="00670CB1">
        <w:t xml:space="preserve">la respuesta otorgada por </w:t>
      </w:r>
      <w:r w:rsidRPr="00670CB1">
        <w:rPr>
          <w:b/>
        </w:rPr>
        <w:t xml:space="preserve">EL SUJETO OBLIGADO, </w:t>
      </w:r>
      <w:r w:rsidRPr="00670CB1">
        <w:t>en términos del artículo 186, fracción III de la Ley de Transparencia y Acceso a la Información Pública del Estado de México y Municipios por las razones expuestas en el presente considerando.</w:t>
      </w:r>
    </w:p>
    <w:p w14:paraId="4BE82DDF" w14:textId="77777777" w:rsidR="0008720D" w:rsidRPr="00670CB1" w:rsidRDefault="0008720D" w:rsidP="00670CB1">
      <w:pPr>
        <w:widowControl w:val="0"/>
        <w:tabs>
          <w:tab w:val="left" w:pos="1701"/>
          <w:tab w:val="left" w:pos="1843"/>
        </w:tabs>
      </w:pPr>
    </w:p>
    <w:p w14:paraId="25349409" w14:textId="77777777" w:rsidR="0008720D" w:rsidRPr="00670CB1" w:rsidRDefault="0008720D" w:rsidP="00670CB1">
      <w:pPr>
        <w:ind w:right="-93"/>
      </w:pPr>
      <w:r w:rsidRPr="00670CB1">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D1FF6CE" w14:textId="77777777" w:rsidR="0008720D" w:rsidRPr="00670CB1" w:rsidRDefault="0008720D" w:rsidP="00670CB1"/>
    <w:p w14:paraId="7E4C3F5C" w14:textId="77777777" w:rsidR="0008720D" w:rsidRPr="00670CB1" w:rsidRDefault="0008720D" w:rsidP="00670CB1">
      <w:pPr>
        <w:pStyle w:val="Ttulo1"/>
      </w:pPr>
      <w:bookmarkStart w:id="40" w:name="_heading=h.1egqt2p" w:colFirst="0" w:colLast="0"/>
      <w:bookmarkStart w:id="41" w:name="_Toc198750529"/>
      <w:bookmarkEnd w:id="40"/>
      <w:r w:rsidRPr="00670CB1">
        <w:t>RESUELVE</w:t>
      </w:r>
      <w:bookmarkEnd w:id="41"/>
    </w:p>
    <w:p w14:paraId="4E279672" w14:textId="77777777" w:rsidR="0008720D" w:rsidRPr="00670CB1" w:rsidRDefault="0008720D" w:rsidP="00670CB1">
      <w:pPr>
        <w:ind w:right="113"/>
        <w:rPr>
          <w:b/>
        </w:rPr>
      </w:pPr>
    </w:p>
    <w:p w14:paraId="5FC36E27" w14:textId="17F5BA36" w:rsidR="0008720D" w:rsidRPr="00670CB1" w:rsidRDefault="0008720D" w:rsidP="00670CB1">
      <w:pPr>
        <w:widowControl w:val="0"/>
      </w:pPr>
      <w:r w:rsidRPr="00670CB1">
        <w:rPr>
          <w:b/>
        </w:rPr>
        <w:t>PRIMERO.</w:t>
      </w:r>
      <w:r w:rsidRPr="00670CB1">
        <w:t xml:space="preserve"> Se </w:t>
      </w:r>
      <w:r w:rsidRPr="00670CB1">
        <w:rPr>
          <w:b/>
        </w:rPr>
        <w:t>REVOCA</w:t>
      </w:r>
      <w:r w:rsidRPr="00670CB1">
        <w:t xml:space="preserve"> la respuesta entregada por el </w:t>
      </w:r>
      <w:r w:rsidRPr="00670CB1">
        <w:rPr>
          <w:b/>
        </w:rPr>
        <w:t>SUJETO OBLIGADO</w:t>
      </w:r>
      <w:r w:rsidRPr="00670CB1">
        <w:t xml:space="preserve"> en la solicitud de información </w:t>
      </w:r>
      <w:r w:rsidR="00510207" w:rsidRPr="00670CB1">
        <w:rPr>
          <w:b/>
        </w:rPr>
        <w:t>00174/CALIMAYA/IP/2025</w:t>
      </w:r>
      <w:r w:rsidRPr="00670CB1">
        <w:t xml:space="preserve">, por resultar </w:t>
      </w:r>
      <w:r w:rsidRPr="00670CB1">
        <w:rPr>
          <w:b/>
        </w:rPr>
        <w:t>FUNDADAS</w:t>
      </w:r>
      <w:r w:rsidRPr="00670CB1">
        <w:t xml:space="preserve"> las razones o motivos de inconformidad hechos valer por </w:t>
      </w:r>
      <w:r w:rsidRPr="00670CB1">
        <w:rPr>
          <w:b/>
        </w:rPr>
        <w:t>LA PARTE RECURRENTE</w:t>
      </w:r>
      <w:r w:rsidRPr="00670CB1">
        <w:t xml:space="preserve"> en el Recurso de Revisión </w:t>
      </w:r>
      <w:r w:rsidRPr="00670CB1">
        <w:rPr>
          <w:b/>
        </w:rPr>
        <w:t>0</w:t>
      </w:r>
      <w:r w:rsidR="00510207" w:rsidRPr="00670CB1">
        <w:rPr>
          <w:b/>
        </w:rPr>
        <w:t>4637</w:t>
      </w:r>
      <w:r w:rsidRPr="00670CB1">
        <w:rPr>
          <w:b/>
        </w:rPr>
        <w:t xml:space="preserve">/INFOEM/IP/RR/2025 </w:t>
      </w:r>
      <w:r w:rsidRPr="00670CB1">
        <w:t xml:space="preserve">en términos del considerando </w:t>
      </w:r>
      <w:r w:rsidRPr="00670CB1">
        <w:rPr>
          <w:b/>
        </w:rPr>
        <w:t>SEGUNDO</w:t>
      </w:r>
      <w:r w:rsidRPr="00670CB1">
        <w:t xml:space="preserve"> de la presente Resolución.</w:t>
      </w:r>
    </w:p>
    <w:p w14:paraId="6765A6BB" w14:textId="77777777" w:rsidR="0008720D" w:rsidRPr="00670CB1" w:rsidRDefault="0008720D" w:rsidP="00670CB1">
      <w:pPr>
        <w:widowControl w:val="0"/>
      </w:pPr>
    </w:p>
    <w:p w14:paraId="41BA4899" w14:textId="2227CA3C" w:rsidR="0008720D" w:rsidRPr="00670CB1" w:rsidRDefault="0008720D" w:rsidP="00670CB1">
      <w:pPr>
        <w:ind w:right="-93"/>
      </w:pPr>
      <w:r w:rsidRPr="00670CB1">
        <w:rPr>
          <w:b/>
        </w:rPr>
        <w:t>SEGUNDO.</w:t>
      </w:r>
      <w:r w:rsidRPr="00670CB1">
        <w:t xml:space="preserve"> Se </w:t>
      </w:r>
      <w:r w:rsidRPr="00670CB1">
        <w:rPr>
          <w:b/>
        </w:rPr>
        <w:t xml:space="preserve">ORDENA </w:t>
      </w:r>
      <w:r w:rsidRPr="00670CB1">
        <w:t xml:space="preserve">al </w:t>
      </w:r>
      <w:r w:rsidRPr="00670CB1">
        <w:rPr>
          <w:b/>
        </w:rPr>
        <w:t>SUJETO OBLIGADO</w:t>
      </w:r>
      <w:r w:rsidRPr="00670CB1">
        <w:t xml:space="preserve">, a efecto de que, entregue </w:t>
      </w:r>
      <w:r w:rsidR="00E31E1F" w:rsidRPr="00670CB1">
        <w:t xml:space="preserve">en </w:t>
      </w:r>
      <w:r w:rsidR="00E31E1F" w:rsidRPr="00670CB1">
        <w:rPr>
          <w:b/>
        </w:rPr>
        <w:t>versión pública</w:t>
      </w:r>
      <w:r w:rsidR="00E31E1F" w:rsidRPr="00670CB1">
        <w:t xml:space="preserve">, </w:t>
      </w:r>
      <w:r w:rsidRPr="00670CB1">
        <w:t xml:space="preserve">a través del </w:t>
      </w:r>
      <w:r w:rsidRPr="00670CB1">
        <w:rPr>
          <w:b/>
        </w:rPr>
        <w:t>SAIMEX</w:t>
      </w:r>
      <w:r w:rsidR="00510207" w:rsidRPr="00670CB1">
        <w:t xml:space="preserve">, </w:t>
      </w:r>
      <w:r w:rsidRPr="00670CB1">
        <w:t>lo siguiente:</w:t>
      </w:r>
    </w:p>
    <w:p w14:paraId="227FE84E" w14:textId="77777777" w:rsidR="0008720D" w:rsidRPr="00670CB1" w:rsidRDefault="0008720D" w:rsidP="00670CB1">
      <w:pPr>
        <w:rPr>
          <w:b/>
        </w:rPr>
      </w:pPr>
    </w:p>
    <w:p w14:paraId="0B7DEE14" w14:textId="549A68B3" w:rsidR="0008720D" w:rsidRPr="00670CB1" w:rsidRDefault="00510207" w:rsidP="00670CB1">
      <w:pPr>
        <w:pStyle w:val="Puesto"/>
        <w:rPr>
          <w:rFonts w:eastAsia="Calibri"/>
          <w:b/>
          <w:lang w:eastAsia="es-ES_tradnl"/>
        </w:rPr>
      </w:pPr>
      <w:r w:rsidRPr="00670CB1">
        <w:rPr>
          <w:rFonts w:eastAsia="Calibri"/>
          <w:b/>
          <w:lang w:eastAsia="es-ES_tradnl"/>
        </w:rPr>
        <w:lastRenderedPageBreak/>
        <w:t xml:space="preserve">Recibos de nómina </w:t>
      </w:r>
      <w:r w:rsidR="00157854" w:rsidRPr="00670CB1">
        <w:rPr>
          <w:rFonts w:eastAsia="Calibri"/>
          <w:b/>
          <w:lang w:eastAsia="es-ES_tradnl"/>
        </w:rPr>
        <w:t xml:space="preserve">de los servidores públicos precisados en la solicitud, correspondiente a la </w:t>
      </w:r>
      <w:r w:rsidRPr="00670CB1">
        <w:rPr>
          <w:rFonts w:eastAsia="Calibri"/>
          <w:b/>
          <w:lang w:eastAsia="es-ES_tradnl"/>
        </w:rPr>
        <w:t>segunda quincena de marzo de 2025</w:t>
      </w:r>
      <w:r w:rsidR="0008720D" w:rsidRPr="00670CB1">
        <w:rPr>
          <w:rFonts w:eastAsia="Calibri"/>
          <w:b/>
          <w:lang w:eastAsia="es-ES_tradnl"/>
        </w:rPr>
        <w:t>.</w:t>
      </w:r>
    </w:p>
    <w:p w14:paraId="317CF90F" w14:textId="77777777" w:rsidR="0008720D" w:rsidRPr="00670CB1" w:rsidRDefault="0008720D" w:rsidP="00670CB1"/>
    <w:p w14:paraId="226B8573" w14:textId="77777777" w:rsidR="0008720D" w:rsidRPr="00670CB1" w:rsidRDefault="0008720D" w:rsidP="00670CB1">
      <w:pPr>
        <w:ind w:right="-93"/>
      </w:pPr>
      <w:r w:rsidRPr="00670CB1">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EB3EA36" w14:textId="77777777" w:rsidR="0008720D" w:rsidRPr="00670CB1" w:rsidRDefault="0008720D" w:rsidP="00670CB1">
      <w:pPr>
        <w:ind w:right="-28"/>
      </w:pPr>
    </w:p>
    <w:p w14:paraId="0B1517E1" w14:textId="77777777" w:rsidR="0008720D" w:rsidRPr="00670CB1" w:rsidRDefault="0008720D" w:rsidP="00670CB1">
      <w:r w:rsidRPr="00670CB1">
        <w:rPr>
          <w:b/>
        </w:rPr>
        <w:t>TERCERO.</w:t>
      </w:r>
      <w:r w:rsidRPr="00670CB1">
        <w:t xml:space="preserve"> </w:t>
      </w:r>
      <w:r w:rsidRPr="00670CB1">
        <w:rPr>
          <w:b/>
        </w:rPr>
        <w:t xml:space="preserve">Notifíquese </w:t>
      </w:r>
      <w:r w:rsidRPr="00670CB1">
        <w:t>vía Sistema de Acceso a la Información Mexiquense (</w:t>
      </w:r>
      <w:r w:rsidRPr="00670CB1">
        <w:rPr>
          <w:b/>
        </w:rPr>
        <w:t>SAIMEX)</w:t>
      </w:r>
      <w:r w:rsidRPr="00670CB1">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41DB1E" w14:textId="77777777" w:rsidR="0008720D" w:rsidRPr="00670CB1" w:rsidRDefault="0008720D" w:rsidP="00670CB1"/>
    <w:p w14:paraId="507FF992" w14:textId="77777777" w:rsidR="0008720D" w:rsidRPr="00670CB1" w:rsidRDefault="0008720D" w:rsidP="00670CB1">
      <w:pPr>
        <w:rPr>
          <w:b/>
        </w:rPr>
      </w:pPr>
      <w:r w:rsidRPr="00670CB1">
        <w:rPr>
          <w:b/>
        </w:rPr>
        <w:t>CUARTO.</w:t>
      </w:r>
      <w:r w:rsidRPr="00670CB1">
        <w:t xml:space="preserve"> Notifíquese a </w:t>
      </w:r>
      <w:r w:rsidRPr="00670CB1">
        <w:rPr>
          <w:b/>
        </w:rPr>
        <w:t>LA PARTE RECURRENTE</w:t>
      </w:r>
      <w:r w:rsidRPr="00670CB1">
        <w:t xml:space="preserve"> la presente resolución vía Sistema de Acceso a la Información Mexiquense </w:t>
      </w:r>
      <w:r w:rsidRPr="00670CB1">
        <w:rPr>
          <w:b/>
        </w:rPr>
        <w:t>(SAIMEX).</w:t>
      </w:r>
    </w:p>
    <w:p w14:paraId="5896308D" w14:textId="77777777" w:rsidR="0008720D" w:rsidRPr="00670CB1" w:rsidRDefault="0008720D" w:rsidP="00670CB1"/>
    <w:p w14:paraId="14D17B40" w14:textId="77777777" w:rsidR="0008720D" w:rsidRPr="00670CB1" w:rsidRDefault="0008720D" w:rsidP="00670CB1">
      <w:r w:rsidRPr="00670CB1">
        <w:rPr>
          <w:b/>
        </w:rPr>
        <w:t>QUINTO</w:t>
      </w:r>
      <w:r w:rsidRPr="00670CB1">
        <w:t xml:space="preserve">. Hágase del conocimiento a </w:t>
      </w:r>
      <w:r w:rsidRPr="00670CB1">
        <w:rPr>
          <w:b/>
        </w:rPr>
        <w:t>LA PARTE RECURRENTE</w:t>
      </w:r>
      <w:r w:rsidRPr="00670CB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71FA8D" w14:textId="77777777" w:rsidR="0008720D" w:rsidRPr="00670CB1" w:rsidRDefault="0008720D" w:rsidP="00670CB1"/>
    <w:p w14:paraId="06A5C4D3" w14:textId="77777777" w:rsidR="0008720D" w:rsidRPr="00670CB1" w:rsidRDefault="0008720D" w:rsidP="00670CB1">
      <w:r w:rsidRPr="00670CB1">
        <w:rPr>
          <w:b/>
        </w:rPr>
        <w:lastRenderedPageBreak/>
        <w:t>SEXTO.</w:t>
      </w:r>
      <w:r w:rsidRPr="00670CB1">
        <w:t xml:space="preserve"> De conformidad con el artículo 198 de la Ley de Transparencia y Acceso a la Información Pública del Estado de México y Municipios, el </w:t>
      </w:r>
      <w:r w:rsidRPr="00670CB1">
        <w:rPr>
          <w:b/>
        </w:rPr>
        <w:t>SUJETO OBLIGADO</w:t>
      </w:r>
      <w:r w:rsidRPr="00670CB1">
        <w:t xml:space="preserve"> podrá solicitar una ampliación de plazo de manera fundada y motivada, para el cumplimiento de la presente resolución.</w:t>
      </w:r>
    </w:p>
    <w:p w14:paraId="4303A265" w14:textId="77777777" w:rsidR="002B11D9" w:rsidRPr="00670CB1" w:rsidRDefault="002B11D9" w:rsidP="00670CB1">
      <w:pPr>
        <w:ind w:right="-93"/>
        <w:rPr>
          <w:szCs w:val="22"/>
        </w:rPr>
      </w:pPr>
    </w:p>
    <w:p w14:paraId="03B8F610" w14:textId="2B0D8702" w:rsidR="00BB6009" w:rsidRPr="00670CB1" w:rsidRDefault="00BB6009" w:rsidP="00670CB1">
      <w:r w:rsidRPr="00670CB1">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w:t>
      </w:r>
      <w:r w:rsidR="00F2229E" w:rsidRPr="00670CB1">
        <w:t>OCTAVA</w:t>
      </w:r>
      <w:r w:rsidRPr="00670CB1">
        <w:t xml:space="preserve"> SESIÓN ORDINARIA, CELEBRADA EL </w:t>
      </w:r>
      <w:r w:rsidR="00F2229E" w:rsidRPr="00670CB1">
        <w:t>VEINTIUNO</w:t>
      </w:r>
      <w:r w:rsidRPr="00670CB1">
        <w:t xml:space="preserve"> DE MAYO DE DOS MIL VEINTICINCO ANTE EL SECRETARIO TÉCNICO DEL PLENO, ALEXIS TAPIA RAMÍREZ.</w:t>
      </w:r>
    </w:p>
    <w:p w14:paraId="07A5EE70" w14:textId="1531EC69" w:rsidR="00BB6009" w:rsidRPr="00670CB1" w:rsidRDefault="00670CB1" w:rsidP="00670CB1">
      <w:pPr>
        <w:ind w:right="-93"/>
        <w:rPr>
          <w:szCs w:val="22"/>
        </w:rPr>
      </w:pPr>
      <w:r w:rsidRPr="00EC1131">
        <w:rPr>
          <w:rFonts w:eastAsia="Palatino Linotype" w:cs="Palatino Linotype"/>
          <w:sz w:val="20"/>
        </w:rPr>
        <w:t>SCMM/AGZ/DEMF/</w:t>
      </w:r>
      <w:r>
        <w:rPr>
          <w:rFonts w:eastAsia="Palatino Linotype" w:cs="Palatino Linotype"/>
          <w:sz w:val="20"/>
        </w:rPr>
        <w:t>DLM</w:t>
      </w:r>
    </w:p>
    <w:p w14:paraId="7D79E151" w14:textId="77777777" w:rsidR="002B11D9" w:rsidRPr="00670CB1" w:rsidRDefault="002B11D9" w:rsidP="00670CB1">
      <w:pPr>
        <w:ind w:right="-93"/>
        <w:rPr>
          <w:szCs w:val="22"/>
        </w:rPr>
      </w:pPr>
    </w:p>
    <w:p w14:paraId="47C5DE74" w14:textId="77777777" w:rsidR="002B11D9" w:rsidRPr="00670CB1" w:rsidRDefault="002B11D9" w:rsidP="00670CB1">
      <w:pPr>
        <w:ind w:right="-93"/>
        <w:rPr>
          <w:szCs w:val="22"/>
        </w:rPr>
      </w:pPr>
    </w:p>
    <w:p w14:paraId="0CF3F610" w14:textId="77777777" w:rsidR="002B11D9" w:rsidRPr="00670CB1" w:rsidRDefault="002B11D9" w:rsidP="00670CB1">
      <w:pPr>
        <w:ind w:right="-93"/>
        <w:rPr>
          <w:szCs w:val="22"/>
        </w:rPr>
      </w:pPr>
    </w:p>
    <w:p w14:paraId="06338933" w14:textId="77777777" w:rsidR="002B11D9" w:rsidRPr="00670CB1" w:rsidRDefault="002B11D9" w:rsidP="00670CB1">
      <w:pPr>
        <w:ind w:right="-93"/>
        <w:rPr>
          <w:szCs w:val="22"/>
        </w:rPr>
      </w:pPr>
    </w:p>
    <w:p w14:paraId="022324A6" w14:textId="77777777" w:rsidR="002B11D9" w:rsidRPr="00670CB1" w:rsidRDefault="002B11D9" w:rsidP="00670CB1">
      <w:pPr>
        <w:ind w:right="-93"/>
        <w:rPr>
          <w:szCs w:val="22"/>
        </w:rPr>
      </w:pPr>
    </w:p>
    <w:p w14:paraId="1941B3D9" w14:textId="77777777" w:rsidR="002B11D9" w:rsidRPr="00670CB1" w:rsidRDefault="002B11D9" w:rsidP="00670CB1">
      <w:pPr>
        <w:ind w:right="-93"/>
        <w:rPr>
          <w:szCs w:val="22"/>
        </w:rPr>
      </w:pPr>
    </w:p>
    <w:p w14:paraId="089D4083" w14:textId="77777777" w:rsidR="002B11D9" w:rsidRPr="00670CB1" w:rsidRDefault="002B11D9" w:rsidP="00670CB1">
      <w:pPr>
        <w:ind w:right="-93"/>
        <w:rPr>
          <w:szCs w:val="22"/>
        </w:rPr>
      </w:pPr>
    </w:p>
    <w:p w14:paraId="13C0A04F" w14:textId="77777777" w:rsidR="002B11D9" w:rsidRPr="00670CB1" w:rsidRDefault="002B11D9" w:rsidP="00670CB1">
      <w:pPr>
        <w:tabs>
          <w:tab w:val="center" w:pos="4568"/>
        </w:tabs>
        <w:ind w:right="-93"/>
        <w:rPr>
          <w:szCs w:val="22"/>
        </w:rPr>
      </w:pPr>
    </w:p>
    <w:p w14:paraId="5FD2AB72" w14:textId="77777777" w:rsidR="002B11D9" w:rsidRPr="00670CB1" w:rsidRDefault="002B11D9" w:rsidP="00670CB1">
      <w:pPr>
        <w:tabs>
          <w:tab w:val="center" w:pos="4568"/>
        </w:tabs>
        <w:ind w:right="-93"/>
        <w:rPr>
          <w:szCs w:val="22"/>
        </w:rPr>
      </w:pPr>
    </w:p>
    <w:p w14:paraId="30082FD2" w14:textId="77777777" w:rsidR="002B11D9" w:rsidRPr="00670CB1" w:rsidRDefault="002B11D9" w:rsidP="00670CB1">
      <w:pPr>
        <w:tabs>
          <w:tab w:val="center" w:pos="4568"/>
        </w:tabs>
        <w:ind w:right="-93"/>
        <w:rPr>
          <w:szCs w:val="22"/>
        </w:rPr>
      </w:pPr>
    </w:p>
    <w:p w14:paraId="451F6B59" w14:textId="77777777" w:rsidR="002B11D9" w:rsidRPr="00670CB1" w:rsidRDefault="002B11D9" w:rsidP="00670CB1">
      <w:pPr>
        <w:tabs>
          <w:tab w:val="center" w:pos="4568"/>
        </w:tabs>
        <w:ind w:right="-93"/>
        <w:rPr>
          <w:szCs w:val="22"/>
        </w:rPr>
      </w:pPr>
    </w:p>
    <w:p w14:paraId="616609ED" w14:textId="77777777" w:rsidR="002B11D9" w:rsidRPr="00670CB1" w:rsidRDefault="002B11D9" w:rsidP="00670CB1">
      <w:pPr>
        <w:tabs>
          <w:tab w:val="center" w:pos="4568"/>
        </w:tabs>
        <w:ind w:right="-93"/>
        <w:rPr>
          <w:szCs w:val="22"/>
        </w:rPr>
      </w:pPr>
    </w:p>
    <w:p w14:paraId="2297A5B6" w14:textId="77777777" w:rsidR="002B11D9" w:rsidRPr="00670CB1" w:rsidRDefault="002B11D9" w:rsidP="00670CB1">
      <w:pPr>
        <w:tabs>
          <w:tab w:val="center" w:pos="4568"/>
        </w:tabs>
        <w:ind w:right="-93"/>
        <w:rPr>
          <w:szCs w:val="22"/>
        </w:rPr>
      </w:pPr>
    </w:p>
    <w:p w14:paraId="2EBCFE13" w14:textId="77777777" w:rsidR="002B11D9" w:rsidRPr="00670CB1" w:rsidRDefault="002B11D9" w:rsidP="00670CB1">
      <w:pPr>
        <w:tabs>
          <w:tab w:val="center" w:pos="4568"/>
        </w:tabs>
        <w:ind w:right="-93"/>
        <w:rPr>
          <w:szCs w:val="22"/>
        </w:rPr>
      </w:pPr>
    </w:p>
    <w:p w14:paraId="236BF945" w14:textId="77777777" w:rsidR="002B11D9" w:rsidRPr="00670CB1" w:rsidRDefault="002B11D9" w:rsidP="00670CB1">
      <w:pPr>
        <w:tabs>
          <w:tab w:val="center" w:pos="4568"/>
        </w:tabs>
        <w:ind w:right="-93"/>
        <w:rPr>
          <w:szCs w:val="22"/>
        </w:rPr>
      </w:pPr>
    </w:p>
    <w:p w14:paraId="004681CB" w14:textId="77777777" w:rsidR="002B11D9" w:rsidRPr="00670CB1" w:rsidRDefault="002B11D9" w:rsidP="00670CB1">
      <w:pPr>
        <w:tabs>
          <w:tab w:val="center" w:pos="4568"/>
        </w:tabs>
        <w:ind w:right="-93"/>
        <w:rPr>
          <w:szCs w:val="22"/>
        </w:rPr>
      </w:pPr>
    </w:p>
    <w:p w14:paraId="2BEE054A" w14:textId="77777777" w:rsidR="002B11D9" w:rsidRPr="00670CB1" w:rsidRDefault="002B11D9" w:rsidP="00670CB1">
      <w:pPr>
        <w:tabs>
          <w:tab w:val="center" w:pos="4568"/>
        </w:tabs>
        <w:ind w:right="-93"/>
        <w:rPr>
          <w:szCs w:val="22"/>
        </w:rPr>
      </w:pPr>
    </w:p>
    <w:p w14:paraId="654DB8BB" w14:textId="77777777" w:rsidR="002B11D9" w:rsidRPr="00670CB1" w:rsidRDefault="002B11D9" w:rsidP="00670CB1">
      <w:pPr>
        <w:tabs>
          <w:tab w:val="center" w:pos="4568"/>
        </w:tabs>
        <w:ind w:right="-93"/>
        <w:rPr>
          <w:szCs w:val="22"/>
        </w:rPr>
      </w:pPr>
    </w:p>
    <w:p w14:paraId="71B4C5C8" w14:textId="77777777" w:rsidR="002B11D9" w:rsidRPr="00670CB1" w:rsidRDefault="002B11D9" w:rsidP="00670CB1">
      <w:pPr>
        <w:tabs>
          <w:tab w:val="center" w:pos="4568"/>
        </w:tabs>
        <w:ind w:right="-93"/>
        <w:rPr>
          <w:szCs w:val="22"/>
        </w:rPr>
      </w:pPr>
    </w:p>
    <w:p w14:paraId="3F14806B" w14:textId="77777777" w:rsidR="002B11D9" w:rsidRPr="00670CB1" w:rsidRDefault="002B11D9" w:rsidP="00670CB1">
      <w:pPr>
        <w:tabs>
          <w:tab w:val="center" w:pos="4568"/>
        </w:tabs>
        <w:ind w:right="-93"/>
        <w:rPr>
          <w:szCs w:val="22"/>
        </w:rPr>
      </w:pPr>
    </w:p>
    <w:p w14:paraId="108F5EF8" w14:textId="77777777" w:rsidR="002B11D9" w:rsidRPr="00670CB1" w:rsidRDefault="002B11D9" w:rsidP="00670CB1">
      <w:pPr>
        <w:tabs>
          <w:tab w:val="center" w:pos="4568"/>
        </w:tabs>
        <w:ind w:right="-93"/>
        <w:rPr>
          <w:szCs w:val="22"/>
        </w:rPr>
      </w:pPr>
    </w:p>
    <w:p w14:paraId="673AF841" w14:textId="77777777" w:rsidR="002B11D9" w:rsidRPr="00670CB1" w:rsidRDefault="002B11D9" w:rsidP="00670CB1">
      <w:pPr>
        <w:tabs>
          <w:tab w:val="center" w:pos="4568"/>
        </w:tabs>
        <w:ind w:right="-93"/>
        <w:rPr>
          <w:szCs w:val="22"/>
        </w:rPr>
      </w:pPr>
    </w:p>
    <w:p w14:paraId="5C52BD3D" w14:textId="77777777" w:rsidR="002B11D9" w:rsidRPr="00670CB1" w:rsidRDefault="002B11D9" w:rsidP="00670CB1">
      <w:pPr>
        <w:tabs>
          <w:tab w:val="center" w:pos="4568"/>
        </w:tabs>
        <w:ind w:right="-93"/>
        <w:rPr>
          <w:szCs w:val="22"/>
        </w:rPr>
      </w:pPr>
    </w:p>
    <w:p w14:paraId="6D32AF04" w14:textId="77777777" w:rsidR="002B11D9" w:rsidRPr="00670CB1" w:rsidRDefault="002B11D9" w:rsidP="00670CB1">
      <w:pPr>
        <w:rPr>
          <w:szCs w:val="22"/>
        </w:rPr>
      </w:pPr>
    </w:p>
    <w:sectPr w:rsidR="002B11D9" w:rsidRPr="00670CB1">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FBC5F" w14:textId="77777777" w:rsidR="00C07558" w:rsidRDefault="00C07558">
      <w:pPr>
        <w:spacing w:line="240" w:lineRule="auto"/>
      </w:pPr>
      <w:r>
        <w:separator/>
      </w:r>
    </w:p>
  </w:endnote>
  <w:endnote w:type="continuationSeparator" w:id="0">
    <w:p w14:paraId="7C58C82E" w14:textId="77777777" w:rsidR="00C07558" w:rsidRDefault="00C07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FC25" w14:textId="77777777" w:rsidR="00B95B77" w:rsidRDefault="00B95B77">
    <w:pPr>
      <w:tabs>
        <w:tab w:val="center" w:pos="4550"/>
        <w:tab w:val="left" w:pos="5818"/>
      </w:tabs>
      <w:ind w:right="260"/>
      <w:jc w:val="right"/>
      <w:rPr>
        <w:color w:val="071320"/>
        <w:sz w:val="24"/>
        <w:szCs w:val="24"/>
      </w:rPr>
    </w:pPr>
  </w:p>
  <w:p w14:paraId="6956D721" w14:textId="77777777" w:rsidR="00B95B77" w:rsidRDefault="00B95B77">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1145" w14:textId="77777777" w:rsidR="00B95B77" w:rsidRDefault="00B95B7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E0CFB">
      <w:rPr>
        <w:noProof/>
        <w:color w:val="0A1D30"/>
        <w:sz w:val="24"/>
        <w:szCs w:val="24"/>
      </w:rPr>
      <w:t>41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E0CFB">
      <w:rPr>
        <w:noProof/>
        <w:color w:val="0A1D30"/>
        <w:sz w:val="24"/>
        <w:szCs w:val="24"/>
      </w:rPr>
      <w:t>42</w:t>
    </w:r>
    <w:r>
      <w:rPr>
        <w:color w:val="0A1D30"/>
        <w:sz w:val="24"/>
        <w:szCs w:val="24"/>
      </w:rPr>
      <w:fldChar w:fldCharType="end"/>
    </w:r>
  </w:p>
  <w:p w14:paraId="6E3F5C8E" w14:textId="77777777" w:rsidR="00B95B77" w:rsidRDefault="00B95B77">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E1227" w14:textId="77777777" w:rsidR="00C07558" w:rsidRDefault="00C07558">
      <w:pPr>
        <w:spacing w:line="240" w:lineRule="auto"/>
      </w:pPr>
      <w:r>
        <w:separator/>
      </w:r>
    </w:p>
  </w:footnote>
  <w:footnote w:type="continuationSeparator" w:id="0">
    <w:p w14:paraId="19A1B08A" w14:textId="77777777" w:rsidR="00C07558" w:rsidRDefault="00C07558">
      <w:pPr>
        <w:spacing w:line="240" w:lineRule="auto"/>
      </w:pPr>
      <w:r>
        <w:continuationSeparator/>
      </w:r>
    </w:p>
  </w:footnote>
  <w:footnote w:id="1">
    <w:p w14:paraId="702D873F" w14:textId="77777777" w:rsidR="00B95B77" w:rsidRPr="002228A5" w:rsidRDefault="00B95B77" w:rsidP="001334FD">
      <w:pPr>
        <w:pStyle w:val="Textonotapie"/>
        <w:jc w:val="both"/>
        <w:rPr>
          <w:rFonts w:ascii="Palatino Linotype" w:hAnsi="Palatino Linotype"/>
        </w:rPr>
      </w:pPr>
      <w:r w:rsidRPr="002228A5">
        <w:rPr>
          <w:rStyle w:val="Refdenotaalpie"/>
          <w:rFonts w:ascii="Palatino Linotype" w:hAnsi="Palatino Linotype"/>
        </w:rPr>
        <w:footnoteRef/>
      </w:r>
      <w:r w:rsidRPr="002228A5">
        <w:rPr>
          <w:rFonts w:ascii="Palatino Linotype" w:hAnsi="Palatino Linotype"/>
        </w:rPr>
        <w:t xml:space="preserve"> Para su consulta en línea:</w:t>
      </w:r>
    </w:p>
    <w:p w14:paraId="1DAA7A25" w14:textId="77777777" w:rsidR="00B95B77" w:rsidRPr="00DD6AF7" w:rsidRDefault="00DE0CFB" w:rsidP="001334FD">
      <w:pPr>
        <w:pStyle w:val="Textonotapie"/>
        <w:jc w:val="both"/>
        <w:rPr>
          <w:rFonts w:ascii="Palatino Linotype" w:hAnsi="Palatino Linotype"/>
          <w:i/>
          <w:sz w:val="18"/>
          <w:szCs w:val="18"/>
        </w:rPr>
      </w:pPr>
      <w:hyperlink r:id="rId1" w:history="1">
        <w:r w:rsidR="00B95B77" w:rsidRPr="002228A5">
          <w:rPr>
            <w:rStyle w:val="Hipervnculo"/>
            <w:rFonts w:ascii="Palatino Linotype" w:hAnsi="Palatino Linotype"/>
          </w:rPr>
          <w:t>https://www.osfem.gob.mx/01_Organizacion/Marco_Juridico/doc/14_ManUniConGub2023.pdf</w:t>
        </w:r>
      </w:hyperlink>
      <w:r w:rsidR="00B95B7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DEF45" w14:textId="77777777" w:rsidR="00B95B77" w:rsidRDefault="00B95B77">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95B77" w14:paraId="0D9B3EDA" w14:textId="77777777">
      <w:trPr>
        <w:trHeight w:val="144"/>
        <w:jc w:val="right"/>
      </w:trPr>
      <w:tc>
        <w:tcPr>
          <w:tcW w:w="2727" w:type="dxa"/>
        </w:tcPr>
        <w:p w14:paraId="27E11930" w14:textId="77777777" w:rsidR="00B95B77" w:rsidRDefault="00B95B77">
          <w:pPr>
            <w:tabs>
              <w:tab w:val="right" w:pos="8838"/>
            </w:tabs>
            <w:ind w:left="-74" w:right="-105"/>
            <w:rPr>
              <w:b/>
            </w:rPr>
          </w:pPr>
          <w:r>
            <w:rPr>
              <w:b/>
            </w:rPr>
            <w:t>Recurso de Revisión:</w:t>
          </w:r>
        </w:p>
      </w:tc>
      <w:tc>
        <w:tcPr>
          <w:tcW w:w="3402" w:type="dxa"/>
        </w:tcPr>
        <w:p w14:paraId="0190084E" w14:textId="4DEDEF7D" w:rsidR="00B95B77" w:rsidRPr="00E43858" w:rsidRDefault="00B95B77" w:rsidP="002C2212">
          <w:pPr>
            <w:tabs>
              <w:tab w:val="right" w:pos="8838"/>
            </w:tabs>
            <w:ind w:left="-74" w:right="-105"/>
          </w:pPr>
          <w:r>
            <w:t>04637</w:t>
          </w:r>
          <w:r w:rsidRPr="00E43858">
            <w:t>/INFOEM/IP/RR/202</w:t>
          </w:r>
          <w:r>
            <w:t>5</w:t>
          </w:r>
          <w:r w:rsidRPr="00E43858">
            <w:t xml:space="preserve"> </w:t>
          </w:r>
        </w:p>
      </w:tc>
    </w:tr>
    <w:tr w:rsidR="00B95B77" w14:paraId="71073FBB" w14:textId="77777777">
      <w:trPr>
        <w:trHeight w:val="283"/>
        <w:jc w:val="right"/>
      </w:trPr>
      <w:tc>
        <w:tcPr>
          <w:tcW w:w="2727" w:type="dxa"/>
        </w:tcPr>
        <w:p w14:paraId="17C6F29D" w14:textId="77777777" w:rsidR="00B95B77" w:rsidRDefault="00B95B77">
          <w:pPr>
            <w:tabs>
              <w:tab w:val="right" w:pos="8838"/>
            </w:tabs>
            <w:ind w:left="-74" w:right="-105"/>
            <w:rPr>
              <w:b/>
            </w:rPr>
          </w:pPr>
          <w:r>
            <w:rPr>
              <w:b/>
            </w:rPr>
            <w:t>Sujeto Obligado:</w:t>
          </w:r>
        </w:p>
      </w:tc>
      <w:tc>
        <w:tcPr>
          <w:tcW w:w="3402" w:type="dxa"/>
        </w:tcPr>
        <w:p w14:paraId="46561F9A" w14:textId="1FA48C15" w:rsidR="00B95B77" w:rsidRPr="00737DE3" w:rsidRDefault="00B95B77" w:rsidP="003C3124">
          <w:pPr>
            <w:tabs>
              <w:tab w:val="left" w:pos="2834"/>
              <w:tab w:val="right" w:pos="8838"/>
            </w:tabs>
            <w:ind w:left="-108" w:right="-105"/>
            <w:rPr>
              <w:highlight w:val="yellow"/>
            </w:rPr>
          </w:pPr>
          <w:r w:rsidRPr="002C2212">
            <w:t xml:space="preserve">Ayuntamiento de </w:t>
          </w:r>
          <w:r>
            <w:t>Calimaya</w:t>
          </w:r>
        </w:p>
      </w:tc>
    </w:tr>
    <w:tr w:rsidR="00B95B77" w14:paraId="5434ECEC" w14:textId="77777777">
      <w:trPr>
        <w:trHeight w:val="283"/>
        <w:jc w:val="right"/>
      </w:trPr>
      <w:tc>
        <w:tcPr>
          <w:tcW w:w="2727" w:type="dxa"/>
        </w:tcPr>
        <w:p w14:paraId="3E24D6EE" w14:textId="77777777" w:rsidR="00B95B77" w:rsidRDefault="00B95B77">
          <w:pPr>
            <w:tabs>
              <w:tab w:val="right" w:pos="8838"/>
            </w:tabs>
            <w:ind w:left="-74" w:right="-105"/>
            <w:rPr>
              <w:b/>
            </w:rPr>
          </w:pPr>
          <w:r>
            <w:rPr>
              <w:b/>
            </w:rPr>
            <w:t>Comisionada Ponente:</w:t>
          </w:r>
        </w:p>
      </w:tc>
      <w:tc>
        <w:tcPr>
          <w:tcW w:w="3402" w:type="dxa"/>
        </w:tcPr>
        <w:p w14:paraId="265634D1" w14:textId="77777777" w:rsidR="00B95B77" w:rsidRDefault="00B95B77">
          <w:pPr>
            <w:tabs>
              <w:tab w:val="right" w:pos="8838"/>
            </w:tabs>
            <w:ind w:left="-108" w:right="-105"/>
          </w:pPr>
          <w:r>
            <w:t>Sharon Cristina Morales Martínez</w:t>
          </w:r>
        </w:p>
      </w:tc>
    </w:tr>
  </w:tbl>
  <w:p w14:paraId="0D720004" w14:textId="77777777" w:rsidR="00B95B77" w:rsidRDefault="00B95B77">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9A1AD7C" wp14:editId="1A892C77">
          <wp:simplePos x="0" y="0"/>
          <wp:positionH relativeFrom="margin">
            <wp:posOffset>-995043</wp:posOffset>
          </wp:positionH>
          <wp:positionV relativeFrom="margin">
            <wp:posOffset>-1782444</wp:posOffset>
          </wp:positionV>
          <wp:extent cx="8426450" cy="109728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3CA90" w14:textId="77777777" w:rsidR="00B95B77" w:rsidRDefault="00B95B77">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B95B77" w14:paraId="07D4DC48" w14:textId="77777777">
      <w:trPr>
        <w:trHeight w:val="1435"/>
      </w:trPr>
      <w:tc>
        <w:tcPr>
          <w:tcW w:w="283" w:type="dxa"/>
          <w:shd w:val="clear" w:color="auto" w:fill="auto"/>
        </w:tcPr>
        <w:p w14:paraId="10AEDB3E" w14:textId="77777777" w:rsidR="00B95B77" w:rsidRDefault="00B95B77">
          <w:pPr>
            <w:tabs>
              <w:tab w:val="right" w:pos="4273"/>
            </w:tabs>
            <w:rPr>
              <w:rFonts w:ascii="Garamond" w:eastAsia="Garamond" w:hAnsi="Garamond" w:cs="Garamond"/>
            </w:rPr>
          </w:pPr>
        </w:p>
      </w:tc>
      <w:tc>
        <w:tcPr>
          <w:tcW w:w="6379" w:type="dxa"/>
          <w:shd w:val="clear" w:color="auto" w:fill="auto"/>
        </w:tcPr>
        <w:p w14:paraId="1F1DA6B4" w14:textId="77777777" w:rsidR="00B95B77" w:rsidRDefault="00B95B77">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B95B77" w14:paraId="6CAFFB43" w14:textId="77777777">
            <w:trPr>
              <w:trHeight w:val="144"/>
            </w:trPr>
            <w:tc>
              <w:tcPr>
                <w:tcW w:w="2790" w:type="dxa"/>
              </w:tcPr>
              <w:p w14:paraId="4F90FE50" w14:textId="77777777" w:rsidR="00B95B77" w:rsidRDefault="00B95B77">
                <w:pPr>
                  <w:tabs>
                    <w:tab w:val="right" w:pos="8838"/>
                  </w:tabs>
                  <w:ind w:left="-74" w:right="-105"/>
                  <w:rPr>
                    <w:b/>
                  </w:rPr>
                </w:pPr>
                <w:bookmarkStart w:id="1" w:name="_heading=h.147n2zr" w:colFirst="0" w:colLast="0"/>
                <w:bookmarkEnd w:id="1"/>
                <w:r>
                  <w:rPr>
                    <w:b/>
                  </w:rPr>
                  <w:t>Recurso de Revisión:</w:t>
                </w:r>
              </w:p>
            </w:tc>
            <w:tc>
              <w:tcPr>
                <w:tcW w:w="3345" w:type="dxa"/>
              </w:tcPr>
              <w:p w14:paraId="08792260" w14:textId="47718C76" w:rsidR="00B95B77" w:rsidRPr="00E43858" w:rsidRDefault="00B95B77" w:rsidP="009610CD">
                <w:pPr>
                  <w:tabs>
                    <w:tab w:val="right" w:pos="8838"/>
                  </w:tabs>
                  <w:ind w:left="-74" w:right="-105"/>
                </w:pPr>
                <w:r>
                  <w:t>04637/INFOEM/IP/RR/2025</w:t>
                </w:r>
                <w:r w:rsidRPr="00E43858">
                  <w:t xml:space="preserve"> </w:t>
                </w:r>
              </w:p>
            </w:tc>
            <w:tc>
              <w:tcPr>
                <w:tcW w:w="3405" w:type="dxa"/>
              </w:tcPr>
              <w:p w14:paraId="2A287227" w14:textId="77777777" w:rsidR="00B95B77" w:rsidRDefault="00B95B77">
                <w:pPr>
                  <w:tabs>
                    <w:tab w:val="right" w:pos="8838"/>
                  </w:tabs>
                  <w:ind w:left="-74" w:right="-105"/>
                </w:pPr>
              </w:p>
            </w:tc>
          </w:tr>
          <w:tr w:rsidR="00B95B77" w14:paraId="0656BFF9" w14:textId="77777777">
            <w:trPr>
              <w:trHeight w:val="144"/>
            </w:trPr>
            <w:tc>
              <w:tcPr>
                <w:tcW w:w="2790" w:type="dxa"/>
              </w:tcPr>
              <w:p w14:paraId="364722EA" w14:textId="77777777" w:rsidR="00B95B77" w:rsidRDefault="00B95B77">
                <w:pPr>
                  <w:tabs>
                    <w:tab w:val="right" w:pos="8838"/>
                  </w:tabs>
                  <w:ind w:left="-74" w:right="-105"/>
                  <w:rPr>
                    <w:b/>
                  </w:rPr>
                </w:pPr>
                <w:bookmarkStart w:id="2" w:name="_heading=h.3o7alnk" w:colFirst="0" w:colLast="0"/>
                <w:bookmarkEnd w:id="2"/>
                <w:r>
                  <w:rPr>
                    <w:b/>
                  </w:rPr>
                  <w:t>Recurrente:</w:t>
                </w:r>
              </w:p>
            </w:tc>
            <w:tc>
              <w:tcPr>
                <w:tcW w:w="3345" w:type="dxa"/>
              </w:tcPr>
              <w:p w14:paraId="6213424C" w14:textId="0D637641" w:rsidR="00B95B77" w:rsidRDefault="00B95B77" w:rsidP="002C2212">
                <w:pPr>
                  <w:tabs>
                    <w:tab w:val="left" w:pos="3122"/>
                    <w:tab w:val="right" w:pos="8838"/>
                  </w:tabs>
                  <w:ind w:left="-105" w:right="-105"/>
                </w:pPr>
              </w:p>
            </w:tc>
            <w:tc>
              <w:tcPr>
                <w:tcW w:w="3405" w:type="dxa"/>
              </w:tcPr>
              <w:p w14:paraId="17E34EE7" w14:textId="77777777" w:rsidR="00B95B77" w:rsidRDefault="00B95B77">
                <w:pPr>
                  <w:tabs>
                    <w:tab w:val="left" w:pos="3122"/>
                    <w:tab w:val="right" w:pos="8838"/>
                  </w:tabs>
                  <w:ind w:left="-105" w:right="-105"/>
                </w:pPr>
              </w:p>
            </w:tc>
          </w:tr>
          <w:tr w:rsidR="00B95B77" w14:paraId="3FA08C30" w14:textId="77777777">
            <w:trPr>
              <w:trHeight w:val="283"/>
            </w:trPr>
            <w:tc>
              <w:tcPr>
                <w:tcW w:w="2790" w:type="dxa"/>
              </w:tcPr>
              <w:p w14:paraId="490F74F2" w14:textId="77777777" w:rsidR="00B95B77" w:rsidRDefault="00B95B77">
                <w:pPr>
                  <w:tabs>
                    <w:tab w:val="right" w:pos="8838"/>
                  </w:tabs>
                  <w:ind w:left="-74" w:right="-105"/>
                  <w:rPr>
                    <w:b/>
                  </w:rPr>
                </w:pPr>
                <w:r>
                  <w:rPr>
                    <w:b/>
                  </w:rPr>
                  <w:t>Sujeto Obligado:</w:t>
                </w:r>
              </w:p>
            </w:tc>
            <w:tc>
              <w:tcPr>
                <w:tcW w:w="3345" w:type="dxa"/>
              </w:tcPr>
              <w:p w14:paraId="7106384F" w14:textId="0B483394" w:rsidR="00B95B77" w:rsidRPr="00737DE3" w:rsidRDefault="00B95B77" w:rsidP="003C3124">
                <w:pPr>
                  <w:tabs>
                    <w:tab w:val="left" w:pos="2834"/>
                    <w:tab w:val="right" w:pos="8838"/>
                  </w:tabs>
                  <w:ind w:left="-108" w:right="-105"/>
                  <w:rPr>
                    <w:highlight w:val="yellow"/>
                  </w:rPr>
                </w:pPr>
                <w:r w:rsidRPr="002C2212">
                  <w:t xml:space="preserve">Ayuntamiento de </w:t>
                </w:r>
                <w:r>
                  <w:t>Calimaya</w:t>
                </w:r>
              </w:p>
            </w:tc>
            <w:tc>
              <w:tcPr>
                <w:tcW w:w="3405" w:type="dxa"/>
              </w:tcPr>
              <w:p w14:paraId="16AB2B15" w14:textId="77777777" w:rsidR="00B95B77" w:rsidRDefault="00B95B77">
                <w:pPr>
                  <w:tabs>
                    <w:tab w:val="left" w:pos="2834"/>
                    <w:tab w:val="right" w:pos="8838"/>
                  </w:tabs>
                  <w:ind w:left="-108" w:right="-105"/>
                </w:pPr>
              </w:p>
            </w:tc>
          </w:tr>
          <w:tr w:rsidR="00B95B77" w14:paraId="2BEAB0A2" w14:textId="77777777">
            <w:trPr>
              <w:trHeight w:val="283"/>
            </w:trPr>
            <w:tc>
              <w:tcPr>
                <w:tcW w:w="2790" w:type="dxa"/>
              </w:tcPr>
              <w:p w14:paraId="0D2ED2D3" w14:textId="77777777" w:rsidR="00B95B77" w:rsidRDefault="00B95B77">
                <w:pPr>
                  <w:tabs>
                    <w:tab w:val="right" w:pos="8838"/>
                  </w:tabs>
                  <w:ind w:left="-74" w:right="-105"/>
                  <w:rPr>
                    <w:b/>
                  </w:rPr>
                </w:pPr>
                <w:r>
                  <w:rPr>
                    <w:b/>
                  </w:rPr>
                  <w:t>Comisionada Ponente:</w:t>
                </w:r>
              </w:p>
            </w:tc>
            <w:tc>
              <w:tcPr>
                <w:tcW w:w="3345" w:type="dxa"/>
              </w:tcPr>
              <w:p w14:paraId="585AA3C5" w14:textId="77777777" w:rsidR="00B95B77" w:rsidRDefault="00B95B77">
                <w:pPr>
                  <w:tabs>
                    <w:tab w:val="right" w:pos="8838"/>
                  </w:tabs>
                  <w:ind w:left="-108" w:right="-105"/>
                </w:pPr>
                <w:r>
                  <w:t>Sharon Cristina Morales Martínez</w:t>
                </w:r>
              </w:p>
            </w:tc>
            <w:tc>
              <w:tcPr>
                <w:tcW w:w="3405" w:type="dxa"/>
              </w:tcPr>
              <w:p w14:paraId="2849A278" w14:textId="77777777" w:rsidR="00B95B77" w:rsidRDefault="00B95B77">
                <w:pPr>
                  <w:tabs>
                    <w:tab w:val="right" w:pos="8838"/>
                  </w:tabs>
                  <w:ind w:left="-108" w:right="-105"/>
                </w:pPr>
              </w:p>
            </w:tc>
          </w:tr>
        </w:tbl>
        <w:p w14:paraId="658704ED" w14:textId="77777777" w:rsidR="00B95B77" w:rsidRDefault="00B95B77">
          <w:pPr>
            <w:tabs>
              <w:tab w:val="right" w:pos="8838"/>
            </w:tabs>
            <w:ind w:left="-28"/>
            <w:rPr>
              <w:rFonts w:ascii="Arial" w:eastAsia="Arial" w:hAnsi="Arial" w:cs="Arial"/>
              <w:b/>
            </w:rPr>
          </w:pPr>
        </w:p>
      </w:tc>
    </w:tr>
  </w:tbl>
  <w:p w14:paraId="0C136404" w14:textId="77777777" w:rsidR="00B95B77" w:rsidRDefault="00DE0CFB">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1B7B9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26F6"/>
    <w:multiLevelType w:val="multilevel"/>
    <w:tmpl w:val="A93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14ED"/>
    <w:multiLevelType w:val="multilevel"/>
    <w:tmpl w:val="FAA2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F1621"/>
    <w:multiLevelType w:val="hybridMultilevel"/>
    <w:tmpl w:val="50AC6D00"/>
    <w:lvl w:ilvl="0" w:tplc="E6026D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EDE257D"/>
    <w:multiLevelType w:val="hybridMultilevel"/>
    <w:tmpl w:val="1B0C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635256"/>
    <w:multiLevelType w:val="hybridMultilevel"/>
    <w:tmpl w:val="FC6C45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94A90"/>
    <w:multiLevelType w:val="hybridMultilevel"/>
    <w:tmpl w:val="1BF04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BF2933"/>
    <w:multiLevelType w:val="hybridMultilevel"/>
    <w:tmpl w:val="1BF04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8B24FB"/>
    <w:multiLevelType w:val="hybridMultilevel"/>
    <w:tmpl w:val="FC422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ED6539"/>
    <w:multiLevelType w:val="hybridMultilevel"/>
    <w:tmpl w:val="1BF04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621C68"/>
    <w:multiLevelType w:val="hybridMultilevel"/>
    <w:tmpl w:val="DD06E24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9"/>
  </w:num>
  <w:num w:numId="5">
    <w:abstractNumId w:val="6"/>
  </w:num>
  <w:num w:numId="6">
    <w:abstractNumId w:val="3"/>
  </w:num>
  <w:num w:numId="7">
    <w:abstractNumId w:val="1"/>
  </w:num>
  <w:num w:numId="8">
    <w:abstractNumId w:val="12"/>
  </w:num>
  <w:num w:numId="9">
    <w:abstractNumId w:val="5"/>
  </w:num>
  <w:num w:numId="10">
    <w:abstractNumId w:val="4"/>
  </w:num>
  <w:num w:numId="11">
    <w:abstractNumId w:val="2"/>
  </w:num>
  <w:num w:numId="12">
    <w:abstractNumId w:val="11"/>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D9"/>
    <w:rsid w:val="000007C1"/>
    <w:rsid w:val="000021B4"/>
    <w:rsid w:val="000122E9"/>
    <w:rsid w:val="00012BCD"/>
    <w:rsid w:val="0001436B"/>
    <w:rsid w:val="00016B51"/>
    <w:rsid w:val="00024352"/>
    <w:rsid w:val="00034C5C"/>
    <w:rsid w:val="00036E41"/>
    <w:rsid w:val="000470DF"/>
    <w:rsid w:val="00050E16"/>
    <w:rsid w:val="00051331"/>
    <w:rsid w:val="0005205B"/>
    <w:rsid w:val="00057B4D"/>
    <w:rsid w:val="00060361"/>
    <w:rsid w:val="0006761C"/>
    <w:rsid w:val="000828E0"/>
    <w:rsid w:val="000828F4"/>
    <w:rsid w:val="00084868"/>
    <w:rsid w:val="00084F47"/>
    <w:rsid w:val="0008720D"/>
    <w:rsid w:val="00090FAC"/>
    <w:rsid w:val="00092573"/>
    <w:rsid w:val="000955A6"/>
    <w:rsid w:val="000B4924"/>
    <w:rsid w:val="000B7111"/>
    <w:rsid w:val="000B7D6E"/>
    <w:rsid w:val="000C02E8"/>
    <w:rsid w:val="000C270A"/>
    <w:rsid w:val="000D17E5"/>
    <w:rsid w:val="000D2848"/>
    <w:rsid w:val="000D33B0"/>
    <w:rsid w:val="000D5826"/>
    <w:rsid w:val="000D600D"/>
    <w:rsid w:val="000D7B24"/>
    <w:rsid w:val="000E3DF1"/>
    <w:rsid w:val="000E42CA"/>
    <w:rsid w:val="000E5873"/>
    <w:rsid w:val="000E5967"/>
    <w:rsid w:val="000F4391"/>
    <w:rsid w:val="000F553A"/>
    <w:rsid w:val="0010000B"/>
    <w:rsid w:val="001126E3"/>
    <w:rsid w:val="00114C81"/>
    <w:rsid w:val="00131BE1"/>
    <w:rsid w:val="001334FD"/>
    <w:rsid w:val="00134FA1"/>
    <w:rsid w:val="00135023"/>
    <w:rsid w:val="00142D32"/>
    <w:rsid w:val="00155E4A"/>
    <w:rsid w:val="00157854"/>
    <w:rsid w:val="001602F6"/>
    <w:rsid w:val="0016145D"/>
    <w:rsid w:val="001621AE"/>
    <w:rsid w:val="00167E06"/>
    <w:rsid w:val="0017354D"/>
    <w:rsid w:val="0018254F"/>
    <w:rsid w:val="00191CF7"/>
    <w:rsid w:val="00193492"/>
    <w:rsid w:val="001A6D05"/>
    <w:rsid w:val="001B5316"/>
    <w:rsid w:val="001B7238"/>
    <w:rsid w:val="001C0893"/>
    <w:rsid w:val="001C12D6"/>
    <w:rsid w:val="001C1369"/>
    <w:rsid w:val="001C428F"/>
    <w:rsid w:val="001C660F"/>
    <w:rsid w:val="001C7554"/>
    <w:rsid w:val="001C77EC"/>
    <w:rsid w:val="001D3D68"/>
    <w:rsid w:val="001E3743"/>
    <w:rsid w:val="001F3976"/>
    <w:rsid w:val="001F4F40"/>
    <w:rsid w:val="001F6F8A"/>
    <w:rsid w:val="00204541"/>
    <w:rsid w:val="00210D17"/>
    <w:rsid w:val="00217A55"/>
    <w:rsid w:val="002205B7"/>
    <w:rsid w:val="0022162F"/>
    <w:rsid w:val="002334C5"/>
    <w:rsid w:val="002363EB"/>
    <w:rsid w:val="002366E5"/>
    <w:rsid w:val="00240BB6"/>
    <w:rsid w:val="00247497"/>
    <w:rsid w:val="00251076"/>
    <w:rsid w:val="00263450"/>
    <w:rsid w:val="00263A58"/>
    <w:rsid w:val="002710A8"/>
    <w:rsid w:val="002805CE"/>
    <w:rsid w:val="0028146A"/>
    <w:rsid w:val="00283435"/>
    <w:rsid w:val="00283837"/>
    <w:rsid w:val="00290706"/>
    <w:rsid w:val="00290F13"/>
    <w:rsid w:val="002A28CE"/>
    <w:rsid w:val="002A3FDC"/>
    <w:rsid w:val="002A72FE"/>
    <w:rsid w:val="002B11D9"/>
    <w:rsid w:val="002B24B6"/>
    <w:rsid w:val="002B599D"/>
    <w:rsid w:val="002C2212"/>
    <w:rsid w:val="002C26FC"/>
    <w:rsid w:val="002D1F4F"/>
    <w:rsid w:val="002D32B2"/>
    <w:rsid w:val="00315AC6"/>
    <w:rsid w:val="00317E05"/>
    <w:rsid w:val="00322DE3"/>
    <w:rsid w:val="003248B8"/>
    <w:rsid w:val="00324E04"/>
    <w:rsid w:val="00325427"/>
    <w:rsid w:val="003263B2"/>
    <w:rsid w:val="0032654E"/>
    <w:rsid w:val="00326E22"/>
    <w:rsid w:val="0032750C"/>
    <w:rsid w:val="003278EC"/>
    <w:rsid w:val="0033679A"/>
    <w:rsid w:val="003445FC"/>
    <w:rsid w:val="00353A30"/>
    <w:rsid w:val="00365E5D"/>
    <w:rsid w:val="003670BA"/>
    <w:rsid w:val="00382FEF"/>
    <w:rsid w:val="00386B09"/>
    <w:rsid w:val="0038711B"/>
    <w:rsid w:val="00387BDF"/>
    <w:rsid w:val="00396EBA"/>
    <w:rsid w:val="00397DCC"/>
    <w:rsid w:val="003A592F"/>
    <w:rsid w:val="003C3124"/>
    <w:rsid w:val="003D41EA"/>
    <w:rsid w:val="003D47ED"/>
    <w:rsid w:val="003E4487"/>
    <w:rsid w:val="003F521F"/>
    <w:rsid w:val="00400B8C"/>
    <w:rsid w:val="00407396"/>
    <w:rsid w:val="00421000"/>
    <w:rsid w:val="00421C6E"/>
    <w:rsid w:val="0043233B"/>
    <w:rsid w:val="00432402"/>
    <w:rsid w:val="00437BFC"/>
    <w:rsid w:val="0044614C"/>
    <w:rsid w:val="004477A5"/>
    <w:rsid w:val="00453556"/>
    <w:rsid w:val="00466868"/>
    <w:rsid w:val="004757B0"/>
    <w:rsid w:val="00476551"/>
    <w:rsid w:val="0047718C"/>
    <w:rsid w:val="00483D29"/>
    <w:rsid w:val="00492EA4"/>
    <w:rsid w:val="00497546"/>
    <w:rsid w:val="004A011D"/>
    <w:rsid w:val="004A1070"/>
    <w:rsid w:val="004A3433"/>
    <w:rsid w:val="004A4AA5"/>
    <w:rsid w:val="004D4360"/>
    <w:rsid w:val="004D495C"/>
    <w:rsid w:val="004E4285"/>
    <w:rsid w:val="004E7127"/>
    <w:rsid w:val="004E73AE"/>
    <w:rsid w:val="004F40D0"/>
    <w:rsid w:val="004F59D6"/>
    <w:rsid w:val="00502F3C"/>
    <w:rsid w:val="00506730"/>
    <w:rsid w:val="00510207"/>
    <w:rsid w:val="005201C8"/>
    <w:rsid w:val="005202C2"/>
    <w:rsid w:val="00520C66"/>
    <w:rsid w:val="005315C2"/>
    <w:rsid w:val="00561404"/>
    <w:rsid w:val="00563E87"/>
    <w:rsid w:val="00572C31"/>
    <w:rsid w:val="00583B5F"/>
    <w:rsid w:val="0059020D"/>
    <w:rsid w:val="0059157F"/>
    <w:rsid w:val="00594E59"/>
    <w:rsid w:val="005968FA"/>
    <w:rsid w:val="005A1DCB"/>
    <w:rsid w:val="005A65F3"/>
    <w:rsid w:val="005A6DDC"/>
    <w:rsid w:val="005A7A29"/>
    <w:rsid w:val="005C3D60"/>
    <w:rsid w:val="005D1356"/>
    <w:rsid w:val="005E604E"/>
    <w:rsid w:val="005F3606"/>
    <w:rsid w:val="005F6CC7"/>
    <w:rsid w:val="005F7177"/>
    <w:rsid w:val="0060153D"/>
    <w:rsid w:val="006027DF"/>
    <w:rsid w:val="00602ACA"/>
    <w:rsid w:val="00602E1E"/>
    <w:rsid w:val="0060676F"/>
    <w:rsid w:val="00615A89"/>
    <w:rsid w:val="00633FBD"/>
    <w:rsid w:val="006426A9"/>
    <w:rsid w:val="00645DD1"/>
    <w:rsid w:val="00663FB3"/>
    <w:rsid w:val="00670C38"/>
    <w:rsid w:val="00670CB1"/>
    <w:rsid w:val="00671367"/>
    <w:rsid w:val="00680595"/>
    <w:rsid w:val="00686164"/>
    <w:rsid w:val="00692AAF"/>
    <w:rsid w:val="006A5807"/>
    <w:rsid w:val="006C74F3"/>
    <w:rsid w:val="006D0732"/>
    <w:rsid w:val="006D169C"/>
    <w:rsid w:val="006D46B2"/>
    <w:rsid w:val="006E6DC0"/>
    <w:rsid w:val="006F2AC9"/>
    <w:rsid w:val="00706BBF"/>
    <w:rsid w:val="00712E23"/>
    <w:rsid w:val="00716C11"/>
    <w:rsid w:val="007176B5"/>
    <w:rsid w:val="00727552"/>
    <w:rsid w:val="00732DB5"/>
    <w:rsid w:val="00737DE3"/>
    <w:rsid w:val="00743588"/>
    <w:rsid w:val="00746B65"/>
    <w:rsid w:val="00750E4D"/>
    <w:rsid w:val="00751776"/>
    <w:rsid w:val="0075459A"/>
    <w:rsid w:val="0076015C"/>
    <w:rsid w:val="00775026"/>
    <w:rsid w:val="007804E5"/>
    <w:rsid w:val="007860D6"/>
    <w:rsid w:val="0078667E"/>
    <w:rsid w:val="007B2DF6"/>
    <w:rsid w:val="007D2AA0"/>
    <w:rsid w:val="007E00DB"/>
    <w:rsid w:val="007F2745"/>
    <w:rsid w:val="0080475F"/>
    <w:rsid w:val="008063A5"/>
    <w:rsid w:val="00812D8B"/>
    <w:rsid w:val="00815E38"/>
    <w:rsid w:val="008225E9"/>
    <w:rsid w:val="00842AB6"/>
    <w:rsid w:val="00875119"/>
    <w:rsid w:val="00895DB5"/>
    <w:rsid w:val="008B28AB"/>
    <w:rsid w:val="008C4CBE"/>
    <w:rsid w:val="008D4EC4"/>
    <w:rsid w:val="008E0413"/>
    <w:rsid w:val="008E0821"/>
    <w:rsid w:val="008E3214"/>
    <w:rsid w:val="008E427F"/>
    <w:rsid w:val="008F496E"/>
    <w:rsid w:val="00900821"/>
    <w:rsid w:val="009047DE"/>
    <w:rsid w:val="00904CC0"/>
    <w:rsid w:val="00911794"/>
    <w:rsid w:val="009123BE"/>
    <w:rsid w:val="009224ED"/>
    <w:rsid w:val="00944F7E"/>
    <w:rsid w:val="00945355"/>
    <w:rsid w:val="009459E1"/>
    <w:rsid w:val="00946782"/>
    <w:rsid w:val="009476C1"/>
    <w:rsid w:val="009510B8"/>
    <w:rsid w:val="009539DF"/>
    <w:rsid w:val="009610CD"/>
    <w:rsid w:val="00964083"/>
    <w:rsid w:val="009773B7"/>
    <w:rsid w:val="009921EE"/>
    <w:rsid w:val="0099282A"/>
    <w:rsid w:val="00996FCF"/>
    <w:rsid w:val="009A1903"/>
    <w:rsid w:val="009B4168"/>
    <w:rsid w:val="009B4DA5"/>
    <w:rsid w:val="009C1D75"/>
    <w:rsid w:val="009C6FFB"/>
    <w:rsid w:val="009D25F7"/>
    <w:rsid w:val="009D656C"/>
    <w:rsid w:val="009E18B2"/>
    <w:rsid w:val="009E5A62"/>
    <w:rsid w:val="00A11BCA"/>
    <w:rsid w:val="00A134D3"/>
    <w:rsid w:val="00A174AD"/>
    <w:rsid w:val="00A2512A"/>
    <w:rsid w:val="00A31783"/>
    <w:rsid w:val="00A379DD"/>
    <w:rsid w:val="00A40AE4"/>
    <w:rsid w:val="00A4389C"/>
    <w:rsid w:val="00A44643"/>
    <w:rsid w:val="00A50B3F"/>
    <w:rsid w:val="00A7186C"/>
    <w:rsid w:val="00A77AB3"/>
    <w:rsid w:val="00A84F9D"/>
    <w:rsid w:val="00A91718"/>
    <w:rsid w:val="00A9674B"/>
    <w:rsid w:val="00AC6B4A"/>
    <w:rsid w:val="00AD3127"/>
    <w:rsid w:val="00AD418B"/>
    <w:rsid w:val="00AF0248"/>
    <w:rsid w:val="00B05724"/>
    <w:rsid w:val="00B1246E"/>
    <w:rsid w:val="00B2633D"/>
    <w:rsid w:val="00B33781"/>
    <w:rsid w:val="00B35406"/>
    <w:rsid w:val="00B42E7B"/>
    <w:rsid w:val="00B47A84"/>
    <w:rsid w:val="00B55678"/>
    <w:rsid w:val="00B637B4"/>
    <w:rsid w:val="00B73983"/>
    <w:rsid w:val="00B95674"/>
    <w:rsid w:val="00B95B77"/>
    <w:rsid w:val="00B96B00"/>
    <w:rsid w:val="00BA6B9F"/>
    <w:rsid w:val="00BB6009"/>
    <w:rsid w:val="00BC1D2B"/>
    <w:rsid w:val="00BC1E0C"/>
    <w:rsid w:val="00BC1F7D"/>
    <w:rsid w:val="00BC25A8"/>
    <w:rsid w:val="00BD06D1"/>
    <w:rsid w:val="00BD2B5E"/>
    <w:rsid w:val="00BD6B68"/>
    <w:rsid w:val="00BD70AD"/>
    <w:rsid w:val="00BE605E"/>
    <w:rsid w:val="00BF681A"/>
    <w:rsid w:val="00BF779F"/>
    <w:rsid w:val="00C07558"/>
    <w:rsid w:val="00C11483"/>
    <w:rsid w:val="00C155A3"/>
    <w:rsid w:val="00C15ABB"/>
    <w:rsid w:val="00C32CB5"/>
    <w:rsid w:val="00C57E63"/>
    <w:rsid w:val="00C65269"/>
    <w:rsid w:val="00C66335"/>
    <w:rsid w:val="00C67F90"/>
    <w:rsid w:val="00C739BF"/>
    <w:rsid w:val="00C90DF4"/>
    <w:rsid w:val="00CA33C7"/>
    <w:rsid w:val="00CB091A"/>
    <w:rsid w:val="00CB4E1B"/>
    <w:rsid w:val="00CC6C3B"/>
    <w:rsid w:val="00CE6A7F"/>
    <w:rsid w:val="00CF0519"/>
    <w:rsid w:val="00CF6D5B"/>
    <w:rsid w:val="00D03F32"/>
    <w:rsid w:val="00D04833"/>
    <w:rsid w:val="00D0620A"/>
    <w:rsid w:val="00D12525"/>
    <w:rsid w:val="00D2797F"/>
    <w:rsid w:val="00D34440"/>
    <w:rsid w:val="00D35494"/>
    <w:rsid w:val="00D45240"/>
    <w:rsid w:val="00D47FDB"/>
    <w:rsid w:val="00D707EC"/>
    <w:rsid w:val="00D72F5D"/>
    <w:rsid w:val="00D76749"/>
    <w:rsid w:val="00D858BC"/>
    <w:rsid w:val="00D870AB"/>
    <w:rsid w:val="00D92D40"/>
    <w:rsid w:val="00D93A0D"/>
    <w:rsid w:val="00D96A09"/>
    <w:rsid w:val="00D96DE4"/>
    <w:rsid w:val="00DA1852"/>
    <w:rsid w:val="00DA57F8"/>
    <w:rsid w:val="00DA71D0"/>
    <w:rsid w:val="00DB156A"/>
    <w:rsid w:val="00DB3F92"/>
    <w:rsid w:val="00DC4D39"/>
    <w:rsid w:val="00DC66A5"/>
    <w:rsid w:val="00DD11B8"/>
    <w:rsid w:val="00DE0CFB"/>
    <w:rsid w:val="00DE4BA1"/>
    <w:rsid w:val="00E105B0"/>
    <w:rsid w:val="00E13E0D"/>
    <w:rsid w:val="00E27DD5"/>
    <w:rsid w:val="00E31E1F"/>
    <w:rsid w:val="00E424B0"/>
    <w:rsid w:val="00E43858"/>
    <w:rsid w:val="00E44EBA"/>
    <w:rsid w:val="00E46E50"/>
    <w:rsid w:val="00E50421"/>
    <w:rsid w:val="00E51E50"/>
    <w:rsid w:val="00E54A54"/>
    <w:rsid w:val="00E54FFD"/>
    <w:rsid w:val="00E6089A"/>
    <w:rsid w:val="00E61AC3"/>
    <w:rsid w:val="00E61C36"/>
    <w:rsid w:val="00E71D62"/>
    <w:rsid w:val="00EA0D99"/>
    <w:rsid w:val="00EA2905"/>
    <w:rsid w:val="00EB0438"/>
    <w:rsid w:val="00EC13AD"/>
    <w:rsid w:val="00EC3D52"/>
    <w:rsid w:val="00ED0C1D"/>
    <w:rsid w:val="00ED4973"/>
    <w:rsid w:val="00EE5AC3"/>
    <w:rsid w:val="00EF2D8D"/>
    <w:rsid w:val="00EF53D2"/>
    <w:rsid w:val="00EF7B58"/>
    <w:rsid w:val="00F01BEA"/>
    <w:rsid w:val="00F023FC"/>
    <w:rsid w:val="00F067ED"/>
    <w:rsid w:val="00F10C1B"/>
    <w:rsid w:val="00F1249A"/>
    <w:rsid w:val="00F16E3A"/>
    <w:rsid w:val="00F2229E"/>
    <w:rsid w:val="00F36219"/>
    <w:rsid w:val="00F371B1"/>
    <w:rsid w:val="00F465D2"/>
    <w:rsid w:val="00F64803"/>
    <w:rsid w:val="00F82DB2"/>
    <w:rsid w:val="00F86BF3"/>
    <w:rsid w:val="00F9232D"/>
    <w:rsid w:val="00F9328E"/>
    <w:rsid w:val="00F94C2B"/>
    <w:rsid w:val="00F97DF9"/>
    <w:rsid w:val="00FA569C"/>
    <w:rsid w:val="00FA6B94"/>
    <w:rsid w:val="00FB5184"/>
    <w:rsid w:val="00FC04D1"/>
    <w:rsid w:val="00FC12F3"/>
    <w:rsid w:val="00FD0059"/>
    <w:rsid w:val="00FD79D8"/>
    <w:rsid w:val="00FF3389"/>
    <w:rsid w:val="00FF5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98A9"/>
  <w15:docId w15:val="{8A06B529-6FD3-4970-971B-FA39AC0F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1334FD"/>
    <w:pPr>
      <w:spacing w:after="101" w:line="216" w:lineRule="exact"/>
      <w:ind w:firstLine="288"/>
    </w:pPr>
    <w:rPr>
      <w:rFonts w:ascii="Arial" w:hAnsi="Arial" w:cs="Arial"/>
      <w:sz w:val="18"/>
      <w:szCs w:val="18"/>
    </w:rPr>
  </w:style>
  <w:style w:type="character" w:customStyle="1" w:styleId="TextoCar">
    <w:name w:val="Texto Car"/>
    <w:link w:val="Texto"/>
    <w:locked/>
    <w:rsid w:val="001334FD"/>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9021">
      <w:bodyDiv w:val="1"/>
      <w:marLeft w:val="0"/>
      <w:marRight w:val="0"/>
      <w:marTop w:val="0"/>
      <w:marBottom w:val="0"/>
      <w:divBdr>
        <w:top w:val="none" w:sz="0" w:space="0" w:color="auto"/>
        <w:left w:val="none" w:sz="0" w:space="0" w:color="auto"/>
        <w:bottom w:val="none" w:sz="0" w:space="0" w:color="auto"/>
        <w:right w:val="none" w:sz="0" w:space="0" w:color="auto"/>
      </w:divBdr>
    </w:div>
    <w:div w:id="199510768">
      <w:bodyDiv w:val="1"/>
      <w:marLeft w:val="0"/>
      <w:marRight w:val="0"/>
      <w:marTop w:val="0"/>
      <w:marBottom w:val="0"/>
      <w:divBdr>
        <w:top w:val="none" w:sz="0" w:space="0" w:color="auto"/>
        <w:left w:val="none" w:sz="0" w:space="0" w:color="auto"/>
        <w:bottom w:val="none" w:sz="0" w:space="0" w:color="auto"/>
        <w:right w:val="none" w:sz="0" w:space="0" w:color="auto"/>
      </w:divBdr>
    </w:div>
    <w:div w:id="319622790">
      <w:bodyDiv w:val="1"/>
      <w:marLeft w:val="0"/>
      <w:marRight w:val="0"/>
      <w:marTop w:val="0"/>
      <w:marBottom w:val="0"/>
      <w:divBdr>
        <w:top w:val="none" w:sz="0" w:space="0" w:color="auto"/>
        <w:left w:val="none" w:sz="0" w:space="0" w:color="auto"/>
        <w:bottom w:val="none" w:sz="0" w:space="0" w:color="auto"/>
        <w:right w:val="none" w:sz="0" w:space="0" w:color="auto"/>
      </w:divBdr>
    </w:div>
    <w:div w:id="406459649">
      <w:bodyDiv w:val="1"/>
      <w:marLeft w:val="0"/>
      <w:marRight w:val="0"/>
      <w:marTop w:val="0"/>
      <w:marBottom w:val="0"/>
      <w:divBdr>
        <w:top w:val="none" w:sz="0" w:space="0" w:color="auto"/>
        <w:left w:val="none" w:sz="0" w:space="0" w:color="auto"/>
        <w:bottom w:val="none" w:sz="0" w:space="0" w:color="auto"/>
        <w:right w:val="none" w:sz="0" w:space="0" w:color="auto"/>
      </w:divBdr>
    </w:div>
    <w:div w:id="439227740">
      <w:bodyDiv w:val="1"/>
      <w:marLeft w:val="0"/>
      <w:marRight w:val="0"/>
      <w:marTop w:val="0"/>
      <w:marBottom w:val="0"/>
      <w:divBdr>
        <w:top w:val="none" w:sz="0" w:space="0" w:color="auto"/>
        <w:left w:val="none" w:sz="0" w:space="0" w:color="auto"/>
        <w:bottom w:val="none" w:sz="0" w:space="0" w:color="auto"/>
        <w:right w:val="none" w:sz="0" w:space="0" w:color="auto"/>
      </w:divBdr>
    </w:div>
    <w:div w:id="619604418">
      <w:bodyDiv w:val="1"/>
      <w:marLeft w:val="0"/>
      <w:marRight w:val="0"/>
      <w:marTop w:val="0"/>
      <w:marBottom w:val="0"/>
      <w:divBdr>
        <w:top w:val="none" w:sz="0" w:space="0" w:color="auto"/>
        <w:left w:val="none" w:sz="0" w:space="0" w:color="auto"/>
        <w:bottom w:val="none" w:sz="0" w:space="0" w:color="auto"/>
        <w:right w:val="none" w:sz="0" w:space="0" w:color="auto"/>
      </w:divBdr>
    </w:div>
    <w:div w:id="768501968">
      <w:bodyDiv w:val="1"/>
      <w:marLeft w:val="0"/>
      <w:marRight w:val="0"/>
      <w:marTop w:val="0"/>
      <w:marBottom w:val="0"/>
      <w:divBdr>
        <w:top w:val="none" w:sz="0" w:space="0" w:color="auto"/>
        <w:left w:val="none" w:sz="0" w:space="0" w:color="auto"/>
        <w:bottom w:val="none" w:sz="0" w:space="0" w:color="auto"/>
        <w:right w:val="none" w:sz="0" w:space="0" w:color="auto"/>
      </w:divBdr>
    </w:div>
    <w:div w:id="852305405">
      <w:bodyDiv w:val="1"/>
      <w:marLeft w:val="0"/>
      <w:marRight w:val="0"/>
      <w:marTop w:val="0"/>
      <w:marBottom w:val="0"/>
      <w:divBdr>
        <w:top w:val="none" w:sz="0" w:space="0" w:color="auto"/>
        <w:left w:val="none" w:sz="0" w:space="0" w:color="auto"/>
        <w:bottom w:val="none" w:sz="0" w:space="0" w:color="auto"/>
        <w:right w:val="none" w:sz="0" w:space="0" w:color="auto"/>
      </w:divBdr>
    </w:div>
    <w:div w:id="1015888329">
      <w:bodyDiv w:val="1"/>
      <w:marLeft w:val="0"/>
      <w:marRight w:val="0"/>
      <w:marTop w:val="0"/>
      <w:marBottom w:val="0"/>
      <w:divBdr>
        <w:top w:val="none" w:sz="0" w:space="0" w:color="auto"/>
        <w:left w:val="none" w:sz="0" w:space="0" w:color="auto"/>
        <w:bottom w:val="none" w:sz="0" w:space="0" w:color="auto"/>
        <w:right w:val="none" w:sz="0" w:space="0" w:color="auto"/>
      </w:divBdr>
    </w:div>
    <w:div w:id="1064597743">
      <w:bodyDiv w:val="1"/>
      <w:marLeft w:val="0"/>
      <w:marRight w:val="0"/>
      <w:marTop w:val="0"/>
      <w:marBottom w:val="0"/>
      <w:divBdr>
        <w:top w:val="none" w:sz="0" w:space="0" w:color="auto"/>
        <w:left w:val="none" w:sz="0" w:space="0" w:color="auto"/>
        <w:bottom w:val="none" w:sz="0" w:space="0" w:color="auto"/>
        <w:right w:val="none" w:sz="0" w:space="0" w:color="auto"/>
      </w:divBdr>
    </w:div>
    <w:div w:id="1071852579">
      <w:bodyDiv w:val="1"/>
      <w:marLeft w:val="0"/>
      <w:marRight w:val="0"/>
      <w:marTop w:val="0"/>
      <w:marBottom w:val="0"/>
      <w:divBdr>
        <w:top w:val="none" w:sz="0" w:space="0" w:color="auto"/>
        <w:left w:val="none" w:sz="0" w:space="0" w:color="auto"/>
        <w:bottom w:val="none" w:sz="0" w:space="0" w:color="auto"/>
        <w:right w:val="none" w:sz="0" w:space="0" w:color="auto"/>
      </w:divBdr>
    </w:div>
    <w:div w:id="1124276960">
      <w:bodyDiv w:val="1"/>
      <w:marLeft w:val="0"/>
      <w:marRight w:val="0"/>
      <w:marTop w:val="0"/>
      <w:marBottom w:val="0"/>
      <w:divBdr>
        <w:top w:val="none" w:sz="0" w:space="0" w:color="auto"/>
        <w:left w:val="none" w:sz="0" w:space="0" w:color="auto"/>
        <w:bottom w:val="none" w:sz="0" w:space="0" w:color="auto"/>
        <w:right w:val="none" w:sz="0" w:space="0" w:color="auto"/>
      </w:divBdr>
    </w:div>
    <w:div w:id="1128475832">
      <w:bodyDiv w:val="1"/>
      <w:marLeft w:val="0"/>
      <w:marRight w:val="0"/>
      <w:marTop w:val="0"/>
      <w:marBottom w:val="0"/>
      <w:divBdr>
        <w:top w:val="none" w:sz="0" w:space="0" w:color="auto"/>
        <w:left w:val="none" w:sz="0" w:space="0" w:color="auto"/>
        <w:bottom w:val="none" w:sz="0" w:space="0" w:color="auto"/>
        <w:right w:val="none" w:sz="0" w:space="0" w:color="auto"/>
      </w:divBdr>
    </w:div>
    <w:div w:id="1258556359">
      <w:bodyDiv w:val="1"/>
      <w:marLeft w:val="0"/>
      <w:marRight w:val="0"/>
      <w:marTop w:val="0"/>
      <w:marBottom w:val="0"/>
      <w:divBdr>
        <w:top w:val="none" w:sz="0" w:space="0" w:color="auto"/>
        <w:left w:val="none" w:sz="0" w:space="0" w:color="auto"/>
        <w:bottom w:val="none" w:sz="0" w:space="0" w:color="auto"/>
        <w:right w:val="none" w:sz="0" w:space="0" w:color="auto"/>
      </w:divBdr>
    </w:div>
    <w:div w:id="1260486081">
      <w:bodyDiv w:val="1"/>
      <w:marLeft w:val="0"/>
      <w:marRight w:val="0"/>
      <w:marTop w:val="0"/>
      <w:marBottom w:val="0"/>
      <w:divBdr>
        <w:top w:val="none" w:sz="0" w:space="0" w:color="auto"/>
        <w:left w:val="none" w:sz="0" w:space="0" w:color="auto"/>
        <w:bottom w:val="none" w:sz="0" w:space="0" w:color="auto"/>
        <w:right w:val="none" w:sz="0" w:space="0" w:color="auto"/>
      </w:divBdr>
    </w:div>
    <w:div w:id="1273978694">
      <w:bodyDiv w:val="1"/>
      <w:marLeft w:val="0"/>
      <w:marRight w:val="0"/>
      <w:marTop w:val="0"/>
      <w:marBottom w:val="0"/>
      <w:divBdr>
        <w:top w:val="none" w:sz="0" w:space="0" w:color="auto"/>
        <w:left w:val="none" w:sz="0" w:space="0" w:color="auto"/>
        <w:bottom w:val="none" w:sz="0" w:space="0" w:color="auto"/>
        <w:right w:val="none" w:sz="0" w:space="0" w:color="auto"/>
      </w:divBdr>
    </w:div>
    <w:div w:id="1285311043">
      <w:bodyDiv w:val="1"/>
      <w:marLeft w:val="0"/>
      <w:marRight w:val="0"/>
      <w:marTop w:val="0"/>
      <w:marBottom w:val="0"/>
      <w:divBdr>
        <w:top w:val="none" w:sz="0" w:space="0" w:color="auto"/>
        <w:left w:val="none" w:sz="0" w:space="0" w:color="auto"/>
        <w:bottom w:val="none" w:sz="0" w:space="0" w:color="auto"/>
        <w:right w:val="none" w:sz="0" w:space="0" w:color="auto"/>
      </w:divBdr>
    </w:div>
    <w:div w:id="1401293831">
      <w:bodyDiv w:val="1"/>
      <w:marLeft w:val="0"/>
      <w:marRight w:val="0"/>
      <w:marTop w:val="0"/>
      <w:marBottom w:val="0"/>
      <w:divBdr>
        <w:top w:val="none" w:sz="0" w:space="0" w:color="auto"/>
        <w:left w:val="none" w:sz="0" w:space="0" w:color="auto"/>
        <w:bottom w:val="none" w:sz="0" w:space="0" w:color="auto"/>
        <w:right w:val="none" w:sz="0" w:space="0" w:color="auto"/>
      </w:divBdr>
    </w:div>
    <w:div w:id="1424916217">
      <w:bodyDiv w:val="1"/>
      <w:marLeft w:val="0"/>
      <w:marRight w:val="0"/>
      <w:marTop w:val="0"/>
      <w:marBottom w:val="0"/>
      <w:divBdr>
        <w:top w:val="none" w:sz="0" w:space="0" w:color="auto"/>
        <w:left w:val="none" w:sz="0" w:space="0" w:color="auto"/>
        <w:bottom w:val="none" w:sz="0" w:space="0" w:color="auto"/>
        <w:right w:val="none" w:sz="0" w:space="0" w:color="auto"/>
      </w:divBdr>
    </w:div>
    <w:div w:id="1495491153">
      <w:bodyDiv w:val="1"/>
      <w:marLeft w:val="0"/>
      <w:marRight w:val="0"/>
      <w:marTop w:val="0"/>
      <w:marBottom w:val="0"/>
      <w:divBdr>
        <w:top w:val="none" w:sz="0" w:space="0" w:color="auto"/>
        <w:left w:val="none" w:sz="0" w:space="0" w:color="auto"/>
        <w:bottom w:val="none" w:sz="0" w:space="0" w:color="auto"/>
        <w:right w:val="none" w:sz="0" w:space="0" w:color="auto"/>
      </w:divBdr>
    </w:div>
    <w:div w:id="1893692861">
      <w:bodyDiv w:val="1"/>
      <w:marLeft w:val="0"/>
      <w:marRight w:val="0"/>
      <w:marTop w:val="0"/>
      <w:marBottom w:val="0"/>
      <w:divBdr>
        <w:top w:val="none" w:sz="0" w:space="0" w:color="auto"/>
        <w:left w:val="none" w:sz="0" w:space="0" w:color="auto"/>
        <w:bottom w:val="none" w:sz="0" w:space="0" w:color="auto"/>
        <w:right w:val="none" w:sz="0" w:space="0" w:color="auto"/>
      </w:divBdr>
    </w:div>
    <w:div w:id="1894610782">
      <w:bodyDiv w:val="1"/>
      <w:marLeft w:val="0"/>
      <w:marRight w:val="0"/>
      <w:marTop w:val="0"/>
      <w:marBottom w:val="0"/>
      <w:divBdr>
        <w:top w:val="none" w:sz="0" w:space="0" w:color="auto"/>
        <w:left w:val="none" w:sz="0" w:space="0" w:color="auto"/>
        <w:bottom w:val="none" w:sz="0" w:space="0" w:color="auto"/>
        <w:right w:val="none" w:sz="0" w:space="0" w:color="auto"/>
      </w:divBdr>
    </w:div>
    <w:div w:id="2000304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1_Organizacion/Marco_Juridico/doc/14_ManUniConGub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mVfl7Bw/ZeHNAn8gMk68Xz8V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OAByITFqanZ4ZmJUTFU0TC1BR0dfZzBmTFRJYm5qWU8wcmpP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E850D0-F482-4344-A4F8-B04BB31F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11955</Words>
  <Characters>65757</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7</cp:revision>
  <cp:lastPrinted>2025-05-22T20:11:00Z</cp:lastPrinted>
  <dcterms:created xsi:type="dcterms:W3CDTF">2025-05-19T21:23:00Z</dcterms:created>
  <dcterms:modified xsi:type="dcterms:W3CDTF">2025-05-22T20:11:00Z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