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6DD4CC" w14:textId="77777777" w:rsidR="00796AA9" w:rsidRPr="000937DF" w:rsidRDefault="00796AA9" w:rsidP="00796AA9">
      <w:pPr>
        <w:tabs>
          <w:tab w:val="left" w:pos="3465"/>
        </w:tabs>
        <w:spacing w:line="360" w:lineRule="auto"/>
        <w:ind w:right="-787"/>
        <w:jc w:val="both"/>
        <w:rPr>
          <w:rFonts w:ascii="Palatino Linotype" w:eastAsia="Palatino Linotype" w:hAnsi="Palatino Linotype" w:cs="Palatino Linotype"/>
          <w:sz w:val="22"/>
          <w:szCs w:val="22"/>
        </w:rPr>
      </w:pPr>
      <w:bookmarkStart w:id="0" w:name="_Toc521431830"/>
      <w:bookmarkStart w:id="1" w:name="_Toc27653760"/>
      <w:r w:rsidRPr="000937D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0937DF">
        <w:rPr>
          <w:rFonts w:ascii="Palatino Linotype" w:eastAsia="Palatino Linotype" w:hAnsi="Palatino Linotype" w:cs="Palatino Linotype"/>
          <w:b/>
          <w:sz w:val="22"/>
          <w:szCs w:val="22"/>
        </w:rPr>
        <w:t>diecinueve de febrero de dos mil veinticinco.</w:t>
      </w:r>
    </w:p>
    <w:p w14:paraId="3889684E" w14:textId="77777777" w:rsidR="00796AA9" w:rsidRPr="000937DF" w:rsidRDefault="00796AA9" w:rsidP="00796AA9">
      <w:pPr>
        <w:tabs>
          <w:tab w:val="left" w:pos="3465"/>
        </w:tabs>
        <w:spacing w:line="360" w:lineRule="auto"/>
        <w:ind w:right="-787"/>
        <w:jc w:val="both"/>
        <w:rPr>
          <w:rFonts w:ascii="Palatino Linotype" w:eastAsia="Palatino Linotype" w:hAnsi="Palatino Linotype" w:cs="Palatino Linotype"/>
          <w:sz w:val="22"/>
          <w:szCs w:val="22"/>
        </w:rPr>
      </w:pPr>
    </w:p>
    <w:p w14:paraId="0A735C25" w14:textId="697D4AC3" w:rsidR="00796AA9" w:rsidRPr="000937DF" w:rsidRDefault="00796AA9" w:rsidP="00796AA9">
      <w:pPr>
        <w:spacing w:line="360" w:lineRule="auto"/>
        <w:ind w:right="-787"/>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b/>
          <w:sz w:val="22"/>
          <w:szCs w:val="22"/>
        </w:rPr>
        <w:t>VISTO</w:t>
      </w:r>
      <w:r w:rsidRPr="000937DF">
        <w:rPr>
          <w:rFonts w:ascii="Palatino Linotype" w:eastAsia="Palatino Linotype" w:hAnsi="Palatino Linotype" w:cs="Palatino Linotype"/>
          <w:sz w:val="22"/>
          <w:szCs w:val="22"/>
        </w:rPr>
        <w:t xml:space="preserve"> el expediente electrónico formado con motivo del recurso de revisión </w:t>
      </w:r>
      <w:r w:rsidRPr="000937DF">
        <w:rPr>
          <w:rFonts w:ascii="Palatino Linotype" w:eastAsia="Palatino Linotype" w:hAnsi="Palatino Linotype" w:cs="Palatino Linotype"/>
          <w:b/>
          <w:sz w:val="22"/>
          <w:szCs w:val="22"/>
        </w:rPr>
        <w:t>05243/INFOEM/IP/RR/2024</w:t>
      </w:r>
      <w:r w:rsidRPr="000937DF">
        <w:rPr>
          <w:rFonts w:ascii="Palatino Linotype" w:eastAsia="Palatino Linotype" w:hAnsi="Palatino Linotype" w:cs="Palatino Linotype"/>
          <w:sz w:val="22"/>
          <w:szCs w:val="22"/>
        </w:rPr>
        <w:t>,</w:t>
      </w:r>
      <w:r w:rsidRPr="000937DF">
        <w:rPr>
          <w:rFonts w:ascii="Palatino Linotype" w:eastAsia="Palatino Linotype" w:hAnsi="Palatino Linotype" w:cs="Palatino Linotype"/>
          <w:b/>
          <w:sz w:val="22"/>
          <w:szCs w:val="22"/>
        </w:rPr>
        <w:t xml:space="preserve"> </w:t>
      </w:r>
      <w:r w:rsidRPr="000937DF">
        <w:rPr>
          <w:rFonts w:ascii="Palatino Linotype" w:eastAsia="Palatino Linotype" w:hAnsi="Palatino Linotype" w:cs="Palatino Linotype"/>
          <w:sz w:val="22"/>
          <w:szCs w:val="22"/>
        </w:rPr>
        <w:t xml:space="preserve">promovido por </w:t>
      </w:r>
      <w:r w:rsidR="006214C3">
        <w:rPr>
          <w:rFonts w:ascii="Palatino Linotype" w:eastAsia="Palatino Linotype" w:hAnsi="Palatino Linotype" w:cs="Palatino Linotype"/>
          <w:b/>
          <w:sz w:val="22"/>
          <w:szCs w:val="22"/>
        </w:rPr>
        <w:t>XXXXXXX</w:t>
      </w:r>
      <w:r w:rsidRPr="000937DF">
        <w:rPr>
          <w:rFonts w:ascii="Palatino Linotype" w:eastAsia="Palatino Linotype" w:hAnsi="Palatino Linotype" w:cs="Palatino Linotype"/>
          <w:b/>
          <w:sz w:val="22"/>
          <w:szCs w:val="22"/>
        </w:rPr>
        <w:t>,</w:t>
      </w:r>
      <w:r w:rsidRPr="000937DF">
        <w:rPr>
          <w:rFonts w:ascii="Palatino Linotype" w:eastAsia="Palatino Linotype" w:hAnsi="Palatino Linotype" w:cs="Palatino Linotype"/>
          <w:sz w:val="22"/>
          <w:szCs w:val="22"/>
        </w:rPr>
        <w:t xml:space="preserve"> a quien en lo sucesivo se le identificará como </w:t>
      </w:r>
      <w:r w:rsidRPr="000937DF">
        <w:rPr>
          <w:rFonts w:ascii="Palatino Linotype" w:eastAsia="Palatino Linotype" w:hAnsi="Palatino Linotype" w:cs="Palatino Linotype"/>
          <w:b/>
          <w:sz w:val="22"/>
          <w:szCs w:val="22"/>
        </w:rPr>
        <w:t>el RECURRENTE</w:t>
      </w:r>
      <w:r w:rsidRPr="000937DF">
        <w:rPr>
          <w:rFonts w:ascii="Palatino Linotype" w:eastAsia="Palatino Linotype" w:hAnsi="Palatino Linotype" w:cs="Palatino Linotype"/>
          <w:sz w:val="22"/>
          <w:szCs w:val="22"/>
        </w:rPr>
        <w:t xml:space="preserve">, en contra de la respuesta de la </w:t>
      </w:r>
      <w:r w:rsidRPr="000937DF">
        <w:rPr>
          <w:rFonts w:ascii="Palatino Linotype" w:eastAsia="Palatino Linotype" w:hAnsi="Palatino Linotype" w:cs="Palatino Linotype"/>
          <w:b/>
          <w:sz w:val="22"/>
          <w:szCs w:val="22"/>
        </w:rPr>
        <w:t xml:space="preserve">Fiscalía General de Justicia del Estado de México, </w:t>
      </w:r>
      <w:r w:rsidRPr="000937DF">
        <w:rPr>
          <w:rFonts w:ascii="Palatino Linotype" w:eastAsia="Palatino Linotype" w:hAnsi="Palatino Linotype" w:cs="Palatino Linotype"/>
          <w:sz w:val="22"/>
          <w:szCs w:val="22"/>
        </w:rPr>
        <w:t>en adelante el</w:t>
      </w:r>
      <w:r w:rsidRPr="000937DF">
        <w:rPr>
          <w:rFonts w:ascii="Palatino Linotype" w:eastAsia="Palatino Linotype" w:hAnsi="Palatino Linotype" w:cs="Palatino Linotype"/>
          <w:b/>
          <w:sz w:val="22"/>
          <w:szCs w:val="22"/>
        </w:rPr>
        <w:t xml:space="preserve"> SUJETO OBLIGADO</w:t>
      </w:r>
      <w:r w:rsidRPr="000937DF">
        <w:rPr>
          <w:rFonts w:ascii="Palatino Linotype" w:eastAsia="Palatino Linotype" w:hAnsi="Palatino Linotype" w:cs="Palatino Linotype"/>
          <w:sz w:val="22"/>
          <w:szCs w:val="22"/>
        </w:rPr>
        <w:t>, se procede a dictar la presente resolución, con base en los siguientes:</w:t>
      </w:r>
    </w:p>
    <w:p w14:paraId="06A2A8D3" w14:textId="77777777" w:rsidR="00796AA9" w:rsidRPr="000937DF" w:rsidRDefault="00796AA9" w:rsidP="00796AA9">
      <w:pPr>
        <w:spacing w:line="360" w:lineRule="auto"/>
        <w:ind w:right="-787"/>
        <w:jc w:val="both"/>
        <w:rPr>
          <w:rFonts w:ascii="Palatino Linotype" w:eastAsia="Palatino Linotype" w:hAnsi="Palatino Linotype" w:cs="Palatino Linotype"/>
          <w:sz w:val="22"/>
          <w:szCs w:val="22"/>
        </w:rPr>
      </w:pPr>
    </w:p>
    <w:p w14:paraId="29334EAA" w14:textId="77777777" w:rsidR="00796AA9" w:rsidRPr="000937DF" w:rsidRDefault="00796AA9" w:rsidP="00796AA9">
      <w:pPr>
        <w:pStyle w:val="Ttulo1"/>
        <w:spacing w:before="0" w:line="360" w:lineRule="auto"/>
        <w:ind w:right="-787"/>
        <w:jc w:val="center"/>
        <w:rPr>
          <w:rFonts w:ascii="Palatino Linotype" w:eastAsia="Palatino Linotype" w:hAnsi="Palatino Linotype" w:cs="Palatino Linotype"/>
          <w:b/>
          <w:color w:val="000000"/>
          <w:sz w:val="22"/>
          <w:szCs w:val="22"/>
        </w:rPr>
      </w:pPr>
      <w:r w:rsidRPr="000937DF">
        <w:rPr>
          <w:rFonts w:ascii="Palatino Linotype" w:eastAsia="Palatino Linotype" w:hAnsi="Palatino Linotype" w:cs="Palatino Linotype"/>
          <w:b/>
          <w:color w:val="000000"/>
          <w:sz w:val="22"/>
          <w:szCs w:val="22"/>
        </w:rPr>
        <w:t>A N T E C E D E N T E S</w:t>
      </w:r>
    </w:p>
    <w:p w14:paraId="305DA973" w14:textId="77777777" w:rsidR="00796AA9" w:rsidRPr="000937DF" w:rsidRDefault="00796AA9" w:rsidP="00796AA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143A6484"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 xml:space="preserve">El día </w:t>
      </w:r>
      <w:r w:rsidRPr="000937DF">
        <w:rPr>
          <w:rFonts w:ascii="Palatino Linotype" w:eastAsia="Palatino Linotype" w:hAnsi="Palatino Linotype" w:cs="Palatino Linotype"/>
          <w:b/>
          <w:color w:val="000000"/>
          <w:sz w:val="22"/>
          <w:szCs w:val="22"/>
        </w:rPr>
        <w:t xml:space="preserve">once de julio de dos mil veinticuatro, </w:t>
      </w:r>
      <w:r w:rsidRPr="000937DF">
        <w:rPr>
          <w:rFonts w:ascii="Palatino Linotype" w:eastAsia="Palatino Linotype" w:hAnsi="Palatino Linotype" w:cs="Palatino Linotype"/>
          <w:color w:val="000000"/>
          <w:sz w:val="22"/>
          <w:szCs w:val="22"/>
        </w:rPr>
        <w:t xml:space="preserve">se presentó ante el </w:t>
      </w:r>
      <w:r w:rsidRPr="000937DF">
        <w:rPr>
          <w:rFonts w:ascii="Palatino Linotype" w:eastAsia="Palatino Linotype" w:hAnsi="Palatino Linotype" w:cs="Palatino Linotype"/>
          <w:b/>
          <w:color w:val="000000"/>
          <w:sz w:val="22"/>
          <w:szCs w:val="22"/>
        </w:rPr>
        <w:t>SUJETO OBLIGADO</w:t>
      </w:r>
      <w:r w:rsidRPr="000937DF">
        <w:rPr>
          <w:rFonts w:ascii="Palatino Linotype" w:eastAsia="Palatino Linotype" w:hAnsi="Palatino Linotype" w:cs="Palatino Linotype"/>
          <w:color w:val="000000"/>
          <w:sz w:val="22"/>
          <w:szCs w:val="22"/>
        </w:rPr>
        <w:t xml:space="preserve"> vía Plataforma Nacional de Transparencia vinculada al Sistema de Acceso a la Información, la solicitud de información pública registrada con el número</w:t>
      </w:r>
      <w:r w:rsidRPr="000937DF">
        <w:rPr>
          <w:rFonts w:ascii="Palatino Linotype" w:eastAsia="Palatino Linotype" w:hAnsi="Palatino Linotype" w:cs="Palatino Linotype"/>
          <w:b/>
          <w:color w:val="000000"/>
          <w:sz w:val="22"/>
          <w:szCs w:val="22"/>
        </w:rPr>
        <w:t xml:space="preserve"> 00673/FGJ/IP/2024; </w:t>
      </w:r>
      <w:r w:rsidRPr="000937DF">
        <w:rPr>
          <w:rFonts w:ascii="Palatino Linotype" w:eastAsia="Palatino Linotype" w:hAnsi="Palatino Linotype" w:cs="Palatino Linotype"/>
          <w:sz w:val="22"/>
          <w:szCs w:val="22"/>
        </w:rPr>
        <w:t>en la que</w:t>
      </w:r>
      <w:r w:rsidRPr="000937DF">
        <w:rPr>
          <w:rFonts w:ascii="Palatino Linotype" w:eastAsia="Palatino Linotype" w:hAnsi="Palatino Linotype" w:cs="Palatino Linotype"/>
          <w:color w:val="000000"/>
          <w:sz w:val="22"/>
          <w:szCs w:val="22"/>
        </w:rPr>
        <w:t xml:space="preserve"> se solicitó la siguiente información:</w:t>
      </w:r>
    </w:p>
    <w:p w14:paraId="1F2ED739" w14:textId="77777777" w:rsidR="00796AA9" w:rsidRPr="000937DF" w:rsidRDefault="00796AA9" w:rsidP="00796AA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6303732E" w14:textId="77777777" w:rsidR="00796AA9" w:rsidRPr="000937DF" w:rsidRDefault="00796AA9" w:rsidP="00796AA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937DF">
        <w:rPr>
          <w:rFonts w:ascii="Palatino Linotype" w:eastAsia="Palatino Linotype" w:hAnsi="Palatino Linotype" w:cs="Palatino Linotype"/>
          <w:i/>
          <w:color w:val="000000"/>
          <w:sz w:val="22"/>
          <w:szCs w:val="22"/>
        </w:rPr>
        <w:t xml:space="preserve">“Se solicita información sobre todas las adscripciones, adscripción actual, todos los cargos anteriores, cargo actual, denuncias administrativas y/o penales y sanciones de la siguiente persona servidora pública: 1. Ignacio Bringas Castañeda. Asimismo, se solicita información sobre procesos penales que se hubieran iniciado en contra de la persona servidora pública mencionada anteriormente. Se pide desglosar por cargo o adscripción de la persona, fecha de inicio del proceso penal, hechos imputados y/o delito, fecha y lugar de los hechos, fecha de la audiencia inicial, fecha de la audiencia de vinculación a proceso o auto de término constitucional (dependiendo del sistema penal vigente en la época), si se optó o no por un mecanismo alterno de solución de </w:t>
      </w:r>
      <w:r w:rsidRPr="000937DF">
        <w:rPr>
          <w:rFonts w:ascii="Palatino Linotype" w:eastAsia="Palatino Linotype" w:hAnsi="Palatino Linotype" w:cs="Palatino Linotype"/>
          <w:i/>
          <w:color w:val="000000"/>
          <w:sz w:val="22"/>
          <w:szCs w:val="22"/>
        </w:rPr>
        <w:lastRenderedPageBreak/>
        <w:t>controversias, fecha de terminación anticipada (de ser el caso), fecha de la audiencia de juicio, fecha y sentido de la última determinación judicial”</w:t>
      </w:r>
    </w:p>
    <w:p w14:paraId="1666A4DF" w14:textId="77777777" w:rsidR="00796AA9" w:rsidRPr="000937DF" w:rsidRDefault="00796AA9" w:rsidP="00796AA9">
      <w:pPr>
        <w:pBdr>
          <w:top w:val="nil"/>
          <w:left w:val="nil"/>
          <w:bottom w:val="nil"/>
          <w:right w:val="nil"/>
          <w:between w:val="nil"/>
        </w:pBdr>
        <w:ind w:right="-787"/>
        <w:rPr>
          <w:rFonts w:ascii="Palatino Linotype" w:eastAsia="Palatino Linotype" w:hAnsi="Palatino Linotype" w:cs="Palatino Linotype"/>
          <w:color w:val="000000"/>
          <w:sz w:val="22"/>
          <w:szCs w:val="22"/>
        </w:rPr>
      </w:pPr>
    </w:p>
    <w:p w14:paraId="7ACFCDD5"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olor w:val="000000"/>
          <w:sz w:val="22"/>
          <w:szCs w:val="22"/>
        </w:rPr>
      </w:pPr>
      <w:r w:rsidRPr="000937DF">
        <w:rPr>
          <w:rFonts w:ascii="Palatino Linotype" w:hAnsi="Palatino Linotype"/>
          <w:color w:val="000000"/>
          <w:sz w:val="22"/>
          <w:szCs w:val="22"/>
        </w:rPr>
        <w:t xml:space="preserve">Se eligió como modalidad en entrega la Plataforma Nacional de Transparencia, vinculada al Sistema de Acceso a la Información. </w:t>
      </w:r>
    </w:p>
    <w:p w14:paraId="111867E2" w14:textId="77777777" w:rsidR="00796AA9" w:rsidRPr="000937DF" w:rsidRDefault="00796AA9" w:rsidP="00796AA9">
      <w:pPr>
        <w:pBdr>
          <w:top w:val="nil"/>
          <w:left w:val="nil"/>
          <w:bottom w:val="nil"/>
          <w:right w:val="nil"/>
          <w:between w:val="nil"/>
        </w:pBdr>
        <w:spacing w:line="360" w:lineRule="auto"/>
        <w:ind w:right="-787"/>
        <w:jc w:val="both"/>
        <w:rPr>
          <w:rFonts w:ascii="Palatino Linotype" w:hAnsi="Palatino Linotype"/>
          <w:color w:val="000000"/>
          <w:sz w:val="22"/>
          <w:szCs w:val="22"/>
        </w:rPr>
      </w:pPr>
    </w:p>
    <w:p w14:paraId="7055F42F"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olor w:val="000000"/>
          <w:sz w:val="22"/>
          <w:szCs w:val="22"/>
        </w:rPr>
      </w:pPr>
      <w:r w:rsidRPr="000937DF">
        <w:rPr>
          <w:rFonts w:ascii="Palatino Linotype" w:hAnsi="Palatino Linotype"/>
          <w:color w:val="000000"/>
          <w:sz w:val="22"/>
          <w:szCs w:val="22"/>
        </w:rPr>
        <w:t xml:space="preserve">El </w:t>
      </w:r>
      <w:r w:rsidRPr="000937DF">
        <w:rPr>
          <w:rFonts w:ascii="Palatino Linotype" w:hAnsi="Palatino Linotype"/>
          <w:b/>
          <w:color w:val="000000"/>
          <w:sz w:val="22"/>
          <w:szCs w:val="22"/>
        </w:rPr>
        <w:t xml:space="preserve">quince de julio de dos mil veinticuatro </w:t>
      </w:r>
      <w:r w:rsidRPr="000937DF">
        <w:rPr>
          <w:rFonts w:ascii="Palatino Linotype" w:hAnsi="Palatino Linotype"/>
          <w:color w:val="000000"/>
          <w:sz w:val="22"/>
          <w:szCs w:val="22"/>
        </w:rPr>
        <w:t xml:space="preserve">el </w:t>
      </w:r>
      <w:r w:rsidRPr="000937DF">
        <w:rPr>
          <w:rFonts w:ascii="Palatino Linotype" w:hAnsi="Palatino Linotype"/>
          <w:b/>
          <w:color w:val="000000"/>
          <w:sz w:val="22"/>
          <w:szCs w:val="22"/>
        </w:rPr>
        <w:t xml:space="preserve">SUJETO OBLIGADO </w:t>
      </w:r>
      <w:r w:rsidRPr="000937DF">
        <w:rPr>
          <w:rFonts w:ascii="Palatino Linotype" w:hAnsi="Palatino Linotype"/>
          <w:color w:val="000000"/>
          <w:sz w:val="22"/>
          <w:szCs w:val="22"/>
        </w:rPr>
        <w:t xml:space="preserve">giro el requerimiento de información para que la solicitud de información fuera atendida </w:t>
      </w:r>
      <w:r w:rsidRPr="000937DF">
        <w:rPr>
          <w:rFonts w:ascii="Palatino Linotype" w:hAnsi="Palatino Linotype"/>
          <w:b/>
          <w:bCs/>
          <w:color w:val="000000"/>
          <w:sz w:val="22"/>
          <w:szCs w:val="22"/>
        </w:rPr>
        <w:t xml:space="preserve">00673/FGJ/IP/2024. </w:t>
      </w:r>
    </w:p>
    <w:p w14:paraId="2C8599EC" w14:textId="77777777" w:rsidR="00796AA9" w:rsidRPr="000937DF" w:rsidRDefault="00796AA9" w:rsidP="00796AA9">
      <w:pPr>
        <w:pStyle w:val="Prrafodelista"/>
        <w:rPr>
          <w:rFonts w:ascii="Palatino Linotype" w:eastAsia="Palatino Linotype" w:hAnsi="Palatino Linotype" w:cs="Palatino Linotype"/>
          <w:b/>
          <w:bCs/>
          <w:color w:val="000000"/>
        </w:rPr>
      </w:pPr>
    </w:p>
    <w:p w14:paraId="1C6ECD7A"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b/>
          <w:bCs/>
          <w:color w:val="000000"/>
          <w:sz w:val="22"/>
          <w:szCs w:val="22"/>
        </w:rPr>
        <w:t xml:space="preserve">El </w:t>
      </w:r>
      <w:r w:rsidRPr="000937DF">
        <w:rPr>
          <w:rFonts w:ascii="Palatino Linotype" w:eastAsia="Palatino Linotype" w:hAnsi="Palatino Linotype" w:cs="Palatino Linotype"/>
          <w:b/>
          <w:color w:val="000000"/>
          <w:sz w:val="22"/>
          <w:szCs w:val="22"/>
        </w:rPr>
        <w:t>ocho de agosto de dos mil veinticuatro</w:t>
      </w:r>
      <w:r w:rsidRPr="000937DF">
        <w:rPr>
          <w:rFonts w:ascii="Palatino Linotype" w:eastAsia="Palatino Linotype" w:hAnsi="Palatino Linotype" w:cs="Palatino Linotype"/>
          <w:color w:val="000000"/>
          <w:sz w:val="22"/>
          <w:szCs w:val="22"/>
        </w:rPr>
        <w:t xml:space="preserve"> el </w:t>
      </w:r>
      <w:r w:rsidRPr="000937DF">
        <w:rPr>
          <w:rFonts w:ascii="Palatino Linotype" w:eastAsia="Palatino Linotype" w:hAnsi="Palatino Linotype" w:cs="Palatino Linotype"/>
          <w:b/>
          <w:color w:val="000000"/>
          <w:sz w:val="22"/>
          <w:szCs w:val="22"/>
        </w:rPr>
        <w:t xml:space="preserve">SUJETO OBLIGADO </w:t>
      </w:r>
      <w:r w:rsidRPr="000937DF">
        <w:rPr>
          <w:rFonts w:ascii="Palatino Linotype" w:eastAsia="Palatino Linotype" w:hAnsi="Palatino Linotype" w:cs="Palatino Linotype"/>
          <w:color w:val="000000"/>
          <w:sz w:val="22"/>
          <w:szCs w:val="22"/>
        </w:rPr>
        <w:t xml:space="preserve">dio respuesta por medio del Sistema de Acceso a la Información, mediante dos archivos electrónicos en formato </w:t>
      </w:r>
      <w:proofErr w:type="spellStart"/>
      <w:r w:rsidRPr="000937DF">
        <w:rPr>
          <w:rFonts w:ascii="Palatino Linotype" w:eastAsia="Palatino Linotype" w:hAnsi="Palatino Linotype" w:cs="Palatino Linotype"/>
          <w:color w:val="000000"/>
          <w:sz w:val="22"/>
          <w:szCs w:val="22"/>
        </w:rPr>
        <w:t>pdf</w:t>
      </w:r>
      <w:proofErr w:type="spellEnd"/>
      <w:r w:rsidRPr="000937DF">
        <w:rPr>
          <w:rFonts w:ascii="Palatino Linotype" w:eastAsia="Palatino Linotype" w:hAnsi="Palatino Linotype" w:cs="Palatino Linotype"/>
          <w:color w:val="000000"/>
          <w:sz w:val="22"/>
          <w:szCs w:val="22"/>
        </w:rPr>
        <w:t>, cuyo contenido grosso modo es el siguiente.</w:t>
      </w:r>
    </w:p>
    <w:p w14:paraId="61CD7385" w14:textId="77777777" w:rsidR="00796AA9" w:rsidRPr="000937DF" w:rsidRDefault="00796AA9" w:rsidP="00796AA9">
      <w:pPr>
        <w:pBdr>
          <w:top w:val="nil"/>
          <w:left w:val="nil"/>
          <w:bottom w:val="nil"/>
          <w:right w:val="nil"/>
          <w:between w:val="nil"/>
        </w:pBdr>
        <w:ind w:left="1134" w:right="900"/>
        <w:jc w:val="both"/>
        <w:rPr>
          <w:rFonts w:ascii="Palatino Linotype" w:eastAsia="Palatino Linotype" w:hAnsi="Palatino Linotype" w:cs="Palatino Linotype"/>
          <w:bCs/>
          <w:i/>
          <w:color w:val="000000"/>
          <w:sz w:val="22"/>
          <w:szCs w:val="22"/>
        </w:rPr>
      </w:pPr>
      <w:r w:rsidRPr="000937DF">
        <w:rPr>
          <w:rFonts w:ascii="Palatino Linotype" w:eastAsia="Palatino Linotype" w:hAnsi="Palatino Linotype" w:cs="Palatino Linotype"/>
          <w:b/>
          <w:i/>
          <w:color w:val="000000"/>
          <w:sz w:val="22"/>
          <w:szCs w:val="22"/>
        </w:rPr>
        <w:t xml:space="preserve">ACUERDO CLASIFICACIÓN 673.pdf: </w:t>
      </w:r>
      <w:r w:rsidRPr="000937DF">
        <w:rPr>
          <w:rFonts w:ascii="Palatino Linotype" w:eastAsia="Palatino Linotype" w:hAnsi="Palatino Linotype" w:cs="Palatino Linotype"/>
          <w:i/>
          <w:color w:val="000000"/>
          <w:sz w:val="22"/>
          <w:szCs w:val="22"/>
        </w:rPr>
        <w:t xml:space="preserve">Acuerdo de Clasificación de información de la solicitud de información </w:t>
      </w:r>
      <w:r w:rsidRPr="000937DF">
        <w:rPr>
          <w:rFonts w:ascii="Palatino Linotype" w:eastAsia="Palatino Linotype" w:hAnsi="Palatino Linotype" w:cs="Palatino Linotype"/>
          <w:b/>
          <w:bCs/>
          <w:i/>
          <w:color w:val="000000"/>
          <w:sz w:val="22"/>
          <w:szCs w:val="22"/>
        </w:rPr>
        <w:t xml:space="preserve">00673/FGJ/IP/2024, </w:t>
      </w:r>
      <w:r w:rsidRPr="000937DF">
        <w:rPr>
          <w:rFonts w:ascii="Palatino Linotype" w:eastAsia="Palatino Linotype" w:hAnsi="Palatino Linotype" w:cs="Palatino Linotype"/>
          <w:bCs/>
          <w:i/>
          <w:color w:val="000000"/>
          <w:sz w:val="22"/>
          <w:szCs w:val="22"/>
        </w:rPr>
        <w:t xml:space="preserve">mediante el cual refieren que se clasifica el pronunciamiento en sentido afirmativo o negativo respecto a si la persona referida en la solicitud de información forma o formo parte del personal </w:t>
      </w:r>
      <w:r w:rsidRPr="000937DF">
        <w:rPr>
          <w:rFonts w:ascii="Palatino Linotype" w:eastAsia="Palatino Linotype" w:hAnsi="Palatino Linotype" w:cs="Palatino Linotype"/>
          <w:b/>
          <w:bCs/>
          <w:i/>
          <w:color w:val="000000"/>
          <w:sz w:val="22"/>
          <w:szCs w:val="22"/>
        </w:rPr>
        <w:t xml:space="preserve">operativo </w:t>
      </w:r>
      <w:r w:rsidRPr="000937DF">
        <w:rPr>
          <w:rFonts w:ascii="Palatino Linotype" w:eastAsia="Palatino Linotype" w:hAnsi="Palatino Linotype" w:cs="Palatino Linotype"/>
          <w:bCs/>
          <w:i/>
          <w:color w:val="000000"/>
          <w:sz w:val="22"/>
          <w:szCs w:val="22"/>
        </w:rPr>
        <w:t>de la Fiscalía General de Justicia del Estado de México. (</w:t>
      </w:r>
      <w:proofErr w:type="gramStart"/>
      <w:r w:rsidRPr="000937DF">
        <w:rPr>
          <w:rFonts w:ascii="Palatino Linotype" w:eastAsia="Palatino Linotype" w:hAnsi="Palatino Linotype" w:cs="Palatino Linotype"/>
          <w:bCs/>
          <w:i/>
          <w:color w:val="000000"/>
          <w:sz w:val="22"/>
          <w:szCs w:val="22"/>
        </w:rPr>
        <w:t>de</w:t>
      </w:r>
      <w:proofErr w:type="gramEnd"/>
      <w:r w:rsidRPr="000937DF">
        <w:rPr>
          <w:rFonts w:ascii="Palatino Linotype" w:eastAsia="Palatino Linotype" w:hAnsi="Palatino Linotype" w:cs="Palatino Linotype"/>
          <w:bCs/>
          <w:i/>
          <w:color w:val="000000"/>
          <w:sz w:val="22"/>
          <w:szCs w:val="22"/>
        </w:rPr>
        <w:t xml:space="preserve"> la revisión del acuerdo se observa que hacen falta las firmas del Comité de Transparencia). </w:t>
      </w:r>
    </w:p>
    <w:p w14:paraId="21D5A9FB" w14:textId="77777777" w:rsidR="00796AA9" w:rsidRPr="000937DF" w:rsidRDefault="00796AA9" w:rsidP="00796AA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937DF">
        <w:rPr>
          <w:rFonts w:ascii="Palatino Linotype" w:eastAsia="Palatino Linotype" w:hAnsi="Palatino Linotype" w:cs="Palatino Linotype"/>
          <w:b/>
          <w:i/>
          <w:color w:val="000000"/>
          <w:sz w:val="22"/>
          <w:szCs w:val="22"/>
        </w:rPr>
        <w:t xml:space="preserve">OFICIO NÚMERO 02541-MAIP-FGJ-2024.pdf: </w:t>
      </w:r>
      <w:r w:rsidRPr="000937DF">
        <w:rPr>
          <w:rFonts w:ascii="Palatino Linotype" w:eastAsia="Palatino Linotype" w:hAnsi="Palatino Linotype" w:cs="Palatino Linotype"/>
          <w:i/>
          <w:color w:val="000000"/>
          <w:sz w:val="22"/>
          <w:szCs w:val="22"/>
        </w:rPr>
        <w:t xml:space="preserve">oficio de la Titular de la Unidad de Transparencia, mediante el cual informa que después de una búsqueda exhaustiva realizada en la plantilla del personal administrativo no se localizó a la persona referida en la solicitud de información. </w:t>
      </w:r>
    </w:p>
    <w:p w14:paraId="1CE6D4E8" w14:textId="77777777" w:rsidR="00796AA9" w:rsidRPr="000937DF" w:rsidRDefault="00796AA9" w:rsidP="00796AA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937DF">
        <w:rPr>
          <w:rFonts w:ascii="Palatino Linotype" w:eastAsia="Palatino Linotype" w:hAnsi="Palatino Linotype" w:cs="Palatino Linotype"/>
          <w:i/>
          <w:color w:val="000000"/>
          <w:sz w:val="22"/>
          <w:szCs w:val="22"/>
        </w:rPr>
        <w:t xml:space="preserve">Del contenido del oficio también refiere que se clasifica el pronunciamiento respecto de la búsqueda en la planilla del personal operativo, toda vez que corresponde a información de carácter reservada, de conformidad con lo establecido en el artículo 140, fracción XI de la Ley de Transparencia y Acceso a la Información Pública del Estado de México y Municipios. </w:t>
      </w:r>
    </w:p>
    <w:p w14:paraId="5E829023" w14:textId="77777777" w:rsidR="00796AA9" w:rsidRPr="000937DF" w:rsidRDefault="00796AA9" w:rsidP="00796AA9">
      <w:pPr>
        <w:pBdr>
          <w:top w:val="nil"/>
          <w:left w:val="nil"/>
          <w:bottom w:val="nil"/>
          <w:right w:val="nil"/>
          <w:between w:val="nil"/>
        </w:pBdr>
        <w:ind w:left="1134" w:right="900"/>
        <w:jc w:val="both"/>
        <w:rPr>
          <w:rFonts w:ascii="Palatino Linotype" w:hAnsi="Palatino Linotype"/>
          <w:i/>
          <w:color w:val="000000"/>
          <w:sz w:val="22"/>
          <w:szCs w:val="22"/>
        </w:rPr>
      </w:pPr>
    </w:p>
    <w:p w14:paraId="51E06FF9"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 xml:space="preserve">Inconforme con la respuesta, el </w:t>
      </w:r>
      <w:r w:rsidRPr="000937DF">
        <w:rPr>
          <w:rFonts w:ascii="Palatino Linotype" w:eastAsia="Palatino Linotype" w:hAnsi="Palatino Linotype" w:cs="Palatino Linotype"/>
          <w:b/>
          <w:color w:val="000000"/>
          <w:sz w:val="22"/>
          <w:szCs w:val="22"/>
        </w:rPr>
        <w:t xml:space="preserve">veintinueve de agosto de dos mil veinticuatro, </w:t>
      </w:r>
      <w:r w:rsidRPr="000937DF">
        <w:rPr>
          <w:rFonts w:ascii="Palatino Linotype" w:eastAsia="Palatino Linotype" w:hAnsi="Palatino Linotype" w:cs="Palatino Linotype"/>
          <w:color w:val="000000"/>
          <w:sz w:val="22"/>
          <w:szCs w:val="22"/>
        </w:rPr>
        <w:t>el entonces solicitante interpuso el recurso de revisión de mérito, manifestando las siguientes razones o motivos de inconformidad:</w:t>
      </w:r>
    </w:p>
    <w:p w14:paraId="2A347475" w14:textId="77777777" w:rsidR="00796AA9" w:rsidRPr="000937DF" w:rsidRDefault="00796AA9" w:rsidP="00796AA9">
      <w:pPr>
        <w:numPr>
          <w:ilvl w:val="0"/>
          <w:numId w:val="18"/>
        </w:numPr>
        <w:pBdr>
          <w:top w:val="nil"/>
          <w:left w:val="nil"/>
          <w:bottom w:val="nil"/>
          <w:right w:val="nil"/>
          <w:between w:val="nil"/>
        </w:pBdr>
        <w:ind w:right="62"/>
        <w:jc w:val="both"/>
        <w:rPr>
          <w:rFonts w:ascii="Palatino Linotype" w:eastAsia="Palatino Linotype" w:hAnsi="Palatino Linotype" w:cs="Palatino Linotype"/>
          <w:i/>
          <w:color w:val="000000"/>
          <w:sz w:val="22"/>
          <w:szCs w:val="22"/>
        </w:rPr>
      </w:pPr>
      <w:bookmarkStart w:id="2" w:name="_heading=h.1fob9te" w:colFirst="0" w:colLast="0"/>
      <w:bookmarkEnd w:id="2"/>
      <w:r w:rsidRPr="000937DF">
        <w:rPr>
          <w:rFonts w:ascii="Palatino Linotype" w:eastAsia="Palatino Linotype" w:hAnsi="Palatino Linotype" w:cs="Palatino Linotype"/>
          <w:b/>
          <w:color w:val="000000"/>
          <w:sz w:val="22"/>
          <w:szCs w:val="22"/>
        </w:rPr>
        <w:lastRenderedPageBreak/>
        <w:t xml:space="preserve">Acto impugnado: </w:t>
      </w:r>
      <w:r w:rsidRPr="000937DF">
        <w:rPr>
          <w:rFonts w:ascii="Palatino Linotype" w:eastAsia="Palatino Linotype" w:hAnsi="Palatino Linotype" w:cs="Palatino Linotype"/>
          <w:i/>
          <w:color w:val="000000"/>
          <w:sz w:val="22"/>
          <w:szCs w:val="22"/>
        </w:rPr>
        <w:t>“PRIMER MOTIVO DE IMPUGNACIÓN Primero, cabe aclarar que se solicitó información sobre el cargo, la trayectoria institucional y el desempeño de una persona servidora pública, sin solicitar datos personales como domicilio, familia y contacto. Tampoco se pidió información sobre su modus operandi, itinerario de actividades o medidas de seguridad adoptadas por el sujeto obligado para garantizar la seguridad de la persona (por ejemplo, si cuenta o no con elementos de seguridad y con cuantos). Es relevante conocer quiénes son los servidores públicos y cómo desempeñan sus funciones, incluidos los que desempeñan cargos relacionados con la seguridad pública, para mantener la transparencia y la rendición de cuentas. Reservar la información es contradictorio con los principios democráticos y de transparencia. Proporcionarla no pone en riesgo la seguridad de la persona ni del Estado, ya que el objetivo es conocer la trayectoria institucional de manera legal. Es fundamental encontrar un equilibrio entre el acceso a la información sobre la trayectoria del personal de seguridad y la garantía de su seguridad y la del Estado. Datos necesarios para evaluar el desempeño profesional deben divulgarse, mientras que los relacionados con la vida privada o las medidas de seguridad pueden estar sujetos a reserva legal. SEGUNDO MOTIVO DE IMPUGNACIÓN La solicitud de información no se ubica en el supuesto de lo resuelto por la Suprema Corte en la Controversia Constitucional 325/2019, por lo que no es aplicable al caso que nos ocupa. La resolución se dio en el contexto de una petición de información de nombres y cargos de todo el personal adscrito a diversas subprocuradurías de la Fiscalía General de la República. La Corte se refirió principalmente a la protección de la identidad y datos del personal operativo que realiza funciones altamente sensibles. En contraste, la solicitud que nos ocupa se refiere a una persona ya identificada por nombre, cuyos cargos anteriores o actual, pueden o no estar relacionados con funciones, incluso operativas, que justifiquen el mismo nivel de reserva. En el caso del que se ocupó la CC 325/2019, la FGR: "[I]</w:t>
      </w:r>
      <w:proofErr w:type="spellStart"/>
      <w:r w:rsidRPr="000937DF">
        <w:rPr>
          <w:rFonts w:ascii="Palatino Linotype" w:eastAsia="Palatino Linotype" w:hAnsi="Palatino Linotype" w:cs="Palatino Linotype"/>
          <w:i/>
          <w:color w:val="000000"/>
          <w:sz w:val="22"/>
          <w:szCs w:val="22"/>
        </w:rPr>
        <w:t>dentificó</w:t>
      </w:r>
      <w:proofErr w:type="spellEnd"/>
      <w:r w:rsidRPr="000937DF">
        <w:rPr>
          <w:rFonts w:ascii="Palatino Linotype" w:eastAsia="Palatino Linotype" w:hAnsi="Palatino Linotype" w:cs="Palatino Linotype"/>
          <w:i/>
          <w:color w:val="000000"/>
          <w:sz w:val="22"/>
          <w:szCs w:val="22"/>
        </w:rPr>
        <w:t xml:space="preserve"> que el nivel de riesgo aumenta o disminuye dependiendo del tipo de función que lleva a cabo la persona servidora pública y la entidad federativa en la que desempeña sus labores, es decir, no es el igual —en términos porcentuales— el riesgo que asume un agente de la Policía Federal Ministerial que desempeña sus funciones en el combate a la delincuencia organizada en el Estado de Colima que un perito que desempeña sus funciones en el esclarecimiento de hechos por la comisión de un delito financiero en la Ciudad de México." La reserva de información de la </w:t>
      </w:r>
      <w:proofErr w:type="spellStart"/>
      <w:r w:rsidRPr="000937DF">
        <w:rPr>
          <w:rFonts w:ascii="Palatino Linotype" w:eastAsia="Palatino Linotype" w:hAnsi="Palatino Linotype" w:cs="Palatino Linotype"/>
          <w:i/>
          <w:color w:val="000000"/>
          <w:sz w:val="22"/>
          <w:szCs w:val="22"/>
        </w:rPr>
        <w:t>FGJEdomex</w:t>
      </w:r>
      <w:proofErr w:type="spellEnd"/>
      <w:r w:rsidRPr="000937DF">
        <w:rPr>
          <w:rFonts w:ascii="Palatino Linotype" w:eastAsia="Palatino Linotype" w:hAnsi="Palatino Linotype" w:cs="Palatino Linotype"/>
          <w:i/>
          <w:color w:val="000000"/>
          <w:sz w:val="22"/>
          <w:szCs w:val="22"/>
        </w:rPr>
        <w:t xml:space="preserve"> no realiza un análisis sobre los niveles de riesgo y es insuficiente su mera afirmación de que dar información pone en riesgo a la persona cuya información se solicitó, o la seguridad pública </w:t>
      </w:r>
      <w:r w:rsidRPr="000937DF">
        <w:rPr>
          <w:rFonts w:ascii="Palatino Linotype" w:eastAsia="Palatino Linotype" w:hAnsi="Palatino Linotype" w:cs="Palatino Linotype"/>
          <w:i/>
          <w:color w:val="000000"/>
          <w:sz w:val="22"/>
          <w:szCs w:val="22"/>
        </w:rPr>
        <w:lastRenderedPageBreak/>
        <w:t xml:space="preserve">de la </w:t>
      </w:r>
      <w:bookmarkStart w:id="3" w:name="_GoBack"/>
      <w:r w:rsidRPr="000937DF">
        <w:rPr>
          <w:rFonts w:ascii="Palatino Linotype" w:eastAsia="Palatino Linotype" w:hAnsi="Palatino Linotype" w:cs="Palatino Linotype"/>
          <w:i/>
          <w:color w:val="000000"/>
          <w:sz w:val="22"/>
          <w:szCs w:val="22"/>
        </w:rPr>
        <w:t xml:space="preserve">entidad. La autoridad no aporta evidencia alguna para probar la existencia del nexo causal entre la entrega de la información y la afectación a la seguridad pública y personal del servidor público. Aspecto clave de la CC325/2019. Contrario a lo que establece la Fiscalía, la información solicitada es interés público al tratarse de actos o conductas del servidor público en el desempeño estricto de sus funciones, no de su vida personal. De manera que la sola entrega de la información relacionada con procesos sancionatorios en su contra, no pone en riesgo ni la seguridad pública ni la personal de dicho servidor público. Al encontrarnos frente a una solicitud de información relacionada con la rendición de cuentas sobre un servidor público, especialmente en cuanto a su historial en la institución y los posibles procesos </w:t>
      </w:r>
      <w:bookmarkEnd w:id="3"/>
      <w:r w:rsidRPr="000937DF">
        <w:rPr>
          <w:rFonts w:ascii="Palatino Linotype" w:eastAsia="Palatino Linotype" w:hAnsi="Palatino Linotype" w:cs="Palatino Linotype"/>
          <w:i/>
          <w:color w:val="000000"/>
          <w:sz w:val="22"/>
          <w:szCs w:val="22"/>
        </w:rPr>
        <w:t>iniciados en su contra, no se justifica la clasificación de dicha información como reservada. Así, debe priorizarse la aplicación del principio de máxima publicidad por no encontrarse debidamente acreditada, probada y justificada una excepción</w:t>
      </w:r>
      <w:proofErr w:type="gramStart"/>
      <w:r w:rsidRPr="000937DF">
        <w:rPr>
          <w:rFonts w:ascii="Palatino Linotype" w:eastAsia="Palatino Linotype" w:hAnsi="Palatino Linotype" w:cs="Palatino Linotype"/>
          <w:i/>
          <w:color w:val="000000"/>
          <w:sz w:val="22"/>
          <w:szCs w:val="22"/>
        </w:rPr>
        <w:t>..</w:t>
      </w:r>
      <w:r w:rsidRPr="000937DF">
        <w:rPr>
          <w:rFonts w:ascii="Palatino Linotype" w:eastAsia="Palatino Linotype" w:hAnsi="Palatino Linotype" w:cs="Palatino Linotype"/>
          <w:color w:val="000000"/>
          <w:sz w:val="22"/>
          <w:szCs w:val="22"/>
        </w:rPr>
        <w:t>”</w:t>
      </w:r>
      <w:proofErr w:type="gramEnd"/>
    </w:p>
    <w:p w14:paraId="39646D8B" w14:textId="77777777" w:rsidR="00796AA9" w:rsidRPr="000937DF" w:rsidRDefault="00796AA9" w:rsidP="00796AA9">
      <w:pPr>
        <w:pBdr>
          <w:top w:val="nil"/>
          <w:left w:val="nil"/>
          <w:bottom w:val="nil"/>
          <w:right w:val="nil"/>
          <w:between w:val="nil"/>
        </w:pBdr>
        <w:spacing w:line="360" w:lineRule="auto"/>
        <w:ind w:left="709" w:right="62"/>
        <w:jc w:val="both"/>
        <w:rPr>
          <w:rFonts w:ascii="Palatino Linotype" w:eastAsia="Palatino Linotype" w:hAnsi="Palatino Linotype" w:cs="Palatino Linotype"/>
          <w:i/>
          <w:color w:val="000000"/>
          <w:sz w:val="22"/>
          <w:szCs w:val="22"/>
        </w:rPr>
      </w:pPr>
    </w:p>
    <w:p w14:paraId="5CCB3A72" w14:textId="77777777" w:rsidR="00796AA9" w:rsidRPr="000937DF" w:rsidRDefault="00796AA9" w:rsidP="00796AA9">
      <w:pPr>
        <w:numPr>
          <w:ilvl w:val="0"/>
          <w:numId w:val="18"/>
        </w:numPr>
        <w:pBdr>
          <w:top w:val="nil"/>
          <w:left w:val="nil"/>
          <w:bottom w:val="nil"/>
          <w:right w:val="nil"/>
          <w:between w:val="nil"/>
        </w:pBdr>
        <w:spacing w:line="360" w:lineRule="auto"/>
        <w:ind w:right="62"/>
        <w:jc w:val="both"/>
        <w:rPr>
          <w:rFonts w:ascii="Palatino Linotype" w:eastAsia="Palatino Linotype" w:hAnsi="Palatino Linotype" w:cs="Palatino Linotype"/>
          <w:i/>
          <w:color w:val="000000"/>
          <w:sz w:val="22"/>
          <w:szCs w:val="22"/>
        </w:rPr>
      </w:pPr>
      <w:bookmarkStart w:id="4" w:name="_heading=h.3znysh7" w:colFirst="0" w:colLast="0"/>
      <w:bookmarkEnd w:id="4"/>
      <w:r w:rsidRPr="000937DF">
        <w:rPr>
          <w:rFonts w:ascii="Palatino Linotype" w:eastAsia="Palatino Linotype" w:hAnsi="Palatino Linotype" w:cs="Palatino Linotype"/>
          <w:b/>
          <w:color w:val="000000"/>
          <w:sz w:val="22"/>
          <w:szCs w:val="22"/>
        </w:rPr>
        <w:t>Razones o Motivos de inconformidad:</w:t>
      </w:r>
      <w:r w:rsidRPr="000937DF">
        <w:rPr>
          <w:sz w:val="22"/>
          <w:szCs w:val="22"/>
        </w:rPr>
        <w:t xml:space="preserve"> “</w:t>
      </w:r>
      <w:r w:rsidRPr="000937DF">
        <w:rPr>
          <w:rFonts w:ascii="Palatino Linotype" w:eastAsia="Palatino Linotype" w:hAnsi="Palatino Linotype" w:cs="Palatino Linotype"/>
          <w:i/>
          <w:color w:val="000000"/>
          <w:sz w:val="22"/>
          <w:szCs w:val="22"/>
        </w:rPr>
        <w:t>----------------”</w:t>
      </w:r>
      <w:r w:rsidRPr="000937DF">
        <w:rPr>
          <w:rFonts w:ascii="Palatino Linotype" w:eastAsia="Palatino Linotype" w:hAnsi="Palatino Linotype" w:cs="Palatino Linotype"/>
          <w:i/>
          <w:color w:val="000000"/>
          <w:sz w:val="22"/>
          <w:szCs w:val="22"/>
        </w:rPr>
        <w:tab/>
      </w:r>
    </w:p>
    <w:p w14:paraId="53F62604" w14:textId="77777777" w:rsidR="00ED04AE" w:rsidRPr="000937DF" w:rsidRDefault="00ED04AE" w:rsidP="00ED04AE">
      <w:pPr>
        <w:pStyle w:val="Prrafodelista"/>
        <w:rPr>
          <w:rFonts w:ascii="Palatino Linotype" w:eastAsia="Palatino Linotype" w:hAnsi="Palatino Linotype" w:cs="Palatino Linotype"/>
          <w:i/>
          <w:color w:val="000000"/>
        </w:rPr>
      </w:pPr>
    </w:p>
    <w:p w14:paraId="5D31A0E4" w14:textId="77777777" w:rsidR="00ED04AE" w:rsidRPr="000937DF" w:rsidRDefault="00ED04AE" w:rsidP="00ED04AE">
      <w:pPr>
        <w:pBdr>
          <w:top w:val="nil"/>
          <w:left w:val="nil"/>
          <w:bottom w:val="nil"/>
          <w:right w:val="nil"/>
          <w:between w:val="nil"/>
        </w:pBdr>
        <w:spacing w:line="360" w:lineRule="auto"/>
        <w:ind w:left="1724" w:right="62"/>
        <w:jc w:val="both"/>
        <w:rPr>
          <w:rFonts w:ascii="Palatino Linotype" w:eastAsia="Palatino Linotype" w:hAnsi="Palatino Linotype" w:cs="Palatino Linotype"/>
          <w:i/>
          <w:color w:val="000000"/>
          <w:sz w:val="22"/>
          <w:szCs w:val="22"/>
        </w:rPr>
      </w:pPr>
    </w:p>
    <w:p w14:paraId="7B8E1628"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La Comisionada Ponente con fundamento en lo dispuesto por el artículo 185 fracción II de la ley de la materia, a través del acuerdo de admisión de fecha</w:t>
      </w:r>
      <w:r w:rsidRPr="000937DF">
        <w:rPr>
          <w:rFonts w:ascii="Palatino Linotype" w:eastAsia="Palatino Linotype" w:hAnsi="Palatino Linotype" w:cs="Palatino Linotype"/>
          <w:b/>
          <w:color w:val="000000"/>
          <w:sz w:val="22"/>
          <w:szCs w:val="22"/>
        </w:rPr>
        <w:t xml:space="preserve"> cuatro de septiembre de dos mil veinticuatro</w:t>
      </w:r>
      <w:r w:rsidRPr="000937DF">
        <w:rPr>
          <w:rFonts w:ascii="Palatino Linotype" w:eastAsia="Palatino Linotype" w:hAnsi="Palatino Linotype" w:cs="Palatino Linotype"/>
          <w:color w:val="000000"/>
          <w:sz w:val="22"/>
          <w:szCs w:val="22"/>
        </w:rPr>
        <w:t xml:space="preserve">, se puso a disposición de las partes el expediente electrónico vía </w:t>
      </w:r>
      <w:r w:rsidRPr="000937DF">
        <w:rPr>
          <w:rFonts w:ascii="Palatino Linotype" w:eastAsia="Palatino Linotype" w:hAnsi="Palatino Linotype" w:cs="Palatino Linotype"/>
          <w:b/>
          <w:color w:val="000000"/>
          <w:sz w:val="22"/>
          <w:szCs w:val="22"/>
        </w:rPr>
        <w:t xml:space="preserve">SAIMEX </w:t>
      </w:r>
      <w:r w:rsidRPr="000937DF">
        <w:rPr>
          <w:rFonts w:ascii="Palatino Linotype" w:eastAsia="Palatino Linotype" w:hAnsi="Palatino Linotype" w:cs="Palatino Linotype"/>
          <w:color w:val="000000"/>
          <w:sz w:val="22"/>
          <w:szCs w:val="22"/>
        </w:rPr>
        <w:t xml:space="preserve">a efecto de que en un plazo máximo de siete días </w:t>
      </w:r>
      <w:r w:rsidRPr="000937DF">
        <w:rPr>
          <w:rFonts w:ascii="Palatino Linotype" w:eastAsia="Palatino Linotype" w:hAnsi="Palatino Linotype" w:cs="Palatino Linotype"/>
          <w:sz w:val="22"/>
          <w:szCs w:val="22"/>
        </w:rPr>
        <w:t>manifestara</w:t>
      </w:r>
      <w:r w:rsidRPr="000937DF">
        <w:rPr>
          <w:rFonts w:ascii="Palatino Linotype" w:eastAsia="Palatino Linotype" w:hAnsi="Palatino Linotype" w:cs="Palatino Linotype"/>
          <w:color w:val="000000"/>
          <w:sz w:val="22"/>
          <w:szCs w:val="22"/>
        </w:rPr>
        <w:t xml:space="preserve"> lo que a su derecho conviniera, </w:t>
      </w:r>
      <w:r w:rsidRPr="000937DF">
        <w:rPr>
          <w:rFonts w:ascii="Palatino Linotype" w:eastAsia="Palatino Linotype" w:hAnsi="Palatino Linotype" w:cs="Palatino Linotype"/>
          <w:sz w:val="22"/>
          <w:szCs w:val="22"/>
        </w:rPr>
        <w:t>ofreciera</w:t>
      </w:r>
      <w:r w:rsidRPr="000937DF">
        <w:rPr>
          <w:rFonts w:ascii="Palatino Linotype" w:eastAsia="Palatino Linotype" w:hAnsi="Palatino Linotype" w:cs="Palatino Linotype"/>
          <w:color w:val="000000"/>
          <w:sz w:val="22"/>
          <w:szCs w:val="22"/>
        </w:rPr>
        <w:t xml:space="preserve"> pruebas y alegatos según corresponda a los casos concretos, y el </w:t>
      </w:r>
      <w:r w:rsidRPr="000937DF">
        <w:rPr>
          <w:rFonts w:ascii="Palatino Linotype" w:eastAsia="Palatino Linotype" w:hAnsi="Palatino Linotype" w:cs="Palatino Linotype"/>
          <w:b/>
          <w:color w:val="000000"/>
          <w:sz w:val="22"/>
          <w:szCs w:val="22"/>
        </w:rPr>
        <w:t>SUJETO OBLIGADO</w:t>
      </w:r>
      <w:r w:rsidRPr="000937DF">
        <w:rPr>
          <w:rFonts w:ascii="Palatino Linotype" w:eastAsia="Palatino Linotype" w:hAnsi="Palatino Linotype" w:cs="Palatino Linotype"/>
          <w:color w:val="000000"/>
          <w:sz w:val="22"/>
          <w:szCs w:val="22"/>
        </w:rPr>
        <w:t xml:space="preserve"> presentará el Informe Justificado procedente.</w:t>
      </w:r>
    </w:p>
    <w:p w14:paraId="14F4E835" w14:textId="77777777" w:rsidR="00796AA9" w:rsidRPr="000937DF" w:rsidRDefault="00796AA9" w:rsidP="00796AA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127CED7B"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 xml:space="preserve">De lo anterior, el </w:t>
      </w:r>
      <w:r w:rsidRPr="000937DF">
        <w:rPr>
          <w:rFonts w:ascii="Palatino Linotype" w:eastAsia="Palatino Linotype" w:hAnsi="Palatino Linotype" w:cs="Palatino Linotype"/>
          <w:b/>
          <w:color w:val="000000"/>
          <w:sz w:val="22"/>
          <w:szCs w:val="22"/>
        </w:rPr>
        <w:t xml:space="preserve">SUJETO OBLIGADO </w:t>
      </w:r>
      <w:r w:rsidRPr="000937DF">
        <w:rPr>
          <w:rFonts w:ascii="Palatino Linotype" w:eastAsia="Palatino Linotype" w:hAnsi="Palatino Linotype" w:cs="Palatino Linotype"/>
          <w:color w:val="000000"/>
          <w:sz w:val="22"/>
          <w:szCs w:val="22"/>
        </w:rPr>
        <w:t xml:space="preserve">el </w:t>
      </w:r>
      <w:r w:rsidRPr="000937DF">
        <w:rPr>
          <w:rFonts w:ascii="Palatino Linotype" w:eastAsia="Palatino Linotype" w:hAnsi="Palatino Linotype" w:cs="Palatino Linotype"/>
          <w:b/>
          <w:color w:val="000000"/>
          <w:sz w:val="22"/>
          <w:szCs w:val="22"/>
        </w:rPr>
        <w:t>dos de octubre de dos mil veinticuatro</w:t>
      </w:r>
      <w:r w:rsidRPr="000937DF">
        <w:rPr>
          <w:rFonts w:ascii="Palatino Linotype" w:eastAsia="Palatino Linotype" w:hAnsi="Palatino Linotype" w:cs="Palatino Linotype"/>
          <w:color w:val="000000"/>
          <w:sz w:val="22"/>
          <w:szCs w:val="22"/>
        </w:rPr>
        <w:t xml:space="preserve"> </w:t>
      </w:r>
      <w:r w:rsidRPr="000937DF">
        <w:rPr>
          <w:rFonts w:ascii="Palatino Linotype" w:eastAsia="Palatino Linotype" w:hAnsi="Palatino Linotype" w:cs="Palatino Linotype"/>
          <w:sz w:val="22"/>
          <w:szCs w:val="22"/>
        </w:rPr>
        <w:t>entregó</w:t>
      </w:r>
      <w:r w:rsidRPr="000937DF">
        <w:rPr>
          <w:rFonts w:ascii="Palatino Linotype" w:eastAsia="Palatino Linotype" w:hAnsi="Palatino Linotype" w:cs="Palatino Linotype"/>
          <w:color w:val="000000"/>
          <w:sz w:val="22"/>
          <w:szCs w:val="22"/>
        </w:rPr>
        <w:t xml:space="preserve"> tres archivos electrónicos en formato </w:t>
      </w:r>
      <w:proofErr w:type="spellStart"/>
      <w:r w:rsidRPr="000937DF">
        <w:rPr>
          <w:rFonts w:ascii="Palatino Linotype" w:eastAsia="Palatino Linotype" w:hAnsi="Palatino Linotype" w:cs="Palatino Linotype"/>
          <w:color w:val="000000"/>
          <w:sz w:val="22"/>
          <w:szCs w:val="22"/>
        </w:rPr>
        <w:t>pdf</w:t>
      </w:r>
      <w:proofErr w:type="spellEnd"/>
      <w:r w:rsidRPr="000937DF">
        <w:rPr>
          <w:rFonts w:ascii="Palatino Linotype" w:eastAsia="Palatino Linotype" w:hAnsi="Palatino Linotype" w:cs="Palatino Linotype"/>
          <w:color w:val="000000"/>
          <w:sz w:val="22"/>
          <w:szCs w:val="22"/>
        </w:rPr>
        <w:t xml:space="preserve">, cuyo contenido grosso modo es el siguiente. </w:t>
      </w:r>
    </w:p>
    <w:p w14:paraId="5DAF5250" w14:textId="77777777" w:rsidR="00796AA9" w:rsidRPr="000937DF" w:rsidRDefault="00796AA9" w:rsidP="00796AA9">
      <w:pPr>
        <w:pBdr>
          <w:top w:val="nil"/>
          <w:left w:val="nil"/>
          <w:bottom w:val="nil"/>
          <w:right w:val="nil"/>
          <w:between w:val="nil"/>
        </w:pBdr>
        <w:spacing w:line="360" w:lineRule="auto"/>
        <w:ind w:right="-787"/>
        <w:jc w:val="both"/>
        <w:rPr>
          <w:color w:val="000000"/>
          <w:sz w:val="22"/>
          <w:szCs w:val="22"/>
        </w:rPr>
      </w:pPr>
    </w:p>
    <w:p w14:paraId="29F59D9B" w14:textId="77777777" w:rsidR="00796AA9" w:rsidRPr="000937DF" w:rsidRDefault="00796AA9" w:rsidP="00796AA9">
      <w:pPr>
        <w:pBdr>
          <w:top w:val="nil"/>
          <w:left w:val="nil"/>
          <w:bottom w:val="nil"/>
          <w:right w:val="nil"/>
          <w:between w:val="nil"/>
        </w:pBdr>
        <w:ind w:left="1134" w:right="900"/>
        <w:jc w:val="both"/>
        <w:rPr>
          <w:rFonts w:ascii="Palatino Linotype" w:eastAsia="Palatino Linotype" w:hAnsi="Palatino Linotype" w:cs="Palatino Linotype"/>
          <w:bCs/>
          <w:i/>
          <w:color w:val="000000"/>
          <w:sz w:val="22"/>
          <w:szCs w:val="22"/>
        </w:rPr>
      </w:pPr>
      <w:r w:rsidRPr="000937DF">
        <w:rPr>
          <w:rFonts w:ascii="Palatino Linotype" w:eastAsia="Palatino Linotype" w:hAnsi="Palatino Linotype" w:cs="Palatino Linotype"/>
          <w:b/>
          <w:i/>
          <w:color w:val="000000"/>
          <w:sz w:val="22"/>
          <w:szCs w:val="22"/>
        </w:rPr>
        <w:t xml:space="preserve">ACTA SE-24-2024.pdf: </w:t>
      </w:r>
      <w:r w:rsidRPr="000937DF">
        <w:rPr>
          <w:rFonts w:ascii="Palatino Linotype" w:eastAsia="Palatino Linotype" w:hAnsi="Palatino Linotype" w:cs="Palatino Linotype"/>
          <w:i/>
          <w:color w:val="000000"/>
          <w:sz w:val="22"/>
          <w:szCs w:val="22"/>
        </w:rPr>
        <w:t xml:space="preserve">Acta de la Sesión Extraordinaria Número 24/2024, mediante la cual en el numeral siete se encuentra el Acuerdo de Clasificación de información de la solicitud de información </w:t>
      </w:r>
      <w:r w:rsidRPr="000937DF">
        <w:rPr>
          <w:rFonts w:ascii="Palatino Linotype" w:eastAsia="Palatino Linotype" w:hAnsi="Palatino Linotype" w:cs="Palatino Linotype"/>
          <w:b/>
          <w:bCs/>
          <w:i/>
          <w:color w:val="000000"/>
          <w:sz w:val="22"/>
          <w:szCs w:val="22"/>
        </w:rPr>
        <w:t xml:space="preserve">00673/FGJ/IP/2024, </w:t>
      </w:r>
      <w:r w:rsidRPr="000937DF">
        <w:rPr>
          <w:rFonts w:ascii="Palatino Linotype" w:eastAsia="Palatino Linotype" w:hAnsi="Palatino Linotype" w:cs="Palatino Linotype"/>
          <w:bCs/>
          <w:i/>
          <w:color w:val="000000"/>
          <w:sz w:val="22"/>
          <w:szCs w:val="22"/>
        </w:rPr>
        <w:t xml:space="preserve">mediante el cual refieren que se clasifica el pronunciamiento en sentido afirmativo o </w:t>
      </w:r>
      <w:r w:rsidRPr="000937DF">
        <w:rPr>
          <w:rFonts w:ascii="Palatino Linotype" w:eastAsia="Palatino Linotype" w:hAnsi="Palatino Linotype" w:cs="Palatino Linotype"/>
          <w:bCs/>
          <w:i/>
          <w:color w:val="000000"/>
          <w:sz w:val="22"/>
          <w:szCs w:val="22"/>
        </w:rPr>
        <w:lastRenderedPageBreak/>
        <w:t xml:space="preserve">negativo respecto a si la persona referida en la solicitud de información forma o formo parte del personal </w:t>
      </w:r>
      <w:r w:rsidRPr="000937DF">
        <w:rPr>
          <w:rFonts w:ascii="Palatino Linotype" w:eastAsia="Palatino Linotype" w:hAnsi="Palatino Linotype" w:cs="Palatino Linotype"/>
          <w:b/>
          <w:bCs/>
          <w:i/>
          <w:color w:val="000000"/>
          <w:sz w:val="22"/>
          <w:szCs w:val="22"/>
        </w:rPr>
        <w:t xml:space="preserve">operativo </w:t>
      </w:r>
      <w:r w:rsidRPr="000937DF">
        <w:rPr>
          <w:rFonts w:ascii="Palatino Linotype" w:eastAsia="Palatino Linotype" w:hAnsi="Palatino Linotype" w:cs="Palatino Linotype"/>
          <w:bCs/>
          <w:i/>
          <w:color w:val="000000"/>
          <w:sz w:val="22"/>
          <w:szCs w:val="22"/>
        </w:rPr>
        <w:t>de la Fiscalía General de Justicia del Estado de México. (</w:t>
      </w:r>
      <w:proofErr w:type="gramStart"/>
      <w:r w:rsidRPr="000937DF">
        <w:rPr>
          <w:rFonts w:ascii="Palatino Linotype" w:eastAsia="Palatino Linotype" w:hAnsi="Palatino Linotype" w:cs="Palatino Linotype"/>
          <w:bCs/>
          <w:i/>
          <w:color w:val="000000"/>
          <w:sz w:val="22"/>
          <w:szCs w:val="22"/>
        </w:rPr>
        <w:t>de</w:t>
      </w:r>
      <w:proofErr w:type="gramEnd"/>
      <w:r w:rsidRPr="000937DF">
        <w:rPr>
          <w:rFonts w:ascii="Palatino Linotype" w:eastAsia="Palatino Linotype" w:hAnsi="Palatino Linotype" w:cs="Palatino Linotype"/>
          <w:bCs/>
          <w:i/>
          <w:color w:val="000000"/>
          <w:sz w:val="22"/>
          <w:szCs w:val="22"/>
        </w:rPr>
        <w:t xml:space="preserve"> la revisión del Acta del Comité de Transparencia ya se encuentran las firmas de quienes participaron como integrantes de dicho Comité). </w:t>
      </w:r>
    </w:p>
    <w:p w14:paraId="4EAC1548" w14:textId="77777777" w:rsidR="00796AA9" w:rsidRPr="000937DF" w:rsidRDefault="00796AA9" w:rsidP="00796AA9">
      <w:pPr>
        <w:pBdr>
          <w:top w:val="nil"/>
          <w:left w:val="nil"/>
          <w:bottom w:val="nil"/>
          <w:right w:val="nil"/>
          <w:between w:val="nil"/>
        </w:pBdr>
        <w:ind w:left="1134" w:right="900"/>
        <w:jc w:val="both"/>
        <w:rPr>
          <w:rFonts w:ascii="Palatino Linotype" w:eastAsia="Palatino Linotype" w:hAnsi="Palatino Linotype" w:cs="Palatino Linotype"/>
          <w:bCs/>
          <w:i/>
          <w:color w:val="000000"/>
          <w:sz w:val="22"/>
          <w:szCs w:val="22"/>
        </w:rPr>
      </w:pPr>
      <w:r w:rsidRPr="000937DF">
        <w:rPr>
          <w:rFonts w:ascii="Palatino Linotype" w:eastAsia="Palatino Linotype" w:hAnsi="Palatino Linotype" w:cs="Palatino Linotype"/>
          <w:b/>
          <w:bCs/>
          <w:i/>
          <w:color w:val="000000"/>
          <w:sz w:val="22"/>
          <w:szCs w:val="22"/>
        </w:rPr>
        <w:t xml:space="preserve">INFORME JUSTIFICADO RR 5243 SOL.673.pdf: </w:t>
      </w:r>
      <w:r w:rsidRPr="000937DF">
        <w:rPr>
          <w:rFonts w:ascii="Palatino Linotype" w:eastAsia="Palatino Linotype" w:hAnsi="Palatino Linotype" w:cs="Palatino Linotype"/>
          <w:bCs/>
          <w:i/>
          <w:color w:val="000000"/>
          <w:sz w:val="22"/>
          <w:szCs w:val="22"/>
        </w:rPr>
        <w:t xml:space="preserve">informe justificado mediante el cual la Titular de la Unidad de Transparencia, ratifica su respuesta en cuanto a que clasifica la búsqueda en el sistema del personal operativo porque de serlo así pondría en riesgo, por lo cual el pronunciamiento no se puede ser en sentido afirmativo o negativo. </w:t>
      </w:r>
    </w:p>
    <w:p w14:paraId="3AB93A0E" w14:textId="77777777" w:rsidR="00796AA9" w:rsidRPr="000937DF" w:rsidRDefault="00796AA9" w:rsidP="00796AA9">
      <w:pPr>
        <w:pBdr>
          <w:top w:val="nil"/>
          <w:left w:val="nil"/>
          <w:bottom w:val="nil"/>
          <w:right w:val="nil"/>
          <w:between w:val="nil"/>
        </w:pBdr>
        <w:ind w:left="1134" w:right="900"/>
        <w:jc w:val="both"/>
        <w:rPr>
          <w:rFonts w:ascii="Palatino Linotype" w:eastAsia="Palatino Linotype" w:hAnsi="Palatino Linotype" w:cs="Palatino Linotype"/>
          <w:b/>
          <w:bCs/>
          <w:i/>
          <w:color w:val="000000"/>
          <w:sz w:val="22"/>
          <w:szCs w:val="22"/>
        </w:rPr>
      </w:pPr>
      <w:r w:rsidRPr="000937DF">
        <w:rPr>
          <w:rFonts w:ascii="Palatino Linotype" w:eastAsia="Palatino Linotype" w:hAnsi="Palatino Linotype" w:cs="Palatino Linotype"/>
          <w:b/>
          <w:bCs/>
          <w:i/>
          <w:color w:val="000000"/>
          <w:sz w:val="22"/>
          <w:szCs w:val="22"/>
        </w:rPr>
        <w:t xml:space="preserve">Del mismo informe justificado se observa que la Titular de la Unidad de Transparencia, remite el link </w:t>
      </w:r>
      <w:hyperlink r:id="rId8" w:anchor="/info-fraccion/28/268/12" w:history="1">
        <w:r w:rsidRPr="000937DF">
          <w:rPr>
            <w:rStyle w:val="Hipervnculo"/>
            <w:rFonts w:ascii="Palatino Linotype" w:eastAsia="Palatino Linotype" w:hAnsi="Palatino Linotype" w:cs="Palatino Linotype"/>
            <w:b/>
            <w:bCs/>
            <w:i/>
            <w:sz w:val="22"/>
            <w:szCs w:val="22"/>
          </w:rPr>
          <w:t>https://infoem2.ipomex.org.mx/ipomex/#/info-fraccion/28/268/12</w:t>
        </w:r>
      </w:hyperlink>
      <w:r w:rsidRPr="000937DF">
        <w:rPr>
          <w:rFonts w:ascii="Palatino Linotype" w:eastAsia="Palatino Linotype" w:hAnsi="Palatino Linotype" w:cs="Palatino Linotype"/>
          <w:b/>
          <w:bCs/>
          <w:i/>
          <w:color w:val="000000"/>
          <w:sz w:val="22"/>
          <w:szCs w:val="22"/>
        </w:rPr>
        <w:t xml:space="preserve">, del cual refiere que el RECURRENTE puede consultar las sanciones a servidores públicos que se encuentran publicadas en la página del </w:t>
      </w:r>
      <w:proofErr w:type="spellStart"/>
      <w:r w:rsidRPr="000937DF">
        <w:rPr>
          <w:rFonts w:ascii="Palatino Linotype" w:eastAsia="Palatino Linotype" w:hAnsi="Palatino Linotype" w:cs="Palatino Linotype"/>
          <w:b/>
          <w:bCs/>
          <w:i/>
          <w:color w:val="000000"/>
          <w:sz w:val="22"/>
          <w:szCs w:val="22"/>
        </w:rPr>
        <w:t>ipomex</w:t>
      </w:r>
      <w:proofErr w:type="spellEnd"/>
      <w:r w:rsidRPr="000937DF">
        <w:rPr>
          <w:rFonts w:ascii="Palatino Linotype" w:eastAsia="Palatino Linotype" w:hAnsi="Palatino Linotype" w:cs="Palatino Linotype"/>
          <w:b/>
          <w:bCs/>
          <w:i/>
          <w:color w:val="000000"/>
          <w:sz w:val="22"/>
          <w:szCs w:val="22"/>
        </w:rPr>
        <w:t xml:space="preserve"> 4.0 del SUJETO OBLIGADO. </w:t>
      </w:r>
    </w:p>
    <w:p w14:paraId="6EF50F30" w14:textId="77777777" w:rsidR="00796AA9" w:rsidRPr="000937DF" w:rsidRDefault="00796AA9" w:rsidP="00796AA9">
      <w:pPr>
        <w:pBdr>
          <w:top w:val="nil"/>
          <w:left w:val="nil"/>
          <w:bottom w:val="nil"/>
          <w:right w:val="nil"/>
          <w:between w:val="nil"/>
        </w:pBdr>
        <w:ind w:left="1134" w:right="900"/>
        <w:jc w:val="both"/>
        <w:rPr>
          <w:rFonts w:ascii="Palatino Linotype" w:eastAsia="Palatino Linotype" w:hAnsi="Palatino Linotype"/>
          <w:i/>
          <w:sz w:val="22"/>
          <w:szCs w:val="22"/>
        </w:rPr>
      </w:pPr>
      <w:proofErr w:type="gramStart"/>
      <w:r w:rsidRPr="000937DF">
        <w:rPr>
          <w:rFonts w:ascii="Palatino Linotype" w:eastAsia="Palatino Linotype" w:hAnsi="Palatino Linotype"/>
          <w:b/>
          <w:i/>
          <w:sz w:val="22"/>
          <w:szCs w:val="22"/>
        </w:rPr>
        <w:t>of</w:t>
      </w:r>
      <w:proofErr w:type="gramEnd"/>
      <w:r w:rsidRPr="000937DF">
        <w:rPr>
          <w:rFonts w:ascii="Palatino Linotype" w:eastAsia="Palatino Linotype" w:hAnsi="Palatino Linotype"/>
          <w:b/>
          <w:i/>
          <w:sz w:val="22"/>
          <w:szCs w:val="22"/>
        </w:rPr>
        <w:t xml:space="preserve"> I.J. 2993 RR 5243_2024_10_02_23_43_46_515.pdf: </w:t>
      </w:r>
      <w:r w:rsidRPr="000937DF">
        <w:rPr>
          <w:rFonts w:ascii="Palatino Linotype" w:eastAsia="Palatino Linotype" w:hAnsi="Palatino Linotype"/>
          <w:i/>
          <w:sz w:val="22"/>
          <w:szCs w:val="22"/>
        </w:rPr>
        <w:t xml:space="preserve">oficio de la Titular de la Unidad de Transparencia, mediante la cual informa que se adjunta el Informe Justificado, mediante el cual se señalan los razonamientos lógico-jurídicos. </w:t>
      </w:r>
    </w:p>
    <w:p w14:paraId="4A54980D" w14:textId="77777777" w:rsidR="00796AA9" w:rsidRPr="000937DF" w:rsidRDefault="00796AA9" w:rsidP="00796AA9">
      <w:p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p>
    <w:p w14:paraId="2A5A0F0E" w14:textId="77777777" w:rsidR="00796AA9" w:rsidRPr="000937DF" w:rsidRDefault="00796AA9" w:rsidP="00796AA9">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5C0047E1"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 xml:space="preserve">Por su parte el </w:t>
      </w:r>
      <w:r w:rsidRPr="000937DF">
        <w:rPr>
          <w:rFonts w:ascii="Palatino Linotype" w:eastAsia="Palatino Linotype" w:hAnsi="Palatino Linotype" w:cs="Palatino Linotype"/>
          <w:b/>
          <w:color w:val="000000"/>
          <w:sz w:val="22"/>
          <w:szCs w:val="22"/>
        </w:rPr>
        <w:t xml:space="preserve">RECURRENTE </w:t>
      </w:r>
      <w:r w:rsidRPr="000937DF">
        <w:rPr>
          <w:rFonts w:ascii="Palatino Linotype" w:eastAsia="Palatino Linotype" w:hAnsi="Palatino Linotype" w:cs="Palatino Linotype"/>
          <w:sz w:val="22"/>
          <w:szCs w:val="22"/>
        </w:rPr>
        <w:t>dejó</w:t>
      </w:r>
      <w:r w:rsidRPr="000937DF">
        <w:rPr>
          <w:rFonts w:ascii="Palatino Linotype" w:eastAsia="Palatino Linotype" w:hAnsi="Palatino Linotype" w:cs="Palatino Linotype"/>
          <w:color w:val="000000"/>
          <w:sz w:val="22"/>
          <w:szCs w:val="22"/>
        </w:rPr>
        <w:t xml:space="preserve"> de realizar manifestaciones que a su derecho conviniera y asistiera. </w:t>
      </w:r>
    </w:p>
    <w:p w14:paraId="11D25AA2" w14:textId="77777777" w:rsidR="00796AA9" w:rsidRPr="000937DF" w:rsidRDefault="00796AA9" w:rsidP="00796AA9">
      <w:pPr>
        <w:pBdr>
          <w:top w:val="nil"/>
          <w:left w:val="nil"/>
          <w:bottom w:val="nil"/>
          <w:right w:val="nil"/>
          <w:between w:val="nil"/>
        </w:pBdr>
        <w:spacing w:line="360" w:lineRule="auto"/>
        <w:ind w:right="-787"/>
        <w:jc w:val="both"/>
        <w:rPr>
          <w:color w:val="000000"/>
          <w:sz w:val="22"/>
          <w:szCs w:val="22"/>
        </w:rPr>
      </w:pPr>
    </w:p>
    <w:p w14:paraId="4DEBAECD"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 xml:space="preserve">El </w:t>
      </w:r>
      <w:r w:rsidRPr="000937DF">
        <w:rPr>
          <w:rFonts w:ascii="Palatino Linotype" w:eastAsia="Palatino Linotype" w:hAnsi="Palatino Linotype" w:cs="Palatino Linotype"/>
          <w:b/>
          <w:color w:val="000000"/>
          <w:sz w:val="22"/>
          <w:szCs w:val="22"/>
        </w:rPr>
        <w:t>trece de febrero de dos mil veinticinco</w:t>
      </w:r>
      <w:r w:rsidRPr="000937DF">
        <w:rPr>
          <w:rFonts w:ascii="Palatino Linotype" w:eastAsia="Palatino Linotype" w:hAnsi="Palatino Linotype" w:cs="Palatino Linotype"/>
          <w:color w:val="000000"/>
          <w:sz w:val="22"/>
          <w:szCs w:val="22"/>
        </w:rPr>
        <w:t>, la Comisionada Ponente notificó el acuerdo de ampliación para emitir resolución.</w:t>
      </w:r>
    </w:p>
    <w:p w14:paraId="659DBFEB" w14:textId="77777777" w:rsidR="00796AA9" w:rsidRPr="000937DF" w:rsidRDefault="00796AA9" w:rsidP="00796AA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FD88537"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607B8FEE" w14:textId="77777777" w:rsidR="00796AA9" w:rsidRPr="000937DF" w:rsidRDefault="00796AA9" w:rsidP="00796AA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7F4D8E86"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D61AE8D" w14:textId="77777777" w:rsidR="00796AA9" w:rsidRPr="000937DF" w:rsidRDefault="00796AA9" w:rsidP="00796AA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7724B71"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6C4D6F6" w14:textId="77777777" w:rsidR="00796AA9" w:rsidRPr="000937DF" w:rsidRDefault="00796AA9" w:rsidP="00796AA9">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08777BF4"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ADAF849" w14:textId="77777777" w:rsidR="00796AA9" w:rsidRPr="000937DF" w:rsidRDefault="00796AA9" w:rsidP="00796AA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D73EEA5"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3971FF6" w14:textId="77777777" w:rsidR="00796AA9" w:rsidRPr="000937DF" w:rsidRDefault="00796AA9" w:rsidP="00796AA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7B1E920" w14:textId="77777777" w:rsidR="00796AA9" w:rsidRPr="000937DF" w:rsidRDefault="00796AA9" w:rsidP="00796AA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0937DF">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6F493269" w14:textId="77777777" w:rsidR="00796AA9" w:rsidRPr="000937DF" w:rsidRDefault="00796AA9" w:rsidP="00796AA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0937DF">
        <w:rPr>
          <w:rFonts w:ascii="Palatino Linotype" w:eastAsia="Palatino Linotype" w:hAnsi="Palatino Linotype" w:cs="Palatino Linotype"/>
          <w:color w:val="000000"/>
          <w:sz w:val="22"/>
          <w:szCs w:val="22"/>
        </w:rPr>
        <w:t>b)     Actividad Procesal del interesado: Acciones u omisiones del interesado.</w:t>
      </w:r>
    </w:p>
    <w:p w14:paraId="661FD26A" w14:textId="77777777" w:rsidR="00796AA9" w:rsidRPr="000937DF" w:rsidRDefault="00796AA9" w:rsidP="00796AA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0937DF">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14:paraId="6DD8187A" w14:textId="77777777" w:rsidR="00796AA9" w:rsidRPr="000937DF" w:rsidRDefault="00796AA9" w:rsidP="00796AA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0937DF">
        <w:rPr>
          <w:rFonts w:ascii="Palatino Linotype" w:eastAsia="Palatino Linotype" w:hAnsi="Palatino Linotype" w:cs="Palatino Linotype"/>
          <w:color w:val="000000"/>
          <w:sz w:val="22"/>
          <w:szCs w:val="22"/>
        </w:rPr>
        <w:lastRenderedPageBreak/>
        <w:t>d)   La afectación generada en la situación jurídica de la persona involucrada en el proceso: Violación a sus derechos humanos.</w:t>
      </w:r>
    </w:p>
    <w:p w14:paraId="162FF6B6" w14:textId="77777777" w:rsidR="00796AA9" w:rsidRPr="000937DF" w:rsidRDefault="00796AA9" w:rsidP="00796AA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918574B"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D9B468" w14:textId="77777777" w:rsidR="00796AA9" w:rsidRPr="000937DF" w:rsidRDefault="00796AA9" w:rsidP="00796AA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BEAE3A8"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Argumento que encuentra sustento en la jurisprudencia P</w:t>
      </w:r>
      <w:proofErr w:type="gramStart"/>
      <w:r w:rsidRPr="000937DF">
        <w:rPr>
          <w:rFonts w:ascii="Palatino Linotype" w:eastAsia="Palatino Linotype" w:hAnsi="Palatino Linotype" w:cs="Palatino Linotype"/>
          <w:color w:val="000000"/>
          <w:sz w:val="22"/>
          <w:szCs w:val="22"/>
        </w:rPr>
        <w:t>./</w:t>
      </w:r>
      <w:proofErr w:type="gramEnd"/>
      <w:r w:rsidRPr="000937DF">
        <w:rPr>
          <w:rFonts w:ascii="Palatino Linotype" w:eastAsia="Palatino Linotype" w:hAnsi="Palatino Linotype" w:cs="Palatino Linotype"/>
          <w:color w:val="000000"/>
          <w:sz w:val="22"/>
          <w:szCs w:val="22"/>
        </w:rPr>
        <w:t xml:space="preserve">J. 32/92 emitida por el Pleno de la Suprema Corte de Justicia de la Nación </w:t>
      </w:r>
      <w:r w:rsidRPr="000937DF">
        <w:rPr>
          <w:rFonts w:ascii="Palatino Linotype" w:eastAsia="Palatino Linotype" w:hAnsi="Palatino Linotype" w:cs="Palatino Linotype"/>
          <w:sz w:val="22"/>
          <w:szCs w:val="22"/>
        </w:rPr>
        <w:t>del rubro</w:t>
      </w:r>
      <w:r w:rsidRPr="000937DF">
        <w:rPr>
          <w:rFonts w:ascii="Palatino Linotype" w:eastAsia="Palatino Linotype" w:hAnsi="Palatino Linotype" w:cs="Palatino Linotype"/>
          <w:color w:val="000000"/>
          <w:sz w:val="22"/>
          <w:szCs w:val="22"/>
        </w:rPr>
        <w:t xml:space="preserve"> “TÉRMINOS PROCESALES. PARA DETERMINAR SI UN FUNCIONARIO JUDICIAL ACTUÓ INDEBIDAMENTE POR NO RESPETARLOS SE DEBE ATENDER AL PRESUPUESTO QUE CONSIDERÓ EL LEGISLADOR AL FIJARLOS Y LAS CARACTERÍSTICAS DEL CASO.”, visible en la Gaceta del </w:t>
      </w:r>
      <w:r w:rsidRPr="000937DF">
        <w:rPr>
          <w:rFonts w:ascii="Palatino Linotype" w:eastAsia="Palatino Linotype" w:hAnsi="Palatino Linotype" w:cs="Palatino Linotype"/>
          <w:sz w:val="22"/>
          <w:szCs w:val="22"/>
        </w:rPr>
        <w:t>Semanario</w:t>
      </w:r>
      <w:r w:rsidRPr="000937DF">
        <w:rPr>
          <w:rFonts w:ascii="Palatino Linotype" w:eastAsia="Palatino Linotype" w:hAnsi="Palatino Linotype" w:cs="Palatino Linotype"/>
          <w:color w:val="000000"/>
          <w:sz w:val="22"/>
          <w:szCs w:val="22"/>
        </w:rPr>
        <w:t xml:space="preserve"> Judicial de la Federación con el registro digital 205635.</w:t>
      </w:r>
    </w:p>
    <w:p w14:paraId="0D2C70C3" w14:textId="77777777" w:rsidR="00796AA9" w:rsidRPr="000937DF" w:rsidRDefault="00796AA9" w:rsidP="00796AA9">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7CEE9C50"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8EFA118" w14:textId="77777777" w:rsidR="00796AA9" w:rsidRPr="000937DF" w:rsidRDefault="00796AA9" w:rsidP="00796AA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C04159F"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lastRenderedPageBreak/>
        <w:t>Al respecto, también son de considerar los criterios sostenidos por el Cuarto Tribunal Colegiado en Materia Administrativa del Primer Circuito, cuyos rubros y datos de identificación son los siguientes:</w:t>
      </w:r>
    </w:p>
    <w:p w14:paraId="53BE50EC" w14:textId="77777777" w:rsidR="00796AA9" w:rsidRPr="000937DF" w:rsidRDefault="00796AA9" w:rsidP="00796AA9">
      <w:pPr>
        <w:pStyle w:val="Prrafodelista"/>
        <w:rPr>
          <w:color w:val="000000"/>
        </w:rPr>
      </w:pPr>
    </w:p>
    <w:p w14:paraId="4733579C" w14:textId="77777777" w:rsidR="00796AA9" w:rsidRPr="000937DF" w:rsidRDefault="00796AA9" w:rsidP="00796AA9">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sidRPr="000937DF">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14:paraId="17B4C867" w14:textId="77777777" w:rsidR="00796AA9" w:rsidRPr="000937DF" w:rsidRDefault="00796AA9" w:rsidP="00796AA9">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sidRPr="000937DF">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Seminario Judicial de la Federación y su gaceta, con el registro digital 2002350.</w:t>
      </w:r>
    </w:p>
    <w:p w14:paraId="0D78CAE6" w14:textId="77777777" w:rsidR="00796AA9" w:rsidRPr="000937DF" w:rsidRDefault="00796AA9" w:rsidP="00796AA9">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sz w:val="22"/>
          <w:szCs w:val="22"/>
        </w:rPr>
      </w:pPr>
    </w:p>
    <w:p w14:paraId="6E0C84DC"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Por ello, este organismo garante comprometido con la tutela de los derechos humanos confiados, señala que este exceso del plazo legal para resolver el presente asunto, resulta de carácter excepcional.</w:t>
      </w:r>
    </w:p>
    <w:p w14:paraId="7151EBAC" w14:textId="77777777" w:rsidR="00796AA9" w:rsidRPr="000937DF" w:rsidRDefault="00796AA9" w:rsidP="00796AA9">
      <w:pPr>
        <w:pBdr>
          <w:top w:val="nil"/>
          <w:left w:val="nil"/>
          <w:bottom w:val="nil"/>
          <w:right w:val="nil"/>
          <w:between w:val="nil"/>
        </w:pBdr>
        <w:spacing w:line="360" w:lineRule="auto"/>
        <w:ind w:right="-787"/>
        <w:jc w:val="both"/>
        <w:rPr>
          <w:color w:val="000000"/>
          <w:sz w:val="22"/>
          <w:szCs w:val="22"/>
        </w:rPr>
      </w:pPr>
    </w:p>
    <w:p w14:paraId="6ECB1A25"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sz w:val="22"/>
          <w:szCs w:val="22"/>
        </w:rPr>
      </w:pPr>
      <w:r w:rsidRPr="000937DF">
        <w:rPr>
          <w:rFonts w:ascii="Palatino Linotype" w:eastAsia="Palatino Linotype" w:hAnsi="Palatino Linotype" w:cs="Palatino Linotype"/>
          <w:color w:val="000000"/>
          <w:sz w:val="22"/>
          <w:szCs w:val="22"/>
        </w:rPr>
        <w:t xml:space="preserve">Seguidamente el día </w:t>
      </w:r>
      <w:r w:rsidRPr="000937DF">
        <w:rPr>
          <w:rFonts w:ascii="Palatino Linotype" w:eastAsia="Palatino Linotype" w:hAnsi="Palatino Linotype" w:cs="Palatino Linotype"/>
          <w:b/>
          <w:color w:val="000000"/>
          <w:sz w:val="22"/>
          <w:szCs w:val="22"/>
        </w:rPr>
        <w:t>diecinueve de febrero de dos mil veinticinco</w:t>
      </w:r>
      <w:r w:rsidRPr="000937DF">
        <w:rPr>
          <w:rFonts w:ascii="Palatino Linotype" w:eastAsia="Palatino Linotype" w:hAnsi="Palatino Linotype" w:cs="Palatino Linotype"/>
          <w:color w:val="000000"/>
          <w:sz w:val="22"/>
          <w:szCs w:val="22"/>
        </w:rPr>
        <w:t xml:space="preserve">, se decretó el cierre de instrucción, por lo que no habiendo más que hacer constar, y </w:t>
      </w:r>
      <w:r w:rsidRPr="000937DF">
        <w:rPr>
          <w:rFonts w:ascii="Palatino Linotype" w:eastAsia="Palatino Linotype" w:hAnsi="Palatino Linotype" w:cs="Palatino Linotype"/>
          <w:sz w:val="22"/>
          <w:szCs w:val="22"/>
        </w:rPr>
        <w:t>—-----------------------------------------------</w:t>
      </w:r>
    </w:p>
    <w:p w14:paraId="00B6F69B" w14:textId="77777777" w:rsidR="00796AA9" w:rsidRPr="000937DF" w:rsidRDefault="00796AA9" w:rsidP="00796AA9">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sz w:val="22"/>
          <w:szCs w:val="22"/>
        </w:rPr>
      </w:pPr>
    </w:p>
    <w:p w14:paraId="061F40D9" w14:textId="77777777" w:rsidR="00796AA9" w:rsidRPr="000937DF" w:rsidRDefault="00796AA9" w:rsidP="00796AA9">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sz w:val="22"/>
          <w:szCs w:val="22"/>
        </w:rPr>
      </w:pPr>
      <w:r w:rsidRPr="000937DF">
        <w:rPr>
          <w:rFonts w:ascii="Palatino Linotype" w:eastAsia="Palatino Linotype" w:hAnsi="Palatino Linotype" w:cs="Palatino Linotype"/>
          <w:b/>
          <w:color w:val="000000"/>
          <w:sz w:val="22"/>
          <w:szCs w:val="22"/>
        </w:rPr>
        <w:t>C O N S I D E R A N D O</w:t>
      </w:r>
    </w:p>
    <w:p w14:paraId="78078292" w14:textId="77777777" w:rsidR="00796AA9" w:rsidRPr="000937DF" w:rsidRDefault="00796AA9" w:rsidP="00796AA9">
      <w:pPr>
        <w:pStyle w:val="Ttulo2"/>
        <w:spacing w:before="0" w:line="360" w:lineRule="auto"/>
        <w:ind w:right="-787"/>
        <w:rPr>
          <w:rFonts w:ascii="Palatino Linotype" w:eastAsia="Palatino Linotype" w:hAnsi="Palatino Linotype" w:cs="Palatino Linotype"/>
          <w:b/>
          <w:color w:val="000000"/>
          <w:sz w:val="22"/>
          <w:szCs w:val="22"/>
        </w:rPr>
      </w:pPr>
      <w:bookmarkStart w:id="5" w:name="_heading=h.2et92p0" w:colFirst="0" w:colLast="0"/>
      <w:bookmarkEnd w:id="5"/>
      <w:r w:rsidRPr="000937DF">
        <w:rPr>
          <w:rFonts w:ascii="Palatino Linotype" w:eastAsia="Palatino Linotype" w:hAnsi="Palatino Linotype" w:cs="Palatino Linotype"/>
          <w:b/>
          <w:color w:val="000000"/>
          <w:sz w:val="22"/>
          <w:szCs w:val="22"/>
        </w:rPr>
        <w:t>PRIMERO. De la competencia</w:t>
      </w:r>
    </w:p>
    <w:p w14:paraId="53291A26"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w:t>
      </w:r>
      <w:r w:rsidRPr="000937DF">
        <w:rPr>
          <w:rFonts w:ascii="Palatino Linotype" w:eastAsia="Palatino Linotype" w:hAnsi="Palatino Linotype" w:cs="Palatino Linotype"/>
          <w:color w:val="000000"/>
          <w:sz w:val="22"/>
          <w:szCs w:val="22"/>
        </w:rPr>
        <w:lastRenderedPageBreak/>
        <w:t>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ADD0F2D" w14:textId="77777777" w:rsidR="00796AA9" w:rsidRPr="000937DF" w:rsidRDefault="00796AA9" w:rsidP="00796AA9">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sz w:val="22"/>
          <w:szCs w:val="22"/>
        </w:rPr>
      </w:pPr>
      <w:bookmarkStart w:id="6" w:name="_heading=h.tyjcwt" w:colFirst="0" w:colLast="0"/>
      <w:bookmarkEnd w:id="6"/>
    </w:p>
    <w:p w14:paraId="3D9C165A" w14:textId="77777777" w:rsidR="00796AA9" w:rsidRPr="000937DF" w:rsidRDefault="00796AA9" w:rsidP="00796AA9">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sz w:val="22"/>
          <w:szCs w:val="22"/>
        </w:rPr>
      </w:pPr>
      <w:bookmarkStart w:id="7" w:name="_heading=h.3dy6vkm" w:colFirst="0" w:colLast="0"/>
      <w:bookmarkEnd w:id="7"/>
      <w:r w:rsidRPr="000937DF">
        <w:rPr>
          <w:rFonts w:ascii="Palatino Linotype" w:eastAsia="Palatino Linotype" w:hAnsi="Palatino Linotype" w:cs="Palatino Linotype"/>
          <w:b/>
          <w:color w:val="000000"/>
          <w:sz w:val="22"/>
          <w:szCs w:val="22"/>
        </w:rPr>
        <w:t>SEGUNDO. De la oportunidad y procedencia.</w:t>
      </w:r>
    </w:p>
    <w:p w14:paraId="28124ED7"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 xml:space="preserve">Los medios de impugnación fueron presentados a través del </w:t>
      </w:r>
      <w:r w:rsidRPr="000937DF">
        <w:rPr>
          <w:rFonts w:ascii="Palatino Linotype" w:eastAsia="Palatino Linotype" w:hAnsi="Palatino Linotype" w:cs="Palatino Linotype"/>
          <w:b/>
          <w:color w:val="000000"/>
          <w:sz w:val="22"/>
          <w:szCs w:val="22"/>
        </w:rPr>
        <w:t>SAIMEX,</w:t>
      </w:r>
      <w:r w:rsidRPr="000937DF">
        <w:rPr>
          <w:rFonts w:ascii="Palatino Linotype" w:eastAsia="Palatino Linotype" w:hAnsi="Palatino Linotype" w:cs="Palatino Linotype"/>
          <w:color w:val="000000"/>
          <w:sz w:val="22"/>
          <w:szCs w:val="22"/>
        </w:rPr>
        <w:t xml:space="preserve"> en el formato previamente aprobado para tal efecto y dentro del plazo legal de quince días hábiles otorgados; para el caso en particular es de señalar que el </w:t>
      </w:r>
      <w:r w:rsidRPr="000937DF">
        <w:rPr>
          <w:rFonts w:ascii="Palatino Linotype" w:eastAsia="Palatino Linotype" w:hAnsi="Palatino Linotype" w:cs="Palatino Linotype"/>
          <w:b/>
          <w:color w:val="000000"/>
          <w:sz w:val="22"/>
          <w:szCs w:val="22"/>
        </w:rPr>
        <w:t>SUJETO OBLIGADO</w:t>
      </w:r>
      <w:r w:rsidRPr="000937DF">
        <w:rPr>
          <w:rFonts w:ascii="Palatino Linotype" w:eastAsia="Palatino Linotype" w:hAnsi="Palatino Linotype" w:cs="Palatino Linotype"/>
          <w:color w:val="000000"/>
          <w:sz w:val="22"/>
          <w:szCs w:val="22"/>
        </w:rPr>
        <w:t xml:space="preserve"> entregó sus respuestas el </w:t>
      </w:r>
      <w:r w:rsidRPr="000937DF">
        <w:rPr>
          <w:rFonts w:ascii="Palatino Linotype" w:eastAsia="Palatino Linotype" w:hAnsi="Palatino Linotype" w:cs="Palatino Linotype"/>
          <w:b/>
          <w:color w:val="000000"/>
          <w:sz w:val="22"/>
          <w:szCs w:val="22"/>
        </w:rPr>
        <w:t>ocho de agosto de dos mil veinticuatro</w:t>
      </w:r>
      <w:r w:rsidRPr="000937DF">
        <w:rPr>
          <w:rFonts w:ascii="Palatino Linotype" w:eastAsia="Palatino Linotype" w:hAnsi="Palatino Linotype" w:cs="Palatino Linotype"/>
          <w:color w:val="000000"/>
          <w:sz w:val="22"/>
          <w:szCs w:val="22"/>
        </w:rPr>
        <w:t xml:space="preserve">, de tal forma que el plazo para interponer el recurso de revisión transcurrió del día del </w:t>
      </w:r>
      <w:r w:rsidRPr="000937DF">
        <w:rPr>
          <w:rFonts w:ascii="Palatino Linotype" w:eastAsia="Palatino Linotype" w:hAnsi="Palatino Linotype" w:cs="Palatino Linotype"/>
          <w:b/>
          <w:color w:val="000000"/>
          <w:sz w:val="22"/>
          <w:szCs w:val="22"/>
        </w:rPr>
        <w:t>nueve al veintinueve de agosto  de dos mil veinticuatro</w:t>
      </w:r>
      <w:r w:rsidRPr="000937DF">
        <w:rPr>
          <w:rFonts w:ascii="Palatino Linotype" w:eastAsia="Palatino Linotype" w:hAnsi="Palatino Linotype" w:cs="Palatino Linotype"/>
          <w:color w:val="000000"/>
          <w:sz w:val="22"/>
          <w:szCs w:val="22"/>
        </w:rPr>
        <w:t xml:space="preserve">; en consecuencia, el ahora </w:t>
      </w:r>
      <w:r w:rsidRPr="000937DF">
        <w:rPr>
          <w:rFonts w:ascii="Palatino Linotype" w:eastAsia="Palatino Linotype" w:hAnsi="Palatino Linotype" w:cs="Palatino Linotype"/>
          <w:b/>
          <w:color w:val="000000"/>
          <w:sz w:val="22"/>
          <w:szCs w:val="22"/>
        </w:rPr>
        <w:t>RECURRENTE</w:t>
      </w:r>
      <w:r w:rsidRPr="000937DF">
        <w:rPr>
          <w:rFonts w:ascii="Palatino Linotype" w:eastAsia="Palatino Linotype" w:hAnsi="Palatino Linotype" w:cs="Palatino Linotype"/>
          <w:color w:val="000000"/>
          <w:sz w:val="22"/>
          <w:szCs w:val="22"/>
        </w:rPr>
        <w:t xml:space="preserve"> presentó sus inconformidades  el día </w:t>
      </w:r>
      <w:r w:rsidRPr="000937DF">
        <w:rPr>
          <w:rFonts w:ascii="Palatino Linotype" w:eastAsia="Palatino Linotype" w:hAnsi="Palatino Linotype" w:cs="Palatino Linotype"/>
          <w:b/>
          <w:color w:val="000000"/>
          <w:sz w:val="22"/>
          <w:szCs w:val="22"/>
        </w:rPr>
        <w:t>veintinueve de agosto de dos mil veinticuatro</w:t>
      </w:r>
      <w:r w:rsidRPr="000937DF">
        <w:rPr>
          <w:rFonts w:ascii="Palatino Linotype" w:eastAsia="Palatino Linotype" w:hAnsi="Palatino Linotype" w:cs="Palatino Linotype"/>
          <w:color w:val="000000"/>
          <w:sz w:val="22"/>
          <w:szCs w:val="22"/>
        </w:rPr>
        <w:t>; es decir dentro del lapso legalmente establecido para tal efecto.</w:t>
      </w:r>
    </w:p>
    <w:p w14:paraId="61676745" w14:textId="77777777" w:rsidR="00796AA9" w:rsidRPr="000937DF" w:rsidRDefault="00796AA9" w:rsidP="00796AA9">
      <w:pPr>
        <w:rPr>
          <w:rFonts w:ascii="Palatino Linotype" w:eastAsia="Palatino Linotype" w:hAnsi="Palatino Linotype" w:cs="Palatino Linotype"/>
          <w:color w:val="000000"/>
          <w:sz w:val="22"/>
          <w:szCs w:val="22"/>
        </w:rPr>
      </w:pPr>
    </w:p>
    <w:p w14:paraId="56F1A1C0"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hAnsi="Palatino Linotype"/>
          <w:sz w:val="22"/>
          <w:szCs w:val="22"/>
        </w:rPr>
        <w:t xml:space="preserve">Por </w:t>
      </w:r>
      <w:r w:rsidRPr="000937DF">
        <w:rPr>
          <w:rFonts w:ascii="Palatino Linotype" w:eastAsia="Calibri" w:hAnsi="Palatino Linotype" w:cs="Arial"/>
          <w:sz w:val="22"/>
          <w:szCs w:val="22"/>
        </w:rPr>
        <w:t>otro</w:t>
      </w:r>
      <w:r w:rsidRPr="000937DF">
        <w:rPr>
          <w:rFonts w:ascii="Palatino Linotype" w:hAnsi="Palatino Linotype"/>
          <w:sz w:val="22"/>
          <w:szCs w:val="22"/>
        </w:rPr>
        <w:t xml:space="preserve"> </w:t>
      </w:r>
      <w:r w:rsidRPr="000937DF">
        <w:rPr>
          <w:rFonts w:ascii="Palatino Linotype" w:eastAsia="Calibri" w:hAnsi="Palatino Linotype" w:cs="Arial"/>
          <w:sz w:val="22"/>
          <w:szCs w:val="22"/>
        </w:rPr>
        <w:t>lado</w:t>
      </w:r>
      <w:r w:rsidRPr="000937DF">
        <w:rPr>
          <w:rFonts w:ascii="Palatino Linotype" w:hAnsi="Palatino Linotype"/>
          <w:sz w:val="22"/>
          <w:szCs w:val="22"/>
        </w:rPr>
        <w:t xml:space="preserve">, </w:t>
      </w:r>
      <w:r w:rsidRPr="000937DF">
        <w:rPr>
          <w:rFonts w:ascii="Palatino Linotype" w:eastAsia="Calibri" w:hAnsi="Palatino Linotype" w:cs="Arial"/>
          <w:sz w:val="22"/>
          <w:szCs w:val="22"/>
        </w:rPr>
        <w:t>es</w:t>
      </w:r>
      <w:r w:rsidRPr="000937DF">
        <w:rPr>
          <w:rFonts w:ascii="Palatino Linotype" w:eastAsia="Palatino Linotype" w:hAnsi="Palatino Linotype" w:cs="Palatino Linotype"/>
          <w:sz w:val="22"/>
          <w:szCs w:val="22"/>
        </w:rPr>
        <w:t xml:space="preserve"> de suma importancia señalar que la parte recurrente no </w:t>
      </w:r>
      <w:r w:rsidRPr="000937DF">
        <w:rPr>
          <w:rFonts w:ascii="Palatino Linotype" w:eastAsia="Calibri" w:hAnsi="Palatino Linotype" w:cs="Arial"/>
          <w:sz w:val="22"/>
          <w:szCs w:val="22"/>
        </w:rPr>
        <w:t>proporciona</w:t>
      </w:r>
      <w:r w:rsidRPr="000937DF">
        <w:rPr>
          <w:rFonts w:ascii="Palatino Linotype" w:eastAsia="Palatino Linotype" w:hAnsi="Palatino Linotype" w:cs="Palatino Linotype"/>
          <w:sz w:val="22"/>
          <w:szCs w:val="22"/>
        </w:rPr>
        <w:t xml:space="preserve"> un nombre completo o datos de identificación como se advierte en el detalle de </w:t>
      </w:r>
      <w:r w:rsidRPr="000937DF">
        <w:rPr>
          <w:rFonts w:ascii="Palatino Linotype" w:hAnsi="Palatino Linotype" w:cs="Arial"/>
          <w:sz w:val="22"/>
          <w:szCs w:val="22"/>
        </w:rPr>
        <w:t>seguimiento</w:t>
      </w:r>
      <w:r w:rsidRPr="000937DF">
        <w:rPr>
          <w:rFonts w:ascii="Palatino Linotype" w:eastAsia="Palatino Linotype" w:hAnsi="Palatino Linotype" w:cs="Palatino Linotype"/>
          <w:sz w:val="22"/>
          <w:szCs w:val="22"/>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ED71ADE" w14:textId="77777777" w:rsidR="00796AA9" w:rsidRPr="000937DF" w:rsidRDefault="00796AA9" w:rsidP="00796AA9">
      <w:pPr>
        <w:pStyle w:val="Prrafodelista"/>
        <w:spacing w:line="360" w:lineRule="auto"/>
        <w:ind w:left="0"/>
        <w:jc w:val="both"/>
        <w:rPr>
          <w:rFonts w:ascii="Palatino Linotype" w:eastAsia="Palatino Linotype" w:hAnsi="Palatino Linotype" w:cs="Palatino Linotype"/>
        </w:rPr>
      </w:pPr>
    </w:p>
    <w:p w14:paraId="6D2E8180"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w:t>
      </w:r>
      <w:r w:rsidRPr="000937DF">
        <w:rPr>
          <w:rFonts w:ascii="Palatino Linotype" w:eastAsia="Palatino Linotype" w:hAnsi="Palatino Linotype"/>
          <w:b/>
          <w:i/>
          <w:sz w:val="22"/>
          <w:szCs w:val="22"/>
        </w:rPr>
        <w:t>Las solicitudes anónimas</w:t>
      </w:r>
      <w:r w:rsidRPr="000937DF">
        <w:rPr>
          <w:rFonts w:ascii="Palatino Linotype" w:eastAsia="Palatino Linotype" w:hAnsi="Palatino Linotype"/>
          <w:i/>
          <w:sz w:val="22"/>
          <w:szCs w:val="22"/>
        </w:rPr>
        <w:t xml:space="preserve">, con nombre incompleto o seudónimo </w:t>
      </w:r>
      <w:r w:rsidRPr="000937DF">
        <w:rPr>
          <w:rFonts w:ascii="Palatino Linotype" w:eastAsia="Palatino Linotype" w:hAnsi="Palatino Linotype"/>
          <w:b/>
          <w:i/>
          <w:sz w:val="22"/>
          <w:szCs w:val="22"/>
        </w:rPr>
        <w:t>serán procedentes para su trámite por parte del sujeto obligado ante quien se presente</w:t>
      </w:r>
      <w:r w:rsidRPr="000937DF">
        <w:rPr>
          <w:rFonts w:ascii="Palatino Linotype" w:eastAsia="Palatino Linotype" w:hAnsi="Palatino Linotype"/>
          <w:i/>
          <w:sz w:val="22"/>
          <w:szCs w:val="22"/>
        </w:rPr>
        <w:t>. No podrá requerirse información adicional con motivo del nombre proporcionado por el solicitante.”</w:t>
      </w:r>
    </w:p>
    <w:p w14:paraId="2C2AF6F3" w14:textId="77777777" w:rsidR="00796AA9" w:rsidRPr="000937DF" w:rsidRDefault="00796AA9" w:rsidP="00796AA9">
      <w:pPr>
        <w:pStyle w:val="Textoindependienteprimerasangra2"/>
        <w:ind w:left="0" w:right="758" w:firstLine="0"/>
        <w:rPr>
          <w:rFonts w:ascii="Palatino Linotype" w:eastAsia="Palatino Linotype" w:hAnsi="Palatino Linotype"/>
          <w:i/>
          <w:sz w:val="22"/>
          <w:szCs w:val="22"/>
        </w:rPr>
      </w:pPr>
    </w:p>
    <w:p w14:paraId="07508E0A"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hAnsi="Palatino Linotype"/>
          <w:sz w:val="22"/>
          <w:szCs w:val="22"/>
        </w:rPr>
        <w:lastRenderedPageBreak/>
        <w:t>Robusteciendo</w:t>
      </w:r>
      <w:r w:rsidRPr="000937DF">
        <w:rPr>
          <w:rFonts w:ascii="Palatino Linotype" w:eastAsia="Palatino Linotype" w:hAnsi="Palatino Linotype" w:cs="Palatino Linotype"/>
          <w:sz w:val="22"/>
          <w:szCs w:val="22"/>
        </w:rPr>
        <w:t xml:space="preserve"> lo anterior se encuentra lo dispuesto en el artículo 6, Apartado A, </w:t>
      </w:r>
      <w:r w:rsidRPr="000937DF">
        <w:rPr>
          <w:rFonts w:ascii="Palatino Linotype" w:eastAsia="Calibri" w:hAnsi="Palatino Linotype" w:cs="Arial"/>
          <w:sz w:val="22"/>
          <w:szCs w:val="22"/>
        </w:rPr>
        <w:t>fracciones</w:t>
      </w:r>
      <w:r w:rsidRPr="000937DF">
        <w:rPr>
          <w:rFonts w:ascii="Palatino Linotype" w:eastAsia="Palatino Linotype" w:hAnsi="Palatino Linotype" w:cs="Palatino Linotype"/>
          <w:sz w:val="22"/>
          <w:szCs w:val="22"/>
        </w:rPr>
        <w:t xml:space="preserve"> III de la Constitución Política de los Estados Unidos Mexicanos que establece:</w:t>
      </w:r>
    </w:p>
    <w:p w14:paraId="3865CD3B"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w:t>
      </w:r>
      <w:r w:rsidRPr="000937DF">
        <w:rPr>
          <w:rFonts w:ascii="Palatino Linotype" w:eastAsia="Palatino Linotype" w:hAnsi="Palatino Linotype"/>
          <w:b/>
          <w:i/>
          <w:sz w:val="22"/>
          <w:szCs w:val="22"/>
        </w:rPr>
        <w:t>Artículo 6.-</w:t>
      </w:r>
      <w:r w:rsidRPr="000937DF">
        <w:rPr>
          <w:rFonts w:ascii="Palatino Linotype" w:eastAsia="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7F21BB" w14:textId="77777777" w:rsidR="00796AA9" w:rsidRPr="000937DF" w:rsidRDefault="00796AA9" w:rsidP="00796AA9">
      <w:pPr>
        <w:pStyle w:val="Sangradetextonormal"/>
        <w:ind w:left="1134" w:right="90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Para efectos de lo dispuesto en el presente artículo se observará lo siguiente:</w:t>
      </w:r>
    </w:p>
    <w:p w14:paraId="0C3DDFD9"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3CC1444D"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III. Toda persona, sin necesidad de acreditar interés alguno o justificar su utilización, tendrá acceso gratuito a la información pública, a sus datos personales o a la rectificación de éstos.”(Sic)</w:t>
      </w:r>
    </w:p>
    <w:p w14:paraId="5D6607DA" w14:textId="77777777" w:rsidR="00796AA9" w:rsidRPr="000937DF" w:rsidRDefault="00796AA9" w:rsidP="00796AA9">
      <w:pPr>
        <w:pStyle w:val="Textoindependienteprimerasangra2"/>
        <w:ind w:hanging="76"/>
        <w:rPr>
          <w:rFonts w:ascii="Palatino Linotype" w:eastAsia="Palatino Linotype" w:hAnsi="Palatino Linotype"/>
          <w:i/>
          <w:sz w:val="22"/>
          <w:szCs w:val="22"/>
        </w:rPr>
      </w:pPr>
    </w:p>
    <w:p w14:paraId="2E4813C8"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Así </w:t>
      </w:r>
      <w:r w:rsidRPr="000937DF">
        <w:rPr>
          <w:rFonts w:ascii="Palatino Linotype" w:hAnsi="Palatino Linotype"/>
          <w:sz w:val="22"/>
          <w:szCs w:val="22"/>
        </w:rPr>
        <w:t>como</w:t>
      </w:r>
      <w:r w:rsidRPr="000937DF">
        <w:rPr>
          <w:rFonts w:ascii="Palatino Linotype" w:eastAsia="Palatino Linotype" w:hAnsi="Palatino Linotype" w:cs="Palatino Linotype"/>
          <w:sz w:val="22"/>
          <w:szCs w:val="22"/>
        </w:rPr>
        <w:t xml:space="preserve"> el artículo 5 fracción III, párrafo vigésimo noveno, trigésimo y </w:t>
      </w:r>
      <w:r w:rsidRPr="000937DF">
        <w:rPr>
          <w:rFonts w:ascii="Palatino Linotype" w:hAnsi="Palatino Linotype"/>
          <w:sz w:val="22"/>
          <w:szCs w:val="22"/>
        </w:rPr>
        <w:t>trigésimo</w:t>
      </w:r>
      <w:r w:rsidRPr="000937DF">
        <w:rPr>
          <w:rFonts w:ascii="Palatino Linotype" w:eastAsia="Palatino Linotype" w:hAnsi="Palatino Linotype" w:cs="Palatino Linotype"/>
          <w:sz w:val="22"/>
          <w:szCs w:val="22"/>
        </w:rPr>
        <w:t xml:space="preserve"> </w:t>
      </w:r>
      <w:r w:rsidRPr="000937DF">
        <w:rPr>
          <w:rFonts w:ascii="Palatino Linotype" w:eastAsia="Calibri" w:hAnsi="Palatino Linotype" w:cs="Arial"/>
          <w:sz w:val="22"/>
          <w:szCs w:val="22"/>
        </w:rPr>
        <w:t>primero</w:t>
      </w:r>
      <w:r w:rsidRPr="000937DF">
        <w:rPr>
          <w:rFonts w:ascii="Palatino Linotype" w:eastAsia="Palatino Linotype" w:hAnsi="Palatino Linotype" w:cs="Palatino Linotype"/>
          <w:sz w:val="22"/>
          <w:szCs w:val="22"/>
        </w:rPr>
        <w:t>, de la Constitución Política del Estado Libre y Soberano de México, que determina lo siguiente:</w:t>
      </w:r>
    </w:p>
    <w:p w14:paraId="1E2BB47A" w14:textId="77777777" w:rsidR="00796AA9" w:rsidRPr="000937DF" w:rsidRDefault="00796AA9" w:rsidP="00796AA9">
      <w:pPr>
        <w:pStyle w:val="Prrafodelista"/>
        <w:ind w:left="0"/>
        <w:jc w:val="both"/>
        <w:rPr>
          <w:rFonts w:ascii="Palatino Linotype" w:eastAsia="Palatino Linotype" w:hAnsi="Palatino Linotype" w:cs="Palatino Linotype"/>
        </w:rPr>
      </w:pPr>
    </w:p>
    <w:p w14:paraId="0DB7777A"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w:t>
      </w:r>
      <w:r w:rsidRPr="000937DF">
        <w:rPr>
          <w:rFonts w:ascii="Palatino Linotype" w:eastAsia="Palatino Linotype" w:hAnsi="Palatino Linotype"/>
          <w:b/>
          <w:i/>
          <w:sz w:val="22"/>
          <w:szCs w:val="22"/>
        </w:rPr>
        <w:t>Artículo 5.-</w:t>
      </w:r>
      <w:r w:rsidRPr="000937DF">
        <w:rPr>
          <w:rFonts w:ascii="Palatino Linotype" w:eastAsia="Palatino Linotype" w:hAnsi="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526F3DEA" w14:textId="77777777" w:rsidR="00796AA9" w:rsidRPr="000937DF" w:rsidRDefault="00796AA9" w:rsidP="00796AA9">
      <w:pPr>
        <w:ind w:left="1134" w:right="900"/>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w:t>
      </w:r>
    </w:p>
    <w:p w14:paraId="10A71580"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74F07AA8" w14:textId="77777777" w:rsidR="00796AA9" w:rsidRPr="000937DF" w:rsidRDefault="00796AA9" w:rsidP="00796AA9">
      <w:pPr>
        <w:ind w:left="1134" w:right="900"/>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w:t>
      </w:r>
    </w:p>
    <w:p w14:paraId="489E70D9"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El derecho a la información será garantizado por el Estado. La ley establecerá las previsiones que permitan asegurar la protección, el respeto y la difusión de este derecho.</w:t>
      </w:r>
    </w:p>
    <w:p w14:paraId="015C0B61"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p>
    <w:p w14:paraId="432D33D9"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 xml:space="preserve">Para garantizar el ejercicio del derecho de transparencia, acceso a la información pública y protección de datos personales, los poderes públicos y </w:t>
      </w:r>
      <w:r w:rsidRPr="000937DF">
        <w:rPr>
          <w:rFonts w:ascii="Palatino Linotype" w:eastAsia="Palatino Linotype" w:hAnsi="Palatino Linotype"/>
          <w:i/>
          <w:sz w:val="22"/>
          <w:szCs w:val="22"/>
        </w:rPr>
        <w:lastRenderedPageBreak/>
        <w:t>los organismos autónomos, transparentarán sus acciones, en términos de las disposiciones aplicables, la información será oportuna, clara, veraz y de fácil acceso. Este derecho se regirá por los principios y bases siguientes:</w:t>
      </w:r>
    </w:p>
    <w:p w14:paraId="382ADABC"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5F162780" w14:textId="77777777" w:rsidR="00796AA9" w:rsidRPr="000937DF" w:rsidRDefault="00796AA9" w:rsidP="00796AA9">
      <w:pPr>
        <w:ind w:left="1134" w:right="900"/>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w:t>
      </w:r>
    </w:p>
    <w:p w14:paraId="6FF64518"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55C5A3A0" w14:textId="77777777" w:rsidR="00796AA9" w:rsidRPr="000937DF" w:rsidRDefault="00796AA9" w:rsidP="00796AA9">
      <w:pPr>
        <w:pStyle w:val="Textoindependienteprimerasangra2"/>
        <w:ind w:hanging="76"/>
        <w:rPr>
          <w:rFonts w:ascii="Palatino Linotype" w:eastAsia="Palatino Linotype" w:hAnsi="Palatino Linotype"/>
          <w:i/>
          <w:sz w:val="22"/>
          <w:szCs w:val="22"/>
        </w:rPr>
      </w:pPr>
    </w:p>
    <w:p w14:paraId="1A231F59"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Por otra parte, del contenido del artículo 1 de la Constitución Política de los Estados Unidos mexicanos, se destaca lo siguiente:</w:t>
      </w:r>
    </w:p>
    <w:p w14:paraId="5076543A" w14:textId="77777777" w:rsidR="00796AA9" w:rsidRPr="000937DF" w:rsidRDefault="00796AA9" w:rsidP="00796AA9">
      <w:pPr>
        <w:pStyle w:val="Prrafodelista"/>
        <w:spacing w:line="360" w:lineRule="auto"/>
        <w:ind w:left="0"/>
        <w:jc w:val="both"/>
        <w:rPr>
          <w:rFonts w:ascii="Palatino Linotype" w:eastAsia="Palatino Linotype" w:hAnsi="Palatino Linotype" w:cs="Palatino Linotype"/>
        </w:rPr>
      </w:pPr>
    </w:p>
    <w:p w14:paraId="668A0611"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w:t>
      </w:r>
      <w:r w:rsidRPr="000937DF">
        <w:rPr>
          <w:rFonts w:ascii="Palatino Linotype" w:eastAsia="Palatino Linotype" w:hAnsi="Palatino Linotype"/>
          <w:b/>
          <w:i/>
          <w:sz w:val="22"/>
          <w:szCs w:val="22"/>
        </w:rPr>
        <w:t>Artículo 1</w:t>
      </w:r>
      <w:r w:rsidRPr="000937DF">
        <w:rPr>
          <w:rFonts w:ascii="Palatino Linotype" w:eastAsia="Palatino Linotype" w:hAnsi="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817A193"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1D9E77B8"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63639639" w14:textId="77777777" w:rsidR="00796AA9" w:rsidRPr="000937DF" w:rsidRDefault="00796AA9" w:rsidP="00796AA9">
      <w:pPr>
        <w:pStyle w:val="Textoindependienteprimerasangra2"/>
        <w:ind w:firstLine="66"/>
        <w:rPr>
          <w:rFonts w:ascii="Palatino Linotype" w:eastAsia="Palatino Linotype" w:hAnsi="Palatino Linotype"/>
          <w:i/>
          <w:sz w:val="22"/>
          <w:szCs w:val="22"/>
        </w:rPr>
      </w:pPr>
    </w:p>
    <w:p w14:paraId="7E86F460"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Esto es, que el derecho humano de acceso a la información pública, se aprecia que toda persona, sin necesidad de acreditar interés alguno o justificar su interposición, deberá tener acceso </w:t>
      </w:r>
      <w:r w:rsidRPr="000937DF">
        <w:rPr>
          <w:rFonts w:ascii="Palatino Linotype" w:eastAsia="Palatino Linotype" w:hAnsi="Palatino Linotype" w:cs="Palatino Linotype"/>
          <w:sz w:val="22"/>
          <w:szCs w:val="22"/>
        </w:rPr>
        <w:lastRenderedPageBreak/>
        <w:t xml:space="preserve">a la información pública, es decir, dicho </w:t>
      </w:r>
      <w:r w:rsidRPr="000937DF">
        <w:rPr>
          <w:rFonts w:ascii="Palatino Linotype" w:eastAsia="Palatino Linotype" w:hAnsi="Palatino Linotype" w:cs="Palatino Linotype"/>
          <w:i/>
          <w:sz w:val="22"/>
          <w:szCs w:val="22"/>
        </w:rPr>
        <w:t>derecho fundamental exime a quien lo ejerce</w:t>
      </w:r>
      <w:r w:rsidRPr="000937DF">
        <w:rPr>
          <w:rFonts w:ascii="Palatino Linotype" w:eastAsia="Palatino Linotype" w:hAnsi="Palatino Linotype" w:cs="Palatino Linotype"/>
          <w:sz w:val="22"/>
          <w:szCs w:val="22"/>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A5A07C1" w14:textId="77777777" w:rsidR="00796AA9" w:rsidRPr="000937DF" w:rsidRDefault="00796AA9" w:rsidP="00796AA9">
      <w:pPr>
        <w:pStyle w:val="Prrafodelista"/>
        <w:spacing w:line="360" w:lineRule="auto"/>
        <w:ind w:left="0"/>
        <w:jc w:val="both"/>
        <w:rPr>
          <w:rFonts w:ascii="Palatino Linotype" w:eastAsia="Palatino Linotype" w:hAnsi="Palatino Linotype" w:cs="Palatino Linotype"/>
        </w:rPr>
      </w:pPr>
    </w:p>
    <w:p w14:paraId="0AE83AC7"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0A239899" w14:textId="77777777" w:rsidR="00796AA9" w:rsidRPr="000937DF" w:rsidRDefault="00796AA9" w:rsidP="00796AA9">
      <w:pPr>
        <w:spacing w:line="360" w:lineRule="auto"/>
        <w:jc w:val="both"/>
        <w:rPr>
          <w:rFonts w:ascii="Palatino Linotype" w:eastAsia="Palatino Linotype" w:hAnsi="Palatino Linotype" w:cs="Palatino Linotype"/>
          <w:sz w:val="22"/>
          <w:szCs w:val="22"/>
        </w:rPr>
      </w:pPr>
    </w:p>
    <w:p w14:paraId="12A1D0D2" w14:textId="77777777" w:rsidR="00796AA9" w:rsidRPr="000937DF" w:rsidRDefault="00796AA9" w:rsidP="00796AA9">
      <w:pPr>
        <w:pStyle w:val="Textoindependienteprimerasangra2"/>
        <w:ind w:left="1134" w:right="900" w:firstLine="0"/>
        <w:jc w:val="both"/>
        <w:rPr>
          <w:rFonts w:ascii="Palatino Linotype" w:eastAsia="Palatino Linotype" w:hAnsi="Palatino Linotype"/>
          <w:i/>
          <w:sz w:val="22"/>
          <w:szCs w:val="22"/>
        </w:rPr>
      </w:pPr>
      <w:r w:rsidRPr="000937DF">
        <w:rPr>
          <w:rFonts w:ascii="Palatino Linotype" w:eastAsia="Palatino Linotype" w:hAnsi="Palatino Linotype"/>
          <w:i/>
          <w:sz w:val="22"/>
          <w:szCs w:val="22"/>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64D4B458" w14:textId="77777777" w:rsidR="00796AA9" w:rsidRPr="000937DF" w:rsidRDefault="00796AA9" w:rsidP="00796AA9">
      <w:pPr>
        <w:pStyle w:val="Textoindependienteprimerasangra2"/>
        <w:ind w:hanging="76"/>
        <w:jc w:val="both"/>
        <w:rPr>
          <w:rFonts w:ascii="Palatino Linotype" w:eastAsia="Palatino Linotype" w:hAnsi="Palatino Linotype"/>
          <w:i/>
          <w:sz w:val="22"/>
          <w:szCs w:val="22"/>
        </w:rPr>
      </w:pPr>
    </w:p>
    <w:p w14:paraId="4F178CAD" w14:textId="77777777" w:rsidR="00796AA9" w:rsidRPr="000937DF" w:rsidRDefault="00796AA9"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sz w:val="22"/>
          <w:szCs w:val="22"/>
        </w:rPr>
      </w:pPr>
      <w:r w:rsidRPr="000937DF">
        <w:rPr>
          <w:rFonts w:ascii="Palatino Linotype" w:eastAsia="Calibri" w:hAnsi="Palatino Linotype" w:cs="Arial"/>
          <w:sz w:val="22"/>
          <w:szCs w:val="22"/>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57CBA96" w14:textId="77777777" w:rsidR="00796AA9" w:rsidRPr="000937DF" w:rsidRDefault="00796AA9" w:rsidP="00796AA9">
      <w:pPr>
        <w:pBdr>
          <w:top w:val="nil"/>
          <w:left w:val="nil"/>
          <w:bottom w:val="nil"/>
          <w:right w:val="nil"/>
          <w:between w:val="nil"/>
        </w:pBdr>
        <w:spacing w:line="360" w:lineRule="auto"/>
        <w:jc w:val="both"/>
        <w:rPr>
          <w:rFonts w:ascii="Palatino Linotype" w:hAnsi="Palatino Linotype"/>
          <w:sz w:val="22"/>
          <w:szCs w:val="22"/>
        </w:rPr>
      </w:pPr>
    </w:p>
    <w:p w14:paraId="2D0F025B" w14:textId="77777777" w:rsidR="00DC2A97" w:rsidRPr="000937DF" w:rsidRDefault="00796AA9" w:rsidP="00DC2A97">
      <w:pPr>
        <w:numPr>
          <w:ilvl w:val="0"/>
          <w:numId w:val="19"/>
        </w:numPr>
        <w:pBdr>
          <w:top w:val="nil"/>
          <w:left w:val="nil"/>
          <w:bottom w:val="nil"/>
          <w:right w:val="nil"/>
          <w:between w:val="nil"/>
        </w:pBdr>
        <w:spacing w:line="360" w:lineRule="auto"/>
        <w:ind w:left="0" w:right="-787" w:firstLine="0"/>
        <w:jc w:val="both"/>
        <w:rPr>
          <w:color w:val="000000"/>
          <w:sz w:val="22"/>
          <w:szCs w:val="22"/>
        </w:rPr>
      </w:pPr>
      <w:r w:rsidRPr="000937DF">
        <w:rPr>
          <w:rFonts w:ascii="Palatino Linotype" w:eastAsia="Palatino Linotype" w:hAnsi="Palatino Linotype" w:cs="Palatino Linotype"/>
          <w:color w:val="000000"/>
          <w:sz w:val="22"/>
          <w:szCs w:val="22"/>
        </w:rPr>
        <w:t xml:space="preserve">Asimismo, los escritos contienen las formalidades previstas por el artículo 180 último párrafo de la Ley de la materia actual, por lo que es procedente que este Instituto de Transparencia, Acceso </w:t>
      </w:r>
      <w:r w:rsidRPr="000937DF">
        <w:rPr>
          <w:rFonts w:ascii="Palatino Linotype" w:eastAsia="Palatino Linotype" w:hAnsi="Palatino Linotype" w:cs="Palatino Linotype"/>
          <w:color w:val="000000"/>
          <w:sz w:val="22"/>
          <w:szCs w:val="22"/>
        </w:rPr>
        <w:lastRenderedPageBreak/>
        <w:t>a la Información Pública y Protección de Datos Personales del Estado de México y Municipios, conozca y resuelva el presente recurso.</w:t>
      </w:r>
    </w:p>
    <w:p w14:paraId="33DA2C2F" w14:textId="77777777" w:rsidR="00DC2A97" w:rsidRPr="000937DF" w:rsidRDefault="00DC2A97" w:rsidP="00DC2A97">
      <w:pPr>
        <w:pStyle w:val="Ttulo1"/>
        <w:spacing w:before="0" w:line="360" w:lineRule="auto"/>
        <w:rPr>
          <w:rFonts w:ascii="Palatino Linotype" w:hAnsi="Palatino Linotype"/>
          <w:b/>
          <w:color w:val="000000" w:themeColor="text1"/>
          <w:sz w:val="22"/>
          <w:szCs w:val="22"/>
        </w:rPr>
      </w:pPr>
      <w:bookmarkStart w:id="8" w:name="_Toc85733160"/>
      <w:r w:rsidRPr="000937DF">
        <w:rPr>
          <w:rFonts w:ascii="Palatino Linotype" w:hAnsi="Palatino Linotype" w:cs="Arial"/>
          <w:b/>
          <w:color w:val="000000" w:themeColor="text1"/>
          <w:sz w:val="22"/>
          <w:szCs w:val="22"/>
        </w:rPr>
        <w:t xml:space="preserve">TERCERO. </w:t>
      </w:r>
      <w:bookmarkEnd w:id="0"/>
      <w:bookmarkEnd w:id="1"/>
      <w:bookmarkEnd w:id="8"/>
      <w:r w:rsidRPr="000937DF">
        <w:rPr>
          <w:rFonts w:ascii="Palatino Linotype" w:hAnsi="Palatino Linotype"/>
          <w:b/>
          <w:color w:val="000000" w:themeColor="text1"/>
          <w:sz w:val="22"/>
          <w:szCs w:val="22"/>
        </w:rPr>
        <w:t xml:space="preserve">Del planteamiento de la </w:t>
      </w:r>
      <w:r w:rsidRPr="000937DF">
        <w:rPr>
          <w:rFonts w:ascii="Palatino Linotype" w:hAnsi="Palatino Linotype"/>
          <w:b/>
          <w:i/>
          <w:color w:val="000000" w:themeColor="text1"/>
          <w:sz w:val="22"/>
          <w:szCs w:val="22"/>
        </w:rPr>
        <w:t>Litis</w:t>
      </w:r>
      <w:r w:rsidRPr="000937DF">
        <w:rPr>
          <w:rFonts w:ascii="Palatino Linotype" w:hAnsi="Palatino Linotype"/>
          <w:b/>
          <w:color w:val="000000" w:themeColor="text1"/>
          <w:sz w:val="22"/>
          <w:szCs w:val="22"/>
        </w:rPr>
        <w:t>.</w:t>
      </w:r>
    </w:p>
    <w:p w14:paraId="53DDD9B8"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Arial"/>
          <w:b/>
          <w:sz w:val="22"/>
          <w:szCs w:val="22"/>
          <w:lang w:val="es-ES_tradnl"/>
        </w:rPr>
      </w:pPr>
      <w:r w:rsidRPr="000937DF">
        <w:rPr>
          <w:rFonts w:ascii="Palatino Linotype" w:eastAsiaTheme="minorEastAsia" w:hAnsi="Palatino Linotype" w:cs="Arial"/>
          <w:sz w:val="22"/>
          <w:szCs w:val="22"/>
          <w:lang w:val="es-ES_tradnl"/>
        </w:rPr>
        <w:t xml:space="preserve">De las constancias en el expediente al rubro indicado, se desprende que la particular </w:t>
      </w:r>
      <w:r w:rsidRPr="000937DF">
        <w:rPr>
          <w:rFonts w:ascii="Palatino Linotype" w:eastAsia="Calibri" w:hAnsi="Palatino Linotype" w:cs="Arial"/>
          <w:sz w:val="22"/>
          <w:szCs w:val="22"/>
          <w:lang w:val="es-ES_tradnl"/>
        </w:rPr>
        <w:t>solicitó</w:t>
      </w:r>
      <w:r w:rsidRPr="000937DF">
        <w:rPr>
          <w:rFonts w:ascii="Palatino Linotype" w:eastAsiaTheme="minorEastAsia" w:hAnsi="Palatino Linotype" w:cs="Arial"/>
          <w:sz w:val="22"/>
          <w:szCs w:val="22"/>
          <w:lang w:val="es-ES_tradnl"/>
        </w:rPr>
        <w:t xml:space="preserve"> la </w:t>
      </w:r>
      <w:r w:rsidRPr="000937DF">
        <w:rPr>
          <w:rFonts w:ascii="Palatino Linotype" w:eastAsia="Calibri" w:hAnsi="Palatino Linotype" w:cs="Arial"/>
          <w:sz w:val="22"/>
          <w:szCs w:val="22"/>
        </w:rPr>
        <w:t>información</w:t>
      </w:r>
      <w:r w:rsidRPr="000937DF">
        <w:rPr>
          <w:rFonts w:ascii="Palatino Linotype" w:eastAsiaTheme="minorEastAsia" w:hAnsi="Palatino Linotype" w:cs="Arial"/>
          <w:sz w:val="22"/>
          <w:szCs w:val="22"/>
          <w:lang w:val="es-ES_tradnl"/>
        </w:rPr>
        <w:t xml:space="preserve"> que a continuación se desagrega:</w:t>
      </w:r>
    </w:p>
    <w:p w14:paraId="00F64F19" w14:textId="77777777" w:rsidR="00DC2A97" w:rsidRPr="000937DF" w:rsidRDefault="00DC2A97" w:rsidP="00DC2A97">
      <w:pPr>
        <w:pStyle w:val="Prrafodelista"/>
        <w:spacing w:line="360" w:lineRule="auto"/>
        <w:ind w:left="0"/>
        <w:jc w:val="both"/>
        <w:rPr>
          <w:rFonts w:ascii="Palatino Linotype" w:eastAsiaTheme="minorEastAsia" w:hAnsi="Palatino Linotype" w:cs="Arial"/>
          <w:b/>
          <w:i/>
          <w:lang w:val="es-ES_tradnl"/>
        </w:rPr>
      </w:pPr>
    </w:p>
    <w:p w14:paraId="0445311A" w14:textId="77777777" w:rsidR="00355B73" w:rsidRPr="000937DF" w:rsidRDefault="00355B73" w:rsidP="00355B73">
      <w:pPr>
        <w:pStyle w:val="Prrafodelista"/>
        <w:ind w:left="1134" w:right="900"/>
        <w:contextualSpacing/>
        <w:jc w:val="both"/>
        <w:rPr>
          <w:rFonts w:ascii="Palatino Linotype" w:eastAsiaTheme="minorEastAsia" w:hAnsi="Palatino Linotype" w:cs="Arial"/>
          <w:b/>
          <w:i/>
          <w:lang w:val="es-MX"/>
        </w:rPr>
      </w:pPr>
      <w:r w:rsidRPr="000937DF">
        <w:rPr>
          <w:rFonts w:ascii="Palatino Linotype" w:eastAsiaTheme="minorEastAsia" w:hAnsi="Palatino Linotype" w:cs="Arial"/>
          <w:b/>
          <w:i/>
          <w:lang w:val="es-MX"/>
        </w:rPr>
        <w:t xml:space="preserve">De Ignacio Bringas Castañeda: </w:t>
      </w:r>
    </w:p>
    <w:p w14:paraId="6D795CB4" w14:textId="77777777" w:rsidR="00355B73" w:rsidRPr="000937DF" w:rsidRDefault="00355B73" w:rsidP="00355B73">
      <w:pPr>
        <w:pStyle w:val="Prrafodelista"/>
        <w:numPr>
          <w:ilvl w:val="0"/>
          <w:numId w:val="20"/>
        </w:numPr>
        <w:ind w:right="900"/>
        <w:contextualSpacing/>
        <w:jc w:val="both"/>
        <w:rPr>
          <w:rFonts w:ascii="Palatino Linotype" w:eastAsiaTheme="minorEastAsia" w:hAnsi="Palatino Linotype" w:cs="Arial"/>
          <w:b/>
          <w:i/>
          <w:lang w:val="es-MX"/>
        </w:rPr>
      </w:pPr>
      <w:r w:rsidRPr="000937DF">
        <w:rPr>
          <w:rFonts w:ascii="Palatino Linotype" w:eastAsiaTheme="minorEastAsia" w:hAnsi="Palatino Linotype" w:cs="Arial"/>
          <w:b/>
          <w:i/>
          <w:lang w:val="es-MX"/>
        </w:rPr>
        <w:t xml:space="preserve">Adscripciones, adscripción actual, cargos anteriores, cargo actual. </w:t>
      </w:r>
    </w:p>
    <w:p w14:paraId="63E65BCF" w14:textId="77777777" w:rsidR="00742C50" w:rsidRPr="000937DF" w:rsidRDefault="00742C50" w:rsidP="00742C50">
      <w:pPr>
        <w:pStyle w:val="Prrafodelista"/>
        <w:ind w:left="1854" w:right="900"/>
        <w:contextualSpacing/>
        <w:jc w:val="both"/>
        <w:rPr>
          <w:rFonts w:ascii="Palatino Linotype" w:eastAsiaTheme="minorEastAsia" w:hAnsi="Palatino Linotype" w:cs="Arial"/>
          <w:b/>
          <w:i/>
          <w:lang w:val="es-MX"/>
        </w:rPr>
      </w:pPr>
    </w:p>
    <w:p w14:paraId="175CFCE0" w14:textId="77777777" w:rsidR="00355B73" w:rsidRPr="000937DF" w:rsidRDefault="00355B73" w:rsidP="00355B73">
      <w:pPr>
        <w:pStyle w:val="Prrafodelista"/>
        <w:numPr>
          <w:ilvl w:val="0"/>
          <w:numId w:val="20"/>
        </w:numPr>
        <w:ind w:right="900"/>
        <w:contextualSpacing/>
        <w:jc w:val="both"/>
        <w:rPr>
          <w:rFonts w:ascii="Palatino Linotype" w:eastAsiaTheme="minorEastAsia" w:hAnsi="Palatino Linotype" w:cs="Arial"/>
          <w:b/>
          <w:i/>
          <w:lang w:val="es-MX"/>
        </w:rPr>
      </w:pPr>
      <w:r w:rsidRPr="000937DF">
        <w:rPr>
          <w:rFonts w:ascii="Palatino Linotype" w:eastAsiaTheme="minorEastAsia" w:hAnsi="Palatino Linotype" w:cs="Arial"/>
          <w:b/>
          <w:i/>
          <w:lang w:val="es-MX"/>
        </w:rPr>
        <w:t>Denuncias administrativas y/o penales y sanciones.</w:t>
      </w:r>
    </w:p>
    <w:p w14:paraId="655DEDB2" w14:textId="77777777" w:rsidR="00742C50" w:rsidRPr="000937DF" w:rsidRDefault="00742C50" w:rsidP="00742C50">
      <w:pPr>
        <w:pStyle w:val="Prrafodelista"/>
        <w:rPr>
          <w:rFonts w:ascii="Palatino Linotype" w:eastAsiaTheme="minorEastAsia" w:hAnsi="Palatino Linotype" w:cs="Arial"/>
          <w:b/>
          <w:i/>
          <w:lang w:val="es-MX"/>
        </w:rPr>
      </w:pPr>
    </w:p>
    <w:p w14:paraId="5F74BB13" w14:textId="77777777" w:rsidR="00742C50" w:rsidRPr="000937DF" w:rsidRDefault="00742C50" w:rsidP="00742C50">
      <w:pPr>
        <w:pStyle w:val="Prrafodelista"/>
        <w:ind w:left="1854" w:right="900"/>
        <w:contextualSpacing/>
        <w:jc w:val="both"/>
        <w:rPr>
          <w:rFonts w:ascii="Palatino Linotype" w:eastAsiaTheme="minorEastAsia" w:hAnsi="Palatino Linotype" w:cs="Arial"/>
          <w:b/>
          <w:i/>
          <w:lang w:val="es-MX"/>
        </w:rPr>
      </w:pPr>
    </w:p>
    <w:p w14:paraId="1C39B9F2" w14:textId="77777777" w:rsidR="00DC2A97" w:rsidRPr="000937DF" w:rsidRDefault="00355B73" w:rsidP="00355B73">
      <w:pPr>
        <w:pStyle w:val="Prrafodelista"/>
        <w:numPr>
          <w:ilvl w:val="0"/>
          <w:numId w:val="20"/>
        </w:numPr>
        <w:ind w:right="900"/>
        <w:contextualSpacing/>
        <w:jc w:val="both"/>
        <w:rPr>
          <w:rFonts w:ascii="Palatino Linotype" w:eastAsiaTheme="minorEastAsia" w:hAnsi="Palatino Linotype" w:cs="Arial"/>
          <w:b/>
          <w:i/>
          <w:lang w:val="es-MX"/>
        </w:rPr>
      </w:pPr>
      <w:r w:rsidRPr="000937DF">
        <w:rPr>
          <w:rFonts w:ascii="Palatino Linotype" w:eastAsiaTheme="minorEastAsia" w:hAnsi="Palatino Linotype" w:cs="Arial"/>
          <w:b/>
          <w:i/>
          <w:lang w:val="es-MX"/>
        </w:rPr>
        <w:t>De los procesos penales desglosar por cargo o adscripción de la persona, fecha de radicación, fecha de inicio del proceso penal, hechos imputados y/o delito, fecha y lugar de los hechos, fecha de la audiencia inicial, fecha de la audiencia de vinculación a proceso o auto de término constitucional (dependiendo del sistema penal vigente en la época), si se optó o no por un mecanismo alterno de solución de controversias, fecha de terminación anticipada (de ser el caso), fecha de la audiencia de juicio (de ser el caso), fecha y sentido de la última determinación judicial.</w:t>
      </w:r>
    </w:p>
    <w:p w14:paraId="6D9F3DEC" w14:textId="77777777" w:rsidR="00355B73" w:rsidRPr="000937DF" w:rsidRDefault="00355B73" w:rsidP="00DC2A97">
      <w:pPr>
        <w:pStyle w:val="Prrafodelista"/>
        <w:spacing w:line="360" w:lineRule="auto"/>
        <w:ind w:left="1498"/>
        <w:contextualSpacing/>
        <w:jc w:val="both"/>
        <w:rPr>
          <w:rFonts w:ascii="Palatino Linotype" w:hAnsi="Palatino Linotype" w:cs="Arial"/>
          <w:b/>
          <w:i/>
          <w:lang w:val="es-MX"/>
        </w:rPr>
      </w:pPr>
    </w:p>
    <w:p w14:paraId="11176BBE" w14:textId="77777777" w:rsidR="00DC2A97" w:rsidRPr="000937DF" w:rsidRDefault="00DC2A97" w:rsidP="00DC2A97">
      <w:pPr>
        <w:numPr>
          <w:ilvl w:val="0"/>
          <w:numId w:val="19"/>
        </w:numPr>
        <w:pBdr>
          <w:top w:val="nil"/>
          <w:left w:val="nil"/>
          <w:bottom w:val="nil"/>
          <w:right w:val="nil"/>
          <w:between w:val="nil"/>
        </w:pBdr>
        <w:spacing w:line="360" w:lineRule="auto"/>
        <w:ind w:left="0" w:right="-787" w:firstLine="0"/>
        <w:jc w:val="both"/>
        <w:rPr>
          <w:rFonts w:ascii="Palatino Linotype" w:hAnsi="Palatino Linotype" w:cs="Arial"/>
          <w:sz w:val="22"/>
          <w:szCs w:val="22"/>
        </w:rPr>
      </w:pPr>
      <w:r w:rsidRPr="000937DF">
        <w:rPr>
          <w:rFonts w:ascii="Palatino Linotype" w:hAnsi="Palatino Linotype" w:cs="Arial"/>
          <w:sz w:val="22"/>
          <w:szCs w:val="22"/>
        </w:rPr>
        <w:t xml:space="preserve">En respuesta, el </w:t>
      </w:r>
      <w:r w:rsidRPr="000937DF">
        <w:rPr>
          <w:rFonts w:ascii="Palatino Linotype" w:hAnsi="Palatino Linotype" w:cs="Arial"/>
          <w:b/>
          <w:sz w:val="22"/>
          <w:szCs w:val="22"/>
        </w:rPr>
        <w:t xml:space="preserve">SUJETO OBLIGADO </w:t>
      </w:r>
      <w:r w:rsidR="00667D1B" w:rsidRPr="000937DF">
        <w:rPr>
          <w:rFonts w:ascii="Palatino Linotype" w:hAnsi="Palatino Linotype" w:cs="Arial"/>
          <w:sz w:val="22"/>
          <w:szCs w:val="22"/>
        </w:rPr>
        <w:t xml:space="preserve">entrego la siguiente información. </w:t>
      </w:r>
    </w:p>
    <w:p w14:paraId="4A8D05CE" w14:textId="77777777" w:rsidR="00667D1B" w:rsidRPr="000937DF" w:rsidRDefault="00667D1B" w:rsidP="00667D1B">
      <w:pPr>
        <w:pBdr>
          <w:top w:val="nil"/>
          <w:left w:val="nil"/>
          <w:bottom w:val="nil"/>
          <w:right w:val="nil"/>
          <w:between w:val="nil"/>
        </w:pBdr>
        <w:ind w:left="1134" w:right="900"/>
        <w:jc w:val="both"/>
        <w:rPr>
          <w:rFonts w:ascii="Palatino Linotype" w:eastAsia="Palatino Linotype" w:hAnsi="Palatino Linotype" w:cs="Palatino Linotype"/>
          <w:bCs/>
          <w:i/>
          <w:color w:val="000000"/>
          <w:sz w:val="22"/>
          <w:szCs w:val="22"/>
        </w:rPr>
      </w:pPr>
      <w:r w:rsidRPr="000937DF">
        <w:rPr>
          <w:rFonts w:ascii="Palatino Linotype" w:eastAsia="Palatino Linotype" w:hAnsi="Palatino Linotype" w:cs="Palatino Linotype"/>
          <w:b/>
          <w:i/>
          <w:color w:val="000000"/>
          <w:sz w:val="22"/>
          <w:szCs w:val="22"/>
        </w:rPr>
        <w:t xml:space="preserve">ACUERDO CLASIFICACIÓN 673.pdf: </w:t>
      </w:r>
      <w:r w:rsidRPr="000937DF">
        <w:rPr>
          <w:rFonts w:ascii="Palatino Linotype" w:eastAsia="Palatino Linotype" w:hAnsi="Palatino Linotype" w:cs="Palatino Linotype"/>
          <w:i/>
          <w:color w:val="000000"/>
          <w:sz w:val="22"/>
          <w:szCs w:val="22"/>
        </w:rPr>
        <w:t xml:space="preserve">Acuerdo de Clasificación de información de la solicitud de información </w:t>
      </w:r>
      <w:r w:rsidRPr="000937DF">
        <w:rPr>
          <w:rFonts w:ascii="Palatino Linotype" w:eastAsia="Palatino Linotype" w:hAnsi="Palatino Linotype" w:cs="Palatino Linotype"/>
          <w:b/>
          <w:bCs/>
          <w:i/>
          <w:color w:val="000000"/>
          <w:sz w:val="22"/>
          <w:szCs w:val="22"/>
        </w:rPr>
        <w:t xml:space="preserve">00673/FGJ/IP/2024, </w:t>
      </w:r>
      <w:r w:rsidRPr="000937DF">
        <w:rPr>
          <w:rFonts w:ascii="Palatino Linotype" w:eastAsia="Palatino Linotype" w:hAnsi="Palatino Linotype" w:cs="Palatino Linotype"/>
          <w:bCs/>
          <w:i/>
          <w:color w:val="000000"/>
          <w:sz w:val="22"/>
          <w:szCs w:val="22"/>
        </w:rPr>
        <w:t xml:space="preserve">mediante el cual refieren que se clasifica el pronunciamiento en sentido afirmativo o negativo respecto a si la persona referida en la solicitud de información forma o formo parte del personal </w:t>
      </w:r>
      <w:r w:rsidRPr="000937DF">
        <w:rPr>
          <w:rFonts w:ascii="Palatino Linotype" w:eastAsia="Palatino Linotype" w:hAnsi="Palatino Linotype" w:cs="Palatino Linotype"/>
          <w:b/>
          <w:bCs/>
          <w:i/>
          <w:color w:val="000000"/>
          <w:sz w:val="22"/>
          <w:szCs w:val="22"/>
        </w:rPr>
        <w:t xml:space="preserve">operativo </w:t>
      </w:r>
      <w:r w:rsidRPr="000937DF">
        <w:rPr>
          <w:rFonts w:ascii="Palatino Linotype" w:eastAsia="Palatino Linotype" w:hAnsi="Palatino Linotype" w:cs="Palatino Linotype"/>
          <w:bCs/>
          <w:i/>
          <w:color w:val="000000"/>
          <w:sz w:val="22"/>
          <w:szCs w:val="22"/>
        </w:rPr>
        <w:t>de la Fiscalía General de Justicia del Estado de México. (</w:t>
      </w:r>
      <w:proofErr w:type="gramStart"/>
      <w:r w:rsidRPr="000937DF">
        <w:rPr>
          <w:rFonts w:ascii="Palatino Linotype" w:eastAsia="Palatino Linotype" w:hAnsi="Palatino Linotype" w:cs="Palatino Linotype"/>
          <w:bCs/>
          <w:i/>
          <w:color w:val="000000"/>
          <w:sz w:val="22"/>
          <w:szCs w:val="22"/>
        </w:rPr>
        <w:t>de</w:t>
      </w:r>
      <w:proofErr w:type="gramEnd"/>
      <w:r w:rsidRPr="000937DF">
        <w:rPr>
          <w:rFonts w:ascii="Palatino Linotype" w:eastAsia="Palatino Linotype" w:hAnsi="Palatino Linotype" w:cs="Palatino Linotype"/>
          <w:bCs/>
          <w:i/>
          <w:color w:val="000000"/>
          <w:sz w:val="22"/>
          <w:szCs w:val="22"/>
        </w:rPr>
        <w:t xml:space="preserve"> la revisión del acuerdo se observa que hacen falta las firmas del Comité de Transparencia). </w:t>
      </w:r>
    </w:p>
    <w:p w14:paraId="1F248901" w14:textId="77777777" w:rsidR="00667D1B" w:rsidRPr="000937DF" w:rsidRDefault="00667D1B" w:rsidP="00667D1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937DF">
        <w:rPr>
          <w:rFonts w:ascii="Palatino Linotype" w:eastAsia="Palatino Linotype" w:hAnsi="Palatino Linotype" w:cs="Palatino Linotype"/>
          <w:b/>
          <w:i/>
          <w:color w:val="000000"/>
          <w:sz w:val="22"/>
          <w:szCs w:val="22"/>
        </w:rPr>
        <w:t xml:space="preserve">OFICIO NÚMERO 02541-MAIP-FGJ-2024.pdf: </w:t>
      </w:r>
      <w:r w:rsidRPr="000937DF">
        <w:rPr>
          <w:rFonts w:ascii="Palatino Linotype" w:eastAsia="Palatino Linotype" w:hAnsi="Palatino Linotype" w:cs="Palatino Linotype"/>
          <w:i/>
          <w:color w:val="000000"/>
          <w:sz w:val="22"/>
          <w:szCs w:val="22"/>
        </w:rPr>
        <w:t xml:space="preserve">oficio de la Titular de la Unidad de Transparencia, mediante el cual informa que después de una </w:t>
      </w:r>
      <w:r w:rsidRPr="000937DF">
        <w:rPr>
          <w:rFonts w:ascii="Palatino Linotype" w:eastAsia="Palatino Linotype" w:hAnsi="Palatino Linotype" w:cs="Palatino Linotype"/>
          <w:i/>
          <w:color w:val="000000"/>
          <w:sz w:val="22"/>
          <w:szCs w:val="22"/>
        </w:rPr>
        <w:lastRenderedPageBreak/>
        <w:t xml:space="preserve">búsqueda exhaustiva realizada en la plantilla del personal administrativo no se localizó a la persona referida en la solicitud de información. </w:t>
      </w:r>
    </w:p>
    <w:p w14:paraId="57A8A4AF" w14:textId="77777777" w:rsidR="00667D1B" w:rsidRPr="000937DF" w:rsidRDefault="00667D1B" w:rsidP="00667D1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937DF">
        <w:rPr>
          <w:rFonts w:ascii="Palatino Linotype" w:eastAsia="Palatino Linotype" w:hAnsi="Palatino Linotype" w:cs="Palatino Linotype"/>
          <w:i/>
          <w:color w:val="000000"/>
          <w:sz w:val="22"/>
          <w:szCs w:val="22"/>
        </w:rPr>
        <w:t xml:space="preserve">Del contenido del oficio también refiere que se clasifica el pronunciamiento respecto de la búsqueda en la planilla del personal operativo, toda vez que corresponde a información de carácter reservada, de conformidad con lo establecido en el artículo 140, fracción XI de la Ley de Transparencia y Acceso a la Información Pública del Estado de México y Municipios. </w:t>
      </w:r>
    </w:p>
    <w:p w14:paraId="7BC2A5B0" w14:textId="77777777" w:rsidR="00DC2A97" w:rsidRPr="000937DF" w:rsidRDefault="00DC2A97" w:rsidP="00DC2A97">
      <w:pPr>
        <w:pStyle w:val="Prrafodelista"/>
        <w:spacing w:line="360" w:lineRule="auto"/>
        <w:ind w:left="0"/>
        <w:jc w:val="both"/>
        <w:rPr>
          <w:rFonts w:ascii="Palatino Linotype" w:eastAsiaTheme="minorEastAsia" w:hAnsi="Palatino Linotype" w:cs="Arial"/>
          <w:lang w:val="es-ES_tradnl"/>
        </w:rPr>
      </w:pPr>
    </w:p>
    <w:p w14:paraId="755B4227"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MS Mincho" w:hAnsi="Palatino Linotype" w:cs="Arial"/>
          <w:sz w:val="22"/>
          <w:szCs w:val="22"/>
        </w:rPr>
      </w:pPr>
      <w:r w:rsidRPr="000937DF">
        <w:rPr>
          <w:rFonts w:ascii="Palatino Linotype" w:eastAsia="MS Mincho" w:hAnsi="Palatino Linotype" w:cs="Arial"/>
          <w:sz w:val="22"/>
          <w:szCs w:val="22"/>
        </w:rPr>
        <w:t xml:space="preserve">En </w:t>
      </w:r>
      <w:r w:rsidRPr="000937DF">
        <w:rPr>
          <w:rFonts w:ascii="Palatino Linotype" w:hAnsi="Palatino Linotype" w:cs="Arial"/>
          <w:sz w:val="22"/>
          <w:szCs w:val="22"/>
        </w:rPr>
        <w:t xml:space="preserve">dichas condiciones, la </w:t>
      </w:r>
      <w:r w:rsidRPr="000937DF">
        <w:rPr>
          <w:rFonts w:ascii="Palatino Linotype" w:hAnsi="Palatino Linotype" w:cs="Arial"/>
          <w:i/>
          <w:sz w:val="22"/>
          <w:szCs w:val="22"/>
        </w:rPr>
        <w:t>Litis</w:t>
      </w:r>
      <w:r w:rsidRPr="000937DF">
        <w:rPr>
          <w:rFonts w:ascii="Palatino Linotype" w:hAnsi="Palatino Linotype" w:cs="Arial"/>
          <w:sz w:val="22"/>
          <w:szCs w:val="22"/>
        </w:rPr>
        <w:t xml:space="preserve"> a resolver en este recurso se circunscribe a determinar si </w:t>
      </w:r>
      <w:r w:rsidRPr="000937DF">
        <w:rPr>
          <w:rFonts w:ascii="Palatino Linotype" w:eastAsia="MS Mincho" w:hAnsi="Palatino Linotype" w:cs="Arial"/>
          <w:sz w:val="22"/>
          <w:szCs w:val="22"/>
        </w:rPr>
        <w:t xml:space="preserve">se actualizan las causales de procedencia previstas en el artículo 179, </w:t>
      </w:r>
      <w:r w:rsidR="00667D1B" w:rsidRPr="000937DF">
        <w:rPr>
          <w:rFonts w:ascii="Palatino Linotype" w:eastAsia="MS Mincho" w:hAnsi="Palatino Linotype" w:cs="Arial"/>
          <w:b/>
          <w:sz w:val="22"/>
          <w:szCs w:val="22"/>
        </w:rPr>
        <w:t xml:space="preserve">fracción II </w:t>
      </w:r>
      <w:r w:rsidRPr="000937DF">
        <w:rPr>
          <w:rFonts w:ascii="Palatino Linotype" w:eastAsia="MS Mincho" w:hAnsi="Palatino Linotype" w:cs="Arial"/>
          <w:sz w:val="22"/>
          <w:szCs w:val="22"/>
        </w:rPr>
        <w:t>de la</w:t>
      </w:r>
      <w:r w:rsidRPr="000937DF">
        <w:rPr>
          <w:rFonts w:ascii="Palatino Linotype" w:hAnsi="Palatino Linotype" w:cs="Arial"/>
          <w:color w:val="000000" w:themeColor="text1"/>
          <w:sz w:val="22"/>
          <w:szCs w:val="22"/>
        </w:rPr>
        <w:t xml:space="preserve"> Ley</w:t>
      </w:r>
      <w:r w:rsidRPr="000937DF">
        <w:rPr>
          <w:rFonts w:ascii="Palatino Linotype" w:eastAsia="MS Mincho" w:hAnsi="Palatino Linotype" w:cs="Arial"/>
          <w:b/>
          <w:sz w:val="22"/>
          <w:szCs w:val="22"/>
        </w:rPr>
        <w:t xml:space="preserve"> de Transparencia y Acceso a la Información Pública del Estado de </w:t>
      </w:r>
      <w:r w:rsidRPr="000937DF">
        <w:rPr>
          <w:rFonts w:ascii="Palatino Linotype" w:hAnsi="Palatino Linotype" w:cs="Arial"/>
          <w:sz w:val="22"/>
          <w:szCs w:val="22"/>
        </w:rPr>
        <w:t>México</w:t>
      </w:r>
      <w:r w:rsidRPr="000937DF">
        <w:rPr>
          <w:rFonts w:ascii="Palatino Linotype" w:eastAsia="MS Mincho" w:hAnsi="Palatino Linotype" w:cs="Arial"/>
          <w:b/>
          <w:sz w:val="22"/>
          <w:szCs w:val="22"/>
        </w:rPr>
        <w:t xml:space="preserve"> y Municipios</w:t>
      </w:r>
      <w:r w:rsidRPr="000937DF">
        <w:rPr>
          <w:rFonts w:ascii="Palatino Linotype" w:eastAsia="MS Mincho" w:hAnsi="Palatino Linotype" w:cs="Arial"/>
          <w:sz w:val="22"/>
          <w:szCs w:val="22"/>
        </w:rPr>
        <w:t xml:space="preserve">; </w:t>
      </w:r>
      <w:r w:rsidRPr="000937DF">
        <w:rPr>
          <w:rFonts w:ascii="Palatino Linotype" w:hAnsi="Palatino Linotype" w:cs="Arial"/>
          <w:color w:val="000000" w:themeColor="text1"/>
          <w:sz w:val="22"/>
          <w:szCs w:val="22"/>
        </w:rPr>
        <w:t xml:space="preserve">fracción que determina la hipótesis jurídica relativa a </w:t>
      </w:r>
      <w:r w:rsidR="00667D1B" w:rsidRPr="000937DF">
        <w:rPr>
          <w:rFonts w:ascii="Palatino Linotype" w:hAnsi="Palatino Linotype" w:cs="Arial"/>
          <w:color w:val="000000" w:themeColor="text1"/>
          <w:sz w:val="22"/>
          <w:szCs w:val="22"/>
        </w:rPr>
        <w:t>la clasificación de la información</w:t>
      </w:r>
      <w:r w:rsidRPr="000937DF">
        <w:rPr>
          <w:rFonts w:ascii="Palatino Linotype" w:hAnsi="Palatino Linotype" w:cs="Arial"/>
          <w:color w:val="000000" w:themeColor="text1"/>
          <w:sz w:val="22"/>
          <w:szCs w:val="22"/>
        </w:rPr>
        <w:t xml:space="preserve">; </w:t>
      </w:r>
      <w:r w:rsidRPr="000937DF">
        <w:rPr>
          <w:rFonts w:ascii="Palatino Linotype" w:eastAsia="MS Mincho" w:hAnsi="Palatino Linotype" w:cs="Arial"/>
          <w:sz w:val="22"/>
          <w:szCs w:val="22"/>
        </w:rPr>
        <w:t xml:space="preserve">contexto del cual se dolió </w:t>
      </w:r>
      <w:r w:rsidRPr="000937DF">
        <w:rPr>
          <w:rFonts w:ascii="Palatino Linotype" w:eastAsia="MS Mincho" w:hAnsi="Palatino Linotype" w:cs="Arial"/>
          <w:b/>
          <w:sz w:val="22"/>
          <w:szCs w:val="22"/>
        </w:rPr>
        <w:t xml:space="preserve">EL RECURRENTE </w:t>
      </w:r>
      <w:r w:rsidRPr="000937DF">
        <w:rPr>
          <w:rFonts w:ascii="Palatino Linotype" w:eastAsia="MS Mincho" w:hAnsi="Palatino Linotype" w:cs="Arial"/>
          <w:sz w:val="22"/>
          <w:szCs w:val="22"/>
        </w:rPr>
        <w:t>al momento de interponer su inconformidad.</w:t>
      </w:r>
    </w:p>
    <w:p w14:paraId="4905BDB1" w14:textId="77777777" w:rsidR="00DC2A97" w:rsidRPr="000937DF" w:rsidRDefault="00DC2A97" w:rsidP="00DC2A97">
      <w:pPr>
        <w:pStyle w:val="Prrafodelista"/>
        <w:spacing w:line="360" w:lineRule="auto"/>
        <w:ind w:left="0"/>
        <w:contextualSpacing/>
        <w:jc w:val="both"/>
        <w:rPr>
          <w:rFonts w:ascii="Palatino Linotype" w:eastAsia="MS Mincho" w:hAnsi="Palatino Linotype" w:cs="Arial"/>
        </w:rPr>
      </w:pPr>
    </w:p>
    <w:p w14:paraId="7C4AFBF3"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MS Mincho" w:hAnsi="Palatino Linotype" w:cs="Arial"/>
          <w:sz w:val="22"/>
          <w:szCs w:val="22"/>
        </w:rPr>
      </w:pPr>
      <w:r w:rsidRPr="000937DF">
        <w:rPr>
          <w:rFonts w:ascii="Palatino Linotype" w:hAnsi="Palatino Linotype" w:cs="Arial"/>
          <w:color w:val="000000" w:themeColor="text1"/>
          <w:sz w:val="22"/>
          <w:szCs w:val="22"/>
        </w:rPr>
        <w:t xml:space="preserve">De modo tal que el presente recurso de revisión se abocara en determinar si el </w:t>
      </w:r>
      <w:r w:rsidRPr="000937DF">
        <w:rPr>
          <w:rFonts w:ascii="Palatino Linotype" w:eastAsia="MS Mincho" w:hAnsi="Palatino Linotype" w:cs="Arial"/>
          <w:b/>
          <w:sz w:val="22"/>
          <w:szCs w:val="22"/>
        </w:rPr>
        <w:t>SUJETO</w:t>
      </w:r>
      <w:r w:rsidRPr="000937DF">
        <w:rPr>
          <w:rFonts w:ascii="Palatino Linotype" w:hAnsi="Palatino Linotype" w:cs="Arial"/>
          <w:b/>
          <w:color w:val="000000" w:themeColor="text1"/>
          <w:sz w:val="22"/>
          <w:szCs w:val="22"/>
        </w:rPr>
        <w:t xml:space="preserve"> OBLIGADO</w:t>
      </w:r>
      <w:r w:rsidRPr="000937DF">
        <w:rPr>
          <w:rFonts w:ascii="Palatino Linotype" w:hAnsi="Palatino Linotype" w:cs="Arial"/>
          <w:color w:val="000000" w:themeColor="text1"/>
          <w:sz w:val="22"/>
          <w:szCs w:val="22"/>
        </w:rPr>
        <w:t xml:space="preserve"> con su respuesta ciertamente </w:t>
      </w:r>
      <w:r w:rsidRPr="000937DF">
        <w:rPr>
          <w:rFonts w:ascii="Palatino Linotype" w:hAnsi="Palatino Linotype"/>
          <w:color w:val="000000" w:themeColor="text1"/>
          <w:sz w:val="22"/>
          <w:szCs w:val="22"/>
        </w:rPr>
        <w:t>actualiza la causal de procedencia</w:t>
      </w:r>
      <w:r w:rsidRPr="000937DF">
        <w:rPr>
          <w:rFonts w:ascii="Palatino Linotype" w:hAnsi="Palatino Linotype"/>
          <w:b/>
          <w:color w:val="000000" w:themeColor="text1"/>
          <w:sz w:val="22"/>
          <w:szCs w:val="22"/>
        </w:rPr>
        <w:t xml:space="preserve"> </w:t>
      </w:r>
      <w:r w:rsidRPr="000937DF">
        <w:rPr>
          <w:rFonts w:ascii="Palatino Linotype" w:hAnsi="Palatino Linotype" w:cs="Arial"/>
          <w:color w:val="000000" w:themeColor="text1"/>
          <w:sz w:val="22"/>
          <w:szCs w:val="22"/>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63B09282" w14:textId="77777777" w:rsidR="00DC2A97" w:rsidRPr="000937DF" w:rsidRDefault="00DC2A97" w:rsidP="00DC2A97">
      <w:pPr>
        <w:pStyle w:val="Prrafodelista"/>
        <w:spacing w:line="360" w:lineRule="auto"/>
        <w:ind w:left="709"/>
        <w:rPr>
          <w:rFonts w:ascii="Palatino Linotype" w:eastAsia="MS Mincho" w:hAnsi="Palatino Linotype" w:cs="Arial"/>
        </w:rPr>
      </w:pPr>
    </w:p>
    <w:p w14:paraId="07F18189" w14:textId="77777777" w:rsidR="00DC2A97" w:rsidRPr="000937DF" w:rsidRDefault="00DC2A97" w:rsidP="00DC2A97">
      <w:pPr>
        <w:keepNext/>
        <w:keepLines/>
        <w:spacing w:line="360" w:lineRule="auto"/>
        <w:outlineLvl w:val="1"/>
        <w:rPr>
          <w:rFonts w:ascii="Palatino Linotype" w:eastAsia="Palatino Linotype" w:hAnsi="Palatino Linotype" w:cs="Palatino Linotype"/>
          <w:b/>
          <w:color w:val="000000"/>
          <w:sz w:val="22"/>
          <w:szCs w:val="22"/>
          <w:lang w:val="es-ES_tradnl" w:eastAsia="es-ES"/>
        </w:rPr>
      </w:pPr>
      <w:r w:rsidRPr="000937DF">
        <w:rPr>
          <w:rFonts w:ascii="Palatino Linotype" w:eastAsia="Palatino Linotype" w:hAnsi="Palatino Linotype" w:cs="Palatino Linotype"/>
          <w:b/>
          <w:color w:val="000000"/>
          <w:sz w:val="22"/>
          <w:szCs w:val="22"/>
          <w:lang w:val="es-ES_tradnl" w:eastAsia="es-ES"/>
        </w:rPr>
        <w:t>CUARTO. Del estudio y resolución del estudio.</w:t>
      </w:r>
    </w:p>
    <w:p w14:paraId="5703255B" w14:textId="77777777" w:rsidR="00DC2A97" w:rsidRPr="000937DF" w:rsidRDefault="00DC2A97" w:rsidP="00DC2A97">
      <w:pPr>
        <w:keepNext/>
        <w:keepLines/>
        <w:numPr>
          <w:ilvl w:val="0"/>
          <w:numId w:val="3"/>
        </w:numPr>
        <w:spacing w:after="240" w:line="360" w:lineRule="auto"/>
        <w:ind w:left="786"/>
        <w:outlineLvl w:val="0"/>
        <w:rPr>
          <w:rFonts w:ascii="Palatino Linotype" w:eastAsia="Palatino Linotype" w:hAnsi="Palatino Linotype" w:cs="Palatino Linotype"/>
          <w:b/>
          <w:color w:val="000000"/>
          <w:sz w:val="22"/>
          <w:szCs w:val="22"/>
          <w:lang w:val="es-ES_tradnl" w:eastAsia="es-ES"/>
        </w:rPr>
      </w:pPr>
      <w:bookmarkStart w:id="9" w:name="_heading=h.1t3h5sf" w:colFirst="0" w:colLast="0"/>
      <w:bookmarkEnd w:id="9"/>
      <w:r w:rsidRPr="000937DF">
        <w:rPr>
          <w:rFonts w:ascii="Palatino Linotype" w:eastAsia="Palatino Linotype" w:hAnsi="Palatino Linotype" w:cs="Palatino Linotype"/>
          <w:b/>
          <w:color w:val="000000"/>
          <w:sz w:val="22"/>
          <w:szCs w:val="22"/>
          <w:lang w:val="es-ES_tradnl" w:eastAsia="es-ES"/>
        </w:rPr>
        <w:t>Del derecho de acceso a la información.</w:t>
      </w:r>
    </w:p>
    <w:p w14:paraId="2EBD03EE"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MS Mincho" w:hAnsi="Palatino Linotype" w:cs="Arial"/>
          <w:sz w:val="22"/>
          <w:szCs w:val="22"/>
        </w:rPr>
      </w:pPr>
      <w:r w:rsidRPr="000937DF">
        <w:rPr>
          <w:rFonts w:ascii="Palatino Linotype" w:eastAsia="MS Mincho" w:hAnsi="Palatino Linotype" w:cs="Arial"/>
          <w:sz w:val="22"/>
          <w:szCs w:val="22"/>
        </w:rPr>
        <w:t xml:space="preserve">El Derecho de Acceso a la Información Pública, es un derecho humano reconocido en el Pacto de Derechos Civiles y Políticos en su artículo 19.2; en la Convención Americana sobre Derechos </w:t>
      </w:r>
      <w:r w:rsidRPr="000937DF">
        <w:rPr>
          <w:rFonts w:ascii="Palatino Linotype" w:eastAsia="MS Mincho" w:hAnsi="Palatino Linotype" w:cs="Arial"/>
          <w:sz w:val="22"/>
          <w:szCs w:val="22"/>
        </w:rPr>
        <w:lastRenderedPageBreak/>
        <w:t xml:space="preserve">Humanos en su artículo 13.1; en el artículo sexto de la Constitución Política de los Estados Unidos Mexicanos y en el artículo quinto de la Particular del Estado de México. </w:t>
      </w:r>
    </w:p>
    <w:p w14:paraId="244C7C35"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lang w:val="es-ES_tradnl" w:eastAsia="es-ES"/>
        </w:rPr>
      </w:pPr>
      <w:r w:rsidRPr="000937DF">
        <w:rPr>
          <w:rFonts w:ascii="Palatino Linotype" w:eastAsia="Palatino Linotype" w:hAnsi="Palatino Linotype" w:cs="Palatino Linotype"/>
          <w:sz w:val="22"/>
          <w:szCs w:val="22"/>
          <w:lang w:val="es-ES_tradnl" w:eastAsia="es-ES"/>
        </w:rPr>
        <w:t xml:space="preserve">Definiendo el Derecho de Acceso a la Información Pública como: </w:t>
      </w:r>
      <w:r w:rsidRPr="000937DF">
        <w:rPr>
          <w:rFonts w:ascii="Palatino Linotype" w:eastAsia="Palatino Linotype" w:hAnsi="Palatino Linotype" w:cs="Palatino Linotype"/>
          <w:i/>
          <w:color w:val="000000"/>
          <w:sz w:val="22"/>
          <w:szCs w:val="22"/>
          <w:lang w:val="es-ES_tradnl" w:eastAsia="es-ES"/>
        </w:rPr>
        <w:t>La igualdad de oportunidades para recibir, buscar e impartir información</w:t>
      </w:r>
      <w:r w:rsidRPr="000937DF">
        <w:rPr>
          <w:rFonts w:ascii="Palatino Linotype" w:eastAsia="Palatino Linotype" w:hAnsi="Palatino Linotype" w:cs="Palatino Linotype"/>
          <w:i/>
          <w:sz w:val="22"/>
          <w:szCs w:val="22"/>
          <w:vertAlign w:val="superscript"/>
          <w:lang w:val="es-ES_tradnl" w:eastAsia="es-ES"/>
        </w:rPr>
        <w:footnoteReference w:id="1"/>
      </w:r>
      <w:r w:rsidRPr="000937DF">
        <w:rPr>
          <w:rFonts w:ascii="Palatino Linotype" w:eastAsia="Palatino Linotype" w:hAnsi="Palatino Linotype" w:cs="Palatino Linotype"/>
          <w:i/>
          <w:color w:val="000000"/>
          <w:sz w:val="22"/>
          <w:szCs w:val="22"/>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937DF">
        <w:rPr>
          <w:rFonts w:ascii="Palatino Linotype" w:eastAsia="Palatino Linotype" w:hAnsi="Palatino Linotype" w:cs="Palatino Linotype"/>
          <w:i/>
          <w:sz w:val="22"/>
          <w:szCs w:val="22"/>
          <w:vertAlign w:val="superscript"/>
          <w:lang w:val="es-ES_tradnl" w:eastAsia="es-ES"/>
        </w:rPr>
        <w:footnoteReference w:id="2"/>
      </w:r>
      <w:r w:rsidRPr="000937DF">
        <w:rPr>
          <w:rFonts w:ascii="Palatino Linotype" w:eastAsia="Palatino Linotype" w:hAnsi="Palatino Linotype" w:cs="Palatino Linotype"/>
          <w:color w:val="000000"/>
          <w:sz w:val="22"/>
          <w:szCs w:val="22"/>
          <w:lang w:val="es-ES_tradnl" w:eastAsia="es-ES"/>
        </w:rPr>
        <w:t>que se constituye como una herramienta fundamental para ejercer</w:t>
      </w:r>
      <w:r w:rsidRPr="000937DF">
        <w:rPr>
          <w:rFonts w:ascii="Palatino Linotype" w:eastAsia="Palatino Linotype" w:hAnsi="Palatino Linotype" w:cs="Palatino Linotype"/>
          <w:i/>
          <w:color w:val="000000"/>
          <w:sz w:val="22"/>
          <w:szCs w:val="22"/>
          <w:lang w:val="es-ES_tradnl" w:eastAsia="es-ES"/>
        </w:rPr>
        <w:t xml:space="preserve"> el control democrático de las gestiones estatales, de forma tal que puedan cuestionar, indagar y considerar si se está dando un adecuado cumplimiento a las funciones públicas,</w:t>
      </w:r>
      <w:r w:rsidRPr="000937DF">
        <w:rPr>
          <w:rFonts w:ascii="Palatino Linotype" w:eastAsia="Palatino Linotype" w:hAnsi="Palatino Linotype" w:cs="Palatino Linotype"/>
          <w:i/>
          <w:sz w:val="22"/>
          <w:szCs w:val="22"/>
          <w:vertAlign w:val="superscript"/>
          <w:lang w:val="es-ES_tradnl" w:eastAsia="es-ES"/>
        </w:rPr>
        <w:footnoteReference w:id="3"/>
      </w:r>
      <w:r w:rsidRPr="000937DF">
        <w:rPr>
          <w:rFonts w:ascii="Palatino Linotype" w:eastAsia="Palatino Linotype" w:hAnsi="Palatino Linotype" w:cs="Palatino Linotype"/>
          <w:color w:val="000000"/>
          <w:sz w:val="22"/>
          <w:szCs w:val="22"/>
          <w:lang w:val="es-ES_tradnl" w:eastAsia="es-ES"/>
        </w:rPr>
        <w:t>fomentando</w:t>
      </w:r>
      <w:r w:rsidRPr="000937DF">
        <w:rPr>
          <w:rFonts w:ascii="Palatino Linotype" w:eastAsia="Palatino Linotype" w:hAnsi="Palatino Linotype" w:cs="Palatino Linotype"/>
          <w:i/>
          <w:color w:val="000000"/>
          <w:sz w:val="22"/>
          <w:szCs w:val="22"/>
          <w:lang w:val="es-ES_tradnl" w:eastAsia="es-ES"/>
        </w:rPr>
        <w:t xml:space="preserve"> la transparencia de las actividades estatales y </w:t>
      </w:r>
      <w:r w:rsidRPr="000937DF">
        <w:rPr>
          <w:rFonts w:ascii="Palatino Linotype" w:eastAsia="Palatino Linotype" w:hAnsi="Palatino Linotype" w:cs="Palatino Linotype"/>
          <w:color w:val="000000"/>
          <w:sz w:val="22"/>
          <w:szCs w:val="22"/>
          <w:lang w:val="es-ES_tradnl" w:eastAsia="es-ES"/>
        </w:rPr>
        <w:t>promoviendo</w:t>
      </w:r>
      <w:r w:rsidRPr="000937DF">
        <w:rPr>
          <w:rFonts w:ascii="Palatino Linotype" w:eastAsia="Palatino Linotype" w:hAnsi="Palatino Linotype" w:cs="Palatino Linotype"/>
          <w:i/>
          <w:color w:val="000000"/>
          <w:sz w:val="22"/>
          <w:szCs w:val="22"/>
          <w:lang w:val="es-ES_tradnl" w:eastAsia="es-ES"/>
        </w:rPr>
        <w:t xml:space="preserve"> la responsabilidad de los funcionarios sobre su gestión pública,</w:t>
      </w:r>
      <w:r w:rsidRPr="000937DF">
        <w:rPr>
          <w:rFonts w:ascii="Palatino Linotype" w:eastAsia="Palatino Linotype" w:hAnsi="Palatino Linotype" w:cs="Palatino Linotype"/>
          <w:i/>
          <w:sz w:val="22"/>
          <w:szCs w:val="22"/>
          <w:vertAlign w:val="superscript"/>
          <w:lang w:val="es-ES_tradnl" w:eastAsia="es-ES"/>
        </w:rPr>
        <w:footnoteReference w:id="4"/>
      </w:r>
      <w:r w:rsidRPr="000937DF">
        <w:rPr>
          <w:rFonts w:ascii="Palatino Linotype" w:eastAsia="Palatino Linotype" w:hAnsi="Palatino Linotype" w:cs="Palatino Linotype"/>
          <w:color w:val="000000"/>
          <w:sz w:val="22"/>
          <w:szCs w:val="22"/>
          <w:lang w:val="es-ES_tradnl" w:eastAsia="es-ES"/>
        </w:rPr>
        <w:t>que permite</w:t>
      </w:r>
      <w:r w:rsidRPr="000937DF">
        <w:rPr>
          <w:rFonts w:ascii="Palatino Linotype" w:eastAsia="Palatino Linotype" w:hAnsi="Palatino Linotype" w:cs="Palatino Linotype"/>
          <w:i/>
          <w:color w:val="000000"/>
          <w:sz w:val="22"/>
          <w:szCs w:val="22"/>
          <w:lang w:val="es-ES_tradnl" w:eastAsia="es-ES"/>
        </w:rPr>
        <w:t xml:space="preserve"> saber qué están haciendo los gobiernos por sus pueblos, sin lo cual la verdad languidecería y la participación en el gobierno permanecería fragmentada.</w:t>
      </w:r>
    </w:p>
    <w:p w14:paraId="2545C051" w14:textId="77777777" w:rsidR="00DC2A97" w:rsidRPr="000937DF" w:rsidRDefault="00DC2A97" w:rsidP="00DC2A97">
      <w:pPr>
        <w:spacing w:line="360" w:lineRule="auto"/>
        <w:ind w:right="49"/>
        <w:jc w:val="both"/>
        <w:rPr>
          <w:rFonts w:ascii="Palatino Linotype" w:eastAsia="Palatino Linotype" w:hAnsi="Palatino Linotype" w:cs="Palatino Linotype"/>
          <w:sz w:val="22"/>
          <w:szCs w:val="22"/>
          <w:lang w:val="es-ES_tradnl" w:eastAsia="es-ES"/>
        </w:rPr>
      </w:pPr>
    </w:p>
    <w:p w14:paraId="7FEFACB4"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lang w:val="es-ES_tradnl" w:eastAsia="es-ES"/>
        </w:rPr>
      </w:pPr>
      <w:r w:rsidRPr="000937DF">
        <w:rPr>
          <w:rFonts w:ascii="Palatino Linotype" w:eastAsia="Palatino Linotype" w:hAnsi="Palatino Linotype" w:cs="Palatino Linotype"/>
          <w:sz w:val="22"/>
          <w:szCs w:val="22"/>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28C167F5" w14:textId="77777777" w:rsidR="00DC2A97" w:rsidRPr="000937DF" w:rsidRDefault="00DC2A97" w:rsidP="00DC2A97">
      <w:pPr>
        <w:ind w:right="49"/>
        <w:jc w:val="both"/>
        <w:rPr>
          <w:rFonts w:ascii="Palatino Linotype" w:eastAsia="Palatino Linotype" w:hAnsi="Palatino Linotype" w:cs="Palatino Linotype"/>
          <w:sz w:val="22"/>
          <w:szCs w:val="22"/>
          <w:lang w:val="es-ES_tradnl" w:eastAsia="es-ES"/>
        </w:rPr>
      </w:pPr>
    </w:p>
    <w:p w14:paraId="1EBDF181" w14:textId="77777777" w:rsidR="00DC2A97" w:rsidRPr="000937DF" w:rsidRDefault="00DC2A97" w:rsidP="00DC2A97">
      <w:pPr>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i/>
          <w:sz w:val="22"/>
          <w:szCs w:val="22"/>
          <w:lang w:val="es-ES_tradnl" w:eastAsia="es-ES"/>
        </w:rPr>
        <w:t>“</w:t>
      </w:r>
      <w:r w:rsidRPr="000937DF">
        <w:rPr>
          <w:rFonts w:ascii="Palatino Linotype" w:eastAsia="Palatino Linotype" w:hAnsi="Palatino Linotype" w:cs="Palatino Linotype"/>
          <w:b/>
          <w:i/>
          <w:sz w:val="22"/>
          <w:szCs w:val="22"/>
          <w:lang w:val="es-ES_tradnl" w:eastAsia="es-ES"/>
        </w:rPr>
        <w:t>Artículo 1.-</w:t>
      </w:r>
      <w:r w:rsidRPr="000937DF">
        <w:rPr>
          <w:rFonts w:ascii="Palatino Linotype" w:eastAsia="Palatino Linotype" w:hAnsi="Palatino Linotype" w:cs="Palatino Linotype"/>
          <w:i/>
          <w:sz w:val="22"/>
          <w:szCs w:val="22"/>
          <w:lang w:val="es-ES_tradnl" w:eastAsia="es-ES"/>
        </w:rPr>
        <w:t xml:space="preserve"> </w:t>
      </w:r>
    </w:p>
    <w:p w14:paraId="77E6B0FC" w14:textId="77777777" w:rsidR="00DC2A97" w:rsidRPr="000937DF" w:rsidRDefault="00DC2A97" w:rsidP="00DC2A97">
      <w:pPr>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i/>
          <w:sz w:val="22"/>
          <w:szCs w:val="22"/>
          <w:lang w:val="es-ES_tradnl" w:eastAsia="es-ES"/>
        </w:rPr>
        <w:t>(…)</w:t>
      </w:r>
    </w:p>
    <w:p w14:paraId="6820AC8E" w14:textId="77777777" w:rsidR="00DC2A97" w:rsidRPr="000937DF" w:rsidRDefault="00DC2A97" w:rsidP="00DC2A97">
      <w:pPr>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i/>
          <w:sz w:val="22"/>
          <w:szCs w:val="22"/>
          <w:lang w:val="es-ES_tradnl" w:eastAsia="es-ES"/>
        </w:rPr>
        <w:t>Todas las</w:t>
      </w:r>
      <w:r w:rsidRPr="000937DF">
        <w:rPr>
          <w:rFonts w:ascii="Palatino Linotype" w:eastAsia="Palatino Linotype" w:hAnsi="Palatino Linotype" w:cs="Palatino Linotype"/>
          <w:sz w:val="22"/>
          <w:szCs w:val="22"/>
          <w:lang w:val="es-ES_tradnl" w:eastAsia="es-ES"/>
        </w:rPr>
        <w:t xml:space="preserve"> </w:t>
      </w:r>
      <w:r w:rsidRPr="000937DF">
        <w:rPr>
          <w:rFonts w:ascii="Palatino Linotype" w:eastAsia="Palatino Linotype" w:hAnsi="Palatino Linotype" w:cs="Palatino Linotype"/>
          <w:i/>
          <w:sz w:val="22"/>
          <w:szCs w:val="22"/>
          <w:lang w:val="es-ES_tradnl" w:eastAsia="es-ES"/>
        </w:rPr>
        <w:t xml:space="preserve">autoridades, en el ámbito de sus competencias, tienen la obligación de promover, respetar, proteger y garantizar los derechos humanos de conformidad con los principios de universalidad, interdependencia, indivisibilidad y progresividad. En consecuencia, el Estado deberá prevenir, </w:t>
      </w:r>
      <w:r w:rsidRPr="000937DF">
        <w:rPr>
          <w:rFonts w:ascii="Palatino Linotype" w:eastAsia="Palatino Linotype" w:hAnsi="Palatino Linotype" w:cs="Palatino Linotype"/>
          <w:i/>
          <w:sz w:val="22"/>
          <w:szCs w:val="22"/>
          <w:lang w:val="es-ES_tradnl" w:eastAsia="es-ES"/>
        </w:rPr>
        <w:lastRenderedPageBreak/>
        <w:t>investigar, sancionar y reparar las violaciones a los derechos humanos, en los términos que establezca la ley.</w:t>
      </w:r>
    </w:p>
    <w:p w14:paraId="4888AAE9" w14:textId="77777777" w:rsidR="00DC2A97" w:rsidRPr="000937DF" w:rsidRDefault="00DC2A97" w:rsidP="00DC2A97">
      <w:pPr>
        <w:ind w:left="1134" w:right="900"/>
        <w:jc w:val="both"/>
        <w:rPr>
          <w:rFonts w:ascii="Palatino Linotype" w:eastAsia="Palatino Linotype" w:hAnsi="Palatino Linotype" w:cs="Palatino Linotype"/>
          <w:sz w:val="22"/>
          <w:szCs w:val="22"/>
          <w:lang w:val="es-ES_tradnl" w:eastAsia="es-ES"/>
        </w:rPr>
      </w:pPr>
      <w:r w:rsidRPr="000937DF">
        <w:rPr>
          <w:rFonts w:ascii="Palatino Linotype" w:eastAsia="Palatino Linotype" w:hAnsi="Palatino Linotype" w:cs="Palatino Linotype"/>
          <w:i/>
          <w:sz w:val="22"/>
          <w:szCs w:val="22"/>
          <w:lang w:val="es-ES_tradnl" w:eastAsia="es-ES"/>
        </w:rPr>
        <w:t>(…)</w:t>
      </w:r>
      <w:r w:rsidRPr="000937DF">
        <w:rPr>
          <w:rFonts w:ascii="Palatino Linotype" w:eastAsia="Palatino Linotype" w:hAnsi="Palatino Linotype" w:cs="Palatino Linotype"/>
          <w:sz w:val="22"/>
          <w:szCs w:val="22"/>
          <w:lang w:val="es-ES_tradnl" w:eastAsia="es-ES"/>
        </w:rPr>
        <w:t>”.</w:t>
      </w:r>
    </w:p>
    <w:p w14:paraId="3E1198FE" w14:textId="77777777" w:rsidR="00DC2A97" w:rsidRPr="000937DF" w:rsidRDefault="00DC2A97" w:rsidP="00DC2A97">
      <w:pPr>
        <w:ind w:right="567"/>
        <w:jc w:val="both"/>
        <w:rPr>
          <w:rFonts w:ascii="Palatino Linotype" w:eastAsia="Palatino Linotype" w:hAnsi="Palatino Linotype" w:cs="Palatino Linotype"/>
          <w:b/>
          <w:sz w:val="22"/>
          <w:szCs w:val="22"/>
          <w:lang w:val="es-ES_tradnl" w:eastAsia="es-ES"/>
        </w:rPr>
      </w:pPr>
    </w:p>
    <w:p w14:paraId="442714C6"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lang w:val="es-ES_tradnl" w:eastAsia="es-ES"/>
        </w:rPr>
      </w:pPr>
      <w:r w:rsidRPr="000937DF">
        <w:rPr>
          <w:rFonts w:ascii="Palatino Linotype" w:eastAsia="Palatino Linotype" w:hAnsi="Palatino Linotype" w:cs="Palatino Linotype"/>
          <w:sz w:val="22"/>
          <w:szCs w:val="22"/>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A54DB3B" w14:textId="77777777" w:rsidR="00DC2A97" w:rsidRPr="000937DF" w:rsidRDefault="00DC2A97" w:rsidP="00DC2A97">
      <w:pPr>
        <w:spacing w:line="360" w:lineRule="auto"/>
        <w:ind w:right="49"/>
        <w:jc w:val="both"/>
        <w:rPr>
          <w:rFonts w:ascii="Palatino Linotype" w:eastAsia="Palatino Linotype" w:hAnsi="Palatino Linotype" w:cs="Palatino Linotype"/>
          <w:sz w:val="22"/>
          <w:szCs w:val="22"/>
          <w:lang w:val="es-ES_tradnl" w:eastAsia="es-ES"/>
        </w:rPr>
      </w:pPr>
    </w:p>
    <w:p w14:paraId="146B1E1C"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lang w:val="es-ES_tradnl" w:eastAsia="es-ES"/>
        </w:rPr>
      </w:pPr>
      <w:r w:rsidRPr="000937DF">
        <w:rPr>
          <w:rFonts w:ascii="Palatino Linotype" w:eastAsia="Palatino Linotype" w:hAnsi="Palatino Linotype" w:cs="Palatino Linotype"/>
          <w:sz w:val="22"/>
          <w:szCs w:val="22"/>
          <w:lang w:val="es-ES_tradnl" w:eastAsia="es-ES"/>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6C6ECA12" w14:textId="77777777" w:rsidR="00DC2A97" w:rsidRPr="000937DF" w:rsidRDefault="00DC2A97" w:rsidP="00DC2A97">
      <w:pPr>
        <w:spacing w:line="360" w:lineRule="auto"/>
        <w:ind w:right="49"/>
        <w:jc w:val="both"/>
        <w:rPr>
          <w:rFonts w:ascii="Palatino Linotype" w:eastAsia="Palatino Linotype" w:hAnsi="Palatino Linotype" w:cs="Palatino Linotype"/>
          <w:sz w:val="22"/>
          <w:szCs w:val="22"/>
          <w:lang w:val="es-ES_tradnl" w:eastAsia="es-ES"/>
        </w:rPr>
      </w:pPr>
    </w:p>
    <w:p w14:paraId="714B13B1" w14:textId="77777777" w:rsidR="00DC2A97" w:rsidRPr="000937DF" w:rsidRDefault="00DC2A97" w:rsidP="00DC2A97">
      <w:pPr>
        <w:spacing w:after="240"/>
        <w:ind w:left="1134" w:right="900"/>
        <w:jc w:val="both"/>
        <w:rPr>
          <w:rFonts w:ascii="Palatino Linotype" w:eastAsia="Palatino Linotype" w:hAnsi="Palatino Linotype" w:cs="Palatino Linotype"/>
          <w:b/>
          <w:i/>
          <w:sz w:val="22"/>
          <w:szCs w:val="22"/>
          <w:lang w:val="es-ES_tradnl" w:eastAsia="es-ES"/>
        </w:rPr>
      </w:pPr>
      <w:r w:rsidRPr="000937DF">
        <w:rPr>
          <w:rFonts w:ascii="Palatino Linotype" w:eastAsia="Palatino Linotype" w:hAnsi="Palatino Linotype" w:cs="Palatino Linotype"/>
          <w:b/>
          <w:i/>
          <w:sz w:val="22"/>
          <w:szCs w:val="22"/>
          <w:lang w:val="es-ES_tradnl" w:eastAsia="es-ES"/>
        </w:rPr>
        <w:t>Constitución Política de los Estados Unidos Mexicanos</w:t>
      </w:r>
    </w:p>
    <w:p w14:paraId="683F5094" w14:textId="77777777" w:rsidR="00DC2A97" w:rsidRPr="000937DF" w:rsidRDefault="00DC2A97" w:rsidP="00DC2A97">
      <w:pPr>
        <w:spacing w:before="240" w:after="240"/>
        <w:ind w:left="1134" w:right="900"/>
        <w:jc w:val="both"/>
        <w:rPr>
          <w:rFonts w:ascii="Palatino Linotype" w:eastAsia="Palatino Linotype" w:hAnsi="Palatino Linotype" w:cs="Palatino Linotype"/>
          <w:b/>
          <w:i/>
          <w:sz w:val="22"/>
          <w:szCs w:val="22"/>
          <w:lang w:val="es-ES_tradnl" w:eastAsia="es-ES"/>
        </w:rPr>
      </w:pPr>
      <w:r w:rsidRPr="000937DF">
        <w:rPr>
          <w:rFonts w:ascii="Palatino Linotype" w:eastAsia="Palatino Linotype" w:hAnsi="Palatino Linotype" w:cs="Palatino Linotype"/>
          <w:b/>
          <w:i/>
          <w:sz w:val="22"/>
          <w:szCs w:val="22"/>
          <w:lang w:val="es-ES_tradnl" w:eastAsia="es-ES"/>
        </w:rPr>
        <w:t>“Artículo 6.</w:t>
      </w:r>
    </w:p>
    <w:p w14:paraId="60033187" w14:textId="77777777" w:rsidR="00DC2A97" w:rsidRPr="000937DF" w:rsidRDefault="00DC2A97" w:rsidP="00DC2A97">
      <w:pPr>
        <w:spacing w:before="240" w:after="240"/>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i/>
          <w:sz w:val="22"/>
          <w:szCs w:val="22"/>
          <w:lang w:val="es-ES_tradnl" w:eastAsia="es-ES"/>
        </w:rPr>
        <w:t>(…)</w:t>
      </w:r>
    </w:p>
    <w:p w14:paraId="758FFA3B" w14:textId="77777777" w:rsidR="00DC2A97" w:rsidRPr="000937DF" w:rsidRDefault="00DC2A97" w:rsidP="00DC2A97">
      <w:pPr>
        <w:spacing w:before="240" w:after="240"/>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i/>
          <w:sz w:val="22"/>
          <w:szCs w:val="22"/>
          <w:lang w:val="es-ES_tradnl" w:eastAsia="es-ES"/>
        </w:rPr>
        <w:t>Para efectos de lo dispuesto en el presente artículo se observará lo siguiente:</w:t>
      </w:r>
    </w:p>
    <w:p w14:paraId="2F7FA2BE" w14:textId="77777777" w:rsidR="00DC2A97" w:rsidRPr="000937DF" w:rsidRDefault="00DC2A97" w:rsidP="00DC2A97">
      <w:pPr>
        <w:spacing w:before="240" w:after="240"/>
        <w:ind w:left="1134" w:right="900"/>
        <w:jc w:val="both"/>
        <w:rPr>
          <w:rFonts w:ascii="Palatino Linotype" w:eastAsia="Palatino Linotype" w:hAnsi="Palatino Linotype" w:cs="Palatino Linotype"/>
          <w:b/>
          <w:i/>
          <w:sz w:val="22"/>
          <w:szCs w:val="22"/>
          <w:lang w:val="es-ES_tradnl" w:eastAsia="es-ES"/>
        </w:rPr>
      </w:pPr>
      <w:r w:rsidRPr="000937DF">
        <w:rPr>
          <w:rFonts w:ascii="Palatino Linotype" w:eastAsia="Palatino Linotype" w:hAnsi="Palatino Linotype" w:cs="Palatino Linotype"/>
          <w:b/>
          <w:i/>
          <w:sz w:val="22"/>
          <w:szCs w:val="22"/>
          <w:lang w:val="es-ES_tradnl" w:eastAsia="es-ES"/>
        </w:rPr>
        <w:t>A</w:t>
      </w:r>
      <w:r w:rsidRPr="000937DF">
        <w:rPr>
          <w:rFonts w:ascii="Palatino Linotype" w:eastAsia="Palatino Linotype" w:hAnsi="Palatino Linotype" w:cs="Palatino Linotype"/>
          <w:i/>
          <w:sz w:val="22"/>
          <w:szCs w:val="22"/>
          <w:lang w:val="es-ES_tradnl" w:eastAsia="es-ES"/>
        </w:rPr>
        <w:t xml:space="preserve">. </w:t>
      </w:r>
      <w:r w:rsidRPr="000937DF">
        <w:rPr>
          <w:rFonts w:ascii="Palatino Linotype" w:eastAsia="Palatino Linotype" w:hAnsi="Palatino Linotype" w:cs="Palatino Linotype"/>
          <w:b/>
          <w:i/>
          <w:sz w:val="22"/>
          <w:szCs w:val="22"/>
          <w:lang w:val="es-ES_tradnl" w:eastAsia="es-ES"/>
        </w:rPr>
        <w:t>Para el ejercicio del derecho de acceso a la información</w:t>
      </w:r>
      <w:r w:rsidRPr="000937DF">
        <w:rPr>
          <w:rFonts w:ascii="Palatino Linotype" w:eastAsia="Palatino Linotype" w:hAnsi="Palatino Linotype" w:cs="Palatino Linotype"/>
          <w:i/>
          <w:sz w:val="22"/>
          <w:szCs w:val="22"/>
          <w:lang w:val="es-ES_tradnl" w:eastAsia="es-ES"/>
        </w:rPr>
        <w:t xml:space="preserve">, la Federación y </w:t>
      </w:r>
      <w:r w:rsidRPr="000937DF">
        <w:rPr>
          <w:rFonts w:ascii="Palatino Linotype" w:eastAsia="Palatino Linotype" w:hAnsi="Palatino Linotype" w:cs="Palatino Linotype"/>
          <w:b/>
          <w:i/>
          <w:sz w:val="22"/>
          <w:szCs w:val="22"/>
          <w:lang w:val="es-ES_tradnl" w:eastAsia="es-ES"/>
        </w:rPr>
        <w:t>las entidades federativas, en el ámbito de sus respectivas competencias, se regirán por los siguientes principios y bases:</w:t>
      </w:r>
    </w:p>
    <w:p w14:paraId="4E932FDC" w14:textId="77777777" w:rsidR="00DC2A97" w:rsidRPr="000937DF" w:rsidRDefault="00DC2A97" w:rsidP="00DC2A97">
      <w:pPr>
        <w:spacing w:before="240" w:after="240"/>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b/>
          <w:i/>
          <w:sz w:val="22"/>
          <w:szCs w:val="22"/>
          <w:lang w:val="es-ES_tradnl" w:eastAsia="es-ES"/>
        </w:rPr>
        <w:t xml:space="preserve">I. </w:t>
      </w:r>
      <w:r w:rsidRPr="000937DF">
        <w:rPr>
          <w:rFonts w:ascii="Palatino Linotype" w:eastAsia="Palatino Linotype" w:hAnsi="Palatino Linotype" w:cs="Palatino Linotype"/>
          <w:b/>
          <w:i/>
          <w:sz w:val="22"/>
          <w:szCs w:val="22"/>
          <w:lang w:val="es-ES_tradnl" w:eastAsia="es-ES"/>
        </w:rPr>
        <w:tab/>
        <w:t>Toda la información en posesión de cualquier</w:t>
      </w:r>
      <w:r w:rsidRPr="000937DF">
        <w:rPr>
          <w:rFonts w:ascii="Palatino Linotype" w:eastAsia="Palatino Linotype" w:hAnsi="Palatino Linotype" w:cs="Palatino Linotype"/>
          <w:i/>
          <w:sz w:val="22"/>
          <w:szCs w:val="22"/>
          <w:lang w:val="es-ES_tradnl" w:eastAsia="es-ES"/>
        </w:rPr>
        <w:t xml:space="preserve"> </w:t>
      </w:r>
      <w:r w:rsidRPr="000937DF">
        <w:rPr>
          <w:rFonts w:ascii="Palatino Linotype" w:eastAsia="Palatino Linotype" w:hAnsi="Palatino Linotype" w:cs="Palatino Linotype"/>
          <w:b/>
          <w:i/>
          <w:sz w:val="22"/>
          <w:szCs w:val="22"/>
          <w:lang w:val="es-ES_tradnl" w:eastAsia="es-ES"/>
        </w:rPr>
        <w:t>autoridad</w:t>
      </w:r>
      <w:r w:rsidRPr="000937DF">
        <w:rPr>
          <w:rFonts w:ascii="Palatino Linotype" w:eastAsia="Palatino Linotype" w:hAnsi="Palatino Linotype" w:cs="Palatino Linotype"/>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937DF">
        <w:rPr>
          <w:rFonts w:ascii="Palatino Linotype" w:eastAsia="Palatino Linotype" w:hAnsi="Palatino Linotype" w:cs="Palatino Linotype"/>
          <w:b/>
          <w:i/>
          <w:sz w:val="22"/>
          <w:szCs w:val="22"/>
          <w:lang w:val="es-ES_tradnl" w:eastAsia="es-ES"/>
        </w:rPr>
        <w:t>municipal</w:t>
      </w:r>
      <w:r w:rsidRPr="000937DF">
        <w:rPr>
          <w:rFonts w:ascii="Palatino Linotype" w:eastAsia="Palatino Linotype" w:hAnsi="Palatino Linotype" w:cs="Palatino Linotype"/>
          <w:i/>
          <w:sz w:val="22"/>
          <w:szCs w:val="22"/>
          <w:lang w:val="es-ES_tradnl" w:eastAsia="es-ES"/>
        </w:rPr>
        <w:t xml:space="preserve">, </w:t>
      </w:r>
      <w:r w:rsidRPr="000937DF">
        <w:rPr>
          <w:rFonts w:ascii="Palatino Linotype" w:eastAsia="Palatino Linotype" w:hAnsi="Palatino Linotype" w:cs="Palatino Linotype"/>
          <w:b/>
          <w:i/>
          <w:sz w:val="22"/>
          <w:szCs w:val="22"/>
          <w:lang w:val="es-ES_tradnl" w:eastAsia="es-ES"/>
        </w:rPr>
        <w:t>es pública</w:t>
      </w:r>
      <w:r w:rsidRPr="000937DF">
        <w:rPr>
          <w:rFonts w:ascii="Palatino Linotype" w:eastAsia="Palatino Linotype" w:hAnsi="Palatino Linotype" w:cs="Palatino Linotype"/>
          <w:i/>
          <w:sz w:val="22"/>
          <w:szCs w:val="22"/>
          <w:lang w:val="es-ES_tradnl" w:eastAsia="es-ES"/>
        </w:rPr>
        <w:t xml:space="preserve"> y sólo podrá ser reservada temporalmente por razones de interés </w:t>
      </w:r>
      <w:r w:rsidRPr="000937DF">
        <w:rPr>
          <w:rFonts w:ascii="Palatino Linotype" w:eastAsia="Palatino Linotype" w:hAnsi="Palatino Linotype" w:cs="Palatino Linotype"/>
          <w:i/>
          <w:sz w:val="22"/>
          <w:szCs w:val="22"/>
          <w:lang w:val="es-ES_tradnl" w:eastAsia="es-ES"/>
        </w:rPr>
        <w:lastRenderedPageBreak/>
        <w:t xml:space="preserve">público y seguridad nacional, en los términos que fijen las leyes. </w:t>
      </w:r>
      <w:r w:rsidRPr="000937DF">
        <w:rPr>
          <w:rFonts w:ascii="Palatino Linotype" w:eastAsia="Palatino Linotype" w:hAnsi="Palatino Linotype" w:cs="Palatino Linotype"/>
          <w:b/>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0937DF">
        <w:rPr>
          <w:rFonts w:ascii="Palatino Linotype" w:eastAsia="Palatino Linotype" w:hAnsi="Palatino Linotype" w:cs="Palatino Linotype"/>
          <w:i/>
          <w:sz w:val="22"/>
          <w:szCs w:val="22"/>
          <w:lang w:val="es-ES_tradnl" w:eastAsia="es-ES"/>
        </w:rPr>
        <w:t>, la ley determinará los supuestos específicos bajo los cuales procederá la declaración de inexistencia de la información.”</w:t>
      </w:r>
    </w:p>
    <w:p w14:paraId="7F9FE6C8" w14:textId="77777777" w:rsidR="00DC2A97" w:rsidRPr="000937DF" w:rsidRDefault="00DC2A97" w:rsidP="00DC2A97">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lang w:val="es-ES_tradnl" w:eastAsia="es-ES"/>
        </w:rPr>
      </w:pPr>
    </w:p>
    <w:p w14:paraId="34657B05" w14:textId="77777777" w:rsidR="00DC2A97" w:rsidRPr="000937DF" w:rsidRDefault="00DC2A97" w:rsidP="00DC2A97">
      <w:pPr>
        <w:spacing w:before="240" w:after="240"/>
        <w:ind w:left="1134" w:right="900"/>
        <w:jc w:val="both"/>
        <w:rPr>
          <w:rFonts w:ascii="Palatino Linotype" w:eastAsia="Palatino Linotype" w:hAnsi="Palatino Linotype" w:cs="Palatino Linotype"/>
          <w:b/>
          <w:i/>
          <w:sz w:val="22"/>
          <w:szCs w:val="22"/>
          <w:lang w:val="es-ES_tradnl" w:eastAsia="es-ES"/>
        </w:rPr>
      </w:pPr>
      <w:r w:rsidRPr="000937DF">
        <w:rPr>
          <w:rFonts w:ascii="Palatino Linotype" w:eastAsia="Palatino Linotype" w:hAnsi="Palatino Linotype" w:cs="Palatino Linotype"/>
          <w:b/>
          <w:i/>
          <w:sz w:val="22"/>
          <w:szCs w:val="22"/>
          <w:lang w:val="es-ES_tradnl" w:eastAsia="es-ES"/>
        </w:rPr>
        <w:t>Constitución Política del Estado Libre y Soberano de México</w:t>
      </w:r>
    </w:p>
    <w:p w14:paraId="342D4C1A" w14:textId="77777777" w:rsidR="00DC2A97" w:rsidRPr="000937DF" w:rsidRDefault="00DC2A97" w:rsidP="00DC2A97">
      <w:pPr>
        <w:spacing w:before="240" w:after="240"/>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b/>
          <w:i/>
          <w:sz w:val="22"/>
          <w:szCs w:val="22"/>
          <w:lang w:val="es-ES_tradnl" w:eastAsia="es-ES"/>
        </w:rPr>
        <w:t>“Artículo 5</w:t>
      </w:r>
      <w:r w:rsidRPr="000937DF">
        <w:rPr>
          <w:rFonts w:ascii="Palatino Linotype" w:eastAsia="Palatino Linotype" w:hAnsi="Palatino Linotype" w:cs="Palatino Linotype"/>
          <w:i/>
          <w:sz w:val="22"/>
          <w:szCs w:val="22"/>
          <w:lang w:val="es-ES_tradnl" w:eastAsia="es-ES"/>
        </w:rPr>
        <w:t xml:space="preserve">.- </w:t>
      </w:r>
    </w:p>
    <w:p w14:paraId="48CD60C1" w14:textId="77777777" w:rsidR="00DC2A97" w:rsidRPr="000937DF" w:rsidRDefault="00DC2A97" w:rsidP="00DC2A97">
      <w:pPr>
        <w:spacing w:before="240" w:after="240"/>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i/>
          <w:sz w:val="22"/>
          <w:szCs w:val="22"/>
          <w:lang w:val="es-ES_tradnl" w:eastAsia="es-ES"/>
        </w:rPr>
        <w:t>(…)</w:t>
      </w:r>
    </w:p>
    <w:p w14:paraId="0A05A7C1" w14:textId="77777777" w:rsidR="00DC2A97" w:rsidRPr="000937DF" w:rsidRDefault="00DC2A97" w:rsidP="00DC2A97">
      <w:pPr>
        <w:spacing w:before="240" w:after="240"/>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b/>
          <w:i/>
          <w:sz w:val="22"/>
          <w:szCs w:val="22"/>
          <w:lang w:val="es-ES_tradnl" w:eastAsia="es-ES"/>
        </w:rPr>
        <w:t>El derecho a la información será garantizado por el Estado. La ley establecerá las previsiones que permitan asegurar la protección, el respeto y la difusión de este derecho</w:t>
      </w:r>
      <w:r w:rsidRPr="000937DF">
        <w:rPr>
          <w:rFonts w:ascii="Palatino Linotype" w:eastAsia="Palatino Linotype" w:hAnsi="Palatino Linotype" w:cs="Palatino Linotype"/>
          <w:i/>
          <w:sz w:val="22"/>
          <w:szCs w:val="22"/>
          <w:lang w:val="es-ES_tradnl" w:eastAsia="es-ES"/>
        </w:rPr>
        <w:t>.</w:t>
      </w:r>
    </w:p>
    <w:p w14:paraId="16015036" w14:textId="77777777" w:rsidR="00DC2A97" w:rsidRPr="000937DF" w:rsidRDefault="00DC2A97" w:rsidP="00DC2A97">
      <w:pPr>
        <w:spacing w:before="240" w:after="240"/>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6EEAD4" w14:textId="77777777" w:rsidR="00DC2A97" w:rsidRPr="000937DF" w:rsidRDefault="00DC2A97" w:rsidP="00DC2A97">
      <w:pPr>
        <w:spacing w:before="240" w:after="240"/>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b/>
          <w:i/>
          <w:sz w:val="22"/>
          <w:szCs w:val="22"/>
          <w:lang w:val="es-ES_tradnl" w:eastAsia="es-ES"/>
        </w:rPr>
        <w:t>Este derecho se regirá por los principios y bases siguientes</w:t>
      </w:r>
      <w:r w:rsidRPr="000937DF">
        <w:rPr>
          <w:rFonts w:ascii="Palatino Linotype" w:eastAsia="Palatino Linotype" w:hAnsi="Palatino Linotype" w:cs="Palatino Linotype"/>
          <w:i/>
          <w:sz w:val="22"/>
          <w:szCs w:val="22"/>
          <w:lang w:val="es-ES_tradnl" w:eastAsia="es-ES"/>
        </w:rPr>
        <w:t>:</w:t>
      </w:r>
    </w:p>
    <w:p w14:paraId="79339E3B" w14:textId="77777777" w:rsidR="00DC2A97" w:rsidRPr="000937DF" w:rsidRDefault="00DC2A97" w:rsidP="00DC2A97">
      <w:pPr>
        <w:spacing w:before="240" w:after="240"/>
        <w:ind w:left="1134" w:right="900"/>
        <w:jc w:val="both"/>
        <w:rPr>
          <w:rFonts w:ascii="Palatino Linotype" w:eastAsia="Palatino Linotype" w:hAnsi="Palatino Linotype" w:cs="Palatino Linotype"/>
          <w:i/>
          <w:sz w:val="22"/>
          <w:szCs w:val="22"/>
          <w:lang w:val="es-ES_tradnl" w:eastAsia="es-ES"/>
        </w:rPr>
      </w:pPr>
      <w:r w:rsidRPr="000937DF">
        <w:rPr>
          <w:rFonts w:ascii="Palatino Linotype" w:eastAsia="Palatino Linotype" w:hAnsi="Palatino Linotype" w:cs="Palatino Linotype"/>
          <w:b/>
          <w:i/>
          <w:sz w:val="22"/>
          <w:szCs w:val="22"/>
          <w:lang w:val="es-ES_tradnl" w:eastAsia="es-ES"/>
        </w:rPr>
        <w:t>I. Toda la información en posesión de cualquier autoridad, entidad, órgano y organismos de los</w:t>
      </w:r>
      <w:r w:rsidRPr="000937DF">
        <w:rPr>
          <w:rFonts w:ascii="Palatino Linotype" w:eastAsia="Palatino Linotype" w:hAnsi="Palatino Linotype" w:cs="Palatino Linotype"/>
          <w:i/>
          <w:sz w:val="22"/>
          <w:szCs w:val="22"/>
          <w:lang w:val="es-ES_tradnl" w:eastAsia="es-ES"/>
        </w:rPr>
        <w:t xml:space="preserve"> Poderes Ejecutivo, Legislativo y Judicial, órganos autónomos, partidos políticos, fideicomisos y fondos públicos estatales y </w:t>
      </w:r>
      <w:r w:rsidRPr="000937DF">
        <w:rPr>
          <w:rFonts w:ascii="Palatino Linotype" w:eastAsia="Palatino Linotype" w:hAnsi="Palatino Linotype" w:cs="Palatino Linotype"/>
          <w:b/>
          <w:i/>
          <w:sz w:val="22"/>
          <w:szCs w:val="22"/>
          <w:lang w:val="es-ES_tradnl" w:eastAsia="es-ES"/>
        </w:rPr>
        <w:t>municipales</w:t>
      </w:r>
      <w:r w:rsidRPr="000937DF">
        <w:rPr>
          <w:rFonts w:ascii="Palatino Linotype" w:eastAsia="Palatino Linotype" w:hAnsi="Palatino Linotype" w:cs="Palatino Linotype"/>
          <w:i/>
          <w:sz w:val="22"/>
          <w:szCs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937DF">
        <w:rPr>
          <w:rFonts w:ascii="Palatino Linotype" w:eastAsia="Palatino Linotype" w:hAnsi="Palatino Linotype" w:cs="Palatino Linotype"/>
          <w:b/>
          <w:i/>
          <w:sz w:val="22"/>
          <w:szCs w:val="22"/>
          <w:lang w:val="es-ES_tradnl" w:eastAsia="es-ES"/>
        </w:rPr>
        <w:t>es pública</w:t>
      </w:r>
      <w:r w:rsidRPr="000937DF">
        <w:rPr>
          <w:rFonts w:ascii="Palatino Linotype" w:eastAsia="Palatino Linotype" w:hAnsi="Palatino Linotype" w:cs="Palatino Linotype"/>
          <w:i/>
          <w:sz w:val="22"/>
          <w:szCs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0937DF">
        <w:rPr>
          <w:rFonts w:ascii="Palatino Linotype" w:eastAsia="Palatino Linotype" w:hAnsi="Palatino Linotype" w:cs="Palatino Linotype"/>
          <w:b/>
          <w:i/>
          <w:sz w:val="22"/>
          <w:szCs w:val="22"/>
          <w:lang w:val="es-ES_tradnl" w:eastAsia="es-ES"/>
        </w:rPr>
        <w:t>En la interpretación de este derecho deberá prevalecer el principio de máxima publicidad</w:t>
      </w:r>
      <w:r w:rsidRPr="000937DF">
        <w:rPr>
          <w:rFonts w:ascii="Palatino Linotype" w:eastAsia="Palatino Linotype" w:hAnsi="Palatino Linotype" w:cs="Palatino Linotype"/>
          <w:i/>
          <w:sz w:val="22"/>
          <w:szCs w:val="22"/>
          <w:lang w:val="es-ES_tradnl" w:eastAsia="es-ES"/>
        </w:rPr>
        <w:t xml:space="preserve">. </w:t>
      </w:r>
      <w:r w:rsidRPr="000937DF">
        <w:rPr>
          <w:rFonts w:ascii="Palatino Linotype" w:eastAsia="Palatino Linotype" w:hAnsi="Palatino Linotype" w:cs="Palatino Linotype"/>
          <w:b/>
          <w:i/>
          <w:sz w:val="22"/>
          <w:szCs w:val="22"/>
          <w:lang w:val="es-ES_tradnl" w:eastAsia="es-ES"/>
        </w:rPr>
        <w:t>Los sujetos obligados deberán documentar todo acto que derive del ejercicio de sus facultades, competencias o funciones</w:t>
      </w:r>
      <w:r w:rsidRPr="000937DF">
        <w:rPr>
          <w:rFonts w:ascii="Palatino Linotype" w:eastAsia="Palatino Linotype" w:hAnsi="Palatino Linotype" w:cs="Palatino Linotype"/>
          <w:i/>
          <w:sz w:val="22"/>
          <w:szCs w:val="22"/>
          <w:lang w:val="es-ES_tradnl" w:eastAsia="es-ES"/>
        </w:rPr>
        <w:t xml:space="preserve">, la ley determinará los supuestos </w:t>
      </w:r>
      <w:r w:rsidRPr="000937DF">
        <w:rPr>
          <w:rFonts w:ascii="Palatino Linotype" w:eastAsia="Palatino Linotype" w:hAnsi="Palatino Linotype" w:cs="Palatino Linotype"/>
          <w:i/>
          <w:sz w:val="22"/>
          <w:szCs w:val="22"/>
          <w:lang w:val="es-ES_tradnl" w:eastAsia="es-ES"/>
        </w:rPr>
        <w:lastRenderedPageBreak/>
        <w:t>específicos bajo los cuales procederá la declaración de inexistencia de la información.”</w:t>
      </w:r>
    </w:p>
    <w:p w14:paraId="4C4A27C2" w14:textId="77777777" w:rsidR="00DC2A97" w:rsidRPr="000937DF" w:rsidRDefault="00DC2A97" w:rsidP="00DC2A97">
      <w:pPr>
        <w:tabs>
          <w:tab w:val="left" w:pos="567"/>
        </w:tabs>
        <w:spacing w:before="240" w:after="240"/>
        <w:ind w:right="567"/>
        <w:jc w:val="both"/>
        <w:rPr>
          <w:rFonts w:ascii="Palatino Linotype" w:eastAsia="Palatino Linotype" w:hAnsi="Palatino Linotype" w:cs="Palatino Linotype"/>
          <w:b/>
          <w:i/>
          <w:sz w:val="22"/>
          <w:szCs w:val="22"/>
          <w:lang w:val="es-ES_tradnl" w:eastAsia="es-ES"/>
        </w:rPr>
      </w:pPr>
    </w:p>
    <w:p w14:paraId="53E40DB9"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lang w:val="es-ES_tradnl" w:eastAsia="es-ES"/>
        </w:rPr>
      </w:pPr>
      <w:r w:rsidRPr="000937DF">
        <w:rPr>
          <w:rFonts w:ascii="Palatino Linotype" w:eastAsia="Palatino Linotype" w:hAnsi="Palatino Linotype" w:cs="Palatino Linotype"/>
          <w:sz w:val="22"/>
          <w:szCs w:val="22"/>
          <w:lang w:val="es-ES_tradnl" w:eastAsia="es-ES"/>
        </w:rPr>
        <w:t xml:space="preserve">Según el artículo 150 de la Ley de Transparencia del Estado, la solicitud es la garantía primaria del Derecho de Acceso a la Información, además, establece que se regirá </w:t>
      </w:r>
      <w:r w:rsidRPr="000937DF">
        <w:rPr>
          <w:rFonts w:ascii="Palatino Linotype" w:eastAsia="Palatino Linotype" w:hAnsi="Palatino Linotype" w:cs="Palatino Linotype"/>
          <w:i/>
          <w:sz w:val="22"/>
          <w:szCs w:val="22"/>
          <w:lang w:val="es-ES_tradnl" w:eastAsia="es-ES"/>
        </w:rPr>
        <w:t>por los principios de simplicidad, rapidez gratuidad del procedimiento, auxilio y orientación a los particulares</w:t>
      </w:r>
      <w:r w:rsidRPr="000937DF">
        <w:rPr>
          <w:rFonts w:ascii="Palatino Linotype" w:eastAsia="Palatino Linotype" w:hAnsi="Palatino Linotype" w:cs="Palatino Linotype"/>
          <w:sz w:val="22"/>
          <w:szCs w:val="22"/>
          <w:lang w:val="es-ES_tradnl" w:eastAsia="es-ES"/>
        </w:rPr>
        <w:t>, contemplando el derecho de las personas con discapacidad y hablantes de lengua indígena.</w:t>
      </w:r>
    </w:p>
    <w:p w14:paraId="6EEF60A6" w14:textId="77777777" w:rsidR="00DC2A97" w:rsidRPr="000937DF" w:rsidRDefault="00DC2A97" w:rsidP="00DC2A97">
      <w:pPr>
        <w:spacing w:line="360" w:lineRule="auto"/>
        <w:ind w:right="49"/>
        <w:jc w:val="both"/>
        <w:rPr>
          <w:rFonts w:ascii="Palatino Linotype" w:eastAsia="Palatino Linotype" w:hAnsi="Palatino Linotype" w:cs="Palatino Linotype"/>
          <w:sz w:val="22"/>
          <w:szCs w:val="22"/>
          <w:lang w:val="es-ES_tradnl" w:eastAsia="es-ES"/>
        </w:rPr>
      </w:pPr>
    </w:p>
    <w:p w14:paraId="705BB677"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lang w:val="es-ES_tradnl" w:eastAsia="es-ES"/>
        </w:rPr>
      </w:pPr>
      <w:r w:rsidRPr="000937DF">
        <w:rPr>
          <w:rFonts w:ascii="Palatino Linotype" w:eastAsia="Palatino Linotype" w:hAnsi="Palatino Linotype" w:cs="Palatino Linotype"/>
          <w:color w:val="000000"/>
          <w:sz w:val="22"/>
          <w:szCs w:val="22"/>
        </w:rPr>
        <w:t>El</w:t>
      </w:r>
      <w:r w:rsidRPr="000937DF">
        <w:rPr>
          <w:rFonts w:ascii="Palatino Linotype" w:eastAsia="Palatino Linotype" w:hAnsi="Palatino Linotype" w:cs="Palatino Linotype"/>
          <w:sz w:val="22"/>
          <w:szCs w:val="22"/>
          <w:lang w:val="es-ES_tradnl" w:eastAsia="es-ES"/>
        </w:rPr>
        <w:t xml:space="preserve"> Derecho de Acceso a la Información se garantiza y respeta oportunamente, y según lo que dispone la Ley, las </w:t>
      </w:r>
      <w:r w:rsidRPr="000937DF">
        <w:rPr>
          <w:rFonts w:ascii="Palatino Linotype" w:eastAsia="Palatino Linotype" w:hAnsi="Palatino Linotype" w:cs="Palatino Linotype"/>
          <w:i/>
          <w:sz w:val="22"/>
          <w:szCs w:val="22"/>
          <w:lang w:val="es-ES_tradnl" w:eastAsia="es-ES"/>
        </w:rPr>
        <w:t>solicitudes de acceso a la información</w:t>
      </w:r>
      <w:r w:rsidRPr="000937DF">
        <w:rPr>
          <w:rFonts w:ascii="Palatino Linotype" w:eastAsia="Palatino Linotype" w:hAnsi="Palatino Linotype" w:cs="Palatino Linotype"/>
          <w:sz w:val="22"/>
          <w:szCs w:val="22"/>
          <w:lang w:val="es-ES_tradnl" w:eastAsia="es-ES"/>
        </w:rPr>
        <w:t>.</w:t>
      </w:r>
    </w:p>
    <w:p w14:paraId="0973DE4F" w14:textId="77777777" w:rsidR="00DC2A97" w:rsidRPr="000937DF" w:rsidRDefault="00DC2A97" w:rsidP="00DC2A97">
      <w:pPr>
        <w:spacing w:line="360" w:lineRule="auto"/>
        <w:ind w:right="49"/>
        <w:jc w:val="both"/>
        <w:rPr>
          <w:rFonts w:ascii="Palatino Linotype" w:eastAsia="Palatino Linotype" w:hAnsi="Palatino Linotype" w:cs="Palatino Linotype"/>
          <w:sz w:val="22"/>
          <w:szCs w:val="22"/>
          <w:lang w:val="es-ES_tradnl" w:eastAsia="es-ES"/>
        </w:rPr>
      </w:pPr>
    </w:p>
    <w:p w14:paraId="3D241F8B"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lang w:val="es-ES_tradnl" w:eastAsia="es-ES"/>
        </w:rPr>
      </w:pPr>
      <w:bookmarkStart w:id="10" w:name="_heading=h.4d34og8" w:colFirst="0" w:colLast="0"/>
      <w:bookmarkEnd w:id="10"/>
      <w:r w:rsidRPr="000937DF">
        <w:rPr>
          <w:rFonts w:ascii="Palatino Linotype" w:eastAsia="Palatino Linotype" w:hAnsi="Palatino Linotype" w:cs="Palatino Linotype"/>
          <w:sz w:val="22"/>
          <w:szCs w:val="22"/>
          <w:lang w:val="es-ES_tradnl" w:eastAsia="es-ES"/>
        </w:rPr>
        <w:t xml:space="preserve">Así entonces, se procede analizar, en primer lugar, si el </w:t>
      </w:r>
      <w:r w:rsidRPr="000937DF">
        <w:rPr>
          <w:rFonts w:ascii="Palatino Linotype" w:eastAsia="Palatino Linotype" w:hAnsi="Palatino Linotype" w:cs="Palatino Linotype"/>
          <w:b/>
          <w:sz w:val="22"/>
          <w:szCs w:val="22"/>
          <w:lang w:val="es-ES_tradnl" w:eastAsia="es-ES"/>
        </w:rPr>
        <w:t>SUJETO OBLIGADO</w:t>
      </w:r>
      <w:r w:rsidRPr="000937DF">
        <w:rPr>
          <w:rFonts w:ascii="Palatino Linotype" w:eastAsia="Palatino Linotype" w:hAnsi="Palatino Linotype" w:cs="Palatino Linotype"/>
          <w:sz w:val="22"/>
          <w:szCs w:val="22"/>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DDADCBB" w14:textId="77777777" w:rsidR="00DC2A97" w:rsidRPr="000937DF" w:rsidRDefault="00DC2A97" w:rsidP="00DC2A97">
      <w:pPr>
        <w:spacing w:line="360" w:lineRule="auto"/>
        <w:ind w:right="49"/>
        <w:jc w:val="both"/>
        <w:rPr>
          <w:rFonts w:ascii="Palatino Linotype" w:eastAsia="Palatino Linotype" w:hAnsi="Palatino Linotype" w:cs="Palatino Linotype"/>
          <w:sz w:val="22"/>
          <w:szCs w:val="22"/>
          <w:lang w:val="es-ES_tradnl" w:eastAsia="es-ES"/>
        </w:rPr>
      </w:pPr>
    </w:p>
    <w:p w14:paraId="4052C57B" w14:textId="77777777" w:rsidR="00DC2A97" w:rsidRPr="000937DF" w:rsidRDefault="00DC2A97" w:rsidP="00DC2A97">
      <w:pPr>
        <w:keepNext/>
        <w:keepLines/>
        <w:spacing w:after="240" w:line="360" w:lineRule="auto"/>
        <w:outlineLvl w:val="0"/>
        <w:rPr>
          <w:rFonts w:ascii="Palatino Linotype" w:eastAsia="Palatino Linotype" w:hAnsi="Palatino Linotype" w:cs="Palatino Linotype"/>
          <w:b/>
          <w:color w:val="000000"/>
          <w:sz w:val="22"/>
          <w:szCs w:val="22"/>
          <w:lang w:val="es-ES_tradnl" w:eastAsia="es-ES"/>
        </w:rPr>
      </w:pPr>
      <w:bookmarkStart w:id="11" w:name="_heading=h.2s8eyo1" w:colFirst="0" w:colLast="0"/>
      <w:bookmarkEnd w:id="11"/>
      <w:r w:rsidRPr="000937DF">
        <w:rPr>
          <w:rFonts w:ascii="Palatino Linotype" w:eastAsia="Palatino Linotype" w:hAnsi="Palatino Linotype" w:cs="Palatino Linotype"/>
          <w:b/>
          <w:color w:val="000000"/>
          <w:sz w:val="22"/>
          <w:szCs w:val="22"/>
          <w:lang w:val="es-ES_tradnl" w:eastAsia="es-ES"/>
        </w:rPr>
        <w:t>II. De la información solicitada y la respuesta del SUJETO OBLIGADO</w:t>
      </w:r>
    </w:p>
    <w:p w14:paraId="426EC777" w14:textId="77777777" w:rsidR="00DC2A97" w:rsidRPr="000937DF" w:rsidRDefault="00DC2A97" w:rsidP="00DC2A97">
      <w:pPr>
        <w:rPr>
          <w:rFonts w:ascii="Palatino Linotype" w:eastAsiaTheme="minorEastAsia" w:hAnsi="Palatino Linotype" w:cs="Calibri"/>
          <w:sz w:val="22"/>
          <w:szCs w:val="22"/>
          <w:lang w:val="es-ES_tradnl" w:eastAsia="es-ES"/>
        </w:rPr>
      </w:pPr>
    </w:p>
    <w:p w14:paraId="2EE6FA85" w14:textId="77777777" w:rsidR="00667D1B"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Calibri"/>
          <w:color w:val="000000"/>
          <w:sz w:val="22"/>
          <w:szCs w:val="22"/>
          <w:lang w:val="es-ES_tradnl" w:eastAsia="es-ES"/>
        </w:rPr>
      </w:pPr>
      <w:r w:rsidRPr="000937DF">
        <w:rPr>
          <w:rFonts w:ascii="Palatino Linotype" w:eastAsiaTheme="minorEastAsia" w:hAnsi="Palatino Linotype" w:cs="Calibri"/>
          <w:color w:val="000000"/>
          <w:sz w:val="22"/>
          <w:szCs w:val="22"/>
          <w:lang w:val="es-ES_tradnl" w:eastAsia="es-ES"/>
        </w:rPr>
        <w:t xml:space="preserve">De  lo anterior, se debe de establecer </w:t>
      </w:r>
      <w:r w:rsidR="00667D1B" w:rsidRPr="000937DF">
        <w:rPr>
          <w:rFonts w:ascii="Palatino Linotype" w:eastAsiaTheme="minorEastAsia" w:hAnsi="Palatino Linotype" w:cs="Calibri"/>
          <w:color w:val="000000"/>
          <w:sz w:val="22"/>
          <w:szCs w:val="22"/>
          <w:lang w:val="es-ES_tradnl" w:eastAsia="es-ES"/>
        </w:rPr>
        <w:t xml:space="preserve">que la información solicitada consiste en </w:t>
      </w:r>
      <w:r w:rsidR="00A75993" w:rsidRPr="000937DF">
        <w:rPr>
          <w:rFonts w:ascii="Palatino Linotype" w:eastAsiaTheme="minorEastAsia" w:hAnsi="Palatino Linotype" w:cs="Calibri"/>
          <w:color w:val="000000"/>
          <w:sz w:val="22"/>
          <w:szCs w:val="22"/>
          <w:lang w:val="es-ES_tradnl" w:eastAsia="es-ES"/>
        </w:rPr>
        <w:t>conocer si la persona referida en la solicitud de información tiene relación con procedimientos administrativos y penales, por lo que el estudio se centrara en los mismos</w:t>
      </w:r>
      <w:r w:rsidR="00667D1B" w:rsidRPr="000937DF">
        <w:rPr>
          <w:rFonts w:ascii="Palatino Linotype" w:eastAsiaTheme="minorEastAsia" w:hAnsi="Palatino Linotype" w:cs="Calibri"/>
          <w:color w:val="000000"/>
          <w:sz w:val="22"/>
          <w:szCs w:val="22"/>
          <w:lang w:val="es-ES_tradnl" w:eastAsia="es-ES"/>
        </w:rPr>
        <w:t xml:space="preserve">. </w:t>
      </w:r>
    </w:p>
    <w:p w14:paraId="6E25956F" w14:textId="77777777" w:rsidR="00DC2A97" w:rsidRPr="000937DF" w:rsidRDefault="00DC2A97" w:rsidP="001B6041">
      <w:pPr>
        <w:pBdr>
          <w:top w:val="nil"/>
          <w:left w:val="nil"/>
          <w:bottom w:val="nil"/>
          <w:right w:val="nil"/>
          <w:between w:val="nil"/>
        </w:pBdr>
        <w:spacing w:line="360" w:lineRule="auto"/>
        <w:ind w:right="-787"/>
        <w:jc w:val="both"/>
        <w:rPr>
          <w:rFonts w:ascii="Palatino Linotype" w:eastAsiaTheme="minorEastAsia" w:hAnsi="Palatino Linotype" w:cs="Calibri"/>
          <w:color w:val="000000"/>
          <w:sz w:val="22"/>
          <w:szCs w:val="22"/>
          <w:lang w:val="es-ES_tradnl" w:eastAsia="es-ES"/>
        </w:rPr>
      </w:pPr>
    </w:p>
    <w:p w14:paraId="32E2AA5A" w14:textId="77777777" w:rsidR="00DC2A97" w:rsidRPr="000937DF" w:rsidRDefault="00DC2A97" w:rsidP="00DC2A97">
      <w:pPr>
        <w:pStyle w:val="Prrafodelista"/>
        <w:rPr>
          <w:rFonts w:ascii="Palatino Linotype" w:eastAsiaTheme="minorEastAsia" w:hAnsi="Palatino Linotype" w:cs="Calibri"/>
          <w:color w:val="000000"/>
          <w:lang w:val="es-ES_tradnl" w:eastAsia="es-ES"/>
        </w:rPr>
      </w:pPr>
    </w:p>
    <w:p w14:paraId="1DA9CE48" w14:textId="77777777" w:rsidR="00ED04AE" w:rsidRPr="000937DF" w:rsidRDefault="00A75993" w:rsidP="00ED04AE">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Calibri"/>
          <w:b/>
          <w:color w:val="000000"/>
          <w:sz w:val="22"/>
          <w:szCs w:val="22"/>
          <w:lang w:val="es-ES_tradnl" w:eastAsia="es-ES"/>
        </w:rPr>
      </w:pPr>
      <w:r w:rsidRPr="000937DF">
        <w:rPr>
          <w:rFonts w:ascii="Palatino Linotype" w:eastAsiaTheme="minorEastAsia" w:hAnsi="Palatino Linotype" w:cs="Calibri"/>
          <w:color w:val="000000"/>
          <w:sz w:val="22"/>
          <w:szCs w:val="22"/>
          <w:lang w:val="es-ES_tradnl" w:eastAsia="es-ES"/>
        </w:rPr>
        <w:lastRenderedPageBreak/>
        <w:t xml:space="preserve">En primer punto, se debe de referir que el </w:t>
      </w:r>
      <w:r w:rsidRPr="000937DF">
        <w:rPr>
          <w:rFonts w:ascii="Palatino Linotype" w:eastAsiaTheme="minorEastAsia" w:hAnsi="Palatino Linotype" w:cs="Calibri"/>
          <w:b/>
          <w:color w:val="000000"/>
          <w:sz w:val="22"/>
          <w:szCs w:val="22"/>
          <w:lang w:val="es-ES_tradnl" w:eastAsia="es-ES"/>
        </w:rPr>
        <w:t xml:space="preserve">SUJETO OBLIGADO </w:t>
      </w:r>
      <w:r w:rsidRPr="000937DF">
        <w:rPr>
          <w:rFonts w:ascii="Palatino Linotype" w:eastAsiaTheme="minorEastAsia" w:hAnsi="Palatino Linotype" w:cs="Calibri"/>
          <w:color w:val="000000"/>
          <w:sz w:val="22"/>
          <w:szCs w:val="22"/>
          <w:lang w:val="es-ES_tradnl" w:eastAsia="es-ES"/>
        </w:rPr>
        <w:t xml:space="preserve">por medio de la Dirección de Administración de Personal y Nómina, informo que del personal administrativo la persona referida en la solicitud de información no forma parte de la plantilla, mientras que para el caso de del personal operativo refiere que clasifica el pronunciamiento del pronunciamiento en sentido afirmativo o negativo. </w:t>
      </w:r>
    </w:p>
    <w:p w14:paraId="4922B9D5" w14:textId="77777777" w:rsidR="00ED04AE" w:rsidRPr="000937DF" w:rsidRDefault="00ED04AE" w:rsidP="00ED04AE">
      <w:pPr>
        <w:pBdr>
          <w:top w:val="nil"/>
          <w:left w:val="nil"/>
          <w:bottom w:val="nil"/>
          <w:right w:val="nil"/>
          <w:between w:val="nil"/>
        </w:pBdr>
        <w:spacing w:line="360" w:lineRule="auto"/>
        <w:ind w:right="-787"/>
        <w:jc w:val="both"/>
        <w:rPr>
          <w:rFonts w:ascii="Palatino Linotype" w:eastAsiaTheme="minorEastAsia" w:hAnsi="Palatino Linotype" w:cs="Calibri"/>
          <w:b/>
          <w:color w:val="000000"/>
          <w:sz w:val="22"/>
          <w:szCs w:val="22"/>
          <w:lang w:val="es-ES_tradnl" w:eastAsia="es-ES"/>
        </w:rPr>
      </w:pPr>
    </w:p>
    <w:p w14:paraId="13B6ECA1" w14:textId="416CD9DD" w:rsidR="00ED04AE" w:rsidRPr="000937DF" w:rsidRDefault="00ED04AE" w:rsidP="00ED04AE">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Calibri"/>
          <w:b/>
          <w:color w:val="000000"/>
          <w:sz w:val="22"/>
          <w:szCs w:val="22"/>
          <w:lang w:val="es-ES_tradnl" w:eastAsia="es-ES"/>
        </w:rPr>
      </w:pPr>
      <w:r w:rsidRPr="000937DF">
        <w:rPr>
          <w:rFonts w:ascii="Palatino Linotype" w:eastAsia="Calibri" w:hAnsi="Palatino Linotype" w:cs="Calibri"/>
          <w:lang w:val="es-ES_tradnl"/>
        </w:rPr>
        <w:t>P46. ara delimitar esferas competenciales, resulta oportuno analizar el Organigrama del Sujeto Obligado, por lo que es necesario traer a colación la siguiente imagen:</w:t>
      </w:r>
    </w:p>
    <w:p w14:paraId="6BA0A637" w14:textId="77777777" w:rsidR="00ED04AE" w:rsidRPr="000937DF" w:rsidRDefault="00ED04AE" w:rsidP="00ED04AE">
      <w:pPr>
        <w:pBdr>
          <w:top w:val="nil"/>
          <w:left w:val="nil"/>
          <w:bottom w:val="nil"/>
          <w:right w:val="nil"/>
          <w:between w:val="nil"/>
        </w:pBdr>
        <w:spacing w:line="360" w:lineRule="auto"/>
        <w:contextualSpacing/>
        <w:jc w:val="both"/>
        <w:rPr>
          <w:rFonts w:ascii="Palatino Linotype" w:eastAsia="Calibri" w:hAnsi="Palatino Linotype" w:cs="Calibri"/>
          <w:lang w:val="es-ES_tradnl"/>
        </w:rPr>
      </w:pPr>
      <w:r w:rsidRPr="000937DF">
        <w:rPr>
          <w:rFonts w:ascii="Palatino Linotype" w:eastAsia="Calibri" w:hAnsi="Palatino Linotype" w:cs="Calibri"/>
          <w:noProof/>
        </w:rPr>
        <w:drawing>
          <wp:inline distT="0" distB="0" distL="0" distR="0" wp14:anchorId="0A7A467A" wp14:editId="0FEE5F29">
            <wp:extent cx="2733675" cy="3508375"/>
            <wp:effectExtent l="0" t="0" r="9525" b="0"/>
            <wp:docPr id="1281725479" name="Imagen 128172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06D64.tmp"/>
                    <pic:cNvPicPr/>
                  </pic:nvPicPr>
                  <pic:blipFill>
                    <a:blip r:embed="rId9">
                      <a:extLst>
                        <a:ext uri="{28A0092B-C50C-407E-A947-70E740481C1C}">
                          <a14:useLocalDpi xmlns:a14="http://schemas.microsoft.com/office/drawing/2010/main" val="0"/>
                        </a:ext>
                      </a:extLst>
                    </a:blip>
                    <a:stretch>
                      <a:fillRect/>
                    </a:stretch>
                  </pic:blipFill>
                  <pic:spPr>
                    <a:xfrm>
                      <a:off x="0" y="0"/>
                      <a:ext cx="2747016" cy="3525497"/>
                    </a:xfrm>
                    <a:prstGeom prst="rect">
                      <a:avLst/>
                    </a:prstGeom>
                  </pic:spPr>
                </pic:pic>
              </a:graphicData>
            </a:graphic>
          </wp:inline>
        </w:drawing>
      </w:r>
      <w:r w:rsidRPr="000937DF">
        <w:rPr>
          <w:rFonts w:ascii="Palatino Linotype" w:eastAsia="Calibri" w:hAnsi="Palatino Linotype" w:cs="Calibri"/>
          <w:noProof/>
        </w:rPr>
        <w:drawing>
          <wp:inline distT="0" distB="0" distL="0" distR="0" wp14:anchorId="46C55B25" wp14:editId="1C467D93">
            <wp:extent cx="1102442" cy="65722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90CB05.tmp"/>
                    <pic:cNvPicPr/>
                  </pic:nvPicPr>
                  <pic:blipFill>
                    <a:blip r:embed="rId10">
                      <a:extLst>
                        <a:ext uri="{28A0092B-C50C-407E-A947-70E740481C1C}">
                          <a14:useLocalDpi xmlns:a14="http://schemas.microsoft.com/office/drawing/2010/main" val="0"/>
                        </a:ext>
                      </a:extLst>
                    </a:blip>
                    <a:stretch>
                      <a:fillRect/>
                    </a:stretch>
                  </pic:blipFill>
                  <pic:spPr>
                    <a:xfrm>
                      <a:off x="0" y="0"/>
                      <a:ext cx="1111589" cy="662678"/>
                    </a:xfrm>
                    <a:prstGeom prst="rect">
                      <a:avLst/>
                    </a:prstGeom>
                  </pic:spPr>
                </pic:pic>
              </a:graphicData>
            </a:graphic>
          </wp:inline>
        </w:drawing>
      </w:r>
    </w:p>
    <w:p w14:paraId="0D1581FF" w14:textId="77777777" w:rsidR="00ED04AE" w:rsidRPr="000937DF" w:rsidRDefault="00ED04AE" w:rsidP="00ED04AE">
      <w:pPr>
        <w:pBdr>
          <w:top w:val="nil"/>
          <w:left w:val="nil"/>
          <w:bottom w:val="nil"/>
          <w:right w:val="nil"/>
          <w:between w:val="nil"/>
        </w:pBdr>
        <w:spacing w:line="360" w:lineRule="auto"/>
        <w:contextualSpacing/>
        <w:jc w:val="center"/>
        <w:rPr>
          <w:rFonts w:ascii="Palatino Linotype" w:eastAsia="Calibri" w:hAnsi="Palatino Linotype" w:cs="Calibri"/>
          <w:lang w:val="es-ES_tradnl"/>
        </w:rPr>
      </w:pPr>
    </w:p>
    <w:p w14:paraId="2970A8A9" w14:textId="77777777" w:rsidR="00ED04AE" w:rsidRPr="000937DF" w:rsidRDefault="00ED04AE" w:rsidP="00967F43">
      <w:pPr>
        <w:pStyle w:val="Prrafodelista"/>
        <w:numPr>
          <w:ilvl w:val="0"/>
          <w:numId w:val="19"/>
        </w:numPr>
        <w:pBdr>
          <w:top w:val="nil"/>
          <w:left w:val="nil"/>
          <w:bottom w:val="nil"/>
          <w:right w:val="nil"/>
          <w:between w:val="nil"/>
        </w:pBdr>
        <w:spacing w:line="360" w:lineRule="auto"/>
        <w:ind w:left="0" w:right="-801" w:firstLine="0"/>
        <w:contextualSpacing/>
        <w:jc w:val="both"/>
        <w:rPr>
          <w:rFonts w:ascii="Palatino Linotype" w:eastAsia="Calibri" w:hAnsi="Palatino Linotype" w:cs="Calibri"/>
          <w:lang w:val="es-ES_tradnl"/>
        </w:rPr>
      </w:pPr>
      <w:r w:rsidRPr="000937DF">
        <w:rPr>
          <w:rFonts w:ascii="Palatino Linotype" w:eastAsia="Calibri" w:hAnsi="Palatino Linotype" w:cs="Calibri"/>
          <w:lang w:val="es-ES_tradnl"/>
        </w:rPr>
        <w:t xml:space="preserve">De lo anterior, se tiene que el Sujeto Obligado cuenta con diversas unidades administrativas, siendo de nuestro interés la Dirección de Administración de Personal y Nómina, misma que depende de la Dirección General de Administración. </w:t>
      </w:r>
    </w:p>
    <w:p w14:paraId="2FD353D5" w14:textId="77777777" w:rsidR="00ED04AE" w:rsidRPr="000937DF" w:rsidRDefault="00ED04AE" w:rsidP="00ED04AE">
      <w:pPr>
        <w:pStyle w:val="Prrafodelista"/>
        <w:pBdr>
          <w:top w:val="nil"/>
          <w:left w:val="nil"/>
          <w:bottom w:val="nil"/>
          <w:right w:val="nil"/>
          <w:between w:val="nil"/>
        </w:pBdr>
        <w:spacing w:line="360" w:lineRule="auto"/>
        <w:ind w:left="0"/>
        <w:contextualSpacing/>
        <w:jc w:val="both"/>
        <w:rPr>
          <w:rFonts w:ascii="Palatino Linotype" w:eastAsia="Calibri" w:hAnsi="Palatino Linotype" w:cs="Calibri"/>
          <w:lang w:val="es-ES_tradnl"/>
        </w:rPr>
      </w:pPr>
    </w:p>
    <w:p w14:paraId="59967ED5" w14:textId="62033349" w:rsidR="00ED04AE" w:rsidRPr="000937DF" w:rsidRDefault="00ED04AE" w:rsidP="00967F43">
      <w:pPr>
        <w:pStyle w:val="Prrafodelista"/>
        <w:numPr>
          <w:ilvl w:val="0"/>
          <w:numId w:val="19"/>
        </w:numPr>
        <w:pBdr>
          <w:top w:val="nil"/>
          <w:left w:val="nil"/>
          <w:bottom w:val="nil"/>
          <w:right w:val="nil"/>
          <w:between w:val="nil"/>
        </w:pBdr>
        <w:spacing w:line="360" w:lineRule="auto"/>
        <w:ind w:left="0" w:right="-801" w:firstLine="0"/>
        <w:contextualSpacing/>
        <w:jc w:val="both"/>
        <w:rPr>
          <w:rFonts w:ascii="Palatino Linotype" w:eastAsia="Calibri" w:hAnsi="Palatino Linotype" w:cs="Calibri"/>
          <w:lang w:val="es-ES_tradnl"/>
        </w:rPr>
      </w:pPr>
      <w:r w:rsidRPr="000937DF">
        <w:rPr>
          <w:rFonts w:ascii="Palatino Linotype" w:eastAsia="Calibri" w:hAnsi="Palatino Linotype" w:cs="Calibri"/>
          <w:lang w:val="es-ES_tradnl"/>
        </w:rPr>
        <w:t>En virtud de lo anterior, el Reglamento de la Ley Orgánica de la Procuraduría General de Justicia del Estado de México, en sus artículos:</w:t>
      </w:r>
    </w:p>
    <w:p w14:paraId="7D8C9029" w14:textId="77777777" w:rsidR="00ED04AE" w:rsidRPr="000937DF" w:rsidRDefault="00ED04AE" w:rsidP="00ED04AE">
      <w:pPr>
        <w:pStyle w:val="INFOEM"/>
        <w:spacing w:line="240" w:lineRule="auto"/>
        <w:jc w:val="center"/>
        <w:rPr>
          <w:b/>
          <w:lang w:val="es-ES"/>
        </w:rPr>
      </w:pPr>
      <w:r w:rsidRPr="000937DF">
        <w:rPr>
          <w:b/>
          <w:lang w:val="es-ES"/>
        </w:rPr>
        <w:t>Atribuciones de la Dirección General de Administración</w:t>
      </w:r>
    </w:p>
    <w:p w14:paraId="14836C7C" w14:textId="77777777" w:rsidR="00ED04AE" w:rsidRPr="000937DF" w:rsidRDefault="00ED04AE" w:rsidP="00ED04AE">
      <w:pPr>
        <w:pStyle w:val="INFOEM"/>
      </w:pPr>
      <w:r w:rsidRPr="000937DF">
        <w:t xml:space="preserve">Artículo 35. Al frente de la Dirección General de Administración habrá un Director General, quien se auxiliará de las unidades administrativas y servidores públicos necesarios para el cumplimiento de sus atribuciones, de acuerdo con las disposiciones legales en la materia. </w:t>
      </w:r>
    </w:p>
    <w:p w14:paraId="10E580A1" w14:textId="77777777" w:rsidR="00ED04AE" w:rsidRPr="000937DF" w:rsidRDefault="00ED04AE" w:rsidP="00ED04AE">
      <w:pPr>
        <w:pStyle w:val="INFOEM"/>
        <w:rPr>
          <w:lang w:val="es-ES"/>
        </w:rPr>
      </w:pPr>
      <w:r w:rsidRPr="000937DF">
        <w:t>Corresponde a la Dirección General de Administración las atribuciones siguientes</w:t>
      </w:r>
      <w:r w:rsidRPr="000937DF">
        <w:rPr>
          <w:lang w:val="es-ES"/>
        </w:rPr>
        <w:t xml:space="preserve">; </w:t>
      </w:r>
    </w:p>
    <w:p w14:paraId="4F846113" w14:textId="77777777" w:rsidR="00ED04AE" w:rsidRPr="000937DF" w:rsidRDefault="00ED04AE" w:rsidP="00ED04AE">
      <w:pPr>
        <w:pStyle w:val="INFOEM"/>
        <w:rPr>
          <w:lang w:val="es-ES"/>
        </w:rPr>
      </w:pPr>
      <w:r w:rsidRPr="000937DF">
        <w:rPr>
          <w:lang w:val="es-ES"/>
        </w:rPr>
        <w:t xml:space="preserve">IX. </w:t>
      </w:r>
      <w:r w:rsidRPr="000937DF">
        <w:rPr>
          <w:b/>
          <w:u w:val="single"/>
          <w:lang w:val="es-ES"/>
        </w:rPr>
        <w:t>Integrar los expedientes de los servidores públicos y tramitar la expedición de nombramientos</w:t>
      </w:r>
      <w:r w:rsidRPr="000937DF">
        <w:rPr>
          <w:lang w:val="es-ES"/>
        </w:rPr>
        <w:t>, autorización de licencias, cambios de adscripción, hojas de servicio, bajas, credenciales, constancias, diplomas y todos los demás documentos que deban ser integrados en los mismos, estableciendo el sistema de registro;</w:t>
      </w:r>
    </w:p>
    <w:p w14:paraId="248D05C6" w14:textId="77777777" w:rsidR="00ED04AE" w:rsidRPr="000937DF" w:rsidRDefault="00ED04AE" w:rsidP="00ED04AE">
      <w:pPr>
        <w:pStyle w:val="INFOEM"/>
        <w:rPr>
          <w:lang w:val="es-ES"/>
        </w:rPr>
      </w:pPr>
      <w:r w:rsidRPr="000937DF">
        <w:rPr>
          <w:lang w:val="es-ES"/>
        </w:rPr>
        <w:t>Artículo 45. Los resultados de las evaluaciones de ingreso deberán mantenerse en reserva; salvo lo dispuesto en la Ley General del Sistema y otras disposiciones jurídicas. Reunidos los requisitos, aprobados los exámenes y las evaluaciones, así como realizado el examen de control de confianza, el Procurador seleccionará a quienes ingresarán al servicio de la Procuraduría y procederá a la designación o nombramiento respectivo.</w:t>
      </w:r>
    </w:p>
    <w:p w14:paraId="512337AC" w14:textId="77777777" w:rsidR="00ED04AE" w:rsidRPr="000937DF" w:rsidRDefault="00ED04AE" w:rsidP="00ED04AE">
      <w:pPr>
        <w:pStyle w:val="INFOEM"/>
        <w:spacing w:line="240" w:lineRule="auto"/>
        <w:rPr>
          <w:lang w:val="es-ES"/>
        </w:rPr>
      </w:pPr>
      <w:r w:rsidRPr="000937DF">
        <w:t>…</w:t>
      </w:r>
    </w:p>
    <w:p w14:paraId="4F1BAAE8" w14:textId="51747717" w:rsidR="00ED04AE" w:rsidRPr="000937DF" w:rsidRDefault="00ED04AE" w:rsidP="00ED04AE">
      <w:pPr>
        <w:pStyle w:val="Sinespaciado"/>
        <w:numPr>
          <w:ilvl w:val="0"/>
          <w:numId w:val="19"/>
        </w:numPr>
        <w:spacing w:before="240" w:line="360" w:lineRule="auto"/>
        <w:ind w:left="0" w:firstLine="0"/>
        <w:jc w:val="both"/>
        <w:rPr>
          <w:rFonts w:ascii="Palatino Linotype" w:hAnsi="Palatino Linotype"/>
          <w:bCs/>
          <w:sz w:val="24"/>
        </w:rPr>
      </w:pPr>
      <w:r w:rsidRPr="000937DF">
        <w:rPr>
          <w:rFonts w:ascii="Palatino Linotype" w:hAnsi="Palatino Linotype"/>
          <w:bCs/>
          <w:sz w:val="24"/>
        </w:rPr>
        <w:lastRenderedPageBreak/>
        <w:t>Así la ley de la Fiscalía General de Justicia del Estado de México, establece lo siguiente:</w:t>
      </w:r>
    </w:p>
    <w:p w14:paraId="737875EC" w14:textId="77777777" w:rsidR="00ED04AE" w:rsidRPr="000937DF" w:rsidRDefault="00ED04AE" w:rsidP="00ED04AE">
      <w:pPr>
        <w:pStyle w:val="Citas"/>
      </w:pPr>
      <w:r w:rsidRPr="000937DF">
        <w:t>Artículo 2. Para los efectos aplicación e interpretación de esta Ley se entiende por:</w:t>
      </w:r>
      <w:r w:rsidRPr="000937DF">
        <w:cr/>
        <w:t>…</w:t>
      </w:r>
    </w:p>
    <w:p w14:paraId="6F50D14C" w14:textId="77777777" w:rsidR="00ED04AE" w:rsidRPr="000937DF" w:rsidRDefault="00ED04AE" w:rsidP="00ED04AE">
      <w:pPr>
        <w:pStyle w:val="Citas"/>
      </w:pPr>
      <w:r w:rsidRPr="000937DF">
        <w:rPr>
          <w:b/>
        </w:rPr>
        <w:t xml:space="preserve"> VIII. </w:t>
      </w:r>
      <w:r w:rsidRPr="000937DF">
        <w:rPr>
          <w:b/>
          <w:u w:val="single"/>
        </w:rPr>
        <w:t>Personal Operativo</w:t>
      </w:r>
      <w:r w:rsidRPr="000937DF">
        <w:t xml:space="preserve">: a las y los agentes del Ministerio Público, Policía de Investigación, las y los orientadores jurídicos, las y los facilitadores de mecanismos alternativos de solución de controversias en materia penal y </w:t>
      </w:r>
      <w:r w:rsidRPr="000937DF">
        <w:rPr>
          <w:b/>
          <w:u w:val="single"/>
        </w:rPr>
        <w:t>servicios periciales</w:t>
      </w:r>
      <w:r w:rsidRPr="000937DF">
        <w:t>.</w:t>
      </w:r>
    </w:p>
    <w:p w14:paraId="4F3B9DEA" w14:textId="77777777" w:rsidR="00ED04AE" w:rsidRPr="000937DF" w:rsidRDefault="00ED04AE" w:rsidP="00A75993">
      <w:pPr>
        <w:pBdr>
          <w:top w:val="nil"/>
          <w:left w:val="nil"/>
          <w:bottom w:val="nil"/>
          <w:right w:val="nil"/>
          <w:between w:val="nil"/>
        </w:pBdr>
        <w:spacing w:line="360" w:lineRule="auto"/>
        <w:ind w:right="-787"/>
        <w:jc w:val="both"/>
        <w:rPr>
          <w:rFonts w:ascii="Palatino Linotype" w:eastAsiaTheme="minorEastAsia" w:hAnsi="Palatino Linotype" w:cs="Calibri"/>
          <w:b/>
          <w:color w:val="000000"/>
          <w:sz w:val="22"/>
          <w:szCs w:val="22"/>
          <w:lang w:val="es-ES_tradnl" w:eastAsia="es-ES"/>
        </w:rPr>
      </w:pPr>
    </w:p>
    <w:p w14:paraId="13BEAB00" w14:textId="77777777" w:rsidR="00A50A13"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Calibri"/>
          <w:b/>
          <w:color w:val="000000"/>
          <w:sz w:val="22"/>
          <w:szCs w:val="22"/>
          <w:lang w:val="es-ES_tradnl" w:eastAsia="es-ES"/>
        </w:rPr>
      </w:pPr>
      <w:r w:rsidRPr="000937DF">
        <w:rPr>
          <w:rFonts w:ascii="Palatino Linotype" w:eastAsiaTheme="minorEastAsia" w:hAnsi="Palatino Linotype" w:cs="Calibri"/>
          <w:color w:val="000000"/>
          <w:sz w:val="22"/>
          <w:szCs w:val="22"/>
          <w:lang w:val="es-ES_tradnl" w:eastAsia="es-ES"/>
        </w:rPr>
        <w:t xml:space="preserve">En ese sentido, </w:t>
      </w:r>
      <w:r w:rsidR="00A50A13" w:rsidRPr="000937DF">
        <w:rPr>
          <w:rFonts w:ascii="Palatino Linotype" w:eastAsiaTheme="minorEastAsia" w:hAnsi="Palatino Linotype" w:cs="Calibri"/>
          <w:color w:val="000000"/>
          <w:sz w:val="22"/>
          <w:szCs w:val="22"/>
          <w:lang w:val="es-ES_tradnl" w:eastAsia="es-ES"/>
        </w:rPr>
        <w:t xml:space="preserve">se debe de establecer que el </w:t>
      </w:r>
      <w:r w:rsidR="00A50A13" w:rsidRPr="000937DF">
        <w:rPr>
          <w:rFonts w:ascii="Palatino Linotype" w:eastAsiaTheme="minorEastAsia" w:hAnsi="Palatino Linotype" w:cs="Calibri"/>
          <w:b/>
          <w:color w:val="000000"/>
          <w:sz w:val="22"/>
          <w:szCs w:val="22"/>
          <w:lang w:val="es-ES_tradnl" w:eastAsia="es-ES"/>
        </w:rPr>
        <w:t xml:space="preserve">SUJETO OBLIGADO </w:t>
      </w:r>
      <w:r w:rsidR="00A50A13" w:rsidRPr="000937DF">
        <w:rPr>
          <w:rFonts w:ascii="Palatino Linotype" w:eastAsiaTheme="minorEastAsia" w:hAnsi="Palatino Linotype" w:cs="Calibri"/>
          <w:color w:val="000000"/>
          <w:sz w:val="22"/>
          <w:szCs w:val="22"/>
          <w:lang w:val="es-ES_tradnl" w:eastAsia="es-ES"/>
        </w:rPr>
        <w:t xml:space="preserve">solo turno la información a la Dirección de Administración de Personal y Nómina, por lo que de acuerdo con el Manual de Organización de la Fiscalía General de Justicia del Estado de México, el </w:t>
      </w:r>
      <w:r w:rsidR="00A50A13" w:rsidRPr="000937DF">
        <w:rPr>
          <w:rFonts w:ascii="Palatino Linotype" w:eastAsiaTheme="minorEastAsia" w:hAnsi="Palatino Linotype" w:cs="Calibri"/>
          <w:b/>
          <w:color w:val="000000"/>
          <w:sz w:val="22"/>
          <w:szCs w:val="22"/>
          <w:lang w:val="es-ES_tradnl" w:eastAsia="es-ES"/>
        </w:rPr>
        <w:t xml:space="preserve">SUJETO OBLIGADO </w:t>
      </w:r>
      <w:r w:rsidR="00A50A13" w:rsidRPr="000937DF">
        <w:rPr>
          <w:rFonts w:ascii="Palatino Linotype" w:eastAsiaTheme="minorEastAsia" w:hAnsi="Palatino Linotype" w:cs="Calibri"/>
          <w:color w:val="000000"/>
          <w:sz w:val="22"/>
          <w:szCs w:val="22"/>
          <w:lang w:val="es-ES_tradnl" w:eastAsia="es-ES"/>
        </w:rPr>
        <w:t xml:space="preserve">cuenta en su estructura con la Contraloría Interna, quien tiene las siguientes funciones. </w:t>
      </w:r>
    </w:p>
    <w:p w14:paraId="6DDA5701" w14:textId="77777777" w:rsidR="00ED04AE" w:rsidRPr="000937DF" w:rsidRDefault="00ED04AE" w:rsidP="00ED04AE">
      <w:pPr>
        <w:pBdr>
          <w:top w:val="nil"/>
          <w:left w:val="nil"/>
          <w:bottom w:val="nil"/>
          <w:right w:val="nil"/>
          <w:between w:val="nil"/>
        </w:pBdr>
        <w:spacing w:line="360" w:lineRule="auto"/>
        <w:ind w:right="-787"/>
        <w:jc w:val="both"/>
        <w:rPr>
          <w:rFonts w:ascii="Palatino Linotype" w:eastAsiaTheme="minorEastAsia" w:hAnsi="Palatino Linotype" w:cs="Calibri"/>
          <w:b/>
          <w:color w:val="000000"/>
          <w:sz w:val="22"/>
          <w:szCs w:val="22"/>
          <w:lang w:val="es-ES_tradnl" w:eastAsia="es-ES"/>
        </w:rPr>
      </w:pPr>
    </w:p>
    <w:p w14:paraId="14B2E536" w14:textId="77777777" w:rsidR="00A50A13" w:rsidRPr="000937DF" w:rsidRDefault="00A50A13" w:rsidP="00742C50">
      <w:pPr>
        <w:pStyle w:val="Prrafodelista"/>
        <w:ind w:left="1134" w:right="900"/>
        <w:jc w:val="both"/>
        <w:rPr>
          <w:rFonts w:ascii="Palatino Linotype" w:eastAsiaTheme="minorEastAsia" w:hAnsi="Palatino Linotype" w:cs="Calibri"/>
          <w:b/>
          <w:i/>
          <w:color w:val="000000"/>
          <w:lang w:val="es-MX" w:eastAsia="es-ES"/>
        </w:rPr>
      </w:pPr>
      <w:r w:rsidRPr="000937DF">
        <w:rPr>
          <w:rFonts w:ascii="Palatino Linotype" w:eastAsiaTheme="minorEastAsia" w:hAnsi="Palatino Linotype" w:cs="Calibri"/>
          <w:b/>
          <w:i/>
          <w:color w:val="000000"/>
          <w:lang w:val="es-MX" w:eastAsia="es-ES"/>
        </w:rPr>
        <w:t xml:space="preserve">2130P0000 CONTRALORÍA INTERNA </w:t>
      </w:r>
    </w:p>
    <w:p w14:paraId="2E1003A9" w14:textId="77777777" w:rsidR="00A50A13" w:rsidRPr="000937DF" w:rsidRDefault="00A50A13" w:rsidP="00742C50">
      <w:pPr>
        <w:pStyle w:val="Prrafodelista"/>
        <w:ind w:left="1134" w:right="900"/>
        <w:jc w:val="both"/>
        <w:rPr>
          <w:rFonts w:ascii="Palatino Linotype" w:eastAsiaTheme="minorEastAsia" w:hAnsi="Palatino Linotype" w:cs="Calibri"/>
          <w:b/>
          <w:i/>
          <w:color w:val="000000"/>
          <w:lang w:val="es-MX" w:eastAsia="es-ES"/>
        </w:rPr>
      </w:pPr>
      <w:r w:rsidRPr="000937DF">
        <w:rPr>
          <w:rFonts w:ascii="Palatino Linotype" w:eastAsiaTheme="minorEastAsia" w:hAnsi="Palatino Linotype" w:cs="Calibri"/>
          <w:b/>
          <w:i/>
          <w:color w:val="000000"/>
          <w:lang w:val="es-MX" w:eastAsia="es-ES"/>
        </w:rPr>
        <w:t>OBJETIVO:</w:t>
      </w:r>
    </w:p>
    <w:p w14:paraId="37694954"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Controlar, vigilar, fiscalizar y evaluar el uso correcto de los recursos humanos, materiales y financieros de que dispone la Procuraduría General de Justicia del Estado de México, así como revisar y evaluar el grado de eficacia, eficiencia y calidad con que se alcanzan sus objetivos institucionales y metas de trabajo, haciendo las recomendaciones necesarias para mejorar su funcionamiento integral. </w:t>
      </w:r>
    </w:p>
    <w:p w14:paraId="5D2EFAAC"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FUNCIONES: </w:t>
      </w:r>
    </w:p>
    <w:p w14:paraId="6E538C8C" w14:textId="77777777" w:rsidR="00A50A13" w:rsidRPr="000937DF" w:rsidRDefault="00A50A13" w:rsidP="00742C50">
      <w:pPr>
        <w:pStyle w:val="Prrafodelista"/>
        <w:ind w:left="1134" w:right="900"/>
        <w:jc w:val="both"/>
        <w:rPr>
          <w:rFonts w:ascii="Palatino Linotype" w:eastAsiaTheme="minorEastAsia" w:hAnsi="Palatino Linotype" w:cs="Calibri"/>
          <w:b/>
          <w:i/>
          <w:color w:val="000000"/>
          <w:lang w:val="es-MX" w:eastAsia="es-ES"/>
        </w:rPr>
      </w:pPr>
      <w:r w:rsidRPr="000937DF">
        <w:rPr>
          <w:rFonts w:ascii="Palatino Linotype" w:eastAsiaTheme="minorEastAsia" w:hAnsi="Palatino Linotype" w:cs="Calibri"/>
          <w:b/>
          <w:i/>
          <w:color w:val="000000"/>
          <w:lang w:val="es-MX" w:eastAsia="es-ES"/>
        </w:rPr>
        <w:t xml:space="preserve">Recibir, tramitar y dar seguimiento a las quejas y denuncias que se interpongan en contra de los servidores públicos de la Procuraduría General de Justicia del Estado de México. Instrumentar los procedimientos administrativos disciplinarios y resarcitorios e imponer, en su caso, las sanciones que correspondan en los términos </w:t>
      </w:r>
      <w:r w:rsidRPr="000937DF">
        <w:rPr>
          <w:rFonts w:ascii="Palatino Linotype" w:eastAsiaTheme="minorEastAsia" w:hAnsi="Palatino Linotype" w:cs="Calibri"/>
          <w:b/>
          <w:i/>
          <w:color w:val="000000"/>
          <w:lang w:val="es-MX" w:eastAsia="es-ES"/>
        </w:rPr>
        <w:lastRenderedPageBreak/>
        <w:t xml:space="preserve">de la Ley de Responsabilidades de los Servidores Públicos del Estado y Municipios. </w:t>
      </w:r>
    </w:p>
    <w:p w14:paraId="1643BE90"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Cumplir con el Programa Anual de Control y Evaluación autorizado, conforme a las políticas, normas, lineamientos, procedimientos y demás disposiciones que al efecto se establezcan. Acordar la suspensión temporal de servidores públicos durante la substanciación del procedimiento administrativo, de acuerdo con lo establecido en la Ley de Responsabilidades de los Servidores Públicos del Estado y Municipios, dando aviso a la autoridad correspondiente. </w:t>
      </w:r>
    </w:p>
    <w:p w14:paraId="3FF25CC6" w14:textId="77777777" w:rsidR="00A50A13" w:rsidRPr="000937DF" w:rsidRDefault="00A50A13" w:rsidP="00742C50">
      <w:pPr>
        <w:pStyle w:val="Prrafodelista"/>
        <w:ind w:left="1134" w:right="900"/>
        <w:jc w:val="both"/>
        <w:rPr>
          <w:rFonts w:ascii="Palatino Linotype" w:eastAsiaTheme="minorEastAsia" w:hAnsi="Palatino Linotype" w:cs="Calibri"/>
          <w:b/>
          <w:i/>
          <w:color w:val="000000"/>
          <w:lang w:val="es-MX" w:eastAsia="es-ES"/>
        </w:rPr>
      </w:pPr>
      <w:r w:rsidRPr="000937DF">
        <w:rPr>
          <w:rFonts w:ascii="Palatino Linotype" w:eastAsiaTheme="minorEastAsia" w:hAnsi="Palatino Linotype" w:cs="Calibri"/>
          <w:b/>
          <w:i/>
          <w:color w:val="000000"/>
          <w:lang w:val="es-MX" w:eastAsia="es-ES"/>
        </w:rPr>
        <w:t xml:space="preserve">Conocer, tramitar y resolver los recursos administrativos que le correspondan, de acuerdo con las disposiciones aplicables, sin menoscabo de lo dispuesto en el artículo 21, fracción XIV del Reglamento Interior de la Secretaría de la Contraloría. </w:t>
      </w:r>
    </w:p>
    <w:p w14:paraId="4FDDF630"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Proponer y acordar con la unidad administrativa auditada acciones de mejora, derivadas de las acciones de control y evaluación </w:t>
      </w:r>
      <w:proofErr w:type="gramStart"/>
      <w:r w:rsidRPr="000937DF">
        <w:rPr>
          <w:rFonts w:ascii="Palatino Linotype" w:eastAsiaTheme="minorEastAsia" w:hAnsi="Palatino Linotype" w:cs="Calibri"/>
          <w:i/>
          <w:color w:val="000000"/>
          <w:lang w:val="es-MX" w:eastAsia="es-ES"/>
        </w:rPr>
        <w:t>practicadas</w:t>
      </w:r>
      <w:proofErr w:type="gramEnd"/>
      <w:r w:rsidRPr="000937DF">
        <w:rPr>
          <w:rFonts w:ascii="Palatino Linotype" w:eastAsiaTheme="minorEastAsia" w:hAnsi="Palatino Linotype" w:cs="Calibri"/>
          <w:i/>
          <w:color w:val="000000"/>
          <w:lang w:val="es-MX" w:eastAsia="es-ES"/>
        </w:rPr>
        <w:t xml:space="preserve">, tendientes a fortalecer el control interno y la gestión de la Procuraduría General de justicia del Estado de México, así como vigilar su implementación. </w:t>
      </w:r>
    </w:p>
    <w:p w14:paraId="113A7C9C"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Dar seguimiento a la </w:t>
      </w:r>
      <w:proofErr w:type="spellStart"/>
      <w:r w:rsidRPr="000937DF">
        <w:rPr>
          <w:rFonts w:ascii="Palatino Linotype" w:eastAsiaTheme="minorEastAsia" w:hAnsi="Palatino Linotype" w:cs="Calibri"/>
          <w:i/>
          <w:color w:val="000000"/>
          <w:lang w:val="es-MX" w:eastAsia="es-ES"/>
        </w:rPr>
        <w:t>solventación</w:t>
      </w:r>
      <w:proofErr w:type="spellEnd"/>
      <w:r w:rsidRPr="000937DF">
        <w:rPr>
          <w:rFonts w:ascii="Palatino Linotype" w:eastAsiaTheme="minorEastAsia" w:hAnsi="Palatino Linotype" w:cs="Calibri"/>
          <w:i/>
          <w:color w:val="000000"/>
          <w:lang w:val="es-MX" w:eastAsia="es-ES"/>
        </w:rPr>
        <w:t xml:space="preserve"> de las observaciones derivadas de las acciones de control y evaluación, así como de las realizadas por auditores externos y, en su caso, por otras instancias de fiscalización. </w:t>
      </w:r>
    </w:p>
    <w:p w14:paraId="0BCB391A"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Elaborar diagnósticos sobre la actuación de la Procuraduría General de Justicia del Estado de México, con base en las acciones de control y evaluación realizadas. </w:t>
      </w:r>
    </w:p>
    <w:p w14:paraId="0E5A586A"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Promover el fortalecimiento de mecanismos de control de la gestión de la Procuraduría General de Justicia del Estado de México e impulsar el autocontrol y la autoevaluación en el cumplimiento de planes, programas, objetivos y metas, así como la mejora continua de los procesos y servicios públicos. </w:t>
      </w:r>
    </w:p>
    <w:p w14:paraId="3AFE964D"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Dar vista a la autoridad competente de los hechos que tenga conocimiento que puedan ser constitutivos de delitos; e instar al área facultada de la Procuraduría General de Justicia del Estado de México para formular, cuando así se requiera, las querellas a que hubiere lugar. - Realizar, ante las diversas instancias jurisdiccionales, la defensa jurídica de las resoluciones que emitan. </w:t>
      </w:r>
    </w:p>
    <w:p w14:paraId="53D8DFDD"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Proponer al titular de la Procuraduría General de Justicia del Estado de México y a los titulares de las unidades administrativas a la dependencia; las políticas, normas, lineamientos, procedimientos y demás disposiciones que mejoren las acciones de control y evaluación, así como de responsabilidades. </w:t>
      </w:r>
    </w:p>
    <w:p w14:paraId="4210FD99"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lastRenderedPageBreak/>
        <w:t xml:space="preserve">Solicitar a las unidades administrativas de la Procuraduría General de Justicia del Estado de México, la información necesaria para cumplir con sus atribuciones. </w:t>
      </w:r>
    </w:p>
    <w:p w14:paraId="20DDA808"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Verificar el adecuado ejercicio del presupuesto de la Procuraduría General de Justicia del Estado de México, atendiendo a los principios de racionalidad, austeridad y disciplina presupuestaria que establece la normatividad aplicable. </w:t>
      </w:r>
    </w:p>
    <w:p w14:paraId="7283FF63"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Informar a la Secretaría de la Contraloría del resultado de las acciones, comisiones o funciones encomendadas, así como al titular de la Procuraduría General de Justicia del Estado de México. </w:t>
      </w:r>
    </w:p>
    <w:p w14:paraId="4CE979EA"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Realizar auditorías y evaluaciones a las unidades administrativas de la Procuraduría, con el fin de promover la eficacia y transparencia en sus operaciones y verificar, de acuerdo a su competencia, el cumplimiento de los objetivos contenidos en sus programas. </w:t>
      </w:r>
    </w:p>
    <w:p w14:paraId="33F6F713"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Vigilar, en la esfera de su competencia, el cumplimiento de las obligaciones de proveedores y contratistas adquiridas con la Procuraduría General de Justicia del Estado de México, solicitando información relacionada con las operaciones que realizan, y fincar las deductivas y responsabilidades que, en su caso, procedan. </w:t>
      </w:r>
    </w:p>
    <w:p w14:paraId="2471716A"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Intervenir en concursos y fallos tanto de adquisiciones como de obra pública según corresponda, así como en la entrega y recepción de oficinas públicas y en todos </w:t>
      </w:r>
      <w:proofErr w:type="spellStart"/>
      <w:r w:rsidRPr="000937DF">
        <w:rPr>
          <w:rFonts w:ascii="Palatino Linotype" w:eastAsiaTheme="minorEastAsia" w:hAnsi="Palatino Linotype" w:cs="Calibri"/>
          <w:i/>
          <w:color w:val="000000"/>
          <w:lang w:val="es-MX" w:eastAsia="es-ES"/>
        </w:rPr>
        <w:t>aquel</w:t>
      </w:r>
      <w:proofErr w:type="gramStart"/>
      <w:r w:rsidRPr="000937DF">
        <w:rPr>
          <w:rFonts w:ascii="Palatino Linotype" w:eastAsiaTheme="minorEastAsia" w:hAnsi="Palatino Linotype" w:cs="Calibri"/>
          <w:i/>
          <w:color w:val="000000"/>
          <w:lang w:val="es-MX" w:eastAsia="es-ES"/>
        </w:rPr>
        <w:t>:os</w:t>
      </w:r>
      <w:proofErr w:type="spellEnd"/>
      <w:proofErr w:type="gramEnd"/>
      <w:r w:rsidRPr="000937DF">
        <w:rPr>
          <w:rFonts w:ascii="Palatino Linotype" w:eastAsiaTheme="minorEastAsia" w:hAnsi="Palatino Linotype" w:cs="Calibri"/>
          <w:i/>
          <w:color w:val="000000"/>
          <w:lang w:val="es-MX" w:eastAsia="es-ES"/>
        </w:rPr>
        <w:t xml:space="preserve"> actos administrativos que establezca la normatividad vigente. </w:t>
      </w:r>
    </w:p>
    <w:p w14:paraId="2F18BD5C"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Verificar la presentación oportuna de las declaraciones de situación patrimonial de los servidores públicos de la Procuraduría. </w:t>
      </w:r>
    </w:p>
    <w:p w14:paraId="632541B2"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 xml:space="preserve">Inspeccionar y vigilar que la Procuraduría cumpla con las normas y disposiciones en materia de: sistemas de registro, contabilidad, contratación y pago de personal, contratación de servicios, obra pública, adquisiciones, arrendamiento, conservación, uso, destino, afectación, enajenación y baja de bienes y demás activos asignados a cada dependencia. </w:t>
      </w:r>
    </w:p>
    <w:p w14:paraId="27562A40"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Difundir entre el personal de la Procuraduría toda disposición en materia de control que incida en el desarrollo de sus funciones.</w:t>
      </w:r>
    </w:p>
    <w:p w14:paraId="2F9F91E6" w14:textId="77777777" w:rsidR="00A50A13" w:rsidRPr="000937DF" w:rsidRDefault="00A50A13" w:rsidP="00742C50">
      <w:pPr>
        <w:pStyle w:val="Prrafodelista"/>
        <w:ind w:left="1134" w:right="900"/>
        <w:jc w:val="both"/>
        <w:rPr>
          <w:rFonts w:ascii="Palatino Linotype" w:eastAsiaTheme="minorEastAsia" w:hAnsi="Palatino Linotype" w:cs="Calibri"/>
          <w:i/>
          <w:color w:val="000000"/>
          <w:lang w:val="es-MX" w:eastAsia="es-ES"/>
        </w:rPr>
      </w:pPr>
      <w:r w:rsidRPr="000937DF">
        <w:rPr>
          <w:rFonts w:ascii="Palatino Linotype" w:eastAsiaTheme="minorEastAsia" w:hAnsi="Palatino Linotype" w:cs="Calibri"/>
          <w:i/>
          <w:color w:val="000000"/>
          <w:lang w:val="es-MX" w:eastAsia="es-ES"/>
        </w:rPr>
        <w:t>Desarrollar las demás funciones inherentes al área de su competencia.</w:t>
      </w:r>
    </w:p>
    <w:p w14:paraId="17ACE452" w14:textId="77777777" w:rsidR="00A50A13" w:rsidRPr="000937DF" w:rsidRDefault="00A50A13" w:rsidP="00A50A13">
      <w:pPr>
        <w:pStyle w:val="Prrafodelista"/>
        <w:rPr>
          <w:rFonts w:ascii="Palatino Linotype" w:eastAsiaTheme="minorEastAsia" w:hAnsi="Palatino Linotype" w:cs="Calibri"/>
          <w:color w:val="000000"/>
          <w:lang w:val="es-ES_tradnl" w:eastAsia="es-ES"/>
        </w:rPr>
      </w:pPr>
    </w:p>
    <w:p w14:paraId="74335173" w14:textId="77777777" w:rsidR="007D15B9" w:rsidRPr="000937DF" w:rsidRDefault="00A50A13" w:rsidP="00C96FE9">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Calibri"/>
          <w:b/>
          <w:color w:val="000000"/>
          <w:sz w:val="22"/>
          <w:szCs w:val="22"/>
          <w:lang w:val="es-ES_tradnl" w:eastAsia="es-ES"/>
        </w:rPr>
      </w:pPr>
      <w:r w:rsidRPr="000937DF">
        <w:rPr>
          <w:rFonts w:ascii="Palatino Linotype" w:eastAsiaTheme="minorEastAsia" w:hAnsi="Palatino Linotype" w:cs="Calibri"/>
          <w:color w:val="000000"/>
          <w:sz w:val="22"/>
          <w:szCs w:val="22"/>
          <w:lang w:val="es-ES_tradnl" w:eastAsia="es-ES"/>
        </w:rPr>
        <w:t xml:space="preserve">De lo anterior, se colige que la Contraloría Interna, es el área encargada de la Fiscalía General de Justicia del Estado de México de atender las quejas y denuncias que se interpongan en contra de </w:t>
      </w:r>
      <w:r w:rsidRPr="000937DF">
        <w:rPr>
          <w:rFonts w:ascii="Palatino Linotype" w:eastAsiaTheme="minorEastAsia" w:hAnsi="Palatino Linotype" w:cs="Calibri"/>
          <w:color w:val="000000"/>
          <w:sz w:val="22"/>
          <w:szCs w:val="22"/>
          <w:lang w:val="es-ES_tradnl" w:eastAsia="es-ES"/>
        </w:rPr>
        <w:lastRenderedPageBreak/>
        <w:t xml:space="preserve">los servidores públicos del </w:t>
      </w:r>
      <w:r w:rsidRPr="000937DF">
        <w:rPr>
          <w:rFonts w:ascii="Palatino Linotype" w:eastAsiaTheme="minorEastAsia" w:hAnsi="Palatino Linotype" w:cs="Calibri"/>
          <w:b/>
          <w:color w:val="000000"/>
          <w:sz w:val="22"/>
          <w:szCs w:val="22"/>
          <w:lang w:val="es-ES_tradnl" w:eastAsia="es-ES"/>
        </w:rPr>
        <w:t>SUJETO OBLIGADO</w:t>
      </w:r>
      <w:r w:rsidRPr="000937DF">
        <w:rPr>
          <w:rFonts w:ascii="Palatino Linotype" w:eastAsiaTheme="minorEastAsia" w:hAnsi="Palatino Linotype" w:cs="Calibri"/>
          <w:color w:val="000000"/>
          <w:sz w:val="22"/>
          <w:szCs w:val="22"/>
          <w:lang w:val="es-ES_tradnl" w:eastAsia="es-ES"/>
        </w:rPr>
        <w:t xml:space="preserve">, situación por la se debió de turnar la solicitud de información a dicha área para que hubiera pronunciamiento de la misma. </w:t>
      </w:r>
    </w:p>
    <w:p w14:paraId="7C8F3EF7" w14:textId="77777777" w:rsidR="007D15B9" w:rsidRPr="000937DF" w:rsidRDefault="007D15B9" w:rsidP="007D15B9">
      <w:pPr>
        <w:pBdr>
          <w:top w:val="nil"/>
          <w:left w:val="nil"/>
          <w:bottom w:val="nil"/>
          <w:right w:val="nil"/>
          <w:between w:val="nil"/>
        </w:pBdr>
        <w:spacing w:line="360" w:lineRule="auto"/>
        <w:ind w:right="-787"/>
        <w:jc w:val="both"/>
        <w:rPr>
          <w:rFonts w:ascii="Palatino Linotype" w:eastAsiaTheme="minorEastAsia" w:hAnsi="Palatino Linotype" w:cs="Calibri"/>
          <w:b/>
          <w:color w:val="000000"/>
          <w:sz w:val="22"/>
          <w:szCs w:val="22"/>
          <w:lang w:val="es-ES_tradnl" w:eastAsia="es-ES"/>
        </w:rPr>
      </w:pPr>
    </w:p>
    <w:p w14:paraId="044C9E1D" w14:textId="6FC891D3" w:rsidR="00C96FE9" w:rsidRPr="000937DF" w:rsidRDefault="00C96FE9" w:rsidP="00C96FE9">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Calibri"/>
          <w:b/>
          <w:color w:val="000000"/>
          <w:sz w:val="22"/>
          <w:szCs w:val="22"/>
          <w:lang w:val="es-ES_tradnl" w:eastAsia="es-ES"/>
        </w:rPr>
      </w:pPr>
      <w:r w:rsidRPr="000937DF">
        <w:rPr>
          <w:rFonts w:ascii="Palatino Linotype" w:eastAsiaTheme="minorEastAsia" w:hAnsi="Palatino Linotype" w:cs="Calibri"/>
          <w:color w:val="000000"/>
          <w:sz w:val="22"/>
          <w:szCs w:val="22"/>
          <w:lang w:val="es-ES_tradnl" w:eastAsia="es-ES"/>
        </w:rPr>
        <w:t xml:space="preserve">Asimismo conforme al </w:t>
      </w:r>
      <w:r w:rsidRPr="000937DF">
        <w:t xml:space="preserve">acuerdo número 10/2017, por el que se crea la </w:t>
      </w:r>
      <w:r w:rsidRPr="000937DF">
        <w:rPr>
          <w:u w:val="single"/>
        </w:rPr>
        <w:t>Fiscalía Especializada en Combate a la corrupción de la Fiscalía General de Justicia del Estado de México</w:t>
      </w:r>
      <w:r w:rsidRPr="000937DF">
        <w:t>, publicado en el Periódico Oficial “Gaceta del Gobierno” el  7 de julio de 2017, se indica que cuenta con las siguientes atribuciones y competencia:</w:t>
      </w:r>
    </w:p>
    <w:p w14:paraId="1185C4FA" w14:textId="77777777" w:rsidR="00C96FE9" w:rsidRPr="000937DF" w:rsidRDefault="00C96FE9" w:rsidP="00C96FE9">
      <w:pPr>
        <w:pBdr>
          <w:top w:val="nil"/>
          <w:left w:val="nil"/>
          <w:bottom w:val="nil"/>
          <w:right w:val="nil"/>
          <w:between w:val="nil"/>
        </w:pBdr>
        <w:spacing w:line="360" w:lineRule="auto"/>
        <w:ind w:right="-787"/>
        <w:jc w:val="both"/>
      </w:pPr>
    </w:p>
    <w:p w14:paraId="71EC8071" w14:textId="77777777" w:rsidR="00C96FE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Atribuciones de la Fiscalía Especializada en Combate a la Corrupción </w:t>
      </w:r>
    </w:p>
    <w:p w14:paraId="741F5CAB" w14:textId="77777777" w:rsidR="00C96FE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TERCERO.- Corresponde al Titular de la Fiscalía Especializada en Combate a la Corrupción, por si o por conducto de los servidores públicos que le estén adscritos, además de las atribuciones previstas en la Constitución Política de los Estados Unidos Mexicanos, la Constitución Política del Estado Libre y Soberano de México, la Ley General del Sistema Nacional Anticorrupción y la Ley del Sistema Anticorrupción del Estado de México y Municipios, el ejercicio de las siguientes:</w:t>
      </w:r>
    </w:p>
    <w:p w14:paraId="283962D5" w14:textId="77777777" w:rsidR="00C96FE9" w:rsidRPr="000937DF" w:rsidRDefault="00C96FE9" w:rsidP="007D15B9">
      <w:pPr>
        <w:pBdr>
          <w:top w:val="nil"/>
          <w:left w:val="nil"/>
          <w:bottom w:val="nil"/>
          <w:right w:val="nil"/>
          <w:between w:val="nil"/>
        </w:pBdr>
        <w:spacing w:line="360" w:lineRule="auto"/>
        <w:ind w:left="1134" w:right="-787"/>
        <w:jc w:val="both"/>
        <w:rPr>
          <w:i/>
          <w:iCs/>
        </w:rPr>
      </w:pPr>
    </w:p>
    <w:p w14:paraId="2FD0BB16" w14:textId="77777777" w:rsidR="00C96FE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 I. Ejercer las atribuciones establecidas en los artículos 29 BIS y 34 de la Ley de la Fiscalía General de Justicia del Estado; </w:t>
      </w:r>
    </w:p>
    <w:p w14:paraId="030A8A36"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II. Iniciar, recibir, realizar y determinar las investigaciones de los asuntos a su cargo;</w:t>
      </w:r>
    </w:p>
    <w:p w14:paraId="27AC519F"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 III. Establecer comunicación constante y permanente con el denunciante y testigos de hechos para el desarrollo de la investigación correspondiente; </w:t>
      </w:r>
    </w:p>
    <w:p w14:paraId="6D3298E2"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IV. Practicar las actuaciones necesarias para obtener datos de prueba que establezcan el hecho delictivo y que existe la probabilidad de que el imputado lo cometió o participó en su comisión, así como para la reparación del daño; </w:t>
      </w:r>
    </w:p>
    <w:p w14:paraId="6E130AF2"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V. Recabar de la administración pública federal, de las entidades federativas, de los municipios, y demás autoridades, en los términos de las disposiciones aplicables, los </w:t>
      </w:r>
      <w:r w:rsidRPr="000937DF">
        <w:rPr>
          <w:i/>
          <w:iCs/>
        </w:rPr>
        <w:lastRenderedPageBreak/>
        <w:t xml:space="preserve">informes, documentos, opiniones y dictámenes necesarios para las investigaciones de su competencia; </w:t>
      </w:r>
    </w:p>
    <w:p w14:paraId="38C0B422"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VI. Solicitar informes y la exhibición de documentos a los particulares para el ejercicio de sus atribuciones y adecuado desarrollo de sus investigaciones; </w:t>
      </w:r>
    </w:p>
    <w:p w14:paraId="39187A19"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VII. Llevar a cabo el aseguramiento, resguardo temporal y gestión del envío de los instrumentos, objetos y productos del delito, a las unidades o instituciones competentes para su administración o destino, en términos del Código Nacional de Procedimientos Penales y demás disposiciones legales y reglamentarias aplicables, en coordinación con las unidades administrativas competentes; </w:t>
      </w:r>
    </w:p>
    <w:p w14:paraId="4FF2155C"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VIII. Dictar y supervisar el cumplimiento de las medidas de protección para su debido cumplimiento; Solicitar al órgano jurisdiccional las técnicas de investigación, las medidas cautelares, el aseguramiento o embargo precautorio de bienes y demás diligencias que requieran control judicial para los fines de la investigación, así como para el debido cumplimiento de la sentencia que se dicte; X. Ejercer las facultades delegadas por el Fiscal General en materia de requerimientos en materia fiscal y sobre operaciones que las instituciones financieras celebren con sus clientes y, en los casos conducentes, ordenar el aseguramiento de los recursos, bienes y derechos que correspondan, en los términos de las disposiciones aplicables; </w:t>
      </w:r>
    </w:p>
    <w:p w14:paraId="31E61980"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XI. Solicitar a la Coordinación General de Servicios Periciales designe o habilite peritos en la especialidad que se requiera para la investigación de los delitos; </w:t>
      </w:r>
    </w:p>
    <w:p w14:paraId="10AF19D8" w14:textId="287F2CCA"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XII. Supervisar a las agencias del Ministerio Público de su adscripción, a los peritos, a los grupos de Policía de Investigación correspondientes y, en general, a los servidores públicos bajo sus órdenes, en coordinación con las unidades administrativas competentes; </w:t>
      </w:r>
    </w:p>
    <w:p w14:paraId="69CC7E24"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XIII. Remitir a las autoridades correspondientes las investigaciones de delitos que no sean competencia del Ministerio Público del Estado de México o de la Fiscalía; </w:t>
      </w:r>
    </w:p>
    <w:p w14:paraId="35511DBF"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lastRenderedPageBreak/>
        <w:t xml:space="preserve">XIV. Ejercer la acción penal ante el órgano jurisdiccional competente, cuando obren datos que establezcan que se ha cometido el hecho ilícito y que exista la probabilidad de que el imputado lo cometió o participó en su comisión; </w:t>
      </w:r>
    </w:p>
    <w:p w14:paraId="734E76D9"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XV. Interponer los recursos procesales procedentes e impulsar el recurso hasta su resolución; </w:t>
      </w:r>
    </w:p>
    <w:p w14:paraId="3A172FA7"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XVI. Participar en los procesos judiciales para la modificación o terminación de las penas y medidas de seguridad de su competencia; </w:t>
      </w:r>
    </w:p>
    <w:p w14:paraId="607FC59D"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XVII. Solicitar la intervención de la unidad competente para la protección de personas que intervienen en el procedimiento penal que lo requieran y asegurarse de la protección; </w:t>
      </w:r>
    </w:p>
    <w:p w14:paraId="7575A15B"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XVIII. Supervisar el respeto de los derechos y obligaciones de los imputados, de las víctimas y testigos en los procedimientos penales, en los asuntos de su competencia; </w:t>
      </w:r>
    </w:p>
    <w:p w14:paraId="19620E54"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XIX. Procurar en el ámbito de su competencia, que la prestación del servicio de procuración de justicia se lleve a cabo de forma pronta y expedita; </w:t>
      </w:r>
    </w:p>
    <w:p w14:paraId="24983F49"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XX. Coordinar su actuación con las autoridades federales, estatales o de otras entidades federativas y municipios, en la investigación y persecución de delitos de su competencia; </w:t>
      </w:r>
    </w:p>
    <w:p w14:paraId="1DB07521"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XXI. Solicitar a la Secretaría Ejecutiva del Sistema Estatal o Municipal Anticorrupción, la información contenida en el sistema de evolución patrimonial, de declaración de intereses y constancia de presentación de declaración fiscal, de la plataforma digital estatal que al efecto se establezca; </w:t>
      </w:r>
    </w:p>
    <w:p w14:paraId="74D7BC83"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XXII. Realizar análisis patrimoniales y financieros requeridos en las investigaciones de su competencia, y </w:t>
      </w:r>
    </w:p>
    <w:p w14:paraId="2E8D582E" w14:textId="158A4723" w:rsidR="00C96FE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XXIII. Las demás que establezcan las Leyes aplicables, otras disposiciones jurídicas y el Fiscal General de Justicia del Estado de México</w:t>
      </w:r>
    </w:p>
    <w:p w14:paraId="591872AD" w14:textId="77777777" w:rsidR="00C96FE9" w:rsidRPr="000937DF" w:rsidRDefault="00C96FE9" w:rsidP="007D15B9">
      <w:pPr>
        <w:pBdr>
          <w:top w:val="nil"/>
          <w:left w:val="nil"/>
          <w:bottom w:val="nil"/>
          <w:right w:val="nil"/>
          <w:between w:val="nil"/>
        </w:pBdr>
        <w:spacing w:line="360" w:lineRule="auto"/>
        <w:ind w:left="1134" w:right="-787"/>
        <w:jc w:val="both"/>
        <w:rPr>
          <w:i/>
          <w:iCs/>
        </w:rPr>
      </w:pPr>
    </w:p>
    <w:p w14:paraId="15FA8C69" w14:textId="77777777" w:rsidR="007D15B9" w:rsidRPr="000937DF" w:rsidRDefault="00C96FE9" w:rsidP="007D15B9">
      <w:pPr>
        <w:pBdr>
          <w:top w:val="nil"/>
          <w:left w:val="nil"/>
          <w:bottom w:val="nil"/>
          <w:right w:val="nil"/>
          <w:between w:val="nil"/>
        </w:pBdr>
        <w:spacing w:line="360" w:lineRule="auto"/>
        <w:ind w:left="1134" w:right="-787"/>
        <w:jc w:val="both"/>
        <w:rPr>
          <w:i/>
          <w:iCs/>
        </w:rPr>
      </w:pPr>
      <w:r w:rsidRPr="000937DF">
        <w:rPr>
          <w:i/>
          <w:iCs/>
        </w:rPr>
        <w:t xml:space="preserve">Competencia </w:t>
      </w:r>
    </w:p>
    <w:p w14:paraId="48BD38F2" w14:textId="1367F3A4" w:rsidR="00C96FE9" w:rsidRPr="000937DF" w:rsidRDefault="00C96FE9" w:rsidP="007D15B9">
      <w:pPr>
        <w:pBdr>
          <w:top w:val="nil"/>
          <w:left w:val="nil"/>
          <w:bottom w:val="nil"/>
          <w:right w:val="nil"/>
          <w:between w:val="nil"/>
        </w:pBdr>
        <w:spacing w:line="360" w:lineRule="auto"/>
        <w:ind w:left="1134" w:right="-787"/>
        <w:jc w:val="both"/>
        <w:rPr>
          <w:rFonts w:ascii="Palatino Linotype" w:eastAsiaTheme="minorEastAsia" w:hAnsi="Palatino Linotype" w:cs="Calibri"/>
          <w:b/>
          <w:i/>
          <w:iCs/>
          <w:color w:val="000000"/>
          <w:sz w:val="22"/>
          <w:szCs w:val="22"/>
          <w:lang w:val="es-ES_tradnl" w:eastAsia="es-ES"/>
        </w:rPr>
      </w:pPr>
      <w:r w:rsidRPr="000937DF">
        <w:rPr>
          <w:i/>
          <w:iCs/>
        </w:rPr>
        <w:lastRenderedPageBreak/>
        <w:t>QUINTO.- La Fiscalía Especializada en Combate a la Corrupción, será competente para investigar y perseguir delitos por hechos de corrupción, previstos en el Título Sexto, del Libro Segundo del Código Penal del Estado de México y los delitos conexos.</w:t>
      </w:r>
    </w:p>
    <w:p w14:paraId="08AEB561" w14:textId="77777777" w:rsidR="00030BC0" w:rsidRPr="000937DF" w:rsidRDefault="00030BC0" w:rsidP="00030BC0">
      <w:pPr>
        <w:pBdr>
          <w:top w:val="nil"/>
          <w:left w:val="nil"/>
          <w:bottom w:val="nil"/>
          <w:right w:val="nil"/>
          <w:between w:val="nil"/>
        </w:pBdr>
        <w:spacing w:line="360" w:lineRule="auto"/>
        <w:ind w:right="-787"/>
        <w:jc w:val="both"/>
        <w:rPr>
          <w:rFonts w:ascii="Palatino Linotype" w:eastAsiaTheme="minorEastAsia" w:hAnsi="Palatino Linotype" w:cs="Calibri"/>
          <w:b/>
          <w:color w:val="000000"/>
          <w:sz w:val="22"/>
          <w:szCs w:val="22"/>
          <w:lang w:val="es-ES_tradnl" w:eastAsia="es-ES"/>
        </w:rPr>
      </w:pPr>
    </w:p>
    <w:p w14:paraId="3B4B299B" w14:textId="6889C746" w:rsidR="0099513A" w:rsidRPr="000937DF" w:rsidRDefault="0099513A" w:rsidP="00030BC0">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Calibri"/>
          <w:b/>
          <w:color w:val="000000"/>
          <w:sz w:val="22"/>
          <w:szCs w:val="22"/>
          <w:lang w:val="es-ES_tradnl" w:eastAsia="es-ES"/>
        </w:rPr>
      </w:pPr>
      <w:r w:rsidRPr="000937DF">
        <w:rPr>
          <w:rFonts w:ascii="Palatino Linotype" w:eastAsiaTheme="minorEastAsia" w:hAnsi="Palatino Linotype" w:cs="Calibri"/>
          <w:bCs/>
          <w:color w:val="000000"/>
          <w:sz w:val="22"/>
          <w:szCs w:val="22"/>
          <w:lang w:val="es-ES_tradnl" w:eastAsia="es-ES"/>
        </w:rPr>
        <w:t xml:space="preserve">Dicho lo anterior, resulta trascendente recordar que </w:t>
      </w:r>
      <w:r w:rsidR="00030BC0" w:rsidRPr="000937DF">
        <w:rPr>
          <w:rFonts w:ascii="Palatino Linotype" w:eastAsiaTheme="minorEastAsia" w:hAnsi="Palatino Linotype" w:cs="Calibri"/>
          <w:bCs/>
          <w:color w:val="000000"/>
          <w:sz w:val="22"/>
          <w:szCs w:val="22"/>
          <w:lang w:val="es-ES_tradnl" w:eastAsia="es-ES"/>
        </w:rPr>
        <w:t>el</w:t>
      </w:r>
      <w:r w:rsidRPr="000937DF">
        <w:rPr>
          <w:rFonts w:ascii="Palatino Linotype" w:eastAsiaTheme="minorEastAsia" w:hAnsi="Palatino Linotype" w:cs="Calibri"/>
          <w:bCs/>
          <w:color w:val="000000"/>
          <w:sz w:val="22"/>
          <w:szCs w:val="22"/>
          <w:lang w:val="es-ES_tradnl" w:eastAsia="es-ES"/>
        </w:rPr>
        <w:t xml:space="preserve"> particular requirió información sobre las adscripciones, adscripción actual, todos los cargos anteriores, cargo actual, denuncias administrativas y/o penales y sanciones en contra de un  servidor público en específico por lo que no es ocioso mencionar que la interposición de una denuncia en contra de organismos o servidores públicos, por lo general, se deriva de un mal uso del poder o cargo público conferido, lo cual se relaciona completamente con delitos, infracciones o faltas administrativas derivadas de actos u omisiones cometidas por las y los servidores públicos</w:t>
      </w:r>
      <w:r w:rsidRPr="000937DF">
        <w:rPr>
          <w:rFonts w:ascii="Palatino Linotype" w:eastAsiaTheme="minorEastAsia" w:hAnsi="Palatino Linotype" w:cs="Calibri"/>
          <w:b/>
          <w:color w:val="000000"/>
          <w:sz w:val="22"/>
          <w:szCs w:val="22"/>
          <w:lang w:val="es-ES_tradnl" w:eastAsia="es-ES"/>
        </w:rPr>
        <w:t>.</w:t>
      </w:r>
    </w:p>
    <w:p w14:paraId="4611BADF" w14:textId="77777777" w:rsidR="0099513A" w:rsidRPr="000937DF" w:rsidRDefault="0099513A" w:rsidP="0099513A">
      <w:pPr>
        <w:pBdr>
          <w:top w:val="nil"/>
          <w:left w:val="nil"/>
          <w:bottom w:val="nil"/>
          <w:right w:val="nil"/>
          <w:between w:val="nil"/>
        </w:pBdr>
        <w:spacing w:line="360" w:lineRule="auto"/>
        <w:ind w:right="-93"/>
        <w:jc w:val="both"/>
        <w:rPr>
          <w:rFonts w:ascii="Palatino Linotype" w:eastAsiaTheme="minorEastAsia" w:hAnsi="Palatino Linotype" w:cs="Calibri"/>
          <w:b/>
          <w:color w:val="000000"/>
          <w:sz w:val="22"/>
          <w:szCs w:val="22"/>
          <w:lang w:val="es-ES_tradnl" w:eastAsia="es-ES"/>
        </w:rPr>
      </w:pPr>
    </w:p>
    <w:p w14:paraId="75F8C811" w14:textId="77777777" w:rsidR="00A50A13" w:rsidRPr="000937DF" w:rsidRDefault="00A50A13" w:rsidP="00A50A13">
      <w:pPr>
        <w:pStyle w:val="Prrafodelista"/>
        <w:numPr>
          <w:ilvl w:val="0"/>
          <w:numId w:val="22"/>
        </w:numPr>
        <w:ind w:left="426"/>
        <w:rPr>
          <w:rFonts w:ascii="Palatino Linotype" w:eastAsiaTheme="minorEastAsia" w:hAnsi="Palatino Linotype" w:cs="Calibri"/>
          <w:color w:val="000000"/>
          <w:lang w:val="es-ES_tradnl" w:eastAsia="es-ES"/>
        </w:rPr>
      </w:pPr>
      <w:r w:rsidRPr="000937DF">
        <w:rPr>
          <w:rFonts w:ascii="Palatino Linotype" w:eastAsiaTheme="minorEastAsia" w:hAnsi="Palatino Linotype" w:cs="Calibri"/>
          <w:b/>
          <w:color w:val="000000"/>
          <w:lang w:val="es-ES_tradnl" w:eastAsia="es-ES"/>
        </w:rPr>
        <w:t xml:space="preserve">De las </w:t>
      </w:r>
      <w:r w:rsidR="005439A7" w:rsidRPr="000937DF">
        <w:rPr>
          <w:rFonts w:ascii="Palatino Linotype" w:eastAsiaTheme="minorEastAsia" w:hAnsi="Palatino Linotype" w:cs="Calibri"/>
          <w:b/>
          <w:color w:val="000000"/>
          <w:lang w:val="es-ES_tradnl" w:eastAsia="es-ES"/>
        </w:rPr>
        <w:t xml:space="preserve">Faltas </w:t>
      </w:r>
      <w:r w:rsidRPr="000937DF">
        <w:rPr>
          <w:rFonts w:ascii="Palatino Linotype" w:eastAsiaTheme="minorEastAsia" w:hAnsi="Palatino Linotype" w:cs="Calibri"/>
          <w:b/>
          <w:color w:val="000000"/>
          <w:lang w:val="es-ES_tradnl" w:eastAsia="es-ES"/>
        </w:rPr>
        <w:t>Administrativas Graves y no Graves</w:t>
      </w:r>
    </w:p>
    <w:p w14:paraId="642032A7" w14:textId="77777777" w:rsidR="00A50A13" w:rsidRPr="000937DF" w:rsidRDefault="00A50A13" w:rsidP="00A50A13">
      <w:pPr>
        <w:pStyle w:val="Prrafodelista"/>
        <w:ind w:left="142"/>
        <w:rPr>
          <w:rFonts w:ascii="Palatino Linotype" w:eastAsiaTheme="minorEastAsia" w:hAnsi="Palatino Linotype" w:cs="Calibri"/>
          <w:color w:val="000000"/>
          <w:lang w:val="es-ES_tradnl" w:eastAsia="es-ES"/>
        </w:rPr>
      </w:pPr>
    </w:p>
    <w:p w14:paraId="424421E3" w14:textId="77777777" w:rsidR="00111EE3" w:rsidRPr="000937DF" w:rsidRDefault="005439A7" w:rsidP="00111EE3">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theme="minorBidi"/>
          <w:color w:val="000000"/>
          <w:sz w:val="22"/>
          <w:szCs w:val="22"/>
          <w:lang w:val="es-ES_tradnl" w:eastAsia="es-ES"/>
        </w:rPr>
      </w:pPr>
      <w:r w:rsidRPr="000937DF">
        <w:rPr>
          <w:rFonts w:ascii="Palatino Linotype" w:eastAsiaTheme="minorEastAsia" w:hAnsi="Palatino Linotype" w:cstheme="minorBidi"/>
          <w:color w:val="000000"/>
          <w:sz w:val="22"/>
          <w:szCs w:val="22"/>
          <w:lang w:val="es-ES_tradnl" w:eastAsia="es-ES"/>
        </w:rPr>
        <w:t>De lo anterior</w:t>
      </w:r>
      <w:r w:rsidR="00111EE3" w:rsidRPr="000937DF">
        <w:rPr>
          <w:rFonts w:ascii="Palatino Linotype" w:eastAsiaTheme="minorEastAsia" w:hAnsi="Palatino Linotype" w:cstheme="minorBidi"/>
          <w:color w:val="000000"/>
          <w:sz w:val="22"/>
          <w:szCs w:val="22"/>
          <w:lang w:val="es-ES_tradnl" w:eastAsia="es-ES"/>
        </w:rPr>
        <w:t>,</w:t>
      </w:r>
      <w:r w:rsidRPr="000937DF">
        <w:rPr>
          <w:rFonts w:ascii="Palatino Linotype" w:eastAsiaTheme="minorEastAsia" w:hAnsi="Palatino Linotype" w:cstheme="minorBidi"/>
          <w:color w:val="000000"/>
          <w:sz w:val="22"/>
          <w:szCs w:val="22"/>
          <w:lang w:val="es-ES_tradnl" w:eastAsia="es-ES"/>
        </w:rPr>
        <w:t xml:space="preserve"> se debe de establecer que</w:t>
      </w:r>
      <w:r w:rsidR="00111EE3" w:rsidRPr="000937DF">
        <w:rPr>
          <w:rFonts w:ascii="Palatino Linotype" w:eastAsiaTheme="minorEastAsia" w:hAnsi="Palatino Linotype" w:cstheme="minorBidi"/>
          <w:color w:val="000000"/>
          <w:sz w:val="22"/>
          <w:szCs w:val="22"/>
          <w:lang w:val="es-ES_tradnl" w:eastAsia="es-ES"/>
        </w:rPr>
        <w:t xml:space="preserve"> </w:t>
      </w:r>
      <w:r w:rsidRPr="000937DF">
        <w:rPr>
          <w:rFonts w:ascii="Palatino Linotype" w:eastAsiaTheme="minorEastAsia" w:hAnsi="Palatino Linotype" w:cstheme="minorBidi"/>
          <w:color w:val="000000"/>
          <w:sz w:val="22"/>
          <w:szCs w:val="22"/>
          <w:lang w:val="es-ES_tradnl" w:eastAsia="es-ES"/>
        </w:rPr>
        <w:t xml:space="preserve">un </w:t>
      </w:r>
      <w:r w:rsidR="00111EE3" w:rsidRPr="000937DF">
        <w:rPr>
          <w:rFonts w:ascii="Palatino Linotype" w:eastAsiaTheme="minorEastAsia" w:hAnsi="Palatino Linotype" w:cstheme="minorBidi"/>
          <w:color w:val="000000"/>
          <w:sz w:val="22"/>
          <w:szCs w:val="22"/>
          <w:lang w:val="es-ES_tradnl" w:eastAsia="es-ES"/>
        </w:rPr>
        <w:t xml:space="preserve">servidor público incurre en una falta administrativa no grave de acuerdo con lo regulado por el artículo 50 de la Ley de Responsabilidades Administrativas del Estado de México y Municipios. </w:t>
      </w:r>
    </w:p>
    <w:p w14:paraId="4AD4C68C"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b/>
          <w:i/>
          <w:color w:val="000000"/>
          <w:sz w:val="22"/>
          <w:szCs w:val="22"/>
          <w:lang w:val="es-ES_tradnl" w:eastAsia="es-ES"/>
        </w:rPr>
        <w:t>Artículo 50. Incurre en falta administrativa no grave, el servidor público que con sus actos u omisiones, incumpla o transgreda las obligaciones siguientes</w:t>
      </w:r>
      <w:r w:rsidRPr="000937DF">
        <w:rPr>
          <w:rFonts w:ascii="Palatino Linotype" w:eastAsiaTheme="minorEastAsia" w:hAnsi="Palatino Linotype" w:cstheme="minorBidi"/>
          <w:i/>
          <w:color w:val="000000"/>
          <w:sz w:val="22"/>
          <w:szCs w:val="22"/>
          <w:lang w:val="es-ES_tradnl" w:eastAsia="es-ES"/>
        </w:rPr>
        <w:t xml:space="preserve">: </w:t>
      </w:r>
    </w:p>
    <w:p w14:paraId="5FD1D4D4"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I.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0FDEBF68" w14:textId="77777777" w:rsidR="00111EE3" w:rsidRPr="000937DF" w:rsidRDefault="00111EE3" w:rsidP="00111EE3">
      <w:pPr>
        <w:numPr>
          <w:ilvl w:val="0"/>
          <w:numId w:val="23"/>
        </w:num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Denunciar los actos u omisiones que en ejercicio de sus funciones llegare a advertir, que puedan constituir faltas administrativas en términos del artículo 95 de la presente Ley. </w:t>
      </w:r>
    </w:p>
    <w:p w14:paraId="6F61ABF4"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III.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14:paraId="110EB22B"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lastRenderedPageBreak/>
        <w:t xml:space="preserve">IV. Presentar en tiempo y forma la declaración de situación patrimonial y la de intereses que, en su caso, considere se actualice, en los términos establecidos por esta Ley. </w:t>
      </w:r>
    </w:p>
    <w:p w14:paraId="7BD5DF47"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V. Rendir cuentas sobre el ejercicio de las funciones, en términos de las normas aplicables. </w:t>
      </w:r>
    </w:p>
    <w:p w14:paraId="56E3A7D2"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VI. Colaborar en los procedimientos judiciales y administrativos en los que sea parte. </w:t>
      </w:r>
    </w:p>
    <w:p w14:paraId="76A9F508"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VII.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jurídicas colectivas. </w:t>
      </w:r>
    </w:p>
    <w:p w14:paraId="712A3AA0"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VIII. Actuar y ejecutar legalmente con la máxima diligencia, los planes, programas, presupuestos y demás normas a fin de alcanzar las metas institucionales según sus responsabilidades, conforme a una cultura de servicio orientada al logro de resultados. </w:t>
      </w:r>
    </w:p>
    <w:p w14:paraId="7C17FCBD"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IX.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3F47DF2A"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 Observar buena conducta en su empleo, cargo o comisión tratando con respeto, diligencia, imparcialidad y rectitud a las personas y servidores públicos con los que tenga relación con motivo de éste. </w:t>
      </w:r>
    </w:p>
    <w:p w14:paraId="43491584"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XI. Observar un trato respetuoso con sus subalternos. </w:t>
      </w:r>
    </w:p>
    <w:p w14:paraId="65CB38D3"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XII. Supervisar que los servidores públicos sujetos a su dirección, cumplan con las disposiciones de esta Ley. </w:t>
      </w:r>
    </w:p>
    <w:p w14:paraId="404FE89E"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proofErr w:type="spellStart"/>
      <w:r w:rsidRPr="000937DF">
        <w:rPr>
          <w:rFonts w:ascii="Palatino Linotype" w:eastAsiaTheme="minorEastAsia" w:hAnsi="Palatino Linotype" w:cstheme="minorBidi"/>
          <w:i/>
          <w:color w:val="000000"/>
          <w:sz w:val="22"/>
          <w:szCs w:val="22"/>
          <w:lang w:val="es-ES_tradnl" w:eastAsia="es-ES"/>
        </w:rPr>
        <w:t>XIII.Cumplir</w:t>
      </w:r>
      <w:proofErr w:type="spellEnd"/>
      <w:r w:rsidRPr="000937DF">
        <w:rPr>
          <w:rFonts w:ascii="Palatino Linotype" w:eastAsiaTheme="minorEastAsia" w:hAnsi="Palatino Linotype" w:cstheme="minorBidi"/>
          <w:i/>
          <w:color w:val="000000"/>
          <w:sz w:val="22"/>
          <w:szCs w:val="22"/>
          <w:lang w:val="es-ES_tradnl" w:eastAsia="es-ES"/>
        </w:rPr>
        <w:t xml:space="preserve"> con la entrega de índole administrativo del despacho y de toda aquella documentación inherente a su cargo, en los términos que establezcan las disposiciones legales o administrativas que al efecto se señalen. </w:t>
      </w:r>
    </w:p>
    <w:p w14:paraId="549BD9CD"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XIV. Proporcionar, en su caso, en tiempo y forma ante las dependencias competentes, la documentación comprobatoria de la aplicación de recursos </w:t>
      </w:r>
      <w:r w:rsidRPr="000937DF">
        <w:rPr>
          <w:rFonts w:ascii="Palatino Linotype" w:eastAsiaTheme="minorEastAsia" w:hAnsi="Palatino Linotype" w:cstheme="minorBidi"/>
          <w:i/>
          <w:color w:val="000000"/>
          <w:sz w:val="22"/>
          <w:szCs w:val="22"/>
          <w:lang w:val="es-ES_tradnl" w:eastAsia="es-ES"/>
        </w:rPr>
        <w:lastRenderedPageBreak/>
        <w:t xml:space="preserve">económicos federales, estatales o municipales, asignados a través de los programas respectivos. </w:t>
      </w:r>
    </w:p>
    <w:p w14:paraId="79FF7698"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XV. Abstenerse de solicitar requisitos, cargas tributarias o cualquier otro concepto adicional no previsto en la legislación aplicable, que tengan por objeto condicionar la expedición de licencias de funcionamiento para unidades económicas o negocios. </w:t>
      </w:r>
    </w:p>
    <w:p w14:paraId="58759F5A"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XVI. Cumplir con las disposiciones en materia de Gobierno Digital que impongan la Ley de la materia, su reglamento y demás disposiciones aplicables. </w:t>
      </w:r>
    </w:p>
    <w:p w14:paraId="336F1C88"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XVII. Utilizar las medidas de seguridad informática y protección de datos e información personal recomendada por las instancias competentes. </w:t>
      </w:r>
    </w:p>
    <w:p w14:paraId="48A66945"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XVIII. Cumplir oportunamente con los laudos que dicte el Tribunal Estatal de Conciliación y Arbitraje o cualquier de las Salas Auxiliares del mismo, así como pagar el monto de las indemnizaciones y demás prestaciones a que tenga derecho el servidor público, y </w:t>
      </w:r>
    </w:p>
    <w:p w14:paraId="33214A11"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XIX. Las demás que le impongan las leyes, reglamentos o disposiciones administrativas aplicables. </w:t>
      </w:r>
    </w:p>
    <w:p w14:paraId="1F234B64" w14:textId="77777777" w:rsidR="00111EE3" w:rsidRPr="000937DF" w:rsidRDefault="00111EE3" w:rsidP="00111EE3">
      <w:pPr>
        <w:ind w:left="1134" w:right="900"/>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Artículo 51. También se considerará falta administrativa no grave, los daños y perjuicios que, de manera culposa o negligente y sin incurrir en alguna de las faltas administrativas graves señaladas en el Capítulo siguiente, cause un servidor público a la Hacienda Pública o al patrimonio de un ente público. 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w:t>
      </w:r>
      <w:proofErr w:type="spellStart"/>
      <w:r w:rsidRPr="000937DF">
        <w:rPr>
          <w:rFonts w:ascii="Palatino Linotype" w:eastAsiaTheme="minorEastAsia" w:hAnsi="Palatino Linotype" w:cstheme="minorBidi"/>
          <w:i/>
          <w:color w:val="000000"/>
          <w:sz w:val="22"/>
          <w:szCs w:val="22"/>
          <w:lang w:val="es-ES_tradnl" w:eastAsia="es-ES"/>
        </w:rPr>
        <w:t>resolutora</w:t>
      </w:r>
      <w:proofErr w:type="spellEnd"/>
      <w:r w:rsidRPr="000937DF">
        <w:rPr>
          <w:rFonts w:ascii="Palatino Linotype" w:eastAsiaTheme="minorEastAsia" w:hAnsi="Palatino Linotype" w:cstheme="minorBidi"/>
          <w:i/>
          <w:color w:val="000000"/>
          <w:sz w:val="22"/>
          <w:szCs w:val="22"/>
          <w:lang w:val="es-ES_tradnl" w:eastAsia="es-ES"/>
        </w:rPr>
        <w:t xml:space="preserve">. 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La autoridad </w:t>
      </w:r>
      <w:proofErr w:type="spellStart"/>
      <w:r w:rsidRPr="000937DF">
        <w:rPr>
          <w:rFonts w:ascii="Palatino Linotype" w:eastAsiaTheme="minorEastAsia" w:hAnsi="Palatino Linotype" w:cstheme="minorBidi"/>
          <w:i/>
          <w:color w:val="000000"/>
          <w:sz w:val="22"/>
          <w:szCs w:val="22"/>
          <w:lang w:val="es-ES_tradnl" w:eastAsia="es-ES"/>
        </w:rPr>
        <w:t>resolutora</w:t>
      </w:r>
      <w:proofErr w:type="spellEnd"/>
      <w:r w:rsidRPr="000937DF">
        <w:rPr>
          <w:rFonts w:ascii="Palatino Linotype" w:eastAsiaTheme="minorEastAsia" w:hAnsi="Palatino Linotype" w:cstheme="minorBidi"/>
          <w:i/>
          <w:color w:val="000000"/>
          <w:sz w:val="22"/>
          <w:szCs w:val="22"/>
          <w:lang w:val="es-ES_tradnl" w:eastAsia="es-ES"/>
        </w:rPr>
        <w:t xml:space="preserve"> podrá abstenerse de imponer la sanción que corresponda conforme al artículo 79 de esta Ley cuando el daño o perjuicio a la Hacienda Pública Estatal o Municipal o al patrimonio de los entes públicos no exceda de dos mil veces el valor diario de la unidad de medida y actualización y el daño haya sido resarcido o recuperado.</w:t>
      </w:r>
    </w:p>
    <w:p w14:paraId="280FED4F" w14:textId="77777777" w:rsidR="00111EE3" w:rsidRPr="000937DF" w:rsidRDefault="00111EE3" w:rsidP="00111EE3">
      <w:pPr>
        <w:ind w:left="1134" w:right="900"/>
        <w:jc w:val="both"/>
        <w:rPr>
          <w:rFonts w:ascii="Palatino Linotype" w:eastAsiaTheme="minorEastAsia" w:hAnsi="Palatino Linotype" w:cstheme="minorBidi"/>
          <w:i/>
          <w:color w:val="000000"/>
          <w:sz w:val="22"/>
          <w:szCs w:val="22"/>
          <w:lang w:val="es-ES_tradnl" w:eastAsia="es-ES"/>
        </w:rPr>
      </w:pPr>
    </w:p>
    <w:p w14:paraId="060FA919"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theme="minorBidi"/>
          <w:color w:val="000000"/>
          <w:sz w:val="22"/>
          <w:szCs w:val="22"/>
          <w:lang w:val="es-ES_tradnl" w:eastAsia="es-ES"/>
        </w:rPr>
      </w:pPr>
      <w:r w:rsidRPr="000937DF">
        <w:rPr>
          <w:rFonts w:ascii="Palatino Linotype" w:eastAsiaTheme="minorEastAsia" w:hAnsi="Palatino Linotype" w:cstheme="minorBidi"/>
          <w:color w:val="000000"/>
          <w:sz w:val="22"/>
          <w:szCs w:val="22"/>
          <w:lang w:val="es-ES_tradnl" w:eastAsia="es-ES"/>
        </w:rPr>
        <w:lastRenderedPageBreak/>
        <w:t xml:space="preserve">Ahora bien, en cuanto a las faltas graves la Ley de Responsabilidades Administrativas del Estado de México y Municipios, regula que incurra en una falta grave el servidor público que cometa u omita lo siguiente. </w:t>
      </w:r>
    </w:p>
    <w:p w14:paraId="21D6DCCE" w14:textId="77777777" w:rsidR="00111EE3" w:rsidRPr="000937DF" w:rsidRDefault="00111EE3" w:rsidP="00111EE3">
      <w:pPr>
        <w:ind w:left="1134" w:right="900"/>
        <w:contextualSpacing/>
        <w:jc w:val="both"/>
        <w:rPr>
          <w:rFonts w:ascii="Palatino Linotype" w:eastAsiaTheme="minorEastAsia" w:hAnsi="Palatino Linotype" w:cstheme="minorBidi"/>
          <w:b/>
          <w:i/>
          <w:color w:val="000000"/>
          <w:sz w:val="22"/>
          <w:szCs w:val="22"/>
          <w:lang w:val="es-ES_tradnl" w:eastAsia="es-ES"/>
        </w:rPr>
      </w:pPr>
      <w:r w:rsidRPr="000937DF">
        <w:rPr>
          <w:rFonts w:ascii="Palatino Linotype" w:eastAsiaTheme="minorEastAsia" w:hAnsi="Palatino Linotype" w:cstheme="minorBidi"/>
          <w:b/>
          <w:i/>
          <w:color w:val="000000"/>
          <w:sz w:val="22"/>
          <w:szCs w:val="22"/>
          <w:lang w:val="es-ES_tradnl" w:eastAsia="es-ES"/>
        </w:rPr>
        <w:t xml:space="preserve">Artículo 52. Para efectos de la presente Ley, se consideran faltas administrativas graves de los servidores públicos, mediante cualquier acto u omisión, las siguientes: </w:t>
      </w:r>
    </w:p>
    <w:p w14:paraId="4AE19191" w14:textId="77777777" w:rsidR="00111EE3" w:rsidRPr="000937DF" w:rsidRDefault="00111EE3" w:rsidP="00111EE3">
      <w:pPr>
        <w:numPr>
          <w:ilvl w:val="0"/>
          <w:numId w:val="24"/>
        </w:num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El cohecho. </w:t>
      </w:r>
    </w:p>
    <w:p w14:paraId="4A9A537F"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II. El peculado. </w:t>
      </w:r>
    </w:p>
    <w:p w14:paraId="1D821797"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III. El desvío de recursos públicos. </w:t>
      </w:r>
    </w:p>
    <w:p w14:paraId="22CFB747"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IV. La utilización indebida de información. </w:t>
      </w:r>
    </w:p>
    <w:p w14:paraId="15B6D3D8"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V. El abuso de funciones. </w:t>
      </w:r>
    </w:p>
    <w:p w14:paraId="21E9D006"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VI. Cometer o tolerar conductas de hostigamiento y acoso sexual. </w:t>
      </w:r>
    </w:p>
    <w:p w14:paraId="21DE45C1"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VII. El actuar bajo conflicto de interés. </w:t>
      </w:r>
    </w:p>
    <w:p w14:paraId="6726D334"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VIII. La contratación indebida. </w:t>
      </w:r>
    </w:p>
    <w:p w14:paraId="578166C7"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IX. El enriquecimiento oculto u ocultamiento de conflicto de interés. </w:t>
      </w:r>
    </w:p>
    <w:p w14:paraId="1A50C7EC"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 El tráfico de influencias. </w:t>
      </w:r>
    </w:p>
    <w:p w14:paraId="2812643B"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XI. El encubrimiento. </w:t>
      </w:r>
    </w:p>
    <w:p w14:paraId="649BE773"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r w:rsidRPr="000937DF">
        <w:rPr>
          <w:rFonts w:ascii="Palatino Linotype" w:eastAsiaTheme="minorEastAsia" w:hAnsi="Palatino Linotype" w:cstheme="minorBidi"/>
          <w:i/>
          <w:color w:val="000000"/>
          <w:sz w:val="22"/>
          <w:szCs w:val="22"/>
          <w:lang w:val="es-ES_tradnl" w:eastAsia="es-ES"/>
        </w:rPr>
        <w:t xml:space="preserve">XII. El desacato. </w:t>
      </w:r>
    </w:p>
    <w:p w14:paraId="4C0B1393"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proofErr w:type="spellStart"/>
      <w:r w:rsidRPr="000937DF">
        <w:rPr>
          <w:rFonts w:ascii="Palatino Linotype" w:eastAsiaTheme="minorEastAsia" w:hAnsi="Palatino Linotype" w:cstheme="minorBidi"/>
          <w:i/>
          <w:color w:val="000000"/>
          <w:sz w:val="22"/>
          <w:szCs w:val="22"/>
          <w:lang w:val="es-ES_tradnl" w:eastAsia="es-ES"/>
        </w:rPr>
        <w:t>XIII.La</w:t>
      </w:r>
      <w:proofErr w:type="spellEnd"/>
      <w:r w:rsidRPr="000937DF">
        <w:rPr>
          <w:rFonts w:ascii="Palatino Linotype" w:eastAsiaTheme="minorEastAsia" w:hAnsi="Palatino Linotype" w:cstheme="minorBidi"/>
          <w:i/>
          <w:color w:val="000000"/>
          <w:sz w:val="22"/>
          <w:szCs w:val="22"/>
          <w:lang w:val="es-ES_tradnl" w:eastAsia="es-ES"/>
        </w:rPr>
        <w:t xml:space="preserve"> obstrucción de la Justicia.</w:t>
      </w:r>
    </w:p>
    <w:p w14:paraId="5FFABE59" w14:textId="77777777" w:rsidR="00111EE3" w:rsidRPr="000937DF" w:rsidRDefault="00111EE3" w:rsidP="00111EE3">
      <w:pPr>
        <w:ind w:left="1134" w:right="900"/>
        <w:contextualSpacing/>
        <w:jc w:val="both"/>
        <w:rPr>
          <w:rFonts w:ascii="Palatino Linotype" w:eastAsiaTheme="minorEastAsia" w:hAnsi="Palatino Linotype" w:cstheme="minorBidi"/>
          <w:i/>
          <w:color w:val="000000"/>
          <w:sz w:val="22"/>
          <w:szCs w:val="22"/>
          <w:lang w:val="es-ES_tradnl" w:eastAsia="es-ES"/>
        </w:rPr>
      </w:pPr>
    </w:p>
    <w:p w14:paraId="31655544" w14:textId="77777777" w:rsidR="00111EE3" w:rsidRPr="000937DF" w:rsidRDefault="00111EE3" w:rsidP="00965F4F">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theme="minorBidi"/>
          <w:color w:val="000000"/>
          <w:sz w:val="22"/>
          <w:szCs w:val="22"/>
          <w:lang w:val="es-ES_tradnl" w:eastAsia="es-ES"/>
        </w:rPr>
      </w:pPr>
      <w:r w:rsidRPr="000937DF">
        <w:rPr>
          <w:rFonts w:ascii="Palatino Linotype" w:eastAsia="MS Mincho" w:hAnsi="Palatino Linotype" w:cs="Arial"/>
          <w:sz w:val="22"/>
          <w:szCs w:val="22"/>
          <w:lang w:val="es-ES_tradnl" w:eastAsia="es-ES"/>
        </w:rPr>
        <w:t xml:space="preserve">En esa línea, una vez que fue precisado lo anterior respecto de las faltas graves y no graves, se debe de indicar que </w:t>
      </w:r>
      <w:r w:rsidRPr="000937DF">
        <w:rPr>
          <w:rFonts w:ascii="Palatino Linotype" w:eastAsiaTheme="minorEastAsia" w:hAnsi="Palatino Linotype" w:cstheme="minorBidi"/>
          <w:color w:val="000000"/>
          <w:sz w:val="22"/>
          <w:szCs w:val="22"/>
          <w:lang w:val="es-ES_tradnl" w:eastAsia="es-ES"/>
        </w:rPr>
        <w:t xml:space="preserve">las autoridades </w:t>
      </w:r>
      <w:r w:rsidR="008F05EA" w:rsidRPr="000937DF">
        <w:rPr>
          <w:rFonts w:ascii="Palatino Linotype" w:eastAsiaTheme="minorEastAsia" w:hAnsi="Palatino Linotype" w:cstheme="minorBidi"/>
          <w:color w:val="000000"/>
          <w:sz w:val="22"/>
          <w:szCs w:val="22"/>
          <w:lang w:val="es-ES_tradnl" w:eastAsia="es-ES"/>
        </w:rPr>
        <w:t xml:space="preserve">que tienen a cargo funciones dentro de la </w:t>
      </w:r>
      <w:r w:rsidR="00374078" w:rsidRPr="000937DF">
        <w:rPr>
          <w:rFonts w:ascii="Palatino Linotype" w:eastAsiaTheme="minorEastAsia" w:hAnsi="Palatino Linotype" w:cstheme="minorBidi"/>
          <w:color w:val="000000"/>
          <w:sz w:val="22"/>
          <w:szCs w:val="22"/>
          <w:lang w:val="es-ES_tradnl" w:eastAsia="es-ES"/>
        </w:rPr>
        <w:t>Contraloría</w:t>
      </w:r>
      <w:r w:rsidR="008F05EA" w:rsidRPr="000937DF">
        <w:rPr>
          <w:rFonts w:ascii="Palatino Linotype" w:eastAsiaTheme="minorEastAsia" w:hAnsi="Palatino Linotype" w:cstheme="minorBidi"/>
          <w:color w:val="000000"/>
          <w:sz w:val="22"/>
          <w:szCs w:val="22"/>
          <w:lang w:val="es-ES_tradnl" w:eastAsia="es-ES"/>
        </w:rPr>
        <w:t xml:space="preserve"> Interna</w:t>
      </w:r>
      <w:r w:rsidR="00374078" w:rsidRPr="000937DF">
        <w:rPr>
          <w:rFonts w:ascii="Palatino Linotype" w:eastAsiaTheme="minorEastAsia" w:hAnsi="Palatino Linotype" w:cstheme="minorBidi"/>
          <w:color w:val="000000"/>
          <w:sz w:val="22"/>
          <w:szCs w:val="22"/>
          <w:lang w:val="es-ES_tradnl" w:eastAsia="es-ES"/>
        </w:rPr>
        <w:t xml:space="preserve">, </w:t>
      </w:r>
      <w:r w:rsidR="008F05EA" w:rsidRPr="000937DF">
        <w:rPr>
          <w:rFonts w:ascii="Palatino Linotype" w:eastAsiaTheme="minorEastAsia" w:hAnsi="Palatino Linotype" w:cstheme="minorBidi"/>
          <w:color w:val="000000"/>
          <w:sz w:val="22"/>
          <w:szCs w:val="22"/>
          <w:lang w:val="es-ES_tradnl" w:eastAsia="es-ES"/>
        </w:rPr>
        <w:t xml:space="preserve"> </w:t>
      </w:r>
      <w:r w:rsidRPr="000937DF">
        <w:rPr>
          <w:rFonts w:ascii="Palatino Linotype" w:eastAsiaTheme="minorEastAsia" w:hAnsi="Palatino Linotype" w:cstheme="minorBidi"/>
          <w:color w:val="000000"/>
          <w:sz w:val="22"/>
          <w:szCs w:val="22"/>
          <w:lang w:val="es-ES_tradnl" w:eastAsia="es-ES"/>
        </w:rPr>
        <w:t xml:space="preserve"> tienen la </w:t>
      </w:r>
      <w:r w:rsidRPr="000937DF">
        <w:rPr>
          <w:rFonts w:ascii="Palatino Linotype" w:eastAsiaTheme="minorEastAsia" w:hAnsi="Palatino Linotype" w:cs="Calibri"/>
          <w:color w:val="000000"/>
          <w:sz w:val="22"/>
          <w:szCs w:val="22"/>
          <w:lang w:val="es-ES_tradnl" w:eastAsia="es-ES"/>
        </w:rPr>
        <w:t>obligación como servidores públicos de manejar la reser</w:t>
      </w:r>
      <w:r w:rsidR="00FA3008" w:rsidRPr="000937DF">
        <w:rPr>
          <w:rFonts w:ascii="Palatino Linotype" w:eastAsiaTheme="minorEastAsia" w:hAnsi="Palatino Linotype" w:cs="Calibri"/>
          <w:color w:val="000000"/>
          <w:sz w:val="22"/>
          <w:szCs w:val="22"/>
          <w:lang w:val="es-ES_tradnl" w:eastAsia="es-ES"/>
        </w:rPr>
        <w:t xml:space="preserve">va y la secrecía de las quejas y </w:t>
      </w:r>
      <w:r w:rsidRPr="000937DF">
        <w:rPr>
          <w:rFonts w:ascii="Palatino Linotype" w:eastAsiaTheme="minorEastAsia" w:hAnsi="Palatino Linotype" w:cs="Calibri"/>
          <w:color w:val="000000"/>
          <w:sz w:val="22"/>
          <w:szCs w:val="22"/>
          <w:lang w:val="es-ES_tradnl" w:eastAsia="es-ES"/>
        </w:rPr>
        <w:t>denunci</w:t>
      </w:r>
      <w:r w:rsidRPr="000937DF">
        <w:rPr>
          <w:rFonts w:ascii="Palatino Linotype" w:eastAsiaTheme="minorEastAsia" w:hAnsi="Palatino Linotype" w:cstheme="minorBidi"/>
          <w:color w:val="000000"/>
          <w:sz w:val="22"/>
          <w:szCs w:val="22"/>
          <w:lang w:val="es-ES_tradnl" w:eastAsia="es-ES"/>
        </w:rPr>
        <w:t xml:space="preserve">as o que se encuentren en su poder, por lo que, dichas autoridades no pueden publicar o dar información de los procedimientos que no han causado ejecución de sentencia. </w:t>
      </w:r>
    </w:p>
    <w:p w14:paraId="1784F1FD" w14:textId="77777777" w:rsidR="00111EE3" w:rsidRPr="000937DF" w:rsidRDefault="00111EE3" w:rsidP="00111EE3">
      <w:pPr>
        <w:spacing w:line="360" w:lineRule="auto"/>
        <w:contextualSpacing/>
        <w:jc w:val="both"/>
        <w:rPr>
          <w:rFonts w:ascii="Palatino Linotype" w:eastAsiaTheme="minorEastAsia" w:hAnsi="Palatino Linotype" w:cstheme="minorBidi"/>
          <w:color w:val="000000"/>
          <w:sz w:val="22"/>
          <w:szCs w:val="22"/>
          <w:lang w:val="es-ES_tradnl" w:eastAsia="es-ES"/>
        </w:rPr>
      </w:pPr>
    </w:p>
    <w:p w14:paraId="62443A0B"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sz w:val="22"/>
          <w:szCs w:val="22"/>
          <w:lang w:val="es-ES_tradnl" w:eastAsia="es-ES"/>
        </w:rPr>
      </w:pPr>
      <w:r w:rsidRPr="000937DF">
        <w:rPr>
          <w:rFonts w:ascii="Palatino Linotype" w:eastAsia="Palatino Linotype" w:hAnsi="Palatino Linotype" w:cs="Palatino Linotype"/>
          <w:sz w:val="22"/>
          <w:szCs w:val="22"/>
          <w:lang w:val="es-ES_tradnl" w:eastAsia="es-ES"/>
        </w:rPr>
        <w:t xml:space="preserve">Con lo </w:t>
      </w:r>
      <w:r w:rsidRPr="000937DF">
        <w:rPr>
          <w:rFonts w:ascii="Palatino Linotype" w:eastAsiaTheme="minorEastAsia" w:hAnsi="Palatino Linotype" w:cs="Calibri"/>
          <w:color w:val="000000"/>
          <w:sz w:val="22"/>
          <w:szCs w:val="22"/>
          <w:lang w:val="es-ES_tradnl" w:eastAsia="es-ES"/>
        </w:rPr>
        <w:t>anterior</w:t>
      </w:r>
      <w:r w:rsidRPr="000937DF">
        <w:rPr>
          <w:rFonts w:ascii="Palatino Linotype" w:eastAsia="Palatino Linotype" w:hAnsi="Palatino Linotype" w:cs="Palatino Linotype"/>
          <w:sz w:val="22"/>
          <w:szCs w:val="22"/>
          <w:lang w:val="es-ES_tradnl" w:eastAsia="es-ES"/>
        </w:rPr>
        <w:t xml:space="preserve"> queda </w:t>
      </w:r>
      <w:r w:rsidR="00FA3008" w:rsidRPr="000937DF">
        <w:rPr>
          <w:rFonts w:ascii="Palatino Linotype" w:eastAsia="Palatino Linotype" w:hAnsi="Palatino Linotype" w:cs="Palatino Linotype"/>
          <w:sz w:val="22"/>
          <w:szCs w:val="22"/>
          <w:lang w:val="es-ES_tradnl" w:eastAsia="es-ES"/>
        </w:rPr>
        <w:t>reafirmado</w:t>
      </w:r>
      <w:r w:rsidRPr="000937DF">
        <w:rPr>
          <w:rFonts w:ascii="Palatino Linotype" w:eastAsia="Palatino Linotype" w:hAnsi="Palatino Linotype" w:cs="Palatino Linotype"/>
          <w:sz w:val="22"/>
          <w:szCs w:val="22"/>
          <w:lang w:val="es-ES_tradnl" w:eastAsia="es-ES"/>
        </w:rPr>
        <w:t xml:space="preserve"> que </w:t>
      </w:r>
      <w:r w:rsidRPr="000937DF">
        <w:rPr>
          <w:rFonts w:ascii="Palatino Linotype" w:eastAsia="Palatino Linotype" w:hAnsi="Palatino Linotype" w:cs="Palatino Linotype"/>
          <w:b/>
          <w:sz w:val="22"/>
          <w:szCs w:val="22"/>
          <w:lang w:val="es-ES_tradnl" w:eastAsia="es-ES"/>
        </w:rPr>
        <w:t xml:space="preserve">EL </w:t>
      </w:r>
      <w:r w:rsidRPr="000937DF">
        <w:rPr>
          <w:rFonts w:ascii="Palatino Linotype" w:eastAsia="Palatino Linotype" w:hAnsi="Palatino Linotype" w:cs="Palatino Linotype"/>
          <w:b/>
          <w:color w:val="000000" w:themeColor="text1"/>
          <w:sz w:val="22"/>
          <w:szCs w:val="22"/>
          <w:lang w:val="es-ES_tradnl" w:eastAsia="es-ES"/>
        </w:rPr>
        <w:t>SUJETO OBLIGADO</w:t>
      </w:r>
      <w:r w:rsidRPr="000937DF">
        <w:rPr>
          <w:rFonts w:ascii="Palatino Linotype" w:eastAsia="Palatino Linotype" w:hAnsi="Palatino Linotype" w:cs="Palatino Linotype"/>
          <w:color w:val="000000" w:themeColor="text1"/>
          <w:sz w:val="22"/>
          <w:szCs w:val="22"/>
          <w:lang w:val="es-ES_tradnl" w:eastAsia="es-ES"/>
        </w:rPr>
        <w:t xml:space="preserve"> </w:t>
      </w:r>
      <w:r w:rsidRPr="000937DF">
        <w:rPr>
          <w:rFonts w:ascii="Palatino Linotype" w:eastAsia="Palatino Linotype" w:hAnsi="Palatino Linotype" w:cs="Palatino Linotype"/>
          <w:sz w:val="22"/>
          <w:szCs w:val="22"/>
          <w:lang w:val="es-ES_tradnl" w:eastAsia="es-ES"/>
        </w:rPr>
        <w:t xml:space="preserve">a través de su </w:t>
      </w:r>
      <w:r w:rsidR="00FA3008" w:rsidRPr="000937DF">
        <w:rPr>
          <w:rFonts w:ascii="Palatino Linotype" w:eastAsia="Palatino Linotype" w:hAnsi="Palatino Linotype" w:cs="Palatino Linotype"/>
          <w:sz w:val="22"/>
          <w:szCs w:val="22"/>
          <w:lang w:val="es-ES_tradnl" w:eastAsia="es-ES"/>
        </w:rPr>
        <w:t>Contraloría Interna</w:t>
      </w:r>
      <w:r w:rsidRPr="000937DF">
        <w:rPr>
          <w:rFonts w:ascii="Palatino Linotype" w:eastAsia="Palatino Linotype" w:hAnsi="Palatino Linotype" w:cs="Palatino Linotype"/>
          <w:sz w:val="22"/>
          <w:szCs w:val="22"/>
          <w:lang w:val="es-ES_tradnl" w:eastAsia="es-ES"/>
        </w:rPr>
        <w:t xml:space="preserve">, es competente para conocer la información de mérito, en este sentido, se procede al análisis </w:t>
      </w:r>
      <w:r w:rsidRPr="000937DF">
        <w:rPr>
          <w:rFonts w:ascii="Palatino Linotype" w:eastAsia="Palatino Linotype" w:hAnsi="Palatino Linotype" w:cs="Palatino Linotype"/>
          <w:b/>
          <w:sz w:val="22"/>
          <w:szCs w:val="22"/>
          <w:lang w:val="es-ES_tradnl" w:eastAsia="es-ES"/>
        </w:rPr>
        <w:t>de los supuestos de los procedimientos administrativos en los que procede la entrega de la información.</w:t>
      </w:r>
    </w:p>
    <w:p w14:paraId="6E73AE9B" w14:textId="77777777" w:rsidR="00111EE3" w:rsidRPr="000937DF" w:rsidRDefault="00111EE3" w:rsidP="00111EE3">
      <w:pPr>
        <w:spacing w:line="360" w:lineRule="auto"/>
        <w:contextualSpacing/>
        <w:jc w:val="both"/>
        <w:rPr>
          <w:rFonts w:ascii="Palatino Linotype" w:eastAsiaTheme="minorEastAsia" w:hAnsi="Palatino Linotype" w:cstheme="minorBidi"/>
          <w:color w:val="000000"/>
          <w:sz w:val="22"/>
          <w:szCs w:val="22"/>
          <w:lang w:val="es-ES_tradnl" w:eastAsia="es-ES"/>
        </w:rPr>
      </w:pPr>
    </w:p>
    <w:p w14:paraId="66FE5EC0"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theme="minorBidi"/>
          <w:sz w:val="22"/>
          <w:szCs w:val="22"/>
          <w:lang w:val="es-ES_tradnl" w:eastAsia="es-ES"/>
        </w:rPr>
      </w:pPr>
      <w:r w:rsidRPr="000937DF">
        <w:rPr>
          <w:rFonts w:ascii="Palatino Linotype" w:eastAsiaTheme="minorEastAsia" w:hAnsi="Palatino Linotype" w:cstheme="minorBidi"/>
          <w:sz w:val="22"/>
          <w:szCs w:val="22"/>
          <w:lang w:val="es-ES_tradnl" w:eastAsia="es-ES"/>
        </w:rPr>
        <w:lastRenderedPageBreak/>
        <w:t xml:space="preserve">Lo anterior, toda vez que existen excepciones para que se entregue la información solicitada con los </w:t>
      </w:r>
      <w:r w:rsidRPr="000937DF">
        <w:rPr>
          <w:rFonts w:ascii="Palatino Linotype" w:eastAsiaTheme="minorEastAsia" w:hAnsi="Palatino Linotype" w:cs="Calibri"/>
          <w:color w:val="000000"/>
          <w:sz w:val="22"/>
          <w:szCs w:val="22"/>
          <w:lang w:val="es-ES_tradnl" w:eastAsia="es-ES"/>
        </w:rPr>
        <w:t>procedimientos</w:t>
      </w:r>
      <w:r w:rsidRPr="000937DF">
        <w:rPr>
          <w:rFonts w:ascii="Palatino Linotype" w:eastAsiaTheme="minorEastAsia" w:hAnsi="Palatino Linotype" w:cstheme="minorBidi"/>
          <w:sz w:val="22"/>
          <w:szCs w:val="22"/>
          <w:lang w:val="es-ES_tradnl" w:eastAsia="es-ES"/>
        </w:rPr>
        <w:t xml:space="preserve"> de investigación relacionados con actas administrativas, denuncias o actuaciones de oficio, como a continuación se precisa en el estudio. </w:t>
      </w:r>
    </w:p>
    <w:p w14:paraId="4785E210" w14:textId="77777777" w:rsidR="00111EE3" w:rsidRPr="000937DF" w:rsidRDefault="00111EE3" w:rsidP="00111EE3">
      <w:pPr>
        <w:ind w:left="720"/>
        <w:contextualSpacing/>
        <w:rPr>
          <w:rFonts w:ascii="Palatino Linotype" w:eastAsiaTheme="minorEastAsia" w:hAnsi="Palatino Linotype" w:cstheme="minorBidi"/>
          <w:sz w:val="22"/>
          <w:szCs w:val="22"/>
          <w:lang w:val="es-ES_tradnl" w:eastAsia="es-ES"/>
        </w:rPr>
      </w:pPr>
    </w:p>
    <w:p w14:paraId="763E5261" w14:textId="77777777" w:rsidR="00111EE3" w:rsidRPr="000937DF" w:rsidRDefault="00111EE3" w:rsidP="00111EE3">
      <w:pPr>
        <w:numPr>
          <w:ilvl w:val="0"/>
          <w:numId w:val="25"/>
        </w:numPr>
        <w:spacing w:after="160" w:line="360" w:lineRule="auto"/>
        <w:ind w:right="51"/>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b/>
          <w:sz w:val="22"/>
          <w:szCs w:val="22"/>
        </w:rPr>
        <w:t>Procedimiento de responsabilidad administrativa en trámite.</w:t>
      </w:r>
    </w:p>
    <w:p w14:paraId="4FEB59E2"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trike/>
          <w:sz w:val="22"/>
          <w:szCs w:val="22"/>
        </w:rPr>
      </w:pPr>
      <w:r w:rsidRPr="000937DF">
        <w:rPr>
          <w:rFonts w:ascii="Palatino Linotype" w:eastAsia="Palatino Linotype" w:hAnsi="Palatino Linotype" w:cs="Palatino Linotype"/>
          <w:sz w:val="22"/>
          <w:szCs w:val="22"/>
        </w:rPr>
        <w:t xml:space="preserve">En principio es de señalar </w:t>
      </w:r>
      <w:r w:rsidRPr="000937DF">
        <w:rPr>
          <w:rFonts w:ascii="Palatino Linotype" w:eastAsia="Palatino Linotype" w:hAnsi="Palatino Linotype" w:cs="Palatino Linotype"/>
          <w:color w:val="000000" w:themeColor="text1"/>
          <w:sz w:val="22"/>
          <w:szCs w:val="22"/>
        </w:rPr>
        <w:t xml:space="preserve">que </w:t>
      </w:r>
      <w:r w:rsidRPr="000937DF">
        <w:rPr>
          <w:rFonts w:ascii="Palatino Linotype" w:eastAsia="Palatino Linotype" w:hAnsi="Palatino Linotype" w:cs="Palatino Linotype"/>
          <w:sz w:val="22"/>
          <w:szCs w:val="22"/>
        </w:rPr>
        <w:t xml:space="preserve">el realizar un pronunciamiento sobre la existencia de un procedimiento de posibles responsabilidades en trámite, podría afectar </w:t>
      </w:r>
      <w:r w:rsidR="00742C50" w:rsidRPr="000937DF">
        <w:rPr>
          <w:rFonts w:ascii="Palatino Linotype" w:eastAsia="Palatino Linotype" w:hAnsi="Palatino Linotype" w:cs="Palatino Linotype"/>
          <w:sz w:val="22"/>
          <w:szCs w:val="22"/>
        </w:rPr>
        <w:t>al posible responsable</w:t>
      </w:r>
      <w:r w:rsidRPr="000937DF">
        <w:rPr>
          <w:rFonts w:ascii="Palatino Linotype" w:eastAsia="Palatino Linotype" w:hAnsi="Palatino Linotype" w:cs="Palatino Linotype"/>
          <w:sz w:val="22"/>
          <w:szCs w:val="22"/>
        </w:rPr>
        <w:t xml:space="preserve">, </w:t>
      </w:r>
      <w:r w:rsidRPr="000937DF">
        <w:rPr>
          <w:rFonts w:ascii="Palatino Linotype" w:eastAsia="Palatino Linotype" w:hAnsi="Palatino Linotype" w:cs="Palatino Linotype"/>
          <w:b/>
          <w:sz w:val="22"/>
          <w:szCs w:val="22"/>
          <w:u w:val="single"/>
        </w:rPr>
        <w:t xml:space="preserve">ya que se daría a conocer la existencia de una investigación en su contra, lo cual, generaría una percepción negativa de estos, sin que se hubiere probado su responsabilidad o culpabilidad, lo cual dañaría, su honor y su derecho a la presunción de inocencia e inclusive su actividad profesional. </w:t>
      </w:r>
    </w:p>
    <w:p w14:paraId="12E41CAE" w14:textId="77777777" w:rsidR="00111EE3" w:rsidRPr="000937DF" w:rsidRDefault="00111EE3" w:rsidP="00111EE3">
      <w:pPr>
        <w:tabs>
          <w:tab w:val="left" w:pos="3962"/>
        </w:tabs>
        <w:spacing w:after="160" w:line="360" w:lineRule="auto"/>
        <w:contextualSpacing/>
        <w:jc w:val="both"/>
        <w:rPr>
          <w:rFonts w:ascii="Palatino Linotype" w:eastAsia="Palatino Linotype" w:hAnsi="Palatino Linotype" w:cs="Palatino Linotype"/>
          <w:sz w:val="22"/>
          <w:szCs w:val="22"/>
        </w:rPr>
      </w:pPr>
    </w:p>
    <w:p w14:paraId="542CF010"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En otras palabras, dar a conocer la existencia de un procedimiento de posibles responsabilidades en trámite, vulneraría la protección de su privacidad, honor y presunción de inocencia, ya que podría generar un juicio a priori por parte de la sociedad, sin que se tenga una determinación firme, donde haya quedada acreditada su responsabilidad.</w:t>
      </w:r>
    </w:p>
    <w:p w14:paraId="5B028022" w14:textId="77777777" w:rsidR="00111EE3" w:rsidRPr="000937DF" w:rsidRDefault="00111EE3" w:rsidP="00111EE3">
      <w:pPr>
        <w:spacing w:after="160" w:line="360" w:lineRule="auto"/>
        <w:contextualSpacing/>
        <w:jc w:val="both"/>
        <w:rPr>
          <w:rFonts w:ascii="Palatino Linotype" w:eastAsia="Palatino Linotype" w:hAnsi="Palatino Linotype" w:cs="Palatino Linotype"/>
          <w:sz w:val="22"/>
          <w:szCs w:val="22"/>
        </w:rPr>
      </w:pPr>
    </w:p>
    <w:p w14:paraId="09FA8EE4"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Respecto del </w:t>
      </w:r>
      <w:r w:rsidRPr="000937DF">
        <w:rPr>
          <w:rFonts w:ascii="Palatino Linotype" w:eastAsia="Palatino Linotype" w:hAnsi="Palatino Linotype" w:cs="Palatino Linotype"/>
          <w:b/>
          <w:sz w:val="22"/>
          <w:szCs w:val="22"/>
        </w:rPr>
        <w:t>derecho a la privacidad</w:t>
      </w:r>
      <w:r w:rsidRPr="000937DF">
        <w:rPr>
          <w:rFonts w:ascii="Palatino Linotype" w:eastAsia="Palatino Linotype" w:hAnsi="Palatino Linotype" w:cs="Palatino Linotype"/>
          <w:sz w:val="22"/>
          <w:szCs w:val="22"/>
        </w:rPr>
        <w:t xml:space="preserve">, se trae a colación la tesis aislada número 2a. LXIII/2008, </w:t>
      </w:r>
      <w:r w:rsidRPr="000937DF">
        <w:rPr>
          <w:rFonts w:ascii="Palatino Linotype" w:eastAsiaTheme="minorEastAsia" w:hAnsi="Palatino Linotype" w:cs="Calibri"/>
          <w:color w:val="000000"/>
          <w:sz w:val="22"/>
          <w:szCs w:val="22"/>
          <w:lang w:val="es-ES_tradnl" w:eastAsia="es-ES"/>
        </w:rPr>
        <w:t>emitida</w:t>
      </w:r>
      <w:r w:rsidRPr="000937DF">
        <w:rPr>
          <w:rFonts w:ascii="Palatino Linotype" w:eastAsia="Palatino Linotype" w:hAnsi="Palatino Linotype" w:cs="Palatino Linotype"/>
          <w:sz w:val="22"/>
          <w:szCs w:val="22"/>
        </w:rPr>
        <w:t xml:space="preserve"> por la Segunda Sala de la Suprema Corte de Justicia de la Nación, publicada en la Gaceta del Semanario Judicial de la Federación, Tomo XXVII, de mayo de 2008, página 229, de la Novena Época, materia constitucional, misma que a la letra señala: </w:t>
      </w:r>
    </w:p>
    <w:p w14:paraId="6C4881F0" w14:textId="77777777" w:rsidR="00111EE3" w:rsidRPr="000937DF" w:rsidRDefault="00111EE3" w:rsidP="00111EE3">
      <w:pPr>
        <w:tabs>
          <w:tab w:val="left" w:pos="3962"/>
        </w:tabs>
        <w:spacing w:after="160" w:line="360" w:lineRule="auto"/>
        <w:jc w:val="both"/>
        <w:rPr>
          <w:rFonts w:ascii="Palatino Linotype" w:eastAsia="Palatino Linotype" w:hAnsi="Palatino Linotype" w:cs="Palatino Linotype"/>
          <w:sz w:val="22"/>
          <w:szCs w:val="22"/>
        </w:rPr>
      </w:pPr>
    </w:p>
    <w:p w14:paraId="34ADCE79" w14:textId="77777777" w:rsidR="00111EE3" w:rsidRPr="000937DF" w:rsidRDefault="00111EE3" w:rsidP="00111EE3">
      <w:pPr>
        <w:tabs>
          <w:tab w:val="left" w:pos="3962"/>
        </w:tabs>
        <w:spacing w:after="160" w:line="276" w:lineRule="auto"/>
        <w:ind w:left="1134" w:right="902"/>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w:t>
      </w:r>
      <w:r w:rsidRPr="000937DF">
        <w:rPr>
          <w:rFonts w:ascii="Palatino Linotype" w:eastAsia="Palatino Linotype" w:hAnsi="Palatino Linotype" w:cs="Palatino Linotype"/>
          <w:b/>
          <w:i/>
          <w:sz w:val="22"/>
          <w:szCs w:val="22"/>
        </w:rPr>
        <w:t>DERECHO A LA PRIVACIDAD O INTIMIDAD. ESTÁ PROTEGIDO POR EL ARTÍCULO 16, PRIMER PÁRRAFO, DE LA CONSTITUCIÓN POLÍTICA DE LOS ESTADOS UNIDOS MEXICANOS</w:t>
      </w:r>
      <w:r w:rsidRPr="000937DF">
        <w:rPr>
          <w:rFonts w:ascii="Palatino Linotype" w:eastAsia="Palatino Linotype" w:hAnsi="Palatino Linotype" w:cs="Palatino Linotype"/>
          <w:i/>
          <w:sz w:val="22"/>
          <w:szCs w:val="22"/>
        </w:rPr>
        <w:t xml:space="preserve">. Dicho numeral establece, en general, la garantía de seguridad </w:t>
      </w:r>
      <w:r w:rsidRPr="000937DF">
        <w:rPr>
          <w:rFonts w:ascii="Palatino Linotype" w:eastAsia="Palatino Linotype" w:hAnsi="Palatino Linotype" w:cs="Palatino Linotype"/>
          <w:i/>
          <w:sz w:val="22"/>
          <w:szCs w:val="22"/>
        </w:rPr>
        <w:lastRenderedPageBreak/>
        <w:t>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0AD6BC38" w14:textId="77777777" w:rsidR="00111EE3" w:rsidRPr="000937DF" w:rsidRDefault="00111EE3" w:rsidP="00111EE3">
      <w:pPr>
        <w:tabs>
          <w:tab w:val="left" w:pos="3962"/>
        </w:tabs>
        <w:spacing w:after="160" w:line="360" w:lineRule="auto"/>
        <w:ind w:left="851" w:right="902"/>
        <w:contextualSpacing/>
        <w:jc w:val="both"/>
        <w:rPr>
          <w:rFonts w:ascii="Palatino Linotype" w:eastAsia="Palatino Linotype" w:hAnsi="Palatino Linotype" w:cs="Palatino Linotype"/>
          <w:i/>
          <w:sz w:val="22"/>
          <w:szCs w:val="22"/>
        </w:rPr>
      </w:pPr>
    </w:p>
    <w:p w14:paraId="6AFF7606"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Como se observa, de la garantía de seguridad jurídica </w:t>
      </w:r>
      <w:r w:rsidR="00742C50" w:rsidRPr="000937DF">
        <w:rPr>
          <w:rFonts w:ascii="Palatino Linotype" w:eastAsia="Palatino Linotype" w:hAnsi="Palatino Linotype" w:cs="Palatino Linotype"/>
          <w:sz w:val="22"/>
          <w:szCs w:val="22"/>
        </w:rPr>
        <w:t xml:space="preserve">de un individuo a no ser molestado </w:t>
      </w:r>
      <w:r w:rsidRPr="000937DF">
        <w:rPr>
          <w:rFonts w:ascii="Palatino Linotype" w:eastAsia="Palatino Linotype" w:hAnsi="Palatino Linotype" w:cs="Palatino Linotype"/>
          <w:sz w:val="22"/>
          <w:szCs w:val="22"/>
        </w:rPr>
        <w:t xml:space="preserve"> en su persona, familia, papeles o posesiones, salvo cuando medie mandato de autoridad </w:t>
      </w:r>
      <w:r w:rsidRPr="000937DF">
        <w:rPr>
          <w:rFonts w:ascii="Palatino Linotype" w:eastAsiaTheme="minorEastAsia" w:hAnsi="Palatino Linotype" w:cs="Calibri"/>
          <w:color w:val="000000"/>
          <w:sz w:val="22"/>
          <w:szCs w:val="22"/>
          <w:lang w:val="es-ES_tradnl" w:eastAsia="es-ES"/>
        </w:rPr>
        <w:t>competente</w:t>
      </w:r>
      <w:r w:rsidRPr="000937DF">
        <w:rPr>
          <w:rFonts w:ascii="Palatino Linotype" w:eastAsia="Palatino Linotype" w:hAnsi="Palatino Linotype" w:cs="Palatino Linotype"/>
          <w:sz w:val="22"/>
          <w:szCs w:val="22"/>
        </w:rPr>
        <w:t xml:space="preserv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14:paraId="655FC188" w14:textId="77777777" w:rsidR="00111EE3" w:rsidRPr="000937DF" w:rsidRDefault="00111EE3" w:rsidP="00111EE3">
      <w:pPr>
        <w:tabs>
          <w:tab w:val="left" w:pos="3962"/>
        </w:tabs>
        <w:spacing w:after="160" w:line="360" w:lineRule="auto"/>
        <w:contextualSpacing/>
        <w:jc w:val="both"/>
        <w:rPr>
          <w:rFonts w:ascii="Palatino Linotype" w:eastAsia="Palatino Linotype" w:hAnsi="Palatino Linotype" w:cs="Palatino Linotype"/>
          <w:sz w:val="22"/>
          <w:szCs w:val="22"/>
        </w:rPr>
      </w:pPr>
    </w:p>
    <w:p w14:paraId="25907A44"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Es decir, en el artículo 16, primer párrafo constitucional, se da el reconocimiento de un derecho a la privacidad de las personas que implica no ser sujeto de injerencias arbitrarias, </w:t>
      </w:r>
      <w:r w:rsidRPr="000937DF">
        <w:rPr>
          <w:rFonts w:ascii="Palatino Linotype" w:eastAsiaTheme="minorEastAsia" w:hAnsi="Palatino Linotype" w:cs="Calibri"/>
          <w:color w:val="000000"/>
          <w:sz w:val="22"/>
          <w:szCs w:val="22"/>
          <w:lang w:val="es-ES_tradnl" w:eastAsia="es-ES"/>
        </w:rPr>
        <w:t>intromisiones</w:t>
      </w:r>
      <w:r w:rsidRPr="000937DF">
        <w:rPr>
          <w:rFonts w:ascii="Palatino Linotype" w:eastAsia="Palatino Linotype" w:hAnsi="Palatino Linotype" w:cs="Palatino Linotype"/>
          <w:sz w:val="22"/>
          <w:szCs w:val="22"/>
        </w:rPr>
        <w:t xml:space="preserve"> o molestias en el ámbito reservado de su vida o intimidad, ni de ataques a su honra o a su reputación, por lo que toda persona tiene derecho a la protección de la ley contra tales injerencias o ataques.</w:t>
      </w:r>
    </w:p>
    <w:p w14:paraId="32AF3FD9" w14:textId="77777777" w:rsidR="00111EE3" w:rsidRPr="000937DF" w:rsidRDefault="00111EE3" w:rsidP="00111EE3">
      <w:pPr>
        <w:spacing w:line="360" w:lineRule="auto"/>
        <w:contextualSpacing/>
        <w:jc w:val="both"/>
        <w:rPr>
          <w:rFonts w:ascii="Palatino Linotype" w:eastAsia="Palatino Linotype" w:hAnsi="Palatino Linotype" w:cs="Palatino Linotype"/>
          <w:sz w:val="22"/>
          <w:szCs w:val="22"/>
        </w:rPr>
      </w:pPr>
    </w:p>
    <w:p w14:paraId="083123B4"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Theme="minorEastAsia" w:hAnsi="Palatino Linotype" w:cstheme="minorBidi"/>
          <w:sz w:val="22"/>
          <w:szCs w:val="22"/>
          <w:lang w:val="es-ES_tradnl" w:eastAsia="es-ES"/>
        </w:rPr>
        <w:t>Por lo que hace al derecho al honor, la jurisprudencia número 1a./J. 118/2013 (10a.), emitida</w:t>
      </w:r>
      <w:r w:rsidRPr="000937DF">
        <w:rPr>
          <w:rFonts w:ascii="Palatino Linotype" w:eastAsia="Palatino Linotype" w:hAnsi="Palatino Linotype" w:cs="Palatino Linotype"/>
          <w:sz w:val="22"/>
          <w:szCs w:val="22"/>
        </w:rPr>
        <w:t xml:space="preserve"> por la Primera Sala de la Suprema Corte de Justicia de la Nación, publicada en la Gaceta del </w:t>
      </w:r>
      <w:r w:rsidRPr="000937DF">
        <w:rPr>
          <w:rFonts w:ascii="Palatino Linotype" w:eastAsiaTheme="minorEastAsia" w:hAnsi="Palatino Linotype" w:cs="Calibri"/>
          <w:color w:val="000000"/>
          <w:sz w:val="22"/>
          <w:szCs w:val="22"/>
          <w:lang w:val="es-ES_tradnl" w:eastAsia="es-ES"/>
        </w:rPr>
        <w:lastRenderedPageBreak/>
        <w:t>Semanario</w:t>
      </w:r>
      <w:r w:rsidRPr="000937DF">
        <w:rPr>
          <w:rFonts w:ascii="Palatino Linotype" w:eastAsia="Palatino Linotype" w:hAnsi="Palatino Linotype" w:cs="Palatino Linotype"/>
          <w:sz w:val="22"/>
          <w:szCs w:val="22"/>
        </w:rPr>
        <w:t xml:space="preserve"> Judicial de la Federación, Tomo I, Libro 3, de febrero de 2014, página 470, de la Décima Época, materia constitucional, señala: </w:t>
      </w:r>
    </w:p>
    <w:p w14:paraId="603368E3" w14:textId="77777777" w:rsidR="00111EE3" w:rsidRPr="000937DF" w:rsidRDefault="00111EE3" w:rsidP="00111EE3">
      <w:pPr>
        <w:tabs>
          <w:tab w:val="left" w:pos="3962"/>
        </w:tabs>
        <w:spacing w:after="160" w:line="360" w:lineRule="auto"/>
        <w:contextualSpacing/>
        <w:jc w:val="both"/>
        <w:rPr>
          <w:rFonts w:ascii="Palatino Linotype" w:eastAsia="Palatino Linotype" w:hAnsi="Palatino Linotype" w:cs="Palatino Linotype"/>
          <w:sz w:val="22"/>
          <w:szCs w:val="22"/>
        </w:rPr>
      </w:pPr>
    </w:p>
    <w:p w14:paraId="2F4BA4A8" w14:textId="77777777" w:rsidR="00111EE3" w:rsidRPr="000937DF" w:rsidRDefault="00111EE3" w:rsidP="00742C50">
      <w:pPr>
        <w:spacing w:after="160"/>
        <w:ind w:left="1134" w:right="902"/>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b/>
          <w:i/>
          <w:sz w:val="22"/>
          <w:szCs w:val="22"/>
        </w:rPr>
        <w:t xml:space="preserve">“DERECHO FUNDAMENTAL AL HONOR. SU DIMENSIÓN SUBJETIVA Y OBJETIVA. </w:t>
      </w:r>
      <w:r w:rsidRPr="000937DF">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0937DF">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0937DF">
        <w:rPr>
          <w:rFonts w:ascii="Palatino Linotype" w:eastAsia="Palatino Linotype" w:hAnsi="Palatino Linotype" w:cs="Palatino Linotype"/>
          <w:i/>
          <w:sz w:val="22"/>
          <w:szCs w:val="22"/>
        </w:rPr>
        <w:t>.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03F892DB" w14:textId="77777777" w:rsidR="00111EE3" w:rsidRPr="000937DF" w:rsidRDefault="00111EE3" w:rsidP="00111EE3">
      <w:pPr>
        <w:spacing w:after="160" w:line="360" w:lineRule="auto"/>
        <w:ind w:left="851" w:right="902"/>
        <w:contextualSpacing/>
        <w:jc w:val="both"/>
        <w:rPr>
          <w:rFonts w:ascii="Palatino Linotype" w:eastAsia="Palatino Linotype" w:hAnsi="Palatino Linotype" w:cs="Palatino Linotype"/>
          <w:sz w:val="22"/>
          <w:szCs w:val="22"/>
        </w:rPr>
      </w:pPr>
    </w:p>
    <w:p w14:paraId="72269C85"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Theme="minorEastAsia" w:hAnsi="Palatino Linotype" w:cstheme="minorBidi"/>
          <w:sz w:val="22"/>
          <w:szCs w:val="22"/>
          <w:lang w:val="es-ES_tradnl" w:eastAsia="es-ES"/>
        </w:rPr>
        <w:t>Como</w:t>
      </w:r>
      <w:r w:rsidRPr="000937DF">
        <w:rPr>
          <w:rFonts w:ascii="Palatino Linotype" w:eastAsia="Palatino Linotype" w:hAnsi="Palatino Linotype" w:cs="Palatino Linotype"/>
          <w:sz w:val="22"/>
          <w:szCs w:val="22"/>
        </w:rPr>
        <w:t xml:space="preserve"> se observa, el honor es el concepto que la persona tiene de sí misma o que los demás se han </w:t>
      </w:r>
      <w:r w:rsidRPr="000937DF">
        <w:rPr>
          <w:rFonts w:ascii="Palatino Linotype" w:eastAsiaTheme="minorEastAsia" w:hAnsi="Palatino Linotype" w:cs="Calibri"/>
          <w:color w:val="000000"/>
          <w:sz w:val="22"/>
          <w:szCs w:val="22"/>
          <w:lang w:val="es-ES_tradnl" w:eastAsia="es-ES"/>
        </w:rPr>
        <w:t>formado</w:t>
      </w:r>
      <w:r w:rsidRPr="000937DF">
        <w:rPr>
          <w:rFonts w:ascii="Palatino Linotype" w:eastAsia="Palatino Linotype" w:hAnsi="Palatino Linotype" w:cs="Palatino Linotype"/>
          <w:sz w:val="22"/>
          <w:szCs w:val="22"/>
        </w:rPr>
        <w:t xml:space="preserve"> de ella, en virtud de su proceder o de la expresión de su calidad ética y social. </w:t>
      </w:r>
    </w:p>
    <w:p w14:paraId="4E4F86AA" w14:textId="77777777" w:rsidR="00111EE3" w:rsidRPr="000937DF" w:rsidRDefault="00111EE3" w:rsidP="00111EE3">
      <w:pPr>
        <w:spacing w:after="160" w:line="360" w:lineRule="auto"/>
        <w:contextualSpacing/>
        <w:jc w:val="both"/>
        <w:rPr>
          <w:rFonts w:ascii="Palatino Linotype" w:eastAsia="Palatino Linotype" w:hAnsi="Palatino Linotype" w:cs="Palatino Linotype"/>
          <w:sz w:val="22"/>
          <w:szCs w:val="22"/>
        </w:rPr>
      </w:pPr>
    </w:p>
    <w:p w14:paraId="5BEDF468"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sz w:val="22"/>
          <w:szCs w:val="22"/>
        </w:rPr>
      </w:pPr>
      <w:r w:rsidRPr="000937DF">
        <w:rPr>
          <w:rFonts w:ascii="Palatino Linotype" w:eastAsiaTheme="minorEastAsia" w:hAnsi="Palatino Linotype" w:cstheme="minorBidi"/>
          <w:sz w:val="22"/>
          <w:szCs w:val="22"/>
          <w:lang w:val="es-ES_tradnl" w:eastAsia="es-ES"/>
        </w:rPr>
        <w:t>En</w:t>
      </w:r>
      <w:r w:rsidRPr="000937DF">
        <w:rPr>
          <w:rFonts w:ascii="Palatino Linotype" w:eastAsia="Palatino Linotype" w:hAnsi="Palatino Linotype" w:cs="Palatino Linotype"/>
          <w:sz w:val="22"/>
          <w:szCs w:val="22"/>
        </w:rPr>
        <w:t xml:space="preserve"> el </w:t>
      </w:r>
      <w:r w:rsidRPr="000937DF">
        <w:rPr>
          <w:rFonts w:ascii="Palatino Linotype" w:eastAsiaTheme="minorEastAsia" w:hAnsi="Palatino Linotype" w:cs="Calibri"/>
          <w:color w:val="000000"/>
          <w:sz w:val="22"/>
          <w:szCs w:val="22"/>
          <w:lang w:val="es-ES_tradnl" w:eastAsia="es-ES"/>
        </w:rPr>
        <w:t>ámbito</w:t>
      </w:r>
      <w:r w:rsidRPr="000937DF">
        <w:rPr>
          <w:rFonts w:ascii="Palatino Linotype" w:eastAsia="Palatino Linotype" w:hAnsi="Palatino Linotype" w:cs="Palatino Linotype"/>
          <w:sz w:val="22"/>
          <w:szCs w:val="22"/>
        </w:rPr>
        <w:t xml:space="preserve">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w:t>
      </w:r>
      <w:r w:rsidRPr="000937DF">
        <w:rPr>
          <w:rFonts w:ascii="Palatino Linotype" w:eastAsia="Palatino Linotype" w:hAnsi="Palatino Linotype" w:cs="Palatino Linotype"/>
          <w:sz w:val="22"/>
          <w:szCs w:val="22"/>
        </w:rPr>
        <w:lastRenderedPageBreak/>
        <w:t xml:space="preserve">lesionado por todo aquello que lastima el sentimiento de la propia dignidad. </w:t>
      </w:r>
      <w:r w:rsidRPr="000937DF">
        <w:rPr>
          <w:rFonts w:ascii="Palatino Linotype" w:eastAsia="Palatino Linotype" w:hAnsi="Palatino Linotype" w:cs="Palatino Linotype"/>
          <w:b/>
          <w:sz w:val="22"/>
          <w:szCs w:val="22"/>
        </w:rPr>
        <w:t>En el aspecto objetivo, el honor es lesionado por todo aquello que afecta a la reputación que la persona merece.</w:t>
      </w:r>
    </w:p>
    <w:p w14:paraId="52C63304" w14:textId="77777777" w:rsidR="00111EE3" w:rsidRPr="000937DF" w:rsidRDefault="00111EE3" w:rsidP="00111EE3">
      <w:pPr>
        <w:spacing w:after="160" w:line="360" w:lineRule="auto"/>
        <w:contextualSpacing/>
        <w:jc w:val="both"/>
        <w:rPr>
          <w:rFonts w:ascii="Palatino Linotype" w:eastAsia="Palatino Linotype" w:hAnsi="Palatino Linotype" w:cs="Palatino Linotype"/>
          <w:sz w:val="22"/>
          <w:szCs w:val="22"/>
        </w:rPr>
      </w:pPr>
    </w:p>
    <w:p w14:paraId="189FF640"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Adicionalmente, en relación a este derecho [al honor],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4BB6A7E7" w14:textId="77777777" w:rsidR="00111EE3" w:rsidRPr="000937DF" w:rsidRDefault="00111EE3" w:rsidP="00111EE3">
      <w:pPr>
        <w:spacing w:after="160" w:line="360" w:lineRule="auto"/>
        <w:contextualSpacing/>
        <w:jc w:val="both"/>
        <w:rPr>
          <w:rFonts w:ascii="Palatino Linotype" w:eastAsia="Palatino Linotype" w:hAnsi="Palatino Linotype" w:cs="Palatino Linotype"/>
          <w:sz w:val="22"/>
          <w:szCs w:val="22"/>
        </w:rPr>
      </w:pPr>
    </w:p>
    <w:p w14:paraId="39541AAA" w14:textId="77777777" w:rsidR="00111EE3" w:rsidRPr="000937DF" w:rsidRDefault="00111EE3" w:rsidP="00742C50">
      <w:pPr>
        <w:tabs>
          <w:tab w:val="left" w:pos="7938"/>
        </w:tabs>
        <w:spacing w:after="160"/>
        <w:ind w:left="1134" w:right="902"/>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w:t>
      </w:r>
      <w:r w:rsidRPr="000937DF">
        <w:rPr>
          <w:rFonts w:ascii="Palatino Linotype" w:eastAsia="Palatino Linotype" w:hAnsi="Palatino Linotype" w:cs="Palatino Linotype"/>
          <w:b/>
          <w:i/>
          <w:sz w:val="22"/>
          <w:szCs w:val="22"/>
        </w:rPr>
        <w:t xml:space="preserve">DERECHOS AL HONOR, A LA INTIMIDAD Y A LA PROPIA IMAGEN. CONSTITUYEN DERECHOS HUMANOS QUE SE PROTEGEN A TRAVÉS DEL ACTUAL MARCO CONSTITUCIONAL. </w:t>
      </w:r>
      <w:r w:rsidRPr="000937DF">
        <w:rPr>
          <w:rFonts w:ascii="Palatino Linotype" w:eastAsia="Palatino Linotype" w:hAnsi="Palatino Linotype" w:cs="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0937DF">
        <w:rPr>
          <w:rFonts w:ascii="Palatino Linotype" w:eastAsia="Palatino Linotype" w:hAnsi="Palatino Linotype" w:cs="Palatino Linotype"/>
          <w:i/>
          <w:sz w:val="22"/>
          <w:szCs w:val="22"/>
        </w:rPr>
        <w:t>personae</w:t>
      </w:r>
      <w:proofErr w:type="spellEnd"/>
      <w:r w:rsidRPr="000937DF">
        <w:rPr>
          <w:rFonts w:ascii="Palatino Linotype" w:eastAsia="Palatino Linotype" w:hAnsi="Palatino Linotype" w:cs="Palatino Linotype"/>
          <w:i/>
          <w:sz w:val="22"/>
          <w:szCs w:val="22"/>
        </w:rPr>
        <w:t xml:space="preserve">, como rector de la interpretación y aplicación de las normas jurídicas, en aquellas que favorezcan y brinden mayor protección a las personas, aunado a que también precisa de manera clara la obligación de observar los tratados internacionales firmados </w:t>
      </w:r>
      <w:r w:rsidRPr="000937DF">
        <w:rPr>
          <w:rFonts w:ascii="Palatino Linotype" w:eastAsia="Palatino Linotype" w:hAnsi="Palatino Linotype" w:cs="Palatino Linotype"/>
          <w:i/>
          <w:sz w:val="22"/>
          <w:szCs w:val="22"/>
        </w:rPr>
        <w:lastRenderedPageBreak/>
        <w:t>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14:paraId="6A8FCC1D" w14:textId="77777777" w:rsidR="00111EE3" w:rsidRPr="000937DF" w:rsidRDefault="00111EE3" w:rsidP="00742C50">
      <w:pPr>
        <w:tabs>
          <w:tab w:val="left" w:pos="7938"/>
        </w:tabs>
        <w:spacing w:after="160"/>
        <w:ind w:left="1134" w:right="902"/>
        <w:contextualSpacing/>
        <w:jc w:val="both"/>
        <w:rPr>
          <w:rFonts w:ascii="Palatino Linotype" w:eastAsia="Palatino Linotype" w:hAnsi="Palatino Linotype" w:cs="Palatino Linotype"/>
          <w:sz w:val="22"/>
          <w:szCs w:val="22"/>
        </w:rPr>
      </w:pPr>
    </w:p>
    <w:p w14:paraId="29966501"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Tocante a la </w:t>
      </w:r>
      <w:r w:rsidRPr="000937DF">
        <w:rPr>
          <w:rFonts w:ascii="Palatino Linotype" w:eastAsia="Palatino Linotype" w:hAnsi="Palatino Linotype" w:cs="Palatino Linotype"/>
          <w:b/>
          <w:sz w:val="22"/>
          <w:szCs w:val="22"/>
        </w:rPr>
        <w:t xml:space="preserve">presunción de inocencia, </w:t>
      </w:r>
      <w:r w:rsidRPr="000937DF">
        <w:rPr>
          <w:rFonts w:ascii="Palatino Linotype" w:eastAsia="Palatino Linotype" w:hAnsi="Palatino Linotype" w:cs="Palatino Linotype"/>
          <w:sz w:val="22"/>
          <w:szCs w:val="22"/>
        </w:rPr>
        <w:t xml:space="preserve">es de mencionar que toda persona imputada tiene, entre otros, el derecho a que se presuma su inocencia mientras no se declare su </w:t>
      </w:r>
      <w:r w:rsidRPr="000937DF">
        <w:rPr>
          <w:rFonts w:ascii="Palatino Linotype" w:eastAsiaTheme="minorEastAsia" w:hAnsi="Palatino Linotype" w:cs="Calibri"/>
          <w:color w:val="000000"/>
          <w:sz w:val="22"/>
          <w:szCs w:val="22"/>
          <w:lang w:val="es-ES_tradnl" w:eastAsia="es-ES"/>
        </w:rPr>
        <w:t>responsabilidad</w:t>
      </w:r>
      <w:r w:rsidRPr="000937DF">
        <w:rPr>
          <w:rFonts w:ascii="Palatino Linotype" w:eastAsia="Palatino Linotype" w:hAnsi="Palatino Linotype" w:cs="Palatino Linotype"/>
          <w:sz w:val="22"/>
          <w:szCs w:val="22"/>
        </w:rPr>
        <w:t xml:space="preserve"> mediante sentencia emitida por el juez de la causa, donde compruebe su culpabilidad.  tal como lo prevé la fracción I del apartado B, del artículo 20, de la Constitución Política de los Estados Unidos Mexicanos.</w:t>
      </w:r>
    </w:p>
    <w:p w14:paraId="09ADA37E" w14:textId="77777777" w:rsidR="00111EE3" w:rsidRPr="000937DF" w:rsidRDefault="00111EE3" w:rsidP="00111EE3">
      <w:pPr>
        <w:tabs>
          <w:tab w:val="left" w:pos="3962"/>
        </w:tabs>
        <w:spacing w:after="160" w:line="360" w:lineRule="auto"/>
        <w:contextualSpacing/>
        <w:jc w:val="both"/>
        <w:rPr>
          <w:rFonts w:ascii="Palatino Linotype" w:eastAsia="Palatino Linotype" w:hAnsi="Palatino Linotype" w:cs="Palatino Linotype"/>
          <w:sz w:val="22"/>
          <w:szCs w:val="22"/>
        </w:rPr>
      </w:pPr>
    </w:p>
    <w:p w14:paraId="6565E13A"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Sostiene lo anterior, la jurisprudencia 1a./J. 24/2014 (10a.), emitida por la Primera Sala de la Suprema Corte de Justicia de la Nación, publicada en la Gaceta del Semanario Judicial de la Federación, Tomo I, Libro 5, página 497, de abril de 2014, Décima Época, materia constitucional, de rubro y texto siguiente:</w:t>
      </w:r>
    </w:p>
    <w:p w14:paraId="107E60B7" w14:textId="77777777" w:rsidR="00111EE3" w:rsidRPr="000937DF" w:rsidRDefault="00111EE3" w:rsidP="00111EE3">
      <w:pPr>
        <w:tabs>
          <w:tab w:val="left" w:pos="3962"/>
        </w:tabs>
        <w:spacing w:after="160" w:line="360" w:lineRule="auto"/>
        <w:contextualSpacing/>
        <w:jc w:val="both"/>
        <w:rPr>
          <w:rFonts w:ascii="Palatino Linotype" w:eastAsia="Palatino Linotype" w:hAnsi="Palatino Linotype" w:cs="Palatino Linotype"/>
          <w:sz w:val="22"/>
          <w:szCs w:val="22"/>
        </w:rPr>
      </w:pPr>
    </w:p>
    <w:p w14:paraId="5B50FC82" w14:textId="77777777" w:rsidR="00111EE3" w:rsidRPr="000937DF" w:rsidRDefault="00111EE3" w:rsidP="00742C50">
      <w:pPr>
        <w:tabs>
          <w:tab w:val="left" w:pos="3962"/>
        </w:tabs>
        <w:spacing w:after="160"/>
        <w:ind w:left="1134" w:right="902"/>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w:t>
      </w:r>
      <w:r w:rsidRPr="000937DF">
        <w:rPr>
          <w:rFonts w:ascii="Palatino Linotype" w:eastAsia="Palatino Linotype" w:hAnsi="Palatino Linotype" w:cs="Palatino Linotype"/>
          <w:b/>
          <w:i/>
          <w:sz w:val="22"/>
          <w:szCs w:val="22"/>
        </w:rPr>
        <w:t>PRESUNCIÓN DE INOCENCIA COMO REGLA DE TRATO PROCESAL</w:t>
      </w:r>
      <w:r w:rsidRPr="000937DF">
        <w:rPr>
          <w:rFonts w:ascii="Palatino Linotype" w:eastAsia="Palatino Linotype" w:hAnsi="Palatino Linotype" w:cs="Palatino Linotype"/>
          <w:i/>
          <w:sz w:val="22"/>
          <w:szCs w:val="22"/>
        </w:rPr>
        <w:t xml:space="preserve">.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de tratamiento" del imputado, en la medida en que este derecho establece la forma en la que debe tratarse a una persona que está sometida a proceso penal. En este sentido, la presunción de inocencia comporta </w:t>
      </w:r>
      <w:r w:rsidRPr="000937DF">
        <w:rPr>
          <w:rFonts w:ascii="Palatino Linotype" w:eastAsia="Palatino Linotype" w:hAnsi="Palatino Linotype" w:cs="Palatino Linotype"/>
          <w:i/>
          <w:sz w:val="22"/>
          <w:szCs w:val="22"/>
        </w:rPr>
        <w:lastRenderedPageBreak/>
        <w:t>el derecho de toda persona a ser tratado como inocente en tanto no se declare su culpabilidad por virtud de una sentencia condenatoria. Dicha manifestación de la presunción de inocencia ordena a los jueces impedir en la mayor medida posible la aplicación de medidas que impliquen una equiparación de hecho entre imputado y culpable, es decir, conlleva la prohibición de cualquier tipo de resolución judicial que suponga la anticipación de la pena.”</w:t>
      </w:r>
    </w:p>
    <w:p w14:paraId="4CF3F1A0" w14:textId="77777777" w:rsidR="00111EE3" w:rsidRPr="000937DF" w:rsidRDefault="00111EE3" w:rsidP="00111EE3">
      <w:pPr>
        <w:tabs>
          <w:tab w:val="left" w:pos="3962"/>
        </w:tabs>
        <w:spacing w:after="160" w:line="360" w:lineRule="auto"/>
        <w:ind w:left="992" w:right="902"/>
        <w:contextualSpacing/>
        <w:jc w:val="both"/>
        <w:rPr>
          <w:rFonts w:ascii="Palatino Linotype" w:eastAsia="Palatino Linotype" w:hAnsi="Palatino Linotype" w:cs="Palatino Linotype"/>
          <w:sz w:val="22"/>
          <w:szCs w:val="22"/>
        </w:rPr>
      </w:pPr>
    </w:p>
    <w:p w14:paraId="45895E44"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De la jurisprudencia transcrita deviene que la presunción de inocencia se traduce en el derecho de toda persona a ser tratado como inocente en tanto no se declare su </w:t>
      </w:r>
      <w:r w:rsidRPr="000937DF">
        <w:rPr>
          <w:rFonts w:ascii="Palatino Linotype" w:eastAsiaTheme="minorEastAsia" w:hAnsi="Palatino Linotype" w:cs="Calibri"/>
          <w:color w:val="000000"/>
          <w:sz w:val="22"/>
          <w:szCs w:val="22"/>
          <w:lang w:val="es-ES_tradnl" w:eastAsia="es-ES"/>
        </w:rPr>
        <w:t>culpabilidad</w:t>
      </w:r>
      <w:r w:rsidRPr="000937DF">
        <w:rPr>
          <w:rFonts w:ascii="Palatino Linotype" w:eastAsia="Palatino Linotype" w:hAnsi="Palatino Linotype" w:cs="Palatino Linotype"/>
          <w:sz w:val="22"/>
          <w:szCs w:val="22"/>
        </w:rPr>
        <w:t xml:space="preserve"> por virtud de una sentencia condenatoria. Dicha manifestación, conlleva la prohibición de cualquier tipo de resolución judicial que suponga la anticipación de la pena, siendo importante mencionar que dicho Derecho se encuentra regulado, de la misma manera, en Declaración Universal de los Derechos Humanos, así como, el Pacto Internacional de Derechos Civiles y Políticos y la Convención Americana sobre Derechos Humanos.</w:t>
      </w:r>
    </w:p>
    <w:p w14:paraId="41F23A0F" w14:textId="77777777" w:rsidR="00111EE3" w:rsidRPr="000937DF" w:rsidRDefault="00111EE3" w:rsidP="00111EE3">
      <w:pPr>
        <w:tabs>
          <w:tab w:val="left" w:pos="3962"/>
        </w:tabs>
        <w:spacing w:after="160" w:line="360" w:lineRule="auto"/>
        <w:contextualSpacing/>
        <w:jc w:val="both"/>
        <w:rPr>
          <w:rFonts w:ascii="Palatino Linotype" w:eastAsia="Palatino Linotype" w:hAnsi="Palatino Linotype" w:cs="Palatino Linotype"/>
          <w:sz w:val="22"/>
          <w:szCs w:val="22"/>
        </w:rPr>
      </w:pPr>
    </w:p>
    <w:p w14:paraId="04AA25BF"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En el mismo orden de ideas, la tesis aislada número 2a. XXXV/2007, emitida por la Segunda Sala de la Suprema Corte de Justicia de la Nación, publicada en la Gaceta del Semanario </w:t>
      </w:r>
      <w:r w:rsidRPr="000937DF">
        <w:rPr>
          <w:rFonts w:ascii="Palatino Linotype" w:eastAsiaTheme="minorEastAsia" w:hAnsi="Palatino Linotype" w:cs="Calibri"/>
          <w:color w:val="000000"/>
          <w:sz w:val="22"/>
          <w:szCs w:val="22"/>
          <w:lang w:val="es-ES_tradnl" w:eastAsia="es-ES"/>
        </w:rPr>
        <w:t>Judicial</w:t>
      </w:r>
      <w:r w:rsidRPr="000937DF">
        <w:rPr>
          <w:rFonts w:ascii="Palatino Linotype" w:eastAsia="Palatino Linotype" w:hAnsi="Palatino Linotype" w:cs="Palatino Linotype"/>
          <w:sz w:val="22"/>
          <w:szCs w:val="22"/>
        </w:rPr>
        <w:t xml:space="preserve"> de la Federación, Tomo XXV, de mayo de dos mil siete, página 1186, de la Novena Época, materia constitucional y penal, establece:</w:t>
      </w:r>
    </w:p>
    <w:p w14:paraId="0E76D121" w14:textId="77777777" w:rsidR="00111EE3" w:rsidRPr="000937DF" w:rsidRDefault="00111EE3" w:rsidP="00111EE3">
      <w:pPr>
        <w:tabs>
          <w:tab w:val="left" w:pos="3962"/>
        </w:tabs>
        <w:spacing w:after="160" w:line="360" w:lineRule="auto"/>
        <w:contextualSpacing/>
        <w:jc w:val="both"/>
        <w:rPr>
          <w:rFonts w:ascii="Palatino Linotype" w:eastAsia="Palatino Linotype" w:hAnsi="Palatino Linotype" w:cs="Palatino Linotype"/>
          <w:sz w:val="22"/>
          <w:szCs w:val="22"/>
        </w:rPr>
      </w:pPr>
    </w:p>
    <w:p w14:paraId="7F419010" w14:textId="77777777" w:rsidR="00111EE3" w:rsidRPr="000937DF" w:rsidRDefault="00111EE3" w:rsidP="00742C50">
      <w:pPr>
        <w:spacing w:after="160"/>
        <w:ind w:left="1134" w:right="1134"/>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b/>
          <w:i/>
          <w:sz w:val="22"/>
          <w:szCs w:val="22"/>
        </w:rPr>
        <w:t xml:space="preserve">“PRESUNCIÓN DE INOCENCIA. ALCANCES DE ESE PRINCIPIO CONSTITUCIONAL. </w:t>
      </w:r>
      <w:r w:rsidRPr="000937DF">
        <w:rPr>
          <w:rFonts w:ascii="Palatino Linotype" w:eastAsia="Palatino Linotype" w:hAnsi="Palatino Linotype" w:cs="Palatino Linotype"/>
          <w:i/>
          <w:sz w:val="22"/>
          <w:szCs w:val="22"/>
        </w:rPr>
        <w:t xml:space="preserve">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w:t>
      </w:r>
      <w:r w:rsidRPr="000937DF">
        <w:rPr>
          <w:rFonts w:ascii="Palatino Linotype" w:eastAsia="Palatino Linotype" w:hAnsi="Palatino Linotype" w:cs="Palatino Linotype"/>
          <w:i/>
          <w:sz w:val="22"/>
          <w:szCs w:val="22"/>
        </w:rPr>
        <w:lastRenderedPageBreak/>
        <w:t>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14:paraId="1140B50B" w14:textId="77777777" w:rsidR="00111EE3" w:rsidRPr="000937DF" w:rsidRDefault="00111EE3" w:rsidP="00111EE3">
      <w:pPr>
        <w:spacing w:after="120" w:line="360" w:lineRule="auto"/>
        <w:ind w:left="851" w:right="1134"/>
        <w:contextualSpacing/>
        <w:jc w:val="both"/>
        <w:rPr>
          <w:rFonts w:ascii="Palatino Linotype" w:eastAsia="Palatino Linotype" w:hAnsi="Palatino Linotype" w:cs="Palatino Linotype"/>
          <w:i/>
          <w:sz w:val="22"/>
          <w:szCs w:val="22"/>
        </w:rPr>
      </w:pPr>
    </w:p>
    <w:p w14:paraId="7A6E2AF4"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Como se observa, el Alto Tribunal sostiene que el principio de presunción de inocencia va más allá del ámbito estrictamente procesal, en aras de proteger la </w:t>
      </w:r>
      <w:r w:rsidR="00742C50" w:rsidRPr="000937DF">
        <w:rPr>
          <w:rFonts w:ascii="Palatino Linotype" w:eastAsia="Palatino Linotype" w:hAnsi="Palatino Linotype" w:cs="Palatino Linotype"/>
          <w:sz w:val="22"/>
          <w:szCs w:val="22"/>
        </w:rPr>
        <w:t xml:space="preserve">esfera jurídica de la persona </w:t>
      </w:r>
      <w:r w:rsidRPr="000937DF">
        <w:rPr>
          <w:rFonts w:ascii="Palatino Linotype" w:eastAsia="Palatino Linotype" w:hAnsi="Palatino Linotype" w:cs="Palatino Linotype"/>
          <w:sz w:val="22"/>
          <w:szCs w:val="22"/>
        </w:rPr>
        <w:t xml:space="preserve">que se ve en peligro ante actuaciones arbitrarias por parte del poder público. Así, dicho </w:t>
      </w:r>
      <w:r w:rsidRPr="000937DF">
        <w:rPr>
          <w:rFonts w:ascii="Palatino Linotype" w:eastAsiaTheme="minorEastAsia" w:hAnsi="Palatino Linotype" w:cs="Calibri"/>
          <w:color w:val="000000"/>
          <w:sz w:val="22"/>
          <w:szCs w:val="22"/>
          <w:lang w:val="es-ES_tradnl" w:eastAsia="es-ES"/>
        </w:rPr>
        <w:t>principio</w:t>
      </w:r>
      <w:r w:rsidRPr="000937DF">
        <w:rPr>
          <w:rFonts w:ascii="Palatino Linotype" w:eastAsia="Palatino Linotype" w:hAnsi="Palatino Linotype" w:cs="Palatino Linotype"/>
          <w:sz w:val="22"/>
          <w:szCs w:val="22"/>
        </w:rPr>
        <w:t xml:space="preserve"> guarda también una faceta “extraprocesal” que se materializa a través de un trato de inocente para el inculpado mientras no se demuestre su culpabilidad.</w:t>
      </w:r>
    </w:p>
    <w:p w14:paraId="6F72C92D" w14:textId="77777777" w:rsidR="00111EE3" w:rsidRPr="000937DF" w:rsidRDefault="00111EE3" w:rsidP="00111EE3">
      <w:pPr>
        <w:tabs>
          <w:tab w:val="left" w:pos="3962"/>
        </w:tabs>
        <w:spacing w:after="160" w:line="360" w:lineRule="auto"/>
        <w:contextualSpacing/>
        <w:jc w:val="both"/>
        <w:rPr>
          <w:rFonts w:ascii="Palatino Linotype" w:eastAsia="Palatino Linotype" w:hAnsi="Palatino Linotype" w:cs="Palatino Linotype"/>
          <w:sz w:val="22"/>
          <w:szCs w:val="22"/>
        </w:rPr>
      </w:pPr>
    </w:p>
    <w:p w14:paraId="219CAAFA" w14:textId="0E57C288"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sz w:val="22"/>
          <w:szCs w:val="22"/>
          <w:u w:val="single"/>
        </w:rPr>
      </w:pPr>
      <w:r w:rsidRPr="000937DF">
        <w:rPr>
          <w:rFonts w:ascii="Palatino Linotype" w:eastAsiaTheme="minorEastAsia" w:hAnsi="Palatino Linotype" w:cs="Calibri"/>
          <w:color w:val="000000"/>
          <w:sz w:val="22"/>
          <w:szCs w:val="22"/>
          <w:lang w:val="es-ES_tradnl" w:eastAsia="es-ES"/>
        </w:rPr>
        <w:t>Conforme</w:t>
      </w:r>
      <w:r w:rsidRPr="000937DF">
        <w:rPr>
          <w:rFonts w:ascii="Palatino Linotype" w:eastAsia="Palatino Linotype" w:hAnsi="Palatino Linotype" w:cs="Palatino Linotype"/>
          <w:sz w:val="22"/>
          <w:szCs w:val="22"/>
        </w:rPr>
        <w:t xml:space="preserve"> a lo expuesto, </w:t>
      </w:r>
      <w:r w:rsidRPr="000937DF">
        <w:rPr>
          <w:rFonts w:ascii="Palatino Linotype" w:eastAsia="Palatino Linotype" w:hAnsi="Palatino Linotype" w:cs="Palatino Linotype"/>
          <w:b/>
          <w:sz w:val="22"/>
          <w:szCs w:val="22"/>
          <w:u w:val="single"/>
        </w:rPr>
        <w:t xml:space="preserve">el </w:t>
      </w:r>
      <w:r w:rsidR="0099513A" w:rsidRPr="000937DF">
        <w:rPr>
          <w:rFonts w:ascii="Palatino Linotype" w:eastAsia="Palatino Linotype" w:hAnsi="Palatino Linotype" w:cs="Palatino Linotype"/>
          <w:b/>
          <w:sz w:val="22"/>
          <w:szCs w:val="22"/>
          <w:u w:val="single"/>
        </w:rPr>
        <w:t xml:space="preserve">entregar </w:t>
      </w:r>
      <w:r w:rsidRPr="000937DF">
        <w:rPr>
          <w:rFonts w:ascii="Palatino Linotype" w:eastAsia="Palatino Linotype" w:hAnsi="Palatino Linotype" w:cs="Palatino Linotype"/>
          <w:b/>
          <w:sz w:val="22"/>
          <w:szCs w:val="22"/>
          <w:u w:val="single"/>
        </w:rPr>
        <w:t xml:space="preserve"> </w:t>
      </w:r>
      <w:r w:rsidR="00742C50" w:rsidRPr="000937DF">
        <w:rPr>
          <w:rFonts w:ascii="Palatino Linotype" w:eastAsia="Palatino Linotype" w:hAnsi="Palatino Linotype" w:cs="Palatino Linotype"/>
          <w:b/>
          <w:sz w:val="22"/>
          <w:szCs w:val="22"/>
          <w:u w:val="single"/>
        </w:rPr>
        <w:t>el nombre y cargo de la persona referida en la solicitud de información de ser el caso que hubiera o sea servidor público</w:t>
      </w:r>
      <w:r w:rsidRPr="000937DF">
        <w:rPr>
          <w:rFonts w:ascii="Palatino Linotype" w:eastAsia="Palatino Linotype" w:hAnsi="Palatino Linotype" w:cs="Palatino Linotype"/>
          <w:b/>
          <w:sz w:val="22"/>
          <w:szCs w:val="22"/>
          <w:u w:val="single"/>
        </w:rPr>
        <w:t xml:space="preserve"> cuyos procedimientos se encuentre en trámite de probable responsabilidad, generaría un juicio a priori o un juicio negativo en contra </w:t>
      </w:r>
      <w:r w:rsidR="00742C50" w:rsidRPr="000937DF">
        <w:rPr>
          <w:rFonts w:ascii="Palatino Linotype" w:eastAsia="Palatino Linotype" w:hAnsi="Palatino Linotype" w:cs="Palatino Linotype"/>
          <w:b/>
          <w:sz w:val="22"/>
          <w:szCs w:val="22"/>
          <w:u w:val="single"/>
        </w:rPr>
        <w:t>del servidor público</w:t>
      </w:r>
      <w:r w:rsidRPr="000937DF">
        <w:rPr>
          <w:rFonts w:ascii="Palatino Linotype" w:eastAsia="Palatino Linotype" w:hAnsi="Palatino Linotype" w:cs="Palatino Linotype"/>
          <w:b/>
          <w:sz w:val="22"/>
          <w:szCs w:val="22"/>
          <w:u w:val="single"/>
        </w:rPr>
        <w:t xml:space="preserve"> por parte de la sociedad, sin que se hayan reunido los elementos para establecer </w:t>
      </w:r>
      <w:r w:rsidR="00742C50" w:rsidRPr="000937DF">
        <w:rPr>
          <w:rFonts w:ascii="Palatino Linotype" w:eastAsia="Palatino Linotype" w:hAnsi="Palatino Linotype" w:cs="Palatino Linotype"/>
          <w:b/>
          <w:sz w:val="22"/>
          <w:szCs w:val="22"/>
          <w:u w:val="single"/>
        </w:rPr>
        <w:t>si es o no responsable</w:t>
      </w:r>
      <w:r w:rsidRPr="000937DF">
        <w:rPr>
          <w:rFonts w:ascii="Palatino Linotype" w:eastAsia="Palatino Linotype" w:hAnsi="Palatino Linotype" w:cs="Palatino Linotype"/>
          <w:b/>
          <w:sz w:val="22"/>
          <w:szCs w:val="22"/>
          <w:u w:val="single"/>
        </w:rPr>
        <w:t>, vulnerando así la protección de su intimidad, su honor, la buena imagen y su derecho a la presunción de inocencia.</w:t>
      </w:r>
    </w:p>
    <w:p w14:paraId="1257F464" w14:textId="77777777" w:rsidR="00111EE3" w:rsidRPr="000937DF" w:rsidRDefault="00111EE3" w:rsidP="00111EE3">
      <w:pPr>
        <w:tabs>
          <w:tab w:val="left" w:pos="3962"/>
        </w:tabs>
        <w:spacing w:after="160" w:line="360" w:lineRule="auto"/>
        <w:contextualSpacing/>
        <w:jc w:val="both"/>
        <w:rPr>
          <w:rFonts w:ascii="Palatino Linotype" w:eastAsia="Palatino Linotype" w:hAnsi="Palatino Linotype" w:cs="Palatino Linotype"/>
          <w:b/>
          <w:sz w:val="22"/>
          <w:szCs w:val="22"/>
          <w:u w:val="single"/>
        </w:rPr>
      </w:pPr>
    </w:p>
    <w:p w14:paraId="53476350"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Bajo lo previo, se considera que</w:t>
      </w:r>
      <w:r w:rsidRPr="000937DF">
        <w:rPr>
          <w:rFonts w:ascii="Palatino Linotype" w:eastAsia="Palatino Linotype" w:hAnsi="Palatino Linotype" w:cs="Palatino Linotype"/>
          <w:b/>
          <w:sz w:val="22"/>
          <w:szCs w:val="22"/>
        </w:rPr>
        <w:t xml:space="preserve"> </w:t>
      </w:r>
      <w:r w:rsidRPr="000937DF">
        <w:rPr>
          <w:rFonts w:ascii="Palatino Linotype" w:eastAsia="Palatino Linotype" w:hAnsi="Palatino Linotype" w:cs="Palatino Linotype"/>
          <w:b/>
          <w:sz w:val="22"/>
          <w:szCs w:val="22"/>
          <w:u w:val="single"/>
        </w:rPr>
        <w:t>la clasificación del nombre y cargo sobre la existencia de algún procedimiento en trámite de responsabilidad por faltas graves o no graves que s</w:t>
      </w:r>
      <w:r w:rsidR="00BC310E" w:rsidRPr="000937DF">
        <w:rPr>
          <w:rFonts w:ascii="Palatino Linotype" w:eastAsia="Palatino Linotype" w:hAnsi="Palatino Linotype" w:cs="Palatino Linotype"/>
          <w:b/>
          <w:sz w:val="22"/>
          <w:szCs w:val="22"/>
          <w:u w:val="single"/>
        </w:rPr>
        <w:t>e hubiera iniciado en contra de la persona referida en la solicitud de información de ser el caso que hubiera o sea servidor público</w:t>
      </w:r>
      <w:r w:rsidRPr="000937DF">
        <w:rPr>
          <w:rFonts w:ascii="Palatino Linotype" w:eastAsia="Palatino Linotype" w:hAnsi="Palatino Linotype" w:cs="Palatino Linotype"/>
          <w:b/>
          <w:sz w:val="22"/>
          <w:szCs w:val="22"/>
          <w:u w:val="single"/>
        </w:rPr>
        <w:t>, deberá clasificarse en términos del artículo 143, fracción I, de la Ley de Transparencia y Acceso a la Información Pública del Estado de México y Municipios</w:t>
      </w:r>
      <w:r w:rsidRPr="000937DF">
        <w:rPr>
          <w:rFonts w:ascii="Palatino Linotype" w:eastAsia="Palatino Linotype" w:hAnsi="Palatino Linotype" w:cs="Palatino Linotype"/>
          <w:b/>
          <w:sz w:val="22"/>
          <w:szCs w:val="22"/>
        </w:rPr>
        <w:t xml:space="preserve">, </w:t>
      </w:r>
      <w:r w:rsidRPr="000937DF">
        <w:rPr>
          <w:rFonts w:ascii="Palatino Linotype" w:eastAsia="Palatino Linotype" w:hAnsi="Palatino Linotype" w:cs="Palatino Linotype"/>
          <w:sz w:val="22"/>
          <w:szCs w:val="22"/>
        </w:rPr>
        <w:t>que es del tenor literal siguiente:</w:t>
      </w:r>
    </w:p>
    <w:p w14:paraId="74B9DCBC" w14:textId="77777777" w:rsidR="00111EE3" w:rsidRPr="000937DF" w:rsidRDefault="00111EE3" w:rsidP="00111EE3">
      <w:pPr>
        <w:tabs>
          <w:tab w:val="left" w:pos="3962"/>
        </w:tabs>
        <w:spacing w:after="160" w:line="360" w:lineRule="auto"/>
        <w:contextualSpacing/>
        <w:jc w:val="both"/>
        <w:rPr>
          <w:rFonts w:ascii="Palatino Linotype" w:eastAsia="Palatino Linotype" w:hAnsi="Palatino Linotype" w:cs="Palatino Linotype"/>
          <w:b/>
          <w:sz w:val="22"/>
          <w:szCs w:val="22"/>
          <w:u w:val="single"/>
        </w:rPr>
      </w:pPr>
    </w:p>
    <w:p w14:paraId="19560EFC" w14:textId="77777777" w:rsidR="00111EE3" w:rsidRPr="000937DF" w:rsidRDefault="00111EE3" w:rsidP="00111EE3">
      <w:pPr>
        <w:tabs>
          <w:tab w:val="left" w:pos="3962"/>
        </w:tabs>
        <w:spacing w:after="120" w:line="276" w:lineRule="auto"/>
        <w:ind w:left="1134" w:right="902"/>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lastRenderedPageBreak/>
        <w:t>“</w:t>
      </w:r>
      <w:r w:rsidRPr="000937DF">
        <w:rPr>
          <w:rFonts w:ascii="Palatino Linotype" w:eastAsia="Palatino Linotype" w:hAnsi="Palatino Linotype" w:cs="Palatino Linotype"/>
          <w:b/>
          <w:i/>
          <w:sz w:val="22"/>
          <w:szCs w:val="22"/>
        </w:rPr>
        <w:t>Artículo 143</w:t>
      </w:r>
      <w:r w:rsidRPr="000937D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589A899" w14:textId="77777777" w:rsidR="00111EE3" w:rsidRPr="000937DF" w:rsidRDefault="00111EE3" w:rsidP="00111EE3">
      <w:pPr>
        <w:tabs>
          <w:tab w:val="left" w:pos="3962"/>
        </w:tabs>
        <w:spacing w:before="120" w:after="120" w:line="276" w:lineRule="auto"/>
        <w:ind w:left="1134" w:right="902"/>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b/>
          <w:i/>
          <w:sz w:val="22"/>
          <w:szCs w:val="22"/>
        </w:rPr>
        <w:t>I.</w:t>
      </w:r>
      <w:r w:rsidRPr="000937D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D15C142" w14:textId="77777777" w:rsidR="00111EE3" w:rsidRPr="000937DF" w:rsidRDefault="00111EE3" w:rsidP="00111EE3">
      <w:pPr>
        <w:tabs>
          <w:tab w:val="left" w:pos="3962"/>
        </w:tabs>
        <w:spacing w:before="120" w:after="120" w:line="360" w:lineRule="auto"/>
        <w:ind w:left="851" w:right="902"/>
        <w:contextualSpacing/>
        <w:jc w:val="both"/>
        <w:rPr>
          <w:rFonts w:ascii="Palatino Linotype" w:eastAsia="Palatino Linotype" w:hAnsi="Palatino Linotype" w:cs="Palatino Linotype"/>
          <w:i/>
          <w:sz w:val="22"/>
          <w:szCs w:val="22"/>
        </w:rPr>
      </w:pPr>
    </w:p>
    <w:p w14:paraId="4E2CFA2D" w14:textId="11B56F62" w:rsidR="00030BC0" w:rsidRPr="000937DF" w:rsidRDefault="00030BC0" w:rsidP="00967F43">
      <w:pPr>
        <w:pStyle w:val="Prrafodelista"/>
        <w:numPr>
          <w:ilvl w:val="0"/>
          <w:numId w:val="19"/>
        </w:numPr>
        <w:spacing w:line="360" w:lineRule="auto"/>
        <w:ind w:left="0" w:right="-787" w:firstLine="0"/>
        <w:jc w:val="both"/>
        <w:rPr>
          <w:rFonts w:ascii="Palatino Linotype" w:eastAsiaTheme="minorEastAsia" w:hAnsi="Palatino Linotype" w:cs="Calibri"/>
          <w:b/>
          <w:color w:val="000000"/>
          <w:lang w:val="es-ES_tradnl" w:eastAsia="es-ES"/>
        </w:rPr>
      </w:pPr>
      <w:r w:rsidRPr="000937DF">
        <w:rPr>
          <w:rFonts w:ascii="Palatino Linotype" w:hAnsi="Palatino Linotype"/>
          <w:bCs/>
        </w:rPr>
        <w:t xml:space="preserve">Ahora bien, </w:t>
      </w:r>
      <w:r w:rsidRPr="000937DF">
        <w:rPr>
          <w:rFonts w:ascii="Palatino Linotype" w:hAnsi="Palatino Linotype"/>
          <w:b/>
          <w:bCs/>
        </w:rPr>
        <w:t xml:space="preserve">el Sujeto Obligado refiere </w:t>
      </w:r>
      <w:r w:rsidRPr="000937DF">
        <w:rPr>
          <w:rFonts w:ascii="Palatino Linotype" w:hAnsi="Palatino Linotype"/>
        </w:rPr>
        <w:t xml:space="preserve">que en el personal administrativo no encontró información y respecto al personal operativo remite el Acuerdo de Clasificación mediante el cual clasifica el pronunciamiento en sentido afirmativo o negativo respecto a si la persona referida en la solicitud de información forma o formo parte del personal operativo de la Fiscalía General de Justicia del Estado de México,   </w:t>
      </w:r>
      <w:r w:rsidRPr="000937DF">
        <w:rPr>
          <w:rFonts w:ascii="Palatino Linotype" w:hAnsi="Palatino Linotype"/>
          <w:bCs/>
        </w:rPr>
        <w:t xml:space="preserve">por lo que se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 </w:t>
      </w:r>
    </w:p>
    <w:p w14:paraId="2E86816A" w14:textId="77777777" w:rsidR="00030BC0" w:rsidRPr="000937DF" w:rsidRDefault="00030BC0" w:rsidP="00967F43">
      <w:pPr>
        <w:pStyle w:val="Sinespaciado"/>
        <w:numPr>
          <w:ilvl w:val="0"/>
          <w:numId w:val="29"/>
        </w:numPr>
        <w:spacing w:before="240" w:line="360" w:lineRule="auto"/>
        <w:ind w:right="-787"/>
        <w:jc w:val="both"/>
        <w:rPr>
          <w:rFonts w:ascii="Palatino Linotype" w:hAnsi="Palatino Linotype"/>
          <w:b/>
          <w:bCs/>
          <w:lang w:val="es-ES"/>
        </w:rPr>
      </w:pPr>
      <w:r w:rsidRPr="000937DF">
        <w:rPr>
          <w:rFonts w:ascii="Palatino Linotype" w:hAnsi="Palatino Linotype"/>
          <w:b/>
          <w:bCs/>
          <w:lang w:val="es-ES"/>
        </w:rPr>
        <w:t>Información confidencial:</w:t>
      </w:r>
      <w:r w:rsidRPr="000937DF">
        <w:rPr>
          <w:rFonts w:ascii="Palatino Linotype" w:hAnsi="Palatino Linotype"/>
          <w:bCs/>
          <w:lang w:val="es-ES"/>
        </w:rPr>
        <w:t xml:space="preserve"> Se considera como información confidencial los </w:t>
      </w:r>
      <w:r w:rsidRPr="000937DF">
        <w:rPr>
          <w:rFonts w:ascii="Palatino Linotype" w:hAnsi="Palatino Linotype"/>
          <w:b/>
          <w:bCs/>
          <w:lang w:val="es-ES"/>
        </w:rPr>
        <w:t xml:space="preserve">secretos bancario, fiduciario, industrial, comercial, fiscal, bursátil y postal, cuya titularidad corresponda a particulares, sujetos de derecho internacional o a sujetos obligados cuando no involucren el ejercicio de recursos públicos. </w:t>
      </w:r>
    </w:p>
    <w:p w14:paraId="791F9D04" w14:textId="77777777" w:rsidR="00030BC0" w:rsidRPr="000937DF" w:rsidRDefault="00030BC0" w:rsidP="00967F43">
      <w:pPr>
        <w:pStyle w:val="Sinespaciado"/>
        <w:numPr>
          <w:ilvl w:val="0"/>
          <w:numId w:val="29"/>
        </w:numPr>
        <w:spacing w:before="240" w:line="360" w:lineRule="auto"/>
        <w:ind w:right="-787"/>
        <w:jc w:val="both"/>
        <w:rPr>
          <w:rFonts w:ascii="Palatino Linotype" w:hAnsi="Palatino Linotype"/>
          <w:bCs/>
          <w:lang w:val="es-ES"/>
        </w:rPr>
      </w:pPr>
      <w:r w:rsidRPr="000937DF">
        <w:rPr>
          <w:rFonts w:ascii="Palatino Linotype" w:hAnsi="Palatino Linotype"/>
          <w:b/>
          <w:bCs/>
          <w:lang w:val="es-ES"/>
        </w:rPr>
        <w:t>Información privada:</w:t>
      </w:r>
      <w:r w:rsidRPr="000937DF">
        <w:rPr>
          <w:rFonts w:ascii="Palatino Linotype" w:hAnsi="Palatino Linotype"/>
          <w:bCs/>
          <w:lang w:val="es-ES"/>
        </w:rPr>
        <w:t xml:space="preserve"> La contenida en documentos públicos o privados que refiera a la vida privada y/o los datos personales, que no son de acceso público. </w:t>
      </w:r>
    </w:p>
    <w:p w14:paraId="4CD796AB" w14:textId="77777777" w:rsidR="00030BC0" w:rsidRPr="000937DF" w:rsidRDefault="00030BC0" w:rsidP="00967F43">
      <w:pPr>
        <w:pStyle w:val="Sinespaciado"/>
        <w:numPr>
          <w:ilvl w:val="0"/>
          <w:numId w:val="29"/>
        </w:numPr>
        <w:spacing w:before="240" w:line="360" w:lineRule="auto"/>
        <w:ind w:right="-787"/>
        <w:jc w:val="both"/>
        <w:rPr>
          <w:rFonts w:ascii="Palatino Linotype" w:hAnsi="Palatino Linotype"/>
          <w:bCs/>
          <w:lang w:val="es-ES"/>
        </w:rPr>
      </w:pPr>
      <w:r w:rsidRPr="000937DF">
        <w:rPr>
          <w:rFonts w:ascii="Palatino Linotype" w:hAnsi="Palatino Linotype"/>
          <w:b/>
          <w:bCs/>
          <w:lang w:val="es-ES"/>
        </w:rPr>
        <w:lastRenderedPageBreak/>
        <w:t>Información reservada:</w:t>
      </w:r>
      <w:r w:rsidRPr="000937DF">
        <w:rPr>
          <w:rFonts w:ascii="Palatino Linotype" w:hAnsi="Palatino Linotype"/>
          <w:bCs/>
          <w:lang w:val="es-ES"/>
        </w:rPr>
        <w:t xml:space="preserve"> La clasificada con este carácter de manera temporal por las disposiciones de esta Ley, cuya divulgación puede causar daño en términos de lo establecido por esta Ley. </w:t>
      </w:r>
    </w:p>
    <w:p w14:paraId="32A5EC05" w14:textId="77777777" w:rsidR="00967F43" w:rsidRPr="000937DF" w:rsidRDefault="00030BC0" w:rsidP="00967F43">
      <w:pPr>
        <w:pStyle w:val="Sinespaciado"/>
        <w:numPr>
          <w:ilvl w:val="0"/>
          <w:numId w:val="19"/>
        </w:numPr>
        <w:spacing w:before="240" w:line="360" w:lineRule="auto"/>
        <w:ind w:left="0" w:right="-787" w:firstLine="0"/>
        <w:jc w:val="both"/>
        <w:rPr>
          <w:rFonts w:ascii="Palatino Linotype" w:eastAsia="Times New Roman" w:hAnsi="Palatino Linotype" w:cs="Times New Roman"/>
          <w:lang w:val="es-ES" w:eastAsia="es-ES"/>
        </w:rPr>
      </w:pPr>
      <w:r w:rsidRPr="000937DF">
        <w:rPr>
          <w:rFonts w:ascii="Palatino Linotype" w:hAnsi="Palatino Linotype"/>
          <w:bCs/>
          <w:sz w:val="24"/>
          <w:lang w:val="es-ES"/>
        </w:rPr>
        <w:t xml:space="preserve">En resumen, se determina que, excepcionalmente, la información pública, podrá ser clasificada como reservada temporalmente por razones de interés público, en los términos de las causas legítimas y estrictamente necesarias previstas por la Ley de Transparencia; </w:t>
      </w:r>
      <w:r w:rsidRPr="000937DF">
        <w:rPr>
          <w:rFonts w:ascii="Palatino Linotype" w:hAnsi="Palatino Linotype"/>
          <w:b/>
          <w:bCs/>
          <w:sz w:val="24"/>
          <w:u w:val="single"/>
          <w:lang w:val="es-ES"/>
        </w:rPr>
        <w:t>así como confidencial, tratándose principalmente de aquella que refiera a la información privada y datos personales concernientes a una persona física.</w:t>
      </w:r>
    </w:p>
    <w:p w14:paraId="1C82F255" w14:textId="7B742B16" w:rsidR="00030BC0" w:rsidRPr="000937DF" w:rsidRDefault="00030BC0" w:rsidP="00967F43">
      <w:pPr>
        <w:pStyle w:val="Sinespaciado"/>
        <w:numPr>
          <w:ilvl w:val="0"/>
          <w:numId w:val="19"/>
        </w:numPr>
        <w:spacing w:before="240" w:line="360" w:lineRule="auto"/>
        <w:ind w:left="0" w:right="-787" w:firstLine="0"/>
        <w:jc w:val="both"/>
        <w:rPr>
          <w:rFonts w:ascii="Palatino Linotype" w:eastAsia="Times New Roman" w:hAnsi="Palatino Linotype" w:cs="Times New Roman"/>
          <w:lang w:val="es-ES" w:eastAsia="es-ES"/>
        </w:rPr>
      </w:pPr>
      <w:r w:rsidRPr="000937DF">
        <w:rPr>
          <w:rFonts w:ascii="Palatino Linotype" w:hAnsi="Palatino Linotype"/>
        </w:rPr>
        <w:t xml:space="preserve">En virtud de lo anterior, se desprende que los Acuerdos de Reserva deberán de cumplir parámetros de forma y fondo, los cuales se abordan a continuación: </w:t>
      </w:r>
    </w:p>
    <w:tbl>
      <w:tblPr>
        <w:tblStyle w:val="Tablaconcuadrcula"/>
        <w:tblW w:w="9075" w:type="dxa"/>
        <w:tblLayout w:type="fixed"/>
        <w:tblLook w:val="04A0" w:firstRow="1" w:lastRow="0" w:firstColumn="1" w:lastColumn="0" w:noHBand="0" w:noVBand="1"/>
      </w:tblPr>
      <w:tblGrid>
        <w:gridCol w:w="1561"/>
        <w:gridCol w:w="1417"/>
        <w:gridCol w:w="6097"/>
      </w:tblGrid>
      <w:tr w:rsidR="00030BC0" w:rsidRPr="000937DF" w14:paraId="001B09A6" w14:textId="77777777" w:rsidTr="00030BC0">
        <w:tc>
          <w:tcPr>
            <w:tcW w:w="1560" w:type="dxa"/>
            <w:tcBorders>
              <w:top w:val="nil"/>
              <w:left w:val="nil"/>
              <w:bottom w:val="single" w:sz="4" w:space="0" w:color="auto"/>
              <w:right w:val="single" w:sz="4" w:space="0" w:color="auto"/>
            </w:tcBorders>
          </w:tcPr>
          <w:p w14:paraId="66976704" w14:textId="77777777" w:rsidR="00030BC0" w:rsidRPr="000937DF" w:rsidRDefault="00030BC0" w:rsidP="00967F43">
            <w:pPr>
              <w:pStyle w:val="Prrafodelista"/>
              <w:spacing w:after="120"/>
              <w:ind w:left="47" w:right="-787"/>
              <w:jc w:val="both"/>
              <w:rPr>
                <w:rFonts w:ascii="Palatino Linotype" w:hAnsi="Palatino Linotype"/>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957F0E0" w14:textId="77777777" w:rsidR="00030BC0" w:rsidRPr="000937DF" w:rsidRDefault="00030BC0" w:rsidP="00967F43">
            <w:pPr>
              <w:pStyle w:val="Prrafodelista"/>
              <w:spacing w:after="120"/>
              <w:ind w:left="47" w:right="-787"/>
              <w:jc w:val="center"/>
              <w:rPr>
                <w:rFonts w:ascii="Palatino Linotype" w:hAnsi="Palatino Linotype"/>
                <w:b/>
                <w:sz w:val="20"/>
                <w:szCs w:val="20"/>
              </w:rPr>
            </w:pPr>
            <w:r w:rsidRPr="000937DF">
              <w:rPr>
                <w:rFonts w:ascii="Palatino Linotype" w:hAnsi="Palatino Linotype"/>
                <w:b/>
                <w:szCs w:val="20"/>
              </w:rPr>
              <w:t>Cumplió:</w:t>
            </w:r>
          </w:p>
        </w:tc>
        <w:tc>
          <w:tcPr>
            <w:tcW w:w="60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DC094D9" w14:textId="77777777" w:rsidR="00030BC0" w:rsidRPr="000937DF" w:rsidRDefault="00030BC0" w:rsidP="00967F43">
            <w:pPr>
              <w:pStyle w:val="Prrafodelista"/>
              <w:spacing w:after="120"/>
              <w:ind w:left="47" w:right="-787"/>
              <w:jc w:val="center"/>
              <w:rPr>
                <w:rFonts w:ascii="Palatino Linotype" w:hAnsi="Palatino Linotype"/>
                <w:b/>
                <w:sz w:val="24"/>
                <w:szCs w:val="24"/>
              </w:rPr>
            </w:pPr>
            <w:r w:rsidRPr="000937DF">
              <w:rPr>
                <w:rFonts w:ascii="Palatino Linotype" w:hAnsi="Palatino Linotype"/>
                <w:b/>
              </w:rPr>
              <w:t>Contenido</w:t>
            </w:r>
          </w:p>
        </w:tc>
      </w:tr>
      <w:tr w:rsidR="00030BC0" w:rsidRPr="000937DF" w14:paraId="603D7E7E" w14:textId="77777777" w:rsidTr="00030BC0">
        <w:tc>
          <w:tcPr>
            <w:tcW w:w="1560" w:type="dxa"/>
            <w:tcBorders>
              <w:top w:val="single" w:sz="4" w:space="0" w:color="auto"/>
              <w:left w:val="single" w:sz="4" w:space="0" w:color="auto"/>
              <w:bottom w:val="single" w:sz="4" w:space="0" w:color="auto"/>
              <w:right w:val="single" w:sz="4" w:space="0" w:color="auto"/>
            </w:tcBorders>
            <w:vAlign w:val="center"/>
            <w:hideMark/>
          </w:tcPr>
          <w:p w14:paraId="284DDD5A" w14:textId="77777777" w:rsidR="00030BC0" w:rsidRPr="000937DF" w:rsidRDefault="00030BC0" w:rsidP="00967F43">
            <w:pPr>
              <w:spacing w:after="120"/>
              <w:ind w:right="-787"/>
              <w:jc w:val="center"/>
              <w:rPr>
                <w:rFonts w:ascii="Palatino Linotype" w:hAnsi="Palatino Linotype"/>
                <w:b/>
                <w:sz w:val="16"/>
                <w:szCs w:val="16"/>
                <w:lang w:eastAsia="en-US"/>
              </w:rPr>
            </w:pPr>
            <w:r w:rsidRPr="000937DF">
              <w:rPr>
                <w:rFonts w:ascii="Palatino Linotype" w:hAnsi="Palatino Linotype"/>
                <w:b/>
                <w:sz w:val="16"/>
                <w:szCs w:val="16"/>
                <w:lang w:eastAsia="en-US"/>
              </w:rPr>
              <w:t>Número de folio de la solicitud</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319A71" w14:textId="77777777" w:rsidR="00030BC0" w:rsidRPr="000937DF" w:rsidRDefault="00030BC0" w:rsidP="00967F43">
            <w:pPr>
              <w:spacing w:after="120"/>
              <w:ind w:left="47" w:right="-787"/>
              <w:jc w:val="center"/>
              <w:rPr>
                <w:rFonts w:ascii="Palatino Linotype" w:hAnsi="Palatino Linotype"/>
                <w:b/>
                <w:lang w:eastAsia="en-US"/>
              </w:rPr>
            </w:pPr>
            <w:r w:rsidRPr="000937DF">
              <w:rPr>
                <w:rFonts w:ascii="Palatino Linotype" w:hAnsi="Palatino Linotype"/>
                <w:b/>
                <w:lang w:eastAsia="en-US"/>
              </w:rPr>
              <w:t>Sí</w:t>
            </w:r>
          </w:p>
        </w:tc>
        <w:tc>
          <w:tcPr>
            <w:tcW w:w="6095" w:type="dxa"/>
            <w:tcBorders>
              <w:top w:val="single" w:sz="4" w:space="0" w:color="auto"/>
              <w:left w:val="single" w:sz="4" w:space="0" w:color="auto"/>
              <w:bottom w:val="single" w:sz="4" w:space="0" w:color="auto"/>
              <w:right w:val="single" w:sz="4" w:space="0" w:color="auto"/>
            </w:tcBorders>
            <w:vAlign w:val="center"/>
          </w:tcPr>
          <w:p w14:paraId="5FFEB39F" w14:textId="77777777" w:rsidR="00030BC0" w:rsidRPr="000937DF" w:rsidRDefault="00030BC0" w:rsidP="00967F43">
            <w:pPr>
              <w:spacing w:after="120"/>
              <w:ind w:left="-115" w:right="-787"/>
              <w:jc w:val="center"/>
              <w:rPr>
                <w:rFonts w:ascii="Palatino Linotype" w:hAnsi="Palatino Linotype"/>
                <w:sz w:val="2"/>
                <w:lang w:eastAsia="en-US"/>
              </w:rPr>
            </w:pPr>
          </w:p>
          <w:p w14:paraId="493DBB0B" w14:textId="48F293C9" w:rsidR="00030BC0" w:rsidRPr="000937DF" w:rsidRDefault="00030BC0" w:rsidP="00967F43">
            <w:pPr>
              <w:spacing w:after="120"/>
              <w:ind w:left="-115" w:right="-787"/>
              <w:jc w:val="center"/>
              <w:rPr>
                <w:rFonts w:ascii="Palatino Linotype" w:hAnsi="Palatino Linotype"/>
                <w:lang w:eastAsia="en-US"/>
              </w:rPr>
            </w:pPr>
            <w:r w:rsidRPr="000937DF">
              <w:rPr>
                <w:rFonts w:ascii="Palatino Linotype" w:hAnsi="Palatino Linotype"/>
                <w:noProof/>
              </w:rPr>
              <w:drawing>
                <wp:inline distT="0" distB="0" distL="0" distR="0" wp14:anchorId="1D1C5E83" wp14:editId="5B68A7C1">
                  <wp:extent cx="2857500" cy="394940"/>
                  <wp:effectExtent l="0" t="0" r="0" b="5715"/>
                  <wp:docPr id="663976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76384" name=""/>
                          <pic:cNvPicPr/>
                        </pic:nvPicPr>
                        <pic:blipFill rotWithShape="1">
                          <a:blip r:embed="rId11"/>
                          <a:srcRect l="37352" t="33569" r="23713" b="56419"/>
                          <a:stretch/>
                        </pic:blipFill>
                        <pic:spPr bwMode="auto">
                          <a:xfrm>
                            <a:off x="0" y="0"/>
                            <a:ext cx="2857500" cy="394940"/>
                          </a:xfrm>
                          <a:prstGeom prst="rect">
                            <a:avLst/>
                          </a:prstGeom>
                          <a:ln>
                            <a:noFill/>
                          </a:ln>
                          <a:extLst>
                            <a:ext uri="{53640926-AAD7-44D8-BBD7-CCE9431645EC}">
                              <a14:shadowObscured xmlns:a14="http://schemas.microsoft.com/office/drawing/2010/main"/>
                            </a:ext>
                          </a:extLst>
                        </pic:spPr>
                      </pic:pic>
                    </a:graphicData>
                  </a:graphic>
                </wp:inline>
              </w:drawing>
            </w:r>
          </w:p>
        </w:tc>
      </w:tr>
      <w:tr w:rsidR="00030BC0" w:rsidRPr="000937DF" w14:paraId="2923B988" w14:textId="77777777" w:rsidTr="00030BC0">
        <w:tc>
          <w:tcPr>
            <w:tcW w:w="1560" w:type="dxa"/>
            <w:tcBorders>
              <w:top w:val="single" w:sz="4" w:space="0" w:color="auto"/>
              <w:left w:val="single" w:sz="4" w:space="0" w:color="auto"/>
              <w:bottom w:val="single" w:sz="4" w:space="0" w:color="auto"/>
              <w:right w:val="single" w:sz="4" w:space="0" w:color="auto"/>
            </w:tcBorders>
            <w:vAlign w:val="center"/>
            <w:hideMark/>
          </w:tcPr>
          <w:p w14:paraId="322A9E63" w14:textId="77777777" w:rsidR="00030BC0" w:rsidRPr="000937DF" w:rsidRDefault="00030BC0" w:rsidP="00967F43">
            <w:pPr>
              <w:spacing w:after="120"/>
              <w:ind w:right="-787"/>
              <w:jc w:val="center"/>
              <w:rPr>
                <w:rFonts w:ascii="Palatino Linotype" w:hAnsi="Palatino Linotype"/>
                <w:b/>
                <w:sz w:val="16"/>
                <w:szCs w:val="16"/>
                <w:lang w:eastAsia="en-US"/>
              </w:rPr>
            </w:pPr>
            <w:r w:rsidRPr="000937DF">
              <w:rPr>
                <w:rFonts w:ascii="Palatino Linotype" w:hAnsi="Palatino Linotype"/>
                <w:b/>
                <w:sz w:val="16"/>
                <w:szCs w:val="16"/>
                <w:lang w:eastAsia="en-US"/>
              </w:rPr>
              <w:t>Referencia de la información solicitada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0B040C" w14:textId="77777777" w:rsidR="00030BC0" w:rsidRPr="000937DF" w:rsidRDefault="00030BC0" w:rsidP="00967F43">
            <w:pPr>
              <w:spacing w:after="120"/>
              <w:ind w:left="47" w:right="-787"/>
              <w:jc w:val="center"/>
              <w:rPr>
                <w:rFonts w:ascii="Palatino Linotype" w:hAnsi="Palatino Linotype"/>
                <w:b/>
                <w:sz w:val="18"/>
                <w:szCs w:val="18"/>
                <w:lang w:eastAsia="en-US"/>
              </w:rPr>
            </w:pPr>
            <w:r w:rsidRPr="000937DF">
              <w:rPr>
                <w:rFonts w:ascii="Palatino Linotype" w:hAnsi="Palatino Linotype"/>
                <w:b/>
                <w:sz w:val="18"/>
                <w:szCs w:val="18"/>
                <w:lang w:eastAsia="en-US"/>
              </w:rPr>
              <w:t>No</w:t>
            </w:r>
          </w:p>
        </w:tc>
        <w:tc>
          <w:tcPr>
            <w:tcW w:w="6095" w:type="dxa"/>
            <w:tcBorders>
              <w:top w:val="single" w:sz="4" w:space="0" w:color="auto"/>
              <w:left w:val="single" w:sz="4" w:space="0" w:color="auto"/>
              <w:bottom w:val="single" w:sz="4" w:space="0" w:color="auto"/>
              <w:right w:val="single" w:sz="4" w:space="0" w:color="auto"/>
            </w:tcBorders>
            <w:vAlign w:val="center"/>
          </w:tcPr>
          <w:p w14:paraId="49A71028" w14:textId="77777777" w:rsidR="00030BC0" w:rsidRPr="000937DF" w:rsidRDefault="00030BC0" w:rsidP="00967F43">
            <w:pPr>
              <w:spacing w:after="120"/>
              <w:ind w:right="-787"/>
              <w:jc w:val="center"/>
              <w:rPr>
                <w:rFonts w:ascii="Palatino Linotype" w:hAnsi="Palatino Linotype"/>
                <w:b/>
                <w:lang w:eastAsia="en-US"/>
              </w:rPr>
            </w:pPr>
          </w:p>
        </w:tc>
      </w:tr>
      <w:tr w:rsidR="00030BC0" w:rsidRPr="000937DF" w14:paraId="7C4B2F80" w14:textId="77777777" w:rsidTr="00030BC0">
        <w:tc>
          <w:tcPr>
            <w:tcW w:w="1560" w:type="dxa"/>
            <w:tcBorders>
              <w:top w:val="single" w:sz="4" w:space="0" w:color="auto"/>
              <w:left w:val="single" w:sz="4" w:space="0" w:color="auto"/>
              <w:bottom w:val="single" w:sz="4" w:space="0" w:color="auto"/>
              <w:right w:val="single" w:sz="4" w:space="0" w:color="auto"/>
            </w:tcBorders>
            <w:vAlign w:val="center"/>
            <w:hideMark/>
          </w:tcPr>
          <w:p w14:paraId="5A915891" w14:textId="77777777" w:rsidR="00030BC0" w:rsidRPr="000937DF" w:rsidRDefault="00030BC0" w:rsidP="00967F43">
            <w:pPr>
              <w:spacing w:after="120"/>
              <w:ind w:right="-787"/>
              <w:jc w:val="center"/>
              <w:rPr>
                <w:rFonts w:ascii="Palatino Linotype" w:hAnsi="Palatino Linotype"/>
                <w:b/>
                <w:sz w:val="16"/>
                <w:szCs w:val="16"/>
                <w:lang w:eastAsia="en-US"/>
              </w:rPr>
            </w:pPr>
            <w:r w:rsidRPr="000937DF">
              <w:rPr>
                <w:rFonts w:ascii="Palatino Linotype" w:hAnsi="Palatino Linotype"/>
                <w:b/>
                <w:sz w:val="16"/>
                <w:szCs w:val="16"/>
                <w:lang w:eastAsia="en-US"/>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tcBorders>
              <w:top w:val="single" w:sz="4" w:space="0" w:color="auto"/>
              <w:left w:val="single" w:sz="4" w:space="0" w:color="auto"/>
              <w:bottom w:val="single" w:sz="4" w:space="0" w:color="auto"/>
              <w:right w:val="single" w:sz="4" w:space="0" w:color="auto"/>
            </w:tcBorders>
            <w:vAlign w:val="center"/>
          </w:tcPr>
          <w:p w14:paraId="14FF9B6E" w14:textId="77777777" w:rsidR="00030BC0" w:rsidRPr="000937DF" w:rsidRDefault="00030BC0" w:rsidP="00967F43">
            <w:pPr>
              <w:pStyle w:val="Prrafodelista"/>
              <w:spacing w:after="120"/>
              <w:ind w:left="29" w:right="-787" w:firstLine="18"/>
              <w:jc w:val="center"/>
              <w:rPr>
                <w:rFonts w:ascii="Palatino Linotype" w:hAnsi="Palatino Linotype"/>
                <w:b/>
                <w:sz w:val="18"/>
                <w:szCs w:val="18"/>
              </w:rPr>
            </w:pPr>
            <w:r w:rsidRPr="000937DF">
              <w:rPr>
                <w:rFonts w:ascii="Palatino Linotype" w:hAnsi="Palatino Linotype"/>
                <w:b/>
                <w:sz w:val="18"/>
                <w:szCs w:val="18"/>
              </w:rPr>
              <w:t>Parcialmente</w:t>
            </w:r>
          </w:p>
          <w:p w14:paraId="2CFA7BE4" w14:textId="77777777" w:rsidR="00030BC0" w:rsidRPr="000937DF" w:rsidRDefault="00030BC0" w:rsidP="00967F43">
            <w:pPr>
              <w:spacing w:after="120"/>
              <w:ind w:left="47" w:right="-787"/>
              <w:jc w:val="center"/>
              <w:rPr>
                <w:rFonts w:ascii="Palatino Linotype" w:hAnsi="Palatino Linotype"/>
                <w:sz w:val="18"/>
                <w:szCs w:val="18"/>
                <w:lang w:eastAsia="en-US"/>
              </w:rPr>
            </w:pPr>
          </w:p>
        </w:tc>
        <w:tc>
          <w:tcPr>
            <w:tcW w:w="6095" w:type="dxa"/>
            <w:tcBorders>
              <w:top w:val="single" w:sz="4" w:space="0" w:color="auto"/>
              <w:left w:val="single" w:sz="4" w:space="0" w:color="auto"/>
              <w:bottom w:val="single" w:sz="4" w:space="0" w:color="auto"/>
              <w:right w:val="single" w:sz="4" w:space="0" w:color="auto"/>
            </w:tcBorders>
          </w:tcPr>
          <w:p w14:paraId="206FA4C2" w14:textId="77777777" w:rsidR="00030BC0" w:rsidRPr="000937DF" w:rsidRDefault="00030BC0" w:rsidP="00967F43">
            <w:pPr>
              <w:spacing w:after="120"/>
              <w:ind w:right="-787"/>
              <w:rPr>
                <w:rFonts w:ascii="Palatino Linotype" w:hAnsi="Palatino Linotype"/>
                <w:b/>
                <w:noProof/>
                <w:lang w:eastAsia="en-US"/>
              </w:rPr>
            </w:pPr>
          </w:p>
          <w:p w14:paraId="76107287" w14:textId="0C09854B" w:rsidR="00030BC0" w:rsidRPr="000937DF" w:rsidRDefault="00967F43" w:rsidP="00967F43">
            <w:pPr>
              <w:spacing w:after="120"/>
              <w:ind w:right="-787"/>
              <w:rPr>
                <w:rFonts w:ascii="Palatino Linotype" w:hAnsi="Palatino Linotype"/>
                <w:b/>
                <w:noProof/>
                <w:lang w:eastAsia="en-US"/>
              </w:rPr>
            </w:pPr>
            <w:r w:rsidRPr="000937DF">
              <w:rPr>
                <w:rFonts w:ascii="Palatino Linotype" w:hAnsi="Palatino Linotype"/>
                <w:b/>
                <w:noProof/>
              </w:rPr>
              <w:drawing>
                <wp:inline distT="0" distB="0" distL="0" distR="0" wp14:anchorId="644B4B76" wp14:editId="4C8E7AE9">
                  <wp:extent cx="3333750" cy="885825"/>
                  <wp:effectExtent l="0" t="0" r="0" b="9525"/>
                  <wp:docPr id="1498445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45428" name=""/>
                          <pic:cNvPicPr/>
                        </pic:nvPicPr>
                        <pic:blipFill rotWithShape="1">
                          <a:blip r:embed="rId12"/>
                          <a:srcRect l="40866" t="60103" r="26549" b="23789"/>
                          <a:stretch/>
                        </pic:blipFill>
                        <pic:spPr bwMode="auto">
                          <a:xfrm>
                            <a:off x="0" y="0"/>
                            <a:ext cx="3338301" cy="887034"/>
                          </a:xfrm>
                          <a:prstGeom prst="rect">
                            <a:avLst/>
                          </a:prstGeom>
                          <a:ln>
                            <a:noFill/>
                          </a:ln>
                          <a:extLst>
                            <a:ext uri="{53640926-AAD7-44D8-BBD7-CCE9431645EC}">
                              <a14:shadowObscured xmlns:a14="http://schemas.microsoft.com/office/drawing/2010/main"/>
                            </a:ext>
                          </a:extLst>
                        </pic:spPr>
                      </pic:pic>
                    </a:graphicData>
                  </a:graphic>
                </wp:inline>
              </w:drawing>
            </w:r>
          </w:p>
          <w:p w14:paraId="70068CE4" w14:textId="77777777" w:rsidR="00030BC0" w:rsidRPr="000937DF" w:rsidRDefault="00030BC0" w:rsidP="00967F43">
            <w:pPr>
              <w:spacing w:after="120"/>
              <w:ind w:right="-787"/>
              <w:rPr>
                <w:rFonts w:ascii="Palatino Linotype" w:hAnsi="Palatino Linotype"/>
                <w:b/>
                <w:noProof/>
                <w:lang w:eastAsia="en-US"/>
              </w:rPr>
            </w:pPr>
          </w:p>
          <w:p w14:paraId="4657FDBD" w14:textId="77777777" w:rsidR="00030BC0" w:rsidRPr="000937DF" w:rsidRDefault="00030BC0" w:rsidP="00967F43">
            <w:pPr>
              <w:spacing w:after="120"/>
              <w:ind w:right="-787"/>
              <w:rPr>
                <w:rFonts w:ascii="Palatino Linotype" w:hAnsi="Palatino Linotype"/>
                <w:lang w:eastAsia="es-ES"/>
              </w:rPr>
            </w:pPr>
          </w:p>
          <w:p w14:paraId="38AE1FB1" w14:textId="01CA160D" w:rsidR="00030BC0" w:rsidRPr="000937DF" w:rsidRDefault="00030BC0" w:rsidP="00967F43">
            <w:pPr>
              <w:spacing w:after="120"/>
              <w:ind w:right="-787"/>
              <w:rPr>
                <w:rFonts w:ascii="Palatino Linotype" w:hAnsi="Palatino Linotype"/>
                <w:lang w:eastAsia="en-US"/>
              </w:rPr>
            </w:pPr>
          </w:p>
          <w:p w14:paraId="0B028F96" w14:textId="77777777" w:rsidR="00030BC0" w:rsidRPr="000937DF" w:rsidRDefault="00030BC0" w:rsidP="00967F43">
            <w:pPr>
              <w:spacing w:after="120"/>
              <w:ind w:right="-787"/>
              <w:rPr>
                <w:rFonts w:ascii="Palatino Linotype" w:hAnsi="Palatino Linotype"/>
                <w:b/>
                <w:noProof/>
                <w:lang w:eastAsia="en-US"/>
              </w:rPr>
            </w:pPr>
          </w:p>
        </w:tc>
      </w:tr>
      <w:tr w:rsidR="00030BC0" w:rsidRPr="000937DF" w14:paraId="63D0AEA1" w14:textId="77777777" w:rsidTr="00030BC0">
        <w:tc>
          <w:tcPr>
            <w:tcW w:w="1560" w:type="dxa"/>
            <w:tcBorders>
              <w:top w:val="single" w:sz="4" w:space="0" w:color="auto"/>
              <w:left w:val="single" w:sz="4" w:space="0" w:color="auto"/>
              <w:bottom w:val="single" w:sz="4" w:space="0" w:color="auto"/>
              <w:right w:val="single" w:sz="4" w:space="0" w:color="auto"/>
            </w:tcBorders>
            <w:vAlign w:val="center"/>
            <w:hideMark/>
          </w:tcPr>
          <w:p w14:paraId="6B6A42AD" w14:textId="77777777" w:rsidR="00030BC0" w:rsidRPr="000937DF" w:rsidRDefault="00030BC0" w:rsidP="00967F43">
            <w:pPr>
              <w:tabs>
                <w:tab w:val="left" w:pos="317"/>
              </w:tabs>
              <w:spacing w:after="120"/>
              <w:ind w:right="-787"/>
              <w:jc w:val="center"/>
              <w:rPr>
                <w:rFonts w:ascii="Palatino Linotype" w:hAnsi="Palatino Linotype"/>
                <w:b/>
                <w:sz w:val="16"/>
                <w:szCs w:val="16"/>
                <w:lang w:eastAsia="es-ES"/>
              </w:rPr>
            </w:pPr>
            <w:r w:rsidRPr="000937DF">
              <w:rPr>
                <w:rFonts w:ascii="Palatino Linotype" w:hAnsi="Palatino Linotype"/>
                <w:b/>
                <w:sz w:val="16"/>
                <w:szCs w:val="16"/>
                <w:lang w:eastAsia="en-US"/>
              </w:rPr>
              <w:lastRenderedPageBreak/>
              <w:t>Fundamento y Motivación Legal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8CC661" w14:textId="77777777" w:rsidR="00030BC0" w:rsidRPr="000937DF" w:rsidRDefault="00030BC0" w:rsidP="00967F43">
            <w:pPr>
              <w:spacing w:after="120"/>
              <w:ind w:left="47" w:right="-787"/>
              <w:jc w:val="center"/>
              <w:rPr>
                <w:rFonts w:ascii="Palatino Linotype" w:hAnsi="Palatino Linotype"/>
                <w:b/>
                <w:sz w:val="18"/>
                <w:szCs w:val="18"/>
                <w:lang w:eastAsia="en-US"/>
              </w:rPr>
            </w:pPr>
            <w:r w:rsidRPr="000937DF">
              <w:rPr>
                <w:rFonts w:ascii="Palatino Linotype" w:hAnsi="Palatino Linotype"/>
                <w:b/>
                <w:sz w:val="18"/>
                <w:szCs w:val="18"/>
                <w:lang w:eastAsia="en-US"/>
              </w:rPr>
              <w:t>No</w:t>
            </w:r>
          </w:p>
          <w:p w14:paraId="41A367DB" w14:textId="042C8FEE" w:rsidR="00030BC0" w:rsidRPr="000937DF" w:rsidRDefault="00967F43" w:rsidP="00967F43">
            <w:pPr>
              <w:spacing w:after="120"/>
              <w:ind w:left="47" w:right="-787"/>
              <w:jc w:val="both"/>
              <w:rPr>
                <w:rFonts w:ascii="Palatino Linotype" w:hAnsi="Palatino Linotype"/>
                <w:sz w:val="18"/>
                <w:szCs w:val="18"/>
                <w:lang w:eastAsia="en-US"/>
              </w:rPr>
            </w:pPr>
            <w:r w:rsidRPr="000937DF">
              <w:rPr>
                <w:rFonts w:ascii="Palatino Linotype" w:hAnsi="Palatino Linotype"/>
                <w:sz w:val="18"/>
                <w:szCs w:val="18"/>
                <w:lang w:eastAsia="en-US"/>
              </w:rPr>
              <w:t>No se considera que l</w:t>
            </w:r>
            <w:r w:rsidR="00030BC0" w:rsidRPr="000937DF">
              <w:rPr>
                <w:rFonts w:ascii="Palatino Linotype" w:hAnsi="Palatino Linotype"/>
                <w:sz w:val="18"/>
                <w:szCs w:val="18"/>
                <w:lang w:eastAsia="en-US"/>
              </w:rPr>
              <w:t xml:space="preserve">as causal de reserva referidas en el acta del Comité de Transparencia </w:t>
            </w:r>
            <w:r w:rsidR="00030BC0" w:rsidRPr="000937DF">
              <w:rPr>
                <w:rFonts w:ascii="Palatino Linotype" w:hAnsi="Palatino Linotype"/>
                <w:b/>
                <w:bCs/>
                <w:sz w:val="18"/>
                <w:szCs w:val="18"/>
                <w:lang w:eastAsia="en-US"/>
              </w:rPr>
              <w:t>(140, fracción XI)</w:t>
            </w:r>
            <w:r w:rsidR="00030BC0" w:rsidRPr="000937DF">
              <w:rPr>
                <w:rFonts w:ascii="Palatino Linotype" w:hAnsi="Palatino Linotype"/>
                <w:sz w:val="18"/>
                <w:szCs w:val="18"/>
                <w:lang w:eastAsia="en-US"/>
              </w:rPr>
              <w:t xml:space="preserve"> </w:t>
            </w:r>
            <w:r w:rsidRPr="000937DF">
              <w:rPr>
                <w:rFonts w:ascii="Palatino Linotype" w:hAnsi="Palatino Linotype"/>
                <w:sz w:val="18"/>
                <w:szCs w:val="18"/>
                <w:lang w:eastAsia="en-US"/>
              </w:rPr>
              <w:t>sea aplicable</w:t>
            </w:r>
          </w:p>
        </w:tc>
        <w:tc>
          <w:tcPr>
            <w:tcW w:w="6095" w:type="dxa"/>
            <w:tcBorders>
              <w:top w:val="single" w:sz="4" w:space="0" w:color="auto"/>
              <w:left w:val="single" w:sz="4" w:space="0" w:color="auto"/>
              <w:bottom w:val="single" w:sz="4" w:space="0" w:color="auto"/>
              <w:right w:val="single" w:sz="4" w:space="0" w:color="auto"/>
            </w:tcBorders>
            <w:vAlign w:val="center"/>
          </w:tcPr>
          <w:p w14:paraId="34D416A0" w14:textId="24D6B177" w:rsidR="00030BC0" w:rsidRPr="000937DF" w:rsidRDefault="00967F43" w:rsidP="00967F43">
            <w:pPr>
              <w:spacing w:after="120"/>
              <w:ind w:right="-787"/>
              <w:jc w:val="center"/>
              <w:rPr>
                <w:rFonts w:ascii="Palatino Linotype" w:hAnsi="Palatino Linotype"/>
                <w:b/>
                <w:sz w:val="2"/>
                <w:lang w:eastAsia="en-US"/>
              </w:rPr>
            </w:pPr>
            <w:r w:rsidRPr="000937DF">
              <w:rPr>
                <w:rFonts w:ascii="Palatino Linotype" w:hAnsi="Palatino Linotype"/>
                <w:b/>
                <w:noProof/>
                <w:sz w:val="2"/>
              </w:rPr>
              <w:drawing>
                <wp:inline distT="0" distB="0" distL="0" distR="0" wp14:anchorId="59CD529D" wp14:editId="666D3C0D">
                  <wp:extent cx="3802210" cy="1007745"/>
                  <wp:effectExtent l="0" t="0" r="8255" b="1905"/>
                  <wp:docPr id="19178485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2874" cy="1007921"/>
                          </a:xfrm>
                          <a:prstGeom prst="rect">
                            <a:avLst/>
                          </a:prstGeom>
                          <a:noFill/>
                        </pic:spPr>
                      </pic:pic>
                    </a:graphicData>
                  </a:graphic>
                </wp:inline>
              </w:drawing>
            </w:r>
          </w:p>
          <w:p w14:paraId="4774B857" w14:textId="40BC906B" w:rsidR="00030BC0" w:rsidRPr="000937DF" w:rsidRDefault="00030BC0" w:rsidP="00967F43">
            <w:pPr>
              <w:spacing w:after="120"/>
              <w:ind w:left="47" w:right="-787"/>
              <w:rPr>
                <w:rFonts w:ascii="Palatino Linotype" w:hAnsi="Palatino Linotype"/>
                <w:b/>
                <w:lang w:eastAsia="en-US"/>
              </w:rPr>
            </w:pPr>
          </w:p>
        </w:tc>
      </w:tr>
      <w:tr w:rsidR="00030BC0" w:rsidRPr="000937DF" w14:paraId="37F3282C" w14:textId="77777777" w:rsidTr="00030BC0">
        <w:tc>
          <w:tcPr>
            <w:tcW w:w="1560" w:type="dxa"/>
            <w:tcBorders>
              <w:top w:val="single" w:sz="4" w:space="0" w:color="auto"/>
              <w:left w:val="single" w:sz="4" w:space="0" w:color="auto"/>
              <w:bottom w:val="single" w:sz="4" w:space="0" w:color="auto"/>
              <w:right w:val="single" w:sz="4" w:space="0" w:color="auto"/>
            </w:tcBorders>
            <w:vAlign w:val="center"/>
          </w:tcPr>
          <w:p w14:paraId="57C84C33" w14:textId="77777777" w:rsidR="00030BC0" w:rsidRPr="000937DF" w:rsidRDefault="00030BC0" w:rsidP="00967F43">
            <w:pPr>
              <w:spacing w:after="120"/>
              <w:ind w:right="-787"/>
              <w:jc w:val="center"/>
              <w:rPr>
                <w:rFonts w:ascii="Palatino Linotype" w:hAnsi="Palatino Linotype"/>
                <w:b/>
                <w:sz w:val="16"/>
                <w:szCs w:val="16"/>
                <w:lang w:eastAsia="en-US"/>
              </w:rPr>
            </w:pPr>
          </w:p>
          <w:p w14:paraId="3A202814" w14:textId="77777777" w:rsidR="00030BC0" w:rsidRPr="000937DF" w:rsidRDefault="00030BC0" w:rsidP="00967F43">
            <w:pPr>
              <w:spacing w:after="120"/>
              <w:ind w:right="-787"/>
              <w:jc w:val="center"/>
              <w:rPr>
                <w:rFonts w:ascii="Palatino Linotype" w:hAnsi="Palatino Linotype"/>
                <w:b/>
                <w:sz w:val="16"/>
                <w:szCs w:val="16"/>
                <w:lang w:eastAsia="en-US"/>
              </w:rPr>
            </w:pPr>
          </w:p>
          <w:p w14:paraId="7EAE6226" w14:textId="77777777" w:rsidR="00030BC0" w:rsidRPr="000937DF" w:rsidRDefault="00030BC0" w:rsidP="00967F43">
            <w:pPr>
              <w:spacing w:after="120"/>
              <w:ind w:right="-787"/>
              <w:jc w:val="center"/>
              <w:rPr>
                <w:rFonts w:ascii="Palatino Linotype" w:hAnsi="Palatino Linotype"/>
                <w:b/>
                <w:sz w:val="16"/>
                <w:szCs w:val="16"/>
                <w:lang w:eastAsia="en-US"/>
              </w:rPr>
            </w:pPr>
            <w:r w:rsidRPr="000937DF">
              <w:rPr>
                <w:rFonts w:ascii="Palatino Linotype" w:hAnsi="Palatino Linotype"/>
                <w:b/>
                <w:sz w:val="16"/>
                <w:szCs w:val="16"/>
                <w:lang w:eastAsia="en-US"/>
              </w:rPr>
              <w:t>Conexión entre los fundamentos y motivos que dieron origen a la Reserva de la información</w:t>
            </w:r>
          </w:p>
          <w:p w14:paraId="02F858AD" w14:textId="77777777" w:rsidR="00030BC0" w:rsidRPr="000937DF" w:rsidRDefault="00030BC0" w:rsidP="00967F43">
            <w:pPr>
              <w:spacing w:after="120"/>
              <w:ind w:right="-787"/>
              <w:jc w:val="center"/>
              <w:rPr>
                <w:rFonts w:ascii="Palatino Linotype" w:hAnsi="Palatino Linotype"/>
                <w:b/>
                <w:sz w:val="16"/>
                <w:szCs w:val="16"/>
                <w:lang w:eastAsia="en-US"/>
              </w:rPr>
            </w:pPr>
          </w:p>
          <w:p w14:paraId="0C6E848C" w14:textId="77777777" w:rsidR="00030BC0" w:rsidRPr="000937DF" w:rsidRDefault="00030BC0" w:rsidP="00967F43">
            <w:pPr>
              <w:spacing w:after="120"/>
              <w:ind w:right="-787"/>
              <w:jc w:val="center"/>
              <w:rPr>
                <w:rFonts w:ascii="Palatino Linotype" w:hAnsi="Palatino Linotype"/>
                <w:b/>
                <w:sz w:val="16"/>
                <w:szCs w:val="16"/>
                <w:lang w:eastAsia="en-US"/>
              </w:rPr>
            </w:pPr>
          </w:p>
          <w:p w14:paraId="06DF9BF9" w14:textId="77777777" w:rsidR="00030BC0" w:rsidRPr="000937DF" w:rsidRDefault="00030BC0" w:rsidP="00967F43">
            <w:pPr>
              <w:spacing w:after="120"/>
              <w:ind w:right="-787"/>
              <w:jc w:val="center"/>
              <w:rPr>
                <w:rFonts w:ascii="Palatino Linotype" w:hAnsi="Palatino Linotype"/>
                <w:b/>
                <w:sz w:val="16"/>
                <w:szCs w:val="16"/>
                <w:lang w:eastAsia="en-US"/>
              </w:rPr>
            </w:pPr>
          </w:p>
          <w:p w14:paraId="4B6F50E6" w14:textId="77777777" w:rsidR="00030BC0" w:rsidRPr="000937DF" w:rsidRDefault="00030BC0" w:rsidP="00967F43">
            <w:pPr>
              <w:spacing w:after="120"/>
              <w:ind w:right="-787"/>
              <w:jc w:val="center"/>
              <w:rPr>
                <w:rFonts w:ascii="Palatino Linotype" w:hAnsi="Palatino Linotype"/>
                <w:b/>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087F7402" w14:textId="77777777" w:rsidR="00030BC0" w:rsidRPr="000937DF" w:rsidRDefault="00030BC0" w:rsidP="00967F43">
            <w:pPr>
              <w:pStyle w:val="Prrafodelista"/>
              <w:spacing w:after="120"/>
              <w:ind w:left="29" w:right="-787" w:firstLine="18"/>
              <w:jc w:val="center"/>
              <w:rPr>
                <w:rFonts w:ascii="Palatino Linotype" w:hAnsi="Palatino Linotype"/>
                <w:b/>
                <w:sz w:val="18"/>
                <w:szCs w:val="18"/>
              </w:rPr>
            </w:pPr>
            <w:r w:rsidRPr="000937DF">
              <w:rPr>
                <w:rFonts w:ascii="Palatino Linotype" w:hAnsi="Palatino Linotype"/>
                <w:b/>
                <w:sz w:val="18"/>
                <w:szCs w:val="18"/>
              </w:rPr>
              <w:t>Parcialmente</w:t>
            </w:r>
          </w:p>
          <w:p w14:paraId="1C922541" w14:textId="77777777" w:rsidR="00030BC0" w:rsidRPr="000937DF" w:rsidRDefault="00030BC0" w:rsidP="00967F43">
            <w:pPr>
              <w:pStyle w:val="Prrafodelista"/>
              <w:spacing w:after="120"/>
              <w:ind w:left="29" w:right="-787" w:firstLine="18"/>
              <w:jc w:val="center"/>
              <w:rPr>
                <w:rFonts w:ascii="Palatino Linotype" w:hAnsi="Palatino Linotype"/>
                <w:b/>
                <w:sz w:val="18"/>
                <w:szCs w:val="18"/>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2DABEEC1" w14:textId="5B395A26" w:rsidR="00030BC0" w:rsidRPr="000937DF" w:rsidRDefault="00030BC0" w:rsidP="00967F43">
            <w:pPr>
              <w:pStyle w:val="Prrafodelista"/>
              <w:spacing w:after="120"/>
              <w:ind w:left="29" w:right="-787" w:firstLine="18"/>
              <w:jc w:val="center"/>
              <w:rPr>
                <w:sz w:val="2"/>
                <w:szCs w:val="24"/>
              </w:rPr>
            </w:pPr>
            <w:r w:rsidRPr="000937DF">
              <w:rPr>
                <w:noProof/>
                <w:sz w:val="2"/>
                <w:lang w:val="es-MX" w:eastAsia="es-MX"/>
              </w:rPr>
              <w:drawing>
                <wp:inline distT="0" distB="0" distL="0" distR="0" wp14:anchorId="48E9B7C2" wp14:editId="7F1B73E0">
                  <wp:extent cx="3705225" cy="457200"/>
                  <wp:effectExtent l="0" t="0" r="9525" b="0"/>
                  <wp:docPr id="192629028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5225" cy="457200"/>
                          </a:xfrm>
                          <a:prstGeom prst="rect">
                            <a:avLst/>
                          </a:prstGeom>
                          <a:noFill/>
                          <a:ln>
                            <a:noFill/>
                          </a:ln>
                        </pic:spPr>
                      </pic:pic>
                    </a:graphicData>
                  </a:graphic>
                </wp:inline>
              </w:drawing>
            </w:r>
          </w:p>
        </w:tc>
      </w:tr>
      <w:tr w:rsidR="00030BC0" w:rsidRPr="000937DF" w14:paraId="1D809052" w14:textId="77777777" w:rsidTr="00030BC0">
        <w:tc>
          <w:tcPr>
            <w:tcW w:w="90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8F375" w14:textId="77777777" w:rsidR="00030BC0" w:rsidRPr="000937DF" w:rsidRDefault="00030BC0" w:rsidP="00967F43">
            <w:pPr>
              <w:pStyle w:val="Prrafodelista"/>
              <w:spacing w:after="120"/>
              <w:ind w:left="29" w:right="-787" w:firstLine="18"/>
              <w:jc w:val="center"/>
              <w:rPr>
                <w:rFonts w:ascii="Palatino Linotype" w:hAnsi="Palatino Linotype"/>
                <w:sz w:val="24"/>
              </w:rPr>
            </w:pPr>
            <w:r w:rsidRPr="000937DF">
              <w:rPr>
                <w:rFonts w:ascii="Palatino Linotype" w:hAnsi="Palatino Linotype"/>
                <w:b/>
              </w:rPr>
              <w:t>Prueba de Daño</w:t>
            </w:r>
          </w:p>
        </w:tc>
      </w:tr>
      <w:tr w:rsidR="00030BC0" w:rsidRPr="000937DF" w14:paraId="493BB44B" w14:textId="77777777" w:rsidTr="00030BC0">
        <w:tc>
          <w:tcPr>
            <w:tcW w:w="1560" w:type="dxa"/>
            <w:tcBorders>
              <w:top w:val="single" w:sz="4" w:space="0" w:color="auto"/>
              <w:left w:val="single" w:sz="4" w:space="0" w:color="auto"/>
              <w:bottom w:val="single" w:sz="4" w:space="0" w:color="auto"/>
              <w:right w:val="single" w:sz="4" w:space="0" w:color="auto"/>
            </w:tcBorders>
            <w:vAlign w:val="center"/>
            <w:hideMark/>
          </w:tcPr>
          <w:p w14:paraId="682D51D5" w14:textId="77777777" w:rsidR="00030BC0" w:rsidRPr="000937DF" w:rsidRDefault="00030BC0" w:rsidP="00967F43">
            <w:pPr>
              <w:spacing w:after="120"/>
              <w:ind w:right="-787"/>
              <w:jc w:val="center"/>
              <w:rPr>
                <w:rFonts w:ascii="Palatino Linotype" w:hAnsi="Palatino Linotype"/>
                <w:b/>
                <w:sz w:val="16"/>
                <w:szCs w:val="16"/>
                <w:lang w:eastAsia="en-US"/>
              </w:rPr>
            </w:pPr>
            <w:r w:rsidRPr="000937DF">
              <w:rPr>
                <w:rFonts w:ascii="Palatino Linotype" w:hAnsi="Palatino Linotype"/>
                <w:b/>
                <w:sz w:val="16"/>
                <w:szCs w:val="16"/>
                <w:lang w:eastAsia="en-US"/>
              </w:rPr>
              <w:t>Riesgo Real, Demostrable e Identificable</w:t>
            </w:r>
          </w:p>
          <w:p w14:paraId="2DA9537D" w14:textId="77777777" w:rsidR="00030BC0" w:rsidRPr="000937DF" w:rsidRDefault="00030BC0" w:rsidP="00967F43">
            <w:pPr>
              <w:spacing w:after="120"/>
              <w:ind w:right="-787"/>
              <w:jc w:val="center"/>
              <w:rPr>
                <w:rFonts w:ascii="Palatino Linotype" w:hAnsi="Palatino Linotype"/>
                <w:b/>
                <w:sz w:val="16"/>
                <w:szCs w:val="16"/>
                <w:lang w:eastAsia="en-US"/>
              </w:rPr>
            </w:pPr>
            <w:r w:rsidRPr="000937DF">
              <w:rPr>
                <w:rFonts w:ascii="Palatino Linotype" w:hAnsi="Palatino Linotype"/>
                <w:b/>
                <w:sz w:val="16"/>
                <w:szCs w:val="16"/>
                <w:lang w:eastAsia="en-US"/>
              </w:rPr>
              <w:t>(Modo, Tiempo y Lugar)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F4A698" w14:textId="77777777" w:rsidR="00030BC0" w:rsidRPr="000937DF" w:rsidRDefault="00030BC0" w:rsidP="00967F43">
            <w:pPr>
              <w:pStyle w:val="Prrafodelista"/>
              <w:spacing w:after="120"/>
              <w:ind w:left="29" w:right="-787" w:firstLine="18"/>
              <w:jc w:val="center"/>
              <w:rPr>
                <w:rFonts w:ascii="Palatino Linotype" w:hAnsi="Palatino Linotype"/>
                <w:b/>
                <w:sz w:val="18"/>
                <w:szCs w:val="18"/>
              </w:rPr>
            </w:pPr>
            <w:r w:rsidRPr="000937DF">
              <w:rPr>
                <w:rFonts w:ascii="Palatino Linotype" w:hAnsi="Palatino Linotype"/>
                <w:b/>
                <w:sz w:val="18"/>
                <w:szCs w:val="18"/>
              </w:rPr>
              <w:t>Parcialmente</w:t>
            </w:r>
          </w:p>
        </w:tc>
        <w:tc>
          <w:tcPr>
            <w:tcW w:w="6095" w:type="dxa"/>
            <w:tcBorders>
              <w:top w:val="single" w:sz="4" w:space="0" w:color="auto"/>
              <w:left w:val="single" w:sz="4" w:space="0" w:color="auto"/>
              <w:bottom w:val="single" w:sz="4" w:space="0" w:color="auto"/>
              <w:right w:val="single" w:sz="4" w:space="0" w:color="auto"/>
            </w:tcBorders>
            <w:vAlign w:val="center"/>
          </w:tcPr>
          <w:p w14:paraId="6BA7FA4B" w14:textId="70AA1089" w:rsidR="00030BC0" w:rsidRPr="000937DF" w:rsidRDefault="00030BC0" w:rsidP="00967F43">
            <w:pPr>
              <w:spacing w:after="120"/>
              <w:ind w:right="-787"/>
              <w:rPr>
                <w:noProof/>
                <w:lang w:eastAsia="en-US"/>
              </w:rPr>
            </w:pPr>
            <w:r w:rsidRPr="000937DF">
              <w:rPr>
                <w:noProof/>
              </w:rPr>
              <w:drawing>
                <wp:inline distT="0" distB="0" distL="0" distR="0" wp14:anchorId="493B5BDA" wp14:editId="38E2D249">
                  <wp:extent cx="3600450" cy="962025"/>
                  <wp:effectExtent l="0" t="0" r="0" b="9525"/>
                  <wp:docPr id="10147472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962025"/>
                          </a:xfrm>
                          <a:prstGeom prst="rect">
                            <a:avLst/>
                          </a:prstGeom>
                          <a:noFill/>
                          <a:ln>
                            <a:noFill/>
                          </a:ln>
                        </pic:spPr>
                      </pic:pic>
                    </a:graphicData>
                  </a:graphic>
                </wp:inline>
              </w:drawing>
            </w:r>
          </w:p>
          <w:p w14:paraId="263A10B9" w14:textId="36EF83F6" w:rsidR="00030BC0" w:rsidRPr="000937DF" w:rsidRDefault="00030BC0" w:rsidP="00967F43">
            <w:pPr>
              <w:spacing w:after="120"/>
              <w:ind w:right="-787"/>
              <w:rPr>
                <w:noProof/>
                <w:lang w:eastAsia="en-US"/>
              </w:rPr>
            </w:pPr>
            <w:r w:rsidRPr="000937DF">
              <w:rPr>
                <w:noProof/>
              </w:rPr>
              <w:drawing>
                <wp:inline distT="0" distB="0" distL="0" distR="0" wp14:anchorId="053F93E3" wp14:editId="1249DEA8">
                  <wp:extent cx="3581400" cy="676275"/>
                  <wp:effectExtent l="0" t="0" r="0" b="9525"/>
                  <wp:docPr id="12042620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676275"/>
                          </a:xfrm>
                          <a:prstGeom prst="rect">
                            <a:avLst/>
                          </a:prstGeom>
                          <a:noFill/>
                          <a:ln>
                            <a:noFill/>
                          </a:ln>
                        </pic:spPr>
                      </pic:pic>
                    </a:graphicData>
                  </a:graphic>
                </wp:inline>
              </w:drawing>
            </w:r>
          </w:p>
          <w:p w14:paraId="1CA05E41" w14:textId="26353C26" w:rsidR="00030BC0" w:rsidRPr="000937DF" w:rsidRDefault="00030BC0" w:rsidP="00967F43">
            <w:pPr>
              <w:pStyle w:val="Prrafodelista"/>
              <w:spacing w:after="120"/>
              <w:ind w:left="29" w:right="-787" w:firstLine="18"/>
              <w:jc w:val="center"/>
              <w:rPr>
                <w:lang w:eastAsia="es-ES"/>
              </w:rPr>
            </w:pPr>
            <w:r w:rsidRPr="000937DF">
              <w:rPr>
                <w:noProof/>
                <w:lang w:val="es-MX" w:eastAsia="es-MX"/>
              </w:rPr>
              <w:drawing>
                <wp:inline distT="0" distB="0" distL="0" distR="0" wp14:anchorId="73192F32" wp14:editId="1FDAC145">
                  <wp:extent cx="3362325" cy="1714500"/>
                  <wp:effectExtent l="0" t="0" r="9525" b="0"/>
                  <wp:docPr id="42299869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1714500"/>
                          </a:xfrm>
                          <a:prstGeom prst="rect">
                            <a:avLst/>
                          </a:prstGeom>
                          <a:noFill/>
                          <a:ln>
                            <a:noFill/>
                          </a:ln>
                        </pic:spPr>
                      </pic:pic>
                    </a:graphicData>
                  </a:graphic>
                </wp:inline>
              </w:drawing>
            </w:r>
          </w:p>
          <w:p w14:paraId="4F4C9D4F" w14:textId="77777777" w:rsidR="00030BC0" w:rsidRPr="000937DF" w:rsidRDefault="00030BC0" w:rsidP="00967F43">
            <w:pPr>
              <w:pStyle w:val="Prrafodelista"/>
              <w:spacing w:after="120"/>
              <w:ind w:left="29" w:right="-787" w:firstLine="18"/>
              <w:jc w:val="center"/>
              <w:rPr>
                <w:rFonts w:ascii="Palatino Linotype" w:hAnsi="Palatino Linotype"/>
                <w:sz w:val="2"/>
              </w:rPr>
            </w:pPr>
          </w:p>
        </w:tc>
      </w:tr>
      <w:tr w:rsidR="00030BC0" w:rsidRPr="000937DF" w14:paraId="5FBDC663" w14:textId="77777777" w:rsidTr="00030BC0">
        <w:tc>
          <w:tcPr>
            <w:tcW w:w="1560" w:type="dxa"/>
            <w:tcBorders>
              <w:top w:val="single" w:sz="4" w:space="0" w:color="auto"/>
              <w:left w:val="single" w:sz="4" w:space="0" w:color="auto"/>
              <w:bottom w:val="single" w:sz="4" w:space="0" w:color="auto"/>
              <w:right w:val="single" w:sz="4" w:space="0" w:color="auto"/>
            </w:tcBorders>
            <w:vAlign w:val="center"/>
            <w:hideMark/>
          </w:tcPr>
          <w:p w14:paraId="12807DDC" w14:textId="77777777" w:rsidR="00030BC0" w:rsidRPr="000937DF" w:rsidRDefault="00030BC0" w:rsidP="00967F43">
            <w:pPr>
              <w:spacing w:after="120"/>
              <w:ind w:right="-787"/>
              <w:jc w:val="center"/>
              <w:rPr>
                <w:rFonts w:ascii="Palatino Linotype" w:hAnsi="Palatino Linotype"/>
                <w:b/>
                <w:sz w:val="16"/>
                <w:szCs w:val="16"/>
                <w:lang w:eastAsia="en-US"/>
              </w:rPr>
            </w:pPr>
            <w:r w:rsidRPr="000937DF">
              <w:rPr>
                <w:rFonts w:ascii="Palatino Linotype" w:hAnsi="Palatino Linotype"/>
                <w:b/>
                <w:sz w:val="16"/>
                <w:szCs w:val="16"/>
                <w:lang w:eastAsia="en-US"/>
              </w:rPr>
              <w:lastRenderedPageBreak/>
              <w:t>Temporalidad de la Reserva de la información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6927E0" w14:textId="77777777" w:rsidR="00030BC0" w:rsidRPr="000937DF" w:rsidRDefault="00030BC0" w:rsidP="00967F43">
            <w:pPr>
              <w:pStyle w:val="Prrafodelista"/>
              <w:spacing w:after="120"/>
              <w:ind w:left="29" w:right="-787" w:firstLine="18"/>
              <w:jc w:val="center"/>
              <w:rPr>
                <w:rFonts w:ascii="Palatino Linotype" w:hAnsi="Palatino Linotype"/>
                <w:b/>
                <w:sz w:val="24"/>
                <w:szCs w:val="24"/>
              </w:rPr>
            </w:pPr>
            <w:r w:rsidRPr="000937DF">
              <w:rPr>
                <w:rFonts w:ascii="Palatino Linotype" w:hAnsi="Palatino Linotype"/>
                <w:b/>
              </w:rPr>
              <w:t>Sí</w:t>
            </w:r>
          </w:p>
        </w:tc>
        <w:tc>
          <w:tcPr>
            <w:tcW w:w="6095" w:type="dxa"/>
            <w:tcBorders>
              <w:top w:val="single" w:sz="4" w:space="0" w:color="auto"/>
              <w:left w:val="single" w:sz="4" w:space="0" w:color="auto"/>
              <w:bottom w:val="single" w:sz="4" w:space="0" w:color="auto"/>
              <w:right w:val="single" w:sz="4" w:space="0" w:color="auto"/>
            </w:tcBorders>
            <w:vAlign w:val="center"/>
          </w:tcPr>
          <w:p w14:paraId="6B2BBD19" w14:textId="77777777" w:rsidR="00030BC0" w:rsidRPr="000937DF" w:rsidRDefault="00030BC0" w:rsidP="00967F43">
            <w:pPr>
              <w:pStyle w:val="Prrafodelista"/>
              <w:spacing w:after="120"/>
              <w:ind w:left="29" w:right="-787" w:firstLine="18"/>
              <w:jc w:val="center"/>
              <w:rPr>
                <w:sz w:val="2"/>
              </w:rPr>
            </w:pPr>
          </w:p>
          <w:p w14:paraId="08026A89" w14:textId="5297C9B3" w:rsidR="00030BC0" w:rsidRPr="000937DF" w:rsidRDefault="00030BC0" w:rsidP="00967F43">
            <w:pPr>
              <w:pStyle w:val="Prrafodelista"/>
              <w:spacing w:after="120"/>
              <w:ind w:left="29" w:right="-787" w:firstLine="18"/>
              <w:jc w:val="center"/>
              <w:rPr>
                <w:rFonts w:ascii="Palatino Linotype" w:hAnsi="Palatino Linotype"/>
                <w:sz w:val="24"/>
              </w:rPr>
            </w:pPr>
            <w:r w:rsidRPr="000937DF">
              <w:rPr>
                <w:rFonts w:ascii="Palatino Linotype" w:hAnsi="Palatino Linotype"/>
                <w:noProof/>
                <w:lang w:val="es-MX" w:eastAsia="es-MX"/>
              </w:rPr>
              <w:drawing>
                <wp:inline distT="0" distB="0" distL="0" distR="0" wp14:anchorId="28349929" wp14:editId="635BC4BF">
                  <wp:extent cx="2790825" cy="266700"/>
                  <wp:effectExtent l="0" t="0" r="9525" b="0"/>
                  <wp:docPr id="210855134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266700"/>
                          </a:xfrm>
                          <a:prstGeom prst="rect">
                            <a:avLst/>
                          </a:prstGeom>
                          <a:noFill/>
                          <a:ln>
                            <a:noFill/>
                          </a:ln>
                        </pic:spPr>
                      </pic:pic>
                    </a:graphicData>
                  </a:graphic>
                </wp:inline>
              </w:drawing>
            </w:r>
          </w:p>
        </w:tc>
      </w:tr>
      <w:tr w:rsidR="00030BC0" w:rsidRPr="000937DF" w14:paraId="778C4EFD" w14:textId="77777777" w:rsidTr="00030BC0">
        <w:trPr>
          <w:trHeight w:val="5109"/>
        </w:trPr>
        <w:tc>
          <w:tcPr>
            <w:tcW w:w="1560" w:type="dxa"/>
            <w:tcBorders>
              <w:top w:val="single" w:sz="4" w:space="0" w:color="auto"/>
              <w:left w:val="single" w:sz="4" w:space="0" w:color="auto"/>
              <w:bottom w:val="single" w:sz="4" w:space="0" w:color="auto"/>
              <w:right w:val="single" w:sz="4" w:space="0" w:color="auto"/>
            </w:tcBorders>
            <w:vAlign w:val="center"/>
            <w:hideMark/>
          </w:tcPr>
          <w:p w14:paraId="0E709BC9" w14:textId="77777777" w:rsidR="00030BC0" w:rsidRPr="000937DF" w:rsidRDefault="00030BC0" w:rsidP="00967F43">
            <w:pPr>
              <w:tabs>
                <w:tab w:val="left" w:pos="317"/>
              </w:tabs>
              <w:spacing w:after="120"/>
              <w:ind w:right="-787"/>
              <w:jc w:val="center"/>
              <w:rPr>
                <w:rFonts w:ascii="Palatino Linotype" w:hAnsi="Palatino Linotype"/>
                <w:b/>
                <w:sz w:val="16"/>
                <w:szCs w:val="16"/>
                <w:lang w:eastAsia="en-US"/>
              </w:rPr>
            </w:pPr>
            <w:r w:rsidRPr="000937DF">
              <w:rPr>
                <w:rFonts w:ascii="Palatino Linotype" w:hAnsi="Palatino Linotype"/>
                <w:b/>
                <w:sz w:val="16"/>
                <w:szCs w:val="16"/>
                <w:lang w:eastAsia="en-US"/>
              </w:rPr>
              <w:t>Autoridades competentes.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151D01" w14:textId="19250209" w:rsidR="00030BC0" w:rsidRPr="000937DF" w:rsidRDefault="00030BC0" w:rsidP="00967F43">
            <w:pPr>
              <w:pStyle w:val="Prrafodelista"/>
              <w:spacing w:after="120"/>
              <w:ind w:left="29" w:right="-787" w:firstLine="18"/>
              <w:jc w:val="center"/>
              <w:rPr>
                <w:rFonts w:ascii="Palatino Linotype" w:hAnsi="Palatino Linotype"/>
                <w:b/>
                <w:sz w:val="20"/>
                <w:szCs w:val="20"/>
              </w:rPr>
            </w:pPr>
            <w:r w:rsidRPr="000937DF">
              <w:rPr>
                <w:rFonts w:ascii="Palatino Linotype" w:hAnsi="Palatino Linotype"/>
                <w:sz w:val="20"/>
                <w:szCs w:val="20"/>
                <w:lang w:val="es-MX"/>
              </w:rPr>
              <w:t>H</w:t>
            </w:r>
            <w:proofErr w:type="spellStart"/>
            <w:r w:rsidRPr="000937DF">
              <w:rPr>
                <w:rFonts w:ascii="Palatino Linotype" w:hAnsi="Palatino Linotype"/>
                <w:sz w:val="20"/>
                <w:szCs w:val="20"/>
              </w:rPr>
              <w:t>acen</w:t>
            </w:r>
            <w:proofErr w:type="spellEnd"/>
            <w:r w:rsidRPr="000937DF">
              <w:rPr>
                <w:rFonts w:ascii="Palatino Linotype" w:hAnsi="Palatino Linotype"/>
                <w:sz w:val="20"/>
                <w:szCs w:val="20"/>
              </w:rPr>
              <w:t xml:space="preserve"> falta  firmas del Comité de Transparencia</w:t>
            </w:r>
          </w:p>
        </w:tc>
        <w:tc>
          <w:tcPr>
            <w:tcW w:w="6095" w:type="dxa"/>
            <w:tcBorders>
              <w:top w:val="single" w:sz="4" w:space="0" w:color="auto"/>
              <w:left w:val="single" w:sz="4" w:space="0" w:color="auto"/>
              <w:bottom w:val="single" w:sz="4" w:space="0" w:color="auto"/>
              <w:right w:val="single" w:sz="4" w:space="0" w:color="auto"/>
            </w:tcBorders>
          </w:tcPr>
          <w:p w14:paraId="72065E91" w14:textId="77777777" w:rsidR="00030BC0" w:rsidRPr="000937DF" w:rsidRDefault="00030BC0" w:rsidP="00967F43">
            <w:pPr>
              <w:ind w:right="-787"/>
              <w:rPr>
                <w:sz w:val="8"/>
                <w:lang w:eastAsia="en-US"/>
              </w:rPr>
            </w:pPr>
          </w:p>
          <w:p w14:paraId="1471B51A" w14:textId="77777777" w:rsidR="00967F43" w:rsidRPr="000937DF" w:rsidRDefault="00967F43" w:rsidP="00967F43">
            <w:pPr>
              <w:ind w:right="-787"/>
              <w:rPr>
                <w:lang w:eastAsia="en-US"/>
              </w:rPr>
            </w:pPr>
          </w:p>
          <w:p w14:paraId="75CE74F1" w14:textId="77777777" w:rsidR="00967F43" w:rsidRPr="000937DF" w:rsidRDefault="00967F43" w:rsidP="00967F43">
            <w:pPr>
              <w:ind w:right="-787"/>
              <w:rPr>
                <w:lang w:eastAsia="en-US"/>
              </w:rPr>
            </w:pPr>
          </w:p>
          <w:p w14:paraId="3A8B57A0" w14:textId="77777777" w:rsidR="00967F43" w:rsidRPr="000937DF" w:rsidRDefault="00967F43" w:rsidP="00967F43">
            <w:pPr>
              <w:ind w:right="-787"/>
              <w:rPr>
                <w:lang w:eastAsia="en-US"/>
              </w:rPr>
            </w:pPr>
          </w:p>
          <w:p w14:paraId="2E336F27" w14:textId="77777777" w:rsidR="00030BC0" w:rsidRPr="000937DF" w:rsidRDefault="00967F43" w:rsidP="00967F43">
            <w:pPr>
              <w:ind w:right="-787"/>
              <w:rPr>
                <w:lang w:eastAsia="en-US"/>
              </w:rPr>
            </w:pPr>
            <w:r w:rsidRPr="000937DF">
              <w:rPr>
                <w:noProof/>
              </w:rPr>
              <w:drawing>
                <wp:inline distT="0" distB="0" distL="0" distR="0" wp14:anchorId="1CCC4519" wp14:editId="2DDAE4B1">
                  <wp:extent cx="3590925" cy="1088390"/>
                  <wp:effectExtent l="0" t="0" r="9525" b="0"/>
                  <wp:docPr id="16890359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35997" name=""/>
                          <pic:cNvPicPr/>
                        </pic:nvPicPr>
                        <pic:blipFill rotWithShape="1">
                          <a:blip r:embed="rId19"/>
                          <a:srcRect l="40528" t="45378" r="24861" b="35105"/>
                          <a:stretch/>
                        </pic:blipFill>
                        <pic:spPr bwMode="auto">
                          <a:xfrm>
                            <a:off x="0" y="0"/>
                            <a:ext cx="3607847" cy="1093519"/>
                          </a:xfrm>
                          <a:prstGeom prst="rect">
                            <a:avLst/>
                          </a:prstGeom>
                          <a:ln>
                            <a:noFill/>
                          </a:ln>
                          <a:extLst>
                            <a:ext uri="{53640926-AAD7-44D8-BBD7-CCE9431645EC}">
                              <a14:shadowObscured xmlns:a14="http://schemas.microsoft.com/office/drawing/2010/main"/>
                            </a:ext>
                          </a:extLst>
                        </pic:spPr>
                      </pic:pic>
                    </a:graphicData>
                  </a:graphic>
                </wp:inline>
              </w:drawing>
            </w:r>
          </w:p>
          <w:p w14:paraId="4831488B" w14:textId="77777777" w:rsidR="00967F43" w:rsidRPr="000937DF" w:rsidRDefault="00967F43" w:rsidP="00967F43">
            <w:pPr>
              <w:ind w:right="-787"/>
              <w:rPr>
                <w:lang w:eastAsia="en-US"/>
              </w:rPr>
            </w:pPr>
          </w:p>
          <w:p w14:paraId="40B57F63" w14:textId="77777777" w:rsidR="00967F43" w:rsidRPr="000937DF" w:rsidRDefault="00967F43" w:rsidP="00967F43">
            <w:pPr>
              <w:ind w:right="-787"/>
              <w:rPr>
                <w:lang w:eastAsia="en-US"/>
              </w:rPr>
            </w:pPr>
          </w:p>
          <w:p w14:paraId="7966CB25" w14:textId="0C69310C" w:rsidR="00967F43" w:rsidRPr="000937DF" w:rsidRDefault="00967F43" w:rsidP="00967F43">
            <w:pPr>
              <w:ind w:right="-787"/>
              <w:rPr>
                <w:lang w:eastAsia="en-US"/>
              </w:rPr>
            </w:pPr>
          </w:p>
        </w:tc>
      </w:tr>
    </w:tbl>
    <w:p w14:paraId="5CBF2630" w14:textId="77777777" w:rsidR="00030BC0" w:rsidRPr="000937DF" w:rsidRDefault="00030BC0" w:rsidP="00967F43">
      <w:pPr>
        <w:spacing w:line="360" w:lineRule="auto"/>
        <w:ind w:right="-787"/>
        <w:jc w:val="both"/>
        <w:rPr>
          <w:rFonts w:ascii="Palatino Linotype" w:eastAsia="Palatino Linotype" w:hAnsi="Palatino Linotype" w:cs="Palatino Linotype"/>
          <w:color w:val="000000"/>
          <w:lang w:val="es-ES_tradnl"/>
        </w:rPr>
      </w:pPr>
    </w:p>
    <w:p w14:paraId="2C28D708" w14:textId="77777777" w:rsidR="00030BC0" w:rsidRPr="000937DF" w:rsidRDefault="00030BC0" w:rsidP="00967F43">
      <w:pPr>
        <w:spacing w:line="360" w:lineRule="auto"/>
        <w:ind w:right="-787"/>
        <w:jc w:val="both"/>
        <w:rPr>
          <w:rFonts w:ascii="Palatino Linotype" w:hAnsi="Palatino Linotype"/>
        </w:rPr>
      </w:pPr>
    </w:p>
    <w:p w14:paraId="35CE0E58" w14:textId="5151F900" w:rsidR="00030BC0" w:rsidRPr="000937DF" w:rsidRDefault="00030BC0" w:rsidP="00967F43">
      <w:pPr>
        <w:pStyle w:val="Sinespaciado"/>
        <w:numPr>
          <w:ilvl w:val="0"/>
          <w:numId w:val="19"/>
        </w:numPr>
        <w:spacing w:line="360" w:lineRule="auto"/>
        <w:ind w:left="0" w:right="-787" w:firstLine="0"/>
        <w:jc w:val="both"/>
        <w:rPr>
          <w:rFonts w:ascii="Palatino Linotype" w:hAnsi="Palatino Linotype"/>
          <w:sz w:val="24"/>
          <w:szCs w:val="24"/>
        </w:rPr>
      </w:pPr>
      <w:r w:rsidRPr="000937DF">
        <w:rPr>
          <w:rFonts w:ascii="Palatino Linotype" w:hAnsi="Palatino Linotype"/>
          <w:sz w:val="24"/>
          <w:szCs w:val="24"/>
        </w:rPr>
        <w:t xml:space="preserve">Ahora bien, este Órgano Garante una vez hecho el análisis de la información solicitada por el hoy recurrente, considera que, la entrega de la misma </w:t>
      </w:r>
      <w:r w:rsidRPr="000937DF">
        <w:rPr>
          <w:rFonts w:ascii="Palatino Linotype" w:hAnsi="Palatino Linotype"/>
          <w:b/>
          <w:bCs/>
          <w:sz w:val="24"/>
          <w:szCs w:val="24"/>
          <w:u w:val="single"/>
        </w:rPr>
        <w:t>compromete la seguridad pública</w:t>
      </w:r>
      <w:r w:rsidRPr="000937DF">
        <w:rPr>
          <w:rFonts w:ascii="Palatino Linotype" w:hAnsi="Palatino Linotype"/>
          <w:sz w:val="24"/>
          <w:szCs w:val="24"/>
        </w:rPr>
        <w:t xml:space="preserve">, además de que pone en </w:t>
      </w:r>
      <w:r w:rsidRPr="000937DF">
        <w:rPr>
          <w:rFonts w:ascii="Palatino Linotype" w:hAnsi="Palatino Linotype"/>
          <w:b/>
          <w:sz w:val="24"/>
          <w:szCs w:val="24"/>
          <w:u w:val="single"/>
        </w:rPr>
        <w:t>riesgo la vida, la seguridad o la salud de una persona física</w:t>
      </w:r>
      <w:r w:rsidRPr="000937DF">
        <w:rPr>
          <w:rFonts w:ascii="Palatino Linotype" w:hAnsi="Palatino Linotype"/>
          <w:sz w:val="24"/>
          <w:szCs w:val="24"/>
        </w:rPr>
        <w:t xml:space="preserve">, en los términos de las disposiciones jurídicas aplicables por lo que es correcta su clasificación como información </w:t>
      </w:r>
      <w:r w:rsidRPr="000937DF">
        <w:rPr>
          <w:rFonts w:ascii="Palatino Linotype" w:hAnsi="Palatino Linotype"/>
          <w:b/>
          <w:sz w:val="24"/>
          <w:szCs w:val="24"/>
        </w:rPr>
        <w:t>RESERVADA</w:t>
      </w:r>
      <w:r w:rsidRPr="000937DF">
        <w:rPr>
          <w:rFonts w:ascii="Palatino Linotype" w:hAnsi="Palatino Linotype"/>
          <w:sz w:val="24"/>
          <w:szCs w:val="24"/>
        </w:rPr>
        <w:t>, de acuerdo a lo establecido en los artículos 91 y 140, fracciones I, y IV, de la Ley de Transparencia Estatal, que a la letra establecen lo siguiente:</w:t>
      </w:r>
    </w:p>
    <w:p w14:paraId="3D0927E7" w14:textId="77777777" w:rsidR="00030BC0" w:rsidRPr="000937DF" w:rsidRDefault="00030BC0" w:rsidP="00967F43">
      <w:pPr>
        <w:pStyle w:val="Sinespaciado"/>
        <w:spacing w:line="360" w:lineRule="auto"/>
        <w:ind w:right="-787"/>
        <w:jc w:val="both"/>
        <w:rPr>
          <w:rFonts w:ascii="Palatino Linotype" w:hAnsi="Palatino Linotype"/>
          <w:sz w:val="24"/>
          <w:szCs w:val="24"/>
        </w:rPr>
      </w:pPr>
    </w:p>
    <w:p w14:paraId="234C8BE8" w14:textId="77777777" w:rsidR="00030BC0" w:rsidRPr="000937DF" w:rsidRDefault="00030BC0" w:rsidP="00967F43">
      <w:pPr>
        <w:pStyle w:val="Sinespaciado"/>
        <w:ind w:left="567" w:right="-787"/>
        <w:jc w:val="both"/>
        <w:rPr>
          <w:rFonts w:ascii="Palatino Linotype" w:hAnsi="Palatino Linotype"/>
          <w:i/>
        </w:rPr>
      </w:pPr>
      <w:r w:rsidRPr="000937DF">
        <w:rPr>
          <w:rFonts w:ascii="Palatino Linotype" w:hAnsi="Palatino Linotype"/>
          <w:b/>
          <w:i/>
        </w:rPr>
        <w:t>Artículo 91.</w:t>
      </w:r>
      <w:r w:rsidRPr="000937DF">
        <w:rPr>
          <w:rFonts w:ascii="Palatino Linotype" w:hAnsi="Palatino Linotype"/>
          <w:i/>
        </w:rPr>
        <w:t xml:space="preserve"> </w:t>
      </w:r>
      <w:r w:rsidRPr="000937DF">
        <w:rPr>
          <w:rFonts w:ascii="Palatino Linotype" w:hAnsi="Palatino Linotype"/>
          <w:i/>
          <w:u w:val="single"/>
        </w:rPr>
        <w:t>El acceso a la información pública será restringido excepcionalmente, cuando ésta sea clasificada como reservada</w:t>
      </w:r>
      <w:r w:rsidRPr="000937DF">
        <w:rPr>
          <w:rFonts w:ascii="Palatino Linotype" w:hAnsi="Palatino Linotype"/>
          <w:i/>
        </w:rPr>
        <w:t xml:space="preserve"> o confidencial.</w:t>
      </w:r>
    </w:p>
    <w:p w14:paraId="4AA00598" w14:textId="77777777" w:rsidR="00030BC0" w:rsidRPr="000937DF" w:rsidRDefault="00030BC0" w:rsidP="00967F43">
      <w:pPr>
        <w:pStyle w:val="Sinespaciado"/>
        <w:ind w:left="567" w:right="-787"/>
        <w:jc w:val="both"/>
        <w:rPr>
          <w:rFonts w:ascii="Palatino Linotype" w:hAnsi="Palatino Linotype"/>
          <w:i/>
        </w:rPr>
      </w:pPr>
    </w:p>
    <w:p w14:paraId="7803688A" w14:textId="77777777" w:rsidR="00030BC0" w:rsidRPr="000937DF" w:rsidRDefault="00030BC0" w:rsidP="00967F43">
      <w:pPr>
        <w:pStyle w:val="Sinespaciado"/>
        <w:ind w:left="567" w:right="-787"/>
        <w:jc w:val="both"/>
        <w:rPr>
          <w:rFonts w:ascii="Palatino Linotype" w:hAnsi="Palatino Linotype"/>
          <w:i/>
        </w:rPr>
      </w:pPr>
      <w:r w:rsidRPr="000937DF">
        <w:rPr>
          <w:rFonts w:ascii="Palatino Linotype" w:hAnsi="Palatino Linotype"/>
          <w:b/>
          <w:i/>
        </w:rPr>
        <w:t>Artículo 140.</w:t>
      </w:r>
      <w:r w:rsidRPr="000937DF">
        <w:rPr>
          <w:rFonts w:ascii="Palatino Linotype" w:hAnsi="Palatino Linotype"/>
          <w:i/>
        </w:rPr>
        <w:t xml:space="preserve"> </w:t>
      </w:r>
      <w:r w:rsidRPr="000937DF">
        <w:rPr>
          <w:rFonts w:ascii="Palatino Linotype" w:hAnsi="Palatino Linotype"/>
          <w:i/>
          <w:u w:val="single"/>
        </w:rPr>
        <w:t>El acceso a la información pública será restringido excepcionalmente, cuando por razones de interés público, ésta sea clasificada como reservada, conforme a los criterios siguientes:</w:t>
      </w:r>
    </w:p>
    <w:p w14:paraId="35CE6B8C" w14:textId="77777777" w:rsidR="00030BC0" w:rsidRPr="000937DF" w:rsidRDefault="00030BC0" w:rsidP="00967F43">
      <w:pPr>
        <w:pStyle w:val="Sinespaciado"/>
        <w:ind w:left="567" w:right="-787"/>
        <w:jc w:val="both"/>
        <w:rPr>
          <w:rFonts w:ascii="Palatino Linotype" w:hAnsi="Palatino Linotype"/>
          <w:i/>
        </w:rPr>
      </w:pPr>
      <w:r w:rsidRPr="000937DF">
        <w:rPr>
          <w:rFonts w:ascii="Palatino Linotype" w:hAnsi="Palatino Linotype"/>
          <w:i/>
        </w:rPr>
        <w:t xml:space="preserve">(…) </w:t>
      </w:r>
    </w:p>
    <w:p w14:paraId="4B00A59D" w14:textId="77777777" w:rsidR="00030BC0" w:rsidRPr="000937DF" w:rsidRDefault="00030BC0" w:rsidP="00967F43">
      <w:pPr>
        <w:pStyle w:val="Sinespaciado"/>
        <w:ind w:left="567" w:right="-787"/>
        <w:jc w:val="both"/>
        <w:rPr>
          <w:rFonts w:ascii="Palatino Linotype" w:hAnsi="Palatino Linotype"/>
          <w:i/>
        </w:rPr>
      </w:pPr>
      <w:r w:rsidRPr="000937DF">
        <w:rPr>
          <w:rFonts w:ascii="Palatino Linotype" w:hAnsi="Palatino Linotype"/>
          <w:b/>
          <w:i/>
        </w:rPr>
        <w:t xml:space="preserve">I. </w:t>
      </w:r>
      <w:r w:rsidRPr="000937DF">
        <w:rPr>
          <w:rFonts w:ascii="Palatino Linotype" w:hAnsi="Palatino Linotype"/>
          <w:i/>
        </w:rPr>
        <w:t>Comprometa la seguridad pública y cuente con un propósito genuino y un efecto demostrable;</w:t>
      </w:r>
    </w:p>
    <w:p w14:paraId="72DE4402" w14:textId="77777777" w:rsidR="00030BC0" w:rsidRPr="000937DF" w:rsidRDefault="00030BC0" w:rsidP="00967F43">
      <w:pPr>
        <w:pStyle w:val="Sinespaciado"/>
        <w:ind w:left="567" w:right="-787"/>
        <w:jc w:val="both"/>
        <w:rPr>
          <w:rFonts w:ascii="Palatino Linotype" w:hAnsi="Palatino Linotype"/>
          <w:i/>
        </w:rPr>
      </w:pPr>
      <w:r w:rsidRPr="000937DF">
        <w:rPr>
          <w:rFonts w:ascii="Palatino Linotype" w:hAnsi="Palatino Linotype"/>
          <w:i/>
        </w:rPr>
        <w:t>(…)</w:t>
      </w:r>
    </w:p>
    <w:p w14:paraId="53E407F9" w14:textId="77777777" w:rsidR="00030BC0" w:rsidRPr="000937DF" w:rsidRDefault="00030BC0" w:rsidP="00967F43">
      <w:pPr>
        <w:pStyle w:val="Sinespaciado"/>
        <w:ind w:left="567" w:right="-787"/>
        <w:jc w:val="both"/>
        <w:rPr>
          <w:rFonts w:ascii="Palatino Linotype" w:hAnsi="Palatino Linotype"/>
          <w:i/>
        </w:rPr>
      </w:pPr>
    </w:p>
    <w:p w14:paraId="6E12B00C" w14:textId="77777777" w:rsidR="00030BC0" w:rsidRPr="000937DF" w:rsidRDefault="00030BC0" w:rsidP="00967F43">
      <w:pPr>
        <w:spacing w:line="360" w:lineRule="auto"/>
        <w:ind w:left="567" w:right="-787"/>
        <w:jc w:val="both"/>
        <w:rPr>
          <w:rFonts w:ascii="Palatino Linotype" w:hAnsi="Palatino Linotype" w:cs="Arial"/>
          <w:b/>
          <w:i/>
          <w:u w:val="single"/>
        </w:rPr>
      </w:pPr>
      <w:r w:rsidRPr="000937DF">
        <w:rPr>
          <w:rFonts w:ascii="Palatino Linotype" w:hAnsi="Palatino Linotype" w:cs="Arial"/>
          <w:b/>
          <w:i/>
          <w:u w:val="single"/>
        </w:rPr>
        <w:t>IV. Ponga en riesgo la vida, la seguridad o la salud de una persona física;</w:t>
      </w:r>
    </w:p>
    <w:p w14:paraId="5DF8BF55" w14:textId="77777777" w:rsidR="00030BC0" w:rsidRPr="000937DF" w:rsidRDefault="00030BC0" w:rsidP="00967F43">
      <w:pPr>
        <w:pStyle w:val="Sinespaciado"/>
        <w:ind w:left="567" w:right="-787"/>
        <w:jc w:val="both"/>
        <w:rPr>
          <w:rFonts w:ascii="Palatino Linotype" w:hAnsi="Palatino Linotype"/>
          <w:i/>
        </w:rPr>
      </w:pPr>
    </w:p>
    <w:p w14:paraId="2AD10D33" w14:textId="77777777" w:rsidR="00030BC0" w:rsidRPr="000937DF" w:rsidRDefault="00030BC0" w:rsidP="00967F43">
      <w:pPr>
        <w:pStyle w:val="Sinespaciado"/>
        <w:ind w:left="567" w:right="-787"/>
        <w:jc w:val="both"/>
        <w:rPr>
          <w:rFonts w:ascii="Palatino Linotype" w:hAnsi="Palatino Linotype"/>
          <w:i/>
          <w:sz w:val="2"/>
        </w:rPr>
      </w:pPr>
    </w:p>
    <w:p w14:paraId="6CD41DBE" w14:textId="77777777" w:rsidR="00967F43" w:rsidRPr="000937DF" w:rsidRDefault="00030BC0" w:rsidP="00967F43">
      <w:pPr>
        <w:pStyle w:val="Prrafodelista"/>
        <w:numPr>
          <w:ilvl w:val="0"/>
          <w:numId w:val="19"/>
        </w:numPr>
        <w:spacing w:line="360" w:lineRule="auto"/>
        <w:ind w:left="0" w:right="-787" w:firstLine="0"/>
        <w:jc w:val="both"/>
        <w:rPr>
          <w:rFonts w:ascii="Palatino Linotype" w:hAnsi="Palatino Linotype"/>
          <w:sz w:val="24"/>
        </w:rPr>
      </w:pPr>
      <w:r w:rsidRPr="000937DF">
        <w:rPr>
          <w:rFonts w:ascii="Palatino Linotype" w:hAnsi="Palatino Linotype" w:cs="Arial"/>
        </w:rPr>
        <w:t xml:space="preserve">Es así que, </w:t>
      </w:r>
      <w:r w:rsidRPr="000937DF">
        <w:rPr>
          <w:rFonts w:ascii="Palatino Linotype" w:eastAsia="Calibri" w:hAnsi="Palatino Linotype" w:cs="Arial"/>
        </w:rPr>
        <w:t xml:space="preserve">si bien es cierto </w:t>
      </w:r>
      <w:r w:rsidRPr="000937DF">
        <w:rPr>
          <w:rFonts w:ascii="Palatino Linotype" w:hAnsi="Palatino Linotype"/>
        </w:rPr>
        <w:t xml:space="preserve">el derecho de acceso a la información pública se satisface en aquellos casos en que se entregue el soporte documental en que conste la información requerida, también lo es que el </w:t>
      </w:r>
      <w:r w:rsidRPr="000937DF">
        <w:rPr>
          <w:rFonts w:ascii="Palatino Linotype" w:hAnsi="Palatino Linotype" w:cs="Arial"/>
        </w:rPr>
        <w:t xml:space="preserve">derecho de acceso a la información pública puede ser restringido cuando se trate de información clasificada como </w:t>
      </w:r>
      <w:r w:rsidRPr="000937DF">
        <w:rPr>
          <w:rFonts w:ascii="Palatino Linotype" w:hAnsi="Palatino Linotype" w:cs="Arial"/>
          <w:b/>
        </w:rPr>
        <w:t>RESERVADA</w:t>
      </w:r>
      <w:r w:rsidRPr="000937DF">
        <w:rPr>
          <w:rFonts w:ascii="Palatino Linotype" w:hAnsi="Palatino Linotype" w:cs="Arial"/>
        </w:rPr>
        <w:t xml:space="preserve">, delimitando una serie de hipótesis de hecho en las cuales descansa la posibilidad de reserva de información, por lo que dentro la información que generen, posean o administren los Sujetos Obligados, se considerará reservada cuando </w:t>
      </w:r>
      <w:r w:rsidRPr="000937DF">
        <w:rPr>
          <w:rFonts w:ascii="Palatino Linotype" w:hAnsi="Palatino Linotype"/>
          <w:b/>
          <w:bCs/>
          <w:u w:val="single"/>
        </w:rPr>
        <w:t>compromete la seguridad pública</w:t>
      </w:r>
      <w:r w:rsidRPr="000937DF">
        <w:rPr>
          <w:rFonts w:ascii="Palatino Linotype" w:hAnsi="Palatino Linotype"/>
        </w:rPr>
        <w:t xml:space="preserve">, además de que pone en </w:t>
      </w:r>
      <w:r w:rsidRPr="000937DF">
        <w:rPr>
          <w:rFonts w:ascii="Palatino Linotype" w:hAnsi="Palatino Linotype"/>
          <w:b/>
          <w:u w:val="single"/>
        </w:rPr>
        <w:t>riesgo la vida, la seguridad o la salud de una persona física</w:t>
      </w:r>
      <w:r w:rsidRPr="000937DF">
        <w:rPr>
          <w:rFonts w:ascii="Palatino Linotype" w:hAnsi="Palatino Linotype" w:cs="Arial"/>
        </w:rPr>
        <w:t>, en los términos de las disposiciones jurídicas aplicables</w:t>
      </w:r>
      <w:r w:rsidRPr="000937DF">
        <w:rPr>
          <w:rFonts w:ascii="Palatino Linotype" w:hAnsi="Palatino Linotype"/>
        </w:rPr>
        <w:t>.</w:t>
      </w:r>
    </w:p>
    <w:p w14:paraId="4FDF5F17" w14:textId="77777777" w:rsidR="00967F43" w:rsidRPr="000937DF" w:rsidRDefault="00967F43" w:rsidP="00967F43">
      <w:pPr>
        <w:pStyle w:val="Prrafodelista"/>
        <w:spacing w:line="360" w:lineRule="auto"/>
        <w:ind w:left="0" w:right="-787"/>
        <w:jc w:val="both"/>
        <w:rPr>
          <w:rFonts w:ascii="Palatino Linotype" w:hAnsi="Palatino Linotype"/>
          <w:sz w:val="24"/>
        </w:rPr>
      </w:pPr>
    </w:p>
    <w:p w14:paraId="3B8350EA" w14:textId="208600F4" w:rsidR="00030BC0" w:rsidRPr="000937DF" w:rsidRDefault="00030BC0" w:rsidP="00967F43">
      <w:pPr>
        <w:pStyle w:val="Prrafodelista"/>
        <w:numPr>
          <w:ilvl w:val="0"/>
          <w:numId w:val="19"/>
        </w:numPr>
        <w:spacing w:line="360" w:lineRule="auto"/>
        <w:ind w:left="0" w:right="-787" w:firstLine="0"/>
        <w:jc w:val="both"/>
        <w:rPr>
          <w:rFonts w:ascii="Palatino Linotype" w:hAnsi="Palatino Linotype"/>
          <w:sz w:val="24"/>
        </w:rPr>
      </w:pPr>
      <w:r w:rsidRPr="000937DF">
        <w:rPr>
          <w:rFonts w:ascii="Palatino Linotype" w:hAnsi="Palatino Linotype"/>
        </w:rPr>
        <w:t xml:space="preserve">En el caso en particular, es necesario limitar la publicación de la información solicitada, ya que podría poner en riesgo la seguridad pública, sin soslayar que la misma tiene el carácter de </w:t>
      </w:r>
      <w:r w:rsidRPr="000937DF">
        <w:rPr>
          <w:rFonts w:ascii="Palatino Linotype" w:hAnsi="Palatino Linotype"/>
          <w:b/>
        </w:rPr>
        <w:t>RESERVADA</w:t>
      </w:r>
      <w:r w:rsidRPr="000937DF">
        <w:rPr>
          <w:rFonts w:ascii="Palatino Linotype" w:hAnsi="Palatino Linotype"/>
        </w:rPr>
        <w:t xml:space="preserve"> por disposición expresa del artículo 110, en relación directa con la fracción II, del artículo 5, de la Ley General del Sistema Nacional de Seguridad Pública, debido a que su difusión, facilitaría a células delictivas el neutralizar las acciones, implementadas o por implementar, en materia de seguridad pública para la preservación del orden y la paz pública, preceptos legales que a la letra señalan: </w:t>
      </w:r>
    </w:p>
    <w:p w14:paraId="37C3F1DB" w14:textId="77777777" w:rsidR="00030BC0" w:rsidRPr="000937DF" w:rsidRDefault="00030BC0" w:rsidP="00967F43">
      <w:pPr>
        <w:spacing w:line="360" w:lineRule="auto"/>
        <w:ind w:right="-787"/>
        <w:jc w:val="both"/>
        <w:rPr>
          <w:rFonts w:ascii="Palatino Linotype" w:hAnsi="Palatino Linotype"/>
        </w:rPr>
      </w:pPr>
    </w:p>
    <w:p w14:paraId="73223805" w14:textId="77777777" w:rsidR="00030BC0" w:rsidRPr="000937DF" w:rsidRDefault="00030BC0" w:rsidP="00967F43">
      <w:pPr>
        <w:spacing w:line="276" w:lineRule="auto"/>
        <w:ind w:left="426" w:right="-787"/>
        <w:jc w:val="both"/>
        <w:rPr>
          <w:rFonts w:ascii="Palatino Linotype" w:hAnsi="Palatino Linotype"/>
          <w:i/>
          <w:iCs/>
        </w:rPr>
      </w:pPr>
      <w:r w:rsidRPr="000937DF">
        <w:rPr>
          <w:rFonts w:ascii="Palatino Linotype" w:hAnsi="Palatino Linotype"/>
          <w:b/>
          <w:bCs/>
          <w:i/>
          <w:iCs/>
        </w:rPr>
        <w:t>Artículo 5.-</w:t>
      </w:r>
      <w:r w:rsidRPr="000937DF">
        <w:rPr>
          <w:rFonts w:ascii="Palatino Linotype" w:hAnsi="Palatino Linotype"/>
          <w:i/>
          <w:iCs/>
        </w:rPr>
        <w:t xml:space="preserve"> Para los efectos de esta Ley, se entenderá por: </w:t>
      </w:r>
    </w:p>
    <w:p w14:paraId="02CC1361" w14:textId="77777777" w:rsidR="00030BC0" w:rsidRPr="000937DF" w:rsidRDefault="00030BC0" w:rsidP="00967F43">
      <w:pPr>
        <w:spacing w:line="276" w:lineRule="auto"/>
        <w:ind w:left="426" w:right="-787"/>
        <w:jc w:val="both"/>
        <w:rPr>
          <w:rFonts w:ascii="Palatino Linotype" w:hAnsi="Palatino Linotype"/>
          <w:i/>
          <w:iCs/>
        </w:rPr>
      </w:pPr>
      <w:r w:rsidRPr="000937DF">
        <w:rPr>
          <w:rFonts w:ascii="Palatino Linotype" w:hAnsi="Palatino Linotype"/>
          <w:b/>
          <w:bCs/>
          <w:i/>
          <w:iCs/>
        </w:rPr>
        <w:lastRenderedPageBreak/>
        <w:t>II. Bases de Datos:</w:t>
      </w:r>
      <w:r w:rsidRPr="000937DF">
        <w:rPr>
          <w:rFonts w:ascii="Palatino Linotype" w:hAnsi="Palatino Linotype"/>
          <w:i/>
          <w:iCs/>
        </w:rPr>
        <w:t xml:space="preserve"> </w:t>
      </w:r>
      <w:r w:rsidRPr="000937DF">
        <w:rPr>
          <w:rFonts w:ascii="Palatino Linotype" w:hAnsi="Palatino Linotype"/>
          <w:b/>
          <w:bCs/>
          <w:i/>
          <w:iCs/>
        </w:rPr>
        <w:t xml:space="preserve">Las bases de datos que constituyen subconjuntos sistematizados de la </w:t>
      </w:r>
      <w:r w:rsidRPr="000937DF">
        <w:rPr>
          <w:rFonts w:ascii="Palatino Linotype" w:hAnsi="Palatino Linotype"/>
          <w:b/>
          <w:bCs/>
          <w:i/>
          <w:iCs/>
          <w:u w:val="single"/>
        </w:rPr>
        <w:t>información contenida en Registros Nacionales en materias relativas a</w:t>
      </w:r>
      <w:r w:rsidRPr="000937DF">
        <w:rPr>
          <w:rFonts w:ascii="Palatino Linotype" w:hAnsi="Palatino Linotype"/>
          <w:b/>
          <w:bCs/>
          <w:i/>
          <w:iCs/>
        </w:rPr>
        <w:t xml:space="preserve"> detenciones, </w:t>
      </w:r>
      <w:r w:rsidRPr="000937DF">
        <w:rPr>
          <w:rFonts w:ascii="Palatino Linotype" w:hAnsi="Palatino Linotype"/>
          <w:b/>
          <w:bCs/>
          <w:i/>
          <w:iCs/>
          <w:u w:val="single"/>
        </w:rPr>
        <w:t>armamento, equipo</w:t>
      </w:r>
      <w:r w:rsidRPr="000937DF">
        <w:rPr>
          <w:rFonts w:ascii="Palatino Linotype" w:hAnsi="Palatino Linotype"/>
          <w:b/>
          <w:bCs/>
          <w:i/>
          <w:iCs/>
        </w:rPr>
        <w:t xml:space="preserve"> y personal de seguridad pública</w:t>
      </w:r>
      <w:r w:rsidRPr="000937DF">
        <w:rPr>
          <w:rFonts w:ascii="Palatino Linotype" w:hAnsi="Palatino Linotype"/>
          <w:i/>
          <w:iCs/>
        </w:rPr>
        <w:t>,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6A101194" w14:textId="77777777" w:rsidR="00030BC0" w:rsidRPr="000937DF" w:rsidRDefault="00030BC0" w:rsidP="00967F43">
      <w:pPr>
        <w:spacing w:line="276" w:lineRule="auto"/>
        <w:ind w:left="426" w:right="-787"/>
        <w:jc w:val="both"/>
        <w:rPr>
          <w:rFonts w:ascii="Palatino Linotype" w:hAnsi="Palatino Linotype"/>
          <w:i/>
          <w:iCs/>
        </w:rPr>
      </w:pPr>
      <w:r w:rsidRPr="000937DF">
        <w:rPr>
          <w:rFonts w:ascii="Palatino Linotype" w:hAnsi="Palatino Linotype"/>
          <w:b/>
          <w:bCs/>
          <w:i/>
          <w:iCs/>
        </w:rPr>
        <w:t>Artículo 110.-</w:t>
      </w:r>
      <w:r w:rsidRPr="000937DF">
        <w:rPr>
          <w:rFonts w:ascii="Palatino Linotype" w:hAnsi="Palatino Linotype"/>
          <w:i/>
          <w:iCs/>
        </w:rPr>
        <w:t xml:space="preserve"> Los integrantes del Sistema están obligados a permitir la interconexión de sus Bases de Datos para compartir la información sobre Seguridad Pública con el Sistema Nacional de Información, en los términos de esta Ley y otras disposiciones jurídicas aplicables. Para efecto de dar cumplimiento al párrafo anterior, se adoptarán los mecanismos tecnológicos necesarios para la interconexión en tiempo real y respaldo de la información. </w:t>
      </w:r>
    </w:p>
    <w:p w14:paraId="057F5475" w14:textId="77777777" w:rsidR="00030BC0" w:rsidRPr="000937DF" w:rsidRDefault="00030BC0" w:rsidP="00967F43">
      <w:pPr>
        <w:spacing w:line="276" w:lineRule="auto"/>
        <w:ind w:left="426" w:right="-787"/>
        <w:jc w:val="both"/>
        <w:rPr>
          <w:rFonts w:ascii="Palatino Linotype" w:hAnsi="Palatino Linotype"/>
          <w:i/>
          <w:iCs/>
        </w:rPr>
      </w:pPr>
      <w:r w:rsidRPr="000937DF">
        <w:rPr>
          <w:rFonts w:ascii="Palatino Linotype" w:hAnsi="Palatino Linotype"/>
          <w:i/>
          <w:iCs/>
        </w:rPr>
        <w:t xml:space="preserve">La información contenida en las Bases de Datos del Sistema Nacional de Información, podrá ser certificada por la autoridad respectiva y tendrá el valor probatorio que las disposiciones legales determinen. </w:t>
      </w:r>
    </w:p>
    <w:p w14:paraId="00D7B006" w14:textId="77777777" w:rsidR="00030BC0" w:rsidRPr="000937DF" w:rsidRDefault="00030BC0" w:rsidP="00967F43">
      <w:pPr>
        <w:spacing w:line="276" w:lineRule="auto"/>
        <w:ind w:left="426" w:right="-787"/>
        <w:jc w:val="both"/>
        <w:rPr>
          <w:rFonts w:ascii="Palatino Linotype" w:hAnsi="Palatino Linotype"/>
          <w:i/>
          <w:iCs/>
        </w:rPr>
      </w:pPr>
      <w:r w:rsidRPr="000937DF">
        <w:rPr>
          <w:rFonts w:ascii="Palatino Linotype" w:hAnsi="Palatino Linotype"/>
          <w:b/>
          <w:bCs/>
          <w:i/>
          <w:iCs/>
        </w:rPr>
        <w:t>Se clasifica como reservada la información contenida en todas y cada una de las Bases de Datos del Sistema Nacional de Información, así como los Registros Nacionales y la información contenida en ellos, en materia de</w:t>
      </w:r>
      <w:r w:rsidRPr="000937DF">
        <w:rPr>
          <w:rFonts w:ascii="Palatino Linotype" w:hAnsi="Palatino Linotype"/>
          <w:i/>
          <w:iCs/>
        </w:rPr>
        <w:t xml:space="preserve"> detenciones, información criminal, personal de seguridad pública, personal y equipo de los servicios de seguridad privada, </w:t>
      </w:r>
      <w:r w:rsidRPr="000937DF">
        <w:rPr>
          <w:rFonts w:ascii="Palatino Linotype" w:hAnsi="Palatino Linotype"/>
          <w:b/>
          <w:bCs/>
          <w:i/>
          <w:iCs/>
        </w:rPr>
        <w:t>armamento y equipo,</w:t>
      </w:r>
      <w:r w:rsidRPr="000937DF">
        <w:rPr>
          <w:rFonts w:ascii="Palatino Linotype" w:hAnsi="Palatino Linotype"/>
          <w:i/>
          <w:iCs/>
        </w:rPr>
        <w:t xml:space="preserve"> vehículos, huellas dactilares, teléfonos celulares, medidas cautelares, soluciones alternas y formas de terminación anticipada, sentenciados y las demás necesarias para la operación del Sistema.</w:t>
      </w:r>
    </w:p>
    <w:p w14:paraId="6D888D66" w14:textId="77777777" w:rsidR="00030BC0" w:rsidRPr="000937DF" w:rsidRDefault="00030BC0" w:rsidP="00967F43">
      <w:pPr>
        <w:spacing w:line="360" w:lineRule="auto"/>
        <w:ind w:left="426" w:right="-787"/>
        <w:jc w:val="both"/>
        <w:rPr>
          <w:rFonts w:ascii="Palatino Linotype" w:hAnsi="Palatino Linotype" w:cs="Arial"/>
          <w:i/>
        </w:rPr>
      </w:pPr>
    </w:p>
    <w:p w14:paraId="2AA57D3D" w14:textId="7F462318" w:rsidR="00030BC0" w:rsidRPr="000937DF" w:rsidRDefault="00030BC0" w:rsidP="00967F43">
      <w:pPr>
        <w:pStyle w:val="Prrafodelista"/>
        <w:numPr>
          <w:ilvl w:val="0"/>
          <w:numId w:val="19"/>
        </w:numPr>
        <w:autoSpaceDE w:val="0"/>
        <w:autoSpaceDN w:val="0"/>
        <w:adjustRightInd w:val="0"/>
        <w:spacing w:line="360" w:lineRule="auto"/>
        <w:ind w:left="0" w:right="-787" w:firstLine="0"/>
        <w:jc w:val="both"/>
        <w:rPr>
          <w:rFonts w:ascii="Palatino Linotype" w:hAnsi="Palatino Linotype" w:cs="Arial"/>
        </w:rPr>
      </w:pPr>
      <w:r w:rsidRPr="000937DF">
        <w:rPr>
          <w:rFonts w:ascii="Palatino Linotype" w:hAnsi="Palatino Linotype" w:cs="Arial"/>
        </w:rPr>
        <w:t xml:space="preserve">Es por ello que se advierte que la información solicitada debe ser clasificada como reservada de conformidad con lo establecido en el artículo 113, de la Ley General de Transparencia y Acceso a la Información Pública, numeral vigésimo cuarto, fracción II, de los Lineamientos Generales en Materia de Clasificación y Desclasificación de la Información, así como para la Elaboración de </w:t>
      </w:r>
      <w:r w:rsidRPr="000937DF">
        <w:rPr>
          <w:rFonts w:ascii="Palatino Linotype" w:hAnsi="Palatino Linotype" w:cs="Arial"/>
        </w:rPr>
        <w:lastRenderedPageBreak/>
        <w:t xml:space="preserve">Versiones Públicas, así como los artículos 91, 128, 129, 140, fracción V, numeral I y 141, de la Ley de Transparencia y Acceso a la Información Pública del Estado de México y Municipios, preceptos legales que a la letra establecen: </w:t>
      </w:r>
    </w:p>
    <w:p w14:paraId="29C263DB" w14:textId="77777777" w:rsidR="00030BC0" w:rsidRPr="000937DF" w:rsidRDefault="00030BC0" w:rsidP="00967F43">
      <w:pPr>
        <w:spacing w:line="360" w:lineRule="auto"/>
        <w:ind w:left="426" w:right="-787"/>
        <w:jc w:val="center"/>
        <w:rPr>
          <w:rFonts w:ascii="Palatino Linotype" w:hAnsi="Palatino Linotype" w:cs="Arial"/>
          <w:b/>
          <w:i/>
        </w:rPr>
      </w:pPr>
      <w:r w:rsidRPr="000937DF">
        <w:rPr>
          <w:rFonts w:ascii="Palatino Linotype" w:hAnsi="Palatino Linotype" w:cs="Arial"/>
          <w:b/>
          <w:i/>
        </w:rPr>
        <w:t>Ley General de Transparencia y Acceso a la Información Pública</w:t>
      </w:r>
    </w:p>
    <w:p w14:paraId="217D821B"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Artículo 113.</w:t>
      </w:r>
      <w:r w:rsidRPr="000937DF">
        <w:rPr>
          <w:rFonts w:ascii="Palatino Linotype" w:hAnsi="Palatino Linotype" w:cs="Arial"/>
          <w:i/>
        </w:rPr>
        <w:t xml:space="preserve"> Como información reservada podrá clasificarse aquella cuya publicación:</w:t>
      </w:r>
    </w:p>
    <w:p w14:paraId="66F50C77"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w:t>
      </w:r>
      <w:r w:rsidRPr="000937DF">
        <w:rPr>
          <w:rFonts w:ascii="Palatino Linotype" w:hAnsi="Palatino Linotype" w:cs="Arial"/>
          <w:i/>
        </w:rPr>
        <w:t xml:space="preserve"> Comprometa la seguridad nacional, la seguridad pública o la defensa nacional y cuente con un propósito genuino y un efecto demostrable;</w:t>
      </w:r>
    </w:p>
    <w:p w14:paraId="61EC1615"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II.</w:t>
      </w:r>
      <w:r w:rsidRPr="000937DF">
        <w:rPr>
          <w:rFonts w:ascii="Palatino Linotype" w:hAnsi="Palatino Linotype" w:cs="Arial"/>
          <w:i/>
        </w:rPr>
        <w:t xml:space="preserve"> Pueda menoscabar la conducción de las negociaciones y relaciones internacionales;</w:t>
      </w:r>
    </w:p>
    <w:p w14:paraId="39181033"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III.</w:t>
      </w:r>
      <w:r w:rsidRPr="000937DF">
        <w:rPr>
          <w:rFonts w:ascii="Palatino Linotype" w:hAnsi="Palatino Linotype" w:cs="Arial"/>
          <w:i/>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p w14:paraId="6B3255EF"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IV.</w:t>
      </w:r>
      <w:r w:rsidRPr="000937DF">
        <w:rPr>
          <w:rFonts w:ascii="Palatino Linotype" w:hAnsi="Palatino Linotype" w:cs="Arial"/>
          <w:i/>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p w14:paraId="051790C3" w14:textId="77777777" w:rsidR="00030BC0" w:rsidRPr="000937DF" w:rsidRDefault="00030BC0" w:rsidP="00967F43">
      <w:pPr>
        <w:spacing w:line="360" w:lineRule="auto"/>
        <w:ind w:left="426" w:right="-787"/>
        <w:jc w:val="both"/>
        <w:rPr>
          <w:rFonts w:ascii="Palatino Linotype" w:hAnsi="Palatino Linotype" w:cs="Arial"/>
          <w:b/>
          <w:i/>
          <w:u w:val="single"/>
        </w:rPr>
      </w:pPr>
      <w:r w:rsidRPr="000937DF">
        <w:rPr>
          <w:rFonts w:ascii="Palatino Linotype" w:hAnsi="Palatino Linotype" w:cs="Arial"/>
          <w:b/>
          <w:i/>
          <w:u w:val="single"/>
        </w:rPr>
        <w:t>V. Pueda poner en riesgo la vida, seguridad o salud de una persona física;</w:t>
      </w:r>
    </w:p>
    <w:p w14:paraId="741941B5"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VI.</w:t>
      </w:r>
      <w:r w:rsidRPr="000937DF">
        <w:rPr>
          <w:rFonts w:ascii="Palatino Linotype" w:hAnsi="Palatino Linotype" w:cs="Arial"/>
          <w:i/>
        </w:rPr>
        <w:t xml:space="preserve"> Obstruya las actividades de verificación, inspección y auditoría relativas al cumplimiento de las leyes o afecte la recaudación de contribuciones;</w:t>
      </w:r>
    </w:p>
    <w:p w14:paraId="07FAB7CA"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VII.</w:t>
      </w:r>
      <w:r w:rsidRPr="000937DF">
        <w:rPr>
          <w:rFonts w:ascii="Palatino Linotype" w:hAnsi="Palatino Linotype" w:cs="Arial"/>
          <w:i/>
        </w:rPr>
        <w:t xml:space="preserve"> Obstruya la prevención o persecución de los delitos;</w:t>
      </w:r>
    </w:p>
    <w:p w14:paraId="38697DC0"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VIII.</w:t>
      </w:r>
      <w:r w:rsidRPr="000937DF">
        <w:rPr>
          <w:rFonts w:ascii="Palatino Linotype" w:hAnsi="Palatino Linotype" w:cs="Arial"/>
          <w:i/>
        </w:rPr>
        <w:t xml:space="preserve"> La que contenga las opiniones, recomendaciones o puntos de vista que formen parte del proceso deliberativo de los servidores públicos, hasta en tanto no sea adoptada la decisión definitiva, la cual deberá estar documentada;</w:t>
      </w:r>
    </w:p>
    <w:p w14:paraId="4209FF86"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lastRenderedPageBreak/>
        <w:t>IX.</w:t>
      </w:r>
      <w:r w:rsidRPr="000937DF">
        <w:rPr>
          <w:rFonts w:ascii="Palatino Linotype" w:hAnsi="Palatino Linotype" w:cs="Arial"/>
          <w:i/>
        </w:rPr>
        <w:t xml:space="preserve"> Obstruya los procedimientos para fincar responsabilidad a los Servidores Públicos, en tanto no se haya dictado la resolución administrativa;</w:t>
      </w:r>
    </w:p>
    <w:p w14:paraId="149C8A2E"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X.</w:t>
      </w:r>
      <w:r w:rsidRPr="000937DF">
        <w:rPr>
          <w:rFonts w:ascii="Palatino Linotype" w:hAnsi="Palatino Linotype" w:cs="Arial"/>
          <w:i/>
        </w:rPr>
        <w:t xml:space="preserve"> Afecte los derechos del debido proceso;</w:t>
      </w:r>
    </w:p>
    <w:p w14:paraId="546DB9A9"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XI.</w:t>
      </w:r>
      <w:r w:rsidRPr="000937DF">
        <w:rPr>
          <w:rFonts w:ascii="Palatino Linotype" w:hAnsi="Palatino Linotype" w:cs="Arial"/>
          <w:i/>
        </w:rPr>
        <w:t xml:space="preserve"> Vulnere la conducción de los Expedientes judiciales o de los procedimientos administrativos seguidos en forma de juicio, en tanto no hayan causado estado;</w:t>
      </w:r>
    </w:p>
    <w:p w14:paraId="10787605"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XII.</w:t>
      </w:r>
      <w:r w:rsidRPr="000937DF">
        <w:rPr>
          <w:rFonts w:ascii="Palatino Linotype" w:hAnsi="Palatino Linotype" w:cs="Arial"/>
          <w:i/>
        </w:rPr>
        <w:t xml:space="preserve"> Se encuentre contenida dentro de las investigaciones de hechos que la ley señale como delitos y se tramiten ante el Ministerio Público, y</w:t>
      </w:r>
    </w:p>
    <w:p w14:paraId="78544753" w14:textId="77777777" w:rsidR="00030BC0" w:rsidRPr="000937DF" w:rsidRDefault="00030BC0" w:rsidP="00967F43">
      <w:pPr>
        <w:spacing w:line="360" w:lineRule="auto"/>
        <w:ind w:left="426" w:right="-787"/>
        <w:rPr>
          <w:rFonts w:ascii="Palatino Linotype" w:hAnsi="Palatino Linotype" w:cs="Arial"/>
          <w:i/>
        </w:rPr>
      </w:pPr>
      <w:r w:rsidRPr="000937DF">
        <w:rPr>
          <w:rFonts w:ascii="Palatino Linotype" w:hAnsi="Palatino Linotype" w:cs="Arial"/>
          <w:b/>
          <w:i/>
        </w:rPr>
        <w:t>XIII.</w:t>
      </w:r>
      <w:r w:rsidRPr="000937DF">
        <w:rPr>
          <w:rFonts w:ascii="Palatino Linotype" w:hAnsi="Palatino Linotype" w:cs="Arial"/>
          <w:i/>
        </w:rPr>
        <w:t xml:space="preserve"> Las que por disposición expresa de una ley tengan tal carácter, siempre que sean acordes con las bases, principios y disposiciones establecidos en esta Ley y no la contravengan; así como las previstas en tratados internacionales.</w:t>
      </w:r>
    </w:p>
    <w:p w14:paraId="54412D1E" w14:textId="77777777" w:rsidR="00030BC0" w:rsidRPr="000937DF" w:rsidRDefault="00030BC0" w:rsidP="00967F43">
      <w:pPr>
        <w:spacing w:line="360" w:lineRule="auto"/>
        <w:ind w:left="426" w:right="-787"/>
      </w:pPr>
      <w:r w:rsidRPr="000937DF">
        <w:t xml:space="preserve"> </w:t>
      </w:r>
    </w:p>
    <w:p w14:paraId="636CBC60" w14:textId="77777777" w:rsidR="00030BC0" w:rsidRPr="000937DF" w:rsidRDefault="00030BC0" w:rsidP="00967F43">
      <w:pPr>
        <w:spacing w:line="360" w:lineRule="auto"/>
        <w:ind w:left="426" w:right="-787"/>
        <w:jc w:val="center"/>
        <w:rPr>
          <w:rFonts w:ascii="Palatino Linotype" w:hAnsi="Palatino Linotype" w:cs="Arial"/>
          <w:i/>
        </w:rPr>
      </w:pPr>
      <w:r w:rsidRPr="000937DF">
        <w:rPr>
          <w:rFonts w:ascii="Palatino Linotype" w:hAnsi="Palatino Linotype" w:cs="Arial"/>
          <w:b/>
          <w:i/>
        </w:rPr>
        <w:t>Lineamientos Generales en Materia de Clasificación y Desclasificación de la Información</w:t>
      </w:r>
    </w:p>
    <w:p w14:paraId="5D839EF7"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Vigésimo cuarto.</w:t>
      </w:r>
      <w:r w:rsidRPr="000937DF">
        <w:rPr>
          <w:rFonts w:ascii="Palatino Linotype" w:hAnsi="Palatino Linotype" w:cs="Arial"/>
          <w:i/>
        </w:rPr>
        <w:t xml:space="preserve">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1D765FBF"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w:t>
      </w:r>
      <w:r w:rsidRPr="000937DF">
        <w:rPr>
          <w:rFonts w:ascii="Palatino Linotype" w:hAnsi="Palatino Linotype" w:cs="Arial"/>
          <w:i/>
        </w:rPr>
        <w:t xml:space="preserve"> La existencia de un procedimiento de verificación del cumplimiento de las leyes;</w:t>
      </w:r>
    </w:p>
    <w:p w14:paraId="6143D915"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II.</w:t>
      </w:r>
      <w:r w:rsidRPr="000937DF">
        <w:rPr>
          <w:rFonts w:ascii="Palatino Linotype" w:hAnsi="Palatino Linotype" w:cs="Arial"/>
          <w:i/>
        </w:rPr>
        <w:t xml:space="preserve"> Que el procedimiento se encuentre en trámite;</w:t>
      </w:r>
    </w:p>
    <w:p w14:paraId="02EBEB66"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III.</w:t>
      </w:r>
      <w:r w:rsidRPr="000937DF">
        <w:rPr>
          <w:rFonts w:ascii="Palatino Linotype" w:hAnsi="Palatino Linotype" w:cs="Arial"/>
          <w:i/>
        </w:rPr>
        <w:t xml:space="preserve"> La vinculación directa con las actividades que realiza la autoridad en el procedimiento de verificación del cumplimiento de las leyes, y</w:t>
      </w:r>
    </w:p>
    <w:p w14:paraId="2FB269B1"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IV.</w:t>
      </w:r>
      <w:r w:rsidRPr="000937DF">
        <w:rPr>
          <w:rFonts w:ascii="Palatino Linotype" w:hAnsi="Palatino Linotype" w:cs="Arial"/>
          <w:i/>
        </w:rPr>
        <w:t xml:space="preserve"> Que la difusión de la información impida u obstaculice las actividades de inspección, supervisión o vigilancia que realicen las autoridades en el procedimiento de verificación del cumplimiento de las leyes.</w:t>
      </w:r>
    </w:p>
    <w:p w14:paraId="6A8D89A3" w14:textId="77777777" w:rsidR="00030BC0" w:rsidRPr="000937DF" w:rsidRDefault="00030BC0" w:rsidP="00967F43">
      <w:pPr>
        <w:spacing w:line="360" w:lineRule="auto"/>
        <w:ind w:left="426" w:right="-787"/>
        <w:jc w:val="both"/>
      </w:pPr>
      <w:r w:rsidRPr="000937DF">
        <w:lastRenderedPageBreak/>
        <w:t xml:space="preserve"> </w:t>
      </w:r>
    </w:p>
    <w:p w14:paraId="52E616FE" w14:textId="77777777" w:rsidR="00030BC0" w:rsidRPr="000937DF" w:rsidRDefault="00030BC0" w:rsidP="00967F43">
      <w:pPr>
        <w:spacing w:line="360" w:lineRule="auto"/>
        <w:ind w:left="426" w:right="-787"/>
        <w:jc w:val="center"/>
        <w:rPr>
          <w:rFonts w:ascii="Palatino Linotype" w:hAnsi="Palatino Linotype" w:cs="Arial"/>
          <w:b/>
          <w:i/>
        </w:rPr>
      </w:pPr>
      <w:r w:rsidRPr="000937DF">
        <w:rPr>
          <w:rFonts w:ascii="Palatino Linotype" w:hAnsi="Palatino Linotype" w:cs="Arial"/>
          <w:b/>
          <w:i/>
        </w:rPr>
        <w:t>Ley de Transparencia y Acceso a la Información Pública del Estado de México y Municipios.</w:t>
      </w:r>
    </w:p>
    <w:p w14:paraId="600CF3E0"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Artículo 91.</w:t>
      </w:r>
      <w:r w:rsidRPr="000937DF">
        <w:rPr>
          <w:rFonts w:ascii="Palatino Linotype" w:hAnsi="Palatino Linotype" w:cs="Arial"/>
          <w:i/>
        </w:rPr>
        <w:t xml:space="preserve"> El acceso a la información pública será restringido excepcionalmente, cuando ésta sea clasificada como reservada o confidencial.</w:t>
      </w:r>
    </w:p>
    <w:p w14:paraId="6BF4BDE7"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Artículo 128.</w:t>
      </w:r>
      <w:r w:rsidRPr="000937DF">
        <w:rPr>
          <w:rFonts w:ascii="Palatino Linotype" w:hAnsi="Palatino Linotype" w:cs="Arial"/>
          <w:i/>
        </w:rPr>
        <w:t xml:space="preserve"> En los casos en que se niegue el acceso a la información, por actualizarse alguno de los supuestos de clasificación, el Comité de Transparencia deberá confirmar, modificar o revocar la decisión.</w:t>
      </w:r>
    </w:p>
    <w:p w14:paraId="2726257B"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i/>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7D789C26"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i/>
        </w:rPr>
        <w:t xml:space="preserve">Tratándose de aquélla información que actualice los supuestos de clasificación, deberá señalarse el plazo al que estará sujeto la reserva. </w:t>
      </w:r>
    </w:p>
    <w:p w14:paraId="170B4E0D"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Artículo 129.</w:t>
      </w:r>
      <w:r w:rsidRPr="000937DF">
        <w:rPr>
          <w:rFonts w:ascii="Palatino Linotype" w:hAnsi="Palatino Linotype" w:cs="Arial"/>
          <w:i/>
        </w:rPr>
        <w:t xml:space="preserve"> En la aplicación de la prueba de daño, el sujeto obligado deberá precisar las razones objetivas por las que la apertura de la información generaría una afectación, justificando que:</w:t>
      </w:r>
    </w:p>
    <w:p w14:paraId="27BE0019"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w:t>
      </w:r>
      <w:r w:rsidRPr="000937DF">
        <w:rPr>
          <w:rFonts w:ascii="Palatino Linotype" w:hAnsi="Palatino Linotype" w:cs="Arial"/>
          <w:i/>
        </w:rPr>
        <w:t xml:space="preserve"> La divulgación de la información representa un riesgo real, demostrable e identificable del perjuicio significativo al interés público o a la seguridad pública;</w:t>
      </w:r>
    </w:p>
    <w:p w14:paraId="3F167B7A"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II.</w:t>
      </w:r>
      <w:r w:rsidRPr="000937DF">
        <w:rPr>
          <w:rFonts w:ascii="Palatino Linotype" w:hAnsi="Palatino Linotype" w:cs="Arial"/>
          <w:i/>
        </w:rPr>
        <w:t xml:space="preserve"> El riesgo de perjuicio que supondría la divulgación supera el interés público general de que se difunda; y</w:t>
      </w:r>
    </w:p>
    <w:p w14:paraId="5C8BBA3B"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 xml:space="preserve">III. </w:t>
      </w:r>
      <w:r w:rsidRPr="000937DF">
        <w:rPr>
          <w:rFonts w:ascii="Palatino Linotype" w:hAnsi="Palatino Linotype" w:cs="Arial"/>
          <w:i/>
        </w:rPr>
        <w:t>La limitación se adecua al principio de proporcionalidad y representa el medio menos restrictivo disponible representa el medio menos restrictivo disponible para evitar el perjuicio.</w:t>
      </w:r>
    </w:p>
    <w:p w14:paraId="77744B23"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Artículo 140.</w:t>
      </w:r>
      <w:r w:rsidRPr="000937DF">
        <w:rPr>
          <w:rFonts w:ascii="Palatino Linotype" w:hAnsi="Palatino Linotype" w:cs="Arial"/>
          <w:i/>
        </w:rPr>
        <w:t xml:space="preserve"> El acceso a la información pública será restringido excepcionalmente, cuando por razones de interés público, ésta sea clasificada como reservada, conforme a los criterios siguientes:</w:t>
      </w:r>
    </w:p>
    <w:p w14:paraId="43737886" w14:textId="77777777" w:rsidR="00030BC0" w:rsidRPr="000937DF" w:rsidRDefault="00030BC0" w:rsidP="00967F43">
      <w:pPr>
        <w:spacing w:line="360" w:lineRule="auto"/>
        <w:ind w:left="426" w:right="-787"/>
        <w:jc w:val="both"/>
        <w:rPr>
          <w:rFonts w:ascii="Palatino Linotype" w:hAnsi="Palatino Linotype" w:cs="Arial"/>
          <w:b/>
          <w:i/>
          <w:u w:val="single"/>
        </w:rPr>
      </w:pPr>
      <w:r w:rsidRPr="000937DF">
        <w:rPr>
          <w:rFonts w:ascii="Palatino Linotype" w:hAnsi="Palatino Linotype" w:cs="Arial"/>
          <w:b/>
          <w:i/>
          <w:u w:val="single"/>
        </w:rPr>
        <w:lastRenderedPageBreak/>
        <w:t>I. Comprometa la seguridad pública y cuente con un propósito genuino y un efecto demostrable;</w:t>
      </w:r>
    </w:p>
    <w:p w14:paraId="3FE37B6E"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II.</w:t>
      </w:r>
      <w:r w:rsidRPr="000937DF">
        <w:rPr>
          <w:rFonts w:ascii="Palatino Linotype" w:hAnsi="Palatino Linotype" w:cs="Arial"/>
          <w:i/>
        </w:rPr>
        <w:t xml:space="preserve"> Pueda menoscabar la conducción de las negociaciones y relaciones internacionales;</w:t>
      </w:r>
    </w:p>
    <w:p w14:paraId="15030122"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III.</w:t>
      </w:r>
      <w:r w:rsidRPr="000937DF">
        <w:rPr>
          <w:rFonts w:ascii="Palatino Linotype" w:hAnsi="Palatino Linotype" w:cs="Arial"/>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F4F247C" w14:textId="77777777" w:rsidR="00030BC0" w:rsidRPr="000937DF" w:rsidRDefault="00030BC0" w:rsidP="00967F43">
      <w:pPr>
        <w:spacing w:line="360" w:lineRule="auto"/>
        <w:ind w:left="426" w:right="-787"/>
        <w:jc w:val="both"/>
        <w:rPr>
          <w:rFonts w:ascii="Palatino Linotype" w:hAnsi="Palatino Linotype" w:cs="Arial"/>
          <w:b/>
          <w:i/>
          <w:u w:val="single"/>
        </w:rPr>
      </w:pPr>
      <w:r w:rsidRPr="000937DF">
        <w:rPr>
          <w:rFonts w:ascii="Palatino Linotype" w:hAnsi="Palatino Linotype" w:cs="Arial"/>
          <w:b/>
          <w:i/>
          <w:u w:val="single"/>
        </w:rPr>
        <w:t>IV. Ponga en riesgo la vida, la seguridad o la salud de una persona física;</w:t>
      </w:r>
    </w:p>
    <w:p w14:paraId="0A376631"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V.</w:t>
      </w:r>
      <w:r w:rsidRPr="000937DF">
        <w:rPr>
          <w:rFonts w:ascii="Palatino Linotype" w:hAnsi="Palatino Linotype" w:cs="Arial"/>
          <w:i/>
        </w:rPr>
        <w:t xml:space="preserve"> Aquella cuya divulgación obstruya o pueda causar un serio perjuicio a:</w:t>
      </w:r>
    </w:p>
    <w:p w14:paraId="0A5821AC" w14:textId="77777777" w:rsidR="00030BC0" w:rsidRPr="000937DF" w:rsidRDefault="00030BC0" w:rsidP="00967F43">
      <w:pPr>
        <w:spacing w:line="360" w:lineRule="auto"/>
        <w:ind w:left="851" w:right="-787"/>
        <w:jc w:val="both"/>
        <w:rPr>
          <w:rFonts w:ascii="Palatino Linotype" w:hAnsi="Palatino Linotype" w:cs="Arial"/>
          <w:i/>
        </w:rPr>
      </w:pPr>
      <w:r w:rsidRPr="000937DF">
        <w:rPr>
          <w:rFonts w:ascii="Palatino Linotype" w:hAnsi="Palatino Linotype" w:cs="Arial"/>
          <w:b/>
          <w:i/>
        </w:rPr>
        <w:t>1.</w:t>
      </w:r>
      <w:r w:rsidRPr="000937DF">
        <w:rPr>
          <w:rFonts w:ascii="Palatino Linotype" w:hAnsi="Palatino Linotype" w:cs="Arial"/>
          <w:i/>
        </w:rPr>
        <w:t xml:space="preserve"> Las actividades de fiscalización, verificación, inspección, comprobación y auditoría sobre el cumplimiento de las Leyes; o</w:t>
      </w:r>
    </w:p>
    <w:p w14:paraId="72107BFA" w14:textId="77777777" w:rsidR="00030BC0" w:rsidRPr="000937DF" w:rsidRDefault="00030BC0" w:rsidP="00967F43">
      <w:pPr>
        <w:spacing w:line="360" w:lineRule="auto"/>
        <w:ind w:left="851" w:right="-787"/>
        <w:jc w:val="both"/>
        <w:rPr>
          <w:rFonts w:ascii="Palatino Linotype" w:hAnsi="Palatino Linotype" w:cs="Arial"/>
          <w:i/>
        </w:rPr>
      </w:pPr>
      <w:r w:rsidRPr="000937DF">
        <w:rPr>
          <w:rFonts w:ascii="Palatino Linotype" w:hAnsi="Palatino Linotype" w:cs="Arial"/>
          <w:b/>
          <w:i/>
        </w:rPr>
        <w:t>2.</w:t>
      </w:r>
      <w:r w:rsidRPr="000937DF">
        <w:rPr>
          <w:rFonts w:ascii="Palatino Linotype" w:hAnsi="Palatino Linotype" w:cs="Arial"/>
          <w:i/>
        </w:rPr>
        <w:t xml:space="preserve"> La recaudación de las contribuciones.</w:t>
      </w:r>
    </w:p>
    <w:p w14:paraId="7D71245F" w14:textId="77777777" w:rsidR="00030BC0" w:rsidRPr="000937DF" w:rsidRDefault="00030BC0" w:rsidP="00967F43">
      <w:pPr>
        <w:spacing w:line="360" w:lineRule="auto"/>
        <w:ind w:left="426" w:right="-787"/>
        <w:jc w:val="both"/>
        <w:rPr>
          <w:rFonts w:ascii="Palatino Linotype" w:hAnsi="Palatino Linotype" w:cs="Arial"/>
          <w:bCs/>
          <w:i/>
        </w:rPr>
      </w:pPr>
      <w:r w:rsidRPr="000937DF">
        <w:rPr>
          <w:rFonts w:ascii="Palatino Linotype" w:hAnsi="Palatino Linotype" w:cs="Arial"/>
          <w:bCs/>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88D48C5"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VII.</w:t>
      </w:r>
      <w:r w:rsidRPr="000937DF">
        <w:rPr>
          <w:rFonts w:ascii="Palatino Linotype" w:hAnsi="Palatino Linotype" w:cs="Arial"/>
          <w:i/>
        </w:rPr>
        <w:t xml:space="preserve"> La que contengan las opiniones, recomendaciones o puntos de vista que formen parte del proceso deliberativo de los servidores públicos, hasta en tanto sea adoptada la decisión definitiva, la cual deberá estar documentada;</w:t>
      </w:r>
    </w:p>
    <w:p w14:paraId="5F2D9BEF"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VIII.</w:t>
      </w:r>
      <w:r w:rsidRPr="000937DF">
        <w:rPr>
          <w:rFonts w:ascii="Palatino Linotype" w:hAnsi="Palatino Linotype" w:cs="Arial"/>
          <w:i/>
        </w:rPr>
        <w:t xml:space="preserve"> Vulnere la conducción de los expedientes judiciales o de los procedimientos administrativos seguidos en forma de juicio, en tanto no hayan quedado firmes;</w:t>
      </w:r>
    </w:p>
    <w:p w14:paraId="73C40F17"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lastRenderedPageBreak/>
        <w:t>IX.</w:t>
      </w:r>
      <w:r w:rsidRPr="000937DF">
        <w:rPr>
          <w:rFonts w:ascii="Palatino Linotype" w:hAnsi="Palatino Linotype" w:cs="Arial"/>
          <w:i/>
        </w:rPr>
        <w:t xml:space="preserve"> Se encuentre contenida dentro de las investigaciones de hechos que la Ley señale como delitos y se tramiten ante el Ministerio Público;</w:t>
      </w:r>
    </w:p>
    <w:p w14:paraId="4383DB71"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X.</w:t>
      </w:r>
      <w:r w:rsidRPr="000937DF">
        <w:rPr>
          <w:rFonts w:ascii="Palatino Linotype" w:hAnsi="Palatino Linotype" w:cs="Arial"/>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4866215"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26D85EA"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XI.</w:t>
      </w:r>
      <w:r w:rsidRPr="000937DF">
        <w:rPr>
          <w:rFonts w:ascii="Palatino Linotype" w:hAnsi="Palatino Linotype" w:cs="Arial"/>
          <w:i/>
        </w:rPr>
        <w:t xml:space="preserve"> Las que por disposición expresa de una ley tengan tal carácter, siempre que sean acordes con las bases, principios y disposiciones establecidos en esta Ley y no la contravengan; así como las previstas en tratados internacionales.</w:t>
      </w:r>
    </w:p>
    <w:p w14:paraId="5EB72405" w14:textId="77777777" w:rsidR="00030BC0" w:rsidRPr="000937DF" w:rsidRDefault="00030BC0" w:rsidP="00967F43">
      <w:pPr>
        <w:spacing w:line="360" w:lineRule="auto"/>
        <w:ind w:left="426" w:right="-787"/>
        <w:jc w:val="both"/>
        <w:rPr>
          <w:rFonts w:ascii="Palatino Linotype" w:hAnsi="Palatino Linotype" w:cs="Arial"/>
          <w:i/>
        </w:rPr>
      </w:pPr>
      <w:r w:rsidRPr="000937DF">
        <w:rPr>
          <w:rFonts w:ascii="Palatino Linotype" w:hAnsi="Palatino Linotype" w:cs="Arial"/>
          <w:b/>
          <w:i/>
        </w:rPr>
        <w:t>Artículo 141.</w:t>
      </w:r>
      <w:r w:rsidRPr="000937DF">
        <w:rPr>
          <w:rFonts w:ascii="Palatino Linotype" w:hAnsi="Palatino Linotype" w:cs="Arial"/>
          <w:i/>
        </w:rPr>
        <w:t xml:space="preserve"> Las causales de reserva previstas en este Capítulo se deberán fundar y motivar, a través de la aplicación de la prueba de daño a la que se hace referencia en el presente Título.</w:t>
      </w:r>
    </w:p>
    <w:p w14:paraId="63513605" w14:textId="77777777" w:rsidR="00030BC0" w:rsidRPr="000937DF" w:rsidRDefault="00030BC0" w:rsidP="00967F43">
      <w:pPr>
        <w:spacing w:line="360" w:lineRule="auto"/>
        <w:ind w:right="-787"/>
        <w:jc w:val="both"/>
        <w:rPr>
          <w:rFonts w:ascii="Palatino Linotype" w:eastAsia="Palatino Linotype" w:hAnsi="Palatino Linotype" w:cs="Palatino Linotype"/>
          <w:color w:val="000000"/>
        </w:rPr>
      </w:pPr>
    </w:p>
    <w:p w14:paraId="3170B438" w14:textId="77777777" w:rsidR="00967F43" w:rsidRPr="000937DF" w:rsidRDefault="00030BC0" w:rsidP="00967F43">
      <w:pPr>
        <w:pStyle w:val="Citas"/>
        <w:numPr>
          <w:ilvl w:val="0"/>
          <w:numId w:val="19"/>
        </w:numPr>
        <w:ind w:left="0" w:right="-787" w:firstLine="0"/>
        <w:rPr>
          <w:i w:val="0"/>
          <w:iCs/>
          <w:sz w:val="24"/>
          <w:szCs w:val="24"/>
        </w:rPr>
      </w:pPr>
      <w:r w:rsidRPr="000937DF">
        <w:rPr>
          <w:i w:val="0"/>
          <w:iCs/>
          <w:sz w:val="24"/>
        </w:rPr>
        <w:t xml:space="preserve">Cabe precisar que </w:t>
      </w:r>
      <w:r w:rsidRPr="000937DF">
        <w:rPr>
          <w:bCs/>
          <w:i w:val="0"/>
          <w:iCs/>
          <w:sz w:val="24"/>
          <w:szCs w:val="24"/>
        </w:rPr>
        <w:t xml:space="preserve">la clasificación es un acto </w:t>
      </w:r>
      <w:r w:rsidRPr="000937DF">
        <w:rPr>
          <w:i w:val="0"/>
          <w:iCs/>
          <w:sz w:val="24"/>
          <w:szCs w:val="24"/>
        </w:rPr>
        <w:t xml:space="preserve">administrativo mediante el cual se restringe el derecho de acceso a la información, mediante el cual los </w:t>
      </w:r>
      <w:r w:rsidRPr="000937DF">
        <w:rPr>
          <w:b/>
          <w:i w:val="0"/>
          <w:iCs/>
          <w:sz w:val="24"/>
          <w:szCs w:val="24"/>
        </w:rPr>
        <w:t xml:space="preserve">Sujetos Obligados </w:t>
      </w:r>
      <w:r w:rsidRPr="000937DF">
        <w:rPr>
          <w:i w:val="0"/>
          <w:iCs/>
          <w:sz w:val="24"/>
          <w:szCs w:val="24"/>
        </w:rPr>
        <w:t xml:space="preserve">determinan que la información requerida actualiza alguno de los supuestos de confidencialidad </w:t>
      </w:r>
      <w:r w:rsidRPr="000937DF">
        <w:rPr>
          <w:b/>
          <w:i w:val="0"/>
          <w:iCs/>
          <w:sz w:val="24"/>
          <w:szCs w:val="24"/>
        </w:rPr>
        <w:t xml:space="preserve">o </w:t>
      </w:r>
      <w:r w:rsidRPr="000937DF">
        <w:rPr>
          <w:b/>
          <w:i w:val="0"/>
          <w:iCs/>
          <w:sz w:val="24"/>
          <w:szCs w:val="24"/>
          <w:u w:val="single"/>
        </w:rPr>
        <w:t>reserva,</w:t>
      </w:r>
      <w:r w:rsidRPr="000937DF">
        <w:rPr>
          <w:b/>
          <w:i w:val="0"/>
          <w:iCs/>
          <w:sz w:val="24"/>
          <w:szCs w:val="24"/>
        </w:rPr>
        <w:t xml:space="preserve"> </w:t>
      </w:r>
      <w:r w:rsidRPr="000937DF">
        <w:rPr>
          <w:i w:val="0"/>
          <w:iCs/>
          <w:sz w:val="24"/>
          <w:szCs w:val="24"/>
        </w:rPr>
        <w:t>de acuerdo con las bases y los principios inmersos en la normatividad aplicable.</w:t>
      </w:r>
    </w:p>
    <w:p w14:paraId="4D1D2045" w14:textId="77777777" w:rsidR="00967F43" w:rsidRPr="000937DF" w:rsidRDefault="00030BC0" w:rsidP="00967F43">
      <w:pPr>
        <w:pStyle w:val="Citas"/>
        <w:numPr>
          <w:ilvl w:val="0"/>
          <w:numId w:val="19"/>
        </w:numPr>
        <w:ind w:left="0" w:right="-787" w:firstLine="0"/>
        <w:rPr>
          <w:i w:val="0"/>
          <w:iCs/>
          <w:sz w:val="24"/>
          <w:szCs w:val="24"/>
        </w:rPr>
      </w:pPr>
      <w:r w:rsidRPr="000937DF">
        <w:rPr>
          <w:i w:val="0"/>
          <w:iCs/>
          <w:sz w:val="24"/>
          <w:szCs w:val="24"/>
        </w:rPr>
        <w:t xml:space="preserve">Por lo que para realizar la reserva de la información no basta con exponer alguna de las causales previstas en la Ley de Transparencia local, en sentido contrario dicha valoración </w:t>
      </w:r>
      <w:r w:rsidRPr="000937DF">
        <w:rPr>
          <w:i w:val="0"/>
          <w:iCs/>
          <w:sz w:val="24"/>
          <w:szCs w:val="24"/>
        </w:rPr>
        <w:lastRenderedPageBreak/>
        <w:t xml:space="preserve">debe de realizarse a través de la “prueba de daño” que consiste en exponer los argumentos y razones, basados en elementos objetivos o verificables, a partir de los cuales se derive que la divulgación de información, en particular, puede afectar, poner en riesgo o dañar el interés protegido. </w:t>
      </w:r>
    </w:p>
    <w:p w14:paraId="097D71C3" w14:textId="77777777" w:rsidR="00967F43" w:rsidRPr="000937DF" w:rsidRDefault="00030BC0" w:rsidP="00967F43">
      <w:pPr>
        <w:pStyle w:val="Citas"/>
        <w:numPr>
          <w:ilvl w:val="0"/>
          <w:numId w:val="19"/>
        </w:numPr>
        <w:ind w:left="0" w:right="-787" w:firstLine="0"/>
        <w:rPr>
          <w:i w:val="0"/>
          <w:iCs/>
          <w:sz w:val="24"/>
          <w:szCs w:val="24"/>
        </w:rPr>
      </w:pPr>
      <w:r w:rsidRPr="000937DF">
        <w:rPr>
          <w:i w:val="0"/>
          <w:iCs/>
        </w:rPr>
        <w:t xml:space="preserve">En consecuencia, el </w:t>
      </w:r>
      <w:r w:rsidRPr="000937DF">
        <w:rPr>
          <w:b/>
          <w:i w:val="0"/>
          <w:iCs/>
        </w:rPr>
        <w:t>Sujeto Obligado</w:t>
      </w:r>
      <w:r w:rsidRPr="000937DF">
        <w:rPr>
          <w:i w:val="0"/>
          <w:iCs/>
        </w:rPr>
        <w:t>, deberá realizar la prueba de daño y precisar las razones por las cuales la apertura de la información generaría una afectación, para ello referir que su divulgación representa un riesgo real, demostrable e identificable, además establecer que el perjuicio supera de momento el interés público general que pudiera existir sobre la información requerida; pues, podría comprometer las tareas de seguridad pública e incluso poner en, riesgo la vida, la seguridad o la salud de una persona física.</w:t>
      </w:r>
    </w:p>
    <w:p w14:paraId="6BD4EC21" w14:textId="2AFEBBF5" w:rsidR="00030BC0" w:rsidRPr="000937DF" w:rsidRDefault="00030BC0" w:rsidP="00967F43">
      <w:pPr>
        <w:pStyle w:val="Citas"/>
        <w:numPr>
          <w:ilvl w:val="0"/>
          <w:numId w:val="19"/>
        </w:numPr>
        <w:ind w:left="0" w:right="-787" w:firstLine="0"/>
        <w:rPr>
          <w:i w:val="0"/>
          <w:iCs/>
          <w:sz w:val="24"/>
          <w:szCs w:val="24"/>
        </w:rPr>
      </w:pPr>
      <w:r w:rsidRPr="000937DF">
        <w:rPr>
          <w:rFonts w:eastAsia="Palatino Linotype" w:cs="Palatino Linotype"/>
          <w:i w:val="0"/>
          <w:iCs/>
          <w:color w:val="000000"/>
        </w:rPr>
        <w:t xml:space="preserve">En este punto es importante resaltar que los sujetos obligados son los que cuentan con la atribución exclusiva de analizar y ponderar si la información que poseen actualiza alguna de las hipótesis previstas en las fracciones citadas, mediante la aplicación, caso por caso de la </w:t>
      </w:r>
      <w:r w:rsidRPr="000937DF">
        <w:rPr>
          <w:rFonts w:eastAsia="Palatino Linotype" w:cs="Palatino Linotype"/>
          <w:b/>
          <w:bCs/>
          <w:i w:val="0"/>
          <w:iCs/>
          <w:color w:val="000000"/>
        </w:rPr>
        <w:t>prueba de daño</w:t>
      </w:r>
      <w:r w:rsidRPr="000937DF">
        <w:rPr>
          <w:rFonts w:eastAsia="Palatino Linotype" w:cs="Palatino Linotype"/>
          <w:i w:val="0"/>
          <w:iCs/>
          <w:color w:val="000000"/>
        </w:rPr>
        <w:t>. Esto en apego a lo dispuesto en los artículos 3 fracción XXXIII, 128, 129, 130 y 131 de la Ley de Transparencia local, como se observa a continuación:</w:t>
      </w:r>
    </w:p>
    <w:p w14:paraId="6273B036" w14:textId="77777777" w:rsidR="00030BC0" w:rsidRPr="000937DF" w:rsidRDefault="00030BC0" w:rsidP="00967F43">
      <w:pPr>
        <w:spacing w:line="360" w:lineRule="auto"/>
        <w:ind w:right="-787"/>
        <w:jc w:val="both"/>
        <w:rPr>
          <w:rFonts w:ascii="Palatino Linotype" w:eastAsia="Palatino Linotype" w:hAnsi="Palatino Linotype" w:cs="Palatino Linotype"/>
          <w:color w:val="000000"/>
        </w:rPr>
      </w:pPr>
    </w:p>
    <w:p w14:paraId="0B3BFC22"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b/>
          <w:i/>
          <w:iCs/>
          <w:color w:val="000000"/>
        </w:rPr>
        <w:t xml:space="preserve">Artículo 3. </w:t>
      </w:r>
      <w:r w:rsidRPr="000937DF">
        <w:rPr>
          <w:rFonts w:ascii="Palatino Linotype" w:eastAsia="Palatino Linotype" w:hAnsi="Palatino Linotype" w:cs="Palatino Linotype"/>
          <w:i/>
          <w:iCs/>
          <w:color w:val="000000"/>
        </w:rPr>
        <w:t>Para los efectos de la presente Ley se entenderá por:</w:t>
      </w:r>
    </w:p>
    <w:p w14:paraId="17446923"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i/>
          <w:iCs/>
          <w:color w:val="000000"/>
        </w:rPr>
        <w:t>(…)</w:t>
      </w:r>
    </w:p>
    <w:p w14:paraId="368233D0"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b/>
          <w:bCs/>
          <w:i/>
          <w:iCs/>
          <w:color w:val="000000"/>
        </w:rPr>
        <w:t>XXXIII.</w:t>
      </w:r>
      <w:r w:rsidRPr="000937DF">
        <w:rPr>
          <w:rFonts w:ascii="Palatino Linotype" w:eastAsia="Palatino Linotype" w:hAnsi="Palatino Linotype" w:cs="Palatino Linotype"/>
          <w:i/>
          <w:iCs/>
          <w:color w:val="000000"/>
        </w:rPr>
        <w:t xml:space="preserve"> </w:t>
      </w:r>
      <w:r w:rsidRPr="000937DF">
        <w:rPr>
          <w:rFonts w:ascii="Palatino Linotype" w:eastAsia="Palatino Linotype" w:hAnsi="Palatino Linotype" w:cs="Palatino Linotype"/>
          <w:b/>
          <w:bCs/>
          <w:i/>
          <w:iCs/>
          <w:color w:val="000000"/>
        </w:rPr>
        <w:t>Prueba de Daño:</w:t>
      </w:r>
      <w:r w:rsidRPr="000937DF">
        <w:rPr>
          <w:rFonts w:ascii="Palatino Linotype" w:eastAsia="Palatino Linotype" w:hAnsi="Palatino Linotype" w:cs="Palatino Linotype"/>
          <w:i/>
          <w:iCs/>
          <w:color w:val="000000"/>
        </w:rPr>
        <w:t xml:space="preserve"> </w:t>
      </w:r>
      <w:r w:rsidRPr="000937DF">
        <w:rPr>
          <w:rFonts w:ascii="Palatino Linotype" w:eastAsia="Palatino Linotype" w:hAnsi="Palatino Linotype" w:cs="Palatino Linotype"/>
          <w:b/>
          <w:bCs/>
          <w:i/>
          <w:iCs/>
          <w:color w:val="000000"/>
          <w:u w:val="single"/>
        </w:rPr>
        <w:t>Responsabilidad de los sujetos obligados de demostrar de manera fundada y motivada que la divulgación de información lesiona el interés jurídicamente protegido por la Ley</w:t>
      </w:r>
      <w:r w:rsidRPr="000937DF">
        <w:rPr>
          <w:rFonts w:ascii="Palatino Linotype" w:eastAsia="Palatino Linotype" w:hAnsi="Palatino Linotype" w:cs="Palatino Linotype"/>
          <w:i/>
          <w:iCs/>
          <w:color w:val="000000"/>
        </w:rPr>
        <w:t>, y que el menoscabo o daño que puede producirse con la publicidad de la información es mayor que el interés de conocerla y por consiguiente debe clasificarse como reservada;</w:t>
      </w:r>
    </w:p>
    <w:p w14:paraId="3C0A9312"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b/>
          <w:bCs/>
          <w:i/>
          <w:iCs/>
          <w:color w:val="000000"/>
        </w:rPr>
        <w:lastRenderedPageBreak/>
        <w:t>Artículo 128.</w:t>
      </w:r>
      <w:r w:rsidRPr="000937DF">
        <w:rPr>
          <w:rFonts w:ascii="Palatino Linotype" w:eastAsia="Palatino Linotype" w:hAnsi="Palatino Linotype" w:cs="Palatino Linotype"/>
          <w:i/>
          <w:iCs/>
          <w:color w:val="000000"/>
        </w:rPr>
        <w:t xml:space="preserve"> En los casos en que se niegue el acceso a la información, por actualizarse alguno de los supuestos de clasificación, el Comité de Transparencia deberá confirmar, modificar o revocar la decisión.</w:t>
      </w:r>
    </w:p>
    <w:p w14:paraId="7CB8F194"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p>
    <w:p w14:paraId="5E18A503"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i/>
          <w:iCs/>
          <w:color w:val="000000"/>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w:t>
      </w:r>
      <w:r w:rsidRPr="000937DF">
        <w:rPr>
          <w:rFonts w:ascii="Palatino Linotype" w:eastAsia="Palatino Linotype" w:hAnsi="Palatino Linotype" w:cs="Palatino Linotype"/>
          <w:b/>
          <w:bCs/>
          <w:i/>
          <w:iCs/>
          <w:color w:val="000000"/>
          <w:u w:val="single"/>
        </w:rPr>
        <w:t>el sujeto obligado deberá, en todo momento, aplicar una prueba de daño</w:t>
      </w:r>
      <w:r w:rsidRPr="000937DF">
        <w:rPr>
          <w:rFonts w:ascii="Palatino Linotype" w:eastAsia="Palatino Linotype" w:hAnsi="Palatino Linotype" w:cs="Palatino Linotype"/>
          <w:i/>
          <w:iCs/>
          <w:color w:val="000000"/>
        </w:rPr>
        <w:t>.</w:t>
      </w:r>
    </w:p>
    <w:p w14:paraId="727F53CE"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p>
    <w:p w14:paraId="19BEFF5F"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i/>
          <w:iCs/>
          <w:color w:val="000000"/>
        </w:rPr>
        <w:t>Tratándose de aquélla información que actualice los supuestos de clasificación, deberá señalarse el plazo al que estará sujeto la reserva.</w:t>
      </w:r>
    </w:p>
    <w:p w14:paraId="4F57AAF7"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p>
    <w:p w14:paraId="71469C32"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b/>
          <w:bCs/>
          <w:i/>
          <w:iCs/>
          <w:color w:val="000000"/>
        </w:rPr>
        <w:t>Artículo 129</w:t>
      </w:r>
      <w:r w:rsidRPr="000937DF">
        <w:rPr>
          <w:rFonts w:ascii="Palatino Linotype" w:eastAsia="Palatino Linotype" w:hAnsi="Palatino Linotype" w:cs="Palatino Linotype"/>
          <w:i/>
          <w:iCs/>
          <w:color w:val="000000"/>
        </w:rPr>
        <w:t xml:space="preserve">. </w:t>
      </w:r>
      <w:r w:rsidRPr="000937DF">
        <w:rPr>
          <w:rFonts w:ascii="Palatino Linotype" w:eastAsia="Palatino Linotype" w:hAnsi="Palatino Linotype" w:cs="Palatino Linotype"/>
          <w:b/>
          <w:bCs/>
          <w:i/>
          <w:iCs/>
          <w:color w:val="000000"/>
          <w:u w:val="single"/>
        </w:rPr>
        <w:t>En la aplicación de la prueba de daño, el sujeto obligado deberá precisar las razones objetivas por las que la apertura de la información generaría una afectación</w:t>
      </w:r>
      <w:r w:rsidRPr="000937DF">
        <w:rPr>
          <w:rFonts w:ascii="Palatino Linotype" w:eastAsia="Palatino Linotype" w:hAnsi="Palatino Linotype" w:cs="Palatino Linotype"/>
          <w:i/>
          <w:iCs/>
          <w:color w:val="000000"/>
        </w:rPr>
        <w:t>, justificando que:</w:t>
      </w:r>
    </w:p>
    <w:p w14:paraId="3CE31B88"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p>
    <w:p w14:paraId="6FA40380" w14:textId="77777777" w:rsidR="00030BC0" w:rsidRPr="000937DF" w:rsidRDefault="00030BC0" w:rsidP="00967F43">
      <w:pPr>
        <w:numPr>
          <w:ilvl w:val="0"/>
          <w:numId w:val="30"/>
        </w:numPr>
        <w:spacing w:line="360" w:lineRule="auto"/>
        <w:ind w:left="1134" w:right="-787" w:hanging="567"/>
        <w:jc w:val="both"/>
        <w:rPr>
          <w:rFonts w:ascii="Palatino Linotype" w:eastAsia="Palatino Linotype" w:hAnsi="Palatino Linotype" w:cs="Palatino Linotype"/>
          <w:i/>
          <w:iCs/>
          <w:color w:val="000000"/>
          <w:lang w:eastAsia="es-ES"/>
        </w:rPr>
      </w:pPr>
      <w:r w:rsidRPr="000937DF">
        <w:rPr>
          <w:rFonts w:ascii="Palatino Linotype" w:eastAsia="Palatino Linotype" w:hAnsi="Palatino Linotype" w:cs="Palatino Linotype"/>
          <w:i/>
          <w:iCs/>
          <w:color w:val="000000"/>
        </w:rPr>
        <w:t>La divulgación de la información representa un riesgo real, demostrable e identificable del perjuicio significativo al interés público o a la seguridad pública;</w:t>
      </w:r>
    </w:p>
    <w:p w14:paraId="02273034" w14:textId="77777777" w:rsidR="00030BC0" w:rsidRPr="000937DF" w:rsidRDefault="00030BC0" w:rsidP="00967F43">
      <w:pPr>
        <w:numPr>
          <w:ilvl w:val="0"/>
          <w:numId w:val="30"/>
        </w:numPr>
        <w:spacing w:line="360" w:lineRule="auto"/>
        <w:ind w:left="1134" w:right="-787" w:hanging="56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i/>
          <w:iCs/>
          <w:color w:val="000000"/>
        </w:rPr>
        <w:t>El riesgo de perjuicio que supondría la divulgación supera el interés público general de que se difunda; y</w:t>
      </w:r>
    </w:p>
    <w:p w14:paraId="3470E12E" w14:textId="77777777" w:rsidR="00030BC0" w:rsidRPr="000937DF" w:rsidRDefault="00030BC0" w:rsidP="00967F43">
      <w:pPr>
        <w:numPr>
          <w:ilvl w:val="0"/>
          <w:numId w:val="30"/>
        </w:numPr>
        <w:spacing w:line="360" w:lineRule="auto"/>
        <w:ind w:left="1134" w:right="-787" w:hanging="56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i/>
          <w:iCs/>
          <w:color w:val="000000"/>
        </w:rPr>
        <w:lastRenderedPageBreak/>
        <w:t>La limitación se adecua al principio de proporcionalidad y representa el medio menos restrictivo disponible representa el medio menos restrictivo disponible para evitar el perjuicio.</w:t>
      </w:r>
    </w:p>
    <w:p w14:paraId="697B7495"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p>
    <w:p w14:paraId="403464ED"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b/>
          <w:i/>
          <w:iCs/>
          <w:color w:val="000000"/>
        </w:rPr>
        <w:t xml:space="preserve">Artículo 130. </w:t>
      </w:r>
      <w:r w:rsidRPr="000937DF">
        <w:rPr>
          <w:rFonts w:ascii="Palatino Linotype" w:eastAsia="Palatino Linotype" w:hAnsi="Palatino Linotype" w:cs="Palatino Linotype"/>
          <w:b/>
          <w:i/>
          <w:iCs/>
          <w:color w:val="000000"/>
          <w:u w:val="single"/>
        </w:rPr>
        <w:t>Los sujetos obligados deberán aplicar, de manera restrictiva y limitada, las excepciones al derecho de acceso a la información y sólo podrán invocarlas cuando acrediten su procedencia</w:t>
      </w:r>
      <w:r w:rsidRPr="000937DF">
        <w:rPr>
          <w:rFonts w:ascii="Palatino Linotype" w:eastAsia="Palatino Linotype" w:hAnsi="Palatino Linotype" w:cs="Palatino Linotype"/>
          <w:i/>
          <w:iCs/>
          <w:color w:val="000000"/>
        </w:rPr>
        <w:t>, sin ampliar las excepciones o supuestos de reserva o confidencialidad previstos en la Ley General y la presente Ley, aduciendo analogía o mayoría de razón.</w:t>
      </w:r>
    </w:p>
    <w:p w14:paraId="3510A80C"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p>
    <w:p w14:paraId="5B0BA6EE"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b/>
          <w:i/>
          <w:iCs/>
          <w:color w:val="000000"/>
        </w:rPr>
        <w:t xml:space="preserve">Artículo 131. </w:t>
      </w:r>
      <w:r w:rsidRPr="000937DF">
        <w:rPr>
          <w:rFonts w:ascii="Palatino Linotype" w:eastAsia="Palatino Linotype" w:hAnsi="Palatino Linotype" w:cs="Palatino Linotype"/>
          <w:b/>
          <w:i/>
          <w:iCs/>
          <w:color w:val="000000"/>
          <w:u w:val="single"/>
        </w:rPr>
        <w:t>La carga de la prueba para justificar toda negativa de acceso a la información, por actualizarse cualquiera de los supuestos de clasificación previstos en esta Ley corresponderá a los sujetos obligados</w:t>
      </w:r>
      <w:r w:rsidRPr="000937DF">
        <w:rPr>
          <w:rFonts w:ascii="Palatino Linotype" w:eastAsia="Palatino Linotype" w:hAnsi="Palatino Linotype" w:cs="Palatino Linotype"/>
          <w:i/>
          <w:iCs/>
          <w:color w:val="000000"/>
        </w:rPr>
        <w:t>; en tal caso deberá fundar y motivar debidamente la clasificación de la información, de conformidad con lo previsto en la presente Ley.</w:t>
      </w:r>
    </w:p>
    <w:p w14:paraId="690FD8BE" w14:textId="77777777" w:rsidR="00030BC0" w:rsidRPr="000937DF" w:rsidRDefault="00030BC0" w:rsidP="00967F43">
      <w:pPr>
        <w:spacing w:line="360" w:lineRule="auto"/>
        <w:ind w:right="-787"/>
        <w:jc w:val="both"/>
        <w:rPr>
          <w:rFonts w:ascii="Palatino Linotype" w:eastAsia="Palatino Linotype" w:hAnsi="Palatino Linotype" w:cs="Palatino Linotype"/>
          <w:color w:val="000000"/>
        </w:rPr>
      </w:pPr>
    </w:p>
    <w:p w14:paraId="1FFADA86" w14:textId="6224CD90" w:rsidR="00030BC0" w:rsidRPr="000937DF" w:rsidRDefault="00030BC0" w:rsidP="00967F43">
      <w:pPr>
        <w:pStyle w:val="Prrafodelista"/>
        <w:numPr>
          <w:ilvl w:val="0"/>
          <w:numId w:val="19"/>
        </w:numPr>
        <w:spacing w:line="360" w:lineRule="auto"/>
        <w:ind w:left="0" w:right="-787" w:firstLine="0"/>
        <w:jc w:val="both"/>
        <w:rPr>
          <w:rFonts w:ascii="Palatino Linotype" w:eastAsia="Palatino Linotype" w:hAnsi="Palatino Linotype" w:cs="Palatino Linotype"/>
          <w:color w:val="000000"/>
        </w:rPr>
      </w:pPr>
      <w:r w:rsidRPr="000937DF">
        <w:rPr>
          <w:rFonts w:ascii="Palatino Linotype" w:eastAsia="Palatino Linotype" w:hAnsi="Palatino Linotype" w:cs="Palatino Linotype"/>
          <w:color w:val="000000"/>
        </w:rPr>
        <w:t>Del mismo modo, los Lineamientos Generales en Materia de Clasificación y Desclasificación de la Información, así como para la Elaboración de Versiones Públicas establecen con relación al a prueba de daño lo siguiente:</w:t>
      </w:r>
    </w:p>
    <w:p w14:paraId="759E16ED" w14:textId="77777777" w:rsidR="00030BC0" w:rsidRPr="000937DF" w:rsidRDefault="00030BC0" w:rsidP="00967F43">
      <w:pPr>
        <w:spacing w:line="360" w:lineRule="auto"/>
        <w:ind w:right="-787"/>
        <w:jc w:val="both"/>
        <w:rPr>
          <w:rFonts w:ascii="Palatino Linotype" w:eastAsia="Palatino Linotype" w:hAnsi="Palatino Linotype" w:cs="Palatino Linotype"/>
          <w:color w:val="000000"/>
        </w:rPr>
      </w:pPr>
    </w:p>
    <w:p w14:paraId="4CE2708B" w14:textId="77777777" w:rsidR="00030BC0" w:rsidRPr="000937DF" w:rsidRDefault="00030BC0" w:rsidP="00967F43">
      <w:pPr>
        <w:spacing w:line="360" w:lineRule="auto"/>
        <w:ind w:left="567" w:right="-787"/>
        <w:jc w:val="both"/>
        <w:rPr>
          <w:rFonts w:ascii="Palatino Linotype" w:eastAsia="Palatino Linotype" w:hAnsi="Palatino Linotype" w:cs="Palatino Linotype"/>
          <w:i/>
          <w:color w:val="000000"/>
        </w:rPr>
      </w:pPr>
      <w:r w:rsidRPr="000937DF">
        <w:rPr>
          <w:rFonts w:ascii="Palatino Linotype" w:hAnsi="Palatino Linotype"/>
          <w:b/>
          <w:i/>
        </w:rPr>
        <w:t>Prueba de daño:</w:t>
      </w:r>
      <w:r w:rsidRPr="000937DF">
        <w:rPr>
          <w:rFonts w:ascii="Palatino Linotype" w:hAnsi="Palatino Linotype"/>
          <w:i/>
        </w:rPr>
        <w:t xml:space="preserve"> </w:t>
      </w:r>
      <w:r w:rsidRPr="000937DF">
        <w:rPr>
          <w:rFonts w:ascii="Palatino Linotype" w:hAnsi="Palatino Linotype"/>
          <w:b/>
          <w:i/>
          <w:u w:val="single"/>
        </w:rPr>
        <w:t>La argumentación fundada y motivada que deben realizar los sujetos obligados tendiente a acreditar que la divulgación de información lesiona el interés jurídicamente protegido por la normativa aplicable</w:t>
      </w:r>
      <w:r w:rsidRPr="000937DF">
        <w:rPr>
          <w:rFonts w:ascii="Palatino Linotype" w:hAnsi="Palatino Linotype"/>
          <w:i/>
        </w:rPr>
        <w:t xml:space="preserve"> y que el daño que puede producirse con la publicidad de la información es mayor que el interés de conocerla; (…)</w:t>
      </w:r>
    </w:p>
    <w:p w14:paraId="26045472" w14:textId="77777777" w:rsidR="00030BC0" w:rsidRPr="000937DF" w:rsidRDefault="00030BC0" w:rsidP="00967F43">
      <w:pPr>
        <w:spacing w:line="360" w:lineRule="auto"/>
        <w:ind w:right="-787"/>
        <w:jc w:val="both"/>
        <w:rPr>
          <w:rFonts w:ascii="Palatino Linotype" w:eastAsia="Palatino Linotype" w:hAnsi="Palatino Linotype" w:cs="Palatino Linotype"/>
          <w:color w:val="000000"/>
        </w:rPr>
      </w:pPr>
    </w:p>
    <w:p w14:paraId="0F286BFD" w14:textId="1188875C" w:rsidR="00030BC0" w:rsidRPr="000937DF" w:rsidRDefault="00030BC0" w:rsidP="00967F43">
      <w:pPr>
        <w:pStyle w:val="Prrafodelista"/>
        <w:numPr>
          <w:ilvl w:val="0"/>
          <w:numId w:val="19"/>
        </w:numPr>
        <w:spacing w:line="360" w:lineRule="auto"/>
        <w:ind w:left="0" w:right="-787" w:firstLine="0"/>
        <w:jc w:val="both"/>
        <w:rPr>
          <w:rFonts w:ascii="Palatino Linotype" w:eastAsia="Palatino Linotype" w:hAnsi="Palatino Linotype" w:cs="Palatino Linotype"/>
          <w:color w:val="000000"/>
        </w:rPr>
      </w:pPr>
      <w:r w:rsidRPr="000937DF">
        <w:rPr>
          <w:rFonts w:ascii="Palatino Linotype" w:eastAsia="Palatino Linotype" w:hAnsi="Palatino Linotype" w:cs="Palatino Linotype"/>
          <w:color w:val="000000"/>
        </w:rPr>
        <w:t>Asimismo, el Poder Judicial de la Federación emitió las tesis con número de registro 2011541</w:t>
      </w:r>
      <w:r w:rsidRPr="000937DF">
        <w:rPr>
          <w:rFonts w:eastAsia="Palatino Linotype"/>
          <w:vertAlign w:val="superscript"/>
        </w:rPr>
        <w:footnoteReference w:id="5"/>
      </w:r>
      <w:r w:rsidRPr="000937DF">
        <w:rPr>
          <w:rFonts w:ascii="Palatino Linotype" w:eastAsia="Palatino Linotype" w:hAnsi="Palatino Linotype" w:cs="Palatino Linotype"/>
          <w:color w:val="000000"/>
        </w:rPr>
        <w:t xml:space="preserve"> y 2018460</w:t>
      </w:r>
      <w:r w:rsidRPr="000937DF">
        <w:rPr>
          <w:rFonts w:eastAsia="Palatino Linotype"/>
          <w:vertAlign w:val="superscript"/>
        </w:rPr>
        <w:footnoteReference w:id="6"/>
      </w:r>
      <w:r w:rsidRPr="000937DF">
        <w:rPr>
          <w:rFonts w:ascii="Palatino Linotype" w:eastAsia="Palatino Linotype" w:hAnsi="Palatino Linotype" w:cs="Palatino Linotype"/>
          <w:color w:val="000000"/>
        </w:rPr>
        <w:t xml:space="preserve"> en las que, respectivamente, se dispone lo siguiente:</w:t>
      </w:r>
    </w:p>
    <w:p w14:paraId="1CC382D5" w14:textId="77777777" w:rsidR="00030BC0" w:rsidRPr="000937DF" w:rsidRDefault="00030BC0" w:rsidP="00967F43">
      <w:pPr>
        <w:spacing w:line="360" w:lineRule="auto"/>
        <w:ind w:right="-787"/>
        <w:jc w:val="both"/>
        <w:rPr>
          <w:rFonts w:ascii="Palatino Linotype" w:eastAsia="Palatino Linotype" w:hAnsi="Palatino Linotype" w:cs="Palatino Linotype"/>
          <w:color w:val="000000"/>
        </w:rPr>
      </w:pPr>
    </w:p>
    <w:p w14:paraId="137EE885" w14:textId="77777777" w:rsidR="00030BC0" w:rsidRPr="000937DF" w:rsidRDefault="00030BC0" w:rsidP="00967F43">
      <w:pPr>
        <w:spacing w:line="360" w:lineRule="auto"/>
        <w:ind w:left="567" w:right="-787"/>
        <w:jc w:val="both"/>
        <w:rPr>
          <w:rFonts w:ascii="Palatino Linotype" w:eastAsia="Palatino Linotype" w:hAnsi="Palatino Linotype" w:cs="Palatino Linotype"/>
          <w:b/>
          <w:bCs/>
          <w:i/>
          <w:iCs/>
          <w:color w:val="000000"/>
        </w:rPr>
      </w:pPr>
      <w:r w:rsidRPr="000937DF">
        <w:rPr>
          <w:rFonts w:ascii="Palatino Linotype" w:eastAsia="Palatino Linotype" w:hAnsi="Palatino Linotype" w:cs="Palatino Linotype"/>
          <w:b/>
          <w:bCs/>
          <w:i/>
          <w:iCs/>
          <w:color w:val="000000"/>
        </w:rPr>
        <w:t>ACCESO A LA INFORMACIÓN. EJERCICIO DEL DERECHO RELATIVO TRATÁNDOSE DE LA CLASIFICADA COMO CONFIDENCIAL, MEDIANTE LA PRUEBA DE DAÑO O DEL INTERÉS PÚBLICO Y ROL DEL JUEZ DE AMPARO PARA FACILITAR LA DEFENSA DE LAS PARTES.</w:t>
      </w:r>
    </w:p>
    <w:p w14:paraId="06AAE035"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i/>
          <w:iCs/>
          <w:color w:val="000000"/>
        </w:rPr>
        <w:t>Para el ejercicio del derecho de acceso a la información, previsto en el artículo 6o. de la Constitución Política de los Estados Unidos Mexicanos, la Ley General de Transparencia y Acceso a la Información Pública establece la existencia de los mecanismos correspondientes y de procedimientos de revisión expeditos, y dispone que ese derecho humano comprende solicitar, investigar, difundir, buscar y recibir información. Asimismo, que toda la generada, obtenida, adquirida, transformada o en posesión de los sujetos obligados es pública y accesible a cualquier persona. Además señala, como regla general, el acceso a dicha información y, por excepción, la clasificación. Es así que para clasificar la información como reservada, debe hacerse un análisis, caso por caso, mediante la aplicación de la "prueba de daño". Sin perjuicio de lo anterior</w:t>
      </w:r>
      <w:r w:rsidRPr="000937DF">
        <w:rPr>
          <w:rFonts w:ascii="Palatino Linotype" w:eastAsia="Palatino Linotype" w:hAnsi="Palatino Linotype" w:cs="Palatino Linotype"/>
          <w:b/>
          <w:bCs/>
          <w:i/>
          <w:iCs/>
          <w:color w:val="000000"/>
          <w:u w:val="single"/>
        </w:rPr>
        <w:t>, cuando un documento contenga partes o secciones reservadas o confidenciales, los sujetos obligados deberán elaborar una versión pública, en la que testen única y exclusivamente aquéllas, con indicación de su contenido de forma genérica, así como la fundamentación y motivación que sustente dicha clasificación</w:t>
      </w:r>
      <w:r w:rsidRPr="000937DF">
        <w:rPr>
          <w:rFonts w:ascii="Palatino Linotype" w:eastAsia="Palatino Linotype" w:hAnsi="Palatino Linotype" w:cs="Palatino Linotype"/>
          <w:i/>
          <w:iCs/>
          <w:color w:val="000000"/>
        </w:rPr>
        <w:t xml:space="preserve">. Por otra parte, si </w:t>
      </w:r>
      <w:r w:rsidRPr="000937DF">
        <w:rPr>
          <w:rFonts w:ascii="Palatino Linotype" w:eastAsia="Palatino Linotype" w:hAnsi="Palatino Linotype" w:cs="Palatino Linotype"/>
          <w:i/>
          <w:iCs/>
          <w:color w:val="000000"/>
        </w:rPr>
        <w:lastRenderedPageBreak/>
        <w:t xml:space="preserve">alguien intenta revertir determinada clasificación de información que estima no es confidencial, debe plantearlo ante la autoridad que realizó la clasificación, dando audiencia a los beneficiados con la decretada y a los probables afectados, para el evento de que se reclasifique, a través de la "prueba del interés público". De lo anterior </w:t>
      </w:r>
      <w:r w:rsidRPr="000937DF">
        <w:rPr>
          <w:rFonts w:ascii="Palatino Linotype" w:eastAsia="Palatino Linotype" w:hAnsi="Palatino Linotype" w:cs="Palatino Linotype"/>
          <w:b/>
          <w:bCs/>
          <w:i/>
          <w:iCs/>
          <w:color w:val="000000"/>
          <w:u w:val="single"/>
        </w:rPr>
        <w:t>se advierte que corresponde a los sujetos obligados realizar la clasificación de la información que obre en su poder</w:t>
      </w:r>
      <w:r w:rsidRPr="000937DF">
        <w:rPr>
          <w:rFonts w:ascii="Palatino Linotype" w:eastAsia="Palatino Linotype" w:hAnsi="Palatino Linotype" w:cs="Palatino Linotype"/>
          <w:i/>
          <w:iCs/>
          <w:color w:val="000000"/>
        </w:rPr>
        <w:t xml:space="preserve"> y, contra la decisión que adopten, procede interponer el recurso de revisión ante el organismo garante que corresponda. En consecuencia, </w:t>
      </w:r>
      <w:r w:rsidRPr="000937DF">
        <w:rPr>
          <w:rFonts w:ascii="Palatino Linotype" w:eastAsia="Palatino Linotype" w:hAnsi="Palatino Linotype" w:cs="Palatino Linotype"/>
          <w:b/>
          <w:bCs/>
          <w:i/>
          <w:iCs/>
          <w:color w:val="000000"/>
          <w:u w:val="single"/>
        </w:rPr>
        <w:t>la obligación de clasificar la información corresponde única y directamente a los sujetos obligado</w:t>
      </w:r>
      <w:r w:rsidRPr="000937DF">
        <w:rPr>
          <w:rFonts w:ascii="Palatino Linotype" w:eastAsia="Palatino Linotype" w:hAnsi="Palatino Linotype" w:cs="Palatino Linotype"/>
          <w:i/>
          <w:iCs/>
          <w:color w:val="000000"/>
        </w:rPr>
        <w:t>s, en tanto que al Juez de amparo sólo compete facilitar, bajo su más estricta responsabilidad, el acceso a la que sea "indispensable para la adecuada defensa de las partes".</w:t>
      </w:r>
    </w:p>
    <w:p w14:paraId="6467F2F8"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p>
    <w:p w14:paraId="02E10A42" w14:textId="77777777" w:rsidR="00030BC0" w:rsidRPr="000937DF" w:rsidRDefault="00030BC0" w:rsidP="00967F43">
      <w:pPr>
        <w:spacing w:line="360" w:lineRule="auto"/>
        <w:ind w:left="567" w:right="-787"/>
        <w:jc w:val="both"/>
        <w:rPr>
          <w:rFonts w:ascii="Palatino Linotype" w:eastAsia="Palatino Linotype" w:hAnsi="Palatino Linotype" w:cs="Palatino Linotype"/>
          <w:b/>
          <w:bCs/>
          <w:i/>
          <w:iCs/>
          <w:color w:val="000000"/>
        </w:rPr>
      </w:pPr>
      <w:r w:rsidRPr="000937DF">
        <w:rPr>
          <w:rFonts w:ascii="Palatino Linotype" w:eastAsia="Palatino Linotype" w:hAnsi="Palatino Linotype" w:cs="Palatino Linotype"/>
          <w:b/>
          <w:bCs/>
          <w:i/>
          <w:iCs/>
          <w:color w:val="000000"/>
        </w:rPr>
        <w:t>PRUEBA DE DAÑO EN LA CLASIFICACIÓN DE LA INFORMACIÓN PÚBLICA. SU VALIDEZ NO DEPENDE DE LOS MEDIOS DE PRUEBA QUE EL SUJETO OBLIGADO APORTE.</w:t>
      </w:r>
    </w:p>
    <w:p w14:paraId="0E534A9D" w14:textId="77777777" w:rsidR="00030BC0" w:rsidRPr="000937DF" w:rsidRDefault="00030BC0" w:rsidP="00967F43">
      <w:pPr>
        <w:spacing w:line="360" w:lineRule="auto"/>
        <w:ind w:left="567" w:right="-787"/>
        <w:jc w:val="both"/>
        <w:rPr>
          <w:rFonts w:ascii="Palatino Linotype" w:eastAsia="Palatino Linotype" w:hAnsi="Palatino Linotype" w:cs="Palatino Linotype"/>
          <w:i/>
          <w:iCs/>
          <w:color w:val="000000"/>
        </w:rPr>
      </w:pPr>
      <w:r w:rsidRPr="000937DF">
        <w:rPr>
          <w:rFonts w:ascii="Palatino Linotype" w:eastAsia="Palatino Linotype" w:hAnsi="Palatino Linotype" w:cs="Palatino Linotype"/>
          <w:i/>
          <w:iCs/>
          <w:color w:val="000000"/>
        </w:rPr>
        <w:t xml:space="preserve">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w:t>
      </w:r>
      <w:r w:rsidRPr="000937DF">
        <w:rPr>
          <w:rFonts w:ascii="Palatino Linotype" w:eastAsia="Palatino Linotype" w:hAnsi="Palatino Linotype" w:cs="Palatino Linotype"/>
          <w:b/>
          <w:bCs/>
          <w:i/>
          <w:iCs/>
          <w:color w:val="000000"/>
          <w:u w:val="single"/>
        </w:rPr>
        <w:t>la prueba de daño es la argumentación fundada y motivada que deben realizar los sujetos obligados para acreditar que la divulgación de la información lesiona un interés jurídicamente protegido y que el daño que puede producir es mayor que el interés de conocer ésta</w:t>
      </w:r>
      <w:r w:rsidRPr="000937DF">
        <w:rPr>
          <w:rFonts w:ascii="Palatino Linotype" w:eastAsia="Palatino Linotype" w:hAnsi="Palatino Linotype" w:cs="Palatino Linotype"/>
          <w:i/>
          <w:iCs/>
          <w:color w:val="000000"/>
        </w:rPr>
        <w:t xml:space="preserve">. </w:t>
      </w:r>
      <w:r w:rsidRPr="000937DF">
        <w:rPr>
          <w:rFonts w:ascii="Palatino Linotype" w:eastAsia="Palatino Linotype" w:hAnsi="Palatino Linotype" w:cs="Palatino Linotype"/>
          <w:i/>
          <w:iCs/>
          <w:color w:val="000000"/>
        </w:rPr>
        <w:lastRenderedPageBreak/>
        <w:t xml:space="preserve">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w:t>
      </w:r>
      <w:r w:rsidRPr="000937DF">
        <w:rPr>
          <w:rFonts w:ascii="Palatino Linotype" w:eastAsia="Palatino Linotype" w:hAnsi="Palatino Linotype" w:cs="Palatino Linotype"/>
          <w:b/>
          <w:bCs/>
          <w:i/>
          <w:iCs/>
          <w:color w:val="000000"/>
          <w:u w:val="single"/>
        </w:rPr>
        <w:t>la prueba de daño establece líneas argumentativas mínimas que deben cursarse, a fin de constatar que la publicidad de la información solicitada no ocasionaría un daño a un interés jurídicamente protegido, ya sea de índole estatal o particular.</w:t>
      </w:r>
      <w:r w:rsidRPr="000937DF">
        <w:rPr>
          <w:rFonts w:ascii="Palatino Linotype" w:eastAsia="Palatino Linotype" w:hAnsi="Palatino Linotype" w:cs="Palatino Linotype"/>
          <w:i/>
          <w:iCs/>
          <w:color w:val="000000"/>
        </w:rPr>
        <w:t xml:space="preserve"> Por tanto, al tratarse de un aspecto constreñido al ámbito argumentativo, la validez de la prueba de daño no depende de los medios de prueba que el sujeto obligado aporte, sino de la solidez del juicio de ponderación que se efectúe en los términos señalados.</w:t>
      </w:r>
    </w:p>
    <w:p w14:paraId="2C622B33" w14:textId="77777777" w:rsidR="00030BC0" w:rsidRPr="000937DF" w:rsidRDefault="00030BC0" w:rsidP="00967F43">
      <w:pPr>
        <w:spacing w:line="360" w:lineRule="auto"/>
        <w:ind w:right="-787"/>
        <w:jc w:val="both"/>
        <w:rPr>
          <w:rFonts w:ascii="Palatino Linotype" w:eastAsia="Palatino Linotype" w:hAnsi="Palatino Linotype" w:cs="Palatino Linotype"/>
          <w:color w:val="000000"/>
        </w:rPr>
      </w:pPr>
    </w:p>
    <w:p w14:paraId="10B255A2" w14:textId="77777777" w:rsidR="00967F43" w:rsidRPr="000937DF" w:rsidRDefault="00030BC0" w:rsidP="00967F43">
      <w:pPr>
        <w:pStyle w:val="Prrafodelista"/>
        <w:numPr>
          <w:ilvl w:val="0"/>
          <w:numId w:val="19"/>
        </w:numPr>
        <w:spacing w:line="360" w:lineRule="auto"/>
        <w:ind w:left="0" w:right="-787" w:firstLine="0"/>
        <w:jc w:val="both"/>
        <w:rPr>
          <w:rFonts w:ascii="Palatino Linotype" w:eastAsia="Palatino Linotype" w:hAnsi="Palatino Linotype" w:cs="Palatino Linotype"/>
          <w:color w:val="000000"/>
        </w:rPr>
      </w:pPr>
      <w:r w:rsidRPr="000937DF">
        <w:rPr>
          <w:rFonts w:ascii="Palatino Linotype" w:eastAsia="Palatino Linotype" w:hAnsi="Palatino Linotype" w:cs="Palatino Linotype"/>
          <w:color w:val="000000"/>
        </w:rPr>
        <w:t xml:space="preserve">Por lo tanto, con base en el estudio a lo dispuesto en la Ley General de Transparencia y Acceso a la Información Pública, Ley de Transparencia y Acceso a la Información Pública del Estado de México y Municipios y a los Lineamientos Generales en Materia de Clasificación y Desclasificación de la Información, así como para la Elaboración de Versiones Públicas emitidos por el Sistema Nacional de Transparencia, Acceso a la Información Pública y Protección de Datos Personales que corresponde a los sujetos obligados realizar la clasificación de la información que obre en su poder y </w:t>
      </w:r>
      <w:r w:rsidRPr="000937DF">
        <w:rPr>
          <w:rFonts w:ascii="Palatino Linotype" w:eastAsia="Palatino Linotype" w:hAnsi="Palatino Linotype" w:cs="Palatino Linotype"/>
          <w:b/>
          <w:color w:val="000000"/>
        </w:rPr>
        <w:t>que la obligación de clasificar la información corresponde única y directamente a los sujetos obligados, mediante la formación de la prueba de daño</w:t>
      </w:r>
      <w:r w:rsidRPr="000937DF">
        <w:rPr>
          <w:rFonts w:ascii="Palatino Linotype" w:eastAsia="Palatino Linotype" w:hAnsi="Palatino Linotype" w:cs="Palatino Linotype"/>
          <w:color w:val="000000"/>
        </w:rPr>
        <w:t>.</w:t>
      </w:r>
    </w:p>
    <w:p w14:paraId="2818CCC5" w14:textId="77777777" w:rsidR="00967F43" w:rsidRPr="000937DF" w:rsidRDefault="00967F43" w:rsidP="00967F43">
      <w:pPr>
        <w:pStyle w:val="Prrafodelista"/>
        <w:spacing w:line="360" w:lineRule="auto"/>
        <w:ind w:left="0" w:right="-787"/>
        <w:jc w:val="both"/>
        <w:rPr>
          <w:rFonts w:ascii="Palatino Linotype" w:eastAsia="Palatino Linotype" w:hAnsi="Palatino Linotype" w:cs="Palatino Linotype"/>
          <w:color w:val="000000"/>
        </w:rPr>
      </w:pPr>
    </w:p>
    <w:p w14:paraId="43358656" w14:textId="7E0B4065" w:rsidR="00030BC0" w:rsidRPr="000937DF" w:rsidRDefault="00030BC0" w:rsidP="00967F43">
      <w:pPr>
        <w:pStyle w:val="Prrafodelista"/>
        <w:numPr>
          <w:ilvl w:val="0"/>
          <w:numId w:val="19"/>
        </w:numPr>
        <w:spacing w:line="360" w:lineRule="auto"/>
        <w:ind w:left="0" w:right="-787" w:firstLine="0"/>
        <w:jc w:val="both"/>
        <w:rPr>
          <w:rFonts w:ascii="Palatino Linotype" w:eastAsia="Palatino Linotype" w:hAnsi="Palatino Linotype" w:cs="Palatino Linotype"/>
          <w:color w:val="000000"/>
        </w:rPr>
      </w:pPr>
      <w:r w:rsidRPr="000937DF">
        <w:rPr>
          <w:rFonts w:ascii="Palatino Linotype" w:eastAsia="Palatino Linotype" w:hAnsi="Palatino Linotype" w:cs="Palatino Linotype"/>
          <w:color w:val="000000"/>
        </w:rPr>
        <w:t xml:space="preserve">De lo argumentado anteriormente se desprende que los sujetos obligados al ser quienes generan, poseen o administran la información en uso de sus atribuciones de derecho público, son a quienes corresponde exclusivamente realizar la aplicación de la prueba de daño a la información </w:t>
      </w:r>
      <w:r w:rsidRPr="000937DF">
        <w:rPr>
          <w:rFonts w:ascii="Palatino Linotype" w:eastAsia="Palatino Linotype" w:hAnsi="Palatino Linotype" w:cs="Palatino Linotype"/>
          <w:color w:val="000000"/>
        </w:rPr>
        <w:lastRenderedPageBreak/>
        <w:t>que obra en sus archivos, y, mediante su realización, aportar los argumentos necesarios para demostrar fehacientemente que la divulgación de la información provoca un daño a un interés jurídicamente protegido.</w:t>
      </w:r>
    </w:p>
    <w:p w14:paraId="34869F06" w14:textId="77777777" w:rsidR="0099513A" w:rsidRPr="000937DF" w:rsidRDefault="0099513A" w:rsidP="00111EE3">
      <w:pPr>
        <w:tabs>
          <w:tab w:val="left" w:pos="3962"/>
        </w:tabs>
        <w:spacing w:before="120" w:after="120" w:line="360" w:lineRule="auto"/>
        <w:ind w:left="851" w:right="902"/>
        <w:contextualSpacing/>
        <w:jc w:val="both"/>
        <w:rPr>
          <w:rFonts w:ascii="Palatino Linotype" w:eastAsia="Palatino Linotype" w:hAnsi="Palatino Linotype" w:cs="Palatino Linotype"/>
          <w:i/>
          <w:sz w:val="22"/>
          <w:szCs w:val="22"/>
        </w:rPr>
      </w:pPr>
    </w:p>
    <w:p w14:paraId="26A3EC5A"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No </w:t>
      </w:r>
      <w:r w:rsidRPr="000937DF">
        <w:rPr>
          <w:rFonts w:ascii="Palatino Linotype" w:eastAsiaTheme="minorEastAsia" w:hAnsi="Palatino Linotype" w:cs="Calibri"/>
          <w:color w:val="000000"/>
          <w:sz w:val="22"/>
          <w:szCs w:val="22"/>
          <w:lang w:val="es-ES_tradnl" w:eastAsia="es-ES"/>
        </w:rPr>
        <w:t>obstante</w:t>
      </w:r>
      <w:r w:rsidRPr="000937DF">
        <w:rPr>
          <w:rFonts w:ascii="Palatino Linotype" w:eastAsia="Palatino Linotype" w:hAnsi="Palatino Linotype" w:cs="Palatino Linotype"/>
          <w:sz w:val="22"/>
          <w:szCs w:val="22"/>
        </w:rPr>
        <w:t xml:space="preserve">, de lo anterior se estima necesario traer a colación el contenido del artículo 142, fracción IV, de la Ley de Transparencia y Acceso a la Información Pública del Estado de México y Municipios, a saber: </w:t>
      </w:r>
    </w:p>
    <w:p w14:paraId="79AEF755" w14:textId="77777777" w:rsidR="00111EE3" w:rsidRPr="000937DF" w:rsidRDefault="00111EE3" w:rsidP="00111EE3">
      <w:pPr>
        <w:spacing w:before="240" w:after="240" w:line="360" w:lineRule="auto"/>
        <w:ind w:left="1134" w:right="900"/>
        <w:contextualSpacing/>
        <w:jc w:val="both"/>
        <w:rPr>
          <w:rFonts w:ascii="Palatino Linotype" w:eastAsia="Palatino Linotype" w:hAnsi="Palatino Linotype" w:cs="Palatino Linotype"/>
          <w:sz w:val="22"/>
          <w:szCs w:val="22"/>
        </w:rPr>
      </w:pPr>
    </w:p>
    <w:p w14:paraId="48537263" w14:textId="77777777" w:rsidR="00111EE3" w:rsidRPr="000937DF" w:rsidRDefault="00111EE3" w:rsidP="00111EE3">
      <w:pPr>
        <w:spacing w:after="16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b/>
          <w:i/>
          <w:sz w:val="22"/>
          <w:szCs w:val="22"/>
        </w:rPr>
        <w:t>“Artículo 142.</w:t>
      </w:r>
      <w:r w:rsidRPr="000937DF">
        <w:rPr>
          <w:rFonts w:ascii="Palatino Linotype" w:eastAsia="Palatino Linotype" w:hAnsi="Palatino Linotype" w:cs="Palatino Linotype"/>
          <w:i/>
          <w:sz w:val="22"/>
          <w:szCs w:val="22"/>
        </w:rPr>
        <w:t xml:space="preserve"> </w:t>
      </w:r>
      <w:r w:rsidRPr="000937DF">
        <w:rPr>
          <w:rFonts w:ascii="Palatino Linotype" w:eastAsia="Palatino Linotype" w:hAnsi="Palatino Linotype" w:cs="Palatino Linotype"/>
          <w:b/>
          <w:i/>
          <w:sz w:val="22"/>
          <w:szCs w:val="22"/>
        </w:rPr>
        <w:t xml:space="preserve">Bajo ninguna circunstancia podrá invocarse el carácter de reservado </w:t>
      </w:r>
      <w:r w:rsidRPr="000937DF">
        <w:rPr>
          <w:rFonts w:ascii="Palatino Linotype" w:eastAsia="Palatino Linotype" w:hAnsi="Palatino Linotype" w:cs="Palatino Linotype"/>
          <w:i/>
          <w:sz w:val="22"/>
          <w:szCs w:val="22"/>
        </w:rPr>
        <w:t xml:space="preserve">cuando: </w:t>
      </w:r>
    </w:p>
    <w:p w14:paraId="44581934" w14:textId="77777777" w:rsidR="00111EE3" w:rsidRPr="000937DF" w:rsidRDefault="00111EE3" w:rsidP="00111EE3">
      <w:pPr>
        <w:spacing w:after="16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w:t>
      </w:r>
    </w:p>
    <w:p w14:paraId="02CBC68C" w14:textId="77777777" w:rsidR="00111EE3" w:rsidRPr="000937DF" w:rsidRDefault="00111EE3" w:rsidP="00111EE3">
      <w:pPr>
        <w:spacing w:after="16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b/>
          <w:i/>
          <w:sz w:val="22"/>
          <w:szCs w:val="22"/>
        </w:rPr>
        <w:t>IV</w:t>
      </w:r>
      <w:r w:rsidRPr="000937DF">
        <w:rPr>
          <w:rFonts w:ascii="Palatino Linotype" w:eastAsia="Palatino Linotype" w:hAnsi="Palatino Linotype" w:cs="Palatino Linotype"/>
          <w:i/>
          <w:sz w:val="22"/>
          <w:szCs w:val="22"/>
        </w:rPr>
        <w:t xml:space="preserve">. </w:t>
      </w:r>
      <w:r w:rsidRPr="000937DF">
        <w:rPr>
          <w:rFonts w:ascii="Palatino Linotype" w:eastAsia="Palatino Linotype" w:hAnsi="Palatino Linotype" w:cs="Palatino Linotype"/>
          <w:b/>
          <w:i/>
          <w:sz w:val="22"/>
          <w:szCs w:val="22"/>
        </w:rPr>
        <w:t xml:space="preserve">Se trate de información </w:t>
      </w:r>
      <w:r w:rsidRPr="000937DF">
        <w:rPr>
          <w:rFonts w:ascii="Palatino Linotype" w:eastAsia="Palatino Linotype" w:hAnsi="Palatino Linotype" w:cs="Palatino Linotype"/>
          <w:b/>
          <w:i/>
          <w:sz w:val="22"/>
          <w:szCs w:val="22"/>
          <w:u w:val="single"/>
        </w:rPr>
        <w:t>relacionada con actos de corrupción</w:t>
      </w:r>
      <w:r w:rsidRPr="000937DF">
        <w:rPr>
          <w:rFonts w:ascii="Palatino Linotype" w:eastAsia="Palatino Linotype" w:hAnsi="Palatino Linotype" w:cs="Palatino Linotype"/>
          <w:i/>
          <w:sz w:val="22"/>
          <w:szCs w:val="22"/>
        </w:rPr>
        <w:t xml:space="preserve"> de conformidad con las disposiciones jurídicas aplicables.”</w:t>
      </w:r>
    </w:p>
    <w:p w14:paraId="5E8C967D" w14:textId="77777777" w:rsidR="00111EE3" w:rsidRPr="000937DF" w:rsidRDefault="00111EE3" w:rsidP="00111EE3">
      <w:pPr>
        <w:spacing w:after="160" w:line="360" w:lineRule="auto"/>
        <w:ind w:left="1134" w:right="900"/>
        <w:contextualSpacing/>
        <w:jc w:val="both"/>
        <w:rPr>
          <w:rFonts w:ascii="Palatino Linotype" w:eastAsia="Palatino Linotype" w:hAnsi="Palatino Linotype" w:cs="Palatino Linotype"/>
          <w:i/>
          <w:sz w:val="22"/>
          <w:szCs w:val="22"/>
        </w:rPr>
      </w:pPr>
    </w:p>
    <w:p w14:paraId="52762B01"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Del precepto citado se desprende que aquella información que se relacione con actos de corrupción, no puede actualizar alguno de los supuestos de clasificación como información reservada establecidos en el artículo 140 de la Ley de Transparencia y Acceso a la Información Pública del Estado de México y Municipios.</w:t>
      </w:r>
    </w:p>
    <w:p w14:paraId="1A5C9DEE" w14:textId="77777777" w:rsidR="00111EE3" w:rsidRPr="000937DF" w:rsidRDefault="00111EE3" w:rsidP="00111EE3">
      <w:pPr>
        <w:spacing w:after="160" w:line="360" w:lineRule="auto"/>
        <w:contextualSpacing/>
        <w:jc w:val="both"/>
        <w:rPr>
          <w:rFonts w:ascii="Palatino Linotype" w:eastAsia="Palatino Linotype" w:hAnsi="Palatino Linotype" w:cs="Palatino Linotype"/>
          <w:i/>
          <w:sz w:val="22"/>
          <w:szCs w:val="22"/>
        </w:rPr>
      </w:pPr>
    </w:p>
    <w:p w14:paraId="6E2381C2"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En el mismo tenor, el Lineamiento Trigésimo Séptimo de los Lineamientos Generales en materia de clasificación y desclasificación de la información, así como para la elaboración de versiones públicas, dispone que no puede invocarse el carácter de reservado de la información </w:t>
      </w:r>
      <w:r w:rsidRPr="000937DF">
        <w:rPr>
          <w:rFonts w:ascii="Palatino Linotype" w:eastAsia="Palatino Linotype" w:hAnsi="Palatino Linotype" w:cs="Palatino Linotype"/>
          <w:b/>
          <w:sz w:val="22"/>
          <w:szCs w:val="22"/>
        </w:rPr>
        <w:t>cuando esta se relacione con actos de corrupción,</w:t>
      </w:r>
      <w:r w:rsidRPr="000937DF">
        <w:rPr>
          <w:rFonts w:ascii="Palatino Linotype" w:eastAsia="Palatino Linotype" w:hAnsi="Palatino Linotype" w:cs="Palatino Linotype"/>
          <w:sz w:val="22"/>
          <w:szCs w:val="22"/>
        </w:rPr>
        <w:t xml:space="preserve"> en función del uso o aprovechamiento indebido y excesivo de las facultades, funciones y competencias, en beneficio propio o de un tercero, por parte de un servidor público o de otra persona que reciba y ejerza recursos públicos o realice actos de </w:t>
      </w:r>
      <w:r w:rsidRPr="000937DF">
        <w:rPr>
          <w:rFonts w:ascii="Palatino Linotype" w:eastAsia="Palatino Linotype" w:hAnsi="Palatino Linotype" w:cs="Palatino Linotype"/>
          <w:sz w:val="22"/>
          <w:szCs w:val="22"/>
        </w:rPr>
        <w:lastRenderedPageBreak/>
        <w:t>autoridad en el ámbito federal, estatal y municipal, y de acuerdo con las leyes aplicables y los tratados internacionales ratificados por el Estado mexicano.</w:t>
      </w:r>
    </w:p>
    <w:p w14:paraId="6335E88F" w14:textId="77777777" w:rsidR="00111EE3" w:rsidRPr="000937DF" w:rsidRDefault="00111EE3" w:rsidP="00111EE3">
      <w:pPr>
        <w:spacing w:after="160" w:line="360" w:lineRule="auto"/>
        <w:contextualSpacing/>
        <w:jc w:val="both"/>
        <w:rPr>
          <w:rFonts w:ascii="Palatino Linotype" w:eastAsia="Palatino Linotype" w:hAnsi="Palatino Linotype" w:cs="Palatino Linotype"/>
          <w:sz w:val="22"/>
          <w:szCs w:val="22"/>
        </w:rPr>
      </w:pPr>
    </w:p>
    <w:p w14:paraId="4B0486B3" w14:textId="77777777" w:rsidR="00111EE3" w:rsidRPr="000937DF" w:rsidRDefault="00111EE3" w:rsidP="00111EE3">
      <w:pPr>
        <w:spacing w:after="160" w:line="360" w:lineRule="auto"/>
        <w:contextualSpacing/>
        <w:jc w:val="both"/>
        <w:rPr>
          <w:rFonts w:ascii="Palatino Linotype" w:eastAsia="Palatino Linotype" w:hAnsi="Palatino Linotype" w:cs="Palatino Linotype"/>
          <w:b/>
          <w:sz w:val="22"/>
          <w:szCs w:val="22"/>
          <w:u w:val="single"/>
        </w:rPr>
      </w:pPr>
    </w:p>
    <w:p w14:paraId="07B05C25"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Theme="minorEastAsia" w:hAnsi="Palatino Linotype" w:cs="Calibri"/>
          <w:color w:val="000000"/>
          <w:sz w:val="22"/>
          <w:szCs w:val="22"/>
          <w:lang w:val="es-ES_tradnl" w:eastAsia="es-ES"/>
        </w:rPr>
        <w:t>Mientras</w:t>
      </w:r>
      <w:r w:rsidRPr="000937DF">
        <w:rPr>
          <w:rFonts w:ascii="Palatino Linotype" w:eastAsia="Palatino Linotype" w:hAnsi="Palatino Linotype" w:cs="Palatino Linotype"/>
          <w:sz w:val="22"/>
          <w:szCs w:val="22"/>
        </w:rPr>
        <w:t xml:space="preserve"> que el Código Penal Federal establece en su Título Decimo “Delitos por hechos de corrupción” a los siguientes: </w:t>
      </w:r>
    </w:p>
    <w:p w14:paraId="13CBA620"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Ejercicio ilícito de servicio público (artículo 214)</w:t>
      </w:r>
    </w:p>
    <w:p w14:paraId="06B0D353"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Abuso de autoridad (artículo 215)</w:t>
      </w:r>
    </w:p>
    <w:p w14:paraId="48A7C562"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Coalición de servidores públicos (artículo 216)</w:t>
      </w:r>
    </w:p>
    <w:p w14:paraId="674C1D36"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 xml:space="preserve">Uso ilícito de atribuciones y facultades (artículo 217) </w:t>
      </w:r>
    </w:p>
    <w:p w14:paraId="6E098DEF"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 xml:space="preserve">Del pago y recibo indebido de remuneraciones de los servidores públicos (artículo 217 Ter) </w:t>
      </w:r>
    </w:p>
    <w:p w14:paraId="7F970A8C"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 xml:space="preserve">Concusión (artículo 218) </w:t>
      </w:r>
    </w:p>
    <w:p w14:paraId="607C9F75"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 xml:space="preserve">Intimidación (artículo 219) </w:t>
      </w:r>
    </w:p>
    <w:p w14:paraId="27FE3C6C"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 xml:space="preserve">Ejercicio abusivo de funciones (artículo 220) </w:t>
      </w:r>
    </w:p>
    <w:p w14:paraId="5F60CACE"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Tráfico de Influencia (artículo 221)</w:t>
      </w:r>
    </w:p>
    <w:p w14:paraId="1F513D4B"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Cohecho (artículo 222)</w:t>
      </w:r>
    </w:p>
    <w:p w14:paraId="0AA934C6"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 xml:space="preserve">Cohecho a servidores públicos extranjeros (artículo 222 bis) </w:t>
      </w:r>
    </w:p>
    <w:p w14:paraId="185A5132"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 xml:space="preserve">Peculado (artículo 223) </w:t>
      </w:r>
    </w:p>
    <w:p w14:paraId="5BE9A6A8" w14:textId="77777777" w:rsidR="00111EE3" w:rsidRPr="000937DF" w:rsidRDefault="00111EE3" w:rsidP="00111EE3">
      <w:pPr>
        <w:numPr>
          <w:ilvl w:val="0"/>
          <w:numId w:val="26"/>
        </w:numPr>
        <w:pBdr>
          <w:top w:val="nil"/>
          <w:left w:val="nil"/>
          <w:bottom w:val="nil"/>
          <w:right w:val="nil"/>
          <w:between w:val="nil"/>
        </w:pBdr>
        <w:spacing w:after="160" w:line="360" w:lineRule="auto"/>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Enriquecimiento Ilícito (artículo 224)</w:t>
      </w:r>
    </w:p>
    <w:p w14:paraId="2DAB5D6A" w14:textId="77777777" w:rsidR="00111EE3" w:rsidRPr="000937DF" w:rsidRDefault="00111EE3" w:rsidP="00111EE3">
      <w:pPr>
        <w:pBdr>
          <w:top w:val="nil"/>
          <w:left w:val="nil"/>
          <w:bottom w:val="nil"/>
          <w:right w:val="nil"/>
          <w:between w:val="nil"/>
        </w:pBdr>
        <w:spacing w:after="160" w:line="360" w:lineRule="auto"/>
        <w:ind w:left="720"/>
        <w:contextualSpacing/>
        <w:jc w:val="both"/>
        <w:rPr>
          <w:rFonts w:ascii="Palatino Linotype" w:eastAsia="Palatino Linotype" w:hAnsi="Palatino Linotype" w:cs="Palatino Linotype"/>
          <w:b/>
          <w:sz w:val="22"/>
          <w:szCs w:val="22"/>
        </w:rPr>
      </w:pPr>
    </w:p>
    <w:p w14:paraId="222B71F1"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Siendo dicha información de gran trascendencia, ya que al estar involucrados servidores públicos existe una afectación directa al interés público en torno a las atribuciones de los entes públicos, como lo es, de manera enunciativa, más no limitativa, la administración de su patrimonio, </w:t>
      </w:r>
      <w:r w:rsidRPr="000937DF">
        <w:rPr>
          <w:rFonts w:ascii="Palatino Linotype" w:eastAsia="Palatino Linotype" w:hAnsi="Palatino Linotype" w:cs="Palatino Linotype"/>
          <w:sz w:val="22"/>
          <w:szCs w:val="22"/>
        </w:rPr>
        <w:lastRenderedPageBreak/>
        <w:t>la erogación de recursos públicos o la recaudación de contribuciones, derechos, impuestos, etcétera, lo cual afecta no sólo al ente público sino a toda la sociedad en general.</w:t>
      </w:r>
    </w:p>
    <w:p w14:paraId="77BEFA7F" w14:textId="77777777" w:rsidR="00111EE3" w:rsidRPr="000937DF" w:rsidRDefault="00111EE3" w:rsidP="00111EE3">
      <w:pPr>
        <w:spacing w:after="160" w:line="360" w:lineRule="auto"/>
        <w:contextualSpacing/>
        <w:jc w:val="both"/>
        <w:rPr>
          <w:rFonts w:ascii="Palatino Linotype" w:eastAsia="Palatino Linotype" w:hAnsi="Palatino Linotype" w:cs="Palatino Linotype"/>
          <w:sz w:val="22"/>
          <w:szCs w:val="22"/>
        </w:rPr>
      </w:pPr>
    </w:p>
    <w:p w14:paraId="749CD311"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En función de lo expuesto, y considerando las conductas que pudieran ser investigadas, es que el derecho de acceso a la información cobra una relevancia trascendental para la sociedad en general, ya que a través del ejercicio de éste se puede conocer información relacionada con hechos de corrupción, que además por la importancia que ésta tiene para el erario municipal, resulta de mayor interés el impacto que dichas conductas pudieron tener en su detrimento, encuadrando en los artículos 3, fracción XXII y 9, fracción VII, de la Ley de Transparencia y Acceso a la Información Pública del Estado de México, este Instituto establece como:</w:t>
      </w:r>
    </w:p>
    <w:p w14:paraId="3F5A39F9" w14:textId="77777777" w:rsidR="00111EE3" w:rsidRPr="000937DF" w:rsidRDefault="00111EE3" w:rsidP="00111EE3">
      <w:pPr>
        <w:spacing w:after="160" w:line="360" w:lineRule="auto"/>
        <w:contextualSpacing/>
        <w:jc w:val="both"/>
        <w:rPr>
          <w:rFonts w:ascii="Palatino Linotype" w:eastAsia="Palatino Linotype" w:hAnsi="Palatino Linotype" w:cs="Palatino Linotype"/>
          <w:sz w:val="22"/>
          <w:szCs w:val="22"/>
        </w:rPr>
      </w:pPr>
    </w:p>
    <w:p w14:paraId="036ED69C" w14:textId="77777777" w:rsidR="00111EE3" w:rsidRPr="000937DF" w:rsidRDefault="00111EE3" w:rsidP="00111EE3">
      <w:pPr>
        <w:pBdr>
          <w:top w:val="nil"/>
          <w:left w:val="nil"/>
          <w:bottom w:val="nil"/>
          <w:right w:val="nil"/>
          <w:between w:val="nil"/>
        </w:pBdr>
        <w:spacing w:after="120" w:line="276" w:lineRule="auto"/>
        <w:ind w:left="1134" w:right="902"/>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b/>
          <w:i/>
          <w:sz w:val="22"/>
          <w:szCs w:val="22"/>
        </w:rPr>
        <w:t>“Artículo 3.</w:t>
      </w:r>
      <w:r w:rsidRPr="000937DF">
        <w:rPr>
          <w:rFonts w:ascii="Palatino Linotype" w:eastAsia="Palatino Linotype" w:hAnsi="Palatino Linotype" w:cs="Palatino Linotype"/>
          <w:i/>
          <w:sz w:val="22"/>
          <w:szCs w:val="22"/>
        </w:rPr>
        <w:t xml:space="preserve"> Para los efectos de la presente Ley se entenderá por:</w:t>
      </w:r>
    </w:p>
    <w:p w14:paraId="4E2BC748" w14:textId="77777777" w:rsidR="00111EE3" w:rsidRPr="000937DF" w:rsidRDefault="00111EE3" w:rsidP="00111EE3">
      <w:pPr>
        <w:pBdr>
          <w:top w:val="nil"/>
          <w:left w:val="nil"/>
          <w:bottom w:val="nil"/>
          <w:right w:val="nil"/>
          <w:between w:val="nil"/>
        </w:pBdr>
        <w:spacing w:before="120" w:after="120" w:line="276" w:lineRule="auto"/>
        <w:ind w:left="1134" w:right="902"/>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w:t>
      </w:r>
    </w:p>
    <w:p w14:paraId="0089003C" w14:textId="77777777" w:rsidR="00111EE3" w:rsidRPr="000937DF" w:rsidRDefault="00111EE3" w:rsidP="00111EE3">
      <w:pPr>
        <w:pBdr>
          <w:top w:val="nil"/>
          <w:left w:val="nil"/>
          <w:bottom w:val="nil"/>
          <w:right w:val="nil"/>
          <w:between w:val="nil"/>
        </w:pBdr>
        <w:spacing w:before="120" w:after="120" w:line="276" w:lineRule="auto"/>
        <w:ind w:left="1134" w:right="902"/>
        <w:contextualSpacing/>
        <w:jc w:val="both"/>
        <w:rPr>
          <w:rFonts w:ascii="Palatino Linotype" w:eastAsia="Palatino Linotype" w:hAnsi="Palatino Linotype" w:cs="Palatino Linotype"/>
          <w:b/>
          <w:i/>
          <w:sz w:val="22"/>
          <w:szCs w:val="22"/>
        </w:rPr>
      </w:pPr>
      <w:r w:rsidRPr="000937DF">
        <w:rPr>
          <w:rFonts w:ascii="Palatino Linotype" w:eastAsia="Palatino Linotype" w:hAnsi="Palatino Linotype" w:cs="Palatino Linotype"/>
          <w:b/>
          <w:i/>
          <w:sz w:val="22"/>
          <w:szCs w:val="22"/>
        </w:rPr>
        <w:t>XXII. Información de interés público:</w:t>
      </w:r>
      <w:r w:rsidRPr="000937DF">
        <w:rPr>
          <w:rFonts w:ascii="Palatino Linotype" w:eastAsia="Palatino Linotype" w:hAnsi="Palatino Linotype" w:cs="Palatino Linotype"/>
          <w:i/>
          <w:sz w:val="22"/>
          <w:szCs w:val="22"/>
        </w:rPr>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22DAA091" w14:textId="77777777" w:rsidR="00111EE3" w:rsidRPr="000937DF" w:rsidRDefault="00111EE3" w:rsidP="00111EE3">
      <w:pPr>
        <w:pBdr>
          <w:top w:val="nil"/>
          <w:left w:val="nil"/>
          <w:bottom w:val="nil"/>
          <w:right w:val="nil"/>
          <w:between w:val="nil"/>
        </w:pBdr>
        <w:spacing w:before="120" w:after="120" w:line="276" w:lineRule="auto"/>
        <w:ind w:left="1134" w:right="902"/>
        <w:contextualSpacing/>
        <w:jc w:val="both"/>
        <w:rPr>
          <w:rFonts w:ascii="Palatino Linotype" w:eastAsia="Palatino Linotype" w:hAnsi="Palatino Linotype" w:cs="Palatino Linotype"/>
          <w:b/>
          <w:i/>
          <w:sz w:val="22"/>
          <w:szCs w:val="22"/>
        </w:rPr>
      </w:pPr>
      <w:r w:rsidRPr="000937DF">
        <w:rPr>
          <w:rFonts w:ascii="Palatino Linotype" w:eastAsia="Palatino Linotype" w:hAnsi="Palatino Linotype" w:cs="Palatino Linotype"/>
          <w:i/>
          <w:sz w:val="22"/>
          <w:szCs w:val="22"/>
        </w:rPr>
        <w:t>…</w:t>
      </w:r>
    </w:p>
    <w:p w14:paraId="384E98F1" w14:textId="77777777" w:rsidR="00111EE3" w:rsidRPr="000937DF" w:rsidRDefault="00111EE3" w:rsidP="00111EE3">
      <w:pPr>
        <w:pBdr>
          <w:top w:val="nil"/>
          <w:left w:val="nil"/>
          <w:bottom w:val="nil"/>
          <w:right w:val="nil"/>
          <w:between w:val="nil"/>
        </w:pBdr>
        <w:spacing w:before="120" w:after="120" w:line="276" w:lineRule="auto"/>
        <w:ind w:left="1134" w:right="902"/>
        <w:contextualSpacing/>
        <w:jc w:val="both"/>
        <w:rPr>
          <w:rFonts w:ascii="Palatino Linotype" w:eastAsia="Palatino Linotype" w:hAnsi="Palatino Linotype" w:cs="Palatino Linotype"/>
          <w:b/>
          <w:i/>
          <w:sz w:val="22"/>
          <w:szCs w:val="22"/>
        </w:rPr>
      </w:pPr>
      <w:r w:rsidRPr="000937DF">
        <w:rPr>
          <w:rFonts w:ascii="Palatino Linotype" w:eastAsia="Palatino Linotype" w:hAnsi="Palatino Linotype" w:cs="Palatino Linotype"/>
          <w:b/>
          <w:i/>
          <w:sz w:val="22"/>
          <w:szCs w:val="22"/>
        </w:rPr>
        <w:t>Artículo 9.</w:t>
      </w:r>
      <w:r w:rsidRPr="000937DF">
        <w:rPr>
          <w:rFonts w:ascii="Palatino Linotype" w:eastAsia="Palatino Linotype" w:hAnsi="Palatino Linotype" w:cs="Palatino Linotype"/>
          <w:i/>
          <w:sz w:val="22"/>
          <w:szCs w:val="22"/>
        </w:rPr>
        <w:t xml:space="preserve"> El Instituto deberá regir su funcionamiento de acuerdo a los siguientes principios:</w:t>
      </w:r>
    </w:p>
    <w:p w14:paraId="3A4E38B8" w14:textId="77777777" w:rsidR="00111EE3" w:rsidRPr="000937DF" w:rsidRDefault="00111EE3" w:rsidP="00111EE3">
      <w:pPr>
        <w:pBdr>
          <w:top w:val="nil"/>
          <w:left w:val="nil"/>
          <w:bottom w:val="nil"/>
          <w:right w:val="nil"/>
          <w:between w:val="nil"/>
        </w:pBdr>
        <w:spacing w:before="120" w:after="120" w:line="276" w:lineRule="auto"/>
        <w:ind w:left="1134" w:right="902"/>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w:t>
      </w:r>
    </w:p>
    <w:p w14:paraId="65E2C0DC" w14:textId="77777777" w:rsidR="00111EE3" w:rsidRPr="000937DF" w:rsidRDefault="00111EE3" w:rsidP="00111EE3">
      <w:pPr>
        <w:pBdr>
          <w:top w:val="nil"/>
          <w:left w:val="nil"/>
          <w:bottom w:val="nil"/>
          <w:right w:val="nil"/>
          <w:between w:val="nil"/>
        </w:pBdr>
        <w:spacing w:before="120" w:after="120" w:line="276" w:lineRule="auto"/>
        <w:ind w:left="1134" w:right="902"/>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b/>
          <w:i/>
          <w:sz w:val="22"/>
          <w:szCs w:val="22"/>
        </w:rPr>
        <w:t>VII. Máxima Publicidad:</w:t>
      </w:r>
      <w:r w:rsidRPr="000937DF">
        <w:rPr>
          <w:rFonts w:ascii="Palatino Linotype" w:eastAsia="Palatino Linotype" w:hAnsi="Palatino Linotype" w:cs="Palatino Linotype"/>
          <w:i/>
          <w:sz w:val="22"/>
          <w:szCs w:val="22"/>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
    <w:p w14:paraId="470DA5D7" w14:textId="77777777" w:rsidR="00111EE3" w:rsidRPr="000937DF" w:rsidRDefault="00111EE3" w:rsidP="00111EE3">
      <w:pPr>
        <w:pBdr>
          <w:top w:val="nil"/>
          <w:left w:val="nil"/>
          <w:bottom w:val="nil"/>
          <w:right w:val="nil"/>
          <w:between w:val="nil"/>
        </w:pBdr>
        <w:spacing w:before="120" w:after="120" w:line="360" w:lineRule="auto"/>
        <w:ind w:left="1134" w:right="902"/>
        <w:contextualSpacing/>
        <w:jc w:val="both"/>
        <w:rPr>
          <w:rFonts w:ascii="Palatino Linotype" w:eastAsia="Palatino Linotype" w:hAnsi="Palatino Linotype" w:cs="Palatino Linotype"/>
          <w:sz w:val="22"/>
          <w:szCs w:val="22"/>
        </w:rPr>
      </w:pPr>
    </w:p>
    <w:p w14:paraId="71A014DA"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De lo </w:t>
      </w:r>
      <w:r w:rsidRPr="000937DF">
        <w:rPr>
          <w:rFonts w:ascii="Palatino Linotype" w:eastAsiaTheme="minorEastAsia" w:hAnsi="Palatino Linotype" w:cs="Calibri"/>
          <w:color w:val="000000"/>
          <w:sz w:val="22"/>
          <w:szCs w:val="22"/>
          <w:lang w:val="es-ES_tradnl" w:eastAsia="es-ES"/>
        </w:rPr>
        <w:t>anterior</w:t>
      </w:r>
      <w:r w:rsidRPr="000937DF">
        <w:rPr>
          <w:rFonts w:ascii="Palatino Linotype" w:eastAsia="Palatino Linotype" w:hAnsi="Palatino Linotype" w:cs="Palatino Linotype"/>
          <w:sz w:val="22"/>
          <w:szCs w:val="22"/>
        </w:rPr>
        <w:t xml:space="preserve">, se colige que, el interés público está relacionado con el principio de máxima publicidad y las excepciones a la clasificación de la información; pues existe un interés general de la </w:t>
      </w:r>
      <w:r w:rsidRPr="000937DF">
        <w:rPr>
          <w:rFonts w:ascii="Palatino Linotype" w:eastAsia="Palatino Linotype" w:hAnsi="Palatino Linotype" w:cs="Palatino Linotype"/>
          <w:sz w:val="22"/>
          <w:szCs w:val="22"/>
        </w:rPr>
        <w:lastRenderedPageBreak/>
        <w:t>sociedad de conocer sobre los posibles actos de corrupción al no ser afectaciones que se dan en lo individual, sino que existe un detrimento en un grupo o en la población en general.</w:t>
      </w:r>
    </w:p>
    <w:p w14:paraId="254CD0AE" w14:textId="77777777" w:rsidR="00111EE3" w:rsidRPr="000937DF" w:rsidRDefault="00111EE3" w:rsidP="00111EE3">
      <w:pPr>
        <w:spacing w:after="160" w:line="360" w:lineRule="auto"/>
        <w:contextualSpacing/>
        <w:jc w:val="both"/>
        <w:rPr>
          <w:rFonts w:ascii="Palatino Linotype" w:eastAsia="Palatino Linotype" w:hAnsi="Palatino Linotype" w:cs="Palatino Linotype"/>
          <w:sz w:val="22"/>
          <w:szCs w:val="22"/>
        </w:rPr>
      </w:pPr>
    </w:p>
    <w:p w14:paraId="0EEE62D4"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sz w:val="22"/>
          <w:szCs w:val="22"/>
          <w:u w:val="single"/>
        </w:rPr>
      </w:pPr>
      <w:r w:rsidRPr="000937DF">
        <w:rPr>
          <w:rFonts w:ascii="Palatino Linotype" w:eastAsia="Palatino Linotype" w:hAnsi="Palatino Linotype" w:cs="Palatino Linotype"/>
          <w:sz w:val="22"/>
          <w:szCs w:val="22"/>
        </w:rPr>
        <w:t xml:space="preserve">Por </w:t>
      </w:r>
      <w:r w:rsidRPr="000937DF">
        <w:rPr>
          <w:rFonts w:ascii="Palatino Linotype" w:eastAsiaTheme="minorEastAsia" w:hAnsi="Palatino Linotype" w:cs="Calibri"/>
          <w:color w:val="000000"/>
          <w:sz w:val="22"/>
          <w:szCs w:val="22"/>
          <w:lang w:val="es-ES_tradnl" w:eastAsia="es-ES"/>
        </w:rPr>
        <w:t>tal</w:t>
      </w:r>
      <w:r w:rsidRPr="000937DF">
        <w:rPr>
          <w:rFonts w:ascii="Palatino Linotype" w:eastAsia="Palatino Linotype" w:hAnsi="Palatino Linotype" w:cs="Palatino Linotype"/>
          <w:sz w:val="22"/>
          <w:szCs w:val="22"/>
        </w:rPr>
        <w:t xml:space="preserve"> motivo, se considera para el caso de que existiera algún expediente relacionado con faltas administrativas en trámite, y que estén relacionados con alguna excepción de las establecidas en el artículo 142 de la Ley de Transparencia y Acceso a la Información Pública del Estado de México y Municipios, tales como actos de corrupción, se </w:t>
      </w:r>
      <w:r w:rsidRPr="000937DF">
        <w:rPr>
          <w:rFonts w:ascii="Palatino Linotype" w:eastAsia="Palatino Linotype" w:hAnsi="Palatino Linotype" w:cs="Palatino Linotype"/>
          <w:b/>
          <w:sz w:val="22"/>
          <w:szCs w:val="22"/>
          <w:u w:val="single"/>
        </w:rPr>
        <w:t>deberá entregar el soporte documental correspondiente que dé cuenta del nombre y cargo de los servidores públicos cuyos procedimientos se encuentren concluidos y que hayan causado estado, por faltas administrativas graves condenatorias, así como de aquellos que se encuentren en trámite relacionados con actos de corrupción, de conformidad con el artículo 142 de la Ley de Transparencia Local, del primero de enero al veintinueve de mayo de dos mil veintitrés, en versión pública, conforme al considerando quinto del presente fallo.</w:t>
      </w:r>
    </w:p>
    <w:p w14:paraId="6A521AA8" w14:textId="77777777" w:rsidR="00111EE3" w:rsidRPr="000937DF" w:rsidRDefault="00111EE3" w:rsidP="00111EE3">
      <w:pPr>
        <w:spacing w:after="160" w:line="360" w:lineRule="auto"/>
        <w:contextualSpacing/>
        <w:jc w:val="both"/>
        <w:rPr>
          <w:rFonts w:ascii="Palatino Linotype" w:eastAsia="Palatino Linotype" w:hAnsi="Palatino Linotype" w:cs="Palatino Linotype"/>
          <w:sz w:val="22"/>
          <w:szCs w:val="22"/>
        </w:rPr>
      </w:pPr>
    </w:p>
    <w:p w14:paraId="6AD58F59"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sz w:val="22"/>
          <w:szCs w:val="22"/>
          <w:u w:val="single"/>
        </w:rPr>
      </w:pPr>
      <w:r w:rsidRPr="000937DF">
        <w:rPr>
          <w:rFonts w:ascii="Palatino Linotype" w:eastAsiaTheme="minorEastAsia" w:hAnsi="Palatino Linotype" w:cstheme="minorBidi"/>
          <w:sz w:val="22"/>
          <w:szCs w:val="22"/>
          <w:lang w:val="es-ES_tradnl" w:eastAsia="es-ES"/>
        </w:rPr>
        <w:t>Siendo</w:t>
      </w:r>
      <w:r w:rsidRPr="000937DF">
        <w:rPr>
          <w:rFonts w:ascii="Palatino Linotype" w:eastAsia="Palatino Linotype" w:hAnsi="Palatino Linotype" w:cs="Palatino Linotype"/>
          <w:sz w:val="22"/>
          <w:szCs w:val="22"/>
        </w:rPr>
        <w:t xml:space="preserve"> </w:t>
      </w:r>
      <w:r w:rsidRPr="000937DF">
        <w:rPr>
          <w:rFonts w:ascii="Palatino Linotype" w:eastAsiaTheme="minorEastAsia" w:hAnsi="Palatino Linotype" w:cs="Calibri"/>
          <w:color w:val="000000"/>
          <w:sz w:val="22"/>
          <w:szCs w:val="22"/>
          <w:lang w:val="es-ES_tradnl" w:eastAsia="es-ES"/>
        </w:rPr>
        <w:t>importante</w:t>
      </w:r>
      <w:r w:rsidRPr="000937DF">
        <w:rPr>
          <w:rFonts w:ascii="Palatino Linotype" w:eastAsia="Palatino Linotype" w:hAnsi="Palatino Linotype" w:cs="Palatino Linotype"/>
          <w:sz w:val="22"/>
          <w:szCs w:val="22"/>
        </w:rPr>
        <w:t xml:space="preserve"> mencionar que si bien entregar el nombre y cargo respecto a la existencia de un procedimiento de sanción administrativa, podría generar una percepción negativa de éste, ocasionando un perjuicio en su </w:t>
      </w:r>
      <w:r w:rsidRPr="000937DF">
        <w:rPr>
          <w:rFonts w:ascii="Palatino Linotype" w:eastAsia="Palatino Linotype" w:hAnsi="Palatino Linotype" w:cs="Palatino Linotype"/>
          <w:b/>
          <w:sz w:val="22"/>
          <w:szCs w:val="22"/>
        </w:rPr>
        <w:t xml:space="preserve">honor, intimidad, buena imagen y nombre, así como a su vida privada, </w:t>
      </w:r>
      <w:r w:rsidRPr="000937DF">
        <w:rPr>
          <w:rFonts w:ascii="Palatino Linotype" w:eastAsia="Palatino Linotype" w:hAnsi="Palatino Linotype" w:cs="Palatino Linotype"/>
          <w:sz w:val="22"/>
          <w:szCs w:val="22"/>
        </w:rPr>
        <w:t xml:space="preserve">también lo es, que </w:t>
      </w:r>
      <w:r w:rsidRPr="000937DF">
        <w:rPr>
          <w:rFonts w:ascii="Palatino Linotype" w:eastAsia="Palatino Linotype" w:hAnsi="Palatino Linotype" w:cs="Palatino Linotype"/>
          <w:b/>
          <w:sz w:val="22"/>
          <w:szCs w:val="22"/>
          <w:u w:val="single"/>
        </w:rPr>
        <w:t>tratándose de asuntos relacionados con actos de corrupción, se trataría de una falta grave</w:t>
      </w:r>
      <w:r w:rsidRPr="000937DF">
        <w:rPr>
          <w:rFonts w:ascii="Palatino Linotype" w:eastAsia="Palatino Linotype" w:hAnsi="Palatino Linotype" w:cs="Palatino Linotype"/>
          <w:b/>
          <w:sz w:val="22"/>
          <w:szCs w:val="22"/>
        </w:rPr>
        <w:t xml:space="preserve">, </w:t>
      </w:r>
      <w:r w:rsidRPr="000937DF">
        <w:rPr>
          <w:rFonts w:ascii="Palatino Linotype" w:eastAsia="Palatino Linotype" w:hAnsi="Palatino Linotype" w:cs="Palatino Linotype"/>
          <w:b/>
          <w:sz w:val="22"/>
          <w:szCs w:val="22"/>
          <w:u w:val="single"/>
        </w:rPr>
        <w:t>por lo que tales prerrogativas quedan supeditadas al interés mayor de conocer tales eventualidades y por lo tanto no procede su clasificación en términos del artículo 143, fracción I de la Ley de la materia.</w:t>
      </w:r>
    </w:p>
    <w:p w14:paraId="1DE92DE3" w14:textId="77777777" w:rsidR="00111EE3" w:rsidRPr="000937DF" w:rsidRDefault="00111EE3" w:rsidP="00111EE3">
      <w:pPr>
        <w:spacing w:after="160" w:line="360" w:lineRule="auto"/>
        <w:contextualSpacing/>
        <w:jc w:val="both"/>
        <w:rPr>
          <w:rFonts w:ascii="Palatino Linotype" w:eastAsia="Palatino Linotype" w:hAnsi="Palatino Linotype" w:cs="Palatino Linotype"/>
          <w:b/>
          <w:sz w:val="22"/>
          <w:szCs w:val="22"/>
          <w:u w:val="single"/>
        </w:rPr>
      </w:pPr>
    </w:p>
    <w:p w14:paraId="15922E51"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Theme="minorEastAsia" w:hAnsi="Palatino Linotype" w:cs="Calibri"/>
          <w:color w:val="000000"/>
          <w:sz w:val="22"/>
          <w:szCs w:val="22"/>
          <w:lang w:val="es-ES_tradnl" w:eastAsia="es-ES"/>
        </w:rPr>
        <w:t>Aunado</w:t>
      </w:r>
      <w:r w:rsidRPr="000937DF">
        <w:rPr>
          <w:rFonts w:ascii="Palatino Linotype" w:eastAsia="Palatino Linotype" w:hAnsi="Palatino Linotype" w:cs="Palatino Linotype"/>
          <w:sz w:val="22"/>
          <w:szCs w:val="22"/>
        </w:rPr>
        <w:t xml:space="preserve"> a lo anterior, cierto es que toda persona tiene derecho a la presunción de inocencia hasta en tanto se demuestre lo contrario, sin embargo, en el caso de actos de corrupción nos encontramos ante un caso de trascendencia social e interés público, sobreviniendo una colisión entre </w:t>
      </w:r>
      <w:r w:rsidRPr="000937DF">
        <w:rPr>
          <w:rFonts w:ascii="Palatino Linotype" w:eastAsia="Palatino Linotype" w:hAnsi="Palatino Linotype" w:cs="Palatino Linotype"/>
          <w:sz w:val="22"/>
          <w:szCs w:val="22"/>
        </w:rPr>
        <w:lastRenderedPageBreak/>
        <w:t>derechos fundamentales, esto es, por una parte, se busca mantener la secrecía de los nombres de los servidores públicos denunciados, es decir, el nombre de las personas que enfrentan acusaciones sobre esos actos y; por otro, se pretende dar acceso a información que es de interés de los ciudadanos porque versa sobre una afectación económica al erario público.</w:t>
      </w:r>
    </w:p>
    <w:p w14:paraId="24078C87" w14:textId="77777777" w:rsidR="00111EE3" w:rsidRPr="000937DF" w:rsidRDefault="00111EE3" w:rsidP="00111EE3">
      <w:pPr>
        <w:spacing w:before="240" w:after="240" w:line="360" w:lineRule="auto"/>
        <w:contextualSpacing/>
        <w:jc w:val="both"/>
        <w:rPr>
          <w:rFonts w:ascii="Palatino Linotype" w:eastAsia="Palatino Linotype" w:hAnsi="Palatino Linotype" w:cs="Palatino Linotype"/>
          <w:sz w:val="22"/>
          <w:szCs w:val="22"/>
        </w:rPr>
      </w:pPr>
    </w:p>
    <w:p w14:paraId="50A6EC3C"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sz w:val="22"/>
          <w:szCs w:val="22"/>
        </w:rPr>
        <w:t xml:space="preserve">En tal </w:t>
      </w:r>
      <w:r w:rsidRPr="000937DF">
        <w:rPr>
          <w:rFonts w:ascii="Palatino Linotype" w:eastAsiaTheme="minorEastAsia" w:hAnsi="Palatino Linotype" w:cs="Calibri"/>
          <w:color w:val="000000"/>
          <w:sz w:val="22"/>
          <w:szCs w:val="22"/>
          <w:lang w:val="es-ES_tradnl" w:eastAsia="es-ES"/>
        </w:rPr>
        <w:t>contexto</w:t>
      </w:r>
      <w:r w:rsidRPr="000937DF">
        <w:rPr>
          <w:rFonts w:ascii="Palatino Linotype" w:eastAsia="Palatino Linotype" w:hAnsi="Palatino Linotype" w:cs="Palatino Linotype"/>
          <w:sz w:val="22"/>
          <w:szCs w:val="22"/>
        </w:rPr>
        <w:t xml:space="preserve">, si los hechos investigados son en razón de conductas presuntamente ilegales, el ejercicio ilícito de servicio público, el uso ilícito de funciones, el cohecho, peculado y enriquecimiento ilícito, de personas que en el ejercicio de sus funciones públicas, causaron un detrimento y se presume obtuvieron un beneficio personal, luego entonces </w:t>
      </w:r>
      <w:r w:rsidRPr="000937DF">
        <w:rPr>
          <w:rFonts w:ascii="Palatino Linotype" w:eastAsia="Palatino Linotype" w:hAnsi="Palatino Linotype" w:cs="Palatino Linotype"/>
          <w:b/>
          <w:sz w:val="22"/>
          <w:szCs w:val="22"/>
        </w:rPr>
        <w:t>existe una preferencia social mayor que trasciende para dar a conocer, precisamente los nombres de los servidores o ex servidores que enfrentan acusaciones sobre este caso, debiendo por tanto darse a conocer dicho dato, en caso de actualizarse la excepción a la excepción, prevista en el artículo 142 dela Ley de la materia, por lo que en el presente caso no se vulneran los derechos de la persona, aun cuando es plenamente identificada.</w:t>
      </w:r>
    </w:p>
    <w:p w14:paraId="2EC1A7CB" w14:textId="77777777" w:rsidR="00111EE3" w:rsidRPr="000937DF" w:rsidRDefault="00111EE3" w:rsidP="00111EE3">
      <w:pPr>
        <w:spacing w:before="240" w:after="240" w:line="360" w:lineRule="auto"/>
        <w:contextualSpacing/>
        <w:jc w:val="both"/>
        <w:rPr>
          <w:rFonts w:ascii="Palatino Linotype" w:eastAsia="Palatino Linotype" w:hAnsi="Palatino Linotype" w:cs="Palatino Linotype"/>
          <w:b/>
          <w:sz w:val="22"/>
          <w:szCs w:val="22"/>
        </w:rPr>
      </w:pPr>
    </w:p>
    <w:p w14:paraId="564EE319"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A </w:t>
      </w:r>
      <w:r w:rsidRPr="000937DF">
        <w:rPr>
          <w:rFonts w:ascii="Palatino Linotype" w:eastAsiaTheme="minorEastAsia" w:hAnsi="Palatino Linotype" w:cs="Calibri"/>
          <w:color w:val="000000"/>
          <w:sz w:val="22"/>
          <w:szCs w:val="22"/>
          <w:lang w:val="es-ES_tradnl" w:eastAsia="es-ES"/>
        </w:rPr>
        <w:t>efecto</w:t>
      </w:r>
      <w:r w:rsidRPr="000937DF">
        <w:rPr>
          <w:rFonts w:ascii="Palatino Linotype" w:eastAsia="Palatino Linotype" w:hAnsi="Palatino Linotype" w:cs="Palatino Linotype"/>
          <w:sz w:val="22"/>
          <w:szCs w:val="22"/>
        </w:rPr>
        <w:t xml:space="preserve"> de sustentar lo anterior, es aplicable por analogía la determinación del Instituto Nacional de Transparencia, Acceso a la Información y Protección de Datos Personales, INAI, en la Resolución del Recurso de Revisión de Acceso con número de folio RRA 12225/22, que en su parte conducente, señala lo siguiente:</w:t>
      </w:r>
    </w:p>
    <w:p w14:paraId="2B6B1372" w14:textId="77777777" w:rsidR="00111EE3" w:rsidRPr="000937DF" w:rsidRDefault="00111EE3" w:rsidP="00111EE3">
      <w:pPr>
        <w:spacing w:before="240" w:after="240" w:line="360" w:lineRule="auto"/>
        <w:contextualSpacing/>
        <w:jc w:val="both"/>
        <w:rPr>
          <w:rFonts w:ascii="Palatino Linotype" w:eastAsia="Palatino Linotype" w:hAnsi="Palatino Linotype" w:cs="Palatino Linotype"/>
          <w:sz w:val="22"/>
          <w:szCs w:val="22"/>
        </w:rPr>
      </w:pPr>
    </w:p>
    <w:p w14:paraId="45D5BC54" w14:textId="77777777" w:rsidR="00111EE3" w:rsidRPr="000937DF" w:rsidRDefault="00111EE3" w:rsidP="00111EE3">
      <w:pPr>
        <w:spacing w:before="120" w:after="120" w:line="276" w:lineRule="auto"/>
        <w:ind w:left="426" w:right="474"/>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w:t>
      </w:r>
      <w:r w:rsidRPr="000937DF">
        <w:rPr>
          <w:rFonts w:ascii="Palatino Linotype" w:eastAsia="Palatino Linotype" w:hAnsi="Palatino Linotype" w:cs="Palatino Linotype"/>
          <w:b/>
          <w:i/>
          <w:sz w:val="22"/>
          <w:szCs w:val="22"/>
        </w:rPr>
        <w:t>ANÁLISIS DE INTERÉS PÚBLICO</w:t>
      </w:r>
    </w:p>
    <w:p w14:paraId="33A6BA08" w14:textId="77777777" w:rsidR="00111EE3" w:rsidRPr="000937DF" w:rsidRDefault="00111EE3" w:rsidP="00111EE3">
      <w:pPr>
        <w:spacing w:before="120" w:after="120" w:line="276" w:lineRule="auto"/>
        <w:ind w:left="426" w:right="474"/>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w:t>
      </w:r>
    </w:p>
    <w:p w14:paraId="1E3BA4BE" w14:textId="77777777" w:rsidR="00111EE3" w:rsidRPr="000937DF" w:rsidRDefault="00111EE3" w:rsidP="00111EE3">
      <w:pPr>
        <w:spacing w:before="120" w:after="120" w:line="276" w:lineRule="auto"/>
        <w:ind w:left="426" w:right="474"/>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Señalado lo anterior, resulta necesario realizar una ponderación de los dos intereses jurídicos tutelados que convergen en la controversia que se dirime, para lo cual, resulta pertinente traer al estudio lo señalado en el artículo 155 de la Ley Federal de Transparencia y Acceso a la Información Pública, el cual prevé que cuando exista una colisión de derechos, este Instituto, al resolver el recurso de revisión, deberá aplicar una prueba de interés público </w:t>
      </w:r>
      <w:r w:rsidRPr="000937DF">
        <w:rPr>
          <w:rFonts w:ascii="Palatino Linotype" w:eastAsia="Palatino Linotype" w:hAnsi="Palatino Linotype" w:cs="Palatino Linotype"/>
          <w:i/>
          <w:sz w:val="22"/>
          <w:szCs w:val="22"/>
        </w:rPr>
        <w:lastRenderedPageBreak/>
        <w:t xml:space="preserve">con base en elementos de idoneidad, necesidad y proporcionalidad. Para estos efectos, se entenderá por: </w:t>
      </w:r>
    </w:p>
    <w:p w14:paraId="712BCCB6" w14:textId="77777777" w:rsidR="00111EE3" w:rsidRPr="000937DF" w:rsidRDefault="00111EE3" w:rsidP="00111EE3">
      <w:pPr>
        <w:spacing w:before="120" w:after="120" w:line="276" w:lineRule="auto"/>
        <w:ind w:left="851" w:right="474"/>
        <w:contextualSpacing/>
        <w:jc w:val="both"/>
        <w:rPr>
          <w:rFonts w:ascii="Palatino Linotype" w:eastAsia="Palatino Linotype" w:hAnsi="Palatino Linotype" w:cs="Palatino Linotype"/>
          <w:i/>
          <w:sz w:val="22"/>
          <w:szCs w:val="22"/>
        </w:rPr>
      </w:pPr>
      <w:r w:rsidRPr="000937DF">
        <w:rPr>
          <w:rFonts w:ascii="Palatino Linotype" w:eastAsia="Symbol" w:hAnsi="Palatino Linotype" w:cs="Symbol"/>
          <w:i/>
          <w:sz w:val="22"/>
          <w:szCs w:val="22"/>
        </w:rPr>
        <w:t>∙</w:t>
      </w:r>
      <w:r w:rsidRPr="000937DF">
        <w:rPr>
          <w:rFonts w:ascii="Palatino Linotype" w:eastAsia="Palatino Linotype" w:hAnsi="Palatino Linotype" w:cs="Palatino Linotype"/>
          <w:i/>
          <w:sz w:val="22"/>
          <w:szCs w:val="22"/>
        </w:rPr>
        <w:t xml:space="preserve"> </w:t>
      </w:r>
      <w:r w:rsidRPr="000937DF">
        <w:rPr>
          <w:rFonts w:ascii="Palatino Linotype" w:eastAsia="Palatino Linotype" w:hAnsi="Palatino Linotype" w:cs="Palatino Linotype"/>
          <w:b/>
          <w:i/>
          <w:sz w:val="22"/>
          <w:szCs w:val="22"/>
        </w:rPr>
        <w:t>Idoneidad:</w:t>
      </w:r>
      <w:r w:rsidRPr="000937DF">
        <w:rPr>
          <w:rFonts w:ascii="Palatino Linotype" w:eastAsia="Palatino Linotype" w:hAnsi="Palatino Linotype" w:cs="Palatino Linotype"/>
          <w:i/>
          <w:sz w:val="22"/>
          <w:szCs w:val="22"/>
        </w:rPr>
        <w:t xml:space="preserve"> La legitimidad del derecho adoptado como preferente, que sea el adecuado para el logro de un fin constitucionalmente válido o apto para conseguir el fin pretendido; </w:t>
      </w:r>
    </w:p>
    <w:p w14:paraId="38594B18" w14:textId="77777777" w:rsidR="00111EE3" w:rsidRPr="000937DF" w:rsidRDefault="00111EE3" w:rsidP="00111EE3">
      <w:pPr>
        <w:spacing w:before="120" w:after="120" w:line="276" w:lineRule="auto"/>
        <w:ind w:left="851" w:right="474"/>
        <w:contextualSpacing/>
        <w:jc w:val="both"/>
        <w:rPr>
          <w:rFonts w:ascii="Palatino Linotype" w:eastAsia="Palatino Linotype" w:hAnsi="Palatino Linotype" w:cs="Palatino Linotype"/>
          <w:i/>
          <w:sz w:val="22"/>
          <w:szCs w:val="22"/>
        </w:rPr>
      </w:pPr>
      <w:r w:rsidRPr="000937DF">
        <w:rPr>
          <w:rFonts w:ascii="Palatino Linotype" w:eastAsia="Symbol" w:hAnsi="Palatino Linotype" w:cs="Symbol"/>
          <w:i/>
          <w:sz w:val="22"/>
          <w:szCs w:val="22"/>
        </w:rPr>
        <w:t>∙</w:t>
      </w:r>
      <w:r w:rsidRPr="000937DF">
        <w:rPr>
          <w:rFonts w:ascii="Palatino Linotype" w:eastAsia="Palatino Linotype" w:hAnsi="Palatino Linotype" w:cs="Palatino Linotype"/>
          <w:i/>
          <w:sz w:val="22"/>
          <w:szCs w:val="22"/>
        </w:rPr>
        <w:t xml:space="preserve"> </w:t>
      </w:r>
      <w:r w:rsidRPr="000937DF">
        <w:rPr>
          <w:rFonts w:ascii="Palatino Linotype" w:eastAsia="Palatino Linotype" w:hAnsi="Palatino Linotype" w:cs="Palatino Linotype"/>
          <w:b/>
          <w:i/>
          <w:sz w:val="22"/>
          <w:szCs w:val="22"/>
        </w:rPr>
        <w:t>Necesidad:</w:t>
      </w:r>
      <w:r w:rsidRPr="000937DF">
        <w:rPr>
          <w:rFonts w:ascii="Palatino Linotype" w:eastAsia="Palatino Linotype" w:hAnsi="Palatino Linotype" w:cs="Palatino Linotype"/>
          <w:i/>
          <w:sz w:val="22"/>
          <w:szCs w:val="22"/>
        </w:rPr>
        <w:t xml:space="preserve"> La falta de un medio alternativo menos lesivo a la apertura de la información, para satisfacer el interés público, y </w:t>
      </w:r>
    </w:p>
    <w:p w14:paraId="54A29DA0" w14:textId="77777777" w:rsidR="00111EE3" w:rsidRPr="000937DF" w:rsidRDefault="00111EE3" w:rsidP="00111EE3">
      <w:pPr>
        <w:spacing w:before="120" w:after="120" w:line="276" w:lineRule="auto"/>
        <w:ind w:left="851" w:right="474"/>
        <w:contextualSpacing/>
        <w:jc w:val="both"/>
        <w:rPr>
          <w:rFonts w:ascii="Palatino Linotype" w:eastAsia="Palatino Linotype" w:hAnsi="Palatino Linotype" w:cs="Palatino Linotype"/>
          <w:i/>
          <w:sz w:val="22"/>
          <w:szCs w:val="22"/>
        </w:rPr>
      </w:pPr>
      <w:r w:rsidRPr="000937DF">
        <w:rPr>
          <w:rFonts w:ascii="Palatino Linotype" w:eastAsia="Symbol" w:hAnsi="Palatino Linotype" w:cs="Symbol"/>
          <w:i/>
          <w:sz w:val="22"/>
          <w:szCs w:val="22"/>
        </w:rPr>
        <w:t>∙</w:t>
      </w:r>
      <w:r w:rsidRPr="000937DF">
        <w:rPr>
          <w:rFonts w:ascii="Palatino Linotype" w:eastAsia="Palatino Linotype" w:hAnsi="Palatino Linotype" w:cs="Palatino Linotype"/>
          <w:i/>
          <w:sz w:val="22"/>
          <w:szCs w:val="22"/>
        </w:rPr>
        <w:t xml:space="preserve"> </w:t>
      </w:r>
      <w:r w:rsidRPr="000937DF">
        <w:rPr>
          <w:rFonts w:ascii="Palatino Linotype" w:eastAsia="Palatino Linotype" w:hAnsi="Palatino Linotype" w:cs="Palatino Linotype"/>
          <w:b/>
          <w:i/>
          <w:sz w:val="22"/>
          <w:szCs w:val="22"/>
        </w:rPr>
        <w:t>Proporcionalidad:</w:t>
      </w:r>
      <w:r w:rsidRPr="000937DF">
        <w:rPr>
          <w:rFonts w:ascii="Palatino Linotype" w:eastAsia="Palatino Linotype" w:hAnsi="Palatino Linotype" w:cs="Palatino Linotype"/>
          <w:i/>
          <w:sz w:val="22"/>
          <w:szCs w:val="22"/>
        </w:rPr>
        <w:t xml:space="preserve"> El equilibrio entre perjuicio y beneficio a favor del interés público, a fin de que la decisión tomada represente un beneficio mayor al perjuicio que podría causar a la población.</w:t>
      </w:r>
    </w:p>
    <w:p w14:paraId="7D85EF05" w14:textId="77777777" w:rsidR="00111EE3" w:rsidRPr="000937DF" w:rsidRDefault="00111EE3" w:rsidP="00111EE3">
      <w:pPr>
        <w:spacing w:before="120" w:after="120" w:line="276" w:lineRule="auto"/>
        <w:ind w:left="425" w:right="476"/>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En el mismo sentido, resulta aplicable la tesis I.4o.A.70 K, emitida por Tribunales Colegiados de Circuito, publicada en el Semanario Judicial de la Federación y su Gaceta, Tomo XXIV, página 2346, de agosto de 2006, Novena Época, materia común: </w:t>
      </w:r>
    </w:p>
    <w:p w14:paraId="162F823D" w14:textId="77777777" w:rsidR="00111EE3" w:rsidRPr="000937DF" w:rsidRDefault="00111EE3" w:rsidP="00111EE3">
      <w:pPr>
        <w:spacing w:before="120" w:after="120" w:line="276" w:lineRule="auto"/>
        <w:ind w:left="425" w:right="476"/>
        <w:contextualSpacing/>
        <w:jc w:val="both"/>
        <w:rPr>
          <w:rFonts w:ascii="Palatino Linotype" w:eastAsia="Palatino Linotype" w:hAnsi="Palatino Linotype" w:cs="Palatino Linotype"/>
          <w:sz w:val="22"/>
          <w:szCs w:val="22"/>
        </w:rPr>
      </w:pPr>
    </w:p>
    <w:p w14:paraId="37A41588" w14:textId="77777777" w:rsidR="00111EE3" w:rsidRPr="000937DF" w:rsidRDefault="00111EE3" w:rsidP="00111EE3">
      <w:pPr>
        <w:spacing w:before="120" w:after="120" w:line="276" w:lineRule="auto"/>
        <w:ind w:left="1134" w:right="902"/>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b/>
          <w:i/>
          <w:sz w:val="22"/>
          <w:szCs w:val="22"/>
        </w:rPr>
        <w:t xml:space="preserve">“SUSPENSIÓN EN EL AMPARO. CONFORME A LA TEORÍA DE PONDERACIÓN DE PRINCIPIOS DEBE NEGARSE SI EL INTERÉS SOCIAL CONSTITUCIONALMENTE TUTELADO ES PREFERENTE AL DEL PARTICULAR. Cuando dos derechos fundamentales entran en colisión, se debe resolver el problema atendiendo a las características y naturaleza del caso concreto, conforme al criterio de proporcionalidad, ponderando los elementos o </w:t>
      </w:r>
      <w:proofErr w:type="spellStart"/>
      <w:r w:rsidRPr="000937DF">
        <w:rPr>
          <w:rFonts w:ascii="Palatino Linotype" w:eastAsia="Palatino Linotype" w:hAnsi="Palatino Linotype" w:cs="Palatino Linotype"/>
          <w:b/>
          <w:i/>
          <w:sz w:val="22"/>
          <w:szCs w:val="22"/>
        </w:rPr>
        <w:t>subprincipios</w:t>
      </w:r>
      <w:proofErr w:type="spellEnd"/>
      <w:r w:rsidRPr="000937DF">
        <w:rPr>
          <w:rFonts w:ascii="Palatino Linotype" w:eastAsia="Palatino Linotype" w:hAnsi="Palatino Linotype" w:cs="Palatino Linotype"/>
          <w:b/>
          <w:i/>
          <w:sz w:val="22"/>
          <w:szCs w:val="22"/>
        </w:rPr>
        <w:t xml:space="preserve"> siguientes: a) idoneidad</w:t>
      </w:r>
      <w:r w:rsidRPr="000937DF">
        <w:rPr>
          <w:rFonts w:ascii="Palatino Linotype" w:eastAsia="Palatino Linotype" w:hAnsi="Palatino Linotype" w:cs="Palatino Linotype"/>
          <w:i/>
          <w:sz w:val="22"/>
          <w:szCs w:val="22"/>
        </w:rPr>
        <w:t xml:space="preserve">, la cual es la legitimidad constitucional del principio adoptado como preferente, por resultar ser el adecuado para el logro de un fin constitucionalmente válido o apto para conseguir el objetivo pretendido; </w:t>
      </w:r>
      <w:r w:rsidRPr="000937DF">
        <w:rPr>
          <w:rFonts w:ascii="Palatino Linotype" w:eastAsia="Palatino Linotype" w:hAnsi="Palatino Linotype" w:cs="Palatino Linotype"/>
          <w:b/>
          <w:i/>
          <w:sz w:val="22"/>
          <w:szCs w:val="22"/>
        </w:rPr>
        <w:t>b) necesidad</w:t>
      </w:r>
      <w:r w:rsidRPr="000937DF">
        <w:rPr>
          <w:rFonts w:ascii="Palatino Linotype" w:eastAsia="Palatino Linotype" w:hAnsi="Palatino Linotype" w:cs="Palatino Linotype"/>
          <w:i/>
          <w:sz w:val="22"/>
          <w:szCs w:val="22"/>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w:t>
      </w:r>
      <w:r w:rsidRPr="000937DF">
        <w:rPr>
          <w:rFonts w:ascii="Palatino Linotype" w:eastAsia="Palatino Linotype" w:hAnsi="Palatino Linotype" w:cs="Palatino Linotype"/>
          <w:b/>
          <w:i/>
          <w:sz w:val="22"/>
          <w:szCs w:val="22"/>
        </w:rPr>
        <w:t xml:space="preserve">c) el mandato de proporcionalidad entre medios y fines implica que al elegir entre un perjuicio y un beneficio a favor de dos bienes tutelados, el principio satisfecho o que </w:t>
      </w:r>
      <w:r w:rsidRPr="000937DF">
        <w:rPr>
          <w:rFonts w:ascii="Palatino Linotype" w:eastAsia="Palatino Linotype" w:hAnsi="Palatino Linotype" w:cs="Palatino Linotype"/>
          <w:b/>
          <w:i/>
          <w:sz w:val="22"/>
          <w:szCs w:val="22"/>
        </w:rPr>
        <w:lastRenderedPageBreak/>
        <w:t>resulta privilegiado lo sea en mayor proporción que el sacrificado</w:t>
      </w:r>
      <w:r w:rsidRPr="000937DF">
        <w:rPr>
          <w:rFonts w:ascii="Palatino Linotype" w:eastAsia="Palatino Linotype" w:hAnsi="Palatino Linotype" w:cs="Palatino Linotype"/>
          <w:i/>
          <w:sz w:val="22"/>
          <w:szCs w:val="22"/>
        </w:rPr>
        <w:t>.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w:t>
      </w:r>
    </w:p>
    <w:p w14:paraId="2CDAE52A"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Como se aprecia de la tesis citada, cuando dos derechos fundamentales entran en colisión, el problema se debe resolver atendiendo a las características y naturaleza del caso concreto, conforme al criterio de proporcionalidad, ponderando los elementos o </w:t>
      </w:r>
      <w:proofErr w:type="spellStart"/>
      <w:r w:rsidRPr="000937DF">
        <w:rPr>
          <w:rFonts w:ascii="Palatino Linotype" w:eastAsia="Palatino Linotype" w:hAnsi="Palatino Linotype" w:cs="Palatino Linotype"/>
          <w:i/>
          <w:sz w:val="22"/>
          <w:szCs w:val="22"/>
        </w:rPr>
        <w:t>subprincipios</w:t>
      </w:r>
      <w:proofErr w:type="spellEnd"/>
      <w:r w:rsidRPr="000937DF">
        <w:rPr>
          <w:rFonts w:ascii="Palatino Linotype" w:eastAsia="Palatino Linotype" w:hAnsi="Palatino Linotype" w:cs="Palatino Linotype"/>
          <w:i/>
          <w:sz w:val="22"/>
          <w:szCs w:val="22"/>
        </w:rPr>
        <w:t xml:space="preserve"> de idoneidad, necesidad y proporcionalidad, antes descritos.</w:t>
      </w:r>
    </w:p>
    <w:p w14:paraId="64963F2B"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14:paraId="73023653" w14:textId="77777777" w:rsidR="00111EE3" w:rsidRPr="000937DF" w:rsidRDefault="00111EE3" w:rsidP="00111EE3">
      <w:pPr>
        <w:numPr>
          <w:ilvl w:val="0"/>
          <w:numId w:val="27"/>
        </w:numPr>
        <w:pBdr>
          <w:top w:val="nil"/>
          <w:left w:val="nil"/>
          <w:bottom w:val="nil"/>
          <w:right w:val="nil"/>
          <w:between w:val="nil"/>
        </w:pBdr>
        <w:spacing w:before="120" w:after="120" w:line="276" w:lineRule="auto"/>
        <w:ind w:left="1134" w:right="900" w:firstLine="0"/>
        <w:contextualSpacing/>
        <w:jc w:val="both"/>
        <w:rPr>
          <w:rFonts w:ascii="Palatino Linotype" w:eastAsia="Palatino Linotype" w:hAnsi="Palatino Linotype" w:cs="Palatino Linotype"/>
          <w:i/>
          <w:color w:val="000000"/>
          <w:sz w:val="22"/>
          <w:szCs w:val="22"/>
        </w:rPr>
      </w:pPr>
      <w:r w:rsidRPr="000937DF">
        <w:rPr>
          <w:rFonts w:ascii="Palatino Linotype" w:eastAsia="Palatino Linotype" w:hAnsi="Palatino Linotype" w:cs="Palatino Linotype"/>
          <w:b/>
          <w:i/>
          <w:color w:val="000000"/>
          <w:sz w:val="22"/>
          <w:szCs w:val="22"/>
          <w:u w:val="single"/>
        </w:rPr>
        <w:t>IDONEIDAD</w:t>
      </w:r>
      <w:r w:rsidRPr="000937DF">
        <w:rPr>
          <w:rFonts w:ascii="Palatino Linotype" w:eastAsia="Palatino Linotype" w:hAnsi="Palatino Linotype" w:cs="Palatino Linotype"/>
          <w:b/>
          <w:i/>
          <w:color w:val="000000"/>
          <w:sz w:val="22"/>
          <w:szCs w:val="22"/>
        </w:rPr>
        <w:t>.</w:t>
      </w:r>
      <w:r w:rsidRPr="000937DF">
        <w:rPr>
          <w:rFonts w:ascii="Palatino Linotype" w:eastAsia="Palatino Linotype" w:hAnsi="Palatino Linotype" w:cs="Palatino Linotype"/>
          <w:i/>
          <w:color w:val="000000"/>
          <w:sz w:val="22"/>
          <w:szCs w:val="22"/>
        </w:rPr>
        <w:t xml:space="preserve"> La legitimidad del derecho adoptado como preferente, que sea el adecuado para el logro de una finalidad constitucionalmente válida o apta para conseguir el fin pretendido. </w:t>
      </w:r>
    </w:p>
    <w:p w14:paraId="36EB08F6"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El artículo 6 constitucional, apartado A, fracción I estipula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71C3941D"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Conforme a dicho precepto, el Estado Mexicano está constreñido a publicitar sus actos, pues se reconoce el derecho fundamental de los ciudadanos a acceder </w:t>
      </w:r>
      <w:r w:rsidRPr="000937DF">
        <w:rPr>
          <w:rFonts w:ascii="Palatino Linotype" w:eastAsia="Palatino Linotype" w:hAnsi="Palatino Linotype" w:cs="Palatino Linotype"/>
          <w:i/>
          <w:sz w:val="22"/>
          <w:szCs w:val="22"/>
        </w:rPr>
        <w:lastRenderedPageBreak/>
        <w:t xml:space="preserve">a la información que obra en poder de la autoridad, que como lo ha expuesto el Pleno de la Suprema Corte de Justicia de la Nación en la tesis "ACCESO A LA INFORMACIÓN. SU NATURALEZA COMO GARANTÍAS INDIVIDUAL Y SOCIAL.", el cual contiene una doble dimensión: individual y social. </w:t>
      </w:r>
    </w:p>
    <w:p w14:paraId="77161910" w14:textId="77777777" w:rsidR="00111EE3" w:rsidRPr="000937DF" w:rsidRDefault="00111EE3" w:rsidP="00111EE3">
      <w:pPr>
        <w:spacing w:before="120" w:after="120" w:line="276" w:lineRule="auto"/>
        <w:ind w:left="1134" w:right="476"/>
        <w:contextualSpacing/>
        <w:jc w:val="both"/>
        <w:rPr>
          <w:rFonts w:ascii="Palatino Linotype" w:eastAsia="Palatino Linotype" w:hAnsi="Palatino Linotype" w:cs="Palatino Linotype"/>
          <w:i/>
          <w:sz w:val="22"/>
          <w:szCs w:val="22"/>
        </w:rPr>
      </w:pPr>
      <w:r w:rsidRPr="000937DF">
        <w:rPr>
          <w:rFonts w:ascii="Palatino Linotype" w:eastAsia="Symbol" w:hAnsi="Palatino Linotype" w:cs="Symbol"/>
          <w:i/>
          <w:sz w:val="22"/>
          <w:szCs w:val="22"/>
        </w:rPr>
        <w:t>∙</w:t>
      </w:r>
      <w:r w:rsidRPr="000937DF">
        <w:rPr>
          <w:rFonts w:ascii="Palatino Linotype" w:eastAsia="Palatino Linotype" w:hAnsi="Palatino Linotype" w:cs="Palatino Linotype"/>
          <w:i/>
          <w:sz w:val="22"/>
          <w:szCs w:val="22"/>
        </w:rPr>
        <w:t xml:space="preserve"> En aspecto individual, maximiza el campo de la autonomía personal, posibilita el ejercicio de la libertad de expresión en un contexto diversidad de datos, voces y opiniones. </w:t>
      </w:r>
    </w:p>
    <w:p w14:paraId="25CC76D2" w14:textId="77777777" w:rsidR="00111EE3" w:rsidRPr="000937DF" w:rsidRDefault="00111EE3" w:rsidP="00111EE3">
      <w:pPr>
        <w:spacing w:before="120" w:after="120" w:line="276" w:lineRule="auto"/>
        <w:ind w:left="1134" w:right="476"/>
        <w:contextualSpacing/>
        <w:jc w:val="both"/>
        <w:rPr>
          <w:rFonts w:ascii="Palatino Linotype" w:eastAsia="Palatino Linotype" w:hAnsi="Palatino Linotype" w:cs="Palatino Linotype"/>
          <w:i/>
          <w:sz w:val="22"/>
          <w:szCs w:val="22"/>
        </w:rPr>
      </w:pPr>
      <w:r w:rsidRPr="000937DF">
        <w:rPr>
          <w:rFonts w:ascii="Palatino Linotype" w:eastAsia="Symbol" w:hAnsi="Palatino Linotype" w:cs="Symbol"/>
          <w:i/>
          <w:sz w:val="22"/>
          <w:szCs w:val="22"/>
        </w:rPr>
        <w:t>∙</w:t>
      </w:r>
      <w:r w:rsidRPr="000937DF">
        <w:rPr>
          <w:rFonts w:ascii="Palatino Linotype" w:eastAsia="Palatino Linotype" w:hAnsi="Palatino Linotype" w:cs="Palatino Linotype"/>
          <w:i/>
          <w:sz w:val="22"/>
          <w:szCs w:val="22"/>
        </w:rPr>
        <w:t xml:space="preserve"> Mientras que, en el social, evidencia el valor instrumental de la información no sólo como factor de autorrealización personal, sino como un mecanismo de control institucional, pues se trata de un derecho fundado en la publicidad de los actos de gobierno y la transparencia en el actuar de la administración, conducente y necesaria para la rendición de cuentas. </w:t>
      </w:r>
    </w:p>
    <w:p w14:paraId="2FF72172"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Así, el derecho de acceso a la información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w:t>
      </w:r>
    </w:p>
    <w:p w14:paraId="36CACD02"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Al respecto, el interés de conocer los nombres de los servidores públicos que enfrentan acusaciones sobre estos casos evidencia el ejercicio del derecho de acceso a la información, en virtud de que se trata de un caso relacionado con presuntos hechos de corrupción cometidos con recursos públicos. </w:t>
      </w:r>
    </w:p>
    <w:p w14:paraId="1D27A137"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b/>
          <w:i/>
          <w:sz w:val="22"/>
          <w:szCs w:val="22"/>
        </w:rPr>
      </w:pPr>
      <w:r w:rsidRPr="000937DF">
        <w:rPr>
          <w:rFonts w:ascii="Palatino Linotype" w:eastAsia="Palatino Linotype" w:hAnsi="Palatino Linotype" w:cs="Palatino Linotype"/>
          <w:i/>
          <w:sz w:val="22"/>
          <w:szCs w:val="22"/>
        </w:rPr>
        <w:t xml:space="preserve">En ese orden, </w:t>
      </w:r>
      <w:r w:rsidRPr="000937DF">
        <w:rPr>
          <w:rFonts w:ascii="Palatino Linotype" w:eastAsia="Palatino Linotype" w:hAnsi="Palatino Linotype" w:cs="Palatino Linotype"/>
          <w:b/>
          <w:i/>
          <w:sz w:val="22"/>
          <w:szCs w:val="22"/>
        </w:rPr>
        <w:t>si los hechos investigados son en razón de conductas presuntamente ilegales, el ejercicio ilícito de servicio público, el uso ilícito de funciones, el cohecho, peculado y enriquecimiento ilícito, de personas que en el ejercicio de sus funciones públicas, causaron un detrimento en el erario</w:t>
      </w:r>
      <w:r w:rsidRPr="000937DF">
        <w:rPr>
          <w:rFonts w:ascii="Palatino Linotype" w:eastAsia="Palatino Linotype" w:hAnsi="Palatino Linotype" w:cs="Palatino Linotype"/>
          <w:i/>
          <w:sz w:val="22"/>
          <w:szCs w:val="22"/>
        </w:rPr>
        <w:t xml:space="preserve"> federal a través de los recursos públicos destinados al Servicio de Administración Tributaria que dejaron de ingresar con las que </w:t>
      </w:r>
      <w:r w:rsidRPr="000937DF">
        <w:rPr>
          <w:rFonts w:ascii="Palatino Linotype" w:eastAsia="Palatino Linotype" w:hAnsi="Palatino Linotype" w:cs="Palatino Linotype"/>
          <w:b/>
          <w:i/>
          <w:sz w:val="22"/>
          <w:szCs w:val="22"/>
        </w:rPr>
        <w:t>se presume obtuvieron un beneficio personal</w:t>
      </w:r>
      <w:r w:rsidRPr="000937DF">
        <w:rPr>
          <w:rFonts w:ascii="Palatino Linotype" w:eastAsia="Palatino Linotype" w:hAnsi="Palatino Linotype" w:cs="Palatino Linotype"/>
          <w:i/>
          <w:sz w:val="22"/>
          <w:szCs w:val="22"/>
        </w:rPr>
        <w:t xml:space="preserve">, luego entonces </w:t>
      </w:r>
      <w:r w:rsidRPr="000937DF">
        <w:rPr>
          <w:rFonts w:ascii="Palatino Linotype" w:eastAsia="Palatino Linotype" w:hAnsi="Palatino Linotype" w:cs="Palatino Linotype"/>
          <w:b/>
          <w:i/>
          <w:sz w:val="22"/>
          <w:szCs w:val="22"/>
        </w:rPr>
        <w:t xml:space="preserve">existe una preferencia social mayor que trasciende para dar a conocer, precisamente los nombres de los servidores que enfrentan acusaciones sobre este caso. </w:t>
      </w:r>
    </w:p>
    <w:p w14:paraId="14608C81"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lastRenderedPageBreak/>
        <w:t xml:space="preserve">Por lo tanto, en el caso, prevalece el derecho de acceso a la información sobre la protección de su intimidad, honor, imagen y presunción de inocencia, toda vez que es el medio idóneo para la rendición de cuentas sobre la efectiva investigación de hechos relacionados con el desempeño de las funciones de los servidores públicos y ex servidores públicos de en relación con los hechos investigados, lo que deja en segundo lugar la necesidad individual de proteger sus nombres. </w:t>
      </w:r>
    </w:p>
    <w:p w14:paraId="56FAFC51" w14:textId="77777777" w:rsidR="00111EE3" w:rsidRPr="000937DF" w:rsidRDefault="00111EE3" w:rsidP="00111EE3">
      <w:pPr>
        <w:numPr>
          <w:ilvl w:val="0"/>
          <w:numId w:val="27"/>
        </w:numPr>
        <w:pBdr>
          <w:top w:val="nil"/>
          <w:left w:val="nil"/>
          <w:bottom w:val="nil"/>
          <w:right w:val="nil"/>
          <w:between w:val="nil"/>
        </w:pBdr>
        <w:spacing w:before="120" w:after="120" w:line="276" w:lineRule="auto"/>
        <w:ind w:left="1134" w:right="900" w:firstLine="0"/>
        <w:contextualSpacing/>
        <w:jc w:val="both"/>
        <w:rPr>
          <w:rFonts w:ascii="Palatino Linotype" w:eastAsia="Palatino Linotype" w:hAnsi="Palatino Linotype" w:cs="Palatino Linotype"/>
          <w:i/>
          <w:color w:val="000000"/>
          <w:sz w:val="22"/>
          <w:szCs w:val="22"/>
        </w:rPr>
      </w:pPr>
      <w:r w:rsidRPr="000937DF">
        <w:rPr>
          <w:rFonts w:ascii="Palatino Linotype" w:eastAsia="Palatino Linotype" w:hAnsi="Palatino Linotype" w:cs="Palatino Linotype"/>
          <w:b/>
          <w:i/>
          <w:color w:val="000000"/>
          <w:sz w:val="22"/>
          <w:szCs w:val="22"/>
          <w:u w:val="single"/>
        </w:rPr>
        <w:t>NECESIDAD</w:t>
      </w:r>
      <w:r w:rsidRPr="000937DF">
        <w:rPr>
          <w:rFonts w:ascii="Palatino Linotype" w:eastAsia="Palatino Linotype" w:hAnsi="Palatino Linotype" w:cs="Palatino Linotype"/>
          <w:i/>
          <w:color w:val="000000"/>
          <w:sz w:val="22"/>
          <w:szCs w:val="22"/>
        </w:rPr>
        <w:t xml:space="preserve">. La falta de un medio alternativo menos lesivo a la apertura de la información, para satisfacer el interés público. </w:t>
      </w:r>
    </w:p>
    <w:p w14:paraId="75AE85E4"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A través del ejercicio del derecho a la información se cubre la necesidad de la colectividad de estar en posibilidad de evaluar el desempeño de las autoridades que la representan, en ese sentido, constituye la vía más eficaz para que toda la sociedad conozca la información relacionada con las conductas denunciadas por parte del Servicio de Administración Tributaria que forman parte de la investigación por parte de la Fiscalía General de la República.</w:t>
      </w:r>
    </w:p>
    <w:p w14:paraId="43536D32"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Esto es, </w:t>
      </w:r>
      <w:r w:rsidRPr="000937DF">
        <w:rPr>
          <w:rFonts w:ascii="Palatino Linotype" w:eastAsia="Palatino Linotype" w:hAnsi="Palatino Linotype" w:cs="Palatino Linotype"/>
          <w:b/>
          <w:i/>
          <w:sz w:val="22"/>
          <w:szCs w:val="22"/>
        </w:rPr>
        <w:t>la necesidad de la colectividad de estar en posibilidad de evaluar el desempeño de las autoridades que la representa, constituye la vía más eficaz para que toda la sociedad conozca la información relacionada con los nombres de los servidores públicos y ex servidores públicos que enfrentan acusaciones sobre los casos denunciados, puesto que probablemente incurrieron en diversos delitos de corrupción</w:t>
      </w:r>
      <w:r w:rsidRPr="000937DF">
        <w:rPr>
          <w:rFonts w:ascii="Palatino Linotype" w:eastAsia="Palatino Linotype" w:hAnsi="Palatino Linotype" w:cs="Palatino Linotype"/>
          <w:i/>
          <w:sz w:val="22"/>
          <w:szCs w:val="22"/>
        </w:rPr>
        <w:t xml:space="preserve">, tales como cohecho, peculado y enriquecimiento ilícito, catalogados como actos de corrupción en el Código Penal Federal, así como en la Convención Interamericana contra la Corrupción. </w:t>
      </w:r>
    </w:p>
    <w:p w14:paraId="7290EA42"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En este sentido, nuevamente el derecho de acceso a la información prevalece sobre la protección de la información solicitada, puesto que el sacrificio que implica la revelación de los nombres de los servidores públicos y ex servidores es el medio menos oneroso para que la sociedad conozca quiénes de los servidores públicos o ex servidores públicos, que supuestamente velan así por el manejo y la debida aplicación de fondos y recursos federales, probablemente están involucrados en el desvío de dichos recursos, lo cual, de ser el caso, indudablemente repercute en la economía del país, así como el nombre de cualquier otra persona involucrada en los hechos. </w:t>
      </w:r>
    </w:p>
    <w:p w14:paraId="3C77D0AD"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lastRenderedPageBreak/>
        <w:t>Es decir, si se negara el derecho de acceso a los datos peticionados, -en el caso concreto- se impediría que la sociedad tuviera los elementos informativos necesarios para el debido escrutinio del ejercicio de la actividad del sujeto obligado, en cuanto a sus facultades de investigación, en este caso, respecto de los delitos catalogados como actos de corrupción en el Código Penal Federal.</w:t>
      </w:r>
      <w:r w:rsidRPr="000937DF">
        <w:rPr>
          <w:rFonts w:ascii="Palatino Linotype" w:eastAsia="Palatino Linotype" w:hAnsi="Palatino Linotype" w:cs="Palatino Linotype"/>
          <w:b/>
          <w:i/>
          <w:sz w:val="22"/>
          <w:szCs w:val="22"/>
        </w:rPr>
        <w:t xml:space="preserve"> </w:t>
      </w:r>
    </w:p>
    <w:p w14:paraId="5B8D497F" w14:textId="77777777" w:rsidR="00111EE3" w:rsidRPr="000937DF" w:rsidRDefault="00111EE3" w:rsidP="00111EE3">
      <w:pPr>
        <w:numPr>
          <w:ilvl w:val="0"/>
          <w:numId w:val="27"/>
        </w:numPr>
        <w:pBdr>
          <w:top w:val="nil"/>
          <w:left w:val="nil"/>
          <w:bottom w:val="nil"/>
          <w:right w:val="nil"/>
          <w:between w:val="nil"/>
        </w:pBdr>
        <w:spacing w:before="120" w:after="120" w:line="276" w:lineRule="auto"/>
        <w:ind w:left="1134" w:right="900" w:firstLine="0"/>
        <w:contextualSpacing/>
        <w:jc w:val="both"/>
        <w:rPr>
          <w:rFonts w:ascii="Palatino Linotype" w:eastAsia="Palatino Linotype" w:hAnsi="Palatino Linotype" w:cs="Palatino Linotype"/>
          <w:i/>
          <w:color w:val="000000"/>
          <w:sz w:val="22"/>
          <w:szCs w:val="22"/>
        </w:rPr>
      </w:pPr>
      <w:r w:rsidRPr="000937DF">
        <w:rPr>
          <w:rFonts w:ascii="Palatino Linotype" w:eastAsia="Palatino Linotype" w:hAnsi="Palatino Linotype" w:cs="Palatino Linotype"/>
          <w:b/>
          <w:i/>
          <w:color w:val="000000"/>
          <w:sz w:val="22"/>
          <w:szCs w:val="22"/>
          <w:u w:val="single"/>
        </w:rPr>
        <w:t>PROPORCIONALIDAD</w:t>
      </w:r>
      <w:r w:rsidRPr="000937DF">
        <w:rPr>
          <w:rFonts w:ascii="Palatino Linotype" w:eastAsia="Palatino Linotype" w:hAnsi="Palatino Linotype" w:cs="Palatino Linotype"/>
          <w:i/>
          <w:color w:val="000000"/>
          <w:sz w:val="22"/>
          <w:szCs w:val="22"/>
          <w:u w:val="single"/>
        </w:rPr>
        <w:t>.</w:t>
      </w:r>
      <w:r w:rsidRPr="000937DF">
        <w:rPr>
          <w:rFonts w:ascii="Palatino Linotype" w:eastAsia="Palatino Linotype" w:hAnsi="Palatino Linotype" w:cs="Palatino Linotype"/>
          <w:i/>
          <w:color w:val="000000"/>
          <w:sz w:val="22"/>
          <w:szCs w:val="22"/>
        </w:rPr>
        <w:t xml:space="preserve"> El equilibrio entre perjuicio y beneficio a favor del interés público, a fin de que la decisión tomada represente un beneficio mayor al perjuicio que podría causar a la población. </w:t>
      </w:r>
    </w:p>
    <w:p w14:paraId="5649865F"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Conforme a lo expuesto, </w:t>
      </w:r>
      <w:r w:rsidRPr="000937DF">
        <w:rPr>
          <w:rFonts w:ascii="Palatino Linotype" w:eastAsia="Palatino Linotype" w:hAnsi="Palatino Linotype" w:cs="Palatino Linotype"/>
          <w:b/>
          <w:i/>
          <w:sz w:val="22"/>
          <w:szCs w:val="22"/>
        </w:rPr>
        <w:t>si bien se causa un perjuicio a la intimidad, honor, imagen y presunción de inocencia, de los servidores y ex servidores públicos que enfrentan acusaciones sobre diversos casos</w:t>
      </w:r>
      <w:r w:rsidRPr="000937DF">
        <w:rPr>
          <w:rFonts w:ascii="Palatino Linotype" w:eastAsia="Palatino Linotype" w:hAnsi="Palatino Linotype" w:cs="Palatino Linotype"/>
          <w:i/>
          <w:sz w:val="22"/>
          <w:szCs w:val="22"/>
        </w:rPr>
        <w:t xml:space="preserve">, lo cierto es que, </w:t>
      </w:r>
      <w:r w:rsidRPr="000937DF">
        <w:rPr>
          <w:rFonts w:ascii="Palatino Linotype" w:eastAsia="Palatino Linotype" w:hAnsi="Palatino Linotype" w:cs="Palatino Linotype"/>
          <w:b/>
          <w:i/>
          <w:sz w:val="22"/>
          <w:szCs w:val="22"/>
        </w:rPr>
        <w:t>divulgar sus nombres representa un beneficio mayor para la sociedad puesto que rinde cuentas sobre quiénes están probablemente implicados en conductas relacionadas con hechos de corrupción</w:t>
      </w:r>
      <w:r w:rsidRPr="000937DF">
        <w:rPr>
          <w:rFonts w:ascii="Palatino Linotype" w:eastAsia="Palatino Linotype" w:hAnsi="Palatino Linotype" w:cs="Palatino Linotype"/>
          <w:i/>
          <w:sz w:val="22"/>
          <w:szCs w:val="22"/>
        </w:rPr>
        <w:t xml:space="preserve">. </w:t>
      </w:r>
    </w:p>
    <w:p w14:paraId="5DB4C04E"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Sumado a lo anterior, debemos recordar que uno de los señalamientos de la Convención Interamericana contra la Corrupción, lo cual ha sido ratificado por México, es que la corrupción atenta contra la sociedad, el orden moral y la justicia. </w:t>
      </w:r>
    </w:p>
    <w:p w14:paraId="7A424959"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De manera que, si la Fiscalía General de la República </w:t>
      </w:r>
      <w:proofErr w:type="spellStart"/>
      <w:r w:rsidRPr="000937DF">
        <w:rPr>
          <w:rFonts w:ascii="Palatino Linotype" w:eastAsia="Palatino Linotype" w:hAnsi="Palatino Linotype" w:cs="Palatino Linotype"/>
          <w:i/>
          <w:sz w:val="22"/>
          <w:szCs w:val="22"/>
        </w:rPr>
        <w:t>aperturó</w:t>
      </w:r>
      <w:proofErr w:type="spellEnd"/>
      <w:r w:rsidRPr="000937DF">
        <w:rPr>
          <w:rFonts w:ascii="Palatino Linotype" w:eastAsia="Palatino Linotype" w:hAnsi="Palatino Linotype" w:cs="Palatino Linotype"/>
          <w:i/>
          <w:sz w:val="22"/>
          <w:szCs w:val="22"/>
        </w:rPr>
        <w:t xml:space="preserve"> diversas carpetas de investigación en contra de las personas que posiblemente cometieron actos de corrupción, el hecho de que dé a conocer sus nombres, independientemente de que se encuentre en la fase de investigación, significaría rendir cuentas del compromiso del Estado Mexicano en el combate a la corrupción ante la Comisión Interamericana de los Derechos Humanos, y frente a la sociedad nacional e internacional. </w:t>
      </w:r>
    </w:p>
    <w:p w14:paraId="5C04D371"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i/>
          <w:sz w:val="22"/>
          <w:szCs w:val="22"/>
        </w:rPr>
      </w:pPr>
      <w:r w:rsidRPr="000937DF">
        <w:rPr>
          <w:rFonts w:ascii="Palatino Linotype" w:eastAsia="Palatino Linotype" w:hAnsi="Palatino Linotype" w:cs="Palatino Linotype"/>
          <w:i/>
          <w:sz w:val="22"/>
          <w:szCs w:val="22"/>
        </w:rPr>
        <w:t xml:space="preserve">En este sentido, se robustece la necesidad de que impere el derecho de acceso a la información sobre los principios antes referidos, toda vez que es proporcional la satisfacción de la sociedad de conocer la información de interés, toda vez que, de ser el caso, la declaración de inocencia, en su momento, los liberará de los señalamientos a que haya lugar. </w:t>
      </w:r>
    </w:p>
    <w:p w14:paraId="4030767C" w14:textId="77777777" w:rsidR="00111EE3" w:rsidRPr="000937DF" w:rsidRDefault="00111EE3" w:rsidP="00111EE3">
      <w:pPr>
        <w:spacing w:before="120" w:after="120" w:line="276" w:lineRule="auto"/>
        <w:ind w:left="1134" w:right="900"/>
        <w:contextualSpacing/>
        <w:jc w:val="both"/>
        <w:rPr>
          <w:rFonts w:ascii="Palatino Linotype" w:eastAsia="Palatino Linotype" w:hAnsi="Palatino Linotype" w:cs="Palatino Linotype"/>
          <w:b/>
          <w:i/>
          <w:sz w:val="22"/>
          <w:szCs w:val="22"/>
        </w:rPr>
      </w:pPr>
      <w:r w:rsidRPr="000937DF">
        <w:rPr>
          <w:rFonts w:ascii="Palatino Linotype" w:eastAsia="Palatino Linotype" w:hAnsi="Palatino Linotype" w:cs="Palatino Linotype"/>
          <w:i/>
          <w:sz w:val="22"/>
          <w:szCs w:val="22"/>
        </w:rPr>
        <w:t xml:space="preserve">Por tanto, es posible concluir que, en la ponderación realizada, se cumple con los tres elementos para dotarle de preminencia al derecho de acceso a la </w:t>
      </w:r>
      <w:r w:rsidRPr="000937DF">
        <w:rPr>
          <w:rFonts w:ascii="Palatino Linotype" w:eastAsia="Palatino Linotype" w:hAnsi="Palatino Linotype" w:cs="Palatino Linotype"/>
          <w:i/>
          <w:sz w:val="22"/>
          <w:szCs w:val="22"/>
        </w:rPr>
        <w:lastRenderedPageBreak/>
        <w:t xml:space="preserve">información, a efecto de poder entregar la información relativa a los servidores o ex servidores denunciados pues con el análisis de interés público </w:t>
      </w:r>
      <w:r w:rsidRPr="000937DF">
        <w:rPr>
          <w:rFonts w:ascii="Palatino Linotype" w:eastAsia="Palatino Linotype" w:hAnsi="Palatino Linotype" w:cs="Palatino Linotype"/>
          <w:b/>
          <w:i/>
          <w:sz w:val="22"/>
          <w:szCs w:val="22"/>
        </w:rPr>
        <w:t>no es posible clasificarla en términos del artículo 113, fracción I de la Ley de la materia.”</w:t>
      </w:r>
    </w:p>
    <w:p w14:paraId="1E3E441F" w14:textId="77777777" w:rsidR="00111EE3" w:rsidRPr="000937DF" w:rsidRDefault="00111EE3" w:rsidP="00111EE3">
      <w:pPr>
        <w:spacing w:before="120" w:after="120" w:line="360" w:lineRule="auto"/>
        <w:ind w:left="1134" w:right="900"/>
        <w:contextualSpacing/>
        <w:jc w:val="both"/>
        <w:rPr>
          <w:rFonts w:ascii="Palatino Linotype" w:eastAsia="Palatino Linotype" w:hAnsi="Palatino Linotype" w:cs="Palatino Linotype"/>
          <w:sz w:val="22"/>
          <w:szCs w:val="22"/>
        </w:rPr>
      </w:pPr>
    </w:p>
    <w:p w14:paraId="55C82144" w14:textId="77777777" w:rsidR="00111EE3" w:rsidRPr="000937DF" w:rsidRDefault="00111EE3" w:rsidP="00111EE3">
      <w:pPr>
        <w:numPr>
          <w:ilvl w:val="0"/>
          <w:numId w:val="28"/>
        </w:numPr>
        <w:pBdr>
          <w:top w:val="nil"/>
          <w:left w:val="nil"/>
          <w:bottom w:val="nil"/>
          <w:right w:val="nil"/>
          <w:between w:val="nil"/>
        </w:pBdr>
        <w:spacing w:before="240" w:after="240" w:line="360" w:lineRule="auto"/>
        <w:ind w:right="51"/>
        <w:contextualSpacing/>
        <w:jc w:val="both"/>
        <w:rPr>
          <w:rFonts w:ascii="Palatino Linotype" w:eastAsia="Palatino Linotype" w:hAnsi="Palatino Linotype" w:cs="Palatino Linotype"/>
          <w:b/>
          <w:sz w:val="22"/>
          <w:szCs w:val="22"/>
        </w:rPr>
      </w:pPr>
      <w:r w:rsidRPr="000937DF">
        <w:rPr>
          <w:rFonts w:ascii="Palatino Linotype" w:eastAsia="Palatino Linotype" w:hAnsi="Palatino Linotype" w:cs="Palatino Linotype"/>
          <w:b/>
          <w:sz w:val="22"/>
          <w:szCs w:val="22"/>
        </w:rPr>
        <w:t>De los procedimientos sobre faltas administrativas concluidas.</w:t>
      </w:r>
    </w:p>
    <w:p w14:paraId="79B11CE5" w14:textId="77777777" w:rsidR="00111EE3" w:rsidRPr="000937DF" w:rsidRDefault="00111EE3" w:rsidP="00111EE3">
      <w:pPr>
        <w:pBdr>
          <w:top w:val="nil"/>
          <w:left w:val="nil"/>
          <w:bottom w:val="nil"/>
          <w:right w:val="nil"/>
          <w:between w:val="nil"/>
        </w:pBdr>
        <w:spacing w:before="240" w:after="240" w:line="360" w:lineRule="auto"/>
        <w:ind w:left="720" w:right="51"/>
        <w:contextualSpacing/>
        <w:jc w:val="both"/>
        <w:rPr>
          <w:rFonts w:ascii="Palatino Linotype" w:eastAsia="Palatino Linotype" w:hAnsi="Palatino Linotype" w:cs="Palatino Linotype"/>
          <w:b/>
          <w:sz w:val="22"/>
          <w:szCs w:val="22"/>
        </w:rPr>
      </w:pPr>
    </w:p>
    <w:p w14:paraId="1AAE6C50"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Ahora bien, para el caso de  que la información se encuentre relacionada con procedimientos por faltas administrativas concluidas, como se mencionó en líneas anteriores, solo pueden ser dadas a conocer las </w:t>
      </w:r>
      <w:r w:rsidRPr="000937DF">
        <w:rPr>
          <w:rFonts w:ascii="Palatino Linotype" w:eastAsia="Palatino Linotype" w:hAnsi="Palatino Linotype" w:cs="Palatino Linotype"/>
          <w:b/>
          <w:bCs/>
          <w:sz w:val="22"/>
          <w:szCs w:val="22"/>
        </w:rPr>
        <w:t>responsabilidades administrativas por faltas graves condenatorias</w:t>
      </w:r>
      <w:r w:rsidRPr="000937DF">
        <w:rPr>
          <w:rFonts w:ascii="Palatino Linotype" w:eastAsia="Palatino Linotype" w:hAnsi="Palatino Linotype" w:cs="Palatino Linotype"/>
          <w:sz w:val="22"/>
          <w:szCs w:val="22"/>
        </w:rPr>
        <w:t xml:space="preserve">, de conformidad con la Ley del Sistema Anticorrupción del Estado de México y Municipios que establece que </w:t>
      </w:r>
      <w:r w:rsidRPr="000937DF">
        <w:rPr>
          <w:rFonts w:ascii="Palatino Linotype" w:eastAsia="Palatino Linotype" w:hAnsi="Palatino Linotype" w:cs="Palatino Linotype"/>
          <w:b/>
          <w:sz w:val="22"/>
          <w:szCs w:val="22"/>
          <w:u w:val="single"/>
        </w:rPr>
        <w:t>las sanciones no graves no serán públicas</w:t>
      </w:r>
      <w:r w:rsidRPr="000937DF">
        <w:rPr>
          <w:rFonts w:ascii="Palatino Linotype" w:eastAsia="Palatino Linotype" w:hAnsi="Palatino Linotype" w:cs="Palatino Linotype"/>
          <w:sz w:val="22"/>
          <w:szCs w:val="22"/>
        </w:rPr>
        <w:t xml:space="preserve">, </w:t>
      </w:r>
      <w:r w:rsidRPr="000937DF">
        <w:rPr>
          <w:rFonts w:ascii="Palatino Linotype" w:eastAsia="Palatino Linotype" w:hAnsi="Palatino Linotype" w:cs="Palatino Linotype"/>
          <w:b/>
          <w:sz w:val="22"/>
          <w:szCs w:val="22"/>
          <w:u w:val="single"/>
        </w:rPr>
        <w:t>así como las graves absolutorias</w:t>
      </w:r>
      <w:r w:rsidRPr="000937DF">
        <w:rPr>
          <w:rFonts w:ascii="Palatino Linotype" w:eastAsia="Palatino Linotype" w:hAnsi="Palatino Linotype" w:cs="Palatino Linotype"/>
          <w:sz w:val="22"/>
          <w:szCs w:val="22"/>
        </w:rPr>
        <w:t xml:space="preserve">, en virtud de que dichas faltas, </w:t>
      </w:r>
      <w:r w:rsidRPr="000937DF">
        <w:rPr>
          <w:rFonts w:ascii="Palatino Linotype" w:eastAsia="Palatino Linotype" w:hAnsi="Palatino Linotype" w:cs="Palatino Linotype"/>
          <w:b/>
          <w:sz w:val="22"/>
          <w:szCs w:val="22"/>
        </w:rPr>
        <w:t xml:space="preserve">no tienen una trascendencia social, </w:t>
      </w:r>
      <w:r w:rsidRPr="000937DF">
        <w:rPr>
          <w:rFonts w:ascii="Palatino Linotype" w:eastAsia="Palatino Linotype" w:hAnsi="Palatino Linotype" w:cs="Palatino Linotype"/>
          <w:sz w:val="22"/>
          <w:szCs w:val="22"/>
        </w:rPr>
        <w:t>pues no existe un daño externo, sino que únicamente le atañe al servidor público en cuestión.</w:t>
      </w:r>
    </w:p>
    <w:p w14:paraId="307DFAED" w14:textId="77777777" w:rsidR="00111EE3" w:rsidRPr="000937DF" w:rsidRDefault="00111EE3" w:rsidP="00111EE3">
      <w:pPr>
        <w:spacing w:before="240" w:after="240" w:line="360" w:lineRule="auto"/>
        <w:contextualSpacing/>
        <w:jc w:val="both"/>
        <w:rPr>
          <w:rFonts w:ascii="Palatino Linotype" w:eastAsia="Palatino Linotype" w:hAnsi="Palatino Linotype" w:cs="Palatino Linotype"/>
          <w:sz w:val="22"/>
          <w:szCs w:val="22"/>
        </w:rPr>
      </w:pPr>
    </w:p>
    <w:p w14:paraId="6C1022F9"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En este entendido, es evidente que, en caso de existir procedimientos concluidos instaurados en contra de los servidores públicos de las dependencias del Sujeto Obligado, </w:t>
      </w:r>
      <w:r w:rsidRPr="000937DF">
        <w:rPr>
          <w:rFonts w:ascii="Palatino Linotype" w:eastAsia="Palatino Linotype" w:hAnsi="Palatino Linotype" w:cs="Palatino Linotype"/>
          <w:b/>
          <w:sz w:val="22"/>
          <w:szCs w:val="22"/>
        </w:rPr>
        <w:t>por faltas graves absolutorias</w:t>
      </w:r>
      <w:r w:rsidRPr="000937DF">
        <w:rPr>
          <w:rFonts w:ascii="Palatino Linotype" w:eastAsia="Palatino Linotype" w:hAnsi="Palatino Linotype" w:cs="Palatino Linotype"/>
          <w:sz w:val="22"/>
          <w:szCs w:val="22"/>
        </w:rPr>
        <w:t xml:space="preserve"> y</w:t>
      </w:r>
      <w:r w:rsidRPr="000937DF">
        <w:rPr>
          <w:rFonts w:ascii="Palatino Linotype" w:eastAsia="Palatino Linotype" w:hAnsi="Palatino Linotype" w:cs="Palatino Linotype"/>
          <w:b/>
          <w:sz w:val="22"/>
          <w:szCs w:val="22"/>
        </w:rPr>
        <w:t xml:space="preserve"> no graves condenatorias o absolutorias</w:t>
      </w:r>
      <w:r w:rsidRPr="000937DF">
        <w:rPr>
          <w:rFonts w:ascii="Palatino Linotype" w:eastAsia="Palatino Linotype" w:hAnsi="Palatino Linotype" w:cs="Palatino Linotype"/>
          <w:sz w:val="22"/>
          <w:szCs w:val="22"/>
        </w:rPr>
        <w:t xml:space="preserve">, dicha información tiene el carácter de confidencial, y por tanto debe clasificarse el nombre y cargo de los servidores públicos en términos del artículo 113, fracción I de la Ley de Transparencia y Acceso a la Información Pública del Estado de México y Municipios. </w:t>
      </w:r>
    </w:p>
    <w:p w14:paraId="421A923C" w14:textId="77777777" w:rsidR="00111EE3" w:rsidRPr="000937DF" w:rsidRDefault="00111EE3" w:rsidP="00111EE3">
      <w:pPr>
        <w:spacing w:before="240" w:after="240" w:line="360" w:lineRule="auto"/>
        <w:contextualSpacing/>
        <w:jc w:val="both"/>
        <w:rPr>
          <w:rFonts w:ascii="Palatino Linotype" w:eastAsia="Palatino Linotype" w:hAnsi="Palatino Linotype" w:cs="Palatino Linotype"/>
          <w:sz w:val="22"/>
          <w:szCs w:val="22"/>
        </w:rPr>
      </w:pPr>
    </w:p>
    <w:p w14:paraId="1068D14E"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No </w:t>
      </w:r>
      <w:r w:rsidRPr="000937DF">
        <w:rPr>
          <w:rFonts w:ascii="Palatino Linotype" w:eastAsiaTheme="minorEastAsia" w:hAnsi="Palatino Linotype" w:cs="Calibri"/>
          <w:color w:val="000000"/>
          <w:sz w:val="22"/>
          <w:szCs w:val="22"/>
          <w:lang w:val="es-ES_tradnl" w:eastAsia="es-ES"/>
        </w:rPr>
        <w:t>obstante</w:t>
      </w:r>
      <w:r w:rsidRPr="000937DF">
        <w:rPr>
          <w:rFonts w:ascii="Palatino Linotype" w:eastAsia="Palatino Linotype" w:hAnsi="Palatino Linotype" w:cs="Palatino Linotype"/>
          <w:sz w:val="22"/>
          <w:szCs w:val="22"/>
        </w:rPr>
        <w:t xml:space="preserve">, si los procedimientos concluidos se relacionan con faltas administrativas </w:t>
      </w:r>
      <w:r w:rsidRPr="000937DF">
        <w:rPr>
          <w:rFonts w:ascii="Palatino Linotype" w:eastAsia="Palatino Linotype" w:hAnsi="Palatino Linotype" w:cs="Palatino Linotype"/>
          <w:b/>
          <w:sz w:val="22"/>
          <w:szCs w:val="22"/>
        </w:rPr>
        <w:t>graves condenatorias</w:t>
      </w:r>
      <w:r w:rsidRPr="000937DF">
        <w:rPr>
          <w:rFonts w:ascii="Palatino Linotype" w:eastAsia="Palatino Linotype" w:hAnsi="Palatino Linotype" w:cs="Palatino Linotype"/>
          <w:sz w:val="22"/>
          <w:szCs w:val="22"/>
        </w:rPr>
        <w:t xml:space="preserve"> y estas han quedado firmes, es decir, que el procedimiento ya no acepta recurso o medio de defensa alguno, es procedente entregar el soporte documental a </w:t>
      </w:r>
      <w:r w:rsidRPr="000937DF">
        <w:rPr>
          <w:rFonts w:ascii="Palatino Linotype" w:eastAsia="Palatino Linotype" w:hAnsi="Palatino Linotype" w:cs="Palatino Linotype"/>
          <w:bCs/>
          <w:sz w:val="22"/>
          <w:szCs w:val="22"/>
        </w:rPr>
        <w:t>la parte</w:t>
      </w:r>
      <w:r w:rsidRPr="000937DF">
        <w:rPr>
          <w:rFonts w:ascii="Palatino Linotype" w:eastAsia="Palatino Linotype" w:hAnsi="Palatino Linotype" w:cs="Palatino Linotype"/>
          <w:b/>
          <w:sz w:val="22"/>
          <w:szCs w:val="22"/>
        </w:rPr>
        <w:t xml:space="preserve"> RECURRENTE</w:t>
      </w:r>
      <w:r w:rsidRPr="000937DF">
        <w:rPr>
          <w:rFonts w:ascii="Palatino Linotype" w:eastAsia="Palatino Linotype" w:hAnsi="Palatino Linotype" w:cs="Palatino Linotype"/>
          <w:sz w:val="22"/>
          <w:szCs w:val="22"/>
        </w:rPr>
        <w:t xml:space="preserve"> que dé cuenta del nombre y cargo de los servidores públicos cuyos procedimientos se encuentren </w:t>
      </w:r>
      <w:r w:rsidRPr="000937DF">
        <w:rPr>
          <w:rFonts w:ascii="Palatino Linotype" w:eastAsia="Palatino Linotype" w:hAnsi="Palatino Linotype" w:cs="Palatino Linotype"/>
          <w:sz w:val="22"/>
          <w:szCs w:val="22"/>
        </w:rPr>
        <w:lastRenderedPageBreak/>
        <w:t>concluidos y que hayan causado estado, por faltas administrativas graves condenatorias, así como de aquellos que se encuentren en trámite relacionados con actos de corrupción, de conformidad con el artículo 142 de la Ley de Transparencia Local, del primero de enero al veintinueve de mayo de dos mil veintitrés, en versión pública para el caso de que el mismo contenga datos personales susceptibles de protegerse, reiterando que en dicho supuesto, no se vulnera el derecho del servidor público referido, aun cuando este sea plenamente identificable.</w:t>
      </w:r>
    </w:p>
    <w:p w14:paraId="20325815" w14:textId="77777777" w:rsidR="00111EE3" w:rsidRPr="000937DF" w:rsidRDefault="00111EE3" w:rsidP="00111EE3">
      <w:pPr>
        <w:spacing w:before="240" w:after="240" w:line="360" w:lineRule="auto"/>
        <w:contextualSpacing/>
        <w:jc w:val="both"/>
        <w:rPr>
          <w:rFonts w:ascii="Palatino Linotype" w:eastAsia="Palatino Linotype" w:hAnsi="Palatino Linotype" w:cs="Palatino Linotype"/>
          <w:sz w:val="22"/>
          <w:szCs w:val="22"/>
        </w:rPr>
      </w:pPr>
    </w:p>
    <w:p w14:paraId="4669E0B1" w14:textId="77777777" w:rsidR="00111EE3" w:rsidRPr="000937DF" w:rsidRDefault="00111EE3" w:rsidP="00111EE3">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Theme="minorEastAsia" w:hAnsi="Palatino Linotype" w:cstheme="minorBidi"/>
          <w:sz w:val="22"/>
          <w:szCs w:val="22"/>
          <w:lang w:val="es-ES_tradnl" w:eastAsia="es-ES"/>
        </w:rPr>
        <w:t xml:space="preserve">Lo </w:t>
      </w:r>
      <w:r w:rsidRPr="000937DF">
        <w:rPr>
          <w:rFonts w:ascii="Palatino Linotype" w:eastAsiaTheme="minorEastAsia" w:hAnsi="Palatino Linotype" w:cs="Calibri"/>
          <w:color w:val="000000"/>
          <w:sz w:val="22"/>
          <w:szCs w:val="22"/>
          <w:lang w:val="es-ES_tradnl" w:eastAsia="es-ES"/>
        </w:rPr>
        <w:t>anterior</w:t>
      </w:r>
      <w:r w:rsidRPr="000937DF">
        <w:rPr>
          <w:rFonts w:ascii="Palatino Linotype" w:eastAsiaTheme="minorEastAsia" w:hAnsi="Palatino Linotype" w:cstheme="minorBidi"/>
          <w:sz w:val="22"/>
          <w:szCs w:val="22"/>
          <w:lang w:val="es-ES_tradnl" w:eastAsia="es-ES"/>
        </w:rPr>
        <w:t>, ya que como se precisó en párrafos anteriores, proporcionar la información de</w:t>
      </w:r>
      <w:r w:rsidRPr="000937DF">
        <w:rPr>
          <w:rFonts w:ascii="Palatino Linotype" w:eastAsia="Palatino Linotype" w:hAnsi="Palatino Linotype" w:cs="Palatino Linotype"/>
          <w:sz w:val="22"/>
          <w:szCs w:val="22"/>
        </w:rPr>
        <w:t xml:space="preserve"> referencia, garantizaría la rendición de cuentas por parte del </w:t>
      </w:r>
      <w:r w:rsidRPr="000937DF">
        <w:rPr>
          <w:rFonts w:ascii="Palatino Linotype" w:eastAsia="Palatino Linotype" w:hAnsi="Palatino Linotype" w:cs="Palatino Linotype"/>
          <w:b/>
          <w:sz w:val="22"/>
          <w:szCs w:val="22"/>
        </w:rPr>
        <w:t>SUJETO OBLIGADO</w:t>
      </w:r>
      <w:r w:rsidRPr="000937DF">
        <w:rPr>
          <w:rFonts w:ascii="Palatino Linotype" w:eastAsia="Palatino Linotype" w:hAnsi="Palatino Linotype" w:cs="Palatino Linotype"/>
          <w:sz w:val="22"/>
          <w:szCs w:val="22"/>
        </w:rPr>
        <w:t>, relativo a su actuación, teniendo como consecuencia que los ciudadanos tengan confianza en sus autoridades, al poder conocer información derivada de los procedimientos administrativos que hayan concluido con resolución en donde se determine que un servidor público tuvo responsabilidades graves, relacionadas al ejercicio de las funciones. Además que, con dicha información, se estaría revelando que el desempeño del servidor público, en caso de haber sido sancionado, no fue conforme a derecho.</w:t>
      </w:r>
    </w:p>
    <w:p w14:paraId="66DDAF94" w14:textId="77777777" w:rsidR="00EA1342" w:rsidRPr="000937DF" w:rsidRDefault="00EA1342" w:rsidP="00EA1342">
      <w:pPr>
        <w:pStyle w:val="Prrafodelista"/>
        <w:rPr>
          <w:rFonts w:ascii="Palatino Linotype" w:eastAsia="Palatino Linotype" w:hAnsi="Palatino Linotype" w:cs="Palatino Linotype"/>
        </w:rPr>
      </w:pPr>
    </w:p>
    <w:p w14:paraId="61A5B354" w14:textId="77777777" w:rsidR="00EA1342" w:rsidRPr="000937DF" w:rsidRDefault="00EA1342" w:rsidP="00EA1342">
      <w:pPr>
        <w:pBdr>
          <w:top w:val="nil"/>
          <w:left w:val="nil"/>
          <w:bottom w:val="nil"/>
          <w:right w:val="nil"/>
          <w:between w:val="nil"/>
        </w:pBdr>
        <w:spacing w:line="360" w:lineRule="auto"/>
        <w:ind w:right="-787"/>
        <w:jc w:val="both"/>
        <w:rPr>
          <w:rFonts w:ascii="Palatino Linotype" w:eastAsia="Palatino Linotype" w:hAnsi="Palatino Linotype" w:cs="Palatino Linotype"/>
          <w:sz w:val="22"/>
          <w:szCs w:val="22"/>
        </w:rPr>
      </w:pPr>
    </w:p>
    <w:p w14:paraId="2CDD934E" w14:textId="77777777" w:rsidR="00DC1027" w:rsidRPr="000937DF" w:rsidRDefault="00DC1027" w:rsidP="00EA1342">
      <w:pPr>
        <w:pStyle w:val="Prrafodelista"/>
        <w:numPr>
          <w:ilvl w:val="0"/>
          <w:numId w:val="22"/>
        </w:numPr>
        <w:spacing w:line="360" w:lineRule="auto"/>
        <w:ind w:left="426"/>
        <w:jc w:val="both"/>
        <w:rPr>
          <w:rFonts w:ascii="Palatino Linotype" w:eastAsiaTheme="minorEastAsia" w:hAnsi="Palatino Linotype" w:cs="Calibri"/>
          <w:b/>
          <w:color w:val="000000"/>
          <w:lang w:val="es-ES_tradnl" w:eastAsia="es-ES"/>
        </w:rPr>
      </w:pPr>
      <w:r w:rsidRPr="000937DF">
        <w:rPr>
          <w:rFonts w:ascii="Palatino Linotype" w:eastAsiaTheme="minorEastAsia" w:hAnsi="Palatino Linotype" w:cs="Calibri"/>
          <w:b/>
          <w:color w:val="000000"/>
          <w:lang w:val="es-ES_tradnl" w:eastAsia="es-ES"/>
        </w:rPr>
        <w:t>De las Denuncias</w:t>
      </w:r>
    </w:p>
    <w:p w14:paraId="4B68DF7E" w14:textId="77777777" w:rsidR="00A50A13" w:rsidRPr="000937DF" w:rsidRDefault="00A50A13" w:rsidP="00111EE3">
      <w:pPr>
        <w:pBdr>
          <w:top w:val="nil"/>
          <w:left w:val="nil"/>
          <w:bottom w:val="nil"/>
          <w:right w:val="nil"/>
          <w:between w:val="nil"/>
        </w:pBdr>
        <w:spacing w:line="360" w:lineRule="auto"/>
        <w:ind w:right="-787"/>
        <w:jc w:val="both"/>
        <w:rPr>
          <w:rFonts w:ascii="Palatino Linotype" w:eastAsiaTheme="minorEastAsia" w:hAnsi="Palatino Linotype" w:cs="Calibri"/>
          <w:b/>
          <w:color w:val="000000"/>
          <w:sz w:val="22"/>
          <w:szCs w:val="22"/>
          <w:lang w:val="es-ES_tradnl" w:eastAsia="es-ES"/>
        </w:rPr>
      </w:pPr>
    </w:p>
    <w:p w14:paraId="1152BB8B" w14:textId="77777777" w:rsidR="00DC1027" w:rsidRPr="000937DF" w:rsidRDefault="00DC1027" w:rsidP="00796AA9">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Calibri"/>
          <w:b/>
          <w:color w:val="000000"/>
          <w:sz w:val="22"/>
          <w:szCs w:val="22"/>
          <w:lang w:val="es-ES_tradnl" w:eastAsia="es-ES"/>
        </w:rPr>
      </w:pPr>
      <w:r w:rsidRPr="000937DF">
        <w:rPr>
          <w:rFonts w:ascii="Palatino Linotype" w:eastAsiaTheme="minorEastAsia" w:hAnsi="Palatino Linotype" w:cs="Calibri"/>
          <w:color w:val="000000"/>
          <w:sz w:val="22"/>
          <w:szCs w:val="22"/>
          <w:lang w:val="es-ES_tradnl" w:eastAsia="es-ES"/>
        </w:rPr>
        <w:t xml:space="preserve">Ahora bien, como en la solicitud de información el </w:t>
      </w:r>
      <w:r w:rsidRPr="000937DF">
        <w:rPr>
          <w:rFonts w:ascii="Palatino Linotype" w:eastAsiaTheme="minorEastAsia" w:hAnsi="Palatino Linotype" w:cs="Calibri"/>
          <w:b/>
          <w:color w:val="000000"/>
          <w:sz w:val="22"/>
          <w:szCs w:val="22"/>
          <w:lang w:val="es-ES_tradnl" w:eastAsia="es-ES"/>
        </w:rPr>
        <w:t xml:space="preserve">RECURRENTE </w:t>
      </w:r>
      <w:r w:rsidRPr="000937DF">
        <w:rPr>
          <w:rFonts w:ascii="Palatino Linotype" w:eastAsiaTheme="minorEastAsia" w:hAnsi="Palatino Linotype" w:cs="Calibri"/>
          <w:color w:val="000000"/>
          <w:sz w:val="22"/>
          <w:szCs w:val="22"/>
          <w:lang w:val="es-ES_tradnl" w:eastAsia="es-ES"/>
        </w:rPr>
        <w:t xml:space="preserve">quiere conocer si la persona referida en la solicitud de información de ser el caso que fuera servidor público del </w:t>
      </w:r>
      <w:r w:rsidRPr="000937DF">
        <w:rPr>
          <w:rFonts w:ascii="Palatino Linotype" w:eastAsiaTheme="minorEastAsia" w:hAnsi="Palatino Linotype" w:cs="Calibri"/>
          <w:b/>
          <w:color w:val="000000"/>
          <w:sz w:val="22"/>
          <w:szCs w:val="22"/>
          <w:lang w:val="es-ES_tradnl" w:eastAsia="es-ES"/>
        </w:rPr>
        <w:t xml:space="preserve">SUJETO OBLIGADO </w:t>
      </w:r>
      <w:r w:rsidRPr="000937DF">
        <w:rPr>
          <w:rFonts w:ascii="Palatino Linotype" w:eastAsiaTheme="minorEastAsia" w:hAnsi="Palatino Linotype" w:cs="Calibri"/>
          <w:color w:val="000000"/>
          <w:sz w:val="22"/>
          <w:szCs w:val="22"/>
          <w:lang w:val="es-ES_tradnl" w:eastAsia="es-ES"/>
        </w:rPr>
        <w:t xml:space="preserve">hubiera tenido denuncias, se analiza lo siguiente. </w:t>
      </w:r>
    </w:p>
    <w:p w14:paraId="2F206EE7" w14:textId="77777777" w:rsidR="00ED5771" w:rsidRPr="000937DF" w:rsidRDefault="00ED5771" w:rsidP="00ED5771">
      <w:pPr>
        <w:pBdr>
          <w:top w:val="nil"/>
          <w:left w:val="nil"/>
          <w:bottom w:val="nil"/>
          <w:right w:val="nil"/>
          <w:between w:val="nil"/>
        </w:pBdr>
        <w:spacing w:line="360" w:lineRule="auto"/>
        <w:ind w:right="-787"/>
        <w:jc w:val="both"/>
        <w:rPr>
          <w:rFonts w:ascii="Palatino Linotype" w:eastAsiaTheme="minorEastAsia" w:hAnsi="Palatino Linotype" w:cs="Calibri"/>
          <w:b/>
          <w:color w:val="000000"/>
          <w:sz w:val="22"/>
          <w:szCs w:val="22"/>
          <w:lang w:val="es-ES_tradnl" w:eastAsia="es-ES"/>
        </w:rPr>
      </w:pPr>
    </w:p>
    <w:p w14:paraId="2DF18403" w14:textId="08181BAC" w:rsidR="00DC2A97" w:rsidRPr="000937DF" w:rsidRDefault="00ED5771" w:rsidP="00796AA9">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Calibri"/>
          <w:b/>
          <w:color w:val="000000"/>
          <w:sz w:val="22"/>
          <w:szCs w:val="22"/>
          <w:lang w:val="es-ES_tradnl" w:eastAsia="es-ES"/>
        </w:rPr>
      </w:pPr>
      <w:r w:rsidRPr="000937DF">
        <w:rPr>
          <w:rFonts w:ascii="Palatino Linotype" w:eastAsiaTheme="minorEastAsia" w:hAnsi="Palatino Linotype" w:cs="Calibri"/>
          <w:color w:val="000000"/>
          <w:sz w:val="22"/>
          <w:szCs w:val="22"/>
          <w:lang w:val="es-ES_tradnl" w:eastAsia="es-ES"/>
        </w:rPr>
        <w:t>D</w:t>
      </w:r>
      <w:r w:rsidR="00DC2A97" w:rsidRPr="000937DF">
        <w:rPr>
          <w:rFonts w:ascii="Palatino Linotype" w:eastAsiaTheme="minorEastAsia" w:hAnsi="Palatino Linotype" w:cs="Calibri"/>
          <w:color w:val="000000"/>
          <w:sz w:val="22"/>
          <w:szCs w:val="22"/>
          <w:lang w:val="es-ES_tradnl" w:eastAsia="es-ES"/>
        </w:rPr>
        <w:t xml:space="preserve">e acuerdo con la Real Academia Española, la palabra denuncia deviene de </w:t>
      </w:r>
      <w:r w:rsidR="00DC2A97" w:rsidRPr="000937DF">
        <w:rPr>
          <w:rFonts w:ascii="Palatino Linotype" w:eastAsiaTheme="minorEastAsia" w:hAnsi="Palatino Linotype" w:cs="Calibri"/>
          <w:color w:val="000000"/>
          <w:sz w:val="22"/>
          <w:szCs w:val="22"/>
          <w:lang w:eastAsia="es-ES"/>
        </w:rPr>
        <w:t xml:space="preserve">la acción de </w:t>
      </w:r>
      <w:r w:rsidR="00DC2A97" w:rsidRPr="000937DF">
        <w:rPr>
          <w:rFonts w:ascii="Palatino Linotype" w:eastAsiaTheme="minorEastAsia" w:hAnsi="Palatino Linotype" w:cs="Calibri"/>
          <w:color w:val="000000"/>
          <w:sz w:val="22"/>
          <w:szCs w:val="22"/>
          <w:lang w:val="es-ES_tradnl" w:eastAsia="es-ES"/>
        </w:rPr>
        <w:t>notificar</w:t>
      </w:r>
      <w:r w:rsidR="00DC2A97" w:rsidRPr="000937DF">
        <w:rPr>
          <w:rFonts w:ascii="Palatino Linotype" w:eastAsiaTheme="minorEastAsia" w:hAnsi="Palatino Linotype" w:cs="Calibri"/>
          <w:b/>
          <w:color w:val="000000"/>
          <w:sz w:val="22"/>
          <w:szCs w:val="22"/>
          <w:lang w:eastAsia="es-ES"/>
        </w:rPr>
        <w:t xml:space="preserve"> a las autoridades</w:t>
      </w:r>
      <w:r w:rsidR="00DC2A97" w:rsidRPr="000937DF">
        <w:rPr>
          <w:rFonts w:ascii="Palatino Linotype" w:eastAsiaTheme="minorEastAsia" w:hAnsi="Palatino Linotype" w:cs="Calibri"/>
          <w:color w:val="000000"/>
          <w:sz w:val="22"/>
          <w:szCs w:val="22"/>
          <w:lang w:eastAsia="es-ES"/>
        </w:rPr>
        <w:t xml:space="preserve"> competentes un hecho </w:t>
      </w:r>
      <w:r w:rsidR="00DC2A97" w:rsidRPr="000937DF">
        <w:rPr>
          <w:rFonts w:ascii="Palatino Linotype" w:eastAsiaTheme="minorEastAsia" w:hAnsi="Palatino Linotype" w:cs="Calibri"/>
          <w:b/>
          <w:color w:val="000000"/>
          <w:sz w:val="22"/>
          <w:szCs w:val="22"/>
          <w:lang w:eastAsia="es-ES"/>
        </w:rPr>
        <w:t xml:space="preserve">delictivo </w:t>
      </w:r>
      <w:r w:rsidR="00DC2A97" w:rsidRPr="000937DF">
        <w:rPr>
          <w:rFonts w:ascii="Palatino Linotype" w:eastAsiaTheme="minorEastAsia" w:hAnsi="Palatino Linotype" w:cs="Calibri"/>
          <w:color w:val="000000"/>
          <w:sz w:val="22"/>
          <w:szCs w:val="22"/>
          <w:lang w:eastAsia="es-ES"/>
        </w:rPr>
        <w:t xml:space="preserve">o </w:t>
      </w:r>
      <w:r w:rsidR="00DC2A97" w:rsidRPr="000937DF">
        <w:rPr>
          <w:rFonts w:ascii="Palatino Linotype" w:eastAsiaTheme="minorEastAsia" w:hAnsi="Palatino Linotype" w:cs="Calibri"/>
          <w:b/>
          <w:color w:val="000000"/>
          <w:sz w:val="22"/>
          <w:szCs w:val="22"/>
          <w:lang w:eastAsia="es-ES"/>
        </w:rPr>
        <w:t xml:space="preserve">irregular para que se investigue y se </w:t>
      </w:r>
      <w:r w:rsidR="00DC2A97" w:rsidRPr="000937DF">
        <w:rPr>
          <w:rFonts w:ascii="Palatino Linotype" w:eastAsiaTheme="minorEastAsia" w:hAnsi="Palatino Linotype" w:cs="Calibri"/>
          <w:b/>
          <w:color w:val="000000"/>
          <w:sz w:val="22"/>
          <w:szCs w:val="22"/>
          <w:lang w:eastAsia="es-ES"/>
        </w:rPr>
        <w:lastRenderedPageBreak/>
        <w:t xml:space="preserve">tomen las medidas correspondientes, </w:t>
      </w:r>
      <w:r w:rsidR="00DC2A97" w:rsidRPr="000937DF">
        <w:rPr>
          <w:rFonts w:ascii="Palatino Linotype" w:eastAsiaTheme="minorEastAsia" w:hAnsi="Palatino Linotype" w:cs="Calibri"/>
          <w:color w:val="000000"/>
          <w:sz w:val="22"/>
          <w:szCs w:val="22"/>
          <w:lang w:eastAsia="es-ES"/>
        </w:rPr>
        <w:t xml:space="preserve">siendo estos hechos delictivos de ubicación dentro de la rama del derecho público en el derecho penal. </w:t>
      </w:r>
    </w:p>
    <w:p w14:paraId="256229A1" w14:textId="77777777" w:rsidR="00DC1027" w:rsidRPr="000937DF" w:rsidRDefault="00DC1027" w:rsidP="00EA1342">
      <w:pPr>
        <w:spacing w:line="360" w:lineRule="auto"/>
        <w:jc w:val="both"/>
        <w:rPr>
          <w:rFonts w:ascii="Palatino Linotype" w:eastAsiaTheme="minorEastAsia" w:hAnsi="Palatino Linotype" w:cs="Calibri"/>
          <w:b/>
          <w:color w:val="000000"/>
          <w:sz w:val="22"/>
          <w:szCs w:val="22"/>
          <w:lang w:val="es-ES_tradnl" w:eastAsia="es-ES"/>
        </w:rPr>
      </w:pPr>
    </w:p>
    <w:p w14:paraId="41E3C45A"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Theme="minorEastAsia" w:hAnsi="Palatino Linotype" w:cs="Calibri"/>
          <w:b/>
          <w:color w:val="000000"/>
          <w:sz w:val="22"/>
          <w:szCs w:val="22"/>
          <w:lang w:val="es-ES_tradnl" w:eastAsia="es-ES"/>
        </w:rPr>
      </w:pPr>
      <w:r w:rsidRPr="000937DF">
        <w:rPr>
          <w:rFonts w:ascii="Palatino Linotype" w:eastAsiaTheme="minorEastAsia" w:hAnsi="Palatino Linotype" w:cs="Calibri"/>
          <w:color w:val="000000"/>
          <w:sz w:val="22"/>
          <w:szCs w:val="22"/>
          <w:lang w:eastAsia="es-ES"/>
        </w:rPr>
        <w:t xml:space="preserve">De lo anterior, se debe de mencionar que de manera enunciativa más no limitativa la </w:t>
      </w:r>
      <w:r w:rsidRPr="000937DF">
        <w:rPr>
          <w:rFonts w:ascii="Palatino Linotype" w:eastAsiaTheme="minorEastAsia" w:hAnsi="Palatino Linotype" w:cs="Calibri"/>
          <w:b/>
          <w:color w:val="000000"/>
          <w:sz w:val="22"/>
          <w:szCs w:val="22"/>
          <w:lang w:eastAsia="es-ES"/>
        </w:rPr>
        <w:t>interposición de una denuncia</w:t>
      </w:r>
      <w:r w:rsidRPr="000937DF">
        <w:rPr>
          <w:rFonts w:ascii="Palatino Linotype" w:eastAsiaTheme="minorEastAsia" w:hAnsi="Palatino Linotype" w:cs="Calibri"/>
          <w:color w:val="000000"/>
          <w:sz w:val="22"/>
          <w:szCs w:val="22"/>
          <w:lang w:eastAsia="es-ES"/>
        </w:rPr>
        <w:t xml:space="preserve"> en contra de </w:t>
      </w:r>
      <w:r w:rsidRPr="000937DF">
        <w:rPr>
          <w:rFonts w:ascii="Palatino Linotype" w:eastAsiaTheme="minorEastAsia" w:hAnsi="Palatino Linotype" w:cs="Calibri"/>
          <w:b/>
          <w:color w:val="000000"/>
          <w:sz w:val="22"/>
          <w:szCs w:val="22"/>
          <w:lang w:eastAsia="es-ES"/>
        </w:rPr>
        <w:t>servidores públicos</w:t>
      </w:r>
      <w:r w:rsidRPr="000937DF">
        <w:rPr>
          <w:rFonts w:ascii="Palatino Linotype" w:eastAsiaTheme="minorEastAsia" w:hAnsi="Palatino Linotype" w:cs="Calibri"/>
          <w:color w:val="000000"/>
          <w:sz w:val="22"/>
          <w:szCs w:val="22"/>
          <w:lang w:eastAsia="es-ES"/>
        </w:rPr>
        <w:t xml:space="preserve">, puede </w:t>
      </w:r>
      <w:r w:rsidRPr="000937DF">
        <w:rPr>
          <w:rFonts w:ascii="Palatino Linotype" w:eastAsiaTheme="minorEastAsia" w:hAnsi="Palatino Linotype" w:cs="Calibri"/>
          <w:b/>
          <w:color w:val="000000"/>
          <w:sz w:val="22"/>
          <w:szCs w:val="22"/>
          <w:lang w:eastAsia="es-ES"/>
        </w:rPr>
        <w:t xml:space="preserve">derivar de un mal uso del poder o cargo público conferido, lo cual se relaciona con la comisión u omisión a infracciones o faltas administrativas consideradas graves. </w:t>
      </w:r>
    </w:p>
    <w:p w14:paraId="59F099BE" w14:textId="77777777" w:rsidR="00DC2A97" w:rsidRPr="000937DF" w:rsidRDefault="00DC2A97" w:rsidP="00DC2A97">
      <w:pPr>
        <w:pStyle w:val="Prrafodelista"/>
        <w:rPr>
          <w:rFonts w:ascii="Palatino Linotype" w:eastAsiaTheme="minorEastAsia" w:hAnsi="Palatino Linotype" w:cs="Calibri"/>
          <w:b/>
          <w:color w:val="000000"/>
          <w:lang w:val="es-ES_tradnl" w:eastAsia="es-ES"/>
        </w:rPr>
      </w:pPr>
    </w:p>
    <w:p w14:paraId="3C899170"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049D4F75"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Al respecto, el artículo 211 del Código Nacional de Procedimientos Penales establece que el procedimiento penal ordinario comprenderá las siguientes fases:</w:t>
      </w:r>
    </w:p>
    <w:p w14:paraId="21FDDFD9" w14:textId="77777777" w:rsidR="00DC2A97" w:rsidRPr="000937DF" w:rsidRDefault="00DC2A97" w:rsidP="00EA1342">
      <w:pPr>
        <w:pStyle w:val="Prrafodelista"/>
        <w:tabs>
          <w:tab w:val="left" w:pos="1134"/>
        </w:tabs>
        <w:spacing w:before="240" w:after="240"/>
        <w:ind w:left="1134" w:right="900"/>
        <w:jc w:val="both"/>
        <w:rPr>
          <w:rFonts w:ascii="Palatino Linotype" w:hAnsi="Palatino Linotype" w:cs="Tahoma"/>
          <w:bCs/>
          <w:i/>
        </w:rPr>
      </w:pPr>
      <w:r w:rsidRPr="000937DF">
        <w:rPr>
          <w:rFonts w:ascii="Palatino Linotype" w:hAnsi="Palatino Linotype" w:cs="Tahoma"/>
          <w:bCs/>
          <w:i/>
        </w:rPr>
        <w:t>“</w:t>
      </w:r>
      <w:r w:rsidRPr="000937DF">
        <w:rPr>
          <w:rFonts w:ascii="Palatino Linotype" w:hAnsi="Palatino Linotype" w:cs="Tahoma"/>
          <w:b/>
          <w:i/>
        </w:rPr>
        <w:t>I.</w:t>
      </w:r>
      <w:r w:rsidRPr="000937DF">
        <w:rPr>
          <w:rFonts w:ascii="Palatino Linotype" w:hAnsi="Palatino Linotype" w:cs="Tahoma"/>
          <w:bCs/>
          <w:i/>
        </w:rPr>
        <w:t xml:space="preserve"> La de investigación, que comprende las siguientes fases: </w:t>
      </w:r>
    </w:p>
    <w:p w14:paraId="23813EFB" w14:textId="77777777" w:rsidR="00DC2A97" w:rsidRPr="000937DF" w:rsidRDefault="00DC2A97" w:rsidP="00EA1342">
      <w:pPr>
        <w:pStyle w:val="Prrafodelista"/>
        <w:tabs>
          <w:tab w:val="left" w:pos="1134"/>
        </w:tabs>
        <w:spacing w:before="240" w:after="240"/>
        <w:ind w:left="1134" w:right="900"/>
        <w:jc w:val="both"/>
        <w:rPr>
          <w:rFonts w:ascii="Palatino Linotype" w:hAnsi="Palatino Linotype" w:cs="Tahoma"/>
          <w:bCs/>
          <w:i/>
        </w:rPr>
      </w:pPr>
      <w:r w:rsidRPr="000937DF">
        <w:rPr>
          <w:rFonts w:ascii="Palatino Linotype" w:hAnsi="Palatino Linotype" w:cs="Tahoma"/>
          <w:b/>
          <w:i/>
        </w:rPr>
        <w:t>a)</w:t>
      </w:r>
      <w:r w:rsidRPr="000937DF">
        <w:rPr>
          <w:rFonts w:ascii="Palatino Linotype" w:hAnsi="Palatino Linotype" w:cs="Tahoma"/>
          <w:bCs/>
          <w:i/>
        </w:rPr>
        <w:t xml:space="preserve"> Investigación inicial, que </w:t>
      </w:r>
      <w:r w:rsidRPr="000937DF">
        <w:rPr>
          <w:rFonts w:ascii="Palatino Linotype" w:hAnsi="Palatino Linotype" w:cs="Tahoma"/>
          <w:b/>
          <w:i/>
        </w:rPr>
        <w:t>comienza con la presentación de la denuncia, querella u otro requisito equivalente</w:t>
      </w:r>
      <w:r w:rsidRPr="000937DF">
        <w:rPr>
          <w:rFonts w:ascii="Palatino Linotype" w:hAnsi="Palatino Linotype" w:cs="Tahoma"/>
          <w:bCs/>
          <w:i/>
        </w:rPr>
        <w:t xml:space="preserve"> y concluye cuando el imputado queda a disposición del Juez de control para que se le formule imputación, e </w:t>
      </w:r>
    </w:p>
    <w:p w14:paraId="3059F109" w14:textId="77777777" w:rsidR="00DC2A97" w:rsidRPr="000937DF" w:rsidRDefault="00DC2A97" w:rsidP="00EA1342">
      <w:pPr>
        <w:pStyle w:val="Prrafodelista"/>
        <w:tabs>
          <w:tab w:val="left" w:pos="1134"/>
        </w:tabs>
        <w:spacing w:before="240" w:after="240"/>
        <w:ind w:left="1134" w:right="900"/>
        <w:jc w:val="both"/>
        <w:rPr>
          <w:rFonts w:ascii="Palatino Linotype" w:hAnsi="Palatino Linotype" w:cs="Tahoma"/>
          <w:bCs/>
          <w:i/>
        </w:rPr>
      </w:pPr>
      <w:r w:rsidRPr="000937DF">
        <w:rPr>
          <w:rFonts w:ascii="Palatino Linotype" w:hAnsi="Palatino Linotype" w:cs="Tahoma"/>
          <w:b/>
          <w:i/>
        </w:rPr>
        <w:t>b)</w:t>
      </w:r>
      <w:r w:rsidRPr="000937DF">
        <w:rPr>
          <w:rFonts w:ascii="Palatino Linotype" w:hAnsi="Palatino Linotype" w:cs="Tahoma"/>
          <w:bCs/>
          <w:i/>
        </w:rPr>
        <w:t xml:space="preserve"> Investigación complementaria, que comprende desde la formulación de la imputación y se agota una vez que se haya cerrado la investigación; </w:t>
      </w:r>
    </w:p>
    <w:p w14:paraId="0580B58C" w14:textId="77777777" w:rsidR="00DC2A97" w:rsidRPr="000937DF" w:rsidRDefault="00DC2A97" w:rsidP="00EA1342">
      <w:pPr>
        <w:pStyle w:val="Prrafodelista"/>
        <w:tabs>
          <w:tab w:val="left" w:pos="1134"/>
        </w:tabs>
        <w:spacing w:before="240" w:after="240"/>
        <w:ind w:left="1134" w:right="900"/>
        <w:jc w:val="both"/>
        <w:rPr>
          <w:rFonts w:ascii="Palatino Linotype" w:hAnsi="Palatino Linotype" w:cs="Tahoma"/>
          <w:bCs/>
          <w:i/>
        </w:rPr>
      </w:pPr>
      <w:r w:rsidRPr="000937DF">
        <w:rPr>
          <w:rFonts w:ascii="Palatino Linotype" w:hAnsi="Palatino Linotype" w:cs="Tahoma"/>
          <w:b/>
          <w:i/>
        </w:rPr>
        <w:t>II.</w:t>
      </w:r>
      <w:r w:rsidRPr="000937DF">
        <w:rPr>
          <w:rFonts w:ascii="Palatino Linotype" w:hAnsi="Palatino Linotype" w:cs="Tahoma"/>
          <w:bCs/>
          <w:i/>
        </w:rPr>
        <w:t xml:space="preserve"> La intermedia o de preparación del juicio, que comprende desde la formulación de la acusación hasta el auto de apertura del juicio, y</w:t>
      </w:r>
    </w:p>
    <w:p w14:paraId="35C17614" w14:textId="77777777" w:rsidR="00DC2A97" w:rsidRPr="000937DF" w:rsidRDefault="00DC2A97" w:rsidP="00EA1342">
      <w:pPr>
        <w:pStyle w:val="Prrafodelista"/>
        <w:tabs>
          <w:tab w:val="left" w:pos="1134"/>
        </w:tabs>
        <w:spacing w:before="240" w:after="240"/>
        <w:ind w:left="1134" w:right="900"/>
        <w:jc w:val="both"/>
        <w:rPr>
          <w:rFonts w:ascii="Palatino Linotype" w:hAnsi="Palatino Linotype" w:cs="Tahoma"/>
          <w:bCs/>
          <w:i/>
        </w:rPr>
      </w:pPr>
      <w:r w:rsidRPr="000937DF">
        <w:rPr>
          <w:rFonts w:ascii="Palatino Linotype" w:hAnsi="Palatino Linotype" w:cs="Tahoma"/>
          <w:b/>
          <w:i/>
        </w:rPr>
        <w:t xml:space="preserve">III. </w:t>
      </w:r>
      <w:r w:rsidRPr="000937DF">
        <w:rPr>
          <w:rFonts w:ascii="Palatino Linotype" w:hAnsi="Palatino Linotype" w:cs="Tahoma"/>
          <w:bCs/>
          <w:i/>
        </w:rPr>
        <w:t>La de juicio, que comprende desde que se recibe el auto de apertura a juicio hasta la sentencia emitida por el Tribunal de enjuiciamiento.”</w:t>
      </w:r>
    </w:p>
    <w:p w14:paraId="59DBBC46" w14:textId="77777777" w:rsidR="00DC2A97" w:rsidRPr="000937DF" w:rsidRDefault="00DC2A97" w:rsidP="00EA1342">
      <w:pPr>
        <w:pStyle w:val="Prrafodelista"/>
        <w:tabs>
          <w:tab w:val="left" w:pos="1134"/>
        </w:tabs>
        <w:spacing w:before="240" w:after="240"/>
        <w:ind w:left="1134" w:right="900"/>
        <w:jc w:val="both"/>
        <w:rPr>
          <w:rFonts w:ascii="Palatino Linotype" w:hAnsi="Palatino Linotype" w:cs="Tahoma"/>
          <w:bCs/>
          <w:iCs/>
        </w:rPr>
      </w:pPr>
      <w:r w:rsidRPr="000937DF">
        <w:rPr>
          <w:rFonts w:ascii="Palatino Linotype" w:hAnsi="Palatino Linotype" w:cs="Tahoma"/>
          <w:bCs/>
          <w:iCs/>
        </w:rPr>
        <w:t>(Énfasis añadido)</w:t>
      </w:r>
    </w:p>
    <w:p w14:paraId="5DD2AF8E"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La investigación de los hechos que revistan características de un delito podrá iniciarse por denuncia, por </w:t>
      </w:r>
      <w:r w:rsidRPr="000937DF">
        <w:rPr>
          <w:rFonts w:ascii="Palatino Linotype" w:eastAsiaTheme="minorEastAsia" w:hAnsi="Palatino Linotype" w:cs="Calibri"/>
          <w:color w:val="000000"/>
          <w:sz w:val="22"/>
          <w:szCs w:val="22"/>
          <w:lang w:eastAsia="es-ES"/>
        </w:rPr>
        <w:t>querella</w:t>
      </w:r>
      <w:r w:rsidRPr="000937DF">
        <w:rPr>
          <w:rFonts w:ascii="Palatino Linotype" w:hAnsi="Palatino Linotype" w:cs="Tahoma"/>
          <w:bCs/>
          <w:iCs/>
          <w:sz w:val="22"/>
          <w:szCs w:val="22"/>
        </w:rPr>
        <w:t xml:space="preserve"> o por su equivalente cuando la ley lo exija. El Ministerio Público y la Policía están obligados a proceder sin mayores requisitos a la investigación de los hechos de los que tengan noticia. </w:t>
      </w:r>
    </w:p>
    <w:p w14:paraId="76A5CA87"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5157851E"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Tratándose de delitos que deban perseguirse de oficio, bastará para el inicio de la investigación la comunicación que haga cualquier persona, en la que se haga del conocimiento de </w:t>
      </w:r>
      <w:r w:rsidRPr="000937DF">
        <w:rPr>
          <w:rFonts w:ascii="Palatino Linotype" w:eastAsiaTheme="minorEastAsia" w:hAnsi="Palatino Linotype" w:cs="Calibri"/>
          <w:color w:val="000000"/>
          <w:sz w:val="22"/>
          <w:szCs w:val="22"/>
          <w:lang w:eastAsia="es-ES"/>
        </w:rPr>
        <w:t>la</w:t>
      </w:r>
      <w:r w:rsidRPr="000937DF">
        <w:rPr>
          <w:rFonts w:ascii="Palatino Linotype" w:hAnsi="Palatino Linotype" w:cs="Tahoma"/>
          <w:bCs/>
          <w:iCs/>
          <w:sz w:val="22"/>
          <w:szCs w:val="22"/>
        </w:rPr>
        <w:t xml:space="preserve"> autoridad investigadora los hechos que pudieran ser constitutivos de un delito.</w:t>
      </w:r>
    </w:p>
    <w:p w14:paraId="259AB547"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3B29356B"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 </w:t>
      </w:r>
      <w:r w:rsidRPr="000937DF">
        <w:rPr>
          <w:rFonts w:ascii="Palatino Linotype" w:hAnsi="Palatino Linotype" w:cs="Tahoma"/>
          <w:b/>
          <w:iCs/>
          <w:sz w:val="22"/>
          <w:szCs w:val="22"/>
        </w:rPr>
        <w:t>Cuando el Ministerio Público tenga conocimiento de la probable comisión de un hecho delictivo cuya persecución dependa de</w:t>
      </w:r>
      <w:r w:rsidRPr="000937DF">
        <w:rPr>
          <w:rFonts w:ascii="Palatino Linotype" w:hAnsi="Palatino Linotype" w:cs="Tahoma"/>
          <w:bCs/>
          <w:iCs/>
          <w:sz w:val="22"/>
          <w:szCs w:val="22"/>
        </w:rPr>
        <w:t xml:space="preserve"> querella o de </w:t>
      </w:r>
      <w:r w:rsidRPr="000937DF">
        <w:rPr>
          <w:rFonts w:ascii="Palatino Linotype" w:hAnsi="Palatino Linotype" w:cs="Tahoma"/>
          <w:b/>
          <w:iCs/>
          <w:sz w:val="22"/>
          <w:szCs w:val="22"/>
        </w:rPr>
        <w:t>cualquier</w:t>
      </w:r>
      <w:r w:rsidRPr="000937DF">
        <w:rPr>
          <w:rFonts w:ascii="Palatino Linotype" w:hAnsi="Palatino Linotype" w:cs="Tahoma"/>
          <w:bCs/>
          <w:iCs/>
          <w:sz w:val="22"/>
          <w:szCs w:val="22"/>
        </w:rPr>
        <w:t xml:space="preserve"> otro </w:t>
      </w:r>
      <w:r w:rsidRPr="000937DF">
        <w:rPr>
          <w:rFonts w:ascii="Palatino Linotype" w:hAnsi="Palatino Linotype" w:cs="Tahoma"/>
          <w:b/>
          <w:iCs/>
          <w:sz w:val="22"/>
          <w:szCs w:val="22"/>
        </w:rPr>
        <w:t>requisito</w:t>
      </w:r>
      <w:r w:rsidRPr="000937DF">
        <w:rPr>
          <w:rFonts w:ascii="Palatino Linotype" w:hAnsi="Palatino Linotype" w:cs="Tahoma"/>
          <w:bCs/>
          <w:iCs/>
          <w:sz w:val="22"/>
          <w:szCs w:val="22"/>
        </w:rPr>
        <w:t xml:space="preserve"> equivalente </w:t>
      </w:r>
      <w:r w:rsidRPr="000937DF">
        <w:rPr>
          <w:rFonts w:ascii="Palatino Linotype" w:hAnsi="Palatino Linotype" w:cs="Tahoma"/>
          <w:b/>
          <w:iCs/>
          <w:sz w:val="22"/>
          <w:szCs w:val="22"/>
        </w:rPr>
        <w:t>que deba formular alguna autoridad, lo comunicará por escrito y de inmediato a ésta, a fin de que resuelva lo que a sus facultades o atribuciones corresponda</w:t>
      </w:r>
      <w:r w:rsidRPr="000937DF">
        <w:rPr>
          <w:rFonts w:ascii="Palatino Linotype" w:hAnsi="Palatino Linotype" w:cs="Tahoma"/>
          <w:bCs/>
          <w:iCs/>
          <w:sz w:val="22"/>
          <w:szCs w:val="22"/>
        </w:rPr>
        <w:t xml:space="preserve">. Las </w:t>
      </w:r>
      <w:r w:rsidRPr="000937DF">
        <w:rPr>
          <w:rFonts w:ascii="Palatino Linotype" w:eastAsiaTheme="minorEastAsia" w:hAnsi="Palatino Linotype" w:cs="Calibri"/>
          <w:color w:val="000000"/>
          <w:sz w:val="22"/>
          <w:szCs w:val="22"/>
          <w:lang w:eastAsia="es-ES"/>
        </w:rPr>
        <w:t>autoridades</w:t>
      </w:r>
      <w:r w:rsidRPr="000937DF">
        <w:rPr>
          <w:rFonts w:ascii="Palatino Linotype" w:hAnsi="Palatino Linotype" w:cs="Tahoma"/>
          <w:bCs/>
          <w:iCs/>
          <w:sz w:val="22"/>
          <w:szCs w:val="22"/>
        </w:rPr>
        <w:t xml:space="preserve"> harán saber por escrito al Ministerio Público la determinación que adopten</w:t>
      </w:r>
      <w:r w:rsidRPr="000937DF">
        <w:rPr>
          <w:rStyle w:val="Refdenotaalpie"/>
          <w:rFonts w:ascii="Palatino Linotype" w:hAnsi="Palatino Linotype" w:cs="Tahoma"/>
          <w:bCs/>
          <w:iCs/>
          <w:sz w:val="22"/>
          <w:szCs w:val="22"/>
        </w:rPr>
        <w:footnoteReference w:id="7"/>
      </w:r>
      <w:r w:rsidRPr="000937DF">
        <w:rPr>
          <w:rFonts w:ascii="Palatino Linotype" w:hAnsi="Palatino Linotype" w:cs="Tahoma"/>
          <w:bCs/>
          <w:iCs/>
          <w:sz w:val="22"/>
          <w:szCs w:val="22"/>
        </w:rPr>
        <w:t>.</w:t>
      </w:r>
    </w:p>
    <w:p w14:paraId="36F30E6E"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257D7385"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Cuando la denuncia sea presentada directamente ante el Ministerio Público, éste iniciará la investigación conforme a las reglas previstas en el Código Nacional de </w:t>
      </w:r>
      <w:r w:rsidRPr="000937DF">
        <w:rPr>
          <w:rFonts w:ascii="Palatino Linotype" w:eastAsiaTheme="minorEastAsia" w:hAnsi="Palatino Linotype" w:cs="Calibri"/>
          <w:color w:val="000000"/>
          <w:sz w:val="22"/>
          <w:szCs w:val="22"/>
          <w:lang w:eastAsia="es-ES"/>
        </w:rPr>
        <w:t>Procedimientos</w:t>
      </w:r>
      <w:r w:rsidRPr="000937DF">
        <w:rPr>
          <w:rFonts w:ascii="Palatino Linotype" w:hAnsi="Palatino Linotype" w:cs="Tahoma"/>
          <w:bCs/>
          <w:iCs/>
          <w:sz w:val="22"/>
          <w:szCs w:val="22"/>
        </w:rPr>
        <w:t xml:space="preserve"> Penales</w:t>
      </w:r>
      <w:r w:rsidRPr="000937DF">
        <w:rPr>
          <w:rStyle w:val="Refdenotaalpie"/>
          <w:rFonts w:ascii="Palatino Linotype" w:hAnsi="Palatino Linotype" w:cs="Tahoma"/>
          <w:bCs/>
          <w:iCs/>
          <w:sz w:val="22"/>
          <w:szCs w:val="22"/>
        </w:rPr>
        <w:footnoteReference w:id="8"/>
      </w:r>
      <w:r w:rsidRPr="000937DF">
        <w:rPr>
          <w:rFonts w:ascii="Palatino Linotype" w:hAnsi="Palatino Linotype" w:cs="Tahoma"/>
          <w:bCs/>
          <w:iCs/>
          <w:sz w:val="22"/>
          <w:szCs w:val="22"/>
        </w:rPr>
        <w:t>. Por otro lado, si la denuncia se presenta ante la Policía, ésta informará de dicha circunstancia al Ministerio Público en forma inmediata y por cualquier medio, sin perjuicio de realizar las diligencias urgentes que se requieran dando cuenta de ello en forma posterior al Ministerio Público</w:t>
      </w:r>
      <w:r w:rsidRPr="000937DF">
        <w:rPr>
          <w:rStyle w:val="Refdenotaalpie"/>
          <w:rFonts w:ascii="Palatino Linotype" w:hAnsi="Palatino Linotype" w:cs="Tahoma"/>
          <w:bCs/>
          <w:iCs/>
          <w:sz w:val="22"/>
          <w:szCs w:val="22"/>
        </w:rPr>
        <w:footnoteReference w:id="9"/>
      </w:r>
      <w:r w:rsidRPr="000937DF">
        <w:rPr>
          <w:rFonts w:ascii="Palatino Linotype" w:hAnsi="Palatino Linotype" w:cs="Tahoma"/>
          <w:bCs/>
          <w:iCs/>
          <w:sz w:val="22"/>
          <w:szCs w:val="22"/>
        </w:rPr>
        <w:t>.</w:t>
      </w:r>
    </w:p>
    <w:p w14:paraId="58C57BD3"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2B2C2492"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Por otro </w:t>
      </w:r>
      <w:r w:rsidRPr="000937DF">
        <w:rPr>
          <w:rFonts w:ascii="Palatino Linotype" w:eastAsiaTheme="minorEastAsia" w:hAnsi="Palatino Linotype" w:cs="Calibri"/>
          <w:color w:val="000000"/>
          <w:sz w:val="22"/>
          <w:szCs w:val="22"/>
          <w:lang w:eastAsia="es-ES"/>
        </w:rPr>
        <w:t>lado</w:t>
      </w:r>
      <w:r w:rsidRPr="000937DF">
        <w:rPr>
          <w:rFonts w:ascii="Palatino Linotype" w:hAnsi="Palatino Linotype" w:cs="Tahoma"/>
          <w:bCs/>
          <w:iCs/>
          <w:sz w:val="22"/>
          <w:szCs w:val="22"/>
        </w:rPr>
        <w:t xml:space="preserve">, existen dos formas de iniciar la investigación: de oficio y por querella. La primera, implica que el Ministerio Público inicie inmediatamente la investigación derivado de la </w:t>
      </w:r>
      <w:proofErr w:type="spellStart"/>
      <w:r w:rsidRPr="000937DF">
        <w:rPr>
          <w:rFonts w:ascii="Palatino Linotype" w:hAnsi="Palatino Linotype" w:cs="Tahoma"/>
          <w:bCs/>
          <w:i/>
          <w:iCs/>
          <w:sz w:val="22"/>
          <w:szCs w:val="22"/>
        </w:rPr>
        <w:t>notitia</w:t>
      </w:r>
      <w:proofErr w:type="spellEnd"/>
      <w:r w:rsidRPr="000937DF">
        <w:rPr>
          <w:rFonts w:ascii="Palatino Linotype" w:hAnsi="Palatino Linotype" w:cs="Tahoma"/>
          <w:bCs/>
          <w:i/>
          <w:iCs/>
          <w:sz w:val="22"/>
          <w:szCs w:val="22"/>
        </w:rPr>
        <w:t xml:space="preserve"> </w:t>
      </w:r>
      <w:proofErr w:type="spellStart"/>
      <w:r w:rsidRPr="000937DF">
        <w:rPr>
          <w:rFonts w:ascii="Palatino Linotype" w:hAnsi="Palatino Linotype" w:cs="Tahoma"/>
          <w:bCs/>
          <w:i/>
          <w:iCs/>
          <w:sz w:val="22"/>
          <w:szCs w:val="22"/>
        </w:rPr>
        <w:t>criminis</w:t>
      </w:r>
      <w:proofErr w:type="spellEnd"/>
      <w:r w:rsidRPr="000937DF">
        <w:rPr>
          <w:rFonts w:ascii="Palatino Linotype" w:hAnsi="Palatino Linotype" w:cs="Tahoma"/>
          <w:bCs/>
          <w:iCs/>
          <w:sz w:val="22"/>
          <w:szCs w:val="22"/>
        </w:rPr>
        <w:t xml:space="preserve"> en razón de su impacto y tipicidad; esto usualmente con la comisión de delitos graves.</w:t>
      </w:r>
    </w:p>
    <w:p w14:paraId="5783C37D"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74EF7311"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Por su parte, la </w:t>
      </w:r>
      <w:r w:rsidRPr="000937DF">
        <w:rPr>
          <w:rFonts w:ascii="Palatino Linotype" w:hAnsi="Palatino Linotype" w:cs="Tahoma"/>
          <w:b/>
          <w:bCs/>
          <w:iCs/>
          <w:sz w:val="22"/>
          <w:szCs w:val="22"/>
        </w:rPr>
        <w:t>querella</w:t>
      </w:r>
      <w:r w:rsidRPr="000937DF">
        <w:rPr>
          <w:rFonts w:ascii="Palatino Linotype" w:hAnsi="Palatino Linotype" w:cs="Tahoma"/>
          <w:bCs/>
          <w:iCs/>
          <w:sz w:val="22"/>
          <w:szCs w:val="22"/>
        </w:rPr>
        <w:t xml:space="preserve"> es la expresión de la voluntad de la víctima u ofendido o de quien legalmente se encuentre facultado para ello, mediante la cual manifiesta expresamente ante el </w:t>
      </w:r>
      <w:r w:rsidRPr="000937DF">
        <w:rPr>
          <w:rFonts w:ascii="Palatino Linotype" w:hAnsi="Palatino Linotype" w:cs="Tahoma"/>
          <w:bCs/>
          <w:iCs/>
          <w:sz w:val="22"/>
          <w:szCs w:val="22"/>
        </w:rPr>
        <w:lastRenderedPageBreak/>
        <w:t xml:space="preserve">Ministerio Público su pretensión de que se inicie la investigación de uno o varios hechos que la ley señale como delitos y que requieran de este requisito de </w:t>
      </w:r>
      <w:proofErr w:type="spellStart"/>
      <w:r w:rsidRPr="000937DF">
        <w:rPr>
          <w:rFonts w:ascii="Palatino Linotype" w:hAnsi="Palatino Linotype" w:cs="Tahoma"/>
          <w:bCs/>
          <w:iCs/>
          <w:sz w:val="22"/>
          <w:szCs w:val="22"/>
        </w:rPr>
        <w:t>procedibilidad</w:t>
      </w:r>
      <w:proofErr w:type="spellEnd"/>
      <w:r w:rsidRPr="000937DF">
        <w:rPr>
          <w:rFonts w:ascii="Palatino Linotype" w:hAnsi="Palatino Linotype" w:cs="Tahoma"/>
          <w:bCs/>
          <w:iCs/>
          <w:sz w:val="22"/>
          <w:szCs w:val="22"/>
        </w:rPr>
        <w:t xml:space="preserve"> para ser investigados y, en su caso, se ejerza la acción penal correspondiente</w:t>
      </w:r>
      <w:r w:rsidRPr="000937DF">
        <w:rPr>
          <w:rStyle w:val="Refdenotaalpie"/>
          <w:rFonts w:ascii="Palatino Linotype" w:hAnsi="Palatino Linotype" w:cs="Tahoma"/>
          <w:bCs/>
          <w:iCs/>
          <w:sz w:val="22"/>
          <w:szCs w:val="22"/>
        </w:rPr>
        <w:footnoteReference w:id="10"/>
      </w:r>
    </w:p>
    <w:p w14:paraId="211E3928"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1F836F40"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Ahora bien, la </w:t>
      </w:r>
      <w:r w:rsidRPr="000937DF">
        <w:rPr>
          <w:rFonts w:ascii="Palatino Linotype" w:hAnsi="Palatino Linotype" w:cs="Tahoma"/>
          <w:b/>
          <w:bCs/>
          <w:iCs/>
          <w:sz w:val="22"/>
          <w:szCs w:val="22"/>
        </w:rPr>
        <w:t>cadena de custodia</w:t>
      </w:r>
      <w:r w:rsidRPr="000937DF">
        <w:rPr>
          <w:rFonts w:ascii="Palatino Linotype" w:hAnsi="Palatino Linotype" w:cs="Tahoma"/>
          <w:bCs/>
          <w:iCs/>
          <w:sz w:val="22"/>
          <w:szCs w:val="22"/>
        </w:rPr>
        <w:t xml:space="preserve"> es el sistema de control y registro que se aplica al indicio, </w:t>
      </w:r>
      <w:r w:rsidRPr="000937DF">
        <w:rPr>
          <w:rFonts w:ascii="Palatino Linotype" w:eastAsiaTheme="minorEastAsia" w:hAnsi="Palatino Linotype" w:cs="Calibri"/>
          <w:color w:val="000000"/>
          <w:sz w:val="22"/>
          <w:szCs w:val="22"/>
          <w:lang w:eastAsia="es-ES"/>
        </w:rPr>
        <w:t>evidencia</w:t>
      </w:r>
      <w:r w:rsidRPr="000937DF">
        <w:rPr>
          <w:rFonts w:ascii="Palatino Linotype" w:hAnsi="Palatino Linotype" w:cs="Tahoma"/>
          <w:bCs/>
          <w:iCs/>
          <w:sz w:val="22"/>
          <w:szCs w:val="22"/>
        </w:rPr>
        <w:t>, objeto, instrumento o producto del hecho delictivo, desde su localización, descubrimiento o aportación, en el lugar de los hechos o del hallazgo, hasta que la autoridad competente ordene su conclusión</w:t>
      </w:r>
      <w:r w:rsidRPr="000937DF">
        <w:rPr>
          <w:rStyle w:val="Refdenotaalpie"/>
          <w:rFonts w:ascii="Palatino Linotype" w:hAnsi="Palatino Linotype" w:cs="Tahoma"/>
          <w:bCs/>
          <w:iCs/>
          <w:sz w:val="22"/>
          <w:szCs w:val="22"/>
        </w:rPr>
        <w:footnoteReference w:id="11"/>
      </w:r>
      <w:r w:rsidRPr="000937DF">
        <w:rPr>
          <w:rFonts w:ascii="Palatino Linotype" w:hAnsi="Palatino Linotype" w:cs="Tahoma"/>
          <w:bCs/>
          <w:iCs/>
          <w:sz w:val="22"/>
          <w:szCs w:val="22"/>
        </w:rPr>
        <w:t>.</w:t>
      </w:r>
    </w:p>
    <w:p w14:paraId="104FBB2D"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5DCC676A"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eastAsiaTheme="minorEastAsia" w:hAnsi="Palatino Linotype" w:cs="Calibri"/>
          <w:color w:val="000000"/>
          <w:sz w:val="22"/>
          <w:szCs w:val="22"/>
          <w:lang w:eastAsia="es-ES"/>
        </w:rPr>
        <w:t>Existirán</w:t>
      </w:r>
      <w:r w:rsidRPr="000937DF">
        <w:rPr>
          <w:rFonts w:ascii="Palatino Linotype" w:hAnsi="Palatino Linotype" w:cs="Tahoma"/>
          <w:bCs/>
          <w:iCs/>
          <w:sz w:val="22"/>
          <w:szCs w:val="22"/>
        </w:rPr>
        <w:t xml:space="preserve"> tres formas de terminación de la investigación ajenos al ejercicio de la acción penal, a saber:</w:t>
      </w:r>
    </w:p>
    <w:p w14:paraId="05A844F3" w14:textId="77777777" w:rsidR="00DC2A97" w:rsidRPr="000937DF" w:rsidRDefault="00DC2A97" w:rsidP="00DC2A97">
      <w:pPr>
        <w:pStyle w:val="Prrafodelista"/>
        <w:numPr>
          <w:ilvl w:val="1"/>
          <w:numId w:val="2"/>
        </w:numPr>
        <w:tabs>
          <w:tab w:val="left" w:pos="426"/>
        </w:tabs>
        <w:spacing w:before="240" w:after="240" w:line="360" w:lineRule="auto"/>
        <w:ind w:left="1134" w:right="900" w:firstLine="0"/>
        <w:contextualSpacing/>
        <w:jc w:val="both"/>
        <w:rPr>
          <w:rFonts w:ascii="Palatino Linotype" w:hAnsi="Palatino Linotype" w:cs="Tahoma"/>
          <w:bCs/>
          <w:i/>
          <w:iCs/>
        </w:rPr>
      </w:pPr>
      <w:r w:rsidRPr="000937DF">
        <w:rPr>
          <w:rFonts w:ascii="Palatino Linotype" w:hAnsi="Palatino Linotype" w:cs="Tahoma"/>
          <w:bCs/>
          <w:i/>
          <w:iCs/>
        </w:rPr>
        <w:t>Facultad del Ministerio Público de abstenerse a investigar</w:t>
      </w:r>
      <w:r w:rsidRPr="000937DF">
        <w:rPr>
          <w:rStyle w:val="Refdenotaalpie"/>
          <w:rFonts w:ascii="Palatino Linotype" w:hAnsi="Palatino Linotype" w:cs="Tahoma"/>
          <w:bCs/>
          <w:i/>
          <w:iCs/>
        </w:rPr>
        <w:footnoteReference w:id="12"/>
      </w:r>
      <w:r w:rsidRPr="000937DF">
        <w:rPr>
          <w:rFonts w:ascii="Palatino Linotype" w:hAnsi="Palatino Linotype" w:cs="Tahoma"/>
          <w:bCs/>
          <w:i/>
          <w:iCs/>
        </w:rPr>
        <w:t xml:space="preserve">: Cuando los hechos relatados en la denuncia, querella o acto equivalente, no fueren constitutivos de delito o cuando los antecedentes y datos suministrados permitan establecer que se encuentra extinguida la acción penal o la responsabilidad penal del imputado. </w:t>
      </w:r>
    </w:p>
    <w:p w14:paraId="2369BFEC" w14:textId="77777777" w:rsidR="00DC2A97" w:rsidRPr="000937DF" w:rsidRDefault="00DC2A97" w:rsidP="00DC2A97">
      <w:pPr>
        <w:pStyle w:val="Prrafodelista"/>
        <w:numPr>
          <w:ilvl w:val="1"/>
          <w:numId w:val="2"/>
        </w:numPr>
        <w:tabs>
          <w:tab w:val="left" w:pos="426"/>
        </w:tabs>
        <w:spacing w:before="240" w:after="240" w:line="360" w:lineRule="auto"/>
        <w:ind w:left="1134" w:right="900" w:firstLine="0"/>
        <w:contextualSpacing/>
        <w:jc w:val="both"/>
        <w:rPr>
          <w:rFonts w:ascii="Palatino Linotype" w:hAnsi="Palatino Linotype" w:cs="Tahoma"/>
          <w:bCs/>
          <w:i/>
          <w:iCs/>
        </w:rPr>
      </w:pPr>
      <w:r w:rsidRPr="000937DF">
        <w:rPr>
          <w:rFonts w:ascii="Palatino Linotype" w:hAnsi="Palatino Linotype" w:cs="Tahoma"/>
          <w:bCs/>
          <w:i/>
          <w:iCs/>
        </w:rPr>
        <w:t>Archivo temporal</w:t>
      </w:r>
      <w:r w:rsidRPr="000937DF">
        <w:rPr>
          <w:rStyle w:val="Refdenotaalpie"/>
          <w:rFonts w:ascii="Palatino Linotype" w:hAnsi="Palatino Linotype" w:cs="Tahoma"/>
          <w:bCs/>
          <w:i/>
          <w:iCs/>
        </w:rPr>
        <w:footnoteReference w:id="13"/>
      </w:r>
      <w:r w:rsidRPr="000937DF">
        <w:rPr>
          <w:rFonts w:ascii="Palatino Linotype" w:hAnsi="Palatino Linotype" w:cs="Tahoma"/>
          <w:bCs/>
          <w:i/>
          <w:iCs/>
        </w:rPr>
        <w:t>. El Ministerio Público podrá archivar temporalmente aquellas investigaciones en fase inicial en las que no se encuentren antecedentes, datos suficientes o elementos de los que se puedan establecer líneas de investigación que permitan realizar diligencias tendentes a esclarecer los hechos que dieron origen a la investigación. El archivo subsistirá en tanto se obtengan datos que permitan continuarla a fin de ejercitar la acción penal.</w:t>
      </w:r>
    </w:p>
    <w:p w14:paraId="2AF48991" w14:textId="77777777" w:rsidR="00DC2A97" w:rsidRPr="000937DF" w:rsidRDefault="00DC2A97" w:rsidP="00DC2A97">
      <w:pPr>
        <w:pStyle w:val="Prrafodelista"/>
        <w:numPr>
          <w:ilvl w:val="1"/>
          <w:numId w:val="2"/>
        </w:numPr>
        <w:tabs>
          <w:tab w:val="left" w:pos="426"/>
        </w:tabs>
        <w:spacing w:before="240" w:after="240" w:line="360" w:lineRule="auto"/>
        <w:ind w:left="1134" w:right="900" w:firstLine="0"/>
        <w:contextualSpacing/>
        <w:jc w:val="both"/>
        <w:rPr>
          <w:rFonts w:ascii="Palatino Linotype" w:hAnsi="Palatino Linotype" w:cs="Tahoma"/>
          <w:bCs/>
          <w:i/>
          <w:iCs/>
        </w:rPr>
      </w:pPr>
      <w:r w:rsidRPr="000937DF">
        <w:rPr>
          <w:rFonts w:ascii="Palatino Linotype" w:hAnsi="Palatino Linotype" w:cs="Tahoma"/>
          <w:bCs/>
          <w:i/>
          <w:iCs/>
        </w:rPr>
        <w:lastRenderedPageBreak/>
        <w:t>No ejercicio de la acción penal</w:t>
      </w:r>
      <w:r w:rsidRPr="000937DF">
        <w:rPr>
          <w:rStyle w:val="Refdenotaalpie"/>
          <w:rFonts w:ascii="Palatino Linotype" w:hAnsi="Palatino Linotype" w:cs="Tahoma"/>
          <w:bCs/>
          <w:i/>
          <w:iCs/>
        </w:rPr>
        <w:footnoteReference w:id="14"/>
      </w:r>
      <w:r w:rsidRPr="000937DF">
        <w:rPr>
          <w:rFonts w:ascii="Palatino Linotype" w:hAnsi="Palatino Linotype" w:cs="Tahoma"/>
          <w:bCs/>
          <w:i/>
          <w:iCs/>
        </w:rPr>
        <w:t>: Previo a la audiencia inicial, el Ministerio Público, previa autorización del Procurador o del servidor público en quien se delegue la facultad, podrá decretar el no ejercicio de la acción penal cuando de los antecedentes del caso le permitan concluir que en el caso concreto se actualiza alguna de las causales de sobreseimiento previstas en el Código Nacional de Procedimientos Penales.</w:t>
      </w:r>
    </w:p>
    <w:p w14:paraId="024E486F" w14:textId="77777777" w:rsidR="00DC2A97" w:rsidRPr="000937DF" w:rsidRDefault="00DC2A97" w:rsidP="00DC2A97">
      <w:pPr>
        <w:pStyle w:val="Prrafodelista"/>
        <w:tabs>
          <w:tab w:val="left" w:pos="426"/>
        </w:tabs>
        <w:spacing w:before="240" w:after="240" w:line="360" w:lineRule="auto"/>
        <w:ind w:left="1134" w:right="900"/>
        <w:contextualSpacing/>
        <w:jc w:val="both"/>
        <w:rPr>
          <w:rFonts w:ascii="Palatino Linotype" w:hAnsi="Palatino Linotype" w:cs="Tahoma"/>
          <w:bCs/>
          <w:i/>
          <w:iCs/>
        </w:rPr>
      </w:pPr>
    </w:p>
    <w:p w14:paraId="103D8C1D"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Por cuanto hace a los datos de prueba, cualquier hecho podrá ser probado por cualquier </w:t>
      </w:r>
      <w:r w:rsidRPr="000937DF">
        <w:rPr>
          <w:rFonts w:ascii="Palatino Linotype" w:eastAsiaTheme="minorEastAsia" w:hAnsi="Palatino Linotype" w:cs="Calibri"/>
          <w:color w:val="000000"/>
          <w:sz w:val="22"/>
          <w:szCs w:val="22"/>
          <w:lang w:eastAsia="es-ES"/>
        </w:rPr>
        <w:t>medio</w:t>
      </w:r>
      <w:r w:rsidRPr="000937DF">
        <w:rPr>
          <w:rFonts w:ascii="Palatino Linotype" w:hAnsi="Palatino Linotype" w:cs="Tahoma"/>
          <w:bCs/>
          <w:iCs/>
          <w:sz w:val="22"/>
          <w:szCs w:val="22"/>
        </w:rPr>
        <w:t>, siempre y cuando sea lícito. Las pruebas serán valoradas por el Órgano jurisdiccional de manera libre y lógica</w:t>
      </w:r>
      <w:r w:rsidRPr="000937DF">
        <w:rPr>
          <w:rStyle w:val="Refdenotaalpie"/>
          <w:rFonts w:ascii="Palatino Linotype" w:hAnsi="Palatino Linotype" w:cs="Tahoma"/>
          <w:bCs/>
          <w:iCs/>
          <w:sz w:val="22"/>
          <w:szCs w:val="22"/>
        </w:rPr>
        <w:footnoteReference w:id="15"/>
      </w:r>
      <w:r w:rsidRPr="000937DF">
        <w:rPr>
          <w:rFonts w:ascii="Palatino Linotype" w:hAnsi="Palatino Linotype" w:cs="Tahoma"/>
          <w:bCs/>
          <w:iCs/>
          <w:sz w:val="22"/>
          <w:szCs w:val="22"/>
        </w:rPr>
        <w:t xml:space="preserve">. </w:t>
      </w:r>
    </w:p>
    <w:p w14:paraId="2434FA73"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1F78C3F4"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Ahora bien, para la </w:t>
      </w:r>
      <w:r w:rsidRPr="000937DF">
        <w:rPr>
          <w:rFonts w:ascii="Palatino Linotype" w:hAnsi="Palatino Linotype" w:cs="Tahoma"/>
          <w:b/>
          <w:bCs/>
          <w:iCs/>
          <w:sz w:val="22"/>
          <w:szCs w:val="22"/>
        </w:rPr>
        <w:t>audiencia inicial</w:t>
      </w:r>
      <w:r w:rsidRPr="000937DF">
        <w:rPr>
          <w:rFonts w:ascii="Palatino Linotype" w:hAnsi="Palatino Linotype" w:cs="Tahoma"/>
          <w:bCs/>
          <w:iCs/>
          <w:sz w:val="22"/>
          <w:szCs w:val="22"/>
        </w:rPr>
        <w:t xml:space="preserve"> del procedimiento penal, se informarán al imputado sus derechos constitucionales y legales, si no se le hubiese informado de los mismos con anterioridad, se realizará el control de legalidad de la detención si </w:t>
      </w:r>
      <w:r w:rsidRPr="000937DF">
        <w:rPr>
          <w:rFonts w:ascii="Palatino Linotype" w:eastAsiaTheme="minorEastAsia" w:hAnsi="Palatino Linotype" w:cs="Calibri"/>
          <w:color w:val="000000"/>
          <w:sz w:val="22"/>
          <w:szCs w:val="22"/>
          <w:lang w:eastAsia="es-ES"/>
        </w:rPr>
        <w:t>correspondiere</w:t>
      </w:r>
      <w:r w:rsidRPr="000937DF">
        <w:rPr>
          <w:rFonts w:ascii="Palatino Linotype" w:hAnsi="Palatino Linotype" w:cs="Tahoma"/>
          <w:bCs/>
          <w:iCs/>
          <w:sz w:val="22"/>
          <w:szCs w:val="22"/>
        </w:rPr>
        <w:t xml:space="preserve">, se formulará la </w:t>
      </w:r>
      <w:r w:rsidRPr="000937DF">
        <w:rPr>
          <w:rFonts w:ascii="Palatino Linotype" w:hAnsi="Palatino Linotype" w:cs="Tahoma"/>
          <w:b/>
          <w:bCs/>
          <w:iCs/>
          <w:sz w:val="22"/>
          <w:szCs w:val="22"/>
        </w:rPr>
        <w:t>imputación</w:t>
      </w:r>
      <w:r w:rsidRPr="000937DF">
        <w:rPr>
          <w:rFonts w:ascii="Palatino Linotype" w:hAnsi="Palatino Linotype" w:cs="Tahoma"/>
          <w:bCs/>
          <w:iCs/>
          <w:sz w:val="22"/>
          <w:szCs w:val="22"/>
        </w:rPr>
        <w:t>, se dará la oportunidad de declarar al imputado, se resolverá sobre las solicitudes de vinculación a proceso y medidas cautelares y se definirá el plazo para el cierre de la investigación</w:t>
      </w:r>
      <w:r w:rsidRPr="000937DF">
        <w:rPr>
          <w:rStyle w:val="Refdenotaalpie"/>
          <w:rFonts w:ascii="Palatino Linotype" w:hAnsi="Palatino Linotype" w:cs="Tahoma"/>
          <w:bCs/>
          <w:iCs/>
          <w:sz w:val="22"/>
          <w:szCs w:val="22"/>
        </w:rPr>
        <w:footnoteReference w:id="16"/>
      </w:r>
      <w:r w:rsidRPr="000937DF">
        <w:rPr>
          <w:rFonts w:ascii="Palatino Linotype" w:hAnsi="Palatino Linotype" w:cs="Tahoma"/>
          <w:bCs/>
          <w:iCs/>
          <w:sz w:val="22"/>
          <w:szCs w:val="22"/>
        </w:rPr>
        <w:t>.</w:t>
      </w:r>
    </w:p>
    <w:p w14:paraId="770227A0"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28B729FA"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A fin de formular la imputación conforme a derecho, una vez que el imputado esté presente en la audiencia inicial, por haberse ordenado su comparecencia, por haberse ejecutado en su contra una orden de aprehensión o ratificado de legal la detención y después de haber verificado el Juez de control que el imputado conoce sus derechos </w:t>
      </w:r>
      <w:r w:rsidRPr="000937DF">
        <w:rPr>
          <w:rFonts w:ascii="Palatino Linotype" w:eastAsiaTheme="minorEastAsia" w:hAnsi="Palatino Linotype" w:cs="Calibri"/>
          <w:color w:val="000000"/>
          <w:sz w:val="22"/>
          <w:szCs w:val="22"/>
          <w:lang w:eastAsia="es-ES"/>
        </w:rPr>
        <w:t>fundamentales</w:t>
      </w:r>
      <w:r w:rsidRPr="000937DF">
        <w:rPr>
          <w:rFonts w:ascii="Palatino Linotype" w:hAnsi="Palatino Linotype" w:cs="Tahoma"/>
          <w:bCs/>
          <w:iCs/>
          <w:sz w:val="22"/>
          <w:szCs w:val="22"/>
        </w:rPr>
        <w:t xml:space="preserve"> dentro del procedimiento penal o, en su caso, después de habérselos dado a conocer, se ofrecerá la palabra al agente del Ministerio </w:t>
      </w:r>
      <w:r w:rsidRPr="000937DF">
        <w:rPr>
          <w:rFonts w:ascii="Palatino Linotype" w:hAnsi="Palatino Linotype" w:cs="Tahoma"/>
          <w:bCs/>
          <w:iCs/>
          <w:sz w:val="22"/>
          <w:szCs w:val="22"/>
        </w:rPr>
        <w:lastRenderedPageBreak/>
        <w:t>Público para que éste exponga al imputado el hecho que se le atribuye, la calificación jurídica preliminar, la fecha, lugar y modo de su comisión, la forma de intervención que haya tenido en el mismo, así como el nombre de su acusador, salvo que, a consideración del Juez de control sea necesario reservar su identidad en los supuestos autorizados por la Constitución y por la ley</w:t>
      </w:r>
      <w:r w:rsidRPr="000937DF">
        <w:rPr>
          <w:rStyle w:val="Refdenotaalpie"/>
          <w:rFonts w:ascii="Palatino Linotype" w:hAnsi="Palatino Linotype" w:cs="Tahoma"/>
          <w:bCs/>
          <w:iCs/>
          <w:sz w:val="22"/>
          <w:szCs w:val="22"/>
        </w:rPr>
        <w:footnoteReference w:id="17"/>
      </w:r>
      <w:r w:rsidRPr="000937DF">
        <w:rPr>
          <w:rFonts w:ascii="Palatino Linotype" w:hAnsi="Palatino Linotype" w:cs="Tahoma"/>
          <w:bCs/>
          <w:iCs/>
          <w:sz w:val="22"/>
          <w:szCs w:val="22"/>
        </w:rPr>
        <w:t>.</w:t>
      </w:r>
    </w:p>
    <w:p w14:paraId="15D2113F"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36EC64EB"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La </w:t>
      </w:r>
      <w:r w:rsidRPr="000937DF">
        <w:rPr>
          <w:rFonts w:ascii="Palatino Linotype" w:eastAsiaTheme="minorEastAsia" w:hAnsi="Palatino Linotype" w:cs="Calibri"/>
          <w:color w:val="000000"/>
          <w:sz w:val="22"/>
          <w:szCs w:val="22"/>
          <w:lang w:eastAsia="es-ES"/>
        </w:rPr>
        <w:t>continuación</w:t>
      </w:r>
      <w:r w:rsidRPr="000937DF">
        <w:rPr>
          <w:rFonts w:ascii="Palatino Linotype" w:hAnsi="Palatino Linotype" w:cs="Tahoma"/>
          <w:bCs/>
          <w:iCs/>
          <w:sz w:val="22"/>
          <w:szCs w:val="22"/>
        </w:rPr>
        <w:t xml:space="preserve"> de la audiencia inicial comenzará con la presentación de los datos de prueba aportados por las partes o, en su caso, con el desahogo de los medios de prueba que hubiese ofrecido y justificado el imputado o su defensor. Para tal efecto, se seguirán en lo conducente las reglas previstas para el desahogo de pruebas en la audiencia de debate de juicio oral. Desahogada la prueba, si la hubo, se le concederá la palabra en primer término al Ministerio Público, al asesor jurídico de la víctima y luego al imputado. Agotado el debate, el Juez resolverá sobre la vinculación o no del imputado a proceso</w:t>
      </w:r>
      <w:r w:rsidRPr="000937DF">
        <w:rPr>
          <w:rStyle w:val="Refdenotaalpie"/>
          <w:rFonts w:ascii="Palatino Linotype" w:hAnsi="Palatino Linotype" w:cs="Tahoma"/>
          <w:bCs/>
          <w:iCs/>
          <w:sz w:val="22"/>
          <w:szCs w:val="22"/>
        </w:rPr>
        <w:footnoteReference w:id="18"/>
      </w:r>
      <w:r w:rsidRPr="000937DF">
        <w:rPr>
          <w:rFonts w:ascii="Palatino Linotype" w:hAnsi="Palatino Linotype" w:cs="Tahoma"/>
          <w:bCs/>
          <w:iCs/>
          <w:sz w:val="22"/>
          <w:szCs w:val="22"/>
        </w:rPr>
        <w:t>.</w:t>
      </w:r>
    </w:p>
    <w:p w14:paraId="25E86CB4"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609F0D5B"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El Juez de </w:t>
      </w:r>
      <w:r w:rsidRPr="000937DF">
        <w:rPr>
          <w:rFonts w:ascii="Palatino Linotype" w:eastAsiaTheme="minorEastAsia" w:hAnsi="Palatino Linotype" w:cs="Calibri"/>
          <w:color w:val="000000"/>
          <w:sz w:val="22"/>
          <w:szCs w:val="22"/>
          <w:lang w:eastAsia="es-ES"/>
        </w:rPr>
        <w:t>control</w:t>
      </w:r>
      <w:r w:rsidRPr="000937DF">
        <w:rPr>
          <w:rFonts w:ascii="Palatino Linotype" w:hAnsi="Palatino Linotype" w:cs="Tahoma"/>
          <w:bCs/>
          <w:iCs/>
          <w:sz w:val="22"/>
          <w:szCs w:val="22"/>
        </w:rPr>
        <w:t>, a petición del agente del Ministerio Público, dictará el auto de vinculación del imputado a proceso, siempre que</w:t>
      </w:r>
      <w:r w:rsidRPr="000937DF">
        <w:rPr>
          <w:rStyle w:val="Refdenotaalpie"/>
          <w:rFonts w:ascii="Palatino Linotype" w:hAnsi="Palatino Linotype" w:cs="Tahoma"/>
          <w:bCs/>
          <w:iCs/>
          <w:sz w:val="22"/>
          <w:szCs w:val="22"/>
        </w:rPr>
        <w:footnoteReference w:id="19"/>
      </w:r>
      <w:r w:rsidRPr="000937DF">
        <w:rPr>
          <w:rFonts w:ascii="Palatino Linotype" w:hAnsi="Palatino Linotype" w:cs="Tahoma"/>
          <w:bCs/>
          <w:iCs/>
          <w:sz w:val="22"/>
          <w:szCs w:val="22"/>
        </w:rPr>
        <w:t>:</w:t>
      </w:r>
    </w:p>
    <w:p w14:paraId="50D03F56"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Se haya formulado la imputación; </w:t>
      </w:r>
    </w:p>
    <w:p w14:paraId="601AB9EE"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Se haya otorgado al imputado la oportunidad para declarar; </w:t>
      </w:r>
    </w:p>
    <w:p w14:paraId="7C5BCAAE"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De los antecedentes de la investigación expuestos por el Ministerio Público, se desprendan datos de prueba que establezcan que se ha cometido un hecho que la ley señala como delito y que exista la probabilidad de que el imputado lo cometió o participó en su comisión. Se entenderá que obran datos que establecen que se ha cometido un hecho que la ley señale como delito cuando existan indicios razonables que así permitan suponerlo, y </w:t>
      </w:r>
    </w:p>
    <w:p w14:paraId="687B72A4"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Que no se actualice una causa de extinción de la acción penal o excluyente del delito.</w:t>
      </w:r>
    </w:p>
    <w:p w14:paraId="62E9DA1D" w14:textId="77777777" w:rsidR="00DC2A97" w:rsidRPr="000937DF" w:rsidRDefault="00DC2A97" w:rsidP="00DC2A97">
      <w:pPr>
        <w:pStyle w:val="Prrafodelista"/>
        <w:tabs>
          <w:tab w:val="left" w:pos="426"/>
        </w:tabs>
        <w:spacing w:before="240" w:after="240"/>
        <w:ind w:left="1134" w:right="900"/>
        <w:contextualSpacing/>
        <w:jc w:val="both"/>
        <w:rPr>
          <w:rFonts w:ascii="Palatino Linotype" w:hAnsi="Palatino Linotype" w:cs="Tahoma"/>
          <w:bCs/>
          <w:i/>
          <w:iCs/>
        </w:rPr>
      </w:pPr>
    </w:p>
    <w:p w14:paraId="406170E3"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El auto de </w:t>
      </w:r>
      <w:r w:rsidRPr="000937DF">
        <w:rPr>
          <w:rFonts w:ascii="Palatino Linotype" w:eastAsiaTheme="minorEastAsia" w:hAnsi="Palatino Linotype" w:cs="Calibri"/>
          <w:color w:val="000000"/>
          <w:sz w:val="22"/>
          <w:szCs w:val="22"/>
          <w:lang w:eastAsia="es-ES"/>
        </w:rPr>
        <w:t>vinculación</w:t>
      </w:r>
      <w:r w:rsidRPr="000937DF">
        <w:rPr>
          <w:rFonts w:ascii="Palatino Linotype" w:hAnsi="Palatino Linotype" w:cs="Tahoma"/>
          <w:bCs/>
          <w:iCs/>
          <w:sz w:val="22"/>
          <w:szCs w:val="22"/>
        </w:rPr>
        <w:t xml:space="preserve"> a proceso establecerá el hecho o los hechos delictivos sobre los que se continuará el proceso o se determinarán las formas anticipadas de terminación del proceso, la apertura a juicio o el sobreseimiento</w:t>
      </w:r>
      <w:r w:rsidRPr="000937DF">
        <w:rPr>
          <w:rStyle w:val="Refdenotaalpie"/>
          <w:rFonts w:ascii="Palatino Linotype" w:hAnsi="Palatino Linotype" w:cs="Tahoma"/>
          <w:bCs/>
          <w:iCs/>
          <w:sz w:val="22"/>
          <w:szCs w:val="22"/>
        </w:rPr>
        <w:footnoteReference w:id="20"/>
      </w:r>
      <w:r w:rsidRPr="000937DF">
        <w:rPr>
          <w:rFonts w:ascii="Palatino Linotype" w:hAnsi="Palatino Linotype" w:cs="Tahoma"/>
          <w:bCs/>
          <w:iCs/>
          <w:sz w:val="22"/>
          <w:szCs w:val="22"/>
        </w:rPr>
        <w:t>.</w:t>
      </w:r>
      <w:r w:rsidRPr="000937DF">
        <w:rPr>
          <w:sz w:val="22"/>
          <w:szCs w:val="22"/>
        </w:rPr>
        <w:t xml:space="preserve"> </w:t>
      </w:r>
      <w:r w:rsidRPr="000937DF">
        <w:rPr>
          <w:rFonts w:ascii="Palatino Linotype" w:hAnsi="Palatino Linotype" w:cs="Tahoma"/>
          <w:bCs/>
          <w:iCs/>
          <w:sz w:val="22"/>
          <w:szCs w:val="22"/>
        </w:rPr>
        <w:t>Antes de finalizar la audiencia inicial, el Juez de control determinará, previa propuesta de las partes, el plazo para el cierre de la investigación complementaria</w:t>
      </w:r>
      <w:r w:rsidRPr="000937DF">
        <w:rPr>
          <w:rStyle w:val="Refdenotaalpie"/>
          <w:rFonts w:ascii="Palatino Linotype" w:hAnsi="Palatino Linotype" w:cs="Tahoma"/>
          <w:bCs/>
          <w:iCs/>
          <w:sz w:val="22"/>
          <w:szCs w:val="22"/>
        </w:rPr>
        <w:footnoteReference w:id="21"/>
      </w:r>
      <w:r w:rsidRPr="000937DF">
        <w:rPr>
          <w:rFonts w:ascii="Palatino Linotype" w:hAnsi="Palatino Linotype" w:cs="Tahoma"/>
          <w:bCs/>
          <w:iCs/>
          <w:sz w:val="22"/>
          <w:szCs w:val="22"/>
        </w:rPr>
        <w:t>.</w:t>
      </w:r>
    </w:p>
    <w:p w14:paraId="753492F2"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7CF64FFC"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Una vez cerrada la investigación complementaria, el Ministerio Público dentro de los quince días </w:t>
      </w:r>
      <w:r w:rsidRPr="000937DF">
        <w:rPr>
          <w:rFonts w:ascii="Palatino Linotype" w:eastAsiaTheme="minorEastAsia" w:hAnsi="Palatino Linotype" w:cs="Calibri"/>
          <w:color w:val="000000"/>
          <w:sz w:val="22"/>
          <w:szCs w:val="22"/>
          <w:lang w:eastAsia="es-ES"/>
        </w:rPr>
        <w:t>siguientes</w:t>
      </w:r>
      <w:r w:rsidRPr="000937DF">
        <w:rPr>
          <w:rFonts w:ascii="Palatino Linotype" w:hAnsi="Palatino Linotype" w:cs="Tahoma"/>
          <w:bCs/>
          <w:iCs/>
          <w:sz w:val="22"/>
          <w:szCs w:val="22"/>
        </w:rPr>
        <w:t xml:space="preserve"> deberá</w:t>
      </w:r>
      <w:r w:rsidRPr="000937DF">
        <w:rPr>
          <w:rStyle w:val="Refdenotaalpie"/>
          <w:rFonts w:ascii="Palatino Linotype" w:hAnsi="Palatino Linotype" w:cs="Tahoma"/>
          <w:bCs/>
          <w:iCs/>
          <w:sz w:val="22"/>
          <w:szCs w:val="22"/>
        </w:rPr>
        <w:footnoteReference w:id="22"/>
      </w:r>
      <w:r w:rsidRPr="000937DF">
        <w:rPr>
          <w:rFonts w:ascii="Palatino Linotype" w:hAnsi="Palatino Linotype" w:cs="Tahoma"/>
          <w:bCs/>
          <w:iCs/>
          <w:sz w:val="22"/>
          <w:szCs w:val="22"/>
        </w:rPr>
        <w:t>:</w:t>
      </w:r>
    </w:p>
    <w:p w14:paraId="10678357" w14:textId="77777777" w:rsidR="00DC2A97" w:rsidRPr="000937DF" w:rsidRDefault="00DC2A97" w:rsidP="00DC2A97">
      <w:pPr>
        <w:pStyle w:val="Prrafodelista"/>
        <w:numPr>
          <w:ilvl w:val="1"/>
          <w:numId w:val="2"/>
        </w:numPr>
        <w:tabs>
          <w:tab w:val="left" w:pos="426"/>
        </w:tabs>
        <w:spacing w:before="240" w:after="240"/>
        <w:ind w:left="1134" w:right="51"/>
        <w:contextualSpacing/>
        <w:jc w:val="both"/>
        <w:rPr>
          <w:rFonts w:ascii="Palatino Linotype" w:hAnsi="Palatino Linotype" w:cs="Tahoma"/>
          <w:bCs/>
          <w:i/>
          <w:iCs/>
        </w:rPr>
      </w:pPr>
      <w:r w:rsidRPr="000937DF">
        <w:rPr>
          <w:rFonts w:ascii="Palatino Linotype" w:hAnsi="Palatino Linotype" w:cs="Tahoma"/>
          <w:bCs/>
          <w:i/>
          <w:iCs/>
        </w:rPr>
        <w:t xml:space="preserve">Solicitar el sobreseimiento parcial o total; </w:t>
      </w:r>
    </w:p>
    <w:p w14:paraId="6E265FC4" w14:textId="77777777" w:rsidR="00DC2A97" w:rsidRPr="000937DF" w:rsidRDefault="00DC2A97" w:rsidP="00DC2A97">
      <w:pPr>
        <w:pStyle w:val="Prrafodelista"/>
        <w:numPr>
          <w:ilvl w:val="1"/>
          <w:numId w:val="2"/>
        </w:numPr>
        <w:tabs>
          <w:tab w:val="left" w:pos="426"/>
        </w:tabs>
        <w:spacing w:before="240" w:after="240"/>
        <w:ind w:left="1134" w:right="51"/>
        <w:contextualSpacing/>
        <w:jc w:val="both"/>
        <w:rPr>
          <w:rFonts w:ascii="Palatino Linotype" w:hAnsi="Palatino Linotype" w:cs="Tahoma"/>
          <w:bCs/>
          <w:i/>
          <w:iCs/>
        </w:rPr>
      </w:pPr>
      <w:r w:rsidRPr="000937DF">
        <w:rPr>
          <w:rFonts w:ascii="Palatino Linotype" w:hAnsi="Palatino Linotype" w:cs="Tahoma"/>
          <w:bCs/>
          <w:i/>
          <w:iCs/>
        </w:rPr>
        <w:t xml:space="preserve">Solicitar la suspensión del proceso, o </w:t>
      </w:r>
    </w:p>
    <w:p w14:paraId="5134E720" w14:textId="77777777" w:rsidR="00DC2A97" w:rsidRPr="000937DF" w:rsidRDefault="00DC2A97" w:rsidP="00DC2A97">
      <w:pPr>
        <w:pStyle w:val="Prrafodelista"/>
        <w:numPr>
          <w:ilvl w:val="1"/>
          <w:numId w:val="2"/>
        </w:numPr>
        <w:tabs>
          <w:tab w:val="left" w:pos="426"/>
        </w:tabs>
        <w:spacing w:before="240" w:after="240"/>
        <w:ind w:left="1134" w:right="51"/>
        <w:contextualSpacing/>
        <w:jc w:val="both"/>
        <w:rPr>
          <w:rFonts w:ascii="Palatino Linotype" w:hAnsi="Palatino Linotype" w:cs="Tahoma"/>
          <w:bCs/>
          <w:i/>
          <w:iCs/>
        </w:rPr>
      </w:pPr>
      <w:r w:rsidRPr="000937DF">
        <w:rPr>
          <w:rFonts w:ascii="Palatino Linotype" w:hAnsi="Palatino Linotype" w:cs="Tahoma"/>
          <w:bCs/>
          <w:i/>
          <w:iCs/>
        </w:rPr>
        <w:t>Formular acusación.</w:t>
      </w:r>
    </w:p>
    <w:p w14:paraId="75939974" w14:textId="77777777" w:rsidR="00DC2A97" w:rsidRPr="000937DF" w:rsidRDefault="00DC2A97" w:rsidP="00DC2A97">
      <w:pPr>
        <w:pStyle w:val="Prrafodelista"/>
        <w:tabs>
          <w:tab w:val="left" w:pos="426"/>
        </w:tabs>
        <w:spacing w:before="240" w:after="240"/>
        <w:ind w:left="1134" w:right="51"/>
        <w:contextualSpacing/>
        <w:jc w:val="both"/>
        <w:rPr>
          <w:rFonts w:ascii="Palatino Linotype" w:hAnsi="Palatino Linotype" w:cs="Tahoma"/>
          <w:bCs/>
          <w:i/>
          <w:iCs/>
        </w:rPr>
      </w:pPr>
    </w:p>
    <w:p w14:paraId="3A72E762"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La formal acusación por parte del Ministerio Público, iniciará la etapa intermedia del proceso, el cual tendrá por objeto el ofrecimiento y admisión de los medios de prueba, así como la depuración de los hechos controvertidos que serán materia del juicio. Se compondrá de dos fases, una escrita y otra oral. La fase escrita iniciará con el escrito de acusación que formule el Ministerio Público y comprenderá todos los actos previos a la celebración de la audiencia intermedia. La segunda fase dará inicio con la celebración de la audiencia intermedia y culminará con el dictado del auto de apertura a juicio</w:t>
      </w:r>
      <w:r w:rsidRPr="000937DF">
        <w:rPr>
          <w:rStyle w:val="Refdenotaalpie"/>
          <w:rFonts w:ascii="Palatino Linotype" w:hAnsi="Palatino Linotype" w:cs="Tahoma"/>
          <w:bCs/>
          <w:iCs/>
          <w:sz w:val="22"/>
          <w:szCs w:val="22"/>
        </w:rPr>
        <w:footnoteReference w:id="23"/>
      </w:r>
      <w:r w:rsidRPr="000937DF">
        <w:rPr>
          <w:rFonts w:ascii="Palatino Linotype" w:hAnsi="Palatino Linotype" w:cs="Tahoma"/>
          <w:bCs/>
          <w:iCs/>
          <w:sz w:val="22"/>
          <w:szCs w:val="22"/>
        </w:rPr>
        <w:t>.</w:t>
      </w:r>
    </w:p>
    <w:p w14:paraId="65237856"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1CCC5E00" w14:textId="77777777" w:rsidR="00DC2A97" w:rsidRPr="000937DF" w:rsidRDefault="00DC2A97" w:rsidP="00EA1342">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lastRenderedPageBreak/>
        <w:t xml:space="preserve">De conformidad con lo establecido por el numeral 335 del Código Nacional de Procedimientos </w:t>
      </w:r>
      <w:r w:rsidRPr="000937DF">
        <w:rPr>
          <w:rFonts w:ascii="Palatino Linotype" w:eastAsiaTheme="minorEastAsia" w:hAnsi="Palatino Linotype" w:cs="Calibri"/>
          <w:color w:val="000000"/>
          <w:sz w:val="22"/>
          <w:szCs w:val="22"/>
          <w:lang w:eastAsia="es-ES"/>
        </w:rPr>
        <w:t>Penales</w:t>
      </w:r>
      <w:r w:rsidRPr="000937DF">
        <w:rPr>
          <w:rFonts w:ascii="Palatino Linotype" w:hAnsi="Palatino Linotype" w:cs="Tahoma"/>
          <w:bCs/>
          <w:iCs/>
          <w:sz w:val="22"/>
          <w:szCs w:val="22"/>
        </w:rPr>
        <w:t>, la acusación deberá considerar los siguientes elementos:</w:t>
      </w:r>
      <w:r w:rsidR="00344488" w:rsidRPr="000937DF">
        <w:rPr>
          <w:rFonts w:ascii="Palatino Linotype" w:hAnsi="Palatino Linotype" w:cs="Tahoma"/>
          <w:bCs/>
          <w:iCs/>
          <w:sz w:val="22"/>
          <w:szCs w:val="22"/>
        </w:rPr>
        <w:t xml:space="preserve"> </w:t>
      </w:r>
    </w:p>
    <w:p w14:paraId="673EE8E9"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w:t>
      </w:r>
      <w:r w:rsidRPr="000937DF">
        <w:rPr>
          <w:rFonts w:ascii="Palatino Linotype" w:hAnsi="Palatino Linotype" w:cs="Tahoma"/>
          <w:b/>
          <w:bCs/>
          <w:i/>
          <w:iCs/>
        </w:rPr>
        <w:t>Artículo 335</w:t>
      </w:r>
      <w:r w:rsidRPr="000937DF">
        <w:rPr>
          <w:rFonts w:ascii="Palatino Linotype" w:hAnsi="Palatino Linotype" w:cs="Tahoma"/>
          <w:bCs/>
          <w:i/>
          <w:iCs/>
        </w:rPr>
        <w:t xml:space="preserve">. Contenido de la acusación Una vez concluida la fase de investigación complementaria, si el Ministerio Público estima que la investigación aporta elementos para ejercer la acción penal contra el imputado, presentará la acusación. La acusación del Ministerio Público, deberá contener en forma clara y precisa: </w:t>
      </w:r>
    </w:p>
    <w:p w14:paraId="737A1459"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I.</w:t>
      </w:r>
      <w:r w:rsidRPr="000937DF">
        <w:rPr>
          <w:rFonts w:ascii="Palatino Linotype" w:hAnsi="Palatino Linotype" w:cs="Tahoma"/>
          <w:bCs/>
          <w:i/>
          <w:iCs/>
        </w:rPr>
        <w:t xml:space="preserve"> La individualización del o los acusados y de su Defensor; </w:t>
      </w:r>
    </w:p>
    <w:p w14:paraId="2D6B9524"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II.</w:t>
      </w:r>
      <w:r w:rsidRPr="000937DF">
        <w:rPr>
          <w:rFonts w:ascii="Palatino Linotype" w:hAnsi="Palatino Linotype" w:cs="Tahoma"/>
          <w:bCs/>
          <w:i/>
          <w:iCs/>
        </w:rPr>
        <w:t xml:space="preserve"> La identificación de la víctima u ofendido y su Asesor jurídico; </w:t>
      </w:r>
    </w:p>
    <w:p w14:paraId="134554D5"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III.</w:t>
      </w:r>
      <w:r w:rsidRPr="000937DF">
        <w:rPr>
          <w:rFonts w:ascii="Palatino Linotype" w:hAnsi="Palatino Linotype" w:cs="Tahoma"/>
          <w:bCs/>
          <w:i/>
          <w:iCs/>
        </w:rPr>
        <w:t xml:space="preserve"> La relación clara, precisa, circunstanciada y específica de los hechos atribuidos en modo, tiempo y lugar, así como su clasificación jurídica; </w:t>
      </w:r>
    </w:p>
    <w:p w14:paraId="65D41F2E"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IV.</w:t>
      </w:r>
      <w:r w:rsidRPr="000937DF">
        <w:rPr>
          <w:rFonts w:ascii="Palatino Linotype" w:hAnsi="Palatino Linotype" w:cs="Tahoma"/>
          <w:bCs/>
          <w:i/>
          <w:iCs/>
        </w:rPr>
        <w:t xml:space="preserve"> La relación de las modalidades del delito que concurrieren; </w:t>
      </w:r>
    </w:p>
    <w:p w14:paraId="15BD2392"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V.</w:t>
      </w:r>
      <w:r w:rsidRPr="000937DF">
        <w:rPr>
          <w:rFonts w:ascii="Palatino Linotype" w:hAnsi="Palatino Linotype" w:cs="Tahoma"/>
          <w:bCs/>
          <w:i/>
          <w:iCs/>
        </w:rPr>
        <w:t xml:space="preserve"> La autoría o participación concreta que se atribuye al acusado;</w:t>
      </w:r>
    </w:p>
    <w:p w14:paraId="140A552F"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VI.</w:t>
      </w:r>
      <w:r w:rsidRPr="000937DF">
        <w:rPr>
          <w:rFonts w:ascii="Palatino Linotype" w:hAnsi="Palatino Linotype" w:cs="Tahoma"/>
          <w:bCs/>
          <w:i/>
          <w:iCs/>
        </w:rPr>
        <w:t xml:space="preserve"> La expresión de los preceptos legales aplicables; </w:t>
      </w:r>
    </w:p>
    <w:p w14:paraId="6B72A7F1"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VII.</w:t>
      </w:r>
      <w:r w:rsidRPr="000937DF">
        <w:rPr>
          <w:rFonts w:ascii="Palatino Linotype" w:hAnsi="Palatino Linotype" w:cs="Tahoma"/>
          <w:bCs/>
          <w:i/>
          <w:iCs/>
        </w:rPr>
        <w:t xml:space="preserve"> El señalamiento de los medios de prueba que pretenda ofrecer, así como la prueba anticipada que se hubiere desahogado en la etapa de investigación; </w:t>
      </w:r>
    </w:p>
    <w:p w14:paraId="28A1A769"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VIII.</w:t>
      </w:r>
      <w:r w:rsidRPr="000937DF">
        <w:rPr>
          <w:rFonts w:ascii="Palatino Linotype" w:hAnsi="Palatino Linotype" w:cs="Tahoma"/>
          <w:bCs/>
          <w:i/>
          <w:iCs/>
        </w:rPr>
        <w:t xml:space="preserve"> El monto de la reparación del daño y los medios de prueba que ofrece para probarlo; </w:t>
      </w:r>
    </w:p>
    <w:p w14:paraId="5CA03F7C"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IX.</w:t>
      </w:r>
      <w:r w:rsidRPr="000937DF">
        <w:rPr>
          <w:rFonts w:ascii="Palatino Linotype" w:hAnsi="Palatino Linotype" w:cs="Tahoma"/>
          <w:bCs/>
          <w:i/>
          <w:iCs/>
        </w:rPr>
        <w:t xml:space="preserve"> La pena o medida de seguridad cuya aplicación se solicita incluyendo en su caso la correspondiente al concurso de delitos; </w:t>
      </w:r>
    </w:p>
    <w:p w14:paraId="0AB057CF"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X.</w:t>
      </w:r>
      <w:r w:rsidRPr="000937DF">
        <w:rPr>
          <w:rFonts w:ascii="Palatino Linotype" w:hAnsi="Palatino Linotype" w:cs="Tahoma"/>
          <w:bCs/>
          <w:i/>
          <w:iCs/>
        </w:rPr>
        <w:t xml:space="preserve"> Los medios de prueba que el Ministerio Público pretenda presentar para la individualización de la pena y en su caso, para la procedencia de sustitutivos de la pena de prisión o suspensión de la misma; </w:t>
      </w:r>
    </w:p>
    <w:p w14:paraId="2A2558EC"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XI.</w:t>
      </w:r>
      <w:r w:rsidRPr="000937DF">
        <w:rPr>
          <w:rFonts w:ascii="Palatino Linotype" w:hAnsi="Palatino Linotype" w:cs="Tahoma"/>
          <w:bCs/>
          <w:i/>
          <w:iCs/>
        </w:rPr>
        <w:t xml:space="preserve"> La solicitud de decomiso de los bienes asegurados; </w:t>
      </w:r>
    </w:p>
    <w:p w14:paraId="75D11C77"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XII.</w:t>
      </w:r>
      <w:r w:rsidRPr="000937DF">
        <w:rPr>
          <w:rFonts w:ascii="Palatino Linotype" w:hAnsi="Palatino Linotype" w:cs="Tahoma"/>
          <w:bCs/>
          <w:i/>
          <w:iCs/>
        </w:rPr>
        <w:t xml:space="preserve"> La propuesta de acuerdos probatorios, en su caso, y </w:t>
      </w:r>
    </w:p>
    <w:p w14:paraId="723DED0D"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lastRenderedPageBreak/>
        <w:t>XIII.</w:t>
      </w:r>
      <w:r w:rsidRPr="000937DF">
        <w:rPr>
          <w:rFonts w:ascii="Palatino Linotype" w:hAnsi="Palatino Linotype" w:cs="Tahoma"/>
          <w:bCs/>
          <w:i/>
          <w:iCs/>
        </w:rPr>
        <w:t xml:space="preserve"> La solicitud de que se aplique alguna forma de terminación anticipada del proceso cuando ésta proceda.”</w:t>
      </w:r>
    </w:p>
    <w:p w14:paraId="4CBBF43F"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Al inicio de la audiencia el Ministerio Público realizará una exposición resumida de su acusación, seguida de las exposiciones de la víctima u ofendido y el acusado por sí o por conducto de su </w:t>
      </w:r>
      <w:r w:rsidRPr="000937DF">
        <w:rPr>
          <w:rFonts w:ascii="Palatino Linotype" w:eastAsiaTheme="minorEastAsia" w:hAnsi="Palatino Linotype" w:cs="Calibri"/>
          <w:color w:val="000000"/>
          <w:sz w:val="22"/>
          <w:szCs w:val="22"/>
          <w:lang w:eastAsia="es-ES"/>
        </w:rPr>
        <w:t>Defensor</w:t>
      </w:r>
      <w:r w:rsidRPr="000937DF">
        <w:rPr>
          <w:rFonts w:ascii="Palatino Linotype" w:hAnsi="Palatino Linotype" w:cs="Tahoma"/>
          <w:bCs/>
          <w:iCs/>
          <w:sz w:val="22"/>
          <w:szCs w:val="22"/>
        </w:rPr>
        <w:t>; acto seguido las partes podrán deducir cualquier incidencia que consideren relevante presentar. La Defensa podrá promover las excepciones que procedan</w:t>
      </w:r>
      <w:r w:rsidRPr="000937DF">
        <w:rPr>
          <w:rStyle w:val="Refdenotaalpie"/>
          <w:rFonts w:ascii="Palatino Linotype" w:hAnsi="Palatino Linotype" w:cs="Tahoma"/>
          <w:bCs/>
          <w:iCs/>
          <w:sz w:val="22"/>
          <w:szCs w:val="22"/>
        </w:rPr>
        <w:footnoteReference w:id="24"/>
      </w:r>
      <w:r w:rsidRPr="000937DF">
        <w:rPr>
          <w:rFonts w:ascii="Palatino Linotype" w:hAnsi="Palatino Linotype" w:cs="Tahoma"/>
          <w:bCs/>
          <w:iCs/>
          <w:sz w:val="22"/>
          <w:szCs w:val="22"/>
        </w:rPr>
        <w:t>.</w:t>
      </w:r>
    </w:p>
    <w:p w14:paraId="6195FDB6"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52330D60"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Posteriormente, y una vez establecidos los acuerdos probatorios, el Juez se cerciorará de que se haya </w:t>
      </w:r>
      <w:r w:rsidRPr="000937DF">
        <w:rPr>
          <w:rFonts w:ascii="Palatino Linotype" w:eastAsiaTheme="minorEastAsia" w:hAnsi="Palatino Linotype" w:cs="Calibri"/>
          <w:color w:val="000000"/>
          <w:sz w:val="22"/>
          <w:szCs w:val="22"/>
          <w:lang w:eastAsia="es-ES"/>
        </w:rPr>
        <w:t>cumplido</w:t>
      </w:r>
      <w:r w:rsidRPr="000937DF">
        <w:rPr>
          <w:rFonts w:ascii="Palatino Linotype" w:hAnsi="Palatino Linotype" w:cs="Tahoma"/>
          <w:bCs/>
          <w:iCs/>
          <w:sz w:val="22"/>
          <w:szCs w:val="22"/>
        </w:rPr>
        <w:t xml:space="preserve"> con el descubrimiento probatorio a cargo de las partes y, en caso de controversia abrirá debate entre las mismas y resolverá lo procedente</w:t>
      </w:r>
      <w:r w:rsidRPr="000937DF">
        <w:rPr>
          <w:rStyle w:val="Refdenotaalpie"/>
          <w:rFonts w:ascii="Palatino Linotype" w:hAnsi="Palatino Linotype" w:cs="Tahoma"/>
          <w:bCs/>
          <w:iCs/>
          <w:sz w:val="22"/>
          <w:szCs w:val="22"/>
        </w:rPr>
        <w:footnoteReference w:id="25"/>
      </w:r>
      <w:r w:rsidRPr="000937DF">
        <w:rPr>
          <w:rFonts w:ascii="Palatino Linotype" w:hAnsi="Palatino Linotype" w:cs="Tahoma"/>
          <w:bCs/>
          <w:iCs/>
          <w:sz w:val="22"/>
          <w:szCs w:val="22"/>
        </w:rPr>
        <w:t xml:space="preserve">. </w:t>
      </w:r>
    </w:p>
    <w:p w14:paraId="0B95090D"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6F88DDC9"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eastAsiaTheme="minorEastAsia" w:hAnsi="Palatino Linotype" w:cs="Calibri"/>
          <w:color w:val="000000"/>
          <w:sz w:val="22"/>
          <w:szCs w:val="22"/>
          <w:lang w:eastAsia="es-ES"/>
        </w:rPr>
        <w:t>Finalizada</w:t>
      </w:r>
      <w:r w:rsidRPr="000937DF">
        <w:rPr>
          <w:rFonts w:ascii="Palatino Linotype" w:hAnsi="Palatino Linotype" w:cs="Tahoma"/>
          <w:bCs/>
          <w:iCs/>
          <w:sz w:val="22"/>
          <w:szCs w:val="22"/>
        </w:rPr>
        <w:t xml:space="preserve"> la audiencia, el Juez de control dictará el auto de apertura de juicio que deberá indicar</w:t>
      </w:r>
      <w:r w:rsidRPr="000937DF">
        <w:rPr>
          <w:rStyle w:val="Refdenotaalpie"/>
          <w:rFonts w:ascii="Palatino Linotype" w:hAnsi="Palatino Linotype" w:cs="Tahoma"/>
          <w:bCs/>
          <w:iCs/>
          <w:sz w:val="22"/>
          <w:szCs w:val="22"/>
        </w:rPr>
        <w:footnoteReference w:id="26"/>
      </w:r>
      <w:r w:rsidRPr="000937DF">
        <w:rPr>
          <w:rFonts w:ascii="Palatino Linotype" w:hAnsi="Palatino Linotype" w:cs="Tahoma"/>
          <w:bCs/>
          <w:iCs/>
          <w:sz w:val="22"/>
          <w:szCs w:val="22"/>
        </w:rPr>
        <w:t>:</w:t>
      </w:r>
    </w:p>
    <w:p w14:paraId="70B14C59"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El Tribunal de enjuiciamiento competente para celebrar la audiencia de juicio;</w:t>
      </w:r>
    </w:p>
    <w:p w14:paraId="5CCAD490"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La individualización de los acusados; </w:t>
      </w:r>
    </w:p>
    <w:p w14:paraId="6C49773F"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Las acusaciones que deberán ser objeto del juicio y las correcciones formales que se hubieren realizado en ellas, así como los hechos materia de la acusación; </w:t>
      </w:r>
    </w:p>
    <w:p w14:paraId="59708B0B"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Los acuerdos probatorios a los que hubieren llegado las partes; </w:t>
      </w:r>
    </w:p>
    <w:p w14:paraId="4D931936"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Los medios de prueba admitidos que deberán ser desahogados en la audiencia de juicio, así como la prueba anticipada; </w:t>
      </w:r>
    </w:p>
    <w:p w14:paraId="1F3AFBE5"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Los medios de pruebas que, en su caso, deban de desahogarse en la audiencia de individualización de las sanciones y de reparación del daño; </w:t>
      </w:r>
    </w:p>
    <w:p w14:paraId="34DE3A69"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Las medidas de resguardo de identidad y datos personales que procedan; </w:t>
      </w:r>
    </w:p>
    <w:p w14:paraId="4C73AD27"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Las personas que deban ser citadas a la audiencia de debate, y </w:t>
      </w:r>
    </w:p>
    <w:p w14:paraId="0CC6974C"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Las medidas cautelares que hayan sido impuestas al acusado.</w:t>
      </w:r>
    </w:p>
    <w:p w14:paraId="39A70831" w14:textId="77777777" w:rsidR="00DC2A97" w:rsidRPr="000937DF" w:rsidRDefault="00DC2A97" w:rsidP="00DC2A97">
      <w:pPr>
        <w:pStyle w:val="Prrafodelista"/>
        <w:tabs>
          <w:tab w:val="left" w:pos="426"/>
        </w:tabs>
        <w:spacing w:before="240" w:after="240"/>
        <w:ind w:left="1134" w:right="900"/>
        <w:contextualSpacing/>
        <w:jc w:val="both"/>
        <w:rPr>
          <w:rFonts w:ascii="Palatino Linotype" w:hAnsi="Palatino Linotype" w:cs="Tahoma"/>
          <w:bCs/>
          <w:i/>
          <w:iCs/>
        </w:rPr>
      </w:pPr>
    </w:p>
    <w:p w14:paraId="57F20183"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lastRenderedPageBreak/>
        <w:t xml:space="preserve">Finalmente, la etapa de </w:t>
      </w:r>
      <w:r w:rsidRPr="000937DF">
        <w:rPr>
          <w:rFonts w:ascii="Palatino Linotype" w:hAnsi="Palatino Linotype" w:cs="Tahoma"/>
          <w:b/>
          <w:bCs/>
          <w:iCs/>
          <w:sz w:val="22"/>
          <w:szCs w:val="22"/>
        </w:rPr>
        <w:t>juicio</w:t>
      </w:r>
      <w:r w:rsidRPr="000937DF">
        <w:rPr>
          <w:rFonts w:ascii="Palatino Linotype" w:hAnsi="Palatino Linotype" w:cs="Tahoma"/>
          <w:bCs/>
          <w:iCs/>
          <w:sz w:val="22"/>
          <w:szCs w:val="22"/>
        </w:rPr>
        <w:t xml:space="preserve"> será el periodo de </w:t>
      </w:r>
      <w:r w:rsidRPr="000937DF">
        <w:rPr>
          <w:rFonts w:ascii="Palatino Linotype" w:hAnsi="Palatino Linotype" w:cs="Tahoma"/>
          <w:b/>
          <w:bCs/>
          <w:iCs/>
          <w:sz w:val="22"/>
          <w:szCs w:val="22"/>
        </w:rPr>
        <w:t>decisión</w:t>
      </w:r>
      <w:r w:rsidRPr="000937DF">
        <w:rPr>
          <w:rFonts w:ascii="Palatino Linotype" w:hAnsi="Palatino Linotype" w:cs="Tahoma"/>
          <w:bCs/>
          <w:iCs/>
          <w:sz w:val="22"/>
          <w:szCs w:val="22"/>
        </w:rPr>
        <w:t xml:space="preserve"> de las cuestiones esenciales del </w:t>
      </w:r>
      <w:r w:rsidRPr="000937DF">
        <w:rPr>
          <w:rFonts w:ascii="Palatino Linotype" w:eastAsiaTheme="minorEastAsia" w:hAnsi="Palatino Linotype" w:cs="Calibri"/>
          <w:color w:val="000000"/>
          <w:sz w:val="22"/>
          <w:szCs w:val="22"/>
          <w:lang w:eastAsia="es-ES"/>
        </w:rPr>
        <w:t>proceso</w:t>
      </w:r>
      <w:r w:rsidRPr="000937DF">
        <w:rPr>
          <w:rFonts w:ascii="Palatino Linotype" w:hAnsi="Palatino Linotype" w:cs="Tahoma"/>
          <w:bCs/>
          <w:iCs/>
          <w:sz w:val="22"/>
          <w:szCs w:val="22"/>
        </w:rPr>
        <w:t>. Se realizará sobre la base de la acusación en el que se deberá asegurar la efectiva vigencia de los principios de inmediación, publicidad, concentración, igualdad, contradicción y continuidad</w:t>
      </w:r>
      <w:r w:rsidRPr="000937DF">
        <w:rPr>
          <w:rStyle w:val="Refdenotaalpie"/>
          <w:rFonts w:ascii="Palatino Linotype" w:hAnsi="Palatino Linotype" w:cs="Tahoma"/>
          <w:bCs/>
          <w:iCs/>
          <w:sz w:val="22"/>
          <w:szCs w:val="22"/>
        </w:rPr>
        <w:footnoteReference w:id="27"/>
      </w:r>
      <w:r w:rsidRPr="000937DF">
        <w:rPr>
          <w:rFonts w:ascii="Palatino Linotype" w:hAnsi="Palatino Linotype" w:cs="Tahoma"/>
          <w:bCs/>
          <w:iCs/>
          <w:sz w:val="22"/>
          <w:szCs w:val="22"/>
        </w:rPr>
        <w:t>.</w:t>
      </w:r>
    </w:p>
    <w:p w14:paraId="7A30E3E4"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40A391D9"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eastAsia="Palatino Linotype" w:hAnsi="Palatino Linotype" w:cs="Palatino Linotype"/>
          <w:color w:val="000000"/>
          <w:sz w:val="22"/>
          <w:szCs w:val="22"/>
        </w:rPr>
        <w:t>Una</w:t>
      </w:r>
      <w:r w:rsidRPr="000937DF">
        <w:rPr>
          <w:rFonts w:ascii="Palatino Linotype" w:hAnsi="Palatino Linotype" w:cs="Tahoma"/>
          <w:bCs/>
          <w:iCs/>
          <w:sz w:val="22"/>
          <w:szCs w:val="22"/>
        </w:rPr>
        <w:t xml:space="preserve"> vez recibido el auto de apertura a juicio oral, el Tribunal de enjuiciamiento deberá establecer </w:t>
      </w:r>
      <w:r w:rsidRPr="000937DF">
        <w:rPr>
          <w:rFonts w:ascii="Palatino Linotype" w:eastAsiaTheme="minorEastAsia" w:hAnsi="Palatino Linotype" w:cs="Calibri"/>
          <w:color w:val="000000"/>
          <w:sz w:val="22"/>
          <w:szCs w:val="22"/>
          <w:lang w:eastAsia="es-ES"/>
        </w:rPr>
        <w:t>la</w:t>
      </w:r>
      <w:r w:rsidRPr="000937DF">
        <w:rPr>
          <w:rFonts w:ascii="Palatino Linotype" w:hAnsi="Palatino Linotype" w:cs="Tahoma"/>
          <w:bCs/>
          <w:iCs/>
          <w:sz w:val="22"/>
          <w:szCs w:val="22"/>
        </w:rPr>
        <w:t xml:space="preserve"> fecha para la celebración de la audiencia de debate, la que deberá tener lugar no antes de veinte ni después de sesenta días naturales contados a partir de la emisión del auto de apertura a juicio. Se citará oportunamente a todas las partes para asistir al debate. El acusado deberá ser citado, por lo menos con siete días de anticipación al comienzo de la audiencia</w:t>
      </w:r>
      <w:r w:rsidRPr="000937DF">
        <w:rPr>
          <w:rStyle w:val="Refdenotaalpie"/>
          <w:rFonts w:ascii="Palatino Linotype" w:hAnsi="Palatino Linotype" w:cs="Tahoma"/>
          <w:bCs/>
          <w:iCs/>
          <w:sz w:val="22"/>
          <w:szCs w:val="22"/>
        </w:rPr>
        <w:footnoteReference w:id="28"/>
      </w:r>
      <w:r w:rsidRPr="000937DF">
        <w:rPr>
          <w:rFonts w:ascii="Palatino Linotype" w:hAnsi="Palatino Linotype" w:cs="Tahoma"/>
          <w:bCs/>
          <w:iCs/>
          <w:sz w:val="22"/>
          <w:szCs w:val="22"/>
        </w:rPr>
        <w:t>.</w:t>
      </w:r>
    </w:p>
    <w:p w14:paraId="5E1EFA96"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658034A4"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eastAsia="Palatino Linotype" w:hAnsi="Palatino Linotype" w:cs="Palatino Linotype"/>
          <w:color w:val="000000"/>
          <w:sz w:val="22"/>
          <w:szCs w:val="22"/>
        </w:rPr>
        <w:t>En</w:t>
      </w:r>
      <w:r w:rsidRPr="000937DF">
        <w:rPr>
          <w:rFonts w:ascii="Palatino Linotype" w:hAnsi="Palatino Linotype" w:cs="Tahoma"/>
          <w:bCs/>
          <w:iCs/>
          <w:sz w:val="22"/>
          <w:szCs w:val="22"/>
        </w:rPr>
        <w:t xml:space="preserve"> el </w:t>
      </w:r>
      <w:r w:rsidRPr="000937DF">
        <w:rPr>
          <w:rFonts w:ascii="Palatino Linotype" w:eastAsiaTheme="minorEastAsia" w:hAnsi="Palatino Linotype" w:cs="Calibri"/>
          <w:color w:val="000000"/>
          <w:sz w:val="22"/>
          <w:szCs w:val="22"/>
          <w:lang w:eastAsia="es-ES"/>
        </w:rPr>
        <w:t>día</w:t>
      </w:r>
      <w:r w:rsidRPr="000937DF">
        <w:rPr>
          <w:rFonts w:ascii="Palatino Linotype" w:hAnsi="Palatino Linotype" w:cs="Tahoma"/>
          <w:bCs/>
          <w:iCs/>
          <w:sz w:val="22"/>
          <w:szCs w:val="22"/>
        </w:rPr>
        <w:t xml:space="preserve"> y la hora fijados, el Tribunal de enjuiciamiento se constituirá en el lugar señalado para la audiencia. Quien la presida, verificará la presencia de los demás jueces, de las partes, de los testigos, peritos o intérpretes que deban participar en el debate y de la existencia de las cosas que deban exhibirse en él, y la declarará abierta. Advertirá al acusado y al público sobre la importancia y el significado de lo que acontecerá en la audiencia e indicará al acusado que esté atento a ella</w:t>
      </w:r>
      <w:r w:rsidRPr="000937DF">
        <w:rPr>
          <w:rStyle w:val="Refdenotaalpie"/>
          <w:rFonts w:ascii="Palatino Linotype" w:hAnsi="Palatino Linotype" w:cs="Tahoma"/>
          <w:bCs/>
          <w:iCs/>
          <w:sz w:val="22"/>
          <w:szCs w:val="22"/>
        </w:rPr>
        <w:footnoteReference w:id="29"/>
      </w:r>
      <w:r w:rsidRPr="000937DF">
        <w:rPr>
          <w:rFonts w:ascii="Palatino Linotype" w:hAnsi="Palatino Linotype" w:cs="Tahoma"/>
          <w:bCs/>
          <w:iCs/>
          <w:sz w:val="22"/>
          <w:szCs w:val="22"/>
        </w:rPr>
        <w:t>.</w:t>
      </w:r>
    </w:p>
    <w:p w14:paraId="027063DB"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2CB367BB"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 Abierto el debate, el juzgador que presida la audiencia de juicio concederá la palabra al </w:t>
      </w:r>
      <w:r w:rsidRPr="000937DF">
        <w:rPr>
          <w:rFonts w:ascii="Palatino Linotype" w:eastAsia="Palatino Linotype" w:hAnsi="Palatino Linotype" w:cs="Palatino Linotype"/>
          <w:color w:val="000000"/>
          <w:sz w:val="22"/>
          <w:szCs w:val="22"/>
        </w:rPr>
        <w:t>Ministerio</w:t>
      </w:r>
      <w:r w:rsidRPr="000937DF">
        <w:rPr>
          <w:rFonts w:ascii="Palatino Linotype" w:hAnsi="Palatino Linotype" w:cs="Tahoma"/>
          <w:bCs/>
          <w:iCs/>
          <w:sz w:val="22"/>
          <w:szCs w:val="22"/>
        </w:rPr>
        <w:t xml:space="preserve"> Público para que exponga de manera concreta y oral la acusación y una descripción </w:t>
      </w:r>
      <w:r w:rsidRPr="000937DF">
        <w:rPr>
          <w:rFonts w:ascii="Palatino Linotype" w:eastAsiaTheme="minorEastAsia" w:hAnsi="Palatino Linotype" w:cs="Calibri"/>
          <w:color w:val="000000"/>
          <w:sz w:val="22"/>
          <w:szCs w:val="22"/>
          <w:lang w:eastAsia="es-ES"/>
        </w:rPr>
        <w:t>sumaria</w:t>
      </w:r>
      <w:r w:rsidRPr="000937DF">
        <w:rPr>
          <w:rFonts w:ascii="Palatino Linotype" w:hAnsi="Palatino Linotype" w:cs="Tahoma"/>
          <w:bCs/>
          <w:iCs/>
          <w:sz w:val="22"/>
          <w:szCs w:val="22"/>
        </w:rPr>
        <w:t xml:space="preserve"> de las pruebas que utilizará para demostrarla. Acto seguido se concederá la palabra al Asesor jurídico de la víctima u ofendido, si lo hubiere, para los mismos efectos. Posteriormente se </w:t>
      </w:r>
      <w:r w:rsidRPr="000937DF">
        <w:rPr>
          <w:rFonts w:ascii="Palatino Linotype" w:hAnsi="Palatino Linotype" w:cs="Tahoma"/>
          <w:bCs/>
          <w:iCs/>
          <w:sz w:val="22"/>
          <w:szCs w:val="22"/>
        </w:rPr>
        <w:lastRenderedPageBreak/>
        <w:t>ofrecerá la palabra al Defensor, quien podrá expresar lo que al interés del imputado convenga en forma concreta y oral</w:t>
      </w:r>
      <w:r w:rsidRPr="000937DF">
        <w:rPr>
          <w:rStyle w:val="Refdenotaalpie"/>
          <w:rFonts w:ascii="Palatino Linotype" w:hAnsi="Palatino Linotype" w:cs="Tahoma"/>
          <w:bCs/>
          <w:iCs/>
          <w:sz w:val="22"/>
          <w:szCs w:val="22"/>
        </w:rPr>
        <w:footnoteReference w:id="30"/>
      </w:r>
      <w:r w:rsidRPr="000937DF">
        <w:rPr>
          <w:rFonts w:ascii="Palatino Linotype" w:hAnsi="Palatino Linotype" w:cs="Tahoma"/>
          <w:bCs/>
          <w:iCs/>
          <w:sz w:val="22"/>
          <w:szCs w:val="22"/>
        </w:rPr>
        <w:t>.</w:t>
      </w:r>
    </w:p>
    <w:p w14:paraId="799F39FD"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6C809392"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Cada parte determinará el orden en que desahogará sus medios de prueba. </w:t>
      </w:r>
      <w:r w:rsidRPr="000937DF">
        <w:rPr>
          <w:rFonts w:ascii="Palatino Linotype" w:eastAsia="Palatino Linotype" w:hAnsi="Palatino Linotype" w:cs="Palatino Linotype"/>
          <w:color w:val="000000"/>
          <w:sz w:val="22"/>
          <w:szCs w:val="22"/>
        </w:rPr>
        <w:t>Corresponderá</w:t>
      </w:r>
      <w:r w:rsidRPr="000937DF">
        <w:rPr>
          <w:rFonts w:ascii="Palatino Linotype" w:hAnsi="Palatino Linotype" w:cs="Tahoma"/>
          <w:bCs/>
          <w:iCs/>
          <w:sz w:val="22"/>
          <w:szCs w:val="22"/>
        </w:rPr>
        <w:t xml:space="preserve"> recibir primero los medios de prueba admitidos al Ministerio Público, posteriormente los de la víctima u ofendido del delito y finalmente los de la defensa</w:t>
      </w:r>
      <w:r w:rsidRPr="000937DF">
        <w:rPr>
          <w:rStyle w:val="Refdenotaalpie"/>
          <w:rFonts w:ascii="Palatino Linotype" w:hAnsi="Palatino Linotype" w:cs="Tahoma"/>
          <w:bCs/>
          <w:iCs/>
          <w:sz w:val="22"/>
          <w:szCs w:val="22"/>
        </w:rPr>
        <w:footnoteReference w:id="31"/>
      </w:r>
      <w:r w:rsidRPr="000937DF">
        <w:rPr>
          <w:rFonts w:ascii="Palatino Linotype" w:hAnsi="Palatino Linotype" w:cs="Tahoma"/>
          <w:bCs/>
          <w:iCs/>
          <w:sz w:val="22"/>
          <w:szCs w:val="22"/>
        </w:rPr>
        <w:t>.</w:t>
      </w:r>
    </w:p>
    <w:p w14:paraId="1BAA4133"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6D94106D"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Concluido el </w:t>
      </w:r>
      <w:r w:rsidRPr="000937DF">
        <w:rPr>
          <w:rFonts w:ascii="Palatino Linotype" w:eastAsiaTheme="minorEastAsia" w:hAnsi="Palatino Linotype" w:cs="Calibri"/>
          <w:color w:val="000000"/>
          <w:sz w:val="22"/>
          <w:szCs w:val="22"/>
          <w:lang w:eastAsia="es-ES"/>
        </w:rPr>
        <w:t>desahogo</w:t>
      </w:r>
      <w:r w:rsidRPr="000937DF">
        <w:rPr>
          <w:rFonts w:ascii="Palatino Linotype" w:hAnsi="Palatino Linotype" w:cs="Tahoma"/>
          <w:bCs/>
          <w:iCs/>
          <w:sz w:val="22"/>
          <w:szCs w:val="22"/>
        </w:rPr>
        <w:t xml:space="preserve"> de las pruebas, el juzgador que preside la audiencia de juicio otorgará sucesivamente la palabra al Ministerio Público, al Asesor jurídico de la víctima u ofendido del delito y al Defensor, para que expongan sus alegatos de clausura. Acto seguido, se otorgará al Ministerio Público y al Defensor la posibilidad de replicar y duplicar. La réplica sólo podrá referirse a lo expresado por el Defensor en su alegato de clausura y la dúplica a lo expresado por el Ministerio Público o a la víctima u ofendido del delito en la réplica. Se otorgará la palabra por último al acusado y al final se declarará cerrado el debate</w:t>
      </w:r>
      <w:r w:rsidRPr="000937DF">
        <w:rPr>
          <w:rStyle w:val="Refdenotaalpie"/>
          <w:rFonts w:ascii="Palatino Linotype" w:hAnsi="Palatino Linotype" w:cs="Tahoma"/>
          <w:bCs/>
          <w:iCs/>
          <w:sz w:val="22"/>
          <w:szCs w:val="22"/>
        </w:rPr>
        <w:footnoteReference w:id="32"/>
      </w:r>
      <w:r w:rsidRPr="000937DF">
        <w:rPr>
          <w:rFonts w:ascii="Palatino Linotype" w:hAnsi="Palatino Linotype" w:cs="Tahoma"/>
          <w:bCs/>
          <w:iCs/>
          <w:sz w:val="22"/>
          <w:szCs w:val="22"/>
        </w:rPr>
        <w:t>.</w:t>
      </w:r>
    </w:p>
    <w:p w14:paraId="644709B3"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144C0BA5" w14:textId="77777777" w:rsidR="00DC2A97" w:rsidRPr="000937DF" w:rsidRDefault="00DC2A97" w:rsidP="0044365C">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Inmediatamente después de concluido el debate, el Tribunal de enjuiciamiento ordenará </w:t>
      </w:r>
      <w:r w:rsidRPr="000937DF">
        <w:rPr>
          <w:rFonts w:ascii="Palatino Linotype" w:eastAsia="Palatino Linotype" w:hAnsi="Palatino Linotype" w:cs="Palatino Linotype"/>
          <w:color w:val="000000"/>
          <w:sz w:val="22"/>
          <w:szCs w:val="22"/>
        </w:rPr>
        <w:t>un</w:t>
      </w:r>
      <w:r w:rsidRPr="000937DF">
        <w:rPr>
          <w:rFonts w:ascii="Palatino Linotype" w:hAnsi="Palatino Linotype" w:cs="Tahoma"/>
          <w:bCs/>
          <w:iCs/>
          <w:sz w:val="22"/>
          <w:szCs w:val="22"/>
        </w:rPr>
        <w:t xml:space="preserve"> receso para deliberar en forma privada, continua y aislada, hasta emitir el fallo correspondiente. La deliberación no podrá exceder de veinticuatro horas ni suspenderse, salvo en caso de enfermedad grave del Juez o miembro del Tribunal</w:t>
      </w:r>
      <w:r w:rsidRPr="000937DF">
        <w:rPr>
          <w:rStyle w:val="Refdenotaalpie"/>
          <w:rFonts w:ascii="Palatino Linotype" w:hAnsi="Palatino Linotype" w:cs="Tahoma"/>
          <w:bCs/>
          <w:iCs/>
          <w:sz w:val="22"/>
          <w:szCs w:val="22"/>
        </w:rPr>
        <w:footnoteReference w:id="33"/>
      </w:r>
      <w:r w:rsidRPr="000937DF">
        <w:rPr>
          <w:rFonts w:ascii="Palatino Linotype" w:hAnsi="Palatino Linotype" w:cs="Tahoma"/>
          <w:bCs/>
          <w:iCs/>
          <w:sz w:val="22"/>
          <w:szCs w:val="22"/>
        </w:rPr>
        <w:t>.</w:t>
      </w:r>
    </w:p>
    <w:p w14:paraId="446776D5" w14:textId="77777777" w:rsidR="0044365C" w:rsidRPr="000937DF" w:rsidRDefault="0044365C" w:rsidP="0044365C">
      <w:pPr>
        <w:pBdr>
          <w:top w:val="nil"/>
          <w:left w:val="nil"/>
          <w:bottom w:val="nil"/>
          <w:right w:val="nil"/>
          <w:between w:val="nil"/>
        </w:pBdr>
        <w:spacing w:line="360" w:lineRule="auto"/>
        <w:ind w:right="-787"/>
        <w:jc w:val="both"/>
        <w:rPr>
          <w:rFonts w:ascii="Palatino Linotype" w:hAnsi="Palatino Linotype" w:cs="Tahoma"/>
          <w:bCs/>
          <w:iCs/>
          <w:sz w:val="22"/>
          <w:szCs w:val="22"/>
        </w:rPr>
      </w:pPr>
    </w:p>
    <w:p w14:paraId="5046A491"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lastRenderedPageBreak/>
        <w:t>Concluida la deliberación, el Tribunal de enjuiciamiento se constituirá nuevamente en la sala de audiencias, después de ser convocadas oralmente o por cualquier medio todas las partes, con el propósito de que el Juez relator comunique el fallo respectivo</w:t>
      </w:r>
      <w:r w:rsidRPr="000937DF">
        <w:rPr>
          <w:rStyle w:val="Refdenotaalpie"/>
          <w:rFonts w:ascii="Palatino Linotype" w:hAnsi="Palatino Linotype" w:cs="Tahoma"/>
          <w:bCs/>
          <w:iCs/>
          <w:sz w:val="22"/>
          <w:szCs w:val="22"/>
        </w:rPr>
        <w:footnoteReference w:id="34"/>
      </w:r>
      <w:r w:rsidRPr="000937DF">
        <w:rPr>
          <w:rFonts w:ascii="Palatino Linotype" w:hAnsi="Palatino Linotype" w:cs="Tahoma"/>
          <w:bCs/>
          <w:iCs/>
          <w:sz w:val="22"/>
          <w:szCs w:val="22"/>
        </w:rPr>
        <w:t>.</w:t>
      </w:r>
    </w:p>
    <w:p w14:paraId="41242AB0"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23867DE0"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De </w:t>
      </w:r>
      <w:r w:rsidRPr="000937DF">
        <w:rPr>
          <w:rFonts w:ascii="Palatino Linotype" w:eastAsia="Palatino Linotype" w:hAnsi="Palatino Linotype" w:cs="Palatino Linotype"/>
          <w:color w:val="000000"/>
          <w:sz w:val="22"/>
          <w:szCs w:val="22"/>
        </w:rPr>
        <w:t>acuerdo</w:t>
      </w:r>
      <w:r w:rsidRPr="000937DF">
        <w:rPr>
          <w:rFonts w:ascii="Palatino Linotype" w:hAnsi="Palatino Linotype" w:cs="Tahoma"/>
          <w:bCs/>
          <w:iCs/>
          <w:sz w:val="22"/>
          <w:szCs w:val="22"/>
        </w:rPr>
        <w:t xml:space="preserve"> con lo establecido por el artículo 401 del Código Nacional de Procedimientos </w:t>
      </w:r>
      <w:r w:rsidRPr="000937DF">
        <w:rPr>
          <w:rFonts w:ascii="Palatino Linotype" w:eastAsiaTheme="minorEastAsia" w:hAnsi="Palatino Linotype" w:cs="Calibri"/>
          <w:color w:val="000000"/>
          <w:sz w:val="22"/>
          <w:szCs w:val="22"/>
          <w:lang w:eastAsia="es-ES"/>
        </w:rPr>
        <w:t>Penales</w:t>
      </w:r>
      <w:r w:rsidRPr="000937DF">
        <w:rPr>
          <w:rFonts w:ascii="Palatino Linotype" w:hAnsi="Palatino Linotype" w:cs="Tahoma"/>
          <w:bCs/>
          <w:iCs/>
          <w:sz w:val="22"/>
          <w:szCs w:val="22"/>
        </w:rPr>
        <w:t>, el fallo que emita el Tribunal de enjuiciamiento deberá señalar:</w:t>
      </w:r>
    </w:p>
    <w:p w14:paraId="7997CF57"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La decisión de absolución o de condena; </w:t>
      </w:r>
    </w:p>
    <w:p w14:paraId="4FFA3C0F"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 xml:space="preserve">Si la decisión se tomó por unanimidad o por mayoría de miembros del Tribunal, y </w:t>
      </w:r>
    </w:p>
    <w:p w14:paraId="4DDEE43D" w14:textId="77777777" w:rsidR="00DC2A97" w:rsidRPr="000937DF" w:rsidRDefault="00DC2A97" w:rsidP="00DC2A97">
      <w:pPr>
        <w:pStyle w:val="Prrafodelista"/>
        <w:numPr>
          <w:ilvl w:val="1"/>
          <w:numId w:val="2"/>
        </w:numPr>
        <w:tabs>
          <w:tab w:val="left" w:pos="426"/>
        </w:tabs>
        <w:spacing w:before="240" w:after="240"/>
        <w:ind w:left="1134" w:right="900" w:firstLine="0"/>
        <w:contextualSpacing/>
        <w:jc w:val="both"/>
        <w:rPr>
          <w:rFonts w:ascii="Palatino Linotype" w:hAnsi="Palatino Linotype" w:cs="Tahoma"/>
          <w:bCs/>
          <w:i/>
          <w:iCs/>
        </w:rPr>
      </w:pPr>
      <w:r w:rsidRPr="000937DF">
        <w:rPr>
          <w:rFonts w:ascii="Palatino Linotype" w:hAnsi="Palatino Linotype" w:cs="Tahoma"/>
          <w:bCs/>
          <w:i/>
          <w:iCs/>
        </w:rPr>
        <w:t>La relación sucinta de los fundamentos y motivos que lo sustentan</w:t>
      </w:r>
    </w:p>
    <w:p w14:paraId="7AE6DB5D" w14:textId="77777777" w:rsidR="00DC2A97" w:rsidRPr="000937DF" w:rsidRDefault="00DC2A97" w:rsidP="00DC2A97">
      <w:pPr>
        <w:pStyle w:val="Prrafodelista"/>
        <w:tabs>
          <w:tab w:val="left" w:pos="426"/>
        </w:tabs>
        <w:spacing w:before="240" w:after="240"/>
        <w:ind w:left="0" w:right="900"/>
        <w:jc w:val="both"/>
        <w:rPr>
          <w:rFonts w:ascii="Palatino Linotype" w:hAnsi="Palatino Linotype" w:cs="Tahoma"/>
          <w:bCs/>
          <w:i/>
          <w:iCs/>
        </w:rPr>
      </w:pPr>
    </w:p>
    <w:p w14:paraId="057A6B83"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Por cuanto hace a la redacción de las sentencias absolutorias y condenatorias, deberán </w:t>
      </w:r>
      <w:r w:rsidRPr="000937DF">
        <w:rPr>
          <w:rFonts w:ascii="Palatino Linotype" w:eastAsia="Palatino Linotype" w:hAnsi="Palatino Linotype" w:cs="Palatino Linotype"/>
          <w:color w:val="000000"/>
          <w:sz w:val="22"/>
          <w:szCs w:val="22"/>
        </w:rPr>
        <w:t>atender</w:t>
      </w:r>
      <w:r w:rsidRPr="000937DF">
        <w:rPr>
          <w:rFonts w:ascii="Palatino Linotype" w:hAnsi="Palatino Linotype" w:cs="Tahoma"/>
          <w:bCs/>
          <w:iCs/>
          <w:sz w:val="22"/>
          <w:szCs w:val="22"/>
        </w:rPr>
        <w:t xml:space="preserve"> lo establecido en los diversos 405 y 406 del Código Nacional Procesal de mérito, mismos que establecen lo siguiente:</w:t>
      </w:r>
    </w:p>
    <w:p w14:paraId="447B2348"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w:t>
      </w:r>
      <w:r w:rsidRPr="000937DF">
        <w:rPr>
          <w:rFonts w:ascii="Palatino Linotype" w:hAnsi="Palatino Linotype" w:cs="Tahoma"/>
          <w:b/>
          <w:bCs/>
          <w:i/>
          <w:iCs/>
        </w:rPr>
        <w:t>Artículo 405. Sentencia absolutoria</w:t>
      </w:r>
      <w:r w:rsidRPr="000937DF">
        <w:rPr>
          <w:rFonts w:ascii="Palatino Linotype" w:hAnsi="Palatino Linotype" w:cs="Tahoma"/>
          <w:bCs/>
          <w:i/>
          <w:iCs/>
        </w:rPr>
        <w:t xml:space="preserve"> </w:t>
      </w:r>
    </w:p>
    <w:p w14:paraId="43055ED1"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 xml:space="preserve">En la sentencia absolutoria, el Tribunal de enjuiciamiento ordenará que se tome nota del levantamiento de las medidas cautelares, en todo índice o registro público y policial en el que figuren, y será ejecutable inmediatamente. </w:t>
      </w:r>
    </w:p>
    <w:p w14:paraId="401353B7"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 xml:space="preserve">En su sentencia absolutoria el Tribunal de enjuiciamiento determinará la causa de exclusión del delito, para lo cual podrá tomar como referencia, en su caso, las causas de atipicidad, de justificación o inculpabilidad, bajo los rubros siguientes: </w:t>
      </w:r>
    </w:p>
    <w:p w14:paraId="407F5A83"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I.</w:t>
      </w:r>
      <w:r w:rsidRPr="000937DF">
        <w:rPr>
          <w:rFonts w:ascii="Palatino Linotype" w:hAnsi="Palatino Linotype" w:cs="Tahoma"/>
          <w:bCs/>
          <w:i/>
          <w:iCs/>
        </w:rPr>
        <w:t xml:space="preserve"> Son causas de atipicidad: la ausencia de voluntad o de conducta, la falta de alguno de los elementos del tipo penal, el consentimiento de la víctima que recaiga sobre algún bien jurídico disponible, el error de tipo vencible que recaiga sobre algún elemento del tipo penal que no admita, de acuerdo con el </w:t>
      </w:r>
      <w:r w:rsidRPr="000937DF">
        <w:rPr>
          <w:rFonts w:ascii="Palatino Linotype" w:hAnsi="Palatino Linotype" w:cs="Tahoma"/>
          <w:bCs/>
          <w:i/>
          <w:iCs/>
        </w:rPr>
        <w:lastRenderedPageBreak/>
        <w:t xml:space="preserve">catálogo de delitos susceptibles de configurarse de forma culposa previsto en la legislación penal aplicable, así como el error de tipo invencible; </w:t>
      </w:r>
    </w:p>
    <w:p w14:paraId="70C034EB"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II.</w:t>
      </w:r>
      <w:r w:rsidRPr="000937DF">
        <w:rPr>
          <w:rFonts w:ascii="Palatino Linotype" w:hAnsi="Palatino Linotype" w:cs="Tahoma"/>
          <w:bCs/>
          <w:i/>
          <w:iCs/>
        </w:rPr>
        <w:t xml:space="preserve"> Son causas de justificación: el consentimiento presunto, la legítima defensa, el estado de necesidad justificante, el ejercicio de un derecho y el cumplimiento de un deber, o </w:t>
      </w:r>
    </w:p>
    <w:p w14:paraId="18BB19B4"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
          <w:bCs/>
          <w:i/>
          <w:iCs/>
        </w:rPr>
        <w:t>III.</w:t>
      </w:r>
      <w:r w:rsidRPr="000937DF">
        <w:rPr>
          <w:rFonts w:ascii="Palatino Linotype" w:hAnsi="Palatino Linotype" w:cs="Tahoma"/>
          <w:bCs/>
          <w:i/>
          <w:iCs/>
        </w:rPr>
        <w:t xml:space="preserve"> Son causas de inculpabilidad: el error de prohibición invencible, el estado de necesidad </w:t>
      </w:r>
      <w:proofErr w:type="spellStart"/>
      <w:r w:rsidRPr="000937DF">
        <w:rPr>
          <w:rFonts w:ascii="Palatino Linotype" w:hAnsi="Palatino Linotype" w:cs="Tahoma"/>
          <w:bCs/>
          <w:i/>
          <w:iCs/>
        </w:rPr>
        <w:t>disculpante</w:t>
      </w:r>
      <w:proofErr w:type="spellEnd"/>
      <w:r w:rsidRPr="000937DF">
        <w:rPr>
          <w:rFonts w:ascii="Palatino Linotype" w:hAnsi="Palatino Linotype" w:cs="Tahoma"/>
          <w:bCs/>
          <w:i/>
          <w:iCs/>
        </w:rPr>
        <w:t xml:space="preserve">, la inimputabilidad, y la inexigibilidad de otra conducta. De ser el caso, el Tribunal de enjuiciamiento también podrá tomar como referencia que el error de prohibición vencible solamente atenúa la culpabilidad y con ello atenúa también la pena, dejando subsistente la presencia del dolo, igual como ocurre en los casos de exceso de legítima defensa e imputabilidad disminuida. </w:t>
      </w:r>
    </w:p>
    <w:p w14:paraId="5CD5CB75" w14:textId="77777777" w:rsidR="00DC2A97" w:rsidRPr="000937DF" w:rsidRDefault="00DC2A97" w:rsidP="00DC2A97">
      <w:pPr>
        <w:pStyle w:val="Prrafodelista"/>
        <w:spacing w:before="240" w:after="240"/>
        <w:ind w:left="1134" w:right="900"/>
        <w:jc w:val="both"/>
        <w:rPr>
          <w:rFonts w:ascii="Palatino Linotype" w:hAnsi="Palatino Linotype" w:cs="Tahoma"/>
          <w:b/>
          <w:bCs/>
          <w:i/>
          <w:iCs/>
        </w:rPr>
      </w:pPr>
      <w:r w:rsidRPr="000937DF">
        <w:rPr>
          <w:rFonts w:ascii="Palatino Linotype" w:hAnsi="Palatino Linotype" w:cs="Tahoma"/>
          <w:b/>
          <w:bCs/>
          <w:i/>
          <w:iCs/>
        </w:rPr>
        <w:t xml:space="preserve">Artículo 406. Sentencia condenatoria </w:t>
      </w:r>
    </w:p>
    <w:p w14:paraId="10EB22C5"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 xml:space="preserve">La sentencia condenatoria fijará las penas, o en su caso la medida de seguridad, y se pronunciará sobre la suspensión de las mismas y la eventual aplicación de alguna de las medidas alternativas a la privación o restricción de libertad previstas en la ley. </w:t>
      </w:r>
    </w:p>
    <w:p w14:paraId="27A19C2F"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 xml:space="preserve">La sentencia que condenare a una pena privativa de la libertad, deberá expresar con toda precisión el día desde el cual empezará a contarse y fijará el tiempo de detención o prisión preventiva que deberá servir de base para su cumplimiento. </w:t>
      </w:r>
    </w:p>
    <w:p w14:paraId="7DF18EE3"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 xml:space="preserve">La sentencia condenatoria dispondrá también el decomiso de los instrumentos o efectos del delito o su restitución, cuando fuere procedente. </w:t>
      </w:r>
    </w:p>
    <w:p w14:paraId="3703962C"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 xml:space="preserve">El Tribunal de enjuiciamiento condenará a la reparación del daño. </w:t>
      </w:r>
    </w:p>
    <w:p w14:paraId="1FA4EBA1"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 xml:space="preserve">Cuando la prueba producida no permita establecer con certeza el monto de los daños y perjuicios, o de las indemnizaciones correspondientes, el Tribunal de enjuiciamiento podrá condenar genéricamente a reparar los daños y los perjuicios y ordenar que se liquiden en ejecución de sentencia por vía incidental, siempre que éstos se hayan demostrado, así como su deber de repararlos. </w:t>
      </w:r>
    </w:p>
    <w:p w14:paraId="14F04A92"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lastRenderedPageBreak/>
        <w:t xml:space="preserve">El Tribunal de enjuiciamiento solamente dictará sentencia condenatoria cuando exista convicción de la culpabilidad del sentenciado, bajo el principio general de que la carga de la prueba para demostrar la culpabilidad corresponde a la parte acusadora, conforme lo establezca el tipo penal de que se trate. </w:t>
      </w:r>
    </w:p>
    <w:p w14:paraId="616976AA"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 xml:space="preserve">Al dictar sentencia condenatoria se indicarán los márgenes de la punibilidad del delito y quedarán plenamente acreditados los elementos de la clasificación jurídica; es decir, el tipo penal que se atribuye, el grado de la ejecución del hecho, la forma de intervención y la naturaleza dolosa o culposa de la conducta, así como el grado de lesión o puesta en riesgo del bien jurídico. </w:t>
      </w:r>
    </w:p>
    <w:p w14:paraId="25FA375E"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 xml:space="preserve">La sentencia condenatoria hará referencia a los elementos objetivos, subjetivos y normativos del tipo penal correspondiente, precisando si el tipo penal se consumó o se realizó en grado de tentativa, así como la forma en que el sujeto activo haya intervenido para la realización del tipo, según se trate de alguna forma de autoría o de participación, y la naturaleza dolosa o culposa de la conducta típica. </w:t>
      </w:r>
    </w:p>
    <w:p w14:paraId="0B2AE24D" w14:textId="77777777" w:rsidR="00DC2A97" w:rsidRPr="000937DF" w:rsidRDefault="00DC2A97" w:rsidP="00DC2A97">
      <w:pPr>
        <w:pStyle w:val="Prrafodelista"/>
        <w:spacing w:before="240" w:after="240"/>
        <w:ind w:left="1134" w:right="900"/>
        <w:jc w:val="both"/>
        <w:rPr>
          <w:rFonts w:ascii="Palatino Linotype" w:hAnsi="Palatino Linotype" w:cs="Tahoma"/>
          <w:bCs/>
          <w:i/>
          <w:iCs/>
        </w:rPr>
      </w:pPr>
      <w:r w:rsidRPr="000937DF">
        <w:rPr>
          <w:rFonts w:ascii="Palatino Linotype" w:hAnsi="Palatino Linotype" w:cs="Tahoma"/>
          <w:bCs/>
          <w:i/>
          <w:iCs/>
        </w:rPr>
        <w:t>En toda sentencia condenatoria se argumentará por qué el sentenciado no está favorecido por ninguna de las causas de la atipicidad, justificación o inculpabilidad; igualmente, se hará referencia a las agravantes o atenuantes que hayan concurrido y a la clase de concurso de delitos si fuera el caso.”</w:t>
      </w:r>
    </w:p>
    <w:p w14:paraId="07384C96"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eastAsia="Palatino Linotype" w:hAnsi="Palatino Linotype" w:cs="Palatino Linotype"/>
          <w:color w:val="000000"/>
          <w:sz w:val="22"/>
          <w:szCs w:val="22"/>
        </w:rPr>
        <w:t>Establecido</w:t>
      </w:r>
      <w:r w:rsidRPr="000937DF">
        <w:rPr>
          <w:rFonts w:ascii="Palatino Linotype" w:hAnsi="Palatino Linotype" w:cs="Tahoma"/>
          <w:bCs/>
          <w:iCs/>
          <w:sz w:val="22"/>
          <w:szCs w:val="22"/>
        </w:rPr>
        <w:t xml:space="preserve"> lo anterior, el Código Penal del Estado de México reconoce y enlista, dentro de su Título </w:t>
      </w:r>
      <w:r w:rsidRPr="000937DF">
        <w:rPr>
          <w:rFonts w:ascii="Palatino Linotype" w:eastAsiaTheme="minorEastAsia" w:hAnsi="Palatino Linotype" w:cs="Calibri"/>
          <w:color w:val="000000"/>
          <w:sz w:val="22"/>
          <w:szCs w:val="22"/>
          <w:lang w:eastAsia="es-ES"/>
        </w:rPr>
        <w:t>Sexto</w:t>
      </w:r>
      <w:r w:rsidRPr="000937DF">
        <w:rPr>
          <w:rFonts w:ascii="Palatino Linotype" w:hAnsi="Palatino Linotype" w:cs="Tahoma"/>
          <w:bCs/>
          <w:iCs/>
          <w:sz w:val="22"/>
          <w:szCs w:val="22"/>
        </w:rPr>
        <w:t xml:space="preserve">, los </w:t>
      </w:r>
      <w:r w:rsidRPr="000937DF">
        <w:rPr>
          <w:rFonts w:ascii="Palatino Linotype" w:hAnsi="Palatino Linotype" w:cs="Tahoma"/>
          <w:b/>
          <w:bCs/>
          <w:iCs/>
          <w:sz w:val="22"/>
          <w:szCs w:val="22"/>
        </w:rPr>
        <w:t>Delitos por Hechos de Corrupción</w:t>
      </w:r>
      <w:r w:rsidRPr="000937DF">
        <w:rPr>
          <w:rFonts w:ascii="Palatino Linotype" w:hAnsi="Palatino Linotype" w:cs="Tahoma"/>
          <w:bCs/>
          <w:iCs/>
          <w:sz w:val="22"/>
          <w:szCs w:val="22"/>
        </w:rPr>
        <w:t xml:space="preserve"> que cometan </w:t>
      </w:r>
      <w:r w:rsidRPr="000937DF">
        <w:rPr>
          <w:rFonts w:ascii="Palatino Linotype" w:hAnsi="Palatino Linotype" w:cs="Tahoma"/>
          <w:b/>
          <w:bCs/>
          <w:iCs/>
          <w:sz w:val="22"/>
          <w:szCs w:val="22"/>
        </w:rPr>
        <w:t>los servidores públicos</w:t>
      </w:r>
      <w:r w:rsidRPr="000937DF">
        <w:rPr>
          <w:rFonts w:ascii="Palatino Linotype" w:hAnsi="Palatino Linotype" w:cs="Tahoma"/>
          <w:bCs/>
          <w:iCs/>
          <w:sz w:val="22"/>
          <w:szCs w:val="22"/>
        </w:rPr>
        <w:t xml:space="preserve"> o particulares que hagan un mal uso de sus facultades, potestades o atribuciones conferidas por el Estado.</w:t>
      </w:r>
    </w:p>
    <w:p w14:paraId="15DEDB34"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218C2306"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Al </w:t>
      </w:r>
      <w:r w:rsidRPr="000937DF">
        <w:rPr>
          <w:rFonts w:ascii="Palatino Linotype" w:eastAsia="Palatino Linotype" w:hAnsi="Palatino Linotype" w:cs="Palatino Linotype"/>
          <w:color w:val="000000"/>
          <w:sz w:val="22"/>
          <w:szCs w:val="22"/>
        </w:rPr>
        <w:t>respecto</w:t>
      </w:r>
      <w:r w:rsidRPr="000937DF">
        <w:rPr>
          <w:rFonts w:ascii="Palatino Linotype" w:hAnsi="Palatino Linotype" w:cs="Tahoma"/>
          <w:bCs/>
          <w:iCs/>
          <w:sz w:val="22"/>
          <w:szCs w:val="22"/>
        </w:rPr>
        <w:t xml:space="preserve">, cabe referir que será reconocido como </w:t>
      </w:r>
      <w:r w:rsidRPr="000937DF">
        <w:rPr>
          <w:rFonts w:ascii="Palatino Linotype" w:hAnsi="Palatino Linotype" w:cs="Tahoma"/>
          <w:bCs/>
          <w:i/>
          <w:iCs/>
          <w:sz w:val="22"/>
          <w:szCs w:val="22"/>
        </w:rPr>
        <w:t>servidor público</w:t>
      </w:r>
      <w:r w:rsidRPr="000937DF">
        <w:rPr>
          <w:rFonts w:ascii="Palatino Linotype" w:hAnsi="Palatino Linotype" w:cs="Tahoma"/>
          <w:bCs/>
          <w:iCs/>
          <w:sz w:val="22"/>
          <w:szCs w:val="22"/>
        </w:rPr>
        <w:t xml:space="preserve"> a toda persona que desempeñe un empleo, cargo o comisión en alguno de los poderes del Estado, órganos constitucionales autónomos, en los municipios y organismos auxiliares, así como los titulares o </w:t>
      </w:r>
      <w:r w:rsidRPr="000937DF">
        <w:rPr>
          <w:rFonts w:ascii="Palatino Linotype" w:hAnsi="Palatino Linotype" w:cs="Tahoma"/>
          <w:bCs/>
          <w:iCs/>
          <w:sz w:val="22"/>
          <w:szCs w:val="22"/>
        </w:rPr>
        <w:lastRenderedPageBreak/>
        <w:t>quienes hagan sus veces en empresas de participación estatal o municipal, sociedades o asociaciones asimiladas a éstas y en los fideicomisos públicos</w:t>
      </w:r>
      <w:r w:rsidRPr="000937DF">
        <w:rPr>
          <w:rStyle w:val="Refdenotaalpie"/>
          <w:rFonts w:ascii="Palatino Linotype" w:hAnsi="Palatino Linotype" w:cs="Tahoma"/>
          <w:bCs/>
          <w:iCs/>
          <w:sz w:val="22"/>
          <w:szCs w:val="22"/>
        </w:rPr>
        <w:footnoteReference w:id="35"/>
      </w:r>
      <w:r w:rsidRPr="000937DF">
        <w:rPr>
          <w:rFonts w:ascii="Palatino Linotype" w:hAnsi="Palatino Linotype" w:cs="Tahoma"/>
          <w:bCs/>
          <w:iCs/>
          <w:sz w:val="22"/>
          <w:szCs w:val="22"/>
        </w:rPr>
        <w:t xml:space="preserve">. </w:t>
      </w:r>
    </w:p>
    <w:p w14:paraId="18285B73" w14:textId="77777777" w:rsidR="00DC2A97" w:rsidRPr="000937DF" w:rsidRDefault="00DC2A97" w:rsidP="00DC2A97">
      <w:pPr>
        <w:pStyle w:val="Prrafodelista"/>
        <w:spacing w:line="360" w:lineRule="auto"/>
        <w:ind w:left="0"/>
        <w:jc w:val="both"/>
        <w:rPr>
          <w:rFonts w:ascii="Palatino Linotype" w:hAnsi="Palatino Linotype" w:cs="Tahoma"/>
          <w:bCs/>
          <w:iCs/>
        </w:rPr>
      </w:pPr>
    </w:p>
    <w:p w14:paraId="5F48FC14"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Dicho lo anterior,</w:t>
      </w:r>
      <w:r w:rsidR="0044365C" w:rsidRPr="000937DF">
        <w:rPr>
          <w:rFonts w:ascii="Palatino Linotype" w:hAnsi="Palatino Linotype" w:cs="Tahoma"/>
          <w:bCs/>
          <w:iCs/>
          <w:sz w:val="22"/>
          <w:szCs w:val="22"/>
        </w:rPr>
        <w:t xml:space="preserve"> como de menciono en párrafos anteriores las denuncias interpuestas en contra de servidores públicos pueden tener relación con delitos derivados en actos de corrupción que tengan relación con las faltas administrativas graves, mismas que fueron precisadas con antelación al señalar cuales son las faltas administrativas graves en las que puede incurrir un servidor público.</w:t>
      </w:r>
    </w:p>
    <w:p w14:paraId="0DFB790A" w14:textId="77777777" w:rsidR="0044365C" w:rsidRPr="000937DF" w:rsidRDefault="0044365C" w:rsidP="0044365C">
      <w:pPr>
        <w:pBdr>
          <w:top w:val="nil"/>
          <w:left w:val="nil"/>
          <w:bottom w:val="nil"/>
          <w:right w:val="nil"/>
          <w:between w:val="nil"/>
        </w:pBdr>
        <w:spacing w:line="360" w:lineRule="auto"/>
        <w:ind w:right="-787"/>
        <w:jc w:val="both"/>
        <w:rPr>
          <w:rFonts w:ascii="Palatino Linotype" w:hAnsi="Palatino Linotype" w:cs="Tahoma"/>
          <w:bCs/>
          <w:iCs/>
          <w:sz w:val="22"/>
          <w:szCs w:val="22"/>
        </w:rPr>
      </w:pPr>
    </w:p>
    <w:p w14:paraId="035F2C15" w14:textId="77777777" w:rsidR="00DC2A97" w:rsidRPr="000937DF" w:rsidRDefault="00DC2A97" w:rsidP="0044365C">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
          <w:iCs/>
          <w:sz w:val="22"/>
          <w:szCs w:val="22"/>
        </w:rPr>
      </w:pPr>
      <w:r w:rsidRPr="000937DF">
        <w:rPr>
          <w:rFonts w:ascii="Palatino Linotype" w:hAnsi="Palatino Linotype" w:cs="Tahoma"/>
          <w:bCs/>
          <w:iCs/>
          <w:sz w:val="22"/>
          <w:szCs w:val="22"/>
        </w:rPr>
        <w:t xml:space="preserve">Como </w:t>
      </w:r>
      <w:r w:rsidRPr="000937DF">
        <w:rPr>
          <w:rFonts w:ascii="Palatino Linotype" w:eastAsia="Palatino Linotype" w:hAnsi="Palatino Linotype" w:cs="Palatino Linotype"/>
          <w:color w:val="000000"/>
          <w:sz w:val="22"/>
          <w:szCs w:val="22"/>
        </w:rPr>
        <w:t>puede</w:t>
      </w:r>
      <w:r w:rsidRPr="000937DF">
        <w:rPr>
          <w:rFonts w:ascii="Palatino Linotype" w:hAnsi="Palatino Linotype" w:cs="Tahoma"/>
          <w:bCs/>
          <w:iCs/>
          <w:sz w:val="22"/>
          <w:szCs w:val="22"/>
        </w:rPr>
        <w:t xml:space="preserve"> advertirse, los </w:t>
      </w:r>
      <w:r w:rsidRPr="000937DF">
        <w:rPr>
          <w:rFonts w:ascii="Palatino Linotype" w:hAnsi="Palatino Linotype" w:cs="Tahoma"/>
          <w:b/>
          <w:bCs/>
          <w:iCs/>
          <w:sz w:val="22"/>
          <w:szCs w:val="22"/>
        </w:rPr>
        <w:t>delitos por hechos de corrupción</w:t>
      </w:r>
      <w:r w:rsidRPr="000937DF">
        <w:rPr>
          <w:rFonts w:ascii="Palatino Linotype" w:hAnsi="Palatino Linotype" w:cs="Tahoma"/>
          <w:bCs/>
          <w:iCs/>
          <w:sz w:val="22"/>
          <w:szCs w:val="22"/>
        </w:rPr>
        <w:t xml:space="preserve"> se relacionan de forma intrínseca con las </w:t>
      </w:r>
      <w:r w:rsidRPr="000937DF">
        <w:rPr>
          <w:rFonts w:ascii="Palatino Linotype" w:hAnsi="Palatino Linotype" w:cs="Tahoma"/>
          <w:b/>
          <w:bCs/>
          <w:iCs/>
          <w:sz w:val="22"/>
          <w:szCs w:val="22"/>
        </w:rPr>
        <w:t>faltas administrativas graves</w:t>
      </w:r>
      <w:r w:rsidRPr="000937DF">
        <w:rPr>
          <w:rFonts w:ascii="Palatino Linotype" w:hAnsi="Palatino Linotype" w:cs="Tahoma"/>
          <w:bCs/>
          <w:iCs/>
          <w:sz w:val="22"/>
          <w:szCs w:val="22"/>
        </w:rPr>
        <w:t xml:space="preserve"> establecidas en la Ley de Responsabilidades Administrativas de los Servidores Públicos del Estado de México y Municipios; por lo tanto, resultaría de interés público que se diera a </w:t>
      </w:r>
      <w:r w:rsidR="0044365C" w:rsidRPr="000937DF">
        <w:rPr>
          <w:rFonts w:ascii="Palatino Linotype" w:hAnsi="Palatino Linotype" w:cs="Tahoma"/>
          <w:bCs/>
          <w:iCs/>
          <w:sz w:val="22"/>
          <w:szCs w:val="22"/>
        </w:rPr>
        <w:t xml:space="preserve">las denuncias que tengan relación  con este tipo de delitos. </w:t>
      </w:r>
    </w:p>
    <w:p w14:paraId="752AE4FD" w14:textId="77777777" w:rsidR="00406777" w:rsidRPr="000937DF" w:rsidRDefault="00406777" w:rsidP="00406777">
      <w:pPr>
        <w:pStyle w:val="Prrafodelista"/>
        <w:rPr>
          <w:rFonts w:ascii="Palatino Linotype" w:hAnsi="Palatino Linotype" w:cs="Tahoma"/>
          <w:bCs/>
          <w:i/>
          <w:iCs/>
        </w:rPr>
      </w:pPr>
    </w:p>
    <w:p w14:paraId="099FA311" w14:textId="77777777" w:rsidR="00406777" w:rsidRPr="000937DF" w:rsidRDefault="00406777" w:rsidP="00406777">
      <w:pPr>
        <w:pBdr>
          <w:top w:val="nil"/>
          <w:left w:val="nil"/>
          <w:bottom w:val="nil"/>
          <w:right w:val="nil"/>
          <w:between w:val="nil"/>
        </w:pBdr>
        <w:spacing w:line="360" w:lineRule="auto"/>
        <w:ind w:right="-787"/>
        <w:jc w:val="both"/>
        <w:rPr>
          <w:rFonts w:ascii="Palatino Linotype" w:hAnsi="Palatino Linotype" w:cs="Tahoma"/>
          <w:bCs/>
          <w:sz w:val="22"/>
          <w:szCs w:val="22"/>
        </w:rPr>
      </w:pPr>
    </w:p>
    <w:p w14:paraId="16A954C1" w14:textId="55CB0B20"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sz w:val="22"/>
          <w:szCs w:val="22"/>
        </w:rPr>
      </w:pPr>
      <w:r w:rsidRPr="000937DF">
        <w:rPr>
          <w:rFonts w:ascii="Palatino Linotype" w:hAnsi="Palatino Linotype" w:cs="Tahoma"/>
          <w:bCs/>
          <w:sz w:val="22"/>
          <w:szCs w:val="22"/>
        </w:rPr>
        <w:t xml:space="preserve">Por lo anterior, el </w:t>
      </w:r>
      <w:r w:rsidRPr="000937DF">
        <w:rPr>
          <w:rFonts w:ascii="Palatino Linotype" w:hAnsi="Palatino Linotype" w:cs="Tahoma"/>
          <w:b/>
          <w:sz w:val="22"/>
          <w:szCs w:val="22"/>
        </w:rPr>
        <w:t>SUJETO OBLIGADO</w:t>
      </w:r>
      <w:r w:rsidRPr="000937DF">
        <w:rPr>
          <w:rFonts w:ascii="Palatino Linotype" w:hAnsi="Palatino Linotype" w:cs="Tahoma"/>
          <w:bCs/>
          <w:sz w:val="22"/>
          <w:szCs w:val="22"/>
        </w:rPr>
        <w:t xml:space="preserve"> deberá realizar una nueva búsqueda en sus archivos, </w:t>
      </w:r>
      <w:r w:rsidRPr="000937DF">
        <w:rPr>
          <w:rFonts w:ascii="Palatino Linotype" w:eastAsia="Palatino Linotype" w:hAnsi="Palatino Linotype" w:cs="Palatino Linotype"/>
          <w:sz w:val="22"/>
          <w:szCs w:val="22"/>
        </w:rPr>
        <w:t>donde</w:t>
      </w:r>
      <w:r w:rsidRPr="000937DF">
        <w:rPr>
          <w:rFonts w:ascii="Palatino Linotype" w:hAnsi="Palatino Linotype" w:cs="Tahoma"/>
          <w:bCs/>
          <w:sz w:val="22"/>
          <w:szCs w:val="22"/>
        </w:rPr>
        <w:t xml:space="preserve"> no podrá </w:t>
      </w:r>
      <w:r w:rsidRPr="000937DF">
        <w:rPr>
          <w:rFonts w:ascii="Palatino Linotype" w:eastAsiaTheme="minorEastAsia" w:hAnsi="Palatino Linotype" w:cs="Calibri"/>
          <w:sz w:val="22"/>
          <w:szCs w:val="22"/>
          <w:lang w:eastAsia="es-ES"/>
        </w:rPr>
        <w:t>omitir</w:t>
      </w:r>
      <w:r w:rsidRPr="000937DF">
        <w:rPr>
          <w:rFonts w:ascii="Palatino Linotype" w:hAnsi="Palatino Linotype" w:cs="Tahoma"/>
          <w:bCs/>
          <w:sz w:val="22"/>
          <w:szCs w:val="22"/>
        </w:rPr>
        <w:t xml:space="preserve"> a la </w:t>
      </w:r>
      <w:r w:rsidR="00406777" w:rsidRPr="000937DF">
        <w:rPr>
          <w:rFonts w:ascii="Palatino Linotype" w:hAnsi="Palatino Linotype" w:cs="Tahoma"/>
          <w:b/>
          <w:bCs/>
          <w:sz w:val="22"/>
          <w:szCs w:val="22"/>
        </w:rPr>
        <w:t>Contraloría Interna</w:t>
      </w:r>
      <w:r w:rsidR="007D15B9" w:rsidRPr="000937DF">
        <w:rPr>
          <w:rFonts w:ascii="Palatino Linotype" w:hAnsi="Palatino Linotype" w:cs="Tahoma"/>
          <w:bCs/>
          <w:sz w:val="22"/>
          <w:szCs w:val="22"/>
        </w:rPr>
        <w:t xml:space="preserve"> y a la </w:t>
      </w:r>
      <w:r w:rsidR="007D15B9" w:rsidRPr="000937DF">
        <w:rPr>
          <w:u w:val="single"/>
        </w:rPr>
        <w:t xml:space="preserve">Fiscalía Especializada en Combate a la corrupción de la Fiscalía General de Justicia del Estado de México, </w:t>
      </w:r>
      <w:r w:rsidRPr="000937DF">
        <w:rPr>
          <w:rFonts w:ascii="Palatino Linotype" w:hAnsi="Palatino Linotype" w:cs="Tahoma"/>
          <w:bCs/>
          <w:sz w:val="22"/>
          <w:szCs w:val="22"/>
        </w:rPr>
        <w:t xml:space="preserve"> a fin de entregar la información referente a </w:t>
      </w:r>
      <w:r w:rsidRPr="000937DF">
        <w:rPr>
          <w:rFonts w:ascii="Palatino Linotype" w:hAnsi="Palatino Linotype" w:cs="Tahoma"/>
          <w:b/>
          <w:bCs/>
          <w:sz w:val="22"/>
          <w:szCs w:val="22"/>
        </w:rPr>
        <w:t xml:space="preserve">las denuncias interpuestas en contra </w:t>
      </w:r>
      <w:r w:rsidR="00406777" w:rsidRPr="000937DF">
        <w:rPr>
          <w:rFonts w:ascii="Palatino Linotype" w:hAnsi="Palatino Linotype" w:cs="Tahoma"/>
          <w:b/>
          <w:bCs/>
          <w:sz w:val="22"/>
          <w:szCs w:val="22"/>
        </w:rPr>
        <w:t xml:space="preserve">de la persona referida en la solicitud de información, de ser el caso que sea servidor público o hubiera sido y tenga </w:t>
      </w:r>
      <w:r w:rsidRPr="000937DF">
        <w:rPr>
          <w:rFonts w:ascii="Palatino Linotype" w:hAnsi="Palatino Linotype" w:cs="Tahoma"/>
          <w:bCs/>
          <w:sz w:val="22"/>
          <w:szCs w:val="22"/>
        </w:rPr>
        <w:t xml:space="preserve"> en relación con los procedimientos penales</w:t>
      </w:r>
      <w:r w:rsidR="00406777" w:rsidRPr="000937DF">
        <w:rPr>
          <w:rFonts w:ascii="Palatino Linotype" w:hAnsi="Palatino Linotype" w:cs="Tahoma"/>
          <w:bCs/>
          <w:sz w:val="22"/>
          <w:szCs w:val="22"/>
        </w:rPr>
        <w:t xml:space="preserve"> por actos de corrupción. </w:t>
      </w:r>
    </w:p>
    <w:p w14:paraId="79251B92" w14:textId="77777777" w:rsidR="00DC2A97" w:rsidRPr="000937DF" w:rsidRDefault="00DC2A97" w:rsidP="00DC2A97">
      <w:pPr>
        <w:pStyle w:val="Prrafodelista"/>
        <w:spacing w:line="360" w:lineRule="auto"/>
        <w:ind w:left="0"/>
        <w:jc w:val="both"/>
        <w:rPr>
          <w:rFonts w:ascii="Palatino Linotype" w:hAnsi="Palatino Linotype" w:cs="Tahoma"/>
          <w:bCs/>
        </w:rPr>
      </w:pPr>
    </w:p>
    <w:p w14:paraId="1F9F975E" w14:textId="77777777" w:rsidR="00DC2A97" w:rsidRPr="000937DF" w:rsidRDefault="00DC2A97" w:rsidP="00DC2A97">
      <w:pPr>
        <w:pStyle w:val="Prrafodelista"/>
        <w:rPr>
          <w:rFonts w:ascii="Palatino Linotype" w:hAnsi="Palatino Linotype" w:cs="Tahoma"/>
          <w:bCs/>
        </w:rPr>
      </w:pPr>
    </w:p>
    <w:p w14:paraId="487EB735" w14:textId="77777777" w:rsidR="00406777" w:rsidRPr="000937DF" w:rsidRDefault="00406777" w:rsidP="00406777">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sz w:val="22"/>
          <w:szCs w:val="22"/>
          <w:lang w:val="es-ES"/>
        </w:rPr>
      </w:pPr>
      <w:r w:rsidRPr="000937DF">
        <w:rPr>
          <w:rFonts w:ascii="Palatino Linotype" w:eastAsia="Palatino Linotype" w:hAnsi="Palatino Linotype" w:cs="Palatino Linotype"/>
          <w:sz w:val="22"/>
          <w:szCs w:val="22"/>
        </w:rPr>
        <w:t>Ahora bien, respecto de “</w:t>
      </w:r>
      <w:r w:rsidRPr="000937DF">
        <w:rPr>
          <w:rFonts w:ascii="Palatino Linotype" w:eastAsia="Palatino Linotype" w:hAnsi="Palatino Linotype" w:cs="Palatino Linotype"/>
          <w:b/>
          <w:sz w:val="22"/>
          <w:szCs w:val="22"/>
          <w:lang w:val="es-ES"/>
        </w:rPr>
        <w:t xml:space="preserve">De los procesos penales desglosar por cargo o adscripción de la persona, fecha de radicación, fecha de inicio del proceso penal, hechos imputados y/o delito, fecha </w:t>
      </w:r>
      <w:r w:rsidRPr="000937DF">
        <w:rPr>
          <w:rFonts w:ascii="Palatino Linotype" w:eastAsia="Palatino Linotype" w:hAnsi="Palatino Linotype" w:cs="Palatino Linotype"/>
          <w:b/>
          <w:sz w:val="22"/>
          <w:szCs w:val="22"/>
          <w:lang w:val="es-ES"/>
        </w:rPr>
        <w:lastRenderedPageBreak/>
        <w:t>y lugar de los hechos, fecha de la audiencia inicial, fecha de la audiencia de vinculación a proceso o auto de término constitucional (dependiendo del sistema penal vigente en la época), si se optó o no por un mecanismo alterno de solución de controversias, fecha de terminación anticipada (de ser el caso), fecha de la audiencia de juicio (de ser el caso), fecha y sentido de la última determinación judicial</w:t>
      </w:r>
      <w:r w:rsidRPr="000937DF">
        <w:rPr>
          <w:rFonts w:ascii="Palatino Linotype" w:eastAsia="Palatino Linotype" w:hAnsi="Palatino Linotype" w:cs="Palatino Linotype"/>
          <w:sz w:val="22"/>
          <w:szCs w:val="22"/>
        </w:rPr>
        <w:t xml:space="preserve">, se entiende que con la información </w:t>
      </w:r>
      <w:r w:rsidRPr="000937DF">
        <w:rPr>
          <w:rFonts w:ascii="Palatino Linotype" w:eastAsiaTheme="minorEastAsia" w:hAnsi="Palatino Linotype" w:cs="Calibri"/>
          <w:sz w:val="22"/>
          <w:szCs w:val="22"/>
          <w:lang w:val="es-ES_tradnl" w:eastAsia="es-ES"/>
        </w:rPr>
        <w:t>que</w:t>
      </w:r>
      <w:r w:rsidRPr="000937DF">
        <w:rPr>
          <w:rFonts w:ascii="Palatino Linotype" w:eastAsia="Palatino Linotype" w:hAnsi="Palatino Linotype" w:cs="Palatino Linotype"/>
          <w:sz w:val="22"/>
          <w:szCs w:val="22"/>
        </w:rPr>
        <w:t xml:space="preserve"> entregue el </w:t>
      </w:r>
      <w:r w:rsidRPr="000937DF">
        <w:rPr>
          <w:rFonts w:ascii="Palatino Linotype" w:eastAsia="Palatino Linotype" w:hAnsi="Palatino Linotype" w:cs="Palatino Linotype"/>
          <w:b/>
          <w:sz w:val="22"/>
          <w:szCs w:val="22"/>
        </w:rPr>
        <w:t xml:space="preserve">SUJETO OBLIGADO se tendrá por colmado este punto de la solicitud de información, al entregar información que esté relacionada con actos de corrupción, violaciones graves a derechos humanos o delitos de lesa humanidad.  </w:t>
      </w:r>
    </w:p>
    <w:p w14:paraId="40473FB9" w14:textId="77777777" w:rsidR="00406777" w:rsidRPr="000937DF" w:rsidRDefault="00406777" w:rsidP="00B96E00">
      <w:pPr>
        <w:pBdr>
          <w:top w:val="nil"/>
          <w:left w:val="nil"/>
          <w:bottom w:val="nil"/>
          <w:right w:val="nil"/>
          <w:between w:val="nil"/>
        </w:pBdr>
        <w:spacing w:line="360" w:lineRule="auto"/>
        <w:ind w:right="-787"/>
        <w:jc w:val="both"/>
        <w:rPr>
          <w:rFonts w:ascii="Palatino Linotype" w:hAnsi="Palatino Linotype" w:cs="Tahoma"/>
          <w:bCs/>
          <w:iCs/>
          <w:color w:val="FF0000"/>
          <w:sz w:val="22"/>
          <w:szCs w:val="22"/>
        </w:rPr>
      </w:pPr>
    </w:p>
    <w:p w14:paraId="08648363" w14:textId="77777777" w:rsidR="00B96E00" w:rsidRPr="000937DF" w:rsidRDefault="00B96E00" w:rsidP="00B96E00">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Sin embargo se debe de señalar que el </w:t>
      </w:r>
      <w:r w:rsidRPr="000937DF">
        <w:rPr>
          <w:rFonts w:ascii="Palatino Linotype" w:hAnsi="Palatino Linotype" w:cs="Tahoma"/>
          <w:b/>
          <w:bCs/>
          <w:iCs/>
          <w:sz w:val="22"/>
          <w:szCs w:val="22"/>
        </w:rPr>
        <w:t xml:space="preserve">RECURRENTE </w:t>
      </w:r>
      <w:r w:rsidRPr="000937DF">
        <w:rPr>
          <w:rFonts w:ascii="Palatino Linotype" w:hAnsi="Palatino Linotype" w:cs="Tahoma"/>
          <w:bCs/>
          <w:iCs/>
          <w:sz w:val="22"/>
          <w:szCs w:val="22"/>
        </w:rPr>
        <w:t>que la información sea desglosada de manera específica, por lo que de conformidad con el artículo 12 de la Ley Loca de la Materia los sujetos obligados deben de hacer entrega de la información tal cual obre sus archivos, es decir que no implica que los mismos hagan resúmenes o calcules de la información existente.</w:t>
      </w:r>
    </w:p>
    <w:p w14:paraId="13112504" w14:textId="77777777" w:rsidR="00B96E00" w:rsidRPr="000937DF" w:rsidRDefault="00B96E00" w:rsidP="00B96E00">
      <w:pPr>
        <w:pStyle w:val="Prrafodelista"/>
        <w:rPr>
          <w:rFonts w:ascii="Palatino Linotype" w:hAnsi="Palatino Linotype" w:cs="Tahoma"/>
          <w:bCs/>
          <w:iCs/>
        </w:rPr>
      </w:pPr>
    </w:p>
    <w:p w14:paraId="13C5B8D6" w14:textId="77777777" w:rsidR="00B96E00" w:rsidRPr="000937DF" w:rsidRDefault="00B96E00" w:rsidP="00B96E00">
      <w:pPr>
        <w:pBdr>
          <w:top w:val="nil"/>
          <w:left w:val="nil"/>
          <w:bottom w:val="nil"/>
          <w:right w:val="nil"/>
          <w:between w:val="nil"/>
        </w:pBdr>
        <w:ind w:left="1134" w:right="900"/>
        <w:jc w:val="both"/>
        <w:rPr>
          <w:rFonts w:ascii="Palatino Linotype" w:hAnsi="Palatino Linotype" w:cs="Tahoma"/>
          <w:bCs/>
          <w:i/>
          <w:iCs/>
          <w:sz w:val="22"/>
          <w:szCs w:val="22"/>
        </w:rPr>
      </w:pPr>
      <w:r w:rsidRPr="000937DF">
        <w:rPr>
          <w:rFonts w:ascii="Palatino Linotype" w:hAnsi="Palatino Linotype" w:cs="Tahoma"/>
          <w:bCs/>
          <w:i/>
          <w:iCs/>
          <w:sz w:val="22"/>
          <w:szCs w:val="22"/>
        </w:rPr>
        <w:t>“Artículo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350ADEE" w14:textId="77777777" w:rsidR="00B96E00" w:rsidRPr="000937DF" w:rsidRDefault="00B96E00" w:rsidP="00B96E00">
      <w:pPr>
        <w:pStyle w:val="Prrafodelista"/>
        <w:rPr>
          <w:rFonts w:ascii="Palatino Linotype" w:hAnsi="Palatino Linotype" w:cs="Tahoma"/>
          <w:bCs/>
          <w:iCs/>
        </w:rPr>
      </w:pPr>
    </w:p>
    <w:p w14:paraId="692D422C" w14:textId="77777777" w:rsidR="00DC2A97" w:rsidRPr="000937DF" w:rsidRDefault="00DC2A97" w:rsidP="00B96E00">
      <w:pPr>
        <w:numPr>
          <w:ilvl w:val="0"/>
          <w:numId w:val="19"/>
        </w:numPr>
        <w:pBdr>
          <w:top w:val="nil"/>
          <w:left w:val="nil"/>
          <w:bottom w:val="nil"/>
          <w:right w:val="nil"/>
          <w:between w:val="nil"/>
        </w:pBdr>
        <w:spacing w:line="360" w:lineRule="auto"/>
        <w:ind w:left="0" w:right="-787" w:firstLine="0"/>
        <w:jc w:val="both"/>
        <w:rPr>
          <w:rFonts w:ascii="Palatino Linotype" w:hAnsi="Palatino Linotype" w:cs="Tahoma"/>
          <w:bCs/>
          <w:iCs/>
          <w:sz w:val="22"/>
          <w:szCs w:val="22"/>
        </w:rPr>
      </w:pPr>
      <w:r w:rsidRPr="000937DF">
        <w:rPr>
          <w:rFonts w:ascii="Palatino Linotype" w:hAnsi="Palatino Linotype" w:cs="Tahoma"/>
          <w:bCs/>
          <w:iCs/>
          <w:sz w:val="22"/>
          <w:szCs w:val="22"/>
        </w:rPr>
        <w:t xml:space="preserve">Por otro lado de ser el caso que </w:t>
      </w:r>
      <w:r w:rsidR="00406777" w:rsidRPr="000937DF">
        <w:rPr>
          <w:rFonts w:ascii="Palatino Linotype" w:hAnsi="Palatino Linotype" w:cs="Tahoma"/>
          <w:bCs/>
          <w:iCs/>
          <w:sz w:val="22"/>
          <w:szCs w:val="22"/>
        </w:rPr>
        <w:t>la persona referida en la solicitud de información no hubiera sea o hubiera sido servidor público adscrito a la Fiscalía General de Justicia del Estado de México</w:t>
      </w:r>
      <w:r w:rsidRPr="000937DF">
        <w:rPr>
          <w:rFonts w:ascii="Palatino Linotype" w:hAnsi="Palatino Linotype" w:cs="Tahoma"/>
          <w:bCs/>
          <w:iCs/>
          <w:sz w:val="22"/>
          <w:szCs w:val="22"/>
        </w:rPr>
        <w:t xml:space="preserve">, bastará con el </w:t>
      </w:r>
      <w:r w:rsidRPr="000937DF">
        <w:rPr>
          <w:rFonts w:ascii="Palatino Linotype" w:hAnsi="Palatino Linotype" w:cs="Tahoma"/>
          <w:b/>
          <w:bCs/>
          <w:iCs/>
          <w:sz w:val="22"/>
          <w:szCs w:val="22"/>
        </w:rPr>
        <w:t xml:space="preserve">SUJETO OBLIGADO </w:t>
      </w:r>
      <w:r w:rsidRPr="000937DF">
        <w:rPr>
          <w:rFonts w:ascii="Palatino Linotype" w:hAnsi="Palatino Linotype" w:cs="Tahoma"/>
          <w:bCs/>
          <w:iCs/>
          <w:sz w:val="22"/>
          <w:szCs w:val="22"/>
        </w:rPr>
        <w:t xml:space="preserve">lo haga del conocimiento del </w:t>
      </w:r>
      <w:r w:rsidRPr="000937DF">
        <w:rPr>
          <w:rFonts w:ascii="Palatino Linotype" w:hAnsi="Palatino Linotype" w:cs="Tahoma"/>
          <w:b/>
          <w:bCs/>
          <w:iCs/>
          <w:sz w:val="22"/>
          <w:szCs w:val="22"/>
        </w:rPr>
        <w:t xml:space="preserve">RECURRENTE </w:t>
      </w:r>
      <w:r w:rsidRPr="000937DF">
        <w:rPr>
          <w:rFonts w:ascii="Palatino Linotype" w:hAnsi="Palatino Linotype" w:cs="Tahoma"/>
          <w:bCs/>
          <w:iCs/>
          <w:sz w:val="22"/>
          <w:szCs w:val="22"/>
        </w:rPr>
        <w:t xml:space="preserve">de conformidad con el artículo 19 párrafo segundo de la Ley de Local de la Materia. </w:t>
      </w:r>
    </w:p>
    <w:p w14:paraId="08509377" w14:textId="77777777" w:rsidR="00DC2A97" w:rsidRPr="000937DF" w:rsidRDefault="00DC2A97" w:rsidP="00DC2A97">
      <w:pPr>
        <w:pStyle w:val="Prrafodelista"/>
        <w:spacing w:line="360" w:lineRule="auto"/>
        <w:ind w:left="0"/>
        <w:jc w:val="both"/>
        <w:rPr>
          <w:rFonts w:ascii="Palatino Linotype" w:eastAsia="Palatino Linotype" w:hAnsi="Palatino Linotype" w:cs="Palatino Linotype"/>
        </w:rPr>
      </w:pPr>
    </w:p>
    <w:p w14:paraId="1635EAEA" w14:textId="7BF20088" w:rsidR="005311E9" w:rsidRPr="000937DF" w:rsidRDefault="005311E9"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lastRenderedPageBreak/>
        <w:t xml:space="preserve">De todo lo anteriormente expuesto es que no se puede tener por validado la clasificación del pronunciamiento en sentido afirmativo o negativo del </w:t>
      </w:r>
      <w:r w:rsidRPr="000937DF">
        <w:rPr>
          <w:rFonts w:ascii="Palatino Linotype" w:eastAsia="Palatino Linotype" w:hAnsi="Palatino Linotype" w:cs="Palatino Linotype"/>
          <w:b/>
          <w:sz w:val="22"/>
          <w:szCs w:val="22"/>
        </w:rPr>
        <w:t xml:space="preserve">SUJETO OBLIGADO </w:t>
      </w:r>
      <w:r w:rsidRPr="000937DF">
        <w:rPr>
          <w:rFonts w:ascii="Palatino Linotype" w:eastAsia="Palatino Linotype" w:hAnsi="Palatino Linotype" w:cs="Palatino Linotype"/>
          <w:sz w:val="22"/>
          <w:szCs w:val="22"/>
        </w:rPr>
        <w:t xml:space="preserve">en cuanto a que la persona referida en la solicitud de información hubiera formado parte del personal operativo, toda que las denuncias o los procedimientos administrativos puedan tener relación con actos de corrupción, violaciones graves a derechos humanos o delitos de lesa humanidad, por lo que el </w:t>
      </w:r>
      <w:r w:rsidRPr="000937DF">
        <w:rPr>
          <w:rFonts w:ascii="Palatino Linotype" w:eastAsia="Palatino Linotype" w:hAnsi="Palatino Linotype" w:cs="Palatino Linotype"/>
          <w:b/>
          <w:sz w:val="22"/>
          <w:szCs w:val="22"/>
        </w:rPr>
        <w:t xml:space="preserve">SUJETO OBLIGADO </w:t>
      </w:r>
      <w:r w:rsidRPr="000937DF">
        <w:rPr>
          <w:rFonts w:ascii="Palatino Linotype" w:eastAsia="Palatino Linotype" w:hAnsi="Palatino Linotype" w:cs="Palatino Linotype"/>
          <w:sz w:val="22"/>
          <w:szCs w:val="22"/>
        </w:rPr>
        <w:t>debió de turnar la información al área habilitada,  para que hiciera su respectivo pronunciamiento.</w:t>
      </w:r>
    </w:p>
    <w:p w14:paraId="2D81CCB4" w14:textId="77777777" w:rsidR="005311E9" w:rsidRPr="000937DF" w:rsidRDefault="005311E9" w:rsidP="005311E9">
      <w:pPr>
        <w:pStyle w:val="Prrafodelista"/>
        <w:rPr>
          <w:rFonts w:ascii="Palatino Linotype" w:eastAsia="Palatino Linotype" w:hAnsi="Palatino Linotype" w:cs="Palatino Linotype"/>
        </w:rPr>
      </w:pPr>
    </w:p>
    <w:p w14:paraId="6796E9FC"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Por último, se debe de señalar que el </w:t>
      </w:r>
      <w:r w:rsidRPr="000937DF">
        <w:rPr>
          <w:rFonts w:ascii="Palatino Linotype" w:eastAsia="Palatino Linotype" w:hAnsi="Palatino Linotype" w:cs="Palatino Linotype"/>
          <w:b/>
          <w:sz w:val="22"/>
          <w:szCs w:val="22"/>
        </w:rPr>
        <w:t>RECURRENTE</w:t>
      </w:r>
      <w:r w:rsidRPr="000937DF">
        <w:rPr>
          <w:rFonts w:ascii="Palatino Linotype" w:eastAsia="Palatino Linotype" w:hAnsi="Palatino Linotype" w:cs="Palatino Linotype"/>
          <w:sz w:val="22"/>
          <w:szCs w:val="22"/>
        </w:rPr>
        <w:t xml:space="preserve"> no señalo un periodo de búsqueda </w:t>
      </w:r>
      <w:r w:rsidRPr="000937DF">
        <w:rPr>
          <w:rFonts w:ascii="Palatino Linotype" w:eastAsia="Palatino Linotype" w:hAnsi="Palatino Linotype" w:cs="Palatino Linotype"/>
          <w:color w:val="000000"/>
          <w:sz w:val="22"/>
          <w:szCs w:val="22"/>
        </w:rPr>
        <w:t>para</w:t>
      </w:r>
      <w:r w:rsidR="00406777" w:rsidRPr="000937DF">
        <w:rPr>
          <w:rFonts w:ascii="Palatino Linotype" w:eastAsia="Palatino Linotype" w:hAnsi="Palatino Linotype" w:cs="Palatino Linotype"/>
          <w:sz w:val="22"/>
          <w:szCs w:val="22"/>
        </w:rPr>
        <w:t xml:space="preserve">, </w:t>
      </w:r>
      <w:r w:rsidRPr="000937DF">
        <w:rPr>
          <w:rFonts w:ascii="Palatino Linotype" w:eastAsia="Palatino Linotype" w:hAnsi="Palatino Linotype" w:cs="Palatino Linotype"/>
          <w:sz w:val="22"/>
          <w:szCs w:val="22"/>
        </w:rPr>
        <w:t xml:space="preserve">situación por la cual es aplicable el periodo de un año inmediato anterior a la fecha de la solicitud de información, de acuerdo con el siguiente criterio del INAI. </w:t>
      </w:r>
    </w:p>
    <w:p w14:paraId="239B4529" w14:textId="77777777" w:rsidR="00DC2A97" w:rsidRPr="000937DF" w:rsidRDefault="00DC2A97" w:rsidP="00DC2A97">
      <w:pPr>
        <w:pStyle w:val="Prrafodelista"/>
        <w:rPr>
          <w:rFonts w:ascii="Palatino Linotype" w:eastAsia="Palatino Linotype" w:hAnsi="Palatino Linotype" w:cs="Palatino Linotype"/>
        </w:rPr>
      </w:pPr>
    </w:p>
    <w:p w14:paraId="16B8FCDB" w14:textId="77777777" w:rsidR="00DC2A97" w:rsidRPr="000937DF" w:rsidRDefault="00DC2A97" w:rsidP="00DC2A97">
      <w:pPr>
        <w:pStyle w:val="Prrafodelista"/>
        <w:ind w:left="1134" w:right="900"/>
        <w:jc w:val="both"/>
        <w:rPr>
          <w:rFonts w:ascii="Palatino Linotype" w:eastAsia="Palatino Linotype" w:hAnsi="Palatino Linotype" w:cs="Palatino Linotype"/>
          <w:b/>
          <w:i/>
          <w:lang w:val="es-MX"/>
        </w:rPr>
      </w:pPr>
      <w:r w:rsidRPr="000937DF">
        <w:rPr>
          <w:rFonts w:ascii="Palatino Linotype" w:eastAsia="Palatino Linotype" w:hAnsi="Palatino Linotype" w:cs="Palatino Linotype"/>
          <w:b/>
          <w:i/>
          <w:lang w:val="es-MX"/>
        </w:rPr>
        <w:t xml:space="preserve">03/19 </w:t>
      </w:r>
    </w:p>
    <w:p w14:paraId="51C9118F" w14:textId="77777777" w:rsidR="00DC2A97" w:rsidRPr="000937DF" w:rsidRDefault="00DC2A97" w:rsidP="00DC2A97">
      <w:pPr>
        <w:pStyle w:val="Prrafodelista"/>
        <w:ind w:left="1134" w:right="900"/>
        <w:jc w:val="both"/>
        <w:rPr>
          <w:rFonts w:ascii="Palatino Linotype" w:eastAsia="Palatino Linotype" w:hAnsi="Palatino Linotype" w:cs="Palatino Linotype"/>
          <w:b/>
          <w:i/>
          <w:lang w:val="es-MX"/>
        </w:rPr>
      </w:pPr>
      <w:r w:rsidRPr="000937DF">
        <w:rPr>
          <w:rFonts w:ascii="Palatino Linotype" w:eastAsia="Palatino Linotype" w:hAnsi="Palatino Linotype" w:cs="Palatino Linotype"/>
          <w:b/>
          <w:i/>
          <w:lang w:val="es-MX"/>
        </w:rPr>
        <w:t xml:space="preserve">Periodo de búsqueda de la información. </w:t>
      </w:r>
    </w:p>
    <w:p w14:paraId="29B3770A" w14:textId="77777777" w:rsidR="00DC2A97" w:rsidRPr="000937DF" w:rsidRDefault="00DC2A97" w:rsidP="00DC2A97">
      <w:pPr>
        <w:pStyle w:val="Prrafodelista"/>
        <w:ind w:left="1134" w:right="900"/>
        <w:jc w:val="both"/>
        <w:rPr>
          <w:rFonts w:ascii="Palatino Linotype" w:eastAsia="Palatino Linotype" w:hAnsi="Palatino Linotype" w:cs="Palatino Linotype"/>
          <w:i/>
        </w:rPr>
      </w:pPr>
      <w:r w:rsidRPr="000937DF">
        <w:rPr>
          <w:rFonts w:ascii="Palatino Linotype" w:eastAsia="Palatino Linotype" w:hAnsi="Palatino Linotype" w:cs="Palatino Linotype"/>
          <w:i/>
          <w:lang w:val="es-MX"/>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4EA772C" w14:textId="77777777" w:rsidR="00DC2A97" w:rsidRPr="000937DF" w:rsidRDefault="00DC2A97" w:rsidP="00DC2A97">
      <w:pPr>
        <w:pStyle w:val="Prrafodelista"/>
        <w:rPr>
          <w:rFonts w:ascii="Palatino Linotype" w:eastAsia="Palatino Linotype" w:hAnsi="Palatino Linotype" w:cs="Palatino Linotype"/>
        </w:rPr>
      </w:pPr>
    </w:p>
    <w:p w14:paraId="11EACA33"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sz w:val="22"/>
          <w:szCs w:val="22"/>
        </w:rPr>
      </w:pPr>
      <w:r w:rsidRPr="000937DF">
        <w:rPr>
          <w:rFonts w:ascii="Palatino Linotype" w:eastAsia="Palatino Linotype" w:hAnsi="Palatino Linotype" w:cs="Palatino Linotype"/>
          <w:sz w:val="22"/>
          <w:szCs w:val="22"/>
        </w:rPr>
        <w:t xml:space="preserve">De lo anterior, se colige que el periodo de búsqueda para dichos puntos de la solicitud de </w:t>
      </w:r>
      <w:r w:rsidRPr="000937DF">
        <w:rPr>
          <w:rFonts w:ascii="Palatino Linotype" w:eastAsia="Palatino Linotype" w:hAnsi="Palatino Linotype" w:cs="Palatino Linotype"/>
          <w:color w:val="000000"/>
          <w:sz w:val="22"/>
          <w:szCs w:val="22"/>
        </w:rPr>
        <w:t>información</w:t>
      </w:r>
      <w:r w:rsidR="00406777" w:rsidRPr="000937DF">
        <w:rPr>
          <w:rFonts w:ascii="Palatino Linotype" w:eastAsia="Palatino Linotype" w:hAnsi="Palatino Linotype" w:cs="Palatino Linotype"/>
          <w:sz w:val="22"/>
          <w:szCs w:val="22"/>
        </w:rPr>
        <w:t xml:space="preserve"> será del once de julio</w:t>
      </w:r>
      <w:r w:rsidRPr="000937DF">
        <w:rPr>
          <w:rFonts w:ascii="Palatino Linotype" w:eastAsia="Palatino Linotype" w:hAnsi="Palatino Linotype" w:cs="Palatino Linotype"/>
          <w:sz w:val="22"/>
          <w:szCs w:val="22"/>
        </w:rPr>
        <w:t xml:space="preserve"> de dos mil veintitrés al once de </w:t>
      </w:r>
      <w:r w:rsidR="00406777" w:rsidRPr="000937DF">
        <w:rPr>
          <w:rFonts w:ascii="Palatino Linotype" w:eastAsia="Palatino Linotype" w:hAnsi="Palatino Linotype" w:cs="Palatino Linotype"/>
          <w:sz w:val="22"/>
          <w:szCs w:val="22"/>
        </w:rPr>
        <w:t xml:space="preserve">once julio </w:t>
      </w:r>
      <w:r w:rsidRPr="000937DF">
        <w:rPr>
          <w:rFonts w:ascii="Palatino Linotype" w:eastAsia="Palatino Linotype" w:hAnsi="Palatino Linotype" w:cs="Palatino Linotype"/>
          <w:sz w:val="22"/>
          <w:szCs w:val="22"/>
        </w:rPr>
        <w:t xml:space="preserve">de dos mil veinticuatro. </w:t>
      </w:r>
    </w:p>
    <w:p w14:paraId="14ED2AAF" w14:textId="77777777" w:rsidR="00DC2A97" w:rsidRPr="000937DF" w:rsidRDefault="00DC2A97" w:rsidP="00DC2A97">
      <w:pPr>
        <w:spacing w:line="360" w:lineRule="auto"/>
        <w:ind w:right="49"/>
        <w:jc w:val="both"/>
        <w:rPr>
          <w:sz w:val="22"/>
          <w:szCs w:val="22"/>
        </w:rPr>
      </w:pPr>
    </w:p>
    <w:p w14:paraId="182C7681" w14:textId="77777777" w:rsidR="00B81AD4" w:rsidRPr="000937DF" w:rsidRDefault="00B81AD4" w:rsidP="00B81AD4">
      <w:pPr>
        <w:pStyle w:val="Ttulo1"/>
        <w:rPr>
          <w:rFonts w:ascii="Palatino Linotype" w:eastAsia="Palatino Linotype" w:hAnsi="Palatino Linotype" w:cs="Palatino Linotype"/>
          <w:b/>
          <w:color w:val="000000"/>
          <w:sz w:val="24"/>
          <w:szCs w:val="24"/>
        </w:rPr>
      </w:pPr>
      <w:r w:rsidRPr="000937DF">
        <w:rPr>
          <w:rFonts w:ascii="Palatino Linotype" w:eastAsia="Palatino Linotype" w:hAnsi="Palatino Linotype" w:cs="Palatino Linotype"/>
          <w:b/>
          <w:color w:val="000000"/>
          <w:sz w:val="24"/>
          <w:szCs w:val="24"/>
        </w:rPr>
        <w:t>QUINTO. De la versión pública.</w:t>
      </w:r>
    </w:p>
    <w:p w14:paraId="7CCAF09A" w14:textId="77777777" w:rsidR="00B81AD4" w:rsidRPr="000937DF" w:rsidRDefault="00B81AD4" w:rsidP="00B81AD4">
      <w:pPr>
        <w:rPr>
          <w:rFonts w:asciiTheme="minorHAnsi" w:eastAsiaTheme="minorHAnsi" w:hAnsiTheme="minorHAnsi" w:cstheme="minorBidi"/>
          <w:sz w:val="22"/>
          <w:szCs w:val="22"/>
        </w:rPr>
      </w:pPr>
    </w:p>
    <w:p w14:paraId="107D3790" w14:textId="77777777" w:rsidR="00B81AD4" w:rsidRPr="000937DF" w:rsidRDefault="00B81AD4" w:rsidP="00B81AD4">
      <w:pPr>
        <w:pStyle w:val="Ttulo1"/>
        <w:numPr>
          <w:ilvl w:val="0"/>
          <w:numId w:val="32"/>
        </w:numPr>
        <w:tabs>
          <w:tab w:val="left" w:pos="284"/>
        </w:tabs>
        <w:spacing w:before="0" w:line="360" w:lineRule="auto"/>
        <w:ind w:left="0" w:firstLine="0"/>
        <w:rPr>
          <w:rFonts w:ascii="Palatino Linotype" w:eastAsia="Palatino Linotype" w:hAnsi="Palatino Linotype" w:cs="Palatino Linotype"/>
          <w:b/>
          <w:color w:val="000000"/>
          <w:sz w:val="24"/>
          <w:szCs w:val="24"/>
        </w:rPr>
      </w:pPr>
      <w:r w:rsidRPr="000937DF">
        <w:rPr>
          <w:rFonts w:ascii="Palatino Linotype" w:eastAsia="Palatino Linotype" w:hAnsi="Palatino Linotype" w:cs="Palatino Linotype"/>
          <w:b/>
          <w:color w:val="000000"/>
          <w:sz w:val="24"/>
          <w:szCs w:val="24"/>
        </w:rPr>
        <w:t xml:space="preserve">Nociones generales. </w:t>
      </w:r>
    </w:p>
    <w:p w14:paraId="2EC94D48" w14:textId="77777777" w:rsidR="00B81AD4" w:rsidRPr="000937DF" w:rsidRDefault="00B81AD4" w:rsidP="00B81AD4">
      <w:pPr>
        <w:rPr>
          <w:rFonts w:asciiTheme="minorHAnsi" w:eastAsiaTheme="minorHAnsi" w:hAnsiTheme="minorHAnsi" w:cstheme="minorBidi"/>
          <w:sz w:val="22"/>
          <w:szCs w:val="22"/>
        </w:rPr>
      </w:pPr>
    </w:p>
    <w:p w14:paraId="7BA67EF2" w14:textId="191903C8" w:rsidR="00B81AD4" w:rsidRPr="000937DF" w:rsidRDefault="00B81AD4" w:rsidP="00B81AD4">
      <w:pPr>
        <w:pStyle w:val="Prrafodelista"/>
        <w:numPr>
          <w:ilvl w:val="0"/>
          <w:numId w:val="19"/>
        </w:numPr>
        <w:tabs>
          <w:tab w:val="left" w:pos="0"/>
        </w:tabs>
        <w:spacing w:line="360" w:lineRule="auto"/>
        <w:ind w:left="0" w:right="49" w:firstLine="0"/>
        <w:jc w:val="both"/>
        <w:rPr>
          <w:rFonts w:ascii="Palatino Linotype" w:eastAsia="Palatino Linotype" w:hAnsi="Palatino Linotype" w:cs="Palatino Linotype"/>
          <w:color w:val="000000"/>
        </w:rPr>
      </w:pPr>
      <w:r w:rsidRPr="000937DF">
        <w:rPr>
          <w:rFonts w:ascii="Palatino Linotype" w:eastAsia="Palatino Linotype" w:hAnsi="Palatino Linotype" w:cs="Palatino Linotype"/>
          <w:color w:val="000000"/>
        </w:rPr>
        <w:t>Debe destacarse que, debido a la naturaleza de la información solicitada</w:t>
      </w:r>
      <w:r w:rsidRPr="000937DF">
        <w:rPr>
          <w:rFonts w:ascii="Palatino Linotype" w:eastAsia="Palatino Linotype" w:hAnsi="Palatino Linotype" w:cs="Palatino Linotype"/>
          <w:b/>
          <w:color w:val="000000"/>
        </w:rPr>
        <w:t xml:space="preserve">, </w:t>
      </w:r>
      <w:r w:rsidRPr="000937DF">
        <w:rPr>
          <w:rFonts w:ascii="Palatino Linotype" w:eastAsia="Palatino Linotype" w:hAnsi="Palatino Linotype" w:cs="Palatino Linotype"/>
          <w:color w:val="000000"/>
        </w:rPr>
        <w:t xml:space="preserve">eventualmente pudiera obrar datos personales susceptibles de protegerse, así como </w:t>
      </w:r>
      <w:r w:rsidRPr="000937DF">
        <w:rPr>
          <w:rFonts w:ascii="Palatino Linotype" w:eastAsia="Palatino Linotype" w:hAnsi="Palatino Linotype" w:cs="Palatino Linotype"/>
          <w:color w:val="000000"/>
        </w:rPr>
        <w:lastRenderedPageBreak/>
        <w:t xml:space="preserve">información susceptible de clasificarse como reservada, el </w:t>
      </w:r>
      <w:r w:rsidRPr="000937DF">
        <w:rPr>
          <w:rFonts w:ascii="Palatino Linotype" w:eastAsia="Palatino Linotype" w:hAnsi="Palatino Linotype" w:cs="Palatino Linotype"/>
          <w:b/>
          <w:color w:val="000000"/>
        </w:rPr>
        <w:t xml:space="preserve">SUJETO OBLIGADO </w:t>
      </w:r>
      <w:r w:rsidRPr="000937DF">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3D61082B" w14:textId="77777777" w:rsidR="00B81AD4" w:rsidRPr="000937DF" w:rsidRDefault="00B81AD4" w:rsidP="00B81AD4">
      <w:pPr>
        <w:tabs>
          <w:tab w:val="left" w:pos="0"/>
          <w:tab w:val="left" w:pos="284"/>
        </w:tabs>
        <w:spacing w:line="360" w:lineRule="auto"/>
        <w:ind w:right="49"/>
        <w:jc w:val="both"/>
        <w:rPr>
          <w:rFonts w:ascii="Palatino Linotype" w:eastAsia="Palatino Linotype" w:hAnsi="Palatino Linotype" w:cs="Palatino Linotype"/>
          <w:color w:val="000000"/>
        </w:rPr>
      </w:pPr>
    </w:p>
    <w:p w14:paraId="4E833602" w14:textId="77777777" w:rsidR="00B81AD4" w:rsidRPr="000937DF" w:rsidRDefault="00B81AD4" w:rsidP="00B81AD4">
      <w:pPr>
        <w:numPr>
          <w:ilvl w:val="0"/>
          <w:numId w:val="19"/>
        </w:numPr>
        <w:tabs>
          <w:tab w:val="left" w:pos="284"/>
        </w:tabs>
        <w:spacing w:line="360" w:lineRule="auto"/>
        <w:ind w:left="0" w:right="49" w:firstLine="0"/>
        <w:jc w:val="both"/>
        <w:rPr>
          <w:rFonts w:ascii="Palatino Linotype" w:eastAsia="Palatino Linotype" w:hAnsi="Palatino Linotype" w:cs="Palatino Linotype"/>
          <w:color w:val="000000"/>
        </w:rPr>
      </w:pPr>
      <w:r w:rsidRPr="000937DF">
        <w:rPr>
          <w:rFonts w:ascii="Palatino Linotype" w:eastAsia="Palatino Linotype" w:hAnsi="Palatino Linotype" w:cs="Palatino Linotype"/>
          <w:color w:val="000000"/>
        </w:rPr>
        <w:t xml:space="preserve">No pasa desapercibido para este Órgano Garante que los </w:t>
      </w:r>
      <w:r w:rsidRPr="000937DF">
        <w:rPr>
          <w:rFonts w:ascii="Palatino Linotype" w:eastAsia="Palatino Linotype" w:hAnsi="Palatino Linotype" w:cs="Palatino Linotype"/>
          <w:b/>
          <w:color w:val="000000"/>
        </w:rPr>
        <w:t xml:space="preserve">Sujetos Obligados </w:t>
      </w:r>
      <w:r w:rsidRPr="000937D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ABBC325" w14:textId="77777777" w:rsidR="00B81AD4" w:rsidRPr="000937DF" w:rsidRDefault="00B81AD4" w:rsidP="00B81AD4">
      <w:pPr>
        <w:tabs>
          <w:tab w:val="left" w:pos="284"/>
        </w:tabs>
        <w:spacing w:line="360" w:lineRule="auto"/>
        <w:ind w:right="49"/>
        <w:jc w:val="both"/>
        <w:rPr>
          <w:rFonts w:ascii="Palatino Linotype" w:eastAsia="Palatino Linotype" w:hAnsi="Palatino Linotype" w:cs="Palatino Linotype"/>
          <w:color w:val="000000"/>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9"/>
        <w:gridCol w:w="6996"/>
      </w:tblGrid>
      <w:tr w:rsidR="00B81AD4" w:rsidRPr="000937DF" w14:paraId="60A9C78B" w14:textId="77777777" w:rsidTr="00B81AD4">
        <w:tc>
          <w:tcPr>
            <w:tcW w:w="1838" w:type="dxa"/>
            <w:tcBorders>
              <w:top w:val="single" w:sz="4" w:space="0" w:color="000000"/>
              <w:left w:val="single" w:sz="4" w:space="0" w:color="000000"/>
              <w:bottom w:val="single" w:sz="4" w:space="0" w:color="000000"/>
              <w:right w:val="single" w:sz="4" w:space="0" w:color="000000"/>
            </w:tcBorders>
            <w:hideMark/>
          </w:tcPr>
          <w:p w14:paraId="303A22CE" w14:textId="77777777" w:rsidR="00B81AD4" w:rsidRPr="000937DF" w:rsidRDefault="00B81AD4">
            <w:pPr>
              <w:tabs>
                <w:tab w:val="left" w:pos="284"/>
              </w:tabs>
              <w:rPr>
                <w:rFonts w:ascii="Palatino Linotype" w:eastAsia="Palatino Linotype" w:hAnsi="Palatino Linotype" w:cs="Palatino Linotype"/>
                <w:sz w:val="22"/>
                <w:szCs w:val="22"/>
              </w:rPr>
            </w:pPr>
            <w:r w:rsidRPr="000937DF">
              <w:rPr>
                <w:rFonts w:ascii="Palatino Linotype" w:eastAsia="Palatino Linotype" w:hAnsi="Palatino Linotype" w:cs="Palatino Linotype"/>
              </w:rPr>
              <w:t>a) Requisitos previos.</w:t>
            </w:r>
          </w:p>
        </w:tc>
        <w:tc>
          <w:tcPr>
            <w:tcW w:w="6990" w:type="dxa"/>
            <w:tcBorders>
              <w:top w:val="single" w:sz="4" w:space="0" w:color="000000"/>
              <w:left w:val="single" w:sz="4" w:space="0" w:color="000000"/>
              <w:bottom w:val="single" w:sz="4" w:space="0" w:color="000000"/>
              <w:right w:val="single" w:sz="4" w:space="0" w:color="000000"/>
            </w:tcBorders>
            <w:hideMark/>
          </w:tcPr>
          <w:p w14:paraId="415613CD"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E426695"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Al hacerlo tienen que precisar de qué información se trata, señalando el supuesto de clasificación (confidencialidad o reserva).</w:t>
            </w:r>
          </w:p>
          <w:p w14:paraId="74662410"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Además, se debe señalar el procedimiento, de los tres que establecen los artículos 132 y 106 de la Ley Estatal y General, respectivamente.</w:t>
            </w:r>
          </w:p>
          <w:p w14:paraId="0D827406" w14:textId="77777777" w:rsidR="00B81AD4" w:rsidRPr="000937DF" w:rsidRDefault="00B81AD4">
            <w:pPr>
              <w:tabs>
                <w:tab w:val="left" w:pos="284"/>
              </w:tabs>
              <w:jc w:val="both"/>
              <w:rPr>
                <w:rFonts w:ascii="Palatino Linotype" w:eastAsia="Palatino Linotype" w:hAnsi="Palatino Linotype" w:cs="Palatino Linotype"/>
              </w:rPr>
            </w:pPr>
            <w:r w:rsidRPr="000937DF">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0937DF">
              <w:rPr>
                <w:rFonts w:ascii="Palatino Linotype" w:eastAsia="Palatino Linotype" w:hAnsi="Palatino Linotype" w:cs="Palatino Linotype"/>
                <w:u w:val="single"/>
              </w:rPr>
              <w:t>no se puede hacer un acuerdo para clasificar de manera general todos los documentos de un expediente o área, sin</w:t>
            </w:r>
            <w:r w:rsidRPr="000937DF">
              <w:rPr>
                <w:rFonts w:ascii="Palatino Linotype" w:eastAsia="Palatino Linotype" w:hAnsi="Palatino Linotype" w:cs="Palatino Linotype"/>
              </w:rPr>
              <w:t xml:space="preserve"> individualizar su análisis y tampoco se puede hacer un acuerdo por cada dato que se vaya a clasificar dentro de un documento con diez datos, por ejemplo, susceptibles de ser clasificados.</w:t>
            </w:r>
          </w:p>
        </w:tc>
      </w:tr>
      <w:tr w:rsidR="00B81AD4" w:rsidRPr="000937DF" w14:paraId="54F8D313" w14:textId="77777777" w:rsidTr="00B81AD4">
        <w:tc>
          <w:tcPr>
            <w:tcW w:w="1838" w:type="dxa"/>
            <w:tcBorders>
              <w:top w:val="single" w:sz="4" w:space="0" w:color="000000"/>
              <w:left w:val="single" w:sz="4" w:space="0" w:color="000000"/>
              <w:bottom w:val="single" w:sz="4" w:space="0" w:color="000000"/>
              <w:right w:val="single" w:sz="4" w:space="0" w:color="000000"/>
            </w:tcBorders>
            <w:hideMark/>
          </w:tcPr>
          <w:p w14:paraId="6C5916A1" w14:textId="77777777" w:rsidR="00B81AD4" w:rsidRPr="000937DF" w:rsidRDefault="00B81AD4">
            <w:pPr>
              <w:tabs>
                <w:tab w:val="left" w:pos="284"/>
              </w:tabs>
              <w:rPr>
                <w:rFonts w:ascii="Palatino Linotype" w:eastAsia="Palatino Linotype" w:hAnsi="Palatino Linotype" w:cs="Palatino Linotype"/>
              </w:rPr>
            </w:pPr>
            <w:r w:rsidRPr="000937DF">
              <w:rPr>
                <w:rFonts w:ascii="Palatino Linotype" w:eastAsia="Palatino Linotype" w:hAnsi="Palatino Linotype" w:cs="Palatino Linotype"/>
              </w:rPr>
              <w:lastRenderedPageBreak/>
              <w:t>b) Supuestos de clasificación.</w:t>
            </w:r>
          </w:p>
        </w:tc>
        <w:tc>
          <w:tcPr>
            <w:tcW w:w="6990" w:type="dxa"/>
            <w:tcBorders>
              <w:top w:val="single" w:sz="4" w:space="0" w:color="000000"/>
              <w:left w:val="single" w:sz="4" w:space="0" w:color="000000"/>
              <w:bottom w:val="single" w:sz="4" w:space="0" w:color="000000"/>
              <w:right w:val="single" w:sz="4" w:space="0" w:color="000000"/>
            </w:tcBorders>
            <w:hideMark/>
          </w:tcPr>
          <w:p w14:paraId="30C61759"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3A7A8AB9"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A28A970" w14:textId="77777777" w:rsidR="00B81AD4" w:rsidRPr="000937DF" w:rsidRDefault="00B81AD4">
            <w:pPr>
              <w:tabs>
                <w:tab w:val="left" w:pos="284"/>
              </w:tabs>
              <w:jc w:val="both"/>
              <w:rPr>
                <w:rFonts w:ascii="Palatino Linotype" w:eastAsia="Palatino Linotype" w:hAnsi="Palatino Linotype" w:cs="Palatino Linotype"/>
              </w:rPr>
            </w:pPr>
            <w:r w:rsidRPr="000937DF">
              <w:rPr>
                <w:rFonts w:ascii="Palatino Linotype" w:eastAsia="Palatino Linotype" w:hAnsi="Palatino Linotype" w:cs="Palatino Linotype"/>
              </w:rPr>
              <w:t xml:space="preserve">El </w:t>
            </w:r>
            <w:r w:rsidRPr="000937DF">
              <w:rPr>
                <w:rFonts w:ascii="Palatino Linotype" w:eastAsia="Palatino Linotype" w:hAnsi="Palatino Linotype" w:cs="Palatino Linotype"/>
                <w:b/>
              </w:rPr>
              <w:t>Sujeto Obligado</w:t>
            </w:r>
            <w:r w:rsidRPr="000937DF">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81AD4" w:rsidRPr="000937DF" w14:paraId="56921E7A" w14:textId="77777777" w:rsidTr="00B81AD4">
        <w:tc>
          <w:tcPr>
            <w:tcW w:w="1838" w:type="dxa"/>
            <w:tcBorders>
              <w:top w:val="single" w:sz="4" w:space="0" w:color="000000"/>
              <w:left w:val="single" w:sz="4" w:space="0" w:color="000000"/>
              <w:bottom w:val="single" w:sz="4" w:space="0" w:color="000000"/>
              <w:right w:val="single" w:sz="4" w:space="0" w:color="000000"/>
            </w:tcBorders>
            <w:hideMark/>
          </w:tcPr>
          <w:p w14:paraId="68C6723E" w14:textId="77777777" w:rsidR="00B81AD4" w:rsidRPr="000937DF" w:rsidRDefault="00B81AD4">
            <w:pPr>
              <w:tabs>
                <w:tab w:val="left" w:pos="284"/>
              </w:tabs>
              <w:rPr>
                <w:rFonts w:ascii="Palatino Linotype" w:eastAsia="Palatino Linotype" w:hAnsi="Palatino Linotype" w:cs="Palatino Linotype"/>
              </w:rPr>
            </w:pPr>
            <w:r w:rsidRPr="000937DF">
              <w:rPr>
                <w:rFonts w:ascii="Palatino Linotype" w:eastAsia="Palatino Linotype" w:hAnsi="Palatino Linotype" w:cs="Palatino Linotype"/>
              </w:rPr>
              <w:t>c) Formalidades para emitir el acuerdo de clasificación.</w:t>
            </w:r>
          </w:p>
        </w:tc>
        <w:tc>
          <w:tcPr>
            <w:tcW w:w="6990" w:type="dxa"/>
            <w:tcBorders>
              <w:top w:val="single" w:sz="4" w:space="0" w:color="000000"/>
              <w:left w:val="single" w:sz="4" w:space="0" w:color="000000"/>
              <w:bottom w:val="single" w:sz="4" w:space="0" w:color="000000"/>
              <w:right w:val="single" w:sz="4" w:space="0" w:color="000000"/>
            </w:tcBorders>
            <w:hideMark/>
          </w:tcPr>
          <w:p w14:paraId="20199568"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10858B4E"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 xml:space="preserve">Es necesario que </w:t>
            </w:r>
            <w:r w:rsidRPr="000937DF">
              <w:rPr>
                <w:rFonts w:ascii="Palatino Linotype" w:eastAsia="Palatino Linotype" w:hAnsi="Palatino Linotype" w:cs="Palatino Linotype"/>
                <w:b/>
                <w:u w:val="single"/>
              </w:rPr>
              <w:t>el acto reúna con los requisitos elementales</w:t>
            </w:r>
            <w:r w:rsidRPr="000937DF">
              <w:rPr>
                <w:rFonts w:ascii="Palatino Linotype" w:eastAsia="Palatino Linotype" w:hAnsi="Palatino Linotype" w:cs="Palatino Linotype"/>
              </w:rPr>
              <w:t>, entre ellos, que la autoridad que va a emitir el acto de autoridad sea la legalmente facultada para ello.</w:t>
            </w:r>
          </w:p>
          <w:p w14:paraId="6E3DDE9D" w14:textId="77777777" w:rsidR="00B81AD4" w:rsidRPr="000937DF" w:rsidRDefault="00B81AD4">
            <w:pPr>
              <w:tabs>
                <w:tab w:val="left" w:pos="284"/>
              </w:tabs>
              <w:jc w:val="both"/>
              <w:rPr>
                <w:rFonts w:ascii="Palatino Linotype" w:eastAsia="Palatino Linotype" w:hAnsi="Palatino Linotype" w:cs="Palatino Linotype"/>
              </w:rPr>
            </w:pPr>
            <w:r w:rsidRPr="000937DF">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81AD4" w:rsidRPr="000937DF" w14:paraId="2A01F334" w14:textId="77777777" w:rsidTr="00B81AD4">
        <w:tc>
          <w:tcPr>
            <w:tcW w:w="1838" w:type="dxa"/>
            <w:tcBorders>
              <w:top w:val="single" w:sz="4" w:space="0" w:color="000000"/>
              <w:left w:val="single" w:sz="4" w:space="0" w:color="000000"/>
              <w:bottom w:val="single" w:sz="4" w:space="0" w:color="000000"/>
              <w:right w:val="single" w:sz="4" w:space="0" w:color="000000"/>
            </w:tcBorders>
          </w:tcPr>
          <w:p w14:paraId="3EA80876" w14:textId="77777777" w:rsidR="00B81AD4" w:rsidRPr="000937DF" w:rsidRDefault="00B81AD4">
            <w:pPr>
              <w:tabs>
                <w:tab w:val="left" w:pos="284"/>
              </w:tabs>
              <w:rPr>
                <w:rFonts w:ascii="Palatino Linotype" w:eastAsia="Palatino Linotype" w:hAnsi="Palatino Linotype" w:cs="Palatino Linotype"/>
              </w:rPr>
            </w:pPr>
          </w:p>
          <w:p w14:paraId="4F595E0C" w14:textId="77777777" w:rsidR="00B81AD4" w:rsidRPr="000937DF" w:rsidRDefault="00B81AD4">
            <w:pPr>
              <w:tabs>
                <w:tab w:val="left" w:pos="284"/>
              </w:tabs>
              <w:jc w:val="both"/>
              <w:rPr>
                <w:rFonts w:ascii="Palatino Linotype" w:eastAsia="Palatino Linotype" w:hAnsi="Palatino Linotype" w:cs="Palatino Linotype"/>
              </w:rPr>
            </w:pPr>
            <w:r w:rsidRPr="000937DF">
              <w:rPr>
                <w:rFonts w:ascii="Palatino Linotype" w:eastAsia="Palatino Linotype" w:hAnsi="Palatino Linotype" w:cs="Palatino Linotype"/>
              </w:rPr>
              <w:lastRenderedPageBreak/>
              <w:t xml:space="preserve">d) Requisitos de fondo del acuerdo de clasificación. </w:t>
            </w:r>
          </w:p>
        </w:tc>
        <w:tc>
          <w:tcPr>
            <w:tcW w:w="6990" w:type="dxa"/>
            <w:tcBorders>
              <w:top w:val="single" w:sz="4" w:space="0" w:color="000000"/>
              <w:left w:val="single" w:sz="4" w:space="0" w:color="000000"/>
              <w:bottom w:val="single" w:sz="4" w:space="0" w:color="000000"/>
              <w:right w:val="single" w:sz="4" w:space="0" w:color="000000"/>
            </w:tcBorders>
            <w:hideMark/>
          </w:tcPr>
          <w:p w14:paraId="3279E1A1"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lastRenderedPageBreak/>
              <w:t xml:space="preserve">Como se ha señalado antes, al hacer el juicio de subsunción o encaje entre el supuesto de hecho y la hipótesis jurídica, se debe </w:t>
            </w:r>
            <w:r w:rsidRPr="000937DF">
              <w:rPr>
                <w:rFonts w:ascii="Palatino Linotype" w:eastAsia="Palatino Linotype" w:hAnsi="Palatino Linotype" w:cs="Palatino Linotype"/>
              </w:rPr>
              <w:lastRenderedPageBreak/>
              <w:t xml:space="preserve">acreditar la estricta correspondencia entre un elemento y otro. Ahora, en esta parte del procedimiento, que se desahoga en sede del Comité de Transparencia, la ley señala que la carga de la prueba, para justificar las restricciones, corresponde a los </w:t>
            </w:r>
            <w:r w:rsidRPr="000937DF">
              <w:rPr>
                <w:rFonts w:ascii="Palatino Linotype" w:eastAsia="Palatino Linotype" w:hAnsi="Palatino Linotype" w:cs="Palatino Linotype"/>
                <w:b/>
              </w:rPr>
              <w:t>Sujetos Obligados</w:t>
            </w:r>
            <w:r w:rsidRPr="000937DF">
              <w:rPr>
                <w:rFonts w:ascii="Palatino Linotype" w:eastAsia="Palatino Linotype" w:hAnsi="Palatino Linotype" w:cs="Palatino Linotype"/>
              </w:rPr>
              <w:t xml:space="preserve">, por lo que deberán fundar y motivar debidamente la clasificación. </w:t>
            </w:r>
          </w:p>
          <w:p w14:paraId="08D1AD37"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 xml:space="preserve">De lo anterior, se desprende que para una correcta </w:t>
            </w:r>
            <w:r w:rsidRPr="000937DF">
              <w:rPr>
                <w:rFonts w:ascii="Palatino Linotype" w:eastAsia="Palatino Linotype" w:hAnsi="Palatino Linotype" w:cs="Palatino Linotype"/>
                <w:b/>
              </w:rPr>
              <w:t>clasificación total o parcial</w:t>
            </w:r>
            <w:r w:rsidRPr="000937DF">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EEED4A5"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B60AA96"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14:paraId="267D2505"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 xml:space="preserve">Ahora bien, </w:t>
            </w:r>
            <w:r w:rsidRPr="000937DF">
              <w:rPr>
                <w:rFonts w:ascii="Palatino Linotype" w:eastAsia="Palatino Linotype" w:hAnsi="Palatino Linotype" w:cs="Palatino Linotype"/>
                <w:b/>
                <w:u w:val="single"/>
              </w:rPr>
              <w:t>para cada caso además de fundar y motivar</w:t>
            </w:r>
            <w:r w:rsidRPr="000937DF">
              <w:rPr>
                <w:rFonts w:ascii="Palatino Linotype" w:eastAsia="Palatino Linotype" w:hAnsi="Palatino Linotype" w:cs="Palatino Linotype"/>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81AD4" w:rsidRPr="000937DF" w14:paraId="223B64D2" w14:textId="77777777" w:rsidTr="00B81AD4">
        <w:tc>
          <w:tcPr>
            <w:tcW w:w="1838" w:type="dxa"/>
            <w:tcBorders>
              <w:top w:val="single" w:sz="4" w:space="0" w:color="000000"/>
              <w:left w:val="single" w:sz="4" w:space="0" w:color="000000"/>
              <w:bottom w:val="single" w:sz="4" w:space="0" w:color="000000"/>
              <w:right w:val="single" w:sz="4" w:space="0" w:color="000000"/>
            </w:tcBorders>
            <w:hideMark/>
          </w:tcPr>
          <w:p w14:paraId="27DBE92F" w14:textId="77777777" w:rsidR="00B81AD4" w:rsidRPr="000937DF" w:rsidRDefault="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lastRenderedPageBreak/>
              <w:t xml:space="preserve">e) Condiciones especiales de la clasificación </w:t>
            </w:r>
            <w:r w:rsidRPr="000937DF">
              <w:rPr>
                <w:rFonts w:ascii="Palatino Linotype" w:eastAsia="Palatino Linotype" w:hAnsi="Palatino Linotype" w:cs="Palatino Linotype"/>
              </w:rPr>
              <w:lastRenderedPageBreak/>
              <w:t xml:space="preserve">de la información como confidencial. </w:t>
            </w:r>
          </w:p>
        </w:tc>
        <w:tc>
          <w:tcPr>
            <w:tcW w:w="6990" w:type="dxa"/>
            <w:tcBorders>
              <w:top w:val="single" w:sz="4" w:space="0" w:color="000000"/>
              <w:left w:val="single" w:sz="4" w:space="0" w:color="000000"/>
              <w:bottom w:val="single" w:sz="4" w:space="0" w:color="000000"/>
              <w:right w:val="single" w:sz="4" w:space="0" w:color="000000"/>
            </w:tcBorders>
            <w:hideMark/>
          </w:tcPr>
          <w:p w14:paraId="3A8D7B01" w14:textId="77777777" w:rsidR="00B81AD4" w:rsidRPr="000937DF" w:rsidRDefault="00B81AD4" w:rsidP="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lastRenderedPageBreak/>
              <w:t xml:space="preserve">Los artículos 148 y 120 de la Ley Estatal y de la Ley General, respectivamente, establecen que aun tratándose de datos </w:t>
            </w:r>
            <w:r w:rsidRPr="000937DF">
              <w:rPr>
                <w:rFonts w:ascii="Palatino Linotype" w:eastAsia="Palatino Linotype" w:hAnsi="Palatino Linotype" w:cs="Palatino Linotype"/>
              </w:rPr>
              <w:lastRenderedPageBreak/>
              <w:t xml:space="preserve">personales, se podrán proporcionar, incluso sin solicitar el consentimiento de su titular. </w:t>
            </w:r>
          </w:p>
          <w:p w14:paraId="60B4A16A" w14:textId="77777777" w:rsidR="00B81AD4" w:rsidRPr="000937DF" w:rsidRDefault="00B81AD4" w:rsidP="00B81AD4">
            <w:pPr>
              <w:tabs>
                <w:tab w:val="left" w:pos="284"/>
              </w:tabs>
              <w:ind w:right="49"/>
              <w:jc w:val="both"/>
              <w:rPr>
                <w:rFonts w:ascii="Palatino Linotype" w:eastAsia="Palatino Linotype" w:hAnsi="Palatino Linotype" w:cs="Palatino Linotype"/>
              </w:rPr>
            </w:pPr>
            <w:r w:rsidRPr="000937DF">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CA1475D" w14:textId="77777777" w:rsidR="00B81AD4" w:rsidRPr="000937DF" w:rsidRDefault="00B81AD4" w:rsidP="00B81AD4">
            <w:pPr>
              <w:tabs>
                <w:tab w:val="left" w:pos="284"/>
              </w:tabs>
              <w:jc w:val="both"/>
              <w:rPr>
                <w:rFonts w:ascii="Palatino Linotype" w:eastAsia="Palatino Linotype" w:hAnsi="Palatino Linotype" w:cs="Palatino Linotype"/>
              </w:rPr>
            </w:pPr>
            <w:r w:rsidRPr="000937DF">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B97A24E" w14:textId="77777777" w:rsidR="00B81AD4" w:rsidRPr="000937DF" w:rsidRDefault="00B81AD4" w:rsidP="00B81AD4">
      <w:pPr>
        <w:rPr>
          <w:rFonts w:asciiTheme="minorHAnsi" w:eastAsiaTheme="minorHAnsi" w:hAnsiTheme="minorHAnsi" w:cstheme="minorBidi"/>
          <w:sz w:val="22"/>
          <w:szCs w:val="22"/>
          <w:lang w:eastAsia="en-US"/>
        </w:rPr>
      </w:pPr>
    </w:p>
    <w:p w14:paraId="633A7841" w14:textId="77777777" w:rsidR="00B81AD4" w:rsidRPr="000937DF" w:rsidRDefault="00B81AD4" w:rsidP="00B81AD4">
      <w:pPr>
        <w:spacing w:line="360" w:lineRule="auto"/>
        <w:contextualSpacing/>
        <w:jc w:val="both"/>
        <w:rPr>
          <w:rFonts w:ascii="Palatino Linotype" w:hAnsi="Palatino Linotype"/>
          <w:color w:val="000000" w:themeColor="text1"/>
        </w:rPr>
      </w:pPr>
    </w:p>
    <w:p w14:paraId="131608CD" w14:textId="77777777" w:rsidR="00DC2A97" w:rsidRPr="000937DF" w:rsidRDefault="00DC2A97" w:rsidP="00DC2A97">
      <w:pPr>
        <w:rPr>
          <w:rFonts w:ascii="Palatino Linotype" w:eastAsia="Palatino Linotype" w:hAnsi="Palatino Linotype" w:cs="Palatino Linotype"/>
          <w:sz w:val="22"/>
          <w:szCs w:val="22"/>
        </w:rPr>
      </w:pPr>
    </w:p>
    <w:p w14:paraId="4F5C5FF0" w14:textId="77777777" w:rsidR="00DC2A97" w:rsidRPr="000937DF" w:rsidRDefault="00DC2A97" w:rsidP="00796AA9">
      <w:pPr>
        <w:numPr>
          <w:ilvl w:val="0"/>
          <w:numId w:val="19"/>
        </w:numPr>
        <w:pBdr>
          <w:top w:val="nil"/>
          <w:left w:val="nil"/>
          <w:bottom w:val="nil"/>
          <w:right w:val="nil"/>
          <w:between w:val="nil"/>
        </w:pBdr>
        <w:spacing w:line="360" w:lineRule="auto"/>
        <w:ind w:left="0" w:right="-787" w:firstLine="0"/>
        <w:jc w:val="both"/>
        <w:rPr>
          <w:sz w:val="22"/>
          <w:szCs w:val="22"/>
        </w:rPr>
      </w:pPr>
      <w:r w:rsidRPr="000937DF">
        <w:rPr>
          <w:rFonts w:ascii="Palatino Linotype" w:eastAsia="Palatino Linotype" w:hAnsi="Palatino Linotype" w:cs="Palatino Linotype"/>
          <w:sz w:val="22"/>
          <w:szCs w:val="22"/>
        </w:rPr>
        <w:t xml:space="preserve">En consecuencia de lo anterior, resultan fundados los motivos de inconformidad vertidos por </w:t>
      </w:r>
      <w:r w:rsidRPr="000937DF">
        <w:rPr>
          <w:rFonts w:ascii="Palatino Linotype" w:eastAsia="Palatino Linotype" w:hAnsi="Palatino Linotype" w:cs="Palatino Linotype"/>
          <w:b/>
          <w:sz w:val="22"/>
          <w:szCs w:val="22"/>
        </w:rPr>
        <w:t xml:space="preserve">EL RECURRENTE, </w:t>
      </w:r>
      <w:r w:rsidRPr="000937DF">
        <w:rPr>
          <w:rFonts w:ascii="Palatino Linotype" w:eastAsia="Palatino Linotype" w:hAnsi="Palatino Linotype" w:cs="Palatino Linotype"/>
          <w:sz w:val="22"/>
          <w:szCs w:val="22"/>
        </w:rPr>
        <w:t xml:space="preserve">por ello con fundamento en el artículo 186 fracción III de la Ley de Transparencia y Acceso a la Información Pública del Estado de México y Municipios, se </w:t>
      </w:r>
      <w:r w:rsidRPr="000937DF">
        <w:rPr>
          <w:rFonts w:ascii="Palatino Linotype" w:eastAsia="Palatino Linotype" w:hAnsi="Palatino Linotype" w:cs="Palatino Linotype"/>
          <w:b/>
          <w:sz w:val="22"/>
          <w:szCs w:val="22"/>
        </w:rPr>
        <w:t xml:space="preserve">MODIFICA </w:t>
      </w:r>
      <w:r w:rsidRPr="000937DF">
        <w:rPr>
          <w:rFonts w:ascii="Palatino Linotype" w:eastAsia="Palatino Linotype" w:hAnsi="Palatino Linotype" w:cs="Palatino Linotype"/>
          <w:sz w:val="22"/>
          <w:szCs w:val="22"/>
        </w:rPr>
        <w:t>la respuesta a la solicitud de información</w:t>
      </w:r>
      <w:r w:rsidR="003043FE" w:rsidRPr="000937DF">
        <w:rPr>
          <w:rFonts w:ascii="Palatino Linotype" w:eastAsia="Palatino Linotype" w:hAnsi="Palatino Linotype" w:cs="Palatino Linotype"/>
          <w:b/>
          <w:sz w:val="22"/>
          <w:szCs w:val="22"/>
        </w:rPr>
        <w:t> </w:t>
      </w:r>
      <w:r w:rsidR="003043FE" w:rsidRPr="000937DF">
        <w:rPr>
          <w:rFonts w:ascii="Palatino Linotype" w:eastAsia="Palatino Linotype" w:hAnsi="Palatino Linotype" w:cs="Palatino Linotype"/>
          <w:b/>
          <w:bCs/>
          <w:sz w:val="22"/>
          <w:szCs w:val="22"/>
        </w:rPr>
        <w:t>00673/FGJ/IP/2024</w:t>
      </w:r>
      <w:r w:rsidRPr="000937DF">
        <w:rPr>
          <w:rFonts w:ascii="Palatino Linotype" w:eastAsia="Palatino Linotype" w:hAnsi="Palatino Linotype" w:cs="Palatino Linotype"/>
          <w:b/>
          <w:bCs/>
          <w:sz w:val="22"/>
          <w:szCs w:val="22"/>
        </w:rPr>
        <w:t xml:space="preserve"> </w:t>
      </w:r>
      <w:r w:rsidRPr="000937DF">
        <w:rPr>
          <w:rFonts w:ascii="Palatino Linotype" w:eastAsia="Palatino Linotype" w:hAnsi="Palatino Linotype" w:cs="Palatino Linotype"/>
          <w:sz w:val="22"/>
          <w:szCs w:val="22"/>
        </w:rPr>
        <w:t>que ha sido materia del presente fallo y se emiten los siguientes:</w:t>
      </w:r>
    </w:p>
    <w:p w14:paraId="25D94E42" w14:textId="77777777" w:rsidR="00DC2A97" w:rsidRPr="000937DF" w:rsidRDefault="00DC2A97" w:rsidP="00DC2A97">
      <w:pPr>
        <w:pBdr>
          <w:top w:val="nil"/>
          <w:left w:val="nil"/>
          <w:bottom w:val="nil"/>
          <w:right w:val="nil"/>
          <w:between w:val="nil"/>
        </w:pBdr>
        <w:rPr>
          <w:rFonts w:ascii="Palatino Linotype" w:eastAsia="Palatino Linotype" w:hAnsi="Palatino Linotype" w:cs="Palatino Linotype"/>
          <w:color w:val="000000"/>
          <w:sz w:val="22"/>
          <w:szCs w:val="22"/>
        </w:rPr>
      </w:pPr>
    </w:p>
    <w:p w14:paraId="1C9C0C2D" w14:textId="77777777" w:rsidR="00DC2A97" w:rsidRPr="000937DF" w:rsidRDefault="00DC2A97" w:rsidP="00DC2A97">
      <w:pPr>
        <w:keepNext/>
        <w:keepLines/>
        <w:spacing w:line="360" w:lineRule="auto"/>
        <w:jc w:val="center"/>
        <w:rPr>
          <w:rFonts w:ascii="Palatino Linotype" w:eastAsia="Palatino Linotype" w:hAnsi="Palatino Linotype" w:cs="Palatino Linotype"/>
          <w:b/>
          <w:color w:val="000000"/>
          <w:sz w:val="22"/>
          <w:szCs w:val="22"/>
          <w:lang w:val="es-ES_tradnl" w:eastAsia="es-ES"/>
        </w:rPr>
      </w:pPr>
      <w:r w:rsidRPr="000937DF">
        <w:rPr>
          <w:rFonts w:ascii="Palatino Linotype" w:eastAsia="Palatino Linotype" w:hAnsi="Palatino Linotype" w:cs="Palatino Linotype"/>
          <w:b/>
          <w:color w:val="000000"/>
          <w:sz w:val="22"/>
          <w:szCs w:val="22"/>
          <w:lang w:val="es-ES_tradnl" w:eastAsia="es-ES"/>
        </w:rPr>
        <w:t>R E S O L U T I V O S</w:t>
      </w:r>
    </w:p>
    <w:p w14:paraId="298BD7CA" w14:textId="77777777" w:rsidR="00DC2A97" w:rsidRPr="000937DF" w:rsidRDefault="00DC2A97" w:rsidP="00967F43">
      <w:pPr>
        <w:spacing w:line="360" w:lineRule="auto"/>
        <w:ind w:right="-801"/>
        <w:jc w:val="both"/>
        <w:rPr>
          <w:rFonts w:ascii="Palatino Linotype" w:eastAsia="Palatino Linotype" w:hAnsi="Palatino Linotype" w:cs="Palatino Linotype"/>
          <w:sz w:val="22"/>
          <w:szCs w:val="22"/>
          <w:lang w:val="es-ES_tradnl" w:eastAsia="es-ES"/>
        </w:rPr>
      </w:pPr>
      <w:r w:rsidRPr="000937DF">
        <w:rPr>
          <w:rFonts w:ascii="Palatino Linotype" w:eastAsia="Palatino Linotype" w:hAnsi="Palatino Linotype" w:cs="Palatino Linotype"/>
          <w:b/>
          <w:sz w:val="22"/>
          <w:szCs w:val="22"/>
          <w:lang w:val="es-ES_tradnl" w:eastAsia="es-ES"/>
        </w:rPr>
        <w:t>PRIMERO</w:t>
      </w:r>
      <w:r w:rsidRPr="000937DF">
        <w:rPr>
          <w:rFonts w:ascii="Palatino Linotype" w:eastAsia="Palatino Linotype" w:hAnsi="Palatino Linotype" w:cs="Palatino Linotype"/>
          <w:sz w:val="22"/>
          <w:szCs w:val="22"/>
          <w:lang w:val="es-ES_tradnl" w:eastAsia="es-ES"/>
        </w:rPr>
        <w:t xml:space="preserve">. Resultan fundadas las razones o motivos de inconformidad hechos valer en el recurso de revisión </w:t>
      </w:r>
      <w:r w:rsidR="007C3E2C" w:rsidRPr="000937DF">
        <w:rPr>
          <w:rFonts w:ascii="Palatino Linotype" w:eastAsia="Palatino Linotype" w:hAnsi="Palatino Linotype" w:cs="Palatino Linotype"/>
          <w:b/>
          <w:sz w:val="22"/>
          <w:szCs w:val="22"/>
          <w:lang w:eastAsia="es-ES"/>
        </w:rPr>
        <w:t xml:space="preserve">05243/INFOEM/IP/RR/2024 </w:t>
      </w:r>
      <w:r w:rsidRPr="000937DF">
        <w:rPr>
          <w:rFonts w:ascii="Palatino Linotype" w:eastAsia="Palatino Linotype" w:hAnsi="Palatino Linotype" w:cs="Palatino Linotype"/>
          <w:sz w:val="22"/>
          <w:szCs w:val="22"/>
          <w:lang w:val="es-ES_tradnl" w:eastAsia="es-ES"/>
        </w:rPr>
        <w:t xml:space="preserve">en términos del Considerando </w:t>
      </w:r>
      <w:r w:rsidRPr="000937DF">
        <w:rPr>
          <w:rFonts w:ascii="Palatino Linotype" w:eastAsia="Palatino Linotype" w:hAnsi="Palatino Linotype" w:cs="Palatino Linotype"/>
          <w:b/>
          <w:sz w:val="22"/>
          <w:szCs w:val="22"/>
          <w:lang w:val="es-ES_tradnl" w:eastAsia="es-ES"/>
        </w:rPr>
        <w:t xml:space="preserve">CUARTO y QUINTO </w:t>
      </w:r>
      <w:r w:rsidRPr="000937DF">
        <w:rPr>
          <w:rFonts w:ascii="Palatino Linotype" w:eastAsia="Palatino Linotype" w:hAnsi="Palatino Linotype" w:cs="Palatino Linotype"/>
          <w:sz w:val="22"/>
          <w:szCs w:val="22"/>
          <w:lang w:val="es-ES_tradnl" w:eastAsia="es-ES"/>
        </w:rPr>
        <w:t xml:space="preserve">de la presente resolución. </w:t>
      </w:r>
    </w:p>
    <w:p w14:paraId="74E2381F" w14:textId="77777777" w:rsidR="00DC2A97" w:rsidRPr="000937DF" w:rsidRDefault="00DC2A97" w:rsidP="00967F43">
      <w:pPr>
        <w:spacing w:line="360" w:lineRule="auto"/>
        <w:ind w:right="-801"/>
        <w:jc w:val="both"/>
        <w:rPr>
          <w:rFonts w:ascii="Palatino Linotype" w:eastAsia="Palatino Linotype" w:hAnsi="Palatino Linotype" w:cs="Palatino Linotype"/>
          <w:sz w:val="22"/>
          <w:szCs w:val="22"/>
          <w:lang w:val="es-ES_tradnl" w:eastAsia="es-ES"/>
        </w:rPr>
      </w:pPr>
    </w:p>
    <w:p w14:paraId="424A8E50" w14:textId="50D12B18" w:rsidR="0013768F" w:rsidRPr="000937DF" w:rsidRDefault="00DC2A97" w:rsidP="00967F43">
      <w:pPr>
        <w:spacing w:line="360" w:lineRule="auto"/>
        <w:ind w:right="-801"/>
        <w:jc w:val="both"/>
        <w:rPr>
          <w:rFonts w:ascii="Palatino Linotype" w:eastAsia="Palatino Linotype" w:hAnsi="Palatino Linotype" w:cs="Palatino Linotype"/>
          <w:bCs/>
          <w:sz w:val="22"/>
          <w:szCs w:val="22"/>
          <w:lang w:val="es-ES_tradnl" w:eastAsia="es-ES"/>
        </w:rPr>
      </w:pPr>
      <w:bookmarkStart w:id="12" w:name="_heading=h.26in1rg" w:colFirst="0" w:colLast="0"/>
      <w:bookmarkEnd w:id="12"/>
      <w:r w:rsidRPr="000937DF">
        <w:rPr>
          <w:rFonts w:ascii="Palatino Linotype" w:eastAsia="Palatino Linotype" w:hAnsi="Palatino Linotype" w:cs="Palatino Linotype"/>
          <w:b/>
          <w:sz w:val="22"/>
          <w:szCs w:val="22"/>
          <w:lang w:val="es-ES_tradnl" w:eastAsia="es-ES"/>
        </w:rPr>
        <w:t xml:space="preserve">SEGUNDO. </w:t>
      </w:r>
      <w:r w:rsidRPr="000937DF">
        <w:rPr>
          <w:rFonts w:ascii="Palatino Linotype" w:eastAsia="Palatino Linotype" w:hAnsi="Palatino Linotype" w:cs="Palatino Linotype"/>
          <w:color w:val="000000"/>
          <w:sz w:val="22"/>
          <w:szCs w:val="22"/>
          <w:lang w:val="es-ES_tradnl" w:eastAsia="es-ES"/>
        </w:rPr>
        <w:t xml:space="preserve">Se </w:t>
      </w:r>
      <w:r w:rsidRPr="000937DF">
        <w:rPr>
          <w:rFonts w:ascii="Palatino Linotype" w:eastAsia="Palatino Linotype" w:hAnsi="Palatino Linotype" w:cs="Palatino Linotype"/>
          <w:b/>
          <w:color w:val="000000"/>
          <w:sz w:val="22"/>
          <w:szCs w:val="22"/>
          <w:lang w:val="es-ES_tradnl" w:eastAsia="es-ES"/>
        </w:rPr>
        <w:t xml:space="preserve">MODIFICA </w:t>
      </w:r>
      <w:r w:rsidRPr="000937DF">
        <w:rPr>
          <w:rFonts w:ascii="Palatino Linotype" w:eastAsia="Palatino Linotype" w:hAnsi="Palatino Linotype" w:cs="Palatino Linotype"/>
          <w:color w:val="000000"/>
          <w:sz w:val="22"/>
          <w:szCs w:val="22"/>
          <w:lang w:val="es-ES_tradnl" w:eastAsia="es-ES"/>
        </w:rPr>
        <w:t xml:space="preserve">la respuesta emitida por </w:t>
      </w:r>
      <w:r w:rsidR="007C3E2C" w:rsidRPr="000937DF">
        <w:rPr>
          <w:rFonts w:ascii="Palatino Linotype" w:eastAsia="Palatino Linotype" w:hAnsi="Palatino Linotype" w:cs="Palatino Linotype"/>
          <w:color w:val="000000"/>
          <w:sz w:val="22"/>
          <w:szCs w:val="22"/>
          <w:lang w:val="es-ES_tradnl" w:eastAsia="es-ES"/>
        </w:rPr>
        <w:t xml:space="preserve">la Fiscalía General de Justicia del Estado de México </w:t>
      </w:r>
      <w:r w:rsidRPr="000937DF">
        <w:rPr>
          <w:rFonts w:ascii="Palatino Linotype" w:eastAsia="Palatino Linotype" w:hAnsi="Palatino Linotype" w:cs="Palatino Linotype"/>
          <w:color w:val="000000"/>
          <w:sz w:val="22"/>
          <w:szCs w:val="22"/>
          <w:lang w:val="es-ES_tradnl" w:eastAsia="es-ES"/>
        </w:rPr>
        <w:t xml:space="preserve">y se </w:t>
      </w:r>
      <w:r w:rsidRPr="000937DF">
        <w:rPr>
          <w:rFonts w:ascii="Palatino Linotype" w:eastAsia="Palatino Linotype" w:hAnsi="Palatino Linotype" w:cs="Palatino Linotype"/>
          <w:b/>
          <w:color w:val="000000"/>
          <w:sz w:val="22"/>
          <w:szCs w:val="22"/>
          <w:lang w:val="es-ES_tradnl" w:eastAsia="es-ES"/>
        </w:rPr>
        <w:t>ORDENA</w:t>
      </w:r>
      <w:r w:rsidRPr="000937DF">
        <w:rPr>
          <w:rFonts w:ascii="Palatino Linotype" w:eastAsia="Palatino Linotype" w:hAnsi="Palatino Linotype" w:cs="Palatino Linotype"/>
          <w:color w:val="000000"/>
          <w:sz w:val="22"/>
          <w:szCs w:val="22"/>
          <w:lang w:val="es-ES_tradnl" w:eastAsia="es-ES"/>
        </w:rPr>
        <w:t xml:space="preserve"> </w:t>
      </w:r>
      <w:r w:rsidR="001A2D0B" w:rsidRPr="000937DF">
        <w:rPr>
          <w:rFonts w:ascii="Palatino Linotype" w:eastAsia="Palatino Linotype" w:hAnsi="Palatino Linotype" w:cs="Palatino Linotype"/>
          <w:color w:val="000000"/>
          <w:sz w:val="22"/>
          <w:szCs w:val="22"/>
          <w:lang w:val="es-ES_tradnl" w:eastAsia="es-ES"/>
        </w:rPr>
        <w:t xml:space="preserve">previa búsqueda exhaustiva y razonable </w:t>
      </w:r>
      <w:r w:rsidRPr="000937DF">
        <w:rPr>
          <w:rFonts w:ascii="Palatino Linotype" w:eastAsia="Palatino Linotype" w:hAnsi="Palatino Linotype" w:cs="Palatino Linotype"/>
          <w:color w:val="000000"/>
          <w:sz w:val="22"/>
          <w:szCs w:val="22"/>
          <w:lang w:val="es-ES_tradnl" w:eastAsia="es-ES"/>
        </w:rPr>
        <w:t xml:space="preserve">entregar vía Sistema de Acceso a la Información Mexiquense </w:t>
      </w:r>
      <w:r w:rsidRPr="000937DF">
        <w:rPr>
          <w:rFonts w:ascii="Palatino Linotype" w:eastAsia="Palatino Linotype" w:hAnsi="Palatino Linotype" w:cs="Palatino Linotype"/>
          <w:b/>
          <w:color w:val="000000"/>
          <w:sz w:val="22"/>
          <w:szCs w:val="22"/>
          <w:lang w:val="es-ES_tradnl" w:eastAsia="es-ES"/>
        </w:rPr>
        <w:t>(SAIMEX)</w:t>
      </w:r>
      <w:r w:rsidRPr="000937DF">
        <w:rPr>
          <w:rFonts w:ascii="Palatino Linotype" w:eastAsia="Palatino Linotype" w:hAnsi="Palatino Linotype" w:cs="Palatino Linotype"/>
          <w:color w:val="000000"/>
          <w:sz w:val="22"/>
          <w:szCs w:val="22"/>
          <w:lang w:val="es-ES_tradnl" w:eastAsia="es-ES"/>
        </w:rPr>
        <w:t xml:space="preserve">, </w:t>
      </w:r>
      <w:r w:rsidRPr="000937DF">
        <w:rPr>
          <w:rFonts w:ascii="Palatino Linotype" w:eastAsia="Palatino Linotype" w:hAnsi="Palatino Linotype" w:cs="Palatino Linotype"/>
          <w:sz w:val="22"/>
          <w:szCs w:val="22"/>
          <w:lang w:val="es-ES_tradnl" w:eastAsia="es-ES"/>
        </w:rPr>
        <w:t>en versión pública</w:t>
      </w:r>
      <w:r w:rsidR="00BB4BC4" w:rsidRPr="000937DF">
        <w:rPr>
          <w:rFonts w:ascii="Palatino Linotype" w:eastAsia="Palatino Linotype" w:hAnsi="Palatino Linotype" w:cs="Palatino Linotype"/>
          <w:b/>
          <w:lang w:val="es-ES_tradnl" w:eastAsia="es-ES"/>
        </w:rPr>
        <w:t xml:space="preserve"> del once de julio de dos mil veintitrés al once de julio de dos mil veinticuatro</w:t>
      </w:r>
      <w:r w:rsidR="00B81AD4" w:rsidRPr="000937DF">
        <w:rPr>
          <w:rFonts w:ascii="Palatino Linotype" w:eastAsia="Palatino Linotype" w:hAnsi="Palatino Linotype" w:cs="Palatino Linotype"/>
          <w:b/>
          <w:lang w:val="es-ES_tradnl" w:eastAsia="es-ES"/>
        </w:rPr>
        <w:t xml:space="preserve">, </w:t>
      </w:r>
      <w:r w:rsidR="00B81AD4" w:rsidRPr="000937DF">
        <w:rPr>
          <w:rFonts w:ascii="Palatino Linotype" w:eastAsia="Palatino Linotype" w:hAnsi="Palatino Linotype" w:cs="Palatino Linotype"/>
          <w:bCs/>
          <w:lang w:val="es-ES_tradnl" w:eastAsia="es-ES"/>
        </w:rPr>
        <w:t>la información siguiente:</w:t>
      </w:r>
    </w:p>
    <w:p w14:paraId="2C9AC89E" w14:textId="77777777" w:rsidR="0013768F" w:rsidRPr="000937DF" w:rsidRDefault="0013768F" w:rsidP="00967F43">
      <w:pPr>
        <w:spacing w:line="360" w:lineRule="auto"/>
        <w:ind w:right="-801"/>
        <w:jc w:val="both"/>
        <w:rPr>
          <w:rFonts w:ascii="Palatino Linotype" w:eastAsia="Palatino Linotype" w:hAnsi="Palatino Linotype" w:cs="Palatino Linotype"/>
          <w:sz w:val="22"/>
          <w:szCs w:val="22"/>
          <w:lang w:val="es-ES_tradnl" w:eastAsia="es-ES"/>
        </w:rPr>
      </w:pPr>
    </w:p>
    <w:p w14:paraId="3AAB9E6F" w14:textId="61F15DBF" w:rsidR="0013768F" w:rsidRPr="000937DF" w:rsidRDefault="0013768F" w:rsidP="00967F43">
      <w:pPr>
        <w:spacing w:line="360" w:lineRule="auto"/>
        <w:ind w:left="851" w:right="-801"/>
        <w:jc w:val="both"/>
        <w:rPr>
          <w:rFonts w:ascii="Palatino Linotype" w:eastAsia="Palatino Linotype" w:hAnsi="Palatino Linotype" w:cs="Palatino Linotype"/>
          <w:sz w:val="22"/>
          <w:szCs w:val="22"/>
          <w:lang w:eastAsia="es-ES"/>
        </w:rPr>
      </w:pPr>
      <w:r w:rsidRPr="000937DF">
        <w:rPr>
          <w:rFonts w:ascii="Palatino Linotype" w:eastAsia="Palatino Linotype" w:hAnsi="Palatino Linotype" w:cs="Palatino Linotype"/>
          <w:sz w:val="22"/>
          <w:szCs w:val="22"/>
          <w:lang w:eastAsia="es-ES"/>
        </w:rPr>
        <w:t xml:space="preserve">a) </w:t>
      </w:r>
      <w:r w:rsidR="00B81AD4" w:rsidRPr="000937DF">
        <w:rPr>
          <w:rFonts w:ascii="Palatino Linotype" w:eastAsia="Palatino Linotype" w:hAnsi="Palatino Linotype" w:cs="Palatino Linotype"/>
          <w:sz w:val="22"/>
          <w:szCs w:val="22"/>
          <w:lang w:eastAsia="es-ES"/>
        </w:rPr>
        <w:t>Documento donde conste la adscripción  incluyendo las anteriores</w:t>
      </w:r>
      <w:r w:rsidR="0099513A" w:rsidRPr="000937DF">
        <w:rPr>
          <w:rFonts w:ascii="Palatino Linotype" w:eastAsia="Palatino Linotype" w:hAnsi="Palatino Linotype" w:cs="Palatino Linotype"/>
          <w:sz w:val="22"/>
          <w:szCs w:val="22"/>
          <w:lang w:eastAsia="es-ES"/>
        </w:rPr>
        <w:t xml:space="preserve">, </w:t>
      </w:r>
      <w:r w:rsidR="00B81AD4" w:rsidRPr="000937DF">
        <w:rPr>
          <w:rFonts w:ascii="Palatino Linotype" w:eastAsia="Palatino Linotype" w:hAnsi="Palatino Linotype" w:cs="Palatino Linotype"/>
          <w:sz w:val="22"/>
          <w:szCs w:val="22"/>
          <w:lang w:eastAsia="es-ES"/>
        </w:rPr>
        <w:t>cargos</w:t>
      </w:r>
      <w:r w:rsidR="0099513A" w:rsidRPr="000937DF">
        <w:rPr>
          <w:rFonts w:ascii="Palatino Linotype" w:eastAsia="Palatino Linotype" w:hAnsi="Palatino Linotype" w:cs="Palatino Linotype"/>
          <w:sz w:val="22"/>
          <w:szCs w:val="22"/>
          <w:lang w:eastAsia="es-ES"/>
        </w:rPr>
        <w:t xml:space="preserve">, denuncias administrativas y/o penales y sanciones, al mayor grado de desagregación,  relacionadas </w:t>
      </w:r>
      <w:r w:rsidR="00F53DD5" w:rsidRPr="000937DF">
        <w:rPr>
          <w:rFonts w:ascii="Palatino Linotype" w:eastAsia="Palatino Linotype" w:hAnsi="Palatino Linotype" w:cs="Palatino Linotype"/>
          <w:sz w:val="22"/>
          <w:szCs w:val="22"/>
          <w:lang w:eastAsia="es-ES"/>
        </w:rPr>
        <w:t xml:space="preserve">con </w:t>
      </w:r>
      <w:r w:rsidR="0099513A" w:rsidRPr="000937DF">
        <w:rPr>
          <w:rFonts w:ascii="Palatino Linotype" w:eastAsia="Palatino Linotype" w:hAnsi="Palatino Linotype" w:cs="Palatino Linotype"/>
          <w:sz w:val="22"/>
          <w:szCs w:val="22"/>
          <w:lang w:eastAsia="es-ES"/>
        </w:rPr>
        <w:t xml:space="preserve">el servidor público </w:t>
      </w:r>
      <w:r w:rsidR="00F53DD5" w:rsidRPr="000937DF">
        <w:rPr>
          <w:rFonts w:ascii="Palatino Linotype" w:eastAsia="Palatino Linotype" w:hAnsi="Palatino Linotype" w:cs="Palatino Linotype"/>
          <w:sz w:val="22"/>
          <w:szCs w:val="22"/>
          <w:lang w:eastAsia="es-ES"/>
        </w:rPr>
        <w:t xml:space="preserve"> referid</w:t>
      </w:r>
      <w:r w:rsidR="0099513A" w:rsidRPr="000937DF">
        <w:rPr>
          <w:rFonts w:ascii="Palatino Linotype" w:eastAsia="Palatino Linotype" w:hAnsi="Palatino Linotype" w:cs="Palatino Linotype"/>
          <w:sz w:val="22"/>
          <w:szCs w:val="22"/>
          <w:lang w:eastAsia="es-ES"/>
        </w:rPr>
        <w:t>o</w:t>
      </w:r>
      <w:r w:rsidR="00F53DD5" w:rsidRPr="000937DF">
        <w:rPr>
          <w:rFonts w:ascii="Palatino Linotype" w:eastAsia="Palatino Linotype" w:hAnsi="Palatino Linotype" w:cs="Palatino Linotype"/>
          <w:sz w:val="22"/>
          <w:szCs w:val="22"/>
          <w:lang w:eastAsia="es-ES"/>
        </w:rPr>
        <w:t xml:space="preserve"> en la solicitud de información, </w:t>
      </w:r>
      <w:r w:rsidR="0099513A" w:rsidRPr="000937DF">
        <w:rPr>
          <w:rFonts w:ascii="Palatino Linotype" w:eastAsia="Palatino Linotype" w:hAnsi="Palatino Linotype" w:cs="Palatino Linotype"/>
          <w:sz w:val="22"/>
          <w:szCs w:val="22"/>
          <w:lang w:eastAsia="es-ES"/>
        </w:rPr>
        <w:t xml:space="preserve">cuando se trate de procedimientos administrativos o penales </w:t>
      </w:r>
      <w:r w:rsidRPr="000937DF">
        <w:rPr>
          <w:rFonts w:ascii="Palatino Linotype" w:eastAsia="Palatino Linotype" w:hAnsi="Palatino Linotype" w:cs="Palatino Linotype"/>
          <w:sz w:val="22"/>
          <w:szCs w:val="22"/>
          <w:lang w:eastAsia="es-ES"/>
        </w:rPr>
        <w:t xml:space="preserve">que se </w:t>
      </w:r>
      <w:r w:rsidR="0099513A" w:rsidRPr="000937DF">
        <w:rPr>
          <w:rFonts w:ascii="Palatino Linotype" w:eastAsia="Palatino Linotype" w:hAnsi="Palatino Linotype" w:cs="Palatino Linotype"/>
          <w:sz w:val="22"/>
          <w:szCs w:val="22"/>
          <w:lang w:eastAsia="es-ES"/>
        </w:rPr>
        <w:t>encuentren</w:t>
      </w:r>
      <w:r w:rsidRPr="000937DF">
        <w:rPr>
          <w:rFonts w:ascii="Palatino Linotype" w:eastAsia="Palatino Linotype" w:hAnsi="Palatino Linotype" w:cs="Palatino Linotype"/>
          <w:sz w:val="22"/>
          <w:szCs w:val="22"/>
          <w:lang w:eastAsia="es-ES"/>
        </w:rPr>
        <w:t xml:space="preserve"> concluid</w:t>
      </w:r>
      <w:r w:rsidR="0099513A" w:rsidRPr="000937DF">
        <w:rPr>
          <w:rFonts w:ascii="Palatino Linotype" w:eastAsia="Palatino Linotype" w:hAnsi="Palatino Linotype" w:cs="Palatino Linotype"/>
          <w:sz w:val="22"/>
          <w:szCs w:val="22"/>
          <w:lang w:eastAsia="es-ES"/>
        </w:rPr>
        <w:t>o</w:t>
      </w:r>
      <w:r w:rsidR="00EC4F02" w:rsidRPr="000937DF">
        <w:rPr>
          <w:rFonts w:ascii="Palatino Linotype" w:eastAsia="Palatino Linotype" w:hAnsi="Palatino Linotype" w:cs="Palatino Linotype"/>
          <w:sz w:val="22"/>
          <w:szCs w:val="22"/>
          <w:lang w:eastAsia="es-ES"/>
        </w:rPr>
        <w:t>s</w:t>
      </w:r>
      <w:r w:rsidRPr="000937DF">
        <w:rPr>
          <w:rFonts w:ascii="Palatino Linotype" w:eastAsia="Palatino Linotype" w:hAnsi="Palatino Linotype" w:cs="Palatino Linotype"/>
          <w:sz w:val="22"/>
          <w:szCs w:val="22"/>
          <w:lang w:eastAsia="es-ES"/>
        </w:rPr>
        <w:t xml:space="preserve"> y se haya determinado una responsabilidad grave, o bien, se encuentren en trámite en algún procedimiento que se relacione con actos de corrupción o posibles violaciones graves a derechos humanos, de conformidad con el artículo 142 </w:t>
      </w:r>
      <w:r w:rsidR="00A12445" w:rsidRPr="000937DF">
        <w:rPr>
          <w:rFonts w:ascii="Palatino Linotype" w:eastAsia="Palatino Linotype" w:hAnsi="Palatino Linotype" w:cs="Palatino Linotype"/>
          <w:sz w:val="22"/>
          <w:szCs w:val="22"/>
          <w:lang w:eastAsia="es-ES"/>
        </w:rPr>
        <w:t>de la Ley de Transparencia y Acceso a la Información Pública del Estado de México y Municipios</w:t>
      </w:r>
      <w:r w:rsidR="00ED5771" w:rsidRPr="000937DF">
        <w:rPr>
          <w:rFonts w:ascii="Palatino Linotype" w:eastAsia="Palatino Linotype" w:hAnsi="Palatino Linotype" w:cs="Palatino Linotype"/>
          <w:sz w:val="22"/>
          <w:szCs w:val="22"/>
          <w:lang w:eastAsia="es-ES"/>
        </w:rPr>
        <w:t>.</w:t>
      </w:r>
    </w:p>
    <w:p w14:paraId="78A238F0" w14:textId="77777777" w:rsidR="0013768F" w:rsidRPr="000937DF" w:rsidRDefault="0013768F" w:rsidP="00967F43">
      <w:pPr>
        <w:spacing w:line="360" w:lineRule="auto"/>
        <w:ind w:left="851" w:right="-801"/>
        <w:jc w:val="both"/>
        <w:rPr>
          <w:rFonts w:ascii="Palatino Linotype" w:eastAsia="Palatino Linotype" w:hAnsi="Palatino Linotype" w:cs="Palatino Linotype"/>
          <w:sz w:val="22"/>
          <w:szCs w:val="22"/>
          <w:lang w:eastAsia="es-ES"/>
        </w:rPr>
      </w:pPr>
    </w:p>
    <w:p w14:paraId="06A8DC32" w14:textId="1F1AC31A" w:rsidR="0013768F" w:rsidRPr="000937DF" w:rsidRDefault="0013768F" w:rsidP="00967F43">
      <w:pPr>
        <w:spacing w:line="360" w:lineRule="auto"/>
        <w:ind w:right="-801"/>
        <w:jc w:val="both"/>
        <w:rPr>
          <w:rFonts w:ascii="Palatino Linotype" w:eastAsia="Palatino Linotype" w:hAnsi="Palatino Linotype" w:cs="Palatino Linotype"/>
          <w:sz w:val="22"/>
          <w:szCs w:val="22"/>
          <w:lang w:eastAsia="es-ES"/>
        </w:rPr>
      </w:pPr>
      <w:r w:rsidRPr="000937DF">
        <w:rPr>
          <w:rFonts w:ascii="Palatino Linotype" w:eastAsia="Palatino Linotype" w:hAnsi="Palatino Linotype" w:cs="Palatino Linotype"/>
          <w:sz w:val="22"/>
          <w:szCs w:val="22"/>
          <w:lang w:eastAsia="es-ES"/>
        </w:rPr>
        <w:t>Para el caso, de que no se tengan denuncias administrativas o penales; se haya iniciado algún procedimiento administrativo o penal que se encuentre en trámite (con excepción de los ya señalados anteriormente), o bien, se encuentre concluido y se haya determinado alguna responsabilidad no grave o la absolución, deberá proporcionar el Acuerdo emitido por el Comité de Transparencia, en donde de manera fundada y motivada, confirme la clasificación del pronunciamiento en sentido afirmativo o negativo, sobre la existencia de procedimientos</w:t>
      </w:r>
      <w:r w:rsidR="00030BC0" w:rsidRPr="000937DF">
        <w:rPr>
          <w:rFonts w:ascii="Palatino Linotype" w:eastAsia="Palatino Linotype" w:hAnsi="Palatino Linotype" w:cs="Palatino Linotype"/>
          <w:sz w:val="22"/>
          <w:szCs w:val="22"/>
          <w:lang w:eastAsia="es-ES"/>
        </w:rPr>
        <w:t xml:space="preserve"> administrativos o penales, adscripción y cargos</w:t>
      </w:r>
      <w:r w:rsidRPr="000937DF">
        <w:rPr>
          <w:rFonts w:ascii="Palatino Linotype" w:eastAsia="Palatino Linotype" w:hAnsi="Palatino Linotype" w:cs="Palatino Linotype"/>
          <w:sz w:val="22"/>
          <w:szCs w:val="22"/>
          <w:lang w:eastAsia="es-ES"/>
        </w:rPr>
        <w:t xml:space="preserve">, en términos de los artículos 49, fracción II, 132, fracción II, 143, fracción I y 149 de la Ley de Transparencia y Acceso a la Información Pública del Estado de México y Municipios. </w:t>
      </w:r>
    </w:p>
    <w:p w14:paraId="04A7113F" w14:textId="77777777" w:rsidR="0013768F" w:rsidRPr="000937DF" w:rsidRDefault="0013768F" w:rsidP="00967F43">
      <w:pPr>
        <w:spacing w:line="360" w:lineRule="auto"/>
        <w:ind w:right="-801"/>
        <w:jc w:val="both"/>
        <w:rPr>
          <w:rFonts w:ascii="Palatino Linotype" w:eastAsia="Palatino Linotype" w:hAnsi="Palatino Linotype" w:cs="Palatino Linotype"/>
          <w:sz w:val="22"/>
          <w:szCs w:val="22"/>
          <w:lang w:eastAsia="es-ES"/>
        </w:rPr>
      </w:pPr>
    </w:p>
    <w:p w14:paraId="3547592E" w14:textId="77777777" w:rsidR="00EC4F02" w:rsidRPr="000937DF" w:rsidRDefault="0013768F" w:rsidP="00967F43">
      <w:pPr>
        <w:spacing w:line="360" w:lineRule="auto"/>
        <w:ind w:right="-801"/>
        <w:jc w:val="both"/>
        <w:rPr>
          <w:rFonts w:ascii="Palatino Linotype" w:eastAsia="Palatino Linotype" w:hAnsi="Palatino Linotype" w:cs="Palatino Linotype"/>
          <w:sz w:val="22"/>
          <w:szCs w:val="22"/>
          <w:lang w:eastAsia="es-ES"/>
        </w:rPr>
      </w:pPr>
      <w:r w:rsidRPr="000937DF">
        <w:rPr>
          <w:rFonts w:ascii="Palatino Linotype" w:eastAsia="Palatino Linotype" w:hAnsi="Palatino Linotype" w:cs="Palatino Linotype"/>
          <w:sz w:val="22"/>
          <w:szCs w:val="22"/>
          <w:lang w:eastAsia="es-ES"/>
        </w:rPr>
        <w:t>Para efectos de lo anterior se deberá emitir el Acuerdo del Comité de Transparencia en</w:t>
      </w:r>
      <w:r w:rsidR="00EC4F02" w:rsidRPr="000937DF">
        <w:rPr>
          <w:rFonts w:ascii="Palatino Linotype" w:eastAsia="Palatino Linotype" w:hAnsi="Palatino Linotype" w:cs="Palatino Linotype"/>
          <w:sz w:val="22"/>
          <w:szCs w:val="22"/>
          <w:lang w:eastAsia="es-ES"/>
        </w:rPr>
        <w:t xml:space="preserve"> </w:t>
      </w:r>
      <w:r w:rsidRPr="000937DF">
        <w:rPr>
          <w:rFonts w:ascii="Palatino Linotype" w:eastAsia="Palatino Linotype" w:hAnsi="Palatino Linotype" w:cs="Palatino Linotype"/>
          <w:sz w:val="22"/>
          <w:szCs w:val="22"/>
          <w:lang w:eastAsia="es-ES"/>
        </w:rPr>
        <w:t>términos de los artículos 49, fracción VIII, y 132, fracción II, de la Ley de Transparencia y</w:t>
      </w:r>
      <w:r w:rsidR="00EC4F02" w:rsidRPr="000937DF">
        <w:rPr>
          <w:rFonts w:ascii="Palatino Linotype" w:eastAsia="Palatino Linotype" w:hAnsi="Palatino Linotype" w:cs="Palatino Linotype"/>
          <w:sz w:val="22"/>
          <w:szCs w:val="22"/>
          <w:lang w:eastAsia="es-ES"/>
        </w:rPr>
        <w:t xml:space="preserve"> </w:t>
      </w:r>
      <w:r w:rsidRPr="000937DF">
        <w:rPr>
          <w:rFonts w:ascii="Palatino Linotype" w:eastAsia="Palatino Linotype" w:hAnsi="Palatino Linotype" w:cs="Palatino Linotype"/>
          <w:sz w:val="22"/>
          <w:szCs w:val="22"/>
          <w:lang w:eastAsia="es-ES"/>
        </w:rPr>
        <w:t>Acceso a la Información Pública del Estado de México y Municipios, en el que funde y</w:t>
      </w:r>
      <w:r w:rsidR="00EC4F02" w:rsidRPr="000937DF">
        <w:rPr>
          <w:rFonts w:ascii="Palatino Linotype" w:eastAsia="Palatino Linotype" w:hAnsi="Palatino Linotype" w:cs="Palatino Linotype"/>
          <w:sz w:val="22"/>
          <w:szCs w:val="22"/>
          <w:lang w:eastAsia="es-ES"/>
        </w:rPr>
        <w:t xml:space="preserve"> </w:t>
      </w:r>
      <w:r w:rsidRPr="000937DF">
        <w:rPr>
          <w:rFonts w:ascii="Palatino Linotype" w:eastAsia="Palatino Linotype" w:hAnsi="Palatino Linotype" w:cs="Palatino Linotype"/>
          <w:sz w:val="22"/>
          <w:szCs w:val="22"/>
          <w:lang w:eastAsia="es-ES"/>
        </w:rPr>
        <w:t>motive las razones sobre los datos que se supriman o eliminen dentro del soporte</w:t>
      </w:r>
      <w:r w:rsidR="00EC4F02" w:rsidRPr="000937DF">
        <w:rPr>
          <w:rFonts w:ascii="Palatino Linotype" w:eastAsia="Palatino Linotype" w:hAnsi="Palatino Linotype" w:cs="Palatino Linotype"/>
          <w:sz w:val="22"/>
          <w:szCs w:val="22"/>
          <w:lang w:eastAsia="es-ES"/>
        </w:rPr>
        <w:t xml:space="preserve"> </w:t>
      </w:r>
      <w:r w:rsidRPr="000937DF">
        <w:rPr>
          <w:rFonts w:ascii="Palatino Linotype" w:eastAsia="Palatino Linotype" w:hAnsi="Palatino Linotype" w:cs="Palatino Linotype"/>
          <w:sz w:val="22"/>
          <w:szCs w:val="22"/>
          <w:lang w:eastAsia="es-ES"/>
        </w:rPr>
        <w:t>documental respectivo objeto de las versiones públicas que se formulen y se ponga a</w:t>
      </w:r>
      <w:r w:rsidR="00EC4F02" w:rsidRPr="000937DF">
        <w:rPr>
          <w:rFonts w:ascii="Palatino Linotype" w:eastAsia="Palatino Linotype" w:hAnsi="Palatino Linotype" w:cs="Palatino Linotype"/>
          <w:sz w:val="22"/>
          <w:szCs w:val="22"/>
          <w:lang w:eastAsia="es-ES"/>
        </w:rPr>
        <w:t xml:space="preserve"> </w:t>
      </w:r>
      <w:r w:rsidRPr="000937DF">
        <w:rPr>
          <w:rFonts w:ascii="Palatino Linotype" w:eastAsia="Palatino Linotype" w:hAnsi="Palatino Linotype" w:cs="Palatino Linotype"/>
          <w:sz w:val="22"/>
          <w:szCs w:val="22"/>
          <w:lang w:eastAsia="es-ES"/>
        </w:rPr>
        <w:t>disposición del RECURRENTE.</w:t>
      </w:r>
    </w:p>
    <w:p w14:paraId="44FD2AC5" w14:textId="77777777" w:rsidR="00EC4F02" w:rsidRPr="000937DF" w:rsidRDefault="00EC4F02" w:rsidP="00967F43">
      <w:pPr>
        <w:spacing w:line="360" w:lineRule="auto"/>
        <w:ind w:right="-801"/>
        <w:jc w:val="both"/>
        <w:rPr>
          <w:rFonts w:ascii="Palatino Linotype" w:eastAsia="Palatino Linotype" w:hAnsi="Palatino Linotype" w:cs="Palatino Linotype"/>
          <w:sz w:val="22"/>
          <w:szCs w:val="22"/>
          <w:lang w:eastAsia="es-ES"/>
        </w:rPr>
      </w:pPr>
    </w:p>
    <w:p w14:paraId="5CB506CC" w14:textId="0D34FDE6" w:rsidR="001D3BCE" w:rsidRPr="000937DF" w:rsidRDefault="0013768F" w:rsidP="00967F43">
      <w:pPr>
        <w:spacing w:line="360" w:lineRule="auto"/>
        <w:ind w:right="-801"/>
        <w:jc w:val="both"/>
        <w:rPr>
          <w:rFonts w:ascii="Palatino Linotype" w:eastAsia="Palatino Linotype" w:hAnsi="Palatino Linotype" w:cs="Palatino Linotype"/>
          <w:sz w:val="22"/>
          <w:szCs w:val="22"/>
          <w:lang w:eastAsia="es-ES"/>
        </w:rPr>
      </w:pPr>
      <w:r w:rsidRPr="000937DF">
        <w:rPr>
          <w:rFonts w:ascii="Palatino Linotype" w:eastAsia="Palatino Linotype" w:hAnsi="Palatino Linotype" w:cs="Palatino Linotype"/>
          <w:sz w:val="22"/>
          <w:szCs w:val="22"/>
          <w:lang w:eastAsia="es-ES"/>
        </w:rPr>
        <w:lastRenderedPageBreak/>
        <w:t xml:space="preserve">Para el caso de que no cuente con la información por procedimientos por falta grave concluidos, por no haberse generado, </w:t>
      </w:r>
      <w:r w:rsidR="001D3BCE" w:rsidRPr="000937DF">
        <w:rPr>
          <w:rFonts w:ascii="Palatino Linotype" w:eastAsia="Palatino Linotype" w:hAnsi="Palatino Linotype" w:cs="Palatino Linotype"/>
          <w:sz w:val="22"/>
          <w:szCs w:val="22"/>
          <w:lang w:eastAsia="es-ES"/>
        </w:rPr>
        <w:t xml:space="preserve">deberá de hacerlo del conocimiento del RECURRENTE en términos  del artículo 19 párrafo segundo de la Ley de Transparencia y Acceso a la Información Pública del Estado de México y Municipios. </w:t>
      </w:r>
    </w:p>
    <w:p w14:paraId="11FBB306" w14:textId="77777777" w:rsidR="00DC2A97" w:rsidRPr="000937DF" w:rsidRDefault="00DC2A97" w:rsidP="00967F43">
      <w:pPr>
        <w:pStyle w:val="Prrafodelista"/>
        <w:tabs>
          <w:tab w:val="left" w:pos="8080"/>
        </w:tabs>
        <w:ind w:left="0" w:right="-801"/>
        <w:jc w:val="both"/>
        <w:rPr>
          <w:rFonts w:ascii="Palatino Linotype" w:eastAsia="Palatino Linotype" w:hAnsi="Palatino Linotype" w:cs="Palatino Linotype"/>
          <w:lang w:val="es-MX" w:eastAsia="es-ES"/>
        </w:rPr>
      </w:pPr>
    </w:p>
    <w:p w14:paraId="737074BE" w14:textId="77777777" w:rsidR="003A4D9C" w:rsidRPr="000937DF" w:rsidRDefault="00DC2A97" w:rsidP="00967F43">
      <w:pPr>
        <w:spacing w:line="360" w:lineRule="auto"/>
        <w:ind w:right="-801"/>
        <w:jc w:val="both"/>
        <w:rPr>
          <w:rFonts w:ascii="Palatino Linotype" w:eastAsia="Palatino Linotype" w:hAnsi="Palatino Linotype" w:cs="Palatino Linotype"/>
          <w:sz w:val="22"/>
          <w:szCs w:val="22"/>
          <w:lang w:eastAsia="es-ES"/>
        </w:rPr>
      </w:pPr>
      <w:r w:rsidRPr="000937DF">
        <w:rPr>
          <w:rFonts w:ascii="Palatino Linotype" w:eastAsia="Palatino Linotype" w:hAnsi="Palatino Linotype" w:cs="Palatino Linotype"/>
          <w:b/>
          <w:sz w:val="22"/>
          <w:szCs w:val="22"/>
          <w:lang w:val="es-ES_tradnl" w:eastAsia="es-ES"/>
        </w:rPr>
        <w:t>TERCERO</w:t>
      </w:r>
      <w:r w:rsidRPr="000937DF">
        <w:rPr>
          <w:rFonts w:ascii="Palatino Linotype" w:eastAsia="Palatino Linotype" w:hAnsi="Palatino Linotype" w:cs="Palatino Linotype"/>
          <w:sz w:val="22"/>
          <w:szCs w:val="22"/>
          <w:lang w:val="es-ES_tradnl" w:eastAsia="es-ES"/>
        </w:rPr>
        <w:t xml:space="preserve">. </w:t>
      </w:r>
      <w:r w:rsidR="003A4D9C" w:rsidRPr="000937DF">
        <w:rPr>
          <w:rFonts w:ascii="Palatino Linotype" w:eastAsia="Palatino Linotype" w:hAnsi="Palatino Linotype" w:cs="Palatino Linotype"/>
          <w:b/>
          <w:sz w:val="22"/>
          <w:szCs w:val="22"/>
          <w:lang w:val="es-ES_tradnl" w:eastAsia="es-ES"/>
        </w:rPr>
        <w:t xml:space="preserve">NOTIFÍQUESE </w:t>
      </w:r>
      <w:r w:rsidR="003A4D9C" w:rsidRPr="000937DF">
        <w:rPr>
          <w:rFonts w:ascii="Palatino Linotype" w:eastAsia="Palatino Linotype" w:hAnsi="Palatino Linotype" w:cs="Palatino Linotype"/>
          <w:sz w:val="22"/>
          <w:szCs w:val="22"/>
          <w:lang w:eastAsia="es-ES"/>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3A4D9C" w:rsidRPr="000937DF">
        <w:rPr>
          <w:rFonts w:ascii="Palatino Linotype" w:eastAsia="Palatino Linotype" w:hAnsi="Palatino Linotype" w:cs="Palatino Linotype"/>
          <w:b/>
          <w:sz w:val="22"/>
          <w:szCs w:val="22"/>
          <w:lang w:eastAsia="es-ES"/>
        </w:rPr>
        <w:t xml:space="preserve">dé cumplimiento a lo ordenado dentro del plazo de diez días hábiles, </w:t>
      </w:r>
      <w:r w:rsidR="003A4D9C" w:rsidRPr="000937DF">
        <w:rPr>
          <w:rFonts w:ascii="Palatino Linotype" w:eastAsia="Palatino Linotype" w:hAnsi="Palatino Linotype" w:cs="Palatino Linotype"/>
          <w:sz w:val="22"/>
          <w:szCs w:val="22"/>
          <w:lang w:eastAsia="es-ES"/>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3C3B925D" w14:textId="77777777" w:rsidR="00DC2A97" w:rsidRPr="000937DF" w:rsidRDefault="00DC2A97" w:rsidP="00967F43">
      <w:pPr>
        <w:tabs>
          <w:tab w:val="left" w:pos="8080"/>
        </w:tabs>
        <w:spacing w:line="360" w:lineRule="auto"/>
        <w:ind w:right="-801"/>
        <w:jc w:val="both"/>
        <w:rPr>
          <w:rFonts w:ascii="Palatino Linotype" w:eastAsia="Palatino Linotype" w:hAnsi="Palatino Linotype" w:cs="Palatino Linotype"/>
          <w:sz w:val="22"/>
          <w:szCs w:val="22"/>
          <w:lang w:val="es-ES_tradnl" w:eastAsia="es-ES"/>
        </w:rPr>
      </w:pPr>
    </w:p>
    <w:p w14:paraId="546ACC48" w14:textId="77777777" w:rsidR="00DC2A97" w:rsidRPr="000937DF" w:rsidRDefault="00DC2A97" w:rsidP="00967F43">
      <w:pPr>
        <w:spacing w:line="360" w:lineRule="auto"/>
        <w:ind w:right="-801"/>
        <w:jc w:val="both"/>
        <w:rPr>
          <w:rFonts w:ascii="Palatino Linotype" w:eastAsia="Palatino Linotype" w:hAnsi="Palatino Linotype" w:cs="Palatino Linotype"/>
          <w:sz w:val="22"/>
          <w:szCs w:val="22"/>
          <w:lang w:val="es-ES_tradnl" w:eastAsia="es-ES"/>
        </w:rPr>
      </w:pPr>
      <w:r w:rsidRPr="000937DF">
        <w:rPr>
          <w:rFonts w:ascii="Palatino Linotype" w:eastAsia="Palatino Linotype" w:hAnsi="Palatino Linotype" w:cs="Palatino Linotype"/>
          <w:b/>
          <w:sz w:val="22"/>
          <w:szCs w:val="22"/>
          <w:lang w:val="es-ES_tradnl" w:eastAsia="es-ES"/>
        </w:rPr>
        <w:t xml:space="preserve">CUARTO. </w:t>
      </w:r>
      <w:r w:rsidRPr="000937DF">
        <w:rPr>
          <w:rFonts w:ascii="Palatino Linotype" w:eastAsia="Palatino Linotype" w:hAnsi="Palatino Linotype" w:cs="Palatino Linotype"/>
          <w:sz w:val="22"/>
          <w:szCs w:val="22"/>
          <w:lang w:val="es-ES_tradnl" w:eastAsia="es-ES"/>
        </w:rPr>
        <w:t xml:space="preserve">De conformidad con el artículo 198 de la Ley de Transparencia y Acceso a la Información Pública del Estado de México y Municipios, de considerarlo procedente, el </w:t>
      </w:r>
      <w:r w:rsidRPr="000937DF">
        <w:rPr>
          <w:rFonts w:ascii="Palatino Linotype" w:eastAsia="Palatino Linotype" w:hAnsi="Palatino Linotype" w:cs="Palatino Linotype"/>
          <w:b/>
          <w:sz w:val="22"/>
          <w:szCs w:val="22"/>
          <w:lang w:val="es-ES_tradnl" w:eastAsia="es-ES"/>
        </w:rPr>
        <w:t>SUJETO OBLIGADO</w:t>
      </w:r>
      <w:r w:rsidRPr="000937DF">
        <w:rPr>
          <w:rFonts w:ascii="Palatino Linotype" w:eastAsia="Palatino Linotype" w:hAnsi="Palatino Linotype" w:cs="Palatino Linotype"/>
          <w:sz w:val="22"/>
          <w:szCs w:val="22"/>
          <w:lang w:val="es-ES_tradnl" w:eastAsia="es-ES"/>
        </w:rPr>
        <w:t xml:space="preserve"> de manera fundada y motivada, podrá solicitar una ampliación de plazo para el cumplimiento de la presente resolución.</w:t>
      </w:r>
    </w:p>
    <w:p w14:paraId="202BBF79" w14:textId="77777777" w:rsidR="00DC2A97" w:rsidRPr="000937DF" w:rsidRDefault="00DC2A97" w:rsidP="00967F43">
      <w:pPr>
        <w:spacing w:line="360" w:lineRule="auto"/>
        <w:ind w:right="-801"/>
        <w:jc w:val="both"/>
        <w:rPr>
          <w:rFonts w:ascii="Palatino Linotype" w:eastAsia="Palatino Linotype" w:hAnsi="Palatino Linotype" w:cs="Palatino Linotype"/>
          <w:sz w:val="22"/>
          <w:szCs w:val="22"/>
          <w:lang w:val="es-ES_tradnl" w:eastAsia="es-ES"/>
        </w:rPr>
      </w:pPr>
    </w:p>
    <w:p w14:paraId="495D4C37" w14:textId="77777777" w:rsidR="00DC2A97" w:rsidRPr="000937DF" w:rsidRDefault="00DC2A97" w:rsidP="00967F43">
      <w:pPr>
        <w:tabs>
          <w:tab w:val="left" w:pos="8080"/>
        </w:tabs>
        <w:spacing w:line="360" w:lineRule="auto"/>
        <w:ind w:right="-801"/>
        <w:jc w:val="both"/>
        <w:rPr>
          <w:rFonts w:ascii="Palatino Linotype" w:eastAsia="Palatino Linotype" w:hAnsi="Palatino Linotype" w:cs="Palatino Linotype"/>
          <w:sz w:val="22"/>
          <w:szCs w:val="22"/>
          <w:lang w:val="es-ES_tradnl" w:eastAsia="es-ES"/>
        </w:rPr>
      </w:pPr>
      <w:bookmarkStart w:id="13" w:name="_heading=h.lnxbz9" w:colFirst="0" w:colLast="0"/>
      <w:bookmarkEnd w:id="13"/>
      <w:r w:rsidRPr="000937DF">
        <w:rPr>
          <w:rFonts w:ascii="Palatino Linotype" w:eastAsia="Palatino Linotype" w:hAnsi="Palatino Linotype" w:cs="Palatino Linotype"/>
          <w:b/>
          <w:sz w:val="22"/>
          <w:szCs w:val="22"/>
          <w:lang w:val="es-ES_tradnl" w:eastAsia="es-ES"/>
        </w:rPr>
        <w:t xml:space="preserve">QUINTO. </w:t>
      </w:r>
      <w:r w:rsidRPr="000937DF">
        <w:rPr>
          <w:rFonts w:ascii="Palatino Linotype" w:eastAsia="Palatino Linotype" w:hAnsi="Palatino Linotype" w:cs="Palatino Linotype"/>
          <w:sz w:val="22"/>
          <w:szCs w:val="22"/>
          <w:lang w:val="es-ES_tradnl" w:eastAsia="es-ES"/>
        </w:rPr>
        <w:t xml:space="preserve">Notifíquese a </w:t>
      </w:r>
      <w:r w:rsidRPr="000937DF">
        <w:rPr>
          <w:rFonts w:ascii="Palatino Linotype" w:eastAsia="Palatino Linotype" w:hAnsi="Palatino Linotype" w:cs="Palatino Linotype"/>
          <w:b/>
          <w:sz w:val="22"/>
          <w:szCs w:val="22"/>
          <w:lang w:val="es-ES_tradnl" w:eastAsia="es-ES"/>
        </w:rPr>
        <w:t>EL RECURRENTE</w:t>
      </w:r>
      <w:r w:rsidRPr="000937DF">
        <w:rPr>
          <w:rFonts w:ascii="Palatino Linotype" w:eastAsia="Palatino Linotype" w:hAnsi="Palatino Linotype" w:cs="Palatino Linotype"/>
          <w:sz w:val="22"/>
          <w:szCs w:val="22"/>
          <w:lang w:val="es-ES_tradnl" w:eastAsia="es-ES"/>
        </w:rPr>
        <w:t xml:space="preserve"> la presente resolución, vía SAIMEX.</w:t>
      </w:r>
    </w:p>
    <w:p w14:paraId="1B41A9DB" w14:textId="77777777" w:rsidR="00DC2A97" w:rsidRPr="000937DF" w:rsidRDefault="00DC2A97" w:rsidP="00967F43">
      <w:pPr>
        <w:tabs>
          <w:tab w:val="left" w:pos="8080"/>
        </w:tabs>
        <w:spacing w:line="360" w:lineRule="auto"/>
        <w:ind w:right="-801"/>
        <w:jc w:val="both"/>
        <w:rPr>
          <w:rFonts w:ascii="Palatino Linotype" w:eastAsia="Palatino Linotype" w:hAnsi="Palatino Linotype" w:cs="Palatino Linotype"/>
          <w:sz w:val="22"/>
          <w:szCs w:val="22"/>
          <w:lang w:val="es-ES_tradnl" w:eastAsia="es-ES"/>
        </w:rPr>
      </w:pPr>
    </w:p>
    <w:p w14:paraId="411E0229" w14:textId="77777777" w:rsidR="00DC2A97" w:rsidRPr="000937DF" w:rsidRDefault="00DC2A97" w:rsidP="00967F43">
      <w:pPr>
        <w:shd w:val="clear" w:color="auto" w:fill="FFFFFF"/>
        <w:spacing w:line="360" w:lineRule="auto"/>
        <w:ind w:right="-801"/>
        <w:jc w:val="both"/>
        <w:rPr>
          <w:rFonts w:ascii="Palatino Linotype" w:eastAsia="Palatino Linotype" w:hAnsi="Palatino Linotype" w:cs="Palatino Linotype"/>
          <w:sz w:val="22"/>
          <w:szCs w:val="22"/>
          <w:lang w:val="es-ES_tradnl" w:eastAsia="es-ES"/>
        </w:rPr>
      </w:pPr>
      <w:r w:rsidRPr="000937DF">
        <w:rPr>
          <w:rFonts w:ascii="Palatino Linotype" w:eastAsia="Palatino Linotype" w:hAnsi="Palatino Linotype" w:cs="Palatino Linotype"/>
          <w:b/>
          <w:sz w:val="22"/>
          <w:szCs w:val="22"/>
          <w:lang w:val="es-ES_tradnl" w:eastAsia="es-ES"/>
        </w:rPr>
        <w:t>SEXTO.</w:t>
      </w:r>
      <w:r w:rsidRPr="000937DF">
        <w:rPr>
          <w:rFonts w:ascii="Palatino Linotype" w:eastAsia="Palatino Linotype" w:hAnsi="Palatino Linotype" w:cs="Palatino Linotype"/>
          <w:sz w:val="22"/>
          <w:szCs w:val="22"/>
          <w:lang w:val="es-ES_tradnl" w:eastAsia="es-ES"/>
        </w:rPr>
        <w:t xml:space="preserve"> Se hace del conocimiento de </w:t>
      </w:r>
      <w:r w:rsidRPr="000937DF">
        <w:rPr>
          <w:rFonts w:ascii="Palatino Linotype" w:eastAsia="Palatino Linotype" w:hAnsi="Palatino Linotype" w:cs="Palatino Linotype"/>
          <w:b/>
          <w:sz w:val="22"/>
          <w:szCs w:val="22"/>
          <w:lang w:val="es-ES_tradnl" w:eastAsia="es-ES"/>
        </w:rPr>
        <w:t>EL RECURRENTE</w:t>
      </w:r>
      <w:r w:rsidRPr="000937DF">
        <w:rPr>
          <w:rFonts w:ascii="Palatino Linotype" w:eastAsia="Palatino Linotype" w:hAnsi="Palatino Linotype" w:cs="Palatino Linotype"/>
          <w:sz w:val="22"/>
          <w:szCs w:val="22"/>
          <w:lang w:val="es-ES_tradnl"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745C34D" w14:textId="77777777" w:rsidR="00DC2A97" w:rsidRPr="000937DF" w:rsidRDefault="00DC2A97" w:rsidP="00967F43">
      <w:pPr>
        <w:shd w:val="clear" w:color="auto" w:fill="FFFFFF"/>
        <w:spacing w:line="360" w:lineRule="auto"/>
        <w:ind w:right="-801"/>
        <w:jc w:val="both"/>
        <w:rPr>
          <w:rFonts w:ascii="Palatino Linotype" w:eastAsia="Palatino Linotype" w:hAnsi="Palatino Linotype" w:cs="Palatino Linotype"/>
          <w:sz w:val="22"/>
          <w:szCs w:val="22"/>
          <w:lang w:val="es-ES_tradnl" w:eastAsia="es-ES"/>
        </w:rPr>
      </w:pPr>
    </w:p>
    <w:p w14:paraId="0F61C139" w14:textId="55462743" w:rsidR="00684449" w:rsidRPr="003C7186" w:rsidRDefault="00684449" w:rsidP="00684449">
      <w:pPr>
        <w:spacing w:line="360" w:lineRule="auto"/>
        <w:ind w:left="-142" w:right="-660" w:firstLine="1"/>
        <w:jc w:val="both"/>
        <w:rPr>
          <w:rFonts w:ascii="Palatino Linotype" w:hAnsi="Palatino Linotype"/>
        </w:rPr>
      </w:pPr>
      <w:bookmarkStart w:id="14" w:name="_heading=h.35nkun2" w:colFirst="0" w:colLast="0"/>
      <w:bookmarkEnd w:id="14"/>
      <w:r w:rsidRPr="000937D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1A5850" w:rsidRPr="000937DF">
        <w:rPr>
          <w:rFonts w:ascii="Palatino Linotype" w:hAnsi="Palatino Linotype"/>
        </w:rPr>
        <w:t xml:space="preserve"> EMITIENDO VOTO PARTICULAR</w:t>
      </w:r>
      <w:r w:rsidRPr="000937DF">
        <w:rPr>
          <w:rFonts w:ascii="Palatino Linotype" w:hAnsi="Palatino Linotype"/>
        </w:rPr>
        <w:t>; SHARON CRISTINA MORALES MARTÍNEZ</w:t>
      </w:r>
      <w:r w:rsidR="001A5850" w:rsidRPr="000937DF">
        <w:rPr>
          <w:rFonts w:ascii="Palatino Linotype" w:hAnsi="Palatino Linotype"/>
        </w:rPr>
        <w:t xml:space="preserve"> EMITIENDO VOTO PARTICULAR</w:t>
      </w:r>
      <w:r w:rsidRPr="000937DF">
        <w:rPr>
          <w:rFonts w:ascii="Palatino Linotype" w:hAnsi="Palatino Linotype"/>
        </w:rPr>
        <w:t>; LUIS GUSTAVO PARRA NORIEGA</w:t>
      </w:r>
      <w:r w:rsidR="001A5850" w:rsidRPr="000937DF">
        <w:rPr>
          <w:rFonts w:ascii="Palatino Linotype" w:hAnsi="Palatino Linotype"/>
        </w:rPr>
        <w:t xml:space="preserve"> EMITIENDO VOTO PARTICULAR</w:t>
      </w:r>
      <w:r w:rsidRPr="000937DF">
        <w:rPr>
          <w:rFonts w:ascii="Palatino Linotype" w:hAnsi="Palatino Linotype"/>
        </w:rPr>
        <w:t xml:space="preserve"> Y GUADALUPE RAMÍREZ PEÑA; EN LA SEXTA SESIÓN ORDINARIA CELEBRADA EL DIECINUEVE (19) DE FEBRERO DE DOS MIL VEINTICINCO, ANTE EL SECRETARIO TÉCNICO DEL PLENO ALEXIS TAPIA RAMÍREZ.</w:t>
      </w:r>
      <w:r w:rsidRPr="003C7186">
        <w:rPr>
          <w:rFonts w:ascii="Palatino Linotype" w:hAnsi="Palatino Linotype"/>
        </w:rPr>
        <w:t xml:space="preserve"> </w:t>
      </w:r>
    </w:p>
    <w:p w14:paraId="343E55F0" w14:textId="77777777" w:rsidR="00684449" w:rsidRPr="00902BA4" w:rsidRDefault="00684449" w:rsidP="00684449">
      <w:pPr>
        <w:widowControl w:val="0"/>
        <w:autoSpaceDE w:val="0"/>
        <w:autoSpaceDN w:val="0"/>
        <w:adjustRightInd w:val="0"/>
        <w:spacing w:after="200" w:line="276" w:lineRule="auto"/>
        <w:ind w:left="-142" w:right="-660"/>
        <w:rPr>
          <w:rFonts w:ascii="Calibri" w:hAnsi="Calibri" w:cs="Calibri"/>
        </w:rPr>
      </w:pPr>
    </w:p>
    <w:p w14:paraId="5673B4CC" w14:textId="77777777" w:rsidR="00684449" w:rsidRDefault="00684449" w:rsidP="00684449">
      <w:pPr>
        <w:spacing w:before="240" w:after="240" w:line="360" w:lineRule="auto"/>
        <w:ind w:firstLine="1"/>
        <w:jc w:val="both"/>
        <w:rPr>
          <w:rFonts w:ascii="Palatino Linotype" w:hAnsi="Palatino Linotype"/>
        </w:rPr>
      </w:pPr>
      <w:bookmarkStart w:id="15" w:name="_Hlk96506827"/>
    </w:p>
    <w:bookmarkEnd w:id="15"/>
    <w:p w14:paraId="72630A69" w14:textId="77777777" w:rsidR="00DC2A97" w:rsidRPr="001D3BCE" w:rsidRDefault="00DC2A97" w:rsidP="00DC2A97">
      <w:pPr>
        <w:spacing w:line="360" w:lineRule="auto"/>
        <w:rPr>
          <w:rFonts w:ascii="Palatino Linotype" w:hAnsi="Palatino Linotype"/>
          <w:sz w:val="22"/>
          <w:szCs w:val="22"/>
        </w:rPr>
      </w:pPr>
    </w:p>
    <w:p w14:paraId="5C9349F7" w14:textId="77777777" w:rsidR="00DC2A97" w:rsidRPr="001D3BCE" w:rsidRDefault="00DC2A97" w:rsidP="00DC2A97">
      <w:pPr>
        <w:spacing w:line="360" w:lineRule="auto"/>
        <w:rPr>
          <w:rFonts w:ascii="Palatino Linotype" w:hAnsi="Palatino Linotype"/>
          <w:sz w:val="22"/>
          <w:szCs w:val="22"/>
        </w:rPr>
      </w:pPr>
    </w:p>
    <w:p w14:paraId="19897142" w14:textId="77777777" w:rsidR="00DC2A97" w:rsidRPr="001D3BCE" w:rsidRDefault="00DC2A97" w:rsidP="00DC2A97">
      <w:pPr>
        <w:spacing w:line="360" w:lineRule="auto"/>
        <w:rPr>
          <w:rFonts w:ascii="Palatino Linotype" w:hAnsi="Palatino Linotype"/>
          <w:sz w:val="22"/>
          <w:szCs w:val="22"/>
        </w:rPr>
      </w:pPr>
    </w:p>
    <w:p w14:paraId="48CAB35D" w14:textId="77777777" w:rsidR="00DC2A97" w:rsidRPr="001D3BCE" w:rsidRDefault="00DC2A97" w:rsidP="00DC2A97">
      <w:pPr>
        <w:spacing w:line="360" w:lineRule="auto"/>
        <w:rPr>
          <w:rFonts w:ascii="Palatino Linotype" w:hAnsi="Palatino Linotype"/>
          <w:sz w:val="22"/>
          <w:szCs w:val="22"/>
        </w:rPr>
      </w:pPr>
    </w:p>
    <w:p w14:paraId="234FCE14" w14:textId="77777777" w:rsidR="00DC2A97" w:rsidRPr="001D3BCE" w:rsidRDefault="00DC2A97" w:rsidP="00DC2A97">
      <w:pPr>
        <w:spacing w:line="360" w:lineRule="auto"/>
        <w:rPr>
          <w:rFonts w:ascii="Palatino Linotype" w:hAnsi="Palatino Linotype"/>
          <w:sz w:val="22"/>
          <w:szCs w:val="22"/>
        </w:rPr>
      </w:pPr>
    </w:p>
    <w:p w14:paraId="47A1A032" w14:textId="77777777" w:rsidR="00DC2A97" w:rsidRPr="001D3BCE" w:rsidRDefault="00DC2A97" w:rsidP="00DC2A97">
      <w:pPr>
        <w:spacing w:line="360" w:lineRule="auto"/>
        <w:rPr>
          <w:rFonts w:ascii="Palatino Linotype" w:hAnsi="Palatino Linotype"/>
          <w:sz w:val="22"/>
          <w:szCs w:val="22"/>
        </w:rPr>
      </w:pPr>
    </w:p>
    <w:p w14:paraId="1E8B6A38" w14:textId="77777777" w:rsidR="00DC2A97" w:rsidRPr="001D3BCE" w:rsidRDefault="00DC2A97" w:rsidP="00DC2A97">
      <w:pPr>
        <w:spacing w:line="360" w:lineRule="auto"/>
        <w:rPr>
          <w:rFonts w:ascii="Palatino Linotype" w:hAnsi="Palatino Linotype"/>
          <w:sz w:val="22"/>
          <w:szCs w:val="22"/>
        </w:rPr>
      </w:pPr>
    </w:p>
    <w:p w14:paraId="6576A7D4" w14:textId="77777777" w:rsidR="00DC2A97" w:rsidRPr="001D3BCE" w:rsidRDefault="00DC2A97" w:rsidP="00DC2A97">
      <w:pPr>
        <w:spacing w:line="360" w:lineRule="auto"/>
        <w:rPr>
          <w:rFonts w:ascii="Palatino Linotype" w:hAnsi="Palatino Linotype"/>
          <w:sz w:val="22"/>
          <w:szCs w:val="22"/>
        </w:rPr>
      </w:pPr>
    </w:p>
    <w:p w14:paraId="141166C8" w14:textId="77777777" w:rsidR="00DC2A97" w:rsidRPr="001D3BCE" w:rsidRDefault="00DC2A97" w:rsidP="00DC2A97">
      <w:pPr>
        <w:spacing w:line="360" w:lineRule="auto"/>
        <w:rPr>
          <w:rFonts w:ascii="Palatino Linotype" w:hAnsi="Palatino Linotype"/>
          <w:sz w:val="22"/>
          <w:szCs w:val="22"/>
        </w:rPr>
      </w:pPr>
    </w:p>
    <w:p w14:paraId="7AA0B64F" w14:textId="77777777" w:rsidR="00DC2A97" w:rsidRPr="001D3BCE" w:rsidRDefault="00DC2A97" w:rsidP="00DC2A97">
      <w:pPr>
        <w:spacing w:line="360" w:lineRule="auto"/>
        <w:rPr>
          <w:rFonts w:ascii="Palatino Linotype" w:hAnsi="Palatino Linotype"/>
          <w:sz w:val="22"/>
          <w:szCs w:val="22"/>
        </w:rPr>
      </w:pPr>
    </w:p>
    <w:p w14:paraId="027EE2A0" w14:textId="77777777" w:rsidR="00DC2A97" w:rsidRPr="001D3BCE" w:rsidRDefault="00DC2A97" w:rsidP="00DC2A97">
      <w:pPr>
        <w:spacing w:line="360" w:lineRule="auto"/>
        <w:rPr>
          <w:rFonts w:ascii="Palatino Linotype" w:hAnsi="Palatino Linotype"/>
          <w:sz w:val="22"/>
          <w:szCs w:val="22"/>
        </w:rPr>
      </w:pPr>
    </w:p>
    <w:p w14:paraId="58C8B338" w14:textId="77777777" w:rsidR="00DC2A97" w:rsidRPr="001D3BCE" w:rsidRDefault="00DC2A97" w:rsidP="00DC2A97">
      <w:pPr>
        <w:spacing w:line="360" w:lineRule="auto"/>
        <w:rPr>
          <w:rFonts w:ascii="Palatino Linotype" w:hAnsi="Palatino Linotype"/>
          <w:sz w:val="22"/>
          <w:szCs w:val="22"/>
        </w:rPr>
      </w:pPr>
    </w:p>
    <w:p w14:paraId="269053CC" w14:textId="77777777" w:rsidR="00DC2A97" w:rsidRPr="001D3BCE" w:rsidRDefault="00DC2A97" w:rsidP="00DC2A97">
      <w:pPr>
        <w:spacing w:line="360" w:lineRule="auto"/>
        <w:rPr>
          <w:rFonts w:ascii="Palatino Linotype" w:hAnsi="Palatino Linotype"/>
          <w:sz w:val="22"/>
          <w:szCs w:val="22"/>
        </w:rPr>
      </w:pPr>
    </w:p>
    <w:p w14:paraId="09EB8B89" w14:textId="77777777" w:rsidR="00DC2A97" w:rsidRPr="001D3BCE" w:rsidRDefault="00DC2A97" w:rsidP="00DC2A97">
      <w:pPr>
        <w:spacing w:line="360" w:lineRule="auto"/>
        <w:rPr>
          <w:rFonts w:ascii="Palatino Linotype" w:hAnsi="Palatino Linotype"/>
          <w:sz w:val="22"/>
          <w:szCs w:val="22"/>
        </w:rPr>
      </w:pPr>
    </w:p>
    <w:p w14:paraId="2C54B2C1" w14:textId="77777777" w:rsidR="00DC2A97" w:rsidRPr="001D3BCE" w:rsidRDefault="00DC2A97" w:rsidP="00DC2A97">
      <w:pPr>
        <w:spacing w:line="360" w:lineRule="auto"/>
        <w:rPr>
          <w:rFonts w:ascii="Palatino Linotype" w:hAnsi="Palatino Linotype"/>
          <w:sz w:val="22"/>
          <w:szCs w:val="22"/>
        </w:rPr>
      </w:pPr>
    </w:p>
    <w:p w14:paraId="485A617E" w14:textId="77777777" w:rsidR="00DC2A97" w:rsidRPr="001D3BCE" w:rsidRDefault="00DC2A97" w:rsidP="00DC2A97">
      <w:pPr>
        <w:spacing w:line="360" w:lineRule="auto"/>
        <w:rPr>
          <w:rFonts w:ascii="Palatino Linotype" w:hAnsi="Palatino Linotype"/>
          <w:sz w:val="22"/>
          <w:szCs w:val="22"/>
        </w:rPr>
      </w:pPr>
    </w:p>
    <w:p w14:paraId="4E5AEE46" w14:textId="77777777" w:rsidR="00DC2A97" w:rsidRPr="001D3BCE" w:rsidRDefault="00DC2A97" w:rsidP="00DC2A97">
      <w:pPr>
        <w:spacing w:line="360" w:lineRule="auto"/>
        <w:rPr>
          <w:rFonts w:ascii="Palatino Linotype" w:hAnsi="Palatino Linotype"/>
          <w:sz w:val="22"/>
          <w:szCs w:val="22"/>
        </w:rPr>
      </w:pPr>
    </w:p>
    <w:p w14:paraId="1173C28F" w14:textId="77777777" w:rsidR="00DC2A97" w:rsidRPr="001D3BCE" w:rsidRDefault="00DC2A97" w:rsidP="00DC2A97">
      <w:pPr>
        <w:spacing w:line="360" w:lineRule="auto"/>
        <w:rPr>
          <w:rFonts w:ascii="Palatino Linotype" w:hAnsi="Palatino Linotype"/>
          <w:sz w:val="22"/>
          <w:szCs w:val="22"/>
        </w:rPr>
      </w:pPr>
    </w:p>
    <w:p w14:paraId="20FB943C" w14:textId="77777777" w:rsidR="00DC2A97" w:rsidRPr="001D3BCE" w:rsidRDefault="00DC2A97" w:rsidP="00DC2A97">
      <w:pPr>
        <w:rPr>
          <w:rFonts w:ascii="Palatino Linotype" w:hAnsi="Palatino Linotype"/>
          <w:sz w:val="22"/>
          <w:szCs w:val="22"/>
        </w:rPr>
      </w:pPr>
    </w:p>
    <w:p w14:paraId="6E7282AF" w14:textId="77777777" w:rsidR="00DC2A97" w:rsidRPr="001D3BCE" w:rsidRDefault="00DC2A97" w:rsidP="00DC2A97">
      <w:pPr>
        <w:rPr>
          <w:rFonts w:ascii="Palatino Linotype" w:hAnsi="Palatino Linotype"/>
          <w:sz w:val="22"/>
          <w:szCs w:val="22"/>
        </w:rPr>
      </w:pPr>
    </w:p>
    <w:p w14:paraId="3A0C58F4" w14:textId="77777777" w:rsidR="00DC2A97" w:rsidRPr="001D3BCE" w:rsidRDefault="00DC2A97" w:rsidP="00DC2A97">
      <w:pPr>
        <w:rPr>
          <w:rFonts w:ascii="Palatino Linotype" w:hAnsi="Palatino Linotype"/>
          <w:sz w:val="22"/>
          <w:szCs w:val="22"/>
        </w:rPr>
      </w:pPr>
    </w:p>
    <w:p w14:paraId="06BD5958" w14:textId="77777777" w:rsidR="00DC2A97" w:rsidRPr="001D3BCE" w:rsidRDefault="00DC2A97" w:rsidP="00DC2A97">
      <w:pPr>
        <w:rPr>
          <w:rFonts w:ascii="Palatino Linotype" w:hAnsi="Palatino Linotype"/>
          <w:sz w:val="22"/>
          <w:szCs w:val="22"/>
        </w:rPr>
      </w:pPr>
    </w:p>
    <w:p w14:paraId="29192A23" w14:textId="77777777" w:rsidR="00DC2A97" w:rsidRPr="001D3BCE" w:rsidRDefault="00DC2A97" w:rsidP="00DC2A97">
      <w:pPr>
        <w:rPr>
          <w:rFonts w:ascii="Palatino Linotype" w:hAnsi="Palatino Linotype"/>
          <w:sz w:val="22"/>
          <w:szCs w:val="22"/>
        </w:rPr>
      </w:pPr>
    </w:p>
    <w:p w14:paraId="457237CA" w14:textId="77777777" w:rsidR="00DC2A97" w:rsidRPr="001D3BCE" w:rsidRDefault="00DC2A97" w:rsidP="00DC2A97">
      <w:pPr>
        <w:rPr>
          <w:sz w:val="22"/>
          <w:szCs w:val="22"/>
        </w:rPr>
      </w:pPr>
    </w:p>
    <w:p w14:paraId="49D30744" w14:textId="77777777" w:rsidR="00DC2A97" w:rsidRPr="001D3BCE" w:rsidRDefault="00DC2A97" w:rsidP="00DC2A97">
      <w:pPr>
        <w:rPr>
          <w:sz w:val="22"/>
          <w:szCs w:val="22"/>
        </w:rPr>
      </w:pPr>
    </w:p>
    <w:p w14:paraId="3FCA8F19" w14:textId="77777777" w:rsidR="00DC2A97" w:rsidRPr="001D3BCE" w:rsidRDefault="00DC2A97" w:rsidP="00DC2A97">
      <w:pPr>
        <w:rPr>
          <w:sz w:val="22"/>
          <w:szCs w:val="22"/>
        </w:rPr>
      </w:pPr>
    </w:p>
    <w:p w14:paraId="58E0924A" w14:textId="77777777" w:rsidR="006F18A5" w:rsidRPr="001D3BCE" w:rsidRDefault="006F18A5">
      <w:pPr>
        <w:rPr>
          <w:sz w:val="22"/>
          <w:szCs w:val="22"/>
        </w:rPr>
      </w:pPr>
    </w:p>
    <w:sectPr w:rsidR="006F18A5" w:rsidRPr="001D3BCE" w:rsidSect="00DC2A97">
      <w:headerReference w:type="default" r:id="rId20"/>
      <w:footerReference w:type="default" r:id="rId21"/>
      <w:headerReference w:type="first" r:id="rId22"/>
      <w:footerReference w:type="first" r:id="rId23"/>
      <w:pgSz w:w="12240" w:h="15840"/>
      <w:pgMar w:top="2410"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34DF2" w14:textId="77777777" w:rsidR="00451E46" w:rsidRDefault="00451E46" w:rsidP="00DC2A97">
      <w:r>
        <w:separator/>
      </w:r>
    </w:p>
  </w:endnote>
  <w:endnote w:type="continuationSeparator" w:id="0">
    <w:p w14:paraId="242FCC57" w14:textId="77777777" w:rsidR="00451E46" w:rsidRDefault="00451E46" w:rsidP="00DC2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38CFE" w14:textId="77777777" w:rsidR="00A50A13" w:rsidRDefault="00A50A13" w:rsidP="00DC2A9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214C3">
      <w:rPr>
        <w:rFonts w:ascii="Arial" w:hAnsi="Arial" w:cs="Arial"/>
        <w:b/>
        <w:bCs/>
        <w:noProof/>
        <w:sz w:val="20"/>
        <w:szCs w:val="20"/>
      </w:rPr>
      <w:t>85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214C3">
      <w:rPr>
        <w:rFonts w:ascii="Arial" w:hAnsi="Arial" w:cs="Arial"/>
        <w:b/>
        <w:bCs/>
        <w:noProof/>
        <w:sz w:val="20"/>
        <w:szCs w:val="20"/>
      </w:rPr>
      <w:t>90</w:t>
    </w:r>
    <w:r>
      <w:rPr>
        <w:rFonts w:ascii="Arial" w:hAnsi="Arial" w:cs="Arial"/>
        <w:b/>
        <w:bCs/>
        <w:sz w:val="20"/>
        <w:szCs w:val="20"/>
      </w:rPr>
      <w:fldChar w:fldCharType="end"/>
    </w:r>
  </w:p>
  <w:p w14:paraId="6314C224" w14:textId="77777777" w:rsidR="00A50A13" w:rsidRDefault="00A50A13" w:rsidP="00DC2A97">
    <w:pPr>
      <w:pStyle w:val="Piedepgina"/>
      <w:rPr>
        <w:rFonts w:ascii="Times New Roman" w:hAnsi="Times New Roman" w:cs="Times New Roman"/>
      </w:rPr>
    </w:pPr>
  </w:p>
  <w:p w14:paraId="2E68BF10" w14:textId="77777777" w:rsidR="00A50A13" w:rsidRDefault="00A50A13" w:rsidP="00DC2A9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1ECDC" w14:textId="77777777" w:rsidR="00A50A13" w:rsidRDefault="00A50A13" w:rsidP="00DC2A9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214C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214C3">
      <w:rPr>
        <w:rFonts w:ascii="Arial" w:hAnsi="Arial" w:cs="Arial"/>
        <w:b/>
        <w:bCs/>
        <w:noProof/>
        <w:sz w:val="20"/>
        <w:szCs w:val="20"/>
      </w:rPr>
      <w:t>90</w:t>
    </w:r>
    <w:r>
      <w:rPr>
        <w:rFonts w:ascii="Arial" w:hAnsi="Arial" w:cs="Arial"/>
        <w:b/>
        <w:bCs/>
        <w:sz w:val="20"/>
        <w:szCs w:val="20"/>
      </w:rPr>
      <w:fldChar w:fldCharType="end"/>
    </w:r>
  </w:p>
  <w:p w14:paraId="07489362" w14:textId="77777777" w:rsidR="00A50A13" w:rsidRDefault="00A50A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BA899" w14:textId="77777777" w:rsidR="00451E46" w:rsidRDefault="00451E46" w:rsidP="00DC2A97">
      <w:r>
        <w:separator/>
      </w:r>
    </w:p>
  </w:footnote>
  <w:footnote w:type="continuationSeparator" w:id="0">
    <w:p w14:paraId="6A49C4FA" w14:textId="77777777" w:rsidR="00451E46" w:rsidRDefault="00451E46" w:rsidP="00DC2A97">
      <w:r>
        <w:continuationSeparator/>
      </w:r>
    </w:p>
  </w:footnote>
  <w:footnote w:id="1">
    <w:p w14:paraId="0FF322E4" w14:textId="77777777" w:rsidR="00A50A13" w:rsidRDefault="00A50A13" w:rsidP="00DC2A9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7D8E4E08" w14:textId="77777777" w:rsidR="00A50A13" w:rsidRDefault="00A50A13" w:rsidP="00DC2A9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57547481" w14:textId="77777777" w:rsidR="00A50A13" w:rsidRDefault="00A50A13" w:rsidP="00DC2A9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5E064C68" w14:textId="77777777" w:rsidR="00A50A13" w:rsidRDefault="00A50A13" w:rsidP="00DC2A9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w:t>
      </w:r>
      <w:proofErr w:type="spellStart"/>
      <w:r>
        <w:rPr>
          <w:rFonts w:eastAsia="Calibri"/>
          <w:color w:val="000000"/>
          <w:sz w:val="20"/>
          <w:szCs w:val="20"/>
        </w:rPr>
        <w:t>Parr</w:t>
      </w:r>
      <w:proofErr w:type="spellEnd"/>
      <w:r>
        <w:rPr>
          <w:rFonts w:eastAsia="Calibri"/>
          <w:color w:val="000000"/>
          <w:sz w:val="20"/>
          <w:szCs w:val="20"/>
        </w:rPr>
        <w:t>. 87.</w:t>
      </w:r>
    </w:p>
  </w:footnote>
  <w:footnote w:id="5">
    <w:p w14:paraId="776F5D37" w14:textId="77777777" w:rsidR="00030BC0" w:rsidRDefault="00030BC0" w:rsidP="00030BC0">
      <w:pPr>
        <w:pStyle w:val="Textonotapie"/>
        <w:jc w:val="both"/>
        <w:rPr>
          <w:rFonts w:ascii="Palatino Linotype" w:hAnsi="Palatino Linotype"/>
          <w:sz w:val="18"/>
          <w:szCs w:val="18"/>
        </w:rPr>
      </w:pPr>
      <w:r>
        <w:rPr>
          <w:rStyle w:val="Refdenotaalpie"/>
          <w:rFonts w:ascii="Palatino Linotype" w:hAnsi="Palatino Linotype"/>
          <w:sz w:val="18"/>
          <w:szCs w:val="18"/>
        </w:rPr>
        <w:footnoteRef/>
      </w:r>
      <w:r>
        <w:rPr>
          <w:rFonts w:ascii="Palatino Linotype" w:hAnsi="Palatino Linotype"/>
          <w:sz w:val="18"/>
          <w:szCs w:val="18"/>
        </w:rPr>
        <w:t xml:space="preserve"> Tesis [A.]: I.1º.A.E.133 A, T.C.C., </w:t>
      </w:r>
      <w:r>
        <w:rPr>
          <w:rFonts w:ascii="Palatino Linotype" w:hAnsi="Palatino Linotype"/>
          <w:i/>
          <w:iCs/>
          <w:sz w:val="18"/>
          <w:szCs w:val="18"/>
        </w:rPr>
        <w:t>Gaceta del Semanario Judicial de la Federación</w:t>
      </w:r>
      <w:r>
        <w:rPr>
          <w:rFonts w:ascii="Palatino Linotype" w:hAnsi="Palatino Linotype"/>
          <w:sz w:val="18"/>
          <w:szCs w:val="18"/>
        </w:rPr>
        <w:t>, Décima Época, libro 29, tomo III, abril de 2016, p. 2133.</w:t>
      </w:r>
    </w:p>
  </w:footnote>
  <w:footnote w:id="6">
    <w:p w14:paraId="06580E3B" w14:textId="77777777" w:rsidR="00030BC0" w:rsidRDefault="00030BC0" w:rsidP="00030BC0">
      <w:pPr>
        <w:pStyle w:val="Textonotapie"/>
        <w:jc w:val="both"/>
        <w:rPr>
          <w:rFonts w:ascii="Palatino Linotype" w:hAnsi="Palatino Linotype"/>
          <w:sz w:val="18"/>
          <w:szCs w:val="18"/>
        </w:rPr>
      </w:pPr>
      <w:r>
        <w:rPr>
          <w:rStyle w:val="Refdenotaalpie"/>
          <w:rFonts w:ascii="Palatino Linotype" w:hAnsi="Palatino Linotype"/>
          <w:sz w:val="18"/>
          <w:szCs w:val="18"/>
        </w:rPr>
        <w:footnoteRef/>
      </w:r>
      <w:r>
        <w:rPr>
          <w:rFonts w:ascii="Palatino Linotype" w:hAnsi="Palatino Linotype"/>
          <w:sz w:val="18"/>
          <w:szCs w:val="18"/>
        </w:rPr>
        <w:t xml:space="preserve"> Tesis [A.]: I.10º.A.79 A, T.C.C., </w:t>
      </w:r>
      <w:r>
        <w:rPr>
          <w:rFonts w:ascii="Palatino Linotype" w:hAnsi="Palatino Linotype"/>
          <w:i/>
          <w:iCs/>
          <w:sz w:val="18"/>
          <w:szCs w:val="18"/>
        </w:rPr>
        <w:t>Gaceta del Semanario Judicial de la Federación</w:t>
      </w:r>
      <w:r>
        <w:rPr>
          <w:rFonts w:ascii="Palatino Linotype" w:hAnsi="Palatino Linotype"/>
          <w:sz w:val="18"/>
          <w:szCs w:val="18"/>
        </w:rPr>
        <w:t>, Décima Época, libro 60, tomo III, noviembre de 2018, p. 2318.</w:t>
      </w:r>
    </w:p>
  </w:footnote>
  <w:footnote w:id="7">
    <w:p w14:paraId="32AE1FED" w14:textId="77777777" w:rsidR="00A50A13" w:rsidRPr="009168C5" w:rsidRDefault="00A50A13" w:rsidP="00DC2A97">
      <w:pPr>
        <w:pStyle w:val="Textonotapie"/>
        <w:rPr>
          <w:lang w:val="es-ES_tradnl"/>
        </w:rPr>
      </w:pPr>
      <w:r>
        <w:rPr>
          <w:rStyle w:val="Refdenotaalpie"/>
        </w:rPr>
        <w:footnoteRef/>
      </w:r>
      <w:r>
        <w:t xml:space="preserve"> </w:t>
      </w:r>
      <w:r>
        <w:rPr>
          <w:lang w:val="es-ES_tradnl"/>
        </w:rPr>
        <w:t>Artículo 221, Ídem.</w:t>
      </w:r>
    </w:p>
  </w:footnote>
  <w:footnote w:id="8">
    <w:p w14:paraId="5D0BA163" w14:textId="77777777" w:rsidR="00A50A13" w:rsidRPr="00464EA2" w:rsidRDefault="00A50A13" w:rsidP="00DC2A97">
      <w:pPr>
        <w:pStyle w:val="Textonotapie"/>
        <w:rPr>
          <w:lang w:val="es-ES_tradnl"/>
        </w:rPr>
      </w:pPr>
      <w:r>
        <w:rPr>
          <w:rStyle w:val="Refdenotaalpie"/>
        </w:rPr>
        <w:footnoteRef/>
      </w:r>
      <w:r>
        <w:t xml:space="preserve"> </w:t>
      </w:r>
      <w:r>
        <w:rPr>
          <w:lang w:val="es-ES_tradnl"/>
        </w:rPr>
        <w:t>Artículo 224, Ídem.</w:t>
      </w:r>
    </w:p>
  </w:footnote>
  <w:footnote w:id="9">
    <w:p w14:paraId="223B2816" w14:textId="77777777" w:rsidR="00A50A13" w:rsidRPr="00464EA2" w:rsidRDefault="00A50A13" w:rsidP="00DC2A97">
      <w:pPr>
        <w:pStyle w:val="Textonotapie"/>
        <w:rPr>
          <w:lang w:val="es-ES_tradnl"/>
        </w:rPr>
      </w:pPr>
      <w:r>
        <w:rPr>
          <w:rStyle w:val="Refdenotaalpie"/>
        </w:rPr>
        <w:footnoteRef/>
      </w:r>
      <w:r>
        <w:t xml:space="preserve"> </w:t>
      </w:r>
      <w:r>
        <w:rPr>
          <w:lang w:val="es-ES_tradnl"/>
        </w:rPr>
        <w:t>Artículo 224, Código Nacional de Procedimientos Penales.</w:t>
      </w:r>
    </w:p>
  </w:footnote>
  <w:footnote w:id="10">
    <w:p w14:paraId="527D94A8" w14:textId="77777777" w:rsidR="00A50A13" w:rsidRDefault="00A50A13" w:rsidP="00DC2A97">
      <w:pPr>
        <w:pStyle w:val="Textonotapie"/>
      </w:pPr>
      <w:r>
        <w:rPr>
          <w:rStyle w:val="Refdenotaalpie"/>
        </w:rPr>
        <w:footnoteRef/>
      </w:r>
      <w:r>
        <w:t xml:space="preserve"> Artículo 225, Ídem.</w:t>
      </w:r>
    </w:p>
  </w:footnote>
  <w:footnote w:id="11">
    <w:p w14:paraId="36BCC181" w14:textId="77777777" w:rsidR="00A50A13" w:rsidRDefault="00A50A13" w:rsidP="00DC2A97">
      <w:pPr>
        <w:pStyle w:val="Textonotapie"/>
      </w:pPr>
      <w:r>
        <w:rPr>
          <w:rStyle w:val="Refdenotaalpie"/>
        </w:rPr>
        <w:footnoteRef/>
      </w:r>
      <w:r>
        <w:t xml:space="preserve"> Artículo 227, Ídem.</w:t>
      </w:r>
    </w:p>
  </w:footnote>
  <w:footnote w:id="12">
    <w:p w14:paraId="02584EDA" w14:textId="77777777" w:rsidR="00A50A13" w:rsidRDefault="00A50A13" w:rsidP="00DC2A97">
      <w:pPr>
        <w:pStyle w:val="Textonotapie"/>
      </w:pPr>
      <w:r>
        <w:rPr>
          <w:rStyle w:val="Refdenotaalpie"/>
        </w:rPr>
        <w:footnoteRef/>
      </w:r>
      <w:r>
        <w:t xml:space="preserve"> Artículo 253, Código Nacional de Procedimientos Penales.</w:t>
      </w:r>
    </w:p>
  </w:footnote>
  <w:footnote w:id="13">
    <w:p w14:paraId="10D5C4A2" w14:textId="77777777" w:rsidR="00A50A13" w:rsidRDefault="00A50A13" w:rsidP="00DC2A97">
      <w:pPr>
        <w:pStyle w:val="Textonotapie"/>
      </w:pPr>
      <w:r>
        <w:rPr>
          <w:rStyle w:val="Refdenotaalpie"/>
        </w:rPr>
        <w:footnoteRef/>
      </w:r>
      <w:r>
        <w:t xml:space="preserve"> Artículo 254, Ídem.</w:t>
      </w:r>
    </w:p>
  </w:footnote>
  <w:footnote w:id="14">
    <w:p w14:paraId="73E5409C" w14:textId="77777777" w:rsidR="00A50A13" w:rsidRDefault="00A50A13" w:rsidP="00DC2A97">
      <w:pPr>
        <w:pStyle w:val="Textonotapie"/>
      </w:pPr>
      <w:r>
        <w:rPr>
          <w:rStyle w:val="Refdenotaalpie"/>
        </w:rPr>
        <w:footnoteRef/>
      </w:r>
      <w:r>
        <w:t xml:space="preserve"> Artículo 255, Ídem.</w:t>
      </w:r>
    </w:p>
  </w:footnote>
  <w:footnote w:id="15">
    <w:p w14:paraId="3CEC95A3" w14:textId="77777777" w:rsidR="00A50A13" w:rsidRDefault="00A50A13" w:rsidP="00DC2A97">
      <w:pPr>
        <w:pStyle w:val="Textonotapie"/>
      </w:pPr>
      <w:r>
        <w:rPr>
          <w:rStyle w:val="Refdenotaalpie"/>
        </w:rPr>
        <w:footnoteRef/>
      </w:r>
      <w:r>
        <w:t xml:space="preserve"> Artículo 259, Código Nacional de Procedimientos Penales.</w:t>
      </w:r>
    </w:p>
  </w:footnote>
  <w:footnote w:id="16">
    <w:p w14:paraId="5B355685" w14:textId="77777777" w:rsidR="00A50A13" w:rsidRDefault="00A50A13" w:rsidP="00DC2A97">
      <w:pPr>
        <w:pStyle w:val="Textonotapie"/>
      </w:pPr>
      <w:r>
        <w:rPr>
          <w:rStyle w:val="Refdenotaalpie"/>
        </w:rPr>
        <w:footnoteRef/>
      </w:r>
      <w:r>
        <w:t xml:space="preserve"> Artículo 307, Ídem.</w:t>
      </w:r>
    </w:p>
  </w:footnote>
  <w:footnote w:id="17">
    <w:p w14:paraId="28451106" w14:textId="77777777" w:rsidR="00A50A13" w:rsidRDefault="00A50A13" w:rsidP="00DC2A97">
      <w:pPr>
        <w:pStyle w:val="Textonotapie"/>
      </w:pPr>
      <w:r>
        <w:rPr>
          <w:rStyle w:val="Refdenotaalpie"/>
        </w:rPr>
        <w:footnoteRef/>
      </w:r>
      <w:r>
        <w:t xml:space="preserve"> Artículo 311, Ídem.</w:t>
      </w:r>
    </w:p>
  </w:footnote>
  <w:footnote w:id="18">
    <w:p w14:paraId="7CAACB73" w14:textId="77777777" w:rsidR="00A50A13" w:rsidRDefault="00A50A13" w:rsidP="00DC2A97">
      <w:pPr>
        <w:pStyle w:val="Textonotapie"/>
      </w:pPr>
      <w:r>
        <w:rPr>
          <w:rStyle w:val="Refdenotaalpie"/>
        </w:rPr>
        <w:footnoteRef/>
      </w:r>
      <w:r>
        <w:t xml:space="preserve"> Artículo 315, Código Nacional de Procedimientos Penales.</w:t>
      </w:r>
    </w:p>
  </w:footnote>
  <w:footnote w:id="19">
    <w:p w14:paraId="3F4BE46D" w14:textId="77777777" w:rsidR="00A50A13" w:rsidRDefault="00A50A13" w:rsidP="00DC2A97">
      <w:pPr>
        <w:pStyle w:val="Textonotapie"/>
      </w:pPr>
      <w:r>
        <w:rPr>
          <w:rStyle w:val="Refdenotaalpie"/>
        </w:rPr>
        <w:footnoteRef/>
      </w:r>
      <w:r>
        <w:t xml:space="preserve"> Artículo 316, Ídem.</w:t>
      </w:r>
    </w:p>
  </w:footnote>
  <w:footnote w:id="20">
    <w:p w14:paraId="5D8707EE" w14:textId="77777777" w:rsidR="00A50A13" w:rsidRDefault="00A50A13" w:rsidP="00DC2A97">
      <w:pPr>
        <w:pStyle w:val="Textonotapie"/>
      </w:pPr>
      <w:r>
        <w:rPr>
          <w:rStyle w:val="Refdenotaalpie"/>
        </w:rPr>
        <w:footnoteRef/>
      </w:r>
      <w:r>
        <w:t xml:space="preserve"> Artículo 318, Código Nacional de Procedimientos Penales.</w:t>
      </w:r>
    </w:p>
  </w:footnote>
  <w:footnote w:id="21">
    <w:p w14:paraId="2048299A" w14:textId="77777777" w:rsidR="00A50A13" w:rsidRDefault="00A50A13" w:rsidP="00DC2A97">
      <w:pPr>
        <w:pStyle w:val="Textonotapie"/>
      </w:pPr>
      <w:r>
        <w:rPr>
          <w:rStyle w:val="Refdenotaalpie"/>
        </w:rPr>
        <w:footnoteRef/>
      </w:r>
      <w:r>
        <w:t xml:space="preserve"> Artículo 321, Ídem.</w:t>
      </w:r>
    </w:p>
  </w:footnote>
  <w:footnote w:id="22">
    <w:p w14:paraId="0B70C141" w14:textId="77777777" w:rsidR="00A50A13" w:rsidRDefault="00A50A13" w:rsidP="00DC2A97">
      <w:pPr>
        <w:pStyle w:val="Textonotapie"/>
      </w:pPr>
      <w:r>
        <w:rPr>
          <w:rStyle w:val="Refdenotaalpie"/>
        </w:rPr>
        <w:footnoteRef/>
      </w:r>
      <w:r>
        <w:t xml:space="preserve"> Artículo 324, Ídem.</w:t>
      </w:r>
    </w:p>
  </w:footnote>
  <w:footnote w:id="23">
    <w:p w14:paraId="7FB298F3" w14:textId="77777777" w:rsidR="00A50A13" w:rsidRDefault="00A50A13" w:rsidP="00DC2A97">
      <w:pPr>
        <w:pStyle w:val="Textonotapie"/>
      </w:pPr>
      <w:r>
        <w:rPr>
          <w:rStyle w:val="Refdenotaalpie"/>
        </w:rPr>
        <w:footnoteRef/>
      </w:r>
      <w:r>
        <w:t xml:space="preserve"> Artículo 335, </w:t>
      </w:r>
      <w:proofErr w:type="spellStart"/>
      <w:r>
        <w:t>Idem</w:t>
      </w:r>
      <w:proofErr w:type="spellEnd"/>
      <w:r>
        <w:t>.</w:t>
      </w:r>
    </w:p>
  </w:footnote>
  <w:footnote w:id="24">
    <w:p w14:paraId="01A2A747" w14:textId="77777777" w:rsidR="00A50A13" w:rsidRDefault="00A50A13" w:rsidP="00DC2A97">
      <w:pPr>
        <w:pStyle w:val="Textonotapie"/>
      </w:pPr>
      <w:r>
        <w:rPr>
          <w:rStyle w:val="Refdenotaalpie"/>
        </w:rPr>
        <w:footnoteRef/>
      </w:r>
      <w:r>
        <w:t xml:space="preserve"> Artículo 344, Código Nacional de Procedimientos Penales.</w:t>
      </w:r>
    </w:p>
  </w:footnote>
  <w:footnote w:id="25">
    <w:p w14:paraId="57F81227" w14:textId="77777777" w:rsidR="00A50A13" w:rsidRDefault="00A50A13" w:rsidP="00DC2A97">
      <w:pPr>
        <w:pStyle w:val="Textonotapie"/>
      </w:pPr>
      <w:r>
        <w:rPr>
          <w:rStyle w:val="Refdenotaalpie"/>
        </w:rPr>
        <w:footnoteRef/>
      </w:r>
      <w:r>
        <w:t xml:space="preserve"> Ibídem.</w:t>
      </w:r>
    </w:p>
  </w:footnote>
  <w:footnote w:id="26">
    <w:p w14:paraId="62DD4752" w14:textId="77777777" w:rsidR="00A50A13" w:rsidRDefault="00A50A13" w:rsidP="00DC2A97">
      <w:pPr>
        <w:pStyle w:val="Textonotapie"/>
      </w:pPr>
      <w:r>
        <w:rPr>
          <w:rStyle w:val="Refdenotaalpie"/>
        </w:rPr>
        <w:footnoteRef/>
      </w:r>
      <w:r>
        <w:t xml:space="preserve"> Artículo 347, Ídem.</w:t>
      </w:r>
    </w:p>
  </w:footnote>
  <w:footnote w:id="27">
    <w:p w14:paraId="5E060255" w14:textId="77777777" w:rsidR="00A50A13" w:rsidRDefault="00A50A13" w:rsidP="00DC2A97">
      <w:pPr>
        <w:pStyle w:val="Textonotapie"/>
      </w:pPr>
      <w:r>
        <w:rPr>
          <w:rStyle w:val="Refdenotaalpie"/>
        </w:rPr>
        <w:footnoteRef/>
      </w:r>
      <w:r>
        <w:t xml:space="preserve"> Artículo 348, Código Nacional de Procedimientos Penales.</w:t>
      </w:r>
    </w:p>
  </w:footnote>
  <w:footnote w:id="28">
    <w:p w14:paraId="27946626" w14:textId="77777777" w:rsidR="00A50A13" w:rsidRDefault="00A50A13" w:rsidP="00DC2A97">
      <w:pPr>
        <w:pStyle w:val="Textonotapie"/>
      </w:pPr>
      <w:r>
        <w:rPr>
          <w:rStyle w:val="Refdenotaalpie"/>
        </w:rPr>
        <w:footnoteRef/>
      </w:r>
      <w:r>
        <w:t xml:space="preserve"> Artículo 349, Ídem.</w:t>
      </w:r>
    </w:p>
  </w:footnote>
  <w:footnote w:id="29">
    <w:p w14:paraId="031F8F88" w14:textId="77777777" w:rsidR="00A50A13" w:rsidRDefault="00A50A13" w:rsidP="00DC2A97">
      <w:pPr>
        <w:pStyle w:val="Textonotapie"/>
      </w:pPr>
      <w:r>
        <w:rPr>
          <w:rStyle w:val="Refdenotaalpie"/>
        </w:rPr>
        <w:footnoteRef/>
      </w:r>
      <w:r>
        <w:t xml:space="preserve"> Artículo 391</w:t>
      </w:r>
      <w:proofErr w:type="gramStart"/>
      <w:r>
        <w:t>,Ídem</w:t>
      </w:r>
      <w:proofErr w:type="gramEnd"/>
      <w:r>
        <w:t>.</w:t>
      </w:r>
    </w:p>
  </w:footnote>
  <w:footnote w:id="30">
    <w:p w14:paraId="6CD21212" w14:textId="77777777" w:rsidR="00A50A13" w:rsidRDefault="00A50A13" w:rsidP="00DC2A97">
      <w:pPr>
        <w:pStyle w:val="Textonotapie"/>
      </w:pPr>
      <w:r>
        <w:rPr>
          <w:rStyle w:val="Refdenotaalpie"/>
        </w:rPr>
        <w:footnoteRef/>
      </w:r>
      <w:r>
        <w:t xml:space="preserve"> Artículo 394, Código Nacional de Procedimientos Penales.</w:t>
      </w:r>
    </w:p>
  </w:footnote>
  <w:footnote w:id="31">
    <w:p w14:paraId="520C2930" w14:textId="77777777" w:rsidR="00A50A13" w:rsidRDefault="00A50A13" w:rsidP="00DC2A97">
      <w:pPr>
        <w:pStyle w:val="Textonotapie"/>
      </w:pPr>
      <w:r>
        <w:rPr>
          <w:rStyle w:val="Refdenotaalpie"/>
        </w:rPr>
        <w:footnoteRef/>
      </w:r>
      <w:r>
        <w:t xml:space="preserve"> Artículo 395, Ídem.</w:t>
      </w:r>
    </w:p>
  </w:footnote>
  <w:footnote w:id="32">
    <w:p w14:paraId="3794EF87" w14:textId="77777777" w:rsidR="00A50A13" w:rsidRDefault="00A50A13" w:rsidP="00DC2A97">
      <w:pPr>
        <w:pStyle w:val="Textonotapie"/>
      </w:pPr>
      <w:r>
        <w:rPr>
          <w:rStyle w:val="Refdenotaalpie"/>
        </w:rPr>
        <w:footnoteRef/>
      </w:r>
      <w:r>
        <w:t xml:space="preserve"> Artículo 399, Ídem.</w:t>
      </w:r>
    </w:p>
  </w:footnote>
  <w:footnote w:id="33">
    <w:p w14:paraId="67B5E6C2" w14:textId="77777777" w:rsidR="00A50A13" w:rsidRDefault="00A50A13" w:rsidP="00DC2A97">
      <w:pPr>
        <w:pStyle w:val="Textonotapie"/>
      </w:pPr>
      <w:r>
        <w:rPr>
          <w:rStyle w:val="Refdenotaalpie"/>
        </w:rPr>
        <w:footnoteRef/>
      </w:r>
      <w:r>
        <w:t xml:space="preserve"> Artículo 400, Código Nacional de Procedimientos Penales.</w:t>
      </w:r>
    </w:p>
  </w:footnote>
  <w:footnote w:id="34">
    <w:p w14:paraId="48627CB7" w14:textId="77777777" w:rsidR="00A50A13" w:rsidRDefault="00A50A13" w:rsidP="00DC2A97">
      <w:pPr>
        <w:pStyle w:val="Textonotapie"/>
      </w:pPr>
      <w:r>
        <w:rPr>
          <w:rStyle w:val="Refdenotaalpie"/>
        </w:rPr>
        <w:footnoteRef/>
      </w:r>
      <w:r>
        <w:t xml:space="preserve"> Artículo 401, Ídem.</w:t>
      </w:r>
    </w:p>
  </w:footnote>
  <w:footnote w:id="35">
    <w:p w14:paraId="055742F7" w14:textId="77777777" w:rsidR="00A50A13" w:rsidRDefault="00A50A13" w:rsidP="00DC2A97">
      <w:pPr>
        <w:pStyle w:val="Textonotapie"/>
      </w:pPr>
      <w:r>
        <w:rPr>
          <w:rStyle w:val="Refdenotaalpie"/>
        </w:rPr>
        <w:footnoteRef/>
      </w:r>
      <w:r>
        <w:t xml:space="preserve"> Artículo 328, Código Penal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032" w:type="dxa"/>
      <w:tblLayout w:type="fixed"/>
      <w:tblLook w:val="0400" w:firstRow="0" w:lastRow="0" w:firstColumn="0" w:lastColumn="0" w:noHBand="0" w:noVBand="1"/>
    </w:tblPr>
    <w:tblGrid>
      <w:gridCol w:w="2976"/>
      <w:gridCol w:w="3543"/>
    </w:tblGrid>
    <w:tr w:rsidR="00A50A13" w14:paraId="172C781F" w14:textId="77777777" w:rsidTr="00DC2A97">
      <w:trPr>
        <w:trHeight w:val="227"/>
      </w:trPr>
      <w:tc>
        <w:tcPr>
          <w:tcW w:w="2976" w:type="dxa"/>
          <w:vAlign w:val="center"/>
        </w:tcPr>
        <w:p w14:paraId="1EEFEB43" w14:textId="77777777" w:rsidR="00A50A13" w:rsidRDefault="00A50A13" w:rsidP="00DC2A97">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75213CF5" w14:textId="77777777" w:rsidR="00A50A13" w:rsidRDefault="00A50A13" w:rsidP="00DC2A9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05243/INFOEM/IP/RR/2024</w:t>
          </w:r>
        </w:p>
      </w:tc>
    </w:tr>
    <w:tr w:rsidR="00A50A13" w14:paraId="37643F84" w14:textId="77777777" w:rsidTr="00DC2A97">
      <w:trPr>
        <w:trHeight w:val="242"/>
      </w:trPr>
      <w:tc>
        <w:tcPr>
          <w:tcW w:w="2976" w:type="dxa"/>
          <w:vAlign w:val="center"/>
        </w:tcPr>
        <w:p w14:paraId="2008ED25" w14:textId="77777777" w:rsidR="00A50A13" w:rsidRDefault="00A50A13" w:rsidP="00DC2A97">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117E5A8B" w14:textId="77777777" w:rsidR="00A50A13" w:rsidRDefault="00A50A13" w:rsidP="00DC2A97">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Fiscalía General de Justicia del Estado de México  </w:t>
          </w:r>
        </w:p>
      </w:tc>
    </w:tr>
    <w:tr w:rsidR="00A50A13" w14:paraId="20B71478" w14:textId="77777777" w:rsidTr="00DC2A97">
      <w:trPr>
        <w:trHeight w:val="342"/>
      </w:trPr>
      <w:tc>
        <w:tcPr>
          <w:tcW w:w="2976" w:type="dxa"/>
          <w:vAlign w:val="center"/>
        </w:tcPr>
        <w:p w14:paraId="1BE58D90" w14:textId="77777777" w:rsidR="00A50A13" w:rsidRDefault="00A50A13" w:rsidP="00DC2A97">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50748249" w14:textId="77777777" w:rsidR="00A50A13" w:rsidRDefault="00A50A13" w:rsidP="00DC2A9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2A99134A" w14:textId="77777777" w:rsidR="00A50A13" w:rsidRDefault="00A50A13" w:rsidP="00DC2A9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0288" behindDoc="1" locked="0" layoutInCell="1" allowOverlap="1" wp14:anchorId="1C6CD79E" wp14:editId="16989893">
          <wp:simplePos x="0" y="0"/>
          <wp:positionH relativeFrom="page">
            <wp:align>left</wp:align>
          </wp:positionH>
          <wp:positionV relativeFrom="paragraph">
            <wp:posOffset>-1492936</wp:posOffset>
          </wp:positionV>
          <wp:extent cx="7813085" cy="10170000"/>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6276B" w14:textId="77777777" w:rsidR="00A50A13" w:rsidRDefault="00A50A13" w:rsidP="00DC2A97">
    <w:pPr>
      <w:pStyle w:val="Encabezado"/>
      <w:tabs>
        <w:tab w:val="clear" w:pos="4252"/>
        <w:tab w:val="clear" w:pos="8504"/>
        <w:tab w:val="left" w:pos="7154"/>
      </w:tabs>
      <w:jc w:val="both"/>
    </w:pPr>
    <w:r>
      <w:rPr>
        <w:rFonts w:ascii="Palatino Linotype" w:hAnsi="Palatino Linotype"/>
        <w:noProof/>
        <w:lang w:val="es-MX" w:eastAsia="es-MX"/>
      </w:rPr>
      <w:drawing>
        <wp:anchor distT="0" distB="0" distL="114300" distR="114300" simplePos="0" relativeHeight="251659264" behindDoc="1" locked="0" layoutInCell="1" allowOverlap="1" wp14:anchorId="77220C03" wp14:editId="7033D805">
          <wp:simplePos x="0" y="0"/>
          <wp:positionH relativeFrom="page">
            <wp:posOffset>1270</wp:posOffset>
          </wp:positionH>
          <wp:positionV relativeFrom="paragraph">
            <wp:posOffset>-411480</wp:posOffset>
          </wp:positionV>
          <wp:extent cx="7813085" cy="10170000"/>
          <wp:effectExtent l="0" t="0" r="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p>
  <w:tbl>
    <w:tblPr>
      <w:tblW w:w="6660" w:type="dxa"/>
      <w:tblInd w:w="3207" w:type="dxa"/>
      <w:tblLayout w:type="fixed"/>
      <w:tblLook w:val="0400" w:firstRow="0" w:lastRow="0" w:firstColumn="0" w:lastColumn="0" w:noHBand="0" w:noVBand="1"/>
    </w:tblPr>
    <w:tblGrid>
      <w:gridCol w:w="2977"/>
      <w:gridCol w:w="3683"/>
    </w:tblGrid>
    <w:tr w:rsidR="00A50A13" w14:paraId="479CE8A2" w14:textId="77777777" w:rsidTr="00DC2A97">
      <w:trPr>
        <w:trHeight w:val="227"/>
      </w:trPr>
      <w:tc>
        <w:tcPr>
          <w:tcW w:w="2977" w:type="dxa"/>
          <w:vAlign w:val="center"/>
        </w:tcPr>
        <w:p w14:paraId="0AD320D2" w14:textId="77777777" w:rsidR="00A50A13" w:rsidRDefault="00A50A13" w:rsidP="00DC2A9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14:paraId="609ECFF6" w14:textId="77777777" w:rsidR="00A50A13" w:rsidRDefault="00A50A13" w:rsidP="00DC2A9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05243/INFOEM/IP/RR/2024</w:t>
          </w:r>
        </w:p>
      </w:tc>
    </w:tr>
    <w:tr w:rsidR="00A50A13" w14:paraId="13A3A261" w14:textId="77777777" w:rsidTr="00DC2A97">
      <w:trPr>
        <w:trHeight w:val="242"/>
      </w:trPr>
      <w:tc>
        <w:tcPr>
          <w:tcW w:w="2977" w:type="dxa"/>
          <w:vAlign w:val="center"/>
        </w:tcPr>
        <w:p w14:paraId="699567A4" w14:textId="77777777" w:rsidR="00A50A13" w:rsidRDefault="00A50A13" w:rsidP="00DC2A9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14:paraId="23B5E1C9" w14:textId="05FDA95E" w:rsidR="00A50A13" w:rsidRDefault="00A50A13" w:rsidP="006214C3">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 w:val="22"/>
              <w:szCs w:val="22"/>
              <w:highlight w:val="green"/>
            </w:rPr>
          </w:pPr>
          <w:r w:rsidRPr="00432553">
            <w:rPr>
              <w:rFonts w:ascii="Palatino Linotype" w:eastAsia="Palatino Linotype" w:hAnsi="Palatino Linotype" w:cs="Palatino Linotype"/>
              <w:b/>
              <w:bCs/>
              <w:color w:val="000000"/>
              <w:sz w:val="22"/>
              <w:szCs w:val="22"/>
            </w:rPr>
            <w:t> </w:t>
          </w:r>
          <w:r w:rsidR="006214C3">
            <w:rPr>
              <w:rFonts w:ascii="Palatino Linotype" w:eastAsia="Palatino Linotype" w:hAnsi="Palatino Linotype" w:cs="Palatino Linotype"/>
              <w:b/>
              <w:bCs/>
              <w:color w:val="000000"/>
              <w:sz w:val="22"/>
              <w:szCs w:val="22"/>
            </w:rPr>
            <w:t>XXXXXX</w:t>
          </w:r>
        </w:p>
      </w:tc>
    </w:tr>
    <w:tr w:rsidR="00A50A13" w14:paraId="7946342D" w14:textId="77777777" w:rsidTr="00DC2A97">
      <w:trPr>
        <w:trHeight w:val="342"/>
      </w:trPr>
      <w:tc>
        <w:tcPr>
          <w:tcW w:w="2977" w:type="dxa"/>
          <w:vAlign w:val="center"/>
        </w:tcPr>
        <w:p w14:paraId="07992C39" w14:textId="77777777" w:rsidR="00A50A13" w:rsidRDefault="00A50A13" w:rsidP="00DC2A9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14:paraId="1A42370A" w14:textId="77777777" w:rsidR="00A50A13" w:rsidRDefault="00A50A13" w:rsidP="00DC2A97">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Fiscalía General de Justicia del Estado de México  </w:t>
          </w:r>
        </w:p>
      </w:tc>
    </w:tr>
    <w:tr w:rsidR="00A50A13" w14:paraId="64CE4271" w14:textId="77777777" w:rsidTr="00DC2A97">
      <w:trPr>
        <w:trHeight w:val="342"/>
      </w:trPr>
      <w:tc>
        <w:tcPr>
          <w:tcW w:w="2977" w:type="dxa"/>
          <w:vAlign w:val="center"/>
        </w:tcPr>
        <w:p w14:paraId="154C8F5F" w14:textId="77777777" w:rsidR="00A50A13" w:rsidRDefault="00A50A13" w:rsidP="00DC2A9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14:paraId="3524EE14" w14:textId="77777777" w:rsidR="00A50A13" w:rsidRDefault="00A50A13" w:rsidP="00DC2A9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57D7C656" w14:textId="77777777" w:rsidR="00A50A13" w:rsidRDefault="00A50A13" w:rsidP="00DC2A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65B1B"/>
    <w:multiLevelType w:val="hybridMultilevel"/>
    <w:tmpl w:val="46B4E1B0"/>
    <w:lvl w:ilvl="0" w:tplc="D236053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13A963E7"/>
    <w:multiLevelType w:val="multilevel"/>
    <w:tmpl w:val="DA6C19A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163A6C75"/>
    <w:multiLevelType w:val="hybridMultilevel"/>
    <w:tmpl w:val="BFC2E948"/>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440631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4D2B97"/>
    <w:multiLevelType w:val="hybridMultilevel"/>
    <w:tmpl w:val="E530F07A"/>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4" w15:restartNumberingAfterBreak="0">
    <w:nsid w:val="1D160E48"/>
    <w:multiLevelType w:val="multilevel"/>
    <w:tmpl w:val="2EBE7B72"/>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6759E2"/>
    <w:multiLevelType w:val="hybridMultilevel"/>
    <w:tmpl w:val="910ACBD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20756815"/>
    <w:multiLevelType w:val="multilevel"/>
    <w:tmpl w:val="5024D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213082"/>
    <w:multiLevelType w:val="hybridMultilevel"/>
    <w:tmpl w:val="1DE09898"/>
    <w:lvl w:ilvl="0" w:tplc="39C6B79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 w15:restartNumberingAfterBreak="0">
    <w:nsid w:val="223F04D2"/>
    <w:multiLevelType w:val="multilevel"/>
    <w:tmpl w:val="1A78F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851C24"/>
    <w:multiLevelType w:val="multilevel"/>
    <w:tmpl w:val="70F2912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760C5A"/>
    <w:multiLevelType w:val="hybridMultilevel"/>
    <w:tmpl w:val="D8CEE390"/>
    <w:lvl w:ilvl="0" w:tplc="3EE8B12E">
      <w:numFmt w:val="bullet"/>
      <w:lvlText w:val=""/>
      <w:lvlJc w:val="left"/>
      <w:pPr>
        <w:ind w:left="72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42C49F1"/>
    <w:multiLevelType w:val="multilevel"/>
    <w:tmpl w:val="ECBC7F4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317490"/>
    <w:multiLevelType w:val="hybridMultilevel"/>
    <w:tmpl w:val="0288824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211"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BE4F7C"/>
    <w:multiLevelType w:val="hybridMultilevel"/>
    <w:tmpl w:val="18A6D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2B406D"/>
    <w:multiLevelType w:val="hybridMultilevel"/>
    <w:tmpl w:val="C6506DDA"/>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5" w15:restartNumberingAfterBreak="0">
    <w:nsid w:val="42377886"/>
    <w:multiLevelType w:val="multilevel"/>
    <w:tmpl w:val="EDF0BA1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3D68CC"/>
    <w:multiLevelType w:val="hybridMultilevel"/>
    <w:tmpl w:val="96FE2FB4"/>
    <w:lvl w:ilvl="0" w:tplc="A35C7748">
      <w:start w:val="2"/>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C3163B"/>
    <w:multiLevelType w:val="multilevel"/>
    <w:tmpl w:val="FB6AC6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FE7C3D"/>
    <w:multiLevelType w:val="hybridMultilevel"/>
    <w:tmpl w:val="A9884E3C"/>
    <w:lvl w:ilvl="0" w:tplc="9AE85AC4">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DEE5B63"/>
    <w:multiLevelType w:val="multilevel"/>
    <w:tmpl w:val="5700FF0C"/>
    <w:lvl w:ilvl="0">
      <w:start w:val="1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6997A24"/>
    <w:multiLevelType w:val="hybridMultilevel"/>
    <w:tmpl w:val="31BAF660"/>
    <w:lvl w:ilvl="0" w:tplc="A8C8A31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1" w15:restartNumberingAfterBreak="0">
    <w:nsid w:val="57D723A3"/>
    <w:multiLevelType w:val="hybridMultilevel"/>
    <w:tmpl w:val="BC20CA6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5C2D054B"/>
    <w:multiLevelType w:val="hybridMultilevel"/>
    <w:tmpl w:val="4F4EFA22"/>
    <w:lvl w:ilvl="0" w:tplc="4D4E2D4E">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 w15:restartNumberingAfterBreak="0">
    <w:nsid w:val="64502C8D"/>
    <w:multiLevelType w:val="hybridMultilevel"/>
    <w:tmpl w:val="DE5E4C2E"/>
    <w:lvl w:ilvl="0" w:tplc="C97E892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4" w15:restartNumberingAfterBreak="0">
    <w:nsid w:val="6B51414B"/>
    <w:multiLevelType w:val="multilevel"/>
    <w:tmpl w:val="1F86AC3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5" w15:restartNumberingAfterBreak="0">
    <w:nsid w:val="73ED0CCB"/>
    <w:multiLevelType w:val="multilevel"/>
    <w:tmpl w:val="F4FABC6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41D51C5"/>
    <w:multiLevelType w:val="hybridMultilevel"/>
    <w:tmpl w:val="6C8826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51C1051"/>
    <w:multiLevelType w:val="multilevel"/>
    <w:tmpl w:val="35F6814E"/>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701362"/>
    <w:multiLevelType w:val="hybridMultilevel"/>
    <w:tmpl w:val="B360FC2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4B51BE"/>
    <w:multiLevelType w:val="hybridMultilevel"/>
    <w:tmpl w:val="5E1010AE"/>
    <w:lvl w:ilvl="0" w:tplc="FFFFFFFF">
      <w:start w:val="1"/>
      <w:numFmt w:val="decimal"/>
      <w:lvlText w:val="%1."/>
      <w:lvlJc w:val="left"/>
      <w:pPr>
        <w:ind w:left="4330"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color w:val="auto"/>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30"/>
  </w:num>
  <w:num w:numId="2">
    <w:abstractNumId w:val="12"/>
  </w:num>
  <w:num w:numId="3">
    <w:abstractNumId w:val="24"/>
  </w:num>
  <w:num w:numId="4">
    <w:abstractNumId w:val="13"/>
  </w:num>
  <w:num w:numId="5">
    <w:abstractNumId w:val="21"/>
  </w:num>
  <w:num w:numId="6">
    <w:abstractNumId w:val="20"/>
  </w:num>
  <w:num w:numId="7">
    <w:abstractNumId w:val="0"/>
  </w:num>
  <w:num w:numId="8">
    <w:abstractNumId w:val="9"/>
  </w:num>
  <w:num w:numId="9">
    <w:abstractNumId w:val="22"/>
  </w:num>
  <w:num w:numId="10">
    <w:abstractNumId w:val="27"/>
  </w:num>
  <w:num w:numId="11">
    <w:abstractNumId w:val="17"/>
  </w:num>
  <w:num w:numId="12">
    <w:abstractNumId w:val="26"/>
  </w:num>
  <w:num w:numId="13">
    <w:abstractNumId w:val="29"/>
  </w:num>
  <w:num w:numId="14">
    <w:abstractNumId w:val="28"/>
  </w:num>
  <w:num w:numId="15">
    <w:abstractNumId w:val="2"/>
  </w:num>
  <w:num w:numId="16">
    <w:abstractNumId w:val="3"/>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5"/>
  </w:num>
  <w:num w:numId="20">
    <w:abstractNumId w:val="14"/>
  </w:num>
  <w:num w:numId="21">
    <w:abstractNumId w:val="8"/>
  </w:num>
  <w:num w:numId="22">
    <w:abstractNumId w:val="5"/>
  </w:num>
  <w:num w:numId="23">
    <w:abstractNumId w:val="7"/>
  </w:num>
  <w:num w:numId="24">
    <w:abstractNumId w:val="23"/>
  </w:num>
  <w:num w:numId="25">
    <w:abstractNumId w:val="16"/>
  </w:num>
  <w:num w:numId="26">
    <w:abstractNumId w:val="6"/>
  </w:num>
  <w:num w:numId="27">
    <w:abstractNumId w:val="11"/>
  </w:num>
  <w:num w:numId="28">
    <w:abstractNumId w:val="19"/>
  </w:num>
  <w:num w:numId="29">
    <w:abstractNumId w:val="10"/>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A97"/>
    <w:rsid w:val="00030BC0"/>
    <w:rsid w:val="000937DF"/>
    <w:rsid w:val="000942E1"/>
    <w:rsid w:val="00111EE3"/>
    <w:rsid w:val="0013768F"/>
    <w:rsid w:val="00165FA7"/>
    <w:rsid w:val="001A2D0B"/>
    <w:rsid w:val="001A5850"/>
    <w:rsid w:val="001B6041"/>
    <w:rsid w:val="001D3BCE"/>
    <w:rsid w:val="002526D7"/>
    <w:rsid w:val="0029118A"/>
    <w:rsid w:val="003043FE"/>
    <w:rsid w:val="00344488"/>
    <w:rsid w:val="00355B73"/>
    <w:rsid w:val="00374078"/>
    <w:rsid w:val="003A4D9C"/>
    <w:rsid w:val="003A65FC"/>
    <w:rsid w:val="003E293C"/>
    <w:rsid w:val="00406777"/>
    <w:rsid w:val="004169FC"/>
    <w:rsid w:val="00420905"/>
    <w:rsid w:val="00437551"/>
    <w:rsid w:val="0044365C"/>
    <w:rsid w:val="00451E46"/>
    <w:rsid w:val="00467700"/>
    <w:rsid w:val="00487F50"/>
    <w:rsid w:val="005311E9"/>
    <w:rsid w:val="005439A7"/>
    <w:rsid w:val="005A68F2"/>
    <w:rsid w:val="006214C3"/>
    <w:rsid w:val="0063579E"/>
    <w:rsid w:val="00667D1B"/>
    <w:rsid w:val="00684449"/>
    <w:rsid w:val="006D36AE"/>
    <w:rsid w:val="006F18A5"/>
    <w:rsid w:val="00721BC8"/>
    <w:rsid w:val="00742C50"/>
    <w:rsid w:val="00796AA9"/>
    <w:rsid w:val="007C3E2C"/>
    <w:rsid w:val="007D15B9"/>
    <w:rsid w:val="007F570B"/>
    <w:rsid w:val="008A1030"/>
    <w:rsid w:val="008F05EA"/>
    <w:rsid w:val="0091080C"/>
    <w:rsid w:val="00965F4F"/>
    <w:rsid w:val="00967F43"/>
    <w:rsid w:val="0099513A"/>
    <w:rsid w:val="009A552C"/>
    <w:rsid w:val="00A12445"/>
    <w:rsid w:val="00A3799B"/>
    <w:rsid w:val="00A50A13"/>
    <w:rsid w:val="00A71D21"/>
    <w:rsid w:val="00A75993"/>
    <w:rsid w:val="00B81AD4"/>
    <w:rsid w:val="00B96E00"/>
    <w:rsid w:val="00BB4BC4"/>
    <w:rsid w:val="00BC310E"/>
    <w:rsid w:val="00C1010C"/>
    <w:rsid w:val="00C16180"/>
    <w:rsid w:val="00C703C5"/>
    <w:rsid w:val="00C96FE9"/>
    <w:rsid w:val="00CF5120"/>
    <w:rsid w:val="00DC1027"/>
    <w:rsid w:val="00DC2A97"/>
    <w:rsid w:val="00E91B80"/>
    <w:rsid w:val="00EA1342"/>
    <w:rsid w:val="00EA6684"/>
    <w:rsid w:val="00EC4F02"/>
    <w:rsid w:val="00ED04AE"/>
    <w:rsid w:val="00ED53B5"/>
    <w:rsid w:val="00ED5771"/>
    <w:rsid w:val="00F265ED"/>
    <w:rsid w:val="00F53DD5"/>
    <w:rsid w:val="00FA30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F1F54"/>
  <w15:chartTrackingRefBased/>
  <w15:docId w15:val="{1169278D-3170-420B-B7C8-398A2D4A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BC4"/>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DC2A97"/>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DC2A97"/>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DC2A97"/>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2A9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DC2A9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C2A97"/>
    <w:rPr>
      <w:rFonts w:asciiTheme="majorHAnsi" w:eastAsiaTheme="majorEastAsia" w:hAnsiTheme="majorHAnsi" w:cstheme="majorBidi"/>
      <w:color w:val="1F4D78" w:themeColor="accent1" w:themeShade="7F"/>
      <w:sz w:val="24"/>
      <w:szCs w:val="24"/>
      <w:lang w:eastAsia="es-MX"/>
    </w:rPr>
  </w:style>
  <w:style w:type="paragraph" w:styleId="Encabezado">
    <w:name w:val="header"/>
    <w:basedOn w:val="Normal"/>
    <w:link w:val="EncabezadoCar"/>
    <w:uiPriority w:val="99"/>
    <w:unhideWhenUsed/>
    <w:rsid w:val="00DC2A9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DC2A97"/>
    <w:rPr>
      <w:rFonts w:eastAsiaTheme="minorEastAsia"/>
      <w:sz w:val="24"/>
      <w:szCs w:val="24"/>
      <w:lang w:val="es-ES_tradnl" w:eastAsia="es-ES"/>
    </w:rPr>
  </w:style>
  <w:style w:type="paragraph" w:styleId="Piedepgina">
    <w:name w:val="footer"/>
    <w:basedOn w:val="Normal"/>
    <w:link w:val="PiedepginaCar"/>
    <w:uiPriority w:val="99"/>
    <w:unhideWhenUsed/>
    <w:rsid w:val="00DC2A9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DC2A9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C2A9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C2A97"/>
    <w:pPr>
      <w:ind w:left="708"/>
    </w:pPr>
    <w:rPr>
      <w:sz w:val="22"/>
      <w:szCs w:val="22"/>
      <w:lang w:val="es-ES" w:eastAsia="en-US"/>
    </w:rPr>
  </w:style>
  <w:style w:type="paragraph" w:styleId="Sangradetextonormal">
    <w:name w:val="Body Text Indent"/>
    <w:basedOn w:val="Normal"/>
    <w:link w:val="SangradetextonormalCar"/>
    <w:uiPriority w:val="99"/>
    <w:unhideWhenUsed/>
    <w:rsid w:val="00DC2A97"/>
    <w:pPr>
      <w:spacing w:after="120"/>
      <w:ind w:left="283"/>
    </w:pPr>
  </w:style>
  <w:style w:type="character" w:customStyle="1" w:styleId="SangradetextonormalCar">
    <w:name w:val="Sangría de texto normal Car"/>
    <w:basedOn w:val="Fuentedeprrafopredeter"/>
    <w:link w:val="Sangradetextonormal"/>
    <w:uiPriority w:val="99"/>
    <w:rsid w:val="00DC2A9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DC2A9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C2A97"/>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DC2A97"/>
    <w:rPr>
      <w:color w:val="0563C1" w:themeColor="hyperlink"/>
      <w:u w:val="single"/>
    </w:rPr>
  </w:style>
  <w:style w:type="character" w:styleId="Hipervnculovisitado">
    <w:name w:val="FollowedHyperlink"/>
    <w:basedOn w:val="Fuentedeprrafopredeter"/>
    <w:uiPriority w:val="99"/>
    <w:semiHidden/>
    <w:unhideWhenUsed/>
    <w:rsid w:val="00DC2A97"/>
    <w:rPr>
      <w:color w:val="954F72" w:themeColor="followedHyperlink"/>
      <w:u w:val="single"/>
    </w:rPr>
  </w:style>
  <w:style w:type="table" w:styleId="Tablaconcuadrcula">
    <w:name w:val="Table Grid"/>
    <w:basedOn w:val="Tablanormal"/>
    <w:uiPriority w:val="59"/>
    <w:rsid w:val="00DC2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C2A9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C2A97"/>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C2A97"/>
    <w:rPr>
      <w:vertAlign w:val="superscript"/>
    </w:rPr>
  </w:style>
  <w:style w:type="paragraph" w:styleId="Lista2">
    <w:name w:val="List 2"/>
    <w:basedOn w:val="Normal"/>
    <w:uiPriority w:val="99"/>
    <w:unhideWhenUsed/>
    <w:rsid w:val="00DC2A97"/>
    <w:pPr>
      <w:ind w:left="566" w:hanging="283"/>
      <w:contextualSpacing/>
    </w:pPr>
  </w:style>
  <w:style w:type="paragraph" w:styleId="Lista3">
    <w:name w:val="List 3"/>
    <w:basedOn w:val="Normal"/>
    <w:uiPriority w:val="99"/>
    <w:unhideWhenUsed/>
    <w:rsid w:val="00DC2A97"/>
    <w:pPr>
      <w:ind w:left="849" w:hanging="283"/>
      <w:contextualSpacing/>
    </w:pPr>
  </w:style>
  <w:style w:type="paragraph" w:styleId="Saludo">
    <w:name w:val="Salutation"/>
    <w:basedOn w:val="Normal"/>
    <w:next w:val="Normal"/>
    <w:link w:val="SaludoCar"/>
    <w:uiPriority w:val="99"/>
    <w:unhideWhenUsed/>
    <w:rsid w:val="00DC2A97"/>
  </w:style>
  <w:style w:type="character" w:customStyle="1" w:styleId="SaludoCar">
    <w:name w:val="Saludo Car"/>
    <w:basedOn w:val="Fuentedeprrafopredeter"/>
    <w:link w:val="Saludo"/>
    <w:uiPriority w:val="99"/>
    <w:rsid w:val="00DC2A97"/>
    <w:rPr>
      <w:rFonts w:ascii="Times New Roman" w:eastAsia="Times New Roman" w:hAnsi="Times New Roman" w:cs="Times New Roman"/>
      <w:sz w:val="24"/>
      <w:szCs w:val="24"/>
      <w:lang w:eastAsia="es-MX"/>
    </w:rPr>
  </w:style>
  <w:style w:type="paragraph" w:styleId="Continuarlista">
    <w:name w:val="List Continue"/>
    <w:basedOn w:val="Normal"/>
    <w:uiPriority w:val="99"/>
    <w:unhideWhenUsed/>
    <w:rsid w:val="00DC2A97"/>
    <w:pPr>
      <w:spacing w:after="120"/>
      <w:ind w:left="283"/>
      <w:contextualSpacing/>
    </w:pPr>
  </w:style>
  <w:style w:type="paragraph" w:styleId="Textoindependiente">
    <w:name w:val="Body Text"/>
    <w:basedOn w:val="Normal"/>
    <w:link w:val="TextoindependienteCar"/>
    <w:uiPriority w:val="99"/>
    <w:unhideWhenUsed/>
    <w:rsid w:val="00DC2A97"/>
    <w:pPr>
      <w:spacing w:after="120"/>
    </w:pPr>
  </w:style>
  <w:style w:type="character" w:customStyle="1" w:styleId="TextoindependienteCar">
    <w:name w:val="Texto independiente Car"/>
    <w:basedOn w:val="Fuentedeprrafopredeter"/>
    <w:link w:val="Textoindependiente"/>
    <w:uiPriority w:val="99"/>
    <w:rsid w:val="00DC2A97"/>
    <w:rPr>
      <w:rFonts w:ascii="Times New Roman" w:eastAsia="Times New Roman" w:hAnsi="Times New Roman" w:cs="Times New Roman"/>
      <w:sz w:val="24"/>
      <w:szCs w:val="24"/>
      <w:lang w:eastAsia="es-MX"/>
    </w:rPr>
  </w:style>
  <w:style w:type="paragraph" w:customStyle="1" w:styleId="Default">
    <w:name w:val="Default"/>
    <w:rsid w:val="0013768F"/>
    <w:pPr>
      <w:autoSpaceDE w:val="0"/>
      <w:autoSpaceDN w:val="0"/>
      <w:adjustRightInd w:val="0"/>
      <w:spacing w:after="0" w:line="240" w:lineRule="auto"/>
    </w:pPr>
    <w:rPr>
      <w:rFonts w:ascii="Palatino Linotype" w:hAnsi="Palatino Linotype" w:cs="Palatino Linotype"/>
      <w:color w:val="000000"/>
      <w:sz w:val="24"/>
      <w:szCs w:val="24"/>
    </w:rPr>
  </w:style>
  <w:style w:type="paragraph" w:styleId="Sinespaciado">
    <w:name w:val="No Spacing"/>
    <w:aliases w:val="Francesa,INAI"/>
    <w:link w:val="SinespaciadoCar"/>
    <w:uiPriority w:val="1"/>
    <w:qFormat/>
    <w:rsid w:val="00ED04AE"/>
    <w:pPr>
      <w:spacing w:after="0" w:line="240" w:lineRule="auto"/>
    </w:pPr>
  </w:style>
  <w:style w:type="character" w:customStyle="1" w:styleId="SinespaciadoCar">
    <w:name w:val="Sin espaciado Car"/>
    <w:aliases w:val="Francesa Car,INAI Car"/>
    <w:link w:val="Sinespaciado"/>
    <w:uiPriority w:val="1"/>
    <w:locked/>
    <w:rsid w:val="00ED04AE"/>
  </w:style>
  <w:style w:type="paragraph" w:customStyle="1" w:styleId="INFOEM">
    <w:name w:val="INFOEM"/>
    <w:basedOn w:val="Normal"/>
    <w:qFormat/>
    <w:rsid w:val="00ED04AE"/>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Citas">
    <w:name w:val="Citas"/>
    <w:basedOn w:val="Normal"/>
    <w:qFormat/>
    <w:rsid w:val="00ED04AE"/>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Listaconvietas2">
    <w:name w:val="List Bullet 2"/>
    <w:basedOn w:val="Normal"/>
    <w:uiPriority w:val="99"/>
    <w:semiHidden/>
    <w:unhideWhenUsed/>
    <w:qFormat/>
    <w:rsid w:val="00B81AD4"/>
    <w:pPr>
      <w:numPr>
        <w:numId w:val="32"/>
      </w:numPr>
      <w:contextualSpacing/>
    </w:pPr>
    <w:rPr>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486693">
      <w:bodyDiv w:val="1"/>
      <w:marLeft w:val="0"/>
      <w:marRight w:val="0"/>
      <w:marTop w:val="0"/>
      <w:marBottom w:val="0"/>
      <w:divBdr>
        <w:top w:val="none" w:sz="0" w:space="0" w:color="auto"/>
        <w:left w:val="none" w:sz="0" w:space="0" w:color="auto"/>
        <w:bottom w:val="none" w:sz="0" w:space="0" w:color="auto"/>
        <w:right w:val="none" w:sz="0" w:space="0" w:color="auto"/>
      </w:divBdr>
    </w:div>
    <w:div w:id="1028069590">
      <w:bodyDiv w:val="1"/>
      <w:marLeft w:val="0"/>
      <w:marRight w:val="0"/>
      <w:marTop w:val="0"/>
      <w:marBottom w:val="0"/>
      <w:divBdr>
        <w:top w:val="none" w:sz="0" w:space="0" w:color="auto"/>
        <w:left w:val="none" w:sz="0" w:space="0" w:color="auto"/>
        <w:bottom w:val="none" w:sz="0" w:space="0" w:color="auto"/>
        <w:right w:val="none" w:sz="0" w:space="0" w:color="auto"/>
      </w:divBdr>
    </w:div>
    <w:div w:id="1088498840">
      <w:bodyDiv w:val="1"/>
      <w:marLeft w:val="0"/>
      <w:marRight w:val="0"/>
      <w:marTop w:val="0"/>
      <w:marBottom w:val="0"/>
      <w:divBdr>
        <w:top w:val="none" w:sz="0" w:space="0" w:color="auto"/>
        <w:left w:val="none" w:sz="0" w:space="0" w:color="auto"/>
        <w:bottom w:val="none" w:sz="0" w:space="0" w:color="auto"/>
        <w:right w:val="none" w:sz="0" w:space="0" w:color="auto"/>
      </w:divBdr>
    </w:div>
    <w:div w:id="1593315697">
      <w:bodyDiv w:val="1"/>
      <w:marLeft w:val="0"/>
      <w:marRight w:val="0"/>
      <w:marTop w:val="0"/>
      <w:marBottom w:val="0"/>
      <w:divBdr>
        <w:top w:val="none" w:sz="0" w:space="0" w:color="auto"/>
        <w:left w:val="none" w:sz="0" w:space="0" w:color="auto"/>
        <w:bottom w:val="none" w:sz="0" w:space="0" w:color="auto"/>
        <w:right w:val="none" w:sz="0" w:space="0" w:color="auto"/>
      </w:divBdr>
    </w:div>
    <w:div w:id="170363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em2.ipomex.org.mx/ipomex/"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27926-FB85-480C-B59E-E2B5E1753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90</Pages>
  <Words>24503</Words>
  <Characters>134768</Characters>
  <Application>Microsoft Office Word</Application>
  <DocSecurity>0</DocSecurity>
  <Lines>1123</Lines>
  <Paragraphs>317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158954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INFOEM403</cp:lastModifiedBy>
  <cp:revision>15</cp:revision>
  <cp:lastPrinted>2025-02-20T16:01:00Z</cp:lastPrinted>
  <dcterms:created xsi:type="dcterms:W3CDTF">2025-02-18T01:01:00Z</dcterms:created>
  <dcterms:modified xsi:type="dcterms:W3CDTF">2025-03-28T20:57:00Z</dcterms:modified>
</cp:coreProperties>
</file>