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80FE6" w14:textId="39DEB8C2" w:rsidR="00502C77" w:rsidRPr="00446963" w:rsidRDefault="00502C77" w:rsidP="00965736">
      <w:pPr>
        <w:spacing w:after="0" w:line="360" w:lineRule="auto"/>
        <w:contextualSpacing/>
        <w:rPr>
          <w:rFonts w:cs="Tahoma"/>
        </w:rPr>
      </w:pPr>
      <w:r w:rsidRPr="00446963">
        <w:rPr>
          <w:rFonts w:cs="Tahoma"/>
        </w:rPr>
        <w:t xml:space="preserve">Resolución del Pleno del Instituto de Transparencia, Acceso a la Información Pública y Protección de Datos Personales del Estado de México y Municipios, con domicilio en Metepec, Estado de México, de fecha </w:t>
      </w:r>
      <w:r w:rsidR="00B05BA0">
        <w:rPr>
          <w:rFonts w:cs="Tahoma"/>
        </w:rPr>
        <w:t>quince de enero de dos mil veinticinco</w:t>
      </w:r>
      <w:r w:rsidRPr="00446963">
        <w:rPr>
          <w:rFonts w:cs="Tahoma"/>
        </w:rPr>
        <w:t>.</w:t>
      </w:r>
    </w:p>
    <w:p w14:paraId="41668FA5" w14:textId="77777777" w:rsidR="00502C77" w:rsidRPr="00446963" w:rsidRDefault="00502C77" w:rsidP="00965736">
      <w:pPr>
        <w:spacing w:after="0" w:line="360" w:lineRule="auto"/>
        <w:contextualSpacing/>
        <w:rPr>
          <w:rFonts w:cs="Tahoma"/>
          <w:bCs/>
        </w:rPr>
      </w:pPr>
    </w:p>
    <w:p w14:paraId="16A18369" w14:textId="6EE8AB6A" w:rsidR="00502C77" w:rsidRPr="00C72294" w:rsidRDefault="00502C77" w:rsidP="00965736">
      <w:pPr>
        <w:spacing w:after="0" w:line="360" w:lineRule="auto"/>
        <w:contextualSpacing/>
        <w:rPr>
          <w:rFonts w:cs="Tahoma"/>
          <w:bCs/>
        </w:rPr>
      </w:pPr>
      <w:r w:rsidRPr="00446963">
        <w:rPr>
          <w:rFonts w:cs="Tahoma"/>
          <w:b/>
          <w:bCs/>
        </w:rPr>
        <w:t xml:space="preserve">VISTO </w:t>
      </w:r>
      <w:r w:rsidRPr="00C72294">
        <w:rPr>
          <w:rFonts w:cs="Tahoma"/>
          <w:bCs/>
        </w:rPr>
        <w:t xml:space="preserve">el expediente conformado con motivo del Recurso de Revisión </w:t>
      </w:r>
      <w:r w:rsidR="00560E42" w:rsidRPr="00382BD2">
        <w:rPr>
          <w:b/>
          <w:bCs/>
        </w:rPr>
        <w:t>07466/INFOEM/IP/RR/2024</w:t>
      </w:r>
      <w:r w:rsidRPr="00C72294">
        <w:rPr>
          <w:rFonts w:cs="Tahoma"/>
          <w:bCs/>
        </w:rPr>
        <w:t xml:space="preserve">, interpuesto </w:t>
      </w:r>
      <w:r w:rsidR="00C72294">
        <w:rPr>
          <w:rFonts w:cs="Tahoma"/>
          <w:bCs/>
        </w:rPr>
        <w:t>por la persona</w:t>
      </w:r>
      <w:r w:rsidRPr="00C72294">
        <w:rPr>
          <w:rFonts w:cs="Tahoma"/>
          <w:bCs/>
        </w:rPr>
        <w:t xml:space="preserve"> Recurrente o </w:t>
      </w:r>
      <w:r w:rsidR="00C72294">
        <w:rPr>
          <w:rFonts w:cs="Tahoma"/>
          <w:bCs/>
        </w:rPr>
        <w:t>Solicitante</w:t>
      </w:r>
      <w:r w:rsidRPr="00C72294">
        <w:rPr>
          <w:rFonts w:cs="Tahoma"/>
          <w:bCs/>
        </w:rPr>
        <w:t xml:space="preserve">, en contra de la respuesta del Sujeto Obligado, </w:t>
      </w:r>
      <w:r w:rsidR="00560E42" w:rsidRPr="00382BD2">
        <w:rPr>
          <w:b/>
          <w:bCs/>
          <w:color w:val="000000"/>
        </w:rPr>
        <w:t>Secretaría de Finanzas</w:t>
      </w:r>
      <w:r w:rsidRPr="00C72294">
        <w:rPr>
          <w:rFonts w:cs="Tahoma"/>
          <w:bCs/>
        </w:rPr>
        <w:t xml:space="preserve">, a la solicitud de información con número </w:t>
      </w:r>
      <w:r w:rsidR="00560E42" w:rsidRPr="00C72294">
        <w:rPr>
          <w:bCs/>
          <w:color w:val="auto"/>
        </w:rPr>
        <w:t>00843/SF/IP/2024</w:t>
      </w:r>
      <w:r w:rsidRPr="00C72294">
        <w:rPr>
          <w:rFonts w:cs="Tahoma"/>
          <w:bCs/>
        </w:rPr>
        <w:t>, se emite la presente Resolución, con base en los Antecedentes y Considerandos que se exponen a continuación:</w:t>
      </w:r>
    </w:p>
    <w:p w14:paraId="4D3B1E26" w14:textId="77777777" w:rsidR="00502C77" w:rsidRPr="00446963" w:rsidRDefault="00502C77" w:rsidP="00965736">
      <w:pPr>
        <w:tabs>
          <w:tab w:val="left" w:pos="6735"/>
        </w:tabs>
        <w:spacing w:after="0" w:line="360" w:lineRule="auto"/>
        <w:contextualSpacing/>
        <w:rPr>
          <w:rFonts w:cs="Tahoma"/>
        </w:rPr>
      </w:pPr>
    </w:p>
    <w:p w14:paraId="70006AD3" w14:textId="5C5659C5" w:rsidR="00502C77" w:rsidRPr="00446963" w:rsidRDefault="00502C77" w:rsidP="00965736">
      <w:pPr>
        <w:tabs>
          <w:tab w:val="center" w:pos="4522"/>
          <w:tab w:val="left" w:pos="7245"/>
        </w:tabs>
        <w:spacing w:after="0" w:line="360" w:lineRule="auto"/>
        <w:contextualSpacing/>
        <w:jc w:val="center"/>
        <w:rPr>
          <w:rFonts w:cs="Tahoma"/>
          <w:b/>
        </w:rPr>
      </w:pPr>
      <w:r w:rsidRPr="00446963">
        <w:rPr>
          <w:rFonts w:cs="Tahoma"/>
          <w:b/>
        </w:rPr>
        <w:t>A N T E C E D E N T E S</w:t>
      </w:r>
    </w:p>
    <w:p w14:paraId="5B0F0461" w14:textId="77777777" w:rsidR="00502C77" w:rsidRPr="00446963" w:rsidRDefault="00502C77" w:rsidP="00965736">
      <w:pPr>
        <w:spacing w:after="0" w:line="360" w:lineRule="auto"/>
        <w:contextualSpacing/>
      </w:pPr>
    </w:p>
    <w:p w14:paraId="6A27F472" w14:textId="6AF361C0" w:rsidR="00502C77" w:rsidRPr="00446963" w:rsidRDefault="00502C77" w:rsidP="00965736">
      <w:pPr>
        <w:pStyle w:val="Prrafodelista"/>
        <w:tabs>
          <w:tab w:val="left" w:pos="567"/>
        </w:tabs>
        <w:spacing w:line="360" w:lineRule="auto"/>
        <w:ind w:left="0"/>
        <w:jc w:val="both"/>
        <w:rPr>
          <w:rFonts w:ascii="Palatino Linotype" w:hAnsi="Palatino Linotype" w:cs="Tahoma"/>
          <w:b/>
          <w:color w:val="000000" w:themeColor="text1"/>
          <w:szCs w:val="22"/>
        </w:rPr>
      </w:pPr>
      <w:r w:rsidRPr="00446963">
        <w:rPr>
          <w:rFonts w:ascii="Palatino Linotype" w:hAnsi="Palatino Linotype" w:cs="Tahoma"/>
          <w:b/>
          <w:color w:val="000000" w:themeColor="text1"/>
          <w:szCs w:val="22"/>
        </w:rPr>
        <w:t>I. Presentación de la solicitud de información</w:t>
      </w:r>
    </w:p>
    <w:p w14:paraId="19D9B93F" w14:textId="77777777" w:rsidR="00502C77" w:rsidRPr="00446963" w:rsidRDefault="00502C77" w:rsidP="00965736">
      <w:pPr>
        <w:pStyle w:val="Prrafodelista"/>
        <w:tabs>
          <w:tab w:val="left" w:pos="567"/>
        </w:tabs>
        <w:spacing w:line="360" w:lineRule="auto"/>
        <w:ind w:left="0"/>
        <w:jc w:val="both"/>
        <w:rPr>
          <w:rFonts w:ascii="Palatino Linotype" w:hAnsi="Palatino Linotype" w:cs="Tahoma"/>
          <w:color w:val="000000" w:themeColor="text1"/>
          <w:szCs w:val="22"/>
        </w:rPr>
      </w:pPr>
    </w:p>
    <w:p w14:paraId="50A454B7" w14:textId="77EC0DFB" w:rsidR="00502C77" w:rsidRDefault="00502C77" w:rsidP="00965736">
      <w:pPr>
        <w:tabs>
          <w:tab w:val="left" w:pos="567"/>
        </w:tabs>
        <w:spacing w:after="0" w:line="360" w:lineRule="auto"/>
        <w:ind w:right="-28"/>
        <w:contextualSpacing/>
        <w:rPr>
          <w:rFonts w:cs="Tahoma"/>
        </w:rPr>
      </w:pPr>
      <w:r w:rsidRPr="00446963">
        <w:rPr>
          <w:rFonts w:cs="Tahoma"/>
        </w:rPr>
        <w:t xml:space="preserve">Con fecha </w:t>
      </w:r>
      <w:r w:rsidR="00A87233">
        <w:rPr>
          <w:rFonts w:cs="Tahoma"/>
        </w:rPr>
        <w:t>siete de noviembre de dos mil veinticuatro</w:t>
      </w:r>
      <w:r w:rsidRPr="00446963">
        <w:rPr>
          <w:rFonts w:cs="Tahoma"/>
        </w:rPr>
        <w:t xml:space="preserve">, </w:t>
      </w:r>
      <w:r>
        <w:rPr>
          <w:rFonts w:cs="Tahoma"/>
        </w:rPr>
        <w:t>el</w:t>
      </w:r>
      <w:r w:rsidRPr="00446963">
        <w:rPr>
          <w:rFonts w:cs="Tahoma"/>
        </w:rPr>
        <w:t xml:space="preserve"> Particular presentó una solicitud de acceso a la información pública, a través del Sistema de Acceso a la Información Mexiquense </w:t>
      </w:r>
      <w:r w:rsidRPr="00446963">
        <w:rPr>
          <w:rFonts w:cs="Tahoma"/>
          <w:lang w:val="es-ES"/>
        </w:rPr>
        <w:t>(SAIMEX)</w:t>
      </w:r>
      <w:r w:rsidRPr="005D7D5D">
        <w:rPr>
          <w:rFonts w:cs="Tahoma"/>
        </w:rPr>
        <w:t>,</w:t>
      </w:r>
      <w:r w:rsidR="00A87233">
        <w:rPr>
          <w:rFonts w:cs="Tahoma"/>
        </w:rPr>
        <w:t xml:space="preserve"> ante el Sujeto Obligado, </w:t>
      </w:r>
      <w:r w:rsidRPr="005D7D5D">
        <w:rPr>
          <w:rFonts w:cs="Tahoma"/>
        </w:rPr>
        <w:t>en los siguientes términos:</w:t>
      </w:r>
    </w:p>
    <w:p w14:paraId="4B52DE7A" w14:textId="77777777" w:rsidR="00502C77" w:rsidRDefault="00502C77" w:rsidP="00965736">
      <w:pPr>
        <w:tabs>
          <w:tab w:val="left" w:pos="4667"/>
        </w:tabs>
        <w:spacing w:after="0" w:line="360" w:lineRule="auto"/>
        <w:ind w:left="567" w:right="567"/>
        <w:contextualSpacing/>
        <w:rPr>
          <w:rFonts w:cs="Tahoma"/>
          <w:b/>
          <w:bCs/>
          <w:i/>
          <w:sz w:val="20"/>
          <w:szCs w:val="20"/>
        </w:rPr>
      </w:pPr>
    </w:p>
    <w:p w14:paraId="452DBAAC" w14:textId="77777777" w:rsidR="00502C77" w:rsidRPr="00502C77" w:rsidRDefault="00502C77" w:rsidP="00965736">
      <w:pPr>
        <w:tabs>
          <w:tab w:val="left" w:pos="4667"/>
        </w:tabs>
        <w:spacing w:after="0" w:line="360" w:lineRule="auto"/>
        <w:ind w:left="567" w:right="567"/>
        <w:contextualSpacing/>
        <w:rPr>
          <w:rFonts w:cs="Tahoma"/>
          <w:b/>
          <w:bCs/>
          <w:i/>
          <w:sz w:val="20"/>
          <w:szCs w:val="20"/>
        </w:rPr>
      </w:pPr>
      <w:r w:rsidRPr="00502C77">
        <w:rPr>
          <w:rFonts w:cs="Tahoma"/>
          <w:b/>
          <w:bCs/>
          <w:i/>
          <w:sz w:val="20"/>
          <w:szCs w:val="20"/>
        </w:rPr>
        <w:t>“DESCRIPCIÓN CLARA Y PRECISA DE LA INFORMACIÓN SOLICITADA</w:t>
      </w:r>
    </w:p>
    <w:p w14:paraId="065F35D9" w14:textId="422BDF41" w:rsidR="00502C77" w:rsidRPr="00502C77" w:rsidRDefault="00A87233" w:rsidP="00965736">
      <w:pPr>
        <w:spacing w:after="0" w:line="360" w:lineRule="auto"/>
        <w:ind w:left="567" w:right="567"/>
        <w:contextualSpacing/>
        <w:rPr>
          <w:rFonts w:cs="Tahoma"/>
          <w:bCs/>
          <w:i/>
          <w:sz w:val="20"/>
          <w:szCs w:val="20"/>
        </w:rPr>
      </w:pPr>
      <w:r w:rsidRPr="00A87233">
        <w:rPr>
          <w:rFonts w:eastAsia="Times New Roman" w:cs="Times New Roman"/>
          <w:i/>
          <w:color w:val="auto"/>
          <w:sz w:val="20"/>
          <w:szCs w:val="20"/>
          <w:lang w:eastAsia="es-MX"/>
        </w:rPr>
        <w:t xml:space="preserve">Solicito la certificación que pide el art. 57 de la Ley de Transparencia y Acceso a la Información Pública del Estado de </w:t>
      </w:r>
      <w:proofErr w:type="spellStart"/>
      <w:r w:rsidRPr="00A87233">
        <w:rPr>
          <w:rFonts w:eastAsia="Times New Roman" w:cs="Times New Roman"/>
          <w:i/>
          <w:color w:val="auto"/>
          <w:sz w:val="20"/>
          <w:szCs w:val="20"/>
          <w:lang w:eastAsia="es-MX"/>
        </w:rPr>
        <w:t>Mexico</w:t>
      </w:r>
      <w:proofErr w:type="spellEnd"/>
      <w:r w:rsidRPr="00A87233">
        <w:rPr>
          <w:rFonts w:eastAsia="Times New Roman" w:cs="Times New Roman"/>
          <w:i/>
          <w:color w:val="auto"/>
          <w:sz w:val="20"/>
          <w:szCs w:val="20"/>
          <w:lang w:eastAsia="es-MX"/>
        </w:rPr>
        <w:t xml:space="preserve"> para el encargo que ocupa la actual Directora de Información de la Secretaria de Finanzas, la servidora pública Claudia Noguez Gonzales</w:t>
      </w:r>
      <w:r>
        <w:rPr>
          <w:rFonts w:cs="Tahoma"/>
          <w:bCs/>
          <w:i/>
          <w:sz w:val="20"/>
          <w:szCs w:val="20"/>
        </w:rPr>
        <w:t>”.</w:t>
      </w:r>
      <w:r w:rsidR="00502C77" w:rsidRPr="00502C77">
        <w:rPr>
          <w:rFonts w:eastAsia="Times New Roman" w:cs="Arial"/>
          <w:bCs/>
          <w:i/>
          <w:sz w:val="20"/>
          <w:szCs w:val="20"/>
          <w:lang w:eastAsia="es-ES"/>
        </w:rPr>
        <w:t>(Sic)</w:t>
      </w:r>
    </w:p>
    <w:p w14:paraId="0DA185C0" w14:textId="77777777" w:rsidR="00502C77" w:rsidRPr="00502C77" w:rsidRDefault="00502C77" w:rsidP="00965736">
      <w:pPr>
        <w:tabs>
          <w:tab w:val="left" w:pos="4667"/>
        </w:tabs>
        <w:spacing w:after="0" w:line="360" w:lineRule="auto"/>
        <w:ind w:left="567" w:right="567"/>
        <w:contextualSpacing/>
        <w:rPr>
          <w:rFonts w:cs="Tahoma"/>
          <w:bCs/>
          <w:i/>
          <w:sz w:val="20"/>
          <w:szCs w:val="20"/>
        </w:rPr>
      </w:pPr>
    </w:p>
    <w:p w14:paraId="0894C7E8" w14:textId="77777777" w:rsidR="00502C77" w:rsidRPr="00502C77" w:rsidRDefault="00502C77" w:rsidP="00965736">
      <w:pPr>
        <w:tabs>
          <w:tab w:val="left" w:pos="4667"/>
        </w:tabs>
        <w:spacing w:after="0" w:line="360" w:lineRule="auto"/>
        <w:ind w:left="567" w:right="567"/>
        <w:contextualSpacing/>
        <w:rPr>
          <w:rFonts w:eastAsia="Times New Roman" w:cs="Tahoma"/>
          <w:b/>
          <w:bCs/>
          <w:i/>
          <w:sz w:val="20"/>
          <w:szCs w:val="20"/>
          <w:lang w:eastAsia="es-ES"/>
        </w:rPr>
      </w:pPr>
      <w:r w:rsidRPr="00502C77">
        <w:rPr>
          <w:rFonts w:eastAsia="Times New Roman" w:cs="Tahoma"/>
          <w:b/>
          <w:bCs/>
          <w:i/>
          <w:sz w:val="20"/>
          <w:szCs w:val="20"/>
          <w:lang w:eastAsia="es-ES"/>
        </w:rPr>
        <w:t>“MODALIDAD DE ENTREGA</w:t>
      </w:r>
    </w:p>
    <w:p w14:paraId="4EC5C8C0" w14:textId="4872DE8E" w:rsidR="00502C77" w:rsidRPr="00502C77" w:rsidRDefault="00A87233" w:rsidP="00A87233">
      <w:pPr>
        <w:spacing w:after="0" w:line="360" w:lineRule="auto"/>
        <w:ind w:left="567" w:right="567"/>
        <w:contextualSpacing/>
        <w:rPr>
          <w:rFonts w:eastAsia="Times New Roman" w:cs="Arial"/>
          <w:bCs/>
          <w:i/>
          <w:sz w:val="20"/>
          <w:szCs w:val="20"/>
          <w:lang w:eastAsia="es-ES"/>
        </w:rPr>
      </w:pPr>
      <w:r>
        <w:rPr>
          <w:rFonts w:eastAsia="Times New Roman" w:cs="Arial"/>
          <w:bCs/>
          <w:i/>
          <w:sz w:val="20"/>
          <w:szCs w:val="20"/>
          <w:lang w:eastAsia="es-ES"/>
        </w:rPr>
        <w:t>A través del SAIMEX”</w:t>
      </w:r>
    </w:p>
    <w:p w14:paraId="14B353CE" w14:textId="77777777" w:rsidR="00502C77" w:rsidRPr="00446963" w:rsidRDefault="00502C77" w:rsidP="00965736">
      <w:pPr>
        <w:tabs>
          <w:tab w:val="left" w:pos="567"/>
        </w:tabs>
        <w:spacing w:after="0" w:line="360" w:lineRule="auto"/>
        <w:contextualSpacing/>
        <w:rPr>
          <w:rFonts w:eastAsia="Calibri" w:cs="Tahoma"/>
          <w:b/>
          <w:bCs/>
          <w:i/>
          <w:iCs/>
        </w:rPr>
      </w:pPr>
    </w:p>
    <w:p w14:paraId="3EA2C873" w14:textId="15FA0068" w:rsidR="00502C77" w:rsidRDefault="00C33AC8" w:rsidP="00965736">
      <w:pPr>
        <w:tabs>
          <w:tab w:val="left" w:pos="4667"/>
        </w:tabs>
        <w:spacing w:after="0" w:line="360" w:lineRule="auto"/>
        <w:ind w:right="567"/>
        <w:contextualSpacing/>
        <w:rPr>
          <w:rFonts w:eastAsia="Times New Roman" w:cs="Tahoma"/>
          <w:b/>
          <w:bCs/>
          <w:color w:val="auto"/>
          <w:szCs w:val="24"/>
          <w:lang w:eastAsia="es-ES"/>
        </w:rPr>
      </w:pPr>
      <w:r>
        <w:rPr>
          <w:rFonts w:eastAsia="Times New Roman" w:cs="Tahoma"/>
          <w:b/>
          <w:color w:val="auto"/>
          <w:szCs w:val="24"/>
          <w:lang w:eastAsia="es-ES"/>
        </w:rPr>
        <w:t xml:space="preserve">II. </w:t>
      </w:r>
      <w:r w:rsidR="00502C77" w:rsidRPr="00730A1A">
        <w:rPr>
          <w:rFonts w:eastAsia="Times New Roman" w:cs="Tahoma"/>
          <w:b/>
          <w:color w:val="auto"/>
          <w:szCs w:val="24"/>
          <w:lang w:eastAsia="es-ES"/>
        </w:rPr>
        <w:t>Respuesta</w:t>
      </w:r>
      <w:r w:rsidR="00502C77" w:rsidRPr="00730A1A">
        <w:rPr>
          <w:rFonts w:eastAsia="Times New Roman" w:cs="Tahoma"/>
          <w:b/>
          <w:bCs/>
          <w:color w:val="auto"/>
          <w:szCs w:val="24"/>
          <w:lang w:eastAsia="es-ES"/>
        </w:rPr>
        <w:t xml:space="preserve"> del Sujeto Obligado</w:t>
      </w:r>
    </w:p>
    <w:p w14:paraId="2B64F438" w14:textId="0C39C5BC" w:rsidR="00C72294" w:rsidRDefault="00502C77" w:rsidP="00965736">
      <w:pPr>
        <w:autoSpaceDE w:val="0"/>
        <w:autoSpaceDN w:val="0"/>
        <w:adjustRightInd w:val="0"/>
        <w:spacing w:after="0" w:line="360" w:lineRule="auto"/>
        <w:contextualSpacing/>
        <w:rPr>
          <w:rFonts w:cs="Tahoma"/>
        </w:rPr>
      </w:pPr>
      <w:r>
        <w:rPr>
          <w:rFonts w:cs="Tahoma"/>
          <w:bCs/>
        </w:rPr>
        <w:lastRenderedPageBreak/>
        <w:t xml:space="preserve">Con fecha </w:t>
      </w:r>
      <w:r w:rsidR="00A87233">
        <w:rPr>
          <w:rFonts w:cs="Tahoma"/>
          <w:bCs/>
        </w:rPr>
        <w:t>veintinueve de noviembre</w:t>
      </w:r>
      <w:r w:rsidR="00445827">
        <w:rPr>
          <w:rFonts w:cs="Tahoma"/>
          <w:bCs/>
        </w:rPr>
        <w:t xml:space="preserve"> de dos mil veinticuatro</w:t>
      </w:r>
      <w:r>
        <w:rPr>
          <w:rFonts w:cs="Tahoma"/>
          <w:bCs/>
        </w:rPr>
        <w:t>, el</w:t>
      </w:r>
      <w:r>
        <w:rPr>
          <w:rFonts w:cs="Tahoma"/>
          <w:b/>
        </w:rPr>
        <w:t xml:space="preserve"> </w:t>
      </w:r>
      <w:r>
        <w:rPr>
          <w:rFonts w:cs="Tahoma"/>
        </w:rPr>
        <w:t xml:space="preserve">Sujeto Obligado dio respuesta a la solicitud de acceso a la información, a través del Sistema de Acceso a la Información Mexiquense (SAIMEX), </w:t>
      </w:r>
      <w:r w:rsidR="00445827">
        <w:rPr>
          <w:rFonts w:cs="Tahoma"/>
        </w:rPr>
        <w:t xml:space="preserve">por medio </w:t>
      </w:r>
      <w:r w:rsidR="00C72294">
        <w:rPr>
          <w:rFonts w:cs="Tahoma"/>
        </w:rPr>
        <w:t>del oficio número 20700004S/UT-2410/2024, del veintiuno de dicho mes y año, suscrito por el Jefe de la Unidad de Información, Planeación, Programación y Evaluación y Titular de la Unidad de Transparencia, por medio del cual remite la respuesta de la Coordinación Administrativa.</w:t>
      </w:r>
    </w:p>
    <w:p w14:paraId="3A3132C1" w14:textId="77777777" w:rsidR="00C72294" w:rsidRDefault="00C72294" w:rsidP="00965736">
      <w:pPr>
        <w:autoSpaceDE w:val="0"/>
        <w:autoSpaceDN w:val="0"/>
        <w:adjustRightInd w:val="0"/>
        <w:spacing w:after="0" w:line="360" w:lineRule="auto"/>
        <w:contextualSpacing/>
        <w:rPr>
          <w:rFonts w:cs="Tahoma"/>
        </w:rPr>
      </w:pPr>
    </w:p>
    <w:p w14:paraId="05F0A99D" w14:textId="5F02184A" w:rsidR="00502C77" w:rsidRDefault="00C72294" w:rsidP="00C72294">
      <w:pPr>
        <w:autoSpaceDE w:val="0"/>
        <w:autoSpaceDN w:val="0"/>
        <w:adjustRightInd w:val="0"/>
        <w:spacing w:after="0" w:line="360" w:lineRule="auto"/>
        <w:contextualSpacing/>
        <w:rPr>
          <w:rFonts w:cs="Tahoma"/>
        </w:rPr>
      </w:pPr>
      <w:r>
        <w:rPr>
          <w:rFonts w:cs="Tahoma"/>
        </w:rPr>
        <w:t xml:space="preserve">El Sujeto Obligado adjuntó la digitalización del 20700002000100S/IP/0266/2024, del catorce de noviembre de dos mil veinticuatro, emitido por la Coordinación Administrativa y dirigido al Titular de la Unidad de Transparencia, por medio del cual </w:t>
      </w:r>
      <w:r w:rsidR="00445827">
        <w:rPr>
          <w:rFonts w:cs="Tahoma"/>
        </w:rPr>
        <w:t xml:space="preserve">refirió </w:t>
      </w:r>
      <w:r w:rsidR="00770E20">
        <w:rPr>
          <w:rFonts w:cs="Tahoma"/>
        </w:rPr>
        <w:t>que en</w:t>
      </w:r>
      <w:r w:rsidR="00445827">
        <w:rPr>
          <w:rFonts w:cs="Tahoma"/>
        </w:rPr>
        <w:t xml:space="preserve"> el expediente personal de la servidora pública </w:t>
      </w:r>
      <w:r w:rsidR="001870E7">
        <w:rPr>
          <w:rFonts w:cs="Tahoma"/>
        </w:rPr>
        <w:t>Claudia</w:t>
      </w:r>
      <w:r w:rsidR="00445827">
        <w:rPr>
          <w:rFonts w:cs="Tahoma"/>
        </w:rPr>
        <w:t xml:space="preserve"> Noguez González</w:t>
      </w:r>
      <w:r w:rsidR="001870E7">
        <w:rPr>
          <w:rFonts w:cs="Tahoma"/>
        </w:rPr>
        <w:t xml:space="preserve"> no se </w:t>
      </w:r>
      <w:r>
        <w:rPr>
          <w:rFonts w:cs="Tahoma"/>
        </w:rPr>
        <w:t>contaba</w:t>
      </w:r>
      <w:r w:rsidR="001870E7">
        <w:rPr>
          <w:rFonts w:cs="Tahoma"/>
        </w:rPr>
        <w:t xml:space="preserve"> con el documento de certificación requerido. </w:t>
      </w:r>
    </w:p>
    <w:p w14:paraId="37923A08" w14:textId="77777777" w:rsidR="00502C77" w:rsidRDefault="00502C77" w:rsidP="00965736">
      <w:pPr>
        <w:autoSpaceDE w:val="0"/>
        <w:autoSpaceDN w:val="0"/>
        <w:adjustRightInd w:val="0"/>
        <w:spacing w:after="0" w:line="360" w:lineRule="auto"/>
        <w:contextualSpacing/>
        <w:rPr>
          <w:rFonts w:cs="Tahoma"/>
          <w:b/>
        </w:rPr>
      </w:pPr>
    </w:p>
    <w:p w14:paraId="7FC90438" w14:textId="7E03D209" w:rsidR="00502C77" w:rsidRPr="00446963" w:rsidRDefault="001870E7" w:rsidP="00965736">
      <w:pPr>
        <w:autoSpaceDE w:val="0"/>
        <w:autoSpaceDN w:val="0"/>
        <w:adjustRightInd w:val="0"/>
        <w:spacing w:after="0" w:line="360" w:lineRule="auto"/>
        <w:contextualSpacing/>
        <w:rPr>
          <w:rFonts w:cs="Tahoma"/>
          <w:b/>
        </w:rPr>
      </w:pPr>
      <w:r>
        <w:rPr>
          <w:rFonts w:cs="Tahoma"/>
          <w:b/>
        </w:rPr>
        <w:t>III</w:t>
      </w:r>
      <w:r w:rsidR="00502C77" w:rsidRPr="00446963">
        <w:rPr>
          <w:rFonts w:cs="Tahoma"/>
          <w:b/>
        </w:rPr>
        <w:t>. Interposición del Recurso de Revisión</w:t>
      </w:r>
    </w:p>
    <w:p w14:paraId="5DB3C4D7" w14:textId="77777777" w:rsidR="00502C77" w:rsidRPr="00446963" w:rsidRDefault="00502C77" w:rsidP="00965736">
      <w:pPr>
        <w:autoSpaceDE w:val="0"/>
        <w:autoSpaceDN w:val="0"/>
        <w:adjustRightInd w:val="0"/>
        <w:spacing w:after="0" w:line="360" w:lineRule="auto"/>
        <w:contextualSpacing/>
        <w:rPr>
          <w:rFonts w:cs="Tahoma"/>
          <w:b/>
        </w:rPr>
      </w:pPr>
    </w:p>
    <w:p w14:paraId="5493468B" w14:textId="0C1FE33F" w:rsidR="00502C77" w:rsidRDefault="00502C77" w:rsidP="00434B92">
      <w:pPr>
        <w:spacing w:after="0" w:line="360" w:lineRule="auto"/>
        <w:contextualSpacing/>
        <w:rPr>
          <w:rFonts w:eastAsia="Times New Roman" w:cs="Tahoma"/>
          <w:bCs/>
          <w:color w:val="auto"/>
          <w:lang w:val="es-ES" w:eastAsia="es-ES"/>
        </w:rPr>
      </w:pPr>
      <w:r w:rsidRPr="00610C0E">
        <w:rPr>
          <w:rFonts w:eastAsia="Calibri" w:cs="Times New Roman"/>
          <w:bCs/>
        </w:rPr>
        <w:t>Con fecha</w:t>
      </w:r>
      <w:r>
        <w:rPr>
          <w:rFonts w:eastAsia="Calibri" w:cs="Times New Roman"/>
          <w:bCs/>
        </w:rPr>
        <w:t xml:space="preserve"> </w:t>
      </w:r>
      <w:r w:rsidR="00006095">
        <w:rPr>
          <w:rFonts w:eastAsia="Calibri" w:cs="Times New Roman"/>
          <w:bCs/>
        </w:rPr>
        <w:t>tres de diciembre de dos mil veinticuatro</w:t>
      </w:r>
      <w:r w:rsidRPr="00610C0E">
        <w:rPr>
          <w:rFonts w:eastAsia="Calibri" w:cs="Times New Roman"/>
          <w:bCs/>
        </w:rPr>
        <w:t xml:space="preserve">, </w:t>
      </w:r>
      <w:r w:rsidRPr="00610C0E">
        <w:rPr>
          <w:rFonts w:eastAsia="Calibri" w:cs="Times New Roman"/>
          <w:bCs/>
          <w:lang w:val="es-ES"/>
        </w:rPr>
        <w:t xml:space="preserve">se </w:t>
      </w:r>
      <w:r>
        <w:rPr>
          <w:rFonts w:eastAsia="Calibri" w:cs="Times New Roman"/>
          <w:bCs/>
          <w:lang w:val="es-ES"/>
        </w:rPr>
        <w:t>recibió</w:t>
      </w:r>
      <w:r w:rsidRPr="00610C0E">
        <w:rPr>
          <w:rFonts w:eastAsia="Calibri" w:cs="Times New Roman"/>
          <w:bCs/>
          <w:lang w:val="es-ES"/>
        </w:rPr>
        <w:t xml:space="preserve"> en este Instituto, a través del Sistema de Acceso a la Información Mexiquense (SAIMEX), Recurso de Revisión interpuesto por la parte Recurrente, en contra</w:t>
      </w:r>
      <w:r>
        <w:rPr>
          <w:rFonts w:eastAsia="Calibri" w:cs="Times New Roman"/>
          <w:bCs/>
          <w:lang w:val="es-ES"/>
        </w:rPr>
        <w:t xml:space="preserve"> de</w:t>
      </w:r>
      <w:r w:rsidRPr="00610C0E">
        <w:rPr>
          <w:rFonts w:eastAsia="Calibri" w:cs="Times New Roman"/>
          <w:bCs/>
          <w:lang w:val="es-ES"/>
        </w:rPr>
        <w:t xml:space="preserve"> la</w:t>
      </w:r>
      <w:r>
        <w:rPr>
          <w:rFonts w:eastAsia="Calibri" w:cs="Times New Roman"/>
          <w:bCs/>
          <w:lang w:val="es-ES"/>
        </w:rPr>
        <w:t xml:space="preserve"> </w:t>
      </w:r>
      <w:r w:rsidRPr="00610C0E">
        <w:rPr>
          <w:rFonts w:eastAsia="Calibri" w:cs="Times New Roman"/>
          <w:bCs/>
          <w:lang w:val="es-ES"/>
        </w:rPr>
        <w:t xml:space="preserve">respuesta </w:t>
      </w:r>
      <w:r>
        <w:rPr>
          <w:rFonts w:eastAsia="Calibri" w:cs="Times New Roman"/>
          <w:bCs/>
          <w:lang w:val="es-ES"/>
        </w:rPr>
        <w:t>d</w:t>
      </w:r>
      <w:r w:rsidRPr="00610C0E">
        <w:rPr>
          <w:rFonts w:eastAsia="Calibri" w:cs="Times New Roman"/>
          <w:bCs/>
          <w:lang w:val="es-ES"/>
        </w:rPr>
        <w:t>el Sujeto Obligado</w:t>
      </w:r>
      <w:r>
        <w:rPr>
          <w:rFonts w:eastAsia="Calibri" w:cs="Times New Roman"/>
          <w:bCs/>
          <w:lang w:val="es-ES"/>
        </w:rPr>
        <w:t>,</w:t>
      </w:r>
      <w:r w:rsidRPr="00610C0E">
        <w:rPr>
          <w:rFonts w:eastAsia="Calibri" w:cs="Times New Roman"/>
          <w:b/>
          <w:bCs/>
        </w:rPr>
        <w:t xml:space="preserve"> </w:t>
      </w:r>
      <w:r w:rsidRPr="00E300C1">
        <w:rPr>
          <w:rFonts w:eastAsia="Times New Roman" w:cs="Tahoma"/>
          <w:bCs/>
          <w:color w:val="auto"/>
          <w:lang w:val="es-ES" w:eastAsia="es-ES"/>
        </w:rPr>
        <w:t>en los siguientes términos:</w:t>
      </w:r>
    </w:p>
    <w:p w14:paraId="344CEAD2" w14:textId="77777777" w:rsidR="00B475A1" w:rsidRDefault="00B475A1" w:rsidP="00965736">
      <w:pPr>
        <w:widowControl w:val="0"/>
        <w:spacing w:after="0" w:line="360" w:lineRule="auto"/>
        <w:contextualSpacing/>
        <w:rPr>
          <w:rFonts w:eastAsia="Times New Roman" w:cs="Tahoma"/>
          <w:bCs/>
          <w:color w:val="auto"/>
          <w:lang w:val="es-ES" w:eastAsia="es-ES"/>
        </w:rPr>
      </w:pPr>
    </w:p>
    <w:p w14:paraId="3106258D" w14:textId="77777777" w:rsidR="00502C77" w:rsidRPr="00B475A1" w:rsidRDefault="00502C77" w:rsidP="00965736">
      <w:pPr>
        <w:tabs>
          <w:tab w:val="left" w:pos="4667"/>
        </w:tabs>
        <w:spacing w:after="0" w:line="360" w:lineRule="auto"/>
        <w:ind w:left="567" w:right="567"/>
        <w:contextualSpacing/>
        <w:rPr>
          <w:rFonts w:cs="Tahoma"/>
          <w:bCs/>
          <w:i/>
          <w:sz w:val="20"/>
          <w:szCs w:val="20"/>
        </w:rPr>
      </w:pPr>
      <w:r w:rsidRPr="00B475A1">
        <w:rPr>
          <w:rFonts w:cs="Tahoma"/>
          <w:b/>
          <w:bCs/>
          <w:i/>
          <w:sz w:val="20"/>
          <w:szCs w:val="20"/>
        </w:rPr>
        <w:t>“ACTO IMPUGNADO</w:t>
      </w:r>
    </w:p>
    <w:p w14:paraId="53DB7102" w14:textId="79D507F5" w:rsidR="00502C77" w:rsidRPr="00B475A1" w:rsidRDefault="00431FFC" w:rsidP="00965736">
      <w:pPr>
        <w:spacing w:after="0" w:line="360" w:lineRule="auto"/>
        <w:ind w:left="567" w:right="567"/>
        <w:contextualSpacing/>
        <w:rPr>
          <w:rFonts w:eastAsia="Times New Roman" w:cs="Times New Roman"/>
          <w:i/>
          <w:color w:val="auto"/>
          <w:sz w:val="20"/>
          <w:szCs w:val="20"/>
          <w:lang w:eastAsia="es-MX"/>
        </w:rPr>
      </w:pPr>
      <w:r w:rsidRPr="00431FFC">
        <w:rPr>
          <w:rFonts w:eastAsia="Times New Roman" w:cs="Times New Roman"/>
          <w:i/>
          <w:color w:val="auto"/>
          <w:sz w:val="20"/>
          <w:szCs w:val="20"/>
          <w:lang w:eastAsia="es-MX"/>
        </w:rPr>
        <w:t xml:space="preserve">Que no es un requisito tener una </w:t>
      </w:r>
      <w:proofErr w:type="spellStart"/>
      <w:r w:rsidRPr="00431FFC">
        <w:rPr>
          <w:rFonts w:eastAsia="Times New Roman" w:cs="Times New Roman"/>
          <w:i/>
          <w:color w:val="auto"/>
          <w:sz w:val="20"/>
          <w:szCs w:val="20"/>
          <w:lang w:eastAsia="es-MX"/>
        </w:rPr>
        <w:t>cerificacion</w:t>
      </w:r>
      <w:proofErr w:type="spellEnd"/>
      <w:r w:rsidRPr="00431FFC">
        <w:rPr>
          <w:rFonts w:eastAsia="Times New Roman" w:cs="Times New Roman"/>
          <w:i/>
          <w:color w:val="auto"/>
          <w:sz w:val="20"/>
          <w:szCs w:val="20"/>
          <w:lang w:eastAsia="es-MX"/>
        </w:rPr>
        <w:t xml:space="preserve"> en materia de Transparencia y Datos Personales</w:t>
      </w:r>
      <w:r w:rsidR="00502C77" w:rsidRPr="00B475A1">
        <w:rPr>
          <w:i/>
          <w:color w:val="000000"/>
          <w:sz w:val="20"/>
          <w:szCs w:val="20"/>
        </w:rPr>
        <w:t>.</w:t>
      </w:r>
      <w:r w:rsidR="00502C77" w:rsidRPr="00B475A1">
        <w:rPr>
          <w:i/>
          <w:sz w:val="20"/>
          <w:szCs w:val="20"/>
        </w:rPr>
        <w:t>”</w:t>
      </w:r>
      <w:r w:rsidR="00502C77" w:rsidRPr="00B475A1">
        <w:rPr>
          <w:rFonts w:cs="Tahoma"/>
          <w:i/>
          <w:sz w:val="20"/>
          <w:szCs w:val="20"/>
        </w:rPr>
        <w:t xml:space="preserve"> </w:t>
      </w:r>
      <w:r>
        <w:rPr>
          <w:rFonts w:cs="Tahoma"/>
          <w:i/>
          <w:sz w:val="20"/>
          <w:szCs w:val="20"/>
        </w:rPr>
        <w:t>(</w:t>
      </w:r>
      <w:r w:rsidR="00502C77" w:rsidRPr="00B475A1">
        <w:rPr>
          <w:rFonts w:cs="Tahoma"/>
          <w:i/>
          <w:sz w:val="20"/>
          <w:szCs w:val="20"/>
        </w:rPr>
        <w:t>Sic.)</w:t>
      </w:r>
    </w:p>
    <w:p w14:paraId="248B2AF3" w14:textId="77777777" w:rsidR="00502C77" w:rsidRPr="00B475A1" w:rsidRDefault="00502C77" w:rsidP="00965736">
      <w:pPr>
        <w:autoSpaceDE w:val="0"/>
        <w:autoSpaceDN w:val="0"/>
        <w:adjustRightInd w:val="0"/>
        <w:spacing w:after="0" w:line="360" w:lineRule="auto"/>
        <w:ind w:left="567" w:right="567"/>
        <w:contextualSpacing/>
        <w:rPr>
          <w:rFonts w:cs="Tahoma"/>
          <w:i/>
          <w:sz w:val="20"/>
          <w:szCs w:val="20"/>
        </w:rPr>
      </w:pPr>
    </w:p>
    <w:p w14:paraId="09FB8239" w14:textId="77777777" w:rsidR="00502C77" w:rsidRPr="00B475A1" w:rsidRDefault="00502C77" w:rsidP="00965736">
      <w:pPr>
        <w:autoSpaceDE w:val="0"/>
        <w:autoSpaceDN w:val="0"/>
        <w:adjustRightInd w:val="0"/>
        <w:spacing w:after="0" w:line="360" w:lineRule="auto"/>
        <w:ind w:left="567" w:right="567"/>
        <w:contextualSpacing/>
        <w:rPr>
          <w:rFonts w:cs="Tahoma"/>
          <w:b/>
          <w:i/>
          <w:sz w:val="20"/>
          <w:szCs w:val="20"/>
        </w:rPr>
      </w:pPr>
      <w:r w:rsidRPr="00B475A1">
        <w:rPr>
          <w:rFonts w:cs="Tahoma"/>
          <w:b/>
          <w:i/>
          <w:sz w:val="20"/>
          <w:szCs w:val="20"/>
        </w:rPr>
        <w:t>“RAZONES O MOTIVOS DE LA INCONFORMIDAD</w:t>
      </w:r>
    </w:p>
    <w:p w14:paraId="10BF854C" w14:textId="21B024C6" w:rsidR="00502C77" w:rsidRPr="00B475A1" w:rsidRDefault="00431FFC" w:rsidP="00965736">
      <w:pPr>
        <w:spacing w:after="0" w:line="360" w:lineRule="auto"/>
        <w:ind w:left="567" w:right="567"/>
        <w:contextualSpacing/>
        <w:rPr>
          <w:rFonts w:eastAsia="Times New Roman" w:cs="Times New Roman"/>
          <w:i/>
          <w:color w:val="auto"/>
          <w:sz w:val="20"/>
          <w:szCs w:val="20"/>
          <w:lang w:eastAsia="es-MX"/>
        </w:rPr>
      </w:pPr>
      <w:bookmarkStart w:id="0" w:name="_Hlk184903277"/>
      <w:r>
        <w:rPr>
          <w:i/>
          <w:color w:val="000000"/>
          <w:sz w:val="20"/>
          <w:szCs w:val="20"/>
        </w:rPr>
        <w:t>C</w:t>
      </w:r>
      <w:r w:rsidRPr="00431FFC">
        <w:rPr>
          <w:i/>
          <w:color w:val="000000"/>
          <w:sz w:val="20"/>
          <w:szCs w:val="20"/>
        </w:rPr>
        <w:t xml:space="preserve">ómo es posible que una simple secretaria, ocupe el puesto de Directora, con un título de una escuela patito. Si ni siquiera tener los conocimientos en materia de Transparencia y Acceso a la Información, Datos Personales </w:t>
      </w:r>
      <w:proofErr w:type="gramStart"/>
      <w:r w:rsidRPr="00431FFC">
        <w:rPr>
          <w:i/>
          <w:color w:val="000000"/>
          <w:sz w:val="20"/>
          <w:szCs w:val="20"/>
        </w:rPr>
        <w:t>etc.</w:t>
      </w:r>
      <w:r w:rsidR="00502C77" w:rsidRPr="00B475A1">
        <w:rPr>
          <w:i/>
          <w:color w:val="000000"/>
          <w:sz w:val="20"/>
          <w:szCs w:val="20"/>
        </w:rPr>
        <w:t>.</w:t>
      </w:r>
      <w:r w:rsidR="00502C77" w:rsidRPr="00B475A1">
        <w:rPr>
          <w:rFonts w:cs="Tahoma"/>
          <w:i/>
          <w:sz w:val="20"/>
          <w:szCs w:val="20"/>
        </w:rPr>
        <w:t>”</w:t>
      </w:r>
      <w:proofErr w:type="gramEnd"/>
      <w:r w:rsidR="00502C77" w:rsidRPr="00B475A1">
        <w:rPr>
          <w:rFonts w:cs="Tahoma"/>
          <w:i/>
          <w:sz w:val="20"/>
          <w:szCs w:val="20"/>
        </w:rPr>
        <w:t xml:space="preserve"> (Sic.)</w:t>
      </w:r>
    </w:p>
    <w:bookmarkEnd w:id="0"/>
    <w:p w14:paraId="5017FFA4" w14:textId="739DAD5C" w:rsidR="00502C77" w:rsidRPr="00446963" w:rsidRDefault="00C72294" w:rsidP="00965736">
      <w:pPr>
        <w:spacing w:after="0" w:line="360" w:lineRule="auto"/>
        <w:contextualSpacing/>
        <w:rPr>
          <w:rFonts w:eastAsia="Batang" w:cs="Tahoma"/>
          <w:b/>
          <w:bCs/>
        </w:rPr>
      </w:pPr>
      <w:r>
        <w:rPr>
          <w:rFonts w:cs="Tahoma"/>
          <w:b/>
        </w:rPr>
        <w:lastRenderedPageBreak/>
        <w:t>I</w:t>
      </w:r>
      <w:r w:rsidR="00502C77">
        <w:rPr>
          <w:rFonts w:cs="Tahoma"/>
          <w:b/>
        </w:rPr>
        <w:t>V</w:t>
      </w:r>
      <w:r w:rsidR="00502C77" w:rsidRPr="00446963">
        <w:rPr>
          <w:rFonts w:cs="Tahoma"/>
          <w:b/>
        </w:rPr>
        <w:t xml:space="preserve">. </w:t>
      </w:r>
      <w:r w:rsidR="00502C77" w:rsidRPr="00446963">
        <w:rPr>
          <w:rFonts w:eastAsia="Batang" w:cs="Tahoma"/>
          <w:b/>
          <w:bCs/>
        </w:rPr>
        <w:t xml:space="preserve">Trámite del </w:t>
      </w:r>
      <w:r w:rsidR="00502C77" w:rsidRPr="00446963">
        <w:rPr>
          <w:rFonts w:cs="Tahoma"/>
          <w:b/>
        </w:rPr>
        <w:t xml:space="preserve">Recurso de Revisión </w:t>
      </w:r>
      <w:r w:rsidR="00502C77" w:rsidRPr="00446963">
        <w:rPr>
          <w:rFonts w:eastAsia="Batang" w:cs="Tahoma"/>
          <w:b/>
          <w:bCs/>
        </w:rPr>
        <w:t>ante este Instituto</w:t>
      </w:r>
    </w:p>
    <w:p w14:paraId="43B72001" w14:textId="77777777" w:rsidR="00502C77" w:rsidRPr="00446963" w:rsidRDefault="00502C77" w:rsidP="00965736">
      <w:pPr>
        <w:spacing w:after="0" w:line="360" w:lineRule="auto"/>
        <w:contextualSpacing/>
        <w:rPr>
          <w:rFonts w:eastAsia="Batang" w:cs="Tahoma"/>
          <w:b/>
          <w:bCs/>
        </w:rPr>
      </w:pPr>
    </w:p>
    <w:p w14:paraId="63538FA4" w14:textId="72A28629" w:rsidR="00502C77" w:rsidRPr="00446963" w:rsidRDefault="00502C77" w:rsidP="00965736">
      <w:pPr>
        <w:spacing w:after="0" w:line="360" w:lineRule="auto"/>
        <w:contextualSpacing/>
        <w:rPr>
          <w:rFonts w:eastAsia="Batang" w:cs="Tahoma"/>
          <w:bCs/>
        </w:rPr>
      </w:pPr>
      <w:r w:rsidRPr="00446963">
        <w:rPr>
          <w:rFonts w:eastAsia="Batang" w:cs="Tahoma"/>
          <w:b/>
          <w:bCs/>
        </w:rPr>
        <w:t xml:space="preserve">a) Turno del Medio de Impugnación. </w:t>
      </w:r>
      <w:r w:rsidRPr="00446963">
        <w:rPr>
          <w:rFonts w:eastAsia="Batang" w:cs="Tahoma"/>
          <w:bCs/>
        </w:rPr>
        <w:t xml:space="preserve">El </w:t>
      </w:r>
      <w:r w:rsidR="00431FFC" w:rsidRPr="00431FFC">
        <w:rPr>
          <w:rFonts w:eastAsia="Batang" w:cs="Tahoma"/>
          <w:bCs/>
        </w:rPr>
        <w:t>tres de diciembre de dos mil veinticuatro</w:t>
      </w:r>
      <w:r w:rsidRPr="00446963">
        <w:rPr>
          <w:rFonts w:eastAsia="Batang" w:cs="Tahoma"/>
          <w:bCs/>
        </w:rPr>
        <w:t xml:space="preserve">, el </w:t>
      </w:r>
      <w:r w:rsidRPr="00446963">
        <w:rPr>
          <w:rFonts w:cs="Tahoma"/>
          <w:lang w:val="es-ES"/>
        </w:rPr>
        <w:t>Sistema de Acceso a la Información Mexiquense (SAIMEX),</w:t>
      </w:r>
      <w:r w:rsidRPr="00446963">
        <w:rPr>
          <w:rFonts w:eastAsia="Batang" w:cs="Tahoma"/>
          <w:bCs/>
        </w:rPr>
        <w:t xml:space="preserve"> asignó el número de expediente </w:t>
      </w:r>
      <w:r w:rsidR="00431FFC" w:rsidRPr="00431FFC">
        <w:rPr>
          <w:b/>
          <w:bCs/>
        </w:rPr>
        <w:t>07466/INFOEM/IP/RR/2024</w:t>
      </w:r>
      <w:r w:rsidRPr="00446963">
        <w:rPr>
          <w:rFonts w:eastAsia="Batang" w:cs="Tahoma"/>
          <w:bCs/>
        </w:rPr>
        <w:t xml:space="preserve">, al medio de impugnación que nos ocupa, con base en el sistema aprobado por el Pleno de este </w:t>
      </w:r>
      <w:r>
        <w:rPr>
          <w:rFonts w:eastAsia="Batang" w:cs="Tahoma"/>
          <w:bCs/>
        </w:rPr>
        <w:t>Organismo</w:t>
      </w:r>
      <w:r w:rsidRPr="00446963">
        <w:rPr>
          <w:rFonts w:eastAsia="Batang" w:cs="Tahoma"/>
          <w:bCs/>
        </w:rPr>
        <w:t xml:space="preserve"> Garante y lo turnó al Comisionado Ponente Luis Gustavo Parra Noriega, para los efectos del artículo 185, fracción I</w:t>
      </w:r>
      <w:r>
        <w:rPr>
          <w:rFonts w:eastAsia="Batang" w:cs="Tahoma"/>
          <w:bCs/>
        </w:rPr>
        <w:t>,</w:t>
      </w:r>
      <w:r w:rsidRPr="00446963">
        <w:rPr>
          <w:rFonts w:eastAsia="Batang" w:cs="Tahoma"/>
          <w:bCs/>
        </w:rPr>
        <w:t xml:space="preserve"> de la Ley de Transparencia y Acceso a la Información Pública del Estado de México y Municipios.</w:t>
      </w:r>
    </w:p>
    <w:p w14:paraId="17BA7925" w14:textId="77777777" w:rsidR="00502C77" w:rsidRPr="00446963" w:rsidRDefault="00502C77" w:rsidP="00965736">
      <w:pPr>
        <w:spacing w:after="0" w:line="360" w:lineRule="auto"/>
        <w:contextualSpacing/>
        <w:rPr>
          <w:rFonts w:eastAsia="Batang" w:cs="Tahoma"/>
          <w:bCs/>
        </w:rPr>
      </w:pPr>
    </w:p>
    <w:p w14:paraId="67C64FDD" w14:textId="0DBF94C3" w:rsidR="00502C77" w:rsidRPr="00446963" w:rsidRDefault="00502C77" w:rsidP="00965736">
      <w:pPr>
        <w:spacing w:after="0" w:line="360" w:lineRule="auto"/>
        <w:contextualSpacing/>
        <w:rPr>
          <w:rFonts w:eastAsia="Times New Roman" w:cs="Tahoma"/>
          <w:b/>
        </w:rPr>
      </w:pPr>
      <w:r w:rsidRPr="00446963">
        <w:rPr>
          <w:rFonts w:eastAsia="Batang" w:cs="Tahoma"/>
          <w:b/>
          <w:bCs/>
        </w:rPr>
        <w:t xml:space="preserve">b) Admisión del </w:t>
      </w:r>
      <w:r w:rsidRPr="00446963">
        <w:rPr>
          <w:rFonts w:cs="Tahoma"/>
          <w:b/>
        </w:rPr>
        <w:t>Recurso de Revisión</w:t>
      </w:r>
      <w:r w:rsidRPr="00446963">
        <w:rPr>
          <w:rFonts w:eastAsia="Batang" w:cs="Tahoma"/>
          <w:b/>
          <w:bCs/>
          <w:lang w:val="es-ES_tradnl"/>
        </w:rPr>
        <w:t xml:space="preserve">. </w:t>
      </w:r>
      <w:r w:rsidRPr="00446963">
        <w:rPr>
          <w:rFonts w:eastAsia="Batang" w:cs="Tahoma"/>
          <w:bCs/>
          <w:lang w:val="es-ES_tradnl"/>
        </w:rPr>
        <w:t xml:space="preserve">El </w:t>
      </w:r>
      <w:r w:rsidR="00431FFC">
        <w:rPr>
          <w:rFonts w:eastAsia="Batang" w:cs="Tahoma"/>
          <w:bCs/>
          <w:lang w:val="es-ES_tradnl"/>
        </w:rPr>
        <w:t>seis de diciembre de dos mil veinticuatro</w:t>
      </w:r>
      <w:r w:rsidRPr="00446963">
        <w:rPr>
          <w:rFonts w:eastAsia="Batang" w:cs="Tahoma"/>
          <w:bCs/>
          <w:lang w:val="es-ES_tradnl"/>
        </w:rPr>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Pr>
          <w:rFonts w:eastAsia="Batang" w:cs="Tahoma"/>
          <w:bCs/>
          <w:lang w:val="es-ES_tradnl"/>
        </w:rPr>
        <w:t>mismo día</w:t>
      </w:r>
      <w:r w:rsidRPr="00446963">
        <w:rPr>
          <w:rFonts w:eastAsia="Batang" w:cs="Tahoma"/>
          <w:bCs/>
          <w:lang w:val="es-ES_tradnl"/>
        </w:rPr>
        <w:t xml:space="preserve">, a través del Sistema de Acceso a la Información Mexiquense (SAIMEX), en el que se les otorgó un plazo de siete días hábiles posteriores a la misma, para que manifestaran lo que a su derecho conviniera y formularan alegatos. </w:t>
      </w:r>
    </w:p>
    <w:p w14:paraId="3DF2BFCE" w14:textId="77777777" w:rsidR="00502C77" w:rsidRPr="00446963" w:rsidRDefault="00502C77" w:rsidP="00965736">
      <w:pPr>
        <w:spacing w:after="0" w:line="360" w:lineRule="auto"/>
        <w:contextualSpacing/>
        <w:rPr>
          <w:rFonts w:cs="Tahoma"/>
          <w:bCs/>
        </w:rPr>
      </w:pPr>
    </w:p>
    <w:p w14:paraId="609783FC" w14:textId="77777777" w:rsidR="00C72294" w:rsidRDefault="00502C77" w:rsidP="00965736">
      <w:pPr>
        <w:spacing w:after="0" w:line="360" w:lineRule="auto"/>
        <w:contextualSpacing/>
        <w:rPr>
          <w:rFonts w:cs="Tahoma"/>
          <w:bCs/>
          <w:lang w:val="es-ES_tradnl"/>
        </w:rPr>
      </w:pPr>
      <w:r w:rsidRPr="007B3E1A">
        <w:rPr>
          <w:rFonts w:cs="Tahoma"/>
          <w:b/>
        </w:rPr>
        <w:t>c)</w:t>
      </w:r>
      <w:r w:rsidRPr="007B3E1A">
        <w:rPr>
          <w:rFonts w:cs="Tahoma"/>
          <w:b/>
          <w:bCs/>
        </w:rPr>
        <w:t xml:space="preserve"> </w:t>
      </w:r>
      <w:r w:rsidRPr="007B3E1A">
        <w:rPr>
          <w:rFonts w:cs="Tahoma"/>
          <w:b/>
          <w:lang w:val="es-ES_tradnl"/>
        </w:rPr>
        <w:t xml:space="preserve">Informe Justificado. </w:t>
      </w:r>
      <w:r w:rsidRPr="007B3E1A">
        <w:rPr>
          <w:rFonts w:cs="Tahoma"/>
          <w:bCs/>
          <w:lang w:val="es-ES_tradnl"/>
        </w:rPr>
        <w:t xml:space="preserve">El </w:t>
      </w:r>
      <w:r w:rsidR="00B05BA0">
        <w:rPr>
          <w:rFonts w:cs="Tahoma"/>
          <w:bCs/>
          <w:lang w:val="es-ES_tradnl"/>
        </w:rPr>
        <w:t xml:space="preserve">doce de diciembre de dos mil veinticuatro, el </w:t>
      </w:r>
      <w:r w:rsidR="00431FFC">
        <w:rPr>
          <w:rFonts w:cs="Tahoma"/>
          <w:bCs/>
          <w:lang w:val="es-ES_tradnl"/>
        </w:rPr>
        <w:t xml:space="preserve">Sujeto Obligado </w:t>
      </w:r>
      <w:r w:rsidR="00B05BA0">
        <w:rPr>
          <w:rFonts w:cs="Tahoma"/>
          <w:bCs/>
          <w:lang w:val="es-ES_tradnl"/>
        </w:rPr>
        <w:t xml:space="preserve">rindió su </w:t>
      </w:r>
      <w:r w:rsidR="00C72294">
        <w:rPr>
          <w:rFonts w:cs="Tahoma"/>
          <w:bCs/>
          <w:lang w:val="es-ES_tradnl"/>
        </w:rPr>
        <w:t>I</w:t>
      </w:r>
      <w:r w:rsidR="00B05BA0">
        <w:rPr>
          <w:rFonts w:cs="Tahoma"/>
          <w:bCs/>
          <w:lang w:val="es-ES_tradnl"/>
        </w:rPr>
        <w:t xml:space="preserve">nforme </w:t>
      </w:r>
      <w:r w:rsidR="00C72294">
        <w:rPr>
          <w:rFonts w:cs="Tahoma"/>
          <w:bCs/>
          <w:lang w:val="es-ES_tradnl"/>
        </w:rPr>
        <w:t>J</w:t>
      </w:r>
      <w:r w:rsidR="00B05BA0">
        <w:rPr>
          <w:rFonts w:cs="Tahoma"/>
          <w:bCs/>
          <w:lang w:val="es-ES_tradnl"/>
        </w:rPr>
        <w:t>ustificado</w:t>
      </w:r>
      <w:r w:rsidR="00C72294">
        <w:rPr>
          <w:rFonts w:cs="Tahoma"/>
          <w:bCs/>
          <w:lang w:val="es-ES_tradnl"/>
        </w:rPr>
        <w:t>, a través del Sistema de Acceso a la Información Mexiquense (SAIMEX)</w:t>
      </w:r>
      <w:r w:rsidR="00B05BA0">
        <w:rPr>
          <w:rFonts w:cs="Tahoma"/>
          <w:bCs/>
          <w:lang w:val="es-ES_tradnl"/>
        </w:rPr>
        <w:t xml:space="preserve">, </w:t>
      </w:r>
      <w:r w:rsidR="00C72294">
        <w:rPr>
          <w:rFonts w:cs="Tahoma"/>
          <w:bCs/>
          <w:lang w:val="es-ES_tradnl"/>
        </w:rPr>
        <w:t>por medio de la digitalización de los siguientes documentos:</w:t>
      </w:r>
    </w:p>
    <w:p w14:paraId="73C959F9" w14:textId="77777777" w:rsidR="00C72294" w:rsidRDefault="00C72294" w:rsidP="00965736">
      <w:pPr>
        <w:spacing w:after="0" w:line="360" w:lineRule="auto"/>
        <w:contextualSpacing/>
        <w:rPr>
          <w:rFonts w:cs="Tahoma"/>
          <w:bCs/>
          <w:lang w:val="es-ES_tradnl"/>
        </w:rPr>
      </w:pPr>
    </w:p>
    <w:p w14:paraId="33CBD71F" w14:textId="68D668D0" w:rsidR="00C72294" w:rsidRDefault="00C72294" w:rsidP="00965736">
      <w:pPr>
        <w:spacing w:after="0" w:line="360" w:lineRule="auto"/>
        <w:contextualSpacing/>
        <w:rPr>
          <w:rFonts w:cs="Tahoma"/>
          <w:bCs/>
          <w:lang w:val="es-ES_tradnl"/>
        </w:rPr>
      </w:pPr>
      <w:r>
        <w:rPr>
          <w:rFonts w:cs="Tahoma"/>
          <w:bCs/>
          <w:lang w:val="es-ES_tradnl"/>
        </w:rPr>
        <w:t xml:space="preserve">i) </w:t>
      </w:r>
      <w:r w:rsidR="00770E20">
        <w:rPr>
          <w:rFonts w:cs="Tahoma"/>
          <w:bCs/>
          <w:lang w:val="es-ES_tradnl"/>
        </w:rPr>
        <w:t xml:space="preserve">Oficio sin número de referencia, </w:t>
      </w:r>
      <w:r w:rsidR="00FA216A">
        <w:rPr>
          <w:rFonts w:cs="Tahoma"/>
          <w:bCs/>
          <w:lang w:val="es-ES_tradnl"/>
        </w:rPr>
        <w:t>del doce de diciembre de dos mil veinticuatro, suscrito por la Directora de Información y dirigido al Comisionado Ponente, por medio del cual solicita que se confirme la respuesta.</w:t>
      </w:r>
    </w:p>
    <w:p w14:paraId="423FD60C" w14:textId="77777777" w:rsidR="00C72294" w:rsidRDefault="00C72294" w:rsidP="00965736">
      <w:pPr>
        <w:spacing w:after="0" w:line="360" w:lineRule="auto"/>
        <w:contextualSpacing/>
        <w:rPr>
          <w:rFonts w:cs="Tahoma"/>
          <w:bCs/>
          <w:lang w:val="es-ES_tradnl"/>
        </w:rPr>
      </w:pPr>
    </w:p>
    <w:p w14:paraId="413DD816" w14:textId="1B982A96" w:rsidR="00770E20" w:rsidRDefault="00C72294" w:rsidP="00770E20">
      <w:pPr>
        <w:spacing w:after="0" w:line="360" w:lineRule="auto"/>
        <w:contextualSpacing/>
        <w:rPr>
          <w:rFonts w:cs="Tahoma"/>
          <w:bCs/>
          <w:lang w:val="es-ES_tradnl"/>
        </w:rPr>
      </w:pPr>
      <w:r>
        <w:rPr>
          <w:rFonts w:cs="Tahoma"/>
          <w:bCs/>
          <w:lang w:val="es-ES_tradnl"/>
        </w:rPr>
        <w:lastRenderedPageBreak/>
        <w:t>ii)</w:t>
      </w:r>
      <w:r w:rsidR="00770E20" w:rsidRPr="00770E20">
        <w:rPr>
          <w:rFonts w:cs="Tahoma"/>
          <w:bCs/>
          <w:lang w:val="es-ES_tradnl"/>
        </w:rPr>
        <w:t xml:space="preserve"> </w:t>
      </w:r>
      <w:r w:rsidR="00770E20">
        <w:rPr>
          <w:rFonts w:cs="Tahoma"/>
          <w:bCs/>
          <w:lang w:val="es-ES_tradnl"/>
        </w:rPr>
        <w:t xml:space="preserve">Oficio número </w:t>
      </w:r>
      <w:r w:rsidR="00770E20">
        <w:rPr>
          <w:rFonts w:cs="Tahoma"/>
        </w:rPr>
        <w:t>20700002000100S/IP/0</w:t>
      </w:r>
      <w:r w:rsidR="00E72111">
        <w:rPr>
          <w:rFonts w:cs="Tahoma"/>
        </w:rPr>
        <w:t>365</w:t>
      </w:r>
      <w:r w:rsidR="00770E20">
        <w:rPr>
          <w:rFonts w:cs="Tahoma"/>
        </w:rPr>
        <w:t>/2024, del cuatro de diciembre de dos mil veinticuatro, emitido por la Coordinación Administrativa y dirigido al Titular de la Unidad de Transparencia, por medio del cual ratifica la respuesta entregada.</w:t>
      </w:r>
    </w:p>
    <w:p w14:paraId="6C4CFD01" w14:textId="7C978C98" w:rsidR="00C72294" w:rsidRDefault="00C72294" w:rsidP="00965736">
      <w:pPr>
        <w:spacing w:after="0" w:line="360" w:lineRule="auto"/>
        <w:contextualSpacing/>
        <w:rPr>
          <w:rFonts w:cs="Tahoma"/>
          <w:bCs/>
          <w:lang w:val="es-ES_tradnl"/>
        </w:rPr>
      </w:pPr>
    </w:p>
    <w:p w14:paraId="6F909CAB" w14:textId="2DBCD0B2" w:rsidR="00FA216A" w:rsidRPr="00453F16" w:rsidRDefault="00E13F38" w:rsidP="00FA216A">
      <w:pPr>
        <w:spacing w:after="0" w:line="360" w:lineRule="auto"/>
        <w:rPr>
          <w:b/>
          <w:color w:val="000000"/>
        </w:rPr>
      </w:pPr>
      <w:r>
        <w:rPr>
          <w:rFonts w:cs="Tahoma"/>
          <w:b/>
          <w:bCs/>
        </w:rPr>
        <w:t>d</w:t>
      </w:r>
      <w:r w:rsidR="00352DC2">
        <w:rPr>
          <w:rFonts w:cs="Tahoma"/>
          <w:b/>
          <w:bCs/>
        </w:rPr>
        <w:t xml:space="preserve">) </w:t>
      </w:r>
      <w:r w:rsidR="00FA216A" w:rsidRPr="00E860EB">
        <w:rPr>
          <w:b/>
        </w:rPr>
        <w:t xml:space="preserve">Vista del Informe Justificado. </w:t>
      </w:r>
      <w:r w:rsidR="00FA216A" w:rsidRPr="00E860EB">
        <w:rPr>
          <w:color w:val="000000"/>
        </w:rPr>
        <w:t xml:space="preserve">El </w:t>
      </w:r>
      <w:r w:rsidR="00FA216A">
        <w:rPr>
          <w:color w:val="000000"/>
        </w:rPr>
        <w:t>diecisiete</w:t>
      </w:r>
      <w:r w:rsidR="00FA216A" w:rsidRPr="00E860EB">
        <w:rPr>
          <w:color w:val="000000"/>
        </w:rPr>
        <w:t xml:space="preserve"> de diciembre de dos mil veinticuatro, se dictó acuerdo por medio del cual se puso a la vista del Recurrente el Informe Justificado entregado por el Sujeto Obligado, el cual fue notificado a las partes, el dieciséis del mismo mes y año, a través del Sistema de Acceso a la Información Mexiquense (SAIMEX). </w:t>
      </w:r>
      <w:r w:rsidR="00FA216A" w:rsidRPr="00E860EB">
        <w:rPr>
          <w:b/>
          <w:color w:val="000000"/>
        </w:rPr>
        <w:t>Cabe señalar que el Particular fue omiso en realizar manifestación alguna.</w:t>
      </w:r>
    </w:p>
    <w:p w14:paraId="09231D59" w14:textId="77777777" w:rsidR="00C72294" w:rsidRDefault="00C72294" w:rsidP="00965736">
      <w:pPr>
        <w:spacing w:after="0" w:line="360" w:lineRule="auto"/>
        <w:contextualSpacing/>
        <w:rPr>
          <w:rFonts w:cs="Tahoma"/>
          <w:b/>
          <w:bCs/>
        </w:rPr>
      </w:pPr>
    </w:p>
    <w:p w14:paraId="3B420B30" w14:textId="3E62AB0F" w:rsidR="00502C77" w:rsidRPr="00446963" w:rsidRDefault="00C72294" w:rsidP="00965736">
      <w:pPr>
        <w:spacing w:after="0" w:line="360" w:lineRule="auto"/>
        <w:contextualSpacing/>
        <w:rPr>
          <w:rFonts w:cs="Tahoma"/>
        </w:rPr>
      </w:pPr>
      <w:r>
        <w:rPr>
          <w:rFonts w:cs="Tahoma"/>
          <w:b/>
          <w:bCs/>
        </w:rPr>
        <w:t xml:space="preserve">e) </w:t>
      </w:r>
      <w:r w:rsidR="00502C77" w:rsidRPr="00446963">
        <w:rPr>
          <w:rFonts w:cs="Tahoma"/>
          <w:b/>
          <w:bCs/>
        </w:rPr>
        <w:t>Cierre de instrucción.</w:t>
      </w:r>
      <w:r w:rsidR="00502C77" w:rsidRPr="00446963">
        <w:rPr>
          <w:rFonts w:cs="Tahoma"/>
        </w:rPr>
        <w:t xml:space="preserve">  El </w:t>
      </w:r>
      <w:r w:rsidR="002A6EB0">
        <w:rPr>
          <w:rFonts w:cs="Tahoma"/>
        </w:rPr>
        <w:t>nueve</w:t>
      </w:r>
      <w:r w:rsidR="00675C12">
        <w:rPr>
          <w:rFonts w:cs="Tahoma"/>
        </w:rPr>
        <w:t xml:space="preserve"> de enero de dos mil veinticinco</w:t>
      </w:r>
      <w:r w:rsidR="00502C77" w:rsidRPr="00446963">
        <w:rPr>
          <w:rFonts w:cs="Tahoma"/>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 través del </w:t>
      </w:r>
      <w:r w:rsidR="00502C77" w:rsidRPr="00446963">
        <w:rPr>
          <w:rFonts w:cs="Tahoma"/>
          <w:lang w:val="es-ES"/>
        </w:rPr>
        <w:t xml:space="preserve">Sistema de Acceso a la Información Mexiquense (SAIMEX), </w:t>
      </w:r>
      <w:r w:rsidR="002A6EB0">
        <w:rPr>
          <w:rFonts w:cs="Tahoma"/>
          <w:lang w:val="es-ES"/>
        </w:rPr>
        <w:t>el catorce del mismo mes y año</w:t>
      </w:r>
      <w:r w:rsidR="00502C77" w:rsidRPr="00446963">
        <w:rPr>
          <w:rFonts w:cs="Tahoma"/>
        </w:rPr>
        <w:t xml:space="preserve">. </w:t>
      </w:r>
    </w:p>
    <w:p w14:paraId="6FB415AA" w14:textId="77777777" w:rsidR="00502C77" w:rsidRPr="00446963" w:rsidRDefault="00502C77" w:rsidP="00965736">
      <w:pPr>
        <w:spacing w:after="0" w:line="360" w:lineRule="auto"/>
        <w:contextualSpacing/>
        <w:rPr>
          <w:rFonts w:cs="Tahoma"/>
          <w:b/>
          <w:bCs/>
          <w:lang w:val="es-ES"/>
        </w:rPr>
      </w:pPr>
    </w:p>
    <w:p w14:paraId="6AB003CE" w14:textId="77777777" w:rsidR="00502C77" w:rsidRDefault="00502C77" w:rsidP="00965736">
      <w:pPr>
        <w:spacing w:after="0" w:line="360" w:lineRule="auto"/>
        <w:contextualSpacing/>
        <w:rPr>
          <w:rFonts w:cs="Tahoma"/>
        </w:rPr>
      </w:pPr>
      <w:r w:rsidRPr="00446963">
        <w:rPr>
          <w:rFonts w:cs="Tahoma"/>
        </w:rPr>
        <w:t xml:space="preserve">En razón de que fue debidamente sustanciado el expediente electrónico y no existe diligencia pendiente de desahogo, se emite la resolución que conforme a Derecho proceda, de acuerdo a los siguientes: </w:t>
      </w:r>
    </w:p>
    <w:p w14:paraId="5243C629" w14:textId="77777777" w:rsidR="00FA216A" w:rsidRPr="00446963" w:rsidRDefault="00FA216A" w:rsidP="00965736">
      <w:pPr>
        <w:spacing w:after="0" w:line="360" w:lineRule="auto"/>
        <w:contextualSpacing/>
        <w:rPr>
          <w:rFonts w:cs="Tahoma"/>
          <w:b/>
          <w:bCs/>
        </w:rPr>
      </w:pPr>
    </w:p>
    <w:p w14:paraId="6E93458C" w14:textId="4F1B108A" w:rsidR="00502C77" w:rsidRDefault="00502C77" w:rsidP="00965736">
      <w:pPr>
        <w:spacing w:after="0" w:line="360" w:lineRule="auto"/>
        <w:contextualSpacing/>
        <w:jc w:val="center"/>
        <w:rPr>
          <w:rFonts w:cs="Tahoma"/>
          <w:b/>
          <w:lang w:val="es-ES"/>
        </w:rPr>
      </w:pPr>
      <w:r w:rsidRPr="00446963">
        <w:rPr>
          <w:rFonts w:cs="Tahoma"/>
          <w:b/>
          <w:lang w:val="es-ES"/>
        </w:rPr>
        <w:t>CONSIDERANDOS</w:t>
      </w:r>
    </w:p>
    <w:p w14:paraId="0A69280E" w14:textId="77777777" w:rsidR="006E300B" w:rsidRPr="00446963" w:rsidRDefault="006E300B" w:rsidP="00965736">
      <w:pPr>
        <w:spacing w:after="0" w:line="360" w:lineRule="auto"/>
        <w:contextualSpacing/>
        <w:jc w:val="center"/>
        <w:rPr>
          <w:rFonts w:cs="Tahoma"/>
          <w:b/>
          <w:lang w:val="es-ES"/>
        </w:rPr>
      </w:pPr>
    </w:p>
    <w:p w14:paraId="22DFF7AF" w14:textId="77F00C76" w:rsidR="00502C77" w:rsidRPr="00446963" w:rsidRDefault="00502C77" w:rsidP="00965736">
      <w:pPr>
        <w:autoSpaceDE w:val="0"/>
        <w:autoSpaceDN w:val="0"/>
        <w:adjustRightInd w:val="0"/>
        <w:spacing w:after="0" w:line="360" w:lineRule="auto"/>
        <w:contextualSpacing/>
        <w:rPr>
          <w:rFonts w:cs="Tahoma"/>
          <w:b/>
          <w:lang w:val="es-ES"/>
        </w:rPr>
      </w:pPr>
      <w:r w:rsidRPr="00446963">
        <w:rPr>
          <w:rFonts w:eastAsia="Calibri" w:cs="Tahoma"/>
          <w:b/>
          <w:lang w:val="es-ES" w:eastAsia="es-MX"/>
        </w:rPr>
        <w:t>PRIMERO</w:t>
      </w:r>
      <w:r w:rsidRPr="00446963">
        <w:rPr>
          <w:rFonts w:eastAsia="Calibri" w:cs="Tahoma"/>
          <w:lang w:val="es-ES" w:eastAsia="es-MX"/>
        </w:rPr>
        <w:t xml:space="preserve">. </w:t>
      </w:r>
      <w:r w:rsidRPr="00446963">
        <w:rPr>
          <w:rFonts w:cs="Tahoma"/>
          <w:b/>
          <w:lang w:val="es-ES"/>
        </w:rPr>
        <w:t>Competencia</w:t>
      </w:r>
    </w:p>
    <w:p w14:paraId="052DB6BD" w14:textId="77777777" w:rsidR="00502C77" w:rsidRPr="00446963" w:rsidRDefault="00502C77" w:rsidP="00965736">
      <w:pPr>
        <w:autoSpaceDE w:val="0"/>
        <w:autoSpaceDN w:val="0"/>
        <w:adjustRightInd w:val="0"/>
        <w:spacing w:after="0" w:line="360" w:lineRule="auto"/>
        <w:contextualSpacing/>
        <w:rPr>
          <w:rFonts w:cs="Tahoma"/>
          <w:b/>
          <w:lang w:val="es-ES"/>
        </w:rPr>
      </w:pPr>
    </w:p>
    <w:p w14:paraId="45C8330C" w14:textId="22C1077F" w:rsidR="00502C77" w:rsidRPr="00446963" w:rsidRDefault="00502C77" w:rsidP="00965736">
      <w:pPr>
        <w:spacing w:after="0" w:line="360" w:lineRule="auto"/>
        <w:contextualSpacing/>
        <w:rPr>
          <w:rFonts w:cs="Times New Roman"/>
        </w:rPr>
      </w:pPr>
      <w:r w:rsidRPr="00446963">
        <w:t xml:space="preserve">El Instituto de Transparencia, Acceso a la Información Pública y Protección de Datos Personales del Estado de México y Municipios, es competente para conocer y resolver el </w:t>
      </w:r>
      <w:r w:rsidRPr="00446963">
        <w:lastRenderedPageBreak/>
        <w:t>presente Recurso de Revisión interpuesto por la parte recurrente, conforme a lo dispuesto en los artículos 5°, párrafos trigésimo</w:t>
      </w:r>
      <w:r w:rsidR="00FA216A">
        <w:t xml:space="preserve"> segundo</w:t>
      </w:r>
      <w:r w:rsidRPr="00446963">
        <w:t xml:space="preserve">, trigésimo </w:t>
      </w:r>
      <w:r w:rsidR="00FA216A">
        <w:t>tercero</w:t>
      </w:r>
      <w:r w:rsidRPr="00446963">
        <w:t xml:space="preserve"> y trigésimo </w:t>
      </w:r>
      <w:r w:rsidR="00FA216A">
        <w:t>cuarto</w:t>
      </w:r>
      <w:r w:rsidRPr="00446963">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y 11 del Reglamento Interior del Instituto de Transparencia, Acceso a la Información Pública y Protección de Datos Personales del Estado de México y Municipios.</w:t>
      </w:r>
    </w:p>
    <w:p w14:paraId="2C5B2AA7" w14:textId="77777777" w:rsidR="00502C77" w:rsidRDefault="00502C77" w:rsidP="00965736">
      <w:pPr>
        <w:autoSpaceDE w:val="0"/>
        <w:autoSpaceDN w:val="0"/>
        <w:adjustRightInd w:val="0"/>
        <w:spacing w:after="0" w:line="360" w:lineRule="auto"/>
        <w:contextualSpacing/>
        <w:rPr>
          <w:rFonts w:eastAsia="Calibri" w:cs="Tahoma"/>
          <w:b/>
          <w:lang w:val="es-ES" w:eastAsia="es-MX"/>
        </w:rPr>
      </w:pPr>
    </w:p>
    <w:p w14:paraId="37547BAA" w14:textId="77777777" w:rsidR="00FA216A" w:rsidRPr="00ED7C1C" w:rsidRDefault="00FA216A" w:rsidP="00FA216A">
      <w:pPr>
        <w:autoSpaceDE w:val="0"/>
        <w:autoSpaceDN w:val="0"/>
        <w:adjustRightInd w:val="0"/>
        <w:spacing w:after="0" w:line="360" w:lineRule="auto"/>
        <w:ind w:right="-28"/>
        <w:contextualSpacing/>
        <w:rPr>
          <w:rFonts w:eastAsia="Calibri" w:cs="Tahoma"/>
          <w:b/>
          <w:color w:val="000000"/>
          <w:lang w:val="es-ES" w:eastAsia="es-MX"/>
        </w:rPr>
      </w:pPr>
      <w:r w:rsidRPr="00ED7C1C">
        <w:rPr>
          <w:rFonts w:eastAsia="Calibri" w:cs="Tahoma"/>
          <w:b/>
          <w:color w:val="000000"/>
          <w:lang w:val="es-ES" w:eastAsia="es-MX"/>
        </w:rPr>
        <w:t>SEGUNDO. Causales de improcedencia y sobreseimiento</w:t>
      </w:r>
    </w:p>
    <w:p w14:paraId="1CFC92C2" w14:textId="77777777" w:rsidR="00FA216A" w:rsidRDefault="00FA216A" w:rsidP="00965736">
      <w:pPr>
        <w:autoSpaceDE w:val="0"/>
        <w:autoSpaceDN w:val="0"/>
        <w:adjustRightInd w:val="0"/>
        <w:spacing w:after="0" w:line="360" w:lineRule="auto"/>
        <w:contextualSpacing/>
        <w:rPr>
          <w:rFonts w:eastAsia="Calibri" w:cs="Tahoma"/>
          <w:lang w:val="es-ES" w:eastAsia="es-MX"/>
        </w:rPr>
      </w:pPr>
    </w:p>
    <w:p w14:paraId="32FEEC46" w14:textId="77777777" w:rsidR="00FA216A" w:rsidRDefault="00FA216A" w:rsidP="00FA216A">
      <w:pPr>
        <w:autoSpaceDE w:val="0"/>
        <w:autoSpaceDN w:val="0"/>
        <w:adjustRightInd w:val="0"/>
        <w:spacing w:after="0" w:line="360" w:lineRule="auto"/>
        <w:contextualSpacing/>
        <w:rPr>
          <w:rFonts w:cs="Tahoma"/>
          <w:lang w:val="es-ES"/>
        </w:rPr>
      </w:pPr>
      <w:r w:rsidRPr="00ED7C1C">
        <w:rPr>
          <w:rFonts w:cs="Tahoma"/>
          <w:lang w:val="es-ES"/>
        </w:rPr>
        <w:t xml:space="preserve">De las constancias que forma parte del Recurso de Revisión que se analiza, se advierte que previo al estudio del fondo de la </w:t>
      </w:r>
      <w:r w:rsidRPr="00ED7C1C">
        <w:rPr>
          <w:rFonts w:cs="Tahoma"/>
          <w:i/>
          <w:lang w:val="es-ES"/>
        </w:rPr>
        <w:t>litis</w:t>
      </w:r>
      <w:r w:rsidRPr="00ED7C1C">
        <w:rPr>
          <w:rFonts w:cs="Tahoma"/>
          <w:lang w:val="es-ES"/>
        </w:rPr>
        <w:t>, es necesario estudiar las causales de improcedencia, para determ</w:t>
      </w:r>
      <w:r>
        <w:rPr>
          <w:rFonts w:cs="Tahoma"/>
          <w:lang w:val="es-ES"/>
        </w:rPr>
        <w:t>inar lo que en Derecho proceda.</w:t>
      </w:r>
    </w:p>
    <w:p w14:paraId="046BB4AC" w14:textId="77777777" w:rsidR="00FA216A" w:rsidRDefault="00FA216A" w:rsidP="00965736">
      <w:pPr>
        <w:autoSpaceDE w:val="0"/>
        <w:autoSpaceDN w:val="0"/>
        <w:adjustRightInd w:val="0"/>
        <w:spacing w:after="0" w:line="360" w:lineRule="auto"/>
        <w:contextualSpacing/>
        <w:rPr>
          <w:rFonts w:eastAsia="Calibri" w:cs="Tahoma"/>
          <w:lang w:val="es-ES" w:eastAsia="es-MX"/>
        </w:rPr>
      </w:pPr>
    </w:p>
    <w:p w14:paraId="40801399" w14:textId="29E84AC9" w:rsidR="00502C77" w:rsidRPr="00446963" w:rsidRDefault="00502C77" w:rsidP="00965736">
      <w:pPr>
        <w:autoSpaceDE w:val="0"/>
        <w:autoSpaceDN w:val="0"/>
        <w:adjustRightInd w:val="0"/>
        <w:spacing w:after="0" w:line="360" w:lineRule="auto"/>
        <w:contextualSpacing/>
        <w:rPr>
          <w:rFonts w:eastAsia="Calibri" w:cs="Tahoma"/>
          <w:b/>
          <w:lang w:val="es-ES" w:eastAsia="es-MX"/>
        </w:rPr>
      </w:pPr>
      <w:r w:rsidRPr="00446963">
        <w:rPr>
          <w:rFonts w:eastAsia="Calibri" w:cs="Tahoma"/>
          <w:b/>
          <w:lang w:val="es-ES" w:eastAsia="es-MX"/>
        </w:rPr>
        <w:t>Causales de improcedencia</w:t>
      </w:r>
    </w:p>
    <w:p w14:paraId="0C7CA0A3" w14:textId="77777777" w:rsidR="00502C77" w:rsidRPr="00446963" w:rsidRDefault="00502C77" w:rsidP="00965736">
      <w:pPr>
        <w:autoSpaceDE w:val="0"/>
        <w:autoSpaceDN w:val="0"/>
        <w:adjustRightInd w:val="0"/>
        <w:spacing w:after="0" w:line="360" w:lineRule="auto"/>
        <w:contextualSpacing/>
        <w:rPr>
          <w:rFonts w:eastAsia="Calibri" w:cs="Tahoma"/>
          <w:lang w:val="es-ES" w:eastAsia="es-MX"/>
        </w:rPr>
      </w:pPr>
    </w:p>
    <w:p w14:paraId="0DD99FA7" w14:textId="77777777" w:rsidR="00FA216A" w:rsidRPr="00FA216A" w:rsidRDefault="00FA216A" w:rsidP="00FA216A">
      <w:pPr>
        <w:autoSpaceDE w:val="0"/>
        <w:autoSpaceDN w:val="0"/>
        <w:adjustRightInd w:val="0"/>
        <w:spacing w:after="0" w:line="360" w:lineRule="auto"/>
        <w:ind w:right="-28"/>
        <w:contextualSpacing/>
        <w:rPr>
          <w:rFonts w:eastAsia="Calibri" w:cs="Tahoma"/>
          <w:color w:val="000000"/>
          <w:lang w:val="es-ES" w:eastAsia="es-MX"/>
        </w:rPr>
      </w:pPr>
      <w:r w:rsidRPr="00FA216A">
        <w:rPr>
          <w:rFonts w:eastAsia="Calibri" w:cs="Tahoma"/>
          <w:color w:val="000000"/>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EF6CB58" w14:textId="77777777" w:rsidR="00FA216A" w:rsidRPr="00FA216A" w:rsidRDefault="00FA216A" w:rsidP="00FA216A">
      <w:pPr>
        <w:autoSpaceDE w:val="0"/>
        <w:autoSpaceDN w:val="0"/>
        <w:adjustRightInd w:val="0"/>
        <w:spacing w:after="0" w:line="360" w:lineRule="auto"/>
        <w:contextualSpacing/>
        <w:rPr>
          <w:rFonts w:eastAsia="Calibri" w:cs="Tahoma"/>
          <w:color w:val="000000"/>
          <w:lang w:val="es-ES" w:eastAsia="es-MX"/>
        </w:rPr>
      </w:pPr>
      <w:r w:rsidRPr="00FA216A">
        <w:rPr>
          <w:rFonts w:cs="Tahoma"/>
          <w:color w:val="auto"/>
          <w:szCs w:val="24"/>
        </w:rPr>
        <w:lastRenderedPageBreak/>
        <w:t>En el presente caso, </w:t>
      </w:r>
      <w:r w:rsidRPr="00FA216A">
        <w:rPr>
          <w:rFonts w:cs="Tahoma"/>
          <w:b/>
          <w:bCs/>
          <w:color w:val="auto"/>
          <w:szCs w:val="24"/>
        </w:rPr>
        <w:t>no se actualiza ninguna de las causales de improcedencia</w:t>
      </w:r>
      <w:r w:rsidRPr="00FA216A">
        <w:rPr>
          <w:rFonts w:cs="Tahoma"/>
          <w:color w:val="auto"/>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FA216A">
        <w:rPr>
          <w:rFonts w:cs="Tahoma"/>
          <w:color w:val="auto"/>
          <w:lang w:val="es-ES"/>
        </w:rPr>
        <w:t xml:space="preserve">además de que </w:t>
      </w:r>
      <w:r w:rsidRPr="00FA216A">
        <w:rPr>
          <w:rFonts w:eastAsia="Calibri" w:cs="Tahoma"/>
          <w:color w:val="000000"/>
          <w:lang w:val="es-ES" w:eastAsia="es-MX"/>
        </w:rPr>
        <w:t>el medio de impugnación fue presentado en tiempo.</w:t>
      </w:r>
    </w:p>
    <w:p w14:paraId="1CE3BF5F" w14:textId="77777777" w:rsidR="00FA216A" w:rsidRPr="00FA216A" w:rsidRDefault="00FA216A" w:rsidP="00FA216A">
      <w:pPr>
        <w:autoSpaceDE w:val="0"/>
        <w:autoSpaceDN w:val="0"/>
        <w:adjustRightInd w:val="0"/>
        <w:spacing w:after="0" w:line="360" w:lineRule="auto"/>
        <w:contextualSpacing/>
        <w:rPr>
          <w:rFonts w:eastAsia="Calibri" w:cs="Tahoma"/>
          <w:color w:val="000000"/>
          <w:lang w:val="es-ES" w:eastAsia="es-MX"/>
        </w:rPr>
      </w:pPr>
    </w:p>
    <w:p w14:paraId="68314F2A" w14:textId="77777777" w:rsidR="00FA216A" w:rsidRPr="00FA216A" w:rsidRDefault="00FA216A" w:rsidP="00FA216A">
      <w:pPr>
        <w:widowControl w:val="0"/>
        <w:spacing w:after="0" w:line="360" w:lineRule="auto"/>
        <w:contextualSpacing/>
        <w:rPr>
          <w:rFonts w:cs="Tahoma"/>
          <w:color w:val="auto"/>
        </w:rPr>
      </w:pPr>
      <w:r w:rsidRPr="00FA216A">
        <w:rPr>
          <w:rFonts w:cs="Tahoma"/>
          <w:color w:val="auto"/>
        </w:rPr>
        <w:t xml:space="preserve">Asimismo, se actualiza la causal de procedencia del Recurso de Revisión señalada en el artículo 179, fracción III, de la Ley en cita, </w:t>
      </w:r>
      <w:r w:rsidRPr="00FA216A">
        <w:rPr>
          <w:rFonts w:eastAsia="Calibri" w:cs="Tahoma"/>
          <w:color w:val="000000"/>
          <w:lang w:eastAsia="es-MX"/>
        </w:rPr>
        <w:t xml:space="preserve">pues el Recurrente se inconformó con </w:t>
      </w:r>
      <w:r w:rsidRPr="00FA216A">
        <w:rPr>
          <w:rFonts w:cs="Tahoma"/>
          <w:color w:val="auto"/>
        </w:rPr>
        <w:t>la declaración de inexistencia de la información.</w:t>
      </w:r>
    </w:p>
    <w:p w14:paraId="68EC943E" w14:textId="77777777" w:rsidR="00502C77" w:rsidRPr="00FA216A" w:rsidRDefault="00502C77" w:rsidP="00965736">
      <w:pPr>
        <w:spacing w:after="0" w:line="360" w:lineRule="auto"/>
        <w:contextualSpacing/>
        <w:rPr>
          <w:rFonts w:cs="Tahoma"/>
        </w:rPr>
      </w:pPr>
    </w:p>
    <w:p w14:paraId="6E8D9EE5" w14:textId="77777777" w:rsidR="00B4792C" w:rsidRPr="00ED7C1C" w:rsidRDefault="00B4792C" w:rsidP="00B4792C">
      <w:pPr>
        <w:tabs>
          <w:tab w:val="left" w:pos="4962"/>
        </w:tabs>
        <w:spacing w:after="0" w:line="360" w:lineRule="auto"/>
        <w:ind w:right="-28"/>
        <w:contextualSpacing/>
        <w:rPr>
          <w:rFonts w:eastAsia="Calibri" w:cs="Tahoma"/>
          <w:b/>
          <w:iCs/>
          <w:lang w:val="es-ES" w:eastAsia="es-ES_tradnl"/>
        </w:rPr>
      </w:pPr>
      <w:r w:rsidRPr="00ED7C1C">
        <w:rPr>
          <w:rFonts w:eastAsia="Calibri" w:cs="Tahoma"/>
          <w:b/>
          <w:iCs/>
          <w:lang w:val="es-ES" w:eastAsia="es-ES_tradnl"/>
        </w:rPr>
        <w:t>TERCERO. Determinación de la Controversia</w:t>
      </w:r>
    </w:p>
    <w:p w14:paraId="4A15A6E9" w14:textId="77777777" w:rsidR="00B4792C" w:rsidRPr="00ED7C1C" w:rsidRDefault="00B4792C" w:rsidP="00B4792C">
      <w:pPr>
        <w:tabs>
          <w:tab w:val="left" w:pos="4962"/>
        </w:tabs>
        <w:spacing w:after="0" w:line="360" w:lineRule="auto"/>
        <w:ind w:right="-28"/>
        <w:contextualSpacing/>
        <w:rPr>
          <w:rFonts w:eastAsia="Calibri" w:cs="Tahoma"/>
          <w:lang w:val="es-ES" w:eastAsia="es-ES_tradnl"/>
        </w:rPr>
      </w:pPr>
    </w:p>
    <w:p w14:paraId="53297E4B" w14:textId="507413FF" w:rsidR="00B4792C" w:rsidRDefault="00B4792C" w:rsidP="00B4792C">
      <w:pPr>
        <w:spacing w:after="0" w:line="360" w:lineRule="auto"/>
        <w:contextualSpacing/>
        <w:rPr>
          <w:rFonts w:eastAsia="Calibri" w:cs="Tahoma"/>
          <w:iCs/>
          <w:lang w:val="es-ES" w:eastAsia="es-ES_tradnl"/>
        </w:rPr>
      </w:pPr>
      <w:r w:rsidRPr="00A0514B">
        <w:rPr>
          <w:rFonts w:eastAsia="Calibri" w:cs="Tahoma"/>
          <w:lang w:val="es-ES" w:eastAsia="es-ES_tradnl"/>
        </w:rPr>
        <w:t xml:space="preserve">Una vez realizado el estudio de las constancias que integran el expediente en que se actúa, se desprende que </w:t>
      </w:r>
      <w:r>
        <w:rPr>
          <w:rFonts w:eastAsia="Calibri" w:cs="Tahoma"/>
          <w:lang w:val="es-ES" w:eastAsia="es-ES_tradnl"/>
        </w:rPr>
        <w:t>e</w:t>
      </w:r>
      <w:r w:rsidRPr="00A0514B">
        <w:rPr>
          <w:rFonts w:eastAsia="Calibri" w:cs="Tahoma"/>
          <w:bCs/>
        </w:rPr>
        <w:t xml:space="preserve">l Particular </w:t>
      </w:r>
      <w:r w:rsidRPr="00A0514B">
        <w:rPr>
          <w:rFonts w:eastAsia="Calibri" w:cs="Tahoma"/>
          <w:iCs/>
          <w:lang w:val="es-ES" w:eastAsia="es-ES_tradnl"/>
        </w:rPr>
        <w:t>solicitó</w:t>
      </w:r>
      <w:r>
        <w:rPr>
          <w:rFonts w:eastAsia="Calibri" w:cs="Tahoma"/>
          <w:iCs/>
          <w:lang w:val="es-ES" w:eastAsia="es-ES_tradnl"/>
        </w:rPr>
        <w:t xml:space="preserve"> la Certificación establecida en el artículo 57 de la Ley de Transparencia y Acceso a la Información Pública del Estado de México y Municipios de la actual Directora de Información.</w:t>
      </w:r>
    </w:p>
    <w:p w14:paraId="1DAB58AC" w14:textId="77777777" w:rsidR="00B4792C" w:rsidRDefault="00B4792C" w:rsidP="00B4792C">
      <w:pPr>
        <w:spacing w:after="0" w:line="360" w:lineRule="auto"/>
        <w:contextualSpacing/>
        <w:rPr>
          <w:rFonts w:eastAsia="Calibri" w:cs="Tahoma"/>
          <w:iCs/>
          <w:lang w:val="es-ES" w:eastAsia="es-ES_tradnl"/>
        </w:rPr>
      </w:pPr>
    </w:p>
    <w:p w14:paraId="2A4DABB9" w14:textId="1F126081" w:rsidR="00E72111" w:rsidRPr="00F6249A" w:rsidRDefault="00B4792C" w:rsidP="00E72111">
      <w:pPr>
        <w:spacing w:after="0" w:line="360" w:lineRule="auto"/>
        <w:rPr>
          <w:rFonts w:eastAsia="Times New Roman" w:cs="Tahoma"/>
          <w:bCs/>
          <w:iCs/>
          <w:lang w:val="es-ES"/>
        </w:rPr>
      </w:pPr>
      <w:r>
        <w:rPr>
          <w:rFonts w:eastAsia="Calibri" w:cs="Tahoma"/>
          <w:iCs/>
          <w:lang w:val="es-ES" w:eastAsia="es-ES_tradnl"/>
        </w:rPr>
        <w:t xml:space="preserve">En respuesta, la Coordinación Administrativa refirió que en el expediente personal de la servidora púbica solicitada, no obraba la Certificación requerida; </w:t>
      </w:r>
      <w:r w:rsidR="00E72111">
        <w:rPr>
          <w:rFonts w:cs="Tahoma"/>
          <w:lang w:val="es-ES"/>
        </w:rPr>
        <w:t>a</w:t>
      </w:r>
      <w:r w:rsidR="00E72111" w:rsidRPr="005F1604">
        <w:rPr>
          <w:rFonts w:cs="Tahoma"/>
          <w:lang w:val="es-ES"/>
        </w:rPr>
        <w:t xml:space="preserve">nte dicha circunstancia, el Particular se inconformó </w:t>
      </w:r>
      <w:r w:rsidR="00E72111">
        <w:rPr>
          <w:rFonts w:cs="Tahoma"/>
          <w:lang w:val="es-ES"/>
        </w:rPr>
        <w:t>de la inexistencia de la información, al aludir que era un requisito para ocupar el cargo</w:t>
      </w:r>
      <w:r w:rsidR="00E72111" w:rsidRPr="005F1604">
        <w:rPr>
          <w:rFonts w:cs="Tahoma"/>
          <w:lang w:val="es-ES"/>
        </w:rPr>
        <w:t xml:space="preserve">, lo cual </w:t>
      </w:r>
      <w:r w:rsidR="00E72111" w:rsidRPr="005F1604">
        <w:rPr>
          <w:rFonts w:eastAsia="Calibri" w:cs="Tahoma"/>
        </w:rPr>
        <w:t xml:space="preserve">actualiza la causal de procedencia prevista en la fracción </w:t>
      </w:r>
      <w:r w:rsidR="00E72111">
        <w:rPr>
          <w:rFonts w:eastAsia="Calibri" w:cs="Tahoma"/>
        </w:rPr>
        <w:t>II</w:t>
      </w:r>
      <w:r w:rsidR="00E72111" w:rsidRPr="005F1604">
        <w:rPr>
          <w:rFonts w:eastAsia="Calibri" w:cs="Tahoma"/>
        </w:rPr>
        <w:t>I, del artículo 179 de la Ley de Transparencia y Acceso a la Información Pública del Estado de México y Municipios</w:t>
      </w:r>
      <w:r w:rsidR="00E72111" w:rsidRPr="00F6249A">
        <w:rPr>
          <w:rFonts w:eastAsia="Times New Roman" w:cs="Tahoma"/>
          <w:bCs/>
          <w:iCs/>
          <w:lang w:val="es-ES_tradnl"/>
        </w:rPr>
        <w:t xml:space="preserve">dicha situación, al aplicar la suplencia de la queja a favor de la Solicitante, en términos </w:t>
      </w:r>
      <w:r w:rsidR="00E72111">
        <w:rPr>
          <w:rFonts w:eastAsia="Times New Roman" w:cs="Tahoma"/>
          <w:bCs/>
          <w:iCs/>
          <w:lang w:val="es-ES_tradnl"/>
        </w:rPr>
        <w:t>del</w:t>
      </w:r>
      <w:r w:rsidR="00E72111" w:rsidRPr="00F6249A">
        <w:rPr>
          <w:rFonts w:eastAsia="Times New Roman" w:cs="Tahoma"/>
          <w:bCs/>
          <w:iCs/>
          <w:lang w:val="es-ES_tradnl"/>
        </w:rPr>
        <w:t xml:space="preserve"> penúltimo párrafo, del 181 del ordenamiento señalado, relacionados con el último </w:t>
      </w:r>
      <w:r w:rsidR="00E72111" w:rsidRPr="00F6249A">
        <w:rPr>
          <w:rFonts w:eastAsia="Times New Roman" w:cs="Tahoma"/>
          <w:bCs/>
          <w:iCs/>
          <w:lang w:val="es-ES_tradnl"/>
        </w:rPr>
        <w:lastRenderedPageBreak/>
        <w:t xml:space="preserve">párrafo, del 146 de la Ley General de Transparencia y Acceso a la Información Pública. </w:t>
      </w:r>
      <w:r w:rsidR="00E72111" w:rsidRPr="00F6249A">
        <w:rPr>
          <w:rFonts w:eastAsia="Times New Roman" w:cs="Tahoma"/>
          <w:bCs/>
          <w:iCs/>
          <w:lang w:val="es-ES"/>
        </w:rPr>
        <w:t>Así las cosas, una vez admitido y notificado los Recursos de Revisión a las partes, el Sujeto Obligado ratificó su respuesta inicial.</w:t>
      </w:r>
    </w:p>
    <w:p w14:paraId="244AFD64" w14:textId="00C197C0" w:rsidR="00B4792C" w:rsidRDefault="00B4792C" w:rsidP="00B4792C">
      <w:pPr>
        <w:spacing w:after="0" w:line="360" w:lineRule="auto"/>
        <w:contextualSpacing/>
        <w:rPr>
          <w:rFonts w:cs="Tahoma"/>
          <w:b/>
          <w:bCs/>
          <w:lang w:val="es-ES"/>
        </w:rPr>
      </w:pPr>
    </w:p>
    <w:p w14:paraId="1770A49D" w14:textId="79E90C62" w:rsidR="00E72111" w:rsidRPr="00B9737E" w:rsidRDefault="00E72111" w:rsidP="00E72111">
      <w:pPr>
        <w:autoSpaceDE w:val="0"/>
        <w:autoSpaceDN w:val="0"/>
        <w:adjustRightInd w:val="0"/>
        <w:spacing w:after="0" w:line="360" w:lineRule="auto"/>
        <w:rPr>
          <w:rFonts w:cs="Tahoma"/>
          <w:bCs/>
          <w:iCs/>
        </w:rPr>
      </w:pPr>
      <w:r w:rsidRPr="00B9737E">
        <w:rPr>
          <w:rFonts w:cs="Tahoma"/>
          <w:bCs/>
          <w:iCs/>
        </w:rPr>
        <w:t>Lo anterior, se desprende de las documentales que obran en el expediente de referencia, materia de la presente Resolución, consistentes en: la solicitud de acceso a la información, la respuesta del Sujeto Obligado</w:t>
      </w:r>
      <w:r>
        <w:rPr>
          <w:rFonts w:cs="Tahoma"/>
          <w:bCs/>
          <w:iCs/>
        </w:rPr>
        <w:t xml:space="preserve">; el escrito recursal y el </w:t>
      </w:r>
      <w:r w:rsidRPr="00B9737E">
        <w:rPr>
          <w:rFonts w:cs="Tahoma"/>
          <w:bCs/>
          <w:iCs/>
        </w:rPr>
        <w:t xml:space="preserve"> Informe Justificado</w:t>
      </w:r>
      <w:r>
        <w:rPr>
          <w:rFonts w:cs="Tahoma"/>
          <w:bCs/>
          <w:iCs/>
        </w:rPr>
        <w:t>; los cuales se</w:t>
      </w:r>
      <w:r w:rsidRPr="00B9737E">
        <w:rPr>
          <w:rFonts w:cs="Tahoma"/>
          <w:bCs/>
          <w:iCs/>
        </w:rPr>
        <w:t xml:space="preserve"> toman en cuenta a efecto de resolver el presente medio de impugnación, conforme a lo dispuesto por el artículo 185, fracción IV, de la Ley de Transparencia y Acceso a la Información Pública del Estado de México y Municipios.</w:t>
      </w:r>
    </w:p>
    <w:p w14:paraId="6EA6FE24" w14:textId="77777777" w:rsidR="00E72111" w:rsidRDefault="00E72111" w:rsidP="00B4792C">
      <w:pPr>
        <w:spacing w:after="0" w:line="360" w:lineRule="auto"/>
        <w:contextualSpacing/>
        <w:rPr>
          <w:rFonts w:cs="Tahoma"/>
          <w:b/>
          <w:bCs/>
          <w:lang w:val="es-ES"/>
        </w:rPr>
      </w:pPr>
    </w:p>
    <w:p w14:paraId="743A4FA0" w14:textId="16A2EB57" w:rsidR="00E72111" w:rsidRPr="00B9737E" w:rsidRDefault="00E72111" w:rsidP="00E72111">
      <w:pPr>
        <w:autoSpaceDE w:val="0"/>
        <w:autoSpaceDN w:val="0"/>
        <w:adjustRightInd w:val="0"/>
        <w:spacing w:after="0" w:line="360" w:lineRule="auto"/>
        <w:rPr>
          <w:rFonts w:cs="Tahoma"/>
          <w:bCs/>
          <w:iCs/>
        </w:rPr>
      </w:pPr>
      <w:r w:rsidRPr="00B9737E">
        <w:rPr>
          <w:rFonts w:cs="Tahoma"/>
          <w:bCs/>
          <w:iCs/>
        </w:rPr>
        <w:t xml:space="preserve">Ahora bien, por exhaustividad, es preciso indicar que el Sujeto Obligado ofreció como prueba </w:t>
      </w:r>
      <w:r>
        <w:rPr>
          <w:rFonts w:cs="Tahoma"/>
          <w:bCs/>
          <w:iCs/>
        </w:rPr>
        <w:t xml:space="preserve">la </w:t>
      </w:r>
      <w:r w:rsidRPr="00B9737E">
        <w:rPr>
          <w:rFonts w:cs="Tahoma"/>
          <w:bCs/>
          <w:iCs/>
        </w:rPr>
        <w:t xml:space="preserve">documental pública consistente en </w:t>
      </w:r>
      <w:r>
        <w:rPr>
          <w:rFonts w:cs="Tahoma"/>
          <w:bCs/>
          <w:iCs/>
        </w:rPr>
        <w:t xml:space="preserve">el oficio número </w:t>
      </w:r>
      <w:r>
        <w:rPr>
          <w:rFonts w:cs="Tahoma"/>
        </w:rPr>
        <w:t>20700002000100S/IP/0365/2024, por medio del cual la Coordinación Administrativa ratificó la respuesta</w:t>
      </w:r>
      <w:r w:rsidRPr="00B9737E">
        <w:rPr>
          <w:rFonts w:cs="Tahoma"/>
          <w:bCs/>
          <w:iCs/>
        </w:rPr>
        <w:t xml:space="preserve">; </w:t>
      </w:r>
      <w:r>
        <w:rPr>
          <w:rFonts w:cs="Tahoma"/>
          <w:bCs/>
          <w:iCs/>
        </w:rPr>
        <w:t>la cual</w:t>
      </w:r>
      <w:r w:rsidRPr="00B9737E">
        <w:rPr>
          <w:rFonts w:cs="Tahoma"/>
          <w:bCs/>
          <w:iCs/>
        </w:rPr>
        <w:t xml:space="preserve"> se desahoga por su propia y especial naturaleza como </w:t>
      </w:r>
      <w:r w:rsidRPr="00B9737E">
        <w:rPr>
          <w:rFonts w:cs="Tahoma"/>
          <w:bCs/>
          <w:iCs/>
          <w:u w:val="single"/>
        </w:rPr>
        <w:t>instrumental de actuaciones</w:t>
      </w:r>
      <w:r w:rsidRPr="00B9737E">
        <w:rPr>
          <w:rFonts w:cs="Tahoma"/>
          <w:bCs/>
          <w:iCs/>
        </w:rPr>
        <w:t>.</w:t>
      </w:r>
    </w:p>
    <w:p w14:paraId="7C0D9E0A" w14:textId="77777777" w:rsidR="00E72111" w:rsidRPr="00B9737E" w:rsidRDefault="00E72111" w:rsidP="00E72111">
      <w:pPr>
        <w:autoSpaceDE w:val="0"/>
        <w:autoSpaceDN w:val="0"/>
        <w:adjustRightInd w:val="0"/>
        <w:spacing w:after="0" w:line="360" w:lineRule="auto"/>
        <w:rPr>
          <w:rFonts w:cs="Tahoma"/>
          <w:bCs/>
          <w:iCs/>
        </w:rPr>
      </w:pPr>
    </w:p>
    <w:p w14:paraId="3174DBA5" w14:textId="12DBCBDD" w:rsidR="00E72111" w:rsidRPr="00B9737E" w:rsidRDefault="00E72111" w:rsidP="00E72111">
      <w:pPr>
        <w:autoSpaceDE w:val="0"/>
        <w:autoSpaceDN w:val="0"/>
        <w:adjustRightInd w:val="0"/>
        <w:spacing w:after="0" w:line="360" w:lineRule="auto"/>
        <w:rPr>
          <w:rFonts w:cs="Tahoma"/>
          <w:bCs/>
          <w:iCs/>
        </w:rPr>
      </w:pPr>
      <w:r w:rsidRPr="00B9737E">
        <w:rPr>
          <w:rFonts w:cs="Tahoma"/>
          <w:bCs/>
          <w:iCs/>
          <w:lang w:val="es-ES_tradnl"/>
        </w:rPr>
        <w:t xml:space="preserve">Por otra parte, también ofreció las pruebas </w:t>
      </w:r>
      <w:proofErr w:type="spellStart"/>
      <w:r w:rsidRPr="00B9737E">
        <w:rPr>
          <w:rFonts w:cs="Tahoma"/>
          <w:bCs/>
          <w:iCs/>
          <w:lang w:val="es-ES_tradnl"/>
        </w:rPr>
        <w:t>presuncional</w:t>
      </w:r>
      <w:proofErr w:type="spellEnd"/>
      <w:r w:rsidRPr="00B9737E">
        <w:rPr>
          <w:rFonts w:cs="Tahoma"/>
          <w:bCs/>
          <w:iCs/>
          <w:lang w:val="es-ES_tradnl"/>
        </w:rPr>
        <w:t xml:space="preserve"> e instrumental de actuaciones, que de la misma manera </w:t>
      </w:r>
      <w:r>
        <w:rPr>
          <w:rFonts w:cs="Tahoma"/>
          <w:bCs/>
          <w:iCs/>
          <w:lang w:val="es-ES_tradnl"/>
        </w:rPr>
        <w:t>que la anterior</w:t>
      </w:r>
      <w:r w:rsidRPr="00B9737E">
        <w:rPr>
          <w:rFonts w:cs="Tahoma"/>
          <w:bCs/>
          <w:iCs/>
          <w:lang w:val="es-ES_tradnl"/>
        </w:rPr>
        <w:t>, se desahogan por su propia y especial naturaleza; con</w:t>
      </w:r>
      <w:r w:rsidRPr="00B9737E">
        <w:rPr>
          <w:rFonts w:cs="Tahoma"/>
          <w:bCs/>
          <w:iCs/>
        </w:rPr>
        <w:t xml:space="preserve"> la finalidad de justificar lo anterior, es preciso citar, por analogía, la Tesis I.4o.C.70 C, de Tribunales Colegiados de Circuito, visible en la página 1406 del Semanario Judicial de la Federación y su Gaceta, Tomo XX, diciembre 2004, Novena Época, de rubro y texto siguientes:</w:t>
      </w:r>
    </w:p>
    <w:p w14:paraId="6B1B2613" w14:textId="77777777" w:rsidR="00E72111" w:rsidRPr="00B9737E" w:rsidRDefault="00E72111" w:rsidP="00E72111">
      <w:pPr>
        <w:autoSpaceDE w:val="0"/>
        <w:autoSpaceDN w:val="0"/>
        <w:adjustRightInd w:val="0"/>
        <w:spacing w:after="0" w:line="360" w:lineRule="auto"/>
        <w:rPr>
          <w:rFonts w:cs="Tahoma"/>
          <w:bCs/>
          <w:iCs/>
        </w:rPr>
      </w:pPr>
    </w:p>
    <w:p w14:paraId="0B909EA4" w14:textId="77777777" w:rsidR="00E72111" w:rsidRPr="00B9737E" w:rsidRDefault="00E72111" w:rsidP="00E72111">
      <w:pPr>
        <w:autoSpaceDE w:val="0"/>
        <w:autoSpaceDN w:val="0"/>
        <w:adjustRightInd w:val="0"/>
        <w:spacing w:after="0" w:line="360" w:lineRule="auto"/>
        <w:ind w:left="567" w:right="567"/>
        <w:rPr>
          <w:rFonts w:cs="Tahoma"/>
          <w:bCs/>
          <w:i/>
          <w:iCs/>
          <w:sz w:val="20"/>
          <w:szCs w:val="20"/>
        </w:rPr>
      </w:pPr>
      <w:r w:rsidRPr="00B9737E">
        <w:rPr>
          <w:rFonts w:cs="Tahoma"/>
          <w:b/>
          <w:bCs/>
          <w:i/>
          <w:iCs/>
          <w:sz w:val="20"/>
          <w:szCs w:val="20"/>
        </w:rPr>
        <w:t>“PRESUNCIONAL E INSTRUMENTAL DE ACTUACIONES. SU OFRECIMIENTO NO SE RIGE POR LO DISPUESTO EN EL ARTÍCULO 291 DEL CÓDIGO DE PROCEDIMIENTOS CIVILES PARA EL DISTRITO FEDERAL. </w:t>
      </w:r>
      <w:r w:rsidRPr="00B9737E">
        <w:rPr>
          <w:rFonts w:cs="Tahoma"/>
          <w:bCs/>
          <w:i/>
          <w:iCs/>
          <w:sz w:val="20"/>
          <w:szCs w:val="20"/>
        </w:rPr>
        <w:t xml:space="preserve">La prueba instrumental de actuaciones se constituye con las constancias que obran en el sumario; mientras que la de presunciones es la consecuencia lógica y natural de hechos conocidos, probados al momento de hacer </w:t>
      </w:r>
      <w:r w:rsidRPr="00B9737E">
        <w:rPr>
          <w:rFonts w:cs="Tahoma"/>
          <w:bCs/>
          <w:i/>
          <w:iCs/>
          <w:sz w:val="20"/>
          <w:szCs w:val="20"/>
        </w:rPr>
        <w:lastRenderedPageBreak/>
        <w:t>la deducción respectiva, de lo que se advierte que tales pruebas se basan en el desahogo de otras, por consiguiente, no es factible que desde la demanda, la contestación o en la dilación probatoria, quien ofrece los medios de convicción señalados establezca con claridad el hecho o hechos que con ellos va a probar y las razones por las que estima que demostrará sus afirmaciones, pues ello sería tanto como obligarlo a que apoye tales probanzas en suposiciones. Así, tratándose del actor, éste tendría prácticamente que adivinar cuáles pruebas va a ofrecer su contrario, para con base en ellas precisar la instrumental y tendría que hacer lo mismo en cuanto al resultado de su desahogo, para con ello, sobre bases aún no dadas, señalar las presunciones legales y humanas que se actualicen. De ahí que resulte correcto afirmar que tales probanzas no tienen entidad propia, y debido a tan especial naturaleza, su ofrecimiento no tiene que hacerse con las exigencias del artículo 291 del código adjetivo, incluso, aun cuando no se ofrecieran como pruebas, no podría impedirse al Juez que tome en cuenta las actuaciones existentes y que aplique el análisis inductivo y deductivo que resulte de las pruebas, para resolver la litis planteada, pues en ello radica la esencia de la actividad jurisdiccional.”</w:t>
      </w:r>
    </w:p>
    <w:p w14:paraId="4622B73E" w14:textId="77777777" w:rsidR="00E72111" w:rsidRPr="00B9737E" w:rsidRDefault="00E72111" w:rsidP="00E72111">
      <w:pPr>
        <w:autoSpaceDE w:val="0"/>
        <w:autoSpaceDN w:val="0"/>
        <w:adjustRightInd w:val="0"/>
        <w:spacing w:after="0" w:line="360" w:lineRule="auto"/>
        <w:rPr>
          <w:rFonts w:cs="Tahoma"/>
          <w:bCs/>
          <w:iCs/>
        </w:rPr>
      </w:pPr>
    </w:p>
    <w:p w14:paraId="3CDCB22C" w14:textId="77777777" w:rsidR="00E72111" w:rsidRPr="00B9737E" w:rsidRDefault="00E72111" w:rsidP="00E72111">
      <w:pPr>
        <w:autoSpaceDE w:val="0"/>
        <w:autoSpaceDN w:val="0"/>
        <w:adjustRightInd w:val="0"/>
        <w:spacing w:after="0" w:line="360" w:lineRule="auto"/>
        <w:rPr>
          <w:rFonts w:cs="Tahoma"/>
          <w:bCs/>
          <w:iCs/>
        </w:rPr>
      </w:pPr>
      <w:r w:rsidRPr="00B9737E">
        <w:rPr>
          <w:rFonts w:cs="Tahoma"/>
          <w:bCs/>
          <w:iCs/>
        </w:rPr>
        <w:t>De la tesis citada, se advierte que la prueba</w:t>
      </w:r>
      <w:r w:rsidRPr="00B9737E">
        <w:rPr>
          <w:rFonts w:cs="Tahoma"/>
          <w:b/>
          <w:bCs/>
          <w:iCs/>
        </w:rPr>
        <w:t xml:space="preserve"> instrumental de actuaciones</w:t>
      </w:r>
      <w:r w:rsidRPr="00B9737E">
        <w:rPr>
          <w:rFonts w:cs="Tahoma"/>
          <w:bCs/>
          <w:iCs/>
        </w:rPr>
        <w:t xml:space="preserve"> son las constancias que obran en el expediente, las cual se tiene por desahogada por su propia y especial naturaleza y se toma en cuenta para resolver la controversia planteada, cuyo alcance consiste en acreditar la tramitación de las solicitudes, las respuestas proporcionadas y los razonamientos lógico-jurídicos que se deduzcan de las constancias que obran en el expediente de mérito.</w:t>
      </w:r>
    </w:p>
    <w:p w14:paraId="6C00C2B3" w14:textId="77777777" w:rsidR="00E72111" w:rsidRPr="00E72111" w:rsidRDefault="00E72111" w:rsidP="00B4792C">
      <w:pPr>
        <w:spacing w:after="0" w:line="360" w:lineRule="auto"/>
        <w:contextualSpacing/>
        <w:rPr>
          <w:rFonts w:cs="Tahoma"/>
          <w:b/>
          <w:bCs/>
        </w:rPr>
      </w:pPr>
    </w:p>
    <w:p w14:paraId="2DD46B0C" w14:textId="77777777" w:rsidR="00E72111" w:rsidRPr="004B3FE5" w:rsidRDefault="00E72111" w:rsidP="00E72111">
      <w:pPr>
        <w:spacing w:after="0" w:line="360" w:lineRule="auto"/>
        <w:rPr>
          <w:b/>
          <w:color w:val="000000"/>
        </w:rPr>
      </w:pPr>
      <w:r w:rsidRPr="004B3FE5">
        <w:rPr>
          <w:b/>
          <w:color w:val="000000"/>
        </w:rPr>
        <w:t>CUARTO. Marco normativo aplicable en materia de transparencia y acceso a la información pública</w:t>
      </w:r>
    </w:p>
    <w:p w14:paraId="491B649B" w14:textId="77777777" w:rsidR="00E72111" w:rsidRPr="004B3FE5" w:rsidRDefault="00E72111" w:rsidP="00E72111">
      <w:pPr>
        <w:spacing w:after="0" w:line="360" w:lineRule="auto"/>
        <w:rPr>
          <w:color w:val="000000"/>
        </w:rPr>
      </w:pPr>
    </w:p>
    <w:p w14:paraId="3AEF5F75" w14:textId="77777777" w:rsidR="00E72111" w:rsidRPr="004B3FE5" w:rsidRDefault="00E72111" w:rsidP="00E72111">
      <w:pPr>
        <w:spacing w:after="0" w:line="360" w:lineRule="auto"/>
        <w:rPr>
          <w:color w:val="000000"/>
        </w:rPr>
      </w:pPr>
      <w:r w:rsidRPr="004B3FE5">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C2DDA7B" w14:textId="77777777" w:rsidR="00E72111" w:rsidRPr="004B3FE5" w:rsidRDefault="00E72111" w:rsidP="00E72111">
      <w:pPr>
        <w:spacing w:after="0" w:line="360" w:lineRule="auto"/>
        <w:rPr>
          <w:color w:val="000000"/>
        </w:rPr>
      </w:pPr>
    </w:p>
    <w:p w14:paraId="56236564" w14:textId="77777777" w:rsidR="00E72111" w:rsidRPr="004B3FE5" w:rsidRDefault="00E72111" w:rsidP="00E72111">
      <w:pPr>
        <w:spacing w:after="0" w:line="360" w:lineRule="auto"/>
        <w:rPr>
          <w:color w:val="000000"/>
        </w:rPr>
      </w:pPr>
      <w:r w:rsidRPr="004B3FE5">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6F59CD3" w14:textId="77777777" w:rsidR="00E72111" w:rsidRPr="004B3FE5" w:rsidRDefault="00E72111" w:rsidP="00E72111">
      <w:pPr>
        <w:spacing w:after="0" w:line="360" w:lineRule="auto"/>
        <w:rPr>
          <w:color w:val="000000"/>
        </w:rPr>
      </w:pPr>
    </w:p>
    <w:p w14:paraId="378E08EB" w14:textId="77777777" w:rsidR="00E72111" w:rsidRPr="004B3FE5" w:rsidRDefault="00E72111" w:rsidP="00E72111">
      <w:pPr>
        <w:spacing w:after="0" w:line="360" w:lineRule="auto"/>
        <w:rPr>
          <w:color w:val="000000"/>
        </w:rPr>
      </w:pPr>
      <w:r w:rsidRPr="004B3FE5">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EF8F709" w14:textId="77777777" w:rsidR="00E72111" w:rsidRPr="004B3FE5" w:rsidRDefault="00E72111" w:rsidP="00E72111">
      <w:pPr>
        <w:spacing w:after="0" w:line="360" w:lineRule="auto"/>
        <w:rPr>
          <w:color w:val="000000"/>
        </w:rPr>
      </w:pPr>
    </w:p>
    <w:p w14:paraId="102A020B" w14:textId="77777777" w:rsidR="00E72111" w:rsidRPr="004B3FE5" w:rsidRDefault="00E72111" w:rsidP="00E72111">
      <w:pPr>
        <w:spacing w:after="0" w:line="360" w:lineRule="auto"/>
        <w:rPr>
          <w:color w:val="000000"/>
        </w:rPr>
      </w:pPr>
      <w:r w:rsidRPr="004B3FE5">
        <w:rPr>
          <w:color w:val="000000"/>
        </w:rPr>
        <w:t>Por su parte, la Ley de Transparencia y Acceso a la Información Pública del Estado de México y Municipios (Reglamentaria del artículo 5° de la Constitución Local), establece lo siguiente:</w:t>
      </w:r>
    </w:p>
    <w:p w14:paraId="369D1772" w14:textId="77777777" w:rsidR="00E72111" w:rsidRPr="004B3FE5" w:rsidRDefault="00E72111" w:rsidP="00E72111">
      <w:pPr>
        <w:spacing w:after="0" w:line="360" w:lineRule="auto"/>
        <w:rPr>
          <w:color w:val="000000"/>
        </w:rPr>
      </w:pPr>
    </w:p>
    <w:p w14:paraId="439933C6" w14:textId="77777777" w:rsidR="00E72111" w:rsidRPr="004B3FE5" w:rsidRDefault="00E72111" w:rsidP="00E72111">
      <w:pPr>
        <w:spacing w:after="0" w:line="360" w:lineRule="auto"/>
        <w:rPr>
          <w:color w:val="000000"/>
        </w:rPr>
      </w:pPr>
      <w:r w:rsidRPr="004B3FE5">
        <w:rPr>
          <w:color w:val="000000"/>
        </w:rPr>
        <w:t>El artículo 12, que, quienes generen, recopilen, administren, manejen, procesen, archiven o conserven información pública serán responsables de la misma.</w:t>
      </w:r>
    </w:p>
    <w:p w14:paraId="67641815" w14:textId="77777777" w:rsidR="00E72111" w:rsidRPr="004B3FE5" w:rsidRDefault="00E72111" w:rsidP="00E72111">
      <w:pPr>
        <w:spacing w:after="0" w:line="360" w:lineRule="auto"/>
        <w:rPr>
          <w:color w:val="000000"/>
        </w:rPr>
      </w:pPr>
    </w:p>
    <w:p w14:paraId="05FCBFB7" w14:textId="77777777" w:rsidR="00E72111" w:rsidRPr="004B3FE5" w:rsidRDefault="00E72111" w:rsidP="00E72111">
      <w:pPr>
        <w:widowControl w:val="0"/>
        <w:spacing w:after="0" w:line="360" w:lineRule="auto"/>
        <w:rPr>
          <w:color w:val="000000"/>
        </w:rPr>
      </w:pPr>
      <w:r w:rsidRPr="004B3FE5">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4C537A0A" w14:textId="77777777" w:rsidR="00E72111" w:rsidRPr="004B3FE5" w:rsidRDefault="00E72111" w:rsidP="00E72111">
      <w:pPr>
        <w:spacing w:after="0" w:line="360" w:lineRule="auto"/>
        <w:rPr>
          <w:color w:val="000000"/>
        </w:rPr>
      </w:pPr>
    </w:p>
    <w:p w14:paraId="397DB211" w14:textId="77777777" w:rsidR="00E72111" w:rsidRPr="004B3FE5" w:rsidRDefault="00E72111" w:rsidP="00E72111">
      <w:pPr>
        <w:spacing w:after="0" w:line="360" w:lineRule="auto"/>
        <w:rPr>
          <w:color w:val="000000"/>
        </w:rPr>
      </w:pPr>
      <w:r w:rsidRPr="004B3FE5">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6250740" w14:textId="77777777" w:rsidR="00E72111" w:rsidRPr="004B3FE5" w:rsidRDefault="00E72111" w:rsidP="00E72111">
      <w:pPr>
        <w:spacing w:after="0" w:line="360" w:lineRule="auto"/>
        <w:rPr>
          <w:color w:val="000000"/>
        </w:rPr>
      </w:pPr>
    </w:p>
    <w:p w14:paraId="6AD503F4" w14:textId="284F4D20" w:rsidR="00E72111" w:rsidRPr="004B3FE5" w:rsidRDefault="00F11D5B" w:rsidP="00E72111">
      <w:pPr>
        <w:spacing w:after="0" w:line="360" w:lineRule="auto"/>
        <w:rPr>
          <w:b/>
          <w:color w:val="000000"/>
        </w:rPr>
      </w:pPr>
      <w:r w:rsidRPr="004B3FE5">
        <w:rPr>
          <w:b/>
          <w:color w:val="000000"/>
        </w:rPr>
        <w:t xml:space="preserve">QUINTO. </w:t>
      </w:r>
      <w:r w:rsidR="00E72111" w:rsidRPr="004B3FE5">
        <w:rPr>
          <w:b/>
          <w:color w:val="000000"/>
        </w:rPr>
        <w:t>Estudio de Fondo</w:t>
      </w:r>
    </w:p>
    <w:p w14:paraId="09058FCB" w14:textId="77777777" w:rsidR="00E72111" w:rsidRPr="004B3FE5" w:rsidRDefault="00E72111" w:rsidP="00E72111">
      <w:pPr>
        <w:spacing w:after="0" w:line="360" w:lineRule="auto"/>
        <w:rPr>
          <w:b/>
          <w:color w:val="000000"/>
        </w:rPr>
      </w:pPr>
    </w:p>
    <w:p w14:paraId="356A24CE" w14:textId="664F0F59" w:rsidR="00E72111" w:rsidRPr="004B3FE5" w:rsidRDefault="00E72111" w:rsidP="00E72111">
      <w:pPr>
        <w:widowControl w:val="0"/>
        <w:autoSpaceDE w:val="0"/>
        <w:autoSpaceDN w:val="0"/>
        <w:adjustRightInd w:val="0"/>
        <w:spacing w:line="360" w:lineRule="auto"/>
        <w:contextualSpacing/>
        <w:rPr>
          <w:rFonts w:eastAsia="Times New Roman" w:cs="Tahoma"/>
          <w:bCs/>
          <w:iCs/>
          <w:color w:val="auto"/>
          <w:lang w:eastAsia="es-ES"/>
        </w:rPr>
      </w:pPr>
      <w:r w:rsidRPr="004B3FE5">
        <w:rPr>
          <w:color w:val="000000"/>
        </w:rPr>
        <w:lastRenderedPageBreak/>
        <w:t xml:space="preserve">Expuestas las posturas de las partes, se procede al análisis de los agravios hechos valer por la persona Recurrente, concerniente </w:t>
      </w:r>
      <w:r w:rsidRPr="004B3FE5">
        <w:t xml:space="preserve">a la </w:t>
      </w:r>
      <w:r w:rsidR="00A74AAC">
        <w:t>inexistencia de la información</w:t>
      </w:r>
      <w:r w:rsidRPr="004B3FE5">
        <w:t xml:space="preserve">, </w:t>
      </w:r>
      <w:r w:rsidRPr="004B3FE5">
        <w:rPr>
          <w:rFonts w:eastAsia="Times New Roman" w:cs="Tahoma"/>
          <w:bCs/>
          <w:iCs/>
          <w:lang w:eastAsia="es-ES"/>
        </w:rPr>
        <w:t>por lo que, en principio es necesario contextualizar la solicitud de información.</w:t>
      </w:r>
    </w:p>
    <w:p w14:paraId="1FE06C11" w14:textId="77777777" w:rsidR="00B4792C" w:rsidRDefault="00B4792C" w:rsidP="00965736">
      <w:pPr>
        <w:spacing w:after="0" w:line="360" w:lineRule="auto"/>
        <w:contextualSpacing/>
        <w:rPr>
          <w:color w:val="auto"/>
        </w:rPr>
      </w:pPr>
    </w:p>
    <w:p w14:paraId="62B43A0E" w14:textId="77777777" w:rsidR="00594B48" w:rsidRPr="002B39E1" w:rsidRDefault="00594B48" w:rsidP="00594B48">
      <w:pPr>
        <w:widowControl w:val="0"/>
        <w:autoSpaceDE w:val="0"/>
        <w:autoSpaceDN w:val="0"/>
        <w:adjustRightInd w:val="0"/>
        <w:spacing w:after="0" w:line="360" w:lineRule="auto"/>
        <w:contextualSpacing/>
        <w:rPr>
          <w:rFonts w:eastAsia="Times New Roman" w:cs="Times New Roman"/>
          <w:b/>
          <w:color w:val="auto"/>
          <w:lang w:val="es-ES" w:eastAsia="es-ES"/>
        </w:rPr>
      </w:pPr>
      <w:r w:rsidRPr="002B39E1">
        <w:rPr>
          <w:rFonts w:eastAsia="Times New Roman" w:cs="Times New Roman"/>
          <w:color w:val="auto"/>
          <w:lang w:val="es-ES" w:eastAsia="es-ES"/>
        </w:rPr>
        <w:t xml:space="preserve">Al respecto, el artículo 57, fracción I, de la Ley de Transparencia y Acceso a la Información Pública del Estado de México y Municipios, establece que para que una persona pueda ser nombrada Titular de la Unidad de Transparencia, </w:t>
      </w:r>
      <w:r w:rsidRPr="002B39E1">
        <w:rPr>
          <w:rFonts w:eastAsia="Times New Roman" w:cs="Times New Roman"/>
          <w:b/>
          <w:color w:val="auto"/>
          <w:lang w:val="es-ES" w:eastAsia="es-ES"/>
        </w:rPr>
        <w:t>debe contar con la certificación en materia de acceso a la información, transparencia y protección de datos personales, que para tal efecto emita el Instituto.</w:t>
      </w:r>
    </w:p>
    <w:p w14:paraId="37240F1E" w14:textId="77777777" w:rsidR="00594B48" w:rsidRPr="002B39E1" w:rsidRDefault="00594B48" w:rsidP="00594B48">
      <w:pPr>
        <w:widowControl w:val="0"/>
        <w:autoSpaceDE w:val="0"/>
        <w:autoSpaceDN w:val="0"/>
        <w:adjustRightInd w:val="0"/>
        <w:spacing w:after="0" w:line="360" w:lineRule="auto"/>
        <w:contextualSpacing/>
        <w:rPr>
          <w:rFonts w:eastAsia="Times New Roman" w:cs="Times New Roman"/>
          <w:color w:val="auto"/>
          <w:lang w:eastAsia="es-ES"/>
        </w:rPr>
      </w:pPr>
    </w:p>
    <w:p w14:paraId="7D64B82E" w14:textId="77777777" w:rsidR="00594B48" w:rsidRPr="002B39E1" w:rsidRDefault="00594B48" w:rsidP="00594B48">
      <w:pPr>
        <w:widowControl w:val="0"/>
        <w:autoSpaceDE w:val="0"/>
        <w:autoSpaceDN w:val="0"/>
        <w:adjustRightInd w:val="0"/>
        <w:spacing w:after="0" w:line="360" w:lineRule="auto"/>
        <w:contextualSpacing/>
        <w:rPr>
          <w:rFonts w:eastAsia="Times New Roman" w:cs="Times New Roman"/>
          <w:color w:val="auto"/>
          <w:lang w:eastAsia="es-ES"/>
        </w:rPr>
      </w:pPr>
      <w:r w:rsidRPr="002B39E1">
        <w:rPr>
          <w:rFonts w:eastAsia="Times New Roman" w:cs="Times New Roman"/>
          <w:color w:val="auto"/>
          <w:lang w:eastAsia="es-ES"/>
        </w:rPr>
        <w:t>Situación que se robustece, pues conforme al artículo 36, fracción XI, de la Ley de Transparencia y Acceso a la Información Pública del Estado de México y Municipios, este Instituto es el encargado de certificar las competencias de los titulares de las unidades de transparencia.</w:t>
      </w:r>
    </w:p>
    <w:p w14:paraId="1BFAA517" w14:textId="77777777" w:rsidR="00594B48" w:rsidRPr="002B39E1" w:rsidRDefault="00594B48" w:rsidP="00594B48">
      <w:pPr>
        <w:widowControl w:val="0"/>
        <w:autoSpaceDE w:val="0"/>
        <w:autoSpaceDN w:val="0"/>
        <w:adjustRightInd w:val="0"/>
        <w:spacing w:after="0" w:line="360" w:lineRule="auto"/>
        <w:contextualSpacing/>
        <w:rPr>
          <w:rFonts w:eastAsia="Times New Roman" w:cs="Times New Roman"/>
          <w:color w:val="auto"/>
          <w:lang w:eastAsia="es-ES"/>
        </w:rPr>
      </w:pPr>
    </w:p>
    <w:p w14:paraId="799C17E1" w14:textId="77777777" w:rsidR="00594B48" w:rsidRPr="002B39E1" w:rsidRDefault="00594B48" w:rsidP="00594B48">
      <w:pPr>
        <w:widowControl w:val="0"/>
        <w:autoSpaceDE w:val="0"/>
        <w:autoSpaceDN w:val="0"/>
        <w:adjustRightInd w:val="0"/>
        <w:spacing w:after="0" w:line="360" w:lineRule="auto"/>
        <w:contextualSpacing/>
        <w:rPr>
          <w:rFonts w:eastAsia="Times New Roman" w:cs="Times New Roman"/>
          <w:color w:val="auto"/>
          <w:lang w:eastAsia="es-ES"/>
        </w:rPr>
      </w:pPr>
      <w:r w:rsidRPr="002B39E1">
        <w:rPr>
          <w:rFonts w:eastAsia="Times New Roman" w:cs="Times New Roman"/>
          <w:color w:val="auto"/>
          <w:lang w:eastAsia="es-ES"/>
        </w:rPr>
        <w:t>Además, el artículo 67, fracción III, inciso b, de la Ley de la materia, establece que el Instituto elaborará el Programa de la Cultura de Transparencia y de Protección de Datos Personales, propiciando la colaboración y participación activa del Instituto con los sujetos obligados y las personas, a través de la certificación a los sujetos obligados, organizaciones o asociaciones de la sociedad, así como personas en general, que ofrezcan, en forma interdisciplinaria y profesional, la posibilidad de llevar a cabo cursos o talleres en materia de acceso a la información pública y protección de datos personales.</w:t>
      </w:r>
    </w:p>
    <w:p w14:paraId="48028595" w14:textId="77777777" w:rsidR="00594B48" w:rsidRPr="002B39E1" w:rsidRDefault="00594B48" w:rsidP="00594B48">
      <w:pPr>
        <w:widowControl w:val="0"/>
        <w:autoSpaceDE w:val="0"/>
        <w:autoSpaceDN w:val="0"/>
        <w:adjustRightInd w:val="0"/>
        <w:spacing w:after="0" w:line="360" w:lineRule="auto"/>
        <w:contextualSpacing/>
        <w:rPr>
          <w:rFonts w:eastAsia="Times New Roman" w:cs="Times New Roman"/>
          <w:color w:val="auto"/>
          <w:lang w:eastAsia="es-ES"/>
        </w:rPr>
      </w:pPr>
    </w:p>
    <w:p w14:paraId="114596C8" w14:textId="0B70776D" w:rsidR="00594B48" w:rsidRPr="002B39E1" w:rsidRDefault="00594B48" w:rsidP="00594B48">
      <w:pPr>
        <w:widowControl w:val="0"/>
        <w:autoSpaceDE w:val="0"/>
        <w:autoSpaceDN w:val="0"/>
        <w:adjustRightInd w:val="0"/>
        <w:spacing w:after="0" w:line="360" w:lineRule="auto"/>
        <w:contextualSpacing/>
        <w:rPr>
          <w:rFonts w:eastAsia="Times New Roman" w:cs="Times New Roman"/>
          <w:color w:val="auto"/>
          <w:lang w:eastAsia="es-ES"/>
        </w:rPr>
      </w:pPr>
      <w:r w:rsidRPr="002B39E1">
        <w:rPr>
          <w:rFonts w:eastAsia="Times New Roman" w:cs="Times New Roman"/>
          <w:color w:val="auto"/>
          <w:lang w:eastAsia="es-ES"/>
        </w:rPr>
        <w:t xml:space="preserve">En ese contexto, de conformidad con el Reglamento Interior del Instituto de Transparencia, Acceso a la Información Pública y Protección de Datos Personales del Estado de México y Municipios, el pleno de este Instituto deberá aprobar la certificación de las competencias de Titulares de las Unidades de Transparencia y de Oficiales de Protección de Datos Personales de los Sujetos Obligados. Situación que robustece, pues conforme al artículo 21, fracción VIII y </w:t>
      </w:r>
      <w:r w:rsidRPr="002B39E1">
        <w:rPr>
          <w:rFonts w:eastAsia="Times New Roman" w:cs="Times New Roman"/>
          <w:color w:val="auto"/>
          <w:lang w:eastAsia="es-ES"/>
        </w:rPr>
        <w:lastRenderedPageBreak/>
        <w:t xml:space="preserve">IX del Reglamento de este Instituto, corresponde a la Dirección General de Capacitación y Certificación, </w:t>
      </w:r>
      <w:r>
        <w:rPr>
          <w:rFonts w:eastAsia="Times New Roman" w:cs="Times New Roman"/>
          <w:color w:val="auto"/>
          <w:lang w:eastAsia="es-ES"/>
        </w:rPr>
        <w:t>p</w:t>
      </w:r>
      <w:r w:rsidRPr="002B39E1">
        <w:rPr>
          <w:rFonts w:eastAsia="Times New Roman" w:cs="Times New Roman"/>
          <w:color w:val="auto"/>
          <w:lang w:eastAsia="es-ES"/>
        </w:rPr>
        <w:t xml:space="preserve">lanificar e implementar la </w:t>
      </w:r>
      <w:r w:rsidRPr="002B39E1">
        <w:rPr>
          <w:rFonts w:eastAsia="Times New Roman" w:cs="Times New Roman"/>
          <w:b/>
          <w:bCs/>
          <w:color w:val="auto"/>
          <w:lang w:eastAsia="es-ES"/>
        </w:rPr>
        <w:t>certificación en materia de acceso a la información pública</w:t>
      </w:r>
      <w:r w:rsidRPr="002B39E1">
        <w:rPr>
          <w:rFonts w:eastAsia="Times New Roman" w:cs="Times New Roman"/>
          <w:color w:val="auto"/>
          <w:lang w:eastAsia="es-ES"/>
        </w:rPr>
        <w:t>, de los Titulares de las Unidades de Transparencia, así como de las y los servidores públicos o integrantes de los Sujetos Obligados; de las organizaciones o asociaciones de la sociedad civil, así como de las personas físicas o jurídico colectivas.</w:t>
      </w:r>
    </w:p>
    <w:p w14:paraId="7500AC74" w14:textId="77777777" w:rsidR="00594B48" w:rsidRPr="002B39E1" w:rsidRDefault="00594B48" w:rsidP="00594B48">
      <w:pPr>
        <w:widowControl w:val="0"/>
        <w:autoSpaceDE w:val="0"/>
        <w:autoSpaceDN w:val="0"/>
        <w:adjustRightInd w:val="0"/>
        <w:spacing w:after="0" w:line="360" w:lineRule="auto"/>
        <w:contextualSpacing/>
        <w:rPr>
          <w:rFonts w:eastAsia="Times New Roman" w:cs="Times New Roman"/>
          <w:b/>
          <w:color w:val="auto"/>
          <w:lang w:val="es-ES" w:eastAsia="es-ES"/>
        </w:rPr>
      </w:pPr>
    </w:p>
    <w:p w14:paraId="51E6573F" w14:textId="77777777" w:rsidR="00594B48" w:rsidRPr="002B39E1" w:rsidRDefault="00594B48" w:rsidP="00594B48">
      <w:pPr>
        <w:widowControl w:val="0"/>
        <w:autoSpaceDE w:val="0"/>
        <w:autoSpaceDN w:val="0"/>
        <w:adjustRightInd w:val="0"/>
        <w:spacing w:after="0" w:line="360" w:lineRule="auto"/>
        <w:contextualSpacing/>
        <w:rPr>
          <w:rFonts w:eastAsia="Times New Roman" w:cs="Times New Roman"/>
          <w:color w:val="auto"/>
          <w:lang w:val="es-ES" w:eastAsia="es-ES"/>
        </w:rPr>
      </w:pPr>
      <w:r w:rsidRPr="002B39E1">
        <w:rPr>
          <w:rFonts w:eastAsia="Times New Roman" w:cs="Times New Roman"/>
          <w:color w:val="auto"/>
          <w:lang w:val="es-ES" w:eastAsia="es-ES"/>
        </w:rPr>
        <w:t>En ese orden de ideas, es de señalar que el proceso ECE 346-18, es el aplicable para la certificación de los Titulares de las Unidades de Transparencia; así, se localizó la convocatoria publicada en la página oficial del  Instituto de Transparencia, Acceso a la Información Pública y Protección de Datos Personales del Estado de México, la cual establece que el proceso señalado, se basa también en el modelo estándar de competencia laboral EC-1057 “Garantizar el derecho de acceso a la información pública”. En ese contexto, conforme a las Políticas de Operación de la Entidad de Certificación y Evaluación ECE 346-18, emitidas por la Directora General de Capacitación, Certificación y Políticas Públicas, establece que el proceso se lleva a cabo de la siguiente manera:</w:t>
      </w:r>
    </w:p>
    <w:p w14:paraId="0CADE5BB" w14:textId="77777777" w:rsidR="00594B48" w:rsidRPr="002B39E1" w:rsidRDefault="00594B48" w:rsidP="00594B48">
      <w:pPr>
        <w:widowControl w:val="0"/>
        <w:autoSpaceDE w:val="0"/>
        <w:autoSpaceDN w:val="0"/>
        <w:adjustRightInd w:val="0"/>
        <w:spacing w:after="0" w:line="360" w:lineRule="auto"/>
        <w:contextualSpacing/>
        <w:rPr>
          <w:rFonts w:eastAsia="Times New Roman" w:cs="Times New Roman"/>
          <w:color w:val="auto"/>
          <w:lang w:val="es-ES" w:eastAsia="es-ES"/>
        </w:rPr>
      </w:pPr>
    </w:p>
    <w:p w14:paraId="0652E23F" w14:textId="77777777" w:rsidR="00594B48" w:rsidRDefault="00594B48" w:rsidP="00594B48">
      <w:pPr>
        <w:widowControl w:val="0"/>
        <w:autoSpaceDE w:val="0"/>
        <w:autoSpaceDN w:val="0"/>
        <w:adjustRightInd w:val="0"/>
        <w:spacing w:after="0" w:line="360" w:lineRule="auto"/>
        <w:contextualSpacing/>
        <w:jc w:val="center"/>
        <w:rPr>
          <w:rFonts w:eastAsia="Times New Roman" w:cs="Times New Roman"/>
          <w:color w:val="auto"/>
          <w:lang w:val="es-ES" w:eastAsia="es-ES"/>
        </w:rPr>
      </w:pPr>
      <w:r w:rsidRPr="0018048D">
        <w:rPr>
          <w:rFonts w:eastAsia="Times New Roman" w:cs="Times New Roman"/>
          <w:noProof/>
          <w:color w:val="auto"/>
          <w:lang w:eastAsia="es-MX"/>
        </w:rPr>
        <w:drawing>
          <wp:inline distT="0" distB="0" distL="0" distR="0" wp14:anchorId="7A37A0F3" wp14:editId="50316B11">
            <wp:extent cx="2497480" cy="2286000"/>
            <wp:effectExtent l="0" t="0" r="0" b="0"/>
            <wp:docPr id="872888553"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agram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526" cy="2288788"/>
                    </a:xfrm>
                    <a:prstGeom prst="rect">
                      <a:avLst/>
                    </a:prstGeom>
                    <a:noFill/>
                    <a:ln>
                      <a:noFill/>
                    </a:ln>
                  </pic:spPr>
                </pic:pic>
              </a:graphicData>
            </a:graphic>
          </wp:inline>
        </w:drawing>
      </w:r>
    </w:p>
    <w:p w14:paraId="34BE3DEA" w14:textId="77777777" w:rsidR="00594B48" w:rsidRPr="002B39E1" w:rsidRDefault="00594B48" w:rsidP="00594B48">
      <w:pPr>
        <w:widowControl w:val="0"/>
        <w:autoSpaceDE w:val="0"/>
        <w:autoSpaceDN w:val="0"/>
        <w:adjustRightInd w:val="0"/>
        <w:spacing w:after="0" w:line="360" w:lineRule="auto"/>
        <w:contextualSpacing/>
        <w:jc w:val="center"/>
        <w:rPr>
          <w:rFonts w:eastAsia="Times New Roman" w:cs="Times New Roman"/>
          <w:color w:val="auto"/>
          <w:lang w:val="es-ES" w:eastAsia="es-ES"/>
        </w:rPr>
      </w:pPr>
    </w:p>
    <w:p w14:paraId="015A083D" w14:textId="77777777" w:rsidR="00594B48" w:rsidRPr="002B39E1" w:rsidRDefault="00594B48" w:rsidP="00594B48">
      <w:pPr>
        <w:widowControl w:val="0"/>
        <w:autoSpaceDE w:val="0"/>
        <w:autoSpaceDN w:val="0"/>
        <w:adjustRightInd w:val="0"/>
        <w:spacing w:after="0" w:line="360" w:lineRule="auto"/>
        <w:contextualSpacing/>
        <w:rPr>
          <w:rFonts w:eastAsia="Times New Roman" w:cs="Times New Roman"/>
          <w:color w:val="auto"/>
          <w:lang w:eastAsia="es-ES"/>
        </w:rPr>
      </w:pPr>
      <w:r w:rsidRPr="002B39E1">
        <w:rPr>
          <w:rFonts w:eastAsia="Times New Roman" w:cs="Times New Roman"/>
          <w:color w:val="auto"/>
          <w:lang w:eastAsia="es-ES"/>
        </w:rPr>
        <w:t>Conforme a lo anterior, se logra vislumbrar que el proceso de certificación se realiza en las siguientes etapas:</w:t>
      </w:r>
    </w:p>
    <w:p w14:paraId="75FAB18C" w14:textId="77777777" w:rsidR="00594B48" w:rsidRPr="002B39E1" w:rsidRDefault="00594B48" w:rsidP="00594B48">
      <w:pPr>
        <w:widowControl w:val="0"/>
        <w:autoSpaceDE w:val="0"/>
        <w:autoSpaceDN w:val="0"/>
        <w:adjustRightInd w:val="0"/>
        <w:spacing w:after="0" w:line="360" w:lineRule="auto"/>
        <w:contextualSpacing/>
        <w:rPr>
          <w:rFonts w:eastAsia="Times New Roman" w:cs="Times New Roman"/>
          <w:color w:val="auto"/>
          <w:lang w:eastAsia="es-ES"/>
        </w:rPr>
      </w:pPr>
    </w:p>
    <w:p w14:paraId="2D7A3A34" w14:textId="77777777" w:rsidR="00594B48" w:rsidRPr="002B39E1" w:rsidRDefault="00594B48" w:rsidP="00594B48">
      <w:pPr>
        <w:widowControl w:val="0"/>
        <w:numPr>
          <w:ilvl w:val="0"/>
          <w:numId w:val="9"/>
        </w:numPr>
        <w:autoSpaceDE w:val="0"/>
        <w:autoSpaceDN w:val="0"/>
        <w:adjustRightInd w:val="0"/>
        <w:spacing w:after="0" w:line="360" w:lineRule="auto"/>
        <w:contextualSpacing/>
        <w:rPr>
          <w:rFonts w:eastAsia="Times New Roman" w:cs="Times New Roman"/>
          <w:color w:val="auto"/>
          <w:lang w:eastAsia="es-ES"/>
        </w:rPr>
      </w:pPr>
      <w:r w:rsidRPr="002B39E1">
        <w:rPr>
          <w:rFonts w:eastAsia="Times New Roman" w:cs="Times New Roman"/>
          <w:b/>
          <w:color w:val="auto"/>
          <w:lang w:eastAsia="es-ES"/>
        </w:rPr>
        <w:t>Primera etapa:</w:t>
      </w:r>
      <w:r w:rsidRPr="002B39E1">
        <w:rPr>
          <w:rFonts w:eastAsia="Times New Roman" w:cs="Times New Roman"/>
          <w:color w:val="auto"/>
          <w:lang w:eastAsia="es-ES"/>
        </w:rPr>
        <w:t xml:space="preserve"> Evaluación diagnóstica.</w:t>
      </w:r>
    </w:p>
    <w:p w14:paraId="4517A2F3" w14:textId="77777777" w:rsidR="00594B48" w:rsidRPr="002B39E1" w:rsidRDefault="00594B48" w:rsidP="00594B48">
      <w:pPr>
        <w:widowControl w:val="0"/>
        <w:numPr>
          <w:ilvl w:val="0"/>
          <w:numId w:val="9"/>
        </w:numPr>
        <w:autoSpaceDE w:val="0"/>
        <w:autoSpaceDN w:val="0"/>
        <w:adjustRightInd w:val="0"/>
        <w:spacing w:after="0" w:line="360" w:lineRule="auto"/>
        <w:contextualSpacing/>
        <w:rPr>
          <w:rFonts w:eastAsia="Times New Roman" w:cs="Times New Roman"/>
          <w:color w:val="auto"/>
          <w:lang w:eastAsia="es-ES"/>
        </w:rPr>
      </w:pPr>
      <w:r w:rsidRPr="002B39E1">
        <w:rPr>
          <w:rFonts w:eastAsia="Times New Roman" w:cs="Times New Roman"/>
          <w:b/>
          <w:color w:val="auto"/>
          <w:lang w:eastAsia="es-ES"/>
        </w:rPr>
        <w:t>Segunda etapa:</w:t>
      </w:r>
      <w:r w:rsidRPr="002B39E1">
        <w:rPr>
          <w:rFonts w:eastAsia="Times New Roman" w:cs="Times New Roman"/>
          <w:color w:val="auto"/>
          <w:lang w:eastAsia="es-ES"/>
        </w:rPr>
        <w:t xml:space="preserve"> Curso de capacitación en línea.</w:t>
      </w:r>
    </w:p>
    <w:p w14:paraId="36D317C0" w14:textId="77777777" w:rsidR="00594B48" w:rsidRPr="002B39E1" w:rsidRDefault="00594B48" w:rsidP="00594B48">
      <w:pPr>
        <w:widowControl w:val="0"/>
        <w:numPr>
          <w:ilvl w:val="0"/>
          <w:numId w:val="9"/>
        </w:numPr>
        <w:autoSpaceDE w:val="0"/>
        <w:autoSpaceDN w:val="0"/>
        <w:adjustRightInd w:val="0"/>
        <w:spacing w:after="0" w:line="360" w:lineRule="auto"/>
        <w:contextualSpacing/>
        <w:rPr>
          <w:rFonts w:eastAsia="Times New Roman" w:cs="Times New Roman"/>
          <w:color w:val="auto"/>
          <w:lang w:eastAsia="es-ES"/>
        </w:rPr>
      </w:pPr>
      <w:r w:rsidRPr="002B39E1">
        <w:rPr>
          <w:rFonts w:eastAsia="Times New Roman" w:cs="Times New Roman"/>
          <w:b/>
          <w:color w:val="auto"/>
          <w:lang w:eastAsia="es-ES"/>
        </w:rPr>
        <w:t>Tercera etapa:</w:t>
      </w:r>
      <w:r w:rsidRPr="002B39E1">
        <w:rPr>
          <w:rFonts w:eastAsia="Times New Roman" w:cs="Times New Roman"/>
          <w:color w:val="auto"/>
          <w:lang w:eastAsia="es-ES"/>
        </w:rPr>
        <w:t xml:space="preserve"> Taller propedéutico.</w:t>
      </w:r>
    </w:p>
    <w:p w14:paraId="5B42E190" w14:textId="77777777" w:rsidR="00594B48" w:rsidRPr="002B39E1" w:rsidRDefault="00594B48" w:rsidP="00594B48">
      <w:pPr>
        <w:widowControl w:val="0"/>
        <w:numPr>
          <w:ilvl w:val="0"/>
          <w:numId w:val="9"/>
        </w:numPr>
        <w:autoSpaceDE w:val="0"/>
        <w:autoSpaceDN w:val="0"/>
        <w:adjustRightInd w:val="0"/>
        <w:spacing w:after="0" w:line="360" w:lineRule="auto"/>
        <w:contextualSpacing/>
        <w:rPr>
          <w:rFonts w:eastAsia="Times New Roman" w:cs="Times New Roman"/>
          <w:color w:val="auto"/>
          <w:lang w:eastAsia="es-ES"/>
        </w:rPr>
      </w:pPr>
      <w:r w:rsidRPr="002B39E1">
        <w:rPr>
          <w:rFonts w:eastAsia="Times New Roman" w:cs="Times New Roman"/>
          <w:b/>
          <w:color w:val="auto"/>
          <w:lang w:eastAsia="es-ES"/>
        </w:rPr>
        <w:t>Cuarta etapa:</w:t>
      </w:r>
      <w:r w:rsidRPr="002B39E1">
        <w:rPr>
          <w:rFonts w:eastAsia="Times New Roman" w:cs="Times New Roman"/>
          <w:color w:val="auto"/>
          <w:lang w:eastAsia="es-ES"/>
        </w:rPr>
        <w:t xml:space="preserve"> Evaluación bajo el modelo del estándar de competencia.</w:t>
      </w:r>
    </w:p>
    <w:p w14:paraId="2FD42FB9" w14:textId="77777777" w:rsidR="00594B48" w:rsidRPr="002B39E1" w:rsidRDefault="00594B48" w:rsidP="00594B48">
      <w:pPr>
        <w:widowControl w:val="0"/>
        <w:numPr>
          <w:ilvl w:val="0"/>
          <w:numId w:val="9"/>
        </w:numPr>
        <w:autoSpaceDE w:val="0"/>
        <w:autoSpaceDN w:val="0"/>
        <w:adjustRightInd w:val="0"/>
        <w:spacing w:after="0" w:line="360" w:lineRule="auto"/>
        <w:contextualSpacing/>
        <w:rPr>
          <w:rFonts w:eastAsia="Times New Roman" w:cs="Times New Roman"/>
          <w:color w:val="auto"/>
          <w:lang w:eastAsia="es-ES"/>
        </w:rPr>
      </w:pPr>
      <w:r w:rsidRPr="002B39E1">
        <w:rPr>
          <w:rFonts w:eastAsia="Times New Roman" w:cs="Times New Roman"/>
          <w:b/>
          <w:color w:val="auto"/>
          <w:lang w:eastAsia="es-ES"/>
        </w:rPr>
        <w:t>Quinta etapa:</w:t>
      </w:r>
      <w:r w:rsidRPr="002B39E1">
        <w:rPr>
          <w:rFonts w:eastAsia="Times New Roman" w:cs="Times New Roman"/>
          <w:color w:val="auto"/>
          <w:lang w:eastAsia="es-ES"/>
        </w:rPr>
        <w:t xml:space="preserve"> Dictamen y emisión del certificado.</w:t>
      </w:r>
    </w:p>
    <w:p w14:paraId="01EE59D2" w14:textId="77777777" w:rsidR="00B4792C" w:rsidRDefault="00B4792C" w:rsidP="00965736">
      <w:pPr>
        <w:spacing w:after="0" w:line="360" w:lineRule="auto"/>
        <w:contextualSpacing/>
        <w:rPr>
          <w:color w:val="auto"/>
        </w:rPr>
      </w:pPr>
    </w:p>
    <w:p w14:paraId="6C7924FA" w14:textId="50E30BCF" w:rsidR="00B4792C" w:rsidRDefault="00A4092E" w:rsidP="00965736">
      <w:pPr>
        <w:spacing w:after="0" w:line="360" w:lineRule="auto"/>
        <w:contextualSpacing/>
        <w:rPr>
          <w:color w:val="auto"/>
        </w:rPr>
      </w:pPr>
      <w:r>
        <w:rPr>
          <w:color w:val="auto"/>
        </w:rPr>
        <w:t>Ahora bien, respecto a la servidora pública solicitada, este Instituto localizó en el Portal de Información Pública de Oficio Mexiquense 4.0, del Sujeto Obligado, en la fracción VII, del artículo 92, que a partir del dieciséis de febrero de dos mil veinticuatro, Claudia Noguez González, es la Directora de Información, adscrita a la Unidad de Información, Planeación, Programación y Evaluación, tal como se muestra a continuación:</w:t>
      </w:r>
    </w:p>
    <w:p w14:paraId="52C01FB6" w14:textId="77777777" w:rsidR="00A4092E" w:rsidRDefault="00A4092E" w:rsidP="00965736">
      <w:pPr>
        <w:spacing w:after="0" w:line="360" w:lineRule="auto"/>
        <w:contextualSpacing/>
        <w:rPr>
          <w:color w:val="auto"/>
        </w:rPr>
      </w:pPr>
    </w:p>
    <w:p w14:paraId="7C966FA0" w14:textId="1F60D18A" w:rsidR="00A4092E" w:rsidRDefault="00A4092E" w:rsidP="00A4092E">
      <w:pPr>
        <w:spacing w:after="0" w:line="360" w:lineRule="auto"/>
        <w:contextualSpacing/>
        <w:jc w:val="center"/>
        <w:rPr>
          <w:color w:val="auto"/>
        </w:rPr>
      </w:pPr>
      <w:r w:rsidRPr="00A4092E">
        <w:rPr>
          <w:noProof/>
          <w:color w:val="auto"/>
          <w:lang w:eastAsia="es-MX"/>
        </w:rPr>
        <w:drawing>
          <wp:inline distT="0" distB="0" distL="0" distR="0" wp14:anchorId="60536E00" wp14:editId="6712AAF3">
            <wp:extent cx="3781425" cy="789783"/>
            <wp:effectExtent l="0" t="0" r="0" b="0"/>
            <wp:docPr id="14344414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41466" name=""/>
                    <pic:cNvPicPr/>
                  </pic:nvPicPr>
                  <pic:blipFill>
                    <a:blip r:embed="rId8"/>
                    <a:stretch>
                      <a:fillRect/>
                    </a:stretch>
                  </pic:blipFill>
                  <pic:spPr>
                    <a:xfrm>
                      <a:off x="0" y="0"/>
                      <a:ext cx="3798207" cy="793288"/>
                    </a:xfrm>
                    <a:prstGeom prst="rect">
                      <a:avLst/>
                    </a:prstGeom>
                  </pic:spPr>
                </pic:pic>
              </a:graphicData>
            </a:graphic>
          </wp:inline>
        </w:drawing>
      </w:r>
    </w:p>
    <w:p w14:paraId="264FF14D" w14:textId="77777777" w:rsidR="00A4092E" w:rsidRDefault="00A4092E" w:rsidP="00965736">
      <w:pPr>
        <w:spacing w:after="0" w:line="360" w:lineRule="auto"/>
        <w:contextualSpacing/>
        <w:rPr>
          <w:color w:val="auto"/>
        </w:rPr>
      </w:pPr>
    </w:p>
    <w:p w14:paraId="5DEF049D" w14:textId="20DBF6F5" w:rsidR="00A4092E" w:rsidRDefault="00A4092E" w:rsidP="00A4092E">
      <w:pPr>
        <w:spacing w:after="0" w:line="360" w:lineRule="auto"/>
        <w:contextualSpacing/>
        <w:jc w:val="center"/>
        <w:rPr>
          <w:color w:val="auto"/>
        </w:rPr>
      </w:pPr>
      <w:r w:rsidRPr="00A4092E">
        <w:rPr>
          <w:noProof/>
          <w:color w:val="auto"/>
          <w:lang w:eastAsia="es-MX"/>
        </w:rPr>
        <w:drawing>
          <wp:inline distT="0" distB="0" distL="0" distR="0" wp14:anchorId="319DD9A4" wp14:editId="52E0BC84">
            <wp:extent cx="4335713" cy="2276475"/>
            <wp:effectExtent l="0" t="0" r="8255" b="0"/>
            <wp:docPr id="7408214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21438" name=""/>
                    <pic:cNvPicPr/>
                  </pic:nvPicPr>
                  <pic:blipFill>
                    <a:blip r:embed="rId9"/>
                    <a:stretch>
                      <a:fillRect/>
                    </a:stretch>
                  </pic:blipFill>
                  <pic:spPr>
                    <a:xfrm>
                      <a:off x="0" y="0"/>
                      <a:ext cx="4340321" cy="2278894"/>
                    </a:xfrm>
                    <a:prstGeom prst="rect">
                      <a:avLst/>
                    </a:prstGeom>
                  </pic:spPr>
                </pic:pic>
              </a:graphicData>
            </a:graphic>
          </wp:inline>
        </w:drawing>
      </w:r>
    </w:p>
    <w:p w14:paraId="03D436C1" w14:textId="77777777" w:rsidR="00A4092E" w:rsidRDefault="00A4092E" w:rsidP="00965736">
      <w:pPr>
        <w:spacing w:after="0" w:line="360" w:lineRule="auto"/>
        <w:contextualSpacing/>
        <w:rPr>
          <w:color w:val="auto"/>
        </w:rPr>
      </w:pPr>
    </w:p>
    <w:p w14:paraId="1E053F48" w14:textId="2DDD3F0D" w:rsidR="00A4092E" w:rsidRDefault="00A4092E" w:rsidP="00965736">
      <w:pPr>
        <w:spacing w:after="0" w:line="360" w:lineRule="auto"/>
        <w:contextualSpacing/>
        <w:rPr>
          <w:rFonts w:eastAsia="Times New Roman" w:cs="Times New Roman"/>
          <w:color w:val="auto"/>
          <w:lang w:val="es-ES" w:eastAsia="es-ES"/>
        </w:rPr>
      </w:pPr>
      <w:r>
        <w:rPr>
          <w:color w:val="auto"/>
        </w:rPr>
        <w:lastRenderedPageBreak/>
        <w:t xml:space="preserve">Conforme a lo anterior, se logra vislumbrar que la pretensión de la persona Recurrente es obtener la Certificación de Competencia Laboral en el estándar </w:t>
      </w:r>
      <w:r w:rsidRPr="002B39E1">
        <w:rPr>
          <w:rFonts w:eastAsia="Times New Roman" w:cs="Times New Roman"/>
          <w:color w:val="auto"/>
          <w:lang w:val="es-ES" w:eastAsia="es-ES"/>
        </w:rPr>
        <w:t>EC-1057 “Garantizar el derecho de acceso a la información pública”</w:t>
      </w:r>
      <w:r>
        <w:rPr>
          <w:rFonts w:eastAsia="Times New Roman" w:cs="Times New Roman"/>
          <w:color w:val="auto"/>
          <w:lang w:val="es-ES" w:eastAsia="es-ES"/>
        </w:rPr>
        <w:t>, de la actual Directora de Información.</w:t>
      </w:r>
    </w:p>
    <w:p w14:paraId="7A1B7A7A" w14:textId="77777777" w:rsidR="00A4092E" w:rsidRDefault="00A4092E" w:rsidP="00965736">
      <w:pPr>
        <w:spacing w:after="0" w:line="360" w:lineRule="auto"/>
        <w:contextualSpacing/>
        <w:rPr>
          <w:rFonts w:eastAsia="Times New Roman" w:cs="Times New Roman"/>
          <w:color w:val="auto"/>
          <w:lang w:val="es-ES" w:eastAsia="es-ES"/>
        </w:rPr>
      </w:pPr>
    </w:p>
    <w:p w14:paraId="1A5AB213" w14:textId="02D20219" w:rsidR="00A4092E" w:rsidRDefault="00A4092E" w:rsidP="00A4092E">
      <w:pPr>
        <w:widowControl w:val="0"/>
        <w:spacing w:after="0" w:line="360" w:lineRule="auto"/>
        <w:rPr>
          <w:color w:val="000000"/>
        </w:rPr>
      </w:pPr>
      <w:r w:rsidRPr="005F1604">
        <w:t xml:space="preserve">Ante dicha circunstancia, es necesario precisar que </w:t>
      </w:r>
      <w:r w:rsidRPr="005F1604">
        <w:rPr>
          <w:color w:val="000000"/>
        </w:rPr>
        <w:t xml:space="preserve">de las constancias que obran en el expediente electrónico, se logra advertir que </w:t>
      </w:r>
      <w:r w:rsidRPr="005F1604">
        <w:t xml:space="preserve">el Sujeto Obligado </w:t>
      </w:r>
      <w:r w:rsidRPr="005F1604">
        <w:rPr>
          <w:color w:val="000000"/>
        </w:rPr>
        <w:t xml:space="preserve">turnó la solicitud de información a la </w:t>
      </w:r>
      <w:r>
        <w:rPr>
          <w:color w:val="000000"/>
        </w:rPr>
        <w:t>Coordinación Administrativa</w:t>
      </w:r>
      <w:r w:rsidRPr="005F1604">
        <w:rPr>
          <w:color w:val="000000"/>
        </w:rPr>
        <w:t>; 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21DDF632" w14:textId="77777777" w:rsidR="00A4092E" w:rsidRDefault="00A4092E" w:rsidP="00A4092E">
      <w:pPr>
        <w:widowControl w:val="0"/>
        <w:spacing w:after="0" w:line="360" w:lineRule="auto"/>
        <w:rPr>
          <w:color w:val="000000"/>
        </w:rPr>
      </w:pPr>
    </w:p>
    <w:p w14:paraId="71157334" w14:textId="10B6731A" w:rsidR="00A4092E" w:rsidRDefault="00A4092E" w:rsidP="00A4092E">
      <w:pPr>
        <w:widowControl w:val="0"/>
        <w:spacing w:after="0" w:line="360" w:lineRule="auto"/>
        <w:rPr>
          <w:color w:val="000000"/>
        </w:rPr>
      </w:pPr>
      <w:r>
        <w:rPr>
          <w:color w:val="000000"/>
        </w:rPr>
        <w:t xml:space="preserve">Así a efecto de verificar que el Sujeto Obligado cumplió con el procedimiento establecido es necesario traer a colación el Manual General de Organización de la Secretaría de Finanzas, que establece que la Dependencia, para el cumplimiento de sus funciones contará con diversas unidades administrativas, entre las cuales se encuentra la </w:t>
      </w:r>
      <w:r w:rsidR="00513C03">
        <w:rPr>
          <w:color w:val="000000"/>
        </w:rPr>
        <w:t>Coordinación Administrativa, encargada de coordinar la gestión de l</w:t>
      </w:r>
      <w:r w:rsidR="00513C03">
        <w:t>os movimientos de alta, baja y cambios de adscripción; así como, los trámites relacionados con la administración y desarrollo de los recursos humanos.</w:t>
      </w:r>
    </w:p>
    <w:p w14:paraId="735661B5" w14:textId="77777777" w:rsidR="00A4092E" w:rsidRPr="005F1604" w:rsidRDefault="00A4092E" w:rsidP="00A4092E">
      <w:pPr>
        <w:widowControl w:val="0"/>
        <w:spacing w:after="0" w:line="360" w:lineRule="auto"/>
        <w:rPr>
          <w:color w:val="000000"/>
        </w:rPr>
      </w:pPr>
    </w:p>
    <w:p w14:paraId="246E4D88" w14:textId="536D3BCD" w:rsidR="00A4092E" w:rsidRDefault="00A4092E" w:rsidP="00A4092E">
      <w:pPr>
        <w:widowControl w:val="0"/>
        <w:spacing w:after="0" w:line="360" w:lineRule="auto"/>
        <w:rPr>
          <w:color w:val="000000"/>
        </w:rPr>
      </w:pPr>
      <w:r w:rsidRPr="005F1604">
        <w:rPr>
          <w:color w:val="000000"/>
        </w:rPr>
        <w:t xml:space="preserve">Conforme a lo anterior, se logra colegir que el Sujeto Obligado cumplió con el procedimiento de búsqueda </w:t>
      </w:r>
      <w:r>
        <w:rPr>
          <w:color w:val="000000"/>
        </w:rPr>
        <w:t>previamente referido</w:t>
      </w:r>
      <w:r w:rsidRPr="005F1604">
        <w:rPr>
          <w:color w:val="000000"/>
        </w:rPr>
        <w:t xml:space="preserve">, toda vez que turnó la solicitud </w:t>
      </w:r>
      <w:r w:rsidR="00513C03">
        <w:rPr>
          <w:color w:val="000000"/>
        </w:rPr>
        <w:t>al área que administra y controla al personal adscrito a la Secretaría de Finanzas.</w:t>
      </w:r>
    </w:p>
    <w:p w14:paraId="1DE2351B" w14:textId="77777777" w:rsidR="00513C03" w:rsidRDefault="00513C03" w:rsidP="00A4092E">
      <w:pPr>
        <w:widowControl w:val="0"/>
        <w:spacing w:after="0" w:line="360" w:lineRule="auto"/>
        <w:rPr>
          <w:color w:val="000000"/>
        </w:rPr>
      </w:pPr>
    </w:p>
    <w:p w14:paraId="705A95A5" w14:textId="77777777" w:rsidR="00513C03" w:rsidRPr="005F1604" w:rsidRDefault="00513C03" w:rsidP="00A4092E">
      <w:pPr>
        <w:widowControl w:val="0"/>
        <w:spacing w:after="0" w:line="360" w:lineRule="auto"/>
        <w:rPr>
          <w:color w:val="000000"/>
        </w:rPr>
      </w:pPr>
    </w:p>
    <w:p w14:paraId="3A729475" w14:textId="748D005F" w:rsidR="00513C03" w:rsidRPr="002E4721" w:rsidRDefault="00513C03" w:rsidP="00513C03">
      <w:pPr>
        <w:spacing w:after="0" w:line="360" w:lineRule="auto"/>
        <w:rPr>
          <w:rFonts w:eastAsia="Palatino Linotype" w:cs="Palatino Linotype"/>
          <w:color w:val="auto"/>
          <w:lang w:eastAsia="es-ES"/>
        </w:rPr>
      </w:pPr>
      <w:r w:rsidRPr="002E4721">
        <w:rPr>
          <w:rFonts w:eastAsia="Palatino Linotype" w:cs="Palatino Linotype"/>
          <w:color w:val="auto"/>
          <w:lang w:eastAsia="es-ES"/>
        </w:rPr>
        <w:lastRenderedPageBreak/>
        <w:t xml:space="preserve">Ahora bien, </w:t>
      </w:r>
      <w:r>
        <w:rPr>
          <w:rFonts w:eastAsia="Palatino Linotype" w:cs="Palatino Linotype"/>
          <w:color w:val="auto"/>
          <w:lang w:eastAsia="es-ES"/>
        </w:rPr>
        <w:t>dicha área</w:t>
      </w:r>
      <w:r w:rsidRPr="002E4721">
        <w:rPr>
          <w:rFonts w:eastAsia="Palatino Linotype" w:cs="Palatino Linotype"/>
          <w:color w:val="auto"/>
          <w:lang w:eastAsia="es-ES"/>
        </w:rPr>
        <w:t xml:space="preserve"> en respuesta</w:t>
      </w:r>
      <w:r>
        <w:rPr>
          <w:rFonts w:eastAsia="Palatino Linotype" w:cs="Palatino Linotype"/>
          <w:color w:val="auto"/>
          <w:lang w:eastAsia="es-ES"/>
        </w:rPr>
        <w:t xml:space="preserve"> precisó que en expediente de personal de la servidora pública solicitada no obraba la certificación, situación que fue ratificada mediante Informe Justificado;</w:t>
      </w:r>
      <w:r w:rsidRPr="002E4721">
        <w:rPr>
          <w:rFonts w:eastAsia="Palatino Linotype" w:cs="Palatino Linotype"/>
          <w:color w:val="auto"/>
          <w:lang w:eastAsia="es-ES"/>
        </w:rPr>
        <w:t xml:space="preserve"> sobre el tema, el Criterio SO/014/2017, emitido por el Instituto Nacional de Transparencia, Acceso a la Información Pública y Protección de Datos Personales en el Estado de México y Municipios, establece que la inexistencia de la información, es una cuestión de hecho que se le atribuye a la misma, cuando ésta no se encuentra en los archivos del sujeto obligado. </w:t>
      </w:r>
    </w:p>
    <w:p w14:paraId="58B6170E" w14:textId="77777777" w:rsidR="00513C03" w:rsidRPr="002E4721" w:rsidRDefault="00513C03" w:rsidP="00513C03">
      <w:pPr>
        <w:tabs>
          <w:tab w:val="left" w:pos="4962"/>
        </w:tabs>
        <w:spacing w:after="0" w:line="360" w:lineRule="auto"/>
        <w:rPr>
          <w:rFonts w:eastAsia="Palatino Linotype" w:cs="Palatino Linotype"/>
          <w:color w:val="auto"/>
          <w:lang w:eastAsia="es-ES"/>
        </w:rPr>
      </w:pPr>
    </w:p>
    <w:p w14:paraId="5C9F6A06" w14:textId="77777777" w:rsidR="00513C03" w:rsidRPr="002E4721" w:rsidRDefault="00513C03" w:rsidP="00513C03">
      <w:pPr>
        <w:tabs>
          <w:tab w:val="left" w:pos="4962"/>
        </w:tabs>
        <w:spacing w:after="0" w:line="360" w:lineRule="auto"/>
        <w:rPr>
          <w:rFonts w:eastAsia="Palatino Linotype" w:cs="Palatino Linotype"/>
          <w:color w:val="auto"/>
          <w:lang w:eastAsia="es-ES"/>
        </w:rPr>
      </w:pPr>
      <w:r w:rsidRPr="002E4721">
        <w:rPr>
          <w:rFonts w:eastAsia="Palatino Linotype" w:cs="Palatino Linotype"/>
          <w:color w:val="auto"/>
          <w:lang w:eastAsia="es-ES"/>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6AB33E45" w14:textId="77777777" w:rsidR="00513C03" w:rsidRPr="002E4721" w:rsidRDefault="00513C03" w:rsidP="00513C03">
      <w:pPr>
        <w:spacing w:after="0" w:line="360" w:lineRule="auto"/>
        <w:rPr>
          <w:rFonts w:eastAsia="Palatino Linotype" w:cs="Palatino Linotype"/>
          <w:color w:val="auto"/>
          <w:lang w:eastAsia="es-ES"/>
        </w:rPr>
      </w:pPr>
    </w:p>
    <w:p w14:paraId="7968D1F4" w14:textId="77777777" w:rsidR="00513C03" w:rsidRPr="002E4721" w:rsidRDefault="00513C03" w:rsidP="00513C03">
      <w:pPr>
        <w:spacing w:after="0" w:line="360" w:lineRule="auto"/>
        <w:rPr>
          <w:rFonts w:eastAsia="Palatino Linotype" w:cs="Palatino Linotype"/>
          <w:color w:val="auto"/>
          <w:lang w:eastAsia="es-ES"/>
        </w:rPr>
      </w:pPr>
      <w:r w:rsidRPr="002E4721">
        <w:rPr>
          <w:rFonts w:eastAsia="Palatino Linotype" w:cs="Palatino Linotype"/>
          <w:color w:val="auto"/>
          <w:lang w:eastAsia="es-ES"/>
        </w:rPr>
        <w:t xml:space="preserve">Así, es posible concluir que la </w:t>
      </w:r>
      <w:r w:rsidRPr="002E4721">
        <w:rPr>
          <w:rFonts w:eastAsia="Palatino Linotype" w:cs="Palatino Linotype"/>
          <w:b/>
          <w:color w:val="auto"/>
          <w:lang w:eastAsia="es-ES"/>
        </w:rPr>
        <w:t>inexistencia</w:t>
      </w:r>
      <w:r w:rsidRPr="002E4721">
        <w:rPr>
          <w:rFonts w:eastAsia="Palatino Linotype" w:cs="Palatino Linotype"/>
          <w:color w:val="auto"/>
          <w:lang w:eastAsia="es-ES"/>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14:paraId="454B6544" w14:textId="77777777" w:rsidR="00513C03" w:rsidRPr="002E4721" w:rsidRDefault="00513C03" w:rsidP="00513C03">
      <w:pPr>
        <w:spacing w:after="0" w:line="360" w:lineRule="auto"/>
        <w:rPr>
          <w:rFonts w:eastAsia="Palatino Linotype" w:cs="Palatino Linotype"/>
          <w:color w:val="auto"/>
          <w:lang w:eastAsia="es-ES"/>
        </w:rPr>
      </w:pPr>
    </w:p>
    <w:p w14:paraId="4C0272F7" w14:textId="57E363A1" w:rsidR="00513C03" w:rsidRDefault="00513C03" w:rsidP="00513C03">
      <w:pPr>
        <w:spacing w:after="0" w:line="360" w:lineRule="auto"/>
        <w:rPr>
          <w:rFonts w:eastAsia="Palatino Linotype" w:cs="Palatino Linotype"/>
          <w:color w:val="auto"/>
          <w:lang w:eastAsia="es-ES"/>
        </w:rPr>
      </w:pPr>
      <w:r w:rsidRPr="002E4721">
        <w:rPr>
          <w:rFonts w:eastAsia="Palatino Linotype" w:cs="Palatino Linotype"/>
          <w:color w:val="auto"/>
          <w:lang w:eastAsia="es-ES"/>
        </w:rPr>
        <w:t xml:space="preserve">En ese contexto, el Sujeto Obligado precisó las razones por las cuales no contaba con lo peticionado, a saber </w:t>
      </w:r>
      <w:r>
        <w:rPr>
          <w:rFonts w:eastAsia="Palatino Linotype" w:cs="Palatino Linotype"/>
          <w:color w:val="auto"/>
          <w:lang w:eastAsia="es-ES"/>
        </w:rPr>
        <w:t xml:space="preserve">que, en el expediente de personal de la servidora pública, no obraba ningún Certificado de Competencia Laboral; lo cual toma relevancia, pues </w:t>
      </w:r>
      <w:r w:rsidRPr="002E4721">
        <w:rPr>
          <w:rFonts w:eastAsia="Palatino Linotype" w:cs="Palatino Linotype"/>
          <w:color w:val="auto"/>
          <w:lang w:eastAsia="es-ES"/>
        </w:rPr>
        <w:t xml:space="preserve">este Instituto realizó una búsqueda en la página oficial, el Portal de Información Pública de Oficio Mexiquense y las cuentas oficiales de las redes sociales del Sujeto Obligado y no se advierte que exista la documentación peticionada. </w:t>
      </w:r>
    </w:p>
    <w:p w14:paraId="33B9CFE3" w14:textId="77777777" w:rsidR="00513C03" w:rsidRDefault="00513C03" w:rsidP="00513C03">
      <w:pPr>
        <w:spacing w:after="0" w:line="360" w:lineRule="auto"/>
        <w:rPr>
          <w:rFonts w:eastAsia="Palatino Linotype" w:cs="Palatino Linotype"/>
          <w:color w:val="auto"/>
          <w:lang w:eastAsia="es-ES"/>
        </w:rPr>
      </w:pPr>
    </w:p>
    <w:p w14:paraId="29656A8E" w14:textId="58529744" w:rsidR="00513C03" w:rsidRDefault="00513C03" w:rsidP="00513C03">
      <w:pPr>
        <w:spacing w:after="0" w:line="360" w:lineRule="auto"/>
        <w:rPr>
          <w:rFonts w:eastAsia="Palatino Linotype" w:cs="Palatino Linotype"/>
          <w:color w:val="auto"/>
          <w:lang w:eastAsia="es-ES"/>
        </w:rPr>
      </w:pPr>
      <w:r>
        <w:rPr>
          <w:rFonts w:eastAsia="Palatino Linotype" w:cs="Palatino Linotype"/>
          <w:color w:val="auto"/>
          <w:lang w:eastAsia="es-ES"/>
        </w:rPr>
        <w:lastRenderedPageBreak/>
        <w:t>Dicha situación se robustece con el hecho de que únicamente se encuentran obligados a contar con dicha documental, los Titulares de las Unidades de Transparencia; en otras palabras, la Directora de Información al no contar con el cargo ref</w:t>
      </w:r>
      <w:r w:rsidR="00B646F4">
        <w:rPr>
          <w:rFonts w:eastAsia="Palatino Linotype" w:cs="Palatino Linotype"/>
          <w:color w:val="auto"/>
          <w:lang w:eastAsia="es-ES"/>
        </w:rPr>
        <w:t xml:space="preserve">erido, no </w:t>
      </w:r>
      <w:proofErr w:type="spellStart"/>
      <w:r w:rsidR="00B646F4">
        <w:rPr>
          <w:rFonts w:eastAsia="Palatino Linotype" w:cs="Palatino Linotype"/>
          <w:color w:val="auto"/>
          <w:lang w:eastAsia="es-ES"/>
        </w:rPr>
        <w:t>esta</w:t>
      </w:r>
      <w:proofErr w:type="spellEnd"/>
      <w:r w:rsidR="00B646F4">
        <w:rPr>
          <w:rFonts w:eastAsia="Palatino Linotype" w:cs="Palatino Linotype"/>
          <w:color w:val="auto"/>
          <w:lang w:eastAsia="es-ES"/>
        </w:rPr>
        <w:t xml:space="preserve"> obligada</w:t>
      </w:r>
    </w:p>
    <w:p w14:paraId="5B819502" w14:textId="77777777" w:rsidR="00513C03" w:rsidRDefault="00513C03" w:rsidP="00513C03">
      <w:pPr>
        <w:spacing w:after="0" w:line="360" w:lineRule="auto"/>
        <w:rPr>
          <w:rFonts w:eastAsia="Palatino Linotype" w:cs="Palatino Linotype"/>
          <w:color w:val="auto"/>
          <w:lang w:eastAsia="es-ES"/>
        </w:rPr>
      </w:pPr>
      <w:bookmarkStart w:id="1" w:name="_GoBack"/>
      <w:bookmarkEnd w:id="1"/>
    </w:p>
    <w:p w14:paraId="159C25B0" w14:textId="3559A026" w:rsidR="00513C03" w:rsidRDefault="0085457C" w:rsidP="00513C03">
      <w:pPr>
        <w:spacing w:after="0" w:line="360" w:lineRule="auto"/>
        <w:rPr>
          <w:rFonts w:eastAsia="Palatino Linotype" w:cs="Palatino Linotype"/>
          <w:color w:val="auto"/>
          <w:lang w:eastAsia="es-ES"/>
        </w:rPr>
      </w:pPr>
      <w:r>
        <w:rPr>
          <w:rFonts w:eastAsia="Palatino Linotype" w:cs="Palatino Linotype"/>
          <w:color w:val="auto"/>
          <w:lang w:eastAsia="es-ES"/>
        </w:rPr>
        <w:t>Lo anterior resulta así, pues de la respuesta entregada por el Sujeto Obligado y lo publicado en el Portal de Información Pública de Oficio Mexiquense, se logra vislumbrar que Mario Reyes Santos es el Titular de la Unidad de Transparencia, tal como se muestra a continuación:</w:t>
      </w:r>
    </w:p>
    <w:p w14:paraId="21671A94" w14:textId="77777777" w:rsidR="0085457C" w:rsidRDefault="0085457C" w:rsidP="00513C03">
      <w:pPr>
        <w:spacing w:after="0" w:line="360" w:lineRule="auto"/>
        <w:rPr>
          <w:rFonts w:eastAsia="Palatino Linotype" w:cs="Palatino Linotype"/>
          <w:color w:val="auto"/>
          <w:lang w:eastAsia="es-ES"/>
        </w:rPr>
      </w:pPr>
    </w:p>
    <w:p w14:paraId="662456F7" w14:textId="76A7F489" w:rsidR="0085457C" w:rsidRDefault="0085457C" w:rsidP="0085457C">
      <w:pPr>
        <w:spacing w:after="0" w:line="360" w:lineRule="auto"/>
        <w:jc w:val="center"/>
        <w:rPr>
          <w:rFonts w:eastAsia="Palatino Linotype" w:cs="Palatino Linotype"/>
          <w:color w:val="auto"/>
          <w:lang w:eastAsia="es-ES"/>
        </w:rPr>
      </w:pPr>
      <w:r w:rsidRPr="0085457C">
        <w:rPr>
          <w:rFonts w:eastAsia="Palatino Linotype" w:cs="Palatino Linotype"/>
          <w:noProof/>
          <w:color w:val="auto"/>
          <w:lang w:eastAsia="es-MX"/>
        </w:rPr>
        <w:drawing>
          <wp:inline distT="0" distB="0" distL="0" distR="0" wp14:anchorId="245D315E" wp14:editId="2CE3ABAE">
            <wp:extent cx="4255944" cy="2305050"/>
            <wp:effectExtent l="0" t="0" r="0" b="0"/>
            <wp:docPr id="8445878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87821" name=""/>
                    <pic:cNvPicPr/>
                  </pic:nvPicPr>
                  <pic:blipFill>
                    <a:blip r:embed="rId10"/>
                    <a:stretch>
                      <a:fillRect/>
                    </a:stretch>
                  </pic:blipFill>
                  <pic:spPr>
                    <a:xfrm>
                      <a:off x="0" y="0"/>
                      <a:ext cx="4270272" cy="2312810"/>
                    </a:xfrm>
                    <a:prstGeom prst="rect">
                      <a:avLst/>
                    </a:prstGeom>
                  </pic:spPr>
                </pic:pic>
              </a:graphicData>
            </a:graphic>
          </wp:inline>
        </w:drawing>
      </w:r>
    </w:p>
    <w:p w14:paraId="302E587C" w14:textId="77777777" w:rsidR="0085457C" w:rsidRDefault="0085457C" w:rsidP="0085457C">
      <w:pPr>
        <w:spacing w:after="0" w:line="360" w:lineRule="auto"/>
        <w:jc w:val="center"/>
        <w:rPr>
          <w:rFonts w:eastAsia="Palatino Linotype" w:cs="Palatino Linotype"/>
          <w:color w:val="auto"/>
          <w:lang w:eastAsia="es-ES"/>
        </w:rPr>
      </w:pPr>
    </w:p>
    <w:p w14:paraId="505D85C3" w14:textId="00DF5CF2" w:rsidR="0085457C" w:rsidRDefault="0085457C" w:rsidP="0085457C">
      <w:pPr>
        <w:spacing w:after="0" w:line="360" w:lineRule="auto"/>
        <w:jc w:val="center"/>
        <w:rPr>
          <w:rFonts w:eastAsia="Palatino Linotype" w:cs="Palatino Linotype"/>
          <w:color w:val="auto"/>
          <w:lang w:eastAsia="es-ES"/>
        </w:rPr>
      </w:pPr>
      <w:r w:rsidRPr="0085457C">
        <w:rPr>
          <w:rFonts w:eastAsia="Palatino Linotype" w:cs="Palatino Linotype"/>
          <w:noProof/>
          <w:color w:val="auto"/>
          <w:lang w:eastAsia="es-MX"/>
        </w:rPr>
        <w:drawing>
          <wp:inline distT="0" distB="0" distL="0" distR="0" wp14:anchorId="13FD5DA0" wp14:editId="0EDC3FAB">
            <wp:extent cx="4352925" cy="2286467"/>
            <wp:effectExtent l="0" t="0" r="0" b="0"/>
            <wp:docPr id="2055030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3036" name=""/>
                    <pic:cNvPicPr/>
                  </pic:nvPicPr>
                  <pic:blipFill>
                    <a:blip r:embed="rId11"/>
                    <a:stretch>
                      <a:fillRect/>
                    </a:stretch>
                  </pic:blipFill>
                  <pic:spPr>
                    <a:xfrm>
                      <a:off x="0" y="0"/>
                      <a:ext cx="4359134" cy="2289729"/>
                    </a:xfrm>
                    <a:prstGeom prst="rect">
                      <a:avLst/>
                    </a:prstGeom>
                  </pic:spPr>
                </pic:pic>
              </a:graphicData>
            </a:graphic>
          </wp:inline>
        </w:drawing>
      </w:r>
    </w:p>
    <w:p w14:paraId="23C0D5AE" w14:textId="77777777" w:rsidR="0085457C" w:rsidRDefault="0085457C" w:rsidP="0085457C">
      <w:pPr>
        <w:spacing w:after="0" w:line="360" w:lineRule="auto"/>
        <w:jc w:val="center"/>
        <w:rPr>
          <w:rFonts w:eastAsia="Palatino Linotype" w:cs="Palatino Linotype"/>
          <w:color w:val="auto"/>
          <w:lang w:eastAsia="es-ES"/>
        </w:rPr>
      </w:pPr>
    </w:p>
    <w:p w14:paraId="15B38C51" w14:textId="060AD985" w:rsidR="0085457C" w:rsidRDefault="0085457C" w:rsidP="0085457C">
      <w:pPr>
        <w:spacing w:after="0" w:line="360" w:lineRule="auto"/>
        <w:jc w:val="center"/>
        <w:rPr>
          <w:rFonts w:eastAsia="Palatino Linotype" w:cs="Palatino Linotype"/>
          <w:color w:val="auto"/>
          <w:lang w:eastAsia="es-ES"/>
        </w:rPr>
      </w:pPr>
      <w:r w:rsidRPr="0085457C">
        <w:rPr>
          <w:rFonts w:eastAsia="Palatino Linotype" w:cs="Palatino Linotype"/>
          <w:noProof/>
          <w:color w:val="auto"/>
          <w:lang w:eastAsia="es-MX"/>
        </w:rPr>
        <w:lastRenderedPageBreak/>
        <w:drawing>
          <wp:inline distT="0" distB="0" distL="0" distR="0" wp14:anchorId="694770CC" wp14:editId="6D6272AD">
            <wp:extent cx="3270600" cy="1504950"/>
            <wp:effectExtent l="0" t="0" r="6350" b="0"/>
            <wp:docPr id="1185327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27142" name=""/>
                    <pic:cNvPicPr/>
                  </pic:nvPicPr>
                  <pic:blipFill>
                    <a:blip r:embed="rId12"/>
                    <a:stretch>
                      <a:fillRect/>
                    </a:stretch>
                  </pic:blipFill>
                  <pic:spPr>
                    <a:xfrm>
                      <a:off x="0" y="0"/>
                      <a:ext cx="3274516" cy="1506752"/>
                    </a:xfrm>
                    <a:prstGeom prst="rect">
                      <a:avLst/>
                    </a:prstGeom>
                  </pic:spPr>
                </pic:pic>
              </a:graphicData>
            </a:graphic>
          </wp:inline>
        </w:drawing>
      </w:r>
    </w:p>
    <w:p w14:paraId="076A5605" w14:textId="77777777" w:rsidR="0085457C" w:rsidRDefault="0085457C" w:rsidP="00513C03">
      <w:pPr>
        <w:spacing w:after="0" w:line="360" w:lineRule="auto"/>
        <w:rPr>
          <w:rFonts w:eastAsia="Palatino Linotype" w:cs="Palatino Linotype"/>
          <w:color w:val="auto"/>
          <w:lang w:eastAsia="es-ES"/>
        </w:rPr>
      </w:pPr>
    </w:p>
    <w:p w14:paraId="5B5DFBEB" w14:textId="41A458CA" w:rsidR="0085457C" w:rsidRDefault="0085457C" w:rsidP="00513C03">
      <w:pPr>
        <w:spacing w:after="0" w:line="360" w:lineRule="auto"/>
        <w:rPr>
          <w:rFonts w:eastAsia="Palatino Linotype" w:cs="Palatino Linotype"/>
          <w:color w:val="auto"/>
          <w:lang w:eastAsia="es-ES"/>
        </w:rPr>
      </w:pPr>
      <w:r>
        <w:rPr>
          <w:rFonts w:eastAsia="Palatino Linotype" w:cs="Palatino Linotype"/>
          <w:color w:val="auto"/>
          <w:lang w:eastAsia="es-ES"/>
        </w:rPr>
        <w:t>Como se logra vislumbrar, el constreñido a contar con la Certificación de Competencia Laboral, establecida en el artículo 57 de la Ley de Transparencia Local, es el servidor público Mario Reyes Santos, Titular de la Unidad de Transparencia; por lo que, en el presente caso, dicha circunstancia abona a la situación de que la Directora de Información no se encuentra obligada a contar con dicha documental y por tal circunstancia, se acredita que no obre en los archivos que conforman el expediente de personal de la trabajadora referida.</w:t>
      </w:r>
    </w:p>
    <w:p w14:paraId="06CA7403" w14:textId="77777777" w:rsidR="0085457C" w:rsidRPr="002E4721" w:rsidRDefault="0085457C" w:rsidP="00513C03">
      <w:pPr>
        <w:spacing w:after="0" w:line="360" w:lineRule="auto"/>
        <w:rPr>
          <w:rFonts w:eastAsia="Palatino Linotype" w:cs="Palatino Linotype"/>
          <w:color w:val="auto"/>
          <w:lang w:eastAsia="es-ES"/>
        </w:rPr>
      </w:pPr>
    </w:p>
    <w:p w14:paraId="387F185A" w14:textId="447F320F" w:rsidR="00513C03" w:rsidRPr="002E4721" w:rsidRDefault="0085457C" w:rsidP="00513C03">
      <w:pPr>
        <w:spacing w:after="0" w:line="360" w:lineRule="auto"/>
        <w:rPr>
          <w:rFonts w:eastAsia="Palatino Linotype" w:cs="Palatino Linotype"/>
          <w:color w:val="auto"/>
          <w:lang w:eastAsia="es-ES"/>
        </w:rPr>
      </w:pPr>
      <w:r>
        <w:rPr>
          <w:rFonts w:eastAsia="Palatino Linotype" w:cs="Palatino Linotype"/>
          <w:color w:val="auto"/>
          <w:lang w:eastAsia="es-ES"/>
        </w:rPr>
        <w:t>De tal circunstancia, se  concluye</w:t>
      </w:r>
      <w:r w:rsidR="00513C03" w:rsidRPr="002E4721">
        <w:rPr>
          <w:rFonts w:eastAsia="Palatino Linotype" w:cs="Palatino Linotype"/>
          <w:color w:val="auto"/>
          <w:lang w:eastAsia="es-ES"/>
        </w:rPr>
        <w:t xml:space="preserve"> que la información solicitada por el ahora Recurrente es inexistente, pues el Sujeto Obligado, realizó una búsqueda exhaustiva y razonable en los archivos de la unidad administrativa competente</w:t>
      </w:r>
      <w:r>
        <w:rPr>
          <w:rFonts w:eastAsia="Palatino Linotype" w:cs="Palatino Linotype"/>
          <w:color w:val="auto"/>
          <w:lang w:eastAsia="es-ES"/>
        </w:rPr>
        <w:t>, al realizarla en el expediente de la servidora pública solicitada</w:t>
      </w:r>
      <w:r w:rsidR="00513C03" w:rsidRPr="002E4721">
        <w:rPr>
          <w:rFonts w:eastAsia="Palatino Linotype" w:cs="Palatino Linotype"/>
          <w:color w:val="auto"/>
          <w:lang w:eastAsia="es-ES"/>
        </w:rPr>
        <w:t xml:space="preserve"> y esta señaló los motivos por los cuales no contaba con la peticionado;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7ED612F4" w14:textId="77777777" w:rsidR="00513C03" w:rsidRPr="002E4721" w:rsidRDefault="00513C03" w:rsidP="00513C03">
      <w:pPr>
        <w:widowControl w:val="0"/>
        <w:spacing w:after="0" w:line="360" w:lineRule="auto"/>
        <w:rPr>
          <w:rFonts w:eastAsia="Palatino Linotype" w:cs="Palatino Linotype"/>
          <w:color w:val="auto"/>
          <w:lang w:eastAsia="es-ES"/>
        </w:rPr>
      </w:pPr>
    </w:p>
    <w:p w14:paraId="75A207CF" w14:textId="77777777" w:rsidR="00513C03" w:rsidRPr="002E4721" w:rsidRDefault="00513C03" w:rsidP="00513C03">
      <w:pPr>
        <w:spacing w:after="0" w:line="360" w:lineRule="auto"/>
        <w:rPr>
          <w:rFonts w:eastAsia="Palatino Linotype" w:cs="Palatino Linotype"/>
          <w:color w:val="auto"/>
          <w:lang w:eastAsia="es-ES"/>
        </w:rPr>
      </w:pPr>
      <w:r w:rsidRPr="002E4721">
        <w:rPr>
          <w:rFonts w:eastAsia="Palatino Linotype" w:cs="Palatino Linotype"/>
          <w:color w:val="auto"/>
          <w:lang w:eastAsia="es-ES"/>
        </w:rPr>
        <w:t xml:space="preserve">De la misma manera, 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w:t>
      </w:r>
      <w:r w:rsidRPr="002E4721">
        <w:rPr>
          <w:rFonts w:eastAsia="Palatino Linotype" w:cs="Palatino Linotype"/>
          <w:color w:val="auto"/>
          <w:lang w:eastAsia="es-ES"/>
        </w:rPr>
        <w:lastRenderedPageBreak/>
        <w:t>desprenda obligación alguna de contar con la información solicitada, ni se advierta algún otro elemento de convicción que apunto a su existencia.</w:t>
      </w:r>
    </w:p>
    <w:p w14:paraId="64128310" w14:textId="77777777" w:rsidR="00513C03" w:rsidRPr="002E4721" w:rsidRDefault="00513C03" w:rsidP="00513C03">
      <w:pPr>
        <w:spacing w:after="0" w:line="360" w:lineRule="auto"/>
        <w:rPr>
          <w:rFonts w:eastAsia="Palatino Linotype" w:cs="Palatino Linotype"/>
          <w:color w:val="auto"/>
          <w:lang w:eastAsia="es-ES"/>
        </w:rPr>
      </w:pPr>
    </w:p>
    <w:p w14:paraId="47762B69" w14:textId="64B33F2E" w:rsidR="00513C03" w:rsidRPr="0085457C" w:rsidRDefault="00513C03" w:rsidP="0085457C">
      <w:pPr>
        <w:spacing w:after="0" w:line="360" w:lineRule="auto"/>
        <w:rPr>
          <w:rFonts w:cs="Tahoma"/>
          <w:bCs/>
          <w:color w:val="auto"/>
        </w:rPr>
      </w:pPr>
      <w:r w:rsidRPr="002E4721">
        <w:rPr>
          <w:rFonts w:eastAsia="Palatino Linotype" w:cs="Palatino Linotype"/>
          <w:color w:val="auto"/>
          <w:lang w:eastAsia="es-ES"/>
        </w:rPr>
        <w:t xml:space="preserve">Al respecto, dicho criterio aplica al caso en concreto, ya que, no se localizó algún indicio de que obre en los archivos </w:t>
      </w:r>
      <w:r>
        <w:rPr>
          <w:rFonts w:eastAsia="Palatino Linotype" w:cs="Palatino Linotype"/>
          <w:color w:val="auto"/>
          <w:lang w:eastAsia="es-ES"/>
        </w:rPr>
        <w:t>del Sujeto Obligado</w:t>
      </w:r>
      <w:r w:rsidRPr="002E4721">
        <w:rPr>
          <w:rFonts w:eastAsia="Palatino Linotype" w:cs="Palatino Linotype"/>
          <w:color w:val="auto"/>
          <w:lang w:eastAsia="es-ES"/>
        </w:rPr>
        <w:t xml:space="preserve">, la información solicitada por el Recurrente; por lo cual, se considera que </w:t>
      </w:r>
      <w:r w:rsidR="0085457C">
        <w:rPr>
          <w:rFonts w:eastAsia="Palatino Linotype" w:cs="Palatino Linotype"/>
          <w:color w:val="auto"/>
          <w:lang w:eastAsia="es-ES"/>
        </w:rPr>
        <w:t>desde respuesta la Coordinación Administrativa</w:t>
      </w:r>
      <w:r w:rsidRPr="002E4721">
        <w:rPr>
          <w:rFonts w:eastAsia="Palatino Linotype" w:cs="Palatino Linotype"/>
          <w:color w:val="auto"/>
          <w:lang w:eastAsia="es-ES"/>
        </w:rPr>
        <w:t xml:space="preserve"> señaló las razones por las cuales no contaba con lo requerido</w:t>
      </w:r>
      <w:r w:rsidR="0085457C">
        <w:rPr>
          <w:rFonts w:eastAsia="Palatino Linotype" w:cs="Palatino Linotype"/>
          <w:color w:val="auto"/>
          <w:lang w:eastAsia="es-ES"/>
        </w:rPr>
        <w:t xml:space="preserve"> </w:t>
      </w:r>
      <w:r>
        <w:rPr>
          <w:rFonts w:cs="Tahoma"/>
        </w:rPr>
        <w:t xml:space="preserve">lo cual da como resultado que el agravio sea </w:t>
      </w:r>
      <w:r>
        <w:rPr>
          <w:rFonts w:cs="Tahoma"/>
          <w:b/>
        </w:rPr>
        <w:t>INFUNDADO</w:t>
      </w:r>
      <w:r w:rsidR="0085457C">
        <w:rPr>
          <w:rFonts w:cs="Tahoma"/>
          <w:b/>
        </w:rPr>
        <w:t xml:space="preserve">, </w:t>
      </w:r>
      <w:r w:rsidR="0085457C">
        <w:rPr>
          <w:rFonts w:cs="Tahoma"/>
          <w:bCs/>
        </w:rPr>
        <w:t>pues no existe obligación normativa de que la servidora pública deba de contar con Certificado de Competencia Laboral.</w:t>
      </w:r>
    </w:p>
    <w:p w14:paraId="1B6C3450" w14:textId="77777777" w:rsidR="00513C03" w:rsidRPr="002E4721" w:rsidRDefault="00513C03" w:rsidP="00513C03">
      <w:pPr>
        <w:spacing w:after="0" w:line="360" w:lineRule="auto"/>
        <w:rPr>
          <w:rFonts w:eastAsia="Palatino Linotype" w:cs="Palatino Linotype"/>
          <w:b/>
          <w:color w:val="auto"/>
          <w:lang w:eastAsia="es-ES"/>
        </w:rPr>
      </w:pPr>
    </w:p>
    <w:p w14:paraId="51346F7E" w14:textId="6AE5AFE7" w:rsidR="00502C77" w:rsidRPr="006313B6" w:rsidRDefault="00394F1E" w:rsidP="00965736">
      <w:pPr>
        <w:spacing w:after="0" w:line="360" w:lineRule="auto"/>
        <w:contextualSpacing/>
        <w:rPr>
          <w:rFonts w:eastAsia="Times New Roman" w:cs="Tahoma"/>
          <w:b/>
          <w:color w:val="auto"/>
          <w:lang w:val="es-ES" w:eastAsia="es-ES"/>
        </w:rPr>
      </w:pPr>
      <w:r w:rsidRPr="00F11D5B">
        <w:rPr>
          <w:rFonts w:eastAsia="Times New Roman" w:cs="Tahoma"/>
          <w:b/>
          <w:color w:val="auto"/>
          <w:lang w:val="es-ES" w:eastAsia="es-ES"/>
        </w:rPr>
        <w:t>SEXTO</w:t>
      </w:r>
      <w:r w:rsidR="00502C77" w:rsidRPr="00F11D5B">
        <w:rPr>
          <w:rFonts w:eastAsia="Times New Roman" w:cs="Tahoma"/>
          <w:b/>
          <w:color w:val="auto"/>
          <w:lang w:val="es-ES" w:eastAsia="es-ES"/>
        </w:rPr>
        <w:t>. Decisión</w:t>
      </w:r>
    </w:p>
    <w:p w14:paraId="63A607CB" w14:textId="77777777" w:rsidR="00502C77" w:rsidRPr="00A968B8" w:rsidRDefault="00502C77" w:rsidP="00965736">
      <w:pPr>
        <w:spacing w:after="0" w:line="360" w:lineRule="auto"/>
        <w:contextualSpacing/>
        <w:rPr>
          <w:rFonts w:eastAsia="Times New Roman" w:cs="Tahoma"/>
          <w:b/>
          <w:color w:val="auto"/>
          <w:lang w:val="es-ES" w:eastAsia="es-ES"/>
        </w:rPr>
      </w:pPr>
    </w:p>
    <w:p w14:paraId="0CB55A35" w14:textId="77777777" w:rsidR="00AD4231" w:rsidRPr="002E4721" w:rsidRDefault="00AD4231" w:rsidP="00AD4231">
      <w:pPr>
        <w:spacing w:after="0" w:line="360" w:lineRule="auto"/>
        <w:rPr>
          <w:rFonts w:eastAsia="Palatino Linotype" w:cs="Palatino Linotype"/>
          <w:color w:val="000000"/>
          <w:lang w:eastAsia="es-ES"/>
        </w:rPr>
      </w:pPr>
      <w:r w:rsidRPr="002E4721">
        <w:rPr>
          <w:rFonts w:eastAsia="Palatino Linotype" w:cs="Palatino Linotype"/>
          <w:color w:val="000000"/>
          <w:lang w:eastAsia="es-ES"/>
        </w:rPr>
        <w:t xml:space="preserve">Con fundamento en el artículo 186, fracción II, de la Ley de Transparencia y Acceso a la Información Pública del Estado de México y Municipios, este Instituto considera procedente </w:t>
      </w:r>
      <w:r w:rsidRPr="002E4721">
        <w:rPr>
          <w:rFonts w:eastAsia="Palatino Linotype" w:cs="Palatino Linotype"/>
          <w:b/>
          <w:color w:val="000000"/>
          <w:lang w:eastAsia="es-ES"/>
        </w:rPr>
        <w:t xml:space="preserve">CONFIRMAR </w:t>
      </w:r>
      <w:r w:rsidRPr="002E4721">
        <w:rPr>
          <w:rFonts w:eastAsia="Palatino Linotype" w:cs="Palatino Linotype"/>
          <w:color w:val="000000"/>
          <w:lang w:eastAsia="es-ES"/>
        </w:rPr>
        <w:t xml:space="preserve">la respuesta otorgada por el Sujeto Obligado. </w:t>
      </w:r>
    </w:p>
    <w:p w14:paraId="711B4B17" w14:textId="77777777" w:rsidR="00502C77" w:rsidRPr="00AD4231" w:rsidRDefault="00502C77" w:rsidP="00965736">
      <w:pPr>
        <w:autoSpaceDE w:val="0"/>
        <w:autoSpaceDN w:val="0"/>
        <w:adjustRightInd w:val="0"/>
        <w:spacing w:after="0" w:line="360" w:lineRule="auto"/>
        <w:contextualSpacing/>
        <w:rPr>
          <w:rFonts w:eastAsia="Calibri" w:cs="Tahoma"/>
          <w:b/>
          <w:bCs/>
          <w:iCs/>
          <w:color w:val="auto"/>
        </w:rPr>
      </w:pPr>
    </w:p>
    <w:p w14:paraId="3F1CAA5D" w14:textId="58C39E0D" w:rsidR="00502C77" w:rsidRPr="00A968B8" w:rsidRDefault="00502C77" w:rsidP="00965736">
      <w:pPr>
        <w:autoSpaceDE w:val="0"/>
        <w:autoSpaceDN w:val="0"/>
        <w:adjustRightInd w:val="0"/>
        <w:spacing w:after="0" w:line="360" w:lineRule="auto"/>
        <w:contextualSpacing/>
        <w:rPr>
          <w:rFonts w:eastAsia="Calibri" w:cs="Tahoma"/>
          <w:b/>
          <w:bCs/>
          <w:iCs/>
          <w:color w:val="auto"/>
          <w:lang w:val="es-ES"/>
        </w:rPr>
      </w:pPr>
      <w:r w:rsidRPr="00A968B8">
        <w:rPr>
          <w:rFonts w:eastAsia="Calibri" w:cs="Tahoma"/>
          <w:b/>
          <w:bCs/>
          <w:iCs/>
          <w:color w:val="auto"/>
          <w:lang w:val="es-ES"/>
        </w:rPr>
        <w:t>Términos de la Resolución p</w:t>
      </w:r>
      <w:r w:rsidR="00D263F3">
        <w:rPr>
          <w:rFonts w:eastAsia="Calibri" w:cs="Tahoma"/>
          <w:b/>
          <w:bCs/>
          <w:iCs/>
          <w:color w:val="auto"/>
          <w:lang w:val="es-ES"/>
        </w:rPr>
        <w:t>ara conocimiento del Particular</w:t>
      </w:r>
    </w:p>
    <w:p w14:paraId="49C0991C" w14:textId="77777777" w:rsidR="00502C77" w:rsidRPr="00A968B8" w:rsidRDefault="00502C77" w:rsidP="00965736">
      <w:pPr>
        <w:autoSpaceDE w:val="0"/>
        <w:autoSpaceDN w:val="0"/>
        <w:adjustRightInd w:val="0"/>
        <w:spacing w:after="0" w:line="360" w:lineRule="auto"/>
        <w:contextualSpacing/>
        <w:rPr>
          <w:rFonts w:eastAsia="Calibri" w:cs="Tahoma"/>
          <w:b/>
          <w:bCs/>
          <w:iCs/>
          <w:color w:val="auto"/>
          <w:lang w:val="es-ES"/>
        </w:rPr>
      </w:pPr>
    </w:p>
    <w:p w14:paraId="1A8D5A4D" w14:textId="50BB1C0C" w:rsidR="00502C77" w:rsidRPr="00C20A97" w:rsidRDefault="00AD4231" w:rsidP="00AD4231">
      <w:pPr>
        <w:widowControl w:val="0"/>
        <w:spacing w:after="0" w:line="360" w:lineRule="auto"/>
        <w:rPr>
          <w:rFonts w:eastAsia="Calibri" w:cs="Tahoma"/>
          <w:bCs/>
          <w:iCs/>
          <w:color w:val="auto"/>
          <w:lang w:val="es-ES_tradnl"/>
        </w:rPr>
      </w:pPr>
      <w:r w:rsidRPr="002E4721">
        <w:rPr>
          <w:rFonts w:eastAsia="Palatino Linotype" w:cs="Palatino Linotype"/>
          <w:color w:val="000000"/>
          <w:lang w:eastAsia="es-ES"/>
        </w:rPr>
        <w:t xml:space="preserve">Se le hace del conocimiento al Particular, que, en el presente caso, no se le da la razón, pues el Sujeto Obligado, en respuesta, </w:t>
      </w:r>
      <w:r w:rsidRPr="002E4721">
        <w:rPr>
          <w:rFonts w:eastAsia="Palatino Linotype" w:cs="Palatino Linotype"/>
          <w:color w:val="auto"/>
          <w:lang w:eastAsia="es-ES"/>
        </w:rPr>
        <w:t>precisó las circunstancias por las cuales no contaba con la información solicitada</w:t>
      </w:r>
      <w:r>
        <w:rPr>
          <w:rFonts w:eastAsia="Palatino Linotype" w:cs="Palatino Linotype"/>
          <w:color w:val="auto"/>
          <w:lang w:eastAsia="es-ES"/>
        </w:rPr>
        <w:t xml:space="preserve">, a saber, que no obraba en el expediente de personal de la servidora pública la Certificación peticionada, lo cual se robustece con el hecho de que no existe obligación normativa de contar con la misma. </w:t>
      </w:r>
      <w:r w:rsidR="00502C77" w:rsidRPr="00C20A97">
        <w:rPr>
          <w:rFonts w:eastAsia="Calibri" w:cs="Tahoma"/>
          <w:bCs/>
          <w:iCs/>
          <w:color w:val="auto"/>
          <w:lang w:val="es-ES_tradnl"/>
        </w:rPr>
        <w:t xml:space="preserve">Finalmente, </w:t>
      </w:r>
      <w:r w:rsidR="00502C77">
        <w:rPr>
          <w:rFonts w:eastAsia="Calibri" w:cs="Tahoma"/>
          <w:bCs/>
          <w:iCs/>
          <w:color w:val="auto"/>
          <w:lang w:val="es-ES_tradnl"/>
        </w:rPr>
        <w:t xml:space="preserve">se le hace del conocimiento al Particular que </w:t>
      </w:r>
      <w:r w:rsidR="00502C77" w:rsidRPr="00C20A97">
        <w:rPr>
          <w:rFonts w:eastAsia="Calibri" w:cs="Tahoma"/>
          <w:bCs/>
          <w:iCs/>
          <w:color w:val="auto"/>
          <w:lang w:val="es-ES_tradnl"/>
        </w:rPr>
        <w:t>la labor del Instituto de Transparencia, Acceso a la Información Pública y Protección de Datos Personales del Estado de México y Municipios, es apoyar a la población a acceder a la información pública y garantizar la protección de los datos personales.</w:t>
      </w:r>
    </w:p>
    <w:p w14:paraId="0F786F10" w14:textId="77777777" w:rsidR="00502C77" w:rsidRPr="00A968B8" w:rsidRDefault="00502C77" w:rsidP="00965736">
      <w:pPr>
        <w:widowControl w:val="0"/>
        <w:spacing w:after="0" w:line="360" w:lineRule="auto"/>
        <w:contextualSpacing/>
        <w:rPr>
          <w:rFonts w:eastAsia="Calibri" w:cs="Tahoma"/>
          <w:bCs/>
          <w:iCs/>
          <w:color w:val="auto"/>
          <w:lang w:val="es-ES_tradnl"/>
        </w:rPr>
      </w:pPr>
    </w:p>
    <w:p w14:paraId="1A496A91" w14:textId="77777777" w:rsidR="00502C77" w:rsidRPr="00A968B8" w:rsidRDefault="00502C77" w:rsidP="00965736">
      <w:pPr>
        <w:autoSpaceDE w:val="0"/>
        <w:autoSpaceDN w:val="0"/>
        <w:adjustRightInd w:val="0"/>
        <w:spacing w:after="0" w:line="360" w:lineRule="auto"/>
        <w:contextualSpacing/>
        <w:rPr>
          <w:rFonts w:eastAsia="Calibri" w:cs="Tahoma"/>
          <w:bCs/>
          <w:iCs/>
          <w:color w:val="auto"/>
        </w:rPr>
      </w:pPr>
      <w:r w:rsidRPr="00A968B8">
        <w:rPr>
          <w:rFonts w:eastAsia="Calibri" w:cs="Tahoma"/>
          <w:bCs/>
          <w:iCs/>
          <w:color w:val="auto"/>
        </w:rPr>
        <w:lastRenderedPageBreak/>
        <w:t>Por lo expuesto y fundado, este Pleno:</w:t>
      </w:r>
    </w:p>
    <w:p w14:paraId="0D8A0788" w14:textId="77777777" w:rsidR="00502C77" w:rsidRPr="00A968B8" w:rsidRDefault="00502C77" w:rsidP="00965736">
      <w:pPr>
        <w:autoSpaceDE w:val="0"/>
        <w:autoSpaceDN w:val="0"/>
        <w:adjustRightInd w:val="0"/>
        <w:spacing w:after="0" w:line="360" w:lineRule="auto"/>
        <w:contextualSpacing/>
        <w:rPr>
          <w:rFonts w:eastAsia="Calibri" w:cs="Tahoma"/>
          <w:bCs/>
          <w:iCs/>
          <w:color w:val="auto"/>
        </w:rPr>
      </w:pPr>
    </w:p>
    <w:p w14:paraId="034FB17F" w14:textId="2229E2ED" w:rsidR="00502C77" w:rsidRPr="000440DB" w:rsidRDefault="00D263F3" w:rsidP="00965736">
      <w:pPr>
        <w:spacing w:after="0" w:line="360" w:lineRule="auto"/>
        <w:contextualSpacing/>
        <w:jc w:val="center"/>
        <w:rPr>
          <w:rFonts w:eastAsia="Times New Roman" w:cs="Tahoma"/>
          <w:b/>
          <w:bCs/>
          <w:color w:val="auto"/>
          <w:lang w:eastAsia="es-ES"/>
        </w:rPr>
      </w:pPr>
      <w:r>
        <w:rPr>
          <w:rFonts w:eastAsia="Times New Roman" w:cs="Tahoma"/>
          <w:b/>
          <w:bCs/>
          <w:color w:val="auto"/>
          <w:lang w:eastAsia="es-ES"/>
        </w:rPr>
        <w:t>R E S U E L V E</w:t>
      </w:r>
      <w:r w:rsidR="00502C77" w:rsidRPr="00A968B8">
        <w:rPr>
          <w:rFonts w:eastAsia="Times New Roman" w:cs="Tahoma"/>
          <w:b/>
          <w:bCs/>
          <w:color w:val="auto"/>
          <w:lang w:eastAsia="es-ES"/>
        </w:rPr>
        <w:t xml:space="preserve"> </w:t>
      </w:r>
    </w:p>
    <w:p w14:paraId="2358F462" w14:textId="77777777" w:rsidR="00502C77" w:rsidRDefault="00502C77" w:rsidP="00965736">
      <w:pPr>
        <w:spacing w:after="0" w:line="360" w:lineRule="auto"/>
        <w:contextualSpacing/>
        <w:rPr>
          <w:rFonts w:eastAsia="Calibri" w:cs="Tahoma"/>
          <w:color w:val="auto"/>
          <w:lang w:val="es-ES" w:eastAsia="es-ES_tradnl"/>
        </w:rPr>
      </w:pPr>
    </w:p>
    <w:p w14:paraId="575C1D23" w14:textId="2AE4252E" w:rsidR="00AD4231" w:rsidRPr="002E4721" w:rsidRDefault="00AD4231" w:rsidP="00AD4231">
      <w:pPr>
        <w:spacing w:after="0" w:line="360" w:lineRule="auto"/>
        <w:rPr>
          <w:rFonts w:eastAsia="Palatino Linotype" w:cs="Palatino Linotype"/>
          <w:color w:val="000000"/>
          <w:lang w:eastAsia="es-ES"/>
        </w:rPr>
      </w:pPr>
      <w:r w:rsidRPr="002E4721">
        <w:rPr>
          <w:rFonts w:eastAsia="Palatino Linotype" w:cs="Palatino Linotype"/>
          <w:b/>
          <w:color w:val="000000"/>
          <w:lang w:eastAsia="es-ES"/>
        </w:rPr>
        <w:t>PRIMERO.</w:t>
      </w:r>
      <w:r w:rsidRPr="002E4721">
        <w:rPr>
          <w:rFonts w:eastAsia="Palatino Linotype" w:cs="Palatino Linotype"/>
          <w:color w:val="000000"/>
          <w:lang w:eastAsia="es-ES"/>
        </w:rPr>
        <w:t xml:space="preserve"> Se </w:t>
      </w:r>
      <w:r w:rsidRPr="002E4721">
        <w:rPr>
          <w:rFonts w:eastAsia="Palatino Linotype" w:cs="Palatino Linotype"/>
          <w:b/>
          <w:color w:val="000000"/>
          <w:lang w:eastAsia="es-ES"/>
        </w:rPr>
        <w:t xml:space="preserve">CONFIRMA </w:t>
      </w:r>
      <w:r>
        <w:rPr>
          <w:rFonts w:eastAsia="Palatino Linotype" w:cs="Palatino Linotype"/>
          <w:color w:val="000000"/>
          <w:lang w:eastAsia="es-ES"/>
        </w:rPr>
        <w:t xml:space="preserve">la respuesta entregada por </w:t>
      </w:r>
      <w:r w:rsidRPr="00AD4231">
        <w:rPr>
          <w:rFonts w:eastAsia="Palatino Linotype" w:cs="Palatino Linotype"/>
          <w:color w:val="000000"/>
          <w:lang w:eastAsia="es-ES"/>
        </w:rPr>
        <w:t xml:space="preserve">la </w:t>
      </w:r>
      <w:r w:rsidRPr="00AD4231">
        <w:t>Secretaría de</w:t>
      </w:r>
      <w:r>
        <w:t xml:space="preserve"> Finanzas</w:t>
      </w:r>
      <w:r w:rsidRPr="002E4721">
        <w:rPr>
          <w:rFonts w:eastAsia="Palatino Linotype" w:cs="Palatino Linotype"/>
          <w:color w:val="000000"/>
          <w:lang w:eastAsia="es-ES"/>
        </w:rPr>
        <w:t xml:space="preserve"> a la solicitud de acceso a la información </w:t>
      </w:r>
      <w:r w:rsidRPr="00C72294">
        <w:rPr>
          <w:bCs/>
          <w:color w:val="auto"/>
        </w:rPr>
        <w:t>00843/SF/IP/2024</w:t>
      </w:r>
      <w:r w:rsidRPr="002E4721">
        <w:rPr>
          <w:rFonts w:eastAsia="Palatino Linotype" w:cs="Palatino Linotype"/>
          <w:color w:val="000000"/>
          <w:lang w:eastAsia="es-ES"/>
        </w:rPr>
        <w:t xml:space="preserve">, por resultar </w:t>
      </w:r>
      <w:r w:rsidRPr="002E4721">
        <w:rPr>
          <w:rFonts w:eastAsia="Palatino Linotype" w:cs="Palatino Linotype"/>
          <w:b/>
          <w:color w:val="000000"/>
          <w:lang w:eastAsia="es-ES"/>
        </w:rPr>
        <w:t>INFUNDADAS</w:t>
      </w:r>
      <w:r w:rsidRPr="002E4721">
        <w:rPr>
          <w:rFonts w:eastAsia="Palatino Linotype" w:cs="Palatino Linotype"/>
          <w:color w:val="000000"/>
          <w:lang w:eastAsia="es-ES"/>
        </w:rPr>
        <w:t xml:space="preserve"> las razones o motivos de inconformidad hechas valer por el Recurrente, en términos de los Considerandos QUINTO y SEXTO de esta Resolución.</w:t>
      </w:r>
    </w:p>
    <w:p w14:paraId="01F7A1AC" w14:textId="77777777" w:rsidR="00502C77" w:rsidRDefault="00502C77" w:rsidP="00965736">
      <w:pPr>
        <w:spacing w:after="0" w:line="360" w:lineRule="auto"/>
        <w:contextualSpacing/>
        <w:rPr>
          <w:rFonts w:eastAsia="Times New Roman" w:cs="Tahoma"/>
          <w:bCs/>
          <w:color w:val="auto"/>
          <w:lang w:eastAsia="es-ES"/>
        </w:rPr>
      </w:pPr>
    </w:p>
    <w:p w14:paraId="1401F038" w14:textId="2C0BC31B" w:rsidR="00502C77" w:rsidRPr="00D672CF" w:rsidRDefault="00502C77" w:rsidP="00965736">
      <w:pPr>
        <w:spacing w:after="0" w:line="360" w:lineRule="auto"/>
        <w:contextualSpacing/>
        <w:rPr>
          <w:rFonts w:eastAsia="Calibri" w:cs="Tahoma"/>
          <w:bCs/>
          <w:i/>
          <w:iCs/>
          <w:color w:val="auto"/>
        </w:rPr>
      </w:pPr>
      <w:r w:rsidRPr="00D672CF">
        <w:rPr>
          <w:rFonts w:eastAsia="Calibri" w:cs="Tahoma"/>
          <w:b/>
          <w:bCs/>
          <w:iCs/>
          <w:color w:val="auto"/>
        </w:rPr>
        <w:t xml:space="preserve">SEGUNDO. NOTIFÍQUESE </w:t>
      </w:r>
      <w:r w:rsidR="006B6CBD">
        <w:rPr>
          <w:rFonts w:eastAsia="Calibri" w:cs="Tahoma"/>
          <w:b/>
          <w:bCs/>
          <w:iCs/>
          <w:color w:val="auto"/>
        </w:rPr>
        <w:t>VÍA</w:t>
      </w:r>
      <w:r w:rsidR="00CF09BB">
        <w:rPr>
          <w:rFonts w:eastAsia="Calibri" w:cs="Tahoma"/>
          <w:b/>
          <w:bCs/>
          <w:iCs/>
          <w:color w:val="auto"/>
        </w:rPr>
        <w:t xml:space="preserve"> SAIMEX </w:t>
      </w:r>
      <w:r w:rsidRPr="00D672CF">
        <w:rPr>
          <w:rFonts w:eastAsia="Calibri" w:cs="Tahoma"/>
          <w:bCs/>
          <w:iCs/>
          <w:color w:val="auto"/>
        </w:rPr>
        <w:t>la presente resolución al Titular de la Unidad de Transparencia del Sujeto Obligado.</w:t>
      </w:r>
    </w:p>
    <w:p w14:paraId="296958AF" w14:textId="77777777" w:rsidR="00502C77" w:rsidRDefault="00502C77" w:rsidP="00965736">
      <w:pPr>
        <w:spacing w:after="0" w:line="360" w:lineRule="auto"/>
        <w:contextualSpacing/>
        <w:rPr>
          <w:rFonts w:eastAsia="Times New Roman" w:cs="Tahoma"/>
          <w:bCs/>
          <w:color w:val="auto"/>
          <w:lang w:eastAsia="es-ES"/>
        </w:rPr>
      </w:pPr>
    </w:p>
    <w:p w14:paraId="497BEEDE" w14:textId="2EF66F78" w:rsidR="00502C77" w:rsidRPr="000440DB" w:rsidRDefault="00502C77" w:rsidP="00965736">
      <w:pPr>
        <w:spacing w:after="0" w:line="360" w:lineRule="auto"/>
        <w:contextualSpacing/>
        <w:rPr>
          <w:rFonts w:eastAsia="Times New Roman" w:cs="Tahoma"/>
          <w:b/>
          <w:color w:val="auto"/>
          <w:lang w:eastAsia="es-ES"/>
        </w:rPr>
      </w:pPr>
      <w:r>
        <w:rPr>
          <w:rFonts w:eastAsia="Times New Roman" w:cs="Tahoma"/>
          <w:b/>
          <w:color w:val="auto"/>
          <w:lang w:eastAsia="es-ES"/>
        </w:rPr>
        <w:t>TERCERO</w:t>
      </w:r>
      <w:r w:rsidRPr="00C20A97">
        <w:rPr>
          <w:rFonts w:eastAsia="Times New Roman" w:cs="Tahoma"/>
          <w:b/>
          <w:color w:val="auto"/>
          <w:lang w:eastAsia="es-ES"/>
        </w:rPr>
        <w:t>.</w:t>
      </w:r>
      <w:r>
        <w:rPr>
          <w:rFonts w:eastAsia="Times New Roman" w:cs="Tahoma"/>
          <w:b/>
          <w:color w:val="auto"/>
          <w:lang w:eastAsia="es-ES"/>
        </w:rPr>
        <w:t xml:space="preserve"> </w:t>
      </w:r>
      <w:r w:rsidRPr="00C20A97">
        <w:rPr>
          <w:rFonts w:eastAsia="Times New Roman" w:cs="Tahoma"/>
          <w:b/>
          <w:color w:val="auto"/>
          <w:lang w:eastAsia="es-ES"/>
        </w:rPr>
        <w:t>NOTIFÍQUESE</w:t>
      </w:r>
      <w:r w:rsidRPr="00C20A97">
        <w:rPr>
          <w:rFonts w:eastAsia="Times New Roman" w:cs="Tahoma"/>
          <w:bCs/>
          <w:color w:val="auto"/>
          <w:lang w:eastAsia="es-ES"/>
        </w:rPr>
        <w:t xml:space="preserve"> </w:t>
      </w:r>
      <w:r w:rsidR="00CF09BB" w:rsidRPr="00CF09BB">
        <w:rPr>
          <w:rFonts w:eastAsia="Times New Roman" w:cs="Tahoma"/>
          <w:b/>
          <w:color w:val="auto"/>
          <w:lang w:eastAsia="es-ES"/>
        </w:rPr>
        <w:t>VÍA SAIMEX</w:t>
      </w:r>
      <w:r w:rsidR="00CF09BB">
        <w:rPr>
          <w:rFonts w:eastAsia="Times New Roman" w:cs="Tahoma"/>
          <w:bCs/>
          <w:color w:val="auto"/>
          <w:lang w:eastAsia="es-ES"/>
        </w:rPr>
        <w:t xml:space="preserve"> </w:t>
      </w:r>
      <w:r w:rsidRPr="00C20A97">
        <w:rPr>
          <w:rFonts w:eastAsia="Times New Roman" w:cs="Tahoma"/>
          <w:bCs/>
          <w:color w:val="auto"/>
          <w:lang w:eastAsia="es-ES"/>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2878474" w14:textId="77777777" w:rsidR="00502C77" w:rsidRDefault="00502C77" w:rsidP="00965736">
      <w:pPr>
        <w:spacing w:after="0" w:line="360" w:lineRule="auto"/>
        <w:contextualSpacing/>
        <w:rPr>
          <w:rFonts w:eastAsia="Calibri" w:cs="Tahoma"/>
          <w:color w:val="auto"/>
          <w:lang w:val="es-ES" w:eastAsia="es-ES_tradnl"/>
        </w:rPr>
      </w:pPr>
    </w:p>
    <w:p w14:paraId="13F12CC3" w14:textId="19923AB1" w:rsidR="00502C77" w:rsidRPr="00A968B8" w:rsidRDefault="00502C77" w:rsidP="00965736">
      <w:pPr>
        <w:spacing w:after="0" w:line="360" w:lineRule="auto"/>
        <w:contextualSpacing/>
        <w:rPr>
          <w:rFonts w:eastAsia="Calibri" w:cs="Tahoma"/>
          <w:color w:val="auto"/>
          <w:lang w:val="es-ES" w:eastAsia="es-ES_tradnl"/>
        </w:rPr>
      </w:pPr>
      <w:r w:rsidRPr="00A968B8">
        <w:rPr>
          <w:rFonts w:eastAsia="Calibri" w:cs="Tahoma"/>
          <w:color w:val="auto"/>
          <w:lang w:val="es-ES" w:eastAsia="es-ES_tradnl"/>
        </w:rPr>
        <w:t xml:space="preserve">ASÍ LO RESUELVE, </w:t>
      </w:r>
      <w:r w:rsidRPr="00382BD2">
        <w:rPr>
          <w:rFonts w:eastAsia="Calibri" w:cs="Tahoma"/>
          <w:bCs/>
          <w:color w:val="auto"/>
          <w:lang w:val="es-ES" w:eastAsia="es-ES_tradnl"/>
        </w:rPr>
        <w:t xml:space="preserve">POR </w:t>
      </w:r>
      <w:r w:rsidRPr="00A968B8">
        <w:rPr>
          <w:rFonts w:eastAsia="Calibri" w:cs="Tahoma"/>
          <w:b/>
          <w:bCs/>
          <w:color w:val="auto"/>
          <w:lang w:val="es-ES" w:eastAsia="es-ES_tradnl"/>
        </w:rPr>
        <w:t>UNANIMIDAD</w:t>
      </w:r>
      <w:r w:rsidRPr="00A968B8">
        <w:rPr>
          <w:rFonts w:eastAsia="Calibri" w:cs="Tahoma"/>
          <w:color w:val="auto"/>
          <w:lang w:val="es-ES" w:eastAsia="es-ES_tradn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Pr>
          <w:rFonts w:eastAsia="Calibri" w:cs="Tahoma"/>
          <w:color w:val="auto"/>
          <w:lang w:val="es-ES" w:eastAsia="es-ES_tradnl"/>
        </w:rPr>
        <w:t xml:space="preserve"> </w:t>
      </w:r>
      <w:r w:rsidR="00675C12">
        <w:rPr>
          <w:rFonts w:eastAsia="Calibri" w:cs="Tahoma"/>
          <w:color w:val="auto"/>
          <w:lang w:val="es-ES" w:eastAsia="es-ES_tradnl"/>
        </w:rPr>
        <w:t>PRIMERA</w:t>
      </w:r>
      <w:r>
        <w:rPr>
          <w:rFonts w:eastAsia="Calibri" w:cs="Tahoma"/>
          <w:color w:val="auto"/>
          <w:lang w:val="es-ES" w:eastAsia="es-ES_tradnl"/>
        </w:rPr>
        <w:t xml:space="preserve"> </w:t>
      </w:r>
      <w:r w:rsidRPr="00A968B8">
        <w:rPr>
          <w:rFonts w:eastAsia="Calibri" w:cs="Tahoma"/>
          <w:color w:val="auto"/>
          <w:lang w:val="es-ES" w:eastAsia="es-ES_tradnl"/>
        </w:rPr>
        <w:t xml:space="preserve">SESIÓN ORDINARIA, CELEBRADA </w:t>
      </w:r>
      <w:r w:rsidR="00675C12" w:rsidRPr="00A968B8">
        <w:rPr>
          <w:rFonts w:eastAsia="Calibri" w:cs="Tahoma"/>
          <w:color w:val="auto"/>
          <w:lang w:val="es-ES" w:eastAsia="es-ES_tradnl"/>
        </w:rPr>
        <w:t xml:space="preserve">EL </w:t>
      </w:r>
      <w:r w:rsidR="00675C12" w:rsidRPr="00675C12">
        <w:rPr>
          <w:rFonts w:eastAsia="Calibri" w:cs="Tahoma"/>
          <w:color w:val="auto"/>
          <w:lang w:val="es-ES" w:eastAsia="es-ES_tradnl"/>
        </w:rPr>
        <w:t>QUINCE DE ENERO DE DOS MIL VEINTICINCO</w:t>
      </w:r>
      <w:r w:rsidR="00675C12" w:rsidRPr="00A968B8">
        <w:rPr>
          <w:rFonts w:eastAsia="Calibri" w:cs="Tahoma"/>
          <w:color w:val="auto"/>
          <w:lang w:val="es-ES" w:eastAsia="es-ES_tradnl"/>
        </w:rPr>
        <w:t xml:space="preserve">, ANTE EL </w:t>
      </w:r>
      <w:r w:rsidRPr="00A968B8">
        <w:rPr>
          <w:rFonts w:eastAsia="Calibri" w:cs="Tahoma"/>
          <w:color w:val="auto"/>
          <w:lang w:val="es-ES" w:eastAsia="es-ES_tradnl"/>
        </w:rPr>
        <w:t>SECRETARIO TÉCNICO DEL PLENO, ALEXIS TAPIA RAMÍREZ.</w:t>
      </w:r>
    </w:p>
    <w:p w14:paraId="264EE76B" w14:textId="77777777" w:rsidR="00502C77" w:rsidRDefault="00502C77" w:rsidP="00965736">
      <w:pPr>
        <w:spacing w:after="0" w:line="360" w:lineRule="auto"/>
        <w:contextualSpacing/>
      </w:pPr>
    </w:p>
    <w:p w14:paraId="3C10BEA6" w14:textId="77777777" w:rsidR="00502C77" w:rsidRDefault="00502C77" w:rsidP="00965736">
      <w:pPr>
        <w:spacing w:after="0" w:line="360" w:lineRule="auto"/>
        <w:contextualSpacing/>
      </w:pPr>
    </w:p>
    <w:p w14:paraId="696ECAC8" w14:textId="77777777" w:rsidR="00502C77" w:rsidRDefault="00502C77" w:rsidP="00965736">
      <w:pPr>
        <w:spacing w:after="0" w:line="360" w:lineRule="auto"/>
        <w:contextualSpacing/>
      </w:pPr>
    </w:p>
    <w:p w14:paraId="07EF77A7" w14:textId="77777777" w:rsidR="00BC0F1C" w:rsidRDefault="00BC0F1C" w:rsidP="00965736">
      <w:pPr>
        <w:spacing w:line="360" w:lineRule="auto"/>
        <w:contextualSpacing/>
      </w:pPr>
    </w:p>
    <w:p w14:paraId="49BAF7B4" w14:textId="77777777" w:rsidR="00965736" w:rsidRDefault="00965736" w:rsidP="00965736">
      <w:pPr>
        <w:spacing w:line="360" w:lineRule="auto"/>
        <w:contextualSpacing/>
      </w:pPr>
    </w:p>
    <w:p w14:paraId="1753DB9E" w14:textId="77777777" w:rsidR="00965736" w:rsidRDefault="00965736" w:rsidP="00965736">
      <w:pPr>
        <w:spacing w:line="360" w:lineRule="auto"/>
        <w:contextualSpacing/>
      </w:pPr>
    </w:p>
    <w:p w14:paraId="7CAC9039" w14:textId="77777777" w:rsidR="00965736" w:rsidRDefault="00965736" w:rsidP="00965736">
      <w:pPr>
        <w:spacing w:line="360" w:lineRule="auto"/>
        <w:contextualSpacing/>
      </w:pPr>
    </w:p>
    <w:p w14:paraId="5F2F043F" w14:textId="77777777" w:rsidR="00965736" w:rsidRDefault="00965736" w:rsidP="00965736">
      <w:pPr>
        <w:spacing w:line="360" w:lineRule="auto"/>
        <w:contextualSpacing/>
      </w:pPr>
    </w:p>
    <w:p w14:paraId="341534F4" w14:textId="77777777" w:rsidR="00965736" w:rsidRDefault="00965736" w:rsidP="00965736">
      <w:pPr>
        <w:spacing w:line="360" w:lineRule="auto"/>
        <w:contextualSpacing/>
      </w:pPr>
    </w:p>
    <w:p w14:paraId="2ACA0B7E" w14:textId="77777777" w:rsidR="00965736" w:rsidRDefault="00965736" w:rsidP="00965736">
      <w:pPr>
        <w:spacing w:line="360" w:lineRule="auto"/>
        <w:contextualSpacing/>
      </w:pPr>
    </w:p>
    <w:p w14:paraId="22FB2D09" w14:textId="77777777" w:rsidR="00965736" w:rsidRDefault="00965736" w:rsidP="00965736">
      <w:pPr>
        <w:spacing w:line="360" w:lineRule="auto"/>
        <w:contextualSpacing/>
      </w:pPr>
    </w:p>
    <w:p w14:paraId="04C7E505" w14:textId="77777777" w:rsidR="00965736" w:rsidRDefault="00965736" w:rsidP="00965736">
      <w:pPr>
        <w:spacing w:line="360" w:lineRule="auto"/>
        <w:contextualSpacing/>
      </w:pPr>
    </w:p>
    <w:p w14:paraId="1FB4500A" w14:textId="77777777" w:rsidR="00965736" w:rsidRDefault="00965736" w:rsidP="00965736">
      <w:pPr>
        <w:spacing w:line="360" w:lineRule="auto"/>
        <w:contextualSpacing/>
      </w:pPr>
    </w:p>
    <w:p w14:paraId="402EC6AB" w14:textId="77777777" w:rsidR="00965736" w:rsidRDefault="00965736" w:rsidP="00965736">
      <w:pPr>
        <w:spacing w:line="360" w:lineRule="auto"/>
        <w:contextualSpacing/>
      </w:pPr>
    </w:p>
    <w:p w14:paraId="565C4AC7" w14:textId="77777777" w:rsidR="00965736" w:rsidRDefault="00965736" w:rsidP="00965736">
      <w:pPr>
        <w:spacing w:line="360" w:lineRule="auto"/>
        <w:contextualSpacing/>
      </w:pPr>
    </w:p>
    <w:p w14:paraId="77FE6B54" w14:textId="77777777" w:rsidR="00965736" w:rsidRDefault="00965736" w:rsidP="00965736">
      <w:pPr>
        <w:spacing w:line="360" w:lineRule="auto"/>
        <w:contextualSpacing/>
      </w:pPr>
    </w:p>
    <w:p w14:paraId="7C177A24" w14:textId="77777777" w:rsidR="00965736" w:rsidRDefault="00965736" w:rsidP="00965736">
      <w:pPr>
        <w:spacing w:line="360" w:lineRule="auto"/>
        <w:contextualSpacing/>
      </w:pPr>
    </w:p>
    <w:p w14:paraId="765ECA3A" w14:textId="77777777" w:rsidR="00965736" w:rsidRDefault="00965736" w:rsidP="00965736">
      <w:pPr>
        <w:spacing w:line="360" w:lineRule="auto"/>
        <w:contextualSpacing/>
      </w:pPr>
    </w:p>
    <w:sectPr w:rsidR="00965736" w:rsidSect="00C11961">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AD015" w14:textId="77777777" w:rsidR="001821D2" w:rsidRDefault="001821D2" w:rsidP="00502C77">
      <w:pPr>
        <w:spacing w:after="0" w:line="240" w:lineRule="auto"/>
      </w:pPr>
      <w:r>
        <w:separator/>
      </w:r>
    </w:p>
  </w:endnote>
  <w:endnote w:type="continuationSeparator" w:id="0">
    <w:p w14:paraId="7561F209" w14:textId="77777777" w:rsidR="001821D2" w:rsidRDefault="001821D2" w:rsidP="005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04013"/>
      <w:docPartObj>
        <w:docPartGallery w:val="Page Numbers (Bottom of Page)"/>
        <w:docPartUnique/>
      </w:docPartObj>
    </w:sdtPr>
    <w:sdtEndPr/>
    <w:sdtContent>
      <w:sdt>
        <w:sdtPr>
          <w:id w:val="1114872018"/>
          <w:docPartObj>
            <w:docPartGallery w:val="Page Numbers (Top of Page)"/>
            <w:docPartUnique/>
          </w:docPartObj>
        </w:sdtPr>
        <w:sdtEndPr/>
        <w:sdtContent>
          <w:p w14:paraId="253DEEAD" w14:textId="77777777" w:rsidR="00431FFC" w:rsidRDefault="00431FF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B4239">
              <w:rPr>
                <w:b/>
                <w:bCs/>
                <w:noProof/>
              </w:rPr>
              <w:t>19</w:t>
            </w:r>
            <w:r>
              <w:rPr>
                <w:b/>
                <w:bCs/>
                <w:sz w:val="24"/>
                <w:szCs w:val="24"/>
              </w:rPr>
              <w:fldChar w:fldCharType="end"/>
            </w:r>
          </w:p>
        </w:sdtContent>
      </w:sdt>
    </w:sdtContent>
  </w:sdt>
  <w:p w14:paraId="53FA30D9" w14:textId="77777777" w:rsidR="00431FFC" w:rsidRDefault="00431F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871782"/>
      <w:docPartObj>
        <w:docPartGallery w:val="Page Numbers (Bottom of Page)"/>
        <w:docPartUnique/>
      </w:docPartObj>
    </w:sdtPr>
    <w:sdtEndPr/>
    <w:sdtContent>
      <w:sdt>
        <w:sdtPr>
          <w:id w:val="1890534867"/>
          <w:docPartObj>
            <w:docPartGallery w:val="Page Numbers (Top of Page)"/>
            <w:docPartUnique/>
          </w:docPartObj>
        </w:sdtPr>
        <w:sdtEndPr/>
        <w:sdtContent>
          <w:p w14:paraId="2BF6C857" w14:textId="77777777" w:rsidR="00431FFC" w:rsidRDefault="00431FF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646F4">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646F4">
              <w:rPr>
                <w:b/>
                <w:bCs/>
                <w:noProof/>
              </w:rPr>
              <w:t>19</w:t>
            </w:r>
            <w:r>
              <w:rPr>
                <w:b/>
                <w:bCs/>
                <w:sz w:val="24"/>
                <w:szCs w:val="24"/>
              </w:rPr>
              <w:fldChar w:fldCharType="end"/>
            </w:r>
          </w:p>
        </w:sdtContent>
      </w:sdt>
    </w:sdtContent>
  </w:sdt>
  <w:p w14:paraId="35706B00" w14:textId="77777777" w:rsidR="00431FFC" w:rsidRDefault="00431F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006442"/>
      <w:docPartObj>
        <w:docPartGallery w:val="Page Numbers (Bottom of Page)"/>
        <w:docPartUnique/>
      </w:docPartObj>
    </w:sdtPr>
    <w:sdtEndPr/>
    <w:sdtContent>
      <w:sdt>
        <w:sdtPr>
          <w:id w:val="-1769616900"/>
          <w:docPartObj>
            <w:docPartGallery w:val="Page Numbers (Top of Page)"/>
            <w:docPartUnique/>
          </w:docPartObj>
        </w:sdtPr>
        <w:sdtEndPr/>
        <w:sdtContent>
          <w:p w14:paraId="6DF733C4" w14:textId="77777777" w:rsidR="00431FFC" w:rsidRDefault="00431FF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646F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646F4">
              <w:rPr>
                <w:b/>
                <w:bCs/>
                <w:noProof/>
              </w:rPr>
              <w:t>19</w:t>
            </w:r>
            <w:r>
              <w:rPr>
                <w:b/>
                <w:bCs/>
                <w:sz w:val="24"/>
                <w:szCs w:val="24"/>
              </w:rPr>
              <w:fldChar w:fldCharType="end"/>
            </w:r>
          </w:p>
        </w:sdtContent>
      </w:sdt>
    </w:sdtContent>
  </w:sdt>
  <w:p w14:paraId="3F89EAC0" w14:textId="77777777" w:rsidR="00431FFC" w:rsidRDefault="00431FFC" w:rsidP="00431FFC">
    <w:pPr>
      <w:pStyle w:val="Piedepgina"/>
      <w:tabs>
        <w:tab w:val="clear" w:pos="4419"/>
        <w:tab w:val="clear" w:pos="8838"/>
        <w:tab w:val="left" w:pos="39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6A194" w14:textId="77777777" w:rsidR="001821D2" w:rsidRDefault="001821D2" w:rsidP="00502C77">
      <w:pPr>
        <w:spacing w:after="0" w:line="240" w:lineRule="auto"/>
      </w:pPr>
      <w:r>
        <w:separator/>
      </w:r>
    </w:p>
  </w:footnote>
  <w:footnote w:type="continuationSeparator" w:id="0">
    <w:p w14:paraId="0E5A0F72" w14:textId="77777777" w:rsidR="001821D2" w:rsidRDefault="001821D2" w:rsidP="00502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0" w:type="dxa"/>
      <w:tblLayout w:type="fixed"/>
      <w:tblLook w:val="04A0" w:firstRow="1" w:lastRow="0" w:firstColumn="1" w:lastColumn="0" w:noHBand="0" w:noVBand="1"/>
    </w:tblPr>
    <w:tblGrid>
      <w:gridCol w:w="3260"/>
      <w:gridCol w:w="6730"/>
    </w:tblGrid>
    <w:tr w:rsidR="00431FFC" w:rsidRPr="008C644E" w14:paraId="459B9837" w14:textId="77777777" w:rsidTr="00431FFC">
      <w:trPr>
        <w:trHeight w:val="1435"/>
      </w:trPr>
      <w:tc>
        <w:tcPr>
          <w:tcW w:w="3261" w:type="dxa"/>
        </w:tcPr>
        <w:p w14:paraId="7F65864C" w14:textId="77777777" w:rsidR="00431FFC" w:rsidRPr="008C644E" w:rsidRDefault="00431FFC" w:rsidP="00431FFC">
          <w:pPr>
            <w:pStyle w:val="Encabezado"/>
          </w:pPr>
        </w:p>
      </w:tc>
      <w:tc>
        <w:tcPr>
          <w:tcW w:w="6733" w:type="dxa"/>
          <w:hideMark/>
        </w:tcPr>
        <w:tbl>
          <w:tblPr>
            <w:tblStyle w:val="Tablaconcuadrcula"/>
            <w:tblW w:w="9220"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9"/>
            <w:gridCol w:w="3259"/>
            <w:gridCol w:w="3402"/>
          </w:tblGrid>
          <w:tr w:rsidR="00431FFC" w:rsidRPr="008C644E" w14:paraId="7A382ADA" w14:textId="77777777" w:rsidTr="00431FFC">
            <w:trPr>
              <w:trHeight w:val="144"/>
            </w:trPr>
            <w:tc>
              <w:tcPr>
                <w:tcW w:w="2559" w:type="dxa"/>
                <w:hideMark/>
              </w:tcPr>
              <w:p w14:paraId="74DE1FF8" w14:textId="77777777" w:rsidR="00431FFC" w:rsidRPr="008C644E" w:rsidRDefault="00431FFC" w:rsidP="00431FFC">
                <w:pPr>
                  <w:pStyle w:val="Encabezado"/>
                  <w:rPr>
                    <w:b/>
                  </w:rPr>
                </w:pPr>
                <w:r w:rsidRPr="008C644E">
                  <w:rPr>
                    <w:b/>
                  </w:rPr>
                  <w:t>Recurso de Revisión:</w:t>
                </w:r>
              </w:p>
            </w:tc>
            <w:tc>
              <w:tcPr>
                <w:tcW w:w="3259" w:type="dxa"/>
                <w:hideMark/>
              </w:tcPr>
              <w:p w14:paraId="087D71CC" w14:textId="77777777" w:rsidR="00431FFC" w:rsidRPr="008C644E" w:rsidRDefault="00431FFC" w:rsidP="00431FFC">
                <w:pPr>
                  <w:pStyle w:val="Encabezado"/>
                </w:pPr>
                <w:r>
                  <w:t>01206/INFOEM/IP/RR/2022</w:t>
                </w:r>
              </w:p>
            </w:tc>
            <w:tc>
              <w:tcPr>
                <w:tcW w:w="3402" w:type="dxa"/>
              </w:tcPr>
              <w:p w14:paraId="4F834699" w14:textId="77777777" w:rsidR="00431FFC" w:rsidRPr="008C644E" w:rsidRDefault="00431FFC" w:rsidP="00431FFC">
                <w:pPr>
                  <w:pStyle w:val="Encabezado"/>
                  <w:rPr>
                    <w:bCs/>
                  </w:rPr>
                </w:pPr>
              </w:p>
            </w:tc>
          </w:tr>
          <w:tr w:rsidR="00431FFC" w:rsidRPr="008C644E" w14:paraId="50E62ABB" w14:textId="77777777" w:rsidTr="00431FFC">
            <w:trPr>
              <w:trHeight w:val="283"/>
            </w:trPr>
            <w:tc>
              <w:tcPr>
                <w:tcW w:w="2559" w:type="dxa"/>
                <w:hideMark/>
              </w:tcPr>
              <w:p w14:paraId="57D0F424" w14:textId="77777777" w:rsidR="00431FFC" w:rsidRPr="008C644E" w:rsidRDefault="00431FFC" w:rsidP="00431FFC">
                <w:pPr>
                  <w:pStyle w:val="Encabezado"/>
                  <w:rPr>
                    <w:b/>
                  </w:rPr>
                </w:pPr>
                <w:r w:rsidRPr="008C644E">
                  <w:rPr>
                    <w:b/>
                  </w:rPr>
                  <w:t>Sujeto Obligado:</w:t>
                </w:r>
              </w:p>
            </w:tc>
            <w:tc>
              <w:tcPr>
                <w:tcW w:w="3259" w:type="dxa"/>
                <w:hideMark/>
              </w:tcPr>
              <w:p w14:paraId="0632E82A" w14:textId="77777777" w:rsidR="00431FFC" w:rsidRPr="008C644E" w:rsidRDefault="00431FFC" w:rsidP="00431FFC">
                <w:pPr>
                  <w:pStyle w:val="Encabezado"/>
                </w:pPr>
                <w:r w:rsidRPr="008C644E">
                  <w:rPr>
                    <w:lang w:val="es-MX"/>
                  </w:rPr>
                  <w:t>Ayuntamiento</w:t>
                </w:r>
                <w:r>
                  <w:rPr>
                    <w:lang w:val="es-MX"/>
                  </w:rPr>
                  <w:t xml:space="preserve"> de</w:t>
                </w:r>
                <w:r w:rsidRPr="008C644E">
                  <w:rPr>
                    <w:lang w:val="es-MX"/>
                  </w:rPr>
                  <w:t xml:space="preserve"> </w:t>
                </w:r>
                <w:r>
                  <w:rPr>
                    <w:lang w:val="es-MX"/>
                  </w:rPr>
                  <w:t>Ixtapaluca</w:t>
                </w:r>
              </w:p>
            </w:tc>
            <w:tc>
              <w:tcPr>
                <w:tcW w:w="3402" w:type="dxa"/>
              </w:tcPr>
              <w:p w14:paraId="6A0159FD" w14:textId="77777777" w:rsidR="00431FFC" w:rsidRPr="008C644E" w:rsidRDefault="00431FFC" w:rsidP="00431FFC">
                <w:pPr>
                  <w:pStyle w:val="Encabezado"/>
                </w:pPr>
              </w:p>
            </w:tc>
          </w:tr>
          <w:tr w:rsidR="00431FFC" w:rsidRPr="008C644E" w14:paraId="6EEDAC01" w14:textId="77777777" w:rsidTr="00431FFC">
            <w:trPr>
              <w:trHeight w:val="283"/>
            </w:trPr>
            <w:tc>
              <w:tcPr>
                <w:tcW w:w="2559" w:type="dxa"/>
                <w:hideMark/>
              </w:tcPr>
              <w:p w14:paraId="29023063" w14:textId="77777777" w:rsidR="00431FFC" w:rsidRPr="008C644E" w:rsidRDefault="00431FFC" w:rsidP="00431FFC">
                <w:pPr>
                  <w:pStyle w:val="Encabezado"/>
                  <w:rPr>
                    <w:b/>
                  </w:rPr>
                </w:pPr>
                <w:r w:rsidRPr="008C644E">
                  <w:rPr>
                    <w:b/>
                  </w:rPr>
                  <w:t xml:space="preserve">Comisionado Ponente: </w:t>
                </w:r>
              </w:p>
            </w:tc>
            <w:tc>
              <w:tcPr>
                <w:tcW w:w="3259" w:type="dxa"/>
                <w:hideMark/>
              </w:tcPr>
              <w:p w14:paraId="54070162" w14:textId="77777777" w:rsidR="00431FFC" w:rsidRPr="008C644E" w:rsidRDefault="00431FFC" w:rsidP="00431FFC">
                <w:pPr>
                  <w:pStyle w:val="Encabezado"/>
                  <w:rPr>
                    <w:b/>
                  </w:rPr>
                </w:pPr>
                <w:r w:rsidRPr="008C644E">
                  <w:t>Luis Gustavo Parra Noriega</w:t>
                </w:r>
              </w:p>
            </w:tc>
            <w:tc>
              <w:tcPr>
                <w:tcW w:w="3402" w:type="dxa"/>
              </w:tcPr>
              <w:p w14:paraId="2BCCE804" w14:textId="77777777" w:rsidR="00431FFC" w:rsidRPr="008C644E" w:rsidRDefault="00431FFC" w:rsidP="00431FFC">
                <w:pPr>
                  <w:pStyle w:val="Encabezado"/>
                </w:pPr>
              </w:p>
            </w:tc>
          </w:tr>
        </w:tbl>
        <w:p w14:paraId="2EEC984D" w14:textId="77777777" w:rsidR="00431FFC" w:rsidRPr="008C644E" w:rsidRDefault="00431FFC" w:rsidP="00431FFC">
          <w:pPr>
            <w:pStyle w:val="Encabezado"/>
            <w:rPr>
              <w:b/>
            </w:rPr>
          </w:pPr>
        </w:p>
      </w:tc>
    </w:tr>
  </w:tbl>
  <w:p w14:paraId="7D2B5270" w14:textId="77777777" w:rsidR="00431FFC" w:rsidRDefault="001821D2">
    <w:pPr>
      <w:pStyle w:val="Encabezado"/>
    </w:pPr>
    <w:r>
      <w:rPr>
        <w:noProof/>
      </w:rPr>
      <w:pict w14:anchorId="5A664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6" o:spid="_x0000_s2049" type="#_x0000_t75" style="position:absolute;left:0;text-align:left;margin-left:0;margin-top:0;width:663.5pt;height:12in;z-index:-251659776;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32" w:type="dxa"/>
      <w:tblLayout w:type="fixed"/>
      <w:tblLook w:val="04A0" w:firstRow="1" w:lastRow="0" w:firstColumn="1" w:lastColumn="0" w:noHBand="0" w:noVBand="1"/>
    </w:tblPr>
    <w:tblGrid>
      <w:gridCol w:w="2694"/>
      <w:gridCol w:w="7438"/>
    </w:tblGrid>
    <w:tr w:rsidR="00431FFC" w14:paraId="2946ABDD" w14:textId="77777777" w:rsidTr="00502C77">
      <w:trPr>
        <w:trHeight w:val="1435"/>
      </w:trPr>
      <w:tc>
        <w:tcPr>
          <w:tcW w:w="2694" w:type="dxa"/>
        </w:tcPr>
        <w:p w14:paraId="5212BD01" w14:textId="7EB0B728" w:rsidR="00431FFC" w:rsidRDefault="00431FFC" w:rsidP="00431FFC">
          <w:pPr>
            <w:tabs>
              <w:tab w:val="right" w:pos="4273"/>
            </w:tabs>
            <w:spacing w:line="256" w:lineRule="auto"/>
            <w:rPr>
              <w:rFonts w:ascii="Garamond" w:eastAsia="Calibri" w:hAnsi="Garamond"/>
              <w:color w:val="auto"/>
            </w:rPr>
          </w:pPr>
        </w:p>
      </w:tc>
      <w:tc>
        <w:tcPr>
          <w:tcW w:w="7438" w:type="dxa"/>
          <w:hideMark/>
        </w:tcPr>
        <w:p w14:paraId="7488ABEB" w14:textId="77777777" w:rsidR="00FA216A" w:rsidRPr="00FA216A" w:rsidRDefault="00FA216A">
          <w:pPr>
            <w:rPr>
              <w:sz w:val="6"/>
              <w:szCs w:val="6"/>
            </w:rPr>
          </w:pPr>
        </w:p>
        <w:tbl>
          <w:tblPr>
            <w:tblStyle w:val="Tablaconcuadrcula"/>
            <w:tblW w:w="9220" w:type="dxa"/>
            <w:tblInd w:w="1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6"/>
            <w:gridCol w:w="3685"/>
            <w:gridCol w:w="3129"/>
          </w:tblGrid>
          <w:tr w:rsidR="00431FFC" w14:paraId="072E9D1A" w14:textId="77777777" w:rsidTr="00FA216A">
            <w:trPr>
              <w:trHeight w:val="144"/>
            </w:trPr>
            <w:tc>
              <w:tcPr>
                <w:tcW w:w="2406" w:type="dxa"/>
                <w:hideMark/>
              </w:tcPr>
              <w:p w14:paraId="2751E9F4" w14:textId="77777777" w:rsidR="00431FFC" w:rsidRDefault="00431FFC" w:rsidP="00431FFC">
                <w:pPr>
                  <w:tabs>
                    <w:tab w:val="right" w:pos="8838"/>
                  </w:tabs>
                  <w:ind w:left="-74" w:right="-105"/>
                  <w:rPr>
                    <w:rFonts w:eastAsia="Calibri" w:cs="Tahoma"/>
                    <w:b/>
                  </w:rPr>
                </w:pPr>
                <w:bookmarkStart w:id="2" w:name="_Hlk12526980"/>
                <w:r>
                  <w:rPr>
                    <w:rFonts w:eastAsia="Calibri" w:cs="Tahoma"/>
                    <w:b/>
                  </w:rPr>
                  <w:t>Recurso de Revisión:</w:t>
                </w:r>
              </w:p>
            </w:tc>
            <w:tc>
              <w:tcPr>
                <w:tcW w:w="3685" w:type="dxa"/>
                <w:hideMark/>
              </w:tcPr>
              <w:p w14:paraId="0C8900A6" w14:textId="33CC38E4" w:rsidR="00431FFC" w:rsidRDefault="00431FFC" w:rsidP="00431FFC">
                <w:pPr>
                  <w:tabs>
                    <w:tab w:val="right" w:pos="8838"/>
                  </w:tabs>
                  <w:ind w:left="-74" w:right="-105"/>
                  <w:rPr>
                    <w:rFonts w:eastAsia="Calibri" w:cs="Tahoma"/>
                    <w:bCs/>
                  </w:rPr>
                </w:pPr>
                <w:r>
                  <w:t>07466/INFOEM/IP/RR/2024</w:t>
                </w:r>
              </w:p>
            </w:tc>
            <w:tc>
              <w:tcPr>
                <w:tcW w:w="3129" w:type="dxa"/>
              </w:tcPr>
              <w:p w14:paraId="7EEA8CF5" w14:textId="77777777" w:rsidR="00431FFC" w:rsidRDefault="00431FFC" w:rsidP="00431FFC">
                <w:pPr>
                  <w:tabs>
                    <w:tab w:val="right" w:pos="8838"/>
                  </w:tabs>
                  <w:ind w:left="-74" w:right="-105"/>
                  <w:rPr>
                    <w:rFonts w:eastAsia="Calibri" w:cs="Tahoma"/>
                    <w:bCs/>
                  </w:rPr>
                </w:pPr>
              </w:p>
            </w:tc>
            <w:bookmarkEnd w:id="2"/>
          </w:tr>
          <w:tr w:rsidR="00431FFC" w14:paraId="21F02CE1" w14:textId="77777777" w:rsidTr="00FA216A">
            <w:trPr>
              <w:trHeight w:val="283"/>
            </w:trPr>
            <w:tc>
              <w:tcPr>
                <w:tcW w:w="2406" w:type="dxa"/>
                <w:hideMark/>
              </w:tcPr>
              <w:p w14:paraId="224D98EF" w14:textId="77777777" w:rsidR="00431FFC" w:rsidRDefault="00431FFC" w:rsidP="00431FFC">
                <w:pPr>
                  <w:tabs>
                    <w:tab w:val="right" w:pos="8838"/>
                  </w:tabs>
                  <w:ind w:left="-74" w:right="-105"/>
                  <w:rPr>
                    <w:rFonts w:eastAsia="Calibri" w:cs="Tahoma"/>
                    <w:b/>
                  </w:rPr>
                </w:pPr>
                <w:r>
                  <w:rPr>
                    <w:rFonts w:eastAsia="Calibri" w:cs="Tahoma"/>
                    <w:b/>
                  </w:rPr>
                  <w:t>Sujeto Obligado:</w:t>
                </w:r>
              </w:p>
            </w:tc>
            <w:tc>
              <w:tcPr>
                <w:tcW w:w="3685" w:type="dxa"/>
                <w:hideMark/>
              </w:tcPr>
              <w:p w14:paraId="15F0BBEE" w14:textId="6922FDF5" w:rsidR="00431FFC" w:rsidRPr="008C644E" w:rsidRDefault="00431FFC" w:rsidP="00431FFC">
                <w:pPr>
                  <w:tabs>
                    <w:tab w:val="left" w:pos="2834"/>
                    <w:tab w:val="right" w:pos="8838"/>
                  </w:tabs>
                  <w:ind w:left="-74" w:right="-105"/>
                  <w:rPr>
                    <w:rFonts w:eastAsia="Calibri" w:cs="Tahoma"/>
                  </w:rPr>
                </w:pPr>
                <w:r w:rsidRPr="00560E42">
                  <w:rPr>
                    <w:color w:val="000000"/>
                  </w:rPr>
                  <w:t>Secretaría de Finanzas</w:t>
                </w:r>
              </w:p>
            </w:tc>
            <w:tc>
              <w:tcPr>
                <w:tcW w:w="3129" w:type="dxa"/>
              </w:tcPr>
              <w:p w14:paraId="4F66484A" w14:textId="77777777" w:rsidR="00431FFC" w:rsidRDefault="00431FFC" w:rsidP="00431FFC">
                <w:pPr>
                  <w:tabs>
                    <w:tab w:val="left" w:pos="2834"/>
                    <w:tab w:val="right" w:pos="8838"/>
                  </w:tabs>
                  <w:ind w:left="-74" w:right="-105"/>
                  <w:rPr>
                    <w:rFonts w:eastAsia="Calibri" w:cs="Tahoma"/>
                  </w:rPr>
                </w:pPr>
              </w:p>
            </w:tc>
          </w:tr>
          <w:tr w:rsidR="00431FFC" w14:paraId="31ED3AFE" w14:textId="77777777" w:rsidTr="00FA216A">
            <w:trPr>
              <w:trHeight w:val="283"/>
            </w:trPr>
            <w:tc>
              <w:tcPr>
                <w:tcW w:w="2406" w:type="dxa"/>
                <w:hideMark/>
              </w:tcPr>
              <w:p w14:paraId="15F68018" w14:textId="77777777" w:rsidR="00431FFC" w:rsidRDefault="00431FFC" w:rsidP="00431FFC">
                <w:pPr>
                  <w:tabs>
                    <w:tab w:val="right" w:pos="8838"/>
                  </w:tabs>
                  <w:ind w:left="-74" w:right="-105"/>
                  <w:rPr>
                    <w:rFonts w:eastAsia="Calibri" w:cs="Tahoma"/>
                    <w:b/>
                  </w:rPr>
                </w:pPr>
                <w:r>
                  <w:rPr>
                    <w:rFonts w:eastAsia="Calibri" w:cs="Tahoma"/>
                    <w:b/>
                  </w:rPr>
                  <w:t xml:space="preserve">Comisionado Ponente: </w:t>
                </w:r>
              </w:p>
            </w:tc>
            <w:tc>
              <w:tcPr>
                <w:tcW w:w="3685" w:type="dxa"/>
                <w:hideMark/>
              </w:tcPr>
              <w:p w14:paraId="2C9CCFB8" w14:textId="77777777" w:rsidR="00431FFC" w:rsidRDefault="00431FFC" w:rsidP="00431FFC">
                <w:pPr>
                  <w:tabs>
                    <w:tab w:val="right" w:pos="8838"/>
                  </w:tabs>
                  <w:ind w:left="-74" w:right="-105"/>
                  <w:rPr>
                    <w:rFonts w:eastAsia="Calibri" w:cs="Tahoma"/>
                    <w:b/>
                  </w:rPr>
                </w:pPr>
                <w:r>
                  <w:rPr>
                    <w:rFonts w:eastAsia="Calibri" w:cs="Tahoma"/>
                  </w:rPr>
                  <w:t>Luis Gustavo Parra Noriega</w:t>
                </w:r>
              </w:p>
            </w:tc>
            <w:tc>
              <w:tcPr>
                <w:tcW w:w="3129" w:type="dxa"/>
              </w:tcPr>
              <w:p w14:paraId="16D985C3" w14:textId="77777777" w:rsidR="00431FFC" w:rsidRDefault="00431FFC" w:rsidP="00431FFC">
                <w:pPr>
                  <w:tabs>
                    <w:tab w:val="right" w:pos="8838"/>
                  </w:tabs>
                  <w:ind w:left="-74" w:right="-105"/>
                  <w:rPr>
                    <w:rFonts w:eastAsia="Calibri" w:cs="Tahoma"/>
                  </w:rPr>
                </w:pPr>
              </w:p>
            </w:tc>
          </w:tr>
        </w:tbl>
        <w:p w14:paraId="74FD021B" w14:textId="77777777" w:rsidR="00431FFC" w:rsidRDefault="00431FFC" w:rsidP="00431FFC">
          <w:pPr>
            <w:tabs>
              <w:tab w:val="right" w:pos="8838"/>
            </w:tabs>
            <w:spacing w:line="256" w:lineRule="auto"/>
            <w:ind w:left="-28"/>
            <w:rPr>
              <w:rFonts w:ascii="Arial" w:eastAsia="Calibri" w:hAnsi="Arial" w:cs="Arial"/>
              <w:b/>
            </w:rPr>
          </w:pPr>
        </w:p>
      </w:tc>
    </w:tr>
  </w:tbl>
  <w:p w14:paraId="173C000D" w14:textId="77777777" w:rsidR="00431FFC" w:rsidRDefault="001821D2">
    <w:pPr>
      <w:pStyle w:val="Encabezado"/>
    </w:pPr>
    <w:r>
      <w:rPr>
        <w:noProof/>
      </w:rPr>
      <w:pict w14:anchorId="214E7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7" o:spid="_x0000_s2050" type="#_x0000_t75" style="position:absolute;left:0;text-align:left;margin-left:-103.85pt;margin-top:-140.1pt;width:663.5pt;height:12in;z-index:-251658752;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Layout w:type="fixed"/>
      <w:tblLook w:val="04A0" w:firstRow="1" w:lastRow="0" w:firstColumn="1" w:lastColumn="0" w:noHBand="0" w:noVBand="1"/>
    </w:tblPr>
    <w:tblGrid>
      <w:gridCol w:w="3261"/>
      <w:gridCol w:w="7512"/>
    </w:tblGrid>
    <w:tr w:rsidR="00431FFC" w:rsidRPr="008C644E" w14:paraId="287B3FFE" w14:textId="77777777" w:rsidTr="00C72294">
      <w:trPr>
        <w:trHeight w:val="1435"/>
      </w:trPr>
      <w:tc>
        <w:tcPr>
          <w:tcW w:w="3261" w:type="dxa"/>
        </w:tcPr>
        <w:p w14:paraId="211A18BA" w14:textId="77777777" w:rsidR="00431FFC" w:rsidRPr="008C644E" w:rsidRDefault="00431FFC" w:rsidP="00431FFC">
          <w:pPr>
            <w:pStyle w:val="Encabezado"/>
          </w:pPr>
        </w:p>
      </w:tc>
      <w:tc>
        <w:tcPr>
          <w:tcW w:w="7512" w:type="dxa"/>
          <w:hideMark/>
        </w:tcPr>
        <w:tbl>
          <w:tblPr>
            <w:tblStyle w:val="Tablaconcuadrcula"/>
            <w:tblW w:w="6372"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3962"/>
          </w:tblGrid>
          <w:tr w:rsidR="00431FFC" w:rsidRPr="0095634C" w14:paraId="5632F271" w14:textId="77777777" w:rsidTr="00502C77">
            <w:trPr>
              <w:trHeight w:val="138"/>
            </w:trPr>
            <w:tc>
              <w:tcPr>
                <w:tcW w:w="2410" w:type="dxa"/>
                <w:hideMark/>
              </w:tcPr>
              <w:p w14:paraId="5995B294" w14:textId="77777777" w:rsidR="00431FFC" w:rsidRPr="0095634C" w:rsidRDefault="00431FFC" w:rsidP="00502C77">
                <w:pPr>
                  <w:tabs>
                    <w:tab w:val="right" w:pos="8838"/>
                  </w:tabs>
                  <w:ind w:left="-69" w:right="-105"/>
                  <w:rPr>
                    <w:rFonts w:eastAsia="Calibri" w:cs="Tahoma"/>
                    <w:b/>
                  </w:rPr>
                </w:pPr>
                <w:r w:rsidRPr="0095634C">
                  <w:rPr>
                    <w:rFonts w:eastAsia="Calibri" w:cs="Tahoma"/>
                    <w:b/>
                  </w:rPr>
                  <w:t>Recurso de Revisión:</w:t>
                </w:r>
              </w:p>
            </w:tc>
            <w:tc>
              <w:tcPr>
                <w:tcW w:w="3962" w:type="dxa"/>
                <w:hideMark/>
              </w:tcPr>
              <w:p w14:paraId="5EF0C7EF" w14:textId="6B262E5E" w:rsidR="00431FFC" w:rsidRPr="0095634C" w:rsidRDefault="00431FFC" w:rsidP="00502C77">
                <w:pPr>
                  <w:tabs>
                    <w:tab w:val="right" w:pos="8838"/>
                  </w:tabs>
                  <w:ind w:left="-74" w:right="-105"/>
                  <w:rPr>
                    <w:rFonts w:eastAsia="Calibri" w:cs="Tahoma"/>
                  </w:rPr>
                </w:pPr>
                <w:r>
                  <w:rPr>
                    <w:rFonts w:eastAsia="Calibri" w:cs="Tahoma"/>
                    <w:lang w:val="es-MX"/>
                  </w:rPr>
                  <w:t>07466</w:t>
                </w:r>
                <w:r w:rsidRPr="00326F31">
                  <w:rPr>
                    <w:rFonts w:eastAsia="Calibri" w:cs="Tahoma"/>
                    <w:lang w:val="es-MX"/>
                  </w:rPr>
                  <w:t>/INFOEM/IP/RR/202</w:t>
                </w:r>
                <w:r>
                  <w:rPr>
                    <w:rFonts w:eastAsia="Calibri" w:cs="Tahoma"/>
                    <w:lang w:val="es-MX"/>
                  </w:rPr>
                  <w:t>4</w:t>
                </w:r>
              </w:p>
            </w:tc>
          </w:tr>
          <w:tr w:rsidR="00431FFC" w:rsidRPr="0095634C" w14:paraId="3A655F5A" w14:textId="77777777" w:rsidTr="00502C77">
            <w:trPr>
              <w:trHeight w:val="138"/>
            </w:trPr>
            <w:tc>
              <w:tcPr>
                <w:tcW w:w="2410" w:type="dxa"/>
                <w:hideMark/>
              </w:tcPr>
              <w:p w14:paraId="7B8BB1FD" w14:textId="77777777" w:rsidR="00431FFC" w:rsidRPr="0095634C" w:rsidRDefault="00431FFC" w:rsidP="00502C77">
                <w:pPr>
                  <w:tabs>
                    <w:tab w:val="right" w:pos="8838"/>
                  </w:tabs>
                  <w:ind w:left="-74" w:right="-105"/>
                  <w:rPr>
                    <w:rFonts w:eastAsia="Calibri" w:cs="Tahoma"/>
                    <w:b/>
                  </w:rPr>
                </w:pPr>
                <w:r w:rsidRPr="0095634C">
                  <w:rPr>
                    <w:rFonts w:eastAsia="Calibri" w:cs="Tahoma"/>
                    <w:b/>
                  </w:rPr>
                  <w:t>Recurrente:</w:t>
                </w:r>
              </w:p>
            </w:tc>
            <w:tc>
              <w:tcPr>
                <w:tcW w:w="3962" w:type="dxa"/>
              </w:tcPr>
              <w:p w14:paraId="3938280D" w14:textId="4E110826" w:rsidR="00431FFC" w:rsidRPr="0095634C" w:rsidRDefault="00431FFC" w:rsidP="00502C77">
                <w:pPr>
                  <w:tabs>
                    <w:tab w:val="left" w:pos="3122"/>
                    <w:tab w:val="right" w:pos="8838"/>
                  </w:tabs>
                  <w:ind w:left="-74" w:right="-105"/>
                  <w:rPr>
                    <w:rFonts w:eastAsia="Calibri" w:cs="Tahoma"/>
                  </w:rPr>
                </w:pPr>
              </w:p>
            </w:tc>
          </w:tr>
          <w:tr w:rsidR="00431FFC" w:rsidRPr="0095634C" w14:paraId="71D57F9C" w14:textId="77777777" w:rsidTr="00502C77">
            <w:trPr>
              <w:trHeight w:val="275"/>
            </w:trPr>
            <w:tc>
              <w:tcPr>
                <w:tcW w:w="2410" w:type="dxa"/>
                <w:hideMark/>
              </w:tcPr>
              <w:p w14:paraId="5E07D75C" w14:textId="77777777" w:rsidR="00431FFC" w:rsidRPr="0095634C" w:rsidRDefault="00431FFC" w:rsidP="00502C77">
                <w:pPr>
                  <w:tabs>
                    <w:tab w:val="right" w:pos="8838"/>
                  </w:tabs>
                  <w:ind w:left="-74" w:right="-105"/>
                  <w:rPr>
                    <w:rFonts w:eastAsia="Calibri" w:cs="Tahoma"/>
                    <w:b/>
                  </w:rPr>
                </w:pPr>
                <w:r w:rsidRPr="0095634C">
                  <w:rPr>
                    <w:rFonts w:eastAsia="Calibri" w:cs="Tahoma"/>
                    <w:b/>
                  </w:rPr>
                  <w:t>Sujeto Obligado:</w:t>
                </w:r>
              </w:p>
            </w:tc>
            <w:tc>
              <w:tcPr>
                <w:tcW w:w="3962" w:type="dxa"/>
                <w:hideMark/>
              </w:tcPr>
              <w:p w14:paraId="6DDDD230" w14:textId="6EFFC8D1" w:rsidR="00431FFC" w:rsidRPr="00590F33" w:rsidRDefault="00431FFC" w:rsidP="00502C77">
                <w:pPr>
                  <w:tabs>
                    <w:tab w:val="left" w:pos="2834"/>
                    <w:tab w:val="right" w:pos="8838"/>
                  </w:tabs>
                  <w:ind w:left="-74"/>
                  <w:rPr>
                    <w:rFonts w:eastAsia="Calibri" w:cs="Tahoma"/>
                  </w:rPr>
                </w:pPr>
                <w:r w:rsidRPr="00560E42">
                  <w:rPr>
                    <w:color w:val="000000"/>
                  </w:rPr>
                  <w:t>Secretaría de Finanzas</w:t>
                </w:r>
              </w:p>
            </w:tc>
          </w:tr>
          <w:tr w:rsidR="00431FFC" w:rsidRPr="0095634C" w14:paraId="1EEC406C" w14:textId="77777777" w:rsidTr="00502C77">
            <w:trPr>
              <w:trHeight w:val="275"/>
            </w:trPr>
            <w:tc>
              <w:tcPr>
                <w:tcW w:w="2410" w:type="dxa"/>
                <w:hideMark/>
              </w:tcPr>
              <w:p w14:paraId="268D6D66" w14:textId="77777777" w:rsidR="00431FFC" w:rsidRPr="0095634C" w:rsidRDefault="00431FFC" w:rsidP="00502C77">
                <w:pPr>
                  <w:tabs>
                    <w:tab w:val="right" w:pos="8838"/>
                  </w:tabs>
                  <w:ind w:left="-74" w:right="-105"/>
                  <w:rPr>
                    <w:rFonts w:eastAsia="Calibri" w:cs="Tahoma"/>
                    <w:b/>
                  </w:rPr>
                </w:pPr>
                <w:r w:rsidRPr="0095634C">
                  <w:rPr>
                    <w:rFonts w:eastAsia="Calibri" w:cs="Tahoma"/>
                    <w:b/>
                  </w:rPr>
                  <w:t>Comisionado Ponente:</w:t>
                </w:r>
              </w:p>
            </w:tc>
            <w:tc>
              <w:tcPr>
                <w:tcW w:w="3962" w:type="dxa"/>
              </w:tcPr>
              <w:p w14:paraId="1AAAA0EC" w14:textId="77777777" w:rsidR="00431FFC" w:rsidRPr="0057023C" w:rsidRDefault="00431FFC" w:rsidP="00502C77">
                <w:pPr>
                  <w:tabs>
                    <w:tab w:val="right" w:pos="8838"/>
                  </w:tabs>
                  <w:ind w:left="-74" w:right="-105"/>
                  <w:rPr>
                    <w:rFonts w:eastAsia="Calibri" w:cs="Tahoma"/>
                  </w:rPr>
                </w:pPr>
                <w:r w:rsidRPr="0095634C">
                  <w:rPr>
                    <w:rFonts w:eastAsia="Calibri" w:cs="Tahoma"/>
                  </w:rPr>
                  <w:t>Luis Gustavo Parra Noriega</w:t>
                </w:r>
              </w:p>
            </w:tc>
          </w:tr>
        </w:tbl>
        <w:p w14:paraId="25D99D7B" w14:textId="77777777" w:rsidR="00431FFC" w:rsidRPr="008C644E" w:rsidRDefault="00431FFC" w:rsidP="00431FFC">
          <w:pPr>
            <w:pStyle w:val="Encabezado"/>
            <w:rPr>
              <w:b/>
            </w:rPr>
          </w:pPr>
        </w:p>
      </w:tc>
    </w:tr>
  </w:tbl>
  <w:p w14:paraId="1B52B19E" w14:textId="77777777" w:rsidR="00431FFC" w:rsidRDefault="001821D2">
    <w:pPr>
      <w:pStyle w:val="Encabezado"/>
    </w:pPr>
    <w:r>
      <w:rPr>
        <w:noProof/>
      </w:rPr>
      <w:pict w14:anchorId="5A476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19625" o:spid="_x0000_s2051" type="#_x0000_t75" style="position:absolute;left:0;text-align:left;margin-left:-84.35pt;margin-top:-136.25pt;width:663.5pt;height:12in;z-index:-251657728;mso-position-horizontal-relative:margin;mso-position-vertical-relative:margin" o:allowincell="f" stroked="t" strokecolor="blue">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B3E18"/>
    <w:multiLevelType w:val="hybridMultilevel"/>
    <w:tmpl w:val="C3EA6E7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34E6087B"/>
    <w:multiLevelType w:val="hybridMultilevel"/>
    <w:tmpl w:val="F4EA7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26D1FFD"/>
    <w:multiLevelType w:val="hybridMultilevel"/>
    <w:tmpl w:val="A64C65C8"/>
    <w:lvl w:ilvl="0" w:tplc="D01C51FC">
      <w:start w:val="1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FD3720"/>
    <w:multiLevelType w:val="hybridMultilevel"/>
    <w:tmpl w:val="F780A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9A7BD8"/>
    <w:multiLevelType w:val="hybridMultilevel"/>
    <w:tmpl w:val="AFB091CA"/>
    <w:lvl w:ilvl="0" w:tplc="D01C51FC">
      <w:start w:val="1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BD6FD6"/>
    <w:multiLevelType w:val="hybridMultilevel"/>
    <w:tmpl w:val="4B7C4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77"/>
    <w:rsid w:val="00006095"/>
    <w:rsid w:val="000B40B5"/>
    <w:rsid w:val="000D40BE"/>
    <w:rsid w:val="000E3013"/>
    <w:rsid w:val="00170FE5"/>
    <w:rsid w:val="001821D2"/>
    <w:rsid w:val="001870E7"/>
    <w:rsid w:val="00216BCF"/>
    <w:rsid w:val="002A4228"/>
    <w:rsid w:val="002A6EB0"/>
    <w:rsid w:val="002C0960"/>
    <w:rsid w:val="00304ED1"/>
    <w:rsid w:val="003452D5"/>
    <w:rsid w:val="00352DC2"/>
    <w:rsid w:val="00382BD2"/>
    <w:rsid w:val="00394F1E"/>
    <w:rsid w:val="00404320"/>
    <w:rsid w:val="00423DE8"/>
    <w:rsid w:val="00424BDB"/>
    <w:rsid w:val="00427B61"/>
    <w:rsid w:val="00431FFC"/>
    <w:rsid w:val="00434B92"/>
    <w:rsid w:val="00445827"/>
    <w:rsid w:val="00476883"/>
    <w:rsid w:val="00501081"/>
    <w:rsid w:val="00502C77"/>
    <w:rsid w:val="00513C03"/>
    <w:rsid w:val="00514D99"/>
    <w:rsid w:val="00520880"/>
    <w:rsid w:val="00560E42"/>
    <w:rsid w:val="005819C7"/>
    <w:rsid w:val="005828FF"/>
    <w:rsid w:val="00594B48"/>
    <w:rsid w:val="005D585C"/>
    <w:rsid w:val="00637E46"/>
    <w:rsid w:val="00661B46"/>
    <w:rsid w:val="00675C12"/>
    <w:rsid w:val="006906A3"/>
    <w:rsid w:val="006B6CBD"/>
    <w:rsid w:val="006E300B"/>
    <w:rsid w:val="007453C0"/>
    <w:rsid w:val="00770E20"/>
    <w:rsid w:val="007B4239"/>
    <w:rsid w:val="0085457C"/>
    <w:rsid w:val="0089396E"/>
    <w:rsid w:val="008B5090"/>
    <w:rsid w:val="0092620F"/>
    <w:rsid w:val="00961637"/>
    <w:rsid w:val="00965736"/>
    <w:rsid w:val="009818B0"/>
    <w:rsid w:val="009E401A"/>
    <w:rsid w:val="00A4092E"/>
    <w:rsid w:val="00A62DF0"/>
    <w:rsid w:val="00A74AAC"/>
    <w:rsid w:val="00A87233"/>
    <w:rsid w:val="00AD1219"/>
    <w:rsid w:val="00AD4231"/>
    <w:rsid w:val="00AE3F1C"/>
    <w:rsid w:val="00B05BA0"/>
    <w:rsid w:val="00B475A1"/>
    <w:rsid w:val="00B4792C"/>
    <w:rsid w:val="00B646F4"/>
    <w:rsid w:val="00B71D72"/>
    <w:rsid w:val="00B75F60"/>
    <w:rsid w:val="00BC0F1C"/>
    <w:rsid w:val="00C01207"/>
    <w:rsid w:val="00C11961"/>
    <w:rsid w:val="00C33AC8"/>
    <w:rsid w:val="00C54E2E"/>
    <w:rsid w:val="00C72294"/>
    <w:rsid w:val="00CA5F19"/>
    <w:rsid w:val="00CF09BB"/>
    <w:rsid w:val="00D22F0A"/>
    <w:rsid w:val="00D263F3"/>
    <w:rsid w:val="00D820F9"/>
    <w:rsid w:val="00DA7F0B"/>
    <w:rsid w:val="00DF4217"/>
    <w:rsid w:val="00E1368A"/>
    <w:rsid w:val="00E13F38"/>
    <w:rsid w:val="00E3651E"/>
    <w:rsid w:val="00E42C76"/>
    <w:rsid w:val="00E72111"/>
    <w:rsid w:val="00EB4164"/>
    <w:rsid w:val="00F11D5B"/>
    <w:rsid w:val="00FA21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42A389"/>
  <w15:chartTrackingRefBased/>
  <w15:docId w15:val="{0E5D6DA7-8C4A-4B25-9344-78F3EF0D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77"/>
    <w:pPr>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2C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2C77"/>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502C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2C77"/>
    <w:rPr>
      <w:rFonts w:ascii="Palatino Linotype" w:hAnsi="Palatino Linotype"/>
      <w:color w:val="000000" w:themeColor="text1"/>
      <w:kern w:val="0"/>
      <w14:ligatures w14:val="none"/>
    </w:rPr>
  </w:style>
  <w:style w:type="table" w:styleId="Tablaconcuadrcula">
    <w:name w:val="Table Grid"/>
    <w:basedOn w:val="Tablanormal"/>
    <w:uiPriority w:val="39"/>
    <w:rsid w:val="00502C77"/>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502C77"/>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02C77"/>
    <w:pPr>
      <w:spacing w:after="0" w:line="240" w:lineRule="auto"/>
      <w:ind w:left="720"/>
      <w:contextualSpacing/>
      <w:jc w:val="left"/>
    </w:pPr>
    <w:rPr>
      <w:rFonts w:ascii="Century Gothic" w:eastAsia="Times New Roman" w:hAnsi="Century Gothic" w:cs="Times New Roman"/>
      <w:color w:val="auto"/>
      <w:kern w:val="2"/>
      <w:szCs w:val="24"/>
      <w:lang w:eastAsia="es-ES"/>
      <w14:ligatures w14:val="standardContextual"/>
    </w:rPr>
  </w:style>
  <w:style w:type="character" w:customStyle="1" w:styleId="normaltextrun">
    <w:name w:val="normaltextrun"/>
    <w:basedOn w:val="Fuentedeprrafopredeter"/>
    <w:rsid w:val="00C33AC8"/>
  </w:style>
  <w:style w:type="paragraph" w:customStyle="1" w:styleId="paragraph">
    <w:name w:val="paragraph"/>
    <w:basedOn w:val="Normal"/>
    <w:rsid w:val="00C33AC8"/>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styleId="Hipervnculo">
    <w:name w:val="Hyperlink"/>
    <w:basedOn w:val="Fuentedeprrafopredeter"/>
    <w:uiPriority w:val="99"/>
    <w:semiHidden/>
    <w:unhideWhenUsed/>
    <w:rsid w:val="00352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9476">
      <w:bodyDiv w:val="1"/>
      <w:marLeft w:val="0"/>
      <w:marRight w:val="0"/>
      <w:marTop w:val="0"/>
      <w:marBottom w:val="0"/>
      <w:divBdr>
        <w:top w:val="none" w:sz="0" w:space="0" w:color="auto"/>
        <w:left w:val="none" w:sz="0" w:space="0" w:color="auto"/>
        <w:bottom w:val="none" w:sz="0" w:space="0" w:color="auto"/>
        <w:right w:val="none" w:sz="0" w:space="0" w:color="auto"/>
      </w:divBdr>
    </w:div>
    <w:div w:id="960766526">
      <w:bodyDiv w:val="1"/>
      <w:marLeft w:val="0"/>
      <w:marRight w:val="0"/>
      <w:marTop w:val="0"/>
      <w:marBottom w:val="0"/>
      <w:divBdr>
        <w:top w:val="none" w:sz="0" w:space="0" w:color="auto"/>
        <w:left w:val="none" w:sz="0" w:space="0" w:color="auto"/>
        <w:bottom w:val="none" w:sz="0" w:space="0" w:color="auto"/>
        <w:right w:val="none" w:sz="0" w:space="0" w:color="auto"/>
      </w:divBdr>
    </w:div>
    <w:div w:id="1626278812">
      <w:bodyDiv w:val="1"/>
      <w:marLeft w:val="0"/>
      <w:marRight w:val="0"/>
      <w:marTop w:val="0"/>
      <w:marBottom w:val="0"/>
      <w:divBdr>
        <w:top w:val="none" w:sz="0" w:space="0" w:color="auto"/>
        <w:left w:val="none" w:sz="0" w:space="0" w:color="auto"/>
        <w:bottom w:val="none" w:sz="0" w:space="0" w:color="auto"/>
        <w:right w:val="none" w:sz="0" w:space="0" w:color="auto"/>
      </w:divBdr>
    </w:div>
    <w:div w:id="1836338368">
      <w:bodyDiv w:val="1"/>
      <w:marLeft w:val="0"/>
      <w:marRight w:val="0"/>
      <w:marTop w:val="0"/>
      <w:marBottom w:val="0"/>
      <w:divBdr>
        <w:top w:val="none" w:sz="0" w:space="0" w:color="auto"/>
        <w:left w:val="none" w:sz="0" w:space="0" w:color="auto"/>
        <w:bottom w:val="none" w:sz="0" w:space="0" w:color="auto"/>
        <w:right w:val="none" w:sz="0" w:space="0" w:color="auto"/>
      </w:divBdr>
    </w:div>
    <w:div w:id="20504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4397</Words>
  <Characters>24184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dc:creator>
  <cp:keywords/>
  <dc:description/>
  <cp:lastModifiedBy>INFOEM000</cp:lastModifiedBy>
  <cp:revision>4</cp:revision>
  <cp:lastPrinted>2025-01-17T00:39:00Z</cp:lastPrinted>
  <dcterms:created xsi:type="dcterms:W3CDTF">2025-01-17T00:39:00Z</dcterms:created>
  <dcterms:modified xsi:type="dcterms:W3CDTF">2025-01-23T00:16:00Z</dcterms:modified>
</cp:coreProperties>
</file>