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4B0E3" w14:textId="77777777" w:rsidR="00297CD9" w:rsidRDefault="00297CD9">
      <w:pPr>
        <w:widowControl w:val="0"/>
        <w:pBdr>
          <w:top w:val="nil"/>
          <w:left w:val="nil"/>
          <w:bottom w:val="nil"/>
          <w:right w:val="nil"/>
          <w:between w:val="nil"/>
        </w:pBdr>
        <w:spacing w:line="276" w:lineRule="auto"/>
      </w:pPr>
    </w:p>
    <w:p w14:paraId="5F12CB88" w14:textId="77777777" w:rsidR="00297CD9" w:rsidRDefault="00512CBA">
      <w:pPr>
        <w:keepNext/>
        <w:keepLines/>
        <w:pBdr>
          <w:top w:val="nil"/>
          <w:left w:val="nil"/>
          <w:bottom w:val="nil"/>
          <w:right w:val="nil"/>
          <w:between w:val="nil"/>
        </w:pBdr>
        <w:spacing w:line="360" w:lineRule="auto"/>
        <w:jc w:val="center"/>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RESOLUCIÓN DEL RECURSO DE REVISIÓN 07621/INFOEM/IP/RR/2024 Y ACUMULADOS</w:t>
      </w:r>
    </w:p>
    <w:sdt>
      <w:sdtPr>
        <w:id w:val="-1095251327"/>
        <w:docPartObj>
          <w:docPartGallery w:val="Table of Contents"/>
          <w:docPartUnique/>
        </w:docPartObj>
      </w:sdtPr>
      <w:sdtEndPr/>
      <w:sdtContent>
        <w:p w14:paraId="6F16FCCA" w14:textId="77777777" w:rsidR="00297CD9" w:rsidRDefault="00512CBA">
          <w:pPr>
            <w:pBdr>
              <w:top w:val="nil"/>
              <w:left w:val="nil"/>
              <w:bottom w:val="nil"/>
              <w:right w:val="nil"/>
              <w:between w:val="nil"/>
            </w:pBdr>
            <w:tabs>
              <w:tab w:val="right" w:pos="8828"/>
            </w:tabs>
            <w:spacing w:line="360" w:lineRule="auto"/>
            <w:rPr>
              <w:rFonts w:ascii="Palatino Linotype" w:eastAsia="Palatino Linotype" w:hAnsi="Palatino Linotype" w:cs="Palatino Linotype"/>
              <w:color w:val="000000"/>
              <w:sz w:val="22"/>
              <w:szCs w:val="22"/>
            </w:rPr>
          </w:pPr>
          <w:r>
            <w:fldChar w:fldCharType="begin"/>
          </w:r>
          <w:r>
            <w:instrText xml:space="preserve"> TOC \h \u \z \t "Heading 1,1,Heading 2,2,Heading 3,3,"</w:instrText>
          </w:r>
          <w:r>
            <w:fldChar w:fldCharType="separate"/>
          </w:r>
          <w:hyperlink w:anchor="_heading=h.gjdgxs">
            <w:r>
              <w:rPr>
                <w:rFonts w:ascii="Palatino Linotype" w:eastAsia="Palatino Linotype" w:hAnsi="Palatino Linotype" w:cs="Palatino Linotype"/>
                <w:color w:val="000000"/>
                <w:sz w:val="22"/>
                <w:szCs w:val="22"/>
              </w:rPr>
              <w:t>A N T E C E D E N T E S</w:t>
            </w:r>
            <w:r>
              <w:rPr>
                <w:rFonts w:ascii="Palatino Linotype" w:eastAsia="Palatino Linotype" w:hAnsi="Palatino Linotype" w:cs="Palatino Linotype"/>
                <w:color w:val="000000"/>
                <w:sz w:val="22"/>
                <w:szCs w:val="22"/>
              </w:rPr>
              <w:tab/>
              <w:t>2</w:t>
            </w:r>
          </w:hyperlink>
        </w:p>
        <w:p w14:paraId="5FECD029" w14:textId="77777777" w:rsidR="00297CD9" w:rsidRDefault="00F50720">
          <w:pPr>
            <w:pBdr>
              <w:top w:val="nil"/>
              <w:left w:val="nil"/>
              <w:bottom w:val="nil"/>
              <w:right w:val="nil"/>
              <w:between w:val="nil"/>
            </w:pBdr>
            <w:tabs>
              <w:tab w:val="right" w:pos="8828"/>
            </w:tabs>
            <w:spacing w:line="360" w:lineRule="auto"/>
            <w:ind w:left="200"/>
            <w:jc w:val="both"/>
            <w:rPr>
              <w:color w:val="000000"/>
            </w:rPr>
          </w:pPr>
          <w:hyperlink w:anchor="_heading=h.30j0zll">
            <w:r w:rsidR="00512CBA">
              <w:rPr>
                <w:rFonts w:ascii="Palatino Linotype" w:eastAsia="Palatino Linotype" w:hAnsi="Palatino Linotype" w:cs="Palatino Linotype"/>
                <w:color w:val="000000"/>
                <w:sz w:val="22"/>
                <w:szCs w:val="22"/>
              </w:rPr>
              <w:t>I. Presentación de las solicitudes de información</w:t>
            </w:r>
          </w:hyperlink>
          <w:hyperlink w:anchor="_heading=h.30j0zll">
            <w:r w:rsidR="00512CBA">
              <w:rPr>
                <w:color w:val="000000"/>
              </w:rPr>
              <w:tab/>
              <w:t>2</w:t>
            </w:r>
          </w:hyperlink>
        </w:p>
        <w:p w14:paraId="1AFA9BA0" w14:textId="77777777" w:rsidR="00297CD9" w:rsidRDefault="00F50720">
          <w:pPr>
            <w:pBdr>
              <w:top w:val="nil"/>
              <w:left w:val="nil"/>
              <w:bottom w:val="nil"/>
              <w:right w:val="nil"/>
              <w:between w:val="nil"/>
            </w:pBdr>
            <w:tabs>
              <w:tab w:val="right" w:pos="8828"/>
            </w:tabs>
            <w:spacing w:line="360" w:lineRule="auto"/>
            <w:ind w:left="200"/>
            <w:jc w:val="both"/>
            <w:rPr>
              <w:color w:val="000000"/>
            </w:rPr>
          </w:pPr>
          <w:hyperlink w:anchor="_heading=h.2et92p0">
            <w:r w:rsidR="00512CBA">
              <w:rPr>
                <w:rFonts w:ascii="Palatino Linotype" w:eastAsia="Palatino Linotype" w:hAnsi="Palatino Linotype" w:cs="Palatino Linotype"/>
                <w:color w:val="000000"/>
                <w:sz w:val="22"/>
                <w:szCs w:val="22"/>
              </w:rPr>
              <w:t>II. Respuestas del Sujeto Obligado</w:t>
            </w:r>
          </w:hyperlink>
          <w:hyperlink w:anchor="_heading=h.2et92p0">
            <w:r w:rsidR="00512CBA">
              <w:rPr>
                <w:color w:val="000000"/>
              </w:rPr>
              <w:tab/>
              <w:t>3</w:t>
            </w:r>
          </w:hyperlink>
        </w:p>
        <w:p w14:paraId="1B30FDBA" w14:textId="77777777" w:rsidR="00297CD9" w:rsidRDefault="00F50720">
          <w:pPr>
            <w:pBdr>
              <w:top w:val="nil"/>
              <w:left w:val="nil"/>
              <w:bottom w:val="nil"/>
              <w:right w:val="nil"/>
              <w:between w:val="nil"/>
            </w:pBdr>
            <w:tabs>
              <w:tab w:val="right" w:pos="8828"/>
            </w:tabs>
            <w:spacing w:line="360" w:lineRule="auto"/>
            <w:ind w:left="200"/>
            <w:jc w:val="both"/>
            <w:rPr>
              <w:color w:val="000000"/>
            </w:rPr>
          </w:pPr>
          <w:hyperlink w:anchor="_heading=h.tyjcwt">
            <w:r w:rsidR="00512CBA">
              <w:rPr>
                <w:rFonts w:ascii="Palatino Linotype" w:eastAsia="Palatino Linotype" w:hAnsi="Palatino Linotype" w:cs="Palatino Linotype"/>
                <w:color w:val="000000"/>
                <w:sz w:val="22"/>
                <w:szCs w:val="22"/>
              </w:rPr>
              <w:t>III. Interposición de los Recursos de Revisión</w:t>
            </w:r>
          </w:hyperlink>
          <w:hyperlink w:anchor="_heading=h.tyjcwt">
            <w:r w:rsidR="00512CBA">
              <w:rPr>
                <w:color w:val="000000"/>
              </w:rPr>
              <w:tab/>
              <w:t>6</w:t>
            </w:r>
          </w:hyperlink>
        </w:p>
        <w:p w14:paraId="41828FAD" w14:textId="77777777" w:rsidR="00297CD9" w:rsidRDefault="00F50720">
          <w:pPr>
            <w:pBdr>
              <w:top w:val="nil"/>
              <w:left w:val="nil"/>
              <w:bottom w:val="nil"/>
              <w:right w:val="nil"/>
              <w:between w:val="nil"/>
            </w:pBdr>
            <w:tabs>
              <w:tab w:val="right" w:pos="8828"/>
            </w:tabs>
            <w:spacing w:line="360" w:lineRule="auto"/>
            <w:ind w:left="200"/>
            <w:jc w:val="both"/>
            <w:rPr>
              <w:color w:val="000000"/>
            </w:rPr>
          </w:pPr>
          <w:hyperlink w:anchor="_heading=h.3dy6vkm">
            <w:r w:rsidR="00512CBA">
              <w:rPr>
                <w:rFonts w:ascii="Palatino Linotype" w:eastAsia="Palatino Linotype" w:hAnsi="Palatino Linotype" w:cs="Palatino Linotype"/>
                <w:color w:val="000000"/>
                <w:sz w:val="22"/>
                <w:szCs w:val="22"/>
              </w:rPr>
              <w:t>IV. Trámite de los Recursos de Revisión ante este Instituto</w:t>
            </w:r>
          </w:hyperlink>
          <w:hyperlink w:anchor="_heading=h.3dy6vkm">
            <w:r w:rsidR="00512CBA">
              <w:rPr>
                <w:color w:val="000000"/>
              </w:rPr>
              <w:tab/>
              <w:t>7</w:t>
            </w:r>
          </w:hyperlink>
        </w:p>
        <w:p w14:paraId="48CEC826" w14:textId="77777777" w:rsidR="00297CD9" w:rsidRDefault="00F50720">
          <w:pPr>
            <w:pBdr>
              <w:top w:val="nil"/>
              <w:left w:val="nil"/>
              <w:bottom w:val="nil"/>
              <w:right w:val="nil"/>
              <w:between w:val="nil"/>
            </w:pBdr>
            <w:tabs>
              <w:tab w:val="right" w:pos="8828"/>
            </w:tabs>
            <w:spacing w:line="360" w:lineRule="auto"/>
            <w:rPr>
              <w:rFonts w:ascii="Palatino Linotype" w:eastAsia="Palatino Linotype" w:hAnsi="Palatino Linotype" w:cs="Palatino Linotype"/>
              <w:color w:val="000000"/>
              <w:sz w:val="22"/>
              <w:szCs w:val="22"/>
            </w:rPr>
          </w:pPr>
          <w:hyperlink w:anchor="_heading=h.1t3h5sf">
            <w:r w:rsidR="00512CBA">
              <w:rPr>
                <w:rFonts w:ascii="Palatino Linotype" w:eastAsia="Palatino Linotype" w:hAnsi="Palatino Linotype" w:cs="Palatino Linotype"/>
                <w:color w:val="000000"/>
                <w:sz w:val="22"/>
                <w:szCs w:val="22"/>
              </w:rPr>
              <w:t>C O N S I D E R A N D O S</w:t>
            </w:r>
            <w:r w:rsidR="00512CBA">
              <w:rPr>
                <w:rFonts w:ascii="Palatino Linotype" w:eastAsia="Palatino Linotype" w:hAnsi="Palatino Linotype" w:cs="Palatino Linotype"/>
                <w:color w:val="000000"/>
                <w:sz w:val="22"/>
                <w:szCs w:val="22"/>
              </w:rPr>
              <w:tab/>
              <w:t>9</w:t>
            </w:r>
          </w:hyperlink>
        </w:p>
        <w:p w14:paraId="3FE12DA6" w14:textId="77777777" w:rsidR="00297CD9" w:rsidRDefault="00F50720">
          <w:pPr>
            <w:pBdr>
              <w:top w:val="nil"/>
              <w:left w:val="nil"/>
              <w:bottom w:val="nil"/>
              <w:right w:val="nil"/>
              <w:between w:val="nil"/>
            </w:pBdr>
            <w:tabs>
              <w:tab w:val="right" w:pos="8828"/>
            </w:tabs>
            <w:spacing w:line="360" w:lineRule="auto"/>
            <w:ind w:left="200"/>
            <w:jc w:val="both"/>
            <w:rPr>
              <w:color w:val="000000"/>
            </w:rPr>
          </w:pPr>
          <w:hyperlink w:anchor="_heading=h.4d34og8">
            <w:r w:rsidR="00512CBA">
              <w:rPr>
                <w:rFonts w:ascii="Palatino Linotype" w:eastAsia="Palatino Linotype" w:hAnsi="Palatino Linotype" w:cs="Palatino Linotype"/>
                <w:color w:val="000000"/>
                <w:sz w:val="22"/>
                <w:szCs w:val="22"/>
              </w:rPr>
              <w:t>PRIMERO. Competencia</w:t>
            </w:r>
          </w:hyperlink>
          <w:hyperlink w:anchor="_heading=h.4d34og8">
            <w:r w:rsidR="00512CBA">
              <w:rPr>
                <w:color w:val="000000"/>
              </w:rPr>
              <w:tab/>
              <w:t>9</w:t>
            </w:r>
          </w:hyperlink>
        </w:p>
        <w:p w14:paraId="3CA11CF6" w14:textId="77777777" w:rsidR="00297CD9" w:rsidRDefault="00F50720">
          <w:pPr>
            <w:pBdr>
              <w:top w:val="nil"/>
              <w:left w:val="nil"/>
              <w:bottom w:val="nil"/>
              <w:right w:val="nil"/>
              <w:between w:val="nil"/>
            </w:pBdr>
            <w:tabs>
              <w:tab w:val="right" w:pos="8828"/>
            </w:tabs>
            <w:spacing w:line="360" w:lineRule="auto"/>
            <w:ind w:left="200"/>
            <w:jc w:val="both"/>
            <w:rPr>
              <w:color w:val="000000"/>
            </w:rPr>
          </w:pPr>
          <w:hyperlink w:anchor="_heading=h.17dp8vu">
            <w:r w:rsidR="00512CBA">
              <w:rPr>
                <w:rFonts w:ascii="Palatino Linotype" w:eastAsia="Palatino Linotype" w:hAnsi="Palatino Linotype" w:cs="Palatino Linotype"/>
                <w:color w:val="000000"/>
                <w:sz w:val="22"/>
                <w:szCs w:val="22"/>
              </w:rPr>
              <w:t>SEGUNDO. Causales de improcedencia y sobreseimiento</w:t>
            </w:r>
          </w:hyperlink>
          <w:hyperlink w:anchor="_heading=h.17dp8vu">
            <w:r w:rsidR="00512CBA">
              <w:rPr>
                <w:color w:val="000000"/>
              </w:rPr>
              <w:tab/>
              <w:t>10</w:t>
            </w:r>
          </w:hyperlink>
        </w:p>
        <w:p w14:paraId="0BE0D32D" w14:textId="77777777" w:rsidR="00297CD9" w:rsidRDefault="00F50720">
          <w:pPr>
            <w:pBdr>
              <w:top w:val="nil"/>
              <w:left w:val="nil"/>
              <w:bottom w:val="nil"/>
              <w:right w:val="nil"/>
              <w:between w:val="nil"/>
            </w:pBdr>
            <w:tabs>
              <w:tab w:val="right" w:pos="8828"/>
            </w:tabs>
            <w:spacing w:line="360" w:lineRule="auto"/>
            <w:ind w:left="200"/>
            <w:jc w:val="both"/>
            <w:rPr>
              <w:color w:val="000000"/>
            </w:rPr>
          </w:pPr>
          <w:hyperlink w:anchor="_heading=h.3rdcrjn">
            <w:r w:rsidR="00512CBA">
              <w:rPr>
                <w:rFonts w:ascii="Palatino Linotype" w:eastAsia="Palatino Linotype" w:hAnsi="Palatino Linotype" w:cs="Palatino Linotype"/>
                <w:color w:val="000000"/>
                <w:sz w:val="22"/>
                <w:szCs w:val="22"/>
              </w:rPr>
              <w:t>TERCERO. Determinación de la Controversia</w:t>
            </w:r>
          </w:hyperlink>
          <w:hyperlink w:anchor="_heading=h.3rdcrjn">
            <w:r w:rsidR="00512CBA">
              <w:rPr>
                <w:color w:val="000000"/>
              </w:rPr>
              <w:tab/>
              <w:t>11</w:t>
            </w:r>
          </w:hyperlink>
        </w:p>
        <w:p w14:paraId="4B12159A" w14:textId="77777777" w:rsidR="00297CD9" w:rsidRDefault="00F50720">
          <w:pPr>
            <w:pBdr>
              <w:top w:val="nil"/>
              <w:left w:val="nil"/>
              <w:bottom w:val="nil"/>
              <w:right w:val="nil"/>
              <w:between w:val="nil"/>
            </w:pBdr>
            <w:tabs>
              <w:tab w:val="right" w:pos="8828"/>
            </w:tabs>
            <w:spacing w:line="360" w:lineRule="auto"/>
            <w:ind w:left="200"/>
            <w:jc w:val="both"/>
            <w:rPr>
              <w:color w:val="000000"/>
            </w:rPr>
          </w:pPr>
          <w:hyperlink w:anchor="_heading=h.26in1rg">
            <w:r w:rsidR="00512CBA">
              <w:rPr>
                <w:rFonts w:ascii="Palatino Linotype" w:eastAsia="Palatino Linotype" w:hAnsi="Palatino Linotype" w:cs="Palatino Linotype"/>
                <w:color w:val="000000"/>
                <w:sz w:val="22"/>
                <w:szCs w:val="22"/>
              </w:rPr>
              <w:t>CUARTO. Marco normativo aplicable en materia de transparencia y acceso a la información pública</w:t>
            </w:r>
          </w:hyperlink>
          <w:hyperlink w:anchor="_heading=h.26in1rg">
            <w:r w:rsidR="00512CBA">
              <w:rPr>
                <w:color w:val="000000"/>
              </w:rPr>
              <w:tab/>
              <w:t>13</w:t>
            </w:r>
          </w:hyperlink>
        </w:p>
        <w:p w14:paraId="0FD38DE3" w14:textId="77777777" w:rsidR="00297CD9" w:rsidRDefault="00F50720">
          <w:pPr>
            <w:pBdr>
              <w:top w:val="nil"/>
              <w:left w:val="nil"/>
              <w:bottom w:val="nil"/>
              <w:right w:val="nil"/>
              <w:between w:val="nil"/>
            </w:pBdr>
            <w:tabs>
              <w:tab w:val="right" w:pos="8828"/>
            </w:tabs>
            <w:spacing w:line="360" w:lineRule="auto"/>
            <w:ind w:left="200"/>
            <w:jc w:val="both"/>
            <w:rPr>
              <w:color w:val="000000"/>
            </w:rPr>
          </w:pPr>
          <w:hyperlink w:anchor="_heading=h.lnxbz9">
            <w:r w:rsidR="00512CBA">
              <w:rPr>
                <w:rFonts w:ascii="Palatino Linotype" w:eastAsia="Palatino Linotype" w:hAnsi="Palatino Linotype" w:cs="Palatino Linotype"/>
                <w:color w:val="000000"/>
                <w:sz w:val="22"/>
                <w:szCs w:val="22"/>
              </w:rPr>
              <w:t>QUINTO. Estudio de Fondo</w:t>
            </w:r>
          </w:hyperlink>
          <w:hyperlink w:anchor="_heading=h.lnxbz9">
            <w:r w:rsidR="00512CBA">
              <w:rPr>
                <w:color w:val="000000"/>
              </w:rPr>
              <w:tab/>
              <w:t>15</w:t>
            </w:r>
          </w:hyperlink>
        </w:p>
        <w:p w14:paraId="41F7083E" w14:textId="77777777" w:rsidR="00297CD9" w:rsidRDefault="00F50720">
          <w:pPr>
            <w:pBdr>
              <w:top w:val="nil"/>
              <w:left w:val="nil"/>
              <w:bottom w:val="nil"/>
              <w:right w:val="nil"/>
              <w:between w:val="nil"/>
            </w:pBdr>
            <w:tabs>
              <w:tab w:val="right" w:pos="8828"/>
            </w:tabs>
            <w:spacing w:line="360" w:lineRule="auto"/>
            <w:rPr>
              <w:rFonts w:ascii="Palatino Linotype" w:eastAsia="Palatino Linotype" w:hAnsi="Palatino Linotype" w:cs="Palatino Linotype"/>
              <w:color w:val="000000"/>
              <w:sz w:val="22"/>
              <w:szCs w:val="22"/>
            </w:rPr>
          </w:pPr>
          <w:hyperlink w:anchor="_heading=h.35nkun2">
            <w:r w:rsidR="00512CBA">
              <w:rPr>
                <w:rFonts w:ascii="Palatino Linotype" w:eastAsia="Palatino Linotype" w:hAnsi="Palatino Linotype" w:cs="Palatino Linotype"/>
                <w:color w:val="000000"/>
                <w:sz w:val="22"/>
                <w:szCs w:val="22"/>
              </w:rPr>
              <w:t>R E S U E L V E</w:t>
            </w:r>
            <w:r w:rsidR="00512CBA">
              <w:rPr>
                <w:rFonts w:ascii="Palatino Linotype" w:eastAsia="Palatino Linotype" w:hAnsi="Palatino Linotype" w:cs="Palatino Linotype"/>
                <w:color w:val="000000"/>
                <w:sz w:val="22"/>
                <w:szCs w:val="22"/>
              </w:rPr>
              <w:tab/>
              <w:t>24</w:t>
            </w:r>
          </w:hyperlink>
        </w:p>
        <w:p w14:paraId="3D041701" w14:textId="77777777" w:rsidR="00297CD9" w:rsidRDefault="00512CBA">
          <w:pPr>
            <w:spacing w:line="360" w:lineRule="auto"/>
          </w:pPr>
          <w:r>
            <w:fldChar w:fldCharType="end"/>
          </w:r>
        </w:p>
      </w:sdtContent>
    </w:sdt>
    <w:p w14:paraId="60F34B17" w14:textId="77777777" w:rsidR="00297CD9" w:rsidRDefault="00512CBA">
      <w:pPr>
        <w:spacing w:line="360" w:lineRule="auto"/>
        <w:jc w:val="both"/>
        <w:rPr>
          <w:rFonts w:ascii="Palatino Linotype" w:eastAsia="Palatino Linotype" w:hAnsi="Palatino Linotype" w:cs="Palatino Linotype"/>
          <w:sz w:val="22"/>
          <w:szCs w:val="22"/>
        </w:rPr>
      </w:pPr>
      <w:r>
        <w:br w:type="column"/>
      </w:r>
    </w:p>
    <w:p w14:paraId="7094A75D" w14:textId="77777777" w:rsidR="00297CD9" w:rsidRDefault="00512CBA">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de fecha veintidós de enero de dos mil veinticinco.</w:t>
      </w:r>
    </w:p>
    <w:p w14:paraId="11E59E36" w14:textId="77777777" w:rsidR="00297CD9" w:rsidRDefault="00297CD9">
      <w:pPr>
        <w:spacing w:line="360" w:lineRule="auto"/>
        <w:rPr>
          <w:rFonts w:ascii="Palatino Linotype" w:eastAsia="Palatino Linotype" w:hAnsi="Palatino Linotype" w:cs="Palatino Linotype"/>
          <w:sz w:val="22"/>
          <w:szCs w:val="22"/>
        </w:rPr>
      </w:pPr>
    </w:p>
    <w:p w14:paraId="30F3482C" w14:textId="7A1B5F9A" w:rsidR="00297CD9" w:rsidRDefault="00512CBA">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b/>
          <w:color w:val="0D0D0D"/>
          <w:sz w:val="22"/>
          <w:szCs w:val="22"/>
        </w:rPr>
        <w:t xml:space="preserve">VISTO </w:t>
      </w:r>
      <w:r>
        <w:rPr>
          <w:rFonts w:ascii="Palatino Linotype" w:eastAsia="Palatino Linotype" w:hAnsi="Palatino Linotype" w:cs="Palatino Linotype"/>
          <w:color w:val="0D0D0D"/>
          <w:sz w:val="22"/>
          <w:szCs w:val="22"/>
        </w:rPr>
        <w:t xml:space="preserve">el expediente conformado con motivo de los Recursos de Revisión </w:t>
      </w:r>
      <w:r w:rsidRPr="00D61BF2">
        <w:rPr>
          <w:rFonts w:ascii="Palatino Linotype" w:eastAsia="Palatino Linotype" w:hAnsi="Palatino Linotype" w:cs="Palatino Linotype"/>
          <w:b/>
          <w:sz w:val="22"/>
          <w:szCs w:val="22"/>
        </w:rPr>
        <w:t>07621/INFOEM/IP/RR/2024,</w:t>
      </w:r>
      <w:r w:rsidRPr="00D61BF2">
        <w:rPr>
          <w:rFonts w:ascii="Palatino Linotype" w:eastAsia="Palatino Linotype" w:hAnsi="Palatino Linotype" w:cs="Palatino Linotype"/>
          <w:b/>
          <w:color w:val="0D0D0D"/>
          <w:sz w:val="22"/>
          <w:szCs w:val="22"/>
        </w:rPr>
        <w:t xml:space="preserve"> </w:t>
      </w:r>
      <w:r w:rsidRPr="00D61BF2">
        <w:rPr>
          <w:rFonts w:ascii="Palatino Linotype" w:eastAsia="Palatino Linotype" w:hAnsi="Palatino Linotype" w:cs="Palatino Linotype"/>
          <w:b/>
          <w:sz w:val="22"/>
          <w:szCs w:val="22"/>
        </w:rPr>
        <w:t>07642/INFOEM/IP/RR/2024, 07643/INFOEM/IP/RR/2024, 07646/INFOEM/IP/RR/2024, 07647/INFOEM/IP/RR/2024 y 07648/INFOEM/IP/RR/2024,</w:t>
      </w:r>
      <w:r>
        <w:rPr>
          <w:rFonts w:ascii="Palatino Linotype" w:eastAsia="Palatino Linotype" w:hAnsi="Palatino Linotype" w:cs="Palatino Linotype"/>
          <w:color w:val="0D0D0D"/>
          <w:sz w:val="22"/>
          <w:szCs w:val="22"/>
        </w:rPr>
        <w:t xml:space="preserve"> interpuestos por </w:t>
      </w:r>
      <w:bookmarkStart w:id="0" w:name="_GoBack"/>
      <w:bookmarkEnd w:id="0"/>
      <w:r w:rsidR="0010741D" w:rsidRPr="0010741D">
        <w:rPr>
          <w:rFonts w:ascii="Palatino Linotype" w:eastAsia="Palatino Linotype" w:hAnsi="Palatino Linotype" w:cs="Palatino Linotype"/>
          <w:b/>
          <w:sz w:val="22"/>
          <w:szCs w:val="22"/>
          <w:highlight w:val="black"/>
        </w:rPr>
        <w:t>XXXXXXXXXXXXXXXXXXXXX</w:t>
      </w:r>
      <w:r>
        <w:rPr>
          <w:rFonts w:ascii="Palatino Linotype" w:eastAsia="Palatino Linotype" w:hAnsi="Palatino Linotype" w:cs="Palatino Linotype"/>
          <w:sz w:val="22"/>
          <w:szCs w:val="22"/>
        </w:rPr>
        <w:t xml:space="preserve"> en lo sucesivo la</w:t>
      </w:r>
      <w:r>
        <w:rPr>
          <w:rFonts w:ascii="Palatino Linotype" w:eastAsia="Palatino Linotype" w:hAnsi="Palatino Linotype" w:cs="Palatino Linotype"/>
          <w:color w:val="0D0D0D"/>
          <w:sz w:val="22"/>
          <w:szCs w:val="22"/>
        </w:rPr>
        <w:t xml:space="preserve"> Recurrente o Particular, en contra de las respuestas del Sujeto Obligado, </w:t>
      </w:r>
      <w:r w:rsidRPr="00D61BF2">
        <w:rPr>
          <w:rFonts w:ascii="Palatino Linotype" w:eastAsia="Palatino Linotype" w:hAnsi="Palatino Linotype" w:cs="Palatino Linotype"/>
          <w:b/>
          <w:color w:val="0D0D0D"/>
          <w:sz w:val="22"/>
          <w:szCs w:val="22"/>
        </w:rPr>
        <w:t>Ayuntamiento de Mexicaltzingo</w:t>
      </w:r>
      <w:r>
        <w:rPr>
          <w:rFonts w:ascii="Palatino Linotype" w:eastAsia="Palatino Linotype" w:hAnsi="Palatino Linotype" w:cs="Palatino Linotype"/>
          <w:color w:val="0D0D0D"/>
          <w:sz w:val="22"/>
          <w:szCs w:val="22"/>
        </w:rPr>
        <w:t>, a las solicitudes de acceso a la información pública</w:t>
      </w:r>
      <w:r>
        <w:rPr>
          <w:rFonts w:ascii="Palatino Linotype" w:eastAsia="Palatino Linotype" w:hAnsi="Palatino Linotype" w:cs="Palatino Linotype"/>
          <w:sz w:val="22"/>
          <w:szCs w:val="22"/>
        </w:rPr>
        <w:t xml:space="preserve"> 00208/MEXICAL/IP/2024, 00209/MEXICAL/IP/2024, 00210/MEXICAL/IP/2024, 00213/MEXICAL/IP/2024, 00214/MEXICAL/IP/2024, 00221/MEXICAL/IP/2024, </w:t>
      </w:r>
      <w:r>
        <w:rPr>
          <w:rFonts w:ascii="Palatino Linotype" w:eastAsia="Palatino Linotype" w:hAnsi="Palatino Linotype" w:cs="Palatino Linotype"/>
          <w:color w:val="0D0D0D"/>
          <w:sz w:val="22"/>
          <w:szCs w:val="22"/>
        </w:rPr>
        <w:t>se emite la presente Resolución, con base en los Antecedentes y C</w:t>
      </w:r>
      <w:r>
        <w:rPr>
          <w:rFonts w:ascii="Palatino Linotype" w:eastAsia="Palatino Linotype" w:hAnsi="Palatino Linotype" w:cs="Palatino Linotype"/>
          <w:sz w:val="22"/>
          <w:szCs w:val="22"/>
        </w:rPr>
        <w:t>onsiderandos que a continuación se exponen:</w:t>
      </w:r>
    </w:p>
    <w:p w14:paraId="00248F90" w14:textId="77777777" w:rsidR="00297CD9" w:rsidRDefault="00297CD9">
      <w:pPr>
        <w:tabs>
          <w:tab w:val="center" w:pos="4522"/>
          <w:tab w:val="left" w:pos="7245"/>
        </w:tabs>
        <w:spacing w:line="360" w:lineRule="auto"/>
        <w:jc w:val="center"/>
        <w:rPr>
          <w:rFonts w:ascii="Palatino Linotype" w:eastAsia="Palatino Linotype" w:hAnsi="Palatino Linotype" w:cs="Palatino Linotype"/>
          <w:b/>
          <w:sz w:val="22"/>
          <w:szCs w:val="22"/>
        </w:rPr>
      </w:pPr>
    </w:p>
    <w:p w14:paraId="15A4370B" w14:textId="77777777" w:rsidR="00297CD9" w:rsidRDefault="00512CBA">
      <w:pPr>
        <w:pStyle w:val="Ttulo1"/>
      </w:pPr>
      <w:bookmarkStart w:id="1" w:name="_heading=h.gjdgxs" w:colFirst="0" w:colLast="0"/>
      <w:bookmarkEnd w:id="1"/>
      <w:r>
        <w:t>A N T E C E D E N T E S</w:t>
      </w:r>
    </w:p>
    <w:p w14:paraId="57E06F85" w14:textId="77777777" w:rsidR="00297CD9" w:rsidRDefault="00297CD9">
      <w:pPr>
        <w:pBdr>
          <w:top w:val="nil"/>
          <w:left w:val="nil"/>
          <w:bottom w:val="nil"/>
          <w:right w:val="nil"/>
          <w:between w:val="nil"/>
        </w:pBdr>
        <w:tabs>
          <w:tab w:val="left" w:pos="567"/>
        </w:tabs>
        <w:spacing w:line="360" w:lineRule="auto"/>
        <w:ind w:left="567"/>
        <w:jc w:val="both"/>
        <w:rPr>
          <w:rFonts w:ascii="Palatino Linotype" w:eastAsia="Palatino Linotype" w:hAnsi="Palatino Linotype" w:cs="Palatino Linotype"/>
          <w:color w:val="000000"/>
          <w:sz w:val="22"/>
          <w:szCs w:val="22"/>
        </w:rPr>
      </w:pPr>
    </w:p>
    <w:p w14:paraId="5823374F" w14:textId="77777777" w:rsidR="00297CD9" w:rsidRDefault="00512CBA">
      <w:pPr>
        <w:pStyle w:val="Ttulo2"/>
        <w:rPr>
          <w:b w:val="0"/>
        </w:rPr>
      </w:pPr>
      <w:bookmarkStart w:id="2" w:name="_heading=h.30j0zll" w:colFirst="0" w:colLast="0"/>
      <w:bookmarkEnd w:id="2"/>
      <w:r>
        <w:t>I. Presentación de las solicitudes de información</w:t>
      </w:r>
    </w:p>
    <w:p w14:paraId="5A0DB6A0" w14:textId="77777777" w:rsidR="00297CD9" w:rsidRDefault="00297CD9">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p>
    <w:p w14:paraId="5B240BAA" w14:textId="77777777" w:rsidR="00297CD9" w:rsidRDefault="00512CBA">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 fecha diecinueve de noviembre de dos mil veinticuatro, la Particular presentó seis solicitudes de acceso a la información pública, a través del Sistema de Acceso a la Información Mexiquense (SAIMEX), ante el Ayuntamiento de Mexicaltzingo, en los siguientes términos:</w:t>
      </w:r>
    </w:p>
    <w:p w14:paraId="10E0560C" w14:textId="77777777" w:rsidR="00297CD9" w:rsidRDefault="00297CD9">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p>
    <w:p w14:paraId="0951C34F" w14:textId="77777777" w:rsidR="00297CD9" w:rsidRDefault="00512CBA">
      <w:pPr>
        <w:tabs>
          <w:tab w:val="left" w:pos="4667"/>
        </w:tabs>
        <w:spacing w:line="360" w:lineRule="auto"/>
        <w:ind w:left="567" w:right="567"/>
        <w:jc w:val="both"/>
        <w:rPr>
          <w:rFonts w:ascii="Palatino Linotype" w:eastAsia="Palatino Linotype" w:hAnsi="Palatino Linotype" w:cs="Palatino Linotype"/>
          <w:b/>
          <w:i/>
        </w:rPr>
      </w:pPr>
      <w:bookmarkStart w:id="3" w:name="_heading=h.1fob9te" w:colFirst="0" w:colLast="0"/>
      <w:bookmarkEnd w:id="3"/>
      <w:r>
        <w:rPr>
          <w:rFonts w:ascii="Palatino Linotype" w:eastAsia="Palatino Linotype" w:hAnsi="Palatino Linotype" w:cs="Palatino Linotype"/>
          <w:b/>
          <w:i/>
        </w:rPr>
        <w:t>Solicitud de Información 00208/MEXICAL/IP/2024</w:t>
      </w:r>
    </w:p>
    <w:p w14:paraId="20BE62FA" w14:textId="77777777" w:rsidR="00297CD9" w:rsidRDefault="00512CBA">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“DESCRIPCIÓN CLARA Y PRECISA DE LA INFORMACIÓN SOLICITADA</w:t>
      </w:r>
    </w:p>
    <w:p w14:paraId="42E7C9EA" w14:textId="77777777" w:rsidR="00297CD9" w:rsidRDefault="00512CBA">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color w:val="000000"/>
        </w:rPr>
        <w:t>¿Qué es y qué hace el Área de Quejas del Órgano Interno de Control</w:t>
      </w:r>
      <w:r>
        <w:rPr>
          <w:rFonts w:ascii="Palatino Linotype" w:eastAsia="Palatino Linotype" w:hAnsi="Palatino Linotype" w:cs="Palatino Linotype"/>
          <w:i/>
        </w:rPr>
        <w:t>.”(Sic)</w:t>
      </w:r>
    </w:p>
    <w:p w14:paraId="5139FF95" w14:textId="77777777" w:rsidR="00297CD9" w:rsidRDefault="00297CD9">
      <w:pPr>
        <w:tabs>
          <w:tab w:val="left" w:pos="4667"/>
        </w:tabs>
        <w:spacing w:line="360" w:lineRule="auto"/>
        <w:ind w:left="567" w:right="567"/>
        <w:jc w:val="both"/>
        <w:rPr>
          <w:rFonts w:ascii="Palatino Linotype" w:eastAsia="Palatino Linotype" w:hAnsi="Palatino Linotype" w:cs="Palatino Linotype"/>
          <w:b/>
          <w:i/>
        </w:rPr>
      </w:pPr>
    </w:p>
    <w:p w14:paraId="390ECE59" w14:textId="77777777" w:rsidR="00297CD9" w:rsidRDefault="00512CBA">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Solicitud de Información 00209/MEXICAL/IP/2024</w:t>
      </w:r>
    </w:p>
    <w:p w14:paraId="080EF04C" w14:textId="77777777" w:rsidR="00297CD9" w:rsidRDefault="00512CBA">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“DESCRIPCIÓN CLARA Y PRECISA DE LA INFORMACIÓN SOLICITADA</w:t>
      </w:r>
    </w:p>
    <w:p w14:paraId="40253D6B" w14:textId="77777777" w:rsidR="00297CD9" w:rsidRDefault="00512CBA">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color w:val="000000"/>
        </w:rPr>
        <w:t>¿Quién me puede orientar para la presentación de una queja o denuncia A UN SERVIDOR</w:t>
      </w:r>
      <w:r>
        <w:rPr>
          <w:rFonts w:ascii="Palatino Linotype" w:eastAsia="Palatino Linotype" w:hAnsi="Palatino Linotype" w:cs="Palatino Linotype"/>
          <w:i/>
        </w:rPr>
        <w:t>.”</w:t>
      </w:r>
    </w:p>
    <w:p w14:paraId="6FB21958" w14:textId="77777777" w:rsidR="00297CD9" w:rsidRDefault="00512CBA">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(Sic)</w:t>
      </w:r>
    </w:p>
    <w:p w14:paraId="1E833F41" w14:textId="77777777" w:rsidR="00297CD9" w:rsidRDefault="00512CBA">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            </w:t>
      </w:r>
    </w:p>
    <w:p w14:paraId="2C1E64E0" w14:textId="77777777" w:rsidR="00297CD9" w:rsidRDefault="00512CBA">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 Solicitud de Información 00210/MEXICAL/IP/2024</w:t>
      </w:r>
    </w:p>
    <w:p w14:paraId="2510AB0F" w14:textId="77777777" w:rsidR="00297CD9" w:rsidRDefault="00512CBA">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“DESCRIPCIÓN CLARA Y PRECISA DE LA INFORMACIÓN SOLICITADA</w:t>
      </w:r>
    </w:p>
    <w:p w14:paraId="0B7F3572" w14:textId="77777777" w:rsidR="00297CD9" w:rsidRDefault="00512CBA">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color w:val="000000"/>
        </w:rPr>
        <w:t>Qué hace el Área de Quejas DELOIC con las quejas o denuncias?</w:t>
      </w:r>
      <w:r>
        <w:rPr>
          <w:rFonts w:ascii="Palatino Linotype" w:eastAsia="Palatino Linotype" w:hAnsi="Palatino Linotype" w:cs="Palatino Linotype"/>
          <w:i/>
        </w:rPr>
        <w:t>.” (Sic)</w:t>
      </w:r>
    </w:p>
    <w:p w14:paraId="2A320578" w14:textId="77777777" w:rsidR="00297CD9" w:rsidRDefault="00297CD9">
      <w:pPr>
        <w:spacing w:line="360" w:lineRule="auto"/>
        <w:ind w:left="567" w:right="567"/>
        <w:jc w:val="both"/>
        <w:rPr>
          <w:rFonts w:ascii="Palatino Linotype" w:eastAsia="Palatino Linotype" w:hAnsi="Palatino Linotype" w:cs="Palatino Linotype"/>
          <w:i/>
        </w:rPr>
      </w:pPr>
    </w:p>
    <w:p w14:paraId="5C08A921" w14:textId="77777777" w:rsidR="00297CD9" w:rsidRDefault="00512CBA">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Solicitud de Información 00213/MEXICAL/IP/2024</w:t>
      </w:r>
    </w:p>
    <w:p w14:paraId="534D3D57" w14:textId="77777777" w:rsidR="00297CD9" w:rsidRDefault="00512CBA">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“DESCRIPCIÓN CLARA Y PRECISA DE LA INFORMACIÓN SOLICITADA</w:t>
      </w:r>
    </w:p>
    <w:p w14:paraId="55371117" w14:textId="77777777" w:rsidR="00297CD9" w:rsidRDefault="00512CBA">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color w:val="000000"/>
        </w:rPr>
        <w:t>FUNCIONES DE LA oficina del Titular del Órgano Interno de Control y sus áreas de Auditoría Interna y Quejas</w:t>
      </w:r>
      <w:r>
        <w:rPr>
          <w:rFonts w:ascii="Palatino Linotype" w:eastAsia="Palatino Linotype" w:hAnsi="Palatino Linotype" w:cs="Palatino Linotype"/>
          <w:i/>
        </w:rPr>
        <w:t>.” (Sic)</w:t>
      </w:r>
    </w:p>
    <w:p w14:paraId="3C977B11" w14:textId="77777777" w:rsidR="00297CD9" w:rsidRDefault="00297CD9">
      <w:pPr>
        <w:spacing w:line="360" w:lineRule="auto"/>
        <w:ind w:left="567" w:right="567"/>
        <w:jc w:val="both"/>
        <w:rPr>
          <w:rFonts w:ascii="Palatino Linotype" w:eastAsia="Palatino Linotype" w:hAnsi="Palatino Linotype" w:cs="Palatino Linotype"/>
          <w:i/>
        </w:rPr>
      </w:pPr>
    </w:p>
    <w:p w14:paraId="1A59219B" w14:textId="77777777" w:rsidR="00297CD9" w:rsidRDefault="00512CBA">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Solicitud de Información 00214/MEXICAL/IP/2024</w:t>
      </w:r>
    </w:p>
    <w:p w14:paraId="686AF665" w14:textId="77777777" w:rsidR="00297CD9" w:rsidRDefault="00512CBA">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“DESCRIPCIÓN CLARA Y PRECISA DE LA INFORMACIÓN SOLICITADA</w:t>
      </w:r>
    </w:p>
    <w:p w14:paraId="6A7B7EA5" w14:textId="77777777" w:rsidR="00297CD9" w:rsidRDefault="00512CBA">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color w:val="000000"/>
        </w:rPr>
        <w:t>qué hace el Área de Quejas del Órgano Interno de Control</w:t>
      </w:r>
      <w:r>
        <w:rPr>
          <w:rFonts w:ascii="Palatino Linotype" w:eastAsia="Palatino Linotype" w:hAnsi="Palatino Linotype" w:cs="Palatino Linotype"/>
          <w:i/>
        </w:rPr>
        <w:t>.” (Sic)</w:t>
      </w:r>
    </w:p>
    <w:p w14:paraId="1EB666BF" w14:textId="77777777" w:rsidR="00297CD9" w:rsidRDefault="00297CD9">
      <w:pPr>
        <w:spacing w:line="360" w:lineRule="auto"/>
        <w:ind w:left="567" w:right="567"/>
        <w:jc w:val="both"/>
        <w:rPr>
          <w:rFonts w:ascii="Palatino Linotype" w:eastAsia="Palatino Linotype" w:hAnsi="Palatino Linotype" w:cs="Palatino Linotype"/>
          <w:i/>
        </w:rPr>
      </w:pPr>
    </w:p>
    <w:p w14:paraId="569068F4" w14:textId="77777777" w:rsidR="00297CD9" w:rsidRDefault="00512CBA">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Solicitud de Información 0221MEXICAL/IP/2024</w:t>
      </w:r>
    </w:p>
    <w:p w14:paraId="7D1741FD" w14:textId="77777777" w:rsidR="00297CD9" w:rsidRDefault="00512CBA">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“DESCRIPCIÓN CLARA Y PRECISA DE LA INFORMACIÓN SOLICITADA</w:t>
      </w:r>
    </w:p>
    <w:p w14:paraId="004B6F97" w14:textId="77777777" w:rsidR="00297CD9" w:rsidRDefault="00512CBA">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color w:val="000000"/>
        </w:rPr>
        <w:t>qué hace el Área de Quejas del Órgano Interno de Control</w:t>
      </w:r>
      <w:r>
        <w:rPr>
          <w:rFonts w:ascii="Palatino Linotype" w:eastAsia="Palatino Linotype" w:hAnsi="Palatino Linotype" w:cs="Palatino Linotype"/>
          <w:i/>
        </w:rPr>
        <w:t>.” (Sic)</w:t>
      </w:r>
    </w:p>
    <w:p w14:paraId="69049DE3" w14:textId="77777777" w:rsidR="00297CD9" w:rsidRDefault="00297CD9">
      <w:pPr>
        <w:spacing w:line="360" w:lineRule="auto"/>
        <w:jc w:val="both"/>
        <w:rPr>
          <w:rFonts w:ascii="Palatino Linotype" w:eastAsia="Palatino Linotype" w:hAnsi="Palatino Linotype" w:cs="Palatino Linotype"/>
          <w:sz w:val="22"/>
          <w:szCs w:val="22"/>
        </w:rPr>
      </w:pPr>
    </w:p>
    <w:p w14:paraId="712A09D8" w14:textId="77777777" w:rsidR="00297CD9" w:rsidRDefault="00512CBA">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las seis solicitudes el Particular eligió como modalidad de entrega </w:t>
      </w:r>
      <w:r>
        <w:rPr>
          <w:rFonts w:ascii="Palatino Linotype" w:eastAsia="Palatino Linotype" w:hAnsi="Palatino Linotype" w:cs="Palatino Linotype"/>
          <w:i/>
          <w:sz w:val="22"/>
          <w:szCs w:val="22"/>
        </w:rPr>
        <w:t>“a través de SAIMEX”</w:t>
      </w:r>
    </w:p>
    <w:p w14:paraId="74C89FC6" w14:textId="77777777" w:rsidR="00297CD9" w:rsidRDefault="00297CD9">
      <w:pPr>
        <w:tabs>
          <w:tab w:val="left" w:pos="4667"/>
        </w:tabs>
        <w:spacing w:line="360" w:lineRule="auto"/>
        <w:ind w:right="567"/>
        <w:jc w:val="both"/>
        <w:rPr>
          <w:rFonts w:ascii="Palatino Linotype" w:eastAsia="Palatino Linotype" w:hAnsi="Palatino Linotype" w:cs="Palatino Linotype"/>
          <w:sz w:val="22"/>
          <w:szCs w:val="22"/>
        </w:rPr>
      </w:pPr>
      <w:bookmarkStart w:id="4" w:name="_heading=h.3znysh7" w:colFirst="0" w:colLast="0"/>
      <w:bookmarkEnd w:id="4"/>
    </w:p>
    <w:p w14:paraId="4FA655F5" w14:textId="77777777" w:rsidR="00297CD9" w:rsidRDefault="00512CBA">
      <w:pPr>
        <w:pStyle w:val="Ttulo2"/>
      </w:pPr>
      <w:bookmarkStart w:id="5" w:name="_heading=h.2et92p0" w:colFirst="0" w:colLast="0"/>
      <w:bookmarkEnd w:id="5"/>
      <w:r>
        <w:t>II. Respuestas del Sujeto Obligado</w:t>
      </w:r>
    </w:p>
    <w:p w14:paraId="3B3C688D" w14:textId="77777777" w:rsidR="00297CD9" w:rsidRDefault="00297CD9">
      <w:pPr>
        <w:tabs>
          <w:tab w:val="left" w:pos="4667"/>
        </w:tabs>
        <w:spacing w:line="360" w:lineRule="auto"/>
        <w:ind w:right="567"/>
        <w:jc w:val="both"/>
        <w:rPr>
          <w:rFonts w:ascii="Palatino Linotype" w:eastAsia="Palatino Linotype" w:hAnsi="Palatino Linotype" w:cs="Palatino Linotype"/>
          <w:b/>
          <w:sz w:val="22"/>
          <w:szCs w:val="22"/>
        </w:rPr>
      </w:pPr>
    </w:p>
    <w:p w14:paraId="1783CD2E" w14:textId="77777777" w:rsidR="00297CD9" w:rsidRDefault="00512CBA">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Con fecha nueve de diciembre de dos mil veinticuatro, el</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Sujeto Obligado dio respuesta a las solicitudes de acceso a la información a través del Sistema de Acceso a la Información Mexiquense (SAIMEX), por medio del Titular de la Unidad de Transparencia conforme a lo siguiente:</w:t>
      </w:r>
    </w:p>
    <w:p w14:paraId="36631D07" w14:textId="77777777" w:rsidR="00297CD9" w:rsidRDefault="00297CD9">
      <w:pPr>
        <w:spacing w:line="360" w:lineRule="auto"/>
      </w:pPr>
    </w:p>
    <w:p w14:paraId="135D5BAE" w14:textId="77777777" w:rsidR="00297CD9" w:rsidRDefault="00512CBA">
      <w:pPr>
        <w:tabs>
          <w:tab w:val="left" w:pos="4667"/>
        </w:tabs>
        <w:spacing w:line="360" w:lineRule="auto"/>
        <w:ind w:right="56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Solicitud de Información 00208/MEXICAL/IP/2024</w:t>
      </w:r>
    </w:p>
    <w:p w14:paraId="7F92D648" w14:textId="77777777" w:rsidR="00297CD9" w:rsidRDefault="00297CD9">
      <w:pPr>
        <w:spacing w:line="360" w:lineRule="auto"/>
      </w:pPr>
    </w:p>
    <w:p w14:paraId="3F339193" w14:textId="77777777" w:rsidR="00297CD9" w:rsidRDefault="00512CBA">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i/>
          <w:color w:val="000000"/>
        </w:rPr>
        <w:t xml:space="preserve">Se entrega respuesta por parte de la Contraloría Interna: </w:t>
      </w:r>
      <w:r>
        <w:rPr>
          <w:rFonts w:ascii="Palatino Linotype" w:eastAsia="Palatino Linotype" w:hAnsi="Palatino Linotype" w:cs="Palatino Linotype"/>
          <w:b/>
          <w:i/>
          <w:color w:val="000000"/>
        </w:rPr>
        <w:t>Es el medio por el cual puedes presentar denuncias, sugerencias o reconocimientos de servidores públicos, ciudadanos o empresas relacionadas con el Ayuntamiento de Mexicaltzingo.</w:t>
      </w:r>
      <w:r>
        <w:rPr>
          <w:rFonts w:ascii="Palatino Linotype" w:eastAsia="Palatino Linotype" w:hAnsi="Palatino Linotype" w:cs="Palatino Linotype"/>
          <w:i/>
          <w:color w:val="000000"/>
        </w:rPr>
        <w:t xml:space="preserve"> El área de quejas </w:t>
      </w:r>
      <w:r>
        <w:rPr>
          <w:rFonts w:ascii="Palatino Linotype" w:eastAsia="Palatino Linotype" w:hAnsi="Palatino Linotype" w:cs="Palatino Linotype"/>
          <w:b/>
          <w:i/>
          <w:color w:val="000000"/>
        </w:rPr>
        <w:t xml:space="preserve">se pude traducir al buzón donde un ciudadano inconforme denuncia, un mal trato al realizar un trámite o servicio ante alguna unidad administrativa del Ayuntamiento. </w:t>
      </w:r>
      <w:r>
        <w:rPr>
          <w:rFonts w:ascii="Palatino Linotype" w:eastAsia="Palatino Linotype" w:hAnsi="Palatino Linotype" w:cs="Palatino Linotype"/>
          <w:i/>
          <w:color w:val="000000"/>
        </w:rPr>
        <w:t>Sugiere para mejorar o Reconoce algún trámite, servicio o atención recibida en las distintas áreas del Ayuntamiento</w:t>
      </w:r>
      <w:r>
        <w:rPr>
          <w:rFonts w:ascii="Palatino Linotype" w:eastAsia="Palatino Linotype" w:hAnsi="Palatino Linotype" w:cs="Palatino Linotype"/>
          <w:i/>
        </w:rPr>
        <w:t>…”</w:t>
      </w:r>
    </w:p>
    <w:p w14:paraId="38649356" w14:textId="77777777" w:rsidR="00297CD9" w:rsidRDefault="00297CD9">
      <w:pPr>
        <w:tabs>
          <w:tab w:val="left" w:pos="4667"/>
        </w:tabs>
        <w:spacing w:line="360" w:lineRule="auto"/>
        <w:ind w:right="567"/>
        <w:jc w:val="both"/>
        <w:rPr>
          <w:rFonts w:ascii="Palatino Linotype" w:eastAsia="Palatino Linotype" w:hAnsi="Palatino Linotype" w:cs="Palatino Linotype"/>
          <w:b/>
          <w:sz w:val="22"/>
          <w:szCs w:val="22"/>
        </w:rPr>
      </w:pPr>
    </w:p>
    <w:p w14:paraId="05752968" w14:textId="77777777" w:rsidR="00297CD9" w:rsidRDefault="00512CBA">
      <w:pPr>
        <w:tabs>
          <w:tab w:val="left" w:pos="4667"/>
        </w:tabs>
        <w:spacing w:line="360" w:lineRule="auto"/>
        <w:ind w:right="56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Solicitud de Información 00209/MEXICAL/IP/2024</w:t>
      </w:r>
    </w:p>
    <w:p w14:paraId="7AC2221E" w14:textId="77777777" w:rsidR="00297CD9" w:rsidRDefault="00297CD9">
      <w:pPr>
        <w:spacing w:line="360" w:lineRule="auto"/>
      </w:pPr>
    </w:p>
    <w:p w14:paraId="04A3C09A" w14:textId="77777777" w:rsidR="00297CD9" w:rsidRDefault="00512CBA">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i/>
          <w:color w:val="000000"/>
        </w:rPr>
        <w:t>Se entrega respuesta por parte de la Contraloría Interna: En el área de Contraloría Interna, puede acercarse con la Autoridad Investigadora</w:t>
      </w:r>
      <w:r>
        <w:rPr>
          <w:rFonts w:ascii="Palatino Linotype" w:eastAsia="Palatino Linotype" w:hAnsi="Palatino Linotype" w:cs="Palatino Linotype"/>
          <w:i/>
        </w:rPr>
        <w:t>…”</w:t>
      </w:r>
    </w:p>
    <w:p w14:paraId="19209669" w14:textId="77777777" w:rsidR="00297CD9" w:rsidRDefault="00297CD9">
      <w:pPr>
        <w:spacing w:line="360" w:lineRule="auto"/>
        <w:rPr>
          <w:sz w:val="22"/>
          <w:szCs w:val="22"/>
        </w:rPr>
      </w:pPr>
    </w:p>
    <w:p w14:paraId="1236F20B" w14:textId="77777777" w:rsidR="00297CD9" w:rsidRDefault="00512CBA">
      <w:pPr>
        <w:tabs>
          <w:tab w:val="left" w:pos="4667"/>
        </w:tabs>
        <w:spacing w:line="360" w:lineRule="auto"/>
        <w:ind w:right="56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Solicitud de Información 00210/MEXICAL/IP/2024</w:t>
      </w:r>
    </w:p>
    <w:p w14:paraId="60F056CD" w14:textId="77777777" w:rsidR="00297CD9" w:rsidRDefault="00297CD9">
      <w:pPr>
        <w:spacing w:line="360" w:lineRule="auto"/>
      </w:pPr>
    </w:p>
    <w:p w14:paraId="7F3EE942" w14:textId="77777777" w:rsidR="00297CD9" w:rsidRDefault="00512CBA">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i/>
          <w:color w:val="000000"/>
          <w:sz w:val="18"/>
          <w:szCs w:val="18"/>
        </w:rPr>
        <w:t xml:space="preserve">Se entrega respuesta por parte de la Contraloría Interna: Es el medio por el cual puedes presentar denuncias, sugerencias o reconocimientos de servidores públicos, ciudadanos o empresas relacionadas con el Ayuntamiento de Mexicaltzingo. El área de quejas se pude traducir al buzón donde un ciudadano inconforme denuncia, un mal trato al realizar un trámite o servicio ante alguna unidad administrativa del Ayuntamiento. Una vez que se recibe una queja o denuncia, se investiga para ver si es procedente para iniciar un procedimiento. Se busca contactarse con el denunciante, si se requiere mayor aportación de </w:t>
      </w:r>
      <w:r>
        <w:rPr>
          <w:rFonts w:ascii="Palatino Linotype" w:eastAsia="Palatino Linotype" w:hAnsi="Palatino Linotype" w:cs="Palatino Linotype"/>
          <w:i/>
          <w:color w:val="000000"/>
          <w:sz w:val="18"/>
          <w:szCs w:val="18"/>
        </w:rPr>
        <w:lastRenderedPageBreak/>
        <w:t>información y de no recibirse, o no ser procedente para un procedimiento se archiva, hasta que se aporte mayor información</w:t>
      </w:r>
      <w:r>
        <w:rPr>
          <w:rFonts w:ascii="Palatino Linotype" w:eastAsia="Palatino Linotype" w:hAnsi="Palatino Linotype" w:cs="Palatino Linotype"/>
          <w:i/>
        </w:rPr>
        <w:t>…”</w:t>
      </w:r>
    </w:p>
    <w:p w14:paraId="2B8793AC" w14:textId="77777777" w:rsidR="00297CD9" w:rsidRDefault="00297CD9">
      <w:pPr>
        <w:spacing w:line="360" w:lineRule="auto"/>
        <w:jc w:val="both"/>
        <w:rPr>
          <w:rFonts w:ascii="Palatino Linotype" w:eastAsia="Palatino Linotype" w:hAnsi="Palatino Linotype" w:cs="Palatino Linotype"/>
          <w:sz w:val="22"/>
          <w:szCs w:val="22"/>
        </w:rPr>
      </w:pPr>
    </w:p>
    <w:p w14:paraId="0B38E95B" w14:textId="77777777" w:rsidR="00297CD9" w:rsidRDefault="00512CBA">
      <w:pPr>
        <w:tabs>
          <w:tab w:val="left" w:pos="4667"/>
        </w:tabs>
        <w:spacing w:line="360" w:lineRule="auto"/>
        <w:ind w:right="56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Solicitud de Información 00213/MEXICAL/IP/2024</w:t>
      </w:r>
    </w:p>
    <w:p w14:paraId="215D008F" w14:textId="77777777" w:rsidR="00297CD9" w:rsidRDefault="00297CD9">
      <w:pPr>
        <w:spacing w:line="360" w:lineRule="auto"/>
      </w:pPr>
    </w:p>
    <w:p w14:paraId="07EB1FC8" w14:textId="77777777" w:rsidR="00297CD9" w:rsidRDefault="00512CBA">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i/>
          <w:color w:val="000000"/>
          <w:sz w:val="18"/>
          <w:szCs w:val="18"/>
        </w:rPr>
        <w:t xml:space="preserve">Se entrega respuesta por parte de la Contraloría Interna: Las funciones de una Contraloría Municipal los podemos encontrar en el artículo 112 de la Ley Orgánica Municipal que a la letra dice: Artículo 112. El órgano interno de control municipal, tendrá a su cargo las funciones siguientes: I. Planear, programar, organizar y coordinar el sistema de control y evaluación municipal; II. Fiscalizar el ingreso y ejercicio del gasto público municipal y su congruencia con el presupuesto de egresos; III. Aplicar las normas y criterios en materia de control y evaluación; IV. Asesorar a los órganos de control interno de los organismos auxiliares y fideicomisos de la administración pública municipal; V. Establecer las bases generales para la realización de auditorías e inspecciones; VI. Vigilar que los recursos federales y estatales asignados a los ayuntamientos se apliquen en los términos estipulados en las leyes, los reglamentos y los convenios respectivos; VII. Vigilar el cumplimiento de las obligaciones de proveedores y contratistas de la administración pública municipal; VIII. Coordinarse con el Órgano Superior de Fiscalización del Estado de México y la Contraloría del Poder Legislativo y con la Secretaría de la Contraloría del Estado para el cumplimiento de sus funciones; IX. Designar a los auditores externos y proponer al ayuntamiento, en su caso, a los Comisarios de los Organismos Auxiliares; X. Establecer y operar un sistema de atención de quejas, denuncias y sugerencias; XI. Realizar auditorías y evaluaciones e informar del resultado de las mismas al ayuntamiento; XII. Participar en la entrega-recepción de las unidades administrativas de las dependencias, organismos auxiliares y fideicomisos del municipio; XIII. Dictaminar los estados financieros de la tesorería municipal y verificar que se remitan los informes correspondientes al Órgano Superior de Fiscalización del Estado de México; XIV. Vigilar que los ingresos municipales se enteren a la tesorería municipal conforme a los procedimientos contables y disposiciones legales aplicables; XV. Participar en la elaboración y actualización del inventario general de los bienes muebles e inmuebles propiedad del municipio, que expresará las características de identificación y destino de los mismos; XVI. Verificar que los servidores públicos municipales cumplan con la obligación de presentar oportunamente la manifestación de bienes, en términos de la Ley de Responsabilidades de los Servidores Públicos del Estado y Municipios; XVII. Hacer del conocimiento del Órgano Superior de Fiscalización del Estado de México, de las responsabilidades administrativas resarcitorias de los servidores públicos municipales, dentro de los tres días hábiles siguientes a la interposición de las mismas; y remitir los procedimientos resarcitorios, cuando así sea solicitado por el </w:t>
      </w:r>
      <w:r>
        <w:rPr>
          <w:rFonts w:ascii="Palatino Linotype" w:eastAsia="Palatino Linotype" w:hAnsi="Palatino Linotype" w:cs="Palatino Linotype"/>
          <w:i/>
          <w:color w:val="000000"/>
          <w:sz w:val="18"/>
          <w:szCs w:val="18"/>
        </w:rPr>
        <w:lastRenderedPageBreak/>
        <w:t>Órgano Superior, en los plazos y términos que le sean indicados por éste; XVIII. Supervisar el cumplimiento de los acuerdos tomados por el Consejo Municipal de Seguridad Pública; XIX. Vigilar el cumplimiento de los programas y acciones para la prevención, atención y en su caso, el pago de las responsabilidades económicas de los Ayuntamientos por los conflictos laborales; y XX. Las demás que le señalen las disposiciones relativas</w:t>
      </w:r>
      <w:r>
        <w:rPr>
          <w:rFonts w:ascii="Palatino Linotype" w:eastAsia="Palatino Linotype" w:hAnsi="Palatino Linotype" w:cs="Palatino Linotype"/>
          <w:i/>
        </w:rPr>
        <w:t>…”</w:t>
      </w:r>
    </w:p>
    <w:p w14:paraId="622EE71D" w14:textId="77777777" w:rsidR="00297CD9" w:rsidRDefault="00512CBA">
      <w:pPr>
        <w:tabs>
          <w:tab w:val="left" w:pos="4667"/>
        </w:tabs>
        <w:spacing w:line="360" w:lineRule="auto"/>
        <w:ind w:right="56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Solicitud de Información 00214/MEXICAL/IP/2024</w:t>
      </w:r>
    </w:p>
    <w:p w14:paraId="3C652ADD" w14:textId="77777777" w:rsidR="00297CD9" w:rsidRDefault="00297CD9">
      <w:pPr>
        <w:spacing w:line="360" w:lineRule="auto"/>
      </w:pPr>
    </w:p>
    <w:p w14:paraId="102A2645" w14:textId="77777777" w:rsidR="00297CD9" w:rsidRDefault="00512CBA">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i/>
          <w:color w:val="000000"/>
        </w:rPr>
        <w:t>Se entrega respuesta por parte de la Contraloría Interna: Es el medio por el cual puedes presentar denuncias, sugerencias o reconocimientos de servidores públicos, ciudadanos o empresas relacionadas con el Ayuntamiento de Mexicaltzingo. El área de quejas se pude traducir al buzón donde un ciudadano inconforme denuncia, un mal trato al realizar un trámite o servicio ante alguna unidad administrativa del Ayuntamiento. Sugiere para mejorar o Reconoce algún trámite, servicio o atención recibida en las distintas áreas del Ayuntamiento. Una vez que se recibe una queja o denuncia, se investiga para ver si es procedente para iniciar un procedimiento. Se busca contactarse con el denunciante, si se requiere mayor aportación de información y de no recibirse, o no ser procedente para un procedimiento se archiva, hasta que se aporte mayor información</w:t>
      </w:r>
      <w:r>
        <w:rPr>
          <w:rFonts w:ascii="Palatino Linotype" w:eastAsia="Palatino Linotype" w:hAnsi="Palatino Linotype" w:cs="Palatino Linotype"/>
          <w:i/>
        </w:rPr>
        <w:t>…”</w:t>
      </w:r>
    </w:p>
    <w:p w14:paraId="3C0AF192" w14:textId="77777777" w:rsidR="00297CD9" w:rsidRDefault="00297CD9">
      <w:pPr>
        <w:spacing w:line="360" w:lineRule="auto"/>
        <w:jc w:val="both"/>
        <w:rPr>
          <w:rFonts w:ascii="Palatino Linotype" w:eastAsia="Palatino Linotype" w:hAnsi="Palatino Linotype" w:cs="Palatino Linotype"/>
          <w:sz w:val="22"/>
          <w:szCs w:val="22"/>
        </w:rPr>
      </w:pPr>
    </w:p>
    <w:p w14:paraId="0AE232FA" w14:textId="77777777" w:rsidR="00297CD9" w:rsidRDefault="00512CBA">
      <w:pPr>
        <w:tabs>
          <w:tab w:val="left" w:pos="4667"/>
        </w:tabs>
        <w:spacing w:line="360" w:lineRule="auto"/>
        <w:ind w:right="56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Solicitud de Información 00221/MEXICAL/IP/2024</w:t>
      </w:r>
    </w:p>
    <w:p w14:paraId="22CA587F" w14:textId="77777777" w:rsidR="00297CD9" w:rsidRDefault="00297CD9">
      <w:pPr>
        <w:spacing w:line="360" w:lineRule="auto"/>
      </w:pPr>
    </w:p>
    <w:p w14:paraId="47B1B20A" w14:textId="77777777" w:rsidR="00297CD9" w:rsidRDefault="00512CBA">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i/>
          <w:color w:val="000000"/>
        </w:rPr>
        <w:t xml:space="preserve">Se entrega respuesta por parte de la Contraloría Interna: Es el medio por el cual puedes presentar denuncias, sugerencias o reconocimientos de servidores públicos, ciudadanos o empresas relacionadas con el Ayuntamiento de Mexicaltzingo. El área de quejas se pude traducir al buzón donde un ciudadano inconforme denuncia, un mal trato al realizar un trámite o servicio ante alguna unidad administrativa del Ayuntamiento. Sugiere para mejorar o Reconoce algún trámite, servicio o atención recibida en las distintas áreas del Ayuntamiento. Una vez que se recibe una queja o denuncia, se investiga para ver si es procedente para iniciar un procedimiento. Se busca contactarse con el denunciante, si se requiere mayor aportación de información y de no </w:t>
      </w:r>
      <w:r>
        <w:rPr>
          <w:rFonts w:ascii="Palatino Linotype" w:eastAsia="Palatino Linotype" w:hAnsi="Palatino Linotype" w:cs="Palatino Linotype"/>
          <w:i/>
          <w:color w:val="000000"/>
        </w:rPr>
        <w:lastRenderedPageBreak/>
        <w:t>recibirse, o no ser procedente para un procedimiento se archiva, hasta que se aporte mayor información</w:t>
      </w:r>
      <w:r>
        <w:rPr>
          <w:rFonts w:ascii="Palatino Linotype" w:eastAsia="Palatino Linotype" w:hAnsi="Palatino Linotype" w:cs="Palatino Linotype"/>
          <w:i/>
        </w:rPr>
        <w:t>…”</w:t>
      </w:r>
    </w:p>
    <w:p w14:paraId="0708026D" w14:textId="77777777" w:rsidR="00297CD9" w:rsidRDefault="00297CD9">
      <w:pPr>
        <w:spacing w:line="360" w:lineRule="auto"/>
        <w:jc w:val="both"/>
        <w:rPr>
          <w:rFonts w:ascii="Palatino Linotype" w:eastAsia="Palatino Linotype" w:hAnsi="Palatino Linotype" w:cs="Palatino Linotype"/>
          <w:sz w:val="22"/>
          <w:szCs w:val="22"/>
        </w:rPr>
      </w:pPr>
    </w:p>
    <w:p w14:paraId="5951CC70" w14:textId="77777777" w:rsidR="00297CD9" w:rsidRDefault="00512CBA">
      <w:pPr>
        <w:pStyle w:val="Ttulo2"/>
      </w:pPr>
      <w:bookmarkStart w:id="6" w:name="_heading=h.tyjcwt" w:colFirst="0" w:colLast="0"/>
      <w:bookmarkEnd w:id="6"/>
      <w:r>
        <w:t>III. Interposición de los Recursos de Revisión</w:t>
      </w:r>
    </w:p>
    <w:p w14:paraId="321CD169" w14:textId="77777777" w:rsidR="00297CD9" w:rsidRDefault="00297CD9">
      <w:pPr>
        <w:spacing w:line="360" w:lineRule="auto"/>
        <w:jc w:val="both"/>
        <w:rPr>
          <w:rFonts w:ascii="Palatino Linotype" w:eastAsia="Palatino Linotype" w:hAnsi="Palatino Linotype" w:cs="Palatino Linotype"/>
          <w:sz w:val="22"/>
          <w:szCs w:val="22"/>
        </w:rPr>
      </w:pPr>
    </w:p>
    <w:p w14:paraId="169A7221" w14:textId="77777777" w:rsidR="00297CD9" w:rsidRDefault="00512CBA">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fechas once y doce de diciembre de dos mil veinticuatro, se recibió en este Instituto, a través del Sistema de Acceso a la Información Mexiquense (SAIMEX), los Recursos de Revisión interpuestos por la parte Recurrente, en contra de las respuestas del Ayuntamiento de Mexicaltzingo, en los siguientes términos:</w:t>
      </w:r>
    </w:p>
    <w:p w14:paraId="3E190C51" w14:textId="77777777" w:rsidR="00297CD9" w:rsidRDefault="00297CD9">
      <w:pPr>
        <w:spacing w:line="360" w:lineRule="auto"/>
        <w:jc w:val="both"/>
        <w:rPr>
          <w:rFonts w:ascii="Palatino Linotype" w:eastAsia="Palatino Linotype" w:hAnsi="Palatino Linotype" w:cs="Palatino Linotype"/>
          <w:sz w:val="22"/>
          <w:szCs w:val="22"/>
        </w:rPr>
      </w:pPr>
    </w:p>
    <w:p w14:paraId="61FA5F55" w14:textId="77777777" w:rsidR="00297CD9" w:rsidRDefault="00512CBA">
      <w:pPr>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Recurso de Revisión 07621/INFOEM/IP/RR/2024</w:t>
      </w:r>
    </w:p>
    <w:p w14:paraId="5D282CE6" w14:textId="77777777" w:rsidR="00297CD9" w:rsidRDefault="00512CBA">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“ACTO IMPUGNADO</w:t>
      </w:r>
    </w:p>
    <w:p w14:paraId="694F5868" w14:textId="77777777" w:rsidR="00297CD9" w:rsidRDefault="00512CBA">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color w:val="000000"/>
        </w:rPr>
        <w:t>INFORMACION NO CLARA NO OBSTANTE SOLICITO LA INFORMACION CORRECTA.</w:t>
      </w:r>
      <w:r>
        <w:rPr>
          <w:rFonts w:ascii="Palatino Linotype" w:eastAsia="Palatino Linotype" w:hAnsi="Palatino Linotype" w:cs="Palatino Linotype"/>
          <w:i/>
        </w:rPr>
        <w:t>” (Sic.)</w:t>
      </w:r>
    </w:p>
    <w:p w14:paraId="23FF7A5B" w14:textId="77777777" w:rsidR="00297CD9" w:rsidRDefault="00297CD9">
      <w:pPr>
        <w:spacing w:line="360" w:lineRule="auto"/>
        <w:ind w:left="567" w:right="567"/>
        <w:jc w:val="both"/>
        <w:rPr>
          <w:rFonts w:ascii="Palatino Linotype" w:eastAsia="Palatino Linotype" w:hAnsi="Palatino Linotype" w:cs="Palatino Linotype"/>
          <w:i/>
        </w:rPr>
      </w:pPr>
    </w:p>
    <w:p w14:paraId="1B05B01B" w14:textId="77777777" w:rsidR="00297CD9" w:rsidRDefault="00512CBA">
      <w:pPr>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“RAZONES O MOTIVOS DE LA INCONFORMIDAD</w:t>
      </w:r>
    </w:p>
    <w:p w14:paraId="4441B461" w14:textId="77777777" w:rsidR="00297CD9" w:rsidRDefault="00512CBA">
      <w:pPr>
        <w:spacing w:line="360" w:lineRule="auto"/>
        <w:ind w:firstLine="567"/>
        <w:jc w:val="both"/>
        <w:rPr>
          <w:rFonts w:ascii="Palatino Linotype" w:eastAsia="Palatino Linotype" w:hAnsi="Palatino Linotype" w:cs="Palatino Linotype"/>
          <w:i/>
        </w:rPr>
      </w:pPr>
      <w:r>
        <w:rPr>
          <w:rFonts w:ascii="Palatino Linotype" w:eastAsia="Palatino Linotype" w:hAnsi="Palatino Linotype" w:cs="Palatino Linotype"/>
          <w:i/>
        </w:rPr>
        <w:t>INFORMACION NO CLARA NO OBSTANTE SOLICITO LA INFORMACION CORRECTA</w:t>
      </w:r>
    </w:p>
    <w:p w14:paraId="27B1CC66" w14:textId="77777777" w:rsidR="00297CD9" w:rsidRDefault="00512CBA">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 xml:space="preserve">.” (Sic) </w:t>
      </w:r>
    </w:p>
    <w:p w14:paraId="6AFB32C1" w14:textId="77777777" w:rsidR="00297CD9" w:rsidRDefault="00297CD9">
      <w:pPr>
        <w:spacing w:line="360" w:lineRule="auto"/>
        <w:ind w:left="567" w:right="567"/>
        <w:jc w:val="both"/>
        <w:rPr>
          <w:rFonts w:ascii="Palatino Linotype" w:eastAsia="Palatino Linotype" w:hAnsi="Palatino Linotype" w:cs="Palatino Linotype"/>
          <w:i/>
        </w:rPr>
      </w:pPr>
    </w:p>
    <w:p w14:paraId="41D6FDD0" w14:textId="77777777" w:rsidR="00297CD9" w:rsidRDefault="00512CBA">
      <w:pPr>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Recursos de Revisión 07642/INFOEM/IP/RR/2024, 07643/INFOEM/IP/RR/2024, 07646/INFOEM/IP/RR/2024, 07647/INFOEM/IP/RR/2024 y 07648/INFOEM/IP/RR/2024</w:t>
      </w:r>
    </w:p>
    <w:p w14:paraId="6FD3FD62" w14:textId="77777777" w:rsidR="00297CD9" w:rsidRDefault="00512CBA">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“ACTO IMPUGNADO</w:t>
      </w:r>
    </w:p>
    <w:p w14:paraId="32AC9D3A" w14:textId="77777777" w:rsidR="00297CD9" w:rsidRDefault="00512CBA">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color w:val="000000"/>
        </w:rPr>
        <w:t>NO RECIBI LA INFORMACION CORRECTA.</w:t>
      </w:r>
      <w:r>
        <w:rPr>
          <w:rFonts w:ascii="Palatino Linotype" w:eastAsia="Palatino Linotype" w:hAnsi="Palatino Linotype" w:cs="Palatino Linotype"/>
          <w:i/>
        </w:rPr>
        <w:t>”  (Sic.)</w:t>
      </w:r>
    </w:p>
    <w:p w14:paraId="23188108" w14:textId="77777777" w:rsidR="00297CD9" w:rsidRDefault="00297CD9">
      <w:pPr>
        <w:spacing w:line="360" w:lineRule="auto"/>
        <w:ind w:left="567" w:right="567"/>
        <w:jc w:val="both"/>
        <w:rPr>
          <w:rFonts w:ascii="Palatino Linotype" w:eastAsia="Palatino Linotype" w:hAnsi="Palatino Linotype" w:cs="Palatino Linotype"/>
          <w:i/>
        </w:rPr>
      </w:pPr>
    </w:p>
    <w:p w14:paraId="7E1AC3E7" w14:textId="77777777" w:rsidR="00297CD9" w:rsidRDefault="00512CBA">
      <w:pPr>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“RAZONES O MOTIVOS DE LA INCONFORMIDAD</w:t>
      </w:r>
    </w:p>
    <w:p w14:paraId="63DA775E" w14:textId="77777777" w:rsidR="00297CD9" w:rsidRDefault="00512CBA">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color w:val="000000"/>
        </w:rPr>
        <w:t>NO RECIBI LA INFORMACION CORRECTA</w:t>
      </w:r>
      <w:r>
        <w:rPr>
          <w:rFonts w:ascii="Palatino Linotype" w:eastAsia="Palatino Linotype" w:hAnsi="Palatino Linotype" w:cs="Palatino Linotype"/>
          <w:i/>
        </w:rPr>
        <w:t xml:space="preserve">.” (Sic) </w:t>
      </w:r>
    </w:p>
    <w:p w14:paraId="4F223421" w14:textId="77777777" w:rsidR="00297CD9" w:rsidRDefault="00297CD9">
      <w:pPr>
        <w:spacing w:line="360" w:lineRule="auto"/>
        <w:ind w:left="567" w:right="567"/>
        <w:jc w:val="both"/>
        <w:rPr>
          <w:rFonts w:ascii="Palatino Linotype" w:eastAsia="Palatino Linotype" w:hAnsi="Palatino Linotype" w:cs="Palatino Linotype"/>
          <w:i/>
        </w:rPr>
      </w:pPr>
    </w:p>
    <w:p w14:paraId="6E36ADCD" w14:textId="77777777" w:rsidR="00297CD9" w:rsidRDefault="00512CBA">
      <w:pPr>
        <w:pStyle w:val="Ttulo2"/>
      </w:pPr>
      <w:bookmarkStart w:id="7" w:name="_heading=h.3dy6vkm" w:colFirst="0" w:colLast="0"/>
      <w:bookmarkEnd w:id="7"/>
      <w:r>
        <w:lastRenderedPageBreak/>
        <w:t>IV. Trámite de los Recursos de Revisión ante este Instituto</w:t>
      </w:r>
    </w:p>
    <w:p w14:paraId="42B68D2E" w14:textId="77777777" w:rsidR="00297CD9" w:rsidRDefault="00297CD9">
      <w:pPr>
        <w:spacing w:line="360" w:lineRule="auto"/>
        <w:jc w:val="both"/>
        <w:rPr>
          <w:rFonts w:ascii="Palatino Linotype" w:eastAsia="Palatino Linotype" w:hAnsi="Palatino Linotype" w:cs="Palatino Linotype"/>
          <w:b/>
          <w:sz w:val="22"/>
          <w:szCs w:val="22"/>
        </w:rPr>
      </w:pPr>
    </w:p>
    <w:p w14:paraId="7052F35A" w14:textId="77777777" w:rsidR="00297CD9" w:rsidRDefault="00512CBA">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 Turno del Recurso de Revisión. </w:t>
      </w:r>
      <w:r>
        <w:rPr>
          <w:rFonts w:ascii="Palatino Linotype" w:eastAsia="Palatino Linotype" w:hAnsi="Palatino Linotype" w:cs="Palatino Linotype"/>
          <w:sz w:val="22"/>
          <w:szCs w:val="22"/>
        </w:rPr>
        <w:t>El once y doce de diciembre de dos mil veinticuatro, el Sistema de Acceso a la Información Mexiquense (SAIMEX), asignó los números de expediente 07621/INFOEM/IP/RR/2024,</w:t>
      </w:r>
      <w:r>
        <w:rPr>
          <w:rFonts w:ascii="Palatino Linotype" w:eastAsia="Palatino Linotype" w:hAnsi="Palatino Linotype" w:cs="Palatino Linotype"/>
          <w:color w:val="0D0D0D"/>
          <w:sz w:val="22"/>
          <w:szCs w:val="22"/>
        </w:rPr>
        <w:t xml:space="preserve"> </w:t>
      </w:r>
      <w:r>
        <w:rPr>
          <w:rFonts w:ascii="Palatino Linotype" w:eastAsia="Palatino Linotype" w:hAnsi="Palatino Linotype" w:cs="Palatino Linotype"/>
          <w:sz w:val="22"/>
          <w:szCs w:val="22"/>
        </w:rPr>
        <w:t xml:space="preserve">07642/INFOEM/IP/RR/2024, 07643/INFOEM/IP/RR/2024, 07646/INFOEM/IP/RR/2024, 07647/INFOEM/IP/RR/2024 y 07648/INFOEM/IP/RR/2024 a los medios de impugnación que nos ocupa, con base en el sistema aprobado por el Pleno de este Organismo Garante y lo turnó a los Comisionados </w:t>
      </w:r>
      <w:r>
        <w:rPr>
          <w:rFonts w:ascii="Palatino Linotype" w:eastAsia="Palatino Linotype" w:hAnsi="Palatino Linotype" w:cs="Palatino Linotype"/>
          <w:b/>
          <w:sz w:val="22"/>
          <w:szCs w:val="22"/>
        </w:rPr>
        <w:t>Luis Gustavo Parra Noriega, Sharon Cristina Morales Martínez y María del Rosario Mejía Ayala,</w:t>
      </w:r>
      <w:r>
        <w:rPr>
          <w:rFonts w:ascii="Palatino Linotype" w:eastAsia="Palatino Linotype" w:hAnsi="Palatino Linotype" w:cs="Palatino Linotype"/>
          <w:sz w:val="22"/>
          <w:szCs w:val="22"/>
        </w:rPr>
        <w:t xml:space="preserve"> para los efectos del artículo 185, fracción I de la Ley de Transparencia y Acceso a la Información Pública del Estado de México y Municipios.</w:t>
      </w:r>
    </w:p>
    <w:p w14:paraId="394EB523" w14:textId="77777777" w:rsidR="00297CD9" w:rsidRDefault="00297CD9">
      <w:pPr>
        <w:spacing w:line="360" w:lineRule="auto"/>
        <w:jc w:val="both"/>
        <w:rPr>
          <w:rFonts w:ascii="Palatino Linotype" w:eastAsia="Palatino Linotype" w:hAnsi="Palatino Linotype" w:cs="Palatino Linotype"/>
          <w:b/>
          <w:sz w:val="22"/>
          <w:szCs w:val="22"/>
        </w:rPr>
      </w:pPr>
    </w:p>
    <w:p w14:paraId="1B87D9DB" w14:textId="77777777" w:rsidR="00297CD9" w:rsidRDefault="00512CBA">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b) Admisión de los Recursos de Revisión. </w:t>
      </w:r>
      <w:r>
        <w:rPr>
          <w:rFonts w:ascii="Palatino Linotype" w:eastAsia="Palatino Linotype" w:hAnsi="Palatino Linotype" w:cs="Palatino Linotype"/>
          <w:sz w:val="22"/>
          <w:szCs w:val="22"/>
        </w:rPr>
        <w:t>El dieciséis, diecisiete, diecinueve de diciembre de dos mil veinticuatro, se acordó la admisión de los Recursos de Revisión, interpuestos por el Recurrente, en contra del Sujeto Obligado, en términos del artículo 185, fracciones I y II de la Ley de Transparencia y Acceso a la Información Pública del Estado de México y Municipios, los cual fueron notificados a las partes, a través del Sistema de Acceso a la Información Mexiquense (SAIMEX), en el que se les otorgó un plazo de siete días hábiles posteriores a la misma, para que manifestaran lo que a su derecho conviniera y formularan alegatos.</w:t>
      </w:r>
    </w:p>
    <w:p w14:paraId="45BD6DBE" w14:textId="77777777" w:rsidR="00297CD9" w:rsidRDefault="00297CD9">
      <w:pPr>
        <w:spacing w:line="360" w:lineRule="auto"/>
        <w:jc w:val="both"/>
        <w:rPr>
          <w:rFonts w:ascii="Palatino Linotype" w:eastAsia="Palatino Linotype" w:hAnsi="Palatino Linotype" w:cs="Palatino Linotype"/>
          <w:sz w:val="22"/>
          <w:szCs w:val="22"/>
        </w:rPr>
      </w:pPr>
    </w:p>
    <w:p w14:paraId="0F27DAEF" w14:textId="77777777" w:rsidR="00297CD9" w:rsidRDefault="00512CBA">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c) Acumulación de los asuntos. </w:t>
      </w:r>
      <w:r>
        <w:rPr>
          <w:rFonts w:ascii="Palatino Linotype" w:eastAsia="Palatino Linotype" w:hAnsi="Palatino Linotype" w:cs="Palatino Linotype"/>
          <w:sz w:val="22"/>
          <w:szCs w:val="22"/>
        </w:rPr>
        <w:t xml:space="preserve">El quince de enero de dos mil veinticuatro, el Pleno del Instituto de Transparencia, Acceso a la Información Pública y Protección de Datos Personales del Estado de México y Municipios, durante su Primera Sesión Ordinaria, con el propósito de privilegiar la resolución expedita y evitar resoluciones contradictorias, con fundamento en el artículo 18 del Código de Procedimientos Administrativos del Estado de </w:t>
      </w:r>
      <w:r>
        <w:rPr>
          <w:rFonts w:ascii="Palatino Linotype" w:eastAsia="Palatino Linotype" w:hAnsi="Palatino Linotype" w:cs="Palatino Linotype"/>
          <w:sz w:val="22"/>
          <w:szCs w:val="22"/>
        </w:rPr>
        <w:lastRenderedPageBreak/>
        <w:t>México, de aplicación supletoria a la Ley de Transparencia y Acceso a la Información Pública del Estado de México y Municipios, según lo previsto en su artículo 195, acordó la acumulación de los Recursos de Revisión, 07642/INFOEM/IP/RR/2024, 07643/INFOEM/IP/RR/2024, 07646/INFOEM/IP/RR/2024, 07647/INFOEM/IP/RR/2024 y 07648/INFOEM/IP/RR/2024 al 07621/INFOEM/IP/RR/2024</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por ser este último el más antiguo, sustanciado bajo el índice de esta Ponencia, al advertir conexidad entre estos, ya que fueron promovidos por la misma persona, en los que señaló como Sujeto Obligado al</w:t>
      </w:r>
      <w:r>
        <w:rPr>
          <w:rFonts w:ascii="Palatino Linotype" w:eastAsia="Palatino Linotype" w:hAnsi="Palatino Linotype" w:cs="Palatino Linotype"/>
          <w:b/>
          <w:sz w:val="22"/>
          <w:szCs w:val="22"/>
        </w:rPr>
        <w:t xml:space="preserve"> Ayuntamiento de Mexicaltzingo. </w:t>
      </w:r>
    </w:p>
    <w:p w14:paraId="0706AC30" w14:textId="77777777" w:rsidR="00297CD9" w:rsidRDefault="00297CD9">
      <w:pPr>
        <w:spacing w:line="360" w:lineRule="auto"/>
        <w:jc w:val="both"/>
        <w:rPr>
          <w:rFonts w:ascii="Palatino Linotype" w:eastAsia="Palatino Linotype" w:hAnsi="Palatino Linotype" w:cs="Palatino Linotype"/>
          <w:b/>
          <w:sz w:val="22"/>
          <w:szCs w:val="22"/>
        </w:rPr>
      </w:pPr>
    </w:p>
    <w:p w14:paraId="26086B1B" w14:textId="77777777" w:rsidR="00297CD9" w:rsidRDefault="00512CBA">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d) Informe Justificado. </w:t>
      </w:r>
      <w:r>
        <w:rPr>
          <w:rFonts w:ascii="Palatino Linotype" w:eastAsia="Palatino Linotype" w:hAnsi="Palatino Linotype" w:cs="Palatino Linotype"/>
          <w:sz w:val="22"/>
          <w:szCs w:val="22"/>
        </w:rPr>
        <w:t>El veintiuno de enero de dos mil veinticuatro, se recibió, a través del Sistema de Acceso a la Información Mexiquense (SAIMEX), los Informes Justificados en términos idénticos, por medio de la digitalización de los documentos siguientes:</w:t>
      </w:r>
    </w:p>
    <w:p w14:paraId="2C01B118" w14:textId="77777777" w:rsidR="00297CD9" w:rsidRDefault="00297CD9">
      <w:pPr>
        <w:spacing w:line="360" w:lineRule="auto"/>
        <w:jc w:val="both"/>
        <w:rPr>
          <w:rFonts w:ascii="Palatino Linotype" w:eastAsia="Palatino Linotype" w:hAnsi="Palatino Linotype" w:cs="Palatino Linotype"/>
          <w:sz w:val="22"/>
          <w:szCs w:val="22"/>
        </w:rPr>
      </w:pPr>
    </w:p>
    <w:p w14:paraId="57F3A7BB" w14:textId="77777777" w:rsidR="00297CD9" w:rsidRDefault="00512CBA">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 Oficio número PMM/CTAI/008/2025, del veinte de enero de dos mil veinticinco, suscrito por la Coordinadora de Transparencia y Acceso a la Información, dirigido al Contralor Interno Municipal, mediante el cual esencialmente le informa sobre la relación de asuntos pendientes por atender en el área.</w:t>
      </w:r>
    </w:p>
    <w:p w14:paraId="39768BBF" w14:textId="77777777" w:rsidR="00297CD9" w:rsidRDefault="00297CD9">
      <w:pPr>
        <w:spacing w:line="360" w:lineRule="auto"/>
        <w:jc w:val="both"/>
        <w:rPr>
          <w:rFonts w:ascii="Palatino Linotype" w:eastAsia="Palatino Linotype" w:hAnsi="Palatino Linotype" w:cs="Palatino Linotype"/>
          <w:sz w:val="22"/>
          <w:szCs w:val="22"/>
        </w:rPr>
      </w:pPr>
    </w:p>
    <w:p w14:paraId="13DBFDEC" w14:textId="77777777" w:rsidR="00297CD9" w:rsidRDefault="00512CBA">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ii) Formato ER-07 “Relación de asuntos pendientes por atender.</w:t>
      </w:r>
    </w:p>
    <w:p w14:paraId="79A910E9" w14:textId="77777777" w:rsidR="00297CD9" w:rsidRDefault="00297CD9">
      <w:pPr>
        <w:spacing w:line="360" w:lineRule="auto"/>
        <w:jc w:val="both"/>
        <w:rPr>
          <w:rFonts w:ascii="Palatino Linotype" w:eastAsia="Palatino Linotype" w:hAnsi="Palatino Linotype" w:cs="Palatino Linotype"/>
          <w:sz w:val="22"/>
          <w:szCs w:val="22"/>
        </w:rPr>
      </w:pPr>
    </w:p>
    <w:p w14:paraId="65FAB41A" w14:textId="77777777" w:rsidR="00297CD9" w:rsidRDefault="00512CBA">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iii) Una relación de Recursos de Revisión pendientes por atender de 2024 y 2025.</w:t>
      </w:r>
    </w:p>
    <w:p w14:paraId="5DDC3437" w14:textId="77777777" w:rsidR="00297CD9" w:rsidRDefault="00297CD9">
      <w:pPr>
        <w:spacing w:line="360" w:lineRule="auto"/>
        <w:jc w:val="both"/>
        <w:rPr>
          <w:rFonts w:ascii="Palatino Linotype" w:eastAsia="Palatino Linotype" w:hAnsi="Palatino Linotype" w:cs="Palatino Linotype"/>
          <w:b/>
          <w:sz w:val="22"/>
          <w:szCs w:val="22"/>
        </w:rPr>
      </w:pPr>
    </w:p>
    <w:p w14:paraId="63CC1BF6" w14:textId="77777777" w:rsidR="00297CD9" w:rsidRDefault="00512CBA">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Cabe señalar que los documentos previamente señalados no fueron puestos a la vista de la Particular, toda vez que no guardan relación con lo peticionado.</w:t>
      </w:r>
    </w:p>
    <w:p w14:paraId="2859A17B" w14:textId="77777777" w:rsidR="00297CD9" w:rsidRDefault="00297CD9">
      <w:pPr>
        <w:spacing w:line="360" w:lineRule="auto"/>
        <w:jc w:val="both"/>
        <w:rPr>
          <w:rFonts w:ascii="Palatino Linotype" w:eastAsia="Palatino Linotype" w:hAnsi="Palatino Linotype" w:cs="Palatino Linotype"/>
          <w:b/>
          <w:sz w:val="22"/>
          <w:szCs w:val="22"/>
        </w:rPr>
      </w:pPr>
    </w:p>
    <w:p w14:paraId="1194C1DB" w14:textId="77777777" w:rsidR="00297CD9" w:rsidRDefault="00512CBA">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lastRenderedPageBreak/>
        <w:t>e) Cierre de instrucción.</w:t>
      </w:r>
      <w:r>
        <w:rPr>
          <w:rFonts w:ascii="Palatino Linotype" w:eastAsia="Palatino Linotype" w:hAnsi="Palatino Linotype" w:cs="Palatino Linotype"/>
          <w:sz w:val="22"/>
          <w:szCs w:val="22"/>
        </w:rPr>
        <w:t xml:space="preserve"> El veintiuno de enero de dos mil veinticinco,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a través del Sistema de Acceso a la Información Mexiquense (SAIMEX) el veintidós de dicho mes y año.</w:t>
      </w:r>
    </w:p>
    <w:p w14:paraId="12DD9DB1" w14:textId="77777777" w:rsidR="00297CD9" w:rsidRDefault="00297CD9">
      <w:pPr>
        <w:spacing w:line="360" w:lineRule="auto"/>
        <w:jc w:val="both"/>
        <w:rPr>
          <w:rFonts w:ascii="Palatino Linotype" w:eastAsia="Palatino Linotype" w:hAnsi="Palatino Linotype" w:cs="Palatino Linotype"/>
          <w:b/>
          <w:sz w:val="22"/>
          <w:szCs w:val="22"/>
        </w:rPr>
      </w:pPr>
    </w:p>
    <w:p w14:paraId="5AF74C71" w14:textId="77777777" w:rsidR="00297CD9" w:rsidRDefault="00512CBA">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razón de que fue debidamente sustanciado el expediente electrónico y no existe diligencia pendiente de desahogo, se emite la resolución que conforme a Derecho proceda, de acuerdo a los siguientes: </w:t>
      </w:r>
    </w:p>
    <w:p w14:paraId="5C3C6D48" w14:textId="77777777" w:rsidR="00297CD9" w:rsidRDefault="00297CD9">
      <w:pPr>
        <w:spacing w:line="360" w:lineRule="auto"/>
        <w:jc w:val="center"/>
        <w:rPr>
          <w:rFonts w:ascii="Palatino Linotype" w:eastAsia="Palatino Linotype" w:hAnsi="Palatino Linotype" w:cs="Palatino Linotype"/>
          <w:b/>
          <w:sz w:val="22"/>
          <w:szCs w:val="22"/>
        </w:rPr>
      </w:pPr>
    </w:p>
    <w:p w14:paraId="15394205" w14:textId="77777777" w:rsidR="00297CD9" w:rsidRDefault="00512CBA">
      <w:pPr>
        <w:pStyle w:val="Ttulo1"/>
      </w:pPr>
      <w:bookmarkStart w:id="8" w:name="_heading=h.1t3h5sf" w:colFirst="0" w:colLast="0"/>
      <w:bookmarkEnd w:id="8"/>
      <w:r>
        <w:t>C O N S I D E R A N D O S</w:t>
      </w:r>
    </w:p>
    <w:p w14:paraId="50A66BA5" w14:textId="77777777" w:rsidR="00297CD9" w:rsidRDefault="00297CD9">
      <w:pPr>
        <w:spacing w:line="360" w:lineRule="auto"/>
        <w:rPr>
          <w:rFonts w:ascii="Palatino Linotype" w:eastAsia="Palatino Linotype" w:hAnsi="Palatino Linotype" w:cs="Palatino Linotype"/>
          <w:b/>
          <w:sz w:val="22"/>
          <w:szCs w:val="22"/>
        </w:rPr>
      </w:pPr>
    </w:p>
    <w:p w14:paraId="1B7C6AC4" w14:textId="77777777" w:rsidR="00297CD9" w:rsidRDefault="00512CBA">
      <w:pPr>
        <w:pStyle w:val="Ttulo2"/>
      </w:pPr>
      <w:bookmarkStart w:id="9" w:name="_heading=h.4d34og8" w:colFirst="0" w:colLast="0"/>
      <w:bookmarkEnd w:id="9"/>
      <w:r>
        <w:t>PRIMERO. Competencia</w:t>
      </w:r>
    </w:p>
    <w:p w14:paraId="0F18A22B" w14:textId="77777777" w:rsidR="00297CD9" w:rsidRDefault="00297CD9">
      <w:pPr>
        <w:spacing w:line="360" w:lineRule="auto"/>
        <w:jc w:val="both"/>
        <w:rPr>
          <w:rFonts w:ascii="Palatino Linotype" w:eastAsia="Palatino Linotype" w:hAnsi="Palatino Linotype" w:cs="Palatino Linotype"/>
          <w:b/>
          <w:sz w:val="22"/>
          <w:szCs w:val="22"/>
        </w:rPr>
      </w:pPr>
    </w:p>
    <w:p w14:paraId="3F12119B" w14:textId="77777777" w:rsidR="00297CD9" w:rsidRDefault="00512CBA">
      <w:pPr>
        <w:spacing w:line="360" w:lineRule="auto"/>
        <w:jc w:val="both"/>
        <w:rPr>
          <w:rFonts w:ascii="Palatino Linotype" w:eastAsia="Palatino Linotype" w:hAnsi="Palatino Linotype" w:cs="Palatino Linotype"/>
          <w:sz w:val="22"/>
          <w:szCs w:val="22"/>
        </w:rPr>
      </w:pPr>
      <w:bookmarkStart w:id="10" w:name="_heading=h.2s8eyo1" w:colFirst="0" w:colLast="0"/>
      <w:bookmarkEnd w:id="10"/>
      <w:r>
        <w:rPr>
          <w:rFonts w:ascii="Palatino Linotype" w:eastAsia="Palatino Linotype" w:hAnsi="Palatino Linotype" w:cs="Palatino Linotype"/>
          <w:sz w:val="22"/>
          <w:szCs w:val="22"/>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w:t>
      </w:r>
      <w:r>
        <w:rPr>
          <w:rFonts w:ascii="Palatino Linotype" w:eastAsia="Palatino Linotype" w:hAnsi="Palatino Linotype" w:cs="Palatino Linotype"/>
          <w:sz w:val="22"/>
          <w:szCs w:val="22"/>
        </w:rPr>
        <w:lastRenderedPageBreak/>
        <w:t>de Transparencia, Acceso a la Información Pública y Protección de Datos Personales del Estado de México y Municipios.</w:t>
      </w:r>
    </w:p>
    <w:p w14:paraId="333A33D0" w14:textId="77777777" w:rsidR="00297CD9" w:rsidRDefault="00297CD9">
      <w:pPr>
        <w:spacing w:line="360" w:lineRule="auto"/>
        <w:jc w:val="both"/>
        <w:rPr>
          <w:rFonts w:ascii="Palatino Linotype" w:eastAsia="Palatino Linotype" w:hAnsi="Palatino Linotype" w:cs="Palatino Linotype"/>
          <w:color w:val="000000"/>
          <w:sz w:val="22"/>
          <w:szCs w:val="22"/>
        </w:rPr>
      </w:pPr>
    </w:p>
    <w:p w14:paraId="5AE2777F" w14:textId="77777777" w:rsidR="00297CD9" w:rsidRDefault="00512CBA">
      <w:pPr>
        <w:pStyle w:val="Ttulo2"/>
      </w:pPr>
      <w:bookmarkStart w:id="11" w:name="_heading=h.17dp8vu" w:colFirst="0" w:colLast="0"/>
      <w:bookmarkEnd w:id="11"/>
      <w:r>
        <w:t>SEGUNDO. Causales de improcedencia y sobreseimiento</w:t>
      </w:r>
    </w:p>
    <w:p w14:paraId="3D0F212C" w14:textId="77777777" w:rsidR="00297CD9" w:rsidRDefault="00297CD9">
      <w:pPr>
        <w:spacing w:line="360" w:lineRule="auto"/>
        <w:jc w:val="both"/>
        <w:rPr>
          <w:rFonts w:ascii="Palatino Linotype" w:eastAsia="Palatino Linotype" w:hAnsi="Palatino Linotype" w:cs="Palatino Linotype"/>
          <w:b/>
          <w:sz w:val="22"/>
          <w:szCs w:val="22"/>
        </w:rPr>
      </w:pPr>
    </w:p>
    <w:p w14:paraId="08786D41" w14:textId="77777777" w:rsidR="00297CD9" w:rsidRDefault="00512CBA">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las constancias que forma parte del Recurso de Revisión que se analiza, se advierte que previo al estudio del fondo de la </w:t>
      </w:r>
      <w:r>
        <w:rPr>
          <w:rFonts w:ascii="Palatino Linotype" w:eastAsia="Palatino Linotype" w:hAnsi="Palatino Linotype" w:cs="Palatino Linotype"/>
          <w:i/>
          <w:sz w:val="22"/>
          <w:szCs w:val="22"/>
        </w:rPr>
        <w:t>litis</w:t>
      </w:r>
      <w:r>
        <w:rPr>
          <w:rFonts w:ascii="Palatino Linotype" w:eastAsia="Palatino Linotype" w:hAnsi="Palatino Linotype" w:cs="Palatino Linotype"/>
          <w:sz w:val="22"/>
          <w:szCs w:val="22"/>
        </w:rPr>
        <w:t>, es necesario estudiar las causales de improcedencia y sobreseimiento que se adviertan, para determinar lo que en Derecho proceda.</w:t>
      </w:r>
    </w:p>
    <w:p w14:paraId="0F04090B" w14:textId="77777777" w:rsidR="00297CD9" w:rsidRDefault="00297CD9">
      <w:pPr>
        <w:spacing w:line="360" w:lineRule="auto"/>
        <w:jc w:val="both"/>
        <w:rPr>
          <w:rFonts w:ascii="Palatino Linotype" w:eastAsia="Palatino Linotype" w:hAnsi="Palatino Linotype" w:cs="Palatino Linotype"/>
          <w:sz w:val="22"/>
          <w:szCs w:val="22"/>
        </w:rPr>
      </w:pPr>
    </w:p>
    <w:p w14:paraId="28DBA7D7" w14:textId="77777777" w:rsidR="00297CD9" w:rsidRDefault="00512CBA">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Causales de improcedencia</w:t>
      </w:r>
    </w:p>
    <w:p w14:paraId="0DC2A977" w14:textId="77777777" w:rsidR="00297CD9" w:rsidRDefault="00297CD9">
      <w:pPr>
        <w:spacing w:line="360" w:lineRule="auto"/>
        <w:jc w:val="both"/>
        <w:rPr>
          <w:rFonts w:ascii="Palatino Linotype" w:eastAsia="Palatino Linotype" w:hAnsi="Palatino Linotype" w:cs="Palatino Linotype"/>
          <w:color w:val="000000"/>
          <w:sz w:val="22"/>
          <w:szCs w:val="22"/>
        </w:rPr>
      </w:pPr>
    </w:p>
    <w:p w14:paraId="7FEC0335" w14:textId="77777777" w:rsidR="00297CD9" w:rsidRDefault="00512CBA">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Este Instituto realizará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1C440550" w14:textId="77777777" w:rsidR="00297CD9" w:rsidRDefault="00297CD9">
      <w:pPr>
        <w:spacing w:line="360" w:lineRule="auto"/>
        <w:ind w:right="-28"/>
        <w:jc w:val="both"/>
        <w:rPr>
          <w:rFonts w:ascii="Palatino Linotype" w:eastAsia="Palatino Linotype" w:hAnsi="Palatino Linotype" w:cs="Palatino Linotype"/>
          <w:color w:val="000000"/>
          <w:sz w:val="22"/>
          <w:szCs w:val="22"/>
        </w:rPr>
      </w:pPr>
    </w:p>
    <w:p w14:paraId="788C87AE" w14:textId="77777777" w:rsidR="00297CD9" w:rsidRDefault="00512CBA">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En el presente caso, </w:t>
      </w:r>
      <w:r>
        <w:rPr>
          <w:rFonts w:ascii="Palatino Linotype" w:eastAsia="Palatino Linotype" w:hAnsi="Palatino Linotype" w:cs="Palatino Linotype"/>
          <w:b/>
          <w:sz w:val="22"/>
          <w:szCs w:val="22"/>
        </w:rPr>
        <w:t>no se actualiza ninguna de las causales de improcedencia</w:t>
      </w:r>
      <w:r>
        <w:rPr>
          <w:rFonts w:ascii="Palatino Linotype" w:eastAsia="Palatino Linotype" w:hAnsi="Palatino Linotype" w:cs="Palatino Linotype"/>
          <w:sz w:val="22"/>
          <w:szCs w:val="22"/>
        </w:rPr>
        <w:t xml:space="preserve">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w:t>
      </w:r>
      <w:r>
        <w:rPr>
          <w:rFonts w:ascii="Palatino Linotype" w:eastAsia="Palatino Linotype" w:hAnsi="Palatino Linotype" w:cs="Palatino Linotype"/>
          <w:sz w:val="22"/>
          <w:szCs w:val="22"/>
        </w:rPr>
        <w:lastRenderedPageBreak/>
        <w:t xml:space="preserve">del requerimiento informativo; además de que </w:t>
      </w:r>
      <w:r>
        <w:rPr>
          <w:rFonts w:ascii="Palatino Linotype" w:eastAsia="Palatino Linotype" w:hAnsi="Palatino Linotype" w:cs="Palatino Linotype"/>
          <w:color w:val="000000"/>
          <w:sz w:val="22"/>
          <w:szCs w:val="22"/>
        </w:rPr>
        <w:t>el medio de impugnación fue presentado en tiempo.</w:t>
      </w:r>
    </w:p>
    <w:p w14:paraId="423E1233" w14:textId="77777777" w:rsidR="00297CD9" w:rsidRDefault="00297CD9">
      <w:pPr>
        <w:spacing w:line="360" w:lineRule="auto"/>
        <w:jc w:val="both"/>
        <w:rPr>
          <w:rFonts w:ascii="Palatino Linotype" w:eastAsia="Palatino Linotype" w:hAnsi="Palatino Linotype" w:cs="Palatino Linotype"/>
          <w:color w:val="000000"/>
          <w:sz w:val="22"/>
          <w:szCs w:val="22"/>
        </w:rPr>
      </w:pPr>
    </w:p>
    <w:p w14:paraId="624D0F42" w14:textId="77777777" w:rsidR="00297CD9" w:rsidRDefault="00512CBA">
      <w:pPr>
        <w:widowControl w:val="0"/>
        <w:spacing w:line="360" w:lineRule="auto"/>
        <w:jc w:val="both"/>
        <w:rPr>
          <w:rFonts w:ascii="Palatino Linotype" w:eastAsia="Palatino Linotype" w:hAnsi="Palatino Linotype" w:cs="Palatino Linotype"/>
          <w:color w:val="222222"/>
        </w:rPr>
      </w:pPr>
      <w:r>
        <w:rPr>
          <w:rFonts w:ascii="Palatino Linotype" w:eastAsia="Palatino Linotype" w:hAnsi="Palatino Linotype" w:cs="Palatino Linotype"/>
          <w:sz w:val="22"/>
          <w:szCs w:val="22"/>
        </w:rPr>
        <w:t xml:space="preserve">Asimismo, se actualiza la causal de procedencia del Recurso de Revisión señalada en el artículo 179, fracción V, de la Ley en cita, </w:t>
      </w:r>
      <w:r>
        <w:rPr>
          <w:rFonts w:ascii="Palatino Linotype" w:eastAsia="Palatino Linotype" w:hAnsi="Palatino Linotype" w:cs="Palatino Linotype"/>
          <w:color w:val="000000"/>
          <w:sz w:val="22"/>
          <w:szCs w:val="22"/>
        </w:rPr>
        <w:t xml:space="preserve">pues el Recurrente se inconformó </w:t>
      </w:r>
      <w:r>
        <w:rPr>
          <w:rFonts w:ascii="Palatino Linotype" w:eastAsia="Palatino Linotype" w:hAnsi="Palatino Linotype" w:cs="Palatino Linotype"/>
          <w:sz w:val="22"/>
          <w:szCs w:val="22"/>
        </w:rPr>
        <w:t>de la entrega de información incompleta.</w:t>
      </w:r>
    </w:p>
    <w:p w14:paraId="414F43EC" w14:textId="77777777" w:rsidR="00297CD9" w:rsidRDefault="00297CD9">
      <w:pPr>
        <w:spacing w:line="360" w:lineRule="auto"/>
        <w:ind w:right="-28"/>
        <w:jc w:val="both"/>
        <w:rPr>
          <w:rFonts w:ascii="Palatino Linotype" w:eastAsia="Palatino Linotype" w:hAnsi="Palatino Linotype" w:cs="Palatino Linotype"/>
          <w:color w:val="000000"/>
          <w:sz w:val="22"/>
          <w:szCs w:val="22"/>
        </w:rPr>
      </w:pPr>
    </w:p>
    <w:p w14:paraId="18ED929F" w14:textId="77777777" w:rsidR="00297CD9" w:rsidRDefault="00512CBA">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Causales de sobreseimiento</w:t>
      </w:r>
    </w:p>
    <w:p w14:paraId="6D1EA817" w14:textId="77777777" w:rsidR="00297CD9" w:rsidRDefault="00297CD9">
      <w:pPr>
        <w:spacing w:line="360" w:lineRule="auto"/>
        <w:jc w:val="both"/>
        <w:rPr>
          <w:rFonts w:ascii="Palatino Linotype" w:eastAsia="Palatino Linotype" w:hAnsi="Palatino Linotype" w:cs="Palatino Linotype"/>
          <w:sz w:val="22"/>
          <w:szCs w:val="22"/>
        </w:rPr>
      </w:pPr>
    </w:p>
    <w:p w14:paraId="4C235B63" w14:textId="77777777" w:rsidR="00297CD9" w:rsidRDefault="00512CBA">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ser de previo y especial pronunciamiento, este Instituto analiza si se actualiza alguna causal de sobreseimiento.</w:t>
      </w:r>
    </w:p>
    <w:p w14:paraId="0375C780" w14:textId="77777777" w:rsidR="00297CD9" w:rsidRDefault="00297CD9">
      <w:pPr>
        <w:spacing w:line="360" w:lineRule="auto"/>
        <w:jc w:val="both"/>
        <w:rPr>
          <w:rFonts w:ascii="Palatino Linotype" w:eastAsia="Palatino Linotype" w:hAnsi="Palatino Linotype" w:cs="Palatino Linotype"/>
          <w:sz w:val="22"/>
          <w:szCs w:val="22"/>
        </w:rPr>
      </w:pPr>
    </w:p>
    <w:p w14:paraId="58732781" w14:textId="77777777" w:rsidR="00297CD9" w:rsidRDefault="00512CBA">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14:paraId="54BF6DEF" w14:textId="77777777" w:rsidR="00297CD9" w:rsidRDefault="00297CD9">
      <w:pPr>
        <w:spacing w:line="360" w:lineRule="auto"/>
        <w:jc w:val="both"/>
        <w:rPr>
          <w:rFonts w:ascii="Palatino Linotype" w:eastAsia="Palatino Linotype" w:hAnsi="Palatino Linotype" w:cs="Palatino Linotype"/>
          <w:sz w:val="22"/>
          <w:szCs w:val="22"/>
        </w:rPr>
      </w:pPr>
    </w:p>
    <w:p w14:paraId="4EE93D25" w14:textId="77777777" w:rsidR="00297CD9" w:rsidRDefault="00512CBA">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tales motivos, se considera procedente entrar al fondo del presente asunto. </w:t>
      </w:r>
    </w:p>
    <w:p w14:paraId="64DB8DAE" w14:textId="77777777" w:rsidR="00297CD9" w:rsidRDefault="00297CD9">
      <w:pPr>
        <w:tabs>
          <w:tab w:val="left" w:pos="4962"/>
        </w:tabs>
        <w:spacing w:line="360" w:lineRule="auto"/>
        <w:jc w:val="both"/>
        <w:rPr>
          <w:rFonts w:ascii="Palatino Linotype" w:eastAsia="Palatino Linotype" w:hAnsi="Palatino Linotype" w:cs="Palatino Linotype"/>
          <w:b/>
          <w:sz w:val="22"/>
          <w:szCs w:val="22"/>
        </w:rPr>
      </w:pPr>
    </w:p>
    <w:p w14:paraId="55D732DD" w14:textId="77777777" w:rsidR="00297CD9" w:rsidRDefault="00512CBA">
      <w:pPr>
        <w:pStyle w:val="Ttulo2"/>
      </w:pPr>
      <w:bookmarkStart w:id="12" w:name="_heading=h.3rdcrjn" w:colFirst="0" w:colLast="0"/>
      <w:bookmarkEnd w:id="12"/>
      <w:r>
        <w:t>TERCERO. Determinación de la Controversia</w:t>
      </w:r>
    </w:p>
    <w:p w14:paraId="3BC71C48" w14:textId="77777777" w:rsidR="00297CD9" w:rsidRDefault="00297CD9">
      <w:pPr>
        <w:widowControl w:val="0"/>
        <w:spacing w:line="360" w:lineRule="auto"/>
        <w:jc w:val="both"/>
        <w:rPr>
          <w:rFonts w:ascii="Palatino Linotype" w:eastAsia="Palatino Linotype" w:hAnsi="Palatino Linotype" w:cs="Palatino Linotype"/>
          <w:color w:val="000000"/>
          <w:sz w:val="22"/>
          <w:szCs w:val="22"/>
        </w:rPr>
      </w:pPr>
    </w:p>
    <w:p w14:paraId="32C4EC7B" w14:textId="77777777" w:rsidR="00DE585E" w:rsidRDefault="00DE585E">
      <w:pPr>
        <w:widowControl w:val="0"/>
        <w:spacing w:line="360" w:lineRule="auto"/>
        <w:jc w:val="both"/>
        <w:rPr>
          <w:rFonts w:ascii="Palatino Linotype" w:eastAsia="Palatino Linotype" w:hAnsi="Palatino Linotype" w:cs="Palatino Linotype"/>
          <w:color w:val="000000"/>
          <w:sz w:val="22"/>
          <w:szCs w:val="22"/>
        </w:rPr>
      </w:pPr>
    </w:p>
    <w:p w14:paraId="695B64A4" w14:textId="77777777" w:rsidR="00DE585E" w:rsidRDefault="00DE585E">
      <w:pPr>
        <w:widowControl w:val="0"/>
        <w:spacing w:line="360" w:lineRule="auto"/>
        <w:jc w:val="both"/>
        <w:rPr>
          <w:rFonts w:ascii="Palatino Linotype" w:eastAsia="Palatino Linotype" w:hAnsi="Palatino Linotype" w:cs="Palatino Linotype"/>
          <w:color w:val="000000"/>
          <w:sz w:val="22"/>
          <w:szCs w:val="22"/>
        </w:rPr>
      </w:pPr>
    </w:p>
    <w:p w14:paraId="6094C162" w14:textId="77777777" w:rsidR="00297CD9" w:rsidRDefault="00512CBA">
      <w:pPr>
        <w:widowControl w:val="0"/>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 el objeto de ilustrar la controversia planteada, resulta conveniente realizar un cuadro con la solicitud, la respuesta, y la inconformidad planteada, conforme a lo siguiente:</w:t>
      </w:r>
    </w:p>
    <w:p w14:paraId="45CBB487" w14:textId="77777777" w:rsidR="00297CD9" w:rsidRDefault="00297CD9">
      <w:pPr>
        <w:widowControl w:val="0"/>
        <w:spacing w:line="360" w:lineRule="auto"/>
        <w:jc w:val="both"/>
        <w:rPr>
          <w:rFonts w:ascii="Palatino Linotype" w:eastAsia="Palatino Linotype" w:hAnsi="Palatino Linotype" w:cs="Palatino Linotype"/>
          <w:color w:val="000000"/>
        </w:rPr>
      </w:pPr>
    </w:p>
    <w:tbl>
      <w:tblPr>
        <w:tblStyle w:val="a"/>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835"/>
        <w:gridCol w:w="3402"/>
      </w:tblGrid>
      <w:tr w:rsidR="00297CD9" w14:paraId="084CD154" w14:textId="77777777">
        <w:trPr>
          <w:jc w:val="center"/>
        </w:trPr>
        <w:tc>
          <w:tcPr>
            <w:tcW w:w="2689" w:type="dxa"/>
            <w:shd w:val="clear" w:color="auto" w:fill="A5A5A5"/>
          </w:tcPr>
          <w:p w14:paraId="32D97669" w14:textId="77777777" w:rsidR="00297CD9" w:rsidRDefault="00512CBA">
            <w:pPr>
              <w:widowControl w:val="0"/>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Solicitud</w:t>
            </w:r>
          </w:p>
        </w:tc>
        <w:tc>
          <w:tcPr>
            <w:tcW w:w="2835" w:type="dxa"/>
            <w:shd w:val="clear" w:color="auto" w:fill="A5A5A5"/>
          </w:tcPr>
          <w:p w14:paraId="5BA06C0A" w14:textId="77777777" w:rsidR="00297CD9" w:rsidRDefault="00512CBA">
            <w:pPr>
              <w:widowControl w:val="0"/>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Respuesta</w:t>
            </w:r>
          </w:p>
        </w:tc>
        <w:tc>
          <w:tcPr>
            <w:tcW w:w="3402" w:type="dxa"/>
            <w:shd w:val="clear" w:color="auto" w:fill="A5A5A5"/>
          </w:tcPr>
          <w:p w14:paraId="345DA9EE" w14:textId="77777777" w:rsidR="00297CD9" w:rsidRDefault="00512CBA">
            <w:pPr>
              <w:widowControl w:val="0"/>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Agravio</w:t>
            </w:r>
          </w:p>
        </w:tc>
      </w:tr>
      <w:tr w:rsidR="00297CD9" w14:paraId="38181A71" w14:textId="77777777">
        <w:trPr>
          <w:jc w:val="center"/>
        </w:trPr>
        <w:tc>
          <w:tcPr>
            <w:tcW w:w="2689" w:type="dxa"/>
          </w:tcPr>
          <w:p w14:paraId="06072A08" w14:textId="77777777" w:rsidR="00297CD9" w:rsidRDefault="00512CBA">
            <w:pPr>
              <w:widowControl w:val="0"/>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La Particular solicitó respecto d</w:t>
            </w:r>
            <w:r>
              <w:rPr>
                <w:rFonts w:ascii="Palatino Linotype" w:eastAsia="Palatino Linotype" w:hAnsi="Palatino Linotype" w:cs="Palatino Linotype"/>
                <w:color w:val="000000"/>
              </w:rPr>
              <w:t xml:space="preserve">e la Contraloría Interna Municipal, </w:t>
            </w:r>
            <w:r>
              <w:rPr>
                <w:rFonts w:ascii="Palatino Linotype" w:eastAsia="Palatino Linotype" w:hAnsi="Palatino Linotype" w:cs="Palatino Linotype"/>
              </w:rPr>
              <w:t>los documentos que dieran cuenta de lo siguiente:</w:t>
            </w:r>
          </w:p>
          <w:p w14:paraId="5BE43651" w14:textId="77777777" w:rsidR="00297CD9" w:rsidRDefault="00297CD9">
            <w:pPr>
              <w:widowControl w:val="0"/>
              <w:spacing w:line="360" w:lineRule="auto"/>
              <w:jc w:val="both"/>
              <w:rPr>
                <w:rFonts w:ascii="Palatino Linotype" w:eastAsia="Palatino Linotype" w:hAnsi="Palatino Linotype" w:cs="Palatino Linotype"/>
                <w:color w:val="000000"/>
              </w:rPr>
            </w:pPr>
          </w:p>
          <w:p w14:paraId="5D04B138" w14:textId="77777777" w:rsidR="00297CD9" w:rsidRDefault="00512CBA">
            <w:pPr>
              <w:widowControl w:val="0"/>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i) </w:t>
            </w:r>
            <w:r>
              <w:rPr>
                <w:rFonts w:ascii="Palatino Linotype" w:eastAsia="Palatino Linotype" w:hAnsi="Palatino Linotype" w:cs="Palatino Linotype"/>
                <w:color w:val="000000"/>
              </w:rPr>
              <w:t xml:space="preserve">Funciones del Titular del Órgano Interno de Control; </w:t>
            </w:r>
          </w:p>
          <w:p w14:paraId="180F8B7C" w14:textId="77777777" w:rsidR="00297CD9" w:rsidRDefault="00297CD9">
            <w:pPr>
              <w:tabs>
                <w:tab w:val="left" w:pos="4962"/>
              </w:tabs>
              <w:spacing w:line="360" w:lineRule="auto"/>
              <w:ind w:right="-28"/>
              <w:jc w:val="both"/>
              <w:rPr>
                <w:rFonts w:ascii="Palatino Linotype" w:eastAsia="Palatino Linotype" w:hAnsi="Palatino Linotype" w:cs="Palatino Linotype"/>
              </w:rPr>
            </w:pPr>
          </w:p>
          <w:p w14:paraId="2766DB3B" w14:textId="77777777" w:rsidR="00297CD9" w:rsidRDefault="00297CD9">
            <w:pPr>
              <w:tabs>
                <w:tab w:val="left" w:pos="4962"/>
              </w:tabs>
              <w:spacing w:line="360" w:lineRule="auto"/>
              <w:ind w:right="-28"/>
              <w:jc w:val="both"/>
              <w:rPr>
                <w:rFonts w:ascii="Palatino Linotype" w:eastAsia="Palatino Linotype" w:hAnsi="Palatino Linotype" w:cs="Palatino Linotype"/>
              </w:rPr>
            </w:pPr>
          </w:p>
          <w:p w14:paraId="2FF52F57" w14:textId="77777777" w:rsidR="00297CD9" w:rsidRDefault="00297CD9">
            <w:pPr>
              <w:tabs>
                <w:tab w:val="left" w:pos="4962"/>
              </w:tabs>
              <w:spacing w:line="360" w:lineRule="auto"/>
              <w:ind w:right="-28"/>
              <w:jc w:val="both"/>
              <w:rPr>
                <w:rFonts w:ascii="Palatino Linotype" w:eastAsia="Palatino Linotype" w:hAnsi="Palatino Linotype" w:cs="Palatino Linotype"/>
              </w:rPr>
            </w:pPr>
          </w:p>
          <w:p w14:paraId="6C25EC54" w14:textId="77777777" w:rsidR="00297CD9" w:rsidRDefault="00297CD9">
            <w:pPr>
              <w:widowControl w:val="0"/>
              <w:spacing w:line="360" w:lineRule="auto"/>
              <w:jc w:val="both"/>
              <w:rPr>
                <w:rFonts w:ascii="Palatino Linotype" w:eastAsia="Palatino Linotype" w:hAnsi="Palatino Linotype" w:cs="Palatino Linotype"/>
              </w:rPr>
            </w:pPr>
          </w:p>
          <w:p w14:paraId="05E8368C" w14:textId="77777777" w:rsidR="00297CD9" w:rsidRDefault="00297CD9">
            <w:pPr>
              <w:widowControl w:val="0"/>
              <w:spacing w:line="360" w:lineRule="auto"/>
              <w:jc w:val="both"/>
              <w:rPr>
                <w:rFonts w:ascii="Palatino Linotype" w:eastAsia="Palatino Linotype" w:hAnsi="Palatino Linotype" w:cs="Palatino Linotype"/>
              </w:rPr>
            </w:pPr>
          </w:p>
          <w:p w14:paraId="38815F38" w14:textId="77777777" w:rsidR="00297CD9" w:rsidRDefault="00297CD9">
            <w:pPr>
              <w:widowControl w:val="0"/>
              <w:spacing w:line="360" w:lineRule="auto"/>
              <w:jc w:val="both"/>
              <w:rPr>
                <w:rFonts w:ascii="Palatino Linotype" w:eastAsia="Palatino Linotype" w:hAnsi="Palatino Linotype" w:cs="Palatino Linotype"/>
              </w:rPr>
            </w:pPr>
          </w:p>
          <w:p w14:paraId="562EB053" w14:textId="77777777" w:rsidR="00297CD9" w:rsidRDefault="00297CD9">
            <w:pPr>
              <w:widowControl w:val="0"/>
              <w:spacing w:line="360" w:lineRule="auto"/>
              <w:jc w:val="both"/>
              <w:rPr>
                <w:rFonts w:ascii="Palatino Linotype" w:eastAsia="Palatino Linotype" w:hAnsi="Palatino Linotype" w:cs="Palatino Linotype"/>
              </w:rPr>
            </w:pPr>
          </w:p>
          <w:p w14:paraId="582F36D8" w14:textId="77777777" w:rsidR="00297CD9" w:rsidRDefault="00512CBA">
            <w:pPr>
              <w:widowControl w:val="0"/>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rPr>
              <w:t xml:space="preserve">ii) </w:t>
            </w:r>
            <w:r>
              <w:rPr>
                <w:rFonts w:ascii="Palatino Linotype" w:eastAsia="Palatino Linotype" w:hAnsi="Palatino Linotype" w:cs="Palatino Linotype"/>
                <w:color w:val="000000"/>
              </w:rPr>
              <w:t>Funciones del área de Quejas del Órgano Interno de Control</w:t>
            </w:r>
            <w:r>
              <w:rPr>
                <w:rFonts w:ascii="Palatino Linotype" w:eastAsia="Palatino Linotype" w:hAnsi="Palatino Linotype" w:cs="Palatino Linotype"/>
              </w:rPr>
              <w:t>;</w:t>
            </w:r>
          </w:p>
          <w:p w14:paraId="2657DC61" w14:textId="77777777" w:rsidR="00297CD9" w:rsidRDefault="00297CD9">
            <w:pPr>
              <w:tabs>
                <w:tab w:val="left" w:pos="4962"/>
              </w:tabs>
              <w:spacing w:line="360" w:lineRule="auto"/>
              <w:ind w:right="-28"/>
              <w:jc w:val="both"/>
              <w:rPr>
                <w:rFonts w:ascii="Palatino Linotype" w:eastAsia="Palatino Linotype" w:hAnsi="Palatino Linotype" w:cs="Palatino Linotype"/>
              </w:rPr>
            </w:pPr>
          </w:p>
          <w:p w14:paraId="13AE3BE6" w14:textId="77777777" w:rsidR="00297CD9" w:rsidRDefault="00297CD9">
            <w:pPr>
              <w:widowControl w:val="0"/>
              <w:spacing w:line="360" w:lineRule="auto"/>
              <w:jc w:val="both"/>
              <w:rPr>
                <w:rFonts w:ascii="Palatino Linotype" w:eastAsia="Palatino Linotype" w:hAnsi="Palatino Linotype" w:cs="Palatino Linotype"/>
              </w:rPr>
            </w:pPr>
          </w:p>
          <w:p w14:paraId="1E3CA50C" w14:textId="77777777" w:rsidR="00297CD9" w:rsidRDefault="00297CD9">
            <w:pPr>
              <w:widowControl w:val="0"/>
              <w:spacing w:line="360" w:lineRule="auto"/>
              <w:jc w:val="both"/>
              <w:rPr>
                <w:rFonts w:ascii="Palatino Linotype" w:eastAsia="Palatino Linotype" w:hAnsi="Palatino Linotype" w:cs="Palatino Linotype"/>
              </w:rPr>
            </w:pPr>
          </w:p>
          <w:p w14:paraId="17948392" w14:textId="77777777" w:rsidR="00297CD9" w:rsidRDefault="00297CD9">
            <w:pPr>
              <w:widowControl w:val="0"/>
              <w:spacing w:line="360" w:lineRule="auto"/>
              <w:jc w:val="both"/>
              <w:rPr>
                <w:rFonts w:ascii="Palatino Linotype" w:eastAsia="Palatino Linotype" w:hAnsi="Palatino Linotype" w:cs="Palatino Linotype"/>
              </w:rPr>
            </w:pPr>
          </w:p>
          <w:p w14:paraId="37883315" w14:textId="77777777" w:rsidR="00297CD9" w:rsidRDefault="00297CD9">
            <w:pPr>
              <w:widowControl w:val="0"/>
              <w:spacing w:line="360" w:lineRule="auto"/>
              <w:jc w:val="both"/>
              <w:rPr>
                <w:rFonts w:ascii="Palatino Linotype" w:eastAsia="Palatino Linotype" w:hAnsi="Palatino Linotype" w:cs="Palatino Linotype"/>
              </w:rPr>
            </w:pPr>
          </w:p>
          <w:p w14:paraId="7F1C8B8F" w14:textId="77777777" w:rsidR="00297CD9" w:rsidRDefault="00512CBA">
            <w:pPr>
              <w:widowControl w:val="0"/>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rPr>
              <w:lastRenderedPageBreak/>
              <w:t xml:space="preserve">iii) </w:t>
            </w:r>
            <w:r>
              <w:rPr>
                <w:rFonts w:ascii="Palatino Linotype" w:eastAsia="Palatino Linotype" w:hAnsi="Palatino Linotype" w:cs="Palatino Linotype"/>
                <w:color w:val="000000"/>
              </w:rPr>
              <w:t>Funciones del área de Auditoría del Órgano Interno de Control;</w:t>
            </w:r>
          </w:p>
          <w:p w14:paraId="0522F27A" w14:textId="77777777" w:rsidR="00297CD9" w:rsidRDefault="00297CD9">
            <w:pPr>
              <w:tabs>
                <w:tab w:val="left" w:pos="4962"/>
              </w:tabs>
              <w:spacing w:line="360" w:lineRule="auto"/>
              <w:ind w:right="-28"/>
              <w:jc w:val="both"/>
              <w:rPr>
                <w:rFonts w:ascii="Palatino Linotype" w:eastAsia="Palatino Linotype" w:hAnsi="Palatino Linotype" w:cs="Palatino Linotype"/>
              </w:rPr>
            </w:pPr>
          </w:p>
          <w:p w14:paraId="28BCD9CF" w14:textId="77777777" w:rsidR="00297CD9" w:rsidRDefault="00297CD9">
            <w:pPr>
              <w:tabs>
                <w:tab w:val="left" w:pos="4962"/>
              </w:tabs>
              <w:spacing w:line="360" w:lineRule="auto"/>
              <w:ind w:right="-28"/>
              <w:jc w:val="both"/>
              <w:rPr>
                <w:rFonts w:ascii="Palatino Linotype" w:eastAsia="Palatino Linotype" w:hAnsi="Palatino Linotype" w:cs="Palatino Linotype"/>
              </w:rPr>
            </w:pPr>
          </w:p>
          <w:p w14:paraId="6FFCA979" w14:textId="77777777" w:rsidR="00297CD9" w:rsidRDefault="00297CD9">
            <w:pPr>
              <w:tabs>
                <w:tab w:val="left" w:pos="4962"/>
              </w:tabs>
              <w:spacing w:line="360" w:lineRule="auto"/>
              <w:ind w:right="-28"/>
              <w:jc w:val="both"/>
              <w:rPr>
                <w:rFonts w:ascii="Palatino Linotype" w:eastAsia="Palatino Linotype" w:hAnsi="Palatino Linotype" w:cs="Palatino Linotype"/>
              </w:rPr>
            </w:pPr>
          </w:p>
          <w:p w14:paraId="4AFE678A" w14:textId="77777777" w:rsidR="00297CD9" w:rsidRDefault="00512CBA">
            <w:pPr>
              <w:tabs>
                <w:tab w:val="left" w:pos="4962"/>
              </w:tabs>
              <w:spacing w:line="360" w:lineRule="auto"/>
              <w:ind w:right="-28"/>
              <w:jc w:val="both"/>
              <w:rPr>
                <w:rFonts w:ascii="Palatino Linotype" w:eastAsia="Palatino Linotype" w:hAnsi="Palatino Linotype" w:cs="Palatino Linotype"/>
              </w:rPr>
            </w:pPr>
            <w:r>
              <w:rPr>
                <w:rFonts w:ascii="Palatino Linotype" w:eastAsia="Palatino Linotype" w:hAnsi="Palatino Linotype" w:cs="Palatino Linotype"/>
              </w:rPr>
              <w:t xml:space="preserve">iv) </w:t>
            </w:r>
            <w:r>
              <w:rPr>
                <w:rFonts w:ascii="Palatino Linotype" w:eastAsia="Palatino Linotype" w:hAnsi="Palatino Linotype" w:cs="Palatino Linotype"/>
                <w:color w:val="000000"/>
              </w:rPr>
              <w:t>Área encargada de orientar para le presentación de quejas o denuncias contra un servidor público; y</w:t>
            </w:r>
          </w:p>
          <w:p w14:paraId="1CD6F838" w14:textId="77777777" w:rsidR="00297CD9" w:rsidRDefault="00297CD9">
            <w:pPr>
              <w:tabs>
                <w:tab w:val="left" w:pos="4962"/>
              </w:tabs>
              <w:spacing w:line="360" w:lineRule="auto"/>
              <w:ind w:right="-28"/>
              <w:jc w:val="both"/>
              <w:rPr>
                <w:rFonts w:ascii="Palatino Linotype" w:eastAsia="Palatino Linotype" w:hAnsi="Palatino Linotype" w:cs="Palatino Linotype"/>
              </w:rPr>
            </w:pPr>
          </w:p>
          <w:p w14:paraId="7DFD4313" w14:textId="77777777" w:rsidR="00297CD9" w:rsidRDefault="00512CBA">
            <w:pPr>
              <w:widowControl w:val="0"/>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rPr>
              <w:t>v)</w:t>
            </w:r>
            <w:r>
              <w:rPr>
                <w:rFonts w:ascii="Palatino Linotype" w:eastAsia="Palatino Linotype" w:hAnsi="Palatino Linotype" w:cs="Palatino Linotype"/>
                <w:color w:val="000000"/>
              </w:rPr>
              <w:t xml:space="preserve"> El procedimiento que realiza en área de Quejas con las quejas o denuncias</w:t>
            </w:r>
            <w:r>
              <w:rPr>
                <w:rFonts w:ascii="Palatino Linotype" w:eastAsia="Palatino Linotype" w:hAnsi="Palatino Linotype" w:cs="Palatino Linotype"/>
              </w:rPr>
              <w:t>.</w:t>
            </w:r>
          </w:p>
          <w:p w14:paraId="78031BB9" w14:textId="77777777" w:rsidR="00297CD9" w:rsidRDefault="00297CD9">
            <w:pPr>
              <w:widowControl w:val="0"/>
              <w:spacing w:line="360" w:lineRule="auto"/>
              <w:jc w:val="both"/>
              <w:rPr>
                <w:rFonts w:ascii="Palatino Linotype" w:eastAsia="Palatino Linotype" w:hAnsi="Palatino Linotype" w:cs="Palatino Linotype"/>
              </w:rPr>
            </w:pPr>
          </w:p>
        </w:tc>
        <w:tc>
          <w:tcPr>
            <w:tcW w:w="2835" w:type="dxa"/>
          </w:tcPr>
          <w:p w14:paraId="2A4B70BC" w14:textId="77777777" w:rsidR="00297CD9" w:rsidRDefault="00512CBA">
            <w:pPr>
              <w:widowControl w:val="0"/>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El Sujeto Obligado por medio del Titular de la Unidad de Transparencia informó lo siguiente:</w:t>
            </w:r>
          </w:p>
          <w:p w14:paraId="2B309EC3" w14:textId="77777777" w:rsidR="00297CD9" w:rsidRDefault="00297CD9">
            <w:pPr>
              <w:widowControl w:val="0"/>
              <w:spacing w:line="360" w:lineRule="auto"/>
              <w:jc w:val="both"/>
              <w:rPr>
                <w:rFonts w:ascii="Palatino Linotype" w:eastAsia="Palatino Linotype" w:hAnsi="Palatino Linotype" w:cs="Palatino Linotype"/>
              </w:rPr>
            </w:pPr>
          </w:p>
          <w:p w14:paraId="034756BE" w14:textId="77777777" w:rsidR="00297CD9" w:rsidRDefault="00297CD9">
            <w:pPr>
              <w:widowControl w:val="0"/>
              <w:spacing w:line="360" w:lineRule="auto"/>
              <w:jc w:val="both"/>
              <w:rPr>
                <w:rFonts w:ascii="Palatino Linotype" w:eastAsia="Palatino Linotype" w:hAnsi="Palatino Linotype" w:cs="Palatino Linotype"/>
              </w:rPr>
            </w:pPr>
          </w:p>
          <w:p w14:paraId="62D75777" w14:textId="77777777" w:rsidR="00297CD9" w:rsidRDefault="00512CBA">
            <w:pPr>
              <w:widowControl w:val="0"/>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i) El Sujeto Obligado proporcionó las funciones establecidas en el artículo 112 de la Ley Orgánica Municipal del Estado de México relacionadas con las atribuciones de los Órganos Internos de Control.</w:t>
            </w:r>
          </w:p>
          <w:p w14:paraId="7A436305" w14:textId="77777777" w:rsidR="00297CD9" w:rsidRDefault="00297CD9">
            <w:pPr>
              <w:widowControl w:val="0"/>
              <w:spacing w:line="360" w:lineRule="auto"/>
              <w:jc w:val="both"/>
              <w:rPr>
                <w:rFonts w:ascii="Palatino Linotype" w:eastAsia="Palatino Linotype" w:hAnsi="Palatino Linotype" w:cs="Palatino Linotype"/>
              </w:rPr>
            </w:pPr>
          </w:p>
          <w:p w14:paraId="063AB227" w14:textId="77777777" w:rsidR="00297CD9" w:rsidRDefault="00512CBA">
            <w:pPr>
              <w:widowControl w:val="0"/>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ii) El Sujeto Obligado señaló que es el buzón mediante el cual los ciudadanos pueden ingresar las denuncias por faltas u omisiones o reconocimientos a los servidores públicos.</w:t>
            </w:r>
          </w:p>
          <w:p w14:paraId="14D1350C" w14:textId="77777777" w:rsidR="00297CD9" w:rsidRDefault="00297CD9">
            <w:pPr>
              <w:widowControl w:val="0"/>
              <w:spacing w:line="360" w:lineRule="auto"/>
              <w:jc w:val="both"/>
              <w:rPr>
                <w:rFonts w:ascii="Palatino Linotype" w:eastAsia="Palatino Linotype" w:hAnsi="Palatino Linotype" w:cs="Palatino Linotype"/>
              </w:rPr>
            </w:pPr>
          </w:p>
          <w:p w14:paraId="38ECCDA6" w14:textId="77777777" w:rsidR="00297CD9" w:rsidRDefault="00512CBA">
            <w:pPr>
              <w:widowControl w:val="0"/>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iii) El Sujeto Obligado proporcionó las funciones establecidas en el artículo 112 de la Ley Orgánica Municipal del Estado de México.</w:t>
            </w:r>
          </w:p>
          <w:p w14:paraId="6F9A2D4C" w14:textId="77777777" w:rsidR="00297CD9" w:rsidRDefault="00297CD9">
            <w:pPr>
              <w:widowControl w:val="0"/>
              <w:spacing w:line="360" w:lineRule="auto"/>
              <w:jc w:val="both"/>
              <w:rPr>
                <w:rFonts w:ascii="Palatino Linotype" w:eastAsia="Palatino Linotype" w:hAnsi="Palatino Linotype" w:cs="Palatino Linotype"/>
              </w:rPr>
            </w:pPr>
          </w:p>
          <w:p w14:paraId="08C8AE34" w14:textId="77777777" w:rsidR="00297CD9" w:rsidRDefault="00512CBA">
            <w:pPr>
              <w:widowControl w:val="0"/>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iv) El Sujeto Obligado indicó que el área encargada es la autoridad investigadora.</w:t>
            </w:r>
          </w:p>
          <w:p w14:paraId="15CFC275" w14:textId="77777777" w:rsidR="00297CD9" w:rsidRDefault="00297CD9">
            <w:pPr>
              <w:widowControl w:val="0"/>
              <w:spacing w:line="360" w:lineRule="auto"/>
              <w:jc w:val="both"/>
              <w:rPr>
                <w:rFonts w:ascii="Palatino Linotype" w:eastAsia="Palatino Linotype" w:hAnsi="Palatino Linotype" w:cs="Palatino Linotype"/>
              </w:rPr>
            </w:pPr>
          </w:p>
          <w:p w14:paraId="5E63B381" w14:textId="77777777" w:rsidR="00297CD9" w:rsidRDefault="00297CD9">
            <w:pPr>
              <w:widowControl w:val="0"/>
              <w:spacing w:line="360" w:lineRule="auto"/>
              <w:jc w:val="both"/>
              <w:rPr>
                <w:rFonts w:ascii="Palatino Linotype" w:eastAsia="Palatino Linotype" w:hAnsi="Palatino Linotype" w:cs="Palatino Linotype"/>
              </w:rPr>
            </w:pPr>
          </w:p>
          <w:p w14:paraId="05AA178F" w14:textId="559B08D2" w:rsidR="00297CD9" w:rsidRDefault="00512CBA">
            <w:pPr>
              <w:widowControl w:val="0"/>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v) El Sujeto Obligado indicó que, presentada la queja o denuncia, se procede a contactar al denunciante para requerir mayor información, o en su caso se procede al archivo de la misma.</w:t>
            </w:r>
          </w:p>
        </w:tc>
        <w:tc>
          <w:tcPr>
            <w:tcW w:w="3402" w:type="dxa"/>
          </w:tcPr>
          <w:p w14:paraId="69568ACF" w14:textId="77777777" w:rsidR="00297CD9" w:rsidRDefault="00512CBA">
            <w:pPr>
              <w:widowControl w:val="0"/>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lastRenderedPageBreak/>
              <w:t>Se agravió de la entrega de información incompleta, lo cual actualiza la causal de procedencia establecida en el artículo 179, fracción V de la Ley de la materia.</w:t>
            </w:r>
          </w:p>
        </w:tc>
      </w:tr>
    </w:tbl>
    <w:p w14:paraId="0FBB2277" w14:textId="77777777" w:rsidR="00297CD9" w:rsidRDefault="00297CD9">
      <w:pPr>
        <w:tabs>
          <w:tab w:val="left" w:pos="4962"/>
        </w:tabs>
        <w:spacing w:line="360" w:lineRule="auto"/>
        <w:rPr>
          <w:rFonts w:ascii="Palatino Linotype" w:eastAsia="Palatino Linotype" w:hAnsi="Palatino Linotype" w:cs="Palatino Linotype"/>
          <w:b/>
          <w:color w:val="000000"/>
        </w:rPr>
      </w:pPr>
    </w:p>
    <w:p w14:paraId="1925F8AA" w14:textId="12E5E692" w:rsidR="00297CD9" w:rsidRPr="00DE585E" w:rsidRDefault="00512CBA">
      <w:pPr>
        <w:tabs>
          <w:tab w:val="left" w:pos="4962"/>
        </w:tabs>
        <w:spacing w:line="360" w:lineRule="auto"/>
        <w:jc w:val="both"/>
        <w:rPr>
          <w:rFonts w:ascii="Palatino Linotype" w:eastAsia="Palatino Linotype" w:hAnsi="Palatino Linotype" w:cs="Palatino Linotype"/>
          <w:bCs/>
          <w:sz w:val="22"/>
          <w:szCs w:val="22"/>
        </w:rPr>
      </w:pPr>
      <w:r>
        <w:rPr>
          <w:rFonts w:ascii="Palatino Linotype" w:eastAsia="Palatino Linotype" w:hAnsi="Palatino Linotype" w:cs="Palatino Linotype"/>
          <w:sz w:val="22"/>
          <w:szCs w:val="22"/>
        </w:rPr>
        <w:t xml:space="preserve">Lo anterior, se desprende de las documentales que obran en el expediente de referencia, materia de la presente resolución, consistentes en: las solicitudes de acceso a la información, las respuestas, y los escritos recursales; instrumentales que se toman en cuenta a efecto de resolver el presente medio de impugnación, conforme a lo dispuesto por el artículo 185, fracción IV, de la Ley de Transparencia y Acceso a la Información Pública del Estado de México y Municipios. </w:t>
      </w:r>
      <w:r w:rsidRPr="00DE585E">
        <w:rPr>
          <w:rFonts w:ascii="Palatino Linotype" w:eastAsia="Palatino Linotype" w:hAnsi="Palatino Linotype" w:cs="Palatino Linotype"/>
          <w:bCs/>
          <w:sz w:val="22"/>
          <w:szCs w:val="22"/>
        </w:rPr>
        <w:t xml:space="preserve">Cabe señalar </w:t>
      </w:r>
      <w:r w:rsidR="00DE585E">
        <w:rPr>
          <w:rFonts w:ascii="Palatino Linotype" w:eastAsia="Palatino Linotype" w:hAnsi="Palatino Linotype" w:cs="Palatino Linotype"/>
          <w:bCs/>
          <w:sz w:val="22"/>
          <w:szCs w:val="22"/>
        </w:rPr>
        <w:t>que el Sujeto Obligado, mediante Informe Justificado proporcionó diversos documentos por los cuales informa los Recursos de Revisión pendientes.</w:t>
      </w:r>
    </w:p>
    <w:p w14:paraId="60C14588" w14:textId="77777777" w:rsidR="00297CD9" w:rsidRDefault="00297CD9">
      <w:pPr>
        <w:tabs>
          <w:tab w:val="left" w:pos="4962"/>
        </w:tabs>
        <w:spacing w:line="360" w:lineRule="auto"/>
        <w:jc w:val="both"/>
        <w:rPr>
          <w:rFonts w:ascii="Palatino Linotype" w:eastAsia="Palatino Linotype" w:hAnsi="Palatino Linotype" w:cs="Palatino Linotype"/>
          <w:sz w:val="22"/>
          <w:szCs w:val="22"/>
        </w:rPr>
      </w:pPr>
    </w:p>
    <w:p w14:paraId="54228FE9" w14:textId="77777777" w:rsidR="00DE585E" w:rsidRDefault="00DE585E">
      <w:pPr>
        <w:tabs>
          <w:tab w:val="left" w:pos="4962"/>
        </w:tabs>
        <w:spacing w:line="360" w:lineRule="auto"/>
        <w:jc w:val="both"/>
        <w:rPr>
          <w:rFonts w:ascii="Palatino Linotype" w:eastAsia="Palatino Linotype" w:hAnsi="Palatino Linotype" w:cs="Palatino Linotype"/>
          <w:sz w:val="22"/>
          <w:szCs w:val="22"/>
        </w:rPr>
      </w:pPr>
    </w:p>
    <w:p w14:paraId="71955FF3" w14:textId="77777777" w:rsidR="00297CD9" w:rsidRDefault="00512CBA">
      <w:pPr>
        <w:pStyle w:val="Ttulo2"/>
      </w:pPr>
      <w:bookmarkStart w:id="13" w:name="_heading=h.26in1rg" w:colFirst="0" w:colLast="0"/>
      <w:bookmarkEnd w:id="13"/>
      <w:r>
        <w:t>CUARTO. Marco normativo aplicable en materia de transparencia y acceso a la información pública</w:t>
      </w:r>
    </w:p>
    <w:p w14:paraId="0A8EDC8D" w14:textId="77777777" w:rsidR="00297CD9" w:rsidRPr="00DE585E" w:rsidRDefault="00297CD9">
      <w:pPr>
        <w:rPr>
          <w:rFonts w:ascii="Palatino Linotype" w:hAnsi="Palatino Linotype"/>
          <w:sz w:val="22"/>
          <w:szCs w:val="22"/>
          <w:vertAlign w:val="subscript"/>
        </w:rPr>
      </w:pPr>
    </w:p>
    <w:p w14:paraId="25AFB6A9" w14:textId="77777777" w:rsidR="00297CD9" w:rsidRDefault="00512CBA">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60FF3607" w14:textId="77777777" w:rsidR="00297CD9" w:rsidRDefault="00297CD9">
      <w:pPr>
        <w:widowControl w:val="0"/>
        <w:spacing w:line="360" w:lineRule="auto"/>
        <w:jc w:val="both"/>
        <w:rPr>
          <w:rFonts w:ascii="Palatino Linotype" w:eastAsia="Palatino Linotype" w:hAnsi="Palatino Linotype" w:cs="Palatino Linotype"/>
          <w:sz w:val="22"/>
          <w:szCs w:val="22"/>
        </w:rPr>
      </w:pPr>
    </w:p>
    <w:p w14:paraId="39C89312" w14:textId="77777777" w:rsidR="00297CD9" w:rsidRDefault="00512CBA">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5EBEDBED" w14:textId="77777777" w:rsidR="00297CD9" w:rsidRDefault="00297CD9">
      <w:pPr>
        <w:widowControl w:val="0"/>
        <w:spacing w:line="360" w:lineRule="auto"/>
        <w:jc w:val="both"/>
        <w:rPr>
          <w:rFonts w:ascii="Palatino Linotype" w:eastAsia="Palatino Linotype" w:hAnsi="Palatino Linotype" w:cs="Palatino Linotype"/>
          <w:sz w:val="22"/>
          <w:szCs w:val="22"/>
        </w:rPr>
      </w:pPr>
    </w:p>
    <w:p w14:paraId="5B07EA63" w14:textId="77777777" w:rsidR="00297CD9" w:rsidRDefault="00512CBA">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su parte, 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público, así como la información referente a la intimidad de la vida privada y la imagen de las personas, con las excepciones que establezca la ley reglamentaria. </w:t>
      </w:r>
    </w:p>
    <w:p w14:paraId="59B7C941" w14:textId="77777777" w:rsidR="00297CD9" w:rsidRDefault="00297CD9">
      <w:pPr>
        <w:spacing w:line="360" w:lineRule="auto"/>
        <w:jc w:val="both"/>
        <w:rPr>
          <w:rFonts w:ascii="Palatino Linotype" w:eastAsia="Palatino Linotype" w:hAnsi="Palatino Linotype" w:cs="Palatino Linotype"/>
          <w:sz w:val="22"/>
          <w:szCs w:val="22"/>
        </w:rPr>
      </w:pPr>
    </w:p>
    <w:p w14:paraId="7AB0B507" w14:textId="77777777" w:rsidR="00297CD9" w:rsidRDefault="00512CBA">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la Ley de Transparencia y Acceso a la Información Pública del Estado de México y Municipios (Reglamentaria del artículo 5° de la Constitución Local), establece lo siguiente:</w:t>
      </w:r>
    </w:p>
    <w:p w14:paraId="681DB564" w14:textId="77777777" w:rsidR="00297CD9" w:rsidRDefault="00297CD9">
      <w:pPr>
        <w:widowControl w:val="0"/>
        <w:spacing w:line="360" w:lineRule="auto"/>
        <w:jc w:val="both"/>
        <w:rPr>
          <w:rFonts w:ascii="Palatino Linotype" w:eastAsia="Palatino Linotype" w:hAnsi="Palatino Linotype" w:cs="Palatino Linotype"/>
          <w:sz w:val="22"/>
          <w:szCs w:val="22"/>
        </w:rPr>
      </w:pPr>
    </w:p>
    <w:p w14:paraId="56C4B43D" w14:textId="77777777" w:rsidR="00297CD9" w:rsidRDefault="00512CBA">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12, que, quienes generen, recopilen, administren, manejen, procesen, archiven o conserven información pública serán responsables de la misma.</w:t>
      </w:r>
    </w:p>
    <w:p w14:paraId="53436C1D" w14:textId="77777777" w:rsidR="00297CD9" w:rsidRDefault="00297CD9">
      <w:pPr>
        <w:widowControl w:val="0"/>
        <w:spacing w:line="360" w:lineRule="auto"/>
        <w:jc w:val="both"/>
        <w:rPr>
          <w:rFonts w:ascii="Palatino Linotype" w:eastAsia="Palatino Linotype" w:hAnsi="Palatino Linotype" w:cs="Palatino Linotype"/>
          <w:sz w:val="22"/>
          <w:szCs w:val="22"/>
        </w:rPr>
      </w:pPr>
    </w:p>
    <w:p w14:paraId="372154BF" w14:textId="77777777" w:rsidR="00DE585E" w:rsidRDefault="00DE585E">
      <w:pPr>
        <w:widowControl w:val="0"/>
        <w:spacing w:line="360" w:lineRule="auto"/>
        <w:jc w:val="both"/>
        <w:rPr>
          <w:rFonts w:ascii="Palatino Linotype" w:eastAsia="Palatino Linotype" w:hAnsi="Palatino Linotype" w:cs="Palatino Linotype"/>
          <w:sz w:val="22"/>
          <w:szCs w:val="22"/>
        </w:rPr>
      </w:pPr>
    </w:p>
    <w:p w14:paraId="31232D8E" w14:textId="77777777" w:rsidR="00DE585E" w:rsidRDefault="00DE585E">
      <w:pPr>
        <w:widowControl w:val="0"/>
        <w:spacing w:line="360" w:lineRule="auto"/>
        <w:jc w:val="both"/>
        <w:rPr>
          <w:rFonts w:ascii="Palatino Linotype" w:eastAsia="Palatino Linotype" w:hAnsi="Palatino Linotype" w:cs="Palatino Linotype"/>
          <w:sz w:val="22"/>
          <w:szCs w:val="22"/>
        </w:rPr>
      </w:pPr>
    </w:p>
    <w:p w14:paraId="5C977A36" w14:textId="77777777" w:rsidR="00297CD9" w:rsidRDefault="00512CBA">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3A38561D" w14:textId="77777777" w:rsidR="00297CD9" w:rsidRDefault="00297CD9">
      <w:pPr>
        <w:widowControl w:val="0"/>
        <w:spacing w:line="360" w:lineRule="auto"/>
        <w:jc w:val="both"/>
        <w:rPr>
          <w:rFonts w:ascii="Palatino Linotype" w:eastAsia="Palatino Linotype" w:hAnsi="Palatino Linotype" w:cs="Palatino Linotype"/>
          <w:sz w:val="22"/>
          <w:szCs w:val="22"/>
        </w:rPr>
      </w:pPr>
    </w:p>
    <w:p w14:paraId="1E4C70FA" w14:textId="77777777" w:rsidR="00297CD9" w:rsidRDefault="00512CBA">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7596E382" w14:textId="77777777" w:rsidR="00297CD9" w:rsidRDefault="00297CD9">
      <w:pPr>
        <w:spacing w:line="360" w:lineRule="auto"/>
        <w:jc w:val="both"/>
        <w:rPr>
          <w:rFonts w:ascii="Palatino Linotype" w:eastAsia="Palatino Linotype" w:hAnsi="Palatino Linotype" w:cs="Palatino Linotype"/>
          <w:b/>
          <w:sz w:val="22"/>
          <w:szCs w:val="22"/>
        </w:rPr>
      </w:pPr>
    </w:p>
    <w:p w14:paraId="38A2F760" w14:textId="77777777" w:rsidR="00297CD9" w:rsidRDefault="00512CBA">
      <w:pPr>
        <w:pStyle w:val="Ttulo2"/>
      </w:pPr>
      <w:bookmarkStart w:id="14" w:name="_heading=h.lnxbz9" w:colFirst="0" w:colLast="0"/>
      <w:bookmarkEnd w:id="14"/>
      <w:r>
        <w:t>QUINTO. Estudio de Fondo</w:t>
      </w:r>
    </w:p>
    <w:p w14:paraId="5EF8EF2C" w14:textId="77777777" w:rsidR="00297CD9" w:rsidRDefault="00297CD9">
      <w:pPr>
        <w:spacing w:line="360" w:lineRule="auto"/>
        <w:jc w:val="both"/>
        <w:rPr>
          <w:rFonts w:ascii="Palatino Linotype" w:eastAsia="Palatino Linotype" w:hAnsi="Palatino Linotype" w:cs="Palatino Linotype"/>
          <w:b/>
          <w:sz w:val="22"/>
          <w:szCs w:val="22"/>
        </w:rPr>
      </w:pPr>
    </w:p>
    <w:p w14:paraId="0EFC47E6" w14:textId="77777777" w:rsidR="00297CD9" w:rsidRDefault="00512CBA">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Expuestas las posturas de las partes, se procede a realizar el análisis de los agravios hechos valer por el ahora Recurrente, concerniente a la entrega de información incompleta por lo que resulta necesario contextualizar la solicitud de información.</w:t>
      </w:r>
    </w:p>
    <w:p w14:paraId="7F5EFF05" w14:textId="77777777" w:rsidR="00297CD9" w:rsidRDefault="00297CD9">
      <w:pPr>
        <w:tabs>
          <w:tab w:val="left" w:pos="4962"/>
        </w:tabs>
        <w:spacing w:line="360" w:lineRule="auto"/>
        <w:jc w:val="both"/>
        <w:rPr>
          <w:rFonts w:ascii="Palatino Linotype" w:eastAsia="Palatino Linotype" w:hAnsi="Palatino Linotype" w:cs="Palatino Linotype"/>
          <w:sz w:val="22"/>
          <w:szCs w:val="22"/>
        </w:rPr>
      </w:pPr>
    </w:p>
    <w:p w14:paraId="7A6A530E" w14:textId="5A06F686" w:rsidR="00297CD9" w:rsidRDefault="00DE585E">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Sobre</w:t>
      </w:r>
      <w:r w:rsidR="00512CBA">
        <w:rPr>
          <w:rFonts w:ascii="Palatino Linotype" w:eastAsia="Palatino Linotype" w:hAnsi="Palatino Linotype" w:cs="Palatino Linotype"/>
          <w:sz w:val="22"/>
          <w:szCs w:val="22"/>
        </w:rPr>
        <w:t xml:space="preserve"> el tema, resulta necesario traer a colación los artículos 47 fracción II, numeral 3, artículo 88, 89, 90 incisos a), b) y c), así como el artículo 91 del Bando Municipal de Mexicaltzingo, dos mil veinticuatro, en relación con el artículo 112 de la Ley Orgánica Municipal del Estado de México, en los cuales se establece que, para el despacho de los asuntos municipales, el Ayuntamiento se auxiliará de diversas dependencias de la administración pública municipal, entre las cuales se encuentra la </w:t>
      </w:r>
      <w:r w:rsidR="00512CBA">
        <w:rPr>
          <w:rFonts w:ascii="Palatino Linotype" w:eastAsia="Palatino Linotype" w:hAnsi="Palatino Linotype" w:cs="Palatino Linotype"/>
          <w:b/>
          <w:sz w:val="22"/>
          <w:szCs w:val="22"/>
        </w:rPr>
        <w:t xml:space="preserve">Contraloría Municipal </w:t>
      </w:r>
      <w:r w:rsidR="00512CBA">
        <w:rPr>
          <w:rFonts w:ascii="Palatino Linotype" w:eastAsia="Palatino Linotype" w:hAnsi="Palatino Linotype" w:cs="Palatino Linotype"/>
          <w:sz w:val="22"/>
          <w:szCs w:val="22"/>
        </w:rPr>
        <w:t xml:space="preserve">encargada de planear, programar, organizar y coordinar las acciones de control, evaluación, vigilancia y fiscalización del correcto uso del patrimonio, ejercicio del gasto público por conducto de las dependencias, el presupuesto de egresos del Municipio, así como el desempeño de los Servidores Públicos, teniendo como finalidad impulsar una Gestión </w:t>
      </w:r>
      <w:r w:rsidR="00512CBA">
        <w:rPr>
          <w:rFonts w:ascii="Palatino Linotype" w:eastAsia="Palatino Linotype" w:hAnsi="Palatino Linotype" w:cs="Palatino Linotype"/>
          <w:sz w:val="22"/>
          <w:szCs w:val="22"/>
        </w:rPr>
        <w:lastRenderedPageBreak/>
        <w:t>Pública de Calidad, en apego a las normas y disposiciones legales aplicables, para contribuir con la transparencia, legalidad y eficiencia de la operación y cumplimiento de los programas y mejora permanente de los procesos y control interno, además le corresponderá el ejercicio de diversas funciones entre otras las siguientes:</w:t>
      </w:r>
    </w:p>
    <w:p w14:paraId="5C01442F" w14:textId="77777777" w:rsidR="00297CD9" w:rsidRDefault="00297CD9">
      <w:pPr>
        <w:spacing w:line="360" w:lineRule="auto"/>
        <w:ind w:right="-28"/>
        <w:jc w:val="both"/>
        <w:rPr>
          <w:rFonts w:ascii="Palatino Linotype" w:eastAsia="Palatino Linotype" w:hAnsi="Palatino Linotype" w:cs="Palatino Linotype"/>
          <w:sz w:val="22"/>
          <w:szCs w:val="22"/>
        </w:rPr>
      </w:pPr>
    </w:p>
    <w:p w14:paraId="37A1A1E8" w14:textId="77777777" w:rsidR="00297CD9" w:rsidRDefault="00512CBA">
      <w:pPr>
        <w:numPr>
          <w:ilvl w:val="0"/>
          <w:numId w:val="6"/>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Aplicar las normas y criterios en materia de control y evaluación;</w:t>
      </w:r>
    </w:p>
    <w:p w14:paraId="4ECD0B29" w14:textId="77777777" w:rsidR="00297CD9" w:rsidRDefault="00512CBA">
      <w:pPr>
        <w:numPr>
          <w:ilvl w:val="0"/>
          <w:numId w:val="6"/>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Fiscalizar que los ingresos que se perciban, sean recaudados y registrados conforme a la normatividad aplicable;</w:t>
      </w:r>
    </w:p>
    <w:p w14:paraId="2B32017B" w14:textId="77777777" w:rsidR="00297CD9" w:rsidRDefault="00512CBA">
      <w:pPr>
        <w:numPr>
          <w:ilvl w:val="0"/>
          <w:numId w:val="6"/>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Fiscalizar el ejercicio del gasto público municipal y su congruencia con el presupuesto de egresos, conforme a la normatividad aplicable;</w:t>
      </w:r>
    </w:p>
    <w:p w14:paraId="386FA081" w14:textId="77777777" w:rsidR="00297CD9" w:rsidRDefault="00512CBA">
      <w:pPr>
        <w:numPr>
          <w:ilvl w:val="0"/>
          <w:numId w:val="6"/>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Realizar las comisiones que la presidenta Municipal le confiera, manteniéndola informada sobre el desarrollo de las mismas;</w:t>
      </w:r>
    </w:p>
    <w:p w14:paraId="2D6D4005" w14:textId="77777777" w:rsidR="00297CD9" w:rsidRDefault="00512CBA">
      <w:pPr>
        <w:numPr>
          <w:ilvl w:val="0"/>
          <w:numId w:val="6"/>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Asesorar a los órganos de control interno de los organismos descentralizados de la administración municipal;</w:t>
      </w:r>
    </w:p>
    <w:p w14:paraId="533DBA69" w14:textId="77777777" w:rsidR="00297CD9" w:rsidRDefault="00512CBA">
      <w:pPr>
        <w:numPr>
          <w:ilvl w:val="0"/>
          <w:numId w:val="6"/>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Establecer lineamientos y políticas que orienten la coordinación de acciones de la Contraloría para mejorar el cumplimiento de sus responsabilidades;</w:t>
      </w:r>
    </w:p>
    <w:p w14:paraId="022529A3" w14:textId="77777777" w:rsidR="00297CD9" w:rsidRDefault="00512CBA">
      <w:pPr>
        <w:numPr>
          <w:ilvl w:val="0"/>
          <w:numId w:val="6"/>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Fincar resolutivos de responsabilidad administrativa, por responsabilidad patrimonial y resarcitoria;</w:t>
      </w:r>
    </w:p>
    <w:p w14:paraId="66BAFD5F" w14:textId="77777777" w:rsidR="00297CD9" w:rsidRDefault="00512CBA">
      <w:pPr>
        <w:numPr>
          <w:ilvl w:val="0"/>
          <w:numId w:val="6"/>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Vigilar los Procedimientos de rescisión administrativa de convenios y contratos en materia de adquisiciones, arrendamientos, prestaciones de servicios, enajenaciones, así como de obra pública y servicios relacionados con la misma, en términos de la normatividad aplicable;</w:t>
      </w:r>
    </w:p>
    <w:p w14:paraId="2E971755" w14:textId="77777777" w:rsidR="00297CD9" w:rsidRDefault="00512CBA">
      <w:pPr>
        <w:numPr>
          <w:ilvl w:val="0"/>
          <w:numId w:val="6"/>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Instruir al personal adecuado para la realización del proyecto de resolución de procedimientos administrativos disciplinarios;</w:t>
      </w:r>
    </w:p>
    <w:p w14:paraId="7566DEFC" w14:textId="77777777" w:rsidR="00297CD9" w:rsidRDefault="00512CBA">
      <w:pPr>
        <w:numPr>
          <w:ilvl w:val="0"/>
          <w:numId w:val="6"/>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Recibir denuncias relacionadas a los servidores públicos de las dependencias de la Administración Pública, e iniciar y resolver los procedimientos administrativos con </w:t>
      </w:r>
      <w:r>
        <w:rPr>
          <w:rFonts w:ascii="Palatino Linotype" w:eastAsia="Palatino Linotype" w:hAnsi="Palatino Linotype" w:cs="Palatino Linotype"/>
          <w:color w:val="000000"/>
          <w:sz w:val="22"/>
          <w:szCs w:val="22"/>
        </w:rPr>
        <w:lastRenderedPageBreak/>
        <w:t>base a la Ley de Responsabilidades Administrativas del Estado y Municipios, Ley del Sistema Anticorrupción del Estado de México y Municipios y al Código de Procedimientos Administrativos vigente en el Estado;</w:t>
      </w:r>
    </w:p>
    <w:p w14:paraId="068551DA" w14:textId="77777777" w:rsidR="00297CD9" w:rsidRDefault="00512CBA">
      <w:pPr>
        <w:numPr>
          <w:ilvl w:val="0"/>
          <w:numId w:val="6"/>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Coordinarse con el Órgano Superior de Fiscalización del Estado de México, la Contraloría del Poder Legislativo y con la secretaria de la Contraloría del Estado de México para el cumplimiento de sus funciones;</w:t>
      </w:r>
    </w:p>
    <w:p w14:paraId="43A1C5AD" w14:textId="77777777" w:rsidR="00297CD9" w:rsidRDefault="00512CBA">
      <w:pPr>
        <w:numPr>
          <w:ilvl w:val="0"/>
          <w:numId w:val="6"/>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Cumplir con los procesos de Entrega-Recepción de las Unidades Administrativas de las Dependencias y Entidades Municipales; </w:t>
      </w:r>
    </w:p>
    <w:p w14:paraId="30296181" w14:textId="77777777" w:rsidR="00297CD9" w:rsidRDefault="00512CBA">
      <w:pPr>
        <w:numPr>
          <w:ilvl w:val="0"/>
          <w:numId w:val="6"/>
        </w:numPr>
        <w:pBdr>
          <w:top w:val="nil"/>
          <w:left w:val="nil"/>
          <w:bottom w:val="nil"/>
          <w:right w:val="nil"/>
          <w:between w:val="nil"/>
        </w:pBdr>
        <w:spacing w:line="360" w:lineRule="auto"/>
        <w:ind w:right="-28"/>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Establecer y operar un sistema de atención de quejas, denuncias y sugerencias.</w:t>
      </w:r>
    </w:p>
    <w:p w14:paraId="3E8E5BAB" w14:textId="77777777" w:rsidR="00297CD9" w:rsidRDefault="00297CD9">
      <w:pPr>
        <w:pBdr>
          <w:top w:val="nil"/>
          <w:left w:val="nil"/>
          <w:bottom w:val="nil"/>
          <w:right w:val="nil"/>
          <w:between w:val="nil"/>
        </w:pBdr>
        <w:spacing w:line="360" w:lineRule="auto"/>
        <w:ind w:left="720" w:right="-28"/>
        <w:jc w:val="both"/>
        <w:rPr>
          <w:rFonts w:ascii="Palatino Linotype" w:eastAsia="Palatino Linotype" w:hAnsi="Palatino Linotype" w:cs="Palatino Linotype"/>
          <w:color w:val="000000"/>
          <w:sz w:val="22"/>
          <w:szCs w:val="22"/>
        </w:rPr>
      </w:pPr>
    </w:p>
    <w:p w14:paraId="765F85BC" w14:textId="77777777" w:rsidR="00297CD9" w:rsidRDefault="00512CBA">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Además, para el ejercicio de sus funciones, la Contraloría Municipal contará con diversas unidades administrativas que auxiliarán a dicha área para la consecución de sus facultades, a saber, las siguientes:</w:t>
      </w:r>
    </w:p>
    <w:p w14:paraId="499A7C9A" w14:textId="77777777" w:rsidR="00297CD9" w:rsidRDefault="00297CD9">
      <w:pPr>
        <w:spacing w:line="360" w:lineRule="auto"/>
        <w:ind w:right="-28"/>
        <w:jc w:val="both"/>
        <w:rPr>
          <w:rFonts w:ascii="Palatino Linotype" w:eastAsia="Palatino Linotype" w:hAnsi="Palatino Linotype" w:cs="Palatino Linotype"/>
          <w:sz w:val="22"/>
          <w:szCs w:val="22"/>
        </w:rPr>
      </w:pPr>
    </w:p>
    <w:p w14:paraId="46AAEACC" w14:textId="77777777" w:rsidR="00297CD9" w:rsidRDefault="00512CBA">
      <w:pPr>
        <w:numPr>
          <w:ilvl w:val="0"/>
          <w:numId w:val="1"/>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Unidad de Notificación: </w:t>
      </w:r>
      <w:r>
        <w:rPr>
          <w:rFonts w:ascii="Palatino Linotype" w:eastAsia="Palatino Linotype" w:hAnsi="Palatino Linotype" w:cs="Palatino Linotype"/>
          <w:color w:val="000000"/>
          <w:sz w:val="22"/>
          <w:szCs w:val="22"/>
        </w:rPr>
        <w:t>encargada de hacer del conocimiento de denunciantes, dependencias y servidores públicos involucrados, los acuerdos y diligencias, que se instrumenten con motivo del despacho de expedientes de denuncia, así como los procedimientos administrativos.</w:t>
      </w:r>
    </w:p>
    <w:p w14:paraId="25FE7F8F" w14:textId="77777777" w:rsidR="00297CD9" w:rsidRDefault="00297CD9">
      <w:pPr>
        <w:pBdr>
          <w:top w:val="nil"/>
          <w:left w:val="nil"/>
          <w:bottom w:val="nil"/>
          <w:right w:val="nil"/>
          <w:between w:val="nil"/>
        </w:pBdr>
        <w:spacing w:line="360" w:lineRule="auto"/>
        <w:ind w:left="720" w:right="-28"/>
        <w:jc w:val="both"/>
        <w:rPr>
          <w:rFonts w:ascii="Palatino Linotype" w:eastAsia="Palatino Linotype" w:hAnsi="Palatino Linotype" w:cs="Palatino Linotype"/>
          <w:color w:val="000000"/>
          <w:sz w:val="22"/>
          <w:szCs w:val="22"/>
        </w:rPr>
      </w:pPr>
    </w:p>
    <w:p w14:paraId="2F70568F" w14:textId="77777777" w:rsidR="00297CD9" w:rsidRDefault="00512CBA">
      <w:pPr>
        <w:numPr>
          <w:ilvl w:val="0"/>
          <w:numId w:val="1"/>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Autoridad Investigadora: </w:t>
      </w:r>
      <w:r>
        <w:rPr>
          <w:rFonts w:ascii="Palatino Linotype" w:eastAsia="Palatino Linotype" w:hAnsi="Palatino Linotype" w:cs="Palatino Linotype"/>
          <w:color w:val="000000"/>
          <w:sz w:val="22"/>
          <w:szCs w:val="22"/>
        </w:rPr>
        <w:t>Encargada de investigar las faltas administrativas y determinar la investigación con acuerdo de archivo o informe de Presunta Responsabilidad Administradora.</w:t>
      </w:r>
    </w:p>
    <w:p w14:paraId="03B57BFA" w14:textId="77777777" w:rsidR="00297CD9" w:rsidRDefault="00297CD9">
      <w:pPr>
        <w:spacing w:line="360" w:lineRule="auto"/>
        <w:ind w:right="-28"/>
        <w:jc w:val="both"/>
        <w:rPr>
          <w:rFonts w:ascii="Palatino Linotype" w:eastAsia="Palatino Linotype" w:hAnsi="Palatino Linotype" w:cs="Palatino Linotype"/>
        </w:rPr>
      </w:pPr>
    </w:p>
    <w:p w14:paraId="6461D8FF" w14:textId="77777777" w:rsidR="00297CD9" w:rsidRDefault="00512CBA">
      <w:pPr>
        <w:numPr>
          <w:ilvl w:val="0"/>
          <w:numId w:val="2"/>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Autoridad Substanciadora: </w:t>
      </w:r>
      <w:r>
        <w:rPr>
          <w:rFonts w:ascii="Palatino Linotype" w:eastAsia="Palatino Linotype" w:hAnsi="Palatino Linotype" w:cs="Palatino Linotype"/>
          <w:color w:val="000000"/>
          <w:sz w:val="22"/>
          <w:szCs w:val="22"/>
        </w:rPr>
        <w:t xml:space="preserve">Encargada de dirigir y conducir el Procedimiento de Responsabilidad Administrativa desde la admisión del informe de Presunta </w:t>
      </w:r>
      <w:r>
        <w:rPr>
          <w:rFonts w:ascii="Palatino Linotype" w:eastAsia="Palatino Linotype" w:hAnsi="Palatino Linotype" w:cs="Palatino Linotype"/>
          <w:color w:val="000000"/>
          <w:sz w:val="22"/>
          <w:szCs w:val="22"/>
        </w:rPr>
        <w:lastRenderedPageBreak/>
        <w:t>Responsabilidad Administrativa y hasta la conclusión de la audiencia inicial, en faltas graves y en no graves hasta los alegatos.</w:t>
      </w:r>
    </w:p>
    <w:p w14:paraId="18CE8ACD" w14:textId="77777777" w:rsidR="00297CD9" w:rsidRDefault="00297CD9">
      <w:pPr>
        <w:pBdr>
          <w:top w:val="nil"/>
          <w:left w:val="nil"/>
          <w:bottom w:val="nil"/>
          <w:right w:val="nil"/>
          <w:between w:val="nil"/>
        </w:pBdr>
        <w:spacing w:line="360" w:lineRule="auto"/>
        <w:ind w:left="720" w:right="-28"/>
        <w:jc w:val="both"/>
        <w:rPr>
          <w:rFonts w:ascii="Palatino Linotype" w:eastAsia="Palatino Linotype" w:hAnsi="Palatino Linotype" w:cs="Palatino Linotype"/>
          <w:color w:val="000000"/>
          <w:sz w:val="22"/>
          <w:szCs w:val="22"/>
        </w:rPr>
      </w:pPr>
    </w:p>
    <w:p w14:paraId="46AF9DFC" w14:textId="77777777" w:rsidR="00297CD9" w:rsidRDefault="00512CBA">
      <w:pPr>
        <w:numPr>
          <w:ilvl w:val="0"/>
          <w:numId w:val="2"/>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Autoridad Resolutora: </w:t>
      </w:r>
      <w:r>
        <w:rPr>
          <w:rFonts w:ascii="Palatino Linotype" w:eastAsia="Palatino Linotype" w:hAnsi="Palatino Linotype" w:cs="Palatino Linotype"/>
          <w:color w:val="000000"/>
          <w:sz w:val="22"/>
          <w:szCs w:val="22"/>
        </w:rPr>
        <w:t>Encargada de determinar la existencia o no existencia de responsabilidad administrativa en faltas graves o no graves o de particulares conocerá el Tribunal de Justicia Administrativa del Estado de México.</w:t>
      </w:r>
    </w:p>
    <w:p w14:paraId="5A4C9946" w14:textId="77777777" w:rsidR="00297CD9" w:rsidRDefault="00297CD9">
      <w:pPr>
        <w:pBdr>
          <w:top w:val="nil"/>
          <w:left w:val="nil"/>
          <w:bottom w:val="nil"/>
          <w:right w:val="nil"/>
          <w:between w:val="nil"/>
        </w:pBdr>
        <w:spacing w:line="360" w:lineRule="auto"/>
        <w:ind w:left="720" w:right="-28"/>
        <w:jc w:val="both"/>
        <w:rPr>
          <w:rFonts w:ascii="Palatino Linotype" w:eastAsia="Palatino Linotype" w:hAnsi="Palatino Linotype" w:cs="Palatino Linotype"/>
          <w:color w:val="000000"/>
          <w:sz w:val="22"/>
          <w:szCs w:val="22"/>
        </w:rPr>
      </w:pPr>
    </w:p>
    <w:p w14:paraId="47A0EC45" w14:textId="77777777" w:rsidR="00297CD9" w:rsidRDefault="00512CBA">
      <w:pPr>
        <w:numPr>
          <w:ilvl w:val="0"/>
          <w:numId w:val="4"/>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Contraloría Social y Auditoría de Obra: </w:t>
      </w:r>
      <w:r>
        <w:rPr>
          <w:rFonts w:ascii="Palatino Linotype" w:eastAsia="Palatino Linotype" w:hAnsi="Palatino Linotype" w:cs="Palatino Linotype"/>
          <w:color w:val="000000"/>
          <w:sz w:val="22"/>
          <w:szCs w:val="22"/>
        </w:rPr>
        <w:t>Se encarga de promover la participación ciudadana en la vigilancia de la aplicación de recursos federales, estatales o municipales, en la entrega, recepción de obras y acciones; planear, organizar y ejecutar auditorías a la obra pública en el municipio y realizar otras acciones de control.</w:t>
      </w:r>
    </w:p>
    <w:p w14:paraId="0394E4BE" w14:textId="77777777" w:rsidR="00297CD9" w:rsidRDefault="00297CD9">
      <w:pPr>
        <w:spacing w:line="360" w:lineRule="auto"/>
        <w:ind w:right="-28"/>
        <w:jc w:val="both"/>
        <w:rPr>
          <w:rFonts w:ascii="Palatino Linotype" w:eastAsia="Palatino Linotype" w:hAnsi="Palatino Linotype" w:cs="Palatino Linotype"/>
        </w:rPr>
      </w:pPr>
    </w:p>
    <w:p w14:paraId="0218000E" w14:textId="77777777" w:rsidR="00297CD9" w:rsidRDefault="00512CBA">
      <w:pPr>
        <w:widowControl w:val="0"/>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Auditoría Financiera: </w:t>
      </w:r>
      <w:r>
        <w:rPr>
          <w:rFonts w:ascii="Palatino Linotype" w:eastAsia="Palatino Linotype" w:hAnsi="Palatino Linotype" w:cs="Palatino Linotype"/>
          <w:color w:val="000000"/>
          <w:sz w:val="22"/>
          <w:szCs w:val="22"/>
        </w:rPr>
        <w:t>Encargada de planear, organizar y ejecutar auditorias en materia financiera y presupuestal, y ejecutar otras acciones de control.</w:t>
      </w:r>
    </w:p>
    <w:p w14:paraId="6DC6C0F2" w14:textId="77777777" w:rsidR="00297CD9" w:rsidRDefault="00297CD9">
      <w:pPr>
        <w:widowControl w:val="0"/>
        <w:spacing w:line="360" w:lineRule="auto"/>
        <w:jc w:val="both"/>
        <w:rPr>
          <w:rFonts w:ascii="Palatino Linotype" w:eastAsia="Palatino Linotype" w:hAnsi="Palatino Linotype" w:cs="Palatino Linotype"/>
        </w:rPr>
      </w:pPr>
    </w:p>
    <w:p w14:paraId="7CE4F607" w14:textId="77777777" w:rsidR="00297CD9" w:rsidRDefault="00512CBA">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Conforme a lo anterior y toda vez que los Particulares no son peritos en la materia y no están obligados a conocer de manera específica el nombre de las áreas solicitadas, se logra vislumbrar que la pretensión de la ahora Recurrente, es obtener respecto de la</w:t>
      </w:r>
      <w:r>
        <w:rPr>
          <w:rFonts w:ascii="Palatino Linotype" w:eastAsia="Palatino Linotype" w:hAnsi="Palatino Linotype" w:cs="Palatino Linotype"/>
          <w:color w:val="000000"/>
          <w:sz w:val="22"/>
          <w:szCs w:val="22"/>
        </w:rPr>
        <w:t xml:space="preserve"> Contraloría Interna Municipal, </w:t>
      </w:r>
      <w:r>
        <w:rPr>
          <w:rFonts w:ascii="Palatino Linotype" w:eastAsia="Palatino Linotype" w:hAnsi="Palatino Linotype" w:cs="Palatino Linotype"/>
          <w:sz w:val="22"/>
          <w:szCs w:val="22"/>
        </w:rPr>
        <w:t>los documentos con los que contara al dieciséis de noviembre de dos mil veinticuatro, que den cuenta de lo siguiente:</w:t>
      </w:r>
    </w:p>
    <w:p w14:paraId="76BF73E2" w14:textId="77777777" w:rsidR="00297CD9" w:rsidRDefault="00297CD9">
      <w:pPr>
        <w:widowControl w:val="0"/>
        <w:spacing w:line="360" w:lineRule="auto"/>
        <w:jc w:val="both"/>
        <w:rPr>
          <w:rFonts w:ascii="Palatino Linotype" w:eastAsia="Palatino Linotype" w:hAnsi="Palatino Linotype" w:cs="Palatino Linotype"/>
          <w:color w:val="000000"/>
        </w:rPr>
      </w:pPr>
    </w:p>
    <w:p w14:paraId="29CDA35B" w14:textId="77777777" w:rsidR="00297CD9" w:rsidRDefault="00512CBA">
      <w:pPr>
        <w:widowControl w:val="0"/>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Funciones del Titular de la Contraloría Interna Municipal; </w:t>
      </w:r>
    </w:p>
    <w:p w14:paraId="5100B672" w14:textId="77777777" w:rsidR="00297CD9" w:rsidRDefault="00512CBA">
      <w:pPr>
        <w:widowControl w:val="0"/>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Funciones de la Unidad Investigadora (Área que recibe quejas);</w:t>
      </w:r>
    </w:p>
    <w:p w14:paraId="23640BD5" w14:textId="77777777" w:rsidR="00297CD9" w:rsidRDefault="00512CBA">
      <w:pPr>
        <w:widowControl w:val="0"/>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Funciones del Área de Contraloría Social y Auditoría de Obra, así como, de Auditoría Financiera;</w:t>
      </w:r>
    </w:p>
    <w:p w14:paraId="5026AABE" w14:textId="77777777" w:rsidR="00297CD9" w:rsidRDefault="00512CBA">
      <w:pPr>
        <w:widowControl w:val="0"/>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Nombre y cargo de los servidores públicos adscritos a la Unidad Investigadora.</w:t>
      </w:r>
    </w:p>
    <w:p w14:paraId="767115FC" w14:textId="77777777" w:rsidR="00297CD9" w:rsidRDefault="00512CBA">
      <w:pPr>
        <w:widowControl w:val="0"/>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Procedimiento de recepción de quejas y denuncias.</w:t>
      </w:r>
    </w:p>
    <w:p w14:paraId="6B655204" w14:textId="77777777" w:rsidR="00297CD9" w:rsidRDefault="00297CD9">
      <w:pPr>
        <w:tabs>
          <w:tab w:val="left" w:pos="4962"/>
        </w:tabs>
        <w:spacing w:line="360" w:lineRule="auto"/>
        <w:jc w:val="both"/>
        <w:rPr>
          <w:rFonts w:ascii="Palatino Linotype" w:eastAsia="Palatino Linotype" w:hAnsi="Palatino Linotype" w:cs="Palatino Linotype"/>
          <w:sz w:val="22"/>
          <w:szCs w:val="22"/>
        </w:rPr>
      </w:pPr>
    </w:p>
    <w:p w14:paraId="29084BD4" w14:textId="77777777" w:rsidR="00297CD9" w:rsidRDefault="00512CBA">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Establecida dicha circunstancia, se procede analizar la respuesta entregada, para lo cual, es de señalar que de las constancias que de las constancias que obran en el expediente, se logra advertir que el Sujeto Obligado turno la solicitud de información a la Contraloría Interna Municipal; por lo que, se colige que gestionó la solicitud de información, al área con atribuciones para conocer de lo peticionado, por lo que, se advierte que cumplió con el procedimiento de búsqueda establecido en el artículo 162 de la Ley de la materia.</w:t>
      </w:r>
    </w:p>
    <w:p w14:paraId="3E51DEE7" w14:textId="77777777" w:rsidR="00297CD9" w:rsidRDefault="00297CD9">
      <w:pPr>
        <w:spacing w:line="360" w:lineRule="auto"/>
        <w:ind w:right="-28"/>
        <w:jc w:val="both"/>
        <w:rPr>
          <w:rFonts w:ascii="Palatino Linotype" w:eastAsia="Palatino Linotype" w:hAnsi="Palatino Linotype" w:cs="Palatino Linotype"/>
          <w:sz w:val="22"/>
          <w:szCs w:val="22"/>
        </w:rPr>
      </w:pPr>
    </w:p>
    <w:p w14:paraId="65E12A6B" w14:textId="77777777" w:rsidR="00297CD9" w:rsidRDefault="00512CBA">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a efecto de determinar si las respuestas proporcionadas por el Sujeto Obligado atienden los puntos de la solicitud resulta necesario realizar un análisis de las mismas conforme a lo siguiente:</w:t>
      </w:r>
    </w:p>
    <w:p w14:paraId="0A25374C" w14:textId="77777777" w:rsidR="00297CD9" w:rsidRDefault="00297CD9">
      <w:pPr>
        <w:spacing w:line="360" w:lineRule="auto"/>
        <w:jc w:val="both"/>
        <w:rPr>
          <w:rFonts w:ascii="Palatino Linotype" w:eastAsia="Palatino Linotype" w:hAnsi="Palatino Linotype" w:cs="Palatino Linotype"/>
          <w:sz w:val="22"/>
          <w:szCs w:val="22"/>
        </w:rPr>
      </w:pPr>
    </w:p>
    <w:p w14:paraId="50C70BB7" w14:textId="77777777" w:rsidR="00297CD9" w:rsidRDefault="00512CBA">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Funciones del Área de Quejas</w:t>
      </w:r>
    </w:p>
    <w:p w14:paraId="7F1952A7" w14:textId="77777777" w:rsidR="00297CD9" w:rsidRDefault="00297CD9">
      <w:pPr>
        <w:spacing w:line="360" w:lineRule="auto"/>
        <w:jc w:val="both"/>
        <w:rPr>
          <w:rFonts w:ascii="Palatino Linotype" w:eastAsia="Palatino Linotype" w:hAnsi="Palatino Linotype" w:cs="Palatino Linotype"/>
          <w:b/>
          <w:sz w:val="22"/>
          <w:szCs w:val="22"/>
        </w:rPr>
      </w:pPr>
    </w:p>
    <w:p w14:paraId="0984D572" w14:textId="77777777" w:rsidR="00297CD9" w:rsidRDefault="00512CBA">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Sobre el tema, la Contraloría Interna, precisó que el Área de Quejas era un buzón donde los ciudadanos inconformes denuncian un mal trato al realizar un trámite o servicio ante alguna unidad administrativa del Ayuntamiento; de lo cual se logra vislumbrar que es un resumen en palabras ciudadanas de lo que se encarga dicha área, sin embargo, este Instituto revisó el Manual de Organización de la Contraloría Interna Municipal, del cual se logra vislumbrar que la Autoridad Investigadora no solo recibe y valora la procedencia de las denuncias, sino que también, se encarga de investigar las faltas </w:t>
      </w:r>
      <w:r w:rsidR="002D247D">
        <w:rPr>
          <w:rFonts w:ascii="Palatino Linotype" w:eastAsia="Palatino Linotype" w:hAnsi="Palatino Linotype" w:cs="Palatino Linotype"/>
          <w:sz w:val="22"/>
          <w:szCs w:val="22"/>
        </w:rPr>
        <w:t>administrativas</w:t>
      </w:r>
      <w:r>
        <w:rPr>
          <w:rFonts w:ascii="Palatino Linotype" w:eastAsia="Palatino Linotype" w:hAnsi="Palatino Linotype" w:cs="Palatino Linotype"/>
          <w:sz w:val="22"/>
          <w:szCs w:val="22"/>
        </w:rPr>
        <w:t xml:space="preserve">, por lo cual se considera que la información se encuentra de manera incompleta, pues no proporcionó todas las funciones de la unidad administrativa, lo cual da como resultado que el agravio sea </w:t>
      </w:r>
      <w:r>
        <w:rPr>
          <w:rFonts w:ascii="Palatino Linotype" w:eastAsia="Palatino Linotype" w:hAnsi="Palatino Linotype" w:cs="Palatino Linotype"/>
          <w:b/>
          <w:sz w:val="22"/>
          <w:szCs w:val="22"/>
        </w:rPr>
        <w:t>FUNDADO.</w:t>
      </w:r>
    </w:p>
    <w:p w14:paraId="47FD24CB" w14:textId="77777777" w:rsidR="00297CD9" w:rsidRDefault="00297CD9">
      <w:pPr>
        <w:spacing w:line="360" w:lineRule="auto"/>
        <w:jc w:val="both"/>
        <w:rPr>
          <w:rFonts w:ascii="Palatino Linotype" w:eastAsia="Palatino Linotype" w:hAnsi="Palatino Linotype" w:cs="Palatino Linotype"/>
          <w:sz w:val="22"/>
          <w:szCs w:val="22"/>
        </w:rPr>
      </w:pPr>
    </w:p>
    <w:p w14:paraId="55796A4B" w14:textId="77777777" w:rsidR="00297CD9" w:rsidRDefault="00512CBA">
      <w:pPr>
        <w:widowControl w:val="0"/>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Funciones de la Contraloría Interna Municipal, de la Contraloría Social y Auditoría de </w:t>
      </w:r>
      <w:r>
        <w:rPr>
          <w:rFonts w:ascii="Palatino Linotype" w:eastAsia="Palatino Linotype" w:hAnsi="Palatino Linotype" w:cs="Palatino Linotype"/>
          <w:b/>
          <w:color w:val="000000"/>
          <w:sz w:val="22"/>
          <w:szCs w:val="22"/>
        </w:rPr>
        <w:lastRenderedPageBreak/>
        <w:t>Obra y de la Auditoría Financiera</w:t>
      </w:r>
    </w:p>
    <w:p w14:paraId="2DEFA453" w14:textId="77777777" w:rsidR="00297CD9" w:rsidRDefault="00297CD9">
      <w:pPr>
        <w:spacing w:line="360" w:lineRule="auto"/>
        <w:jc w:val="both"/>
        <w:rPr>
          <w:rFonts w:ascii="Palatino Linotype" w:eastAsia="Palatino Linotype" w:hAnsi="Palatino Linotype" w:cs="Palatino Linotype"/>
          <w:sz w:val="22"/>
          <w:szCs w:val="22"/>
        </w:rPr>
      </w:pPr>
    </w:p>
    <w:p w14:paraId="5D7FDF44" w14:textId="77777777" w:rsidR="00297CD9" w:rsidRDefault="00512CBA">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Al respecto, si bien el área competente proporcionó parte de la información que daba cuenta de lo requerido al proporcionar las funciones establecidas en el artículo 112 de la Ley Orgánica Municipal del Estado de México, también lo es que este Instituto localizó el Manual de Organización de la Contraloría Interna Municipal que contiene las funciones específicas de la Contraloría Interna Municipal y robustece lo establecido en el marco normativo mencionado.</w:t>
      </w:r>
    </w:p>
    <w:p w14:paraId="0DA508C0" w14:textId="77777777" w:rsidR="00297CD9" w:rsidRDefault="00297CD9">
      <w:pPr>
        <w:spacing w:line="360" w:lineRule="auto"/>
        <w:jc w:val="both"/>
        <w:rPr>
          <w:rFonts w:ascii="Palatino Linotype" w:eastAsia="Palatino Linotype" w:hAnsi="Palatino Linotype" w:cs="Palatino Linotype"/>
        </w:rPr>
      </w:pPr>
    </w:p>
    <w:p w14:paraId="0F4D6773" w14:textId="77777777" w:rsidR="00297CD9" w:rsidRDefault="00512CBA">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rPr>
        <w:t xml:space="preserve">Además, de las constancias que obran en el expediente, se logra vislumbrar que no se pronunció de las otras dos unidades administrativas, a saber, de la </w:t>
      </w:r>
      <w:r>
        <w:rPr>
          <w:rFonts w:ascii="Palatino Linotype" w:eastAsia="Palatino Linotype" w:hAnsi="Palatino Linotype" w:cs="Palatino Linotype"/>
          <w:color w:val="000000"/>
          <w:sz w:val="22"/>
          <w:szCs w:val="22"/>
        </w:rPr>
        <w:t>Contraloría Social y Auditoría de Obra y de la Auditoría Financiera,</w:t>
      </w:r>
      <w:r>
        <w:rPr>
          <w:rFonts w:ascii="Palatino Linotype" w:eastAsia="Palatino Linotype" w:hAnsi="Palatino Linotype" w:cs="Palatino Linotype"/>
          <w:sz w:val="22"/>
          <w:szCs w:val="22"/>
        </w:rPr>
        <w:t xml:space="preserve"> por lo que el agravio hecho valer por la parte Recurrente deviene parcialmente </w:t>
      </w:r>
      <w:r>
        <w:rPr>
          <w:rFonts w:ascii="Palatino Linotype" w:eastAsia="Palatino Linotype" w:hAnsi="Palatino Linotype" w:cs="Palatino Linotype"/>
          <w:b/>
          <w:sz w:val="22"/>
          <w:szCs w:val="22"/>
        </w:rPr>
        <w:t xml:space="preserve">FUNDADO. </w:t>
      </w:r>
    </w:p>
    <w:p w14:paraId="27865503" w14:textId="77777777" w:rsidR="00297CD9" w:rsidRDefault="00297CD9">
      <w:pPr>
        <w:spacing w:line="360" w:lineRule="auto"/>
        <w:jc w:val="both"/>
        <w:rPr>
          <w:rFonts w:ascii="Palatino Linotype" w:eastAsia="Palatino Linotype" w:hAnsi="Palatino Linotype" w:cs="Palatino Linotype"/>
        </w:rPr>
      </w:pPr>
    </w:p>
    <w:p w14:paraId="67780A56" w14:textId="77777777" w:rsidR="00297CD9" w:rsidRDefault="00512CBA">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rPr>
        <w:t xml:space="preserve">Así, con el fin de atender los dos requerimientos de información, previamente analizados, el Sujeto Obligado deberá proporcionar el Manual de Organización de la Contraloría Interna Municipal, al contener la misión y funciones específicas de las áreas solicitadas; </w:t>
      </w:r>
      <w:r>
        <w:rPr>
          <w:rFonts w:ascii="Palatino Linotype" w:eastAsia="Palatino Linotype" w:hAnsi="Palatino Linotype" w:cs="Palatino Linotype"/>
          <w:color w:val="0D0D0D"/>
          <w:sz w:val="22"/>
          <w:szCs w:val="22"/>
        </w:rPr>
        <w:t>d</w:t>
      </w:r>
      <w:r>
        <w:rPr>
          <w:rFonts w:ascii="Palatino Linotype" w:eastAsia="Palatino Linotype" w:hAnsi="Palatino Linotype" w:cs="Palatino Linotype"/>
          <w:color w:val="000000"/>
          <w:sz w:val="22"/>
          <w:szCs w:val="22"/>
        </w:rPr>
        <w:t>icha situación toma sustento en el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14:paraId="03317291" w14:textId="77777777" w:rsidR="00297CD9" w:rsidRDefault="00297CD9">
      <w:pPr>
        <w:spacing w:line="360" w:lineRule="auto"/>
        <w:jc w:val="both"/>
        <w:rPr>
          <w:rFonts w:ascii="Palatino Linotype" w:eastAsia="Palatino Linotype" w:hAnsi="Palatino Linotype" w:cs="Palatino Linotype"/>
          <w:color w:val="000000"/>
          <w:sz w:val="22"/>
          <w:szCs w:val="22"/>
        </w:rPr>
      </w:pPr>
    </w:p>
    <w:p w14:paraId="1B04D8AE" w14:textId="77777777" w:rsidR="00297CD9" w:rsidRDefault="00512CBA">
      <w:pPr>
        <w:tabs>
          <w:tab w:val="left" w:pos="4962"/>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De esta manera, el derecho de acceso a la información pública se satisface en aquellos casos en que se entregue el soporte documental en el que conste la información solicitada, sin necesidad de elaborar documentos </w:t>
      </w:r>
      <w:r>
        <w:rPr>
          <w:rFonts w:ascii="Palatino Linotype" w:eastAsia="Palatino Linotype" w:hAnsi="Palatino Linotype" w:cs="Palatino Linotype"/>
          <w:i/>
          <w:color w:val="000000"/>
          <w:sz w:val="22"/>
          <w:szCs w:val="22"/>
        </w:rPr>
        <w:t>ad hoc</w:t>
      </w:r>
      <w:r>
        <w:rPr>
          <w:rFonts w:ascii="Palatino Linotype" w:eastAsia="Palatino Linotype" w:hAnsi="Palatino Linotype" w:cs="Palatino Linotype"/>
          <w:color w:val="000000"/>
          <w:sz w:val="22"/>
          <w:szCs w:val="22"/>
        </w:rPr>
        <w:t xml:space="preserve">; lo cual, de conformidad con en el artículo 160 de la Ley de Transparencia y Acceso a la Información Pública del Estado de México y </w:t>
      </w:r>
      <w:r>
        <w:rPr>
          <w:rFonts w:ascii="Palatino Linotype" w:eastAsia="Palatino Linotype" w:hAnsi="Palatino Linotype" w:cs="Palatino Linotype"/>
          <w:color w:val="000000"/>
          <w:sz w:val="22"/>
          <w:szCs w:val="22"/>
        </w:rPr>
        <w:lastRenderedPageBreak/>
        <w:t xml:space="preserve">Municipios, el cual refiere que los sujetos obligados deberán entregar la información que obre en sus archivos. </w:t>
      </w:r>
    </w:p>
    <w:p w14:paraId="23F940F0" w14:textId="77777777" w:rsidR="00297CD9" w:rsidRDefault="00297CD9">
      <w:pPr>
        <w:spacing w:line="360" w:lineRule="auto"/>
        <w:jc w:val="both"/>
        <w:rPr>
          <w:rFonts w:ascii="Palatino Linotype" w:eastAsia="Palatino Linotype" w:hAnsi="Palatino Linotype" w:cs="Palatino Linotype"/>
          <w:color w:val="000000"/>
          <w:sz w:val="22"/>
          <w:szCs w:val="22"/>
        </w:rPr>
      </w:pPr>
    </w:p>
    <w:p w14:paraId="2C3D0ABC" w14:textId="77777777" w:rsidR="00297CD9" w:rsidRDefault="00512CBA">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proporcionar las expresiones documentales donde conste la información solicitada; por lo que, en el presente caso, el Sujeto Obligado deberá proporcionar el Manual, al contener las funciones de las áreas que conforman a la Contraloría Interna Municipal.</w:t>
      </w:r>
    </w:p>
    <w:p w14:paraId="3CD19614" w14:textId="77777777" w:rsidR="00297CD9" w:rsidRDefault="00297CD9">
      <w:pPr>
        <w:spacing w:line="360" w:lineRule="auto"/>
        <w:jc w:val="both"/>
        <w:rPr>
          <w:rFonts w:ascii="Palatino Linotype" w:eastAsia="Palatino Linotype" w:hAnsi="Palatino Linotype" w:cs="Palatino Linotype"/>
        </w:rPr>
      </w:pPr>
    </w:p>
    <w:p w14:paraId="4F77578E" w14:textId="77777777" w:rsidR="00297CD9" w:rsidRDefault="00512CBA">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Procedimiento de recepción de quejas y denuncias</w:t>
      </w:r>
    </w:p>
    <w:p w14:paraId="3066B7B5" w14:textId="77777777" w:rsidR="00297CD9" w:rsidRDefault="00297CD9">
      <w:pPr>
        <w:spacing w:line="360" w:lineRule="auto"/>
        <w:jc w:val="both"/>
        <w:rPr>
          <w:rFonts w:ascii="Palatino Linotype" w:eastAsia="Palatino Linotype" w:hAnsi="Palatino Linotype" w:cs="Palatino Linotype"/>
          <w:b/>
          <w:color w:val="000000"/>
          <w:sz w:val="22"/>
          <w:szCs w:val="22"/>
        </w:rPr>
      </w:pPr>
    </w:p>
    <w:p w14:paraId="6FA25B6A" w14:textId="77777777" w:rsidR="00297CD9" w:rsidRDefault="00512CBA">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Sobre el tema, la Contraloría Interna refirió que, una vez recibida una queja o denuncia, se investiga para verificar su procedencia, se contacta al denunciante, en caso de necesitar mayor información y de archiva en caso de no ser procedente, hasta obtener nueva información, lo cual se traduce a un resumen del procedimiento.</w:t>
      </w:r>
    </w:p>
    <w:p w14:paraId="4299E858" w14:textId="77777777" w:rsidR="00297CD9" w:rsidRDefault="00297CD9">
      <w:pPr>
        <w:spacing w:line="360" w:lineRule="auto"/>
        <w:jc w:val="both"/>
        <w:rPr>
          <w:rFonts w:ascii="Palatino Linotype" w:eastAsia="Palatino Linotype" w:hAnsi="Palatino Linotype" w:cs="Palatino Linotype"/>
          <w:color w:val="000000"/>
          <w:sz w:val="22"/>
          <w:szCs w:val="22"/>
        </w:rPr>
      </w:pPr>
    </w:p>
    <w:p w14:paraId="2573551B" w14:textId="77777777" w:rsidR="00297CD9" w:rsidRDefault="00512CBA">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Lo anterior, toma relevancia pues este Instituto localizó en el </w:t>
      </w:r>
      <w:r>
        <w:rPr>
          <w:rFonts w:ascii="Palatino Linotype" w:eastAsia="Palatino Linotype" w:hAnsi="Palatino Linotype" w:cs="Palatino Linotype"/>
        </w:rPr>
        <w:t xml:space="preserve">Manual de Procedimientos de la Contraloría Interna Municipal, el </w:t>
      </w:r>
      <w:r>
        <w:rPr>
          <w:rFonts w:ascii="Palatino Linotype" w:eastAsia="Palatino Linotype" w:hAnsi="Palatino Linotype" w:cs="Palatino Linotype"/>
          <w:sz w:val="22"/>
          <w:szCs w:val="22"/>
        </w:rPr>
        <w:t>denominado Quejas y Denuncias, cuyo objetivo es recibir de la sociedad y autoridades quejas y denuncias por incumplimiento de las obligaciones de los servidores públicos, con las que se iniciará período de información previa, en su caso, el procedimiento administrativo correspondiente, mismo que se conforma de diversas etapas o actividades.</w:t>
      </w:r>
    </w:p>
    <w:p w14:paraId="5494BE2E" w14:textId="77777777" w:rsidR="00297CD9" w:rsidRDefault="00297CD9">
      <w:pPr>
        <w:spacing w:line="360" w:lineRule="auto"/>
        <w:jc w:val="both"/>
        <w:rPr>
          <w:rFonts w:ascii="Palatino Linotype" w:eastAsia="Palatino Linotype" w:hAnsi="Palatino Linotype" w:cs="Palatino Linotype"/>
          <w:sz w:val="22"/>
          <w:szCs w:val="22"/>
        </w:rPr>
      </w:pPr>
    </w:p>
    <w:p w14:paraId="3DCE1377" w14:textId="77777777" w:rsidR="00DE585E" w:rsidRDefault="00DE585E">
      <w:pPr>
        <w:spacing w:line="360" w:lineRule="auto"/>
        <w:jc w:val="both"/>
        <w:rPr>
          <w:rFonts w:ascii="Palatino Linotype" w:eastAsia="Palatino Linotype" w:hAnsi="Palatino Linotype" w:cs="Palatino Linotype"/>
          <w:sz w:val="22"/>
          <w:szCs w:val="22"/>
        </w:rPr>
      </w:pPr>
    </w:p>
    <w:p w14:paraId="5B0E81B1" w14:textId="77777777" w:rsidR="00DE585E" w:rsidRDefault="00DE585E">
      <w:pPr>
        <w:spacing w:line="360" w:lineRule="auto"/>
        <w:jc w:val="both"/>
        <w:rPr>
          <w:rFonts w:ascii="Palatino Linotype" w:eastAsia="Palatino Linotype" w:hAnsi="Palatino Linotype" w:cs="Palatino Linotype"/>
          <w:sz w:val="22"/>
          <w:szCs w:val="22"/>
        </w:rPr>
      </w:pPr>
    </w:p>
    <w:p w14:paraId="6950CE97" w14:textId="77777777" w:rsidR="00297CD9" w:rsidRDefault="00512CBA">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 xml:space="preserve">De tal suerte, si bien el Sujeto Obligado proporcionó información relacionada con lo peticionado, lo cierto es que es incompleta, pues como se refirió es una síntesis de las primeras etapas del procedimiento señalado en el párrafo anterior, por lo que, se considera que el agravio es </w:t>
      </w:r>
      <w:r>
        <w:rPr>
          <w:rFonts w:ascii="Palatino Linotype" w:eastAsia="Palatino Linotype" w:hAnsi="Palatino Linotype" w:cs="Palatino Linotype"/>
          <w:b/>
          <w:sz w:val="22"/>
          <w:szCs w:val="22"/>
        </w:rPr>
        <w:t xml:space="preserve">FUNDADO; </w:t>
      </w:r>
      <w:r>
        <w:rPr>
          <w:rFonts w:ascii="Palatino Linotype" w:eastAsia="Palatino Linotype" w:hAnsi="Palatino Linotype" w:cs="Palatino Linotype"/>
          <w:sz w:val="22"/>
          <w:szCs w:val="22"/>
        </w:rPr>
        <w:t>por lo que, en el presente caso, el Sujeto Obligado deberá proporcionar el Manual referido, pues es el documento que obra en sus archivos y contiene la información requerida por el Particular, con lo cual se daría por cumplido los artículos 12 y 160 de la Ley de la materia.</w:t>
      </w:r>
    </w:p>
    <w:p w14:paraId="5C125590" w14:textId="77777777" w:rsidR="00297CD9" w:rsidRDefault="00297CD9">
      <w:pPr>
        <w:spacing w:line="360" w:lineRule="auto"/>
        <w:jc w:val="both"/>
        <w:rPr>
          <w:rFonts w:ascii="Palatino Linotype" w:eastAsia="Palatino Linotype" w:hAnsi="Palatino Linotype" w:cs="Palatino Linotype"/>
          <w:i/>
          <w:color w:val="000000"/>
          <w:sz w:val="18"/>
          <w:szCs w:val="18"/>
        </w:rPr>
      </w:pPr>
    </w:p>
    <w:p w14:paraId="466965EE" w14:textId="77777777" w:rsidR="00297CD9" w:rsidRDefault="00512CBA">
      <w:pPr>
        <w:widowControl w:val="0"/>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Nombre y cargo de los servidores públicos adscritos a la Unidad Investigadora</w:t>
      </w:r>
    </w:p>
    <w:p w14:paraId="54783586" w14:textId="77777777" w:rsidR="00297CD9" w:rsidRDefault="00297CD9">
      <w:pPr>
        <w:spacing w:line="360" w:lineRule="auto"/>
        <w:jc w:val="both"/>
        <w:rPr>
          <w:rFonts w:ascii="Palatino Linotype" w:eastAsia="Palatino Linotype" w:hAnsi="Palatino Linotype" w:cs="Palatino Linotype"/>
          <w:color w:val="000000"/>
          <w:sz w:val="22"/>
          <w:szCs w:val="22"/>
        </w:rPr>
      </w:pPr>
    </w:p>
    <w:p w14:paraId="22AA3C42" w14:textId="77777777" w:rsidR="00297CD9" w:rsidRDefault="00512CBA">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Al respecto, la Contraloría Interna señaló que se podía presentar una queja ante la Unidad Investigadora, que como se refirió en párrafos anteriores y conforme al Manual de Organización citado, es el área encargada de recibir las quejas y denuncias para darles trámite, lo cual es correcto, sin embargo, la pretensión del Recurrente no es obtener el área, sino el nombre y cargo de los servidores públicos adscritos a la Unidad Investigadora que reciben denuncias y quejas en contra de servidores públicos, lo cual da como resultado que el agravio sea </w:t>
      </w:r>
      <w:r>
        <w:rPr>
          <w:rFonts w:ascii="Palatino Linotype" w:eastAsia="Palatino Linotype" w:hAnsi="Palatino Linotype" w:cs="Palatino Linotype"/>
          <w:b/>
          <w:color w:val="000000"/>
          <w:sz w:val="22"/>
          <w:szCs w:val="22"/>
        </w:rPr>
        <w:t xml:space="preserve">FUNDADO, </w:t>
      </w:r>
      <w:r>
        <w:rPr>
          <w:rFonts w:ascii="Palatino Linotype" w:eastAsia="Palatino Linotype" w:hAnsi="Palatino Linotype" w:cs="Palatino Linotype"/>
          <w:color w:val="000000"/>
          <w:sz w:val="22"/>
          <w:szCs w:val="22"/>
        </w:rPr>
        <w:t>al encontrarse la información incompleta.</w:t>
      </w:r>
    </w:p>
    <w:p w14:paraId="77D67D00" w14:textId="77777777" w:rsidR="00297CD9" w:rsidRDefault="00297CD9">
      <w:pPr>
        <w:spacing w:line="360" w:lineRule="auto"/>
        <w:jc w:val="both"/>
        <w:rPr>
          <w:rFonts w:ascii="Palatino Linotype" w:eastAsia="Palatino Linotype" w:hAnsi="Palatino Linotype" w:cs="Palatino Linotype"/>
          <w:color w:val="000000"/>
          <w:sz w:val="22"/>
          <w:szCs w:val="22"/>
        </w:rPr>
      </w:pPr>
    </w:p>
    <w:p w14:paraId="7A865EB6" w14:textId="77777777" w:rsidR="00297CD9" w:rsidRDefault="00512CBA">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Así, con el </w:t>
      </w:r>
      <w:r w:rsidR="002D247D">
        <w:rPr>
          <w:rFonts w:ascii="Palatino Linotype" w:eastAsia="Palatino Linotype" w:hAnsi="Palatino Linotype" w:cs="Palatino Linotype"/>
          <w:color w:val="000000"/>
          <w:sz w:val="22"/>
          <w:szCs w:val="22"/>
        </w:rPr>
        <w:t>fin de</w:t>
      </w:r>
      <w:r>
        <w:rPr>
          <w:rFonts w:ascii="Palatino Linotype" w:eastAsia="Palatino Linotype" w:hAnsi="Palatino Linotype" w:cs="Palatino Linotype"/>
          <w:color w:val="000000"/>
          <w:sz w:val="22"/>
          <w:szCs w:val="22"/>
        </w:rPr>
        <w:t xml:space="preserve"> dar cumplimiento a los artículos 12 y 160 de la Ley de Transparencia y Acceso a la Información Pública del Estado de México y Municipios, deberá proporcionar el nombre y cargo de los servidores públicos con los que contaba a la fecha de la solicitud para recibir quejas y denuncias en contra de servidores públicos.</w:t>
      </w:r>
    </w:p>
    <w:p w14:paraId="0FEC53BF" w14:textId="77777777" w:rsidR="00297CD9" w:rsidRDefault="00297CD9">
      <w:pPr>
        <w:spacing w:line="360" w:lineRule="auto"/>
        <w:jc w:val="both"/>
        <w:rPr>
          <w:rFonts w:ascii="Palatino Linotype" w:eastAsia="Palatino Linotype" w:hAnsi="Palatino Linotype" w:cs="Palatino Linotype"/>
          <w:color w:val="000000"/>
          <w:sz w:val="22"/>
          <w:szCs w:val="22"/>
        </w:rPr>
      </w:pPr>
    </w:p>
    <w:p w14:paraId="785581F4" w14:textId="77777777" w:rsidR="00297CD9" w:rsidRDefault="00512CBA">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No pasa desapercibido para este Instituto que los documentos que den cuenta de lo solicitado, pudieran contener datos o información clasificada; al respecto, conforme al </w:t>
      </w:r>
      <w:r>
        <w:rPr>
          <w:rFonts w:ascii="Palatino Linotype" w:eastAsia="Palatino Linotype" w:hAnsi="Palatino Linotype" w:cs="Palatino Linotype"/>
          <w:color w:val="000000"/>
          <w:sz w:val="22"/>
          <w:szCs w:val="22"/>
        </w:rPr>
        <w:lastRenderedPageBreak/>
        <w:t xml:space="preserve">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036756FE" w14:textId="77777777" w:rsidR="00297CD9" w:rsidRDefault="00512CBA">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 </w:t>
      </w:r>
    </w:p>
    <w:p w14:paraId="2E8110BC" w14:textId="77777777" w:rsidR="00297CD9" w:rsidRDefault="00512CBA">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286BDA8F" w14:textId="77777777" w:rsidR="00297CD9" w:rsidRDefault="00297CD9">
      <w:pPr>
        <w:spacing w:line="360" w:lineRule="auto"/>
        <w:jc w:val="both"/>
        <w:rPr>
          <w:rFonts w:ascii="Palatino Linotype" w:eastAsia="Palatino Linotype" w:hAnsi="Palatino Linotype" w:cs="Palatino Linotype"/>
          <w:b/>
          <w:sz w:val="22"/>
          <w:szCs w:val="22"/>
        </w:rPr>
      </w:pPr>
    </w:p>
    <w:p w14:paraId="4CAC66C2" w14:textId="77777777" w:rsidR="00297CD9" w:rsidRDefault="00512CBA">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SEXTO. Decisión</w:t>
      </w:r>
    </w:p>
    <w:p w14:paraId="0CEEECE8" w14:textId="77777777" w:rsidR="00297CD9" w:rsidRDefault="00297CD9">
      <w:pPr>
        <w:spacing w:line="360" w:lineRule="auto"/>
        <w:ind w:firstLine="720"/>
        <w:jc w:val="both"/>
        <w:rPr>
          <w:rFonts w:ascii="Palatino Linotype" w:eastAsia="Palatino Linotype" w:hAnsi="Palatino Linotype" w:cs="Palatino Linotype"/>
          <w:sz w:val="22"/>
          <w:szCs w:val="22"/>
        </w:rPr>
      </w:pPr>
    </w:p>
    <w:p w14:paraId="45033E3F" w14:textId="77777777" w:rsidR="00297CD9" w:rsidRDefault="00512CBA">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fundamento en el artículo 186, fracción III, de la Ley de Transparencia y Acceso a la Información Pública del Estado de México y Municipios, este Instituto considera procedente MODIFICAR la respuesta otorgada por el Sujeto Obligado, a efecto de que entregue, la información faltante.</w:t>
      </w:r>
    </w:p>
    <w:p w14:paraId="2877D90B" w14:textId="77777777" w:rsidR="00297CD9" w:rsidRDefault="00297CD9">
      <w:pPr>
        <w:spacing w:line="360" w:lineRule="auto"/>
        <w:jc w:val="both"/>
        <w:rPr>
          <w:rFonts w:ascii="Palatino Linotype" w:eastAsia="Palatino Linotype" w:hAnsi="Palatino Linotype" w:cs="Palatino Linotype"/>
          <w:b/>
          <w:sz w:val="22"/>
          <w:szCs w:val="22"/>
        </w:rPr>
      </w:pPr>
    </w:p>
    <w:p w14:paraId="18CE52E4" w14:textId="77777777" w:rsidR="00297CD9" w:rsidRDefault="00512CBA">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Términos de la Resolución para conocimiento del Particular</w:t>
      </w:r>
    </w:p>
    <w:p w14:paraId="3E4EAAC7" w14:textId="77777777" w:rsidR="00297CD9" w:rsidRDefault="00297CD9">
      <w:pPr>
        <w:spacing w:line="360" w:lineRule="auto"/>
        <w:jc w:val="both"/>
        <w:rPr>
          <w:rFonts w:ascii="Palatino Linotype" w:eastAsia="Palatino Linotype" w:hAnsi="Palatino Linotype" w:cs="Palatino Linotype"/>
          <w:sz w:val="22"/>
          <w:szCs w:val="22"/>
        </w:rPr>
      </w:pPr>
    </w:p>
    <w:p w14:paraId="6AFA65BD" w14:textId="56925291" w:rsidR="00297CD9" w:rsidRDefault="00512CBA">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Se le hace del conocimiento a la persona Recurrente que, en el presente asunto, se le da la razón, pues el Sujeto Obligado si bien proporcionó parte de la información solicitada, lo cierto es que omitió proporcionarla de manera completa; por lo que, deberá darle acceso a la información faltante, consistente en los Manuales de Organización y Procedimientos, así como, el nombre y cargo de servidores públicos, información que es obligación de </w:t>
      </w:r>
      <w:r>
        <w:rPr>
          <w:rFonts w:ascii="Palatino Linotype" w:eastAsia="Palatino Linotype" w:hAnsi="Palatino Linotype" w:cs="Palatino Linotype"/>
          <w:color w:val="000000"/>
          <w:sz w:val="22"/>
          <w:szCs w:val="22"/>
        </w:rPr>
        <w:lastRenderedPageBreak/>
        <w:t>transparencia, conforme al artículo 92, fracciones I y VII de la Ley de Transparencia y Acceso a la Información Pública del Estado de México y Municipios.</w:t>
      </w:r>
    </w:p>
    <w:p w14:paraId="231DEE83" w14:textId="77777777" w:rsidR="00297CD9" w:rsidRDefault="00297CD9">
      <w:pPr>
        <w:spacing w:line="360" w:lineRule="auto"/>
        <w:jc w:val="both"/>
        <w:rPr>
          <w:rFonts w:ascii="Palatino Linotype" w:eastAsia="Palatino Linotype" w:hAnsi="Palatino Linotype" w:cs="Palatino Linotype"/>
          <w:sz w:val="22"/>
          <w:szCs w:val="22"/>
        </w:rPr>
      </w:pPr>
    </w:p>
    <w:p w14:paraId="4E53CBF7" w14:textId="77777777" w:rsidR="00297CD9" w:rsidRDefault="00512CBA">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Finalmente, se le hace de su conocimiento que la labor del Instituto de Transparencia, Acceso a la Información Pública y Protección de Datos Personales del Estado de México y Municipios, es apoyar a la población a acceder a la información pública y garantizar la protección de sus datos personales.</w:t>
      </w:r>
    </w:p>
    <w:p w14:paraId="7FC49B4B" w14:textId="77777777" w:rsidR="00297CD9" w:rsidRDefault="00297CD9">
      <w:pPr>
        <w:spacing w:line="360" w:lineRule="auto"/>
        <w:jc w:val="both"/>
        <w:rPr>
          <w:rFonts w:ascii="Palatino Linotype" w:eastAsia="Palatino Linotype" w:hAnsi="Palatino Linotype" w:cs="Palatino Linotype"/>
          <w:sz w:val="22"/>
          <w:szCs w:val="22"/>
        </w:rPr>
      </w:pPr>
    </w:p>
    <w:p w14:paraId="348680E9" w14:textId="77777777" w:rsidR="00297CD9" w:rsidRDefault="00512CBA">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expuesto y fundado, este Pleno:</w:t>
      </w:r>
    </w:p>
    <w:p w14:paraId="270C3D71" w14:textId="77777777" w:rsidR="00297CD9" w:rsidRDefault="00297CD9">
      <w:pPr>
        <w:spacing w:line="360" w:lineRule="auto"/>
        <w:jc w:val="center"/>
        <w:rPr>
          <w:rFonts w:ascii="Palatino Linotype" w:eastAsia="Palatino Linotype" w:hAnsi="Palatino Linotype" w:cs="Palatino Linotype"/>
          <w:b/>
          <w:sz w:val="22"/>
          <w:szCs w:val="22"/>
        </w:rPr>
      </w:pPr>
    </w:p>
    <w:p w14:paraId="1B9DE6E1" w14:textId="77777777" w:rsidR="00297CD9" w:rsidRDefault="00512CBA">
      <w:pPr>
        <w:pStyle w:val="Ttulo1"/>
      </w:pPr>
      <w:bookmarkStart w:id="15" w:name="_heading=h.35nkun2" w:colFirst="0" w:colLast="0"/>
      <w:bookmarkEnd w:id="15"/>
      <w:r>
        <w:t>R E S U E L V E</w:t>
      </w:r>
    </w:p>
    <w:p w14:paraId="13AEFC84" w14:textId="77777777" w:rsidR="00297CD9" w:rsidRDefault="00297CD9">
      <w:pPr>
        <w:spacing w:line="360" w:lineRule="auto"/>
        <w:jc w:val="both"/>
        <w:rPr>
          <w:rFonts w:ascii="Palatino Linotype" w:eastAsia="Palatino Linotype" w:hAnsi="Palatino Linotype" w:cs="Palatino Linotype"/>
          <w:b/>
          <w:sz w:val="22"/>
          <w:szCs w:val="22"/>
        </w:rPr>
      </w:pPr>
    </w:p>
    <w:p w14:paraId="3B19FEF6" w14:textId="77777777" w:rsidR="00297CD9" w:rsidRDefault="00512CBA">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PRIMERO.</w:t>
      </w:r>
      <w:r>
        <w:rPr>
          <w:rFonts w:ascii="Palatino Linotype" w:eastAsia="Palatino Linotype" w:hAnsi="Palatino Linotype" w:cs="Palatino Linotype"/>
          <w:sz w:val="22"/>
          <w:szCs w:val="22"/>
        </w:rPr>
        <w:t xml:space="preserve"> Se </w:t>
      </w:r>
      <w:r>
        <w:rPr>
          <w:rFonts w:ascii="Palatino Linotype" w:eastAsia="Palatino Linotype" w:hAnsi="Palatino Linotype" w:cs="Palatino Linotype"/>
          <w:b/>
          <w:sz w:val="22"/>
          <w:szCs w:val="22"/>
        </w:rPr>
        <w:t>MODIFICA</w:t>
      </w:r>
      <w:r>
        <w:rPr>
          <w:rFonts w:ascii="Palatino Linotype" w:eastAsia="Palatino Linotype" w:hAnsi="Palatino Linotype" w:cs="Palatino Linotype"/>
          <w:sz w:val="22"/>
          <w:szCs w:val="22"/>
        </w:rPr>
        <w:t xml:space="preserve"> la respuesta entregada, a las solicitudes de información</w:t>
      </w:r>
      <w:r>
        <w:rPr>
          <w:rFonts w:ascii="Palatino Linotype" w:eastAsia="Palatino Linotype" w:hAnsi="Palatino Linotype" w:cs="Palatino Linotype"/>
          <w:b/>
          <w:color w:val="FF0000"/>
          <w:sz w:val="22"/>
          <w:szCs w:val="22"/>
        </w:rPr>
        <w:t xml:space="preserve"> </w:t>
      </w:r>
      <w:r>
        <w:rPr>
          <w:rFonts w:ascii="Palatino Linotype" w:eastAsia="Palatino Linotype" w:hAnsi="Palatino Linotype" w:cs="Palatino Linotype"/>
          <w:sz w:val="22"/>
          <w:szCs w:val="22"/>
        </w:rPr>
        <w:t>00208/MEXICAL/IP/2024, 00209/MEXICAL/IP/2024,</w:t>
      </w:r>
      <w:r>
        <w:rPr>
          <w:rFonts w:ascii="Palatino Linotype" w:eastAsia="Palatino Linotype" w:hAnsi="Palatino Linotype" w:cs="Palatino Linotype"/>
        </w:rPr>
        <w:t xml:space="preserve"> </w:t>
      </w:r>
      <w:r>
        <w:rPr>
          <w:rFonts w:ascii="Palatino Linotype" w:eastAsia="Palatino Linotype" w:hAnsi="Palatino Linotype" w:cs="Palatino Linotype"/>
          <w:sz w:val="22"/>
          <w:szCs w:val="22"/>
        </w:rPr>
        <w:t xml:space="preserve">00210/MEXICAL/IP/2024, 00213/MEXICAL/IP/2024, 00214/MEXICAL/IP/2024 y 00221/MEXICAL/IP/2024, por resultar </w:t>
      </w:r>
      <w:r>
        <w:rPr>
          <w:rFonts w:ascii="Palatino Linotype" w:eastAsia="Palatino Linotype" w:hAnsi="Palatino Linotype" w:cs="Palatino Linotype"/>
          <w:b/>
          <w:sz w:val="22"/>
          <w:szCs w:val="22"/>
        </w:rPr>
        <w:t xml:space="preserve">FUNDADAS </w:t>
      </w:r>
      <w:r>
        <w:rPr>
          <w:rFonts w:ascii="Palatino Linotype" w:eastAsia="Palatino Linotype" w:hAnsi="Palatino Linotype" w:cs="Palatino Linotype"/>
          <w:sz w:val="22"/>
          <w:szCs w:val="22"/>
        </w:rPr>
        <w:t>las razones o motivos de inconformidad hechos valer por el Recurrente, en términos de los considerandos QUINTO y SEXTO de la presente Resolución.</w:t>
      </w:r>
    </w:p>
    <w:p w14:paraId="6F57073E" w14:textId="77777777" w:rsidR="00297CD9" w:rsidRDefault="00297CD9">
      <w:pPr>
        <w:spacing w:line="360" w:lineRule="auto"/>
        <w:jc w:val="both"/>
        <w:rPr>
          <w:rFonts w:ascii="Palatino Linotype" w:eastAsia="Palatino Linotype" w:hAnsi="Palatino Linotype" w:cs="Palatino Linotype"/>
          <w:sz w:val="22"/>
          <w:szCs w:val="22"/>
        </w:rPr>
      </w:pPr>
    </w:p>
    <w:p w14:paraId="78BDDA98" w14:textId="77777777" w:rsidR="00297CD9" w:rsidRDefault="00512CBA">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sz w:val="22"/>
          <w:szCs w:val="22"/>
        </w:rPr>
        <w:t>SEGUNDO:</w:t>
      </w:r>
      <w:r>
        <w:rPr>
          <w:rFonts w:ascii="Palatino Linotype" w:eastAsia="Palatino Linotype" w:hAnsi="Palatino Linotype" w:cs="Palatino Linotype"/>
          <w:sz w:val="22"/>
          <w:szCs w:val="22"/>
        </w:rPr>
        <w:t xml:space="preserve"> Se </w:t>
      </w:r>
      <w:r>
        <w:rPr>
          <w:rFonts w:ascii="Palatino Linotype" w:eastAsia="Palatino Linotype" w:hAnsi="Palatino Linotype" w:cs="Palatino Linotype"/>
          <w:b/>
          <w:sz w:val="22"/>
          <w:szCs w:val="22"/>
        </w:rPr>
        <w:t>ORDENA</w:t>
      </w:r>
      <w:r>
        <w:rPr>
          <w:rFonts w:ascii="Palatino Linotype" w:eastAsia="Palatino Linotype" w:hAnsi="Palatino Linotype" w:cs="Palatino Linotype"/>
          <w:sz w:val="22"/>
          <w:szCs w:val="22"/>
        </w:rPr>
        <w:t xml:space="preserve"> al Sujeto Obligado, a efecto de que previa búsqueda exhaustiva y razonable, en los archivos de las unidades administrativas competentes, ponga a disposición de la persona Recurrente, entregue a través del Sistema de Acceso a la Información Mexiquense (SAIMEX), </w:t>
      </w:r>
      <w:r>
        <w:rPr>
          <w:rFonts w:ascii="Palatino Linotype" w:eastAsia="Palatino Linotype" w:hAnsi="Palatino Linotype" w:cs="Palatino Linotype"/>
          <w:color w:val="000000"/>
          <w:sz w:val="22"/>
          <w:szCs w:val="22"/>
        </w:rPr>
        <w:t>los documentos que den cuenta de lo siguiente:</w:t>
      </w:r>
    </w:p>
    <w:p w14:paraId="2677E9D6" w14:textId="77777777" w:rsidR="00297CD9" w:rsidRDefault="00297CD9">
      <w:pPr>
        <w:widowControl w:val="0"/>
        <w:spacing w:line="360" w:lineRule="auto"/>
        <w:jc w:val="both"/>
        <w:rPr>
          <w:rFonts w:ascii="Palatino Linotype" w:eastAsia="Palatino Linotype" w:hAnsi="Palatino Linotype" w:cs="Palatino Linotype"/>
          <w:color w:val="000000"/>
          <w:sz w:val="22"/>
          <w:szCs w:val="22"/>
        </w:rPr>
      </w:pPr>
    </w:p>
    <w:p w14:paraId="615290E1" w14:textId="77777777" w:rsidR="00297CD9" w:rsidRDefault="00512CBA">
      <w:pPr>
        <w:widowControl w:val="0"/>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Manual de Organización y de Procedimientos de la Contraloría Interna Municipal, de la Administración 2022-2024, vigentes al diecinueve de noviembre de dos mil veinticuatro, y</w:t>
      </w:r>
    </w:p>
    <w:p w14:paraId="378CF549" w14:textId="77777777" w:rsidR="00297CD9" w:rsidRDefault="00297CD9">
      <w:pPr>
        <w:widowControl w:val="0"/>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p>
    <w:p w14:paraId="35AABA6D" w14:textId="77777777" w:rsidR="00297CD9" w:rsidRDefault="00512CBA">
      <w:pPr>
        <w:widowControl w:val="0"/>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nombre y cargo de los servidores públicos adscritos a la Unidad Investigadora, al diecinueve de noviembre de dos mil veinticuatro, encargados de recibir quejas o denuncias en contra de servidores públicos.</w:t>
      </w:r>
    </w:p>
    <w:p w14:paraId="71BEB752" w14:textId="77777777" w:rsidR="00297CD9" w:rsidRDefault="00297CD9">
      <w:pPr>
        <w:spacing w:line="360" w:lineRule="auto"/>
        <w:jc w:val="both"/>
        <w:rPr>
          <w:rFonts w:ascii="Palatino Linotype" w:eastAsia="Palatino Linotype" w:hAnsi="Palatino Linotype" w:cs="Palatino Linotype"/>
          <w:sz w:val="22"/>
          <w:szCs w:val="22"/>
        </w:rPr>
      </w:pPr>
    </w:p>
    <w:p w14:paraId="3C8BA8D2" w14:textId="77777777" w:rsidR="00297CD9" w:rsidRDefault="00512CBA">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Además, de ser necesario para el numeral 2, deberá proporcionar el Acuerdo de Clasificación donde el Comité de Transparencia, confirme la eliminación de los datos o información, en la versión pública, de conformidad con los artículos 49, fracciones II y VIII y 132, fracción II, de la Ley de Transparencia y Acceso a la Información Pública del Estado de México y Municipios.</w:t>
      </w:r>
    </w:p>
    <w:p w14:paraId="54D846A5" w14:textId="77777777" w:rsidR="00297CD9" w:rsidRDefault="00297CD9">
      <w:pPr>
        <w:spacing w:line="360" w:lineRule="auto"/>
        <w:jc w:val="both"/>
        <w:rPr>
          <w:rFonts w:ascii="Palatino Linotype" w:eastAsia="Palatino Linotype" w:hAnsi="Palatino Linotype" w:cs="Palatino Linotype"/>
          <w:b/>
          <w:sz w:val="22"/>
          <w:szCs w:val="22"/>
        </w:rPr>
      </w:pPr>
    </w:p>
    <w:p w14:paraId="081B174A" w14:textId="77777777" w:rsidR="00297CD9" w:rsidRDefault="00512CBA">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TERCERO.</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NOTIFÍQUESE POR SAIMEX</w:t>
      </w:r>
      <w:r>
        <w:rPr>
          <w:rFonts w:ascii="Palatino Linotype" w:eastAsia="Palatino Linotype" w:hAnsi="Palatino Linotype" w:cs="Palatino Linotype"/>
          <w:sz w:val="22"/>
          <w:szCs w:val="22"/>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12592237" w14:textId="77777777" w:rsidR="00297CD9" w:rsidRDefault="00297CD9">
      <w:pPr>
        <w:spacing w:line="360" w:lineRule="auto"/>
        <w:jc w:val="both"/>
        <w:rPr>
          <w:rFonts w:ascii="Palatino Linotype" w:eastAsia="Palatino Linotype" w:hAnsi="Palatino Linotype" w:cs="Palatino Linotype"/>
          <w:sz w:val="22"/>
          <w:szCs w:val="22"/>
        </w:rPr>
      </w:pPr>
    </w:p>
    <w:p w14:paraId="00825188" w14:textId="77777777" w:rsidR="00297CD9" w:rsidRDefault="00512CBA">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conformidad con el artículo 198 de la Ley de la materia, de considerarlo procedente, el Sujeto Obligado de manera fundada y motivada, podrá solicitar una ampliación de plazo para el cumplimiento de la presente resolución.</w:t>
      </w:r>
    </w:p>
    <w:p w14:paraId="227E6EB4" w14:textId="77777777" w:rsidR="00297CD9" w:rsidRDefault="00297CD9">
      <w:pPr>
        <w:spacing w:line="360" w:lineRule="auto"/>
        <w:jc w:val="both"/>
        <w:rPr>
          <w:rFonts w:ascii="Palatino Linotype" w:eastAsia="Palatino Linotype" w:hAnsi="Palatino Linotype" w:cs="Palatino Linotype"/>
          <w:sz w:val="22"/>
          <w:szCs w:val="22"/>
        </w:rPr>
      </w:pPr>
    </w:p>
    <w:p w14:paraId="6769ADE1" w14:textId="77777777" w:rsidR="00297CD9" w:rsidRDefault="00512CBA">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lastRenderedPageBreak/>
        <w:t>CUARTO. NOTIFÍQUESE</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POR SAIMEX</w:t>
      </w:r>
      <w:r>
        <w:rPr>
          <w:rFonts w:ascii="Palatino Linotype" w:eastAsia="Palatino Linotype" w:hAnsi="Palatino Linotype" w:cs="Palatino Linotype"/>
          <w:sz w:val="22"/>
          <w:szCs w:val="22"/>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 </w:t>
      </w:r>
    </w:p>
    <w:p w14:paraId="5C4088CF" w14:textId="77777777" w:rsidR="00297CD9" w:rsidRDefault="00297CD9">
      <w:pPr>
        <w:spacing w:line="360" w:lineRule="auto"/>
        <w:jc w:val="both"/>
        <w:rPr>
          <w:rFonts w:ascii="Palatino Linotype" w:eastAsia="Palatino Linotype" w:hAnsi="Palatino Linotype" w:cs="Palatino Linotype"/>
          <w:sz w:val="22"/>
          <w:szCs w:val="22"/>
        </w:rPr>
      </w:pPr>
    </w:p>
    <w:p w14:paraId="32CD5D4B" w14:textId="470E5551" w:rsidR="00297CD9" w:rsidRDefault="00512CBA">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LO RESUELVE, POR </w:t>
      </w:r>
      <w:r w:rsidRPr="00E2092D">
        <w:rPr>
          <w:rFonts w:ascii="Palatino Linotype" w:eastAsia="Palatino Linotype" w:hAnsi="Palatino Linotype" w:cs="Palatino Linotype"/>
          <w:b/>
          <w:sz w:val="22"/>
          <w:szCs w:val="22"/>
        </w:rPr>
        <w:t>UNANIMIDAD</w:t>
      </w:r>
      <w:r>
        <w:rPr>
          <w:rFonts w:ascii="Palatino Linotype" w:eastAsia="Palatino Linotype" w:hAnsi="Palatino Linotype" w:cs="Palatino Linotype"/>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SEGUNDA SESIÓN ORDINARIA, CELEBRADA EL  VEINTIDÓS DE ENERO DE DOS MIL V</w:t>
      </w:r>
      <w:r w:rsidR="00E2092D">
        <w:rPr>
          <w:rFonts w:ascii="Palatino Linotype" w:eastAsia="Palatino Linotype" w:hAnsi="Palatino Linotype" w:cs="Palatino Linotype"/>
          <w:sz w:val="22"/>
          <w:szCs w:val="22"/>
        </w:rPr>
        <w:t>EINTICINCO</w:t>
      </w:r>
      <w:r>
        <w:rPr>
          <w:rFonts w:ascii="Palatino Linotype" w:eastAsia="Palatino Linotype" w:hAnsi="Palatino Linotype" w:cs="Palatino Linotype"/>
          <w:sz w:val="22"/>
          <w:szCs w:val="22"/>
        </w:rPr>
        <w:t>, ANTE EL SECRETARIO TÉCNICO DEL PLENO, ALEXIS TAPIA RAMÍREZ.</w:t>
      </w:r>
    </w:p>
    <w:p w14:paraId="0B80D5E6" w14:textId="77777777" w:rsidR="00297CD9" w:rsidRDefault="00297CD9">
      <w:pPr>
        <w:spacing w:line="360" w:lineRule="auto"/>
        <w:rPr>
          <w:rFonts w:ascii="Palatino Linotype" w:eastAsia="Palatino Linotype" w:hAnsi="Palatino Linotype" w:cs="Palatino Linotype"/>
          <w:sz w:val="22"/>
          <w:szCs w:val="22"/>
        </w:rPr>
      </w:pPr>
    </w:p>
    <w:p w14:paraId="689A8F40" w14:textId="77777777" w:rsidR="00297CD9" w:rsidRDefault="00297CD9">
      <w:pPr>
        <w:spacing w:line="360" w:lineRule="auto"/>
      </w:pPr>
    </w:p>
    <w:p w14:paraId="0C767B05" w14:textId="77777777" w:rsidR="00297CD9" w:rsidRDefault="00297CD9">
      <w:pPr>
        <w:spacing w:line="360" w:lineRule="auto"/>
      </w:pPr>
    </w:p>
    <w:p w14:paraId="385A3074" w14:textId="77777777" w:rsidR="00297CD9" w:rsidRDefault="00297CD9">
      <w:pPr>
        <w:spacing w:line="360" w:lineRule="auto"/>
      </w:pPr>
    </w:p>
    <w:p w14:paraId="7701B079" w14:textId="77777777" w:rsidR="00297CD9" w:rsidRDefault="00297CD9">
      <w:pPr>
        <w:spacing w:line="360" w:lineRule="auto"/>
      </w:pPr>
    </w:p>
    <w:p w14:paraId="16DC0619" w14:textId="77777777" w:rsidR="00297CD9" w:rsidRDefault="00297CD9">
      <w:pPr>
        <w:spacing w:line="360" w:lineRule="auto"/>
      </w:pPr>
    </w:p>
    <w:p w14:paraId="11E2B58A" w14:textId="77777777" w:rsidR="00297CD9" w:rsidRDefault="00297CD9">
      <w:pPr>
        <w:spacing w:line="360" w:lineRule="auto"/>
      </w:pPr>
    </w:p>
    <w:p w14:paraId="415B3B69" w14:textId="77777777" w:rsidR="00297CD9" w:rsidRDefault="00297CD9">
      <w:pPr>
        <w:spacing w:line="360" w:lineRule="auto"/>
      </w:pPr>
    </w:p>
    <w:p w14:paraId="64030189" w14:textId="77777777" w:rsidR="00297CD9" w:rsidRDefault="00297CD9">
      <w:pPr>
        <w:spacing w:line="360" w:lineRule="auto"/>
      </w:pPr>
    </w:p>
    <w:p w14:paraId="625ECF2A" w14:textId="77777777" w:rsidR="00297CD9" w:rsidRDefault="00297CD9">
      <w:pPr>
        <w:spacing w:line="360" w:lineRule="auto"/>
      </w:pPr>
    </w:p>
    <w:p w14:paraId="6A3E7BC3" w14:textId="77777777" w:rsidR="00297CD9" w:rsidRDefault="00297CD9">
      <w:pPr>
        <w:spacing w:line="360" w:lineRule="auto"/>
      </w:pPr>
    </w:p>
    <w:p w14:paraId="7A1ECB31" w14:textId="77777777" w:rsidR="00297CD9" w:rsidRDefault="00297CD9">
      <w:pPr>
        <w:spacing w:line="360" w:lineRule="auto"/>
      </w:pPr>
    </w:p>
    <w:p w14:paraId="0A661176" w14:textId="77777777" w:rsidR="00297CD9" w:rsidRDefault="00297CD9">
      <w:pPr>
        <w:spacing w:line="360" w:lineRule="auto"/>
      </w:pPr>
    </w:p>
    <w:p w14:paraId="08B89CAF" w14:textId="77777777" w:rsidR="00297CD9" w:rsidRDefault="00297CD9">
      <w:pPr>
        <w:spacing w:line="360" w:lineRule="auto"/>
      </w:pPr>
    </w:p>
    <w:p w14:paraId="2D5F9D9F" w14:textId="77777777" w:rsidR="00297CD9" w:rsidRDefault="00297CD9">
      <w:pPr>
        <w:spacing w:line="360" w:lineRule="auto"/>
      </w:pPr>
    </w:p>
    <w:p w14:paraId="482EB181" w14:textId="77777777" w:rsidR="00297CD9" w:rsidRDefault="00297CD9">
      <w:pPr>
        <w:spacing w:line="360" w:lineRule="auto"/>
      </w:pPr>
    </w:p>
    <w:p w14:paraId="425C8C69" w14:textId="77777777" w:rsidR="00297CD9" w:rsidRDefault="00297CD9">
      <w:pPr>
        <w:spacing w:line="360" w:lineRule="auto"/>
      </w:pPr>
    </w:p>
    <w:p w14:paraId="73837D38" w14:textId="77777777" w:rsidR="00297CD9" w:rsidRDefault="00297CD9">
      <w:pPr>
        <w:spacing w:line="360" w:lineRule="auto"/>
      </w:pPr>
    </w:p>
    <w:p w14:paraId="1667CED3" w14:textId="77777777" w:rsidR="00297CD9" w:rsidRDefault="00297CD9">
      <w:pPr>
        <w:spacing w:line="360" w:lineRule="auto"/>
      </w:pPr>
    </w:p>
    <w:p w14:paraId="27762356" w14:textId="77777777" w:rsidR="00297CD9" w:rsidRDefault="00297CD9">
      <w:pPr>
        <w:spacing w:line="360" w:lineRule="auto"/>
      </w:pPr>
    </w:p>
    <w:p w14:paraId="7A3653EF" w14:textId="77777777" w:rsidR="00297CD9" w:rsidRDefault="00297CD9">
      <w:pPr>
        <w:spacing w:line="360" w:lineRule="auto"/>
      </w:pPr>
    </w:p>
    <w:p w14:paraId="113EF2C9" w14:textId="77777777" w:rsidR="00297CD9" w:rsidRDefault="00297CD9">
      <w:pPr>
        <w:spacing w:line="360" w:lineRule="auto"/>
      </w:pPr>
    </w:p>
    <w:p w14:paraId="36F4BF58" w14:textId="77777777" w:rsidR="00297CD9" w:rsidRDefault="00297CD9">
      <w:pPr>
        <w:spacing w:line="360" w:lineRule="auto"/>
      </w:pPr>
    </w:p>
    <w:sectPr w:rsidR="00297CD9">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5"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7B145" w14:textId="77777777" w:rsidR="00F50720" w:rsidRDefault="00F50720">
      <w:r>
        <w:separator/>
      </w:r>
    </w:p>
  </w:endnote>
  <w:endnote w:type="continuationSeparator" w:id="0">
    <w:p w14:paraId="5B4BDEE1" w14:textId="77777777" w:rsidR="00F50720" w:rsidRDefault="00F50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Palatino Linotype">
    <w:altName w:val="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C6481" w14:textId="77777777" w:rsidR="00297CD9" w:rsidRDefault="00512CBA">
    <w:pPr>
      <w:pBdr>
        <w:top w:val="nil"/>
        <w:left w:val="nil"/>
        <w:bottom w:val="nil"/>
        <w:right w:val="nil"/>
        <w:between w:val="nil"/>
      </w:pBdr>
      <w:tabs>
        <w:tab w:val="center" w:pos="4419"/>
        <w:tab w:val="right" w:pos="8838"/>
      </w:tabs>
      <w:jc w:val="right"/>
      <w:rPr>
        <w:color w:val="000000"/>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312AF4">
      <w:rPr>
        <w:rFonts w:ascii="Palatino Linotype" w:eastAsia="Palatino Linotype" w:hAnsi="Palatino Linotype" w:cs="Palatino Linotype"/>
        <w:b/>
        <w:noProof/>
        <w:color w:val="000000"/>
        <w:sz w:val="22"/>
        <w:szCs w:val="22"/>
      </w:rPr>
      <w:t>28</w:t>
    </w:r>
    <w:r>
      <w:rPr>
        <w:rFonts w:ascii="Palatino Linotype" w:eastAsia="Palatino Linotype" w:hAnsi="Palatino Linotype" w:cs="Palatino Linotype"/>
        <w:b/>
        <w:color w:val="000000"/>
        <w:sz w:val="22"/>
        <w:szCs w:val="22"/>
      </w:rPr>
      <w:fldChar w:fldCharType="end"/>
    </w:r>
  </w:p>
  <w:p w14:paraId="5BD89030" w14:textId="77777777" w:rsidR="00297CD9" w:rsidRDefault="00297CD9">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08485" w14:textId="77777777" w:rsidR="00297CD9" w:rsidRDefault="00512CBA">
    <w:pPr>
      <w:pBdr>
        <w:top w:val="nil"/>
        <w:left w:val="nil"/>
        <w:bottom w:val="nil"/>
        <w:right w:val="nil"/>
        <w:between w:val="nil"/>
      </w:pBdr>
      <w:tabs>
        <w:tab w:val="center" w:pos="4419"/>
        <w:tab w:val="right" w:pos="8838"/>
      </w:tabs>
      <w:jc w:val="right"/>
      <w:rPr>
        <w:color w:val="000000"/>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10741D">
      <w:rPr>
        <w:rFonts w:ascii="Palatino Linotype" w:eastAsia="Palatino Linotype" w:hAnsi="Palatino Linotype" w:cs="Palatino Linotype"/>
        <w:b/>
        <w:noProof/>
        <w:color w:val="000000"/>
        <w:sz w:val="22"/>
        <w:szCs w:val="22"/>
      </w:rPr>
      <w:t>10</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10741D">
      <w:rPr>
        <w:rFonts w:ascii="Palatino Linotype" w:eastAsia="Palatino Linotype" w:hAnsi="Palatino Linotype" w:cs="Palatino Linotype"/>
        <w:b/>
        <w:noProof/>
        <w:color w:val="000000"/>
        <w:sz w:val="22"/>
        <w:szCs w:val="22"/>
      </w:rPr>
      <w:t>28</w:t>
    </w:r>
    <w:r>
      <w:rPr>
        <w:rFonts w:ascii="Palatino Linotype" w:eastAsia="Palatino Linotype" w:hAnsi="Palatino Linotype" w:cs="Palatino Linotype"/>
        <w:b/>
        <w:color w:val="000000"/>
        <w:sz w:val="22"/>
        <w:szCs w:val="22"/>
      </w:rPr>
      <w:fldChar w:fldCharType="end"/>
    </w:r>
  </w:p>
  <w:p w14:paraId="4388CD9D" w14:textId="77777777" w:rsidR="00297CD9" w:rsidRDefault="00297CD9">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F8476" w14:textId="77777777" w:rsidR="00297CD9" w:rsidRDefault="00512CBA">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10741D">
      <w:rPr>
        <w:rFonts w:ascii="Palatino Linotype" w:eastAsia="Palatino Linotype" w:hAnsi="Palatino Linotype" w:cs="Palatino Linotype"/>
        <w:b/>
        <w:noProof/>
        <w:color w:val="000000"/>
        <w:sz w:val="22"/>
        <w:szCs w:val="22"/>
      </w:rPr>
      <w:t>1</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10741D">
      <w:rPr>
        <w:rFonts w:ascii="Palatino Linotype" w:eastAsia="Palatino Linotype" w:hAnsi="Palatino Linotype" w:cs="Palatino Linotype"/>
        <w:b/>
        <w:noProof/>
        <w:color w:val="000000"/>
        <w:sz w:val="22"/>
        <w:szCs w:val="22"/>
      </w:rPr>
      <w:t>28</w:t>
    </w:r>
    <w:r>
      <w:rPr>
        <w:rFonts w:ascii="Palatino Linotype" w:eastAsia="Palatino Linotype" w:hAnsi="Palatino Linotype" w:cs="Palatino Linotype"/>
        <w:b/>
        <w:color w:val="000000"/>
        <w:sz w:val="22"/>
        <w:szCs w:val="22"/>
      </w:rPr>
      <w:fldChar w:fldCharType="end"/>
    </w:r>
  </w:p>
  <w:p w14:paraId="7AC94ED9" w14:textId="77777777" w:rsidR="00297CD9" w:rsidRDefault="00297CD9">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275E1C" w14:textId="77777777" w:rsidR="00F50720" w:rsidRDefault="00F50720">
      <w:r>
        <w:separator/>
      </w:r>
    </w:p>
  </w:footnote>
  <w:footnote w:type="continuationSeparator" w:id="0">
    <w:p w14:paraId="56C300DE" w14:textId="77777777" w:rsidR="00F50720" w:rsidRDefault="00F507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85E29" w14:textId="77777777" w:rsidR="00297CD9" w:rsidRDefault="00297CD9">
    <w:pPr>
      <w:widowControl w:val="0"/>
      <w:pBdr>
        <w:top w:val="nil"/>
        <w:left w:val="nil"/>
        <w:bottom w:val="nil"/>
        <w:right w:val="nil"/>
        <w:between w:val="nil"/>
      </w:pBdr>
      <w:spacing w:line="276" w:lineRule="auto"/>
    </w:pPr>
  </w:p>
  <w:tbl>
    <w:tblPr>
      <w:tblStyle w:val="a0"/>
      <w:tblW w:w="9705" w:type="dxa"/>
      <w:tblInd w:w="0" w:type="dxa"/>
      <w:tblLayout w:type="fixed"/>
      <w:tblLook w:val="0400" w:firstRow="0" w:lastRow="0" w:firstColumn="0" w:lastColumn="0" w:noHBand="0" w:noVBand="1"/>
    </w:tblPr>
    <w:tblGrid>
      <w:gridCol w:w="2972"/>
      <w:gridCol w:w="6733"/>
    </w:tblGrid>
    <w:tr w:rsidR="00297CD9" w14:paraId="36333717" w14:textId="77777777">
      <w:trPr>
        <w:trHeight w:val="1435"/>
      </w:trPr>
      <w:tc>
        <w:tcPr>
          <w:tcW w:w="2972" w:type="dxa"/>
        </w:tcPr>
        <w:p w14:paraId="424120C3" w14:textId="77777777" w:rsidR="00297CD9" w:rsidRDefault="00297CD9">
          <w:pPr>
            <w:tabs>
              <w:tab w:val="right" w:pos="4273"/>
            </w:tabs>
            <w:spacing w:line="256" w:lineRule="auto"/>
            <w:rPr>
              <w:rFonts w:ascii="Garamond" w:eastAsia="Garamond" w:hAnsi="Garamond" w:cs="Garamond"/>
              <w:sz w:val="22"/>
              <w:szCs w:val="22"/>
            </w:rPr>
          </w:pPr>
        </w:p>
      </w:tc>
      <w:tc>
        <w:tcPr>
          <w:tcW w:w="6733" w:type="dxa"/>
        </w:tcPr>
        <w:p w14:paraId="5792B8D2" w14:textId="77777777" w:rsidR="00297CD9" w:rsidRDefault="00297CD9">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1"/>
            <w:tblW w:w="5535" w:type="dxa"/>
            <w:tblInd w:w="322" w:type="dxa"/>
            <w:tblBorders>
              <w:top w:val="nil"/>
              <w:left w:val="nil"/>
              <w:bottom w:val="nil"/>
              <w:right w:val="nil"/>
              <w:insideH w:val="nil"/>
              <w:insideV w:val="nil"/>
            </w:tblBorders>
            <w:tblLayout w:type="fixed"/>
            <w:tblLook w:val="0400" w:firstRow="0" w:lastRow="0" w:firstColumn="0" w:lastColumn="0" w:noHBand="0" w:noVBand="1"/>
          </w:tblPr>
          <w:tblGrid>
            <w:gridCol w:w="2447"/>
            <w:gridCol w:w="3088"/>
          </w:tblGrid>
          <w:tr w:rsidR="00297CD9" w14:paraId="237E59A1" w14:textId="77777777">
            <w:trPr>
              <w:trHeight w:val="144"/>
            </w:trPr>
            <w:tc>
              <w:tcPr>
                <w:tcW w:w="2447" w:type="dxa"/>
              </w:tcPr>
              <w:p w14:paraId="32C94447" w14:textId="77777777" w:rsidR="00297CD9" w:rsidRDefault="00512CBA">
                <w:pPr>
                  <w:tabs>
                    <w:tab w:val="right" w:pos="8838"/>
                  </w:tabs>
                  <w:ind w:left="-69"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088" w:type="dxa"/>
              </w:tcPr>
              <w:p w14:paraId="6E4D3886" w14:textId="77777777" w:rsidR="00297CD9" w:rsidRDefault="00512CBA">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02946/INFOEM/IP/RR/2021</w:t>
                </w:r>
              </w:p>
            </w:tc>
          </w:tr>
          <w:tr w:rsidR="00297CD9" w14:paraId="2FEC3BB0" w14:textId="77777777">
            <w:trPr>
              <w:trHeight w:val="283"/>
            </w:trPr>
            <w:tc>
              <w:tcPr>
                <w:tcW w:w="2447" w:type="dxa"/>
              </w:tcPr>
              <w:p w14:paraId="41412D29" w14:textId="77777777" w:rsidR="00297CD9" w:rsidRDefault="00512CBA">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088" w:type="dxa"/>
              </w:tcPr>
              <w:p w14:paraId="7C6E5628" w14:textId="77777777" w:rsidR="00297CD9" w:rsidRDefault="00512CBA">
                <w:pPr>
                  <w:tabs>
                    <w:tab w:val="left" w:pos="2834"/>
                    <w:tab w:val="right" w:pos="8838"/>
                  </w:tabs>
                  <w:ind w:left="-74"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Ayuntamiento de San Antonio la Isla</w:t>
                </w:r>
              </w:p>
            </w:tc>
          </w:tr>
          <w:tr w:rsidR="00297CD9" w14:paraId="08A21139" w14:textId="77777777">
            <w:trPr>
              <w:trHeight w:val="283"/>
            </w:trPr>
            <w:tc>
              <w:tcPr>
                <w:tcW w:w="2447" w:type="dxa"/>
              </w:tcPr>
              <w:p w14:paraId="14BA8BDB" w14:textId="77777777" w:rsidR="00297CD9" w:rsidRDefault="00512CBA">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088" w:type="dxa"/>
              </w:tcPr>
              <w:p w14:paraId="53941DE2" w14:textId="77777777" w:rsidR="00297CD9" w:rsidRDefault="00512CBA">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p w14:paraId="744B5252" w14:textId="77777777" w:rsidR="00297CD9" w:rsidRDefault="00297CD9">
                <w:pPr>
                  <w:tabs>
                    <w:tab w:val="right" w:pos="8838"/>
                  </w:tabs>
                  <w:ind w:left="-74" w:right="-105"/>
                  <w:jc w:val="both"/>
                  <w:rPr>
                    <w:rFonts w:ascii="Palatino Linotype" w:eastAsia="Palatino Linotype" w:hAnsi="Palatino Linotype" w:cs="Palatino Linotype"/>
                    <w:b/>
                    <w:sz w:val="22"/>
                    <w:szCs w:val="22"/>
                  </w:rPr>
                </w:pPr>
              </w:p>
            </w:tc>
          </w:tr>
        </w:tbl>
        <w:p w14:paraId="4C7B6DE1" w14:textId="77777777" w:rsidR="00297CD9" w:rsidRDefault="00297CD9">
          <w:pPr>
            <w:tabs>
              <w:tab w:val="right" w:pos="8838"/>
            </w:tabs>
            <w:spacing w:line="256" w:lineRule="auto"/>
            <w:ind w:left="-28"/>
            <w:jc w:val="both"/>
            <w:rPr>
              <w:rFonts w:ascii="Arial" w:eastAsia="Arial" w:hAnsi="Arial" w:cs="Arial"/>
              <w:b/>
              <w:sz w:val="22"/>
              <w:szCs w:val="22"/>
            </w:rPr>
          </w:pPr>
        </w:p>
      </w:tc>
    </w:tr>
  </w:tbl>
  <w:p w14:paraId="65D54BD7" w14:textId="77777777" w:rsidR="00297CD9" w:rsidRDefault="00512CBA">
    <w:pPr>
      <w:pBdr>
        <w:top w:val="nil"/>
        <w:left w:val="nil"/>
        <w:bottom w:val="nil"/>
        <w:right w:val="nil"/>
        <w:between w:val="nil"/>
      </w:pBdr>
      <w:tabs>
        <w:tab w:val="center" w:pos="4419"/>
        <w:tab w:val="right" w:pos="8838"/>
      </w:tabs>
      <w:rPr>
        <w:color w:val="000000"/>
      </w:rPr>
    </w:pPr>
    <w:r>
      <w:rPr>
        <w:rFonts w:ascii="Garamond" w:eastAsia="Garamond" w:hAnsi="Garamond" w:cs="Garamond"/>
        <w:noProof/>
        <w:color w:val="000000"/>
        <w:sz w:val="22"/>
        <w:szCs w:val="22"/>
        <w:lang w:eastAsia="es-MX"/>
      </w:rPr>
      <w:drawing>
        <wp:anchor distT="0" distB="0" distL="0" distR="0" simplePos="0" relativeHeight="251657728" behindDoc="1" locked="0" layoutInCell="1" hidden="0" allowOverlap="1" wp14:anchorId="084F16CA" wp14:editId="5D29E792">
          <wp:simplePos x="0" y="0"/>
          <wp:positionH relativeFrom="margin">
            <wp:posOffset>-1381124</wp:posOffset>
          </wp:positionH>
          <wp:positionV relativeFrom="margin">
            <wp:posOffset>-1611629</wp:posOffset>
          </wp:positionV>
          <wp:extent cx="5612130" cy="7308215"/>
          <wp:effectExtent l="0" t="0" r="0" b="0"/>
          <wp:wrapNone/>
          <wp:docPr id="147827534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612130" cy="7308215"/>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5025B" w14:textId="1670A681" w:rsidR="00297CD9" w:rsidRDefault="00297CD9">
    <w:pPr>
      <w:widowControl w:val="0"/>
      <w:pBdr>
        <w:top w:val="nil"/>
        <w:left w:val="nil"/>
        <w:bottom w:val="nil"/>
        <w:right w:val="nil"/>
        <w:between w:val="nil"/>
      </w:pBdr>
      <w:spacing w:line="276" w:lineRule="auto"/>
      <w:rPr>
        <w:color w:val="000000"/>
      </w:rPr>
    </w:pPr>
  </w:p>
  <w:tbl>
    <w:tblPr>
      <w:tblStyle w:val="a2"/>
      <w:tblW w:w="9356" w:type="dxa"/>
      <w:tblInd w:w="0" w:type="dxa"/>
      <w:tblLayout w:type="fixed"/>
      <w:tblLook w:val="0400" w:firstRow="0" w:lastRow="0" w:firstColumn="0" w:lastColumn="0" w:noHBand="0" w:noVBand="1"/>
    </w:tblPr>
    <w:tblGrid>
      <w:gridCol w:w="1276"/>
      <w:gridCol w:w="8080"/>
    </w:tblGrid>
    <w:tr w:rsidR="00297CD9" w14:paraId="7430F17E" w14:textId="77777777">
      <w:trPr>
        <w:trHeight w:val="1435"/>
      </w:trPr>
      <w:tc>
        <w:tcPr>
          <w:tcW w:w="1276" w:type="dxa"/>
        </w:tcPr>
        <w:p w14:paraId="45A81C26" w14:textId="7AB04E65" w:rsidR="00297CD9" w:rsidRDefault="00DE585E">
          <w:pPr>
            <w:tabs>
              <w:tab w:val="right" w:pos="4273"/>
            </w:tabs>
            <w:spacing w:line="256" w:lineRule="auto"/>
            <w:rPr>
              <w:rFonts w:ascii="Garamond" w:eastAsia="Garamond" w:hAnsi="Garamond" w:cs="Garamond"/>
              <w:sz w:val="22"/>
              <w:szCs w:val="22"/>
            </w:rPr>
          </w:pPr>
          <w:r>
            <w:rPr>
              <w:noProof/>
              <w:lang w:eastAsia="es-MX"/>
            </w:rPr>
            <w:drawing>
              <wp:anchor distT="0" distB="0" distL="0" distR="0" simplePos="0" relativeHeight="251656704" behindDoc="1" locked="0" layoutInCell="1" hidden="0" allowOverlap="1" wp14:anchorId="2BA5C1FA" wp14:editId="5F2EADCE">
                <wp:simplePos x="0" y="0"/>
                <wp:positionH relativeFrom="page">
                  <wp:posOffset>-1080135</wp:posOffset>
                </wp:positionH>
                <wp:positionV relativeFrom="paragraph">
                  <wp:posOffset>-485775</wp:posOffset>
                </wp:positionV>
                <wp:extent cx="7835900" cy="10203815"/>
                <wp:effectExtent l="0" t="0" r="0" b="6985"/>
                <wp:wrapNone/>
                <wp:docPr id="147827533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835900" cy="10203815"/>
                        </a:xfrm>
                        <a:prstGeom prst="rect">
                          <a:avLst/>
                        </a:prstGeom>
                        <a:ln/>
                      </pic:spPr>
                    </pic:pic>
                  </a:graphicData>
                </a:graphic>
              </wp:anchor>
            </w:drawing>
          </w:r>
        </w:p>
      </w:tc>
      <w:tc>
        <w:tcPr>
          <w:tcW w:w="8080" w:type="dxa"/>
        </w:tcPr>
        <w:p w14:paraId="5D4CB565" w14:textId="77777777" w:rsidR="00297CD9" w:rsidRDefault="00297CD9">
          <w:pPr>
            <w:rPr>
              <w:sz w:val="28"/>
              <w:szCs w:val="28"/>
            </w:rPr>
          </w:pPr>
        </w:p>
        <w:tbl>
          <w:tblPr>
            <w:tblStyle w:val="a3"/>
            <w:tblW w:w="9004" w:type="dxa"/>
            <w:tblInd w:w="168" w:type="dxa"/>
            <w:tblBorders>
              <w:top w:val="nil"/>
              <w:left w:val="nil"/>
              <w:bottom w:val="nil"/>
              <w:right w:val="nil"/>
              <w:insideH w:val="nil"/>
              <w:insideV w:val="nil"/>
            </w:tblBorders>
            <w:tblLayout w:type="fixed"/>
            <w:tblLook w:val="0400" w:firstRow="0" w:lastRow="0" w:firstColumn="0" w:lastColumn="0" w:noHBand="0" w:noVBand="1"/>
          </w:tblPr>
          <w:tblGrid>
            <w:gridCol w:w="3184"/>
            <w:gridCol w:w="4340"/>
            <w:gridCol w:w="1480"/>
          </w:tblGrid>
          <w:tr w:rsidR="00297CD9" w14:paraId="22206256" w14:textId="77777777">
            <w:trPr>
              <w:trHeight w:val="219"/>
            </w:trPr>
            <w:tc>
              <w:tcPr>
                <w:tcW w:w="3184" w:type="dxa"/>
              </w:tcPr>
              <w:p w14:paraId="62D7CA7E" w14:textId="77777777" w:rsidR="00297CD9" w:rsidRDefault="00512CBA">
                <w:pPr>
                  <w:tabs>
                    <w:tab w:val="right" w:pos="8838"/>
                  </w:tabs>
                  <w:ind w:left="-11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Recurso de Revisión:</w:t>
                </w:r>
              </w:p>
            </w:tc>
            <w:tc>
              <w:tcPr>
                <w:tcW w:w="4340" w:type="dxa"/>
              </w:tcPr>
              <w:p w14:paraId="0B8025B5" w14:textId="77777777" w:rsidR="00297CD9" w:rsidRDefault="00512CBA">
                <w:pPr>
                  <w:tabs>
                    <w:tab w:val="right" w:pos="8838"/>
                  </w:tabs>
                  <w:ind w:left="-11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07621/INFOEM/IP/RR/2024 y acumulados</w:t>
                </w:r>
              </w:p>
            </w:tc>
            <w:tc>
              <w:tcPr>
                <w:tcW w:w="1480" w:type="dxa"/>
              </w:tcPr>
              <w:p w14:paraId="4E3353BD" w14:textId="77777777" w:rsidR="00297CD9" w:rsidRDefault="00297CD9">
                <w:pPr>
                  <w:tabs>
                    <w:tab w:val="right" w:pos="8838"/>
                  </w:tabs>
                  <w:ind w:left="-114" w:right="-105"/>
                  <w:jc w:val="both"/>
                  <w:rPr>
                    <w:rFonts w:ascii="Palatino Linotype" w:eastAsia="Palatino Linotype" w:hAnsi="Palatino Linotype" w:cs="Palatino Linotype"/>
                    <w:sz w:val="22"/>
                    <w:szCs w:val="22"/>
                  </w:rPr>
                </w:pPr>
              </w:p>
            </w:tc>
          </w:tr>
          <w:tr w:rsidR="00297CD9" w14:paraId="4EB78D42" w14:textId="77777777">
            <w:trPr>
              <w:trHeight w:val="99"/>
            </w:trPr>
            <w:tc>
              <w:tcPr>
                <w:tcW w:w="3184" w:type="dxa"/>
              </w:tcPr>
              <w:p w14:paraId="4F694D91" w14:textId="77777777" w:rsidR="00297CD9" w:rsidRDefault="00512CBA">
                <w:pPr>
                  <w:tabs>
                    <w:tab w:val="right" w:pos="8838"/>
                  </w:tabs>
                  <w:ind w:left="-11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Sujeto Obligado:</w:t>
                </w:r>
              </w:p>
            </w:tc>
            <w:tc>
              <w:tcPr>
                <w:tcW w:w="4340" w:type="dxa"/>
              </w:tcPr>
              <w:p w14:paraId="15D182BA" w14:textId="77777777" w:rsidR="00297CD9" w:rsidRDefault="00512CBA">
                <w:pPr>
                  <w:tabs>
                    <w:tab w:val="left" w:pos="2834"/>
                    <w:tab w:val="right" w:pos="8838"/>
                  </w:tabs>
                  <w:ind w:left="-114"/>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Ayuntamiento de Mexicaltzingo</w:t>
                </w:r>
              </w:p>
            </w:tc>
            <w:tc>
              <w:tcPr>
                <w:tcW w:w="1480" w:type="dxa"/>
              </w:tcPr>
              <w:p w14:paraId="2190E540" w14:textId="77777777" w:rsidR="00297CD9" w:rsidRDefault="00297CD9">
                <w:pPr>
                  <w:tabs>
                    <w:tab w:val="left" w:pos="2834"/>
                    <w:tab w:val="right" w:pos="8838"/>
                  </w:tabs>
                  <w:ind w:left="-114"/>
                  <w:jc w:val="both"/>
                  <w:rPr>
                    <w:rFonts w:ascii="Palatino Linotype" w:eastAsia="Palatino Linotype" w:hAnsi="Palatino Linotype" w:cs="Palatino Linotype"/>
                    <w:sz w:val="22"/>
                    <w:szCs w:val="22"/>
                  </w:rPr>
                </w:pPr>
              </w:p>
            </w:tc>
          </w:tr>
          <w:tr w:rsidR="00297CD9" w14:paraId="0A2FE3C5" w14:textId="77777777">
            <w:trPr>
              <w:trHeight w:val="432"/>
            </w:trPr>
            <w:tc>
              <w:tcPr>
                <w:tcW w:w="3184" w:type="dxa"/>
              </w:tcPr>
              <w:p w14:paraId="72B301FA" w14:textId="77777777" w:rsidR="00297CD9" w:rsidRDefault="00512CBA">
                <w:pPr>
                  <w:tabs>
                    <w:tab w:val="right" w:pos="8838"/>
                  </w:tabs>
                  <w:ind w:left="-11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Comisionado Ponente:</w:t>
                </w:r>
              </w:p>
            </w:tc>
            <w:tc>
              <w:tcPr>
                <w:tcW w:w="4340" w:type="dxa"/>
              </w:tcPr>
              <w:p w14:paraId="585FCE54" w14:textId="77777777" w:rsidR="00297CD9" w:rsidRDefault="00512CBA">
                <w:pPr>
                  <w:tabs>
                    <w:tab w:val="right" w:pos="8838"/>
                  </w:tabs>
                  <w:ind w:left="-11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c>
              <w:tcPr>
                <w:tcW w:w="1480" w:type="dxa"/>
              </w:tcPr>
              <w:p w14:paraId="6E7B45C1" w14:textId="77777777" w:rsidR="00297CD9" w:rsidRDefault="00297CD9">
                <w:pPr>
                  <w:tabs>
                    <w:tab w:val="right" w:pos="8838"/>
                  </w:tabs>
                  <w:ind w:left="-114" w:right="-105"/>
                  <w:jc w:val="both"/>
                  <w:rPr>
                    <w:rFonts w:ascii="Palatino Linotype" w:eastAsia="Palatino Linotype" w:hAnsi="Palatino Linotype" w:cs="Palatino Linotype"/>
                    <w:sz w:val="22"/>
                    <w:szCs w:val="22"/>
                  </w:rPr>
                </w:pPr>
              </w:p>
            </w:tc>
          </w:tr>
        </w:tbl>
        <w:p w14:paraId="6A41AA58" w14:textId="77777777" w:rsidR="00297CD9" w:rsidRDefault="00297CD9">
          <w:pPr>
            <w:tabs>
              <w:tab w:val="right" w:pos="8838"/>
            </w:tabs>
            <w:spacing w:line="256" w:lineRule="auto"/>
            <w:ind w:left="-28"/>
            <w:jc w:val="both"/>
            <w:rPr>
              <w:rFonts w:ascii="Arial" w:eastAsia="Arial" w:hAnsi="Arial" w:cs="Arial"/>
              <w:b/>
              <w:sz w:val="22"/>
              <w:szCs w:val="22"/>
            </w:rPr>
          </w:pPr>
        </w:p>
      </w:tc>
    </w:tr>
  </w:tbl>
  <w:p w14:paraId="14AD74D3" w14:textId="77777777" w:rsidR="00297CD9" w:rsidRDefault="00512CBA">
    <w:pPr>
      <w:pBdr>
        <w:top w:val="nil"/>
        <w:left w:val="nil"/>
        <w:bottom w:val="nil"/>
        <w:right w:val="nil"/>
        <w:between w:val="nil"/>
      </w:pBdr>
      <w:tabs>
        <w:tab w:val="center" w:pos="4419"/>
        <w:tab w:val="right" w:pos="8838"/>
      </w:tabs>
      <w:rPr>
        <w:color w:val="000000"/>
      </w:rPr>
    </w:pPr>
    <w:r>
      <w:rPr>
        <w:rFonts w:ascii="Garamond" w:eastAsia="Garamond" w:hAnsi="Garamond" w:cs="Garamond"/>
        <w:color w:val="000000"/>
        <w:sz w:val="22"/>
        <w:szCs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830CE" w14:textId="77777777" w:rsidR="00297CD9" w:rsidRDefault="00297CD9">
    <w:pPr>
      <w:widowControl w:val="0"/>
      <w:pBdr>
        <w:top w:val="nil"/>
        <w:left w:val="nil"/>
        <w:bottom w:val="nil"/>
        <w:right w:val="nil"/>
        <w:between w:val="nil"/>
      </w:pBdr>
      <w:spacing w:line="276" w:lineRule="auto"/>
      <w:rPr>
        <w:color w:val="000000"/>
      </w:rPr>
    </w:pPr>
  </w:p>
  <w:tbl>
    <w:tblPr>
      <w:tblStyle w:val="a4"/>
      <w:tblW w:w="10206" w:type="dxa"/>
      <w:tblInd w:w="0" w:type="dxa"/>
      <w:tblLayout w:type="fixed"/>
      <w:tblLook w:val="0400" w:firstRow="0" w:lastRow="0" w:firstColumn="0" w:lastColumn="0" w:noHBand="0" w:noVBand="1"/>
    </w:tblPr>
    <w:tblGrid>
      <w:gridCol w:w="2268"/>
      <w:gridCol w:w="7938"/>
    </w:tblGrid>
    <w:tr w:rsidR="00297CD9" w14:paraId="18E25133" w14:textId="77777777">
      <w:trPr>
        <w:trHeight w:val="1435"/>
      </w:trPr>
      <w:tc>
        <w:tcPr>
          <w:tcW w:w="2268" w:type="dxa"/>
        </w:tcPr>
        <w:p w14:paraId="704527C6" w14:textId="77777777" w:rsidR="00297CD9" w:rsidRDefault="00297CD9">
          <w:pPr>
            <w:tabs>
              <w:tab w:val="right" w:pos="4273"/>
            </w:tabs>
            <w:spacing w:line="256" w:lineRule="auto"/>
            <w:rPr>
              <w:rFonts w:ascii="Garamond" w:eastAsia="Garamond" w:hAnsi="Garamond" w:cs="Garamond"/>
              <w:sz w:val="22"/>
              <w:szCs w:val="22"/>
            </w:rPr>
          </w:pPr>
        </w:p>
      </w:tc>
      <w:tc>
        <w:tcPr>
          <w:tcW w:w="7938" w:type="dxa"/>
        </w:tcPr>
        <w:p w14:paraId="2813C813" w14:textId="77777777" w:rsidR="00297CD9" w:rsidRDefault="00297CD9">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5"/>
            <w:tblW w:w="807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41"/>
            <w:gridCol w:w="4305"/>
            <w:gridCol w:w="1130"/>
          </w:tblGrid>
          <w:tr w:rsidR="00297CD9" w14:paraId="4D4ADA4A" w14:textId="77777777">
            <w:trPr>
              <w:gridAfter w:val="1"/>
              <w:wAfter w:w="1130" w:type="dxa"/>
              <w:trHeight w:val="132"/>
            </w:trPr>
            <w:tc>
              <w:tcPr>
                <w:tcW w:w="2641" w:type="dxa"/>
              </w:tcPr>
              <w:p w14:paraId="19EF3F2C" w14:textId="77777777" w:rsidR="00297CD9" w:rsidRDefault="00512CBA">
                <w:pPr>
                  <w:tabs>
                    <w:tab w:val="right" w:pos="8838"/>
                  </w:tabs>
                  <w:ind w:left="-69"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Recurso de Revisión:</w:t>
                </w:r>
              </w:p>
            </w:tc>
            <w:tc>
              <w:tcPr>
                <w:tcW w:w="4305" w:type="dxa"/>
              </w:tcPr>
              <w:p w14:paraId="0A572C4A" w14:textId="77777777" w:rsidR="00297CD9" w:rsidRDefault="00512CBA">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07621/INFOEM/IP/RR/2024 y acumulados</w:t>
                </w:r>
              </w:p>
            </w:tc>
          </w:tr>
          <w:tr w:rsidR="00297CD9" w14:paraId="7EBA5154" w14:textId="77777777">
            <w:trPr>
              <w:gridAfter w:val="1"/>
              <w:wAfter w:w="1130" w:type="dxa"/>
              <w:trHeight w:val="132"/>
            </w:trPr>
            <w:tc>
              <w:tcPr>
                <w:tcW w:w="2641" w:type="dxa"/>
              </w:tcPr>
              <w:p w14:paraId="4BA526B1" w14:textId="77777777" w:rsidR="00297CD9" w:rsidRDefault="00512CBA">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Recurrente:</w:t>
                </w:r>
              </w:p>
            </w:tc>
            <w:tc>
              <w:tcPr>
                <w:tcW w:w="4305" w:type="dxa"/>
              </w:tcPr>
              <w:p w14:paraId="19CA3E07" w14:textId="5F8D5C87" w:rsidR="00297CD9" w:rsidRDefault="0010741D">
                <w:pPr>
                  <w:tabs>
                    <w:tab w:val="left" w:pos="3122"/>
                    <w:tab w:val="right" w:pos="8838"/>
                  </w:tabs>
                  <w:ind w:left="-74" w:right="-105"/>
                  <w:jc w:val="both"/>
                  <w:rPr>
                    <w:rFonts w:ascii="Palatino Linotype" w:eastAsia="Palatino Linotype" w:hAnsi="Palatino Linotype" w:cs="Palatino Linotype"/>
                    <w:sz w:val="22"/>
                    <w:szCs w:val="22"/>
                  </w:rPr>
                </w:pPr>
                <w:r w:rsidRPr="0010741D">
                  <w:rPr>
                    <w:rFonts w:ascii="Palatino Linotype" w:eastAsia="Palatino Linotype" w:hAnsi="Palatino Linotype" w:cs="Palatino Linotype"/>
                    <w:sz w:val="22"/>
                    <w:szCs w:val="22"/>
                    <w:highlight w:val="black"/>
                  </w:rPr>
                  <w:t>XXXXXXXXXXXXXXXXXXXX</w:t>
                </w:r>
              </w:p>
            </w:tc>
          </w:tr>
          <w:tr w:rsidR="00297CD9" w14:paraId="3AA9B030" w14:textId="77777777">
            <w:trPr>
              <w:gridAfter w:val="1"/>
              <w:wAfter w:w="1130" w:type="dxa"/>
              <w:trHeight w:val="261"/>
            </w:trPr>
            <w:tc>
              <w:tcPr>
                <w:tcW w:w="2641" w:type="dxa"/>
              </w:tcPr>
              <w:p w14:paraId="4CCF0BF6" w14:textId="77777777" w:rsidR="00297CD9" w:rsidRDefault="00512CBA">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Sujeto Obligado:</w:t>
                </w:r>
              </w:p>
            </w:tc>
            <w:tc>
              <w:tcPr>
                <w:tcW w:w="4305" w:type="dxa"/>
              </w:tcPr>
              <w:p w14:paraId="3E0AAD5D" w14:textId="77777777" w:rsidR="00297CD9" w:rsidRDefault="00512CBA">
                <w:pPr>
                  <w:tabs>
                    <w:tab w:val="left" w:pos="2834"/>
                    <w:tab w:val="right" w:pos="8838"/>
                  </w:tabs>
                  <w:ind w:left="-7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Mexicaltzingo</w:t>
                </w:r>
              </w:p>
            </w:tc>
          </w:tr>
          <w:tr w:rsidR="00297CD9" w14:paraId="615F1D6D" w14:textId="77777777">
            <w:trPr>
              <w:trHeight w:val="261"/>
            </w:trPr>
            <w:tc>
              <w:tcPr>
                <w:tcW w:w="2641" w:type="dxa"/>
              </w:tcPr>
              <w:p w14:paraId="1AD8EE64" w14:textId="77777777" w:rsidR="00297CD9" w:rsidRDefault="00512CBA">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Comisionado Ponente:</w:t>
                </w:r>
              </w:p>
            </w:tc>
            <w:tc>
              <w:tcPr>
                <w:tcW w:w="5435" w:type="dxa"/>
                <w:gridSpan w:val="2"/>
              </w:tcPr>
              <w:p w14:paraId="0F3E3AB6" w14:textId="77777777" w:rsidR="00297CD9" w:rsidRDefault="00512CBA">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14:paraId="18F8B91D" w14:textId="77777777" w:rsidR="00297CD9" w:rsidRDefault="00297CD9">
          <w:pPr>
            <w:tabs>
              <w:tab w:val="right" w:pos="8838"/>
            </w:tabs>
            <w:spacing w:line="256" w:lineRule="auto"/>
            <w:ind w:left="-28"/>
            <w:jc w:val="both"/>
            <w:rPr>
              <w:rFonts w:ascii="Arial" w:eastAsia="Arial" w:hAnsi="Arial" w:cs="Arial"/>
              <w:b/>
              <w:sz w:val="22"/>
              <w:szCs w:val="22"/>
            </w:rPr>
          </w:pPr>
        </w:p>
      </w:tc>
    </w:tr>
  </w:tbl>
  <w:p w14:paraId="3D51C5D4" w14:textId="77777777" w:rsidR="00297CD9" w:rsidRDefault="00F50720">
    <w:pPr>
      <w:pBdr>
        <w:top w:val="nil"/>
        <w:left w:val="nil"/>
        <w:bottom w:val="nil"/>
        <w:right w:val="nil"/>
        <w:between w:val="nil"/>
      </w:pBdr>
      <w:tabs>
        <w:tab w:val="center" w:pos="4419"/>
        <w:tab w:val="right" w:pos="8838"/>
      </w:tabs>
      <w:rPr>
        <w:color w:val="000000"/>
      </w:rPr>
    </w:pPr>
    <w:r>
      <w:rPr>
        <w:rFonts w:ascii="Garamond" w:eastAsia="Garamond" w:hAnsi="Garamond" w:cs="Garamond"/>
        <w:color w:val="000000"/>
        <w:sz w:val="22"/>
        <w:szCs w:val="22"/>
      </w:rPr>
      <w:pict w14:anchorId="175F0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81.75pt;margin-top:-134.1pt;width:663.5pt;height:12in;z-index:-251657728;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71462"/>
    <w:multiLevelType w:val="multilevel"/>
    <w:tmpl w:val="64349D3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F52130"/>
    <w:multiLevelType w:val="multilevel"/>
    <w:tmpl w:val="D3AAE162"/>
    <w:lvl w:ilvl="0">
      <w:start w:val="2"/>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51102C5"/>
    <w:multiLevelType w:val="multilevel"/>
    <w:tmpl w:val="D99604B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9185329"/>
    <w:multiLevelType w:val="multilevel"/>
    <w:tmpl w:val="20245C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E1B7168"/>
    <w:multiLevelType w:val="multilevel"/>
    <w:tmpl w:val="C230477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FDA0837"/>
    <w:multiLevelType w:val="multilevel"/>
    <w:tmpl w:val="9A3EC13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CB61506"/>
    <w:multiLevelType w:val="multilevel"/>
    <w:tmpl w:val="894A70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CD9"/>
    <w:rsid w:val="0010741D"/>
    <w:rsid w:val="00297CD9"/>
    <w:rsid w:val="002D247D"/>
    <w:rsid w:val="00312AF4"/>
    <w:rsid w:val="004B3E18"/>
    <w:rsid w:val="00512CBA"/>
    <w:rsid w:val="00790B2F"/>
    <w:rsid w:val="00C232C5"/>
    <w:rsid w:val="00D61BF2"/>
    <w:rsid w:val="00DE585E"/>
    <w:rsid w:val="00E2092D"/>
    <w:rsid w:val="00F507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89BDC3"/>
  <w15:docId w15:val="{3CA8B6CC-DAAD-41E8-BA3F-5EDE8659D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E5F"/>
    <w:rPr>
      <w:lang w:eastAsia="es-ES"/>
    </w:rPr>
  </w:style>
  <w:style w:type="paragraph" w:styleId="Ttulo1">
    <w:name w:val="heading 1"/>
    <w:basedOn w:val="Normal"/>
    <w:next w:val="Normal"/>
    <w:link w:val="Ttulo1Car"/>
    <w:uiPriority w:val="9"/>
    <w:qFormat/>
    <w:rsid w:val="00C245DE"/>
    <w:pPr>
      <w:keepNext/>
      <w:keepLines/>
      <w:spacing w:line="360" w:lineRule="auto"/>
      <w:jc w:val="center"/>
      <w:outlineLvl w:val="0"/>
    </w:pPr>
    <w:rPr>
      <w:rFonts w:ascii="Palatino Linotype" w:eastAsiaTheme="majorEastAsia" w:hAnsi="Palatino Linotype" w:cstheme="majorBidi"/>
      <w:b/>
      <w:color w:val="000000" w:themeColor="text1"/>
      <w:sz w:val="22"/>
      <w:szCs w:val="32"/>
    </w:rPr>
  </w:style>
  <w:style w:type="paragraph" w:styleId="Ttulo2">
    <w:name w:val="heading 2"/>
    <w:basedOn w:val="Normal"/>
    <w:next w:val="Normal"/>
    <w:link w:val="Ttulo2Car"/>
    <w:uiPriority w:val="9"/>
    <w:unhideWhenUsed/>
    <w:qFormat/>
    <w:rsid w:val="00C245DE"/>
    <w:pPr>
      <w:keepNext/>
      <w:keepLines/>
      <w:spacing w:line="360" w:lineRule="auto"/>
      <w:jc w:val="both"/>
      <w:outlineLvl w:val="1"/>
    </w:pPr>
    <w:rPr>
      <w:rFonts w:ascii="Palatino Linotype" w:eastAsiaTheme="majorEastAsia" w:hAnsi="Palatino Linotype" w:cstheme="majorBidi"/>
      <w:b/>
      <w:color w:val="000000" w:themeColor="text1"/>
      <w:sz w:val="22"/>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905E5F"/>
    <w:rPr>
      <w:rFonts w:ascii="Century Gothic" w:eastAsia="Times New Roman" w:hAnsi="Century Gothic" w:cs="Times New Roman"/>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05E5F"/>
    <w:pPr>
      <w:ind w:left="720"/>
      <w:contextualSpacing/>
    </w:pPr>
    <w:rPr>
      <w:rFonts w:ascii="Century Gothic" w:hAnsi="Century Gothic"/>
      <w:sz w:val="22"/>
      <w:szCs w:val="24"/>
    </w:rPr>
  </w:style>
  <w:style w:type="table" w:styleId="Tablaconcuadrcula">
    <w:name w:val="Table Grid"/>
    <w:basedOn w:val="Tablanormal"/>
    <w:uiPriority w:val="39"/>
    <w:rsid w:val="00905E5F"/>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05E5F"/>
    <w:pPr>
      <w:tabs>
        <w:tab w:val="center" w:pos="4419"/>
        <w:tab w:val="right" w:pos="8838"/>
      </w:tabs>
    </w:pPr>
  </w:style>
  <w:style w:type="character" w:customStyle="1" w:styleId="EncabezadoCar">
    <w:name w:val="Encabezado Car"/>
    <w:basedOn w:val="Fuentedeprrafopredeter"/>
    <w:link w:val="Encabezado"/>
    <w:uiPriority w:val="99"/>
    <w:rsid w:val="00905E5F"/>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905E5F"/>
    <w:pPr>
      <w:tabs>
        <w:tab w:val="center" w:pos="4419"/>
        <w:tab w:val="right" w:pos="8838"/>
      </w:tabs>
    </w:pPr>
  </w:style>
  <w:style w:type="character" w:customStyle="1" w:styleId="PiedepginaCar">
    <w:name w:val="Pie de página Car"/>
    <w:basedOn w:val="Fuentedeprrafopredeter"/>
    <w:link w:val="Piedepgina"/>
    <w:uiPriority w:val="99"/>
    <w:rsid w:val="00905E5F"/>
    <w:rPr>
      <w:rFonts w:ascii="Times New Roman" w:eastAsia="Times New Roman" w:hAnsi="Times New Roman" w:cs="Times New Roman"/>
      <w:sz w:val="20"/>
      <w:szCs w:val="20"/>
      <w:lang w:eastAsia="es-ES"/>
    </w:rPr>
  </w:style>
  <w:style w:type="paragraph" w:styleId="Textocomentario">
    <w:name w:val="annotation text"/>
    <w:basedOn w:val="Normal"/>
    <w:link w:val="TextocomentarioCar"/>
    <w:uiPriority w:val="99"/>
    <w:semiHidden/>
    <w:unhideWhenUsed/>
    <w:rsid w:val="00905E5F"/>
  </w:style>
  <w:style w:type="character" w:customStyle="1" w:styleId="TextocomentarioCar">
    <w:name w:val="Texto comentario Car"/>
    <w:basedOn w:val="Fuentedeprrafopredeter"/>
    <w:link w:val="Textocomentario"/>
    <w:uiPriority w:val="99"/>
    <w:semiHidden/>
    <w:rsid w:val="00905E5F"/>
    <w:rPr>
      <w:rFonts w:ascii="Times New Roman" w:eastAsia="Times New Roman" w:hAnsi="Times New Roman" w:cs="Times New Roman"/>
      <w:sz w:val="20"/>
      <w:szCs w:val="20"/>
      <w:lang w:eastAsia="es-ES"/>
    </w:rPr>
  </w:style>
  <w:style w:type="character" w:customStyle="1" w:styleId="AsuntodelcomentarioCar">
    <w:name w:val="Asunto del comentario Car"/>
    <w:basedOn w:val="TextocomentarioCar"/>
    <w:link w:val="Asuntodelcomentario"/>
    <w:uiPriority w:val="99"/>
    <w:semiHidden/>
    <w:rsid w:val="00905E5F"/>
    <w:rPr>
      <w:rFonts w:ascii="Times New Roman" w:eastAsia="Times New Roman" w:hAnsi="Times New Roman" w:cs="Times New Roman"/>
      <w:b/>
      <w:bCs/>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905E5F"/>
    <w:rPr>
      <w:b/>
      <w:bCs/>
    </w:rPr>
  </w:style>
  <w:style w:type="character" w:customStyle="1" w:styleId="AsuntodelcomentarioCar1">
    <w:name w:val="Asunto del comentario Car1"/>
    <w:basedOn w:val="TextocomentarioCar"/>
    <w:uiPriority w:val="99"/>
    <w:semiHidden/>
    <w:rsid w:val="00905E5F"/>
    <w:rPr>
      <w:rFonts w:ascii="Times New Roman" w:eastAsia="Times New Roman" w:hAnsi="Times New Roman" w:cs="Times New Roman"/>
      <w:b/>
      <w:bCs/>
      <w:sz w:val="20"/>
      <w:szCs w:val="20"/>
      <w:lang w:eastAsia="es-ES"/>
    </w:rPr>
  </w:style>
  <w:style w:type="character" w:styleId="Hipervnculo">
    <w:name w:val="Hyperlink"/>
    <w:basedOn w:val="Fuentedeprrafopredeter"/>
    <w:uiPriority w:val="99"/>
    <w:unhideWhenUsed/>
    <w:rsid w:val="00905E5F"/>
    <w:rPr>
      <w:color w:val="0563C1" w:themeColor="hyperlink"/>
      <w:u w:val="single"/>
    </w:rPr>
  </w:style>
  <w:style w:type="paragraph" w:customStyle="1" w:styleId="Prrafodelista1">
    <w:name w:val="Párrafo de lista1"/>
    <w:basedOn w:val="Normal"/>
    <w:rsid w:val="00905E5F"/>
    <w:pPr>
      <w:spacing w:before="100" w:beforeAutospacing="1"/>
      <w:ind w:left="720"/>
      <w:contextualSpacing/>
      <w:jc w:val="both"/>
    </w:pPr>
    <w:rPr>
      <w:rFonts w:ascii="Palatino Linotype" w:hAnsi="Palatino Linotype"/>
      <w:color w:val="000000"/>
      <w:sz w:val="22"/>
      <w:szCs w:val="22"/>
      <w:lang w:eastAsia="es-MX"/>
    </w:rPr>
  </w:style>
  <w:style w:type="table" w:customStyle="1" w:styleId="Tablaconcuadrcula3">
    <w:name w:val="Tabla con cuadrícula3"/>
    <w:basedOn w:val="Tablanormal"/>
    <w:uiPriority w:val="59"/>
    <w:rsid w:val="00905E5F"/>
    <w:rPr>
      <w:rFonts w:eastAsia="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245DE"/>
    <w:rPr>
      <w:rFonts w:ascii="Palatino Linotype" w:eastAsiaTheme="majorEastAsia" w:hAnsi="Palatino Linotype" w:cstheme="majorBidi"/>
      <w:b/>
      <w:color w:val="000000" w:themeColor="text1"/>
      <w:szCs w:val="32"/>
      <w:lang w:eastAsia="es-ES"/>
    </w:rPr>
  </w:style>
  <w:style w:type="character" w:customStyle="1" w:styleId="Ttulo2Car">
    <w:name w:val="Título 2 Car"/>
    <w:basedOn w:val="Fuentedeprrafopredeter"/>
    <w:link w:val="Ttulo2"/>
    <w:uiPriority w:val="9"/>
    <w:rsid w:val="00C245DE"/>
    <w:rPr>
      <w:rFonts w:ascii="Palatino Linotype" w:eastAsiaTheme="majorEastAsia" w:hAnsi="Palatino Linotype" w:cstheme="majorBidi"/>
      <w:b/>
      <w:color w:val="000000" w:themeColor="text1"/>
      <w:szCs w:val="26"/>
      <w:lang w:eastAsia="es-ES"/>
    </w:rPr>
  </w:style>
  <w:style w:type="paragraph" w:styleId="TtulodeTDC">
    <w:name w:val="TOC Heading"/>
    <w:basedOn w:val="Ttulo1"/>
    <w:next w:val="Normal"/>
    <w:uiPriority w:val="39"/>
    <w:unhideWhenUsed/>
    <w:qFormat/>
    <w:rsid w:val="00C245DE"/>
    <w:pPr>
      <w:spacing w:before="240" w:line="259" w:lineRule="auto"/>
      <w:jc w:val="left"/>
      <w:outlineLvl w:val="9"/>
    </w:pPr>
    <w:rPr>
      <w:rFonts w:asciiTheme="majorHAnsi" w:hAnsiTheme="majorHAnsi"/>
      <w:b w:val="0"/>
      <w:color w:val="2E74B5" w:themeColor="accent1" w:themeShade="BF"/>
      <w:sz w:val="32"/>
      <w:lang w:eastAsia="es-MX"/>
    </w:rPr>
  </w:style>
  <w:style w:type="paragraph" w:styleId="TDC1">
    <w:name w:val="toc 1"/>
    <w:basedOn w:val="Normal"/>
    <w:next w:val="Normal"/>
    <w:autoRedefine/>
    <w:uiPriority w:val="39"/>
    <w:unhideWhenUsed/>
    <w:rsid w:val="00C245DE"/>
    <w:pPr>
      <w:spacing w:after="100"/>
    </w:pPr>
  </w:style>
  <w:style w:type="paragraph" w:styleId="TDC2">
    <w:name w:val="toc 2"/>
    <w:basedOn w:val="Normal"/>
    <w:next w:val="Normal"/>
    <w:autoRedefine/>
    <w:uiPriority w:val="39"/>
    <w:unhideWhenUsed/>
    <w:rsid w:val="00C245DE"/>
    <w:pPr>
      <w:tabs>
        <w:tab w:val="right" w:leader="dot" w:pos="8828"/>
      </w:tabs>
      <w:spacing w:line="360" w:lineRule="auto"/>
      <w:ind w:left="200"/>
      <w:jc w:val="both"/>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yJFQ7ufpnxBXzUGS8OHGrEDxbg==">CgMxLjAyCGguZ2pkZ3hzMgloLjMwajB6bGwyCWguMWZvYjl0ZTIJaC4zem55c2g3MgloLjJldDkycDAyCGgudHlqY3d0MgloLjNkeTZ2a20yCWguMXQzaDVzZjIJaC40ZDM0b2c4MgloLjJzOGV5bzEyCWguMTdkcDh2dTIJaC4zcmRjcmpuMgloLjI2aW4xcmcyCGgubG54Yno5MgloLjM1bmt1bjI4AHIhMUxkODc0RWxKSVBQbUhEZzRicDR5NDlPTWtWMEF6WndB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28</Pages>
  <Words>6526</Words>
  <Characters>35895</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INFOEM500</dc:creator>
  <cp:lastModifiedBy>INFOEM500</cp:lastModifiedBy>
  <cp:revision>4</cp:revision>
  <cp:lastPrinted>2025-01-24T16:20:00Z</cp:lastPrinted>
  <dcterms:created xsi:type="dcterms:W3CDTF">2025-01-24T16:19:00Z</dcterms:created>
  <dcterms:modified xsi:type="dcterms:W3CDTF">2025-01-30T19:58:00Z</dcterms:modified>
</cp:coreProperties>
</file>