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D88" w:rsidRPr="00A73F7F" w:rsidRDefault="00905546" w:rsidP="00A73F7F">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A73F7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A73F7F">
        <w:rPr>
          <w:rFonts w:ascii="Palatino Linotype" w:eastAsia="Palatino Linotype" w:hAnsi="Palatino Linotype" w:cs="Palatino Linotype"/>
          <w:b/>
          <w:color w:val="000000" w:themeColor="text1"/>
        </w:rPr>
        <w:t>de fecha</w:t>
      </w:r>
      <w:r w:rsidRPr="00A73F7F">
        <w:rPr>
          <w:rFonts w:ascii="Palatino Linotype" w:eastAsia="Palatino Linotype" w:hAnsi="Palatino Linotype" w:cs="Palatino Linotype"/>
          <w:color w:val="000000" w:themeColor="text1"/>
        </w:rPr>
        <w:t xml:space="preserve"> </w:t>
      </w:r>
      <w:r w:rsidR="00FE27D3" w:rsidRPr="00A73F7F">
        <w:rPr>
          <w:rFonts w:ascii="Palatino Linotype" w:eastAsia="Palatino Linotype" w:hAnsi="Palatino Linotype" w:cs="Palatino Linotype"/>
          <w:b/>
          <w:color w:val="000000" w:themeColor="text1"/>
        </w:rPr>
        <w:t>diez</w:t>
      </w:r>
      <w:r w:rsidR="00057477">
        <w:rPr>
          <w:rFonts w:ascii="Palatino Linotype" w:eastAsia="Palatino Linotype" w:hAnsi="Palatino Linotype" w:cs="Palatino Linotype"/>
          <w:b/>
          <w:color w:val="000000" w:themeColor="text1"/>
        </w:rPr>
        <w:t xml:space="preserve"> (10) </w:t>
      </w:r>
      <w:r w:rsidR="00FE27D3" w:rsidRPr="00A73F7F">
        <w:rPr>
          <w:rFonts w:ascii="Palatino Linotype" w:eastAsia="Palatino Linotype" w:hAnsi="Palatino Linotype" w:cs="Palatino Linotype"/>
          <w:b/>
          <w:color w:val="000000" w:themeColor="text1"/>
        </w:rPr>
        <w:t>de diciembre</w:t>
      </w:r>
      <w:r w:rsidR="00E2431C" w:rsidRPr="00A73F7F">
        <w:rPr>
          <w:rFonts w:ascii="Palatino Linotype" w:eastAsia="Palatino Linotype" w:hAnsi="Palatino Linotype" w:cs="Palatino Linotype"/>
          <w:b/>
          <w:color w:val="000000" w:themeColor="text1"/>
        </w:rPr>
        <w:t xml:space="preserve"> de dos mil veinticinco.</w:t>
      </w:r>
    </w:p>
    <w:p w:rsidR="00F00D88" w:rsidRPr="00A73F7F" w:rsidRDefault="00F00D88" w:rsidP="00A73F7F">
      <w:pPr>
        <w:tabs>
          <w:tab w:val="left" w:pos="3465"/>
        </w:tabs>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spacing w:line="360" w:lineRule="auto"/>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VISTO</w:t>
      </w:r>
      <w:r w:rsidR="00E2431C" w:rsidRPr="00A73F7F">
        <w:rPr>
          <w:rFonts w:ascii="Palatino Linotype" w:eastAsia="Palatino Linotype" w:hAnsi="Palatino Linotype" w:cs="Palatino Linotype"/>
          <w:color w:val="000000" w:themeColor="text1"/>
        </w:rPr>
        <w:t xml:space="preserve"> el</w:t>
      </w:r>
      <w:r w:rsidRPr="00A73F7F">
        <w:rPr>
          <w:rFonts w:ascii="Palatino Linotype" w:eastAsia="Palatino Linotype" w:hAnsi="Palatino Linotype" w:cs="Palatino Linotype"/>
          <w:color w:val="000000" w:themeColor="text1"/>
        </w:rPr>
        <w:t xml:space="preserve"> expediente electrónico</w:t>
      </w:r>
      <w:r w:rsidR="00D57CF2" w:rsidRPr="00A73F7F">
        <w:rPr>
          <w:rFonts w:ascii="Palatino Linotype" w:eastAsia="Palatino Linotype" w:hAnsi="Palatino Linotype" w:cs="Palatino Linotype"/>
          <w:color w:val="000000" w:themeColor="text1"/>
        </w:rPr>
        <w:t>s</w:t>
      </w:r>
      <w:r w:rsidR="00E2431C" w:rsidRPr="00A73F7F">
        <w:rPr>
          <w:rFonts w:ascii="Palatino Linotype" w:eastAsia="Palatino Linotype" w:hAnsi="Palatino Linotype" w:cs="Palatino Linotype"/>
          <w:color w:val="000000" w:themeColor="text1"/>
        </w:rPr>
        <w:t xml:space="preserve"> formado con motivo del</w:t>
      </w:r>
      <w:r w:rsidRPr="00A73F7F">
        <w:rPr>
          <w:rFonts w:ascii="Palatino Linotype" w:eastAsia="Palatino Linotype" w:hAnsi="Palatino Linotype" w:cs="Palatino Linotype"/>
          <w:color w:val="000000" w:themeColor="text1"/>
        </w:rPr>
        <w:t xml:space="preserve"> recurso de revisión </w:t>
      </w:r>
      <w:r w:rsidR="00FE27D3" w:rsidRPr="00A73F7F">
        <w:rPr>
          <w:rFonts w:ascii="Palatino Linotype" w:eastAsia="Palatino Linotype" w:hAnsi="Palatino Linotype" w:cs="Palatino Linotype"/>
          <w:b/>
          <w:bCs/>
          <w:color w:val="000000" w:themeColor="text1"/>
        </w:rPr>
        <w:t>06133/INFOEM/IP/RR/2025</w:t>
      </w:r>
      <w:r w:rsidR="00E2431C" w:rsidRPr="00A73F7F">
        <w:rPr>
          <w:rFonts w:ascii="Palatino Linotype" w:eastAsia="Palatino Linotype" w:hAnsi="Palatino Linotype" w:cs="Palatino Linotype"/>
          <w:b/>
          <w:bCs/>
          <w:color w:val="000000" w:themeColor="text1"/>
        </w:rPr>
        <w:t xml:space="preserve">, </w:t>
      </w:r>
      <w:r w:rsidRPr="00A73F7F">
        <w:rPr>
          <w:rFonts w:ascii="Palatino Linotype" w:eastAsia="Palatino Linotype" w:hAnsi="Palatino Linotype" w:cs="Palatino Linotype"/>
          <w:color w:val="000000" w:themeColor="text1"/>
        </w:rPr>
        <w:t>promovido por</w:t>
      </w:r>
      <w:r w:rsidRPr="00A73F7F">
        <w:rPr>
          <w:rFonts w:ascii="Palatino Linotype" w:eastAsia="Palatino Linotype" w:hAnsi="Palatino Linotype" w:cs="Palatino Linotype"/>
          <w:b/>
          <w:color w:val="000000" w:themeColor="text1"/>
        </w:rPr>
        <w:t xml:space="preserve"> </w:t>
      </w:r>
      <w:r w:rsidR="00A73F7F" w:rsidRPr="00A73F7F">
        <w:rPr>
          <w:rFonts w:ascii="Palatino Linotype" w:eastAsia="Palatino Linotype" w:hAnsi="Palatino Linotype" w:cs="Palatino Linotype"/>
          <w:b/>
          <w:color w:val="000000" w:themeColor="text1"/>
        </w:rPr>
        <w:t>una persona</w:t>
      </w:r>
      <w:r w:rsidR="00A73F7F">
        <w:rPr>
          <w:rFonts w:ascii="Palatino Linotype" w:eastAsia="Palatino Linotype" w:hAnsi="Palatino Linotype" w:cs="Palatino Linotype"/>
          <w:b/>
          <w:color w:val="000000" w:themeColor="text1"/>
        </w:rPr>
        <w:t xml:space="preserve"> que no proporcionó datos de identificación, a</w:t>
      </w:r>
      <w:r w:rsidRPr="00A73F7F">
        <w:rPr>
          <w:rFonts w:ascii="Palatino Linotype" w:eastAsia="Palatino Linotype" w:hAnsi="Palatino Linotype" w:cs="Palatino Linotype"/>
          <w:color w:val="000000" w:themeColor="text1"/>
        </w:rPr>
        <w:t xml:space="preserve"> quien en lo sucesivo se le identificará como </w:t>
      </w:r>
      <w:r w:rsidRPr="00A73F7F">
        <w:rPr>
          <w:rFonts w:ascii="Palatino Linotype" w:eastAsia="Palatino Linotype" w:hAnsi="Palatino Linotype" w:cs="Palatino Linotype"/>
          <w:b/>
          <w:color w:val="000000" w:themeColor="text1"/>
        </w:rPr>
        <w:t>EL RECURRENTE</w:t>
      </w:r>
      <w:r w:rsidR="00FE27D3" w:rsidRPr="00A73F7F">
        <w:rPr>
          <w:rFonts w:ascii="Palatino Linotype" w:eastAsia="Palatino Linotype" w:hAnsi="Palatino Linotype" w:cs="Palatino Linotype"/>
          <w:color w:val="000000" w:themeColor="text1"/>
        </w:rPr>
        <w:t xml:space="preserve">, en contra de la respuesta del </w:t>
      </w:r>
      <w:r w:rsidR="00FE27D3" w:rsidRPr="00A73F7F">
        <w:rPr>
          <w:rFonts w:ascii="Palatino Linotype" w:eastAsia="Palatino Linotype" w:hAnsi="Palatino Linotype" w:cs="Palatino Linotype"/>
          <w:b/>
          <w:color w:val="000000" w:themeColor="text1"/>
        </w:rPr>
        <w:t>Ayuntamiento de Zinacantepec</w:t>
      </w:r>
      <w:r w:rsidRPr="00A73F7F">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color w:val="000000" w:themeColor="text1"/>
        </w:rPr>
        <w:t xml:space="preserve">en </w:t>
      </w:r>
      <w:r w:rsidR="00057477">
        <w:rPr>
          <w:rFonts w:ascii="Palatino Linotype" w:eastAsia="Palatino Linotype" w:hAnsi="Palatino Linotype" w:cs="Palatino Linotype"/>
          <w:color w:val="000000" w:themeColor="text1"/>
        </w:rPr>
        <w:t>adelante</w:t>
      </w:r>
      <w:r w:rsidRPr="00A73F7F">
        <w:rPr>
          <w:rFonts w:ascii="Palatino Linotype" w:eastAsia="Palatino Linotype" w:hAnsi="Palatino Linotype" w:cs="Palatino Linotype"/>
          <w:color w:val="000000" w:themeColor="text1"/>
        </w:rPr>
        <w:t xml:space="preserve"> el</w:t>
      </w:r>
      <w:r w:rsidRPr="00A73F7F">
        <w:rPr>
          <w:rFonts w:ascii="Palatino Linotype" w:eastAsia="Palatino Linotype" w:hAnsi="Palatino Linotype" w:cs="Palatino Linotype"/>
          <w:b/>
          <w:color w:val="000000" w:themeColor="text1"/>
        </w:rPr>
        <w:t xml:space="preserve"> SUJETO OBLIGADO</w:t>
      </w:r>
      <w:r w:rsidRPr="00A73F7F">
        <w:rPr>
          <w:rFonts w:ascii="Palatino Linotype" w:eastAsia="Palatino Linotype" w:hAnsi="Palatino Linotype" w:cs="Palatino Linotype"/>
          <w:color w:val="000000" w:themeColor="text1"/>
        </w:rPr>
        <w:t>, se procede a dictar la presente resolución, con base en los siguientes:</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3sfaj86pvlur" w:colFirst="0" w:colLast="0"/>
      <w:bookmarkEnd w:id="1"/>
      <w:r w:rsidRPr="00A73F7F">
        <w:rPr>
          <w:rFonts w:ascii="Palatino Linotype" w:eastAsia="Palatino Linotype" w:hAnsi="Palatino Linotype" w:cs="Palatino Linotype"/>
          <w:b/>
          <w:color w:val="000000" w:themeColor="text1"/>
          <w:sz w:val="24"/>
          <w:szCs w:val="24"/>
        </w:rPr>
        <w:t>A</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N</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T</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E</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C</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E</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D</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E</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N</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T</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E</w:t>
      </w:r>
      <w:r w:rsidR="00057477">
        <w:rPr>
          <w:rFonts w:ascii="Palatino Linotype" w:eastAsia="Palatino Linotype" w:hAnsi="Palatino Linotype" w:cs="Palatino Linotype"/>
          <w:b/>
          <w:color w:val="000000" w:themeColor="text1"/>
          <w:sz w:val="24"/>
          <w:szCs w:val="24"/>
        </w:rPr>
        <w:t xml:space="preserve"> </w:t>
      </w:r>
      <w:r w:rsidRPr="00A73F7F">
        <w:rPr>
          <w:rFonts w:ascii="Palatino Linotype" w:eastAsia="Palatino Linotype" w:hAnsi="Palatino Linotype" w:cs="Palatino Linotype"/>
          <w:b/>
          <w:color w:val="000000" w:themeColor="text1"/>
          <w:sz w:val="24"/>
          <w:szCs w:val="24"/>
        </w:rPr>
        <w:t>S</w:t>
      </w:r>
    </w:p>
    <w:p w:rsidR="00F00D88" w:rsidRPr="00A73F7F" w:rsidRDefault="00F00D88" w:rsidP="00A73F7F">
      <w:pPr>
        <w:rPr>
          <w:rFonts w:ascii="Palatino Linotype" w:eastAsia="Palatino Linotype" w:hAnsi="Palatino Linotype" w:cs="Palatino Linotype"/>
          <w:color w:val="000000" w:themeColor="text1"/>
        </w:rPr>
      </w:pPr>
    </w:p>
    <w:p w:rsidR="00F00D88"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El </w:t>
      </w:r>
      <w:r w:rsidR="00FE27D3" w:rsidRPr="00A73F7F">
        <w:rPr>
          <w:rFonts w:ascii="Palatino Linotype" w:eastAsia="Palatino Linotype" w:hAnsi="Palatino Linotype" w:cs="Palatino Linotype"/>
          <w:b/>
          <w:color w:val="000000" w:themeColor="text1"/>
        </w:rPr>
        <w:t>seis de mayo</w:t>
      </w:r>
      <w:r w:rsidRPr="00A73F7F">
        <w:rPr>
          <w:rFonts w:ascii="Palatino Linotype" w:eastAsia="Palatino Linotype" w:hAnsi="Palatino Linotype" w:cs="Palatino Linotype"/>
          <w:b/>
          <w:color w:val="000000" w:themeColor="text1"/>
        </w:rPr>
        <w:t xml:space="preserve"> de dos mil veinticinco, </w:t>
      </w:r>
      <w:r w:rsidR="00D57CF2" w:rsidRPr="00A73F7F">
        <w:rPr>
          <w:rFonts w:ascii="Palatino Linotype" w:eastAsia="Palatino Linotype" w:hAnsi="Palatino Linotype" w:cs="Palatino Linotype"/>
          <w:color w:val="000000" w:themeColor="text1"/>
        </w:rPr>
        <w:t>se presentaron</w:t>
      </w:r>
      <w:r w:rsidRPr="00A73F7F">
        <w:rPr>
          <w:rFonts w:ascii="Palatino Linotype" w:eastAsia="Palatino Linotype" w:hAnsi="Palatino Linotype" w:cs="Palatino Linotype"/>
          <w:color w:val="000000" w:themeColor="text1"/>
        </w:rPr>
        <w:t xml:space="preserve"> ante el </w:t>
      </w:r>
      <w:r w:rsidRPr="00A73F7F">
        <w:rPr>
          <w:rFonts w:ascii="Palatino Linotype" w:eastAsia="Palatino Linotype" w:hAnsi="Palatino Linotype" w:cs="Palatino Linotype"/>
          <w:b/>
          <w:color w:val="000000" w:themeColor="text1"/>
        </w:rPr>
        <w:t>SUJETO OBLIGADO</w:t>
      </w:r>
      <w:r w:rsidRPr="00A73F7F">
        <w:rPr>
          <w:rFonts w:ascii="Palatino Linotype" w:eastAsia="Palatino Linotype" w:hAnsi="Palatino Linotype" w:cs="Palatino Linotype"/>
          <w:color w:val="000000" w:themeColor="text1"/>
        </w:rPr>
        <w:t xml:space="preserve"> vía SAIMEX, la</w:t>
      </w:r>
      <w:r w:rsidR="00E2431C" w:rsidRPr="00A73F7F">
        <w:rPr>
          <w:rFonts w:ascii="Palatino Linotype" w:eastAsia="Palatino Linotype" w:hAnsi="Palatino Linotype" w:cs="Palatino Linotype"/>
          <w:color w:val="000000" w:themeColor="text1"/>
        </w:rPr>
        <w:t xml:space="preserve"> solicitud</w:t>
      </w:r>
      <w:r w:rsidR="00D57CF2" w:rsidRPr="00A73F7F">
        <w:rPr>
          <w:rFonts w:ascii="Palatino Linotype" w:eastAsia="Palatino Linotype" w:hAnsi="Palatino Linotype" w:cs="Palatino Linotype"/>
          <w:color w:val="000000" w:themeColor="text1"/>
        </w:rPr>
        <w:t xml:space="preserve"> </w:t>
      </w:r>
      <w:r w:rsidRPr="00A73F7F">
        <w:rPr>
          <w:rFonts w:ascii="Palatino Linotype" w:eastAsia="Palatino Linotype" w:hAnsi="Palatino Linotype" w:cs="Palatino Linotype"/>
          <w:color w:val="000000" w:themeColor="text1"/>
        </w:rPr>
        <w:t>de información pública registrada</w:t>
      </w:r>
      <w:r w:rsidR="00E2431C" w:rsidRPr="00A73F7F">
        <w:rPr>
          <w:rFonts w:ascii="Palatino Linotype" w:eastAsia="Palatino Linotype" w:hAnsi="Palatino Linotype" w:cs="Palatino Linotype"/>
          <w:color w:val="000000" w:themeColor="text1"/>
        </w:rPr>
        <w:t xml:space="preserve"> con el</w:t>
      </w:r>
      <w:r w:rsidRPr="00A73F7F">
        <w:rPr>
          <w:rFonts w:ascii="Palatino Linotype" w:eastAsia="Palatino Linotype" w:hAnsi="Palatino Linotype" w:cs="Palatino Linotype"/>
          <w:color w:val="000000" w:themeColor="text1"/>
        </w:rPr>
        <w:t xml:space="preserve"> número</w:t>
      </w:r>
      <w:r w:rsidRPr="00A73F7F">
        <w:rPr>
          <w:rFonts w:ascii="Palatino Linotype" w:eastAsia="Palatino Linotype" w:hAnsi="Palatino Linotype" w:cs="Palatino Linotype"/>
          <w:b/>
          <w:color w:val="000000" w:themeColor="text1"/>
        </w:rPr>
        <w:t xml:space="preserve"> </w:t>
      </w:r>
      <w:r w:rsidR="00FE27D3" w:rsidRPr="00A73F7F">
        <w:rPr>
          <w:rFonts w:ascii="Palatino Linotype" w:eastAsia="Palatino Linotype" w:hAnsi="Palatino Linotype" w:cs="Palatino Linotype"/>
          <w:b/>
          <w:bCs/>
          <w:color w:val="000000" w:themeColor="text1"/>
        </w:rPr>
        <w:t>00310/ZINACANT/IP/2025</w:t>
      </w:r>
      <w:r w:rsidR="00FF7422" w:rsidRPr="00A73F7F">
        <w:rPr>
          <w:rFonts w:ascii="Palatino Linotype" w:eastAsia="Palatino Linotype" w:hAnsi="Palatino Linotype" w:cs="Palatino Linotype"/>
          <w:b/>
          <w:color w:val="000000" w:themeColor="text1"/>
        </w:rPr>
        <w:t xml:space="preserve">, </w:t>
      </w:r>
      <w:r w:rsidR="00057477">
        <w:rPr>
          <w:rFonts w:ascii="Palatino Linotype" w:eastAsia="Palatino Linotype" w:hAnsi="Palatino Linotype" w:cs="Palatino Linotype"/>
          <w:color w:val="000000" w:themeColor="text1"/>
        </w:rPr>
        <w:t>en la que</w:t>
      </w:r>
      <w:r w:rsidRPr="00A73F7F">
        <w:rPr>
          <w:rFonts w:ascii="Palatino Linotype" w:eastAsia="Palatino Linotype" w:hAnsi="Palatino Linotype" w:cs="Palatino Linotype"/>
          <w:color w:val="000000" w:themeColor="text1"/>
        </w:rPr>
        <w:t xml:space="preserve"> se solicitó la siguiente información:</w:t>
      </w:r>
    </w:p>
    <w:p w:rsidR="00D57CF2" w:rsidRPr="00A73F7F" w:rsidRDefault="00D57CF2"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00D88" w:rsidRPr="00A73F7F" w:rsidRDefault="00E2431C" w:rsidP="00A73F7F">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w:t>
      </w:r>
      <w:r w:rsidR="00FE27D3" w:rsidRPr="00A73F7F">
        <w:rPr>
          <w:rFonts w:ascii="Palatino Linotype" w:eastAsia="Palatino Linotype" w:hAnsi="Palatino Linotype" w:cs="Palatino Linotype"/>
          <w:i/>
          <w:color w:val="000000" w:themeColor="text1"/>
        </w:rPr>
        <w:t>Solicito el número total de elementos de la policía municipal evaluados mediante controles de confianza en los últimos 3 años, desglosando cuántos aprobaron, reprobaron, fueron suspendidos, dados de baja o reasignados, y el criterio aplicado en cada caso.</w:t>
      </w:r>
      <w:r w:rsidRPr="00A73F7F">
        <w:rPr>
          <w:rFonts w:ascii="Palatino Linotype" w:eastAsia="Palatino Linotype" w:hAnsi="Palatino Linotype" w:cs="Palatino Linotype"/>
          <w:i/>
          <w:color w:val="000000" w:themeColor="text1"/>
        </w:rPr>
        <w:t>”</w:t>
      </w:r>
    </w:p>
    <w:p w:rsidR="00E2431C" w:rsidRPr="00A73F7F" w:rsidRDefault="00E2431C" w:rsidP="00A73F7F">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p>
    <w:p w:rsidR="00F00D88" w:rsidRPr="00A73F7F" w:rsidRDefault="00905546" w:rsidP="00A73F7F">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2" w:name="_heading=h.h8dfeovvz03n" w:colFirst="0" w:colLast="0"/>
      <w:bookmarkEnd w:id="2"/>
      <w:r w:rsidRPr="00A73F7F">
        <w:rPr>
          <w:rFonts w:ascii="Palatino Linotype" w:eastAsia="Palatino Linotype" w:hAnsi="Palatino Linotype" w:cs="Palatino Linotype"/>
          <w:color w:val="000000" w:themeColor="text1"/>
        </w:rPr>
        <w:t xml:space="preserve">Se eligió como modalidad de entrega de la información: A través del </w:t>
      </w:r>
      <w:r w:rsidRPr="00A73F7F">
        <w:rPr>
          <w:rFonts w:ascii="Palatino Linotype" w:eastAsia="Palatino Linotype" w:hAnsi="Palatino Linotype" w:cs="Palatino Linotype"/>
          <w:b/>
          <w:color w:val="000000" w:themeColor="text1"/>
        </w:rPr>
        <w:t>SAIMEX.</w:t>
      </w:r>
    </w:p>
    <w:p w:rsidR="00995E78" w:rsidRPr="00A73F7F" w:rsidRDefault="00995E78"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E27D3"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El</w:t>
      </w:r>
      <w:r w:rsidRPr="00A73F7F">
        <w:rPr>
          <w:rFonts w:ascii="Palatino Linotype" w:eastAsia="Palatino Linotype" w:hAnsi="Palatino Linotype" w:cs="Palatino Linotype"/>
          <w:b/>
          <w:color w:val="000000" w:themeColor="text1"/>
        </w:rPr>
        <w:t xml:space="preserve"> </w:t>
      </w:r>
      <w:r w:rsidR="00E2431C" w:rsidRPr="00A73F7F">
        <w:rPr>
          <w:rFonts w:ascii="Palatino Linotype" w:eastAsia="Palatino Linotype" w:hAnsi="Palatino Linotype" w:cs="Palatino Linotype"/>
          <w:b/>
          <w:color w:val="000000" w:themeColor="text1"/>
        </w:rPr>
        <w:t xml:space="preserve">veintisiete de </w:t>
      </w:r>
      <w:r w:rsidR="00FE27D3" w:rsidRPr="00A73F7F">
        <w:rPr>
          <w:rFonts w:ascii="Palatino Linotype" w:eastAsia="Palatino Linotype" w:hAnsi="Palatino Linotype" w:cs="Palatino Linotype"/>
          <w:b/>
          <w:color w:val="000000" w:themeColor="text1"/>
        </w:rPr>
        <w:t>mayo</w:t>
      </w:r>
      <w:r w:rsidRPr="00A73F7F">
        <w:rPr>
          <w:rFonts w:ascii="Palatino Linotype" w:eastAsia="Palatino Linotype" w:hAnsi="Palatino Linotype" w:cs="Palatino Linotype"/>
          <w:b/>
          <w:color w:val="000000" w:themeColor="text1"/>
        </w:rPr>
        <w:t xml:space="preserve"> dos mil veinticinco</w:t>
      </w:r>
      <w:r w:rsidRPr="00A73F7F">
        <w:rPr>
          <w:rFonts w:ascii="Palatino Linotype" w:eastAsia="Palatino Linotype" w:hAnsi="Palatino Linotype" w:cs="Palatino Linotype"/>
          <w:color w:val="000000" w:themeColor="text1"/>
        </w:rPr>
        <w:t xml:space="preserve">, el </w:t>
      </w:r>
      <w:r w:rsidRPr="00A73F7F">
        <w:rPr>
          <w:rFonts w:ascii="Palatino Linotype" w:eastAsia="Palatino Linotype" w:hAnsi="Palatino Linotype" w:cs="Palatino Linotype"/>
          <w:b/>
          <w:color w:val="000000" w:themeColor="text1"/>
        </w:rPr>
        <w:t>SUJETO OBLIGADO,</w:t>
      </w:r>
      <w:r w:rsidRPr="00A73F7F">
        <w:rPr>
          <w:rFonts w:ascii="Palatino Linotype" w:eastAsia="Palatino Linotype" w:hAnsi="Palatino Linotype" w:cs="Palatino Linotype"/>
          <w:color w:val="000000" w:themeColor="text1"/>
        </w:rPr>
        <w:t xml:space="preserve"> dio respuesta </w:t>
      </w:r>
      <w:r w:rsidR="00E2431C" w:rsidRPr="00A73F7F">
        <w:rPr>
          <w:rFonts w:ascii="Palatino Linotype" w:eastAsia="Palatino Linotype" w:hAnsi="Palatino Linotype" w:cs="Palatino Linotype"/>
          <w:color w:val="000000" w:themeColor="text1"/>
        </w:rPr>
        <w:t xml:space="preserve">a través del archivo </w:t>
      </w:r>
      <w:hyperlink r:id="rId9" w:tgtFrame="_blank" w:history="1">
        <w:r w:rsidR="00FE27D3" w:rsidRPr="00A73F7F">
          <w:rPr>
            <w:rFonts w:ascii="Palatino Linotype" w:eastAsia="Palatino Linotype" w:hAnsi="Palatino Linotype" w:cs="Palatino Linotype"/>
            <w:b/>
            <w:i/>
            <w:color w:val="000000" w:themeColor="text1"/>
          </w:rPr>
          <w:t>Respuesta solicitud 310-2025.pdf</w:t>
        </w:r>
      </w:hyperlink>
      <w:r w:rsidR="00E2431C" w:rsidRPr="00A73F7F">
        <w:rPr>
          <w:rFonts w:ascii="Palatino Linotype" w:eastAsia="Palatino Linotype" w:hAnsi="Palatino Linotype" w:cs="Palatino Linotype"/>
          <w:b/>
          <w:i/>
          <w:color w:val="000000" w:themeColor="text1"/>
        </w:rPr>
        <w:t>,</w:t>
      </w:r>
      <w:r w:rsidR="00E2431C" w:rsidRPr="00A73F7F">
        <w:rPr>
          <w:rFonts w:ascii="Palatino Linotype" w:eastAsia="Palatino Linotype" w:hAnsi="Palatino Linotype" w:cs="Palatino Linotype"/>
          <w:i/>
          <w:color w:val="000000" w:themeColor="text1"/>
        </w:rPr>
        <w:t xml:space="preserve"> </w:t>
      </w:r>
      <w:r w:rsidR="00E2431C" w:rsidRPr="00A73F7F">
        <w:rPr>
          <w:rFonts w:ascii="Palatino Linotype" w:eastAsia="Palatino Linotype" w:hAnsi="Palatino Linotype" w:cs="Palatino Linotype"/>
          <w:color w:val="000000" w:themeColor="text1"/>
        </w:rPr>
        <w:t xml:space="preserve">del que se desprende un oficio de </w:t>
      </w:r>
      <w:r w:rsidR="00FE27D3" w:rsidRPr="00A73F7F">
        <w:rPr>
          <w:rFonts w:ascii="Palatino Linotype" w:eastAsia="Palatino Linotype" w:hAnsi="Palatino Linotype" w:cs="Palatino Linotype"/>
          <w:color w:val="000000" w:themeColor="text1"/>
        </w:rPr>
        <w:t>veintidós de mayo de dos mil veinticinco, firmado por el Secretario Técnico del Consejo Municipal de Seguridad Pública, por el que informo lo siguiente:</w:t>
      </w:r>
    </w:p>
    <w:p w:rsidR="00FE27D3" w:rsidRPr="00A73F7F" w:rsidRDefault="00FE27D3" w:rsidP="00A73F7F">
      <w:pPr>
        <w:pBdr>
          <w:top w:val="nil"/>
          <w:left w:val="nil"/>
          <w:bottom w:val="nil"/>
          <w:right w:val="nil"/>
          <w:between w:val="nil"/>
        </w:pBdr>
        <w:spacing w:line="360" w:lineRule="auto"/>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noProof/>
          <w:color w:val="000000" w:themeColor="text1"/>
          <w:lang w:val="es-MX" w:eastAsia="es-MX"/>
        </w:rPr>
        <w:lastRenderedPageBreak/>
        <w:drawing>
          <wp:inline distT="0" distB="0" distL="0" distR="0" wp14:anchorId="766B7C16" wp14:editId="14845739">
            <wp:extent cx="5941060" cy="169735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1697355"/>
                    </a:xfrm>
                    <a:prstGeom prst="rect">
                      <a:avLst/>
                    </a:prstGeom>
                  </pic:spPr>
                </pic:pic>
              </a:graphicData>
            </a:graphic>
          </wp:inline>
        </w:drawing>
      </w:r>
    </w:p>
    <w:p w:rsidR="00F00D88" w:rsidRPr="00A73F7F" w:rsidRDefault="00F00D88"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00D88"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El</w:t>
      </w:r>
      <w:r w:rsidRPr="00A73F7F">
        <w:rPr>
          <w:rFonts w:ascii="Palatino Linotype" w:eastAsia="Palatino Linotype" w:hAnsi="Palatino Linotype" w:cs="Palatino Linotype"/>
          <w:b/>
          <w:color w:val="000000" w:themeColor="text1"/>
        </w:rPr>
        <w:t xml:space="preserve"> </w:t>
      </w:r>
      <w:r w:rsidR="00FE27D3" w:rsidRPr="00A73F7F">
        <w:rPr>
          <w:rFonts w:ascii="Palatino Linotype" w:eastAsia="Palatino Linotype" w:hAnsi="Palatino Linotype" w:cs="Palatino Linotype"/>
          <w:b/>
          <w:color w:val="000000" w:themeColor="text1"/>
        </w:rPr>
        <w:t>veintiocho de mayo</w:t>
      </w:r>
      <w:r w:rsidR="0068620C" w:rsidRPr="00A73F7F">
        <w:rPr>
          <w:rFonts w:ascii="Palatino Linotype" w:eastAsia="Palatino Linotype" w:hAnsi="Palatino Linotype" w:cs="Palatino Linotype"/>
          <w:b/>
          <w:color w:val="000000" w:themeColor="text1"/>
        </w:rPr>
        <w:t xml:space="preserve"> de dos mil veinticinco</w:t>
      </w:r>
      <w:r w:rsidRPr="00A73F7F">
        <w:rPr>
          <w:rFonts w:ascii="Palatino Linotype" w:eastAsia="Palatino Linotype" w:hAnsi="Palatino Linotype" w:cs="Palatino Linotype"/>
          <w:color w:val="000000" w:themeColor="text1"/>
        </w:rPr>
        <w:t xml:space="preserve">, </w:t>
      </w:r>
      <w:r w:rsidRPr="00A73F7F">
        <w:rPr>
          <w:rFonts w:ascii="Palatino Linotype" w:eastAsia="Palatino Linotype" w:hAnsi="Palatino Linotype" w:cs="Palatino Linotype"/>
          <w:b/>
          <w:color w:val="000000" w:themeColor="text1"/>
        </w:rPr>
        <w:t>EL PARTICULAR</w:t>
      </w:r>
      <w:r w:rsidR="008D02AA" w:rsidRPr="00A73F7F">
        <w:rPr>
          <w:rFonts w:ascii="Palatino Linotype" w:eastAsia="Palatino Linotype" w:hAnsi="Palatino Linotype" w:cs="Palatino Linotype"/>
          <w:color w:val="000000" w:themeColor="text1"/>
        </w:rPr>
        <w:t xml:space="preserve"> interpuso el </w:t>
      </w:r>
      <w:r w:rsidRPr="00A73F7F">
        <w:rPr>
          <w:rFonts w:ascii="Palatino Linotype" w:eastAsia="Palatino Linotype" w:hAnsi="Palatino Linotype" w:cs="Palatino Linotype"/>
          <w:color w:val="000000" w:themeColor="text1"/>
        </w:rPr>
        <w:t>recurso de revisión en contra de la respuesta, manifestando las siguientes razones o motivos de inconformidad:</w:t>
      </w:r>
    </w:p>
    <w:p w:rsidR="008D02AA" w:rsidRPr="00A73F7F" w:rsidRDefault="008D02AA"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8D02AA" w:rsidRPr="00A73F7F" w:rsidRDefault="00924985"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 xml:space="preserve"> </w:t>
      </w:r>
      <w:r w:rsidR="008D02AA" w:rsidRPr="00A73F7F">
        <w:rPr>
          <w:rFonts w:ascii="Palatino Linotype" w:eastAsia="Palatino Linotype" w:hAnsi="Palatino Linotype" w:cs="Palatino Linotype"/>
          <w:i/>
          <w:color w:val="000000" w:themeColor="text1"/>
        </w:rPr>
        <w:t>●</w:t>
      </w:r>
      <w:r w:rsidR="00057477" w:rsidRPr="00A73F7F">
        <w:rPr>
          <w:rFonts w:ascii="Palatino Linotype" w:eastAsia="Palatino Linotype" w:hAnsi="Palatino Linotype" w:cs="Palatino Linotype"/>
          <w:b/>
          <w:color w:val="000000" w:themeColor="text1"/>
        </w:rPr>
        <w:t>ACTO IMPUGNADO</w:t>
      </w:r>
      <w:r w:rsidR="008D02AA" w:rsidRPr="00A73F7F">
        <w:rPr>
          <w:rFonts w:ascii="Palatino Linotype" w:eastAsia="Palatino Linotype" w:hAnsi="Palatino Linotype" w:cs="Palatino Linotype"/>
          <w:b/>
          <w:color w:val="000000" w:themeColor="text1"/>
        </w:rPr>
        <w:t>:</w:t>
      </w:r>
      <w:r w:rsidR="008D02AA" w:rsidRPr="00A73F7F">
        <w:rPr>
          <w:rFonts w:ascii="Palatino Linotype" w:eastAsia="Palatino Linotype" w:hAnsi="Palatino Linotype" w:cs="Palatino Linotype"/>
          <w:color w:val="000000" w:themeColor="text1"/>
        </w:rPr>
        <w:t xml:space="preserve"> “</w:t>
      </w:r>
      <w:r w:rsidR="00FE27D3" w:rsidRPr="00A73F7F">
        <w:rPr>
          <w:rFonts w:ascii="Palatino Linotype" w:eastAsia="Palatino Linotype" w:hAnsi="Palatino Linotype" w:cs="Palatino Linotype"/>
          <w:i/>
          <w:color w:val="000000" w:themeColor="text1"/>
        </w:rPr>
        <w:t>NO ENTREGA INFORMACIÓN</w:t>
      </w:r>
      <w:r w:rsidR="008D02AA" w:rsidRPr="00A73F7F">
        <w:rPr>
          <w:rFonts w:ascii="Palatino Linotype" w:eastAsia="Palatino Linotype" w:hAnsi="Palatino Linotype" w:cs="Palatino Linotype"/>
          <w:i/>
          <w:color w:val="000000" w:themeColor="text1"/>
        </w:rPr>
        <w:t>”</w:t>
      </w:r>
    </w:p>
    <w:p w:rsidR="008D02AA" w:rsidRPr="00A73F7F" w:rsidRDefault="008D02AA"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D02AA" w:rsidRPr="00A73F7F" w:rsidRDefault="008D02AA"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w:t>
      </w:r>
      <w:r w:rsidR="00057477" w:rsidRPr="00A73F7F">
        <w:rPr>
          <w:rFonts w:ascii="Palatino Linotype" w:eastAsia="Palatino Linotype" w:hAnsi="Palatino Linotype" w:cs="Palatino Linotype"/>
          <w:b/>
          <w:color w:val="000000" w:themeColor="text1"/>
        </w:rPr>
        <w:t>RAZONES O MOTIVOS DE INCONFORMIDAD</w:t>
      </w:r>
      <w:r w:rsidRPr="00A73F7F">
        <w:rPr>
          <w:rFonts w:ascii="Palatino Linotype" w:eastAsia="Palatino Linotype" w:hAnsi="Palatino Linotype" w:cs="Palatino Linotype"/>
          <w:b/>
          <w:i/>
          <w:color w:val="000000" w:themeColor="text1"/>
        </w:rPr>
        <w:t>:</w:t>
      </w:r>
      <w:r w:rsidRPr="00A73F7F">
        <w:rPr>
          <w:rFonts w:ascii="Palatino Linotype" w:eastAsia="Palatino Linotype" w:hAnsi="Palatino Linotype" w:cs="Palatino Linotype"/>
          <w:i/>
          <w:color w:val="000000" w:themeColor="text1"/>
        </w:rPr>
        <w:t xml:space="preserve"> “</w:t>
      </w:r>
      <w:r w:rsidR="00FE27D3" w:rsidRPr="00A73F7F">
        <w:rPr>
          <w:rFonts w:ascii="Palatino Linotype" w:eastAsia="Palatino Linotype" w:hAnsi="Palatino Linotype" w:cs="Palatino Linotype"/>
          <w:i/>
          <w:color w:val="000000" w:themeColor="text1"/>
        </w:rPr>
        <w:t>NO ENTREGA INFORMACIÓN</w:t>
      </w:r>
      <w:r w:rsidRPr="00A73F7F">
        <w:rPr>
          <w:rFonts w:ascii="Palatino Linotype" w:eastAsia="Palatino Linotype" w:hAnsi="Palatino Linotype" w:cs="Palatino Linotype"/>
          <w:i/>
          <w:color w:val="000000" w:themeColor="text1"/>
        </w:rPr>
        <w:t>”</w:t>
      </w:r>
    </w:p>
    <w:p w:rsidR="00F00D88" w:rsidRPr="00A73F7F" w:rsidRDefault="00F00D88" w:rsidP="00A73F7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F00D88" w:rsidRPr="00A73F7F" w:rsidRDefault="00057477"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3" w:name="_heading=h.yix0z2yv6301" w:colFirst="0" w:colLast="0"/>
      <w:bookmarkEnd w:id="3"/>
      <w:r>
        <w:rPr>
          <w:rFonts w:ascii="Palatino Linotype" w:eastAsia="Palatino Linotype" w:hAnsi="Palatino Linotype" w:cs="Palatino Linotype"/>
          <w:color w:val="000000" w:themeColor="text1"/>
        </w:rPr>
        <w:t>La Comisionada p</w:t>
      </w:r>
      <w:r w:rsidR="00905546" w:rsidRPr="00A73F7F">
        <w:rPr>
          <w:rFonts w:ascii="Palatino Linotype" w:eastAsia="Palatino Linotype" w:hAnsi="Palatino Linotype" w:cs="Palatino Linotype"/>
          <w:color w:val="000000" w:themeColor="text1"/>
        </w:rPr>
        <w:t xml:space="preserve">onente con fundamento en lo dispuesto por el artículo 185 fracción II de la </w:t>
      </w:r>
      <w:r w:rsidR="00327E99" w:rsidRPr="00A73F7F">
        <w:rPr>
          <w:rFonts w:ascii="Palatino Linotype" w:eastAsia="Palatino Linotype" w:hAnsi="Palatino Linotype" w:cs="Palatino Linotype"/>
          <w:color w:val="000000" w:themeColor="text1"/>
        </w:rPr>
        <w:t xml:space="preserve">ley de la materia, a través de los </w:t>
      </w:r>
      <w:r w:rsidR="00905546" w:rsidRPr="00A73F7F">
        <w:rPr>
          <w:rFonts w:ascii="Palatino Linotype" w:eastAsia="Palatino Linotype" w:hAnsi="Palatino Linotype" w:cs="Palatino Linotype"/>
          <w:color w:val="000000" w:themeColor="text1"/>
        </w:rPr>
        <w:t>acuerdo</w:t>
      </w:r>
      <w:r w:rsidR="00327E99" w:rsidRPr="00A73F7F">
        <w:rPr>
          <w:rFonts w:ascii="Palatino Linotype" w:eastAsia="Palatino Linotype" w:hAnsi="Palatino Linotype" w:cs="Palatino Linotype"/>
          <w:color w:val="000000" w:themeColor="text1"/>
        </w:rPr>
        <w:t>s</w:t>
      </w:r>
      <w:r w:rsidR="00905546" w:rsidRPr="00A73F7F">
        <w:rPr>
          <w:rFonts w:ascii="Palatino Linotype" w:eastAsia="Palatino Linotype" w:hAnsi="Palatino Linotype" w:cs="Palatino Linotype"/>
          <w:color w:val="000000" w:themeColor="text1"/>
        </w:rPr>
        <w:t xml:space="preserve"> de admisión de </w:t>
      </w:r>
      <w:r w:rsidR="00FE27D3" w:rsidRPr="00A73F7F">
        <w:rPr>
          <w:rFonts w:ascii="Palatino Linotype" w:eastAsia="Palatino Linotype" w:hAnsi="Palatino Linotype" w:cs="Palatino Linotype"/>
          <w:b/>
          <w:color w:val="000000" w:themeColor="text1"/>
        </w:rPr>
        <w:t>dos de junio</w:t>
      </w:r>
      <w:r w:rsidR="00BB798B" w:rsidRPr="00A73F7F">
        <w:rPr>
          <w:rFonts w:ascii="Palatino Linotype" w:eastAsia="Palatino Linotype" w:hAnsi="Palatino Linotype" w:cs="Palatino Linotype"/>
          <w:b/>
          <w:color w:val="000000" w:themeColor="text1"/>
        </w:rPr>
        <w:t xml:space="preserve"> de</w:t>
      </w:r>
      <w:r w:rsidR="00905546" w:rsidRPr="00A73F7F">
        <w:rPr>
          <w:rFonts w:ascii="Palatino Linotype" w:eastAsia="Palatino Linotype" w:hAnsi="Palatino Linotype" w:cs="Palatino Linotype"/>
          <w:b/>
          <w:color w:val="000000" w:themeColor="text1"/>
        </w:rPr>
        <w:t xml:space="preserve"> dos mil veinticinco</w:t>
      </w:r>
      <w:r w:rsidR="00905546" w:rsidRPr="00A73F7F">
        <w:rPr>
          <w:rFonts w:ascii="Palatino Linotype" w:eastAsia="Palatino Linotype" w:hAnsi="Palatino Linotype" w:cs="Palatino Linotype"/>
          <w:color w:val="000000" w:themeColor="text1"/>
        </w:rPr>
        <w:t xml:space="preserve">, puso a disposición de las partes el expediente electrónico vía </w:t>
      </w:r>
      <w:r w:rsidR="00905546" w:rsidRPr="00A73F7F">
        <w:rPr>
          <w:rFonts w:ascii="Palatino Linotype" w:eastAsia="Palatino Linotype" w:hAnsi="Palatino Linotype" w:cs="Palatino Linotype"/>
          <w:b/>
          <w:color w:val="000000" w:themeColor="text1"/>
        </w:rPr>
        <w:t xml:space="preserve">SAIMEX </w:t>
      </w:r>
      <w:r w:rsidR="00905546" w:rsidRPr="00A73F7F">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00905546" w:rsidRPr="00A73F7F">
        <w:rPr>
          <w:rFonts w:ascii="Palatino Linotype" w:eastAsia="Palatino Linotype" w:hAnsi="Palatino Linotype" w:cs="Palatino Linotype"/>
          <w:b/>
          <w:color w:val="000000" w:themeColor="text1"/>
        </w:rPr>
        <w:t>SUJETO OBLIGADO</w:t>
      </w:r>
      <w:r w:rsidR="00905546" w:rsidRPr="00A73F7F">
        <w:rPr>
          <w:rFonts w:ascii="Palatino Linotype" w:eastAsia="Palatino Linotype" w:hAnsi="Palatino Linotype" w:cs="Palatino Linotype"/>
          <w:color w:val="000000" w:themeColor="text1"/>
        </w:rPr>
        <w:t xml:space="preserve"> presentará el Informe Justificado procedente.</w:t>
      </w:r>
    </w:p>
    <w:p w:rsidR="00F00D88" w:rsidRPr="00A73F7F" w:rsidRDefault="00F00D88"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E27D3"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El </w:t>
      </w:r>
      <w:r w:rsidRPr="00A73F7F">
        <w:rPr>
          <w:rFonts w:ascii="Palatino Linotype" w:eastAsia="Palatino Linotype" w:hAnsi="Palatino Linotype" w:cs="Palatino Linotype"/>
          <w:b/>
          <w:color w:val="000000" w:themeColor="text1"/>
        </w:rPr>
        <w:t>PARTICULAR</w:t>
      </w:r>
      <w:r w:rsidR="00FE27D3" w:rsidRPr="00A73F7F">
        <w:rPr>
          <w:rFonts w:ascii="Palatino Linotype" w:eastAsia="Palatino Linotype" w:hAnsi="Palatino Linotype" w:cs="Palatino Linotype"/>
          <w:b/>
          <w:color w:val="000000" w:themeColor="text1"/>
        </w:rPr>
        <w:t xml:space="preserve">, </w:t>
      </w:r>
      <w:r w:rsidR="00FE27D3" w:rsidRPr="00A73F7F">
        <w:rPr>
          <w:rFonts w:ascii="Palatino Linotype" w:eastAsia="Palatino Linotype" w:hAnsi="Palatino Linotype" w:cs="Palatino Linotype"/>
          <w:color w:val="000000" w:themeColor="text1"/>
        </w:rPr>
        <w:t>el veinticinco de junio de dos mil veinticinco, remitió los archivos siguientes:</w:t>
      </w:r>
    </w:p>
    <w:p w:rsidR="00196A03" w:rsidRPr="00A73F7F" w:rsidRDefault="00942F9C" w:rsidP="00A73F7F">
      <w:pPr>
        <w:pStyle w:val="Prrafodelista"/>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hyperlink r:id="rId11" w:history="1">
        <w:r w:rsidR="00FE27D3" w:rsidRPr="00A73F7F">
          <w:rPr>
            <w:rStyle w:val="Hipervnculo"/>
            <w:rFonts w:ascii="Palatino Linotype" w:eastAsia="Palatino Linotype" w:hAnsi="Palatino Linotype" w:cs="Palatino Linotype"/>
            <w:b/>
            <w:bCs/>
            <w:color w:val="000000" w:themeColor="text1"/>
            <w:u w:val="none"/>
          </w:rPr>
          <w:t>IJ 6133 2025.pdf</w:t>
        </w:r>
      </w:hyperlink>
      <w:r w:rsidR="00FE27D3" w:rsidRPr="00A73F7F">
        <w:rPr>
          <w:rFonts w:ascii="Palatino Linotype" w:eastAsia="Palatino Linotype" w:hAnsi="Palatino Linotype" w:cs="Palatino Linotype"/>
          <w:b/>
          <w:color w:val="000000" w:themeColor="text1"/>
        </w:rPr>
        <w:t xml:space="preserve">: </w:t>
      </w:r>
      <w:r w:rsidR="00FE27D3" w:rsidRPr="00A73F7F">
        <w:rPr>
          <w:rFonts w:ascii="Palatino Linotype" w:eastAsia="Palatino Linotype" w:hAnsi="Palatino Linotype" w:cs="Palatino Linotype"/>
          <w:color w:val="000000" w:themeColor="text1"/>
        </w:rPr>
        <w:t xml:space="preserve">Informe Justificado por el que </w:t>
      </w:r>
      <w:r w:rsidR="00196A03" w:rsidRPr="00A73F7F">
        <w:rPr>
          <w:rFonts w:ascii="Palatino Linotype" w:eastAsia="Palatino Linotype" w:hAnsi="Palatino Linotype" w:cs="Palatino Linotype"/>
          <w:color w:val="000000" w:themeColor="text1"/>
        </w:rPr>
        <w:t xml:space="preserve">se remite, los oficios por los que se dio respuesta y el oficio de dieciséis de junio de dos mil veinticinco, firmado por el Director Jurídico, </w:t>
      </w:r>
      <w:r w:rsidR="006B0202" w:rsidRPr="00A73F7F">
        <w:rPr>
          <w:rFonts w:ascii="Palatino Linotype" w:eastAsia="Palatino Linotype" w:hAnsi="Palatino Linotype" w:cs="Palatino Linotype"/>
          <w:color w:val="000000" w:themeColor="text1"/>
        </w:rPr>
        <w:t>por el que informo las causas de baja, sin embargo se proporcionaron los nombres, razón por la cual no resulta dable ponerlo a la vista.</w:t>
      </w:r>
    </w:p>
    <w:p w:rsidR="00FE27D3" w:rsidRPr="00A73F7F" w:rsidRDefault="00FE27D3" w:rsidP="00A73F7F">
      <w:pPr>
        <w:pStyle w:val="Prrafodelista"/>
        <w:numPr>
          <w:ilvl w:val="0"/>
          <w:numId w:val="2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SOL 310 D. JURIDICA.pdf</w:t>
      </w:r>
    </w:p>
    <w:p w:rsidR="00FE27D3" w:rsidRPr="00A73F7F" w:rsidRDefault="000E5676"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Oficio de dieciséis de junio de dos mil veinticinco, </w:t>
      </w:r>
      <w:r w:rsidR="006B0202" w:rsidRPr="00A73F7F">
        <w:rPr>
          <w:rFonts w:ascii="Palatino Linotype" w:eastAsia="Palatino Linotype" w:hAnsi="Palatino Linotype" w:cs="Palatino Linotype"/>
          <w:color w:val="000000" w:themeColor="text1"/>
        </w:rPr>
        <w:t xml:space="preserve">remitido en informe justificado, mismo que no se pone a la vista por las razones expuestas. </w:t>
      </w:r>
    </w:p>
    <w:p w:rsidR="00FE27D3" w:rsidRPr="00A73F7F" w:rsidRDefault="00FE27D3"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E4020"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t xml:space="preserve"> </w:t>
      </w:r>
      <w:r w:rsidR="000E5676" w:rsidRPr="00A73F7F">
        <w:rPr>
          <w:rFonts w:ascii="Palatino Linotype" w:eastAsia="Palatino Linotype" w:hAnsi="Palatino Linotype" w:cs="Palatino Linotype"/>
          <w:color w:val="000000" w:themeColor="text1"/>
        </w:rPr>
        <w:t>El</w:t>
      </w:r>
      <w:r w:rsidR="000E4020" w:rsidRPr="00A73F7F">
        <w:rPr>
          <w:rFonts w:ascii="Palatino Linotype" w:eastAsia="Palatino Linotype" w:hAnsi="Palatino Linotype" w:cs="Palatino Linotype"/>
          <w:color w:val="000000" w:themeColor="text1"/>
        </w:rPr>
        <w:t xml:space="preserve"> </w:t>
      </w:r>
      <w:r w:rsidR="000E4020" w:rsidRPr="00A73F7F">
        <w:rPr>
          <w:rFonts w:ascii="Palatino Linotype" w:eastAsia="Palatino Linotype" w:hAnsi="Palatino Linotype" w:cs="Palatino Linotype"/>
          <w:b/>
          <w:color w:val="000000" w:themeColor="text1"/>
        </w:rPr>
        <w:t xml:space="preserve">SUJETO OBLIGADO, </w:t>
      </w:r>
      <w:r w:rsidR="000E5676" w:rsidRPr="00A73F7F">
        <w:rPr>
          <w:rFonts w:ascii="Palatino Linotype" w:eastAsia="Palatino Linotype" w:hAnsi="Palatino Linotype" w:cs="Palatino Linotype"/>
          <w:color w:val="000000" w:themeColor="text1"/>
        </w:rPr>
        <w:t>no realizó</w:t>
      </w:r>
      <w:r w:rsidRPr="00A73F7F">
        <w:rPr>
          <w:rFonts w:ascii="Palatino Linotype" w:eastAsia="Palatino Linotype" w:hAnsi="Palatino Linotype" w:cs="Palatino Linotype"/>
          <w:color w:val="000000" w:themeColor="text1"/>
        </w:rPr>
        <w:t xml:space="preserve"> manifestaciones </w:t>
      </w:r>
      <w:r w:rsidR="000E4020" w:rsidRPr="00A73F7F">
        <w:rPr>
          <w:rFonts w:ascii="Palatino Linotype" w:eastAsia="Palatino Linotype" w:hAnsi="Palatino Linotype" w:cs="Palatino Linotype"/>
          <w:color w:val="000000" w:themeColor="text1"/>
        </w:rPr>
        <w:t>conforme</w:t>
      </w:r>
      <w:r w:rsidRPr="00A73F7F">
        <w:rPr>
          <w:rFonts w:ascii="Palatino Linotype" w:eastAsia="Palatino Linotype" w:hAnsi="Palatino Linotype" w:cs="Palatino Linotype"/>
          <w:color w:val="000000" w:themeColor="text1"/>
        </w:rPr>
        <w:t xml:space="preserve"> a su derecho conviniera y asistiera.</w:t>
      </w:r>
    </w:p>
    <w:p w:rsidR="000E4020" w:rsidRPr="00A73F7F" w:rsidRDefault="000E4020"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B798B" w:rsidRPr="00A73F7F" w:rsidRDefault="00BB798B"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gnlj36l0lr8b" w:colFirst="0" w:colLast="0"/>
      <w:bookmarkEnd w:id="4"/>
      <w:r w:rsidRPr="00A73F7F">
        <w:rPr>
          <w:rFonts w:ascii="Palatino Linotype" w:eastAsia="Palatino Linotype" w:hAnsi="Palatino Linotype" w:cs="Palatino Linotype"/>
          <w:color w:val="000000" w:themeColor="text1"/>
        </w:rPr>
        <w:t xml:space="preserve">El </w:t>
      </w:r>
      <w:r w:rsidR="000E5676" w:rsidRPr="00A73F7F">
        <w:rPr>
          <w:rFonts w:ascii="Palatino Linotype" w:eastAsia="Palatino Linotype" w:hAnsi="Palatino Linotype" w:cs="Palatino Linotype"/>
          <w:b/>
          <w:color w:val="000000" w:themeColor="text1"/>
        </w:rPr>
        <w:t>tres de diciembre</w:t>
      </w:r>
      <w:r w:rsidRPr="00A73F7F">
        <w:rPr>
          <w:rFonts w:ascii="Palatino Linotype" w:eastAsia="Palatino Linotype" w:hAnsi="Palatino Linotype" w:cs="Palatino Linotype"/>
          <w:b/>
          <w:color w:val="000000" w:themeColor="text1"/>
        </w:rPr>
        <w:t xml:space="preserve"> de dos mil veinticinco, </w:t>
      </w:r>
      <w:r w:rsidRPr="00A73F7F">
        <w:rPr>
          <w:rFonts w:ascii="Palatino Linotype" w:eastAsia="Palatino Linotype" w:hAnsi="Palatino Linotype" w:cs="Palatino Linotype"/>
          <w:color w:val="000000" w:themeColor="text1"/>
        </w:rPr>
        <w:t>se notificó el acuerdo por el que se aprobó el plazo para resolver el recurso de revisión que nos ocupa.</w:t>
      </w:r>
    </w:p>
    <w:p w:rsidR="00BB798B" w:rsidRPr="00A73F7F" w:rsidRDefault="00BB798B" w:rsidP="00A73F7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00D88" w:rsidRPr="00A73F7F" w:rsidRDefault="008F0540"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color w:val="000000" w:themeColor="text1"/>
        </w:rPr>
        <w:t>M</w:t>
      </w:r>
      <w:r w:rsidR="00905546" w:rsidRPr="00A73F7F">
        <w:rPr>
          <w:rFonts w:ascii="Palatino Linotype" w:eastAsia="Palatino Linotype" w:hAnsi="Palatino Linotype" w:cs="Palatino Linotype"/>
          <w:color w:val="000000" w:themeColor="text1"/>
        </w:rPr>
        <w:t xml:space="preserve">ediante acuerdo de </w:t>
      </w:r>
      <w:r w:rsidRPr="00A73F7F">
        <w:rPr>
          <w:rFonts w:ascii="Palatino Linotype" w:eastAsia="Palatino Linotype" w:hAnsi="Palatino Linotype" w:cs="Palatino Linotype"/>
          <w:b/>
          <w:color w:val="000000" w:themeColor="text1"/>
        </w:rPr>
        <w:t xml:space="preserve">cuatro </w:t>
      </w:r>
      <w:r w:rsidR="000E5676" w:rsidRPr="00A73F7F">
        <w:rPr>
          <w:rFonts w:ascii="Palatino Linotype" w:eastAsia="Palatino Linotype" w:hAnsi="Palatino Linotype" w:cs="Palatino Linotype"/>
          <w:b/>
          <w:color w:val="000000" w:themeColor="text1"/>
        </w:rPr>
        <w:t>de diciembre</w:t>
      </w:r>
      <w:r w:rsidR="00BB798B" w:rsidRPr="00A73F7F">
        <w:rPr>
          <w:rFonts w:ascii="Palatino Linotype" w:eastAsia="Palatino Linotype" w:hAnsi="Palatino Linotype" w:cs="Palatino Linotype"/>
          <w:b/>
          <w:color w:val="000000" w:themeColor="text1"/>
        </w:rPr>
        <w:t xml:space="preserve"> de dos mil veinticinco,</w:t>
      </w:r>
      <w:r w:rsidR="00905546" w:rsidRPr="00A73F7F">
        <w:rPr>
          <w:rFonts w:ascii="Palatino Linotype" w:eastAsia="Palatino Linotype" w:hAnsi="Palatino Linotype" w:cs="Palatino Linotype"/>
          <w:color w:val="000000" w:themeColor="text1"/>
        </w:rPr>
        <w:t>, se decretó el cierre de instrucción, por lo que no habien</w:t>
      </w:r>
      <w:r w:rsidR="00A73F7F">
        <w:rPr>
          <w:rFonts w:ascii="Palatino Linotype" w:eastAsia="Palatino Linotype" w:hAnsi="Palatino Linotype" w:cs="Palatino Linotype"/>
          <w:color w:val="000000" w:themeColor="text1"/>
        </w:rPr>
        <w:t>do más que hacer constar, y</w:t>
      </w:r>
    </w:p>
    <w:p w:rsidR="00A73F7F" w:rsidRDefault="00A73F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C</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O</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N</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S</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I</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D</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E</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R</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A</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N</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D</w:t>
      </w:r>
      <w:r w:rsidR="00057477">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b/>
          <w:color w:val="000000" w:themeColor="text1"/>
        </w:rPr>
        <w:t>O</w:t>
      </w:r>
      <w:r w:rsidR="00057477">
        <w:rPr>
          <w:rFonts w:ascii="Palatino Linotype" w:eastAsia="Palatino Linotype" w:hAnsi="Palatino Linotype" w:cs="Palatino Linotype"/>
          <w:b/>
          <w:color w:val="000000" w:themeColor="text1"/>
        </w:rPr>
        <w:t xml:space="preserve"> </w:t>
      </w:r>
    </w:p>
    <w:p w:rsidR="00F00D88" w:rsidRPr="00A73F7F" w:rsidRDefault="00F00D88" w:rsidP="00A73F7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F00D88" w:rsidRPr="00A73F7F" w:rsidRDefault="00905546" w:rsidP="00A73F7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bu3y4hbxrln" w:colFirst="0" w:colLast="0"/>
      <w:bookmarkEnd w:id="5"/>
      <w:r w:rsidRPr="00A73F7F">
        <w:rPr>
          <w:rFonts w:ascii="Palatino Linotype" w:eastAsia="Palatino Linotype" w:hAnsi="Palatino Linotype" w:cs="Palatino Linotype"/>
          <w:b/>
          <w:color w:val="000000" w:themeColor="text1"/>
          <w:sz w:val="24"/>
          <w:szCs w:val="24"/>
        </w:rPr>
        <w:t>PRIMERO. De la competencia</w:t>
      </w:r>
    </w:p>
    <w:p w:rsidR="000E5676" w:rsidRPr="00A73F7F" w:rsidRDefault="000E5676" w:rsidP="00A73F7F">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w:t>
      </w:r>
      <w:r w:rsidRPr="00A73F7F">
        <w:rPr>
          <w:rFonts w:ascii="Palatino Linotype" w:eastAsia="Palatino Linotype" w:hAnsi="Palatino Linotype" w:cs="Palatino Linotype"/>
          <w:color w:val="000000" w:themeColor="text1"/>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F4C39" w:rsidRPr="00A73F7F" w:rsidRDefault="00FF4C39" w:rsidP="00A73F7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00D88" w:rsidRPr="00A73F7F" w:rsidRDefault="00905546" w:rsidP="00A73F7F">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7gwoh1b6bqqt" w:colFirst="0" w:colLast="0"/>
      <w:bookmarkEnd w:id="6"/>
      <w:r w:rsidRPr="00A73F7F">
        <w:rPr>
          <w:rFonts w:ascii="Palatino Linotype" w:eastAsia="Palatino Linotype" w:hAnsi="Palatino Linotype" w:cs="Palatino Linotype"/>
          <w:b/>
          <w:color w:val="000000" w:themeColor="text1"/>
          <w:sz w:val="24"/>
          <w:szCs w:val="24"/>
        </w:rPr>
        <w:t>SEGUNDO. De la oportunidad y procedencia.</w:t>
      </w:r>
    </w:p>
    <w:p w:rsidR="00F00D88"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El medio de impugnación fue presentado a través del </w:t>
      </w:r>
      <w:r w:rsidRPr="00A73F7F">
        <w:rPr>
          <w:rFonts w:ascii="Palatino Linotype" w:eastAsia="Palatino Linotype" w:hAnsi="Palatino Linotype" w:cs="Palatino Linotype"/>
          <w:b/>
          <w:color w:val="000000" w:themeColor="text1"/>
        </w:rPr>
        <w:t>SAIMEX,</w:t>
      </w:r>
      <w:r w:rsidRPr="00A73F7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A73F7F">
        <w:rPr>
          <w:rFonts w:ascii="Palatino Linotype" w:eastAsia="Palatino Linotype" w:hAnsi="Palatino Linotype" w:cs="Palatino Linotype"/>
          <w:b/>
          <w:color w:val="000000" w:themeColor="text1"/>
        </w:rPr>
        <w:t>SUJETO OBLIGADO</w:t>
      </w:r>
      <w:r w:rsidR="00995E78" w:rsidRPr="00A73F7F">
        <w:rPr>
          <w:rFonts w:ascii="Palatino Linotype" w:eastAsia="Palatino Linotype" w:hAnsi="Palatino Linotype" w:cs="Palatino Linotype"/>
          <w:color w:val="000000" w:themeColor="text1"/>
        </w:rPr>
        <w:t xml:space="preserve"> dio respuesta </w:t>
      </w:r>
      <w:r w:rsidR="000E4020" w:rsidRPr="00A73F7F">
        <w:rPr>
          <w:rFonts w:ascii="Palatino Linotype" w:eastAsia="Palatino Linotype" w:hAnsi="Palatino Linotype" w:cs="Palatino Linotype"/>
          <w:color w:val="000000" w:themeColor="text1"/>
        </w:rPr>
        <w:t xml:space="preserve">el día </w:t>
      </w:r>
      <w:r w:rsidR="000E5676" w:rsidRPr="00A73F7F">
        <w:rPr>
          <w:rFonts w:ascii="Palatino Linotype" w:eastAsia="Palatino Linotype" w:hAnsi="Palatino Linotype" w:cs="Palatino Linotype"/>
          <w:b/>
          <w:color w:val="000000" w:themeColor="text1"/>
        </w:rPr>
        <w:t xml:space="preserve">veintisiete de mayo </w:t>
      </w:r>
      <w:r w:rsidR="000E4020" w:rsidRPr="00A73F7F">
        <w:rPr>
          <w:rFonts w:ascii="Palatino Linotype" w:eastAsia="Palatino Linotype" w:hAnsi="Palatino Linotype" w:cs="Palatino Linotype"/>
          <w:b/>
          <w:color w:val="000000" w:themeColor="text1"/>
        </w:rPr>
        <w:t xml:space="preserve">de dos mil veinticinco, </w:t>
      </w:r>
      <w:r w:rsidR="000E4020" w:rsidRPr="00A73F7F">
        <w:rPr>
          <w:rFonts w:ascii="Palatino Linotype" w:eastAsia="Palatino Linotype" w:hAnsi="Palatino Linotype" w:cs="Palatino Linotype"/>
          <w:color w:val="000000" w:themeColor="text1"/>
        </w:rPr>
        <w:t xml:space="preserve">por lo que el plazo para interponer los recursos de </w:t>
      </w:r>
      <w:r w:rsidR="00B75410" w:rsidRPr="00A73F7F">
        <w:rPr>
          <w:rFonts w:ascii="Palatino Linotype" w:eastAsia="Palatino Linotype" w:hAnsi="Palatino Linotype" w:cs="Palatino Linotype"/>
          <w:color w:val="000000" w:themeColor="text1"/>
        </w:rPr>
        <w:t>revisión</w:t>
      </w:r>
      <w:r w:rsidR="000E4020" w:rsidRPr="00A73F7F">
        <w:rPr>
          <w:rFonts w:ascii="Palatino Linotype" w:eastAsia="Palatino Linotype" w:hAnsi="Palatino Linotype" w:cs="Palatino Linotype"/>
          <w:color w:val="000000" w:themeColor="text1"/>
        </w:rPr>
        <w:t xml:space="preserve"> transcurrieron del </w:t>
      </w:r>
      <w:r w:rsidR="00186646" w:rsidRPr="00A73F7F">
        <w:rPr>
          <w:rFonts w:ascii="Palatino Linotype" w:eastAsia="Palatino Linotype" w:hAnsi="Palatino Linotype" w:cs="Palatino Linotype"/>
          <w:b/>
          <w:color w:val="000000" w:themeColor="text1"/>
        </w:rPr>
        <w:t xml:space="preserve">veintiocho </w:t>
      </w:r>
      <w:r w:rsidR="000E5676" w:rsidRPr="00A73F7F">
        <w:rPr>
          <w:rFonts w:ascii="Palatino Linotype" w:eastAsia="Palatino Linotype" w:hAnsi="Palatino Linotype" w:cs="Palatino Linotype"/>
          <w:b/>
          <w:color w:val="000000" w:themeColor="text1"/>
        </w:rPr>
        <w:t>de mayo</w:t>
      </w:r>
      <w:r w:rsidR="00B75410" w:rsidRPr="00A73F7F">
        <w:rPr>
          <w:rFonts w:ascii="Palatino Linotype" w:eastAsia="Palatino Linotype" w:hAnsi="Palatino Linotype" w:cs="Palatino Linotype"/>
          <w:b/>
          <w:color w:val="000000" w:themeColor="text1"/>
        </w:rPr>
        <w:t xml:space="preserve"> </w:t>
      </w:r>
      <w:r w:rsidR="00186646" w:rsidRPr="00A73F7F">
        <w:rPr>
          <w:rFonts w:ascii="Palatino Linotype" w:eastAsia="Palatino Linotype" w:hAnsi="Palatino Linotype" w:cs="Palatino Linotype"/>
          <w:b/>
          <w:color w:val="000000" w:themeColor="text1"/>
        </w:rPr>
        <w:t xml:space="preserve">al </w:t>
      </w:r>
      <w:r w:rsidR="000E5676" w:rsidRPr="00A73F7F">
        <w:rPr>
          <w:rFonts w:ascii="Palatino Linotype" w:eastAsia="Palatino Linotype" w:hAnsi="Palatino Linotype" w:cs="Palatino Linotype"/>
          <w:b/>
          <w:color w:val="000000" w:themeColor="text1"/>
        </w:rPr>
        <w:t xml:space="preserve">diecisiete de junio </w:t>
      </w:r>
      <w:r w:rsidR="00B75410" w:rsidRPr="00A73F7F">
        <w:rPr>
          <w:rFonts w:ascii="Palatino Linotype" w:eastAsia="Palatino Linotype" w:hAnsi="Palatino Linotype" w:cs="Palatino Linotype"/>
          <w:b/>
          <w:color w:val="000000" w:themeColor="text1"/>
        </w:rPr>
        <w:t xml:space="preserve">de dos mil veinticinco, </w:t>
      </w:r>
      <w:r w:rsidR="00B75410" w:rsidRPr="00A73F7F">
        <w:rPr>
          <w:rFonts w:ascii="Palatino Linotype" w:eastAsia="Palatino Linotype" w:hAnsi="Palatino Linotype" w:cs="Palatino Linotype"/>
          <w:color w:val="000000" w:themeColor="text1"/>
        </w:rPr>
        <w:t xml:space="preserve">es así que el </w:t>
      </w:r>
      <w:r w:rsidR="00B75410" w:rsidRPr="00A73F7F">
        <w:rPr>
          <w:rFonts w:ascii="Palatino Linotype" w:eastAsia="Palatino Linotype" w:hAnsi="Palatino Linotype" w:cs="Palatino Linotype"/>
          <w:b/>
          <w:color w:val="000000" w:themeColor="text1"/>
        </w:rPr>
        <w:t xml:space="preserve">RECURRENTE, </w:t>
      </w:r>
      <w:r w:rsidR="00B75410" w:rsidRPr="00A73F7F">
        <w:rPr>
          <w:rFonts w:ascii="Palatino Linotype" w:eastAsia="Palatino Linotype" w:hAnsi="Palatino Linotype" w:cs="Palatino Linotype"/>
          <w:color w:val="000000" w:themeColor="text1"/>
        </w:rPr>
        <w:t xml:space="preserve">interpuso los recursos de revisión el día </w:t>
      </w:r>
      <w:r w:rsidR="00B577AB" w:rsidRPr="00A73F7F">
        <w:rPr>
          <w:rFonts w:ascii="Palatino Linotype" w:eastAsia="Palatino Linotype" w:hAnsi="Palatino Linotype" w:cs="Palatino Linotype"/>
          <w:b/>
          <w:color w:val="000000" w:themeColor="text1"/>
        </w:rPr>
        <w:t>veintiocho de mayo</w:t>
      </w:r>
      <w:r w:rsidR="00B75410" w:rsidRPr="00A73F7F">
        <w:rPr>
          <w:rFonts w:ascii="Palatino Linotype" w:eastAsia="Palatino Linotype" w:hAnsi="Palatino Linotype" w:cs="Palatino Linotype"/>
          <w:b/>
          <w:color w:val="000000" w:themeColor="text1"/>
        </w:rPr>
        <w:t xml:space="preserve"> de dos mil veinticinco, </w:t>
      </w:r>
      <w:r w:rsidR="00B75410" w:rsidRPr="00A73F7F">
        <w:rPr>
          <w:rFonts w:ascii="Palatino Linotype" w:eastAsia="Palatino Linotype" w:hAnsi="Palatino Linotype" w:cs="Palatino Linotype"/>
          <w:color w:val="000000" w:themeColor="text1"/>
        </w:rPr>
        <w:t xml:space="preserve">por lo que </w:t>
      </w:r>
      <w:r w:rsidRPr="00A73F7F">
        <w:rPr>
          <w:rFonts w:ascii="Palatino Linotype" w:eastAsia="Palatino Linotype" w:hAnsi="Palatino Linotype" w:cs="Palatino Linotype"/>
          <w:color w:val="000000" w:themeColor="text1"/>
        </w:rPr>
        <w:t>se estima que la inconformidad se presentó dentro del lapso legalmente establecido para tal efecto.</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00D88" w:rsidRPr="00A73F7F" w:rsidRDefault="00F00D88" w:rsidP="00A73F7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F00D88" w:rsidRPr="00A73F7F" w:rsidRDefault="00905546" w:rsidP="00A73F7F">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6se2l7uevp1n" w:colFirst="0" w:colLast="0"/>
      <w:bookmarkEnd w:id="7"/>
      <w:r w:rsidRPr="00A73F7F">
        <w:rPr>
          <w:rFonts w:ascii="Palatino Linotype" w:eastAsia="Palatino Linotype" w:hAnsi="Palatino Linotype" w:cs="Palatino Linotype"/>
          <w:b/>
          <w:color w:val="000000" w:themeColor="text1"/>
          <w:sz w:val="24"/>
          <w:szCs w:val="24"/>
        </w:rPr>
        <w:t xml:space="preserve">TERCERO. Del planteamiento de la </w:t>
      </w:r>
      <w:r w:rsidRPr="00A73F7F">
        <w:rPr>
          <w:rFonts w:ascii="Palatino Linotype" w:eastAsia="Palatino Linotype" w:hAnsi="Palatino Linotype" w:cs="Palatino Linotype"/>
          <w:b/>
          <w:i/>
          <w:color w:val="000000" w:themeColor="text1"/>
          <w:sz w:val="24"/>
          <w:szCs w:val="24"/>
        </w:rPr>
        <w:t>Litis</w:t>
      </w:r>
      <w:r w:rsidRPr="00A73F7F">
        <w:rPr>
          <w:rFonts w:ascii="Palatino Linotype" w:eastAsia="Palatino Linotype" w:hAnsi="Palatino Linotype" w:cs="Palatino Linotype"/>
          <w:b/>
          <w:color w:val="000000" w:themeColor="text1"/>
          <w:sz w:val="24"/>
          <w:szCs w:val="24"/>
        </w:rPr>
        <w:t>.</w:t>
      </w:r>
    </w:p>
    <w:p w:rsidR="00A96FF9" w:rsidRPr="00A73F7F" w:rsidRDefault="00905546" w:rsidP="00A73F7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Se solicitó tener acceso, a la información que a continuación se desagrega:</w:t>
      </w:r>
    </w:p>
    <w:p w:rsidR="00186646" w:rsidRPr="00A73F7F" w:rsidRDefault="00B577AB" w:rsidP="00A73F7F">
      <w:pPr>
        <w:pStyle w:val="Prrafodelista"/>
        <w:numPr>
          <w:ilvl w:val="0"/>
          <w:numId w:val="29"/>
        </w:numPr>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color w:val="000000" w:themeColor="text1"/>
        </w:rPr>
        <w:lastRenderedPageBreak/>
        <w:t>Solicito el número total de elementos de la policía municipal evaluados mediante controles de confianza en los últimos 3 años, desglosando cuántos aprobaron, reprobaron, fueron suspendidos, dados de baja o reasignados, y el criterio aplicado en cada caso.</w:t>
      </w:r>
    </w:p>
    <w:p w:rsidR="00B577AB" w:rsidRPr="00A73F7F" w:rsidRDefault="00B577AB" w:rsidP="00A73F7F">
      <w:pPr>
        <w:pStyle w:val="Prrafodelista"/>
        <w:spacing w:line="360" w:lineRule="auto"/>
        <w:ind w:left="0"/>
        <w:jc w:val="both"/>
        <w:rPr>
          <w:rFonts w:ascii="Palatino Linotype" w:eastAsia="Palatino Linotype" w:hAnsi="Palatino Linotype" w:cs="Palatino Linotype"/>
          <w:b/>
          <w:color w:val="000000" w:themeColor="text1"/>
        </w:rPr>
      </w:pPr>
    </w:p>
    <w:p w:rsidR="00C727A2"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Para tal efecto, el </w:t>
      </w:r>
      <w:r w:rsidRPr="00A73F7F">
        <w:rPr>
          <w:rFonts w:ascii="Palatino Linotype" w:eastAsia="Palatino Linotype" w:hAnsi="Palatino Linotype" w:cs="Palatino Linotype"/>
          <w:b/>
          <w:color w:val="000000" w:themeColor="text1"/>
        </w:rPr>
        <w:t xml:space="preserve">SUJETO OBLIGADO </w:t>
      </w:r>
      <w:r w:rsidR="00C727A2" w:rsidRPr="00A73F7F">
        <w:rPr>
          <w:rFonts w:ascii="Palatino Linotype" w:eastAsia="Palatino Linotype" w:hAnsi="Palatino Linotype" w:cs="Palatino Linotype"/>
          <w:color w:val="000000" w:themeColor="text1"/>
        </w:rPr>
        <w:t>dio respuesta com</w:t>
      </w:r>
      <w:r w:rsidR="00B75410" w:rsidRPr="00A73F7F">
        <w:rPr>
          <w:rFonts w:ascii="Palatino Linotype" w:eastAsia="Palatino Linotype" w:hAnsi="Palatino Linotype" w:cs="Palatino Linotype"/>
          <w:color w:val="000000" w:themeColor="text1"/>
        </w:rPr>
        <w:t>o quedo plasmado en el numeral 2</w:t>
      </w:r>
      <w:r w:rsidR="00C727A2" w:rsidRPr="00A73F7F">
        <w:rPr>
          <w:rFonts w:ascii="Palatino Linotype" w:eastAsia="Palatino Linotype" w:hAnsi="Palatino Linotype" w:cs="Palatino Linotype"/>
          <w:color w:val="000000" w:themeColor="text1"/>
        </w:rPr>
        <w:t xml:space="preserve"> del presente proyecto.</w:t>
      </w:r>
    </w:p>
    <w:p w:rsidR="00F00D88" w:rsidRPr="00A73F7F" w:rsidRDefault="00905546" w:rsidP="00A73F7F">
      <w:pP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b/>
      </w: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En dichas condiciones, la </w:t>
      </w:r>
      <w:r w:rsidRPr="00A73F7F">
        <w:rPr>
          <w:rFonts w:ascii="Palatino Linotype" w:eastAsia="Palatino Linotype" w:hAnsi="Palatino Linotype" w:cs="Palatino Linotype"/>
          <w:i/>
          <w:color w:val="000000" w:themeColor="text1"/>
        </w:rPr>
        <w:t>Litis</w:t>
      </w:r>
      <w:r w:rsidRPr="00A73F7F">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B577AB" w:rsidRPr="00A73F7F">
        <w:rPr>
          <w:rFonts w:ascii="Palatino Linotype" w:eastAsia="Palatino Linotype" w:hAnsi="Palatino Linotype" w:cs="Palatino Linotype"/>
          <w:b/>
          <w:color w:val="000000" w:themeColor="text1"/>
        </w:rPr>
        <w:t>fracción I</w:t>
      </w:r>
      <w:r w:rsidRPr="00A73F7F">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color w:val="000000" w:themeColor="text1"/>
        </w:rPr>
        <w:t xml:space="preserve">de la </w:t>
      </w:r>
      <w:r w:rsidRPr="00A73F7F">
        <w:rPr>
          <w:rFonts w:ascii="Palatino Linotype" w:eastAsia="Palatino Linotype" w:hAnsi="Palatino Linotype" w:cs="Palatino Linotype"/>
          <w:b/>
          <w:color w:val="000000" w:themeColor="text1"/>
        </w:rPr>
        <w:t xml:space="preserve">Ley de Transparencia y Acceso a la Información Pública del Estado de </w:t>
      </w:r>
      <w:r w:rsidRPr="00A73F7F">
        <w:rPr>
          <w:rFonts w:ascii="Palatino Linotype" w:eastAsia="Palatino Linotype" w:hAnsi="Palatino Linotype" w:cs="Palatino Linotype"/>
          <w:color w:val="000000" w:themeColor="text1"/>
        </w:rPr>
        <w:t>México</w:t>
      </w:r>
      <w:r w:rsidRPr="00A73F7F">
        <w:rPr>
          <w:rFonts w:ascii="Palatino Linotype" w:eastAsia="Palatino Linotype" w:hAnsi="Palatino Linotype" w:cs="Palatino Linotype"/>
          <w:b/>
          <w:color w:val="000000" w:themeColor="text1"/>
        </w:rPr>
        <w:t xml:space="preserve"> y </w:t>
      </w:r>
      <w:r w:rsidRPr="00A73F7F">
        <w:rPr>
          <w:rFonts w:ascii="Palatino Linotype" w:eastAsia="Palatino Linotype" w:hAnsi="Palatino Linotype" w:cs="Palatino Linotype"/>
          <w:color w:val="000000" w:themeColor="text1"/>
        </w:rPr>
        <w:t>Municipios; fracción que determina la h</w:t>
      </w:r>
      <w:r w:rsidR="00B577AB" w:rsidRPr="00A73F7F">
        <w:rPr>
          <w:rFonts w:ascii="Palatino Linotype" w:eastAsia="Palatino Linotype" w:hAnsi="Palatino Linotype" w:cs="Palatino Linotype"/>
          <w:color w:val="000000" w:themeColor="text1"/>
        </w:rPr>
        <w:t>ipótesis jurídica relativa a la negativa a la información solicitad</w:t>
      </w:r>
      <w:r w:rsidRPr="00A73F7F">
        <w:rPr>
          <w:rFonts w:ascii="Palatino Linotype" w:eastAsia="Palatino Linotype" w:hAnsi="Palatino Linotype" w:cs="Palatino Linotype"/>
          <w:color w:val="000000" w:themeColor="text1"/>
        </w:rPr>
        <w:t xml:space="preserve">; contexto del cual se dolió </w:t>
      </w:r>
      <w:r w:rsidRPr="00A73F7F">
        <w:rPr>
          <w:rFonts w:ascii="Palatino Linotype" w:eastAsia="Palatino Linotype" w:hAnsi="Palatino Linotype" w:cs="Palatino Linotype"/>
          <w:b/>
          <w:color w:val="000000" w:themeColor="text1"/>
        </w:rPr>
        <w:t xml:space="preserve">EL RECURRENTE </w:t>
      </w:r>
      <w:r w:rsidRPr="00A73F7F">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A73F7F">
        <w:rPr>
          <w:rFonts w:ascii="Palatino Linotype" w:eastAsia="Palatino Linotype" w:hAnsi="Palatino Linotype" w:cs="Palatino Linotype"/>
          <w:b/>
          <w:color w:val="000000" w:themeColor="text1"/>
        </w:rPr>
        <w:t>SUJETO</w:t>
      </w:r>
      <w:r w:rsidRPr="00A73F7F">
        <w:rPr>
          <w:rFonts w:ascii="Palatino Linotype" w:eastAsia="Palatino Linotype" w:hAnsi="Palatino Linotype" w:cs="Palatino Linotype"/>
          <w:color w:val="000000" w:themeColor="text1"/>
        </w:rPr>
        <w:t xml:space="preserve"> </w:t>
      </w:r>
      <w:r w:rsidRPr="00A73F7F">
        <w:rPr>
          <w:rFonts w:ascii="Palatino Linotype" w:eastAsia="Palatino Linotype" w:hAnsi="Palatino Linotype" w:cs="Palatino Linotype"/>
          <w:b/>
          <w:color w:val="000000" w:themeColor="text1"/>
        </w:rPr>
        <w:t>OBLIGADO</w:t>
      </w:r>
      <w:r w:rsidRPr="00A73F7F">
        <w:rPr>
          <w:rFonts w:ascii="Palatino Linotype" w:eastAsia="Palatino Linotype" w:hAnsi="Palatino Linotype" w:cs="Palatino Linotype"/>
          <w:color w:val="000000" w:themeColor="text1"/>
        </w:rPr>
        <w:t xml:space="preserve"> con su respuesta ciertamente actualiza la causal de procedencia</w:t>
      </w:r>
      <w:r w:rsidRPr="00A73F7F">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color w:val="000000" w:themeColor="text1"/>
        </w:rPr>
        <w:t xml:space="preserve">antes señalada. </w:t>
      </w:r>
    </w:p>
    <w:p w:rsidR="00F00D88" w:rsidRPr="00A73F7F" w:rsidRDefault="00F00D88" w:rsidP="00A73F7F">
      <w:pPr>
        <w:spacing w:line="360" w:lineRule="auto"/>
        <w:rPr>
          <w:rFonts w:ascii="Palatino Linotype" w:eastAsia="Palatino Linotype" w:hAnsi="Palatino Linotype" w:cs="Palatino Linotype"/>
          <w:color w:val="000000" w:themeColor="text1"/>
        </w:rPr>
      </w:pPr>
    </w:p>
    <w:p w:rsidR="00F00D88" w:rsidRPr="00A73F7F" w:rsidRDefault="00905546" w:rsidP="00A73F7F">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jeng91xmwqg" w:colFirst="0" w:colLast="0"/>
      <w:bookmarkEnd w:id="8"/>
      <w:r w:rsidRPr="00A73F7F">
        <w:rPr>
          <w:rFonts w:ascii="Palatino Linotype" w:eastAsia="Palatino Linotype" w:hAnsi="Palatino Linotype" w:cs="Palatino Linotype"/>
          <w:b/>
          <w:color w:val="000000" w:themeColor="text1"/>
          <w:sz w:val="24"/>
          <w:szCs w:val="24"/>
        </w:rPr>
        <w:t>CUARTO. Del estudio y resolución del asunto.</w:t>
      </w:r>
    </w:p>
    <w:p w:rsidR="00F00D88" w:rsidRPr="00A73F7F" w:rsidRDefault="00905546" w:rsidP="00A73F7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Marco normativo aplicable en materia de transparencia y acceso a la información pública.</w:t>
      </w: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Acotada la </w:t>
      </w:r>
      <w:r w:rsidRPr="00A73F7F">
        <w:rPr>
          <w:rFonts w:ascii="Palatino Linotype" w:eastAsia="Palatino Linotype" w:hAnsi="Palatino Linotype" w:cs="Palatino Linotype"/>
          <w:i/>
          <w:color w:val="000000" w:themeColor="text1"/>
        </w:rPr>
        <w:t>Litis</w:t>
      </w:r>
      <w:r w:rsidRPr="00A73F7F">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w:t>
      </w:r>
      <w:r w:rsidRPr="00A73F7F">
        <w:rPr>
          <w:rFonts w:ascii="Palatino Linotype" w:eastAsia="Palatino Linotype" w:hAnsi="Palatino Linotype" w:cs="Palatino Linotype"/>
          <w:color w:val="000000" w:themeColor="text1"/>
        </w:rPr>
        <w:lastRenderedPageBreak/>
        <w:t>que toda la información en posesión de cualquier autoridad es pública y sólo podrá ser reservada temporalmente por razones de interés público.</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a los sujetos </w:t>
      </w:r>
      <w:r w:rsidRPr="00A73F7F">
        <w:rPr>
          <w:rFonts w:ascii="Palatino Linotype" w:eastAsia="Palatino Linotype" w:hAnsi="Palatino Linotype" w:cs="Palatino Linotype"/>
          <w:color w:val="000000" w:themeColor="text1"/>
        </w:rPr>
        <w:lastRenderedPageBreak/>
        <w:t>obligados y en caso de que dichas facultades no se hayan ejercido, se deberá motivar la respuesta en función de las causas que motivaron tal circunstancia.</w:t>
      </w:r>
    </w:p>
    <w:p w:rsidR="00F00D88" w:rsidRPr="00A73F7F" w:rsidRDefault="00F00D88" w:rsidP="00A73F7F">
      <w:pPr>
        <w:spacing w:line="360" w:lineRule="auto"/>
        <w:rPr>
          <w:rFonts w:ascii="Palatino Linotype" w:eastAsia="Palatino Linotype" w:hAnsi="Palatino Linotype" w:cs="Palatino Linotype"/>
          <w:color w:val="000000" w:themeColor="text1"/>
        </w:rPr>
      </w:pPr>
    </w:p>
    <w:p w:rsidR="00F00D88" w:rsidRPr="00A73F7F" w:rsidRDefault="00905546" w:rsidP="00A73F7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Estudio de fondo</w:t>
      </w:r>
    </w:p>
    <w:p w:rsidR="00B577AB" w:rsidRPr="00A73F7F" w:rsidRDefault="00B577AB" w:rsidP="00A73F7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 xml:space="preserve">Resulta necesario, previo al estudio de fondo, referir que el </w:t>
      </w:r>
      <w:r w:rsidRPr="00A73F7F">
        <w:rPr>
          <w:rFonts w:ascii="Palatino Linotype" w:eastAsia="Palatino Linotype" w:hAnsi="Palatino Linotype" w:cs="Palatino Linotype"/>
          <w:b/>
          <w:color w:val="000000" w:themeColor="text1"/>
        </w:rPr>
        <w:t xml:space="preserve">SUJETO OBLIGADO </w:t>
      </w:r>
      <w:r w:rsidRPr="00A73F7F">
        <w:rPr>
          <w:rFonts w:ascii="Palatino Linotype" w:eastAsia="Palatino Linotype" w:hAnsi="Palatino Linotype" w:cs="Palatino Linotype"/>
          <w:color w:val="000000" w:themeColor="text1"/>
        </w:rPr>
        <w:t>asume que genera, posee y/o administra la información solicitada, por lo que se considera innecesario realizar el estudio respecto la fuente obligacional.</w:t>
      </w:r>
    </w:p>
    <w:p w:rsidR="00B577AB" w:rsidRPr="00A73F7F" w:rsidRDefault="00B577AB" w:rsidP="00A73F7F">
      <w:pPr>
        <w:spacing w:line="360" w:lineRule="auto"/>
        <w:jc w:val="both"/>
        <w:rPr>
          <w:rFonts w:ascii="Palatino Linotype" w:eastAsia="Palatino Linotype" w:hAnsi="Palatino Linotype" w:cs="Palatino Linotype"/>
          <w:i/>
          <w:color w:val="000000" w:themeColor="text1"/>
        </w:rPr>
      </w:pPr>
    </w:p>
    <w:p w:rsidR="00B577AB" w:rsidRPr="00A73F7F" w:rsidRDefault="00B577AB" w:rsidP="00A73F7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Dicho lo anterior, de la información solicitada y la respuesta proporcionada así como del Informe Justificado, se refiere lo siguiente:</w:t>
      </w:r>
    </w:p>
    <w:p w:rsidR="00B577AB" w:rsidRPr="00A73F7F" w:rsidRDefault="00B577AB" w:rsidP="00A73F7F">
      <w:pPr>
        <w:spacing w:line="360" w:lineRule="auto"/>
        <w:jc w:val="both"/>
        <w:rPr>
          <w:rFonts w:ascii="Palatino Linotype" w:eastAsia="Palatino Linotype" w:hAnsi="Palatino Linotype" w:cs="Palatino Linotype"/>
          <w:color w:val="000000" w:themeColor="text1"/>
        </w:rPr>
      </w:pPr>
    </w:p>
    <w:tbl>
      <w:tblPr>
        <w:tblStyle w:val="Tablaconcuadrcula"/>
        <w:tblW w:w="0" w:type="auto"/>
        <w:jc w:val="center"/>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263"/>
        <w:gridCol w:w="2409"/>
        <w:gridCol w:w="2337"/>
        <w:gridCol w:w="2337"/>
      </w:tblGrid>
      <w:tr w:rsidR="00A73F7F" w:rsidRPr="00A73F7F" w:rsidTr="008F0540">
        <w:trPr>
          <w:jc w:val="center"/>
        </w:trPr>
        <w:tc>
          <w:tcPr>
            <w:tcW w:w="2263" w:type="dxa"/>
            <w:shd w:val="clear" w:color="auto" w:fill="D5DCE4" w:themeFill="text2" w:themeFillTint="33"/>
            <w:vAlign w:val="center"/>
          </w:tcPr>
          <w:p w:rsidR="00B577AB" w:rsidRPr="00A73F7F" w:rsidRDefault="00B577AB" w:rsidP="00A73F7F">
            <w:pPr>
              <w:jc w:val="center"/>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Solicitud</w:t>
            </w:r>
          </w:p>
        </w:tc>
        <w:tc>
          <w:tcPr>
            <w:tcW w:w="2409" w:type="dxa"/>
            <w:shd w:val="clear" w:color="auto" w:fill="D5DCE4" w:themeFill="text2" w:themeFillTint="33"/>
            <w:vAlign w:val="center"/>
          </w:tcPr>
          <w:p w:rsidR="00B577AB" w:rsidRPr="00A73F7F" w:rsidRDefault="00B577AB" w:rsidP="00A73F7F">
            <w:pPr>
              <w:jc w:val="center"/>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Respuesta</w:t>
            </w:r>
          </w:p>
        </w:tc>
        <w:tc>
          <w:tcPr>
            <w:tcW w:w="2337" w:type="dxa"/>
            <w:shd w:val="clear" w:color="auto" w:fill="D5DCE4" w:themeFill="text2" w:themeFillTint="33"/>
            <w:vAlign w:val="center"/>
          </w:tcPr>
          <w:p w:rsidR="00B577AB" w:rsidRPr="00A73F7F" w:rsidRDefault="00B577AB" w:rsidP="00A73F7F">
            <w:pPr>
              <w:jc w:val="center"/>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Informe Justificado</w:t>
            </w:r>
          </w:p>
        </w:tc>
        <w:tc>
          <w:tcPr>
            <w:tcW w:w="2337" w:type="dxa"/>
            <w:shd w:val="clear" w:color="auto" w:fill="D5DCE4" w:themeFill="text2" w:themeFillTint="33"/>
            <w:vAlign w:val="center"/>
          </w:tcPr>
          <w:p w:rsidR="00B577AB" w:rsidRPr="00A73F7F" w:rsidRDefault="00B577AB" w:rsidP="00A73F7F">
            <w:pPr>
              <w:jc w:val="center"/>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¿Colma?</w:t>
            </w:r>
          </w:p>
        </w:tc>
      </w:tr>
      <w:tr w:rsidR="00B577AB" w:rsidRPr="00A73F7F" w:rsidTr="008F0540">
        <w:trPr>
          <w:jc w:val="center"/>
        </w:trPr>
        <w:tc>
          <w:tcPr>
            <w:tcW w:w="2263" w:type="dxa"/>
            <w:vAlign w:val="center"/>
          </w:tcPr>
          <w:p w:rsidR="00B577AB" w:rsidRPr="00A73F7F" w:rsidRDefault="00B577AB" w:rsidP="00A73F7F">
            <w:pPr>
              <w:jc w:val="both"/>
              <w:rPr>
                <w:rFonts w:ascii="Palatino Linotype" w:eastAsia="Palatino Linotype" w:hAnsi="Palatino Linotype" w:cs="Palatino Linotype"/>
                <w:color w:val="000000" w:themeColor="text1"/>
              </w:rPr>
            </w:pPr>
          </w:p>
          <w:p w:rsidR="00B577AB" w:rsidRPr="00A73F7F" w:rsidRDefault="001F7D4B"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El</w:t>
            </w:r>
            <w:r w:rsidR="00B577AB" w:rsidRPr="00A73F7F">
              <w:rPr>
                <w:rFonts w:ascii="Palatino Linotype" w:eastAsia="Palatino Linotype" w:hAnsi="Palatino Linotype" w:cs="Palatino Linotype"/>
                <w:color w:val="000000" w:themeColor="text1"/>
              </w:rPr>
              <w:t xml:space="preserve"> número total de elementos de la policía municipal evaluados mediante controles de confianza en los últimos 3 años, desglosando cuántos aprobaron, reprobaron, fueron suspendidos, dados de baja o reasignados, y el criterio aplicado en cada caso.</w:t>
            </w:r>
          </w:p>
          <w:p w:rsidR="00B577AB" w:rsidRPr="00A73F7F" w:rsidRDefault="00B577AB" w:rsidP="00A73F7F">
            <w:pPr>
              <w:spacing w:line="360" w:lineRule="auto"/>
              <w:jc w:val="both"/>
              <w:rPr>
                <w:rFonts w:ascii="Palatino Linotype" w:eastAsia="Palatino Linotype" w:hAnsi="Palatino Linotype" w:cs="Palatino Linotype"/>
                <w:color w:val="000000" w:themeColor="text1"/>
              </w:rPr>
            </w:pPr>
          </w:p>
          <w:p w:rsidR="00B577AB" w:rsidRPr="00A73F7F" w:rsidRDefault="00B577AB" w:rsidP="00A73F7F">
            <w:pPr>
              <w:spacing w:line="360" w:lineRule="auto"/>
              <w:jc w:val="both"/>
              <w:rPr>
                <w:rFonts w:ascii="Palatino Linotype" w:eastAsia="Palatino Linotype" w:hAnsi="Palatino Linotype" w:cs="Palatino Linotype"/>
                <w:color w:val="000000" w:themeColor="text1"/>
              </w:rPr>
            </w:pPr>
          </w:p>
        </w:tc>
        <w:tc>
          <w:tcPr>
            <w:tcW w:w="2409" w:type="dxa"/>
            <w:vAlign w:val="center"/>
          </w:tcPr>
          <w:p w:rsidR="00B577AB" w:rsidRPr="00A73F7F" w:rsidRDefault="00B577AB" w:rsidP="00A73F7F">
            <w:pPr>
              <w:spacing w:line="360" w:lineRule="auto"/>
              <w:jc w:val="both"/>
              <w:rPr>
                <w:rFonts w:ascii="Palatino Linotype" w:eastAsia="Palatino Linotype" w:hAnsi="Palatino Linotype" w:cs="Palatino Linotype"/>
                <w:color w:val="000000" w:themeColor="text1"/>
              </w:rPr>
            </w:pPr>
          </w:p>
          <w:p w:rsidR="006B0202" w:rsidRPr="00A73F7F" w:rsidRDefault="006B0202" w:rsidP="00A73F7F">
            <w:pPr>
              <w:spacing w:line="360" w:lineRule="auto"/>
              <w:jc w:val="both"/>
              <w:rPr>
                <w:rFonts w:ascii="Palatino Linotype" w:eastAsia="Palatino Linotype" w:hAnsi="Palatino Linotype" w:cs="Palatino Linotype"/>
                <w:color w:val="000000" w:themeColor="text1"/>
              </w:rPr>
            </w:pPr>
          </w:p>
          <w:p w:rsidR="006B0202" w:rsidRPr="00A73F7F" w:rsidRDefault="006B0202"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Informo el porcentaje de elementos de seguridad evaluados de 2022 a 2024. </w:t>
            </w:r>
          </w:p>
          <w:p w:rsidR="006B0202" w:rsidRPr="00A73F7F" w:rsidRDefault="006B0202" w:rsidP="00A73F7F">
            <w:pPr>
              <w:jc w:val="both"/>
              <w:rPr>
                <w:rFonts w:ascii="Palatino Linotype" w:eastAsia="Palatino Linotype" w:hAnsi="Palatino Linotype" w:cs="Palatino Linotype"/>
                <w:color w:val="000000" w:themeColor="text1"/>
              </w:rPr>
            </w:pPr>
          </w:p>
          <w:p w:rsidR="006B0202" w:rsidRPr="00A73F7F" w:rsidRDefault="006B0202"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Asimismo, informó el Criterio Aplicado</w:t>
            </w:r>
            <w:r w:rsidR="00746E40" w:rsidRPr="00A73F7F">
              <w:rPr>
                <w:rFonts w:ascii="Palatino Linotype" w:eastAsia="Palatino Linotype" w:hAnsi="Palatino Linotype" w:cs="Palatino Linotype"/>
                <w:color w:val="000000" w:themeColor="text1"/>
              </w:rPr>
              <w:t xml:space="preserve"> es:</w:t>
            </w:r>
          </w:p>
          <w:p w:rsidR="00746E40" w:rsidRPr="00A73F7F" w:rsidRDefault="00746E40" w:rsidP="00A73F7F">
            <w:pPr>
              <w:jc w:val="both"/>
              <w:rPr>
                <w:rFonts w:ascii="Palatino Linotype" w:eastAsia="Palatino Linotype" w:hAnsi="Palatino Linotype" w:cs="Palatino Linotype"/>
                <w:color w:val="000000" w:themeColor="text1"/>
              </w:rPr>
            </w:pPr>
          </w:p>
          <w:p w:rsidR="00746E40" w:rsidRPr="00A73F7F" w:rsidRDefault="00746E40" w:rsidP="00A73F7F">
            <w:pPr>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w:t>
            </w:r>
            <w:r w:rsidRPr="00A73F7F">
              <w:rPr>
                <w:rFonts w:ascii="Palatino Linotype" w:eastAsia="Palatino Linotype" w:hAnsi="Palatino Linotype" w:cs="Palatino Linotype"/>
                <w:i/>
                <w:color w:val="000000" w:themeColor="text1"/>
              </w:rPr>
              <w:t xml:space="preserve">Se dio vista a la Unidad de Asuntos Internos para integrar expediente de </w:t>
            </w:r>
            <w:r w:rsidRPr="00A73F7F">
              <w:rPr>
                <w:rFonts w:ascii="Palatino Linotype" w:eastAsia="Palatino Linotype" w:hAnsi="Palatino Linotype" w:cs="Palatino Linotype"/>
                <w:i/>
                <w:color w:val="000000" w:themeColor="text1"/>
              </w:rPr>
              <w:lastRenderedPageBreak/>
              <w:t xml:space="preserve">investigación </w:t>
            </w:r>
            <w:r w:rsidRPr="00A73F7F">
              <w:rPr>
                <w:rFonts w:ascii="Palatino Linotype" w:eastAsia="Palatino Linotype" w:hAnsi="Palatino Linotype" w:cs="Palatino Linotype"/>
                <w:i/>
                <w:color w:val="000000" w:themeColor="text1"/>
                <w:u w:val="single"/>
              </w:rPr>
              <w:t xml:space="preserve">por </w:t>
            </w:r>
            <w:r w:rsidR="00277FD9" w:rsidRPr="00A73F7F">
              <w:rPr>
                <w:rFonts w:ascii="Palatino Linotype" w:eastAsia="Palatino Linotype" w:hAnsi="Palatino Linotype" w:cs="Palatino Linotype"/>
                <w:i/>
                <w:color w:val="000000" w:themeColor="text1"/>
                <w:u w:val="single"/>
              </w:rPr>
              <w:t>incumplir</w:t>
            </w:r>
            <w:r w:rsidRPr="00A73F7F">
              <w:rPr>
                <w:rFonts w:ascii="Palatino Linotype" w:eastAsia="Palatino Linotype" w:hAnsi="Palatino Linotype" w:cs="Palatino Linotype"/>
                <w:i/>
                <w:color w:val="000000" w:themeColor="text1"/>
                <w:u w:val="single"/>
              </w:rPr>
              <w:t xml:space="preserve"> requisito de permanencia,</w:t>
            </w:r>
            <w:r w:rsidRPr="00A73F7F">
              <w:rPr>
                <w:rFonts w:ascii="Palatino Linotype" w:eastAsia="Palatino Linotype" w:hAnsi="Palatino Linotype" w:cs="Palatino Linotype"/>
                <w:i/>
                <w:color w:val="000000" w:themeColor="text1"/>
              </w:rPr>
              <w:t xml:space="preserve"> actualmente sustanciándose el procedimiento administrativo disciplinario ante la Comisión del Servicio Profesional de Carrera Policial, Honor y Justicia.</w:t>
            </w:r>
          </w:p>
        </w:tc>
        <w:tc>
          <w:tcPr>
            <w:tcW w:w="2337" w:type="dxa"/>
            <w:vAlign w:val="center"/>
          </w:tcPr>
          <w:p w:rsidR="00B577AB" w:rsidRPr="00A73F7F" w:rsidRDefault="00B577AB" w:rsidP="00A73F7F">
            <w:pPr>
              <w:jc w:val="both"/>
              <w:rPr>
                <w:rFonts w:ascii="Palatino Linotype" w:eastAsia="Palatino Linotype" w:hAnsi="Palatino Linotype" w:cs="Palatino Linotype"/>
                <w:color w:val="000000" w:themeColor="text1"/>
              </w:rPr>
            </w:pPr>
          </w:p>
          <w:p w:rsidR="006B0202" w:rsidRPr="00A73F7F" w:rsidRDefault="006B0202" w:rsidP="00A73F7F">
            <w:pPr>
              <w:jc w:val="both"/>
              <w:rPr>
                <w:rFonts w:ascii="Palatino Linotype" w:eastAsia="Palatino Linotype" w:hAnsi="Palatino Linotype" w:cs="Palatino Linotype"/>
                <w:color w:val="000000" w:themeColor="text1"/>
              </w:rPr>
            </w:pPr>
          </w:p>
          <w:p w:rsidR="006B0202" w:rsidRPr="00A73F7F" w:rsidRDefault="006B0202" w:rsidP="00A73F7F">
            <w:pPr>
              <w:jc w:val="both"/>
              <w:rPr>
                <w:rFonts w:ascii="Palatino Linotype" w:eastAsia="Palatino Linotype" w:hAnsi="Palatino Linotype" w:cs="Palatino Linotype"/>
                <w:color w:val="000000" w:themeColor="text1"/>
              </w:rPr>
            </w:pPr>
          </w:p>
          <w:p w:rsidR="006B0202" w:rsidRPr="00A73F7F" w:rsidRDefault="006B0202"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Remitió el nombre de los elementos de los cuales refirió fueron dados de baja por no aprobar el control de confianza.</w:t>
            </w:r>
          </w:p>
        </w:tc>
        <w:tc>
          <w:tcPr>
            <w:tcW w:w="2337" w:type="dxa"/>
            <w:vAlign w:val="center"/>
          </w:tcPr>
          <w:p w:rsidR="00746E40" w:rsidRPr="00A73F7F" w:rsidRDefault="00746E40" w:rsidP="00A73F7F">
            <w:pPr>
              <w:jc w:val="both"/>
              <w:rPr>
                <w:rFonts w:ascii="Palatino Linotype" w:eastAsia="Palatino Linotype" w:hAnsi="Palatino Linotype" w:cs="Palatino Linotype"/>
                <w:color w:val="000000" w:themeColor="text1"/>
              </w:rPr>
            </w:pPr>
          </w:p>
          <w:p w:rsidR="00B577AB" w:rsidRPr="00A73F7F" w:rsidRDefault="00746E40"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Parcialmente, ya que únicamente se remitió el criterio</w:t>
            </w:r>
            <w:r w:rsidR="00F602FC" w:rsidRPr="00A73F7F">
              <w:rPr>
                <w:rFonts w:ascii="Palatino Linotype" w:eastAsia="Palatino Linotype" w:hAnsi="Palatino Linotype" w:cs="Palatino Linotype"/>
                <w:color w:val="000000" w:themeColor="text1"/>
              </w:rPr>
              <w:t xml:space="preserve"> aplicado de los años 2022 al 2024, no se atendió a la fecha de la solicitud de información, es decir al seis de mayo de dos mil veinticinco.</w:t>
            </w:r>
          </w:p>
          <w:p w:rsidR="00277FD9" w:rsidRPr="00A73F7F" w:rsidRDefault="00277FD9" w:rsidP="00A73F7F">
            <w:pPr>
              <w:jc w:val="both"/>
              <w:rPr>
                <w:rFonts w:ascii="Palatino Linotype" w:eastAsia="Palatino Linotype" w:hAnsi="Palatino Linotype" w:cs="Palatino Linotype"/>
                <w:color w:val="000000" w:themeColor="text1"/>
              </w:rPr>
            </w:pPr>
          </w:p>
          <w:p w:rsidR="00277FD9" w:rsidRPr="00A73F7F" w:rsidRDefault="00277FD9" w:rsidP="00A73F7F">
            <w:pPr>
              <w:jc w:val="both"/>
              <w:rPr>
                <w:rFonts w:ascii="Palatino Linotype" w:eastAsia="Palatino Linotype" w:hAnsi="Palatino Linotype" w:cs="Palatino Linotype"/>
                <w:color w:val="000000" w:themeColor="text1"/>
              </w:rPr>
            </w:pPr>
          </w:p>
          <w:p w:rsidR="00277FD9" w:rsidRPr="00A73F7F" w:rsidRDefault="00277FD9" w:rsidP="00A73F7F">
            <w:pPr>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Por lo que hace a los elementos evaluados, se remitió el </w:t>
            </w:r>
            <w:r w:rsidRPr="00A73F7F">
              <w:rPr>
                <w:rFonts w:ascii="Palatino Linotype" w:eastAsia="Palatino Linotype" w:hAnsi="Palatino Linotype" w:cs="Palatino Linotype"/>
                <w:color w:val="000000" w:themeColor="text1"/>
              </w:rPr>
              <w:lastRenderedPageBreak/>
              <w:t xml:space="preserve">porcentaje, lo que no corresponde a lo solicitado, ya que el dato no es preciso. </w:t>
            </w:r>
          </w:p>
        </w:tc>
      </w:tr>
    </w:tbl>
    <w:p w:rsidR="00B577AB" w:rsidRPr="00A73F7F" w:rsidRDefault="00B577AB" w:rsidP="00A73F7F">
      <w:pPr>
        <w:spacing w:line="360" w:lineRule="auto"/>
        <w:jc w:val="both"/>
        <w:rPr>
          <w:rFonts w:ascii="Palatino Linotype" w:eastAsia="Palatino Linotype" w:hAnsi="Palatino Linotype" w:cs="Palatino Linotype"/>
          <w:color w:val="000000" w:themeColor="text1"/>
        </w:rPr>
      </w:pPr>
    </w:p>
    <w:p w:rsidR="00B577AB" w:rsidRPr="00A73F7F" w:rsidRDefault="00277FD9"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De lo anterior, se colige que no puede tenerse por colmada en su totalidad la solicitud de información que nos ocupa</w:t>
      </w:r>
      <w:r w:rsidR="001F7D4B" w:rsidRPr="00A73F7F">
        <w:rPr>
          <w:rFonts w:ascii="Palatino Linotype" w:eastAsia="Palatino Linotype" w:hAnsi="Palatino Linotype" w:cs="Palatino Linotype"/>
          <w:color w:val="000000" w:themeColor="text1"/>
        </w:rPr>
        <w:t>, derivado</w:t>
      </w:r>
      <w:r w:rsidR="00DE3954" w:rsidRPr="00A73F7F">
        <w:rPr>
          <w:rFonts w:ascii="Palatino Linotype" w:eastAsia="Palatino Linotype" w:hAnsi="Palatino Linotype" w:cs="Palatino Linotype"/>
          <w:color w:val="000000" w:themeColor="text1"/>
        </w:rPr>
        <w:t xml:space="preserve"> de que la información remitida no atiende toda la temporalidad solicitada, ya que únicamente entrega la información </w:t>
      </w:r>
      <w:r w:rsidR="00DE3954" w:rsidRPr="00E011A0">
        <w:rPr>
          <w:rFonts w:ascii="Palatino Linotype" w:eastAsia="Palatino Linotype" w:hAnsi="Palatino Linotype" w:cs="Palatino Linotype"/>
          <w:color w:val="000000" w:themeColor="text1"/>
        </w:rPr>
        <w:t>relativa a l</w:t>
      </w:r>
      <w:r w:rsidR="009A106D" w:rsidRPr="00E011A0">
        <w:rPr>
          <w:rFonts w:ascii="Palatino Linotype" w:eastAsia="Palatino Linotype" w:hAnsi="Palatino Linotype" w:cs="Palatino Linotype"/>
          <w:color w:val="000000" w:themeColor="text1"/>
        </w:rPr>
        <w:t>os años 2022-202</w:t>
      </w:r>
      <w:r w:rsidR="00DE3954" w:rsidRPr="00E011A0">
        <w:rPr>
          <w:rFonts w:ascii="Palatino Linotype" w:eastAsia="Palatino Linotype" w:hAnsi="Palatino Linotype" w:cs="Palatino Linotype"/>
          <w:color w:val="000000" w:themeColor="text1"/>
        </w:rPr>
        <w:t>4, en segundo lugar,</w:t>
      </w:r>
      <w:r w:rsidR="00A92A40" w:rsidRPr="00E011A0">
        <w:rPr>
          <w:rFonts w:ascii="Palatino Linotype" w:eastAsia="Palatino Linotype" w:hAnsi="Palatino Linotype" w:cs="Palatino Linotype"/>
          <w:color w:val="000000" w:themeColor="text1"/>
        </w:rPr>
        <w:t xml:space="preserve"> </w:t>
      </w:r>
      <w:r w:rsidR="00795D4B" w:rsidRPr="00E011A0">
        <w:rPr>
          <w:rFonts w:ascii="Palatino Linotype" w:eastAsia="Palatino Linotype" w:hAnsi="Palatino Linotype" w:cs="Palatino Linotype"/>
          <w:color w:val="000000" w:themeColor="text1"/>
        </w:rPr>
        <w:t xml:space="preserve">se proporcionó de manera porcentual, </w:t>
      </w:r>
      <w:r w:rsidRPr="00E011A0">
        <w:rPr>
          <w:rFonts w:ascii="Palatino Linotype" w:eastAsia="Palatino Linotype" w:hAnsi="Palatino Linotype" w:cs="Palatino Linotype"/>
          <w:color w:val="000000" w:themeColor="text1"/>
        </w:rPr>
        <w:t>colmándose</w:t>
      </w:r>
      <w:r w:rsidR="008F0540" w:rsidRPr="00E011A0">
        <w:rPr>
          <w:rFonts w:ascii="Palatino Linotype" w:eastAsia="Palatino Linotype" w:hAnsi="Palatino Linotype" w:cs="Palatino Linotype"/>
          <w:color w:val="000000" w:themeColor="text1"/>
        </w:rPr>
        <w:t xml:space="preserve"> así</w:t>
      </w:r>
      <w:r w:rsidRPr="00E011A0">
        <w:rPr>
          <w:rFonts w:ascii="Palatino Linotype" w:eastAsia="Palatino Linotype" w:hAnsi="Palatino Linotype" w:cs="Palatino Linotype"/>
          <w:color w:val="000000" w:themeColor="text1"/>
        </w:rPr>
        <w:t xml:space="preserve"> únicamente</w:t>
      </w:r>
      <w:r w:rsidRPr="00A73F7F">
        <w:rPr>
          <w:rFonts w:ascii="Palatino Linotype" w:eastAsia="Palatino Linotype" w:hAnsi="Palatino Linotype" w:cs="Palatino Linotype"/>
          <w:color w:val="000000" w:themeColor="text1"/>
        </w:rPr>
        <w:t xml:space="preserve"> el rubro</w:t>
      </w:r>
      <w:r w:rsidR="00795D4B" w:rsidRPr="00A73F7F">
        <w:rPr>
          <w:rFonts w:ascii="Palatino Linotype" w:eastAsia="Palatino Linotype" w:hAnsi="Palatino Linotype" w:cs="Palatino Linotype"/>
          <w:color w:val="000000" w:themeColor="text1"/>
        </w:rPr>
        <w:t xml:space="preserve"> relativo al criterio aplic</w:t>
      </w:r>
      <w:r w:rsidR="009A106D" w:rsidRPr="00A73F7F">
        <w:rPr>
          <w:rFonts w:ascii="Palatino Linotype" w:eastAsia="Palatino Linotype" w:hAnsi="Palatino Linotype" w:cs="Palatino Linotype"/>
          <w:color w:val="000000" w:themeColor="text1"/>
        </w:rPr>
        <w:t>ado de la temporalidad 2022-</w:t>
      </w:r>
      <w:r w:rsidR="009A106D" w:rsidRPr="00E011A0">
        <w:rPr>
          <w:rFonts w:ascii="Palatino Linotype" w:eastAsia="Palatino Linotype" w:hAnsi="Palatino Linotype" w:cs="Palatino Linotype"/>
          <w:color w:val="000000" w:themeColor="text1"/>
        </w:rPr>
        <w:t>202</w:t>
      </w:r>
      <w:r w:rsidR="00795D4B" w:rsidRPr="00E011A0">
        <w:rPr>
          <w:rFonts w:ascii="Palatino Linotype" w:eastAsia="Palatino Linotype" w:hAnsi="Palatino Linotype" w:cs="Palatino Linotype"/>
          <w:color w:val="000000" w:themeColor="text1"/>
        </w:rPr>
        <w:t>4.</w:t>
      </w:r>
    </w:p>
    <w:p w:rsidR="00277FD9" w:rsidRPr="00A73F7F" w:rsidRDefault="00277FD9" w:rsidP="00A73F7F">
      <w:pPr>
        <w:spacing w:line="360" w:lineRule="auto"/>
        <w:jc w:val="both"/>
        <w:rPr>
          <w:rFonts w:ascii="Palatino Linotype" w:eastAsia="Palatino Linotype" w:hAnsi="Palatino Linotype" w:cs="Palatino Linotype"/>
          <w:color w:val="000000" w:themeColor="text1"/>
        </w:rPr>
      </w:pPr>
    </w:p>
    <w:p w:rsidR="000A1A7F" w:rsidRPr="00A73F7F" w:rsidRDefault="00795D4B"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Ahora bien, p</w:t>
      </w:r>
      <w:r w:rsidR="00277FD9" w:rsidRPr="00A73F7F">
        <w:rPr>
          <w:rFonts w:ascii="Palatino Linotype" w:eastAsia="Palatino Linotype" w:hAnsi="Palatino Linotype" w:cs="Palatino Linotype"/>
          <w:color w:val="000000" w:themeColor="text1"/>
        </w:rPr>
        <w:t xml:space="preserve">or lo que hace a la información remitida en los dos archivos durante la etapa de informe justificado, se observa que se proporcionaron los nombres de los elementos a los cuales se les inicio un expediente por no aprobar un requisito de permanencia, sin embargo, en el caso </w:t>
      </w:r>
      <w:r w:rsidR="000A1A7F" w:rsidRPr="00A73F7F">
        <w:rPr>
          <w:rFonts w:ascii="Palatino Linotype" w:eastAsia="Palatino Linotype" w:hAnsi="Palatino Linotype" w:cs="Palatino Linotype"/>
          <w:color w:val="000000" w:themeColor="text1"/>
        </w:rPr>
        <w:t xml:space="preserve">que nos ocupa, cuando se trata servidores públicos que realicen </w:t>
      </w:r>
      <w:r w:rsidR="000A1A7F" w:rsidRPr="00A73F7F">
        <w:rPr>
          <w:rFonts w:ascii="Palatino Linotype" w:eastAsia="Palatino Linotype" w:hAnsi="Palatino Linotype" w:cs="Palatino Linotype"/>
          <w:b/>
          <w:color w:val="000000" w:themeColor="text1"/>
        </w:rPr>
        <w:t>actividades operativas en materia de seguridad</w:t>
      </w:r>
      <w:r w:rsidR="000A1A7F" w:rsidRPr="00A73F7F">
        <w:rPr>
          <w:rFonts w:ascii="Palatino Linotype" w:eastAsia="Palatino Linotype" w:hAnsi="Palatino Linotype" w:cs="Palatino Linotype"/>
          <w:color w:val="000000" w:themeColor="text1"/>
        </w:rPr>
        <w:t>, como es el caso de los elementos operativos y la policía municipal.</w:t>
      </w:r>
    </w:p>
    <w:p w:rsidR="000A1A7F" w:rsidRPr="00A73F7F" w:rsidRDefault="000A1A7F" w:rsidP="00A73F7F">
      <w:pPr>
        <w:pBdr>
          <w:top w:val="nil"/>
          <w:left w:val="nil"/>
          <w:bottom w:val="nil"/>
          <w:right w:val="nil"/>
          <w:between w:val="nil"/>
        </w:pBdr>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Por lo que dar a conocer el nombre de las personas, que son elementos operativos o policías municipales, los vuelve identificables y posiblemente reconocibles para grupos delictivos, puesto que pueden relacionarlos directamente con actividades u operativos </w:t>
      </w:r>
      <w:r w:rsidRPr="00A73F7F">
        <w:rPr>
          <w:rFonts w:ascii="Palatino Linotype" w:eastAsia="Palatino Linotype" w:hAnsi="Palatino Linotype" w:cs="Palatino Linotype"/>
          <w:color w:val="000000" w:themeColor="text1"/>
        </w:rPr>
        <w:lastRenderedPageBreak/>
        <w:t>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B3DEE" w:rsidRPr="00A73F7F" w:rsidRDefault="000A1A7F"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Por tales consideraciones, no resulta procedente poner a la vista el Informe Justificado correspondiente.</w:t>
      </w:r>
    </w:p>
    <w:p w:rsidR="000A1A7F" w:rsidRPr="00A73F7F" w:rsidRDefault="000A1A7F" w:rsidP="00A73F7F">
      <w:pP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Ahora bien, por lo que hace al</w:t>
      </w:r>
      <w:r w:rsidRPr="00A73F7F">
        <w:rPr>
          <w:rFonts w:ascii="Palatino Linotype" w:hAnsi="Palatino Linotype"/>
          <w:color w:val="000000" w:themeColor="text1"/>
        </w:rPr>
        <w:t xml:space="preserve"> n</w:t>
      </w:r>
      <w:r w:rsidRPr="00A73F7F">
        <w:rPr>
          <w:rFonts w:ascii="Palatino Linotype" w:eastAsia="Palatino Linotype" w:hAnsi="Palatino Linotype" w:cs="Palatino Linotype"/>
          <w:color w:val="000000" w:themeColor="text1"/>
        </w:rPr>
        <w:t xml:space="preserve">úmero total de elementos de la policía municipal evaluados mediante controles de confianza en los últimos 3 años, desglosando cuántos aprobaron, reprobaron, fueron suspendidos, dados de baja o reasignados, se observa que el </w:t>
      </w:r>
      <w:r w:rsidRPr="00A73F7F">
        <w:rPr>
          <w:rFonts w:ascii="Palatino Linotype" w:eastAsia="Palatino Linotype" w:hAnsi="Palatino Linotype" w:cs="Palatino Linotype"/>
          <w:b/>
          <w:color w:val="000000" w:themeColor="text1"/>
        </w:rPr>
        <w:t xml:space="preserve">SUJETO OBLIGADO, </w:t>
      </w:r>
      <w:r w:rsidRPr="00A73F7F">
        <w:rPr>
          <w:rFonts w:ascii="Palatino Linotype" w:eastAsia="Palatino Linotype" w:hAnsi="Palatino Linotype" w:cs="Palatino Linotype"/>
          <w:color w:val="000000" w:themeColor="text1"/>
        </w:rPr>
        <w:t>se pronunció al respecto proporcion</w:t>
      </w:r>
      <w:r w:rsidR="0053242A" w:rsidRPr="00A73F7F">
        <w:rPr>
          <w:rFonts w:ascii="Palatino Linotype" w:eastAsia="Palatino Linotype" w:hAnsi="Palatino Linotype" w:cs="Palatino Linotype"/>
          <w:color w:val="000000" w:themeColor="text1"/>
        </w:rPr>
        <w:t>ando el porcentaje de elementos</w:t>
      </w:r>
      <w:r w:rsidRPr="00A73F7F">
        <w:rPr>
          <w:rFonts w:ascii="Palatino Linotype" w:eastAsia="Palatino Linotype" w:hAnsi="Palatino Linotype" w:cs="Palatino Linotype"/>
          <w:color w:val="000000" w:themeColor="text1"/>
        </w:rPr>
        <w:t>, ya que este dato no es preciso y no corresponde a lo solicitado</w:t>
      </w:r>
      <w:r w:rsidR="008F0540" w:rsidRPr="00A73F7F">
        <w:rPr>
          <w:rFonts w:ascii="Palatino Linotype" w:eastAsia="Palatino Linotype" w:hAnsi="Palatino Linotype" w:cs="Palatino Linotype"/>
          <w:color w:val="000000" w:themeColor="text1"/>
        </w:rPr>
        <w:t>.</w:t>
      </w: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lastRenderedPageBreak/>
        <w:t>Lo anterior de conformidad al Criterio 11/09, emitido por el Pleno del entonces Instituto Federal de Acceso a la Información y Protección de Datos, traído por analogía, que establece lo siguiente:</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 xml:space="preserve">“La información estadística es de naturaleza pública, independientemente de la materia con la que se encuentre vinculada. </w:t>
      </w:r>
      <w:r w:rsidRPr="00A73F7F">
        <w:rPr>
          <w:rFonts w:ascii="Palatino Linotype" w:eastAsia="Palatino Linotype" w:hAnsi="Palatino Linotype" w:cs="Palatino Linotype"/>
          <w:i/>
          <w:color w:val="000000" w:themeColor="text1"/>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0A1A7F" w:rsidRPr="00A73F7F" w:rsidRDefault="000A1A7F" w:rsidP="00A73F7F">
      <w:pPr>
        <w:spacing w:line="360" w:lineRule="auto"/>
        <w:jc w:val="both"/>
        <w:rPr>
          <w:rFonts w:ascii="Palatino Linotype" w:eastAsia="Palatino Linotype" w:hAnsi="Palatino Linotype" w:cs="Palatino Linotype"/>
          <w:color w:val="000000" w:themeColor="text1"/>
          <w:highlight w:val="white"/>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7064D3" w:rsidRPr="00A73F7F" w:rsidRDefault="007064D3" w:rsidP="00A73F7F">
      <w:pPr>
        <w:spacing w:line="360" w:lineRule="auto"/>
        <w:jc w:val="both"/>
        <w:rPr>
          <w:rFonts w:ascii="Palatino Linotype" w:hAnsi="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 xml:space="preserve">No pasa desapercibido que los sujetos obligados no se encuentran obligados a generar documentos </w:t>
      </w:r>
      <w:r w:rsidRPr="00A73F7F">
        <w:rPr>
          <w:rFonts w:ascii="Palatino Linotype" w:eastAsia="Palatino Linotype" w:hAnsi="Palatino Linotype" w:cs="Palatino Linotype"/>
          <w:i/>
          <w:color w:val="000000" w:themeColor="text1"/>
        </w:rPr>
        <w:t>ad hoc</w:t>
      </w:r>
      <w:r w:rsidRPr="00A73F7F">
        <w:rPr>
          <w:rFonts w:ascii="Palatino Linotype" w:eastAsia="Palatino Linotype" w:hAnsi="Palatino Linotype" w:cs="Palatino Linotype"/>
          <w:color w:val="000000" w:themeColor="text1"/>
        </w:rPr>
        <w:t xml:space="preserve"> para atender las solicitudes de información de los particulares conforme a sus intereses particulares (como se advierte del caso concreto con el oficio </w:t>
      </w:r>
      <w:r w:rsidRPr="00A73F7F">
        <w:rPr>
          <w:rFonts w:ascii="Palatino Linotype" w:eastAsia="Palatino Linotype" w:hAnsi="Palatino Linotype" w:cs="Palatino Linotype"/>
          <w:color w:val="000000" w:themeColor="text1"/>
        </w:rPr>
        <w:lastRenderedPageBreak/>
        <w:t xml:space="preserve">remitido en respuesta), como apoyo a lo anterior, es aplicable por analogía el </w:t>
      </w:r>
      <w:r w:rsidRPr="00A73F7F">
        <w:rPr>
          <w:rFonts w:ascii="Palatino Linotype" w:eastAsia="Palatino Linotype" w:hAnsi="Palatino Linotype" w:cs="Palatino Linotype"/>
          <w:b/>
          <w:color w:val="000000" w:themeColor="text1"/>
        </w:rPr>
        <w:t>Criterio 03/17</w:t>
      </w:r>
      <w:r w:rsidRPr="00A73F7F">
        <w:rPr>
          <w:rFonts w:ascii="Palatino Linotype" w:eastAsia="Palatino Linotype" w:hAnsi="Palatino Linotype" w:cs="Palatino Linotype"/>
          <w:color w:val="000000" w:themeColor="text1"/>
        </w:rPr>
        <w:t>, emitido por el Pleno del Instituto Nacional de Transparencia, Acceso a la Información y Protección de Datos Personales (INAI), que a la letra dice:</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A73F7F">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 xml:space="preserve">También lo es que no existe normatividad o precepto legal </w:t>
      </w:r>
      <w:r w:rsidRPr="00A73F7F">
        <w:rPr>
          <w:rFonts w:ascii="Palatino Linotype" w:eastAsia="Palatino Linotype" w:hAnsi="Palatino Linotype" w:cs="Palatino Linotype"/>
          <w:b/>
          <w:color w:val="000000" w:themeColor="text1"/>
        </w:rPr>
        <w:t>que lo impida</w:t>
      </w:r>
      <w:r w:rsidRPr="00A73F7F">
        <w:rPr>
          <w:rFonts w:ascii="Palatino Linotype" w:eastAsia="Palatino Linotype" w:hAnsi="Palatino Linotype" w:cs="Palatino Linotype"/>
          <w:color w:val="000000" w:themeColor="text1"/>
        </w:rPr>
        <w:t>, de modo tal que un pronunciamiento que de atención a lo requerido eventualmente puede colmar el cumplimiento de la presente Resolución.</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Así las cosas, 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w:t>
      </w:r>
      <w:r w:rsidRPr="00A73F7F">
        <w:rPr>
          <w:rFonts w:ascii="Palatino Linotype" w:eastAsia="Palatino Linotype" w:hAnsi="Palatino Linotype" w:cs="Palatino Linotype"/>
          <w:color w:val="000000" w:themeColor="text1"/>
        </w:rPr>
        <w:lastRenderedPageBreak/>
        <w:t xml:space="preserve">procesen, archiven o conserven, y sólo facilitarán las que se les requiera y obre en sus archivos, en el estado en el que se encuentre, sin la obligación de generarla, resumir, efectuar cálculos o practicar investigaciones; tal y como se señala a continuación: </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w:t>
      </w:r>
      <w:r w:rsidRPr="00A73F7F">
        <w:rPr>
          <w:rFonts w:ascii="Palatino Linotype" w:eastAsia="Palatino Linotype" w:hAnsi="Palatino Linotype" w:cs="Palatino Linotype"/>
          <w:b/>
          <w:i/>
          <w:color w:val="000000" w:themeColor="text1"/>
        </w:rPr>
        <w:t>Artículo 12.</w:t>
      </w:r>
      <w:r w:rsidRPr="00A73F7F">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u w:val="single"/>
        </w:rPr>
      </w:pP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73F7F">
        <w:rPr>
          <w:rFonts w:ascii="Palatino Linotype" w:eastAsia="Palatino Linotype" w:hAnsi="Palatino Linotype" w:cs="Palatino Linotype"/>
          <w:i/>
          <w:color w:val="000000" w:themeColor="text1"/>
        </w:rPr>
        <w:t>”</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Énfasis añadido</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92A40" w:rsidRPr="00A73F7F" w:rsidRDefault="00A92A40" w:rsidP="00A73F7F">
      <w:pPr>
        <w:spacing w:line="360" w:lineRule="auto"/>
        <w:jc w:val="both"/>
        <w:rPr>
          <w:rFonts w:ascii="Palatino Linotype" w:hAnsi="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 xml:space="preserve">Es por lo anterior, que resulta dable ordenar al </w:t>
      </w:r>
      <w:r w:rsidRPr="00A73F7F">
        <w:rPr>
          <w:rFonts w:ascii="Palatino Linotype" w:eastAsia="Palatino Linotype" w:hAnsi="Palatino Linotype" w:cs="Palatino Linotype"/>
          <w:b/>
          <w:color w:val="000000" w:themeColor="text1"/>
        </w:rPr>
        <w:t xml:space="preserve">SUJETO OBLIGADO, </w:t>
      </w:r>
      <w:r w:rsidRPr="00A73F7F">
        <w:rPr>
          <w:rFonts w:ascii="Palatino Linotype" w:eastAsia="Palatino Linotype" w:hAnsi="Palatino Linotype" w:cs="Palatino Linotype"/>
          <w:color w:val="000000" w:themeColor="text1"/>
        </w:rPr>
        <w:t xml:space="preserve">que haga entrega del documento en donde conste o se advierta el número de elementos evaluados </w:t>
      </w: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lang w:val="es-MX"/>
        </w:rPr>
        <w:lastRenderedPageBreak/>
        <w:t xml:space="preserve">Sobre el presente punto, cabe traer a colación el artículo 66 de la Ley General del Sistema Nacional de Seguridad Pública y el diverso 109 de la Ley de Seguridad del Estado de México, los cuales establecen que la certificación es el proceso por el cual </w:t>
      </w:r>
      <w:r w:rsidRPr="00A73F7F">
        <w:rPr>
          <w:rFonts w:ascii="Palatino Linotype" w:eastAsia="Palatino Linotype" w:hAnsi="Palatino Linotype" w:cs="Palatino Linotype"/>
          <w:b/>
          <w:color w:val="000000" w:themeColor="text1"/>
          <w:lang w:val="es-MX"/>
        </w:rPr>
        <w:t>los integrantes de las instituciones de seguridad pública o de procuración de justicia se someten a las evaluaciones establecidas por el Centro de Control de Confianza del Estado de México.</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En ese contexto, el Centro de Control de Confianza del Estado de México, es un organismo público descentralizado, con personalidad jurídica y patrimonio propios, sectorizado de la Secretaría de Seguridad, cuyo objeto es realizar las evaluaciones permanentes de control de confianza, de desempeño, poligrafía, entorno social y psicológico, así como exámenes toxicológicos a los aspirante e integrantes de las instituciones de seguridad pública y privada, estatal y municipal, </w:t>
      </w:r>
      <w:r w:rsidRPr="00A73F7F">
        <w:rPr>
          <w:rFonts w:ascii="Palatino Linotype" w:eastAsia="Palatino Linotype" w:hAnsi="Palatino Linotype" w:cs="Palatino Linotype"/>
          <w:b/>
          <w:color w:val="000000" w:themeColor="text1"/>
        </w:rPr>
        <w:t>a fin de emitir la certificación correspondiente.</w:t>
      </w:r>
      <w:r w:rsidRPr="00A73F7F">
        <w:rPr>
          <w:rFonts w:ascii="Palatino Linotype" w:eastAsia="Palatino Linotype" w:hAnsi="Palatino Linotype" w:cs="Palatino Linotype"/>
          <w:color w:val="000000" w:themeColor="text1"/>
        </w:rPr>
        <w:t xml:space="preserve"> Además, que ninguna persona podrá ingresar o permanecer en las instituciones de seguridad pública sin contar con el Certificado y registro vigentes.</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En ese sentido, el artículo 5°, fracciones VIII, IX y X, de la Ley General del Sistema Nacional de Seguridad Pública y el diverso 6°, fracciones XI y XII, de la Ley de Seguridad del Estado de México, establece lo siguiente:</w:t>
      </w:r>
    </w:p>
    <w:p w:rsidR="007064D3" w:rsidRPr="00A73F7F" w:rsidRDefault="007064D3" w:rsidP="00A73F7F">
      <w:pPr>
        <w:numPr>
          <w:ilvl w:val="0"/>
          <w:numId w:val="35"/>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t>Instituciones Policiales:</w:t>
      </w:r>
      <w:r w:rsidRPr="00A73F7F">
        <w:rPr>
          <w:rFonts w:ascii="Palatino Linotype" w:eastAsia="Palatino Linotype" w:hAnsi="Palatino Linotype" w:cs="Palatino Linotype"/>
          <w:color w:val="000000" w:themeColor="text1"/>
        </w:rPr>
        <w:t xml:space="preserve"> Son los cuerpos de policía, de vigilancia y custodia de los establecimientos penitenciarios, detención preventiva, centros de arraigo y en general, todas las dependencias encargadas de la seguridad pública a nivel federal, estatal y municipal.</w:t>
      </w:r>
    </w:p>
    <w:p w:rsidR="007064D3" w:rsidRPr="00A73F7F" w:rsidRDefault="007064D3" w:rsidP="00A73F7F">
      <w:pPr>
        <w:numPr>
          <w:ilvl w:val="0"/>
          <w:numId w:val="35"/>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t>Instituciones de Procuración de Justicia:</w:t>
      </w:r>
      <w:r w:rsidRPr="00A73F7F">
        <w:rPr>
          <w:rFonts w:ascii="Palatino Linotype" w:eastAsia="Palatino Linotype" w:hAnsi="Palatino Linotype" w:cs="Palatino Linotype"/>
          <w:color w:val="000000" w:themeColor="text1"/>
        </w:rPr>
        <w:t xml:space="preserve"> Son aquellas de la Federación y Entidades Federativas que integran el Ministerio Público, los servicios periciales, policías de investigación y auxiliares.</w:t>
      </w:r>
    </w:p>
    <w:p w:rsidR="007064D3" w:rsidRPr="00A73F7F" w:rsidRDefault="007064D3" w:rsidP="00A73F7F">
      <w:pPr>
        <w:numPr>
          <w:ilvl w:val="0"/>
          <w:numId w:val="35"/>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lastRenderedPageBreak/>
        <w:t>Instituciones de Seguridad Pública:</w:t>
      </w:r>
      <w:r w:rsidRPr="00A73F7F">
        <w:rPr>
          <w:rFonts w:ascii="Palatino Linotype" w:eastAsia="Palatino Linotype" w:hAnsi="Palatino Linotype" w:cs="Palatino Linotype"/>
          <w:color w:val="000000" w:themeColor="text1"/>
        </w:rPr>
        <w:t xml:space="preserve"> Instituciones Policiales, de Procuración de Justicia, del Sistema Penitenciario y dependencias encargadas de la seguridad pública a nivel federal, estatal y municipal.</w:t>
      </w:r>
    </w:p>
    <w:p w:rsidR="007064D3" w:rsidRPr="00A73F7F" w:rsidRDefault="007064D3" w:rsidP="00A73F7F">
      <w:pPr>
        <w:spacing w:line="360" w:lineRule="auto"/>
        <w:jc w:val="both"/>
        <w:rPr>
          <w:rFonts w:ascii="Palatino Linotype" w:eastAsia="Palatino Linotype" w:hAnsi="Palatino Linotype" w:cs="Palatino Linotype"/>
          <w:b/>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Sobre lo anterior, el Instructivo de llenado del Formato “Personal de Seguridad Pública”, del Secretariado Ejecutivo del Sistema Nacional de Seguridad Pública (consultado, en la liga </w:t>
      </w:r>
      <w:hyperlink r:id="rId12">
        <w:r w:rsidRPr="00A73F7F">
          <w:rPr>
            <w:rFonts w:ascii="Palatino Linotype" w:eastAsia="Palatino Linotype" w:hAnsi="Palatino Linotype" w:cs="Palatino Linotype"/>
            <w:color w:val="000000" w:themeColor="text1"/>
          </w:rPr>
          <w:t>http://secretariadoejecutivo.gob.mx/work/models/SecretariadoEjecutivo/Resource/328/1/images/instructivo_final_edo_fuerza(1).pdf</w:t>
        </w:r>
      </w:hyperlink>
      <w:r w:rsidRPr="00A73F7F">
        <w:rPr>
          <w:rFonts w:ascii="Palatino Linotype" w:eastAsia="Palatino Linotype" w:hAnsi="Palatino Linotype" w:cs="Palatino Linotype"/>
          <w:color w:val="000000" w:themeColor="text1"/>
        </w:rPr>
        <w:t>), establece que las instituciones de seguridad pública, se integran por los siguientes categorizaciones de puestos:</w:t>
      </w:r>
    </w:p>
    <w:p w:rsidR="007064D3" w:rsidRPr="00A73F7F" w:rsidRDefault="007064D3" w:rsidP="00A73F7F">
      <w:pPr>
        <w:numPr>
          <w:ilvl w:val="0"/>
          <w:numId w:val="36"/>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 xml:space="preserve">Mando: </w:t>
      </w:r>
      <w:r w:rsidRPr="00A73F7F">
        <w:rPr>
          <w:rFonts w:ascii="Palatino Linotype" w:eastAsia="Palatino Linotype" w:hAnsi="Palatino Linotype" w:cs="Palatino Linotype"/>
          <w:color w:val="000000" w:themeColor="text1"/>
        </w:rPr>
        <w:t>Se conforma por el personal con funciones de dirección, coordinación y supervisión, es decir, los altos mandos y mandos medios y superiores.</w:t>
      </w:r>
    </w:p>
    <w:p w:rsidR="007064D3" w:rsidRPr="00A73F7F" w:rsidRDefault="007064D3" w:rsidP="00A73F7F">
      <w:pPr>
        <w:numPr>
          <w:ilvl w:val="0"/>
          <w:numId w:val="36"/>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 xml:space="preserve">Operativos: </w:t>
      </w:r>
      <w:r w:rsidRPr="00A73F7F">
        <w:rPr>
          <w:rFonts w:ascii="Palatino Linotype" w:eastAsia="Palatino Linotype" w:hAnsi="Palatino Linotype" w:cs="Palatino Linotype"/>
          <w:color w:val="000000" w:themeColor="text1"/>
        </w:rPr>
        <w:t>Integrado por el personal que desempeña funciones de campo (policiacas, especializadas y no tienen funciones de mando), tales como la Policía Ministerial, Judicial, Estatal Preventiva, Municipal, escoltas, grupos antisecuestro, terrorismo, inteligencia, grupos de reacción o equivalentes.</w:t>
      </w:r>
    </w:p>
    <w:p w:rsidR="007064D3" w:rsidRPr="00A73F7F" w:rsidRDefault="007064D3" w:rsidP="00A73F7F">
      <w:pPr>
        <w:numPr>
          <w:ilvl w:val="0"/>
          <w:numId w:val="36"/>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 xml:space="preserve">Administrativos: </w:t>
      </w:r>
      <w:r w:rsidRPr="00A73F7F">
        <w:rPr>
          <w:rFonts w:ascii="Palatino Linotype" w:eastAsia="Palatino Linotype" w:hAnsi="Palatino Linotype" w:cs="Palatino Linotype"/>
          <w:color w:val="000000" w:themeColor="text1"/>
        </w:rPr>
        <w:t>Conformado por el personal de apoyo.</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Así, se colige que la pretensión del ahora Recurrente, es obtener el documento donde conste el resultado global de la evaluación de confianza vigente a la fecha de la solicitud; es decir, aquel que señale que el servidor público, aprobó o no la evaluación de confianza, por lo que, no requiere tener acceso a las evaluaciones individuales realizadas por el Centro de Control de Confianza del Estado de México y Municipios.</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Al respecto, los Lineamientos de Operación del Centro de Evaluación y Control de Confianza del Servicio de Protección Federal, traídos de manera de analogía, precisan lo siguiente:</w:t>
      </w:r>
    </w:p>
    <w:p w:rsidR="007064D3" w:rsidRPr="00A73F7F" w:rsidRDefault="007064D3" w:rsidP="00A73F7F">
      <w:pPr>
        <w:numPr>
          <w:ilvl w:val="0"/>
          <w:numId w:val="37"/>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t>(Artículo 27):</w:t>
      </w:r>
      <w:r w:rsidRPr="00A73F7F">
        <w:rPr>
          <w:rFonts w:ascii="Palatino Linotype" w:eastAsia="Palatino Linotype" w:hAnsi="Palatino Linotype" w:cs="Palatino Linotype"/>
          <w:color w:val="000000" w:themeColor="text1"/>
        </w:rPr>
        <w:t xml:space="preserve"> El resultado único del proceso de evaluación, es la consecuencia del análisis objetivo y metodológico de la información recolectada durante la aplicación del Proceso de Evaluación, el cual se emitirá en los siguientes términos: </w:t>
      </w:r>
    </w:p>
    <w:p w:rsidR="007064D3" w:rsidRPr="00A73F7F" w:rsidRDefault="007064D3" w:rsidP="00A73F7F">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Aprobado;</w:t>
      </w:r>
    </w:p>
    <w:p w:rsidR="007064D3" w:rsidRPr="00A73F7F" w:rsidRDefault="007064D3" w:rsidP="00A73F7F">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No aprobado, y</w:t>
      </w:r>
    </w:p>
    <w:p w:rsidR="007064D3" w:rsidRPr="00A73F7F" w:rsidRDefault="007064D3" w:rsidP="00A73F7F">
      <w:pPr>
        <w:numPr>
          <w:ilvl w:val="0"/>
          <w:numId w:val="32"/>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No cubre con el perfil de puesto.</w:t>
      </w:r>
    </w:p>
    <w:p w:rsidR="007064D3" w:rsidRPr="00A73F7F" w:rsidRDefault="007064D3" w:rsidP="00A73F7F">
      <w:pPr>
        <w:numPr>
          <w:ilvl w:val="0"/>
          <w:numId w:val="37"/>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 xml:space="preserve">(Artículo 30): </w:t>
      </w:r>
      <w:r w:rsidRPr="00A73F7F">
        <w:rPr>
          <w:rFonts w:ascii="Palatino Linotype" w:eastAsia="Palatino Linotype" w:hAnsi="Palatino Linotype" w:cs="Palatino Linotype"/>
          <w:color w:val="000000" w:themeColor="text1"/>
        </w:rPr>
        <w:t>El resultado único del proceso de evaluación, debe emitirse valorándose y ponderándose de forma conjunta e integral los exámenes que conforman el Proceso de Evaluación aplicado a cada Evaluado.</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En ese orden de ideas, el artículo 21 de la Ley de Seguridad del Estado de México, precisa que es atribución de los Presidentes Municipales verificar que los integrantes de las instituciones policiales a su cargo, se sometan a las evaluaciones de control de confianza y cuenten con el Certificado Único Policial.</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u w:val="single"/>
        </w:rPr>
      </w:pPr>
      <w:r w:rsidRPr="00A73F7F">
        <w:rPr>
          <w:rFonts w:ascii="Palatino Linotype" w:eastAsia="Palatino Linotype" w:hAnsi="Palatino Linotype" w:cs="Palatino Linotype"/>
          <w:color w:val="000000" w:themeColor="text1"/>
          <w:u w:val="single"/>
        </w:rPr>
        <w:t>Conforme a lo anterior, se logra observar que el Sujeto Obligado es competente para conocer de la información peticionada y que la pretensión del ahora Recurrente, es obtener, el documento donde conste el resultado global (aprobado, no aprobado, entre otros).</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Al respecto, es dable mencionar que los artículos 39, aparatado B, fracción VIII, 40, fracción XV, 56, segundo párrafo, 73, segundo párrafo, 74, 85, fracciones II y III, 88, apartado </w:t>
      </w:r>
      <w:r w:rsidRPr="00A73F7F">
        <w:rPr>
          <w:rFonts w:ascii="Palatino Linotype" w:eastAsia="Palatino Linotype" w:hAnsi="Palatino Linotype" w:cs="Palatino Linotype"/>
          <w:color w:val="000000" w:themeColor="text1"/>
        </w:rPr>
        <w:lastRenderedPageBreak/>
        <w:t>A, fracción VI, apartado B, fracción VI, 96 y 97, de la Ley General del Sistema Nacional de Seguridad Pública, establecen lo siguiente:</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Que corresponde a los municipios abstenerse de contratar y emplear en las Instituciones Policiales a personas que no cuenten con el registro y </w:t>
      </w:r>
      <w:r w:rsidRPr="00A73F7F">
        <w:rPr>
          <w:rFonts w:ascii="Palatino Linotype" w:eastAsia="Palatino Linotype" w:hAnsi="Palatino Linotype" w:cs="Palatino Linotype"/>
          <w:color w:val="000000" w:themeColor="text1"/>
          <w:u w:val="single"/>
        </w:rPr>
        <w:t>certificado emitido por el centro de evaluación y control de confianza</w:t>
      </w:r>
      <w:r w:rsidRPr="00A73F7F">
        <w:rPr>
          <w:rFonts w:ascii="Palatino Linotype" w:eastAsia="Palatino Linotype" w:hAnsi="Palatino Linotype" w:cs="Palatino Linotype"/>
          <w:color w:val="000000" w:themeColor="text1"/>
        </w:rPr>
        <w:t xml:space="preserve"> respectivo;</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u w:val="single"/>
        </w:rPr>
      </w:pPr>
      <w:r w:rsidRPr="00A73F7F">
        <w:rPr>
          <w:rFonts w:ascii="Palatino Linotype" w:eastAsia="Palatino Linotype" w:hAnsi="Palatino Linotype" w:cs="Palatino Linotype"/>
          <w:color w:val="000000" w:themeColor="text1"/>
        </w:rPr>
        <w:t>Que tanto los servidores públicos de las Instituciones Policiales en los tres órdenes de gobierno, pertenecientes a la Carrera Policial, como aquellos considerados de Confianza</w:t>
      </w:r>
      <w:r w:rsidRPr="00A73F7F">
        <w:rPr>
          <w:rFonts w:ascii="Palatino Linotype" w:eastAsia="Palatino Linotype" w:hAnsi="Palatino Linotype" w:cs="Palatino Linotype"/>
          <w:color w:val="000000" w:themeColor="text1"/>
          <w:u w:val="single"/>
        </w:rPr>
        <w:t xml:space="preserve">, en caso de </w:t>
      </w:r>
      <w:r w:rsidRPr="00A73F7F">
        <w:rPr>
          <w:rFonts w:ascii="Palatino Linotype" w:eastAsia="Palatino Linotype" w:hAnsi="Palatino Linotype" w:cs="Palatino Linotype"/>
          <w:b/>
          <w:color w:val="000000" w:themeColor="text1"/>
          <w:u w:val="single"/>
        </w:rPr>
        <w:t>no</w:t>
      </w:r>
      <w:r w:rsidRPr="00A73F7F">
        <w:rPr>
          <w:rFonts w:ascii="Palatino Linotype" w:eastAsia="Palatino Linotype" w:hAnsi="Palatino Linotype" w:cs="Palatino Linotype"/>
          <w:color w:val="000000" w:themeColor="text1"/>
          <w:u w:val="single"/>
        </w:rPr>
        <w:t xml:space="preserve"> acreditar las evaluaciones de control de confianza, podrán darse por terminados los efectos de su nombramiento;</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Que tanto </w:t>
      </w:r>
      <w:r w:rsidRPr="00A73F7F">
        <w:rPr>
          <w:rFonts w:ascii="Palatino Linotype" w:eastAsia="Palatino Linotype" w:hAnsi="Palatino Linotype" w:cs="Palatino Linotype"/>
          <w:color w:val="000000" w:themeColor="text1"/>
          <w:u w:val="single"/>
        </w:rPr>
        <w:t>para el ingreso como para la permanencia en la Carrera Policial es requisito aprobar los procesos de evaluación de control de confianza</w:t>
      </w:r>
      <w:r w:rsidRPr="00A73F7F">
        <w:rPr>
          <w:rFonts w:ascii="Palatino Linotype" w:eastAsia="Palatino Linotype" w:hAnsi="Palatino Linotype" w:cs="Palatino Linotype"/>
          <w:color w:val="000000" w:themeColor="text1"/>
        </w:rPr>
        <w:t>;</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las Instituciones Policiales contratarán únicamente al personal que cuente con el requisito de certificación expedido por su centro de control de confianza respectivo, y</w:t>
      </w:r>
    </w:p>
    <w:p w:rsidR="007064D3" w:rsidRPr="00A73F7F" w:rsidRDefault="007064D3" w:rsidP="00A73F7F">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el objeto de la certificación es identificar los factores de riesgo que interfieran, repercutan o pongan en peligro el desempeño de las funciones policiales, con el fin de garantizar la calidad de los servicios.</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Por su parte, los artículos 19, 21, fracciones XVIII, XIX, XX y XXI, 58 Quinqués, fracción VI y 109, cuarto párrafo, de la Ley de Seguridad del Estado de México, determinan lo siguiente:</w:t>
      </w:r>
    </w:p>
    <w:p w:rsidR="007064D3" w:rsidRPr="00A73F7F" w:rsidRDefault="007064D3" w:rsidP="00A73F7F">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son autoridades municipales en materia de Seguridad Pública, los ayuntamientos, los presidentes municipales, los directores de seguridad pública municipal y los integrantes de las instituciones policiales en ejercicio de su función;</w:t>
      </w:r>
    </w:p>
    <w:p w:rsidR="007064D3" w:rsidRPr="00A73F7F" w:rsidRDefault="007064D3" w:rsidP="00A73F7F">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Que son atribuciones del </w:t>
      </w:r>
      <w:r w:rsidRPr="00A73F7F">
        <w:rPr>
          <w:rFonts w:ascii="Palatino Linotype" w:eastAsia="Palatino Linotype" w:hAnsi="Palatino Linotype" w:cs="Palatino Linotype"/>
          <w:b/>
          <w:color w:val="000000" w:themeColor="text1"/>
        </w:rPr>
        <w:t>Presidente Municipal</w:t>
      </w:r>
      <w:r w:rsidRPr="00A73F7F">
        <w:rPr>
          <w:rFonts w:ascii="Palatino Linotype" w:eastAsia="Palatino Linotype" w:hAnsi="Palatino Linotype" w:cs="Palatino Linotype"/>
          <w:color w:val="000000" w:themeColor="text1"/>
        </w:rPr>
        <w:t xml:space="preserve">, verificar que los integrantes de las instituciones policiales a su cargo se sometan a las </w:t>
      </w:r>
      <w:r w:rsidRPr="00A73F7F">
        <w:rPr>
          <w:rFonts w:ascii="Palatino Linotype" w:eastAsia="Palatino Linotype" w:hAnsi="Palatino Linotype" w:cs="Palatino Linotype"/>
          <w:color w:val="000000" w:themeColor="text1"/>
          <w:u w:val="single"/>
        </w:rPr>
        <w:t>evaluaciones de control de confianza</w:t>
      </w:r>
      <w:r w:rsidRPr="00A73F7F">
        <w:rPr>
          <w:rFonts w:ascii="Palatino Linotype" w:eastAsia="Palatino Linotype" w:hAnsi="Palatino Linotype" w:cs="Palatino Linotype"/>
          <w:color w:val="000000" w:themeColor="text1"/>
        </w:rPr>
        <w:t xml:space="preserve"> y cuenten con el Certificado Único Policial, de conformidad con las disposiciones legales aplicables; solicitar al Centro las </w:t>
      </w:r>
      <w:r w:rsidRPr="00A73F7F">
        <w:rPr>
          <w:rFonts w:ascii="Palatino Linotype" w:eastAsia="Palatino Linotype" w:hAnsi="Palatino Linotype" w:cs="Palatino Linotype"/>
          <w:color w:val="000000" w:themeColor="text1"/>
          <w:u w:val="single"/>
        </w:rPr>
        <w:t>evaluaciones de control de confianza para el ingreso, promoción y permanencia de los integrantes de las instituciones policiales</w:t>
      </w:r>
      <w:r w:rsidRPr="00A73F7F">
        <w:rPr>
          <w:rFonts w:ascii="Palatino Linotype" w:eastAsia="Palatino Linotype" w:hAnsi="Palatino Linotype" w:cs="Palatino Linotype"/>
          <w:color w:val="000000" w:themeColor="text1"/>
        </w:rPr>
        <w:t xml:space="preserve"> a su cargo; solicitar a la Comisión de Honor y Justicia, la instauración del procedimiento en contra de los integrantes de las instituciones policiales a su cargo que no haya presentado o aprobado </w:t>
      </w:r>
      <w:r w:rsidRPr="00A73F7F">
        <w:rPr>
          <w:rFonts w:ascii="Palatino Linotype" w:eastAsia="Palatino Linotype" w:hAnsi="Palatino Linotype" w:cs="Palatino Linotype"/>
          <w:color w:val="000000" w:themeColor="text1"/>
        </w:rPr>
        <w:lastRenderedPageBreak/>
        <w:t>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rsidR="007064D3" w:rsidRPr="00A73F7F" w:rsidRDefault="007064D3" w:rsidP="00A73F7F">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Que son atribuciones del </w:t>
      </w:r>
      <w:r w:rsidRPr="00A73F7F">
        <w:rPr>
          <w:rFonts w:ascii="Palatino Linotype" w:eastAsia="Palatino Linotype" w:hAnsi="Palatino Linotype" w:cs="Palatino Linotype"/>
          <w:b/>
          <w:color w:val="000000" w:themeColor="text1"/>
        </w:rPr>
        <w:t>Secretario o Secretaria Técnica del Ayuntamiento</w:t>
      </w:r>
      <w:r w:rsidRPr="00A73F7F">
        <w:rPr>
          <w:rFonts w:ascii="Palatino Linotype" w:eastAsia="Palatino Linotype" w:hAnsi="Palatino Linotype" w:cs="Palatino Linotype"/>
          <w:color w:val="000000" w:themeColor="text1"/>
        </w:rPr>
        <w:t>, fungir como enlace ante el Centro Estatal de Control de Confianza y verificar que el estado de fuerza municipal y servidores públicos obligados cumplan con lo previsto en materia de control de confianza, y</w:t>
      </w:r>
    </w:p>
    <w:p w:rsidR="007064D3" w:rsidRPr="00A73F7F" w:rsidRDefault="007064D3" w:rsidP="00A73F7F">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Que los resultados de los procesos de evaluación y los expedientes que se formen con los mismos serán confidenciales, salvo en aquellos casos en que deban presentarse en procedimientos administrativos o judiciales.</w:t>
      </w:r>
    </w:p>
    <w:p w:rsidR="007064D3" w:rsidRPr="00A73F7F" w:rsidRDefault="007064D3" w:rsidP="00A73F7F">
      <w:pPr>
        <w:spacing w:line="360" w:lineRule="auto"/>
        <w:jc w:val="both"/>
        <w:rPr>
          <w:rFonts w:ascii="Palatino Linotype" w:eastAsia="Palatino Linotype" w:hAnsi="Palatino Linotype" w:cs="Palatino Linotype"/>
          <w:b/>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Conforme a la normatividad citada, </w:t>
      </w:r>
      <w:r w:rsidRPr="00A73F7F">
        <w:rPr>
          <w:rFonts w:ascii="Palatino Linotype" w:eastAsia="Palatino Linotype" w:hAnsi="Palatino Linotype" w:cs="Palatino Linotype"/>
          <w:b/>
          <w:color w:val="000000" w:themeColor="text1"/>
        </w:rPr>
        <w:t xml:space="preserve">se advierte que la evaluación de control de confianza es un requisito indispensable para ingresar y permanecer en el cargo de </w:t>
      </w:r>
      <w:r w:rsidRPr="00A73F7F">
        <w:rPr>
          <w:rFonts w:ascii="Palatino Linotype" w:eastAsia="Palatino Linotype" w:hAnsi="Palatino Linotype" w:cs="Palatino Linotype"/>
          <w:color w:val="000000" w:themeColor="text1"/>
        </w:rPr>
        <w:t xml:space="preserve">y que el resultado de los procesos y los expedientes que se formen con los mismos, son confidenciales, es decir, </w:t>
      </w:r>
      <w:r w:rsidRPr="00A73F7F">
        <w:rPr>
          <w:rFonts w:ascii="Palatino Linotype" w:eastAsia="Palatino Linotype" w:hAnsi="Palatino Linotype" w:cs="Palatino Linotype"/>
          <w:color w:val="000000" w:themeColor="text1"/>
          <w:u w:val="single"/>
        </w:rPr>
        <w:t>que el resultado aislado de cada etapa de examen es confidencial</w:t>
      </w:r>
      <w:r w:rsidRPr="00A73F7F">
        <w:rPr>
          <w:rFonts w:ascii="Palatino Linotype" w:eastAsia="Palatino Linotype" w:hAnsi="Palatino Linotype" w:cs="Palatino Linotype"/>
          <w:color w:val="000000" w:themeColor="text1"/>
        </w:rPr>
        <w:t xml:space="preserve">; </w:t>
      </w:r>
      <w:r w:rsidRPr="00A73F7F">
        <w:rPr>
          <w:rFonts w:ascii="Palatino Linotype" w:eastAsia="Palatino Linotype" w:hAnsi="Palatino Linotype" w:cs="Palatino Linotype"/>
          <w:b/>
          <w:color w:val="000000" w:themeColor="text1"/>
        </w:rPr>
        <w:t>sin embargo, el resultado global, correspondiente a que el servidor público aprobó la evaluación, en el presente caso, “Aprobado” o “No Aprobado”, guarda la naturaleza pública.</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Situación que guarda relevancia, pues en la resolución de la Acción de Inconstitucionalidad 88/2018, la Suprema Corte de Justicia de la Nación precisa que los resultados de las evaluaciones de control de confianza, es decir, los resultados de los </w:t>
      </w:r>
      <w:r w:rsidRPr="00A73F7F">
        <w:rPr>
          <w:rFonts w:ascii="Palatino Linotype" w:eastAsia="Palatino Linotype" w:hAnsi="Palatino Linotype" w:cs="Palatino Linotype"/>
          <w:color w:val="000000" w:themeColor="text1"/>
        </w:rPr>
        <w:lastRenderedPageBreak/>
        <w:t>exámenes médicos, toxicológicos, psicológicos, poligráficos y estudios socioeconómicos, guardan la naturaleza de confidencial.</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Además, es de referir que es de interés público de la ciudadanía, conocer que los trabajadores gubernamentales cumplen con todos los requisitos establecidos en la normatividad respectiva, sobre todo, en materia de seguridad pública, pues solo así, se puede saber, si los empleados señalados, </w:t>
      </w:r>
      <w:r w:rsidRPr="00A73F7F">
        <w:rPr>
          <w:rFonts w:ascii="Palatino Linotype" w:eastAsia="Palatino Linotype" w:hAnsi="Palatino Linotype" w:cs="Palatino Linotype"/>
          <w:b/>
          <w:color w:val="000000" w:themeColor="text1"/>
        </w:rPr>
        <w:t>son aptos para ocupar determinados puestos;</w:t>
      </w:r>
      <w:r w:rsidRPr="00A73F7F">
        <w:rPr>
          <w:rFonts w:ascii="Palatino Linotype" w:eastAsia="Palatino Linotype" w:hAnsi="Palatino Linotype" w:cs="Palatino Linotype"/>
          <w:color w:val="000000" w:themeColor="text1"/>
        </w:rPr>
        <w:t xml:space="preserve"> toma relevancia dicha situación, al tratarse, en el presente caso de un cargo de mando.</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Situación que toma sustento en el artículo 21, décimo párrafo inciso a), de la Constitución Política de los Estados Unidos Mexicanos, que alude a que los integrantes de las instituciones de seguridad pública, deben de estar certificados; además, que el 22 Bis de la Ley de Seguridad del Estado de México.</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Asimismo, la publicidad de la información ayuda a rendir cuentas a la población, respecto a que las instituciones de seguridad cumplen con lo establecido en los ordenamientos jurídicos, ya que permite a las personas verificar que una Dependencia o Ayuntamiento, contrata a servidores públicos capaces e idóneos para cumplir con sus funciones y cumplen con los requisitos respectivos, sobre todo, si se trata de una trabajadora en materia de seguridad pública, con cargo superior.</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color w:val="000000" w:themeColor="text1"/>
        </w:rPr>
        <w:t xml:space="preserve">Lo anterior, toma reverencia, pues el proceso de evaluación de confianza según lo establecido en la página del Sujeto Obligado, </w:t>
      </w:r>
      <w:hyperlink r:id="rId13">
        <w:r w:rsidRPr="00A73F7F">
          <w:rPr>
            <w:rFonts w:ascii="Palatino Linotype" w:eastAsia="Palatino Linotype" w:hAnsi="Palatino Linotype" w:cs="Palatino Linotype"/>
            <w:color w:val="000000" w:themeColor="text1"/>
          </w:rPr>
          <w:t>https://ccc.edomex.gob.mx/para_que%20sirven_evaluaciones_cc</w:t>
        </w:r>
      </w:hyperlink>
      <w:r w:rsidRPr="00A73F7F">
        <w:rPr>
          <w:rFonts w:ascii="Palatino Linotype" w:eastAsia="Palatino Linotype" w:hAnsi="Palatino Linotype" w:cs="Palatino Linotype"/>
          <w:color w:val="000000" w:themeColor="text1"/>
        </w:rPr>
        <w:t xml:space="preserve">, fortalece la credibilidad, </w:t>
      </w:r>
      <w:r w:rsidRPr="00A73F7F">
        <w:rPr>
          <w:rFonts w:ascii="Palatino Linotype" w:eastAsia="Palatino Linotype" w:hAnsi="Palatino Linotype" w:cs="Palatino Linotype"/>
          <w:color w:val="000000" w:themeColor="text1"/>
        </w:rPr>
        <w:lastRenderedPageBreak/>
        <w:t xml:space="preserve">eficiencia y operatividad en las instituciones de seguridad, de conformidad con la normatividad procedimientos, objetivos y funciones aplicables en cada institución, así como la obligatoriedad de mantener niveles homogéneos de profesionalización en el desempeño de sus funciones. </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color w:val="000000" w:themeColor="text1"/>
        </w:rPr>
        <w:t xml:space="preserve">De tal suerte, toda vez que la pretensión del ahora Recurrente </w:t>
      </w:r>
      <w:r w:rsidRPr="00A73F7F">
        <w:rPr>
          <w:rFonts w:ascii="Palatino Linotype" w:eastAsia="Palatino Linotype" w:hAnsi="Palatino Linotype" w:cs="Palatino Linotype"/>
          <w:b/>
          <w:color w:val="000000" w:themeColor="text1"/>
        </w:rPr>
        <w:t xml:space="preserve">es obtener el número de la de la policía municipal evaluados mediante controles de confianza en los últimos 3 años, desglosando cuántos aprobaron, reprobaron, fueron suspendidos, dados de baja o reasignados, </w:t>
      </w:r>
      <w:r w:rsidRPr="00A73F7F">
        <w:rPr>
          <w:rFonts w:ascii="Palatino Linotype" w:eastAsia="Palatino Linotype" w:hAnsi="Palatino Linotype" w:cs="Palatino Linotype"/>
          <w:color w:val="000000" w:themeColor="text1"/>
        </w:rPr>
        <w:t>se considera información pública, pues con dicho dato se logra advertir que el servidor público solicitado cumple con uno de los requisitos indispensables y establecidos en la normatividad aplicable, para ocupar dicho puesto, en la institución de seguridad pública</w:t>
      </w:r>
      <w:r w:rsidRPr="00A73F7F">
        <w:rPr>
          <w:rFonts w:ascii="Palatino Linotype" w:eastAsia="Palatino Linotype" w:hAnsi="Palatino Linotype" w:cs="Palatino Linotype"/>
          <w:b/>
          <w:color w:val="000000" w:themeColor="text1"/>
        </w:rPr>
        <w:t>.</w:t>
      </w:r>
    </w:p>
    <w:p w:rsidR="007064D3" w:rsidRPr="00A73F7F" w:rsidRDefault="007064D3" w:rsidP="00A73F7F">
      <w:pPr>
        <w:spacing w:line="360" w:lineRule="auto"/>
        <w:jc w:val="both"/>
        <w:rPr>
          <w:rFonts w:ascii="Palatino Linotype" w:eastAsia="Palatino Linotype" w:hAnsi="Palatino Linotype" w:cs="Palatino Linotype"/>
          <w:b/>
          <w:color w:val="000000" w:themeColor="text1"/>
        </w:rPr>
      </w:pP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Finalmente sobre este punto, no pasa desapercibido para este Instituto que los documentos que den cuenta de lo solicitado, pudieran contener datos o información clasificada, tal como pudiera ser la Clave Única de Identificación Permanente, la Clave Única de Registro de Población, el Registro Federal de Contribuyentes, entre otros,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064D3" w:rsidRPr="00A73F7F" w:rsidRDefault="007064D3"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5E102C" w:rsidRPr="00A73F7F" w:rsidRDefault="007064D3" w:rsidP="00A73F7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 xml:space="preserve">Aunado a lo anterior, resulta necesario referir que la Ley de Seguridad del Estado de México, </w:t>
      </w:r>
      <w:r w:rsidR="005E102C" w:rsidRPr="00A73F7F">
        <w:rPr>
          <w:rFonts w:ascii="Palatino Linotype" w:eastAsia="Palatino Linotype" w:hAnsi="Palatino Linotype" w:cs="Palatino Linotype"/>
          <w:color w:val="000000" w:themeColor="text1"/>
        </w:rPr>
        <w:t>refiere lo siguiente:</w:t>
      </w:r>
    </w:p>
    <w:p w:rsidR="005E102C" w:rsidRPr="00A73F7F" w:rsidRDefault="007064D3" w:rsidP="00A73F7F">
      <w:pPr>
        <w:tabs>
          <w:tab w:val="left" w:pos="7797"/>
        </w:tabs>
        <w:jc w:val="both"/>
        <w:rPr>
          <w:rFonts w:ascii="Palatino Linotype" w:eastAsia="Palatino Linotype" w:hAnsi="Palatino Linotype" w:cs="Palatino Linotype"/>
          <w:b/>
          <w:i/>
          <w:color w:val="000000" w:themeColor="text1"/>
        </w:rPr>
      </w:pPr>
      <w:r w:rsidRPr="00A73F7F">
        <w:rPr>
          <w:rFonts w:ascii="Palatino Linotype" w:eastAsia="Palatino Linotype" w:hAnsi="Palatino Linotype" w:cs="Palatino Linotype"/>
          <w:b/>
          <w:i/>
          <w:color w:val="000000" w:themeColor="text1"/>
        </w:rPr>
        <w:t xml:space="preserve"> </w:t>
      </w:r>
      <w:r w:rsidR="005E102C" w:rsidRPr="00A73F7F">
        <w:rPr>
          <w:rFonts w:ascii="Palatino Linotype" w:eastAsia="Palatino Linotype" w:hAnsi="Palatino Linotype" w:cs="Palatino Linotype"/>
          <w:b/>
          <w:i/>
          <w:color w:val="000000" w:themeColor="text1"/>
        </w:rPr>
        <w:t xml:space="preserve">CAPÍTULO QUINTO DE LA CONCLUSIÓN DEL SERVICIO DE LOS ELEMENTOS DE LAS INSTITUCIONES POLICIALES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Artículo 158</w:t>
      </w:r>
      <w:r w:rsidRPr="00A73F7F">
        <w:rPr>
          <w:rFonts w:ascii="Palatino Linotype" w:eastAsia="Palatino Linotype" w:hAnsi="Palatino Linotype" w:cs="Palatino Linotype"/>
          <w:i/>
          <w:color w:val="000000" w:themeColor="text1"/>
        </w:rPr>
        <w:t>.- La conclusión del servicio de un elemento es la terminación de su nombramiento o la cesación de sus efectos legales por las siguientes causas:</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u w:val="single"/>
        </w:rPr>
        <w:t xml:space="preserve"> I. Separación, por incumplimiento de cualquiera de los requisitos de permanencia</w:t>
      </w:r>
      <w:r w:rsidRPr="00A73F7F">
        <w:rPr>
          <w:rFonts w:ascii="Palatino Linotype" w:eastAsia="Palatino Linotype" w:hAnsi="Palatino Linotype" w:cs="Palatino Linotype"/>
          <w:i/>
          <w:color w:val="000000" w:themeColor="text1"/>
        </w:rPr>
        <w:t xml:space="preserve">, o cuando en los procesos de promoción concurran las siguientes circunstancias: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a) Si hubiere sido convocado a tres procesos consecutivos de promoción sin que haya participado en los mismos, o que habiendo participado en dichos procesos, no hubiese obtenido el grado inmediato superior que le correspondería por causas imputables a él;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b) Que haya alcanzado la edad máxima correspondiente a su jerarquía, de acuerdo con lo establecido en las disposiciones aplicables; y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c) Que del expediente del integrante no se desprendan méritos suficientes a juicio de la Comisión del Servicio Profesional de Carrera Policial correspondiente para conservar su permanencia.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II. Remoción, por incurrir en responsabilidad en el desempeño de sus funciones o incumplimiento de sus deberes, de conformidad con las disposiciones relativas al régimen disciplinario; o</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 III. Baja, por:</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a) Renuncia;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b) Muerte o incapacidad permanente; o</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 c) Jubilación o retiro. </w:t>
      </w:r>
    </w:p>
    <w:p w:rsidR="005E102C"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Al concluir el servicio, el elemento deberá entregar al funcionario designado para tal efecto, toda la información, documentación, equipo, materiales, identificaciones, valores u otros recursos que hayan sido puestos bajo su responsabilidad o custodia mediante acta de entrega-recepción. </w:t>
      </w:r>
    </w:p>
    <w:p w:rsidR="007064D3" w:rsidRPr="00A73F7F" w:rsidRDefault="005E102C" w:rsidP="00A73F7F">
      <w:pPr>
        <w:tabs>
          <w:tab w:val="left" w:pos="7797"/>
        </w:tabs>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lastRenderedPageBreak/>
        <w:t>Artículo 159.-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rsidR="007064D3" w:rsidRPr="00A73F7F" w:rsidRDefault="007064D3" w:rsidP="00A73F7F">
      <w:pPr>
        <w:spacing w:line="360" w:lineRule="auto"/>
        <w:jc w:val="both"/>
        <w:rPr>
          <w:rFonts w:ascii="Palatino Linotype" w:eastAsia="Palatino Linotype" w:hAnsi="Palatino Linotype" w:cs="Palatino Linotype"/>
          <w:color w:val="000000" w:themeColor="text1"/>
        </w:rPr>
      </w:pPr>
    </w:p>
    <w:p w:rsidR="005E102C" w:rsidRPr="00A73F7F" w:rsidRDefault="005E102C"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hAnsi="Palatino Linotype"/>
          <w:color w:val="000000" w:themeColor="text1"/>
        </w:rPr>
        <w:t>Ahora bien, se advierte que dentro de lo solicitado se requiere saber cuántos de ellos aprobaron, reprobaron, fueron suspendidos, dados de baja o reasignados, sin embargo, únicamente se remitió los aprobados y reprobados, situación que deviene coherente, ya que en los casos que no se aprueba un requisito de permanencia, como lo es por no aprobar un control de confianza, no se reasignan, pues es requisito indispensable acreditar dicho control para seguir fungiendo como elemento de seguridad.</w:t>
      </w:r>
    </w:p>
    <w:p w:rsidR="005E102C" w:rsidRPr="00A73F7F" w:rsidRDefault="005E102C" w:rsidP="00A73F7F">
      <w:pPr>
        <w:spacing w:line="360" w:lineRule="auto"/>
        <w:jc w:val="both"/>
        <w:rPr>
          <w:rFonts w:ascii="Palatino Linotype" w:hAnsi="Palatino Linotype"/>
          <w:color w:val="000000" w:themeColor="text1"/>
        </w:rPr>
      </w:pPr>
    </w:p>
    <w:p w:rsidR="005E102C" w:rsidRPr="00A73F7F" w:rsidRDefault="005E102C"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hAnsi="Palatino Linotype"/>
          <w:color w:val="000000" w:themeColor="text1"/>
        </w:rPr>
        <w:t>Respecto los dados de baja y los suspendidos, se colma con la entrega de los que no aprobaron dicho control, pues –se reitera- el control de confianza en su requisito de permanencia.</w:t>
      </w:r>
    </w:p>
    <w:p w:rsidR="005E102C" w:rsidRPr="00A73F7F" w:rsidRDefault="005E102C" w:rsidP="00A73F7F">
      <w:pPr>
        <w:spacing w:line="360" w:lineRule="auto"/>
        <w:jc w:val="both"/>
        <w:rPr>
          <w:rFonts w:ascii="Palatino Linotype" w:hAnsi="Palatino Linotype"/>
          <w:color w:val="000000" w:themeColor="text1"/>
        </w:rPr>
      </w:pPr>
    </w:p>
    <w:p w:rsidR="000A1A7F" w:rsidRPr="00A73F7F" w:rsidRDefault="005E102C"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Atento a lo anterior</w:t>
      </w:r>
      <w:r w:rsidR="000A1A7F" w:rsidRPr="00A73F7F">
        <w:rPr>
          <w:rFonts w:ascii="Palatino Linotype" w:eastAsia="Palatino Linotype" w:hAnsi="Palatino Linotype" w:cs="Palatino Linotype"/>
          <w:color w:val="000000" w:themeColor="text1"/>
        </w:rPr>
        <w:t xml:space="preserv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5E102C" w:rsidRPr="00A73F7F" w:rsidRDefault="005E102C" w:rsidP="00A73F7F">
      <w:pPr>
        <w:spacing w:line="360" w:lineRule="auto"/>
        <w:jc w:val="both"/>
        <w:rPr>
          <w:rFonts w:ascii="Palatino Linotype" w:hAnsi="Palatino Linotype"/>
          <w:color w:val="000000" w:themeColor="text1"/>
        </w:rPr>
      </w:pP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lastRenderedPageBreak/>
        <w:t>“</w:t>
      </w:r>
      <w:r w:rsidRPr="00A73F7F">
        <w:rPr>
          <w:rFonts w:ascii="Palatino Linotype" w:eastAsia="Palatino Linotype" w:hAnsi="Palatino Linotype" w:cs="Palatino Linotype"/>
          <w:b/>
          <w:i/>
          <w:color w:val="000000" w:themeColor="text1"/>
        </w:rPr>
        <w:t xml:space="preserve">Artículo 3. </w:t>
      </w:r>
      <w:r w:rsidRPr="00A73F7F">
        <w:rPr>
          <w:rFonts w:ascii="Palatino Linotype" w:eastAsia="Palatino Linotype" w:hAnsi="Palatino Linotype" w:cs="Palatino Linotype"/>
          <w:i/>
          <w:color w:val="000000" w:themeColor="text1"/>
        </w:rPr>
        <w:t>Para los efectos de la presente Ley se entenderá por:</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XI. Documento:</w:t>
      </w:r>
      <w:r w:rsidRPr="00A73F7F">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w:t>
      </w:r>
    </w:p>
    <w:p w:rsidR="000A1A7F" w:rsidRPr="00A73F7F" w:rsidRDefault="000A1A7F" w:rsidP="00A73F7F">
      <w:pP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hAnsi="Palatino Linotype"/>
          <w:color w:val="000000" w:themeColor="text1"/>
        </w:rPr>
        <w:t>Siendo</w:t>
      </w:r>
      <w:r w:rsidRPr="00A73F7F">
        <w:rPr>
          <w:rFonts w:ascii="Palatino Linotype" w:eastAsia="Palatino Linotype" w:hAnsi="Palatino Linotype" w:cs="Palatino Linotype"/>
          <w:color w:val="000000" w:themeColor="text1"/>
        </w:rPr>
        <w:t xml:space="preserve">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A1A7F" w:rsidRPr="00A73F7F" w:rsidRDefault="000A1A7F" w:rsidP="00A73F7F">
      <w:pPr>
        <w:spacing w:line="360" w:lineRule="auto"/>
        <w:jc w:val="both"/>
        <w:rPr>
          <w:rFonts w:ascii="Palatino Linotype" w:eastAsia="Palatino Linotype" w:hAnsi="Palatino Linotype" w:cs="Palatino Linotype"/>
          <w:b/>
          <w:i/>
          <w:color w:val="000000" w:themeColor="text1"/>
        </w:rPr>
      </w:pPr>
      <w:r w:rsidRPr="00A73F7F">
        <w:rPr>
          <w:rFonts w:ascii="Palatino Linotype" w:eastAsia="Palatino Linotype" w:hAnsi="Palatino Linotype" w:cs="Palatino Linotype"/>
          <w:b/>
          <w:color w:val="000000" w:themeColor="text1"/>
        </w:rPr>
        <w:t>“</w:t>
      </w:r>
      <w:r w:rsidRPr="00A73F7F">
        <w:rPr>
          <w:rFonts w:ascii="Palatino Linotype" w:eastAsia="Palatino Linotype" w:hAnsi="Palatino Linotype" w:cs="Palatino Linotype"/>
          <w:b/>
          <w:i/>
          <w:color w:val="000000" w:themeColor="text1"/>
        </w:rPr>
        <w:t>CRITERIO 0002-11</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A73F7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lastRenderedPageBreak/>
        <w:t>En consecuencia el acceso a la información se refiere a que se cumplan cualquiera de los siguientes tres supuestos:</w:t>
      </w:r>
    </w:p>
    <w:p w:rsidR="000A1A7F" w:rsidRPr="00A73F7F" w:rsidRDefault="000A1A7F" w:rsidP="00A73F7F">
      <w:pPr>
        <w:spacing w:line="360" w:lineRule="auto"/>
        <w:jc w:val="both"/>
        <w:rPr>
          <w:rFonts w:ascii="Palatino Linotype" w:eastAsia="Palatino Linotype" w:hAnsi="Palatino Linotype" w:cs="Palatino Linotype"/>
          <w:b/>
          <w:i/>
          <w:color w:val="000000" w:themeColor="text1"/>
        </w:rPr>
      </w:pPr>
      <w:r w:rsidRPr="00A73F7F">
        <w:rPr>
          <w:rFonts w:ascii="Palatino Linotype" w:eastAsia="Palatino Linotype" w:hAnsi="Palatino Linotype" w:cs="Palatino Linotype"/>
          <w:b/>
          <w:i/>
          <w:color w:val="000000" w:themeColor="text1"/>
        </w:rPr>
        <w:t xml:space="preserve">1) </w:t>
      </w:r>
      <w:r w:rsidRPr="00A73F7F">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0A1A7F" w:rsidRPr="00A73F7F" w:rsidRDefault="000A1A7F" w:rsidP="00A73F7F">
      <w:pPr>
        <w:tabs>
          <w:tab w:val="left" w:pos="851"/>
        </w:tabs>
        <w:spacing w:line="360" w:lineRule="auto"/>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(Énfasis Añadido)</w:t>
      </w:r>
    </w:p>
    <w:p w:rsidR="000A1A7F" w:rsidRPr="00A73F7F" w:rsidRDefault="000A1A7F"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t>Por su parte los artículos 160 y 166, de la Ley local en la materia, que se reproduce de la siguiente forma:</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w:t>
      </w:r>
      <w:r w:rsidRPr="00A73F7F">
        <w:rPr>
          <w:rFonts w:ascii="Palatino Linotype" w:eastAsia="Palatino Linotype" w:hAnsi="Palatino Linotype" w:cs="Palatino Linotype"/>
          <w:b/>
          <w:i/>
          <w:color w:val="000000" w:themeColor="text1"/>
        </w:rPr>
        <w:t>Artículo 160.</w:t>
      </w:r>
      <w:r w:rsidRPr="00A73F7F">
        <w:rPr>
          <w:rFonts w:ascii="Palatino Linotype" w:eastAsia="Palatino Linotype" w:hAnsi="Palatino Linotype" w:cs="Palatino Linotype"/>
          <w:i/>
          <w:color w:val="000000" w:themeColor="text1"/>
        </w:rPr>
        <w:t xml:space="preserve"> </w:t>
      </w:r>
      <w:r w:rsidRPr="00A73F7F">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73F7F">
        <w:rPr>
          <w:rFonts w:ascii="Palatino Linotype" w:eastAsia="Palatino Linotype" w:hAnsi="Palatino Linotype" w:cs="Palatino Linotype"/>
          <w:i/>
          <w:color w:val="000000" w:themeColor="text1"/>
        </w:rPr>
        <w:t>.</w:t>
      </w: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p>
    <w:p w:rsidR="000A1A7F" w:rsidRPr="00A73F7F" w:rsidRDefault="000A1A7F"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0A1A7F" w:rsidRPr="00A73F7F" w:rsidRDefault="000A1A7F" w:rsidP="00A73F7F">
      <w:pPr>
        <w:spacing w:line="360" w:lineRule="auto"/>
        <w:jc w:val="both"/>
        <w:rPr>
          <w:rFonts w:ascii="Palatino Linotype" w:eastAsia="Palatino Linotype" w:hAnsi="Palatino Linotype" w:cs="Palatino Linotype"/>
          <w:i/>
          <w:color w:val="000000" w:themeColor="text1"/>
          <w:u w:val="single"/>
        </w:rPr>
      </w:pPr>
      <w:r w:rsidRPr="00A73F7F">
        <w:rPr>
          <w:rFonts w:ascii="Palatino Linotype" w:eastAsia="Palatino Linotype" w:hAnsi="Palatino Linotype" w:cs="Palatino Linotype"/>
          <w:b/>
          <w:i/>
          <w:color w:val="000000" w:themeColor="text1"/>
        </w:rPr>
        <w:t>Artículo 166.</w:t>
      </w:r>
      <w:r w:rsidRPr="00A73F7F">
        <w:rPr>
          <w:rFonts w:ascii="Palatino Linotype" w:eastAsia="Palatino Linotype" w:hAnsi="Palatino Linotype" w:cs="Palatino Linotype"/>
          <w:i/>
          <w:color w:val="000000" w:themeColor="text1"/>
        </w:rPr>
        <w:t xml:space="preserve"> </w:t>
      </w:r>
      <w:r w:rsidRPr="00A73F7F">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0A1A7F" w:rsidRPr="00A73F7F" w:rsidRDefault="000A1A7F" w:rsidP="00A73F7F">
      <w:pP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Énfasis añadido</w:t>
      </w:r>
    </w:p>
    <w:p w:rsidR="005E102C" w:rsidRPr="00A73F7F" w:rsidRDefault="005E102C" w:rsidP="00A73F7F">
      <w:pPr>
        <w:spacing w:line="360" w:lineRule="auto"/>
        <w:jc w:val="both"/>
        <w:rPr>
          <w:rFonts w:ascii="Palatino Linotype" w:eastAsia="Palatino Linotype" w:hAnsi="Palatino Linotype" w:cs="Palatino Linotype"/>
          <w:color w:val="000000" w:themeColor="text1"/>
        </w:rPr>
      </w:pPr>
    </w:p>
    <w:p w:rsidR="000A1A7F" w:rsidRPr="00A73F7F" w:rsidRDefault="000A1A7F" w:rsidP="00A73F7F">
      <w:pPr>
        <w:numPr>
          <w:ilvl w:val="0"/>
          <w:numId w:val="1"/>
        </w:numPr>
        <w:spacing w:line="360" w:lineRule="auto"/>
        <w:ind w:left="0" w:firstLine="0"/>
        <w:jc w:val="both"/>
        <w:rPr>
          <w:rFonts w:ascii="Palatino Linotype" w:hAnsi="Palatino Linotype"/>
          <w:color w:val="000000" w:themeColor="text1"/>
        </w:rPr>
      </w:pPr>
      <w:r w:rsidRPr="00A73F7F">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bookmarkStart w:id="9" w:name="_heading=h.gk7evsz6cy4h" w:colFirst="0" w:colLast="0"/>
      <w:bookmarkEnd w:id="9"/>
    </w:p>
    <w:p w:rsidR="00F00D88" w:rsidRPr="00A73F7F" w:rsidRDefault="00905546" w:rsidP="00A73F7F">
      <w:pPr>
        <w:numPr>
          <w:ilvl w:val="0"/>
          <w:numId w:val="1"/>
        </w:numPr>
        <w:spacing w:after="160"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Es así que la </w:t>
      </w:r>
      <w:r w:rsidRPr="00A73F7F">
        <w:rPr>
          <w:rFonts w:ascii="Palatino Linotype" w:eastAsia="Palatino Linotype" w:hAnsi="Palatino Linotype" w:cs="Palatino Linotype"/>
          <w:b/>
          <w:color w:val="000000" w:themeColor="text1"/>
        </w:rPr>
        <w:t xml:space="preserve">Ley de Transparencia y Acceso a la Información Pública del Estado de </w:t>
      </w:r>
      <w:r w:rsidRPr="00A73F7F">
        <w:rPr>
          <w:rFonts w:ascii="Palatino Linotype" w:eastAsia="Palatino Linotype" w:hAnsi="Palatino Linotype" w:cs="Palatino Linotype"/>
          <w:color w:val="000000" w:themeColor="text1"/>
        </w:rPr>
        <w:t>México</w:t>
      </w:r>
      <w:r w:rsidRPr="00A73F7F">
        <w:rPr>
          <w:rFonts w:ascii="Palatino Linotype" w:eastAsia="Palatino Linotype" w:hAnsi="Palatino Linotype" w:cs="Palatino Linotype"/>
          <w:b/>
          <w:color w:val="000000" w:themeColor="text1"/>
        </w:rPr>
        <w:t xml:space="preserve"> y Municipios, </w:t>
      </w:r>
      <w:r w:rsidRPr="00A73F7F">
        <w:rPr>
          <w:rFonts w:ascii="Palatino Linotype" w:eastAsia="Palatino Linotype" w:hAnsi="Palatino Linotype" w:cs="Palatino Linotype"/>
          <w:color w:val="000000" w:themeColor="text1"/>
        </w:rPr>
        <w:t>cuyo objeto es establecer principios, bases generales y procedimientos para tutelar y garantizar la transparencia y el derecho humano de acceso a la información pública en posesión de los sujetos obligados; en su artículo 176</w:t>
      </w:r>
      <w:r w:rsidRPr="00A73F7F">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color w:val="000000" w:themeColor="text1"/>
        </w:rPr>
        <w:t xml:space="preserve">establece que </w:t>
      </w:r>
      <w:r w:rsidRPr="00A73F7F">
        <w:rPr>
          <w:rFonts w:ascii="Palatino Linotype" w:eastAsia="Palatino Linotype" w:hAnsi="Palatino Linotype" w:cs="Palatino Linotype"/>
          <w:b/>
          <w:i/>
          <w:color w:val="000000" w:themeColor="text1"/>
          <w:u w:val="single"/>
        </w:rPr>
        <w:t>el recurso de revisión es la garantía secundaria</w:t>
      </w:r>
      <w:r w:rsidRPr="00A73F7F">
        <w:rPr>
          <w:rFonts w:ascii="Palatino Linotype" w:eastAsia="Palatino Linotype" w:hAnsi="Palatino Linotype" w:cs="Palatino Linotype"/>
          <w:b/>
          <w:i/>
          <w:color w:val="000000" w:themeColor="text1"/>
        </w:rPr>
        <w:t xml:space="preserve"> mediante la cual se pretende reparar cualquier posible afectación al derecho de acceso a la información pública</w:t>
      </w:r>
      <w:r w:rsidRPr="00A73F7F">
        <w:rPr>
          <w:rFonts w:ascii="Palatino Linotype" w:eastAsia="Palatino Linotype" w:hAnsi="Palatino Linotype" w:cs="Palatino Linotype"/>
          <w:b/>
          <w:color w:val="000000" w:themeColor="text1"/>
        </w:rPr>
        <w:t>, s</w:t>
      </w:r>
      <w:r w:rsidRPr="00A73F7F">
        <w:rPr>
          <w:rFonts w:ascii="Palatino Linotype" w:eastAsia="Palatino Linotype" w:hAnsi="Palatino Linotype" w:cs="Palatino Linotype"/>
          <w:color w:val="000000" w:themeColor="text1"/>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00D88" w:rsidRPr="00A73F7F" w:rsidRDefault="00F00D88" w:rsidP="00A73F7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00D88" w:rsidRPr="00A73F7F" w:rsidRDefault="00905546" w:rsidP="00A73F7F">
      <w:pPr>
        <w:spacing w:line="360" w:lineRule="auto"/>
        <w:jc w:val="both"/>
        <w:rPr>
          <w:rFonts w:ascii="Palatino Linotype" w:eastAsia="Palatino Linotype" w:hAnsi="Palatino Linotype" w:cs="Palatino Linotype"/>
          <w:b/>
          <w:i/>
          <w:color w:val="000000" w:themeColor="text1"/>
        </w:rPr>
      </w:pPr>
      <w:r w:rsidRPr="00A73F7F">
        <w:rPr>
          <w:rFonts w:ascii="Palatino Linotype" w:eastAsia="Palatino Linotype" w:hAnsi="Palatino Linotype" w:cs="Palatino Linotype"/>
          <w:b/>
          <w:i/>
          <w:color w:val="000000" w:themeColor="text1"/>
        </w:rPr>
        <w:t>“CRITERIO 0002-11</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 xml:space="preserve">INFORMACIÓN PÚBLICA, CONCEPTO DE, EN MATERIA DE TRANSPARENCIA. INTERPRETACIÓN TEMÁTICA DE LOS ARTÍCULOS 2, FRACCIÓN V, XV, Y XVI, 3, 4,11 </w:t>
      </w:r>
      <w:r w:rsidRPr="00A73F7F">
        <w:rPr>
          <w:rFonts w:ascii="Palatino Linotype" w:eastAsia="Palatino Linotype" w:hAnsi="Palatino Linotype" w:cs="Palatino Linotype"/>
          <w:b/>
          <w:i/>
          <w:color w:val="000000" w:themeColor="text1"/>
        </w:rPr>
        <w:lastRenderedPageBreak/>
        <w:t>Y 41.</w:t>
      </w:r>
      <w:r w:rsidRPr="00A73F7F">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F00D88" w:rsidRPr="00A73F7F" w:rsidRDefault="00F00D88" w:rsidP="00A73F7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 xml:space="preserve">XI. Documento: </w:t>
      </w:r>
      <w:r w:rsidRPr="00A73F7F">
        <w:rPr>
          <w:rFonts w:ascii="Palatino Linotype" w:eastAsia="Palatino Linotype" w:hAnsi="Palatino Linotype" w:cs="Palatino Linotype"/>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w:t>
      </w:r>
      <w:r w:rsidR="001F7D4B" w:rsidRPr="00A73F7F">
        <w:rPr>
          <w:rFonts w:ascii="Palatino Linotype" w:eastAsia="Palatino Linotype" w:hAnsi="Palatino Linotype" w:cs="Palatino Linotype"/>
          <w:i/>
          <w:color w:val="000000" w:themeColor="text1"/>
        </w:rPr>
        <w:t>, sonoro</w:t>
      </w:r>
      <w:r w:rsidRPr="00A73F7F">
        <w:rPr>
          <w:rFonts w:ascii="Palatino Linotype" w:eastAsia="Palatino Linotype" w:hAnsi="Palatino Linotype" w:cs="Palatino Linotype"/>
          <w:i/>
          <w:color w:val="000000" w:themeColor="text1"/>
        </w:rPr>
        <w:t>, visual, electrónico, informático u holográfico;</w:t>
      </w:r>
    </w:p>
    <w:p w:rsidR="00F00D88" w:rsidRPr="00A73F7F" w:rsidRDefault="00F00D88" w:rsidP="00A73F7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00D88" w:rsidRPr="00A73F7F" w:rsidRDefault="00F00D88" w:rsidP="00A73F7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73F7F">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A73F7F">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rsidR="00F00D88" w:rsidRPr="00A73F7F" w:rsidRDefault="00F00D88" w:rsidP="00A73F7F">
      <w:pPr>
        <w:spacing w:line="360" w:lineRule="auto"/>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t xml:space="preserve">Artículo 4. </w:t>
      </w:r>
      <w:r w:rsidRPr="00A73F7F">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F00D88" w:rsidRPr="00A73F7F" w:rsidRDefault="00F00D88" w:rsidP="00A73F7F">
      <w:pPr>
        <w:spacing w:line="360" w:lineRule="auto"/>
        <w:jc w:val="both"/>
        <w:rPr>
          <w:rFonts w:ascii="Palatino Linotype" w:eastAsia="Palatino Linotype" w:hAnsi="Palatino Linotype" w:cs="Palatino Linotype"/>
          <w:i/>
          <w:color w:val="000000" w:themeColor="text1"/>
        </w:rPr>
      </w:pP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w:t>
      </w:r>
      <w:r w:rsidRPr="00A73F7F">
        <w:rPr>
          <w:rFonts w:ascii="Palatino Linotype" w:eastAsia="Palatino Linotype" w:hAnsi="Palatino Linotype" w:cs="Palatino Linotype"/>
          <w:i/>
          <w:color w:val="000000" w:themeColor="text1"/>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00D88" w:rsidRPr="00A73F7F" w:rsidRDefault="00F00D88" w:rsidP="00A73F7F">
      <w:pPr>
        <w:spacing w:line="360" w:lineRule="auto"/>
        <w:jc w:val="both"/>
        <w:rPr>
          <w:rFonts w:ascii="Palatino Linotype" w:eastAsia="Palatino Linotype" w:hAnsi="Palatino Linotype" w:cs="Palatino Linotype"/>
          <w:i/>
          <w:color w:val="000000" w:themeColor="text1"/>
        </w:rPr>
      </w:pPr>
    </w:p>
    <w:p w:rsidR="00F00D88" w:rsidRPr="00A73F7F" w:rsidRDefault="00905546" w:rsidP="00A73F7F">
      <w:pPr>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73F7F">
        <w:rPr>
          <w:rFonts w:ascii="Palatino Linotype" w:eastAsia="Palatino Linotype" w:hAnsi="Palatino Linotype" w:cs="Palatino Linotype"/>
          <w:color w:val="000000" w:themeColor="text1"/>
          <w:vertAlign w:val="superscript"/>
        </w:rPr>
        <w:footnoteReference w:id="1"/>
      </w:r>
      <w:r w:rsidRPr="00A73F7F">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F00D88" w:rsidRPr="00A73F7F" w:rsidRDefault="00F00D88" w:rsidP="00A73F7F">
      <w:pPr>
        <w:spacing w:line="360" w:lineRule="auto"/>
        <w:rPr>
          <w:rFonts w:ascii="Palatino Linotype" w:eastAsia="Palatino Linotype" w:hAnsi="Palatino Linotype" w:cs="Palatino Linotype"/>
          <w:color w:val="000000" w:themeColor="text1"/>
        </w:rPr>
      </w:pPr>
    </w:p>
    <w:p w:rsidR="00F00D88" w:rsidRPr="00A73F7F" w:rsidRDefault="00905546" w:rsidP="00A73F7F">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A73F7F">
        <w:rPr>
          <w:rFonts w:ascii="Palatino Linotype" w:eastAsia="Palatino Linotype" w:hAnsi="Palatino Linotype" w:cs="Palatino Linotype"/>
          <w:b/>
          <w:i/>
          <w:color w:val="000000" w:themeColor="text1"/>
        </w:rPr>
        <w:lastRenderedPageBreak/>
        <w:t>ACCESO A LA INFORMACIÓN. IMPLICACIÓN DEL PRINCIPIO DE MÁXIMA PUBLICIDAD EN EL DERECHO FUNDAMENTAL RELATIVO.</w:t>
      </w:r>
      <w:r w:rsidRPr="00A73F7F">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F00D88" w:rsidRPr="00A73F7F" w:rsidRDefault="00F00D88" w:rsidP="00A73F7F">
      <w:pPr>
        <w:tabs>
          <w:tab w:val="left" w:pos="851"/>
        </w:tabs>
        <w:spacing w:line="360" w:lineRule="auto"/>
        <w:jc w:val="both"/>
        <w:rPr>
          <w:rFonts w:ascii="Palatino Linotype" w:eastAsia="Palatino Linotype" w:hAnsi="Palatino Linotype" w:cs="Palatino Linotype"/>
          <w:color w:val="000000" w:themeColor="text1"/>
        </w:rPr>
      </w:pPr>
    </w:p>
    <w:p w:rsidR="0048439C"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F00D88" w:rsidRPr="00A73F7F" w:rsidRDefault="005816D9" w:rsidP="00A73F7F">
      <w:pPr>
        <w:pStyle w:val="Ttulo1"/>
        <w:rPr>
          <w:rFonts w:ascii="Palatino Linotype" w:eastAsia="Palatino Linotype" w:hAnsi="Palatino Linotype" w:cs="Palatino Linotype"/>
          <w:b/>
          <w:color w:val="000000" w:themeColor="text1"/>
          <w:sz w:val="24"/>
          <w:szCs w:val="24"/>
        </w:rPr>
      </w:pPr>
      <w:bookmarkStart w:id="10" w:name="_heading=h.bpzy1e8b9wd6" w:colFirst="0" w:colLast="0"/>
      <w:bookmarkEnd w:id="10"/>
      <w:r w:rsidRPr="00A73F7F">
        <w:rPr>
          <w:rFonts w:ascii="Palatino Linotype" w:eastAsia="Palatino Linotype" w:hAnsi="Palatino Linotype" w:cs="Palatino Linotype"/>
          <w:b/>
          <w:color w:val="000000" w:themeColor="text1"/>
          <w:sz w:val="24"/>
          <w:szCs w:val="24"/>
        </w:rPr>
        <w:lastRenderedPageBreak/>
        <w:t>QUINT</w:t>
      </w:r>
      <w:r w:rsidR="00905546" w:rsidRPr="00A73F7F">
        <w:rPr>
          <w:rFonts w:ascii="Palatino Linotype" w:eastAsia="Palatino Linotype" w:hAnsi="Palatino Linotype" w:cs="Palatino Linotype"/>
          <w:b/>
          <w:color w:val="000000" w:themeColor="text1"/>
          <w:sz w:val="24"/>
          <w:szCs w:val="24"/>
        </w:rPr>
        <w:t>O. De la versión pública.</w:t>
      </w:r>
    </w:p>
    <w:p w:rsidR="00F00D88" w:rsidRPr="00A73F7F" w:rsidRDefault="00905546" w:rsidP="00A73F7F">
      <w:pPr>
        <w:pStyle w:val="Ttulo1"/>
        <w:numPr>
          <w:ilvl w:val="0"/>
          <w:numId w:val="4"/>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bookmarkStart w:id="11" w:name="_heading=h.c8fzhl6r4ycf" w:colFirst="0" w:colLast="0"/>
      <w:bookmarkEnd w:id="11"/>
      <w:r w:rsidRPr="00A73F7F">
        <w:rPr>
          <w:rFonts w:ascii="Palatino Linotype" w:eastAsia="Palatino Linotype" w:hAnsi="Palatino Linotype" w:cs="Palatino Linotype"/>
          <w:b/>
          <w:color w:val="000000" w:themeColor="text1"/>
          <w:sz w:val="24"/>
          <w:szCs w:val="24"/>
        </w:rPr>
        <w:t xml:space="preserve">Nociones generales. </w:t>
      </w: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Debe destacarse que, debido a la naturaleza de la información solicitada,</w:t>
      </w:r>
      <w:r w:rsidRPr="00A73F7F">
        <w:rPr>
          <w:rFonts w:ascii="Palatino Linotype" w:eastAsia="Palatino Linotype" w:hAnsi="Palatino Linotype" w:cs="Palatino Linotype"/>
          <w:b/>
          <w:color w:val="000000" w:themeColor="text1"/>
        </w:rPr>
        <w:t xml:space="preserve"> </w:t>
      </w:r>
      <w:r w:rsidRPr="00A73F7F">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A73F7F">
        <w:rPr>
          <w:rFonts w:ascii="Palatino Linotype" w:eastAsia="Palatino Linotype" w:hAnsi="Palatino Linotype" w:cs="Palatino Linotype"/>
          <w:b/>
          <w:color w:val="000000" w:themeColor="text1"/>
        </w:rPr>
        <w:t xml:space="preserve">Sujeto Obligado </w:t>
      </w:r>
      <w:r w:rsidRPr="00A73F7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00D88" w:rsidRPr="00A73F7F" w:rsidRDefault="00F00D88" w:rsidP="00A73F7F">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No pasa desapercibido para este Órgano Garante que los </w:t>
      </w:r>
      <w:r w:rsidRPr="00A73F7F">
        <w:rPr>
          <w:rFonts w:ascii="Palatino Linotype" w:eastAsia="Palatino Linotype" w:hAnsi="Palatino Linotype" w:cs="Palatino Linotype"/>
          <w:b/>
          <w:color w:val="000000" w:themeColor="text1"/>
        </w:rPr>
        <w:t xml:space="preserve">Sujetos Obligados </w:t>
      </w:r>
      <w:r w:rsidRPr="00A73F7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F00D88" w:rsidRPr="00A73F7F" w:rsidRDefault="00F00D88" w:rsidP="00A73F7F">
      <w:pPr>
        <w:tabs>
          <w:tab w:val="left" w:pos="284"/>
        </w:tabs>
        <w:spacing w:line="360" w:lineRule="auto"/>
        <w:jc w:val="both"/>
        <w:rPr>
          <w:rFonts w:ascii="Palatino Linotype" w:eastAsia="Palatino Linotype" w:hAnsi="Palatino Linotype" w:cs="Palatino Linotype"/>
          <w:color w:val="000000" w:themeColor="text1"/>
        </w:rPr>
      </w:pPr>
    </w:p>
    <w:tbl>
      <w:tblPr>
        <w:tblStyle w:val="3"/>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93"/>
        <w:gridCol w:w="6804"/>
      </w:tblGrid>
      <w:tr w:rsidR="00A73F7F" w:rsidRPr="00A73F7F" w:rsidTr="00057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 Requisitos previos.</w:t>
            </w:r>
          </w:p>
        </w:tc>
        <w:tc>
          <w:tcPr>
            <w:tcW w:w="6804"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F00D88" w:rsidRPr="00A73F7F" w:rsidRDefault="00905546" w:rsidP="00A73F7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F00D88" w:rsidRPr="00A73F7F" w:rsidRDefault="00905546" w:rsidP="00A73F7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F00D88" w:rsidRPr="00A73F7F" w:rsidRDefault="00905546" w:rsidP="00A73F7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A73F7F">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A73F7F">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A73F7F" w:rsidRPr="00A73F7F" w:rsidTr="00057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b) Supuestos de clasificación.</w:t>
            </w:r>
          </w:p>
        </w:tc>
        <w:tc>
          <w:tcPr>
            <w:tcW w:w="6804"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 xml:space="preserve">El </w:t>
            </w:r>
            <w:r w:rsidRPr="00A73F7F">
              <w:rPr>
                <w:rFonts w:ascii="Palatino Linotype" w:eastAsia="Palatino Linotype" w:hAnsi="Palatino Linotype" w:cs="Palatino Linotype"/>
                <w:b/>
                <w:color w:val="000000" w:themeColor="text1"/>
              </w:rPr>
              <w:t>Sujeto Obligado</w:t>
            </w:r>
            <w:r w:rsidRPr="00A73F7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73F7F" w:rsidRPr="00A73F7F" w:rsidTr="00057477">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c) Formalidades para emitir el acuerdo de clasificación.</w:t>
            </w:r>
          </w:p>
        </w:tc>
        <w:tc>
          <w:tcPr>
            <w:tcW w:w="6804"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00D88" w:rsidRPr="00A73F7F" w:rsidRDefault="00905546" w:rsidP="00A73F7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Es necesario que </w:t>
            </w:r>
            <w:r w:rsidRPr="00A73F7F">
              <w:rPr>
                <w:rFonts w:ascii="Palatino Linotype" w:eastAsia="Palatino Linotype" w:hAnsi="Palatino Linotype" w:cs="Palatino Linotype"/>
                <w:b/>
                <w:color w:val="000000" w:themeColor="text1"/>
                <w:u w:val="single"/>
              </w:rPr>
              <w:t>el acto reúna con los requisitos elementales</w:t>
            </w:r>
            <w:r w:rsidRPr="00A73F7F">
              <w:rPr>
                <w:rFonts w:ascii="Palatino Linotype" w:eastAsia="Palatino Linotype" w:hAnsi="Palatino Linotype" w:cs="Palatino Linotype"/>
                <w:color w:val="000000" w:themeColor="text1"/>
              </w:rPr>
              <w:t>, entre ellos, que la autoridad que va a emitir el acto de autoridad sea la legalmente facultada para ello.</w:t>
            </w:r>
          </w:p>
          <w:p w:rsidR="00F00D88" w:rsidRPr="00A73F7F" w:rsidRDefault="00905546" w:rsidP="00A73F7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73F7F" w:rsidRPr="00A73F7F" w:rsidTr="00057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F00D88" w:rsidRPr="00A73F7F" w:rsidRDefault="00F00D88" w:rsidP="00A73F7F">
            <w:pPr>
              <w:tabs>
                <w:tab w:val="left" w:pos="284"/>
              </w:tabs>
              <w:spacing w:line="360" w:lineRule="auto"/>
              <w:rPr>
                <w:rFonts w:ascii="Palatino Linotype" w:eastAsia="Palatino Linotype" w:hAnsi="Palatino Linotype" w:cs="Palatino Linotype"/>
                <w:color w:val="000000" w:themeColor="text1"/>
              </w:rPr>
            </w:pPr>
          </w:p>
          <w:p w:rsidR="00F00D88" w:rsidRPr="00A73F7F" w:rsidRDefault="00905546" w:rsidP="00A73F7F">
            <w:pPr>
              <w:tabs>
                <w:tab w:val="left" w:pos="284"/>
              </w:tabs>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 xml:space="preserve">d) Requisitos de fondo del acuerdo de clasificación. </w:t>
            </w:r>
          </w:p>
        </w:tc>
        <w:tc>
          <w:tcPr>
            <w:tcW w:w="6804"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w:t>
            </w:r>
            <w:r w:rsidRPr="00A73F7F">
              <w:rPr>
                <w:rFonts w:ascii="Palatino Linotype" w:eastAsia="Palatino Linotype" w:hAnsi="Palatino Linotype" w:cs="Palatino Linotype"/>
                <w:color w:val="000000" w:themeColor="text1"/>
              </w:rPr>
              <w:lastRenderedPageBreak/>
              <w:t xml:space="preserve">otro. Ahora, en esta parte del procedimiento, que se desahoga en sede del Comité de Transparencia, la ley señala que la carga de la prueba, para justificar las restricciones, corresponde a los </w:t>
            </w:r>
            <w:r w:rsidRPr="00A73F7F">
              <w:rPr>
                <w:rFonts w:ascii="Palatino Linotype" w:eastAsia="Palatino Linotype" w:hAnsi="Palatino Linotype" w:cs="Palatino Linotype"/>
                <w:b/>
                <w:color w:val="000000" w:themeColor="text1"/>
              </w:rPr>
              <w:t>Sujetos Obligados</w:t>
            </w:r>
            <w:r w:rsidRPr="00A73F7F">
              <w:rPr>
                <w:rFonts w:ascii="Palatino Linotype" w:eastAsia="Palatino Linotype" w:hAnsi="Palatino Linotype" w:cs="Palatino Linotype"/>
                <w:color w:val="000000" w:themeColor="text1"/>
              </w:rPr>
              <w:t xml:space="preserve">, por lo que deberán fundar y motivar debidamente la clasificación. </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De lo anterior, se desprende que para una correcta </w:t>
            </w:r>
            <w:r w:rsidRPr="00A73F7F">
              <w:rPr>
                <w:rFonts w:ascii="Palatino Linotype" w:eastAsia="Palatino Linotype" w:hAnsi="Palatino Linotype" w:cs="Palatino Linotype"/>
                <w:b/>
                <w:color w:val="000000" w:themeColor="text1"/>
              </w:rPr>
              <w:t>clasificación total o parcial</w:t>
            </w:r>
            <w:r w:rsidRPr="00A73F7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la </w:t>
            </w:r>
            <w:r w:rsidRPr="00A73F7F">
              <w:rPr>
                <w:rFonts w:ascii="Palatino Linotype" w:eastAsia="Palatino Linotype" w:hAnsi="Palatino Linotype" w:cs="Palatino Linotype"/>
                <w:color w:val="000000" w:themeColor="text1"/>
              </w:rPr>
              <w:lastRenderedPageBreak/>
              <w:t>clasificación se deben acreditar las circunstancias de tiempo, modo y lugar.</w:t>
            </w:r>
          </w:p>
          <w:p w:rsidR="00F00D88" w:rsidRPr="00A73F7F" w:rsidRDefault="00905546" w:rsidP="00A73F7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Ahora bien, </w:t>
            </w:r>
            <w:r w:rsidRPr="00A73F7F">
              <w:rPr>
                <w:rFonts w:ascii="Palatino Linotype" w:eastAsia="Palatino Linotype" w:hAnsi="Palatino Linotype" w:cs="Palatino Linotype"/>
                <w:b/>
                <w:color w:val="000000" w:themeColor="text1"/>
                <w:u w:val="single"/>
              </w:rPr>
              <w:t>para cada caso además de fundar y motivar</w:t>
            </w:r>
            <w:r w:rsidRPr="00A73F7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73F7F" w:rsidRPr="00A73F7F" w:rsidTr="00057477">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804" w:type="dxa"/>
            <w:tcBorders>
              <w:top w:val="single" w:sz="4" w:space="0" w:color="BFBFBF"/>
              <w:left w:val="single" w:sz="4" w:space="0" w:color="BFBFBF"/>
              <w:bottom w:val="single" w:sz="4" w:space="0" w:color="BFBFBF"/>
              <w:right w:val="single" w:sz="4" w:space="0" w:color="BFBFBF"/>
            </w:tcBorders>
          </w:tcPr>
          <w:p w:rsidR="00F00D88" w:rsidRPr="00A73F7F" w:rsidRDefault="00905546" w:rsidP="00A73F7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F00D88" w:rsidRPr="00A73F7F" w:rsidRDefault="00905546" w:rsidP="00A73F7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00D88" w:rsidRPr="00A73F7F" w:rsidRDefault="00905546" w:rsidP="00A73F7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datos si permite o no el acceso. De no ser posible, la </w:t>
            </w:r>
            <w:r w:rsidRPr="00A73F7F">
              <w:rPr>
                <w:rFonts w:ascii="Palatino Linotype" w:eastAsia="Palatino Linotype" w:hAnsi="Palatino Linotype" w:cs="Palatino Linotype"/>
                <w:color w:val="000000" w:themeColor="text1"/>
              </w:rPr>
              <w:lastRenderedPageBreak/>
              <w:t>realización de la consulta, procede, fundando y motivando, la clasificación.</w:t>
            </w:r>
          </w:p>
        </w:tc>
      </w:tr>
    </w:tbl>
    <w:p w:rsidR="00F00D88" w:rsidRDefault="00F00D88" w:rsidP="00A73F7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057477" w:rsidRPr="00A73F7F" w:rsidRDefault="00057477" w:rsidP="00A73F7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F00D88" w:rsidRPr="00A73F7F" w:rsidRDefault="00905546" w:rsidP="00A73F7F">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A73F7F">
        <w:rPr>
          <w:rFonts w:ascii="Palatino Linotype" w:eastAsia="Palatino Linotype" w:hAnsi="Palatino Linotype" w:cs="Palatino Linotype"/>
          <w:b/>
          <w:color w:val="000000" w:themeColor="text1"/>
        </w:rPr>
        <w:t xml:space="preserve"> RECURRENTE</w:t>
      </w:r>
      <w:r w:rsidRPr="00A73F7F">
        <w:rPr>
          <w:rFonts w:ascii="Palatino Linotype" w:eastAsia="Palatino Linotype" w:hAnsi="Palatino Linotype" w:cs="Palatino Linotype"/>
          <w:color w:val="000000" w:themeColor="text1"/>
        </w:rPr>
        <w:t xml:space="preserve">, determinando </w:t>
      </w:r>
      <w:r w:rsidRPr="00A73F7F">
        <w:rPr>
          <w:rFonts w:ascii="Palatino Linotype" w:eastAsia="Palatino Linotype" w:hAnsi="Palatino Linotype" w:cs="Palatino Linotype"/>
          <w:b/>
          <w:color w:val="000000" w:themeColor="text1"/>
        </w:rPr>
        <w:t>MODIFICAR</w:t>
      </w:r>
      <w:r w:rsidRPr="00A73F7F">
        <w:rPr>
          <w:rFonts w:ascii="Palatino Linotype" w:eastAsia="Palatino Linotype" w:hAnsi="Palatino Linotype" w:cs="Palatino Linotype"/>
          <w:color w:val="000000" w:themeColor="text1"/>
        </w:rPr>
        <w:t xml:space="preserve"> la</w:t>
      </w:r>
      <w:r w:rsidR="009A7F10" w:rsidRPr="00A73F7F">
        <w:rPr>
          <w:rFonts w:ascii="Palatino Linotype" w:eastAsia="Palatino Linotype" w:hAnsi="Palatino Linotype" w:cs="Palatino Linotype"/>
          <w:color w:val="000000" w:themeColor="text1"/>
        </w:rPr>
        <w:t>s</w:t>
      </w:r>
      <w:r w:rsidRPr="00A73F7F">
        <w:rPr>
          <w:rFonts w:ascii="Palatino Linotype" w:eastAsia="Palatino Linotype" w:hAnsi="Palatino Linotype" w:cs="Palatino Linotype"/>
          <w:color w:val="000000" w:themeColor="text1"/>
        </w:rPr>
        <w:t xml:space="preserve"> respuesta</w:t>
      </w:r>
      <w:r w:rsidR="009A7F10" w:rsidRPr="00A73F7F">
        <w:rPr>
          <w:rFonts w:ascii="Palatino Linotype" w:eastAsia="Palatino Linotype" w:hAnsi="Palatino Linotype" w:cs="Palatino Linotype"/>
          <w:color w:val="000000" w:themeColor="text1"/>
        </w:rPr>
        <w:t>s</w:t>
      </w:r>
      <w:r w:rsidRPr="00A73F7F">
        <w:rPr>
          <w:rFonts w:ascii="Palatino Linotype" w:eastAsia="Palatino Linotype" w:hAnsi="Palatino Linotype" w:cs="Palatino Linotype"/>
          <w:color w:val="000000" w:themeColor="text1"/>
        </w:rPr>
        <w:t xml:space="preserve"> del </w:t>
      </w:r>
      <w:r w:rsidRPr="00A73F7F">
        <w:rPr>
          <w:rFonts w:ascii="Palatino Linotype" w:eastAsia="Palatino Linotype" w:hAnsi="Palatino Linotype" w:cs="Palatino Linotype"/>
          <w:b/>
          <w:color w:val="000000" w:themeColor="text1"/>
        </w:rPr>
        <w:t>SUJETO OBLIGADO</w:t>
      </w:r>
      <w:r w:rsidRPr="00A73F7F">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73F7F">
        <w:rPr>
          <w:rFonts w:ascii="Palatino Linotype" w:eastAsia="Palatino Linotype" w:hAnsi="Palatino Linotype" w:cs="Palatino Linotype"/>
          <w:b/>
          <w:color w:val="000000" w:themeColor="text1"/>
        </w:rPr>
        <w:t>ÓRGANO GARANTE</w:t>
      </w:r>
      <w:r w:rsidR="00057477">
        <w:rPr>
          <w:rFonts w:ascii="Palatino Linotype" w:eastAsia="Palatino Linotype" w:hAnsi="Palatino Linotype" w:cs="Palatino Linotype"/>
          <w:color w:val="000000" w:themeColor="text1"/>
        </w:rPr>
        <w:t xml:space="preserve"> emite los siguientes:</w:t>
      </w:r>
    </w:p>
    <w:p w:rsidR="00F00D88" w:rsidRPr="00A73F7F" w:rsidRDefault="00F00D88" w:rsidP="00A73F7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pStyle w:val="Ttulo1"/>
        <w:spacing w:before="0" w:line="360" w:lineRule="auto"/>
        <w:jc w:val="center"/>
        <w:rPr>
          <w:rFonts w:ascii="Palatino Linotype" w:eastAsia="Palatino Linotype" w:hAnsi="Palatino Linotype" w:cs="Palatino Linotype"/>
          <w:b/>
          <w:color w:val="000000" w:themeColor="text1"/>
          <w:sz w:val="24"/>
          <w:szCs w:val="24"/>
        </w:rPr>
      </w:pPr>
      <w:r w:rsidRPr="00A73F7F">
        <w:rPr>
          <w:rFonts w:ascii="Palatino Linotype" w:eastAsia="Palatino Linotype" w:hAnsi="Palatino Linotype" w:cs="Palatino Linotype"/>
          <w:b/>
          <w:color w:val="000000" w:themeColor="text1"/>
          <w:sz w:val="24"/>
          <w:szCs w:val="24"/>
        </w:rPr>
        <w:t>R E S O L U T I V O S</w:t>
      </w:r>
    </w:p>
    <w:p w:rsidR="00F00D88" w:rsidRPr="00A73F7F" w:rsidRDefault="00F00D88" w:rsidP="00A73F7F">
      <w:pPr>
        <w:spacing w:line="360" w:lineRule="auto"/>
        <w:rPr>
          <w:rFonts w:ascii="Palatino Linotype" w:eastAsia="Palatino Linotype" w:hAnsi="Palatino Linotype" w:cs="Palatino Linotype"/>
          <w:color w:val="000000" w:themeColor="text1"/>
        </w:rPr>
      </w:pPr>
    </w:p>
    <w:p w:rsidR="00F00D88" w:rsidRPr="00A73F7F" w:rsidRDefault="00905546" w:rsidP="00A73F7F">
      <w:pP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
          <w:color w:val="000000" w:themeColor="text1"/>
        </w:rPr>
        <w:t>PRIMERO</w:t>
      </w:r>
      <w:r w:rsidRPr="00A73F7F">
        <w:rPr>
          <w:rFonts w:ascii="Palatino Linotype" w:eastAsia="Palatino Linotype" w:hAnsi="Palatino Linotype" w:cs="Palatino Linotype"/>
          <w:color w:val="000000" w:themeColor="text1"/>
        </w:rPr>
        <w:t xml:space="preserve">. Resultan fundadas las razones o motivos de </w:t>
      </w:r>
      <w:r w:rsidR="009A7F10" w:rsidRPr="00A73F7F">
        <w:rPr>
          <w:rFonts w:ascii="Palatino Linotype" w:eastAsia="Palatino Linotype" w:hAnsi="Palatino Linotype" w:cs="Palatino Linotype"/>
          <w:color w:val="000000" w:themeColor="text1"/>
        </w:rPr>
        <w:t>i</w:t>
      </w:r>
      <w:r w:rsidR="005816D9" w:rsidRPr="00A73F7F">
        <w:rPr>
          <w:rFonts w:ascii="Palatino Linotype" w:eastAsia="Palatino Linotype" w:hAnsi="Palatino Linotype" w:cs="Palatino Linotype"/>
          <w:color w:val="000000" w:themeColor="text1"/>
        </w:rPr>
        <w:t>nconformidad hechos valer en el re</w:t>
      </w:r>
      <w:r w:rsidRPr="00A73F7F">
        <w:rPr>
          <w:rFonts w:ascii="Palatino Linotype" w:eastAsia="Palatino Linotype" w:hAnsi="Palatino Linotype" w:cs="Palatino Linotype"/>
          <w:color w:val="000000" w:themeColor="text1"/>
        </w:rPr>
        <w:t>curso de Revisión</w:t>
      </w:r>
      <w:r w:rsidRPr="00A73F7F">
        <w:rPr>
          <w:rFonts w:ascii="Palatino Linotype" w:eastAsia="Palatino Linotype" w:hAnsi="Palatino Linotype" w:cs="Palatino Linotype"/>
          <w:b/>
          <w:color w:val="000000" w:themeColor="text1"/>
        </w:rPr>
        <w:t xml:space="preserve"> </w:t>
      </w:r>
      <w:r w:rsidR="00F602FC" w:rsidRPr="00A73F7F">
        <w:rPr>
          <w:rFonts w:ascii="Palatino Linotype" w:eastAsia="Palatino Linotype" w:hAnsi="Palatino Linotype" w:cs="Palatino Linotype"/>
          <w:b/>
          <w:bCs/>
          <w:color w:val="000000" w:themeColor="text1"/>
        </w:rPr>
        <w:t>06133/INFOEM/IP/RR/2025</w:t>
      </w:r>
      <w:r w:rsidR="005816D9" w:rsidRPr="00A73F7F">
        <w:rPr>
          <w:rFonts w:ascii="Palatino Linotype" w:eastAsia="Palatino Linotype" w:hAnsi="Palatino Linotype" w:cs="Palatino Linotype"/>
          <w:b/>
          <w:bCs/>
          <w:color w:val="000000" w:themeColor="text1"/>
        </w:rPr>
        <w:t xml:space="preserve">, </w:t>
      </w:r>
      <w:r w:rsidR="005816D9" w:rsidRPr="00A73F7F">
        <w:rPr>
          <w:rFonts w:ascii="Palatino Linotype" w:eastAsia="Palatino Linotype" w:hAnsi="Palatino Linotype" w:cs="Palatino Linotype"/>
          <w:bCs/>
          <w:color w:val="000000" w:themeColor="text1"/>
        </w:rPr>
        <w:t xml:space="preserve">en </w:t>
      </w:r>
      <w:r w:rsidRPr="00A73F7F">
        <w:rPr>
          <w:rFonts w:ascii="Palatino Linotype" w:eastAsia="Palatino Linotype" w:hAnsi="Palatino Linotype" w:cs="Palatino Linotype"/>
          <w:color w:val="000000" w:themeColor="text1"/>
        </w:rPr>
        <w:t xml:space="preserve">términos de los Considerandos </w:t>
      </w:r>
      <w:r w:rsidRPr="00A73F7F">
        <w:rPr>
          <w:rFonts w:ascii="Palatino Linotype" w:eastAsia="Palatino Linotype" w:hAnsi="Palatino Linotype" w:cs="Palatino Linotype"/>
          <w:b/>
          <w:color w:val="000000" w:themeColor="text1"/>
        </w:rPr>
        <w:t xml:space="preserve">Cuarto y Quinto </w:t>
      </w:r>
      <w:r w:rsidRPr="00A73F7F">
        <w:rPr>
          <w:rFonts w:ascii="Palatino Linotype" w:eastAsia="Palatino Linotype" w:hAnsi="Palatino Linotype" w:cs="Palatino Linotype"/>
          <w:color w:val="000000" w:themeColor="text1"/>
        </w:rPr>
        <w:t xml:space="preserve">de la presente resolución. </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905546" w:rsidP="00A73F7F">
      <w:pPr>
        <w:spacing w:line="360" w:lineRule="auto"/>
        <w:jc w:val="both"/>
        <w:rPr>
          <w:rFonts w:ascii="Palatino Linotype" w:eastAsia="Palatino Linotype" w:hAnsi="Palatino Linotype" w:cs="Palatino Linotype"/>
          <w:b/>
          <w:color w:val="000000" w:themeColor="text1"/>
        </w:rPr>
      </w:pPr>
      <w:bookmarkStart w:id="12" w:name="_heading=h.ve9rqz5z63x" w:colFirst="0" w:colLast="0"/>
      <w:bookmarkEnd w:id="12"/>
      <w:r w:rsidRPr="00A73F7F">
        <w:rPr>
          <w:rFonts w:ascii="Palatino Linotype" w:eastAsia="Palatino Linotype" w:hAnsi="Palatino Linotype" w:cs="Palatino Linotype"/>
          <w:b/>
          <w:color w:val="000000" w:themeColor="text1"/>
        </w:rPr>
        <w:t xml:space="preserve">SEGUNDO. </w:t>
      </w:r>
      <w:r w:rsidRPr="00A73F7F">
        <w:rPr>
          <w:rFonts w:ascii="Palatino Linotype" w:eastAsia="Palatino Linotype" w:hAnsi="Palatino Linotype" w:cs="Palatino Linotype"/>
          <w:color w:val="000000" w:themeColor="text1"/>
        </w:rPr>
        <w:t xml:space="preserve">Se </w:t>
      </w:r>
      <w:r w:rsidRPr="00A73F7F">
        <w:rPr>
          <w:rFonts w:ascii="Palatino Linotype" w:eastAsia="Palatino Linotype" w:hAnsi="Palatino Linotype" w:cs="Palatino Linotype"/>
          <w:b/>
          <w:color w:val="000000" w:themeColor="text1"/>
        </w:rPr>
        <w:t xml:space="preserve">MODIFICA </w:t>
      </w:r>
      <w:r w:rsidRPr="00A73F7F">
        <w:rPr>
          <w:rFonts w:ascii="Palatino Linotype" w:eastAsia="Palatino Linotype" w:hAnsi="Palatino Linotype" w:cs="Palatino Linotype"/>
          <w:color w:val="000000" w:themeColor="text1"/>
        </w:rPr>
        <w:t xml:space="preserve">la respuesta emitida por </w:t>
      </w:r>
      <w:r w:rsidR="00A73F7F" w:rsidRPr="00A73F7F">
        <w:rPr>
          <w:rFonts w:ascii="Palatino Linotype" w:eastAsia="Palatino Linotype" w:hAnsi="Palatino Linotype" w:cs="Palatino Linotype"/>
          <w:color w:val="000000" w:themeColor="text1"/>
        </w:rPr>
        <w:t xml:space="preserve">el </w:t>
      </w:r>
      <w:r w:rsidR="00A73F7F" w:rsidRPr="00A73F7F">
        <w:rPr>
          <w:rFonts w:ascii="Palatino Linotype" w:eastAsia="Palatino Linotype" w:hAnsi="Palatino Linotype" w:cs="Palatino Linotype"/>
          <w:b/>
          <w:color w:val="000000" w:themeColor="text1"/>
        </w:rPr>
        <w:t>Ayuntamiento</w:t>
      </w:r>
      <w:r w:rsidR="00F602FC" w:rsidRPr="00A73F7F">
        <w:rPr>
          <w:rFonts w:ascii="Palatino Linotype" w:eastAsia="Palatino Linotype" w:hAnsi="Palatino Linotype" w:cs="Palatino Linotype"/>
          <w:b/>
          <w:color w:val="000000" w:themeColor="text1"/>
        </w:rPr>
        <w:t xml:space="preserve"> de Zinacantepec </w:t>
      </w:r>
      <w:r w:rsidRPr="00A73F7F">
        <w:rPr>
          <w:rFonts w:ascii="Palatino Linotype" w:eastAsia="Palatino Linotype" w:hAnsi="Palatino Linotype" w:cs="Palatino Linotype"/>
          <w:color w:val="000000" w:themeColor="text1"/>
        </w:rPr>
        <w:t xml:space="preserve">y se </w:t>
      </w:r>
      <w:r w:rsidRPr="00A73F7F">
        <w:rPr>
          <w:rFonts w:ascii="Palatino Linotype" w:eastAsia="Palatino Linotype" w:hAnsi="Palatino Linotype" w:cs="Palatino Linotype"/>
          <w:b/>
          <w:color w:val="000000" w:themeColor="text1"/>
        </w:rPr>
        <w:t>ORDENA</w:t>
      </w:r>
      <w:r w:rsidRPr="00A73F7F">
        <w:rPr>
          <w:rFonts w:ascii="Palatino Linotype" w:eastAsia="Palatino Linotype" w:hAnsi="Palatino Linotype" w:cs="Palatino Linotype"/>
          <w:color w:val="000000" w:themeColor="text1"/>
        </w:rPr>
        <w:t xml:space="preserve"> entregar vía Sistema de Acceso a la Información Mexiquense </w:t>
      </w:r>
      <w:r w:rsidRPr="00A73F7F">
        <w:rPr>
          <w:rFonts w:ascii="Palatino Linotype" w:eastAsia="Palatino Linotype" w:hAnsi="Palatino Linotype" w:cs="Palatino Linotype"/>
          <w:b/>
          <w:color w:val="000000" w:themeColor="text1"/>
        </w:rPr>
        <w:t>(SAIMEX)</w:t>
      </w:r>
      <w:r w:rsidRPr="00A73F7F">
        <w:rPr>
          <w:rFonts w:ascii="Palatino Linotype" w:eastAsia="Palatino Linotype" w:hAnsi="Palatino Linotype" w:cs="Palatino Linotype"/>
          <w:color w:val="000000" w:themeColor="text1"/>
        </w:rPr>
        <w:t xml:space="preserve">, </w:t>
      </w:r>
      <w:r w:rsidR="00451562" w:rsidRPr="00A73F7F">
        <w:rPr>
          <w:rFonts w:ascii="Palatino Linotype" w:eastAsia="Palatino Linotype" w:hAnsi="Palatino Linotype" w:cs="Palatino Linotype"/>
          <w:color w:val="000000" w:themeColor="text1"/>
        </w:rPr>
        <w:lastRenderedPageBreak/>
        <w:t xml:space="preserve">previa búsqueda exhaustiva y razonable, </w:t>
      </w:r>
      <w:r w:rsidR="0048439C" w:rsidRPr="00A73F7F">
        <w:rPr>
          <w:rFonts w:ascii="Palatino Linotype" w:eastAsia="Palatino Linotype" w:hAnsi="Palatino Linotype" w:cs="Palatino Linotype"/>
          <w:color w:val="000000" w:themeColor="text1"/>
        </w:rPr>
        <w:t>de ser procedente en versión pública</w:t>
      </w:r>
      <w:r w:rsidR="00731DF9" w:rsidRPr="00A73F7F">
        <w:rPr>
          <w:rFonts w:ascii="Palatino Linotype" w:eastAsia="Palatino Linotype" w:hAnsi="Palatino Linotype" w:cs="Palatino Linotype"/>
          <w:color w:val="000000" w:themeColor="text1"/>
        </w:rPr>
        <w:t>, la siguiente información:</w:t>
      </w:r>
    </w:p>
    <w:p w:rsidR="005816D9" w:rsidRPr="00A73F7F" w:rsidRDefault="005816D9" w:rsidP="00A73F7F">
      <w:pPr>
        <w:spacing w:line="360" w:lineRule="auto"/>
        <w:jc w:val="both"/>
        <w:rPr>
          <w:rFonts w:ascii="Palatino Linotype" w:eastAsia="Palatino Linotype" w:hAnsi="Palatino Linotype" w:cs="Palatino Linotype"/>
          <w:b/>
          <w:color w:val="000000" w:themeColor="text1"/>
        </w:rPr>
      </w:pPr>
    </w:p>
    <w:p w:rsidR="00F602FC" w:rsidRPr="00A73F7F" w:rsidRDefault="00F602FC" w:rsidP="00A73F7F">
      <w:pPr>
        <w:pStyle w:val="Prrafodelista"/>
        <w:numPr>
          <w:ilvl w:val="0"/>
          <w:numId w:val="25"/>
        </w:numPr>
        <w:spacing w:line="360" w:lineRule="auto"/>
        <w:ind w:left="0" w:firstLine="0"/>
        <w:jc w:val="both"/>
        <w:rPr>
          <w:rFonts w:ascii="Palatino Linotype" w:eastAsia="Palatino Linotype" w:hAnsi="Palatino Linotype" w:cs="Palatino Linotype"/>
          <w:color w:val="000000" w:themeColor="text1"/>
        </w:rPr>
      </w:pPr>
      <w:bookmarkStart w:id="13" w:name="_heading=h.gtwq8mhqueg3" w:colFirst="0" w:colLast="0"/>
      <w:bookmarkEnd w:id="13"/>
      <w:r w:rsidRPr="00E011A0">
        <w:rPr>
          <w:rFonts w:ascii="Palatino Linotype" w:eastAsia="Palatino Linotype" w:hAnsi="Palatino Linotype" w:cs="Palatino Linotype"/>
          <w:b/>
          <w:color w:val="000000" w:themeColor="text1"/>
        </w:rPr>
        <w:t>Del seis de</w:t>
      </w:r>
      <w:r w:rsidR="009A106D" w:rsidRPr="00E011A0">
        <w:rPr>
          <w:rFonts w:ascii="Palatino Linotype" w:eastAsia="Palatino Linotype" w:hAnsi="Palatino Linotype" w:cs="Palatino Linotype"/>
          <w:b/>
          <w:color w:val="000000" w:themeColor="text1"/>
        </w:rPr>
        <w:t xml:space="preserve"> mayo</w:t>
      </w:r>
      <w:r w:rsidR="008F0540" w:rsidRPr="00E011A0">
        <w:rPr>
          <w:rFonts w:ascii="Palatino Linotype" w:eastAsia="Palatino Linotype" w:hAnsi="Palatino Linotype" w:cs="Palatino Linotype"/>
          <w:b/>
          <w:color w:val="000000" w:themeColor="text1"/>
        </w:rPr>
        <w:t xml:space="preserve"> de dos</w:t>
      </w:r>
      <w:r w:rsidR="008F0540" w:rsidRPr="00A73F7F">
        <w:rPr>
          <w:rFonts w:ascii="Palatino Linotype" w:eastAsia="Palatino Linotype" w:hAnsi="Palatino Linotype" w:cs="Palatino Linotype"/>
          <w:b/>
          <w:color w:val="000000" w:themeColor="text1"/>
        </w:rPr>
        <w:t xml:space="preserve"> mil veintidós al s</w:t>
      </w:r>
      <w:r w:rsidRPr="00A73F7F">
        <w:rPr>
          <w:rFonts w:ascii="Palatino Linotype" w:eastAsia="Palatino Linotype" w:hAnsi="Palatino Linotype" w:cs="Palatino Linotype"/>
          <w:b/>
          <w:color w:val="000000" w:themeColor="text1"/>
        </w:rPr>
        <w:t>eis de mayo de dos mil veinticinco, documento en donde conste o se advierta,</w:t>
      </w:r>
      <w:r w:rsidRPr="00A73F7F">
        <w:rPr>
          <w:rFonts w:ascii="Palatino Linotype" w:eastAsia="Palatino Linotype" w:hAnsi="Palatino Linotype" w:cs="Palatino Linotype"/>
          <w:color w:val="000000" w:themeColor="text1"/>
        </w:rPr>
        <w:t xml:space="preserve"> </w:t>
      </w:r>
      <w:r w:rsidRPr="00A73F7F">
        <w:rPr>
          <w:rFonts w:ascii="Palatino Linotype" w:eastAsia="Palatino Linotype" w:hAnsi="Palatino Linotype" w:cs="Palatino Linotype"/>
          <w:b/>
          <w:color w:val="000000" w:themeColor="text1"/>
        </w:rPr>
        <w:t>el número total de elementos de la Policía Municipal evaluados mediante Control de Confianza, cuántos de ellos lo apr</w:t>
      </w:r>
      <w:r w:rsidR="008F0540" w:rsidRPr="00A73F7F">
        <w:rPr>
          <w:rFonts w:ascii="Palatino Linotype" w:eastAsia="Palatino Linotype" w:hAnsi="Palatino Linotype" w:cs="Palatino Linotype"/>
          <w:b/>
          <w:color w:val="000000" w:themeColor="text1"/>
        </w:rPr>
        <w:t>obaron, no aprobaron u homólogo.</w:t>
      </w:r>
    </w:p>
    <w:p w:rsidR="00F602FC" w:rsidRPr="00A73F7F" w:rsidRDefault="00F602FC" w:rsidP="00A73F7F">
      <w:pPr>
        <w:pStyle w:val="Prrafodelista"/>
        <w:tabs>
          <w:tab w:val="left" w:pos="8222"/>
        </w:tabs>
        <w:spacing w:line="360" w:lineRule="auto"/>
        <w:ind w:left="0"/>
        <w:jc w:val="both"/>
        <w:rPr>
          <w:rFonts w:ascii="Palatino Linotype" w:eastAsia="Palatino Linotype" w:hAnsi="Palatino Linotype" w:cs="Palatino Linotype"/>
          <w:color w:val="000000" w:themeColor="text1"/>
        </w:rPr>
      </w:pPr>
    </w:p>
    <w:p w:rsidR="00F602FC" w:rsidRPr="00A73F7F" w:rsidRDefault="00F602FC" w:rsidP="00A73F7F">
      <w:pPr>
        <w:pStyle w:val="Prrafodelista"/>
        <w:numPr>
          <w:ilvl w:val="0"/>
          <w:numId w:val="25"/>
        </w:numPr>
        <w:spacing w:line="360" w:lineRule="auto"/>
        <w:ind w:left="0" w:firstLine="0"/>
        <w:jc w:val="both"/>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Criterio aplicado a los casos</w:t>
      </w:r>
      <w:r w:rsidR="008F0540" w:rsidRPr="00A73F7F">
        <w:rPr>
          <w:rFonts w:ascii="Palatino Linotype" w:eastAsia="Palatino Linotype" w:hAnsi="Palatino Linotype" w:cs="Palatino Linotype"/>
          <w:b/>
          <w:color w:val="000000" w:themeColor="text1"/>
        </w:rPr>
        <w:t>,</w:t>
      </w:r>
      <w:r w:rsidRPr="00A73F7F">
        <w:rPr>
          <w:rFonts w:ascii="Palatino Linotype" w:eastAsia="Palatino Linotype" w:hAnsi="Palatino Linotype" w:cs="Palatino Linotype"/>
          <w:b/>
          <w:color w:val="000000" w:themeColor="text1"/>
        </w:rPr>
        <w:t xml:space="preserve"> del uno de enero al seis de mayo de dos mil veinticinco.</w:t>
      </w:r>
    </w:p>
    <w:p w:rsidR="005816D9" w:rsidRPr="00A73F7F" w:rsidRDefault="005816D9" w:rsidP="00A73F7F">
      <w:pPr>
        <w:tabs>
          <w:tab w:val="left" w:pos="8080"/>
        </w:tabs>
        <w:spacing w:line="360" w:lineRule="auto"/>
        <w:jc w:val="both"/>
        <w:rPr>
          <w:rFonts w:ascii="Palatino Linotype" w:eastAsia="Palatino Linotype" w:hAnsi="Palatino Linotype" w:cs="Palatino Linotype"/>
          <w:color w:val="000000" w:themeColor="text1"/>
        </w:rPr>
      </w:pPr>
    </w:p>
    <w:p w:rsidR="00242858" w:rsidRPr="00A73F7F" w:rsidRDefault="00BB6D74" w:rsidP="00A73F7F">
      <w:pPr>
        <w:spacing w:line="360" w:lineRule="auto"/>
        <w:jc w:val="both"/>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9A106D" w:rsidRPr="00A73F7F" w:rsidRDefault="009A106D" w:rsidP="00A73F7F">
      <w:pPr>
        <w:spacing w:line="360" w:lineRule="auto"/>
        <w:jc w:val="both"/>
        <w:rPr>
          <w:rFonts w:ascii="Palatino Linotype" w:eastAsia="Palatino Linotype" w:hAnsi="Palatino Linotype" w:cs="Palatino Linotype"/>
          <w:color w:val="000000" w:themeColor="text1"/>
        </w:rPr>
      </w:pPr>
    </w:p>
    <w:p w:rsidR="009A106D" w:rsidRPr="00A73F7F" w:rsidRDefault="009A106D" w:rsidP="00A73F7F">
      <w:pPr>
        <w:spacing w:line="360" w:lineRule="auto"/>
        <w:jc w:val="both"/>
        <w:rPr>
          <w:rFonts w:ascii="Palatino Linotype" w:eastAsia="Palatino Linotype" w:hAnsi="Palatino Linotype" w:cs="Palatino Linotype"/>
          <w:color w:val="000000" w:themeColor="text1"/>
        </w:rPr>
      </w:pPr>
      <w:r w:rsidRPr="00E011A0">
        <w:rPr>
          <w:rFonts w:ascii="Palatino Linotype" w:eastAsia="Palatino Linotype" w:hAnsi="Palatino Linotype" w:cs="Palatino Linotype"/>
          <w:color w:val="000000" w:themeColor="text1"/>
        </w:rPr>
        <w:t>Para el caso de que la información que se ordena entregar en el inciso b) no haya sido generada, poseída o administrada, bastará que, de forma clara y precisa, se haga del conocimiento del Particular.</w:t>
      </w:r>
    </w:p>
    <w:p w:rsidR="00242858" w:rsidRPr="00A73F7F" w:rsidRDefault="00242858" w:rsidP="00A73F7F">
      <w:pPr>
        <w:spacing w:line="360" w:lineRule="auto"/>
        <w:jc w:val="both"/>
        <w:rPr>
          <w:rFonts w:ascii="Palatino Linotype" w:eastAsia="Palatino Linotype" w:hAnsi="Palatino Linotype" w:cs="Palatino Linotype"/>
          <w:color w:val="000000" w:themeColor="text1"/>
        </w:rPr>
      </w:pPr>
    </w:p>
    <w:p w:rsidR="00242858" w:rsidRPr="00A73F7F" w:rsidRDefault="00242858" w:rsidP="00A73F7F">
      <w:pPr>
        <w:spacing w:line="360" w:lineRule="auto"/>
        <w:jc w:val="both"/>
        <w:rPr>
          <w:rFonts w:ascii="Palatino Linotype" w:hAnsi="Palatino Linotype"/>
          <w:color w:val="000000" w:themeColor="text1"/>
        </w:rPr>
      </w:pPr>
      <w:bookmarkStart w:id="14" w:name="_Toc511647758"/>
      <w:bookmarkStart w:id="15" w:name="_Toc511647819"/>
      <w:r w:rsidRPr="00A73F7F">
        <w:rPr>
          <w:rFonts w:ascii="Palatino Linotype" w:hAnsi="Palatino Linotype"/>
          <w:b/>
          <w:color w:val="000000" w:themeColor="text1"/>
        </w:rPr>
        <w:t>TERCERO.</w:t>
      </w:r>
      <w:bookmarkEnd w:id="14"/>
      <w:bookmarkEnd w:id="15"/>
      <w:r w:rsidRPr="00A73F7F">
        <w:rPr>
          <w:rFonts w:ascii="Palatino Linotype" w:hAnsi="Palatino Linotype"/>
          <w:b/>
          <w:color w:val="000000" w:themeColor="text1"/>
        </w:rPr>
        <w:t xml:space="preserve"> Notifíquese </w:t>
      </w:r>
      <w:r w:rsidRPr="00A73F7F">
        <w:rPr>
          <w:rFonts w:ascii="Palatino Linotype" w:hAnsi="Palatino Linotype"/>
          <w:color w:val="000000" w:themeColor="text1"/>
        </w:rPr>
        <w:t xml:space="preserve">la presente resolución al Titular de la Unidad de Transparencia del Sujeto Obligado vía SAIMEX, para que conforme al artículo 186 último párrafo, 189 segundo </w:t>
      </w:r>
      <w:r w:rsidRPr="00A73F7F">
        <w:rPr>
          <w:rFonts w:ascii="Palatino Linotype" w:hAnsi="Palatino Linotype"/>
          <w:color w:val="000000" w:themeColor="text1"/>
        </w:rPr>
        <w:lastRenderedPageBreak/>
        <w:t xml:space="preserve">párrafo y 194 de la Ley de Transparencia y Acceso a la Información Pública del Estado de México y Municipios; </w:t>
      </w:r>
      <w:r w:rsidRPr="001F7D4B">
        <w:rPr>
          <w:rFonts w:ascii="Palatino Linotype" w:hAnsi="Palatino Linotype"/>
          <w:b/>
          <w:color w:val="000000" w:themeColor="text1"/>
        </w:rPr>
        <w:t>dé cumplimiento a lo ordenado dentro del plazo de diez días hábiles</w:t>
      </w:r>
      <w:r w:rsidRPr="00A73F7F">
        <w:rPr>
          <w:rFonts w:ascii="Palatino Linotype" w:hAnsi="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42858" w:rsidRPr="00A73F7F" w:rsidRDefault="00242858" w:rsidP="00A73F7F">
      <w:pPr>
        <w:spacing w:line="360" w:lineRule="auto"/>
        <w:jc w:val="both"/>
        <w:rPr>
          <w:rFonts w:ascii="Palatino Linotype" w:hAnsi="Palatino Linotype" w:cs="Arial"/>
          <w:b/>
          <w:color w:val="000000" w:themeColor="text1"/>
        </w:rPr>
      </w:pPr>
    </w:p>
    <w:p w:rsidR="00242858" w:rsidRPr="00A73F7F" w:rsidRDefault="00242858" w:rsidP="00A73F7F">
      <w:pPr>
        <w:spacing w:line="360" w:lineRule="auto"/>
        <w:jc w:val="both"/>
        <w:rPr>
          <w:rFonts w:ascii="Palatino Linotype" w:eastAsia="Calibri" w:hAnsi="Palatino Linotype" w:cs="Arial"/>
          <w:bCs/>
          <w:color w:val="000000" w:themeColor="text1"/>
        </w:rPr>
      </w:pPr>
      <w:r w:rsidRPr="00A73F7F">
        <w:rPr>
          <w:rFonts w:ascii="Palatino Linotype" w:hAnsi="Palatino Linotype" w:cs="Arial"/>
          <w:b/>
          <w:color w:val="000000" w:themeColor="text1"/>
        </w:rPr>
        <w:t xml:space="preserve">CUARTO. </w:t>
      </w:r>
      <w:r w:rsidRPr="00A73F7F">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A73F7F">
        <w:rPr>
          <w:rFonts w:ascii="Palatino Linotype" w:eastAsia="Calibri" w:hAnsi="Palatino Linotype" w:cs="Arial"/>
          <w:b/>
          <w:bCs/>
          <w:color w:val="000000" w:themeColor="text1"/>
        </w:rPr>
        <w:t>SUJETO OBLIGADO</w:t>
      </w:r>
      <w:r w:rsidRPr="00A73F7F">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242858" w:rsidRPr="00A73F7F" w:rsidRDefault="00242858" w:rsidP="00A73F7F">
      <w:pPr>
        <w:spacing w:line="360" w:lineRule="auto"/>
        <w:jc w:val="both"/>
        <w:rPr>
          <w:rFonts w:ascii="Palatino Linotype" w:eastAsia="Calibri" w:hAnsi="Palatino Linotype" w:cs="Arial"/>
          <w:bCs/>
          <w:color w:val="000000" w:themeColor="text1"/>
        </w:rPr>
      </w:pPr>
    </w:p>
    <w:p w:rsidR="00242858" w:rsidRPr="00A73F7F" w:rsidRDefault="00242858" w:rsidP="00A73F7F">
      <w:pPr>
        <w:tabs>
          <w:tab w:val="left" w:pos="8080"/>
        </w:tabs>
        <w:spacing w:line="360" w:lineRule="auto"/>
        <w:jc w:val="both"/>
        <w:rPr>
          <w:rFonts w:ascii="Palatino Linotype" w:hAnsi="Palatino Linotype"/>
          <w:color w:val="000000" w:themeColor="text1"/>
          <w:lang w:val="es-ES"/>
        </w:rPr>
      </w:pPr>
      <w:bookmarkStart w:id="16" w:name="_Toc492590393"/>
      <w:bookmarkStart w:id="17" w:name="_Toc503891611"/>
      <w:bookmarkStart w:id="18" w:name="_Toc511647759"/>
      <w:bookmarkStart w:id="19" w:name="_Toc511647820"/>
      <w:r w:rsidRPr="00A73F7F">
        <w:rPr>
          <w:rFonts w:ascii="Palatino Linotype" w:hAnsi="Palatino Linotype"/>
          <w:b/>
          <w:color w:val="000000" w:themeColor="text1"/>
        </w:rPr>
        <w:t xml:space="preserve">QUINTO. </w:t>
      </w:r>
      <w:r w:rsidRPr="00A73F7F">
        <w:rPr>
          <w:rFonts w:ascii="Palatino Linotype" w:hAnsi="Palatino Linotype"/>
          <w:color w:val="000000" w:themeColor="text1"/>
        </w:rPr>
        <w:t>Notifíquese</w:t>
      </w:r>
      <w:bookmarkEnd w:id="16"/>
      <w:bookmarkEnd w:id="17"/>
      <w:bookmarkEnd w:id="18"/>
      <w:bookmarkEnd w:id="19"/>
      <w:r w:rsidRPr="00A73F7F">
        <w:rPr>
          <w:rFonts w:ascii="Palatino Linotype" w:hAnsi="Palatino Linotype"/>
          <w:color w:val="000000" w:themeColor="text1"/>
        </w:rPr>
        <w:t xml:space="preserve"> a </w:t>
      </w:r>
      <w:r w:rsidRPr="00A73F7F">
        <w:rPr>
          <w:rFonts w:ascii="Palatino Linotype" w:hAnsi="Palatino Linotype"/>
          <w:b/>
          <w:color w:val="000000" w:themeColor="text1"/>
        </w:rPr>
        <w:t>EL RECURRENTE</w:t>
      </w:r>
      <w:r w:rsidRPr="00A73F7F">
        <w:rPr>
          <w:rFonts w:ascii="Palatino Linotype" w:hAnsi="Palatino Linotype"/>
          <w:color w:val="000000" w:themeColor="text1"/>
        </w:rPr>
        <w:t xml:space="preserve"> la presente</w:t>
      </w:r>
      <w:r w:rsidRPr="00A73F7F">
        <w:rPr>
          <w:rFonts w:ascii="Palatino Linotype" w:hAnsi="Palatino Linotype"/>
          <w:color w:val="000000" w:themeColor="text1"/>
          <w:lang w:val="es-ES"/>
        </w:rPr>
        <w:t xml:space="preserve"> resolución, vía SAIMEX.</w:t>
      </w:r>
    </w:p>
    <w:p w:rsidR="00242858" w:rsidRPr="00A73F7F" w:rsidRDefault="00242858" w:rsidP="00A73F7F">
      <w:pPr>
        <w:tabs>
          <w:tab w:val="left" w:pos="8080"/>
        </w:tabs>
        <w:spacing w:line="360" w:lineRule="auto"/>
        <w:jc w:val="both"/>
        <w:rPr>
          <w:rFonts w:ascii="Palatino Linotype" w:hAnsi="Palatino Linotype"/>
          <w:color w:val="000000" w:themeColor="text1"/>
          <w:lang w:val="es-ES"/>
        </w:rPr>
      </w:pPr>
    </w:p>
    <w:p w:rsidR="00242858" w:rsidRPr="00A73F7F" w:rsidRDefault="00242858" w:rsidP="00A73F7F">
      <w:pPr>
        <w:shd w:val="clear" w:color="auto" w:fill="FFFFFF"/>
        <w:spacing w:line="360" w:lineRule="auto"/>
        <w:jc w:val="both"/>
        <w:rPr>
          <w:rFonts w:ascii="Palatino Linotype" w:hAnsi="Palatino Linotype"/>
          <w:color w:val="000000" w:themeColor="text1"/>
          <w:lang w:val="es-ES"/>
        </w:rPr>
      </w:pPr>
      <w:r w:rsidRPr="00A73F7F">
        <w:rPr>
          <w:rFonts w:ascii="Palatino Linotype" w:eastAsia="Calibri" w:hAnsi="Palatino Linotype"/>
          <w:b/>
          <w:color w:val="000000" w:themeColor="text1"/>
          <w:lang w:eastAsia="en-US"/>
        </w:rPr>
        <w:t>SEXTO.</w:t>
      </w:r>
      <w:r w:rsidRPr="00A73F7F">
        <w:rPr>
          <w:rFonts w:ascii="Palatino Linotype" w:eastAsia="Calibri" w:hAnsi="Palatino Linotype"/>
          <w:color w:val="000000" w:themeColor="text1"/>
          <w:lang w:eastAsia="en-US"/>
        </w:rPr>
        <w:t xml:space="preserve"> </w:t>
      </w:r>
      <w:r w:rsidRPr="00A73F7F">
        <w:rPr>
          <w:rFonts w:ascii="Palatino Linotype" w:hAnsi="Palatino Linotype"/>
          <w:color w:val="000000" w:themeColor="text1"/>
          <w:lang w:val="es-ES"/>
        </w:rPr>
        <w:t xml:space="preserve">Se hace del conocimiento de </w:t>
      </w:r>
      <w:r w:rsidRPr="00A73F7F">
        <w:rPr>
          <w:rFonts w:ascii="Palatino Linotype" w:hAnsi="Palatino Linotype"/>
          <w:b/>
          <w:color w:val="000000" w:themeColor="text1"/>
          <w:lang w:val="es-ES"/>
        </w:rPr>
        <w:t>EL RECURRENTE</w:t>
      </w:r>
      <w:r w:rsidRPr="00A73F7F">
        <w:rPr>
          <w:rFonts w:ascii="Palatino Linotype" w:hAnsi="Palatino Linotype"/>
          <w:color w:val="000000" w:themeColor="text1"/>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73F7F">
        <w:rPr>
          <w:rFonts w:ascii="Palatino Linotype" w:hAnsi="Palatino Linotype"/>
          <w:bCs/>
          <w:color w:val="000000" w:themeColor="text1"/>
          <w:lang w:val="es-ES"/>
        </w:rPr>
        <w:t>vía juicio de amparo</w:t>
      </w:r>
      <w:r w:rsidRPr="00A73F7F">
        <w:rPr>
          <w:rFonts w:ascii="Palatino Linotype" w:hAnsi="Palatino Linotype"/>
          <w:color w:val="000000" w:themeColor="text1"/>
          <w:lang w:val="es-ES"/>
        </w:rPr>
        <w:t> en los términos de las leyes aplicables.</w:t>
      </w:r>
    </w:p>
    <w:p w:rsidR="001F7D4B" w:rsidRPr="00A73F7F" w:rsidRDefault="001F7D4B" w:rsidP="00A73F7F">
      <w:pPr>
        <w:shd w:val="clear" w:color="auto" w:fill="FFFFFF"/>
        <w:spacing w:line="360" w:lineRule="auto"/>
        <w:jc w:val="both"/>
        <w:rPr>
          <w:rFonts w:ascii="Palatino Linotype" w:hAnsi="Palatino Linotype"/>
          <w:color w:val="000000" w:themeColor="text1"/>
          <w:lang w:val="es-ES"/>
        </w:rPr>
      </w:pPr>
    </w:p>
    <w:p w:rsidR="001F7D4B" w:rsidRPr="00444783" w:rsidRDefault="001F7D4B" w:rsidP="001F7D4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w:t>
      </w:r>
      <w:r w:rsidRPr="00575AE2">
        <w:rPr>
          <w:rFonts w:ascii="Palatino Linotype" w:eastAsia="Palatino Linotype" w:hAnsi="Palatino Linotype" w:cs="Palatino Linotype"/>
        </w:rPr>
        <w:lastRenderedPageBreak/>
        <w:t xml:space="preserve">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CUARTA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DIEZ (10)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Pr="00A73F7F" w:rsidRDefault="00F00D88" w:rsidP="00A73F7F">
      <w:pPr>
        <w:spacing w:line="360" w:lineRule="auto"/>
        <w:jc w:val="both"/>
        <w:rPr>
          <w:rFonts w:ascii="Palatino Linotype" w:eastAsia="Palatino Linotype" w:hAnsi="Palatino Linotype" w:cs="Palatino Linotype"/>
          <w:color w:val="000000" w:themeColor="text1"/>
        </w:rPr>
      </w:pPr>
    </w:p>
    <w:p w:rsidR="00F00D88" w:rsidRDefault="00F00D88"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Default="00057477" w:rsidP="00A73F7F">
      <w:pPr>
        <w:spacing w:line="360" w:lineRule="auto"/>
        <w:jc w:val="both"/>
        <w:rPr>
          <w:rFonts w:ascii="Palatino Linotype" w:eastAsia="Palatino Linotype" w:hAnsi="Palatino Linotype" w:cs="Palatino Linotype"/>
          <w:color w:val="000000" w:themeColor="text1"/>
        </w:rPr>
      </w:pPr>
    </w:p>
    <w:p w:rsidR="00057477" w:rsidRPr="00A73F7F" w:rsidRDefault="00057477" w:rsidP="00A73F7F">
      <w:pPr>
        <w:spacing w:line="360" w:lineRule="auto"/>
        <w:jc w:val="both"/>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tabs>
          <w:tab w:val="left" w:pos="3374"/>
        </w:tabs>
        <w:spacing w:line="360" w:lineRule="auto"/>
        <w:rPr>
          <w:rFonts w:ascii="Palatino Linotype" w:eastAsia="Palatino Linotype" w:hAnsi="Palatino Linotype" w:cs="Palatino Linotype"/>
          <w:color w:val="000000" w:themeColor="text1"/>
        </w:rPr>
      </w:pPr>
    </w:p>
    <w:p w:rsidR="00F00D88" w:rsidRPr="00A73F7F" w:rsidRDefault="00F00D88" w:rsidP="00A73F7F">
      <w:pPr>
        <w:rPr>
          <w:rFonts w:ascii="Palatino Linotype" w:eastAsia="Palatino Linotype" w:hAnsi="Palatino Linotype" w:cs="Palatino Linotype"/>
          <w:color w:val="000000" w:themeColor="text1"/>
        </w:rPr>
      </w:pPr>
    </w:p>
    <w:sectPr w:rsidR="00F00D88" w:rsidRPr="00A73F7F" w:rsidSect="00057477">
      <w:headerReference w:type="even" r:id="rId14"/>
      <w:headerReference w:type="default" r:id="rId15"/>
      <w:footerReference w:type="default" r:id="rId16"/>
      <w:headerReference w:type="first" r:id="rId17"/>
      <w:footerReference w:type="first" r:id="rId18"/>
      <w:pgSz w:w="12240" w:h="15840"/>
      <w:pgMar w:top="2268" w:right="900" w:bottom="1702" w:left="1701" w:header="510"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9C" w:rsidRDefault="00942F9C">
      <w:r>
        <w:separator/>
      </w:r>
    </w:p>
  </w:endnote>
  <w:endnote w:type="continuationSeparator" w:id="0">
    <w:p w:rsidR="00942F9C" w:rsidRDefault="0094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2C" w:rsidRDefault="005E102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sidRPr="00057477">
      <w:rPr>
        <w:rFonts w:ascii="Palatino Linotype" w:eastAsia="Palatino Linotype" w:hAnsi="Palatino Linotype" w:cs="Palatino Linotype"/>
        <w:color w:val="000000"/>
        <w:sz w:val="22"/>
        <w:szCs w:val="20"/>
      </w:rPr>
      <w:t xml:space="preserve">Página </w:t>
    </w:r>
    <w:r w:rsidRPr="00057477">
      <w:rPr>
        <w:rFonts w:ascii="Palatino Linotype" w:eastAsia="Palatino Linotype" w:hAnsi="Palatino Linotype" w:cs="Palatino Linotype"/>
        <w:color w:val="000000"/>
        <w:sz w:val="22"/>
        <w:szCs w:val="20"/>
      </w:rPr>
      <w:fldChar w:fldCharType="begin"/>
    </w:r>
    <w:r w:rsidRPr="00057477">
      <w:rPr>
        <w:rFonts w:ascii="Palatino Linotype" w:eastAsia="Palatino Linotype" w:hAnsi="Palatino Linotype" w:cs="Palatino Linotype"/>
        <w:color w:val="000000"/>
        <w:sz w:val="22"/>
        <w:szCs w:val="20"/>
      </w:rPr>
      <w:instrText>PAGE</w:instrText>
    </w:r>
    <w:r w:rsidRPr="00057477">
      <w:rPr>
        <w:rFonts w:ascii="Palatino Linotype" w:eastAsia="Palatino Linotype" w:hAnsi="Palatino Linotype" w:cs="Palatino Linotype"/>
        <w:color w:val="000000"/>
        <w:sz w:val="22"/>
        <w:szCs w:val="20"/>
      </w:rPr>
      <w:fldChar w:fldCharType="separate"/>
    </w:r>
    <w:r w:rsidR="00057477">
      <w:rPr>
        <w:rFonts w:ascii="Palatino Linotype" w:eastAsia="Palatino Linotype" w:hAnsi="Palatino Linotype" w:cs="Palatino Linotype"/>
        <w:noProof/>
        <w:color w:val="000000"/>
        <w:sz w:val="22"/>
        <w:szCs w:val="20"/>
      </w:rPr>
      <w:t>21</w:t>
    </w:r>
    <w:r w:rsidRPr="00057477">
      <w:rPr>
        <w:rFonts w:ascii="Palatino Linotype" w:eastAsia="Palatino Linotype" w:hAnsi="Palatino Linotype" w:cs="Palatino Linotype"/>
        <w:color w:val="000000"/>
        <w:sz w:val="22"/>
        <w:szCs w:val="20"/>
      </w:rPr>
      <w:fldChar w:fldCharType="end"/>
    </w:r>
    <w:r w:rsidRPr="00057477">
      <w:rPr>
        <w:rFonts w:ascii="Palatino Linotype" w:eastAsia="Palatino Linotype" w:hAnsi="Palatino Linotype" w:cs="Palatino Linotype"/>
        <w:color w:val="000000"/>
        <w:sz w:val="22"/>
        <w:szCs w:val="20"/>
      </w:rPr>
      <w:t xml:space="preserve"> de </w:t>
    </w:r>
    <w:r w:rsidRPr="00057477">
      <w:rPr>
        <w:rFonts w:ascii="Palatino Linotype" w:eastAsia="Palatino Linotype" w:hAnsi="Palatino Linotype" w:cs="Palatino Linotype"/>
        <w:color w:val="000000"/>
        <w:sz w:val="22"/>
        <w:szCs w:val="20"/>
      </w:rPr>
      <w:fldChar w:fldCharType="begin"/>
    </w:r>
    <w:r w:rsidRPr="00057477">
      <w:rPr>
        <w:rFonts w:ascii="Palatino Linotype" w:eastAsia="Palatino Linotype" w:hAnsi="Palatino Linotype" w:cs="Palatino Linotype"/>
        <w:color w:val="000000"/>
        <w:sz w:val="22"/>
        <w:szCs w:val="20"/>
      </w:rPr>
      <w:instrText>NUMPAGES</w:instrText>
    </w:r>
    <w:r w:rsidRPr="00057477">
      <w:rPr>
        <w:rFonts w:ascii="Palatino Linotype" w:eastAsia="Palatino Linotype" w:hAnsi="Palatino Linotype" w:cs="Palatino Linotype"/>
        <w:color w:val="000000"/>
        <w:sz w:val="22"/>
        <w:szCs w:val="20"/>
      </w:rPr>
      <w:fldChar w:fldCharType="separate"/>
    </w:r>
    <w:r w:rsidR="00057477">
      <w:rPr>
        <w:rFonts w:ascii="Palatino Linotype" w:eastAsia="Palatino Linotype" w:hAnsi="Palatino Linotype" w:cs="Palatino Linotype"/>
        <w:noProof/>
        <w:color w:val="000000"/>
        <w:sz w:val="22"/>
        <w:szCs w:val="20"/>
      </w:rPr>
      <w:t>39</w:t>
    </w:r>
    <w:r w:rsidRPr="00057477">
      <w:rPr>
        <w:rFonts w:ascii="Palatino Linotype" w:eastAsia="Palatino Linotype" w:hAnsi="Palatino Linotype" w:cs="Palatino Linotype"/>
        <w:color w:val="000000"/>
        <w:sz w:val="22"/>
        <w:szCs w:val="20"/>
      </w:rPr>
      <w:fldChar w:fldCharType="end"/>
    </w:r>
  </w:p>
  <w:p w:rsidR="005E102C" w:rsidRDefault="005E102C">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2C" w:rsidRPr="00057477" w:rsidRDefault="005E102C">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057477">
      <w:rPr>
        <w:rFonts w:ascii="Palatino Linotype" w:eastAsia="Palatino Linotype" w:hAnsi="Palatino Linotype" w:cs="Palatino Linotype"/>
        <w:color w:val="000000"/>
        <w:sz w:val="22"/>
        <w:szCs w:val="20"/>
      </w:rPr>
      <w:t xml:space="preserve">Página </w:t>
    </w:r>
    <w:r w:rsidRPr="00057477">
      <w:rPr>
        <w:rFonts w:ascii="Palatino Linotype" w:eastAsia="Palatino Linotype" w:hAnsi="Palatino Linotype" w:cs="Palatino Linotype"/>
        <w:color w:val="000000"/>
        <w:sz w:val="22"/>
        <w:szCs w:val="20"/>
      </w:rPr>
      <w:fldChar w:fldCharType="begin"/>
    </w:r>
    <w:r w:rsidRPr="00057477">
      <w:rPr>
        <w:rFonts w:ascii="Palatino Linotype" w:eastAsia="Palatino Linotype" w:hAnsi="Palatino Linotype" w:cs="Palatino Linotype"/>
        <w:color w:val="000000"/>
        <w:sz w:val="22"/>
        <w:szCs w:val="20"/>
      </w:rPr>
      <w:instrText>PAGE</w:instrText>
    </w:r>
    <w:r w:rsidRPr="00057477">
      <w:rPr>
        <w:rFonts w:ascii="Palatino Linotype" w:eastAsia="Palatino Linotype" w:hAnsi="Palatino Linotype" w:cs="Palatino Linotype"/>
        <w:color w:val="000000"/>
        <w:sz w:val="22"/>
        <w:szCs w:val="20"/>
      </w:rPr>
      <w:fldChar w:fldCharType="separate"/>
    </w:r>
    <w:r w:rsidR="00057477">
      <w:rPr>
        <w:rFonts w:ascii="Palatino Linotype" w:eastAsia="Palatino Linotype" w:hAnsi="Palatino Linotype" w:cs="Palatino Linotype"/>
        <w:noProof/>
        <w:color w:val="000000"/>
        <w:sz w:val="22"/>
        <w:szCs w:val="20"/>
      </w:rPr>
      <w:t>1</w:t>
    </w:r>
    <w:r w:rsidRPr="00057477">
      <w:rPr>
        <w:rFonts w:ascii="Palatino Linotype" w:eastAsia="Palatino Linotype" w:hAnsi="Palatino Linotype" w:cs="Palatino Linotype"/>
        <w:color w:val="000000"/>
        <w:sz w:val="22"/>
        <w:szCs w:val="20"/>
      </w:rPr>
      <w:fldChar w:fldCharType="end"/>
    </w:r>
    <w:r w:rsidRPr="00057477">
      <w:rPr>
        <w:rFonts w:ascii="Palatino Linotype" w:eastAsia="Palatino Linotype" w:hAnsi="Palatino Linotype" w:cs="Palatino Linotype"/>
        <w:color w:val="000000"/>
        <w:sz w:val="22"/>
        <w:szCs w:val="20"/>
      </w:rPr>
      <w:t xml:space="preserve"> de </w:t>
    </w:r>
    <w:r w:rsidRPr="00057477">
      <w:rPr>
        <w:rFonts w:ascii="Palatino Linotype" w:eastAsia="Palatino Linotype" w:hAnsi="Palatino Linotype" w:cs="Palatino Linotype"/>
        <w:color w:val="000000"/>
        <w:sz w:val="22"/>
        <w:szCs w:val="20"/>
      </w:rPr>
      <w:fldChar w:fldCharType="begin"/>
    </w:r>
    <w:r w:rsidRPr="00057477">
      <w:rPr>
        <w:rFonts w:ascii="Palatino Linotype" w:eastAsia="Palatino Linotype" w:hAnsi="Palatino Linotype" w:cs="Palatino Linotype"/>
        <w:color w:val="000000"/>
        <w:sz w:val="22"/>
        <w:szCs w:val="20"/>
      </w:rPr>
      <w:instrText>NUMPAGES</w:instrText>
    </w:r>
    <w:r w:rsidRPr="00057477">
      <w:rPr>
        <w:rFonts w:ascii="Palatino Linotype" w:eastAsia="Palatino Linotype" w:hAnsi="Palatino Linotype" w:cs="Palatino Linotype"/>
        <w:color w:val="000000"/>
        <w:sz w:val="22"/>
        <w:szCs w:val="20"/>
      </w:rPr>
      <w:fldChar w:fldCharType="separate"/>
    </w:r>
    <w:r w:rsidR="00057477">
      <w:rPr>
        <w:rFonts w:ascii="Palatino Linotype" w:eastAsia="Palatino Linotype" w:hAnsi="Palatino Linotype" w:cs="Palatino Linotype"/>
        <w:noProof/>
        <w:color w:val="000000"/>
        <w:sz w:val="22"/>
        <w:szCs w:val="20"/>
      </w:rPr>
      <w:t>39</w:t>
    </w:r>
    <w:r w:rsidRPr="00057477">
      <w:rPr>
        <w:rFonts w:ascii="Palatino Linotype" w:eastAsia="Palatino Linotype" w:hAnsi="Palatino Linotype" w:cs="Palatino Linotype"/>
        <w:color w:val="000000"/>
        <w:sz w:val="22"/>
        <w:szCs w:val="20"/>
      </w:rPr>
      <w:fldChar w:fldCharType="end"/>
    </w:r>
  </w:p>
  <w:p w:rsidR="005E102C" w:rsidRDefault="005E102C">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9C" w:rsidRDefault="00942F9C">
      <w:r>
        <w:separator/>
      </w:r>
    </w:p>
  </w:footnote>
  <w:footnote w:type="continuationSeparator" w:id="0">
    <w:p w:rsidR="00942F9C" w:rsidRDefault="00942F9C">
      <w:r>
        <w:continuationSeparator/>
      </w:r>
    </w:p>
  </w:footnote>
  <w:footnote w:id="1">
    <w:p w:rsidR="005E102C" w:rsidRDefault="005E102C">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Ley de Transparencia y Acceso a la Información Pública del Estado de México y Municipios. Artículo 9. …</w:t>
      </w:r>
    </w:p>
    <w:p w:rsidR="005E102C" w:rsidRDefault="005E102C">
      <w:pPr>
        <w:pBdr>
          <w:top w:val="nil"/>
          <w:left w:val="nil"/>
          <w:bottom w:val="nil"/>
          <w:right w:val="nil"/>
          <w:between w:val="nil"/>
        </w:pBdr>
        <w:rPr>
          <w:rFonts w:eastAsia="Calibri"/>
          <w:color w:val="000000"/>
          <w:sz w:val="20"/>
          <w:szCs w:val="20"/>
        </w:rPr>
      </w:pPr>
      <w:r>
        <w:rPr>
          <w:rFonts w:eastAsia="Calibri"/>
          <w:color w:val="000000"/>
          <w:sz w:val="20"/>
          <w:szCs w:val="20"/>
        </w:rPr>
        <w:t>II. Eficacia: Obligación del Instituto para tutelar, de manera efectiva, el derecho de acceso a la información;</w:t>
      </w:r>
    </w:p>
    <w:p w:rsidR="005E102C" w:rsidRDefault="005E102C">
      <w:pPr>
        <w:pBdr>
          <w:top w:val="nil"/>
          <w:left w:val="nil"/>
          <w:bottom w:val="nil"/>
          <w:right w:val="nil"/>
          <w:between w:val="nil"/>
        </w:pBdr>
        <w:rPr>
          <w:rFonts w:eastAsia="Calibri"/>
          <w:color w:val="000000"/>
          <w:sz w:val="20"/>
          <w:szCs w:val="20"/>
        </w:rPr>
      </w:pPr>
      <w:r>
        <w:rPr>
          <w:rFonts w:eastAsia="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02C" w:rsidRDefault="00942F9C">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229" w:type="dxa"/>
      <w:tblInd w:w="2835" w:type="dxa"/>
      <w:tblLayout w:type="fixed"/>
      <w:tblLook w:val="0400" w:firstRow="0" w:lastRow="0" w:firstColumn="0" w:lastColumn="0" w:noHBand="0" w:noVBand="1"/>
    </w:tblPr>
    <w:tblGrid>
      <w:gridCol w:w="3402"/>
      <w:gridCol w:w="3827"/>
    </w:tblGrid>
    <w:tr w:rsidR="005E102C" w:rsidTr="00057477">
      <w:trPr>
        <w:trHeight w:val="227"/>
      </w:trPr>
      <w:tc>
        <w:tcPr>
          <w:tcW w:w="3402" w:type="dxa"/>
          <w:vAlign w:val="center"/>
        </w:tcPr>
        <w:p w:rsidR="005E102C" w:rsidRPr="00A73F7F" w:rsidRDefault="005E102C" w:rsidP="00057477">
          <w:pPr>
            <w:ind w:right="34" w:hanging="70"/>
            <w:jc w:val="right"/>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Recurso de Revisión:</w:t>
          </w:r>
        </w:p>
      </w:tc>
      <w:tc>
        <w:tcPr>
          <w:tcW w:w="3827" w:type="dxa"/>
          <w:vAlign w:val="center"/>
        </w:tcPr>
        <w:p w:rsidR="005E102C" w:rsidRPr="00A73F7F" w:rsidRDefault="005E102C" w:rsidP="00A73F7F">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bCs/>
              <w:color w:val="000000" w:themeColor="text1"/>
            </w:rPr>
            <w:t>06133/INFOEM/IP/RR/2025</w:t>
          </w:r>
        </w:p>
      </w:tc>
    </w:tr>
    <w:tr w:rsidR="005E102C" w:rsidTr="00057477">
      <w:trPr>
        <w:trHeight w:val="242"/>
      </w:trPr>
      <w:tc>
        <w:tcPr>
          <w:tcW w:w="3402" w:type="dxa"/>
          <w:vAlign w:val="center"/>
        </w:tcPr>
        <w:p w:rsidR="005E102C" w:rsidRPr="00A73F7F" w:rsidRDefault="005E102C" w:rsidP="00A73F7F">
          <w:pPr>
            <w:ind w:right="34"/>
            <w:jc w:val="right"/>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Sujeto Obligado:</w:t>
          </w:r>
        </w:p>
      </w:tc>
      <w:tc>
        <w:tcPr>
          <w:tcW w:w="3827" w:type="dxa"/>
          <w:vAlign w:val="center"/>
        </w:tcPr>
        <w:p w:rsidR="005E102C" w:rsidRPr="00A73F7F" w:rsidRDefault="005E102C" w:rsidP="00A73F7F">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A73F7F">
            <w:rPr>
              <w:rFonts w:ascii="Palatino Linotype" w:eastAsia="Palatino Linotype" w:hAnsi="Palatino Linotype" w:cs="Palatino Linotype"/>
              <w:color w:val="000000" w:themeColor="text1"/>
            </w:rPr>
            <w:t>Ayuntamiento de Zinacantepec</w:t>
          </w:r>
        </w:p>
      </w:tc>
    </w:tr>
    <w:tr w:rsidR="005E102C" w:rsidTr="00057477">
      <w:trPr>
        <w:trHeight w:val="342"/>
      </w:trPr>
      <w:tc>
        <w:tcPr>
          <w:tcW w:w="3402" w:type="dxa"/>
          <w:vAlign w:val="center"/>
        </w:tcPr>
        <w:p w:rsidR="005E102C" w:rsidRPr="00A73F7F" w:rsidRDefault="005E102C" w:rsidP="00A73F7F">
          <w:pPr>
            <w:ind w:right="34"/>
            <w:jc w:val="right"/>
            <w:rPr>
              <w:rFonts w:ascii="Palatino Linotype" w:eastAsia="Palatino Linotype" w:hAnsi="Palatino Linotype" w:cs="Palatino Linotype"/>
              <w:b/>
              <w:color w:val="000000" w:themeColor="text1"/>
            </w:rPr>
          </w:pPr>
          <w:r w:rsidRPr="00A73F7F">
            <w:rPr>
              <w:rFonts w:ascii="Palatino Linotype" w:eastAsia="Palatino Linotype" w:hAnsi="Palatino Linotype" w:cs="Palatino Linotype"/>
              <w:b/>
              <w:color w:val="000000" w:themeColor="text1"/>
            </w:rPr>
            <w:t>Comisionada Ponente:</w:t>
          </w:r>
        </w:p>
      </w:tc>
      <w:tc>
        <w:tcPr>
          <w:tcW w:w="3827" w:type="dxa"/>
          <w:vAlign w:val="center"/>
        </w:tcPr>
        <w:p w:rsidR="005E102C" w:rsidRPr="00A73F7F" w:rsidRDefault="005E102C" w:rsidP="00A73F7F">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A73F7F">
            <w:rPr>
              <w:rFonts w:ascii="Palatino Linotype" w:eastAsia="Palatino Linotype" w:hAnsi="Palatino Linotype" w:cs="Palatino Linotype"/>
              <w:color w:val="000000" w:themeColor="text1"/>
            </w:rPr>
            <w:t>María del Rosario Mejía Ayala</w:t>
          </w:r>
        </w:p>
      </w:tc>
    </w:tr>
  </w:tbl>
  <w:p w:rsidR="005E102C" w:rsidRDefault="00942F9C">
    <w:pPr>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2.3pt;margin-top:-131.8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660" w:type="dxa"/>
      <w:tblInd w:w="3119" w:type="dxa"/>
      <w:tblLayout w:type="fixed"/>
      <w:tblLook w:val="0400" w:firstRow="0" w:lastRow="0" w:firstColumn="0" w:lastColumn="0" w:noHBand="0" w:noVBand="1"/>
    </w:tblPr>
    <w:tblGrid>
      <w:gridCol w:w="2977"/>
      <w:gridCol w:w="3683"/>
    </w:tblGrid>
    <w:tr w:rsidR="005E102C" w:rsidTr="00057477">
      <w:trPr>
        <w:trHeight w:val="227"/>
      </w:trPr>
      <w:tc>
        <w:tcPr>
          <w:tcW w:w="2977" w:type="dxa"/>
          <w:vAlign w:val="center"/>
        </w:tcPr>
        <w:p w:rsidR="005E102C" w:rsidRPr="00A73F7F" w:rsidRDefault="005E102C" w:rsidP="00A73F7F">
          <w:pPr>
            <w:jc w:val="right"/>
            <w:rPr>
              <w:rFonts w:ascii="Palatino Linotype" w:eastAsia="Palatino Linotype" w:hAnsi="Palatino Linotype" w:cs="Palatino Linotype"/>
              <w:b/>
            </w:rPr>
          </w:pPr>
          <w:r w:rsidRPr="00A73F7F">
            <w:rPr>
              <w:rFonts w:ascii="Palatino Linotype" w:eastAsia="Palatino Linotype" w:hAnsi="Palatino Linotype" w:cs="Palatino Linotype"/>
              <w:b/>
            </w:rPr>
            <w:t>Recurso de Revisión:</w:t>
          </w:r>
        </w:p>
      </w:tc>
      <w:tc>
        <w:tcPr>
          <w:tcW w:w="3683" w:type="dxa"/>
          <w:vAlign w:val="center"/>
        </w:tcPr>
        <w:p w:rsidR="005E102C" w:rsidRPr="00A73F7F" w:rsidRDefault="005E102C" w:rsidP="00A73F7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73F7F">
            <w:rPr>
              <w:rFonts w:ascii="Palatino Linotype" w:eastAsia="Palatino Linotype" w:hAnsi="Palatino Linotype" w:cs="Palatino Linotype"/>
              <w:bCs/>
              <w:color w:val="000000"/>
            </w:rPr>
            <w:t>06133/INFOEM/IP/RR/2025</w:t>
          </w:r>
        </w:p>
      </w:tc>
    </w:tr>
    <w:tr w:rsidR="005E102C" w:rsidTr="00057477">
      <w:trPr>
        <w:trHeight w:val="242"/>
      </w:trPr>
      <w:tc>
        <w:tcPr>
          <w:tcW w:w="2977" w:type="dxa"/>
          <w:vAlign w:val="center"/>
        </w:tcPr>
        <w:p w:rsidR="005E102C" w:rsidRPr="00A73F7F" w:rsidRDefault="005E102C" w:rsidP="00A73F7F">
          <w:pPr>
            <w:jc w:val="right"/>
            <w:rPr>
              <w:rFonts w:ascii="Palatino Linotype" w:eastAsia="Palatino Linotype" w:hAnsi="Palatino Linotype" w:cs="Palatino Linotype"/>
              <w:b/>
            </w:rPr>
          </w:pPr>
          <w:r w:rsidRPr="00A73F7F">
            <w:rPr>
              <w:rFonts w:ascii="Palatino Linotype" w:eastAsia="Palatino Linotype" w:hAnsi="Palatino Linotype" w:cs="Palatino Linotype"/>
              <w:b/>
            </w:rPr>
            <w:t>Recurrente:</w:t>
          </w:r>
        </w:p>
      </w:tc>
      <w:tc>
        <w:tcPr>
          <w:tcW w:w="3683" w:type="dxa"/>
        </w:tcPr>
        <w:p w:rsidR="005E102C" w:rsidRPr="00A73F7F" w:rsidRDefault="005E102C" w:rsidP="00A73F7F">
          <w:pPr>
            <w:rPr>
              <w:rFonts w:ascii="Palatino Linotype" w:eastAsia="Palatino Linotype" w:hAnsi="Palatino Linotype" w:cs="Palatino Linotype"/>
              <w:color w:val="000000"/>
            </w:rPr>
          </w:pPr>
        </w:p>
      </w:tc>
    </w:tr>
    <w:tr w:rsidR="005E102C" w:rsidTr="00057477">
      <w:trPr>
        <w:trHeight w:val="342"/>
      </w:trPr>
      <w:tc>
        <w:tcPr>
          <w:tcW w:w="2977" w:type="dxa"/>
          <w:vAlign w:val="center"/>
        </w:tcPr>
        <w:p w:rsidR="005E102C" w:rsidRPr="00A73F7F" w:rsidRDefault="005E102C" w:rsidP="00A73F7F">
          <w:pPr>
            <w:jc w:val="right"/>
            <w:rPr>
              <w:rFonts w:ascii="Palatino Linotype" w:eastAsia="Palatino Linotype" w:hAnsi="Palatino Linotype" w:cs="Palatino Linotype"/>
              <w:b/>
            </w:rPr>
          </w:pPr>
          <w:r w:rsidRPr="00A73F7F">
            <w:rPr>
              <w:rFonts w:ascii="Palatino Linotype" w:eastAsia="Palatino Linotype" w:hAnsi="Palatino Linotype" w:cs="Palatino Linotype"/>
              <w:b/>
            </w:rPr>
            <w:t>Sujeto Obligado:</w:t>
          </w:r>
        </w:p>
      </w:tc>
      <w:tc>
        <w:tcPr>
          <w:tcW w:w="3683" w:type="dxa"/>
          <w:vAlign w:val="center"/>
        </w:tcPr>
        <w:p w:rsidR="005E102C" w:rsidRPr="00A73F7F" w:rsidRDefault="005E102C" w:rsidP="00A73F7F">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A73F7F">
            <w:rPr>
              <w:rFonts w:ascii="Palatino Linotype" w:eastAsia="Palatino Linotype" w:hAnsi="Palatino Linotype" w:cs="Palatino Linotype"/>
              <w:color w:val="000000"/>
            </w:rPr>
            <w:t>Ayuntamiento de Zinacantepec</w:t>
          </w:r>
        </w:p>
      </w:tc>
    </w:tr>
    <w:tr w:rsidR="005E102C" w:rsidTr="00057477">
      <w:trPr>
        <w:trHeight w:val="342"/>
      </w:trPr>
      <w:tc>
        <w:tcPr>
          <w:tcW w:w="2977" w:type="dxa"/>
          <w:vAlign w:val="center"/>
        </w:tcPr>
        <w:p w:rsidR="005E102C" w:rsidRPr="00A73F7F" w:rsidRDefault="005E102C" w:rsidP="00A73F7F">
          <w:pPr>
            <w:jc w:val="right"/>
            <w:rPr>
              <w:rFonts w:ascii="Palatino Linotype" w:eastAsia="Palatino Linotype" w:hAnsi="Palatino Linotype" w:cs="Palatino Linotype"/>
              <w:b/>
            </w:rPr>
          </w:pPr>
          <w:r w:rsidRPr="00A73F7F">
            <w:rPr>
              <w:rFonts w:ascii="Palatino Linotype" w:eastAsia="Palatino Linotype" w:hAnsi="Palatino Linotype" w:cs="Palatino Linotype"/>
              <w:b/>
            </w:rPr>
            <w:t>Comisionada Ponente:</w:t>
          </w:r>
        </w:p>
      </w:tc>
      <w:tc>
        <w:tcPr>
          <w:tcW w:w="3683" w:type="dxa"/>
          <w:vAlign w:val="center"/>
        </w:tcPr>
        <w:p w:rsidR="005E102C" w:rsidRPr="00A73F7F" w:rsidRDefault="005E102C" w:rsidP="00A73F7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A73F7F">
            <w:rPr>
              <w:rFonts w:ascii="Palatino Linotype" w:eastAsia="Palatino Linotype" w:hAnsi="Palatino Linotype" w:cs="Palatino Linotype"/>
              <w:color w:val="000000"/>
            </w:rPr>
            <w:t>María del Rosario Mejía Ayala</w:t>
          </w:r>
        </w:p>
      </w:tc>
    </w:tr>
  </w:tbl>
  <w:p w:rsidR="005E102C" w:rsidRDefault="00057477">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74.05pt;margin-top:-119.8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9AB"/>
    <w:multiLevelType w:val="multilevel"/>
    <w:tmpl w:val="34A889F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430375"/>
    <w:multiLevelType w:val="multilevel"/>
    <w:tmpl w:val="8346BA5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02301"/>
    <w:multiLevelType w:val="multilevel"/>
    <w:tmpl w:val="422883E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C0B8A"/>
    <w:multiLevelType w:val="multilevel"/>
    <w:tmpl w:val="C93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31B48"/>
    <w:multiLevelType w:val="multilevel"/>
    <w:tmpl w:val="BA84052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8C19E6"/>
    <w:multiLevelType w:val="multilevel"/>
    <w:tmpl w:val="673E2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785791"/>
    <w:multiLevelType w:val="hybridMultilevel"/>
    <w:tmpl w:val="3ECA42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9586102"/>
    <w:multiLevelType w:val="hybridMultilevel"/>
    <w:tmpl w:val="B9FEE1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9C7097"/>
    <w:multiLevelType w:val="multilevel"/>
    <w:tmpl w:val="2B7C8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43797D"/>
    <w:multiLevelType w:val="multilevel"/>
    <w:tmpl w:val="0CA46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F66D66"/>
    <w:multiLevelType w:val="multilevel"/>
    <w:tmpl w:val="76B6BAB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04759A"/>
    <w:multiLevelType w:val="hybridMultilevel"/>
    <w:tmpl w:val="44B8B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8A18E5"/>
    <w:multiLevelType w:val="hybridMultilevel"/>
    <w:tmpl w:val="9ADC6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D8321B"/>
    <w:multiLevelType w:val="hybridMultilevel"/>
    <w:tmpl w:val="465E0190"/>
    <w:lvl w:ilvl="0" w:tplc="5650BC10">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7" w15:restartNumberingAfterBreak="0">
    <w:nsid w:val="3B8F2F2D"/>
    <w:multiLevelType w:val="hybridMultilevel"/>
    <w:tmpl w:val="27182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5303EE"/>
    <w:multiLevelType w:val="hybridMultilevel"/>
    <w:tmpl w:val="DA047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F42C93"/>
    <w:multiLevelType w:val="multilevel"/>
    <w:tmpl w:val="680AE6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63F72"/>
    <w:multiLevelType w:val="multilevel"/>
    <w:tmpl w:val="8EC49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2558AA"/>
    <w:multiLevelType w:val="hybridMultilevel"/>
    <w:tmpl w:val="DFCC1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1D5855"/>
    <w:multiLevelType w:val="hybridMultilevel"/>
    <w:tmpl w:val="10969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B80E3E"/>
    <w:multiLevelType w:val="hybridMultilevel"/>
    <w:tmpl w:val="A9F21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6F3E3A"/>
    <w:multiLevelType w:val="multilevel"/>
    <w:tmpl w:val="01DED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498040B"/>
    <w:multiLevelType w:val="multilevel"/>
    <w:tmpl w:val="B6D0F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DC3393"/>
    <w:multiLevelType w:val="multilevel"/>
    <w:tmpl w:val="BA04B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4D5022"/>
    <w:multiLevelType w:val="hybridMultilevel"/>
    <w:tmpl w:val="BAAE5C7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F369D"/>
    <w:multiLevelType w:val="multilevel"/>
    <w:tmpl w:val="AB7C3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4D261E"/>
    <w:multiLevelType w:val="hybridMultilevel"/>
    <w:tmpl w:val="F454D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154164"/>
    <w:multiLevelType w:val="multilevel"/>
    <w:tmpl w:val="B35EC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CC280C"/>
    <w:multiLevelType w:val="multilevel"/>
    <w:tmpl w:val="1C06903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F258FA"/>
    <w:multiLevelType w:val="multilevel"/>
    <w:tmpl w:val="7464B756"/>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35" w15:restartNumberingAfterBreak="0">
    <w:nsid w:val="724C0F35"/>
    <w:multiLevelType w:val="multilevel"/>
    <w:tmpl w:val="10668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26"/>
  </w:num>
  <w:num w:numId="3">
    <w:abstractNumId w:val="34"/>
  </w:num>
  <w:num w:numId="4">
    <w:abstractNumId w:val="1"/>
  </w:num>
  <w:num w:numId="5">
    <w:abstractNumId w:val="10"/>
  </w:num>
  <w:num w:numId="6">
    <w:abstractNumId w:val="6"/>
  </w:num>
  <w:num w:numId="7">
    <w:abstractNumId w:val="19"/>
  </w:num>
  <w:num w:numId="8">
    <w:abstractNumId w:val="31"/>
  </w:num>
  <w:num w:numId="9">
    <w:abstractNumId w:val="28"/>
  </w:num>
  <w:num w:numId="10">
    <w:abstractNumId w:val="18"/>
  </w:num>
  <w:num w:numId="11">
    <w:abstractNumId w:val="17"/>
  </w:num>
  <w:num w:numId="12">
    <w:abstractNumId w:val="7"/>
  </w:num>
  <w:num w:numId="13">
    <w:abstractNumId w:val="13"/>
  </w:num>
  <w:num w:numId="14">
    <w:abstractNumId w:val="21"/>
  </w:num>
  <w:num w:numId="15">
    <w:abstractNumId w:val="22"/>
  </w:num>
  <w:num w:numId="16">
    <w:abstractNumId w:val="4"/>
  </w:num>
  <w:num w:numId="17">
    <w:abstractNumId w:val="8"/>
  </w:num>
  <w:num w:numId="18">
    <w:abstractNumId w:val="29"/>
  </w:num>
  <w:num w:numId="19">
    <w:abstractNumId w:val="15"/>
  </w:num>
  <w:num w:numId="20">
    <w:abstractNumId w:val="14"/>
  </w:num>
  <w:num w:numId="21">
    <w:abstractNumId w:val="20"/>
  </w:num>
  <w:num w:numId="22">
    <w:abstractNumId w:val="0"/>
  </w:num>
  <w:num w:numId="23">
    <w:abstractNumId w:val="23"/>
  </w:num>
  <w:num w:numId="24">
    <w:abstractNumId w:val="16"/>
  </w:num>
  <w:num w:numId="25">
    <w:abstractNumId w:val="27"/>
  </w:num>
  <w:num w:numId="26">
    <w:abstractNumId w:val="11"/>
  </w:num>
  <w:num w:numId="27">
    <w:abstractNumId w:val="5"/>
  </w:num>
  <w:num w:numId="28">
    <w:abstractNumId w:val="30"/>
  </w:num>
  <w:num w:numId="29">
    <w:abstractNumId w:val="12"/>
  </w:num>
  <w:num w:numId="30">
    <w:abstractNumId w:val="3"/>
  </w:num>
  <w:num w:numId="31">
    <w:abstractNumId w:val="36"/>
  </w:num>
  <w:num w:numId="32">
    <w:abstractNumId w:val="2"/>
  </w:num>
  <w:num w:numId="33">
    <w:abstractNumId w:val="24"/>
  </w:num>
  <w:num w:numId="34">
    <w:abstractNumId w:val="35"/>
  </w:num>
  <w:num w:numId="35">
    <w:abstractNumId w:val="9"/>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88"/>
    <w:rsid w:val="00025DC5"/>
    <w:rsid w:val="00036652"/>
    <w:rsid w:val="00057477"/>
    <w:rsid w:val="0006500A"/>
    <w:rsid w:val="00076432"/>
    <w:rsid w:val="000A1A7F"/>
    <w:rsid w:val="000E4020"/>
    <w:rsid w:val="000E5676"/>
    <w:rsid w:val="001831C0"/>
    <w:rsid w:val="00186646"/>
    <w:rsid w:val="00196A03"/>
    <w:rsid w:val="00197E74"/>
    <w:rsid w:val="001F7D4B"/>
    <w:rsid w:val="00222E6B"/>
    <w:rsid w:val="00242858"/>
    <w:rsid w:val="00243187"/>
    <w:rsid w:val="00277FD9"/>
    <w:rsid w:val="00284B05"/>
    <w:rsid w:val="00325EE3"/>
    <w:rsid w:val="00327E99"/>
    <w:rsid w:val="003B3DEE"/>
    <w:rsid w:val="0040146B"/>
    <w:rsid w:val="00451562"/>
    <w:rsid w:val="0048439C"/>
    <w:rsid w:val="00495975"/>
    <w:rsid w:val="004D51C8"/>
    <w:rsid w:val="004D7D99"/>
    <w:rsid w:val="0051447B"/>
    <w:rsid w:val="00521C26"/>
    <w:rsid w:val="00522DDA"/>
    <w:rsid w:val="0053242A"/>
    <w:rsid w:val="005816D9"/>
    <w:rsid w:val="005B24B6"/>
    <w:rsid w:val="005E102C"/>
    <w:rsid w:val="00606A7D"/>
    <w:rsid w:val="006136F5"/>
    <w:rsid w:val="00620407"/>
    <w:rsid w:val="00620B0A"/>
    <w:rsid w:val="006216FF"/>
    <w:rsid w:val="00644A05"/>
    <w:rsid w:val="006465C8"/>
    <w:rsid w:val="00654856"/>
    <w:rsid w:val="0068620C"/>
    <w:rsid w:val="006922A2"/>
    <w:rsid w:val="0069653A"/>
    <w:rsid w:val="006A4E8B"/>
    <w:rsid w:val="006B0202"/>
    <w:rsid w:val="006B71A7"/>
    <w:rsid w:val="006C1EF5"/>
    <w:rsid w:val="006E44A4"/>
    <w:rsid w:val="006F1C6E"/>
    <w:rsid w:val="006F7142"/>
    <w:rsid w:val="007064D3"/>
    <w:rsid w:val="00731DF9"/>
    <w:rsid w:val="00746E40"/>
    <w:rsid w:val="00751879"/>
    <w:rsid w:val="00756ED3"/>
    <w:rsid w:val="00773C5E"/>
    <w:rsid w:val="00785ECE"/>
    <w:rsid w:val="00795D4B"/>
    <w:rsid w:val="007A7762"/>
    <w:rsid w:val="007B1293"/>
    <w:rsid w:val="007F4221"/>
    <w:rsid w:val="007F539B"/>
    <w:rsid w:val="00840A77"/>
    <w:rsid w:val="008D02AA"/>
    <w:rsid w:val="008D3718"/>
    <w:rsid w:val="008E1D38"/>
    <w:rsid w:val="008F0540"/>
    <w:rsid w:val="008F131B"/>
    <w:rsid w:val="00905546"/>
    <w:rsid w:val="0092022A"/>
    <w:rsid w:val="00924985"/>
    <w:rsid w:val="0093247D"/>
    <w:rsid w:val="00942F9C"/>
    <w:rsid w:val="009656F5"/>
    <w:rsid w:val="00991C10"/>
    <w:rsid w:val="00995E78"/>
    <w:rsid w:val="009A106D"/>
    <w:rsid w:val="009A7F10"/>
    <w:rsid w:val="009B5A64"/>
    <w:rsid w:val="00A00F2B"/>
    <w:rsid w:val="00A37F16"/>
    <w:rsid w:val="00A42878"/>
    <w:rsid w:val="00A6111B"/>
    <w:rsid w:val="00A73F7F"/>
    <w:rsid w:val="00A873EF"/>
    <w:rsid w:val="00A92A40"/>
    <w:rsid w:val="00A96FF9"/>
    <w:rsid w:val="00AF5227"/>
    <w:rsid w:val="00B02A5D"/>
    <w:rsid w:val="00B44EC1"/>
    <w:rsid w:val="00B46CB9"/>
    <w:rsid w:val="00B577AB"/>
    <w:rsid w:val="00B57D49"/>
    <w:rsid w:val="00B75410"/>
    <w:rsid w:val="00BA4F54"/>
    <w:rsid w:val="00BA7864"/>
    <w:rsid w:val="00BB6D74"/>
    <w:rsid w:val="00BB798B"/>
    <w:rsid w:val="00C244B2"/>
    <w:rsid w:val="00C3615D"/>
    <w:rsid w:val="00C727A2"/>
    <w:rsid w:val="00C979F5"/>
    <w:rsid w:val="00CD3AC4"/>
    <w:rsid w:val="00D20FA7"/>
    <w:rsid w:val="00D53238"/>
    <w:rsid w:val="00D563E4"/>
    <w:rsid w:val="00D56C59"/>
    <w:rsid w:val="00D57CF2"/>
    <w:rsid w:val="00D97EB5"/>
    <w:rsid w:val="00DB6096"/>
    <w:rsid w:val="00DD79B3"/>
    <w:rsid w:val="00DE3954"/>
    <w:rsid w:val="00E011A0"/>
    <w:rsid w:val="00E2431C"/>
    <w:rsid w:val="00EA479D"/>
    <w:rsid w:val="00EB745A"/>
    <w:rsid w:val="00EC53E2"/>
    <w:rsid w:val="00EF358D"/>
    <w:rsid w:val="00F00D88"/>
    <w:rsid w:val="00F179A7"/>
    <w:rsid w:val="00F602FC"/>
    <w:rsid w:val="00F8143F"/>
    <w:rsid w:val="00FE27D3"/>
    <w:rsid w:val="00FF4C39"/>
    <w:rsid w:val="00FF7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A4E0788-A254-458C-A0CF-E4A4FF78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rPr>
      <w:rFonts w:ascii="Times New Roman" w:eastAsia="Times New Roman" w:hAnsi="Times New Roman" w:cs="Times New Roman"/>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13428">
      <w:bodyDiv w:val="1"/>
      <w:marLeft w:val="0"/>
      <w:marRight w:val="0"/>
      <w:marTop w:val="0"/>
      <w:marBottom w:val="0"/>
      <w:divBdr>
        <w:top w:val="none" w:sz="0" w:space="0" w:color="auto"/>
        <w:left w:val="none" w:sz="0" w:space="0" w:color="auto"/>
        <w:bottom w:val="none" w:sz="0" w:space="0" w:color="auto"/>
        <w:right w:val="none" w:sz="0" w:space="0" w:color="auto"/>
      </w:divBdr>
      <w:divsChild>
        <w:div w:id="1437870617">
          <w:marLeft w:val="0"/>
          <w:marRight w:val="0"/>
          <w:marTop w:val="0"/>
          <w:marBottom w:val="0"/>
          <w:divBdr>
            <w:top w:val="none" w:sz="0" w:space="0" w:color="auto"/>
            <w:left w:val="none" w:sz="0" w:space="0" w:color="auto"/>
            <w:bottom w:val="none" w:sz="0" w:space="0" w:color="auto"/>
            <w:right w:val="none" w:sz="0" w:space="0" w:color="auto"/>
          </w:divBdr>
        </w:div>
      </w:divsChild>
    </w:div>
    <w:div w:id="360521707">
      <w:bodyDiv w:val="1"/>
      <w:marLeft w:val="0"/>
      <w:marRight w:val="0"/>
      <w:marTop w:val="0"/>
      <w:marBottom w:val="0"/>
      <w:divBdr>
        <w:top w:val="none" w:sz="0" w:space="0" w:color="auto"/>
        <w:left w:val="none" w:sz="0" w:space="0" w:color="auto"/>
        <w:bottom w:val="none" w:sz="0" w:space="0" w:color="auto"/>
        <w:right w:val="none" w:sz="0" w:space="0" w:color="auto"/>
      </w:divBdr>
    </w:div>
    <w:div w:id="456797275">
      <w:bodyDiv w:val="1"/>
      <w:marLeft w:val="0"/>
      <w:marRight w:val="0"/>
      <w:marTop w:val="0"/>
      <w:marBottom w:val="0"/>
      <w:divBdr>
        <w:top w:val="none" w:sz="0" w:space="0" w:color="auto"/>
        <w:left w:val="none" w:sz="0" w:space="0" w:color="auto"/>
        <w:bottom w:val="none" w:sz="0" w:space="0" w:color="auto"/>
        <w:right w:val="none" w:sz="0" w:space="0" w:color="auto"/>
      </w:divBdr>
    </w:div>
    <w:div w:id="711227213">
      <w:bodyDiv w:val="1"/>
      <w:marLeft w:val="0"/>
      <w:marRight w:val="0"/>
      <w:marTop w:val="0"/>
      <w:marBottom w:val="0"/>
      <w:divBdr>
        <w:top w:val="none" w:sz="0" w:space="0" w:color="auto"/>
        <w:left w:val="none" w:sz="0" w:space="0" w:color="auto"/>
        <w:bottom w:val="none" w:sz="0" w:space="0" w:color="auto"/>
        <w:right w:val="none" w:sz="0" w:space="0" w:color="auto"/>
      </w:divBdr>
    </w:div>
    <w:div w:id="826821628">
      <w:bodyDiv w:val="1"/>
      <w:marLeft w:val="0"/>
      <w:marRight w:val="0"/>
      <w:marTop w:val="0"/>
      <w:marBottom w:val="0"/>
      <w:divBdr>
        <w:top w:val="none" w:sz="0" w:space="0" w:color="auto"/>
        <w:left w:val="none" w:sz="0" w:space="0" w:color="auto"/>
        <w:bottom w:val="none" w:sz="0" w:space="0" w:color="auto"/>
        <w:right w:val="none" w:sz="0" w:space="0" w:color="auto"/>
      </w:divBdr>
    </w:div>
    <w:div w:id="1364819269">
      <w:bodyDiv w:val="1"/>
      <w:marLeft w:val="0"/>
      <w:marRight w:val="0"/>
      <w:marTop w:val="0"/>
      <w:marBottom w:val="0"/>
      <w:divBdr>
        <w:top w:val="none" w:sz="0" w:space="0" w:color="auto"/>
        <w:left w:val="none" w:sz="0" w:space="0" w:color="auto"/>
        <w:bottom w:val="none" w:sz="0" w:space="0" w:color="auto"/>
        <w:right w:val="none" w:sz="0" w:space="0" w:color="auto"/>
      </w:divBdr>
    </w:div>
    <w:div w:id="1365406274">
      <w:bodyDiv w:val="1"/>
      <w:marLeft w:val="0"/>
      <w:marRight w:val="0"/>
      <w:marTop w:val="0"/>
      <w:marBottom w:val="0"/>
      <w:divBdr>
        <w:top w:val="none" w:sz="0" w:space="0" w:color="auto"/>
        <w:left w:val="none" w:sz="0" w:space="0" w:color="auto"/>
        <w:bottom w:val="none" w:sz="0" w:space="0" w:color="auto"/>
        <w:right w:val="none" w:sz="0" w:space="0" w:color="auto"/>
      </w:divBdr>
    </w:div>
    <w:div w:id="1539664576">
      <w:bodyDiv w:val="1"/>
      <w:marLeft w:val="0"/>
      <w:marRight w:val="0"/>
      <w:marTop w:val="0"/>
      <w:marBottom w:val="0"/>
      <w:divBdr>
        <w:top w:val="none" w:sz="0" w:space="0" w:color="auto"/>
        <w:left w:val="none" w:sz="0" w:space="0" w:color="auto"/>
        <w:bottom w:val="none" w:sz="0" w:space="0" w:color="auto"/>
        <w:right w:val="none" w:sz="0" w:space="0" w:color="auto"/>
      </w:divBdr>
    </w:div>
    <w:div w:id="1594968047">
      <w:bodyDiv w:val="1"/>
      <w:marLeft w:val="0"/>
      <w:marRight w:val="0"/>
      <w:marTop w:val="0"/>
      <w:marBottom w:val="0"/>
      <w:divBdr>
        <w:top w:val="none" w:sz="0" w:space="0" w:color="auto"/>
        <w:left w:val="none" w:sz="0" w:space="0" w:color="auto"/>
        <w:bottom w:val="none" w:sz="0" w:space="0" w:color="auto"/>
        <w:right w:val="none" w:sz="0" w:space="0" w:color="auto"/>
      </w:divBdr>
    </w:div>
    <w:div w:id="1770078830">
      <w:bodyDiv w:val="1"/>
      <w:marLeft w:val="0"/>
      <w:marRight w:val="0"/>
      <w:marTop w:val="0"/>
      <w:marBottom w:val="0"/>
      <w:divBdr>
        <w:top w:val="none" w:sz="0" w:space="0" w:color="auto"/>
        <w:left w:val="none" w:sz="0" w:space="0" w:color="auto"/>
        <w:bottom w:val="none" w:sz="0" w:space="0" w:color="auto"/>
        <w:right w:val="none" w:sz="0" w:space="0" w:color="auto"/>
      </w:divBdr>
    </w:div>
    <w:div w:id="1792895984">
      <w:bodyDiv w:val="1"/>
      <w:marLeft w:val="0"/>
      <w:marRight w:val="0"/>
      <w:marTop w:val="0"/>
      <w:marBottom w:val="0"/>
      <w:divBdr>
        <w:top w:val="none" w:sz="0" w:space="0" w:color="auto"/>
        <w:left w:val="none" w:sz="0" w:space="0" w:color="auto"/>
        <w:bottom w:val="none" w:sz="0" w:space="0" w:color="auto"/>
        <w:right w:val="none" w:sz="0" w:space="0" w:color="auto"/>
      </w:divBdr>
      <w:divsChild>
        <w:div w:id="1285312584">
          <w:marLeft w:val="0"/>
          <w:marRight w:val="0"/>
          <w:marTop w:val="0"/>
          <w:marBottom w:val="0"/>
          <w:divBdr>
            <w:top w:val="none" w:sz="0" w:space="0" w:color="auto"/>
            <w:left w:val="none" w:sz="0" w:space="0" w:color="auto"/>
            <w:bottom w:val="none" w:sz="0" w:space="0" w:color="auto"/>
            <w:right w:val="none" w:sz="0" w:space="0" w:color="auto"/>
          </w:divBdr>
        </w:div>
      </w:divsChild>
    </w:div>
    <w:div w:id="1899589894">
      <w:bodyDiv w:val="1"/>
      <w:marLeft w:val="0"/>
      <w:marRight w:val="0"/>
      <w:marTop w:val="0"/>
      <w:marBottom w:val="0"/>
      <w:divBdr>
        <w:top w:val="none" w:sz="0" w:space="0" w:color="auto"/>
        <w:left w:val="none" w:sz="0" w:space="0" w:color="auto"/>
        <w:bottom w:val="none" w:sz="0" w:space="0" w:color="auto"/>
        <w:right w:val="none" w:sz="0" w:space="0" w:color="auto"/>
      </w:divBdr>
    </w:div>
    <w:div w:id="2053074618">
      <w:bodyDiv w:val="1"/>
      <w:marLeft w:val="0"/>
      <w:marRight w:val="0"/>
      <w:marTop w:val="0"/>
      <w:marBottom w:val="0"/>
      <w:divBdr>
        <w:top w:val="none" w:sz="0" w:space="0" w:color="auto"/>
        <w:left w:val="none" w:sz="0" w:space="0" w:color="auto"/>
        <w:bottom w:val="none" w:sz="0" w:space="0" w:color="auto"/>
        <w:right w:val="none" w:sz="0" w:space="0" w:color="auto"/>
      </w:divBdr>
      <w:divsChild>
        <w:div w:id="1833181910">
          <w:marLeft w:val="0"/>
          <w:marRight w:val="0"/>
          <w:marTop w:val="0"/>
          <w:marBottom w:val="0"/>
          <w:divBdr>
            <w:top w:val="none" w:sz="0" w:space="0" w:color="auto"/>
            <w:left w:val="none" w:sz="0" w:space="0" w:color="auto"/>
            <w:bottom w:val="none" w:sz="0" w:space="0" w:color="auto"/>
            <w:right w:val="none" w:sz="0" w:space="0" w:color="auto"/>
          </w:divBdr>
        </w:div>
      </w:divsChild>
    </w:div>
    <w:div w:id="2064862105">
      <w:bodyDiv w:val="1"/>
      <w:marLeft w:val="0"/>
      <w:marRight w:val="0"/>
      <w:marTop w:val="0"/>
      <w:marBottom w:val="0"/>
      <w:divBdr>
        <w:top w:val="none" w:sz="0" w:space="0" w:color="auto"/>
        <w:left w:val="none" w:sz="0" w:space="0" w:color="auto"/>
        <w:bottom w:val="none" w:sz="0" w:space="0" w:color="auto"/>
        <w:right w:val="none" w:sz="0" w:space="0" w:color="auto"/>
      </w:divBdr>
    </w:div>
    <w:div w:id="2085947838">
      <w:bodyDiv w:val="1"/>
      <w:marLeft w:val="0"/>
      <w:marRight w:val="0"/>
      <w:marTop w:val="0"/>
      <w:marBottom w:val="0"/>
      <w:divBdr>
        <w:top w:val="none" w:sz="0" w:space="0" w:color="auto"/>
        <w:left w:val="none" w:sz="0" w:space="0" w:color="auto"/>
        <w:bottom w:val="none" w:sz="0" w:space="0" w:color="auto"/>
        <w:right w:val="none" w:sz="0" w:space="0" w:color="auto"/>
      </w:divBdr>
    </w:div>
    <w:div w:id="2096782678">
      <w:bodyDiv w:val="1"/>
      <w:marLeft w:val="0"/>
      <w:marRight w:val="0"/>
      <w:marTop w:val="0"/>
      <w:marBottom w:val="0"/>
      <w:divBdr>
        <w:top w:val="none" w:sz="0" w:space="0" w:color="auto"/>
        <w:left w:val="none" w:sz="0" w:space="0" w:color="auto"/>
        <w:bottom w:val="none" w:sz="0" w:space="0" w:color="auto"/>
        <w:right w:val="none" w:sz="0" w:space="0" w:color="auto"/>
      </w:divBdr>
    </w:div>
    <w:div w:id="2114595887">
      <w:bodyDiv w:val="1"/>
      <w:marLeft w:val="0"/>
      <w:marRight w:val="0"/>
      <w:marTop w:val="0"/>
      <w:marBottom w:val="0"/>
      <w:divBdr>
        <w:top w:val="none" w:sz="0" w:space="0" w:color="auto"/>
        <w:left w:val="none" w:sz="0" w:space="0" w:color="auto"/>
        <w:bottom w:val="none" w:sz="0" w:space="0" w:color="auto"/>
        <w:right w:val="none" w:sz="0" w:space="0" w:color="auto"/>
      </w:divBdr>
    </w:div>
    <w:div w:id="2137746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cc.edomex.gob.mx/para_que%20sirven_evaluaciones_cc"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cretariadoejecutivo.gob.mx/work/models/SecretariadoEjecutivo/Resource/328/1/images/instructivo_final_edo_fuerza(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88793.pag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saimex.org.mx/saimex/solicitud/downloadAttach/245696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HN2t7rd8u7kSnnH46wy23nuA==">CgMxLjAyDmguM3NmYWo4NnB2bHVyMg5oLmg4ZGZlb3Z2ejAzbjIOaC55aXgwejJ5djYzMDEyDmguNHM5aHplZW8zaXAyMg5oLmdubGozNmwwbHI4YjINaC5idTN5NGhieHJsbjIOaC43Z3dvaDFiNmJxcXQyDmguNnNlMmw3dWV2cDFuMg5oLjFqZW5nOTF4bXdxZzIPaWQud2xoYTUxZjVjNWZsMg5oLmdrN2V2c3o2Y3k0aDIOaC5icHp5MWU4Yjl3ZDYyDmguYzhmemhsNnI0eWNmMg1oLnZlOXJxejV6NjN4Mg5oLmd0d3E4bWhxdWVnMzIOaC50cXR6ZjFoY2Fvb2k4AHIhMVJleXpubWdSR3g5VTVfVHNJSUZTbUVnZUhuMGgyQ0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499FAD-3EC1-4137-AC96-9107E714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9077</Words>
  <Characters>49924</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cp:lastModifiedBy>Cuenta Microsoft</cp:lastModifiedBy>
  <cp:revision>8</cp:revision>
  <cp:lastPrinted>2025-12-11T21:57:00Z</cp:lastPrinted>
  <dcterms:created xsi:type="dcterms:W3CDTF">2025-12-08T18:16:00Z</dcterms:created>
  <dcterms:modified xsi:type="dcterms:W3CDTF">2026-01-20T17:23:00Z</dcterms:modified>
</cp:coreProperties>
</file>