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FE7FBC" w:rsidRDefault="00342378" w:rsidP="00010111">
          <w:pPr>
            <w:pStyle w:val="TtuloTDC"/>
            <w:spacing w:before="0" w:line="360" w:lineRule="auto"/>
            <w:ind w:left="567" w:right="567"/>
            <w:rPr>
              <w:rFonts w:ascii="Palatino Linotype" w:hAnsi="Palatino Linotype"/>
              <w:color w:val="auto"/>
              <w:sz w:val="22"/>
              <w:szCs w:val="22"/>
            </w:rPr>
          </w:pPr>
          <w:r w:rsidRPr="00FE7FBC">
            <w:rPr>
              <w:rFonts w:ascii="Palatino Linotype" w:hAnsi="Palatino Linotype"/>
              <w:color w:val="auto"/>
              <w:sz w:val="22"/>
              <w:szCs w:val="22"/>
              <w:lang w:val="es-ES"/>
            </w:rPr>
            <w:t>Contenido</w:t>
          </w:r>
        </w:p>
        <w:p w14:paraId="0F4F2BA2" w14:textId="4BED4BCB" w:rsidR="00010111" w:rsidRPr="00FE7FBC" w:rsidRDefault="00342378" w:rsidP="00010111">
          <w:pPr>
            <w:pStyle w:val="TDC1"/>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r w:rsidRPr="00FE7FBC">
            <w:rPr>
              <w:rFonts w:ascii="Palatino Linotype" w:hAnsi="Palatino Linotype"/>
              <w:sz w:val="22"/>
              <w:szCs w:val="22"/>
              <w:lang w:val="es-ES"/>
            </w:rPr>
            <w:fldChar w:fldCharType="begin"/>
          </w:r>
          <w:r w:rsidRPr="00FE7FBC">
            <w:rPr>
              <w:rFonts w:ascii="Palatino Linotype" w:hAnsi="Palatino Linotype"/>
              <w:sz w:val="22"/>
              <w:szCs w:val="22"/>
              <w:lang w:val="es-ES"/>
            </w:rPr>
            <w:instrText xml:space="preserve"> TOC \o "1-3" \h \z \u </w:instrText>
          </w:r>
          <w:r w:rsidRPr="00FE7FBC">
            <w:rPr>
              <w:rFonts w:ascii="Palatino Linotype" w:hAnsi="Palatino Linotype"/>
              <w:sz w:val="22"/>
              <w:szCs w:val="22"/>
              <w:lang w:val="es-ES"/>
            </w:rPr>
            <w:fldChar w:fldCharType="separate"/>
          </w:r>
          <w:hyperlink w:anchor="_Toc209709304" w:history="1">
            <w:r w:rsidR="00010111" w:rsidRPr="00FE7FBC">
              <w:rPr>
                <w:rStyle w:val="Hipervnculo"/>
                <w:rFonts w:ascii="Palatino Linotype" w:hAnsi="Palatino Linotype"/>
                <w:noProof/>
                <w:sz w:val="22"/>
                <w:szCs w:val="22"/>
              </w:rPr>
              <w:t>A N T E C E D E N T E S</w:t>
            </w:r>
            <w:r w:rsidR="00010111" w:rsidRPr="00FE7FBC">
              <w:rPr>
                <w:rFonts w:ascii="Palatino Linotype" w:hAnsi="Palatino Linotype"/>
                <w:noProof/>
                <w:webHidden/>
                <w:sz w:val="22"/>
                <w:szCs w:val="22"/>
              </w:rPr>
              <w:tab/>
            </w:r>
            <w:r w:rsidR="00010111" w:rsidRPr="00FE7FBC">
              <w:rPr>
                <w:rFonts w:ascii="Palatino Linotype" w:hAnsi="Palatino Linotype"/>
                <w:noProof/>
                <w:webHidden/>
                <w:sz w:val="22"/>
                <w:szCs w:val="22"/>
              </w:rPr>
              <w:fldChar w:fldCharType="begin"/>
            </w:r>
            <w:r w:rsidR="00010111" w:rsidRPr="00FE7FBC">
              <w:rPr>
                <w:rFonts w:ascii="Palatino Linotype" w:hAnsi="Palatino Linotype"/>
                <w:noProof/>
                <w:webHidden/>
                <w:sz w:val="22"/>
                <w:szCs w:val="22"/>
              </w:rPr>
              <w:instrText xml:space="preserve"> PAGEREF _Toc209709304 \h </w:instrText>
            </w:r>
            <w:r w:rsidR="00010111" w:rsidRPr="00FE7FBC">
              <w:rPr>
                <w:rFonts w:ascii="Palatino Linotype" w:hAnsi="Palatino Linotype"/>
                <w:noProof/>
                <w:webHidden/>
                <w:sz w:val="22"/>
                <w:szCs w:val="22"/>
              </w:rPr>
            </w:r>
            <w:r w:rsidR="00010111"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2</w:t>
            </w:r>
            <w:r w:rsidR="00010111" w:rsidRPr="00FE7FBC">
              <w:rPr>
                <w:rFonts w:ascii="Palatino Linotype" w:hAnsi="Palatino Linotype"/>
                <w:noProof/>
                <w:webHidden/>
                <w:sz w:val="22"/>
                <w:szCs w:val="22"/>
              </w:rPr>
              <w:fldChar w:fldCharType="end"/>
            </w:r>
          </w:hyperlink>
        </w:p>
        <w:p w14:paraId="6B49B0A1" w14:textId="2B494353"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05" w:history="1">
            <w:r w:rsidRPr="00FE7FBC">
              <w:rPr>
                <w:rStyle w:val="Hipervnculo"/>
                <w:rFonts w:ascii="Palatino Linotype" w:hAnsi="Palatino Linotype" w:cs="Tahoma"/>
                <w:noProof/>
                <w:sz w:val="22"/>
                <w:szCs w:val="22"/>
              </w:rPr>
              <w:t>I. Presentación de la solicitud de información</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_Toc209709305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2</w:t>
            </w:r>
            <w:r w:rsidRPr="00FE7FBC">
              <w:rPr>
                <w:rFonts w:ascii="Palatino Linotype" w:hAnsi="Palatino Linotype"/>
                <w:noProof/>
                <w:webHidden/>
                <w:sz w:val="22"/>
                <w:szCs w:val="22"/>
              </w:rPr>
              <w:fldChar w:fldCharType="end"/>
            </w:r>
          </w:hyperlink>
        </w:p>
        <w:p w14:paraId="0509F4F9" w14:textId="4465DFBF"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06" w:history="1">
            <w:r w:rsidRPr="00FE7FBC">
              <w:rPr>
                <w:rStyle w:val="Hipervnculo"/>
                <w:rFonts w:ascii="Palatino Linotype" w:hAnsi="Palatino Linotype" w:cs="Tahoma"/>
                <w:noProof/>
                <w:sz w:val="22"/>
                <w:szCs w:val="22"/>
              </w:rPr>
              <w:t>II. Respuesta del Sujeto Obligado</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_Toc209709306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3</w:t>
            </w:r>
            <w:r w:rsidRPr="00FE7FBC">
              <w:rPr>
                <w:rFonts w:ascii="Palatino Linotype" w:hAnsi="Palatino Linotype"/>
                <w:noProof/>
                <w:webHidden/>
                <w:sz w:val="22"/>
                <w:szCs w:val="22"/>
              </w:rPr>
              <w:fldChar w:fldCharType="end"/>
            </w:r>
          </w:hyperlink>
        </w:p>
        <w:p w14:paraId="6A0797E5" w14:textId="6CAA2401"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07" w:history="1">
            <w:r w:rsidRPr="00FE7FBC">
              <w:rPr>
                <w:rStyle w:val="Hipervnculo"/>
                <w:rFonts w:ascii="Palatino Linotype" w:hAnsi="Palatino Linotype" w:cs="Tahoma"/>
                <w:noProof/>
                <w:sz w:val="22"/>
                <w:szCs w:val="22"/>
              </w:rPr>
              <w:t>III. Interposición del Recurso de Revisión</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_Toc209709307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3</w:t>
            </w:r>
            <w:r w:rsidRPr="00FE7FBC">
              <w:rPr>
                <w:rFonts w:ascii="Palatino Linotype" w:hAnsi="Palatino Linotype"/>
                <w:noProof/>
                <w:webHidden/>
                <w:sz w:val="22"/>
                <w:szCs w:val="22"/>
              </w:rPr>
              <w:fldChar w:fldCharType="end"/>
            </w:r>
          </w:hyperlink>
        </w:p>
        <w:p w14:paraId="405B292C" w14:textId="2D21F990"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08" w:history="1">
            <w:r w:rsidRPr="00FE7FBC">
              <w:rPr>
                <w:rStyle w:val="Hipervnculo"/>
                <w:rFonts w:ascii="Palatino Linotype" w:hAnsi="Palatino Linotype"/>
                <w:noProof/>
                <w:sz w:val="22"/>
                <w:szCs w:val="22"/>
              </w:rPr>
              <w:t>IV. Trámite del Recurso de Revisión ante el Instituto</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_Toc209709308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5</w:t>
            </w:r>
            <w:r w:rsidRPr="00FE7FBC">
              <w:rPr>
                <w:rFonts w:ascii="Palatino Linotype" w:hAnsi="Palatino Linotype"/>
                <w:noProof/>
                <w:webHidden/>
                <w:sz w:val="22"/>
                <w:szCs w:val="22"/>
              </w:rPr>
              <w:fldChar w:fldCharType="end"/>
            </w:r>
          </w:hyperlink>
        </w:p>
        <w:p w14:paraId="044755EE" w14:textId="5E7E3FEF" w:rsidR="00010111" w:rsidRPr="00FE7FBC" w:rsidRDefault="00010111" w:rsidP="0001011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09" w:history="1">
            <w:r w:rsidRPr="00FE7FBC">
              <w:rPr>
                <w:rStyle w:val="Hipervnculo"/>
                <w:rFonts w:ascii="Palatino Linotype" w:hAnsi="Palatino Linotype"/>
                <w:noProof/>
                <w:sz w:val="22"/>
                <w:szCs w:val="22"/>
              </w:rPr>
              <w:t>a) Turno del Recurso de Revisión.</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_Toc209709309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5</w:t>
            </w:r>
            <w:r w:rsidRPr="00FE7FBC">
              <w:rPr>
                <w:rFonts w:ascii="Palatino Linotype" w:hAnsi="Palatino Linotype"/>
                <w:noProof/>
                <w:webHidden/>
                <w:sz w:val="22"/>
                <w:szCs w:val="22"/>
              </w:rPr>
              <w:fldChar w:fldCharType="end"/>
            </w:r>
          </w:hyperlink>
        </w:p>
        <w:p w14:paraId="3FB82FE0" w14:textId="1D0E54C9" w:rsidR="00010111" w:rsidRPr="00FE7FBC" w:rsidRDefault="00010111" w:rsidP="0001011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0" w:history="1">
            <w:r w:rsidRPr="00FE7FBC">
              <w:rPr>
                <w:rStyle w:val="Hipervnculo"/>
                <w:rFonts w:ascii="Palatino Linotype" w:hAnsi="Palatino Linotype"/>
                <w:noProof/>
                <w:sz w:val="22"/>
                <w:szCs w:val="22"/>
              </w:rPr>
              <w:t>b) Admisión del Recurso de Revisión.</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_Toc209709310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6</w:t>
            </w:r>
            <w:r w:rsidRPr="00FE7FBC">
              <w:rPr>
                <w:rFonts w:ascii="Palatino Linotype" w:hAnsi="Palatino Linotype"/>
                <w:noProof/>
                <w:webHidden/>
                <w:sz w:val="22"/>
                <w:szCs w:val="22"/>
              </w:rPr>
              <w:fldChar w:fldCharType="end"/>
            </w:r>
          </w:hyperlink>
        </w:p>
        <w:p w14:paraId="181188DB" w14:textId="650FB874" w:rsidR="00010111" w:rsidRPr="00FE7FBC" w:rsidRDefault="00010111" w:rsidP="0001011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1" w:history="1">
            <w:r w:rsidRPr="00FE7FBC">
              <w:rPr>
                <w:rStyle w:val="Hipervnculo"/>
                <w:rFonts w:ascii="Palatino Linotype" w:hAnsi="Palatino Linotype"/>
                <w:noProof/>
                <w:sz w:val="22"/>
                <w:szCs w:val="22"/>
              </w:rPr>
              <w:t>c) Informe Justificado.</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_Toc209709311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6</w:t>
            </w:r>
            <w:r w:rsidRPr="00FE7FBC">
              <w:rPr>
                <w:rFonts w:ascii="Palatino Linotype" w:hAnsi="Palatino Linotype"/>
                <w:noProof/>
                <w:webHidden/>
                <w:sz w:val="22"/>
                <w:szCs w:val="22"/>
              </w:rPr>
              <w:fldChar w:fldCharType="end"/>
            </w:r>
          </w:hyperlink>
        </w:p>
        <w:p w14:paraId="73BC0349" w14:textId="31249311" w:rsidR="00010111" w:rsidRPr="00FE7FBC" w:rsidRDefault="00010111" w:rsidP="0001011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2" w:history="1">
            <w:r w:rsidRPr="00FE7FBC">
              <w:rPr>
                <w:rStyle w:val="Hipervnculo"/>
                <w:rFonts w:ascii="Palatino Linotype" w:hAnsi="Palatino Linotype"/>
                <w:noProof/>
                <w:sz w:val="22"/>
                <w:szCs w:val="22"/>
              </w:rPr>
              <w:t>d). Manifestaciones.</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_Toc209709312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6</w:t>
            </w:r>
            <w:r w:rsidRPr="00FE7FBC">
              <w:rPr>
                <w:rFonts w:ascii="Palatino Linotype" w:hAnsi="Palatino Linotype"/>
                <w:noProof/>
                <w:webHidden/>
                <w:sz w:val="22"/>
                <w:szCs w:val="22"/>
              </w:rPr>
              <w:fldChar w:fldCharType="end"/>
            </w:r>
          </w:hyperlink>
        </w:p>
        <w:p w14:paraId="0ED6FD89" w14:textId="7C8EFE0B" w:rsidR="00010111" w:rsidRPr="00FE7FBC" w:rsidRDefault="00010111" w:rsidP="0001011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3" w:history="1">
            <w:r w:rsidRPr="00FE7FBC">
              <w:rPr>
                <w:rStyle w:val="Hipervnculo"/>
                <w:rFonts w:ascii="Palatino Linotype" w:hAnsi="Palatino Linotype"/>
                <w:noProof/>
                <w:sz w:val="22"/>
                <w:szCs w:val="22"/>
              </w:rPr>
              <w:t>e) Cierre de instrucción</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_Toc209709313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6</w:t>
            </w:r>
            <w:r w:rsidRPr="00FE7FBC">
              <w:rPr>
                <w:rFonts w:ascii="Palatino Linotype" w:hAnsi="Palatino Linotype"/>
                <w:noProof/>
                <w:webHidden/>
                <w:sz w:val="22"/>
                <w:szCs w:val="22"/>
              </w:rPr>
              <w:fldChar w:fldCharType="end"/>
            </w:r>
          </w:hyperlink>
        </w:p>
        <w:p w14:paraId="68C9278A" w14:textId="7B7D1634" w:rsidR="00010111" w:rsidRPr="00FE7FBC" w:rsidRDefault="00010111" w:rsidP="00010111">
          <w:pPr>
            <w:pStyle w:val="TDC1"/>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4" w:history="1">
            <w:r w:rsidRPr="00FE7FBC">
              <w:rPr>
                <w:rStyle w:val="Hipervnculo"/>
                <w:rFonts w:ascii="Palatino Linotype" w:hAnsi="Palatino Linotype"/>
                <w:noProof/>
                <w:sz w:val="22"/>
                <w:szCs w:val="22"/>
              </w:rPr>
              <w:t>C O N S I D E R A N D O S</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_Toc209709314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7</w:t>
            </w:r>
            <w:r w:rsidRPr="00FE7FBC">
              <w:rPr>
                <w:rFonts w:ascii="Palatino Linotype" w:hAnsi="Palatino Linotype"/>
                <w:noProof/>
                <w:webHidden/>
                <w:sz w:val="22"/>
                <w:szCs w:val="22"/>
              </w:rPr>
              <w:fldChar w:fldCharType="end"/>
            </w:r>
          </w:hyperlink>
        </w:p>
        <w:p w14:paraId="07FED0DF" w14:textId="4208FA76"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5" w:history="1">
            <w:r w:rsidRPr="00FE7FBC">
              <w:rPr>
                <w:rStyle w:val="Hipervnculo"/>
                <w:rFonts w:ascii="Palatino Linotype" w:eastAsia="Calibri" w:hAnsi="Palatino Linotype" w:cs="Palatino Linotype"/>
                <w:noProof/>
                <w:sz w:val="22"/>
                <w:szCs w:val="22"/>
                <w:lang w:val="es-ES" w:eastAsia="es-MX"/>
              </w:rPr>
              <w:t xml:space="preserve">PRIMERO. </w:t>
            </w:r>
            <w:r w:rsidRPr="00FE7FBC">
              <w:rPr>
                <w:rStyle w:val="Hipervnculo"/>
                <w:rFonts w:ascii="Palatino Linotype" w:eastAsia="Palatino Linotype" w:hAnsi="Palatino Linotype" w:cs="Palatino Linotype"/>
                <w:noProof/>
                <w:sz w:val="22"/>
                <w:szCs w:val="22"/>
                <w:lang w:val="es-ES" w:eastAsia="es-MX"/>
              </w:rPr>
              <w:t>Competencia</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_Toc209709315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7</w:t>
            </w:r>
            <w:r w:rsidRPr="00FE7FBC">
              <w:rPr>
                <w:rFonts w:ascii="Palatino Linotype" w:hAnsi="Palatino Linotype"/>
                <w:noProof/>
                <w:webHidden/>
                <w:sz w:val="22"/>
                <w:szCs w:val="22"/>
              </w:rPr>
              <w:fldChar w:fldCharType="end"/>
            </w:r>
          </w:hyperlink>
        </w:p>
        <w:p w14:paraId="559FB887" w14:textId="7C24CDE6"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6" w:history="1">
            <w:r w:rsidRPr="00FE7FBC">
              <w:rPr>
                <w:rStyle w:val="Hipervnculo"/>
                <w:rFonts w:ascii="Palatino Linotype" w:eastAsia="Palatino Linotype" w:hAnsi="Palatino Linotype" w:cs="Palatino Linotype"/>
                <w:noProof/>
                <w:sz w:val="22"/>
                <w:szCs w:val="22"/>
                <w:lang w:eastAsia="es-MX"/>
              </w:rPr>
              <w:t>SEGUNDO. Causales de improcedencia y sobreseimiento</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_Toc209709316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7</w:t>
            </w:r>
            <w:r w:rsidRPr="00FE7FBC">
              <w:rPr>
                <w:rFonts w:ascii="Palatino Linotype" w:hAnsi="Palatino Linotype"/>
                <w:noProof/>
                <w:webHidden/>
                <w:sz w:val="22"/>
                <w:szCs w:val="22"/>
              </w:rPr>
              <w:fldChar w:fldCharType="end"/>
            </w:r>
          </w:hyperlink>
        </w:p>
        <w:p w14:paraId="6B76F1C0" w14:textId="1C89E8A9"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7" w:history="1">
            <w:r w:rsidRPr="00FE7FBC">
              <w:rPr>
                <w:rStyle w:val="Hipervnculo"/>
                <w:rFonts w:ascii="Palatino Linotype" w:eastAsia="Palatino Linotype" w:hAnsi="Palatino Linotype" w:cs="Palatino Linotype"/>
                <w:noProof/>
                <w:sz w:val="22"/>
                <w:szCs w:val="22"/>
                <w:lang w:eastAsia="es-MX"/>
              </w:rPr>
              <w:t>TERCERO. Determinación de la Controversia</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_Toc209709317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9</w:t>
            </w:r>
            <w:r w:rsidRPr="00FE7FBC">
              <w:rPr>
                <w:rFonts w:ascii="Palatino Linotype" w:hAnsi="Palatino Linotype"/>
                <w:noProof/>
                <w:webHidden/>
                <w:sz w:val="22"/>
                <w:szCs w:val="22"/>
              </w:rPr>
              <w:fldChar w:fldCharType="end"/>
            </w:r>
          </w:hyperlink>
        </w:p>
        <w:p w14:paraId="4D25435E" w14:textId="6E43693E"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8" w:history="1">
            <w:r w:rsidRPr="00FE7FBC">
              <w:rPr>
                <w:rStyle w:val="Hipervnculo"/>
                <w:rFonts w:ascii="Palatino Linotype" w:eastAsia="Palatino Linotype" w:hAnsi="Palatino Linotype" w:cs="Palatino Linotype"/>
                <w:noProof/>
                <w:sz w:val="22"/>
                <w:szCs w:val="22"/>
                <w:lang w:eastAsia="es-MX"/>
              </w:rPr>
              <w:t>CUARTO. Marco normativo aplicable en materia de transparencia y acceso a la información pública</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_Toc209709318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10</w:t>
            </w:r>
            <w:r w:rsidRPr="00FE7FBC">
              <w:rPr>
                <w:rFonts w:ascii="Palatino Linotype" w:hAnsi="Palatino Linotype"/>
                <w:noProof/>
                <w:webHidden/>
                <w:sz w:val="22"/>
                <w:szCs w:val="22"/>
              </w:rPr>
              <w:fldChar w:fldCharType="end"/>
            </w:r>
          </w:hyperlink>
        </w:p>
        <w:p w14:paraId="2996474A" w14:textId="6ACABCB3"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19" w:history="1">
            <w:r w:rsidRPr="00FE7FBC">
              <w:rPr>
                <w:rStyle w:val="Hipervnculo"/>
                <w:rFonts w:ascii="Palatino Linotype" w:eastAsia="Palatino Linotype" w:hAnsi="Palatino Linotype" w:cs="Palatino Linotype"/>
                <w:noProof/>
                <w:sz w:val="22"/>
                <w:szCs w:val="22"/>
                <w:lang w:eastAsia="es-MX"/>
              </w:rPr>
              <w:t>QUINTO. Estudio de Fondo</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_Toc209709319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11</w:t>
            </w:r>
            <w:r w:rsidRPr="00FE7FBC">
              <w:rPr>
                <w:rFonts w:ascii="Palatino Linotype" w:hAnsi="Palatino Linotype"/>
                <w:noProof/>
                <w:webHidden/>
                <w:sz w:val="22"/>
                <w:szCs w:val="22"/>
              </w:rPr>
              <w:fldChar w:fldCharType="end"/>
            </w:r>
          </w:hyperlink>
        </w:p>
        <w:p w14:paraId="0539A912" w14:textId="2BE18BDE" w:rsidR="00010111" w:rsidRPr="00FE7FBC" w:rsidRDefault="00010111" w:rsidP="0001011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20" w:history="1">
            <w:r w:rsidRPr="00FE7FBC">
              <w:rPr>
                <w:rStyle w:val="Hipervnculo"/>
                <w:rFonts w:ascii="Palatino Linotype" w:eastAsia="Palatino Linotype" w:hAnsi="Palatino Linotype" w:cs="Palatino Linotype"/>
                <w:noProof/>
                <w:sz w:val="22"/>
                <w:szCs w:val="22"/>
                <w:lang w:eastAsia="es-MX"/>
              </w:rPr>
              <w:t>SEXTO. Decisión</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_Toc209709320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37</w:t>
            </w:r>
            <w:r w:rsidRPr="00FE7FBC">
              <w:rPr>
                <w:rFonts w:ascii="Palatino Linotype" w:hAnsi="Palatino Linotype"/>
                <w:noProof/>
                <w:webHidden/>
                <w:sz w:val="22"/>
                <w:szCs w:val="22"/>
              </w:rPr>
              <w:fldChar w:fldCharType="end"/>
            </w:r>
          </w:hyperlink>
        </w:p>
        <w:p w14:paraId="1017BA16" w14:textId="00379404" w:rsidR="00010111" w:rsidRPr="00FE7FBC" w:rsidRDefault="00010111" w:rsidP="00010111">
          <w:pPr>
            <w:pStyle w:val="TDC1"/>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321" w:history="1">
            <w:r w:rsidRPr="00FE7FBC">
              <w:rPr>
                <w:rStyle w:val="Hipervnculo"/>
                <w:rFonts w:ascii="Palatino Linotype" w:eastAsia="Palatino Linotype" w:hAnsi="Palatino Linotype" w:cs="Palatino Linotype"/>
                <w:noProof/>
                <w:sz w:val="22"/>
                <w:szCs w:val="22"/>
                <w:lang w:eastAsia="es-MX"/>
              </w:rPr>
              <w:t>R E S U E L V E</w:t>
            </w:r>
            <w:r w:rsidRPr="00FE7FBC">
              <w:rPr>
                <w:rFonts w:ascii="Palatino Linotype" w:hAnsi="Palatino Linotype"/>
                <w:noProof/>
                <w:webHidden/>
                <w:sz w:val="22"/>
                <w:szCs w:val="22"/>
              </w:rPr>
              <w:tab/>
            </w:r>
            <w:r w:rsidRPr="00FE7FBC">
              <w:rPr>
                <w:rFonts w:ascii="Palatino Linotype" w:hAnsi="Palatino Linotype"/>
                <w:noProof/>
                <w:webHidden/>
                <w:sz w:val="22"/>
                <w:szCs w:val="22"/>
              </w:rPr>
              <w:fldChar w:fldCharType="begin"/>
            </w:r>
            <w:r w:rsidRPr="00FE7FBC">
              <w:rPr>
                <w:rFonts w:ascii="Palatino Linotype" w:hAnsi="Palatino Linotype"/>
                <w:noProof/>
                <w:webHidden/>
                <w:sz w:val="22"/>
                <w:szCs w:val="22"/>
              </w:rPr>
              <w:instrText xml:space="preserve"> PAGEREF _Toc209709321 \h </w:instrText>
            </w:r>
            <w:r w:rsidRPr="00FE7FBC">
              <w:rPr>
                <w:rFonts w:ascii="Palatino Linotype" w:hAnsi="Palatino Linotype"/>
                <w:noProof/>
                <w:webHidden/>
                <w:sz w:val="22"/>
                <w:szCs w:val="22"/>
              </w:rPr>
            </w:r>
            <w:r w:rsidRPr="00FE7FBC">
              <w:rPr>
                <w:rFonts w:ascii="Palatino Linotype" w:hAnsi="Palatino Linotype"/>
                <w:noProof/>
                <w:webHidden/>
                <w:sz w:val="22"/>
                <w:szCs w:val="22"/>
              </w:rPr>
              <w:fldChar w:fldCharType="separate"/>
            </w:r>
            <w:r w:rsidR="004D59BF">
              <w:rPr>
                <w:rFonts w:ascii="Palatino Linotype" w:hAnsi="Palatino Linotype"/>
                <w:noProof/>
                <w:webHidden/>
                <w:sz w:val="22"/>
                <w:szCs w:val="22"/>
              </w:rPr>
              <w:t>38</w:t>
            </w:r>
            <w:r w:rsidRPr="00FE7FBC">
              <w:rPr>
                <w:rFonts w:ascii="Palatino Linotype" w:hAnsi="Palatino Linotype"/>
                <w:noProof/>
                <w:webHidden/>
                <w:sz w:val="22"/>
                <w:szCs w:val="22"/>
              </w:rPr>
              <w:fldChar w:fldCharType="end"/>
            </w:r>
          </w:hyperlink>
        </w:p>
        <w:p w14:paraId="0994FEFD" w14:textId="794A8759" w:rsidR="00342378" w:rsidRPr="00FE7FBC" w:rsidRDefault="00342378" w:rsidP="00010111">
          <w:pPr>
            <w:spacing w:line="360" w:lineRule="auto"/>
            <w:ind w:left="567" w:right="567"/>
            <w:rPr>
              <w:rFonts w:ascii="Palatino Linotype" w:hAnsi="Palatino Linotype"/>
              <w:sz w:val="22"/>
              <w:szCs w:val="22"/>
            </w:rPr>
          </w:pPr>
          <w:r w:rsidRPr="00FE7FBC">
            <w:rPr>
              <w:rFonts w:ascii="Palatino Linotype" w:hAnsi="Palatino Linotype"/>
              <w:sz w:val="22"/>
              <w:szCs w:val="22"/>
              <w:lang w:val="es-ES"/>
            </w:rPr>
            <w:fldChar w:fldCharType="end"/>
          </w:r>
        </w:p>
      </w:sdtContent>
    </w:sdt>
    <w:p w14:paraId="3406E08A" w14:textId="77777777" w:rsidR="00ED76AF" w:rsidRPr="00FE7FBC" w:rsidRDefault="00ED76AF" w:rsidP="00F272B6">
      <w:pPr>
        <w:tabs>
          <w:tab w:val="left" w:pos="3969"/>
        </w:tabs>
        <w:spacing w:line="360" w:lineRule="auto"/>
        <w:ind w:left="567"/>
        <w:contextualSpacing/>
        <w:jc w:val="both"/>
        <w:rPr>
          <w:rFonts w:ascii="Palatino Linotype" w:hAnsi="Palatino Linotype" w:cs="Tahoma"/>
          <w:sz w:val="22"/>
          <w:szCs w:val="22"/>
        </w:rPr>
      </w:pPr>
    </w:p>
    <w:p w14:paraId="7C8674C1" w14:textId="77777777" w:rsidR="00342378" w:rsidRPr="00FE7FBC" w:rsidRDefault="00342378" w:rsidP="00DA638D">
      <w:pPr>
        <w:tabs>
          <w:tab w:val="left" w:pos="3969"/>
        </w:tabs>
        <w:spacing w:line="360" w:lineRule="auto"/>
        <w:contextualSpacing/>
        <w:jc w:val="both"/>
        <w:rPr>
          <w:rFonts w:ascii="Palatino Linotype" w:hAnsi="Palatino Linotype" w:cs="Tahoma"/>
          <w:sz w:val="22"/>
          <w:szCs w:val="22"/>
        </w:rPr>
      </w:pPr>
    </w:p>
    <w:p w14:paraId="299FD1AB" w14:textId="72D184F3" w:rsidR="00E35DF9" w:rsidRPr="00FE7FBC" w:rsidRDefault="00E35DF9" w:rsidP="00DA638D">
      <w:pPr>
        <w:spacing w:line="360" w:lineRule="auto"/>
        <w:contextualSpacing/>
        <w:jc w:val="both"/>
        <w:rPr>
          <w:rFonts w:ascii="Palatino Linotype" w:hAnsi="Palatino Linotype" w:cs="Tahoma"/>
          <w:bCs/>
          <w:sz w:val="22"/>
          <w:szCs w:val="22"/>
        </w:rPr>
      </w:pPr>
      <w:r w:rsidRPr="00FE7FBC">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E7FBC">
        <w:rPr>
          <w:rFonts w:ascii="Palatino Linotype" w:hAnsi="Palatino Linotype" w:cs="Tahoma"/>
          <w:bCs/>
          <w:sz w:val="22"/>
          <w:szCs w:val="22"/>
        </w:rPr>
        <w:t xml:space="preserve"> </w:t>
      </w:r>
      <w:r w:rsidR="00867705" w:rsidRPr="00FE7FBC">
        <w:rPr>
          <w:rFonts w:ascii="Palatino Linotype" w:hAnsi="Palatino Linotype" w:cs="Tahoma"/>
          <w:bCs/>
          <w:sz w:val="22"/>
          <w:szCs w:val="22"/>
        </w:rPr>
        <w:t>veinticuatro</w:t>
      </w:r>
      <w:r w:rsidR="00D75C95" w:rsidRPr="00FE7FBC">
        <w:rPr>
          <w:rFonts w:ascii="Palatino Linotype" w:hAnsi="Palatino Linotype" w:cs="Tahoma"/>
          <w:bCs/>
          <w:sz w:val="22"/>
          <w:szCs w:val="22"/>
        </w:rPr>
        <w:t xml:space="preserve"> de </w:t>
      </w:r>
      <w:r w:rsidR="004303EA" w:rsidRPr="00FE7FBC">
        <w:rPr>
          <w:rFonts w:ascii="Palatino Linotype" w:hAnsi="Palatino Linotype" w:cs="Tahoma"/>
          <w:bCs/>
          <w:sz w:val="22"/>
          <w:szCs w:val="22"/>
        </w:rPr>
        <w:t>septiembre</w:t>
      </w:r>
      <w:r w:rsidR="00D75C95" w:rsidRPr="00FE7FBC">
        <w:rPr>
          <w:rFonts w:ascii="Palatino Linotype" w:hAnsi="Palatino Linotype" w:cs="Tahoma"/>
          <w:bCs/>
          <w:sz w:val="22"/>
          <w:szCs w:val="22"/>
        </w:rPr>
        <w:t xml:space="preserve"> </w:t>
      </w:r>
      <w:r w:rsidR="008453FA" w:rsidRPr="00FE7FBC">
        <w:rPr>
          <w:rFonts w:ascii="Palatino Linotype" w:hAnsi="Palatino Linotype" w:cs="Tahoma"/>
          <w:bCs/>
          <w:sz w:val="22"/>
          <w:szCs w:val="22"/>
        </w:rPr>
        <w:t>de dos mil veinti</w:t>
      </w:r>
      <w:r w:rsidR="00F93A36" w:rsidRPr="00FE7FBC">
        <w:rPr>
          <w:rFonts w:ascii="Palatino Linotype" w:hAnsi="Palatino Linotype" w:cs="Tahoma"/>
          <w:bCs/>
          <w:sz w:val="22"/>
          <w:szCs w:val="22"/>
        </w:rPr>
        <w:t>c</w:t>
      </w:r>
      <w:r w:rsidR="009C323D" w:rsidRPr="00FE7FBC">
        <w:rPr>
          <w:rFonts w:ascii="Palatino Linotype" w:hAnsi="Palatino Linotype" w:cs="Tahoma"/>
          <w:bCs/>
          <w:sz w:val="22"/>
          <w:szCs w:val="22"/>
        </w:rPr>
        <w:t>inc</w:t>
      </w:r>
      <w:r w:rsidR="00F93A36" w:rsidRPr="00FE7FBC">
        <w:rPr>
          <w:rFonts w:ascii="Palatino Linotype" w:hAnsi="Palatino Linotype" w:cs="Tahoma"/>
          <w:bCs/>
          <w:sz w:val="22"/>
          <w:szCs w:val="22"/>
        </w:rPr>
        <w:t>o</w:t>
      </w:r>
      <w:r w:rsidRPr="00FE7FBC">
        <w:rPr>
          <w:rFonts w:ascii="Palatino Linotype" w:hAnsi="Palatino Linotype" w:cs="Tahoma"/>
          <w:bCs/>
          <w:sz w:val="22"/>
          <w:szCs w:val="22"/>
        </w:rPr>
        <w:t>.</w:t>
      </w:r>
    </w:p>
    <w:p w14:paraId="733B6130" w14:textId="77777777" w:rsidR="00E35DF9" w:rsidRPr="00FE7FBC" w:rsidRDefault="00E35DF9" w:rsidP="00DA638D">
      <w:pPr>
        <w:spacing w:line="360" w:lineRule="auto"/>
        <w:contextualSpacing/>
        <w:jc w:val="both"/>
        <w:rPr>
          <w:rFonts w:ascii="Palatino Linotype" w:hAnsi="Palatino Linotype" w:cs="Tahoma"/>
          <w:bCs/>
          <w:sz w:val="22"/>
          <w:szCs w:val="22"/>
        </w:rPr>
      </w:pPr>
    </w:p>
    <w:p w14:paraId="480C66FF" w14:textId="0351EB3E" w:rsidR="00E35DF9" w:rsidRPr="00FE7FBC" w:rsidRDefault="00E35DF9" w:rsidP="00DA638D">
      <w:pPr>
        <w:spacing w:line="360" w:lineRule="auto"/>
        <w:contextualSpacing/>
        <w:jc w:val="both"/>
        <w:rPr>
          <w:rFonts w:ascii="Palatino Linotype" w:hAnsi="Palatino Linotype" w:cs="Tahoma"/>
          <w:bCs/>
          <w:sz w:val="22"/>
          <w:szCs w:val="22"/>
        </w:rPr>
      </w:pPr>
      <w:r w:rsidRPr="00FE7FBC">
        <w:rPr>
          <w:rFonts w:ascii="Palatino Linotype" w:hAnsi="Palatino Linotype" w:cs="Tahoma"/>
          <w:b/>
          <w:bCs/>
          <w:color w:val="0D0D0D" w:themeColor="text1" w:themeTint="F2"/>
          <w:sz w:val="22"/>
          <w:szCs w:val="22"/>
        </w:rPr>
        <w:t xml:space="preserve">VISTO </w:t>
      </w:r>
      <w:r w:rsidR="00D0542E" w:rsidRPr="00FE7FBC">
        <w:rPr>
          <w:rFonts w:ascii="Palatino Linotype" w:hAnsi="Palatino Linotype" w:cs="Tahoma"/>
          <w:bCs/>
          <w:color w:val="0D0D0D" w:themeColor="text1" w:themeTint="F2"/>
          <w:sz w:val="22"/>
          <w:szCs w:val="22"/>
        </w:rPr>
        <w:t>el expediente</w:t>
      </w:r>
      <w:r w:rsidRPr="00FE7FBC">
        <w:rPr>
          <w:rFonts w:ascii="Palatino Linotype" w:hAnsi="Palatino Linotype" w:cs="Tahoma"/>
          <w:bCs/>
          <w:color w:val="0D0D0D" w:themeColor="text1" w:themeTint="F2"/>
          <w:sz w:val="22"/>
          <w:szCs w:val="22"/>
        </w:rPr>
        <w:t xml:space="preserve"> conformado con motivo de</w:t>
      </w:r>
      <w:r w:rsidR="00E30210" w:rsidRPr="00FE7FBC">
        <w:rPr>
          <w:rFonts w:ascii="Palatino Linotype" w:hAnsi="Palatino Linotype" w:cs="Tahoma"/>
          <w:bCs/>
          <w:color w:val="0D0D0D" w:themeColor="text1" w:themeTint="F2"/>
          <w:sz w:val="22"/>
          <w:szCs w:val="22"/>
        </w:rPr>
        <w:t>l</w:t>
      </w:r>
      <w:r w:rsidRPr="00FE7FBC">
        <w:rPr>
          <w:rFonts w:ascii="Palatino Linotype" w:hAnsi="Palatino Linotype" w:cs="Tahoma"/>
          <w:bCs/>
          <w:color w:val="0D0D0D" w:themeColor="text1" w:themeTint="F2"/>
          <w:sz w:val="22"/>
          <w:szCs w:val="22"/>
        </w:rPr>
        <w:t xml:space="preserve"> Recurso de Revisión</w:t>
      </w:r>
      <w:r w:rsidR="0089175F" w:rsidRPr="00FE7FBC">
        <w:rPr>
          <w:rFonts w:ascii="Palatino Linotype" w:hAnsi="Palatino Linotype" w:cs="Tahoma"/>
          <w:bCs/>
          <w:color w:val="0D0D0D" w:themeColor="text1" w:themeTint="F2"/>
          <w:sz w:val="22"/>
          <w:szCs w:val="22"/>
        </w:rPr>
        <w:t xml:space="preserve"> </w:t>
      </w:r>
      <w:r w:rsidR="009D0182" w:rsidRPr="00A70C6E">
        <w:rPr>
          <w:rFonts w:ascii="Palatino Linotype" w:eastAsia="Calibri" w:hAnsi="Palatino Linotype" w:cs="Tahoma"/>
          <w:b/>
          <w:bCs/>
          <w:sz w:val="22"/>
          <w:szCs w:val="22"/>
          <w:lang w:eastAsia="en-US"/>
        </w:rPr>
        <w:t>09431/INFOEM/IP/RR/2025</w:t>
      </w:r>
      <w:r w:rsidR="0089175F" w:rsidRPr="00FE7FBC">
        <w:rPr>
          <w:rFonts w:ascii="Palatino Linotype" w:hAnsi="Palatino Linotype" w:cs="Tahoma"/>
          <w:bCs/>
          <w:color w:val="0D0D0D" w:themeColor="text1" w:themeTint="F2"/>
          <w:sz w:val="22"/>
          <w:szCs w:val="22"/>
        </w:rPr>
        <w:t>,</w:t>
      </w:r>
      <w:r w:rsidRPr="00FE7FBC">
        <w:rPr>
          <w:rFonts w:ascii="Palatino Linotype" w:hAnsi="Palatino Linotype" w:cs="Tahoma"/>
          <w:bCs/>
          <w:color w:val="0D0D0D" w:themeColor="text1" w:themeTint="F2"/>
          <w:sz w:val="22"/>
          <w:szCs w:val="22"/>
        </w:rPr>
        <w:t xml:space="preserve"> interpuesto</w:t>
      </w:r>
      <w:r w:rsidR="00C74F5F" w:rsidRPr="00FE7FBC">
        <w:rPr>
          <w:rFonts w:ascii="Palatino Linotype" w:hAnsi="Palatino Linotype" w:cs="Tahoma"/>
          <w:bCs/>
          <w:color w:val="0D0D0D" w:themeColor="text1" w:themeTint="F2"/>
          <w:sz w:val="22"/>
          <w:szCs w:val="22"/>
        </w:rPr>
        <w:t xml:space="preserve"> </w:t>
      </w:r>
      <w:r w:rsidR="007E4927" w:rsidRPr="00FE7FBC">
        <w:rPr>
          <w:rFonts w:ascii="Palatino Linotype" w:hAnsi="Palatino Linotype" w:cs="Tahoma"/>
          <w:bCs/>
          <w:color w:val="0D0D0D" w:themeColor="text1" w:themeTint="F2"/>
          <w:sz w:val="22"/>
          <w:szCs w:val="22"/>
        </w:rPr>
        <w:t>por</w:t>
      </w:r>
      <w:r w:rsidR="002C34E0" w:rsidRPr="00FE7FBC">
        <w:rPr>
          <w:rFonts w:ascii="Palatino Linotype" w:hAnsi="Palatino Linotype" w:cs="Tahoma"/>
          <w:bCs/>
          <w:color w:val="0D0D0D" w:themeColor="text1" w:themeTint="F2"/>
          <w:sz w:val="22"/>
          <w:szCs w:val="22"/>
        </w:rPr>
        <w:t xml:space="preserve"> </w:t>
      </w:r>
      <w:r w:rsidR="00873C2E" w:rsidRPr="00873C2E">
        <w:rPr>
          <w:rFonts w:ascii="Palatino Linotype" w:eastAsia="Calibri" w:hAnsi="Palatino Linotype" w:cs="Tahoma"/>
          <w:b/>
          <w:bCs/>
          <w:sz w:val="22"/>
          <w:szCs w:val="22"/>
          <w:highlight w:val="black"/>
          <w:lang w:eastAsia="en-US"/>
        </w:rPr>
        <w:t>XXXXXXXXX</w:t>
      </w:r>
      <w:r w:rsidR="002C34E0" w:rsidRPr="00FE7FBC">
        <w:rPr>
          <w:rFonts w:ascii="Palatino Linotype" w:eastAsia="Calibri" w:hAnsi="Palatino Linotype" w:cs="Tahoma"/>
          <w:bCs/>
          <w:sz w:val="22"/>
          <w:szCs w:val="22"/>
          <w:lang w:eastAsia="en-US"/>
        </w:rPr>
        <w:t>,</w:t>
      </w:r>
      <w:r w:rsidR="006A4040" w:rsidRPr="00FE7FBC">
        <w:rPr>
          <w:rFonts w:ascii="Palatino Linotype" w:hAnsi="Palatino Linotype" w:cs="Tahoma"/>
          <w:bCs/>
          <w:color w:val="0D0D0D" w:themeColor="text1" w:themeTint="F2"/>
          <w:sz w:val="22"/>
          <w:szCs w:val="22"/>
        </w:rPr>
        <w:t xml:space="preserve"> </w:t>
      </w:r>
      <w:r w:rsidR="004303EA" w:rsidRPr="00FE7FBC">
        <w:rPr>
          <w:rFonts w:ascii="Palatino Linotype" w:hAnsi="Palatino Linotype" w:cs="Tahoma"/>
          <w:bCs/>
          <w:color w:val="0D0D0D" w:themeColor="text1" w:themeTint="F2"/>
          <w:sz w:val="22"/>
          <w:szCs w:val="22"/>
        </w:rPr>
        <w:t>quien</w:t>
      </w:r>
      <w:r w:rsidR="006A4040" w:rsidRPr="00FE7FBC">
        <w:rPr>
          <w:rFonts w:ascii="Palatino Linotype" w:hAnsi="Palatino Linotype" w:cs="Tahoma"/>
          <w:bCs/>
          <w:color w:val="0D0D0D" w:themeColor="text1" w:themeTint="F2"/>
          <w:sz w:val="22"/>
          <w:szCs w:val="22"/>
        </w:rPr>
        <w:t xml:space="preserve"> en adelante</w:t>
      </w:r>
      <w:r w:rsidR="004303EA" w:rsidRPr="00FE7FBC">
        <w:rPr>
          <w:rFonts w:ascii="Palatino Linotype" w:hAnsi="Palatino Linotype" w:cs="Tahoma"/>
          <w:bCs/>
          <w:color w:val="0D0D0D" w:themeColor="text1" w:themeTint="F2"/>
          <w:sz w:val="22"/>
          <w:szCs w:val="22"/>
        </w:rPr>
        <w:t xml:space="preserve"> </w:t>
      </w:r>
      <w:r w:rsidR="00A74D87" w:rsidRPr="00FE7FBC">
        <w:rPr>
          <w:rFonts w:ascii="Palatino Linotype" w:hAnsi="Palatino Linotype" w:cs="Tahoma"/>
          <w:bCs/>
          <w:color w:val="0D0D0D" w:themeColor="text1" w:themeTint="F2"/>
          <w:sz w:val="22"/>
          <w:szCs w:val="22"/>
        </w:rPr>
        <w:t xml:space="preserve">será </w:t>
      </w:r>
      <w:r w:rsidR="002C34E0" w:rsidRPr="00FE7FBC">
        <w:rPr>
          <w:rFonts w:ascii="Palatino Linotype" w:hAnsi="Palatino Linotype" w:cs="Tahoma"/>
          <w:bCs/>
          <w:color w:val="0D0D0D" w:themeColor="text1" w:themeTint="F2"/>
          <w:sz w:val="22"/>
          <w:szCs w:val="22"/>
        </w:rPr>
        <w:t>nombrado</w:t>
      </w:r>
      <w:r w:rsidR="00A74D87" w:rsidRPr="00FE7FBC">
        <w:rPr>
          <w:rFonts w:ascii="Palatino Linotype" w:hAnsi="Palatino Linotype" w:cs="Tahoma"/>
          <w:bCs/>
          <w:color w:val="0D0D0D" w:themeColor="text1" w:themeTint="F2"/>
          <w:sz w:val="22"/>
          <w:szCs w:val="22"/>
        </w:rPr>
        <w:t xml:space="preserve"> el</w:t>
      </w:r>
      <w:r w:rsidR="00F770EE" w:rsidRPr="00FE7FBC">
        <w:rPr>
          <w:rFonts w:ascii="Palatino Linotype" w:hAnsi="Palatino Linotype" w:cs="Tahoma"/>
          <w:bCs/>
          <w:color w:val="0D0D0D" w:themeColor="text1" w:themeTint="F2"/>
          <w:sz w:val="22"/>
          <w:szCs w:val="22"/>
        </w:rPr>
        <w:t xml:space="preserve"> </w:t>
      </w:r>
      <w:r w:rsidRPr="00FE7FBC">
        <w:rPr>
          <w:rFonts w:ascii="Palatino Linotype" w:hAnsi="Palatino Linotype" w:cs="Tahoma"/>
          <w:bCs/>
          <w:color w:val="0D0D0D" w:themeColor="text1" w:themeTint="F2"/>
          <w:sz w:val="22"/>
          <w:szCs w:val="22"/>
        </w:rPr>
        <w:t>Recurrente o Particular, en contra de la respuesta del Sujeto Obligado</w:t>
      </w:r>
      <w:r w:rsidR="0096397D" w:rsidRPr="00FE7FBC">
        <w:rPr>
          <w:rFonts w:ascii="Palatino Linotype" w:hAnsi="Palatino Linotype" w:cs="Tahoma"/>
          <w:bCs/>
          <w:color w:val="0D0D0D" w:themeColor="text1" w:themeTint="F2"/>
          <w:sz w:val="22"/>
          <w:szCs w:val="22"/>
        </w:rPr>
        <w:t>,</w:t>
      </w:r>
      <w:r w:rsidRPr="00FE7FBC">
        <w:rPr>
          <w:rFonts w:ascii="Palatino Linotype" w:hAnsi="Palatino Linotype"/>
          <w:bCs/>
          <w:sz w:val="22"/>
          <w:szCs w:val="22"/>
        </w:rPr>
        <w:t xml:space="preserve"> </w:t>
      </w:r>
      <w:r w:rsidR="005E0A40" w:rsidRPr="00A70C6E">
        <w:rPr>
          <w:rFonts w:ascii="Palatino Linotype" w:eastAsia="Calibri" w:hAnsi="Palatino Linotype" w:cs="Tahoma"/>
          <w:b/>
          <w:bCs/>
          <w:sz w:val="22"/>
          <w:szCs w:val="22"/>
          <w:lang w:eastAsia="en-US"/>
        </w:rPr>
        <w:t>Colegio de Estudios Científicos y Tecnológicos del Estado de México</w:t>
      </w:r>
      <w:r w:rsidR="0096397D" w:rsidRPr="00FE7FBC">
        <w:rPr>
          <w:rFonts w:ascii="Palatino Linotype" w:eastAsia="Calibri" w:hAnsi="Palatino Linotype" w:cs="Tahoma"/>
          <w:bCs/>
          <w:sz w:val="22"/>
          <w:szCs w:val="22"/>
          <w:lang w:eastAsia="en-US"/>
        </w:rPr>
        <w:t>,</w:t>
      </w:r>
      <w:r w:rsidR="00074895" w:rsidRPr="00FE7FBC">
        <w:rPr>
          <w:rFonts w:ascii="Palatino Linotype" w:eastAsia="Calibri" w:hAnsi="Palatino Linotype" w:cs="Tahoma"/>
          <w:bCs/>
          <w:sz w:val="22"/>
          <w:szCs w:val="22"/>
          <w:lang w:eastAsia="en-US"/>
        </w:rPr>
        <w:t xml:space="preserve"> a la solicitud </w:t>
      </w:r>
      <w:r w:rsidR="002C34E0" w:rsidRPr="00FE7FBC">
        <w:rPr>
          <w:rFonts w:ascii="Palatino Linotype" w:hAnsi="Palatino Linotype" w:cs="Tahoma"/>
          <w:bCs/>
          <w:sz w:val="22"/>
          <w:szCs w:val="22"/>
        </w:rPr>
        <w:t>00035/</w:t>
      </w:r>
      <w:proofErr w:type="spellStart"/>
      <w:r w:rsidR="002C34E0" w:rsidRPr="00FE7FBC">
        <w:rPr>
          <w:rFonts w:ascii="Palatino Linotype" w:hAnsi="Palatino Linotype" w:cs="Tahoma"/>
          <w:bCs/>
          <w:sz w:val="22"/>
          <w:szCs w:val="22"/>
        </w:rPr>
        <w:t>CECyTEM</w:t>
      </w:r>
      <w:proofErr w:type="spellEnd"/>
      <w:r w:rsidR="002C34E0" w:rsidRPr="00FE7FBC">
        <w:rPr>
          <w:rFonts w:ascii="Palatino Linotype" w:hAnsi="Palatino Linotype" w:cs="Tahoma"/>
          <w:bCs/>
          <w:sz w:val="22"/>
          <w:szCs w:val="22"/>
        </w:rPr>
        <w:t>/IP/2025</w:t>
      </w:r>
      <w:r w:rsidRPr="00FE7FBC">
        <w:rPr>
          <w:rFonts w:ascii="Palatino Linotype" w:hAnsi="Palatino Linotype" w:cs="Tahoma"/>
          <w:bCs/>
          <w:color w:val="0D0D0D" w:themeColor="text1" w:themeTint="F2"/>
          <w:sz w:val="22"/>
          <w:szCs w:val="22"/>
        </w:rPr>
        <w:t>,</w:t>
      </w:r>
      <w:r w:rsidRPr="00FE7FBC">
        <w:rPr>
          <w:rFonts w:ascii="Palatino Linotype" w:hAnsi="Palatino Linotype" w:cs="Tahoma"/>
          <w:color w:val="0D0D0D" w:themeColor="text1" w:themeTint="F2"/>
          <w:sz w:val="22"/>
          <w:szCs w:val="22"/>
        </w:rPr>
        <w:t xml:space="preserve"> </w:t>
      </w:r>
      <w:r w:rsidRPr="00FE7FBC">
        <w:rPr>
          <w:rFonts w:ascii="Palatino Linotype" w:hAnsi="Palatino Linotype" w:cs="Tahoma"/>
          <w:bCs/>
          <w:color w:val="0D0D0D" w:themeColor="text1" w:themeTint="F2"/>
          <w:sz w:val="22"/>
          <w:szCs w:val="22"/>
        </w:rPr>
        <w:t>se emite la presente Resolución, con base en los Antecedentes y C</w:t>
      </w:r>
      <w:r w:rsidRPr="00FE7FBC">
        <w:rPr>
          <w:rFonts w:ascii="Palatino Linotype" w:hAnsi="Palatino Linotype" w:cs="Tahoma"/>
          <w:bCs/>
          <w:sz w:val="22"/>
          <w:szCs w:val="22"/>
        </w:rPr>
        <w:t>onsiderandos que a continuación se exponen:</w:t>
      </w:r>
    </w:p>
    <w:p w14:paraId="1ED82885" w14:textId="77777777" w:rsidR="00BB1F81" w:rsidRPr="00FE7FBC"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FE7FBC" w:rsidRDefault="00E35DF9" w:rsidP="00DA638D">
      <w:pPr>
        <w:pStyle w:val="Ttulo1"/>
        <w:spacing w:before="0"/>
        <w:jc w:val="center"/>
        <w:rPr>
          <w:rFonts w:ascii="Palatino Linotype" w:hAnsi="Palatino Linotype"/>
          <w:b/>
          <w:sz w:val="22"/>
          <w:szCs w:val="22"/>
        </w:rPr>
      </w:pPr>
      <w:bookmarkStart w:id="1" w:name="_Toc209709304"/>
      <w:r w:rsidRPr="00FE7FBC">
        <w:rPr>
          <w:rFonts w:ascii="Palatino Linotype" w:hAnsi="Palatino Linotype"/>
          <w:b/>
          <w:color w:val="auto"/>
          <w:sz w:val="22"/>
          <w:szCs w:val="22"/>
        </w:rPr>
        <w:t>A N T E C E D E N T E S</w:t>
      </w:r>
      <w:bookmarkEnd w:id="1"/>
    </w:p>
    <w:p w14:paraId="73E5FA02" w14:textId="77777777" w:rsidR="002233AD" w:rsidRPr="00FE7FBC"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FE7FBC" w:rsidRDefault="00E35DF9" w:rsidP="00DA638D">
      <w:pPr>
        <w:pStyle w:val="Ttulo2"/>
        <w:spacing w:before="0"/>
        <w:rPr>
          <w:rFonts w:ascii="Palatino Linotype" w:hAnsi="Palatino Linotype" w:cs="Tahoma"/>
          <w:b/>
          <w:color w:val="auto"/>
          <w:sz w:val="22"/>
          <w:szCs w:val="22"/>
        </w:rPr>
      </w:pPr>
      <w:bookmarkStart w:id="2" w:name="_Toc209709305"/>
      <w:r w:rsidRPr="00FE7FBC">
        <w:rPr>
          <w:rFonts w:ascii="Palatino Linotype" w:hAnsi="Palatino Linotype" w:cs="Tahoma"/>
          <w:b/>
          <w:color w:val="auto"/>
          <w:sz w:val="22"/>
          <w:szCs w:val="22"/>
        </w:rPr>
        <w:t>I. Presentación de la solicitud de información</w:t>
      </w:r>
      <w:bookmarkEnd w:id="2"/>
    </w:p>
    <w:p w14:paraId="377901E5" w14:textId="77777777" w:rsidR="00E35DF9" w:rsidRPr="00FE7FBC"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4DB3B185" w:rsidR="00E35DF9" w:rsidRPr="00FE7FBC" w:rsidRDefault="00BB1F81" w:rsidP="00DA638D">
      <w:pPr>
        <w:tabs>
          <w:tab w:val="left" w:pos="567"/>
        </w:tabs>
        <w:spacing w:line="360" w:lineRule="auto"/>
        <w:contextualSpacing/>
        <w:jc w:val="both"/>
        <w:rPr>
          <w:rFonts w:ascii="Palatino Linotype" w:hAnsi="Palatino Linotype" w:cs="Tahoma"/>
          <w:sz w:val="22"/>
          <w:szCs w:val="22"/>
        </w:rPr>
      </w:pPr>
      <w:r w:rsidRPr="00FE7FBC">
        <w:rPr>
          <w:rFonts w:ascii="Palatino Linotype" w:hAnsi="Palatino Linotype" w:cs="Tahoma"/>
          <w:sz w:val="22"/>
          <w:szCs w:val="22"/>
        </w:rPr>
        <w:t>El</w:t>
      </w:r>
      <w:r w:rsidR="00E35DF9" w:rsidRPr="00FE7FBC">
        <w:rPr>
          <w:rFonts w:ascii="Palatino Linotype" w:hAnsi="Palatino Linotype" w:cs="Tahoma"/>
          <w:sz w:val="22"/>
          <w:szCs w:val="22"/>
        </w:rPr>
        <w:t xml:space="preserve"> </w:t>
      </w:r>
      <w:r w:rsidR="00114B0B" w:rsidRPr="00FE7FBC">
        <w:rPr>
          <w:rFonts w:ascii="Palatino Linotype" w:hAnsi="Palatino Linotype" w:cs="Tahoma"/>
          <w:sz w:val="22"/>
          <w:szCs w:val="22"/>
        </w:rPr>
        <w:t>catorce</w:t>
      </w:r>
      <w:r w:rsidR="0030566C" w:rsidRPr="00FE7FBC">
        <w:rPr>
          <w:rFonts w:ascii="Palatino Linotype" w:hAnsi="Palatino Linotype" w:cs="Tahoma"/>
          <w:sz w:val="22"/>
          <w:szCs w:val="22"/>
        </w:rPr>
        <w:t xml:space="preserve"> </w:t>
      </w:r>
      <w:r w:rsidR="0026209A" w:rsidRPr="00FE7FBC">
        <w:rPr>
          <w:rFonts w:ascii="Palatino Linotype" w:hAnsi="Palatino Linotype" w:cs="Tahoma"/>
          <w:sz w:val="22"/>
          <w:szCs w:val="22"/>
        </w:rPr>
        <w:t xml:space="preserve">de </w:t>
      </w:r>
      <w:r w:rsidR="00114B0B" w:rsidRPr="00FE7FBC">
        <w:rPr>
          <w:rFonts w:ascii="Palatino Linotype" w:hAnsi="Palatino Linotype" w:cs="Tahoma"/>
          <w:sz w:val="22"/>
          <w:szCs w:val="22"/>
        </w:rPr>
        <w:t>julio</w:t>
      </w:r>
      <w:r w:rsidR="00D6115B" w:rsidRPr="00FE7FBC">
        <w:rPr>
          <w:rFonts w:ascii="Palatino Linotype" w:hAnsi="Palatino Linotype" w:cs="Tahoma"/>
          <w:sz w:val="22"/>
          <w:szCs w:val="22"/>
        </w:rPr>
        <w:t xml:space="preserve"> de dos mil veinticinco</w:t>
      </w:r>
      <w:r w:rsidR="00E35DF9" w:rsidRPr="00FE7FBC">
        <w:rPr>
          <w:rFonts w:ascii="Palatino Linotype" w:hAnsi="Palatino Linotype" w:cs="Tahoma"/>
          <w:sz w:val="22"/>
          <w:szCs w:val="22"/>
        </w:rPr>
        <w:t xml:space="preserve">, </w:t>
      </w:r>
      <w:r w:rsidR="00C247E5" w:rsidRPr="00FE7FBC">
        <w:rPr>
          <w:rFonts w:ascii="Palatino Linotype" w:hAnsi="Palatino Linotype" w:cs="Tahoma"/>
          <w:sz w:val="22"/>
          <w:szCs w:val="22"/>
        </w:rPr>
        <w:t>el</w:t>
      </w:r>
      <w:r w:rsidR="00E35DF9" w:rsidRPr="00FE7FBC">
        <w:rPr>
          <w:rFonts w:ascii="Palatino Linotype" w:hAnsi="Palatino Linotype" w:cs="Tahoma"/>
          <w:sz w:val="22"/>
          <w:szCs w:val="22"/>
        </w:rPr>
        <w:t xml:space="preserve"> Particular presentó solicitud de acceso a la i</w:t>
      </w:r>
      <w:r w:rsidR="009D6672" w:rsidRPr="00FE7FBC">
        <w:rPr>
          <w:rFonts w:ascii="Palatino Linotype" w:hAnsi="Palatino Linotype" w:cs="Tahoma"/>
          <w:sz w:val="22"/>
          <w:szCs w:val="22"/>
        </w:rPr>
        <w:t>nformación pública, a través de</w:t>
      </w:r>
      <w:r w:rsidR="00EA2594" w:rsidRPr="00FE7FBC">
        <w:rPr>
          <w:rFonts w:ascii="Palatino Linotype" w:hAnsi="Palatino Linotype" w:cs="Tahoma"/>
          <w:sz w:val="22"/>
          <w:szCs w:val="22"/>
        </w:rPr>
        <w:t xml:space="preserve">l </w:t>
      </w:r>
      <w:r w:rsidR="00062387" w:rsidRPr="00FE7FBC">
        <w:rPr>
          <w:rFonts w:ascii="Palatino Linotype" w:hAnsi="Palatino Linotype" w:cs="Tahoma"/>
          <w:sz w:val="22"/>
          <w:szCs w:val="22"/>
        </w:rPr>
        <w:t>Sistema de Acceso a la</w:t>
      </w:r>
      <w:r w:rsidR="000973B8" w:rsidRPr="00FE7FBC">
        <w:rPr>
          <w:rFonts w:ascii="Palatino Linotype" w:hAnsi="Palatino Linotype" w:cs="Tahoma"/>
          <w:sz w:val="22"/>
          <w:szCs w:val="22"/>
        </w:rPr>
        <w:t xml:space="preserve"> Información Mexiquense</w:t>
      </w:r>
      <w:r w:rsidRPr="00FE7FBC">
        <w:rPr>
          <w:rFonts w:ascii="Palatino Linotype" w:hAnsi="Palatino Linotype" w:cs="Tahoma"/>
          <w:sz w:val="22"/>
          <w:szCs w:val="22"/>
        </w:rPr>
        <w:t>, en lo sucesivo</w:t>
      </w:r>
      <w:r w:rsidR="000973B8" w:rsidRPr="00FE7FBC">
        <w:rPr>
          <w:rFonts w:ascii="Palatino Linotype" w:hAnsi="Palatino Linotype" w:cs="Tahoma"/>
          <w:sz w:val="22"/>
          <w:szCs w:val="22"/>
        </w:rPr>
        <w:t xml:space="preserve"> </w:t>
      </w:r>
      <w:r w:rsidRPr="00FE7FBC">
        <w:rPr>
          <w:rFonts w:ascii="Palatino Linotype" w:hAnsi="Palatino Linotype" w:cs="Tahoma"/>
          <w:sz w:val="22"/>
          <w:szCs w:val="22"/>
        </w:rPr>
        <w:t xml:space="preserve">el </w:t>
      </w:r>
      <w:r w:rsidR="000973B8" w:rsidRPr="00FE7FBC">
        <w:rPr>
          <w:rFonts w:ascii="Palatino Linotype" w:hAnsi="Palatino Linotype" w:cs="Tahoma"/>
          <w:sz w:val="22"/>
          <w:szCs w:val="22"/>
        </w:rPr>
        <w:t>SAIMEX</w:t>
      </w:r>
      <w:r w:rsidR="00E35DF9" w:rsidRPr="00FE7FBC">
        <w:rPr>
          <w:rFonts w:ascii="Palatino Linotype" w:hAnsi="Palatino Linotype" w:cs="Tahoma"/>
          <w:sz w:val="22"/>
          <w:szCs w:val="22"/>
        </w:rPr>
        <w:t xml:space="preserve">, ante </w:t>
      </w:r>
      <w:r w:rsidR="009C323D" w:rsidRPr="00FE7FBC">
        <w:rPr>
          <w:rFonts w:ascii="Palatino Linotype" w:hAnsi="Palatino Linotype" w:cs="Tahoma"/>
          <w:sz w:val="22"/>
          <w:szCs w:val="22"/>
        </w:rPr>
        <w:t>e</w:t>
      </w:r>
      <w:r w:rsidR="00212285" w:rsidRPr="00FE7FBC">
        <w:rPr>
          <w:rFonts w:ascii="Palatino Linotype" w:hAnsi="Palatino Linotype" w:cs="Tahoma"/>
          <w:sz w:val="22"/>
          <w:szCs w:val="22"/>
        </w:rPr>
        <w:t>l</w:t>
      </w:r>
      <w:r w:rsidR="00E35DF9" w:rsidRPr="00FE7FBC">
        <w:rPr>
          <w:rFonts w:ascii="Palatino Linotype" w:hAnsi="Palatino Linotype" w:cs="Tahoma"/>
          <w:sz w:val="22"/>
          <w:szCs w:val="22"/>
        </w:rPr>
        <w:t xml:space="preserve"> </w:t>
      </w:r>
      <w:r w:rsidR="00D571F7" w:rsidRPr="00FE7FBC">
        <w:rPr>
          <w:rFonts w:ascii="Palatino Linotype" w:hAnsi="Palatino Linotype" w:cs="Tahoma"/>
          <w:sz w:val="22"/>
          <w:szCs w:val="22"/>
        </w:rPr>
        <w:t>Colegio de Estudios Científicos y Tecnológicos del Estado de México</w:t>
      </w:r>
      <w:r w:rsidR="00E35DF9" w:rsidRPr="00FE7FBC">
        <w:rPr>
          <w:rFonts w:ascii="Palatino Linotype" w:hAnsi="Palatino Linotype" w:cs="Tahoma"/>
          <w:sz w:val="22"/>
          <w:szCs w:val="22"/>
        </w:rPr>
        <w:t xml:space="preserve">, </w:t>
      </w:r>
      <w:r w:rsidR="003A12F1" w:rsidRPr="00FE7FBC">
        <w:rPr>
          <w:rFonts w:ascii="Palatino Linotype" w:hAnsi="Palatino Linotype" w:cs="Tahoma"/>
          <w:sz w:val="22"/>
          <w:szCs w:val="22"/>
        </w:rPr>
        <w:t xml:space="preserve">misma que fue registrada con el número de folio </w:t>
      </w:r>
      <w:r w:rsidR="002C34E0" w:rsidRPr="00FE7FBC">
        <w:rPr>
          <w:rFonts w:ascii="Palatino Linotype" w:hAnsi="Palatino Linotype" w:cs="Tahoma"/>
          <w:sz w:val="22"/>
          <w:szCs w:val="22"/>
        </w:rPr>
        <w:t>00035/</w:t>
      </w:r>
      <w:proofErr w:type="spellStart"/>
      <w:r w:rsidR="002C34E0" w:rsidRPr="00FE7FBC">
        <w:rPr>
          <w:rFonts w:ascii="Palatino Linotype" w:hAnsi="Palatino Linotype" w:cs="Tahoma"/>
          <w:sz w:val="22"/>
          <w:szCs w:val="22"/>
        </w:rPr>
        <w:t>CECyTEM</w:t>
      </w:r>
      <w:proofErr w:type="spellEnd"/>
      <w:r w:rsidR="002C34E0" w:rsidRPr="00FE7FBC">
        <w:rPr>
          <w:rFonts w:ascii="Palatino Linotype" w:hAnsi="Palatino Linotype" w:cs="Tahoma"/>
          <w:sz w:val="22"/>
          <w:szCs w:val="22"/>
        </w:rPr>
        <w:t>/IP/2025</w:t>
      </w:r>
      <w:r w:rsidR="003A12F1" w:rsidRPr="00FE7FBC">
        <w:rPr>
          <w:rFonts w:ascii="Palatino Linotype" w:hAnsi="Palatino Linotype" w:cs="Tahoma"/>
          <w:sz w:val="22"/>
          <w:szCs w:val="22"/>
        </w:rPr>
        <w:t xml:space="preserve">, </w:t>
      </w:r>
      <w:r w:rsidR="00E35DF9" w:rsidRPr="00FE7FBC">
        <w:rPr>
          <w:rFonts w:ascii="Palatino Linotype" w:hAnsi="Palatino Linotype" w:cs="Tahoma"/>
          <w:sz w:val="22"/>
          <w:szCs w:val="22"/>
        </w:rPr>
        <w:t xml:space="preserve">mediante </w:t>
      </w:r>
      <w:r w:rsidR="0074594A" w:rsidRPr="00FE7FBC">
        <w:rPr>
          <w:rFonts w:ascii="Palatino Linotype" w:hAnsi="Palatino Linotype" w:cs="Tahoma"/>
          <w:sz w:val="22"/>
          <w:szCs w:val="22"/>
        </w:rPr>
        <w:t>l</w:t>
      </w:r>
      <w:r w:rsidR="00B50512" w:rsidRPr="00FE7FBC">
        <w:rPr>
          <w:rFonts w:ascii="Palatino Linotype" w:hAnsi="Palatino Linotype" w:cs="Tahoma"/>
          <w:sz w:val="22"/>
          <w:szCs w:val="22"/>
        </w:rPr>
        <w:t>a</w:t>
      </w:r>
      <w:r w:rsidR="00E35DF9" w:rsidRPr="00FE7FBC">
        <w:rPr>
          <w:rFonts w:ascii="Palatino Linotype" w:hAnsi="Palatino Linotype" w:cs="Tahoma"/>
          <w:sz w:val="22"/>
          <w:szCs w:val="22"/>
        </w:rPr>
        <w:t xml:space="preserve"> cual requirió lo siguiente: </w:t>
      </w:r>
    </w:p>
    <w:p w14:paraId="1E7C8AA4" w14:textId="77777777" w:rsidR="00D807FB" w:rsidRPr="00FE7FBC"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FE7FBC"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FE7FBC">
        <w:rPr>
          <w:rFonts w:ascii="Palatino Linotype" w:hAnsi="Palatino Linotype" w:cs="Tahoma"/>
          <w:b/>
          <w:bCs/>
        </w:rPr>
        <w:t>“</w:t>
      </w:r>
      <w:r w:rsidR="00D807FB" w:rsidRPr="00FE7FBC">
        <w:rPr>
          <w:rFonts w:ascii="Palatino Linotype" w:hAnsi="Palatino Linotype" w:cs="Tahoma"/>
          <w:b/>
          <w:bCs/>
        </w:rPr>
        <w:t>DESCRIPCIÓN CLARA Y PRECISA DE LA INFORMACIÓN SOLICITADA</w:t>
      </w:r>
    </w:p>
    <w:p w14:paraId="59F8D6CC" w14:textId="51268BC0" w:rsidR="000F2B83" w:rsidRPr="00FE7FBC" w:rsidRDefault="00DA2F39"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FE7FBC">
        <w:rPr>
          <w:rFonts w:ascii="Palatino Linotype" w:hAnsi="Palatino Linotype"/>
          <w:i/>
          <w:iCs/>
          <w:color w:val="000000"/>
          <w:sz w:val="20"/>
          <w:szCs w:val="20"/>
        </w:rPr>
        <w:t xml:space="preserve">Información de los correos electrónicos de la bandeja de entrada y salida (con documentación anexa) de la UNIDAD JURÍDICA Y DE IGUALDAD DE GÉNERO del CECYTEM; de los meses junio 2025 y julio 2025. </w:t>
      </w:r>
      <w:r w:rsidR="00306E8D" w:rsidRPr="00FE7FBC">
        <w:rPr>
          <w:rFonts w:ascii="Palatino Linotype" w:hAnsi="Palatino Linotype"/>
          <w:i/>
          <w:iCs/>
          <w:color w:val="000000"/>
          <w:sz w:val="20"/>
          <w:szCs w:val="20"/>
        </w:rPr>
        <w:t xml:space="preserve">" </w:t>
      </w:r>
      <w:r w:rsidR="00D74B06" w:rsidRPr="00FE7FBC">
        <w:rPr>
          <w:rFonts w:ascii="Palatino Linotype" w:hAnsi="Palatino Linotype"/>
          <w:i/>
          <w:iCs/>
          <w:color w:val="000000"/>
          <w:sz w:val="20"/>
          <w:szCs w:val="20"/>
        </w:rPr>
        <w:t>(Sic)</w:t>
      </w:r>
      <w:r w:rsidR="007A0F69" w:rsidRPr="00FE7FBC">
        <w:rPr>
          <w:rFonts w:ascii="Palatino Linotype" w:hAnsi="Palatino Linotype"/>
          <w:i/>
          <w:iCs/>
          <w:color w:val="000000"/>
          <w:sz w:val="20"/>
          <w:szCs w:val="20"/>
        </w:rPr>
        <w:t>.</w:t>
      </w:r>
    </w:p>
    <w:p w14:paraId="3A5533C4" w14:textId="77777777" w:rsidR="007E4927" w:rsidRPr="00FE7FBC"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0223C587" w14:textId="77777777" w:rsidR="007D7B85" w:rsidRPr="00FE7FBC" w:rsidRDefault="007D7B85"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C243B49" w:rsidR="00306E8D" w:rsidRPr="00FE7FBC" w:rsidRDefault="007D7B85" w:rsidP="007D7B85">
      <w:pPr>
        <w:pStyle w:val="Prrafodelista"/>
        <w:tabs>
          <w:tab w:val="left" w:pos="567"/>
        </w:tabs>
        <w:spacing w:line="360" w:lineRule="auto"/>
        <w:ind w:left="567" w:right="539"/>
        <w:rPr>
          <w:rFonts w:ascii="Palatino Linotype" w:hAnsi="Palatino Linotype" w:cs="Tahoma"/>
          <w:b/>
          <w:i/>
          <w:iCs/>
          <w:sz w:val="20"/>
          <w:szCs w:val="22"/>
        </w:rPr>
      </w:pPr>
      <w:r w:rsidRPr="00FE7FBC">
        <w:rPr>
          <w:rFonts w:ascii="Palatino Linotype" w:hAnsi="Palatino Linotype" w:cs="Tahoma"/>
          <w:b/>
          <w:i/>
          <w:iCs/>
          <w:sz w:val="20"/>
          <w:szCs w:val="22"/>
        </w:rPr>
        <w:lastRenderedPageBreak/>
        <w:t>“</w:t>
      </w:r>
      <w:r w:rsidR="00E35DF9" w:rsidRPr="00FE7FBC">
        <w:rPr>
          <w:rFonts w:ascii="Palatino Linotype" w:hAnsi="Palatino Linotype" w:cs="Tahoma"/>
          <w:b/>
          <w:i/>
          <w:iCs/>
          <w:sz w:val="20"/>
          <w:szCs w:val="22"/>
        </w:rPr>
        <w:t>MODALIDAD DE ENTREGA</w:t>
      </w:r>
      <w:r w:rsidR="00007985" w:rsidRPr="00FE7FBC">
        <w:rPr>
          <w:rFonts w:ascii="Palatino Linotype" w:hAnsi="Palatino Linotype" w:cs="Tahoma"/>
          <w:b/>
          <w:i/>
          <w:iCs/>
          <w:sz w:val="20"/>
          <w:szCs w:val="22"/>
        </w:rPr>
        <w:t xml:space="preserve"> </w:t>
      </w:r>
    </w:p>
    <w:p w14:paraId="71AFB001" w14:textId="09555E2C" w:rsidR="00E35DF9" w:rsidRPr="00FE7FBC"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FE7FBC">
        <w:rPr>
          <w:rFonts w:ascii="Palatino Linotype" w:hAnsi="Palatino Linotype" w:cs="Tahoma"/>
          <w:i/>
          <w:sz w:val="20"/>
          <w:szCs w:val="22"/>
        </w:rPr>
        <w:t>A través del SAIMEX</w:t>
      </w:r>
      <w:r w:rsidR="007E4927" w:rsidRPr="00FE7FBC">
        <w:rPr>
          <w:rFonts w:ascii="Palatino Linotype" w:hAnsi="Palatino Linotype" w:cs="Tahoma"/>
          <w:i/>
          <w:sz w:val="20"/>
          <w:szCs w:val="22"/>
        </w:rPr>
        <w:t>”</w:t>
      </w:r>
    </w:p>
    <w:p w14:paraId="5AC1889F" w14:textId="77777777" w:rsidR="00B65301" w:rsidRPr="00FE7FBC" w:rsidRDefault="00B65301" w:rsidP="00B65301">
      <w:pPr>
        <w:tabs>
          <w:tab w:val="left" w:pos="567"/>
        </w:tabs>
        <w:spacing w:line="360" w:lineRule="auto"/>
        <w:ind w:right="539"/>
        <w:jc w:val="both"/>
        <w:rPr>
          <w:rFonts w:ascii="Palatino Linotype" w:hAnsi="Palatino Linotype" w:cs="Tahoma"/>
          <w:i/>
          <w:szCs w:val="22"/>
        </w:rPr>
      </w:pPr>
    </w:p>
    <w:p w14:paraId="3A79F5A0" w14:textId="5A628EBD" w:rsidR="00681D84" w:rsidRPr="00FE7FBC" w:rsidRDefault="000B7934" w:rsidP="00DA638D">
      <w:pPr>
        <w:pStyle w:val="Ttulo2"/>
        <w:spacing w:before="0"/>
      </w:pPr>
      <w:bookmarkStart w:id="3" w:name="_Toc209709306"/>
      <w:r w:rsidRPr="00FE7FBC">
        <w:rPr>
          <w:rFonts w:ascii="Palatino Linotype" w:hAnsi="Palatino Linotype" w:cs="Tahoma"/>
          <w:b/>
          <w:color w:val="auto"/>
          <w:sz w:val="22"/>
          <w:szCs w:val="22"/>
        </w:rPr>
        <w:t>I</w:t>
      </w:r>
      <w:r w:rsidR="00F86BFB" w:rsidRPr="00FE7FBC">
        <w:rPr>
          <w:rFonts w:ascii="Palatino Linotype" w:hAnsi="Palatino Linotype" w:cs="Tahoma"/>
          <w:b/>
          <w:color w:val="auto"/>
          <w:sz w:val="22"/>
          <w:szCs w:val="22"/>
        </w:rPr>
        <w:t xml:space="preserve">I. </w:t>
      </w:r>
      <w:r w:rsidR="00681D84" w:rsidRPr="00FE7FBC">
        <w:rPr>
          <w:rFonts w:ascii="Palatino Linotype" w:hAnsi="Palatino Linotype" w:cs="Tahoma"/>
          <w:b/>
          <w:color w:val="auto"/>
          <w:sz w:val="22"/>
          <w:szCs w:val="22"/>
        </w:rPr>
        <w:t>Respuesta del Sujeto Obligado</w:t>
      </w:r>
      <w:bookmarkEnd w:id="3"/>
    </w:p>
    <w:p w14:paraId="73D0CD8B" w14:textId="77777777" w:rsidR="00E0128F" w:rsidRPr="00FE7FBC"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3C44179F" w:rsidR="009C323D" w:rsidRPr="00FE7FBC"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FE7FBC">
        <w:rPr>
          <w:rFonts w:ascii="Palatino Linotype" w:hAnsi="Palatino Linotype" w:cs="Tahoma"/>
          <w:sz w:val="22"/>
          <w:szCs w:val="22"/>
        </w:rPr>
        <w:t>El</w:t>
      </w:r>
      <w:r w:rsidR="00681D84" w:rsidRPr="00FE7FBC">
        <w:rPr>
          <w:rFonts w:ascii="Palatino Linotype" w:hAnsi="Palatino Linotype" w:cs="Tahoma"/>
          <w:sz w:val="22"/>
          <w:szCs w:val="22"/>
        </w:rPr>
        <w:t xml:space="preserve"> </w:t>
      </w:r>
      <w:r w:rsidR="00A44E17" w:rsidRPr="00FE7FBC">
        <w:rPr>
          <w:rFonts w:ascii="Palatino Linotype" w:hAnsi="Palatino Linotype" w:cs="Tahoma"/>
          <w:sz w:val="22"/>
          <w:szCs w:val="22"/>
        </w:rPr>
        <w:t>doce</w:t>
      </w:r>
      <w:r w:rsidR="00306E8D" w:rsidRPr="00FE7FBC">
        <w:rPr>
          <w:rFonts w:ascii="Palatino Linotype" w:hAnsi="Palatino Linotype" w:cs="Tahoma"/>
          <w:sz w:val="22"/>
          <w:szCs w:val="22"/>
        </w:rPr>
        <w:t xml:space="preserve"> </w:t>
      </w:r>
      <w:r w:rsidR="00FA33D1" w:rsidRPr="00FE7FBC">
        <w:rPr>
          <w:rFonts w:ascii="Palatino Linotype" w:hAnsi="Palatino Linotype" w:cs="Tahoma"/>
          <w:sz w:val="22"/>
          <w:szCs w:val="22"/>
        </w:rPr>
        <w:t xml:space="preserve">de </w:t>
      </w:r>
      <w:r w:rsidR="0048783B" w:rsidRPr="00FE7FBC">
        <w:rPr>
          <w:rFonts w:ascii="Palatino Linotype" w:hAnsi="Palatino Linotype" w:cs="Tahoma"/>
          <w:sz w:val="22"/>
          <w:szCs w:val="22"/>
        </w:rPr>
        <w:t>agosto</w:t>
      </w:r>
      <w:r w:rsidR="00F86BFB" w:rsidRPr="00FE7FBC">
        <w:rPr>
          <w:rFonts w:ascii="Palatino Linotype" w:hAnsi="Palatino Linotype" w:cs="Tahoma"/>
          <w:sz w:val="22"/>
          <w:szCs w:val="22"/>
        </w:rPr>
        <w:t xml:space="preserve"> </w:t>
      </w:r>
      <w:r w:rsidR="00B71F2C" w:rsidRPr="00FE7FBC">
        <w:rPr>
          <w:rFonts w:ascii="Palatino Linotype" w:hAnsi="Palatino Linotype" w:cs="Tahoma"/>
          <w:sz w:val="22"/>
          <w:szCs w:val="22"/>
        </w:rPr>
        <w:t>de dos mil veinti</w:t>
      </w:r>
      <w:r w:rsidR="00F93A36" w:rsidRPr="00FE7FBC">
        <w:rPr>
          <w:rFonts w:ascii="Palatino Linotype" w:hAnsi="Palatino Linotype" w:cs="Tahoma"/>
          <w:sz w:val="22"/>
          <w:szCs w:val="22"/>
        </w:rPr>
        <w:t>c</w:t>
      </w:r>
      <w:r w:rsidR="00CD10BF" w:rsidRPr="00FE7FBC">
        <w:rPr>
          <w:rFonts w:ascii="Palatino Linotype" w:hAnsi="Palatino Linotype" w:cs="Tahoma"/>
          <w:sz w:val="22"/>
          <w:szCs w:val="22"/>
        </w:rPr>
        <w:t>inco</w:t>
      </w:r>
      <w:r w:rsidR="00681D84" w:rsidRPr="00FE7FBC">
        <w:rPr>
          <w:rFonts w:ascii="Palatino Linotype" w:hAnsi="Palatino Linotype" w:cs="Tahoma"/>
          <w:sz w:val="22"/>
          <w:szCs w:val="22"/>
        </w:rPr>
        <w:t xml:space="preserve">, </w:t>
      </w:r>
      <w:r w:rsidR="00D74B06" w:rsidRPr="00FE7FBC">
        <w:rPr>
          <w:rFonts w:ascii="Palatino Linotype" w:hAnsi="Palatino Linotype" w:cs="Tahoma"/>
          <w:sz w:val="22"/>
          <w:szCs w:val="22"/>
        </w:rPr>
        <w:t xml:space="preserve">el Sujeto Obligado </w:t>
      </w:r>
      <w:r w:rsidR="008453FA" w:rsidRPr="00FE7FBC">
        <w:rPr>
          <w:rFonts w:ascii="Palatino Linotype" w:hAnsi="Palatino Linotype" w:cs="Tahoma"/>
          <w:sz w:val="22"/>
          <w:szCs w:val="22"/>
        </w:rPr>
        <w:t xml:space="preserve">otorgó respuesta a través del </w:t>
      </w:r>
      <w:r w:rsidRPr="00FE7FBC">
        <w:rPr>
          <w:rFonts w:ascii="Palatino Linotype" w:hAnsi="Palatino Linotype" w:cs="Tahoma"/>
          <w:sz w:val="22"/>
          <w:szCs w:val="22"/>
        </w:rPr>
        <w:t>SAIMEX</w:t>
      </w:r>
      <w:r w:rsidR="008453FA" w:rsidRPr="00FE7FBC">
        <w:rPr>
          <w:rFonts w:ascii="Palatino Linotype" w:hAnsi="Palatino Linotype" w:cs="Tahoma"/>
          <w:sz w:val="22"/>
          <w:szCs w:val="22"/>
        </w:rPr>
        <w:t xml:space="preserve"> en </w:t>
      </w:r>
      <w:r w:rsidR="009C323D" w:rsidRPr="00FE7FBC">
        <w:rPr>
          <w:rFonts w:ascii="Palatino Linotype" w:hAnsi="Palatino Linotype" w:cs="Tahoma"/>
          <w:sz w:val="22"/>
          <w:szCs w:val="22"/>
        </w:rPr>
        <w:t>los siguientes términos:</w:t>
      </w:r>
    </w:p>
    <w:p w14:paraId="04142AB6" w14:textId="77777777" w:rsidR="00F86BFB" w:rsidRPr="00FE7FBC"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FE7FBC"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E7FBC">
        <w:rPr>
          <w:rFonts w:ascii="Palatino Linotype" w:hAnsi="Palatino Linotype" w:cs="Tahoma"/>
          <w:i/>
          <w:szCs w:val="22"/>
        </w:rPr>
        <w:t>“…</w:t>
      </w:r>
      <w:r w:rsidR="00F25E23" w:rsidRPr="00FE7FBC">
        <w:rPr>
          <w:rFonts w:ascii="Palatino Linotype" w:hAnsi="Palatino Linotype" w:cs="Tahoma"/>
          <w:i/>
          <w:szCs w:val="22"/>
        </w:rPr>
        <w:t xml:space="preserve"> </w:t>
      </w:r>
    </w:p>
    <w:p w14:paraId="6CB8F223" w14:textId="488E25ED" w:rsidR="007401D6" w:rsidRPr="00FE7FBC" w:rsidRDefault="009D2767"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E7FBC">
        <w:rPr>
          <w:rFonts w:ascii="Palatino Linotype" w:hAnsi="Palatino Linotype" w:cs="Tahoma"/>
          <w:i/>
          <w:szCs w:val="22"/>
        </w:rPr>
        <w:t xml:space="preserve">Se emite la respuesta correspondiente a través del oficio No. 228C0401010000S/681/2025 de fecha 11 de agosto de 2025, que emite la Titular de la Unidad Jurídica y de Igualdad de Género del Colegio de Estudios Científicos y Tecnológicos del Estado de México. </w:t>
      </w:r>
      <w:r w:rsidR="00785311" w:rsidRPr="00FE7FBC">
        <w:rPr>
          <w:rFonts w:ascii="Palatino Linotype" w:hAnsi="Palatino Linotype" w:cs="Tahoma"/>
          <w:i/>
          <w:szCs w:val="22"/>
        </w:rPr>
        <w:t>…”</w:t>
      </w:r>
    </w:p>
    <w:p w14:paraId="03CF6C0E" w14:textId="77777777" w:rsidR="0096397D" w:rsidRPr="00FE7FBC" w:rsidRDefault="0096397D" w:rsidP="0096397D">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7CD58FD0" w14:textId="11E45B21" w:rsidR="00CD1DDC" w:rsidRPr="00FE7FBC" w:rsidRDefault="0096397D" w:rsidP="00CD1DDC">
      <w:pPr>
        <w:tabs>
          <w:tab w:val="left" w:pos="3122"/>
        </w:tabs>
        <w:spacing w:line="360" w:lineRule="auto"/>
        <w:contextualSpacing/>
        <w:jc w:val="both"/>
        <w:rPr>
          <w:rFonts w:ascii="Palatino Linotype" w:hAnsi="Palatino Linotype" w:cs="Tahoma"/>
          <w:sz w:val="22"/>
          <w:szCs w:val="22"/>
        </w:rPr>
      </w:pPr>
      <w:r w:rsidRPr="00FE7FBC">
        <w:rPr>
          <w:rFonts w:ascii="Palatino Linotype" w:hAnsi="Palatino Linotype" w:cs="Tahoma"/>
          <w:sz w:val="22"/>
          <w:szCs w:val="22"/>
        </w:rPr>
        <w:t xml:space="preserve">A esta respuesta, </w:t>
      </w:r>
      <w:r w:rsidR="00F156B5" w:rsidRPr="00FE7FBC">
        <w:rPr>
          <w:rFonts w:ascii="Palatino Linotype" w:hAnsi="Palatino Linotype" w:cs="Tahoma"/>
          <w:sz w:val="22"/>
          <w:szCs w:val="22"/>
        </w:rPr>
        <w:t xml:space="preserve">adjuntó el archivo de nombre </w:t>
      </w:r>
      <w:r w:rsidR="009D2767" w:rsidRPr="00FE7FBC">
        <w:rPr>
          <w:rFonts w:ascii="Palatino Linotype" w:hAnsi="Palatino Linotype" w:cs="Tahoma"/>
          <w:b/>
          <w:bCs/>
          <w:sz w:val="22"/>
          <w:szCs w:val="22"/>
        </w:rPr>
        <w:t>OFICIO 681_2025 SOL 35_25.pdf</w:t>
      </w:r>
      <w:r w:rsidR="009168A6" w:rsidRPr="00FE7FBC">
        <w:rPr>
          <w:rFonts w:ascii="Palatino Linotype" w:hAnsi="Palatino Linotype" w:cs="Tahoma"/>
          <w:b/>
          <w:bCs/>
          <w:sz w:val="22"/>
          <w:szCs w:val="22"/>
        </w:rPr>
        <w:t xml:space="preserve">, </w:t>
      </w:r>
      <w:r w:rsidR="007F2DD0" w:rsidRPr="00FE7FBC">
        <w:rPr>
          <w:rFonts w:ascii="Palatino Linotype" w:hAnsi="Palatino Linotype" w:cs="Tahoma"/>
          <w:sz w:val="22"/>
          <w:szCs w:val="22"/>
        </w:rPr>
        <w:t xml:space="preserve">que contiene oficio emitido por </w:t>
      </w:r>
      <w:r w:rsidR="00183B3E" w:rsidRPr="00FE7FBC">
        <w:rPr>
          <w:rFonts w:ascii="Palatino Linotype" w:hAnsi="Palatino Linotype" w:cs="Tahoma"/>
          <w:sz w:val="22"/>
          <w:szCs w:val="22"/>
        </w:rPr>
        <w:t>la Titular de la Unidad Jurídica y de Igualdad de Género</w:t>
      </w:r>
      <w:r w:rsidR="007F2DD0" w:rsidRPr="00FE7FBC">
        <w:rPr>
          <w:rFonts w:ascii="Palatino Linotype" w:hAnsi="Palatino Linotype" w:cs="Tahoma"/>
          <w:sz w:val="22"/>
          <w:szCs w:val="22"/>
        </w:rPr>
        <w:t xml:space="preserve">, quien en lo central </w:t>
      </w:r>
      <w:r w:rsidR="00225617" w:rsidRPr="00FE7FBC">
        <w:rPr>
          <w:rFonts w:ascii="Palatino Linotype" w:hAnsi="Palatino Linotype" w:cs="Tahoma"/>
          <w:sz w:val="22"/>
          <w:szCs w:val="22"/>
        </w:rPr>
        <w:t>refirió</w:t>
      </w:r>
      <w:r w:rsidR="007F2DD0" w:rsidRPr="00FE7FBC">
        <w:rPr>
          <w:rFonts w:ascii="Palatino Linotype" w:hAnsi="Palatino Linotype" w:cs="Tahoma"/>
          <w:sz w:val="22"/>
          <w:szCs w:val="22"/>
        </w:rPr>
        <w:t xml:space="preserve"> que</w:t>
      </w:r>
      <w:r w:rsidR="00183B3E" w:rsidRPr="00FE7FBC">
        <w:rPr>
          <w:rFonts w:ascii="Palatino Linotype" w:hAnsi="Palatino Linotype" w:cs="Tahoma"/>
          <w:sz w:val="22"/>
          <w:szCs w:val="22"/>
        </w:rPr>
        <w:t xml:space="preserve"> no era posible entregar la información, en virtud de se desconocía el uso que darían a la misma.</w:t>
      </w:r>
    </w:p>
    <w:p w14:paraId="1C3A37B6" w14:textId="77777777" w:rsidR="00965E2D" w:rsidRPr="00FE7FBC" w:rsidRDefault="00965E2D" w:rsidP="00CD1DDC">
      <w:pPr>
        <w:tabs>
          <w:tab w:val="left" w:pos="3122"/>
        </w:tabs>
        <w:spacing w:line="360" w:lineRule="auto"/>
        <w:contextualSpacing/>
        <w:jc w:val="both"/>
        <w:rPr>
          <w:rFonts w:ascii="Palatino Linotype" w:hAnsi="Palatino Linotype" w:cs="Tahoma"/>
          <w:sz w:val="22"/>
          <w:szCs w:val="22"/>
        </w:rPr>
      </w:pPr>
    </w:p>
    <w:p w14:paraId="0637CC34" w14:textId="79A00B5B" w:rsidR="001A412B" w:rsidRPr="00FE7FBC" w:rsidRDefault="00107098" w:rsidP="00DA638D">
      <w:pPr>
        <w:pStyle w:val="Ttulo2"/>
        <w:spacing w:before="0"/>
        <w:rPr>
          <w:rFonts w:ascii="Palatino Linotype" w:hAnsi="Palatino Linotype" w:cs="Tahoma"/>
          <w:b/>
          <w:color w:val="auto"/>
          <w:sz w:val="22"/>
          <w:szCs w:val="22"/>
        </w:rPr>
      </w:pPr>
      <w:bookmarkStart w:id="4" w:name="_Toc209709307"/>
      <w:bookmarkEnd w:id="0"/>
      <w:r w:rsidRPr="00FE7FBC">
        <w:rPr>
          <w:rFonts w:ascii="Palatino Linotype" w:hAnsi="Palatino Linotype" w:cs="Tahoma"/>
          <w:b/>
          <w:color w:val="auto"/>
          <w:sz w:val="22"/>
          <w:szCs w:val="22"/>
        </w:rPr>
        <w:t>III</w:t>
      </w:r>
      <w:r w:rsidR="009A7587" w:rsidRPr="00FE7FBC">
        <w:rPr>
          <w:rFonts w:ascii="Palatino Linotype" w:hAnsi="Palatino Linotype" w:cs="Tahoma"/>
          <w:b/>
          <w:color w:val="auto"/>
          <w:sz w:val="22"/>
          <w:szCs w:val="22"/>
        </w:rPr>
        <w:t>. Interposición del Recurso de Revisión</w:t>
      </w:r>
      <w:bookmarkEnd w:id="4"/>
    </w:p>
    <w:p w14:paraId="25A18BAF" w14:textId="77777777" w:rsidR="00F87649" w:rsidRPr="00FE7FBC"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47528C76" w:rsidR="009A7587" w:rsidRPr="00FE7FBC" w:rsidRDefault="009A7587" w:rsidP="00DA638D">
      <w:pPr>
        <w:tabs>
          <w:tab w:val="left" w:pos="3122"/>
        </w:tabs>
        <w:spacing w:line="360" w:lineRule="auto"/>
        <w:contextualSpacing/>
        <w:jc w:val="both"/>
        <w:rPr>
          <w:rFonts w:ascii="Palatino Linotype" w:hAnsi="Palatino Linotype" w:cs="Tahoma"/>
          <w:sz w:val="22"/>
          <w:szCs w:val="22"/>
        </w:rPr>
      </w:pPr>
      <w:r w:rsidRPr="00FE7FBC">
        <w:rPr>
          <w:rFonts w:ascii="Palatino Linotype" w:hAnsi="Palatino Linotype" w:cs="Tahoma"/>
          <w:sz w:val="22"/>
          <w:szCs w:val="22"/>
        </w:rPr>
        <w:t>Con fecha</w:t>
      </w:r>
      <w:r w:rsidR="00E13C8C" w:rsidRPr="00FE7FBC">
        <w:rPr>
          <w:rFonts w:ascii="Palatino Linotype" w:hAnsi="Palatino Linotype" w:cs="Tahoma"/>
          <w:sz w:val="22"/>
          <w:szCs w:val="22"/>
        </w:rPr>
        <w:t xml:space="preserve"> </w:t>
      </w:r>
      <w:r w:rsidR="003F01E2" w:rsidRPr="00FE7FBC">
        <w:rPr>
          <w:rFonts w:ascii="Palatino Linotype" w:hAnsi="Palatino Linotype" w:cs="Tahoma"/>
          <w:sz w:val="22"/>
          <w:szCs w:val="22"/>
        </w:rPr>
        <w:t>doce</w:t>
      </w:r>
      <w:r w:rsidR="00166805" w:rsidRPr="00FE7FBC">
        <w:rPr>
          <w:rFonts w:ascii="Palatino Linotype" w:hAnsi="Palatino Linotype" w:cs="Tahoma"/>
          <w:sz w:val="22"/>
          <w:szCs w:val="22"/>
        </w:rPr>
        <w:t xml:space="preserve"> de </w:t>
      </w:r>
      <w:r w:rsidR="00225617" w:rsidRPr="00FE7FBC">
        <w:rPr>
          <w:rFonts w:ascii="Palatino Linotype" w:hAnsi="Palatino Linotype" w:cs="Tahoma"/>
          <w:sz w:val="22"/>
          <w:szCs w:val="22"/>
        </w:rPr>
        <w:t>agosto</w:t>
      </w:r>
      <w:r w:rsidR="009C323D" w:rsidRPr="00FE7FBC">
        <w:rPr>
          <w:rFonts w:ascii="Palatino Linotype" w:hAnsi="Palatino Linotype" w:cs="Tahoma"/>
          <w:sz w:val="22"/>
          <w:szCs w:val="22"/>
        </w:rPr>
        <w:t xml:space="preserve"> </w:t>
      </w:r>
      <w:r w:rsidR="00B267E1" w:rsidRPr="00FE7FBC">
        <w:rPr>
          <w:rFonts w:ascii="Palatino Linotype" w:hAnsi="Palatino Linotype" w:cs="Tahoma"/>
          <w:sz w:val="22"/>
          <w:szCs w:val="22"/>
        </w:rPr>
        <w:t>de dos mil veinti</w:t>
      </w:r>
      <w:r w:rsidR="00F93A36" w:rsidRPr="00FE7FBC">
        <w:rPr>
          <w:rFonts w:ascii="Palatino Linotype" w:hAnsi="Palatino Linotype" w:cs="Tahoma"/>
          <w:sz w:val="22"/>
          <w:szCs w:val="22"/>
        </w:rPr>
        <w:t>c</w:t>
      </w:r>
      <w:r w:rsidR="00BF4B55" w:rsidRPr="00FE7FBC">
        <w:rPr>
          <w:rFonts w:ascii="Palatino Linotype" w:hAnsi="Palatino Linotype" w:cs="Tahoma"/>
          <w:sz w:val="22"/>
          <w:szCs w:val="22"/>
        </w:rPr>
        <w:t>inco</w:t>
      </w:r>
      <w:r w:rsidRPr="00FE7FBC">
        <w:rPr>
          <w:rFonts w:ascii="Palatino Linotype" w:hAnsi="Palatino Linotype" w:cs="Tahoma"/>
          <w:sz w:val="22"/>
          <w:szCs w:val="22"/>
        </w:rPr>
        <w:t xml:space="preserve">, a través del </w:t>
      </w:r>
      <w:r w:rsidR="00BB1F81" w:rsidRPr="00FE7FBC">
        <w:rPr>
          <w:rFonts w:ascii="Palatino Linotype" w:hAnsi="Palatino Linotype" w:cs="Tahoma"/>
          <w:sz w:val="22"/>
          <w:szCs w:val="22"/>
          <w:lang w:val="es-ES"/>
        </w:rPr>
        <w:t>SAIMEX</w:t>
      </w:r>
      <w:r w:rsidR="00A048C7" w:rsidRPr="00FE7FBC">
        <w:rPr>
          <w:rFonts w:ascii="Palatino Linotype" w:hAnsi="Palatino Linotype" w:cs="Tahoma"/>
          <w:sz w:val="22"/>
          <w:szCs w:val="22"/>
        </w:rPr>
        <w:t>, se interpus</w:t>
      </w:r>
      <w:r w:rsidR="003C3E71" w:rsidRPr="00FE7FBC">
        <w:rPr>
          <w:rFonts w:ascii="Palatino Linotype" w:hAnsi="Palatino Linotype" w:cs="Tahoma"/>
          <w:sz w:val="22"/>
          <w:szCs w:val="22"/>
        </w:rPr>
        <w:t>o</w:t>
      </w:r>
      <w:r w:rsidR="00A048C7" w:rsidRPr="00FE7FBC">
        <w:rPr>
          <w:rFonts w:ascii="Palatino Linotype" w:hAnsi="Palatino Linotype" w:cs="Tahoma"/>
          <w:sz w:val="22"/>
          <w:szCs w:val="22"/>
        </w:rPr>
        <w:t xml:space="preserve"> </w:t>
      </w:r>
      <w:r w:rsidR="003C3E71" w:rsidRPr="00FE7FBC">
        <w:rPr>
          <w:rFonts w:ascii="Palatino Linotype" w:hAnsi="Palatino Linotype" w:cs="Tahoma"/>
          <w:sz w:val="22"/>
          <w:szCs w:val="22"/>
        </w:rPr>
        <w:t>el</w:t>
      </w:r>
      <w:r w:rsidRPr="00FE7FBC">
        <w:rPr>
          <w:rFonts w:ascii="Palatino Linotype" w:hAnsi="Palatino Linotype" w:cs="Tahoma"/>
          <w:sz w:val="22"/>
          <w:szCs w:val="22"/>
        </w:rPr>
        <w:t xml:space="preserve"> presente Recurso de Revisión por</w:t>
      </w:r>
      <w:r w:rsidR="008E6658" w:rsidRPr="00FE7FBC">
        <w:rPr>
          <w:rFonts w:ascii="Palatino Linotype" w:hAnsi="Palatino Linotype" w:cs="Tahoma"/>
          <w:sz w:val="22"/>
          <w:szCs w:val="22"/>
        </w:rPr>
        <w:t xml:space="preserve"> </w:t>
      </w:r>
      <w:r w:rsidR="0035716C" w:rsidRPr="00FE7FBC">
        <w:rPr>
          <w:rFonts w:ascii="Palatino Linotype" w:hAnsi="Palatino Linotype" w:cs="Tahoma"/>
          <w:sz w:val="22"/>
          <w:szCs w:val="22"/>
        </w:rPr>
        <w:t xml:space="preserve">el </w:t>
      </w:r>
      <w:r w:rsidRPr="00FE7FBC">
        <w:rPr>
          <w:rFonts w:ascii="Palatino Linotype" w:hAnsi="Palatino Linotype" w:cs="Tahoma"/>
          <w:sz w:val="22"/>
          <w:szCs w:val="22"/>
        </w:rPr>
        <w:t xml:space="preserve">Recurrente, en contra de </w:t>
      </w:r>
      <w:r w:rsidR="00655265" w:rsidRPr="00FE7FBC">
        <w:rPr>
          <w:rFonts w:ascii="Palatino Linotype" w:hAnsi="Palatino Linotype" w:cs="Tahoma"/>
          <w:sz w:val="22"/>
          <w:szCs w:val="22"/>
        </w:rPr>
        <w:t>la respuesta emitida</w:t>
      </w:r>
      <w:r w:rsidRPr="00FE7FBC">
        <w:rPr>
          <w:rFonts w:ascii="Palatino Linotype" w:hAnsi="Palatino Linotype" w:cs="Tahoma"/>
          <w:sz w:val="22"/>
          <w:szCs w:val="22"/>
        </w:rPr>
        <w:t xml:space="preserve"> por el Sujeto Obligado a </w:t>
      </w:r>
      <w:r w:rsidR="00655265" w:rsidRPr="00FE7FBC">
        <w:rPr>
          <w:rFonts w:ascii="Palatino Linotype" w:hAnsi="Palatino Linotype" w:cs="Tahoma"/>
          <w:sz w:val="22"/>
          <w:szCs w:val="22"/>
        </w:rPr>
        <w:t>la solicitud</w:t>
      </w:r>
      <w:r w:rsidRPr="00FE7FBC">
        <w:rPr>
          <w:rFonts w:ascii="Palatino Linotype" w:hAnsi="Palatino Linotype" w:cs="Tahoma"/>
          <w:sz w:val="22"/>
          <w:szCs w:val="22"/>
        </w:rPr>
        <w:t xml:space="preserve"> de información, en los siguientes términos:</w:t>
      </w:r>
    </w:p>
    <w:p w14:paraId="44E7141C" w14:textId="77777777" w:rsidR="002233AD" w:rsidRPr="00FE7FBC" w:rsidRDefault="002233AD" w:rsidP="00DA638D">
      <w:pPr>
        <w:tabs>
          <w:tab w:val="left" w:pos="4995"/>
        </w:tabs>
        <w:spacing w:line="360" w:lineRule="auto"/>
        <w:contextualSpacing/>
        <w:jc w:val="both"/>
        <w:rPr>
          <w:rFonts w:ascii="Palatino Linotype" w:hAnsi="Palatino Linotype" w:cs="Tahoma"/>
          <w:i/>
          <w:iCs/>
          <w:sz w:val="22"/>
          <w:szCs w:val="22"/>
        </w:rPr>
      </w:pPr>
    </w:p>
    <w:p w14:paraId="6FFB47B1" w14:textId="28DB0C35" w:rsidR="00D5699B" w:rsidRPr="00FE7FBC" w:rsidRDefault="00306E8D" w:rsidP="00DA638D">
      <w:pPr>
        <w:spacing w:line="360" w:lineRule="auto"/>
        <w:ind w:left="567" w:right="539"/>
        <w:contextualSpacing/>
        <w:jc w:val="both"/>
        <w:rPr>
          <w:rFonts w:ascii="Palatino Linotype" w:hAnsi="Palatino Linotype" w:cs="Tahoma"/>
          <w:b/>
          <w:bCs/>
          <w:i/>
          <w:iCs/>
        </w:rPr>
      </w:pPr>
      <w:r w:rsidRPr="00FE7FBC">
        <w:rPr>
          <w:rFonts w:ascii="Palatino Linotype" w:hAnsi="Palatino Linotype" w:cs="Tahoma"/>
          <w:b/>
          <w:bCs/>
          <w:i/>
          <w:iCs/>
        </w:rPr>
        <w:t>“</w:t>
      </w:r>
      <w:r w:rsidR="00D5699B" w:rsidRPr="00FE7FBC">
        <w:rPr>
          <w:rFonts w:ascii="Palatino Linotype" w:hAnsi="Palatino Linotype" w:cs="Tahoma"/>
          <w:b/>
          <w:bCs/>
          <w:i/>
          <w:iCs/>
        </w:rPr>
        <w:t>ACTO IMPUGNADO</w:t>
      </w:r>
    </w:p>
    <w:p w14:paraId="15FA431F" w14:textId="26C49255" w:rsidR="003D1770" w:rsidRPr="00FE7FBC" w:rsidRDefault="003F01E2" w:rsidP="00DA638D">
      <w:pPr>
        <w:spacing w:line="360" w:lineRule="auto"/>
        <w:ind w:left="567" w:right="539"/>
        <w:contextualSpacing/>
        <w:jc w:val="both"/>
        <w:rPr>
          <w:rFonts w:ascii="Palatino Linotype" w:hAnsi="Palatino Linotype" w:cs="Tahoma"/>
          <w:bCs/>
          <w:i/>
          <w:iCs/>
        </w:rPr>
      </w:pPr>
      <w:r w:rsidRPr="00FE7FBC">
        <w:rPr>
          <w:rFonts w:ascii="Palatino Linotype" w:hAnsi="Palatino Linotype" w:cs="Tahoma"/>
          <w:bCs/>
          <w:i/>
          <w:iCs/>
        </w:rPr>
        <w:t>Negativa de información.</w:t>
      </w:r>
      <w:r w:rsidR="00306E8D" w:rsidRPr="00FE7FBC">
        <w:rPr>
          <w:rFonts w:ascii="Palatino Linotype" w:hAnsi="Palatino Linotype" w:cs="Tahoma"/>
          <w:bCs/>
          <w:i/>
          <w:iCs/>
        </w:rPr>
        <w:t>”</w:t>
      </w:r>
      <w:r w:rsidR="007E3047" w:rsidRPr="00FE7FBC">
        <w:rPr>
          <w:rFonts w:ascii="Palatino Linotype" w:hAnsi="Palatino Linotype" w:cs="Tahoma"/>
          <w:bCs/>
          <w:i/>
          <w:iCs/>
        </w:rPr>
        <w:t xml:space="preserve"> (Sic)</w:t>
      </w:r>
      <w:r w:rsidR="00D63A43" w:rsidRPr="00FE7FBC">
        <w:rPr>
          <w:rFonts w:ascii="Palatino Linotype" w:hAnsi="Palatino Linotype" w:cs="Tahoma"/>
          <w:bCs/>
          <w:i/>
          <w:iCs/>
        </w:rPr>
        <w:t>.</w:t>
      </w:r>
    </w:p>
    <w:p w14:paraId="3CEDAC71" w14:textId="77777777" w:rsidR="00CE2F19" w:rsidRPr="00FE7FBC" w:rsidRDefault="00CE2F19" w:rsidP="00DA638D">
      <w:pPr>
        <w:spacing w:line="360" w:lineRule="auto"/>
        <w:ind w:left="567" w:right="539"/>
        <w:contextualSpacing/>
        <w:jc w:val="both"/>
        <w:rPr>
          <w:rFonts w:ascii="Palatino Linotype" w:hAnsi="Palatino Linotype" w:cs="Tahoma"/>
          <w:bCs/>
          <w:i/>
          <w:iCs/>
        </w:rPr>
      </w:pPr>
    </w:p>
    <w:p w14:paraId="39E43757" w14:textId="77777777" w:rsidR="007D7B85" w:rsidRPr="00FE7FBC" w:rsidRDefault="007D7B85" w:rsidP="00DA638D">
      <w:pPr>
        <w:spacing w:line="360" w:lineRule="auto"/>
        <w:ind w:left="567" w:right="539"/>
        <w:contextualSpacing/>
        <w:jc w:val="both"/>
        <w:rPr>
          <w:rFonts w:ascii="Palatino Linotype" w:hAnsi="Palatino Linotype" w:cs="Tahoma"/>
          <w:bCs/>
          <w:i/>
          <w:iCs/>
        </w:rPr>
      </w:pPr>
    </w:p>
    <w:p w14:paraId="04FD3D07" w14:textId="0977FDDD" w:rsidR="00CE2F19" w:rsidRPr="00FE7FBC" w:rsidRDefault="007D7B85" w:rsidP="00DA638D">
      <w:pPr>
        <w:spacing w:line="360" w:lineRule="auto"/>
        <w:ind w:left="567" w:right="539"/>
        <w:contextualSpacing/>
        <w:jc w:val="both"/>
        <w:rPr>
          <w:rFonts w:ascii="Palatino Linotype" w:hAnsi="Palatino Linotype" w:cs="Tahoma"/>
          <w:b/>
          <w:bCs/>
          <w:i/>
          <w:iCs/>
        </w:rPr>
      </w:pPr>
      <w:r w:rsidRPr="00FE7FBC">
        <w:rPr>
          <w:rFonts w:ascii="Palatino Linotype" w:hAnsi="Palatino Linotype" w:cs="Tahoma"/>
          <w:b/>
          <w:bCs/>
          <w:i/>
          <w:iCs/>
        </w:rPr>
        <w:lastRenderedPageBreak/>
        <w:t>“</w:t>
      </w:r>
      <w:r w:rsidR="00CE2F19" w:rsidRPr="00FE7FBC">
        <w:rPr>
          <w:rFonts w:ascii="Palatino Linotype" w:hAnsi="Palatino Linotype" w:cs="Tahoma"/>
          <w:b/>
          <w:bCs/>
          <w:i/>
          <w:iCs/>
        </w:rPr>
        <w:t>RAZONES O MOTIVOS DE LA INCONFORMIDAD</w:t>
      </w:r>
    </w:p>
    <w:p w14:paraId="767024D8" w14:textId="6797D1BB" w:rsidR="00306E8D" w:rsidRPr="00FE7FBC" w:rsidRDefault="004D17F9" w:rsidP="00DA638D">
      <w:pPr>
        <w:spacing w:line="360" w:lineRule="auto"/>
        <w:ind w:left="567" w:right="539"/>
        <w:contextualSpacing/>
        <w:jc w:val="both"/>
        <w:rPr>
          <w:rFonts w:ascii="Palatino Linotype" w:hAnsi="Palatino Linotype" w:cs="Tahoma"/>
          <w:b/>
          <w:bCs/>
        </w:rPr>
      </w:pPr>
      <w:r w:rsidRPr="00FE7FBC">
        <w:rPr>
          <w:rFonts w:ascii="Palatino Linotype" w:hAnsi="Palatino Linotype" w:cs="Tahoma"/>
          <w:bCs/>
          <w:i/>
          <w:iCs/>
        </w:rPr>
        <w:t>Se interpone el presente recurso por el intento de violar mi derecho</w:t>
      </w:r>
      <w:r w:rsidRPr="00FE7FBC">
        <w:rPr>
          <w:rFonts w:ascii="Palatino Linotype" w:hAnsi="Palatino Linotype" w:cs="Tahoma"/>
          <w:bCs/>
          <w:i/>
        </w:rPr>
        <w:t xml:space="preserve"> humano de acceso a la información, fundado en los artículos 1 y 6 de la Constitución Política de los Estados Unidos Mexicanos; en el artículo 5 de la Constitución Política del Estado Libre y Soberano de México; y en los artículos 4 y 15 de la Ley de Transparencia y Acceso a la Información Pública del Estado de México y Municipios; además de que se quebrantan las disposiciones contenidas en los similares 12, 16, 20, 21, 23, 24, 52, 53, 57 y 59 de la Ley de Transparencia y Acceso a la Información Pública del Estado de México y Municipios (en adelante Ley de Transparencia). En la respuesta recibida el día 12 de agosto de 2025, bajo el oficio número No. 228C0401010000S/681/2025 se configura un acto de molestia por parte del Colegio de Estudios Científicos y Tecnológicos del Estado de México a quien suscribe en calidad de solicitante. 1.- En el primer párrafo de la respuesta se invocan los artículos 12 y 24 último párrafo de la Ley de Transparencia; mismos que en el cuerpo del oficio y en la esencia de la respuesta omiten cumplir por los siguiente: Con base a la consideraciones que se plasman en el artículo 12, estableciendo que “Quienes generen, recopilen, administren, manejen, procesen, archiven o conserven información pública serán responsables de la misma en los términos de las disposiciones jurídicas aplicables” además de que “Los sujetos obligados sólo proporcionarán la información pública que se les requiera y que obre en sus archivos y en el estado en que ésta se encuentre.” y lo referente al último párrafo del artículo 24 “Los sujetos obligados solo proporcionarán la información pública que generen, administren o posean en el ejercicio de sus atribuciones.” ; es oportuno mencionar que en la Unidad Jurídica y de Igualdad de Género del CECYTEM (en adelante Unidad Jurídica), por la naturaleza de sus funciones: se genera, recopila, administra, maneja, procesa, archiva y conserva información pública. Ahora bien, la información solicitada bajo el folio 00035/</w:t>
      </w:r>
      <w:proofErr w:type="spellStart"/>
      <w:r w:rsidRPr="00FE7FBC">
        <w:rPr>
          <w:rFonts w:ascii="Palatino Linotype" w:hAnsi="Palatino Linotype" w:cs="Tahoma"/>
          <w:bCs/>
          <w:i/>
        </w:rPr>
        <w:t>CECyTEM</w:t>
      </w:r>
      <w:proofErr w:type="spellEnd"/>
      <w:r w:rsidRPr="00FE7FBC">
        <w:rPr>
          <w:rFonts w:ascii="Palatino Linotype" w:hAnsi="Palatino Linotype" w:cs="Tahoma"/>
          <w:bCs/>
          <w:i/>
        </w:rPr>
        <w:t xml:space="preserve">/IP/2025, en una adecuada actividad archivística por parte de la Unidad Jurídica, debiese existir y encontrarse a disposición para ser proporcionada toda vez que (recalco) es información pública que debiera obrar en los archivos de Colegio o de la Unidad en mención, además es información que se genera y administra en el ejercicio de las atribuciones y competencias de la Unidad Jurídica. Dicho lo anterior, quién suscribe no solicito procesamiento alguno de la información ni su presentación bajo algún interés en particular. 2.- En el cuarto párrafo </w:t>
      </w:r>
      <w:r w:rsidRPr="00FE7FBC">
        <w:rPr>
          <w:rFonts w:ascii="Palatino Linotype" w:hAnsi="Palatino Linotype" w:cs="Tahoma"/>
          <w:bCs/>
          <w:i/>
        </w:rPr>
        <w:lastRenderedPageBreak/>
        <w:t xml:space="preserve">se manifiesta el acto de molestia de negación y ocultamiento de la información pública al mencionar “usted como peticionario, no se identifica, no expresa motivos, ni el uso que le dará a dicha información, se considera que no es viable entregar los anexos requeridos…“ (Sic.). Lo anterior en menoscabo a lo establecido en el artículo 16 de la Ley de Transparencia citada, que a la letra dice: “El ejercicio del derecho de acceso a la información no estará condicionado a que el solicitante acredite interés alguno o justifique su utilización…” y “Por ningún motivo los servidores públicos podrán requerir a los solicitantes de información que manifiesten las causas por las que presentan su solicitud o los fines a los cuales habrán de destinar los datos que requieren.” 3.- En cuanto hace a la ampliación de la justificación (carente de fundamento legal) de la negación de la información, en el mismo párrafo cuarto se argumenta que se niega la información “toda vez que, se debe salvaguardar en todo momento los derechos de terceras personas,…” (Sic.). Sin embargo el sujeto obligado es omiso a la atribución y responsabilidad otorgada en el artículo 52 de la Ley de Transparencia, sobre el sometimiento de la información a un proceso de disociación que no haga identificables a los titulares de los datos personales existentes. 4.- De la resolución plasmada en la respuesta no existe fundamento legal claro que soporte la negativa de información. Por lo anterior, se solicita que se proporcione la información solicitada mediante folio </w:t>
      </w:r>
      <w:proofErr w:type="spellStart"/>
      <w:r w:rsidRPr="00FE7FBC">
        <w:rPr>
          <w:rFonts w:ascii="Palatino Linotype" w:hAnsi="Palatino Linotype" w:cs="Tahoma"/>
          <w:bCs/>
          <w:i/>
        </w:rPr>
        <w:t>folio</w:t>
      </w:r>
      <w:proofErr w:type="spellEnd"/>
      <w:r w:rsidRPr="00FE7FBC">
        <w:rPr>
          <w:rFonts w:ascii="Palatino Linotype" w:hAnsi="Palatino Linotype" w:cs="Tahoma"/>
          <w:bCs/>
          <w:i/>
        </w:rPr>
        <w:t xml:space="preserve"> 00035/</w:t>
      </w:r>
      <w:proofErr w:type="spellStart"/>
      <w:r w:rsidRPr="00FE7FBC">
        <w:rPr>
          <w:rFonts w:ascii="Palatino Linotype" w:hAnsi="Palatino Linotype" w:cs="Tahoma"/>
          <w:bCs/>
          <w:i/>
        </w:rPr>
        <w:t>CECyTEM</w:t>
      </w:r>
      <w:proofErr w:type="spellEnd"/>
      <w:r w:rsidRPr="00FE7FBC">
        <w:rPr>
          <w:rFonts w:ascii="Palatino Linotype" w:hAnsi="Palatino Linotype" w:cs="Tahoma"/>
          <w:bCs/>
          <w:i/>
        </w:rPr>
        <w:t xml:space="preserve">/IP/2025, para no ser </w:t>
      </w:r>
      <w:proofErr w:type="spellStart"/>
      <w:r w:rsidRPr="00FE7FBC">
        <w:rPr>
          <w:rFonts w:ascii="Palatino Linotype" w:hAnsi="Palatino Linotype" w:cs="Tahoma"/>
          <w:bCs/>
          <w:i/>
        </w:rPr>
        <w:t>victima</w:t>
      </w:r>
      <w:proofErr w:type="spellEnd"/>
      <w:r w:rsidRPr="00FE7FBC">
        <w:rPr>
          <w:rFonts w:ascii="Palatino Linotype" w:hAnsi="Palatino Linotype" w:cs="Tahoma"/>
          <w:bCs/>
          <w:i/>
        </w:rPr>
        <w:t xml:space="preserve"> de violación del derecho humano de acceso a la información.</w:t>
      </w:r>
      <w:r w:rsidR="00306E8D" w:rsidRPr="00FE7FBC">
        <w:rPr>
          <w:rFonts w:ascii="Palatino Linotype" w:hAnsi="Palatino Linotype"/>
          <w:color w:val="000000"/>
        </w:rPr>
        <w:t>” (Sic)</w:t>
      </w:r>
    </w:p>
    <w:p w14:paraId="5BC6895E" w14:textId="77777777" w:rsidR="00342378" w:rsidRPr="00FE7FBC" w:rsidRDefault="00342378" w:rsidP="00DA638D">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FE7FBC" w:rsidRDefault="00306E8D" w:rsidP="00DA638D">
      <w:pPr>
        <w:pStyle w:val="Ttulo2"/>
        <w:spacing w:before="0"/>
        <w:rPr>
          <w:rFonts w:ascii="Palatino Linotype" w:eastAsia="Batang" w:hAnsi="Palatino Linotype" w:cs="Tahoma"/>
          <w:b/>
          <w:bCs/>
          <w:color w:val="auto"/>
          <w:sz w:val="22"/>
          <w:szCs w:val="22"/>
        </w:rPr>
      </w:pPr>
      <w:bookmarkStart w:id="6" w:name="_Toc209709308"/>
      <w:bookmarkEnd w:id="5"/>
      <w:r w:rsidRPr="00FE7FBC">
        <w:rPr>
          <w:rStyle w:val="Ttulo2Car"/>
          <w:rFonts w:ascii="Palatino Linotype" w:hAnsi="Palatino Linotype"/>
          <w:b/>
          <w:color w:val="auto"/>
          <w:sz w:val="22"/>
          <w:szCs w:val="22"/>
        </w:rPr>
        <w:t>I</w:t>
      </w:r>
      <w:r w:rsidR="00FF1049" w:rsidRPr="00FE7FBC">
        <w:rPr>
          <w:rStyle w:val="Ttulo2Car"/>
          <w:rFonts w:ascii="Palatino Linotype" w:hAnsi="Palatino Linotype"/>
          <w:b/>
          <w:color w:val="auto"/>
          <w:sz w:val="22"/>
          <w:szCs w:val="22"/>
        </w:rPr>
        <w:t>V</w:t>
      </w:r>
      <w:r w:rsidR="009A7587" w:rsidRPr="00FE7FBC">
        <w:rPr>
          <w:rStyle w:val="Ttulo2Car"/>
          <w:rFonts w:ascii="Palatino Linotype" w:hAnsi="Palatino Linotype"/>
          <w:b/>
          <w:color w:val="auto"/>
          <w:sz w:val="22"/>
          <w:szCs w:val="22"/>
        </w:rPr>
        <w:t>. Trámite del Recurso de Revisión ante el Instituto</w:t>
      </w:r>
      <w:bookmarkEnd w:id="6"/>
    </w:p>
    <w:p w14:paraId="50590A19" w14:textId="77777777" w:rsidR="007E4927" w:rsidRPr="00FE7FBC" w:rsidRDefault="007E4927" w:rsidP="00DA638D">
      <w:pPr>
        <w:spacing w:line="360" w:lineRule="auto"/>
        <w:contextualSpacing/>
        <w:jc w:val="both"/>
        <w:rPr>
          <w:rFonts w:ascii="Palatino Linotype" w:eastAsia="Batang" w:hAnsi="Palatino Linotype" w:cs="Tahoma"/>
          <w:b/>
          <w:bCs/>
          <w:sz w:val="22"/>
          <w:szCs w:val="22"/>
        </w:rPr>
      </w:pPr>
    </w:p>
    <w:p w14:paraId="02E53335" w14:textId="04D6C734" w:rsidR="00C950E3" w:rsidRPr="00FE7FBC" w:rsidRDefault="009A7587" w:rsidP="00DA638D">
      <w:pPr>
        <w:spacing w:line="360" w:lineRule="auto"/>
        <w:contextualSpacing/>
        <w:jc w:val="both"/>
        <w:rPr>
          <w:rFonts w:ascii="Palatino Linotype" w:eastAsia="Batang" w:hAnsi="Palatino Linotype" w:cs="Tahoma"/>
          <w:bCs/>
          <w:sz w:val="22"/>
          <w:szCs w:val="22"/>
        </w:rPr>
      </w:pPr>
      <w:bookmarkStart w:id="7" w:name="_Toc209709309"/>
      <w:r w:rsidRPr="00FE7FBC">
        <w:rPr>
          <w:rStyle w:val="Ttulo3Car"/>
          <w:rFonts w:ascii="Palatino Linotype" w:hAnsi="Palatino Linotype"/>
          <w:b/>
          <w:color w:val="auto"/>
          <w:sz w:val="22"/>
          <w:szCs w:val="22"/>
        </w:rPr>
        <w:t>a) Turno del Recurso de Revisión</w:t>
      </w:r>
      <w:r w:rsidRPr="00FE7FBC">
        <w:rPr>
          <w:rStyle w:val="Ttulo3Car"/>
          <w:rFonts w:ascii="Palatino Linotype" w:hAnsi="Palatino Linotype"/>
          <w:color w:val="auto"/>
          <w:sz w:val="22"/>
          <w:szCs w:val="22"/>
        </w:rPr>
        <w:t>.</w:t>
      </w:r>
      <w:bookmarkEnd w:id="7"/>
      <w:r w:rsidRPr="00FE7FBC">
        <w:rPr>
          <w:rFonts w:ascii="Palatino Linotype" w:eastAsia="Batang" w:hAnsi="Palatino Linotype" w:cs="Tahoma"/>
          <w:b/>
          <w:bCs/>
          <w:sz w:val="22"/>
          <w:szCs w:val="22"/>
        </w:rPr>
        <w:t xml:space="preserve"> </w:t>
      </w:r>
      <w:r w:rsidR="00A06844" w:rsidRPr="00FE7FBC">
        <w:rPr>
          <w:rFonts w:ascii="Palatino Linotype" w:eastAsia="Batang" w:hAnsi="Palatino Linotype" w:cs="Tahoma"/>
          <w:bCs/>
          <w:sz w:val="22"/>
          <w:szCs w:val="22"/>
        </w:rPr>
        <w:t xml:space="preserve">El </w:t>
      </w:r>
      <w:r w:rsidR="00E9121A" w:rsidRPr="00FE7FBC">
        <w:rPr>
          <w:rFonts w:ascii="Palatino Linotype" w:eastAsia="Batang" w:hAnsi="Palatino Linotype" w:cs="Tahoma"/>
          <w:bCs/>
          <w:sz w:val="22"/>
          <w:szCs w:val="22"/>
        </w:rPr>
        <w:t>doce</w:t>
      </w:r>
      <w:r w:rsidR="00805163" w:rsidRPr="00FE7FBC">
        <w:rPr>
          <w:rFonts w:ascii="Palatino Linotype" w:hAnsi="Palatino Linotype" w:cs="Tahoma"/>
          <w:sz w:val="22"/>
          <w:szCs w:val="22"/>
        </w:rPr>
        <w:t xml:space="preserve"> de </w:t>
      </w:r>
      <w:r w:rsidR="00967054" w:rsidRPr="00FE7FBC">
        <w:rPr>
          <w:rFonts w:ascii="Palatino Linotype" w:hAnsi="Palatino Linotype" w:cs="Tahoma"/>
          <w:sz w:val="22"/>
          <w:szCs w:val="22"/>
        </w:rPr>
        <w:t>agosto</w:t>
      </w:r>
      <w:r w:rsidR="00805163" w:rsidRPr="00FE7FBC">
        <w:rPr>
          <w:rFonts w:ascii="Palatino Linotype" w:hAnsi="Palatino Linotype" w:cs="Tahoma"/>
          <w:sz w:val="22"/>
          <w:szCs w:val="22"/>
        </w:rPr>
        <w:t xml:space="preserve"> </w:t>
      </w:r>
      <w:r w:rsidR="00BF4B55" w:rsidRPr="00FE7FBC">
        <w:rPr>
          <w:rFonts w:ascii="Palatino Linotype" w:hAnsi="Palatino Linotype" w:cs="Tahoma"/>
          <w:sz w:val="22"/>
          <w:szCs w:val="22"/>
        </w:rPr>
        <w:t>de dos mil veinticinco</w:t>
      </w:r>
      <w:r w:rsidR="00A06844" w:rsidRPr="00FE7FBC">
        <w:rPr>
          <w:rFonts w:ascii="Palatino Linotype" w:eastAsia="Batang" w:hAnsi="Palatino Linotype" w:cs="Tahoma"/>
          <w:bCs/>
          <w:sz w:val="22"/>
          <w:szCs w:val="22"/>
        </w:rPr>
        <w:t xml:space="preserve">, </w:t>
      </w:r>
      <w:r w:rsidR="00D5699B" w:rsidRPr="00FE7FBC">
        <w:rPr>
          <w:rFonts w:ascii="Palatino Linotype" w:eastAsia="Batang" w:hAnsi="Palatino Linotype" w:cs="Tahoma"/>
          <w:bCs/>
          <w:sz w:val="22"/>
          <w:szCs w:val="22"/>
        </w:rPr>
        <w:t xml:space="preserve">el </w:t>
      </w:r>
      <w:r w:rsidR="00BB1F81" w:rsidRPr="00FE7FBC">
        <w:rPr>
          <w:rFonts w:ascii="Palatino Linotype" w:eastAsia="Batang" w:hAnsi="Palatino Linotype" w:cs="Tahoma"/>
          <w:bCs/>
          <w:sz w:val="22"/>
          <w:szCs w:val="22"/>
        </w:rPr>
        <w:t>SAIMEX</w:t>
      </w:r>
      <w:r w:rsidR="00D5699B" w:rsidRPr="00FE7FBC">
        <w:rPr>
          <w:rFonts w:ascii="Palatino Linotype" w:eastAsia="Batang" w:hAnsi="Palatino Linotype" w:cs="Tahoma"/>
          <w:bCs/>
          <w:sz w:val="22"/>
          <w:szCs w:val="22"/>
        </w:rPr>
        <w:t xml:space="preserve">, asignó el número de expediente </w:t>
      </w:r>
      <w:r w:rsidR="009D0182" w:rsidRPr="00FE7FBC">
        <w:rPr>
          <w:rFonts w:ascii="Palatino Linotype" w:eastAsia="Batang" w:hAnsi="Palatino Linotype" w:cs="Tahoma"/>
          <w:b/>
          <w:bCs/>
          <w:sz w:val="22"/>
          <w:szCs w:val="22"/>
        </w:rPr>
        <w:t>09431/INFOEM/IP/RR/2025</w:t>
      </w:r>
      <w:r w:rsidR="00D5699B" w:rsidRPr="00FE7FBC">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E7FBC">
        <w:rPr>
          <w:rFonts w:ascii="Palatino Linotype" w:eastAsia="Batang" w:hAnsi="Palatino Linotype" w:cs="Tahoma"/>
          <w:b/>
          <w:bCs/>
          <w:sz w:val="22"/>
          <w:szCs w:val="22"/>
        </w:rPr>
        <w:t>Comisionado Ponente Luis Gustavo Parra Noriega</w:t>
      </w:r>
      <w:r w:rsidR="00D5699B" w:rsidRPr="00FE7FBC">
        <w:rPr>
          <w:rFonts w:ascii="Palatino Linotype" w:eastAsia="Batang" w:hAnsi="Palatino Linotype" w:cs="Tahoma"/>
          <w:bCs/>
          <w:sz w:val="22"/>
          <w:szCs w:val="22"/>
        </w:rPr>
        <w:t>, para los efectos del artículo 185, fracción I</w:t>
      </w:r>
      <w:r w:rsidR="00BB1F81" w:rsidRPr="00FE7FBC">
        <w:rPr>
          <w:rFonts w:ascii="Palatino Linotype" w:eastAsia="Batang" w:hAnsi="Palatino Linotype" w:cs="Tahoma"/>
          <w:bCs/>
          <w:sz w:val="22"/>
          <w:szCs w:val="22"/>
        </w:rPr>
        <w:t>,</w:t>
      </w:r>
      <w:r w:rsidR="00D5699B" w:rsidRPr="00FE7FBC">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FE7FBC" w:rsidRDefault="00D5699B" w:rsidP="00DA638D">
      <w:pPr>
        <w:spacing w:line="360" w:lineRule="auto"/>
        <w:contextualSpacing/>
        <w:jc w:val="both"/>
        <w:rPr>
          <w:rFonts w:ascii="Palatino Linotype" w:eastAsia="Batang" w:hAnsi="Palatino Linotype" w:cs="Tahoma"/>
          <w:b/>
          <w:bCs/>
          <w:sz w:val="22"/>
          <w:szCs w:val="22"/>
        </w:rPr>
      </w:pPr>
    </w:p>
    <w:p w14:paraId="0C0F7170" w14:textId="24A2AE8E" w:rsidR="00253937" w:rsidRPr="00FE7FBC" w:rsidRDefault="009A7587" w:rsidP="00DA638D">
      <w:pPr>
        <w:spacing w:line="360" w:lineRule="auto"/>
        <w:contextualSpacing/>
        <w:jc w:val="both"/>
        <w:rPr>
          <w:rFonts w:ascii="Palatino Linotype" w:hAnsi="Palatino Linotype" w:cs="Tahoma"/>
          <w:bCs/>
          <w:sz w:val="22"/>
          <w:szCs w:val="22"/>
          <w:lang w:val="es-ES_tradnl"/>
        </w:rPr>
      </w:pPr>
      <w:bookmarkStart w:id="8" w:name="_Toc209709310"/>
      <w:r w:rsidRPr="00FE7FBC">
        <w:rPr>
          <w:rStyle w:val="Ttulo3Car"/>
          <w:rFonts w:ascii="Palatino Linotype" w:hAnsi="Palatino Linotype"/>
          <w:b/>
          <w:color w:val="auto"/>
          <w:sz w:val="22"/>
          <w:szCs w:val="22"/>
        </w:rPr>
        <w:lastRenderedPageBreak/>
        <w:t>b) Admisión del Recurso de Revisión</w:t>
      </w:r>
      <w:r w:rsidRPr="00FE7FBC">
        <w:rPr>
          <w:rStyle w:val="Ttulo3Car"/>
          <w:rFonts w:ascii="Palatino Linotype" w:hAnsi="Palatino Linotype"/>
          <w:color w:val="auto"/>
          <w:sz w:val="22"/>
          <w:szCs w:val="22"/>
        </w:rPr>
        <w:t>.</w:t>
      </w:r>
      <w:bookmarkEnd w:id="8"/>
      <w:r w:rsidRPr="00FE7FBC">
        <w:rPr>
          <w:rFonts w:ascii="Palatino Linotype" w:eastAsia="Batang" w:hAnsi="Palatino Linotype" w:cs="Tahoma"/>
          <w:b/>
          <w:bCs/>
          <w:sz w:val="22"/>
          <w:szCs w:val="22"/>
          <w:lang w:val="es-ES_tradnl"/>
        </w:rPr>
        <w:t xml:space="preserve"> </w:t>
      </w:r>
      <w:r w:rsidRPr="00FE7FBC">
        <w:rPr>
          <w:rFonts w:ascii="Palatino Linotype" w:hAnsi="Palatino Linotype" w:cs="Tahoma"/>
          <w:bCs/>
          <w:sz w:val="22"/>
          <w:szCs w:val="22"/>
        </w:rPr>
        <w:t>El</w:t>
      </w:r>
      <w:r w:rsidR="00EB3A2C" w:rsidRPr="00FE7FBC">
        <w:rPr>
          <w:rFonts w:ascii="Palatino Linotype" w:hAnsi="Palatino Linotype" w:cs="Tahoma"/>
          <w:bCs/>
          <w:sz w:val="22"/>
          <w:szCs w:val="22"/>
        </w:rPr>
        <w:t xml:space="preserve"> </w:t>
      </w:r>
      <w:r w:rsidR="00957FD8" w:rsidRPr="00FE7FBC">
        <w:rPr>
          <w:rFonts w:ascii="Palatino Linotype" w:hAnsi="Palatino Linotype" w:cs="Tahoma"/>
          <w:bCs/>
          <w:sz w:val="22"/>
          <w:szCs w:val="22"/>
        </w:rPr>
        <w:t>quince</w:t>
      </w:r>
      <w:r w:rsidR="005A0452" w:rsidRPr="00FE7FBC">
        <w:rPr>
          <w:rFonts w:ascii="Palatino Linotype" w:hAnsi="Palatino Linotype" w:cs="Tahoma"/>
          <w:bCs/>
          <w:sz w:val="22"/>
          <w:szCs w:val="22"/>
        </w:rPr>
        <w:t xml:space="preserve"> </w:t>
      </w:r>
      <w:r w:rsidR="00805163" w:rsidRPr="00FE7FBC">
        <w:rPr>
          <w:rFonts w:ascii="Palatino Linotype" w:hAnsi="Palatino Linotype" w:cs="Tahoma"/>
          <w:bCs/>
          <w:sz w:val="22"/>
          <w:szCs w:val="22"/>
        </w:rPr>
        <w:t xml:space="preserve">de </w:t>
      </w:r>
      <w:r w:rsidR="00967054" w:rsidRPr="00FE7FBC">
        <w:rPr>
          <w:rFonts w:ascii="Palatino Linotype" w:hAnsi="Palatino Linotype" w:cs="Tahoma"/>
          <w:bCs/>
          <w:sz w:val="22"/>
          <w:szCs w:val="22"/>
        </w:rPr>
        <w:t>agosto</w:t>
      </w:r>
      <w:r w:rsidR="00BF4B55" w:rsidRPr="00FE7FBC">
        <w:rPr>
          <w:rFonts w:ascii="Palatino Linotype" w:hAnsi="Palatino Linotype" w:cs="Tahoma"/>
          <w:bCs/>
          <w:sz w:val="22"/>
          <w:szCs w:val="22"/>
        </w:rPr>
        <w:t xml:space="preserve"> de dos mil veinticinco</w:t>
      </w:r>
      <w:r w:rsidRPr="00FE7FBC">
        <w:rPr>
          <w:rFonts w:ascii="Palatino Linotype" w:hAnsi="Palatino Linotype" w:cs="Tahoma"/>
          <w:bCs/>
          <w:sz w:val="22"/>
          <w:szCs w:val="22"/>
        </w:rPr>
        <w:t xml:space="preserve">, </w:t>
      </w:r>
      <w:r w:rsidR="001F787A" w:rsidRPr="00FE7FBC">
        <w:rPr>
          <w:rFonts w:ascii="Palatino Linotype" w:hAnsi="Palatino Linotype" w:cs="Tahoma"/>
          <w:bCs/>
          <w:sz w:val="22"/>
          <w:szCs w:val="22"/>
        </w:rPr>
        <w:t xml:space="preserve">se acordó la admisión del </w:t>
      </w:r>
      <w:r w:rsidR="001F787A" w:rsidRPr="00FE7FBC">
        <w:rPr>
          <w:rFonts w:ascii="Palatino Linotype" w:hAnsi="Palatino Linotype" w:cs="Tahoma"/>
          <w:bCs/>
          <w:sz w:val="22"/>
          <w:szCs w:val="22"/>
          <w:lang w:val="es-ES_tradnl"/>
        </w:rPr>
        <w:t xml:space="preserve">Recurso de Revisión interpuesto por el Recurrente en contra del </w:t>
      </w:r>
      <w:r w:rsidR="001F787A" w:rsidRPr="00FE7FBC">
        <w:rPr>
          <w:rFonts w:ascii="Palatino Linotype" w:hAnsi="Palatino Linotype" w:cs="Tahoma"/>
          <w:b/>
          <w:bCs/>
          <w:sz w:val="22"/>
          <w:szCs w:val="22"/>
          <w:lang w:val="es-ES_tradnl"/>
        </w:rPr>
        <w:t>Sujeto Obligado</w:t>
      </w:r>
      <w:r w:rsidR="001F787A" w:rsidRPr="00FE7FBC">
        <w:rPr>
          <w:rFonts w:ascii="Palatino Linotype" w:hAnsi="Palatino Linotype" w:cs="Tahoma"/>
          <w:bCs/>
          <w:sz w:val="22"/>
          <w:szCs w:val="22"/>
          <w:lang w:val="es-ES_tradnl"/>
        </w:rPr>
        <w:t>, en términos del artículo 185, fracciones I, II y IV</w:t>
      </w:r>
      <w:r w:rsidR="00BB1F81" w:rsidRPr="00FE7FBC">
        <w:rPr>
          <w:rFonts w:ascii="Palatino Linotype" w:hAnsi="Palatino Linotype" w:cs="Tahoma"/>
          <w:bCs/>
          <w:sz w:val="22"/>
          <w:szCs w:val="22"/>
          <w:lang w:val="es-ES_tradnl"/>
        </w:rPr>
        <w:t>,</w:t>
      </w:r>
      <w:r w:rsidR="001F787A" w:rsidRPr="00FE7FBC">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E7FBC">
        <w:rPr>
          <w:rFonts w:ascii="Palatino Linotype" w:hAnsi="Palatino Linotype" w:cs="Tahoma"/>
          <w:bCs/>
          <w:sz w:val="22"/>
          <w:szCs w:val="22"/>
          <w:lang w:val="es-ES_tradnl"/>
        </w:rPr>
        <w:t>o a las partes el mismo día</w:t>
      </w:r>
      <w:r w:rsidR="001F787A" w:rsidRPr="00FE7FBC">
        <w:rPr>
          <w:rFonts w:ascii="Palatino Linotype" w:hAnsi="Palatino Linotype" w:cs="Tahoma"/>
          <w:bCs/>
          <w:sz w:val="22"/>
          <w:szCs w:val="22"/>
          <w:lang w:val="es-ES_tradnl"/>
        </w:rPr>
        <w:t xml:space="preserve"> a través del </w:t>
      </w:r>
      <w:r w:rsidR="00BB1F81" w:rsidRPr="00FE7FBC">
        <w:rPr>
          <w:rFonts w:ascii="Palatino Linotype" w:hAnsi="Palatino Linotype" w:cs="Tahoma"/>
          <w:bCs/>
          <w:sz w:val="22"/>
          <w:szCs w:val="22"/>
          <w:lang w:val="es-ES_tradnl"/>
        </w:rPr>
        <w:t>SAIMEX</w:t>
      </w:r>
      <w:r w:rsidR="001F787A" w:rsidRPr="00FE7FBC">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FE7FBC" w:rsidRDefault="00253937" w:rsidP="00DA638D">
      <w:pPr>
        <w:spacing w:line="360" w:lineRule="auto"/>
        <w:contextualSpacing/>
        <w:jc w:val="both"/>
        <w:rPr>
          <w:rFonts w:ascii="Palatino Linotype" w:hAnsi="Palatino Linotype" w:cs="Tahoma"/>
          <w:bCs/>
          <w:sz w:val="22"/>
          <w:szCs w:val="22"/>
          <w:lang w:val="es-ES_tradnl"/>
        </w:rPr>
      </w:pPr>
    </w:p>
    <w:p w14:paraId="046A2EAA" w14:textId="36A9F2B7" w:rsidR="00166805" w:rsidRPr="00FE7FBC" w:rsidRDefault="00007985" w:rsidP="00DA638D">
      <w:pPr>
        <w:spacing w:line="360" w:lineRule="auto"/>
        <w:jc w:val="both"/>
        <w:rPr>
          <w:rFonts w:ascii="Palatino Linotype" w:eastAsia="Batang" w:hAnsi="Palatino Linotype" w:cs="Tahoma"/>
          <w:bCs/>
          <w:sz w:val="22"/>
          <w:szCs w:val="22"/>
          <w:lang w:val="es-ES_tradnl"/>
        </w:rPr>
      </w:pPr>
      <w:bookmarkStart w:id="9" w:name="_Toc190261913"/>
      <w:bookmarkStart w:id="10" w:name="_Toc209709311"/>
      <w:r w:rsidRPr="00FE7FBC">
        <w:rPr>
          <w:rStyle w:val="Ttulo3Car"/>
          <w:rFonts w:ascii="Palatino Linotype" w:hAnsi="Palatino Linotype"/>
          <w:b/>
          <w:color w:val="auto"/>
          <w:sz w:val="22"/>
          <w:szCs w:val="22"/>
        </w:rPr>
        <w:t>c) Informe Justificado.</w:t>
      </w:r>
      <w:bookmarkEnd w:id="9"/>
      <w:bookmarkEnd w:id="10"/>
      <w:r w:rsidRPr="00FE7FBC">
        <w:rPr>
          <w:rFonts w:ascii="Palatino Linotype" w:eastAsia="Batang" w:hAnsi="Palatino Linotype" w:cs="Tahoma"/>
          <w:b/>
          <w:bCs/>
          <w:sz w:val="22"/>
          <w:szCs w:val="22"/>
          <w:lang w:val="es-ES_tradnl"/>
        </w:rPr>
        <w:t xml:space="preserve"> </w:t>
      </w:r>
      <w:r w:rsidR="00BF2FEE" w:rsidRPr="00FE7FBC">
        <w:rPr>
          <w:rFonts w:ascii="Palatino Linotype" w:eastAsia="Batang" w:hAnsi="Palatino Linotype" w:cs="Tahoma"/>
          <w:bCs/>
          <w:sz w:val="22"/>
          <w:szCs w:val="22"/>
          <w:lang w:val="es-ES_tradnl"/>
        </w:rPr>
        <w:t>El veintiséis de agosto de dos mil veinticinco, el Sujeto Obligado, entregó informe justificado a través del archivo de nombre OFICIO 706_2025 RR 9431_2025.pdf, a través del cual, se ratificó la respuesta en el sentido de señalar que se desconoce el uso que se le dará a la información por el solicitante, además, añadió que la información, puede contener información confidencial e incluso reservada.</w:t>
      </w:r>
    </w:p>
    <w:p w14:paraId="6362D507" w14:textId="77777777" w:rsidR="0014576D" w:rsidRPr="00FE7FBC" w:rsidRDefault="0014576D" w:rsidP="00DA638D">
      <w:pPr>
        <w:spacing w:line="360" w:lineRule="auto"/>
        <w:jc w:val="both"/>
        <w:rPr>
          <w:rFonts w:ascii="Palatino Linotype" w:eastAsia="Batang" w:hAnsi="Palatino Linotype" w:cs="Tahoma"/>
          <w:bCs/>
          <w:sz w:val="22"/>
          <w:szCs w:val="22"/>
          <w:lang w:val="es-ES_tradnl"/>
        </w:rPr>
      </w:pPr>
    </w:p>
    <w:p w14:paraId="6F8A0E32" w14:textId="109D8144" w:rsidR="0014576D" w:rsidRPr="00FE7FBC" w:rsidRDefault="0014576D" w:rsidP="00DA638D">
      <w:pPr>
        <w:spacing w:line="360" w:lineRule="auto"/>
        <w:jc w:val="both"/>
        <w:rPr>
          <w:rFonts w:ascii="Palatino Linotype" w:eastAsia="Batang" w:hAnsi="Palatino Linotype" w:cs="Tahoma"/>
          <w:bCs/>
          <w:sz w:val="22"/>
          <w:szCs w:val="22"/>
          <w:lang w:val="es-ES_tradnl"/>
        </w:rPr>
      </w:pPr>
      <w:r w:rsidRPr="00FE7FBC">
        <w:rPr>
          <w:rFonts w:ascii="Palatino Linotype" w:eastAsia="Batang" w:hAnsi="Palatino Linotype" w:cs="Tahoma"/>
          <w:bCs/>
          <w:sz w:val="22"/>
          <w:szCs w:val="22"/>
          <w:lang w:val="es-ES_tradnl"/>
        </w:rPr>
        <w:t xml:space="preserve">Documento que fue </w:t>
      </w:r>
      <w:r w:rsidR="00CB1BA0" w:rsidRPr="00FE7FBC">
        <w:rPr>
          <w:rFonts w:ascii="Palatino Linotype" w:eastAsia="Batang" w:hAnsi="Palatino Linotype" w:cs="Tahoma"/>
          <w:bCs/>
          <w:sz w:val="22"/>
          <w:szCs w:val="22"/>
          <w:lang w:val="es-ES_tradnl"/>
        </w:rPr>
        <w:t xml:space="preserve">objeto de estudio y </w:t>
      </w:r>
      <w:r w:rsidRPr="00FE7FBC">
        <w:rPr>
          <w:rFonts w:ascii="Palatino Linotype" w:eastAsia="Batang" w:hAnsi="Palatino Linotype" w:cs="Tahoma"/>
          <w:bCs/>
          <w:sz w:val="22"/>
          <w:szCs w:val="22"/>
          <w:lang w:val="es-ES_tradnl"/>
        </w:rPr>
        <w:t xml:space="preserve">puesto a la vista del Particular, </w:t>
      </w:r>
      <w:r w:rsidR="003E2A7B" w:rsidRPr="00FE7FBC">
        <w:rPr>
          <w:rFonts w:ascii="Palatino Linotype" w:eastAsia="Batang" w:hAnsi="Palatino Linotype" w:cs="Tahoma"/>
          <w:bCs/>
          <w:sz w:val="22"/>
          <w:szCs w:val="22"/>
          <w:lang w:val="es-ES_tradnl"/>
        </w:rPr>
        <w:t>el diez de septiembre de dos mil veinticinco.</w:t>
      </w:r>
    </w:p>
    <w:p w14:paraId="09CE442B" w14:textId="77777777" w:rsidR="00612258" w:rsidRPr="00FE7FBC" w:rsidRDefault="00612258" w:rsidP="00DA638D">
      <w:pPr>
        <w:spacing w:line="360" w:lineRule="auto"/>
        <w:jc w:val="both"/>
        <w:rPr>
          <w:rFonts w:ascii="Palatino Linotype" w:eastAsia="Batang" w:hAnsi="Palatino Linotype" w:cs="Tahoma"/>
          <w:bCs/>
          <w:sz w:val="22"/>
          <w:szCs w:val="22"/>
          <w:lang w:val="es-ES_tradnl"/>
        </w:rPr>
      </w:pPr>
    </w:p>
    <w:p w14:paraId="12E5CE41" w14:textId="3C834CE7" w:rsidR="00816235" w:rsidRPr="00FE7FBC" w:rsidRDefault="00007985" w:rsidP="00816235">
      <w:pPr>
        <w:spacing w:line="360" w:lineRule="auto"/>
        <w:jc w:val="both"/>
        <w:rPr>
          <w:rFonts w:ascii="Palatino Linotype" w:hAnsi="Palatino Linotype" w:cs="Tahoma"/>
          <w:sz w:val="22"/>
          <w:szCs w:val="22"/>
        </w:rPr>
      </w:pPr>
      <w:bookmarkStart w:id="11" w:name="_Toc190261914"/>
      <w:bookmarkStart w:id="12" w:name="_Toc209709312"/>
      <w:r w:rsidRPr="00FE7FBC">
        <w:rPr>
          <w:rStyle w:val="Ttulo3Car"/>
          <w:rFonts w:ascii="Palatino Linotype" w:hAnsi="Palatino Linotype"/>
          <w:b/>
          <w:color w:val="auto"/>
          <w:sz w:val="22"/>
        </w:rPr>
        <w:t xml:space="preserve">d). </w:t>
      </w:r>
      <w:r w:rsidR="00D97D2A" w:rsidRPr="00FE7FBC">
        <w:rPr>
          <w:rStyle w:val="Ttulo3Car"/>
          <w:rFonts w:ascii="Palatino Linotype" w:hAnsi="Palatino Linotype"/>
          <w:b/>
          <w:color w:val="auto"/>
          <w:sz w:val="22"/>
        </w:rPr>
        <w:t>Manifestaciones</w:t>
      </w:r>
      <w:r w:rsidRPr="00FE7FBC">
        <w:rPr>
          <w:rStyle w:val="Ttulo3Car"/>
          <w:rFonts w:ascii="Palatino Linotype" w:hAnsi="Palatino Linotype"/>
          <w:b/>
          <w:color w:val="auto"/>
          <w:sz w:val="22"/>
        </w:rPr>
        <w:t>.</w:t>
      </w:r>
      <w:bookmarkEnd w:id="11"/>
      <w:bookmarkEnd w:id="12"/>
      <w:r w:rsidRPr="00FE7FBC">
        <w:rPr>
          <w:rFonts w:ascii="Palatino Linotype" w:hAnsi="Palatino Linotype" w:cs="Tahoma"/>
          <w:sz w:val="18"/>
          <w:szCs w:val="22"/>
        </w:rPr>
        <w:t xml:space="preserve"> </w:t>
      </w:r>
      <w:r w:rsidR="00816235" w:rsidRPr="00FE7FBC">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7E1CABB2" w14:textId="77777777" w:rsidR="00816235" w:rsidRPr="00FE7FBC" w:rsidRDefault="00816235" w:rsidP="00816235">
      <w:pPr>
        <w:spacing w:line="360" w:lineRule="auto"/>
        <w:jc w:val="both"/>
        <w:rPr>
          <w:rFonts w:ascii="Palatino Linotype" w:hAnsi="Palatino Linotype" w:cs="Tahoma"/>
          <w:sz w:val="18"/>
          <w:szCs w:val="22"/>
        </w:rPr>
      </w:pPr>
    </w:p>
    <w:p w14:paraId="7B480F15" w14:textId="16866CB6" w:rsidR="00ED5DF5" w:rsidRPr="00FE7FBC" w:rsidRDefault="00AB209A" w:rsidP="00DA638D">
      <w:pPr>
        <w:spacing w:line="360" w:lineRule="auto"/>
        <w:jc w:val="both"/>
        <w:rPr>
          <w:rFonts w:ascii="Palatino Linotype" w:hAnsi="Palatino Linotype" w:cs="Tahoma"/>
          <w:sz w:val="22"/>
          <w:szCs w:val="22"/>
        </w:rPr>
      </w:pPr>
      <w:bookmarkStart w:id="13" w:name="_Toc209709313"/>
      <w:r w:rsidRPr="00FE7FBC">
        <w:rPr>
          <w:rStyle w:val="Ttulo3Car"/>
          <w:rFonts w:ascii="Palatino Linotype" w:hAnsi="Palatino Linotype"/>
          <w:b/>
          <w:color w:val="auto"/>
          <w:sz w:val="22"/>
        </w:rPr>
        <w:t>e</w:t>
      </w:r>
      <w:r w:rsidR="003B0501" w:rsidRPr="00FE7FBC">
        <w:rPr>
          <w:rStyle w:val="Ttulo3Car"/>
          <w:rFonts w:ascii="Palatino Linotype" w:hAnsi="Palatino Linotype"/>
          <w:b/>
          <w:color w:val="auto"/>
          <w:sz w:val="22"/>
        </w:rPr>
        <w:t>)</w:t>
      </w:r>
      <w:r w:rsidR="00C3485C" w:rsidRPr="00FE7FBC">
        <w:rPr>
          <w:rStyle w:val="Ttulo3Car"/>
          <w:rFonts w:ascii="Palatino Linotype" w:hAnsi="Palatino Linotype"/>
          <w:b/>
          <w:color w:val="auto"/>
          <w:sz w:val="22"/>
        </w:rPr>
        <w:t xml:space="preserve"> </w:t>
      </w:r>
      <w:r w:rsidR="00ED5DF5" w:rsidRPr="00FE7FBC">
        <w:rPr>
          <w:rStyle w:val="Ttulo3Car"/>
          <w:rFonts w:ascii="Palatino Linotype" w:hAnsi="Palatino Linotype"/>
          <w:b/>
          <w:color w:val="auto"/>
          <w:sz w:val="22"/>
        </w:rPr>
        <w:t>Cierre</w:t>
      </w:r>
      <w:r w:rsidR="00ED5DF5" w:rsidRPr="00FE7FBC">
        <w:rPr>
          <w:rStyle w:val="Ttulo3Car"/>
          <w:rFonts w:ascii="Palatino Linotype" w:hAnsi="Palatino Linotype"/>
          <w:b/>
          <w:color w:val="auto"/>
          <w:sz w:val="22"/>
          <w:szCs w:val="22"/>
        </w:rPr>
        <w:t xml:space="preserve"> de instrucción</w:t>
      </w:r>
      <w:bookmarkEnd w:id="13"/>
      <w:r w:rsidR="00ED5DF5" w:rsidRPr="00FE7FBC">
        <w:rPr>
          <w:rFonts w:ascii="Palatino Linotype" w:hAnsi="Palatino Linotype" w:cs="Tahoma"/>
          <w:b/>
          <w:bCs/>
          <w:sz w:val="22"/>
          <w:szCs w:val="22"/>
        </w:rPr>
        <w:t xml:space="preserve">. </w:t>
      </w:r>
      <w:r w:rsidR="00ED5DF5" w:rsidRPr="00FE7FBC">
        <w:rPr>
          <w:rFonts w:ascii="Palatino Linotype" w:hAnsi="Palatino Linotype" w:cs="Tahoma"/>
          <w:sz w:val="22"/>
          <w:szCs w:val="22"/>
        </w:rPr>
        <w:t>El</w:t>
      </w:r>
      <w:r w:rsidR="000F437A" w:rsidRPr="00FE7FBC">
        <w:rPr>
          <w:rFonts w:ascii="Palatino Linotype" w:hAnsi="Palatino Linotype" w:cs="Tahoma"/>
          <w:sz w:val="22"/>
          <w:szCs w:val="22"/>
        </w:rPr>
        <w:t xml:space="preserve"> </w:t>
      </w:r>
      <w:r w:rsidR="00010111" w:rsidRPr="00FE7FBC">
        <w:rPr>
          <w:rFonts w:ascii="Palatino Linotype" w:hAnsi="Palatino Linotype" w:cs="Tahoma"/>
          <w:sz w:val="22"/>
          <w:szCs w:val="22"/>
        </w:rPr>
        <w:t>veinticuatro</w:t>
      </w:r>
      <w:r w:rsidR="009F0F23" w:rsidRPr="00FE7FBC">
        <w:rPr>
          <w:rFonts w:ascii="Palatino Linotype" w:hAnsi="Palatino Linotype" w:cs="Tahoma"/>
          <w:sz w:val="22"/>
          <w:szCs w:val="22"/>
        </w:rPr>
        <w:t xml:space="preserve"> de </w:t>
      </w:r>
      <w:r w:rsidR="00CB1BA0" w:rsidRPr="00FE7FBC">
        <w:rPr>
          <w:rFonts w:ascii="Palatino Linotype" w:hAnsi="Palatino Linotype" w:cs="Tahoma"/>
          <w:sz w:val="22"/>
          <w:szCs w:val="22"/>
        </w:rPr>
        <w:t>septiembre</w:t>
      </w:r>
      <w:r w:rsidR="0011002C" w:rsidRPr="00FE7FBC">
        <w:rPr>
          <w:rFonts w:ascii="Palatino Linotype" w:hAnsi="Palatino Linotype" w:cs="Tahoma"/>
          <w:sz w:val="22"/>
          <w:szCs w:val="22"/>
        </w:rPr>
        <w:t xml:space="preserve"> </w:t>
      </w:r>
      <w:r w:rsidR="00E95147" w:rsidRPr="00FE7FBC">
        <w:rPr>
          <w:rFonts w:ascii="Palatino Linotype" w:hAnsi="Palatino Linotype" w:cs="Tahoma"/>
          <w:sz w:val="22"/>
          <w:szCs w:val="22"/>
        </w:rPr>
        <w:t>de dos mil veinti</w:t>
      </w:r>
      <w:r w:rsidR="00F93A36" w:rsidRPr="00FE7FBC">
        <w:rPr>
          <w:rFonts w:ascii="Palatino Linotype" w:hAnsi="Palatino Linotype" w:cs="Tahoma"/>
          <w:sz w:val="22"/>
          <w:szCs w:val="22"/>
        </w:rPr>
        <w:t>c</w:t>
      </w:r>
      <w:r w:rsidR="009C323D" w:rsidRPr="00FE7FBC">
        <w:rPr>
          <w:rFonts w:ascii="Palatino Linotype" w:hAnsi="Palatino Linotype" w:cs="Tahoma"/>
          <w:sz w:val="22"/>
          <w:szCs w:val="22"/>
        </w:rPr>
        <w:t>inco</w:t>
      </w:r>
      <w:r w:rsidR="00ED5DF5" w:rsidRPr="00FE7FB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w:t>
      </w:r>
      <w:r w:rsidR="00ED5DF5" w:rsidRPr="00FE7FBC">
        <w:rPr>
          <w:rFonts w:ascii="Palatino Linotype" w:hAnsi="Palatino Linotype" w:cs="Tahoma"/>
          <w:sz w:val="22"/>
          <w:szCs w:val="22"/>
        </w:rPr>
        <w:lastRenderedPageBreak/>
        <w:t xml:space="preserve">Información Pública del Estado de México y Municipios, mismo que fue notificado a las partes </w:t>
      </w:r>
      <w:r w:rsidR="00010111" w:rsidRPr="00FE7FBC">
        <w:rPr>
          <w:rFonts w:ascii="Palatino Linotype" w:hAnsi="Palatino Linotype" w:cs="Tahoma"/>
          <w:sz w:val="22"/>
          <w:szCs w:val="22"/>
        </w:rPr>
        <w:t>al día siguiente a través del</w:t>
      </w:r>
      <w:r w:rsidR="00CB1BA0" w:rsidRPr="00FE7FBC">
        <w:rPr>
          <w:rFonts w:ascii="Palatino Linotype" w:hAnsi="Palatino Linotype" w:cs="Tahoma"/>
          <w:sz w:val="22"/>
          <w:szCs w:val="22"/>
        </w:rPr>
        <w:t xml:space="preserve"> </w:t>
      </w:r>
      <w:r w:rsidR="00816235" w:rsidRPr="00FE7FBC">
        <w:rPr>
          <w:rFonts w:ascii="Palatino Linotype" w:hAnsi="Palatino Linotype" w:cs="Tahoma"/>
          <w:sz w:val="22"/>
          <w:szCs w:val="22"/>
        </w:rPr>
        <w:t>SAIMEX.</w:t>
      </w:r>
    </w:p>
    <w:p w14:paraId="167783EE" w14:textId="77777777" w:rsidR="0079675C" w:rsidRPr="00FE7FBC" w:rsidRDefault="0079675C" w:rsidP="00DA638D">
      <w:pPr>
        <w:spacing w:line="360" w:lineRule="auto"/>
        <w:jc w:val="both"/>
        <w:rPr>
          <w:rFonts w:ascii="Palatino Linotype" w:hAnsi="Palatino Linotype" w:cs="Tahoma"/>
          <w:sz w:val="22"/>
          <w:szCs w:val="22"/>
        </w:rPr>
      </w:pPr>
    </w:p>
    <w:p w14:paraId="020CF923" w14:textId="77777777" w:rsidR="004F2D88" w:rsidRPr="00FE7FBC" w:rsidRDefault="004F2D88" w:rsidP="00DA638D">
      <w:pPr>
        <w:spacing w:line="360" w:lineRule="auto"/>
        <w:contextualSpacing/>
        <w:jc w:val="both"/>
        <w:rPr>
          <w:rFonts w:ascii="Palatino Linotype" w:hAnsi="Palatino Linotype" w:cs="Tahoma"/>
          <w:color w:val="000000"/>
          <w:sz w:val="22"/>
          <w:szCs w:val="22"/>
        </w:rPr>
      </w:pPr>
      <w:r w:rsidRPr="00FE7FBC">
        <w:rPr>
          <w:rFonts w:ascii="Palatino Linotype" w:hAnsi="Palatino Linotype" w:cs="Tahoma"/>
          <w:color w:val="000000"/>
          <w:sz w:val="22"/>
          <w:szCs w:val="22"/>
        </w:rPr>
        <w:t xml:space="preserve">En </w:t>
      </w:r>
      <w:r w:rsidR="00367F82" w:rsidRPr="00FE7FBC">
        <w:rPr>
          <w:rFonts w:ascii="Palatino Linotype" w:hAnsi="Palatino Linotype" w:cs="Tahoma"/>
          <w:color w:val="000000"/>
          <w:sz w:val="22"/>
          <w:szCs w:val="22"/>
        </w:rPr>
        <w:t>razón de que fue debidamente su</w:t>
      </w:r>
      <w:r w:rsidRPr="00FE7FBC">
        <w:rPr>
          <w:rFonts w:ascii="Palatino Linotype" w:hAnsi="Palatino Linotype" w:cs="Tahoma"/>
          <w:color w:val="000000"/>
          <w:sz w:val="22"/>
          <w:szCs w:val="22"/>
        </w:rPr>
        <w:t xml:space="preserve">stanciado el expediente </w:t>
      </w:r>
      <w:r w:rsidR="00367F82" w:rsidRPr="00FE7FBC">
        <w:rPr>
          <w:rFonts w:ascii="Palatino Linotype" w:hAnsi="Palatino Linotype" w:cs="Tahoma"/>
          <w:color w:val="000000"/>
          <w:sz w:val="22"/>
          <w:szCs w:val="22"/>
        </w:rPr>
        <w:t xml:space="preserve">electrónico </w:t>
      </w:r>
      <w:r w:rsidRPr="00FE7FBC">
        <w:rPr>
          <w:rFonts w:ascii="Palatino Linotype" w:hAnsi="Palatino Linotype" w:cs="Tahoma"/>
          <w:color w:val="000000"/>
          <w:sz w:val="22"/>
          <w:szCs w:val="22"/>
        </w:rPr>
        <w:t>y no exist</w:t>
      </w:r>
      <w:r w:rsidR="00367F82" w:rsidRPr="00FE7FBC">
        <w:rPr>
          <w:rFonts w:ascii="Palatino Linotype" w:hAnsi="Palatino Linotype" w:cs="Tahoma"/>
          <w:color w:val="000000"/>
          <w:sz w:val="22"/>
          <w:szCs w:val="22"/>
        </w:rPr>
        <w:t>e</w:t>
      </w:r>
      <w:r w:rsidRPr="00FE7FBC">
        <w:rPr>
          <w:rFonts w:ascii="Palatino Linotype" w:hAnsi="Palatino Linotype" w:cs="Tahoma"/>
          <w:color w:val="000000"/>
          <w:sz w:val="22"/>
          <w:szCs w:val="22"/>
        </w:rPr>
        <w:t xml:space="preserve"> dilige</w:t>
      </w:r>
      <w:r w:rsidR="00367F82" w:rsidRPr="00FE7FBC">
        <w:rPr>
          <w:rFonts w:ascii="Palatino Linotype" w:hAnsi="Palatino Linotype" w:cs="Tahoma"/>
          <w:color w:val="000000"/>
          <w:sz w:val="22"/>
          <w:szCs w:val="22"/>
        </w:rPr>
        <w:t xml:space="preserve">ncia pendiente de desahogo, se </w:t>
      </w:r>
      <w:r w:rsidRPr="00FE7FBC">
        <w:rPr>
          <w:rFonts w:ascii="Palatino Linotype" w:hAnsi="Palatino Linotype" w:cs="Tahoma"/>
          <w:color w:val="000000"/>
          <w:sz w:val="22"/>
          <w:szCs w:val="22"/>
        </w:rPr>
        <w:t>emit</w:t>
      </w:r>
      <w:r w:rsidR="00367F82" w:rsidRPr="00FE7FBC">
        <w:rPr>
          <w:rFonts w:ascii="Palatino Linotype" w:hAnsi="Palatino Linotype" w:cs="Tahoma"/>
          <w:color w:val="000000"/>
          <w:sz w:val="22"/>
          <w:szCs w:val="22"/>
        </w:rPr>
        <w:t>e</w:t>
      </w:r>
      <w:r w:rsidRPr="00FE7FBC">
        <w:rPr>
          <w:rFonts w:ascii="Palatino Linotype" w:hAnsi="Palatino Linotype" w:cs="Tahoma"/>
          <w:color w:val="000000"/>
          <w:sz w:val="22"/>
          <w:szCs w:val="22"/>
        </w:rPr>
        <w:t xml:space="preserve"> la resolución que conforme a Derecho proceda, de acuerdo a l</w:t>
      </w:r>
      <w:r w:rsidR="009A620E" w:rsidRPr="00FE7FBC">
        <w:rPr>
          <w:rFonts w:ascii="Palatino Linotype" w:hAnsi="Palatino Linotype" w:cs="Tahoma"/>
          <w:color w:val="000000"/>
          <w:sz w:val="22"/>
          <w:szCs w:val="22"/>
        </w:rPr>
        <w:t>o</w:t>
      </w:r>
      <w:r w:rsidRPr="00FE7FBC">
        <w:rPr>
          <w:rFonts w:ascii="Palatino Linotype" w:hAnsi="Palatino Linotype" w:cs="Tahoma"/>
          <w:color w:val="000000"/>
          <w:sz w:val="22"/>
          <w:szCs w:val="22"/>
        </w:rPr>
        <w:t xml:space="preserve">s siguientes: </w:t>
      </w:r>
    </w:p>
    <w:p w14:paraId="46BE659E" w14:textId="77777777" w:rsidR="001C0C73" w:rsidRPr="00FE7FBC"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FE7FBC" w:rsidRDefault="00EA4E4A" w:rsidP="00DA638D">
      <w:pPr>
        <w:pStyle w:val="Ttulo1"/>
        <w:spacing w:before="0"/>
        <w:jc w:val="center"/>
        <w:rPr>
          <w:rFonts w:ascii="Palatino Linotype" w:hAnsi="Palatino Linotype"/>
          <w:b/>
          <w:color w:val="auto"/>
          <w:sz w:val="22"/>
          <w:szCs w:val="22"/>
        </w:rPr>
      </w:pPr>
      <w:bookmarkStart w:id="14" w:name="_Toc209709314"/>
      <w:r w:rsidRPr="00FE7FBC">
        <w:rPr>
          <w:rFonts w:ascii="Palatino Linotype" w:hAnsi="Palatino Linotype"/>
          <w:b/>
          <w:color w:val="auto"/>
          <w:sz w:val="22"/>
          <w:szCs w:val="22"/>
        </w:rPr>
        <w:t>C O N S I D E R A N D O S</w:t>
      </w:r>
      <w:bookmarkEnd w:id="14"/>
    </w:p>
    <w:p w14:paraId="5A4B26A5" w14:textId="77777777" w:rsidR="00EA4E4A" w:rsidRPr="00FE7FBC" w:rsidRDefault="00EA4E4A" w:rsidP="00DA638D">
      <w:pPr>
        <w:spacing w:line="360" w:lineRule="auto"/>
        <w:contextualSpacing/>
        <w:jc w:val="both"/>
        <w:rPr>
          <w:rFonts w:ascii="Palatino Linotype" w:hAnsi="Palatino Linotype" w:cs="Tahoma"/>
          <w:b/>
          <w:sz w:val="22"/>
          <w:szCs w:val="22"/>
        </w:rPr>
      </w:pPr>
    </w:p>
    <w:p w14:paraId="7D42ABDE" w14:textId="77777777" w:rsidR="00A311EC" w:rsidRPr="00FE7FBC" w:rsidRDefault="00A311EC" w:rsidP="00A311EC">
      <w:pPr>
        <w:keepNext/>
        <w:keepLines/>
        <w:outlineLvl w:val="1"/>
        <w:rPr>
          <w:rFonts w:ascii="Palatino Linotype" w:eastAsia="Palatino Linotype" w:hAnsi="Palatino Linotype" w:cs="Palatino Linotype"/>
          <w:b/>
          <w:color w:val="000000" w:themeColor="text1"/>
          <w:sz w:val="22"/>
          <w:szCs w:val="36"/>
          <w:lang w:val="es-ES" w:eastAsia="es-MX"/>
        </w:rPr>
      </w:pPr>
      <w:bookmarkStart w:id="15" w:name="_Toc184777995"/>
      <w:bookmarkStart w:id="16" w:name="_Toc191561710"/>
      <w:bookmarkStart w:id="17" w:name="_Toc209709315"/>
      <w:r w:rsidRPr="00FE7FBC">
        <w:rPr>
          <w:rFonts w:ascii="Palatino Linotype" w:eastAsia="Calibri" w:hAnsi="Palatino Linotype" w:cs="Palatino Linotype"/>
          <w:b/>
          <w:color w:val="000000" w:themeColor="text1"/>
          <w:sz w:val="22"/>
          <w:szCs w:val="36"/>
          <w:lang w:val="es-ES" w:eastAsia="es-MX"/>
        </w:rPr>
        <w:t xml:space="preserve">PRIMERO. </w:t>
      </w:r>
      <w:r w:rsidRPr="00FE7FBC">
        <w:rPr>
          <w:rFonts w:ascii="Palatino Linotype" w:eastAsia="Palatino Linotype" w:hAnsi="Palatino Linotype" w:cs="Palatino Linotype"/>
          <w:b/>
          <w:color w:val="000000" w:themeColor="text1"/>
          <w:sz w:val="22"/>
          <w:szCs w:val="36"/>
          <w:lang w:val="es-ES" w:eastAsia="es-MX"/>
        </w:rPr>
        <w:t>Competencia</w:t>
      </w:r>
      <w:bookmarkEnd w:id="15"/>
      <w:bookmarkEnd w:id="16"/>
      <w:bookmarkEnd w:id="17"/>
    </w:p>
    <w:p w14:paraId="01C86E0C" w14:textId="77777777" w:rsidR="00A311EC" w:rsidRPr="00FE7FBC" w:rsidRDefault="00A311EC" w:rsidP="00A311EC">
      <w:pPr>
        <w:autoSpaceDE w:val="0"/>
        <w:autoSpaceDN w:val="0"/>
        <w:adjustRightInd w:val="0"/>
        <w:spacing w:line="360" w:lineRule="auto"/>
        <w:jc w:val="both"/>
        <w:rPr>
          <w:rFonts w:ascii="Palatino Linotype" w:eastAsia="Palatino Linotype" w:hAnsi="Palatino Linotype" w:cs="Tahoma"/>
          <w:b/>
          <w:color w:val="000000" w:themeColor="text1"/>
          <w:sz w:val="22"/>
          <w:szCs w:val="24"/>
          <w:lang w:val="es-ES" w:eastAsia="es-MX"/>
        </w:rPr>
      </w:pPr>
    </w:p>
    <w:p w14:paraId="0132625C" w14:textId="7945C0F8" w:rsidR="00A311EC" w:rsidRPr="00FE7FBC" w:rsidRDefault="00A311EC" w:rsidP="00A311EC">
      <w:pPr>
        <w:spacing w:line="360" w:lineRule="auto"/>
        <w:jc w:val="both"/>
        <w:rPr>
          <w:rFonts w:ascii="Palatino Linotype" w:eastAsia="Palatino Linotype" w:hAnsi="Palatino Linotype" w:cs="Tahoma"/>
          <w:bCs/>
          <w:color w:val="000000" w:themeColor="text1"/>
          <w:sz w:val="22"/>
          <w:szCs w:val="22"/>
          <w:lang w:eastAsia="es-MX"/>
        </w:rPr>
      </w:pPr>
      <w:r w:rsidRPr="00FE7FBC">
        <w:rPr>
          <w:rFonts w:ascii="Palatino Linotype" w:eastAsia="Palatino Linotype" w:hAnsi="Palatino Linotype" w:cs="Tahoma"/>
          <w:bCs/>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7D7B85" w:rsidRPr="00FE7FBC">
        <w:rPr>
          <w:rFonts w:ascii="Palatino Linotype" w:eastAsia="Palatino Linotype" w:hAnsi="Palatino Linotype" w:cs="Tahoma"/>
          <w:bCs/>
          <w:color w:val="000000" w:themeColor="text1"/>
          <w:sz w:val="22"/>
          <w:szCs w:val="22"/>
          <w:lang w:eastAsia="es-MX"/>
        </w:rPr>
        <w:t>noveno</w:t>
      </w:r>
      <w:r w:rsidRPr="00FE7FBC">
        <w:rPr>
          <w:rFonts w:ascii="Palatino Linotype" w:eastAsia="Palatino Linotype" w:hAnsi="Palatino Linotype" w:cs="Tahoma"/>
          <w:bCs/>
          <w:color w:val="000000" w:themeColor="text1"/>
          <w:sz w:val="22"/>
          <w:szCs w:val="22"/>
          <w:lang w:eastAsia="es-MX"/>
        </w:rPr>
        <w:t xml:space="preserve">, </w:t>
      </w:r>
      <w:r w:rsidR="007D7B85" w:rsidRPr="00FE7FBC">
        <w:rPr>
          <w:rFonts w:ascii="Palatino Linotype" w:eastAsia="Palatino Linotype" w:hAnsi="Palatino Linotype" w:cs="Tahoma"/>
          <w:bCs/>
          <w:color w:val="000000" w:themeColor="text1"/>
          <w:sz w:val="22"/>
          <w:szCs w:val="22"/>
          <w:lang w:eastAsia="es-MX"/>
        </w:rPr>
        <w:t>cuadragésimo</w:t>
      </w:r>
      <w:r w:rsidRPr="00FE7FBC">
        <w:rPr>
          <w:rFonts w:ascii="Palatino Linotype" w:eastAsia="Palatino Linotype" w:hAnsi="Palatino Linotype" w:cs="Tahoma"/>
          <w:bCs/>
          <w:color w:val="000000" w:themeColor="text1"/>
          <w:sz w:val="22"/>
          <w:szCs w:val="22"/>
          <w:lang w:eastAsia="es-MX"/>
        </w:rPr>
        <w:t xml:space="preserve"> y </w:t>
      </w:r>
      <w:r w:rsidR="007D7B85" w:rsidRPr="00FE7FBC">
        <w:rPr>
          <w:rFonts w:ascii="Palatino Linotype" w:eastAsia="Palatino Linotype" w:hAnsi="Palatino Linotype" w:cs="Tahoma"/>
          <w:bCs/>
          <w:color w:val="000000" w:themeColor="text1"/>
          <w:sz w:val="22"/>
          <w:szCs w:val="22"/>
          <w:lang w:eastAsia="es-MX"/>
        </w:rPr>
        <w:t>cuadragésimo primero</w:t>
      </w:r>
      <w:r w:rsidRPr="00FE7FBC">
        <w:rPr>
          <w:rFonts w:ascii="Palatino Linotype" w:eastAsia="Palatino Linotype" w:hAnsi="Palatino Linotype" w:cs="Tahoma"/>
          <w:bCs/>
          <w:color w:val="000000" w:themeColor="text1"/>
          <w:sz w:val="22"/>
          <w:szCs w:val="22"/>
          <w:lang w:eastAsia="es-MX"/>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E7FBC">
        <w:rPr>
          <w:rFonts w:ascii="Palatino Linotype" w:eastAsia="Palatino Linotype" w:hAnsi="Palatino Linotype" w:cs="Palatino Linotype"/>
          <w:bCs/>
          <w:color w:val="000000" w:themeColor="text1"/>
          <w:sz w:val="22"/>
          <w:szCs w:val="22"/>
          <w:lang w:eastAsia="es-MX"/>
        </w:rPr>
        <w:t xml:space="preserve"> 7°, </w:t>
      </w:r>
      <w:r w:rsidRPr="00FE7FBC">
        <w:rPr>
          <w:rFonts w:ascii="Palatino Linotype" w:eastAsia="Palatino Linotype" w:hAnsi="Palatino Linotype" w:cs="Tahoma"/>
          <w:bCs/>
          <w:color w:val="000000" w:themeColor="text1"/>
          <w:sz w:val="22"/>
          <w:szCs w:val="22"/>
          <w:lang w:eastAsia="es-MX"/>
        </w:rPr>
        <w:t>9°, fracciones I y XXIII y 11 del Reglamento Interior del Instituto de Transparencia, Acceso a la Información Pública y Protección de Datos Personales del Estado de México y Municipios.</w:t>
      </w:r>
    </w:p>
    <w:p w14:paraId="04F4060C" w14:textId="77777777" w:rsidR="00A311EC" w:rsidRPr="00FE7FBC" w:rsidRDefault="00A311EC" w:rsidP="00A311EC">
      <w:pPr>
        <w:spacing w:line="360" w:lineRule="auto"/>
        <w:jc w:val="both"/>
        <w:rPr>
          <w:rFonts w:ascii="Palatino Linotype" w:eastAsia="Palatino Linotype" w:hAnsi="Palatino Linotype" w:cs="Tahoma"/>
          <w:bCs/>
          <w:color w:val="000000" w:themeColor="text1"/>
          <w:sz w:val="22"/>
          <w:szCs w:val="22"/>
          <w:lang w:eastAsia="es-MX"/>
        </w:rPr>
      </w:pPr>
    </w:p>
    <w:p w14:paraId="20989B53" w14:textId="77777777" w:rsidR="00A311EC" w:rsidRPr="00FE7FBC"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18" w:name="_Toc187931072"/>
      <w:bookmarkStart w:id="19" w:name="_Toc191561711"/>
      <w:bookmarkStart w:id="20" w:name="_Toc209709316"/>
      <w:r w:rsidRPr="00FE7FBC">
        <w:rPr>
          <w:rFonts w:ascii="Palatino Linotype" w:eastAsia="Palatino Linotype" w:hAnsi="Palatino Linotype" w:cs="Palatino Linotype"/>
          <w:b/>
          <w:color w:val="000000" w:themeColor="text1"/>
          <w:sz w:val="22"/>
          <w:szCs w:val="36"/>
          <w:lang w:eastAsia="es-MX"/>
        </w:rPr>
        <w:t>SEGUNDO. Causales de improcedencia y sobreseimiento</w:t>
      </w:r>
      <w:bookmarkEnd w:id="18"/>
      <w:bookmarkEnd w:id="19"/>
      <w:bookmarkEnd w:id="20"/>
    </w:p>
    <w:p w14:paraId="198B82DF"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8286826"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lastRenderedPageBreak/>
        <w:t xml:space="preserve">De las constancias que forman parte del Recurso de Revisión que se analiza, se advierte que previo al estudio del fondo de la </w:t>
      </w:r>
      <w:r w:rsidRPr="00FE7FBC">
        <w:rPr>
          <w:rFonts w:ascii="Palatino Linotype" w:eastAsia="Palatino Linotype" w:hAnsi="Palatino Linotype" w:cs="Palatino Linotype"/>
          <w:i/>
          <w:color w:val="000000" w:themeColor="text1"/>
          <w:sz w:val="22"/>
          <w:szCs w:val="22"/>
          <w:lang w:eastAsia="es-MX"/>
        </w:rPr>
        <w:t>litis</w:t>
      </w:r>
      <w:r w:rsidRPr="00FE7FBC">
        <w:rPr>
          <w:rFonts w:ascii="Palatino Linotype" w:eastAsia="Palatino Linotype" w:hAnsi="Palatino Linotype" w:cs="Palatino Linotype"/>
          <w:color w:val="000000" w:themeColor="text1"/>
          <w:sz w:val="22"/>
          <w:szCs w:val="22"/>
          <w:lang w:eastAsia="es-MX"/>
        </w:rPr>
        <w:t>, es necesario estudiar las causales de improcedencia y sobreseimiento que se adviertan, para determinar lo que en Derecho proceda.</w:t>
      </w:r>
    </w:p>
    <w:p w14:paraId="61304A0D"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495C32C" w14:textId="77777777" w:rsidR="00A311EC" w:rsidRPr="00FE7FBC"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r w:rsidRPr="00FE7FBC">
        <w:rPr>
          <w:rFonts w:ascii="Palatino Linotype" w:eastAsia="Palatino Linotype" w:hAnsi="Palatino Linotype" w:cs="Palatino Linotype"/>
          <w:b/>
          <w:color w:val="000000" w:themeColor="text1"/>
          <w:sz w:val="22"/>
          <w:szCs w:val="22"/>
          <w:lang w:eastAsia="es-MX"/>
        </w:rPr>
        <w:t>Causales de improcedencia</w:t>
      </w:r>
    </w:p>
    <w:p w14:paraId="506D186B"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44EABDF"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FE7FBC">
        <w:rPr>
          <w:rFonts w:ascii="Palatino Linotype" w:eastAsia="Palatino Linotype" w:hAnsi="Palatino Linotype" w:cs="Palatino Linotype"/>
          <w:b/>
          <w:color w:val="000000" w:themeColor="text1"/>
          <w:sz w:val="22"/>
          <w:szCs w:val="22"/>
          <w:lang w:eastAsia="es-MX"/>
        </w:rPr>
        <w:t xml:space="preserve"> </w:t>
      </w:r>
      <w:r w:rsidRPr="00FE7FBC">
        <w:rPr>
          <w:rFonts w:ascii="Palatino Linotype" w:eastAsia="Palatino Linotype" w:hAnsi="Palatino Linotype" w:cs="Palatino Linotype"/>
          <w:color w:val="000000" w:themeColor="text1"/>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9244C2C"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08B1CBC"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 xml:space="preserve">En el presente caso, </w:t>
      </w:r>
      <w:r w:rsidRPr="00FE7FBC">
        <w:rPr>
          <w:rFonts w:ascii="Palatino Linotype" w:eastAsia="Palatino Linotype" w:hAnsi="Palatino Linotype" w:cs="Palatino Linotype"/>
          <w:b/>
          <w:color w:val="000000" w:themeColor="text1"/>
          <w:sz w:val="22"/>
          <w:szCs w:val="22"/>
          <w:lang w:eastAsia="es-MX"/>
        </w:rPr>
        <w:t>no se actualiza ninguna de las causales de improcedencia</w:t>
      </w:r>
      <w:r w:rsidRPr="00FE7FBC">
        <w:rPr>
          <w:rFonts w:ascii="Palatino Linotype" w:eastAsia="Palatino Linotype" w:hAnsi="Palatino Linotype" w:cs="Palatino Linotype"/>
          <w:color w:val="000000" w:themeColor="text1"/>
          <w:sz w:val="22"/>
          <w:szCs w:val="22"/>
          <w:lang w:eastAsia="es-MX"/>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3DA2F96" w14:textId="77777777" w:rsidR="00A311EC" w:rsidRPr="00FE7FBC"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74607EC8" w14:textId="77777777" w:rsidR="00A311EC" w:rsidRPr="00FE7FBC" w:rsidRDefault="00A311EC" w:rsidP="00A311EC">
      <w:pPr>
        <w:spacing w:line="360" w:lineRule="auto"/>
        <w:ind w:right="142"/>
        <w:jc w:val="both"/>
        <w:rPr>
          <w:rFonts w:ascii="Palatino Linotype" w:eastAsia="Palatino Linotype" w:hAnsi="Palatino Linotype" w:cs="Palatino Linotype"/>
          <w:b/>
          <w:color w:val="000000"/>
          <w:sz w:val="22"/>
          <w:szCs w:val="22"/>
          <w:lang w:eastAsia="es-MX"/>
        </w:rPr>
      </w:pPr>
      <w:r w:rsidRPr="00FE7FBC">
        <w:rPr>
          <w:rFonts w:ascii="Palatino Linotype" w:eastAsia="Palatino Linotype" w:hAnsi="Palatino Linotype" w:cs="Palatino Linotype"/>
          <w:b/>
          <w:color w:val="000000"/>
          <w:sz w:val="22"/>
          <w:szCs w:val="22"/>
          <w:lang w:eastAsia="es-MX"/>
        </w:rPr>
        <w:t>Causales de sobreseimiento</w:t>
      </w:r>
    </w:p>
    <w:p w14:paraId="34ECB113"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751E776"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D0D0D"/>
          <w:sz w:val="22"/>
          <w:szCs w:val="22"/>
          <w:lang w:eastAsia="es-MX"/>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FE7FBC">
        <w:rPr>
          <w:rFonts w:ascii="Palatino Linotype" w:eastAsia="Palatino Linotype" w:hAnsi="Palatino Linotype" w:cs="Palatino Linotype"/>
          <w:b/>
          <w:color w:val="0D0D0D"/>
          <w:sz w:val="22"/>
          <w:szCs w:val="22"/>
          <w:lang w:eastAsia="es-MX"/>
        </w:rPr>
        <w:t xml:space="preserve"> </w:t>
      </w:r>
      <w:r w:rsidRPr="00FE7FBC">
        <w:rPr>
          <w:rFonts w:ascii="Palatino Linotype" w:eastAsia="Palatino Linotype" w:hAnsi="Palatino Linotype" w:cs="Palatino Linotype"/>
          <w:color w:val="0D0D0D"/>
          <w:sz w:val="22"/>
          <w:szCs w:val="22"/>
          <w:lang w:eastAsia="es-MX"/>
        </w:rPr>
        <w:t>toda vez que no hay constancias en el expediente en que se actúa, de que la persona Recurrente se haya desistido, fallecido, que el Sujeto Obligado hubiese modificado o revocado el acto impugnado o bien,</w:t>
      </w:r>
      <w:r w:rsidRPr="00FE7FBC">
        <w:rPr>
          <w:rFonts w:ascii="Palatino Linotype" w:eastAsia="Palatino Linotype" w:hAnsi="Palatino Linotype" w:cs="Palatino Linotype"/>
          <w:color w:val="000000" w:themeColor="text1"/>
          <w:sz w:val="22"/>
          <w:szCs w:val="22"/>
          <w:lang w:eastAsia="es-MX"/>
        </w:rPr>
        <w:t xml:space="preserve"> </w:t>
      </w:r>
      <w:r w:rsidRPr="00FE7FBC">
        <w:rPr>
          <w:rFonts w:ascii="Palatino Linotype" w:eastAsia="Palatino Linotype" w:hAnsi="Palatino Linotype" w:cs="Palatino Linotype"/>
          <w:color w:val="0D0D0D"/>
          <w:sz w:val="22"/>
          <w:szCs w:val="22"/>
          <w:lang w:eastAsia="es-MX"/>
        </w:rPr>
        <w:t>que admitido una vez admitido el Recurso de Revisión, aparezca alguna causal de improcedencia o haya quedado sin materia.</w:t>
      </w:r>
    </w:p>
    <w:p w14:paraId="1C299799" w14:textId="77777777" w:rsidR="00A311EC" w:rsidRPr="00FE7FBC" w:rsidRDefault="00A311EC" w:rsidP="00A311EC">
      <w:pPr>
        <w:spacing w:line="360" w:lineRule="auto"/>
        <w:jc w:val="both"/>
        <w:rPr>
          <w:rFonts w:ascii="Palatino Linotype" w:eastAsia="Palatino Linotype" w:hAnsi="Palatino Linotype" w:cs="Tahoma"/>
          <w:b/>
          <w:bCs/>
          <w:color w:val="000000" w:themeColor="text1"/>
          <w:sz w:val="22"/>
          <w:szCs w:val="22"/>
          <w:lang w:eastAsia="es-MX"/>
        </w:rPr>
      </w:pPr>
    </w:p>
    <w:p w14:paraId="02A99AA2" w14:textId="77777777" w:rsidR="00A311EC" w:rsidRPr="00FE7FBC"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1" w:name="_Toc187931073"/>
      <w:bookmarkStart w:id="22" w:name="_Toc191561712"/>
      <w:bookmarkStart w:id="23" w:name="_Toc209709317"/>
      <w:r w:rsidRPr="00FE7FBC">
        <w:rPr>
          <w:rFonts w:ascii="Palatino Linotype" w:eastAsia="Palatino Linotype" w:hAnsi="Palatino Linotype" w:cs="Palatino Linotype"/>
          <w:b/>
          <w:color w:val="000000" w:themeColor="text1"/>
          <w:sz w:val="22"/>
          <w:szCs w:val="36"/>
          <w:lang w:eastAsia="es-MX"/>
        </w:rPr>
        <w:t>TERCERO. Determinación de la Controversia</w:t>
      </w:r>
      <w:bookmarkEnd w:id="21"/>
      <w:bookmarkEnd w:id="22"/>
      <w:bookmarkEnd w:id="23"/>
    </w:p>
    <w:p w14:paraId="3F9DE85B" w14:textId="77777777" w:rsidR="00A311EC" w:rsidRPr="00FE7FBC"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7E7CB0C" w14:textId="594B5B99" w:rsidR="00A311EC" w:rsidRPr="00FE7FBC"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La persona Solicitante requirió</w:t>
      </w:r>
      <w:r w:rsidR="00CB1BA0" w:rsidRPr="00FE7FBC">
        <w:rPr>
          <w:rFonts w:ascii="Palatino Linotype" w:eastAsia="Palatino Linotype" w:hAnsi="Palatino Linotype" w:cs="Palatino Linotype"/>
          <w:color w:val="000000" w:themeColor="text1"/>
          <w:sz w:val="22"/>
          <w:szCs w:val="22"/>
          <w:lang w:eastAsia="es-MX"/>
        </w:rPr>
        <w:t xml:space="preserve"> los correos electrónicos de entrada y de salida de la Unidad Jurídica y de Igualdad de Género</w:t>
      </w:r>
      <w:r w:rsidR="00BD25DA" w:rsidRPr="00FE7FBC">
        <w:rPr>
          <w:rFonts w:ascii="Palatino Linotype" w:eastAsia="Palatino Linotype" w:hAnsi="Palatino Linotype" w:cs="Palatino Linotype"/>
          <w:color w:val="000000" w:themeColor="text1"/>
          <w:sz w:val="22"/>
          <w:szCs w:val="22"/>
          <w:lang w:eastAsia="es-MX"/>
        </w:rPr>
        <w:t>, correspondientes a los meses de junio y julio de 2025</w:t>
      </w:r>
      <w:r w:rsidR="008A660F" w:rsidRPr="00FE7FBC">
        <w:rPr>
          <w:rFonts w:ascii="Palatino Linotype" w:eastAsia="Palatino Linotype" w:hAnsi="Palatino Linotype" w:cs="Palatino Linotype"/>
          <w:color w:val="000000" w:themeColor="text1"/>
          <w:sz w:val="22"/>
          <w:szCs w:val="22"/>
          <w:lang w:eastAsia="es-MX"/>
        </w:rPr>
        <w:t>, para lo cual, debemos ceñir la temporalidad, con respecto a la fecha de solicitud de acceso a la información pública, que fue el catorce de julio de 2025, por lo que el periodo corresponde del primero de junio al catorce de julio de dos mil veinticinco.</w:t>
      </w:r>
    </w:p>
    <w:p w14:paraId="69FCDF09" w14:textId="77777777" w:rsidR="008A660F" w:rsidRPr="00FE7FBC" w:rsidRDefault="008A660F"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4867B81" w14:textId="34BC1423" w:rsidR="008A660F" w:rsidRPr="00FE7FBC" w:rsidRDefault="008A660F"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 xml:space="preserve">En respuesta, la </w:t>
      </w:r>
      <w:r w:rsidR="00737849" w:rsidRPr="00FE7FBC">
        <w:rPr>
          <w:rFonts w:ascii="Palatino Linotype" w:eastAsia="Palatino Linotype" w:hAnsi="Palatino Linotype" w:cs="Palatino Linotype"/>
          <w:color w:val="000000" w:themeColor="text1"/>
          <w:sz w:val="22"/>
          <w:szCs w:val="22"/>
          <w:lang w:eastAsia="es-MX"/>
        </w:rPr>
        <w:t xml:space="preserve">Titular de la Unidad Jurídica y de Igualdad de Género, respondió que no puede otorgar la información pues desconoce para que se dará uso, </w:t>
      </w:r>
      <w:r w:rsidR="00F211D8" w:rsidRPr="00FE7FBC">
        <w:rPr>
          <w:rFonts w:ascii="Palatino Linotype" w:eastAsia="Palatino Linotype" w:hAnsi="Palatino Linotype" w:cs="Palatino Linotype"/>
          <w:color w:val="000000" w:themeColor="text1"/>
          <w:sz w:val="22"/>
          <w:szCs w:val="22"/>
          <w:lang w:eastAsia="es-MX"/>
        </w:rPr>
        <w:t xml:space="preserve">además de que informó que el correo tiene el dominio </w:t>
      </w:r>
      <w:hyperlink r:id="rId8" w:history="1">
        <w:r w:rsidR="00F211D8" w:rsidRPr="00FE7FBC">
          <w:rPr>
            <w:rStyle w:val="Hipervnculo"/>
            <w:rFonts w:ascii="Palatino Linotype" w:eastAsia="Palatino Linotype" w:hAnsi="Palatino Linotype" w:cs="Palatino Linotype"/>
            <w:sz w:val="22"/>
            <w:szCs w:val="22"/>
            <w:lang w:eastAsia="es-MX"/>
          </w:rPr>
          <w:t>unidad.juridica@cecytem.mx</w:t>
        </w:r>
      </w:hyperlink>
      <w:r w:rsidR="00F211D8" w:rsidRPr="00FE7FBC">
        <w:rPr>
          <w:rFonts w:ascii="Palatino Linotype" w:eastAsia="Palatino Linotype" w:hAnsi="Palatino Linotype" w:cs="Palatino Linotype"/>
          <w:color w:val="000000" w:themeColor="text1"/>
          <w:sz w:val="22"/>
          <w:szCs w:val="22"/>
          <w:lang w:eastAsia="es-MX"/>
        </w:rPr>
        <w:t>.</w:t>
      </w:r>
    </w:p>
    <w:p w14:paraId="4B19CEC5" w14:textId="77777777" w:rsidR="00F211D8" w:rsidRPr="00FE7FBC" w:rsidRDefault="00F211D8"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8C0B390" w14:textId="28D34CDA" w:rsidR="00A311EC" w:rsidRPr="00FE7FBC" w:rsidRDefault="00F211D8"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El Particular</w:t>
      </w:r>
      <w:r w:rsidR="00620C7A" w:rsidRPr="00FE7FBC">
        <w:rPr>
          <w:rFonts w:ascii="Palatino Linotype" w:eastAsia="Palatino Linotype" w:hAnsi="Palatino Linotype" w:cs="Palatino Linotype"/>
          <w:color w:val="000000" w:themeColor="text1"/>
          <w:sz w:val="22"/>
          <w:szCs w:val="22"/>
          <w:lang w:eastAsia="es-MX"/>
        </w:rPr>
        <w:t xml:space="preserve"> se inconformó de que se le negó la información por lo cual, </w:t>
      </w:r>
      <w:r w:rsidR="00A311EC" w:rsidRPr="00FE7FBC">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sidR="00F44A6D" w:rsidRPr="00FE7FBC">
        <w:rPr>
          <w:rFonts w:ascii="Palatino Linotype" w:eastAsia="Palatino Linotype" w:hAnsi="Palatino Linotype" w:cs="Palatino Linotype"/>
          <w:color w:val="000000" w:themeColor="text1"/>
          <w:sz w:val="22"/>
          <w:szCs w:val="22"/>
          <w:lang w:eastAsia="es-MX"/>
        </w:rPr>
        <w:t>I</w:t>
      </w:r>
      <w:r w:rsidR="007D7B85" w:rsidRPr="00FE7FBC">
        <w:rPr>
          <w:rFonts w:ascii="Palatino Linotype" w:eastAsia="Palatino Linotype" w:hAnsi="Palatino Linotype" w:cs="Palatino Linotype"/>
          <w:color w:val="000000" w:themeColor="text1"/>
          <w:sz w:val="22"/>
          <w:szCs w:val="22"/>
          <w:lang w:eastAsia="es-MX"/>
        </w:rPr>
        <w:t>I</w:t>
      </w:r>
      <w:r w:rsidR="00A311EC" w:rsidRPr="00FE7FBC">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w:t>
      </w:r>
      <w:r w:rsidR="00A311EC" w:rsidRPr="00FE7FBC">
        <w:rPr>
          <w:rFonts w:ascii="Palatino Linotype" w:eastAsia="Palatino Linotype" w:hAnsi="Palatino Linotype" w:cs="Palatino Linotype"/>
          <w:color w:val="000000" w:themeColor="text1"/>
          <w:sz w:val="22"/>
          <w:szCs w:val="22"/>
          <w:lang w:eastAsia="es-MX"/>
        </w:rPr>
        <w:lastRenderedPageBreak/>
        <w:t xml:space="preserve">valer su derecho de acceso a la información pública, y procederá en contra de </w:t>
      </w:r>
      <w:r w:rsidR="00A311EC" w:rsidRPr="00FE7FBC">
        <w:rPr>
          <w:rFonts w:ascii="Palatino Linotype" w:eastAsia="Palatino Linotype" w:hAnsi="Palatino Linotype" w:cs="Palatino Linotype"/>
          <w:b/>
          <w:bCs/>
          <w:color w:val="000000" w:themeColor="text1"/>
          <w:sz w:val="22"/>
          <w:szCs w:val="22"/>
          <w:lang w:eastAsia="es-MX"/>
        </w:rPr>
        <w:t xml:space="preserve">– </w:t>
      </w:r>
      <w:r w:rsidR="009A6EA2" w:rsidRPr="00FE7FBC">
        <w:rPr>
          <w:rFonts w:ascii="Palatino Linotype" w:eastAsia="Palatino Linotype" w:hAnsi="Palatino Linotype" w:cs="Palatino Linotype"/>
          <w:b/>
          <w:bCs/>
          <w:color w:val="000000" w:themeColor="text1"/>
          <w:sz w:val="22"/>
          <w:szCs w:val="22"/>
          <w:lang w:eastAsia="es-MX"/>
        </w:rPr>
        <w:t>la negativa a la información proporcionada</w:t>
      </w:r>
      <w:r w:rsidR="00A311EC" w:rsidRPr="00FE7FBC">
        <w:rPr>
          <w:rFonts w:ascii="Palatino Linotype" w:eastAsia="Palatino Linotype" w:hAnsi="Palatino Linotype" w:cs="Palatino Linotype"/>
          <w:b/>
          <w:bCs/>
          <w:color w:val="000000" w:themeColor="text1"/>
          <w:sz w:val="22"/>
          <w:szCs w:val="22"/>
          <w:lang w:eastAsia="es-MX"/>
        </w:rPr>
        <w:t>-.</w:t>
      </w:r>
    </w:p>
    <w:p w14:paraId="43B58FAD"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755BD0F" w14:textId="77777777" w:rsidR="00A311EC" w:rsidRPr="00FE7FBC" w:rsidRDefault="00A311EC" w:rsidP="00620C7A">
      <w:pPr>
        <w:keepNext/>
        <w:keepLines/>
        <w:jc w:val="both"/>
        <w:outlineLvl w:val="1"/>
        <w:rPr>
          <w:rFonts w:ascii="Palatino Linotype" w:eastAsia="Palatino Linotype" w:hAnsi="Palatino Linotype" w:cs="Palatino Linotype"/>
          <w:b/>
          <w:color w:val="000000" w:themeColor="text1"/>
          <w:sz w:val="22"/>
          <w:szCs w:val="36"/>
          <w:lang w:eastAsia="es-MX"/>
        </w:rPr>
      </w:pPr>
      <w:bookmarkStart w:id="24" w:name="_Toc187931074"/>
      <w:bookmarkStart w:id="25" w:name="_Toc191561713"/>
      <w:bookmarkStart w:id="26" w:name="_Toc209709318"/>
      <w:r w:rsidRPr="00FE7FBC">
        <w:rPr>
          <w:rFonts w:ascii="Palatino Linotype" w:eastAsia="Palatino Linotype" w:hAnsi="Palatino Linotype" w:cs="Palatino Linotype"/>
          <w:b/>
          <w:color w:val="000000" w:themeColor="text1"/>
          <w:sz w:val="22"/>
          <w:szCs w:val="36"/>
          <w:lang w:eastAsia="es-MX"/>
        </w:rPr>
        <w:t>CUARTO. Marco normativo aplicable en materia de transparencia y acceso a la información pública</w:t>
      </w:r>
      <w:bookmarkEnd w:id="24"/>
      <w:bookmarkEnd w:id="25"/>
      <w:bookmarkEnd w:id="26"/>
    </w:p>
    <w:p w14:paraId="1F42C0CB"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EEAE524" w14:textId="7095C5DC"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El artículo 6°, Apartado A), fracción I de la Constitución Política de los Estados Unidos Mexicanos, establece que toda la información en posesión de cualquier </w:t>
      </w:r>
      <w:r w:rsidR="009A6EA2" w:rsidRPr="00FE7FBC">
        <w:rPr>
          <w:rFonts w:ascii="Palatino Linotype" w:eastAsia="Palatino Linotype" w:hAnsi="Palatino Linotype" w:cs="Palatino Linotype"/>
          <w:color w:val="000000"/>
          <w:sz w:val="22"/>
          <w:szCs w:val="22"/>
          <w:lang w:eastAsia="es-MX"/>
        </w:rPr>
        <w:t>autoridad</w:t>
      </w:r>
      <w:r w:rsidRPr="00FE7FBC">
        <w:rPr>
          <w:rFonts w:ascii="Palatino Linotype" w:eastAsia="Palatino Linotype" w:hAnsi="Palatino Linotype" w:cs="Palatino Linotype"/>
          <w:color w:val="000000"/>
          <w:sz w:val="22"/>
          <w:szCs w:val="22"/>
          <w:lang w:eastAsia="es-MX"/>
        </w:rPr>
        <w:t xml:space="preserve"> es pública y sólo podrá ser reservada temporalmente por razones de interés público.</w:t>
      </w:r>
    </w:p>
    <w:p w14:paraId="74657529"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34C92FD"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AFDFBB"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0526F176"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09FE41"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46BDAE8"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Por su parte, la Ley de Transparencia y Acceso a la Información Pública del Estado de México y Municipios (Reglamentaria del artículo 5° de la Constitución Local), establece lo siguiente:</w:t>
      </w:r>
    </w:p>
    <w:p w14:paraId="08B9C137"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93600AB"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El artículo </w:t>
      </w:r>
      <w:r w:rsidRPr="00FE7FBC">
        <w:rPr>
          <w:rFonts w:ascii="Palatino Linotype" w:eastAsia="Palatino Linotype" w:hAnsi="Palatino Linotype" w:cs="Palatino Linotype"/>
          <w:color w:val="000000" w:themeColor="text1"/>
          <w:sz w:val="22"/>
          <w:szCs w:val="22"/>
          <w:lang w:eastAsia="es-MX"/>
        </w:rPr>
        <w:t>12 dice que</w:t>
      </w:r>
      <w:r w:rsidRPr="00FE7FBC">
        <w:rPr>
          <w:rFonts w:ascii="Palatino Linotype" w:eastAsia="Palatino Linotype" w:hAnsi="Palatino Linotype" w:cs="Palatino Linotype"/>
          <w:color w:val="000000"/>
          <w:sz w:val="22"/>
          <w:szCs w:val="22"/>
          <w:lang w:eastAsia="es-MX"/>
        </w:rPr>
        <w:t>, quienes generen, recopilen, administren, manejen, procesen, archiven o conserven información pública serán responsables de la misma.</w:t>
      </w:r>
    </w:p>
    <w:p w14:paraId="07C487FA"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9A12BDC" w14:textId="77777777" w:rsidR="00A311EC" w:rsidRPr="00FE7FBC" w:rsidRDefault="00A311EC" w:rsidP="00A311EC">
      <w:pPr>
        <w:widowControl w:val="0"/>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71C4693"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2CC6352"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0B2C8A"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5B86567" w14:textId="77777777" w:rsidR="00A311EC" w:rsidRPr="00FE7FBC"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7" w:name="_Toc187931075"/>
      <w:bookmarkStart w:id="28" w:name="_Toc191561714"/>
      <w:bookmarkStart w:id="29" w:name="_Toc209709319"/>
      <w:r w:rsidRPr="00FE7FBC">
        <w:rPr>
          <w:rFonts w:ascii="Palatino Linotype" w:eastAsia="Palatino Linotype" w:hAnsi="Palatino Linotype" w:cs="Palatino Linotype"/>
          <w:b/>
          <w:color w:val="000000" w:themeColor="text1"/>
          <w:sz w:val="22"/>
          <w:szCs w:val="36"/>
          <w:lang w:eastAsia="es-MX"/>
        </w:rPr>
        <w:t>QUINTO. Estudio de Fondo</w:t>
      </w:r>
      <w:bookmarkEnd w:id="27"/>
      <w:bookmarkEnd w:id="28"/>
      <w:bookmarkEnd w:id="29"/>
    </w:p>
    <w:p w14:paraId="35C9E018" w14:textId="77777777" w:rsidR="00A311EC" w:rsidRPr="00FE7FBC"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A510A1B" w14:textId="7DC7C15B" w:rsidR="00236A79" w:rsidRPr="00FE7FBC" w:rsidRDefault="009A6EA2"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La información solicitada,</w:t>
      </w:r>
      <w:r w:rsidR="00620C7A" w:rsidRPr="00FE7FBC">
        <w:rPr>
          <w:rFonts w:ascii="Palatino Linotype" w:eastAsia="Palatino Linotype" w:hAnsi="Palatino Linotype" w:cs="Palatino Linotype"/>
          <w:color w:val="000000" w:themeColor="text1"/>
          <w:sz w:val="22"/>
          <w:szCs w:val="22"/>
          <w:lang w:eastAsia="es-MX"/>
        </w:rPr>
        <w:t xml:space="preserve"> </w:t>
      </w:r>
      <w:r w:rsidR="00CB5569" w:rsidRPr="00FE7FBC">
        <w:rPr>
          <w:rFonts w:ascii="Palatino Linotype" w:eastAsia="Palatino Linotype" w:hAnsi="Palatino Linotype" w:cs="Palatino Linotype"/>
          <w:color w:val="000000" w:themeColor="text1"/>
          <w:sz w:val="22"/>
          <w:szCs w:val="22"/>
          <w:lang w:eastAsia="es-MX"/>
        </w:rPr>
        <w:t>radicó en un punto de información, que son los correos de entrada y salida de la Unidad Jurídica y de Igualdad de Género del primero de junio al catorce de julio de dos mil veinticinco</w:t>
      </w:r>
      <w:r w:rsidR="007D7B85" w:rsidRPr="00FE7FBC">
        <w:rPr>
          <w:rFonts w:ascii="Palatino Linotype" w:eastAsia="Palatino Linotype" w:hAnsi="Palatino Linotype" w:cs="Palatino Linotype"/>
          <w:color w:val="000000" w:themeColor="text1"/>
          <w:sz w:val="22"/>
          <w:szCs w:val="22"/>
          <w:lang w:eastAsia="es-MX"/>
        </w:rPr>
        <w:t xml:space="preserve">, para lo cual, es necesario indicar </w:t>
      </w:r>
      <w:r w:rsidR="00236A79" w:rsidRPr="00FE7FBC">
        <w:rPr>
          <w:rFonts w:ascii="Palatino Linotype" w:eastAsia="Palatino Linotype" w:hAnsi="Palatino Linotype" w:cs="Palatino Linotype"/>
          <w:color w:val="000000" w:themeColor="text1"/>
          <w:sz w:val="22"/>
          <w:szCs w:val="22"/>
          <w:lang w:eastAsia="es-MX"/>
        </w:rPr>
        <w:t>que la información solicitada puede ser definida de la siguiente manera:</w:t>
      </w:r>
    </w:p>
    <w:p w14:paraId="1B39FE93" w14:textId="77777777" w:rsidR="00236A79" w:rsidRPr="00FE7FBC" w:rsidRDefault="00236A79"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5C377E1" w14:textId="7FF202F1" w:rsidR="00236A79" w:rsidRPr="00FE7FBC" w:rsidRDefault="00236A79" w:rsidP="007D7B85">
      <w:pPr>
        <w:pStyle w:val="Prrafodelista"/>
        <w:numPr>
          <w:ilvl w:val="0"/>
          <w:numId w:val="10"/>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FE7FBC">
        <w:rPr>
          <w:rFonts w:ascii="Palatino Linotype" w:eastAsia="Palatino Linotype" w:hAnsi="Palatino Linotype" w:cs="Palatino Linotype"/>
          <w:b/>
          <w:bCs/>
          <w:color w:val="000000" w:themeColor="text1"/>
          <w:szCs w:val="22"/>
          <w:lang w:eastAsia="es-MX"/>
        </w:rPr>
        <w:t>Correo de entrada:</w:t>
      </w:r>
      <w:r w:rsidRPr="00FE7FBC">
        <w:rPr>
          <w:rFonts w:ascii="Palatino Linotype" w:eastAsia="Palatino Linotype" w:hAnsi="Palatino Linotype" w:cs="Palatino Linotype"/>
          <w:color w:val="000000" w:themeColor="text1"/>
          <w:szCs w:val="22"/>
          <w:lang w:eastAsia="es-MX"/>
        </w:rPr>
        <w:t xml:space="preserve"> Es el conjunto de mensajes electrónicos que recibe una cuenta de correo institucional o personal, enviados por terceros. Desde el punto de vista jurídico, constituye un medio de recepción de comunicaciones electrónicas, que puede incluir notificaciones, requerimientos, solicitudes, o cualquier otra información con relevancia legal. Su contenido puede tener valor probatorio, conforme a las disposiciones aplicables en materia de prueba electrónica, y debe ser gestionado conforme a los principios de confidencialidad, integridad y trazabilidad.</w:t>
      </w:r>
    </w:p>
    <w:p w14:paraId="38D3808E" w14:textId="77777777" w:rsidR="002E1F7B" w:rsidRPr="00FE7FBC" w:rsidRDefault="002E1F7B" w:rsidP="00236A79">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4B62FF7C" w14:textId="0864468B" w:rsidR="002E1F7B" w:rsidRPr="00FE7FBC" w:rsidRDefault="002E1F7B" w:rsidP="007D7B85">
      <w:pPr>
        <w:pStyle w:val="Prrafodelista"/>
        <w:numPr>
          <w:ilvl w:val="0"/>
          <w:numId w:val="10"/>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FE7FBC">
        <w:rPr>
          <w:rFonts w:ascii="Palatino Linotype" w:eastAsia="Palatino Linotype" w:hAnsi="Palatino Linotype" w:cs="Palatino Linotype"/>
          <w:b/>
          <w:bCs/>
          <w:color w:val="000000" w:themeColor="text1"/>
          <w:szCs w:val="22"/>
          <w:lang w:eastAsia="es-MX"/>
        </w:rPr>
        <w:t>Correo de salida:</w:t>
      </w:r>
      <w:r w:rsidRPr="00FE7FBC">
        <w:rPr>
          <w:rFonts w:ascii="Palatino Linotype" w:eastAsia="Palatino Linotype" w:hAnsi="Palatino Linotype" w:cs="Palatino Linotype"/>
          <w:color w:val="000000" w:themeColor="text1"/>
          <w:szCs w:val="22"/>
          <w:lang w:eastAsia="es-MX"/>
        </w:rPr>
        <w:t xml:space="preserve"> Es el conjunto de mensajes electrónicos emitidos o remitidos desde una cuenta de correo institucional o personal hacia terceros. Jurídicamente, se </w:t>
      </w:r>
      <w:r w:rsidRPr="00FE7FBC">
        <w:rPr>
          <w:rFonts w:ascii="Palatino Linotype" w:eastAsia="Palatino Linotype" w:hAnsi="Palatino Linotype" w:cs="Palatino Linotype"/>
          <w:color w:val="000000" w:themeColor="text1"/>
          <w:szCs w:val="22"/>
          <w:lang w:eastAsia="es-MX"/>
        </w:rPr>
        <w:lastRenderedPageBreak/>
        <w:t>considera un medio de emisión de comunicaciones oficiales o personales, que puede generar efectos jurídicos, especialmente en casos de notificaciones, declaraciones o manifestaciones de voluntad. Al igual que el correo de entrada, los correos de salida pueden constituir medios de prueba y deben cumplir con los requisitos de autenticidad, fecha cierta, y conservación, según la normativa vigente en materia de tecnologías de la información y comunicaciones (TIC) y derecho procesal.</w:t>
      </w:r>
    </w:p>
    <w:p w14:paraId="4DB380D7" w14:textId="77777777" w:rsidR="0062694A" w:rsidRPr="00FE7FBC" w:rsidRDefault="0062694A" w:rsidP="0033771A">
      <w:pPr>
        <w:spacing w:line="360" w:lineRule="auto"/>
        <w:contextualSpacing/>
        <w:jc w:val="both"/>
        <w:rPr>
          <w:rFonts w:ascii="Palatino Linotype" w:eastAsia="Palatino Linotype" w:hAnsi="Palatino Linotype" w:cs="Tahoma"/>
          <w:bCs/>
          <w:color w:val="000000" w:themeColor="text1"/>
          <w:sz w:val="22"/>
          <w:szCs w:val="22"/>
          <w:lang w:eastAsia="es-MX"/>
        </w:rPr>
      </w:pPr>
    </w:p>
    <w:p w14:paraId="49E436D8" w14:textId="3DD1ECCB" w:rsidR="002E1F7B" w:rsidRPr="00FE7FBC" w:rsidRDefault="00BE337B" w:rsidP="0033771A">
      <w:pPr>
        <w:spacing w:line="360" w:lineRule="auto"/>
        <w:contextualSpacing/>
        <w:jc w:val="both"/>
        <w:rPr>
          <w:rFonts w:ascii="Palatino Linotype" w:eastAsia="Palatino Linotype" w:hAnsi="Palatino Linotype" w:cs="Tahoma"/>
          <w:bCs/>
          <w:color w:val="000000" w:themeColor="text1"/>
          <w:sz w:val="22"/>
          <w:szCs w:val="22"/>
          <w:lang w:eastAsia="es-MX"/>
        </w:rPr>
      </w:pPr>
      <w:r w:rsidRPr="00FE7FBC">
        <w:rPr>
          <w:rFonts w:ascii="Palatino Linotype" w:eastAsia="Palatino Linotype" w:hAnsi="Palatino Linotype" w:cs="Tahoma"/>
          <w:bCs/>
          <w:color w:val="000000" w:themeColor="text1"/>
          <w:sz w:val="22"/>
          <w:szCs w:val="22"/>
          <w:lang w:eastAsia="es-MX"/>
        </w:rPr>
        <w:t xml:space="preserve">Al respecto, debemos diferencias la existencia de correos personales y correos institucionales; los primeros, son un medio de comunicación personal y los segundos, </w:t>
      </w:r>
      <w:r w:rsidR="00CE7427" w:rsidRPr="00FE7FBC">
        <w:rPr>
          <w:rFonts w:ascii="Palatino Linotype" w:eastAsia="Palatino Linotype" w:hAnsi="Palatino Linotype" w:cs="Tahoma"/>
          <w:bCs/>
          <w:color w:val="000000" w:themeColor="text1"/>
          <w:sz w:val="22"/>
          <w:szCs w:val="22"/>
          <w:lang w:eastAsia="es-MX"/>
        </w:rPr>
        <w:t>son medios de comunicación de las instituciones, los cuales, para efectos de la materia, se identifican a través de su finalidad o bien, de su dominio</w:t>
      </w:r>
      <w:r w:rsidR="00300745" w:rsidRPr="00FE7FBC">
        <w:rPr>
          <w:rFonts w:ascii="Palatino Linotype" w:eastAsia="Palatino Linotype" w:hAnsi="Palatino Linotype" w:cs="Tahoma"/>
          <w:bCs/>
          <w:color w:val="000000" w:themeColor="text1"/>
          <w:sz w:val="22"/>
          <w:szCs w:val="22"/>
          <w:lang w:eastAsia="es-MX"/>
        </w:rPr>
        <w:t>. Un dominio de correo electrónico es la parte de la dirección que aparece después del símbolo @ (por ejemplo, en hola@</w:t>
      </w:r>
      <w:r w:rsidR="00F22DB1" w:rsidRPr="00FE7FBC">
        <w:rPr>
          <w:rFonts w:ascii="Palatino Linotype" w:eastAsia="Palatino Linotype" w:hAnsi="Palatino Linotype" w:cs="Tahoma"/>
          <w:bCs/>
          <w:color w:val="000000" w:themeColor="text1"/>
          <w:sz w:val="22"/>
          <w:szCs w:val="22"/>
          <w:lang w:eastAsia="es-MX"/>
        </w:rPr>
        <w:t>secretaríax.gob.mx</w:t>
      </w:r>
      <w:r w:rsidR="00300745" w:rsidRPr="00FE7FBC">
        <w:rPr>
          <w:rFonts w:ascii="Palatino Linotype" w:eastAsia="Palatino Linotype" w:hAnsi="Palatino Linotype" w:cs="Tahoma"/>
          <w:bCs/>
          <w:color w:val="000000" w:themeColor="text1"/>
          <w:sz w:val="22"/>
          <w:szCs w:val="22"/>
          <w:lang w:eastAsia="es-MX"/>
        </w:rPr>
        <w:t>). Este dominio identifica el servicio de correo o la marca del remitente y se utiliza para dirigir los mensajes al servidor adecuado a través del sistema DNS. Las empresas usan dominios personalizados (como nombre@suempresa.com) para proyectar profesionalismo</w:t>
      </w:r>
      <w:r w:rsidR="00F22DB1" w:rsidRPr="00FE7FBC">
        <w:rPr>
          <w:rFonts w:ascii="Palatino Linotype" w:eastAsia="Palatino Linotype" w:hAnsi="Palatino Linotype" w:cs="Tahoma"/>
          <w:bCs/>
          <w:color w:val="000000" w:themeColor="text1"/>
          <w:sz w:val="22"/>
          <w:szCs w:val="22"/>
          <w:lang w:eastAsia="es-MX"/>
        </w:rPr>
        <w:t xml:space="preserve">, los dominios </w:t>
      </w:r>
      <w:r w:rsidR="00604CF3" w:rsidRPr="00FE7FBC">
        <w:rPr>
          <w:rFonts w:ascii="Palatino Linotype" w:eastAsia="Palatino Linotype" w:hAnsi="Palatino Linotype" w:cs="Tahoma"/>
          <w:bCs/>
          <w:color w:val="000000" w:themeColor="text1"/>
          <w:sz w:val="22"/>
          <w:szCs w:val="22"/>
          <w:lang w:eastAsia="es-MX"/>
        </w:rPr>
        <w:t xml:space="preserve">con </w:t>
      </w:r>
      <w:r w:rsidR="005D3F69" w:rsidRPr="00FE7FBC">
        <w:rPr>
          <w:rFonts w:ascii="Palatino Linotype" w:eastAsia="Palatino Linotype" w:hAnsi="Palatino Linotype" w:cs="Tahoma"/>
          <w:bCs/>
          <w:color w:val="000000" w:themeColor="text1"/>
          <w:sz w:val="22"/>
          <w:szCs w:val="22"/>
          <w:lang w:eastAsia="es-MX"/>
        </w:rPr>
        <w:t xml:space="preserve">terminación. </w:t>
      </w:r>
      <w:proofErr w:type="spellStart"/>
      <w:r w:rsidR="005D3F69" w:rsidRPr="00FE7FBC">
        <w:rPr>
          <w:rFonts w:ascii="Palatino Linotype" w:eastAsia="Palatino Linotype" w:hAnsi="Palatino Linotype" w:cs="Tahoma"/>
          <w:bCs/>
          <w:color w:val="000000" w:themeColor="text1"/>
          <w:sz w:val="22"/>
          <w:szCs w:val="22"/>
          <w:lang w:eastAsia="es-MX"/>
        </w:rPr>
        <w:t>gob</w:t>
      </w:r>
      <w:proofErr w:type="spellEnd"/>
      <w:r w:rsidR="00604CF3" w:rsidRPr="00FE7FBC">
        <w:rPr>
          <w:rFonts w:ascii="Palatino Linotype" w:eastAsia="Palatino Linotype" w:hAnsi="Palatino Linotype" w:cs="Tahoma"/>
          <w:bCs/>
          <w:color w:val="000000" w:themeColor="text1"/>
          <w:sz w:val="22"/>
          <w:szCs w:val="22"/>
          <w:lang w:eastAsia="es-MX"/>
        </w:rPr>
        <w:t>, implica el uso de correos relacionados con funciones gubernamentales, cuya finalidad, es</w:t>
      </w:r>
      <w:r w:rsidR="00300745" w:rsidRPr="00FE7FBC">
        <w:rPr>
          <w:rFonts w:ascii="Palatino Linotype" w:eastAsia="Palatino Linotype" w:hAnsi="Palatino Linotype" w:cs="Tahoma"/>
          <w:bCs/>
          <w:color w:val="000000" w:themeColor="text1"/>
          <w:sz w:val="22"/>
          <w:szCs w:val="22"/>
          <w:lang w:eastAsia="es-MX"/>
        </w:rPr>
        <w:t xml:space="preserve"> generar confianza, aumentar la credibilidad y promocionar su marca, en contraste con los dominios genéricos de servicios como @gmail.com.</w:t>
      </w:r>
    </w:p>
    <w:p w14:paraId="7D759CB0" w14:textId="77777777" w:rsidR="005D3F69" w:rsidRPr="00FE7FBC" w:rsidRDefault="005D3F69" w:rsidP="0033771A">
      <w:pPr>
        <w:spacing w:line="360" w:lineRule="auto"/>
        <w:contextualSpacing/>
        <w:jc w:val="both"/>
        <w:rPr>
          <w:rFonts w:ascii="Palatino Linotype" w:eastAsia="Palatino Linotype" w:hAnsi="Palatino Linotype" w:cs="Tahoma"/>
          <w:bCs/>
          <w:color w:val="000000" w:themeColor="text1"/>
          <w:sz w:val="22"/>
          <w:szCs w:val="22"/>
          <w:lang w:eastAsia="es-MX"/>
        </w:rPr>
      </w:pPr>
    </w:p>
    <w:p w14:paraId="0B572511" w14:textId="5DE25045" w:rsidR="005D3F69" w:rsidRPr="00FE7FBC" w:rsidRDefault="00042453"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Tahoma"/>
          <w:bCs/>
          <w:color w:val="000000" w:themeColor="text1"/>
          <w:sz w:val="22"/>
          <w:szCs w:val="22"/>
          <w:lang w:eastAsia="es-MX"/>
        </w:rPr>
        <w:t xml:space="preserve">En el asunto que nos </w:t>
      </w:r>
      <w:r w:rsidR="00733DC9" w:rsidRPr="00FE7FBC">
        <w:rPr>
          <w:rFonts w:ascii="Palatino Linotype" w:eastAsia="Palatino Linotype" w:hAnsi="Palatino Linotype" w:cs="Tahoma"/>
          <w:bCs/>
          <w:color w:val="000000" w:themeColor="text1"/>
          <w:sz w:val="22"/>
          <w:szCs w:val="22"/>
          <w:lang w:eastAsia="es-MX"/>
        </w:rPr>
        <w:t>ocupa el</w:t>
      </w:r>
      <w:r w:rsidR="00C8157D" w:rsidRPr="00FE7FBC">
        <w:rPr>
          <w:rFonts w:ascii="Palatino Linotype" w:eastAsia="Palatino Linotype" w:hAnsi="Palatino Linotype" w:cs="Tahoma"/>
          <w:bCs/>
          <w:color w:val="000000" w:themeColor="text1"/>
          <w:sz w:val="22"/>
          <w:szCs w:val="22"/>
          <w:lang w:eastAsia="es-MX"/>
        </w:rPr>
        <w:t xml:space="preserve"> correo electrónico utilizado por </w:t>
      </w:r>
      <w:r w:rsidR="00A43CE2" w:rsidRPr="00FE7FBC">
        <w:rPr>
          <w:rFonts w:ascii="Palatino Linotype" w:eastAsia="Palatino Linotype" w:hAnsi="Palatino Linotype" w:cs="Tahoma"/>
          <w:bCs/>
          <w:color w:val="000000" w:themeColor="text1"/>
          <w:sz w:val="22"/>
          <w:szCs w:val="22"/>
          <w:lang w:eastAsia="es-MX"/>
        </w:rPr>
        <w:t>el área</w:t>
      </w:r>
      <w:r w:rsidR="00C8157D" w:rsidRPr="00FE7FBC">
        <w:rPr>
          <w:rFonts w:ascii="Palatino Linotype" w:eastAsia="Palatino Linotype" w:hAnsi="Palatino Linotype" w:cs="Tahoma"/>
          <w:bCs/>
          <w:color w:val="000000" w:themeColor="text1"/>
          <w:sz w:val="22"/>
          <w:szCs w:val="22"/>
          <w:lang w:eastAsia="es-MX"/>
        </w:rPr>
        <w:t xml:space="preserve"> sobre la que se requirió información es el que tiene por nombre </w:t>
      </w:r>
      <w:hyperlink r:id="rId9" w:history="1">
        <w:r w:rsidR="00011436" w:rsidRPr="00FE7FBC">
          <w:rPr>
            <w:rStyle w:val="Hipervnculo"/>
            <w:rFonts w:ascii="Palatino Linotype" w:eastAsia="Palatino Linotype" w:hAnsi="Palatino Linotype" w:cs="Palatino Linotype"/>
            <w:sz w:val="22"/>
            <w:szCs w:val="22"/>
            <w:lang w:eastAsia="es-MX"/>
          </w:rPr>
          <w:t>unidad.juridica@cecytem.mx</w:t>
        </w:r>
      </w:hyperlink>
      <w:r w:rsidR="00C97FDA" w:rsidRPr="00FE7FBC">
        <w:rPr>
          <w:rFonts w:ascii="Palatino Linotype" w:eastAsia="Palatino Linotype" w:hAnsi="Palatino Linotype" w:cs="Palatino Linotype"/>
          <w:color w:val="000000" w:themeColor="text1"/>
          <w:sz w:val="22"/>
          <w:szCs w:val="22"/>
          <w:lang w:eastAsia="es-MX"/>
        </w:rPr>
        <w:t>, por lo que se advierte que el dominio está ligado a la institución por lo que es un medio oficial de comunicación, por tener dominio institucional.</w:t>
      </w:r>
    </w:p>
    <w:p w14:paraId="3322AD8F" w14:textId="77777777" w:rsidR="007D7B85" w:rsidRPr="00FE7FBC" w:rsidRDefault="007D7B85"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5EBA26F6" w14:textId="312BC64F" w:rsidR="007D7B85" w:rsidRPr="00FE7FBC" w:rsidRDefault="007D7B85"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lastRenderedPageBreak/>
        <w:t xml:space="preserve">Lo cual toma relevancia, pues el Criterio Reiterado 06/19, emitido por el Pleno de este Instituto precisa que </w:t>
      </w:r>
      <w:r w:rsidRPr="00FE7FBC">
        <w:rPr>
          <w:rFonts w:ascii="Palatino Linotype" w:eastAsiaTheme="minorHAnsi" w:hAnsi="Palatino Linotype" w:cs="Arial"/>
          <w:sz w:val="22"/>
          <w:szCs w:val="22"/>
          <w:lang w:eastAsia="en-US"/>
        </w:rPr>
        <w:t>la información inmersa en los correos electrónicos institucionales es susceptible de entregarse para colmar una solicitud de información, al tratarse de información generada, poseída o administrada, misma que guarda el carácter de público, al tratarse de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w:t>
      </w:r>
    </w:p>
    <w:p w14:paraId="3F760D86" w14:textId="77777777" w:rsidR="007D7B85" w:rsidRPr="00FE7FBC" w:rsidRDefault="007D7B85"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2153B594" w14:textId="2A04BEF5" w:rsidR="00065A1E" w:rsidRPr="00FE7FBC" w:rsidRDefault="00065A1E" w:rsidP="00065A1E">
      <w:pPr>
        <w:spacing w:line="360" w:lineRule="auto"/>
        <w:jc w:val="both"/>
        <w:rPr>
          <w:rFonts w:ascii="Palatino Linotype" w:eastAsia="Palatino Linotype" w:hAnsi="Palatino Linotype" w:cs="Palatino Linotype"/>
          <w:sz w:val="22"/>
          <w:szCs w:val="22"/>
          <w:lang w:eastAsia="es-ES_tradnl"/>
        </w:rPr>
      </w:pPr>
      <w:r w:rsidRPr="00FE7FBC">
        <w:rPr>
          <w:rFonts w:ascii="Palatino Linotype" w:eastAsia="Palatino Linotype" w:hAnsi="Palatino Linotype" w:cs="Palatino Linotype"/>
          <w:sz w:val="22"/>
          <w:szCs w:val="22"/>
          <w:lang w:eastAsia="es-ES_tradnl"/>
        </w:rPr>
        <w:t xml:space="preserve">Es importante señalar que parte de la información solicitada, se trata de hechos futuros, es decir que tal como se desprende de las constancias del expediente la solicitud, se presentó el catorce de julio de dos mil veinticinco, por lo que la información del quince al treinta y uno de </w:t>
      </w:r>
      <w:proofErr w:type="spellStart"/>
      <w:r w:rsidRPr="00FE7FBC">
        <w:rPr>
          <w:rFonts w:ascii="Palatino Linotype" w:eastAsia="Palatino Linotype" w:hAnsi="Palatino Linotype" w:cs="Palatino Linotype"/>
          <w:sz w:val="22"/>
          <w:szCs w:val="22"/>
          <w:lang w:eastAsia="es-ES_tradnl"/>
        </w:rPr>
        <w:t>de</w:t>
      </w:r>
      <w:proofErr w:type="spellEnd"/>
      <w:r w:rsidRPr="00FE7FBC">
        <w:rPr>
          <w:rFonts w:ascii="Palatino Linotype" w:eastAsia="Palatino Linotype" w:hAnsi="Palatino Linotype" w:cs="Palatino Linotype"/>
          <w:sz w:val="22"/>
          <w:szCs w:val="22"/>
          <w:lang w:eastAsia="es-ES_tradnl"/>
        </w:rPr>
        <w:t xml:space="preserve"> dicho mes y año, no se había generado, por lo que únicamente se procederá a su análisis a la fecha de la solicitud, esto es, del primero de junio al catorce de julio del presente año.</w:t>
      </w:r>
    </w:p>
    <w:p w14:paraId="4D4EA5A2" w14:textId="77777777" w:rsidR="00065A1E" w:rsidRPr="00FE7FBC" w:rsidRDefault="00065A1E"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47B52C91" w14:textId="389897BB" w:rsidR="00065A1E" w:rsidRPr="00FE7FBC" w:rsidRDefault="00C97FDA" w:rsidP="00065A1E">
      <w:pPr>
        <w:spacing w:line="360" w:lineRule="auto"/>
        <w:contextualSpacing/>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themeColor="text1"/>
          <w:sz w:val="22"/>
          <w:szCs w:val="22"/>
          <w:lang w:eastAsia="es-MX"/>
        </w:rPr>
        <w:t>Ahora, sobre la respuesta aportada por el Sujeto Obligado referente a que se desconoc</w:t>
      </w:r>
      <w:r w:rsidR="007D7B85" w:rsidRPr="00FE7FBC">
        <w:rPr>
          <w:rFonts w:ascii="Palatino Linotype" w:eastAsia="Palatino Linotype" w:hAnsi="Palatino Linotype" w:cs="Palatino Linotype"/>
          <w:color w:val="000000" w:themeColor="text1"/>
          <w:sz w:val="22"/>
          <w:szCs w:val="22"/>
          <w:lang w:eastAsia="es-MX"/>
        </w:rPr>
        <w:t>ía</w:t>
      </w:r>
      <w:r w:rsidRPr="00FE7FBC">
        <w:rPr>
          <w:rFonts w:ascii="Palatino Linotype" w:eastAsia="Palatino Linotype" w:hAnsi="Palatino Linotype" w:cs="Palatino Linotype"/>
          <w:color w:val="000000" w:themeColor="text1"/>
          <w:sz w:val="22"/>
          <w:szCs w:val="22"/>
          <w:lang w:eastAsia="es-MX"/>
        </w:rPr>
        <w:t xml:space="preserve"> </w:t>
      </w:r>
      <w:r w:rsidR="00AC072B" w:rsidRPr="00FE7FBC">
        <w:rPr>
          <w:rFonts w:ascii="Palatino Linotype" w:eastAsia="Palatino Linotype" w:hAnsi="Palatino Linotype" w:cs="Palatino Linotype"/>
          <w:color w:val="000000" w:themeColor="text1"/>
          <w:sz w:val="22"/>
          <w:szCs w:val="22"/>
          <w:lang w:eastAsia="es-MX"/>
        </w:rPr>
        <w:t>el uso que se dará a los correos</w:t>
      </w:r>
      <w:r w:rsidR="00D061CF" w:rsidRPr="00FE7FBC">
        <w:rPr>
          <w:rFonts w:ascii="Palatino Linotype" w:eastAsia="Palatino Linotype" w:hAnsi="Palatino Linotype" w:cs="Palatino Linotype"/>
          <w:color w:val="000000" w:themeColor="text1"/>
          <w:sz w:val="22"/>
          <w:szCs w:val="22"/>
          <w:lang w:eastAsia="es-MX"/>
        </w:rPr>
        <w:t xml:space="preserve"> al respecto</w:t>
      </w:r>
      <w:r w:rsidR="007D7B85" w:rsidRPr="00FE7FBC">
        <w:rPr>
          <w:rFonts w:ascii="Palatino Linotype" w:eastAsia="Palatino Linotype" w:hAnsi="Palatino Linotype" w:cs="Palatino Linotype"/>
          <w:color w:val="000000" w:themeColor="text1"/>
          <w:sz w:val="22"/>
          <w:szCs w:val="22"/>
          <w:lang w:eastAsia="es-MX"/>
        </w:rPr>
        <w:t xml:space="preserve">; además, que precisó que podía contar con información confidencial o reservada; </w:t>
      </w:r>
      <w:r w:rsidR="00065A1E" w:rsidRPr="00FE7FBC">
        <w:rPr>
          <w:rFonts w:ascii="Palatino Linotype" w:eastAsia="Palatino Linotype" w:hAnsi="Palatino Linotype" w:cs="Palatino Linotype"/>
          <w:color w:val="000000"/>
          <w:sz w:val="22"/>
          <w:szCs w:val="22"/>
          <w:lang w:eastAsia="es-MX"/>
        </w:rPr>
        <w:t xml:space="preserve">sobre el tema, según Trujillo, Humberto (2019), en el “Diccionario de Transparencia y Acceso a la Información Pública” (p. 201), </w:t>
      </w:r>
      <w:r w:rsidR="00065A1E" w:rsidRPr="00FE7FBC">
        <w:rPr>
          <w:rFonts w:ascii="Palatino Linotype" w:eastAsia="Palatino Linotype" w:hAnsi="Palatino Linotype" w:cs="Palatino Linotype"/>
          <w:b/>
          <w:bCs/>
          <w:color w:val="000000"/>
          <w:sz w:val="22"/>
          <w:szCs w:val="22"/>
          <w:lang w:eastAsia="es-MX"/>
        </w:rPr>
        <w:t>la negativa de acceso a la información</w:t>
      </w:r>
      <w:r w:rsidR="00065A1E" w:rsidRPr="00FE7FBC">
        <w:rPr>
          <w:rFonts w:ascii="Palatino Linotype" w:eastAsia="Palatino Linotype" w:hAnsi="Palatino Linotype" w:cs="Palatino Linotype"/>
          <w:color w:val="000000"/>
          <w:sz w:val="22"/>
          <w:szCs w:val="22"/>
          <w:lang w:eastAsia="es-MX"/>
        </w:rPr>
        <w:t xml:space="preserve"> ocurre cuanto de manera fundada y motivada, una autoridad la niega o la limita, por alguna de las siguientes razones:</w:t>
      </w:r>
    </w:p>
    <w:p w14:paraId="0C7B7F23" w14:textId="77777777" w:rsidR="00065A1E" w:rsidRPr="00FE7FBC" w:rsidRDefault="00065A1E" w:rsidP="00065A1E">
      <w:pPr>
        <w:spacing w:line="360" w:lineRule="auto"/>
        <w:jc w:val="both"/>
        <w:rPr>
          <w:rFonts w:ascii="Palatino Linotype" w:hAnsi="Palatino Linotype" w:cs="Tahoma"/>
          <w:iCs/>
          <w:color w:val="FF0000"/>
          <w:sz w:val="22"/>
          <w:szCs w:val="22"/>
        </w:rPr>
      </w:pPr>
    </w:p>
    <w:p w14:paraId="78C907A0" w14:textId="77777777" w:rsidR="00065A1E" w:rsidRPr="00FE7FBC" w:rsidRDefault="00065A1E" w:rsidP="00065A1E">
      <w:pPr>
        <w:numPr>
          <w:ilvl w:val="0"/>
          <w:numId w:val="11"/>
        </w:numPr>
        <w:spacing w:after="160" w:line="360" w:lineRule="auto"/>
        <w:contextualSpacing/>
        <w:jc w:val="both"/>
        <w:rPr>
          <w:rFonts w:ascii="Palatino Linotype" w:hAnsi="Palatino Linotype"/>
          <w:sz w:val="22"/>
          <w:szCs w:val="24"/>
        </w:rPr>
      </w:pPr>
      <w:r w:rsidRPr="00FE7FBC">
        <w:rPr>
          <w:rFonts w:ascii="Palatino Linotype" w:hAnsi="Palatino Linotype"/>
          <w:b/>
          <w:bCs/>
          <w:sz w:val="22"/>
          <w:szCs w:val="24"/>
        </w:rPr>
        <w:t>La inexistencia de la información (p. 171):</w:t>
      </w:r>
      <w:r w:rsidRPr="00FE7FBC">
        <w:rPr>
          <w:rFonts w:ascii="Palatino Linotype" w:hAnsi="Palatino Linotype"/>
          <w:sz w:val="22"/>
          <w:szCs w:val="24"/>
        </w:rPr>
        <w:t xml:space="preserve"> Sucede cuando la información solicitada no se encuentra en los archivos públicos o clasificados de los entes sujetos a las Leyes de Transparencia.</w:t>
      </w:r>
    </w:p>
    <w:p w14:paraId="533681E1" w14:textId="77777777" w:rsidR="00065A1E" w:rsidRPr="00FE7FBC" w:rsidRDefault="00065A1E" w:rsidP="00065A1E">
      <w:pPr>
        <w:spacing w:line="360" w:lineRule="auto"/>
        <w:jc w:val="both"/>
        <w:rPr>
          <w:rFonts w:ascii="Palatino Linotype" w:eastAsia="Palatino Linotype" w:hAnsi="Palatino Linotype" w:cs="Palatino Linotype"/>
          <w:sz w:val="22"/>
          <w:szCs w:val="22"/>
          <w:lang w:eastAsia="es-MX"/>
        </w:rPr>
      </w:pPr>
    </w:p>
    <w:p w14:paraId="6D217F35" w14:textId="77777777" w:rsidR="00065A1E" w:rsidRPr="00FE7FBC" w:rsidRDefault="00065A1E" w:rsidP="00065A1E">
      <w:pPr>
        <w:numPr>
          <w:ilvl w:val="0"/>
          <w:numId w:val="11"/>
        </w:numPr>
        <w:spacing w:after="160" w:line="360" w:lineRule="auto"/>
        <w:contextualSpacing/>
        <w:jc w:val="both"/>
        <w:rPr>
          <w:rFonts w:ascii="Palatino Linotype" w:hAnsi="Palatino Linotype"/>
          <w:sz w:val="22"/>
          <w:szCs w:val="24"/>
        </w:rPr>
      </w:pPr>
      <w:r w:rsidRPr="00FE7FBC">
        <w:rPr>
          <w:rFonts w:ascii="Palatino Linotype" w:hAnsi="Palatino Linotype"/>
          <w:b/>
          <w:bCs/>
          <w:sz w:val="22"/>
          <w:szCs w:val="24"/>
        </w:rPr>
        <w:lastRenderedPageBreak/>
        <w:t>La incompetencia del Sujeto Obligado (p. 171):</w:t>
      </w:r>
      <w:r w:rsidRPr="00FE7FBC">
        <w:rPr>
          <w:rFonts w:ascii="Palatino Linotype" w:hAnsi="Palatino Linotype"/>
          <w:sz w:val="22"/>
          <w:szCs w:val="24"/>
        </w:rPr>
        <w:t xml:space="preserve"> Ocurre cuando el Sujeto Obligado carece de atribuciones para poseer la información peticionada.</w:t>
      </w:r>
    </w:p>
    <w:p w14:paraId="391A18BA" w14:textId="77777777" w:rsidR="00065A1E" w:rsidRPr="00FE7FBC" w:rsidRDefault="00065A1E" w:rsidP="00065A1E">
      <w:pPr>
        <w:spacing w:line="360" w:lineRule="auto"/>
        <w:jc w:val="both"/>
        <w:rPr>
          <w:rFonts w:ascii="Palatino Linotype" w:eastAsia="Palatino Linotype" w:hAnsi="Palatino Linotype" w:cs="Palatino Linotype"/>
          <w:sz w:val="22"/>
          <w:szCs w:val="22"/>
          <w:lang w:eastAsia="es-MX"/>
        </w:rPr>
      </w:pPr>
    </w:p>
    <w:p w14:paraId="393376CE" w14:textId="77777777" w:rsidR="00065A1E" w:rsidRPr="00FE7FBC" w:rsidRDefault="00065A1E" w:rsidP="00065A1E">
      <w:pPr>
        <w:numPr>
          <w:ilvl w:val="0"/>
          <w:numId w:val="11"/>
        </w:numPr>
        <w:spacing w:after="160" w:line="360" w:lineRule="auto"/>
        <w:contextualSpacing/>
        <w:jc w:val="both"/>
        <w:rPr>
          <w:rFonts w:ascii="Palatino Linotype" w:hAnsi="Palatino Linotype" w:cs="Tahoma"/>
          <w:iCs/>
          <w:sz w:val="22"/>
          <w:szCs w:val="24"/>
        </w:rPr>
      </w:pPr>
      <w:r w:rsidRPr="00FE7FBC">
        <w:rPr>
          <w:rFonts w:ascii="Palatino Linotype" w:hAnsi="Palatino Linotype"/>
          <w:b/>
          <w:bCs/>
          <w:sz w:val="22"/>
          <w:szCs w:val="24"/>
        </w:rPr>
        <w:t>La clasificación de la información (p. 70):</w:t>
      </w:r>
      <w:r w:rsidRPr="00FE7FBC">
        <w:rPr>
          <w:rFonts w:ascii="Palatino Linotype" w:hAnsi="Palatino Linotype"/>
          <w:sz w:val="22"/>
          <w:szCs w:val="24"/>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06619182"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6817E571" w14:textId="77777777" w:rsidR="00065A1E" w:rsidRPr="00FE7FBC" w:rsidRDefault="00065A1E" w:rsidP="00065A1E">
      <w:pPr>
        <w:spacing w:line="360" w:lineRule="auto"/>
        <w:jc w:val="both"/>
        <w:rPr>
          <w:rFonts w:ascii="Palatino Linotype" w:eastAsia="Palatino Linotype" w:hAnsi="Palatino Linotype" w:cs="Palatino Linotype"/>
          <w:b/>
          <w:bCs/>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Así, es de señalar que las excepciones al derecho de acceso a la información, consisten en que </w:t>
      </w:r>
      <w:r w:rsidRPr="00FE7FBC">
        <w:rPr>
          <w:rFonts w:ascii="Palatino Linotype" w:eastAsia="Palatino Linotype" w:hAnsi="Palatino Linotype" w:cs="Palatino Linotype"/>
          <w:b/>
          <w:bCs/>
          <w:color w:val="000000"/>
          <w:sz w:val="22"/>
          <w:szCs w:val="22"/>
          <w:lang w:eastAsia="es-MX"/>
        </w:rPr>
        <w:t>la documentación sea inexistente, obre en los archivos, pero se encuentre clasificada, o bien, el Sujeto Obligado sea incompetente</w:t>
      </w:r>
      <w:r w:rsidRPr="00FE7FBC">
        <w:rPr>
          <w:rFonts w:ascii="Palatino Linotype" w:eastAsia="Palatino Linotype" w:hAnsi="Palatino Linotype" w:cs="Palatino Linotype"/>
          <w:color w:val="000000"/>
          <w:sz w:val="22"/>
          <w:szCs w:val="22"/>
          <w:lang w:eastAsia="es-MX"/>
        </w:rPr>
        <w:t xml:space="preserve"> para contar con esta; esto es, la negativa de acceso a la información, recae cuando la documentación no se encuentre en los archivos del sujeto obligado, o bien exista, pero no pueda proporcionarse por contener datos </w:t>
      </w:r>
      <w:r w:rsidRPr="00FE7FBC">
        <w:rPr>
          <w:rFonts w:ascii="Palatino Linotype" w:eastAsia="Palatino Linotype" w:hAnsi="Palatino Linotype" w:cs="Palatino Linotype"/>
          <w:b/>
          <w:bCs/>
          <w:color w:val="000000"/>
          <w:sz w:val="22"/>
          <w:szCs w:val="22"/>
          <w:lang w:eastAsia="es-MX"/>
        </w:rPr>
        <w:t>confidenciales o reservados.</w:t>
      </w:r>
    </w:p>
    <w:p w14:paraId="77CA093F"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1CD1B6FE"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En ese contexto, es de referir que el Sujeto Obligado, precisó que no podía entregar la información al contener información confidencial, es decir, aludió a una clasificación; sobre el tema,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w:t>
      </w:r>
      <w:r w:rsidRPr="00FE7FBC">
        <w:rPr>
          <w:rFonts w:ascii="Palatino Linotype" w:eastAsia="Palatino Linotype" w:hAnsi="Palatino Linotype" w:cs="Palatino Linotype"/>
          <w:b/>
          <w:bCs/>
          <w:color w:val="000000"/>
          <w:sz w:val="22"/>
          <w:szCs w:val="22"/>
          <w:lang w:eastAsia="es-MX"/>
        </w:rPr>
        <w:t>reserva o confidencialidad</w:t>
      </w:r>
      <w:r w:rsidRPr="00FE7FBC">
        <w:rPr>
          <w:rFonts w:ascii="Palatino Linotype" w:eastAsia="Palatino Linotype" w:hAnsi="Palatino Linotype" w:cs="Palatino Linotype"/>
          <w:color w:val="000000"/>
          <w:sz w:val="22"/>
          <w:szCs w:val="22"/>
          <w:lang w:eastAsia="es-MX"/>
        </w:rPr>
        <w:t>. Además, que dichos entes deberán aplicar de manera restrictiva y limitada, las excepciones al derecho de acceso a la información, por lo que, tendrán que acreditar la procedencia.</w:t>
      </w:r>
    </w:p>
    <w:p w14:paraId="3465E08D"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4364567E"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Por lo cual, en los casos en que se niegue el acceso a la información, por actualizarse alguno de los supuestos de clasificación, </w:t>
      </w:r>
      <w:r w:rsidRPr="00FE7FBC">
        <w:rPr>
          <w:rFonts w:ascii="Palatino Linotype" w:eastAsia="Palatino Linotype" w:hAnsi="Palatino Linotype" w:cs="Palatino Linotype"/>
          <w:b/>
          <w:bCs/>
          <w:color w:val="000000"/>
          <w:sz w:val="22"/>
          <w:szCs w:val="22"/>
          <w:lang w:eastAsia="es-MX"/>
        </w:rPr>
        <w:t xml:space="preserve">el Comité de Transparencia deberá confirmar, modificar o </w:t>
      </w:r>
      <w:r w:rsidRPr="00FE7FBC">
        <w:rPr>
          <w:rFonts w:ascii="Palatino Linotype" w:eastAsia="Palatino Linotype" w:hAnsi="Palatino Linotype" w:cs="Palatino Linotype"/>
          <w:b/>
          <w:bCs/>
          <w:color w:val="000000"/>
          <w:sz w:val="22"/>
          <w:szCs w:val="22"/>
          <w:lang w:eastAsia="es-MX"/>
        </w:rPr>
        <w:lastRenderedPageBreak/>
        <w:t>revocar la decisión;</w:t>
      </w:r>
      <w:r w:rsidRPr="00FE7FBC">
        <w:rPr>
          <w:rFonts w:ascii="Palatino Linotype" w:eastAsia="Palatino Linotype" w:hAnsi="Palatino Linotype" w:cs="Palatino Linotype"/>
          <w:color w:val="000000"/>
          <w:sz w:val="22"/>
          <w:szCs w:val="22"/>
          <w:lang w:eastAsia="es-MX"/>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B56EE5F"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5103A11B" w14:textId="77777777" w:rsidR="00065A1E" w:rsidRPr="00FE7FBC" w:rsidRDefault="00065A1E" w:rsidP="00065A1E">
      <w:pPr>
        <w:spacing w:line="360" w:lineRule="auto"/>
        <w:jc w:val="both"/>
        <w:rPr>
          <w:rFonts w:ascii="Palatino Linotype" w:eastAsia="Palatino Linotype" w:hAnsi="Palatino Linotype" w:cs="Palatino Linotype"/>
          <w:b/>
          <w:bCs/>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En ese contexto, de la interpretación del artículo 134 de la Ley de Transparencia y Acceso a la Información Pública del Estado de México y Municipios, se logra observar que </w:t>
      </w:r>
      <w:r w:rsidRPr="00FE7FBC">
        <w:rPr>
          <w:rFonts w:ascii="Palatino Linotype" w:eastAsia="Palatino Linotype" w:hAnsi="Palatino Linotype" w:cs="Palatino Linotype"/>
          <w:b/>
          <w:bCs/>
          <w:color w:val="000000"/>
          <w:sz w:val="22"/>
          <w:szCs w:val="22"/>
          <w:lang w:eastAsia="es-MX"/>
        </w:rPr>
        <w:t>la clasificación depende del contenido de los documentos, pues de su análisis se establece si corresponde a una clasificación total o parcial.</w:t>
      </w:r>
    </w:p>
    <w:p w14:paraId="1348668C"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5B92C540"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28A61187" w14:textId="77777777" w:rsidR="00065A1E" w:rsidRPr="00FE7FBC" w:rsidRDefault="00065A1E" w:rsidP="00065A1E">
      <w:pPr>
        <w:spacing w:line="360" w:lineRule="auto"/>
        <w:jc w:val="both"/>
        <w:rPr>
          <w:rFonts w:ascii="Palatino Linotype" w:eastAsia="Palatino Linotype" w:hAnsi="Palatino Linotype" w:cs="Palatino Linotype"/>
          <w:b/>
          <w:bCs/>
          <w:color w:val="000000"/>
          <w:sz w:val="22"/>
          <w:szCs w:val="22"/>
          <w:lang w:eastAsia="es-MX"/>
        </w:rPr>
      </w:pPr>
    </w:p>
    <w:p w14:paraId="05FB2364" w14:textId="77777777" w:rsidR="00065A1E" w:rsidRPr="00FE7FBC" w:rsidRDefault="00065A1E" w:rsidP="00065A1E">
      <w:pPr>
        <w:spacing w:line="360" w:lineRule="auto"/>
        <w:jc w:val="both"/>
        <w:rPr>
          <w:rFonts w:ascii="Palatino Linotype" w:eastAsia="Palatino Linotype" w:hAnsi="Palatino Linotype" w:cs="Palatino Linotype"/>
          <w:b/>
          <w:bCs/>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En ese contexto, según Bonifaz, Leticia (2016), en la “Ley General de Transparencia y Acceso a la Información Pública Comentada” (p. 342), la </w:t>
      </w:r>
      <w:r w:rsidRPr="00FE7FBC">
        <w:rPr>
          <w:rFonts w:ascii="Palatino Linotype" w:eastAsia="Palatino Linotype" w:hAnsi="Palatino Linotype" w:cs="Palatino Linotype"/>
          <w:b/>
          <w:bCs/>
          <w:color w:val="000000"/>
          <w:sz w:val="22"/>
          <w:szCs w:val="22"/>
          <w:lang w:eastAsia="es-MX"/>
        </w:rPr>
        <w:t>clasificación de la información</w:t>
      </w:r>
      <w:r w:rsidRPr="00FE7FBC">
        <w:rPr>
          <w:rFonts w:ascii="Palatino Linotype" w:eastAsia="Palatino Linotype" w:hAnsi="Palatino Linotype" w:cs="Palatino Linotype"/>
          <w:color w:val="000000"/>
          <w:sz w:val="22"/>
          <w:szCs w:val="22"/>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E7FBC">
        <w:rPr>
          <w:rFonts w:ascii="Palatino Linotype" w:eastAsia="Palatino Linotype" w:hAnsi="Palatino Linotype" w:cs="Palatino Linotype"/>
          <w:b/>
          <w:bCs/>
          <w:color w:val="000000"/>
          <w:sz w:val="22"/>
          <w:szCs w:val="22"/>
          <w:lang w:eastAsia="es-MX"/>
        </w:rPr>
        <w:t>de manera adecuada la negativa de información.</w:t>
      </w:r>
    </w:p>
    <w:p w14:paraId="0E89616A" w14:textId="77777777" w:rsidR="00065A1E" w:rsidRPr="00FE7FBC" w:rsidRDefault="00065A1E" w:rsidP="00065A1E">
      <w:pPr>
        <w:spacing w:line="360" w:lineRule="auto"/>
        <w:jc w:val="both"/>
        <w:rPr>
          <w:rFonts w:ascii="Palatino Linotype" w:eastAsia="Palatino Linotype" w:hAnsi="Palatino Linotype" w:cs="Palatino Linotype"/>
          <w:b/>
          <w:bCs/>
          <w:color w:val="000000"/>
          <w:sz w:val="22"/>
          <w:szCs w:val="22"/>
          <w:lang w:eastAsia="es-MX"/>
        </w:rPr>
      </w:pPr>
    </w:p>
    <w:p w14:paraId="476AC7D2" w14:textId="77777777" w:rsidR="00065A1E" w:rsidRPr="00FE7FBC" w:rsidRDefault="00065A1E" w:rsidP="00065A1E">
      <w:pPr>
        <w:spacing w:line="360" w:lineRule="auto"/>
        <w:jc w:val="both"/>
        <w:rPr>
          <w:rFonts w:ascii="Palatino Linotype" w:eastAsia="Palatino Linotype" w:hAnsi="Palatino Linotype" w:cs="Tahoma"/>
          <w:b/>
          <w:bCs/>
          <w:iCs/>
          <w:sz w:val="22"/>
          <w:szCs w:val="22"/>
          <w:lang w:eastAsia="es-MX"/>
        </w:rPr>
      </w:pPr>
      <w:r w:rsidRPr="00FE7FBC">
        <w:rPr>
          <w:rFonts w:ascii="Palatino Linotype" w:eastAsia="Palatino Linotype" w:hAnsi="Palatino Linotype" w:cs="Palatino Linotype"/>
          <w:color w:val="000000"/>
          <w:sz w:val="22"/>
          <w:szCs w:val="22"/>
          <w:lang w:eastAsia="es-MX"/>
        </w:rPr>
        <w:t xml:space="preserve">Además, conforme al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w:t>
      </w:r>
      <w:r w:rsidRPr="00FE7FBC">
        <w:rPr>
          <w:rFonts w:ascii="Palatino Linotype" w:eastAsia="Palatino Linotype" w:hAnsi="Palatino Linotype" w:cs="Palatino Linotype"/>
          <w:color w:val="000000"/>
          <w:sz w:val="22"/>
          <w:szCs w:val="22"/>
          <w:lang w:eastAsia="es-MX"/>
        </w:rPr>
        <w:lastRenderedPageBreak/>
        <w:t xml:space="preserve">carácter general que clasifiquen documentos o expedientes; por lo que, la clasificación de información se llevará a cabo mediante un </w:t>
      </w:r>
      <w:r w:rsidRPr="00FE7FBC">
        <w:rPr>
          <w:rFonts w:ascii="Palatino Linotype" w:eastAsia="Palatino Linotype" w:hAnsi="Palatino Linotype" w:cs="Palatino Linotype"/>
          <w:b/>
          <w:bCs/>
          <w:color w:val="000000"/>
          <w:sz w:val="22"/>
          <w:szCs w:val="22"/>
          <w:lang w:eastAsia="es-MX"/>
        </w:rPr>
        <w:t>análisis caso por caso.</w:t>
      </w:r>
    </w:p>
    <w:p w14:paraId="6680927C"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6D809F06"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Sobre lo anterior, el artículo 131 de la Ley referida, así como el Quinto de los Lineamientos Generales, establecen que los sujetos obligados deberán fundar y motivar debidamente la clasificación de la información.</w:t>
      </w:r>
    </w:p>
    <w:p w14:paraId="7A618C4E"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0B509888"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Al respecto, el Octavo de los Lineamientos Generales, precisa lo siguiente:</w:t>
      </w:r>
    </w:p>
    <w:p w14:paraId="2DF84730"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28CFD59B" w14:textId="77777777" w:rsidR="00065A1E" w:rsidRPr="00FE7FBC" w:rsidRDefault="00065A1E" w:rsidP="00065A1E">
      <w:pPr>
        <w:numPr>
          <w:ilvl w:val="0"/>
          <w:numId w:val="12"/>
        </w:numPr>
        <w:spacing w:after="160" w:line="360" w:lineRule="auto"/>
        <w:contextualSpacing/>
        <w:jc w:val="both"/>
        <w:rPr>
          <w:rFonts w:ascii="Palatino Linotype" w:hAnsi="Palatino Linotype"/>
          <w:color w:val="000000"/>
          <w:sz w:val="22"/>
          <w:szCs w:val="24"/>
          <w:u w:val="single"/>
        </w:rPr>
      </w:pPr>
      <w:r w:rsidRPr="00FE7FBC">
        <w:rPr>
          <w:rFonts w:ascii="Palatino Linotype" w:hAnsi="Palatino Linotype"/>
          <w:b/>
          <w:bCs/>
          <w:color w:val="000000"/>
          <w:sz w:val="22"/>
          <w:szCs w:val="24"/>
        </w:rPr>
        <w:t>Para fundar la clasificación</w:t>
      </w:r>
      <w:r w:rsidRPr="00FE7FBC">
        <w:rPr>
          <w:rFonts w:ascii="Palatino Linotype" w:hAnsi="Palatino Linotype"/>
          <w:color w:val="000000"/>
          <w:sz w:val="22"/>
          <w:szCs w:val="24"/>
        </w:rPr>
        <w:t xml:space="preserve"> de la información se deberán </w:t>
      </w:r>
      <w:r w:rsidRPr="00FE7FBC">
        <w:rPr>
          <w:rFonts w:ascii="Palatino Linotype" w:hAnsi="Palatino Linotype"/>
          <w:color w:val="000000"/>
          <w:sz w:val="22"/>
          <w:szCs w:val="24"/>
          <w:u w:val="single"/>
        </w:rPr>
        <w:t>señalar el artículo, fracción, inciso, párrafo o numeral de la Ley aplicable.</w:t>
      </w:r>
    </w:p>
    <w:p w14:paraId="484254A1" w14:textId="77777777" w:rsidR="00065A1E" w:rsidRPr="00FE7FBC" w:rsidRDefault="00065A1E" w:rsidP="00065A1E">
      <w:pPr>
        <w:spacing w:line="360" w:lineRule="auto"/>
        <w:ind w:left="720"/>
        <w:contextualSpacing/>
        <w:jc w:val="both"/>
        <w:rPr>
          <w:rFonts w:ascii="Palatino Linotype" w:hAnsi="Palatino Linotype"/>
          <w:color w:val="000000"/>
          <w:sz w:val="22"/>
          <w:szCs w:val="24"/>
          <w:u w:val="single"/>
        </w:rPr>
      </w:pPr>
    </w:p>
    <w:p w14:paraId="33B57C9B" w14:textId="77777777" w:rsidR="00065A1E" w:rsidRPr="00FE7FBC" w:rsidRDefault="00065A1E" w:rsidP="00065A1E">
      <w:pPr>
        <w:numPr>
          <w:ilvl w:val="0"/>
          <w:numId w:val="12"/>
        </w:numPr>
        <w:spacing w:after="160" w:line="360" w:lineRule="auto"/>
        <w:contextualSpacing/>
        <w:jc w:val="both"/>
        <w:rPr>
          <w:rFonts w:ascii="Palatino Linotype" w:hAnsi="Palatino Linotype" w:cs="Tahoma"/>
          <w:iCs/>
          <w:sz w:val="22"/>
          <w:szCs w:val="24"/>
        </w:rPr>
      </w:pPr>
      <w:r w:rsidRPr="00FE7FBC">
        <w:rPr>
          <w:rFonts w:ascii="Palatino Linotype" w:hAnsi="Palatino Linotype"/>
          <w:b/>
          <w:bCs/>
          <w:color w:val="000000"/>
          <w:sz w:val="22"/>
          <w:szCs w:val="24"/>
        </w:rPr>
        <w:t>Para motivar la clasificación</w:t>
      </w:r>
      <w:r w:rsidRPr="00FE7FBC">
        <w:rPr>
          <w:rFonts w:ascii="Palatino Linotype" w:hAnsi="Palatino Linotype"/>
          <w:color w:val="000000"/>
          <w:sz w:val="22"/>
          <w:szCs w:val="24"/>
        </w:rPr>
        <w:t xml:space="preserve"> se deberán </w:t>
      </w:r>
      <w:r w:rsidRPr="00FE7FBC">
        <w:rPr>
          <w:rFonts w:ascii="Palatino Linotype" w:hAnsi="Palatino Linotype"/>
          <w:color w:val="000000"/>
          <w:sz w:val="22"/>
          <w:szCs w:val="24"/>
          <w:u w:val="single"/>
        </w:rPr>
        <w:t>indicar las razones y circunstancias</w:t>
      </w:r>
      <w:r w:rsidRPr="00FE7FBC">
        <w:rPr>
          <w:rFonts w:ascii="Palatino Linotype" w:hAnsi="Palatino Linotype"/>
          <w:color w:val="000000"/>
          <w:sz w:val="22"/>
          <w:szCs w:val="24"/>
        </w:rPr>
        <w:t xml:space="preserve"> especiales que lo llevaron a concluir que el caso particular se ajusta al supuesto previsto por la norma legal invocada.</w:t>
      </w:r>
    </w:p>
    <w:p w14:paraId="547A1129" w14:textId="77777777" w:rsidR="00065A1E" w:rsidRPr="00FE7FBC" w:rsidRDefault="00065A1E" w:rsidP="00065A1E">
      <w:pPr>
        <w:spacing w:line="360" w:lineRule="auto"/>
        <w:ind w:left="720"/>
        <w:contextualSpacing/>
        <w:jc w:val="both"/>
        <w:rPr>
          <w:rFonts w:cs="Tahoma"/>
          <w:iCs/>
          <w:sz w:val="22"/>
          <w:szCs w:val="24"/>
        </w:rPr>
      </w:pPr>
    </w:p>
    <w:p w14:paraId="69F13D57"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6CB1E93"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1960E3CB" w14:textId="77777777" w:rsidR="00065A1E" w:rsidRPr="00FE7FBC" w:rsidRDefault="00065A1E" w:rsidP="00065A1E">
      <w:pPr>
        <w:spacing w:line="360" w:lineRule="auto"/>
        <w:ind w:left="567" w:right="567"/>
        <w:jc w:val="both"/>
        <w:rPr>
          <w:rFonts w:ascii="Palatino Linotype" w:eastAsia="Palatino Linotype" w:hAnsi="Palatino Linotype" w:cs="Palatino Linotype"/>
          <w:i/>
          <w:iCs/>
          <w:lang w:eastAsia="es-MX"/>
        </w:rPr>
      </w:pPr>
      <w:r w:rsidRPr="00FE7FBC">
        <w:rPr>
          <w:rFonts w:ascii="Palatino Linotype" w:eastAsia="Palatino Linotype" w:hAnsi="Palatino Linotype" w:cs="Palatino Linotype"/>
          <w:b/>
          <w:bCs/>
          <w:i/>
          <w:iCs/>
          <w:lang w:eastAsia="es-MX"/>
        </w:rPr>
        <w:t>“FUNDAMENTACION Y MOTIVACION, CONCEPTO DE.</w:t>
      </w:r>
      <w:r w:rsidRPr="00FE7FBC">
        <w:rPr>
          <w:rFonts w:ascii="Palatino Linotype" w:eastAsia="Palatino Linotype" w:hAnsi="Palatino Linotype" w:cs="Palatino Linotype"/>
          <w:i/>
          <w:iCs/>
          <w:lang w:eastAsia="es-MX"/>
        </w:rPr>
        <w:t xml:space="preserve"> La garantía de legalidad consagrada en el artículo 16 de nuestra Carta Magna, establece que todo acto de autoridad precisa </w:t>
      </w:r>
      <w:r w:rsidRPr="00FE7FBC">
        <w:rPr>
          <w:rFonts w:ascii="Palatino Linotype" w:eastAsia="Palatino Linotype" w:hAnsi="Palatino Linotype" w:cs="Palatino Linotype"/>
          <w:i/>
          <w:iCs/>
          <w:lang w:eastAsia="es-MX"/>
        </w:rPr>
        <w:lastRenderedPageBreak/>
        <w:t>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50F95EC" w14:textId="77777777" w:rsidR="00065A1E" w:rsidRPr="00FE7FBC" w:rsidRDefault="00065A1E" w:rsidP="00065A1E">
      <w:pPr>
        <w:spacing w:line="360" w:lineRule="auto"/>
        <w:jc w:val="both"/>
        <w:rPr>
          <w:rFonts w:ascii="Palatino Linotype" w:eastAsia="Palatino Linotype" w:hAnsi="Palatino Linotype" w:cs="Tahoma"/>
          <w:iCs/>
          <w:sz w:val="22"/>
          <w:szCs w:val="22"/>
          <w:lang w:eastAsia="es-MX"/>
        </w:rPr>
      </w:pPr>
    </w:p>
    <w:p w14:paraId="31F75AE6"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Conforme a lo anterior, se advierte lo siguiente:</w:t>
      </w:r>
    </w:p>
    <w:p w14:paraId="7966ED10"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7CA171E6" w14:textId="77777777" w:rsidR="00065A1E" w:rsidRPr="00FE7FBC" w:rsidRDefault="00065A1E" w:rsidP="00065A1E">
      <w:pPr>
        <w:numPr>
          <w:ilvl w:val="0"/>
          <w:numId w:val="13"/>
        </w:numPr>
        <w:spacing w:after="160" w:line="360" w:lineRule="auto"/>
        <w:contextualSpacing/>
        <w:jc w:val="both"/>
        <w:rPr>
          <w:rFonts w:ascii="Palatino Linotype" w:hAnsi="Palatino Linotype"/>
          <w:color w:val="000000"/>
          <w:sz w:val="22"/>
          <w:szCs w:val="24"/>
        </w:rPr>
      </w:pPr>
      <w:r w:rsidRPr="00FE7FBC">
        <w:rPr>
          <w:rFonts w:ascii="Palatino Linotype" w:hAnsi="Palatino Linotype"/>
          <w:b/>
          <w:bCs/>
          <w:color w:val="000000"/>
          <w:sz w:val="22"/>
          <w:szCs w:val="24"/>
        </w:rPr>
        <w:t>Fundamentación:</w:t>
      </w:r>
      <w:r w:rsidRPr="00FE7FBC">
        <w:rPr>
          <w:rFonts w:ascii="Palatino Linotype" w:hAnsi="Palatino Linotype"/>
          <w:color w:val="000000"/>
          <w:sz w:val="22"/>
          <w:szCs w:val="24"/>
        </w:rPr>
        <w:t xml:space="preserve"> Obligación de la autoridad que emite un acto, para citar los preceptos legales, sustantivos y adjetivos, en que se apoye para la determinación tomada. </w:t>
      </w:r>
    </w:p>
    <w:p w14:paraId="589B84C1" w14:textId="77777777" w:rsidR="00065A1E" w:rsidRPr="00FE7FBC" w:rsidRDefault="00065A1E" w:rsidP="00065A1E">
      <w:pPr>
        <w:spacing w:line="360" w:lineRule="auto"/>
        <w:ind w:left="720"/>
        <w:contextualSpacing/>
        <w:jc w:val="both"/>
        <w:rPr>
          <w:rFonts w:ascii="Palatino Linotype" w:hAnsi="Palatino Linotype"/>
          <w:color w:val="000000"/>
          <w:sz w:val="22"/>
          <w:szCs w:val="24"/>
        </w:rPr>
      </w:pPr>
    </w:p>
    <w:p w14:paraId="6140D839" w14:textId="77777777" w:rsidR="00065A1E" w:rsidRPr="00FE7FBC" w:rsidRDefault="00065A1E" w:rsidP="00065A1E">
      <w:pPr>
        <w:numPr>
          <w:ilvl w:val="0"/>
          <w:numId w:val="13"/>
        </w:numPr>
        <w:spacing w:after="160" w:line="360" w:lineRule="auto"/>
        <w:contextualSpacing/>
        <w:jc w:val="both"/>
        <w:rPr>
          <w:rFonts w:ascii="Palatino Linotype" w:hAnsi="Palatino Linotype"/>
          <w:color w:val="000000"/>
          <w:sz w:val="22"/>
          <w:szCs w:val="24"/>
        </w:rPr>
      </w:pPr>
      <w:r w:rsidRPr="00FE7FBC">
        <w:rPr>
          <w:rFonts w:ascii="Palatino Linotype" w:hAnsi="Palatino Linotype"/>
          <w:b/>
          <w:bCs/>
          <w:color w:val="000000"/>
          <w:sz w:val="22"/>
          <w:szCs w:val="24"/>
        </w:rPr>
        <w:t>Motivación:</w:t>
      </w:r>
      <w:r w:rsidRPr="00FE7FBC">
        <w:rPr>
          <w:rFonts w:ascii="Palatino Linotype" w:hAnsi="Palatino Linotype"/>
          <w:color w:val="000000"/>
          <w:sz w:val="22"/>
          <w:szCs w:val="24"/>
        </w:rPr>
        <w:t xml:space="preserve"> Razonamientos lógico-jurídicos sobre porque se consideró en el caso en concreto, que se ajusta a la hipótesis normativa.</w:t>
      </w:r>
    </w:p>
    <w:p w14:paraId="5334FE96" w14:textId="77777777" w:rsidR="00065A1E" w:rsidRPr="00FE7FBC" w:rsidRDefault="00065A1E" w:rsidP="00065A1E">
      <w:pPr>
        <w:pStyle w:val="Prrafodelista"/>
        <w:rPr>
          <w:rFonts w:ascii="Palatino Linotype" w:hAnsi="Palatino Linotype"/>
          <w:color w:val="000000"/>
        </w:rPr>
      </w:pPr>
    </w:p>
    <w:p w14:paraId="36420F49" w14:textId="63860605" w:rsidR="00065A1E" w:rsidRPr="00FE7FBC" w:rsidRDefault="00065A1E" w:rsidP="00065A1E">
      <w:pPr>
        <w:spacing w:line="360" w:lineRule="auto"/>
        <w:jc w:val="both"/>
        <w:rPr>
          <w:rFonts w:ascii="Palatino Linotype" w:eastAsia="Palatino Linotype" w:hAnsi="Palatino Linotype" w:cs="Palatino Linotype"/>
          <w:b/>
          <w:bCs/>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En ese contexto, es de señalar que el </w:t>
      </w:r>
      <w:r w:rsidRPr="00FE7FBC">
        <w:rPr>
          <w:rFonts w:ascii="Palatino Linotype" w:eastAsia="Calibri" w:hAnsi="Palatino Linotype" w:cs="Tahoma"/>
          <w:bCs/>
          <w:sz w:val="22"/>
          <w:szCs w:val="22"/>
          <w:lang w:eastAsia="en-US"/>
        </w:rPr>
        <w:t>Colegio de Estudios Científicos y Tecnológicos del Estado de México</w:t>
      </w:r>
      <w:r w:rsidRPr="00FE7FBC">
        <w:rPr>
          <w:rFonts w:ascii="Palatino Linotype" w:eastAsia="Palatino Linotype" w:hAnsi="Palatino Linotype" w:cs="Palatino Linotype"/>
          <w:color w:val="000000"/>
          <w:sz w:val="22"/>
          <w:szCs w:val="22"/>
          <w:lang w:eastAsia="es-MX"/>
        </w:rPr>
        <w:t>, no precisó de manera fundada y motivada las razones por las cuales, consideraba que los documentos solicitados eran clasificados en su totalidad; ni el Comité de Transparencia emitió el acuerdo que confirmará dicha circunstancia, pues únicamente refirió que no podía entregar la información</w:t>
      </w:r>
      <w:r w:rsidRPr="00FE7FBC">
        <w:rPr>
          <w:rFonts w:ascii="Palatino Linotype" w:eastAsia="Palatino Linotype" w:hAnsi="Palatino Linotype" w:cs="Palatino Linotype"/>
          <w:b/>
          <w:bCs/>
          <w:color w:val="000000"/>
          <w:sz w:val="22"/>
          <w:szCs w:val="22"/>
          <w:lang w:eastAsia="es-MX"/>
        </w:rPr>
        <w:t>.</w:t>
      </w:r>
    </w:p>
    <w:p w14:paraId="5D17597D" w14:textId="77777777" w:rsidR="00065A1E" w:rsidRPr="00FE7FBC" w:rsidRDefault="00065A1E" w:rsidP="00065A1E">
      <w:pPr>
        <w:spacing w:line="360" w:lineRule="auto"/>
        <w:jc w:val="both"/>
        <w:rPr>
          <w:rFonts w:ascii="Palatino Linotype" w:eastAsia="Palatino Linotype" w:hAnsi="Palatino Linotype" w:cs="Palatino Linotype"/>
          <w:b/>
          <w:bCs/>
          <w:color w:val="000000"/>
          <w:sz w:val="22"/>
          <w:szCs w:val="22"/>
          <w:lang w:eastAsia="es-MX"/>
        </w:rPr>
      </w:pPr>
    </w:p>
    <w:p w14:paraId="51BC5318" w14:textId="77777777" w:rsidR="00065A1E" w:rsidRPr="00FE7FBC" w:rsidRDefault="00065A1E" w:rsidP="00065A1E">
      <w:pPr>
        <w:spacing w:after="160" w:line="360" w:lineRule="auto"/>
        <w:contextualSpacing/>
        <w:jc w:val="both"/>
        <w:rPr>
          <w:rFonts w:ascii="Palatino Linotype" w:hAnsi="Palatino Linotype" w:cs="Tahoma"/>
          <w:bCs/>
          <w:iCs/>
          <w:sz w:val="22"/>
          <w:szCs w:val="22"/>
          <w:lang w:eastAsia="es-MX"/>
        </w:rPr>
      </w:pPr>
      <w:r w:rsidRPr="00FE7FBC">
        <w:rPr>
          <w:rFonts w:ascii="Palatino Linotype" w:hAnsi="Palatino Linotype" w:cs="Tahoma"/>
          <w:bCs/>
          <w:iCs/>
          <w:sz w:val="22"/>
          <w:szCs w:val="22"/>
          <w:lang w:eastAsia="es-MX"/>
        </w:rPr>
        <w:t xml:space="preserve">Además, es de señalar que conforme a los artículos 3°, fracción XXI y 111 del ordenamiento citado, 3°, fracción XLV, y 137 de la Ley de Transparencia y Acceso a la Información Pública del Estado de México y Municipios y los numerales Segundo, fracción XVIII, y Quincuagésimo sexto de los Lineamientos Generales en Materia de Clasificación y Desclasificación de la Información, así como, para la Elaboración de Versiones Públicas, establecen que cuando un documento contenga información pública y reservada o confidencial, la Unidad de </w:t>
      </w:r>
      <w:r w:rsidRPr="00FE7FBC">
        <w:rPr>
          <w:rFonts w:ascii="Palatino Linotype" w:hAnsi="Palatino Linotype" w:cs="Tahoma"/>
          <w:bCs/>
          <w:iCs/>
          <w:sz w:val="22"/>
          <w:szCs w:val="22"/>
          <w:lang w:eastAsia="es-MX"/>
        </w:rPr>
        <w:lastRenderedPageBreak/>
        <w:t>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40CC9F1A" w14:textId="77777777" w:rsidR="00065A1E" w:rsidRPr="00FE7FBC" w:rsidRDefault="00065A1E" w:rsidP="00065A1E">
      <w:pPr>
        <w:spacing w:after="160" w:line="360" w:lineRule="auto"/>
        <w:contextualSpacing/>
        <w:jc w:val="both"/>
        <w:rPr>
          <w:rFonts w:ascii="Palatino Linotype" w:hAnsi="Palatino Linotype" w:cs="Tahoma"/>
          <w:bCs/>
          <w:iCs/>
          <w:sz w:val="22"/>
          <w:szCs w:val="22"/>
          <w:lang w:eastAsia="es-MX"/>
        </w:rPr>
      </w:pPr>
    </w:p>
    <w:p w14:paraId="2B102266" w14:textId="3F98A555" w:rsidR="00065A1E" w:rsidRPr="00FE7FBC" w:rsidRDefault="00065A1E" w:rsidP="00065A1E">
      <w:pPr>
        <w:spacing w:after="160" w:line="360" w:lineRule="auto"/>
        <w:contextualSpacing/>
        <w:jc w:val="both"/>
        <w:rPr>
          <w:rFonts w:ascii="Palatino Linotype" w:hAnsi="Palatino Linotype" w:cs="Tahoma"/>
          <w:bCs/>
          <w:iCs/>
          <w:sz w:val="22"/>
          <w:szCs w:val="22"/>
          <w:lang w:eastAsia="es-MX"/>
        </w:rPr>
      </w:pPr>
      <w:r w:rsidRPr="00FE7FBC">
        <w:rPr>
          <w:rFonts w:ascii="Palatino Linotype" w:hAnsi="Palatino Linotype" w:cs="Tahoma"/>
          <w:bCs/>
          <w:iCs/>
          <w:sz w:val="22"/>
          <w:szCs w:val="22"/>
          <w:lang w:eastAsia="es-MX"/>
        </w:rPr>
        <w:t xml:space="preserve">Como se logra observar, la clasificación total del documento no es la única forma de proteger los datos confidenciales o reservados, pues existe otro procedimiento, en el cual, solamente se testan las partes que contienen estos, denominado versión pública; con lo cual, el Sujeto Obligado podría testar los datos o información y proporcionar el documento que da cuenta de la información solicitada, lo cual da como resultado que el agravio sea </w:t>
      </w:r>
      <w:r w:rsidRPr="00FE7FBC">
        <w:rPr>
          <w:rFonts w:ascii="Palatino Linotype" w:hAnsi="Palatino Linotype" w:cs="Tahoma"/>
          <w:b/>
          <w:iCs/>
          <w:sz w:val="22"/>
          <w:szCs w:val="22"/>
          <w:lang w:eastAsia="es-MX"/>
        </w:rPr>
        <w:t>FUNDADO</w:t>
      </w:r>
      <w:r w:rsidRPr="00FE7FBC">
        <w:rPr>
          <w:rFonts w:ascii="Palatino Linotype" w:hAnsi="Palatino Linotype" w:cs="Tahoma"/>
          <w:bCs/>
          <w:iCs/>
          <w:sz w:val="22"/>
          <w:szCs w:val="22"/>
          <w:lang w:eastAsia="es-MX"/>
        </w:rPr>
        <w:t>.</w:t>
      </w:r>
    </w:p>
    <w:p w14:paraId="61D3FE1E" w14:textId="77777777" w:rsidR="00065A1E" w:rsidRPr="00FE7FBC" w:rsidRDefault="00065A1E" w:rsidP="00065A1E">
      <w:pPr>
        <w:spacing w:line="360" w:lineRule="auto"/>
        <w:jc w:val="both"/>
        <w:rPr>
          <w:rFonts w:ascii="Palatino Linotype" w:eastAsia="Palatino Linotype" w:hAnsi="Palatino Linotype" w:cs="Palatino Linotype"/>
          <w:color w:val="000000"/>
          <w:sz w:val="22"/>
          <w:szCs w:val="22"/>
          <w:lang w:eastAsia="es-MX"/>
        </w:rPr>
      </w:pPr>
    </w:p>
    <w:p w14:paraId="32694D8E" w14:textId="4EBF92F7" w:rsidR="00065A1E" w:rsidRPr="00FE7FBC" w:rsidRDefault="00065A1E" w:rsidP="00065A1E">
      <w:pPr>
        <w:spacing w:line="360" w:lineRule="auto"/>
        <w:jc w:val="both"/>
        <w:rPr>
          <w:rFonts w:ascii="Palatino Linotype" w:eastAsia="Calibri" w:hAnsi="Palatino Linotype" w:cs="Palatino Linotype"/>
          <w:bCs/>
          <w:color w:val="000000"/>
          <w:sz w:val="22"/>
          <w:szCs w:val="22"/>
          <w:lang w:eastAsia="en-US"/>
        </w:rPr>
      </w:pPr>
      <w:r w:rsidRPr="00FE7FBC">
        <w:rPr>
          <w:rFonts w:ascii="Palatino Linotype" w:eastAsia="Calibri" w:hAnsi="Palatino Linotype" w:cs="Palatino Linotype"/>
          <w:bCs/>
          <w:color w:val="000000"/>
          <w:sz w:val="22"/>
          <w:szCs w:val="22"/>
          <w:lang w:eastAsia="en-US"/>
        </w:rPr>
        <w:t xml:space="preserve">De tal circunstancia para atender el requerimiento de la información, el Sujeto Obligado deberá realizar una búsqueda exhaustiva y razonable, en los archivos de las unidades administrativas competentes, a efecto de que proporcione los correos electrónicos enviados y recibidos del primero de junio al catorce de julio </w:t>
      </w:r>
      <w:r w:rsidR="00100EAD" w:rsidRPr="00FE7FBC">
        <w:rPr>
          <w:rFonts w:ascii="Palatino Linotype" w:eastAsia="Calibri" w:hAnsi="Palatino Linotype" w:cs="Palatino Linotype"/>
          <w:bCs/>
          <w:color w:val="000000"/>
          <w:sz w:val="22"/>
          <w:szCs w:val="22"/>
          <w:lang w:eastAsia="en-US"/>
        </w:rPr>
        <w:t>de dos mil veinticinco, junto con sus anexos, de la cuenta de e-mail referida en respuesta</w:t>
      </w:r>
      <w:r w:rsidR="00C0149B" w:rsidRPr="00FE7FBC">
        <w:rPr>
          <w:rFonts w:ascii="Palatino Linotype" w:eastAsia="Calibri" w:hAnsi="Palatino Linotype" w:cs="Palatino Linotype"/>
          <w:bCs/>
          <w:color w:val="000000"/>
          <w:sz w:val="22"/>
          <w:szCs w:val="22"/>
          <w:lang w:eastAsia="en-US"/>
        </w:rPr>
        <w:t>.</w:t>
      </w:r>
    </w:p>
    <w:p w14:paraId="0CD110B0" w14:textId="77777777" w:rsidR="00065A1E" w:rsidRPr="00FE7FBC" w:rsidRDefault="00065A1E" w:rsidP="00065A1E">
      <w:pPr>
        <w:spacing w:after="160" w:line="360" w:lineRule="auto"/>
        <w:contextualSpacing/>
        <w:jc w:val="both"/>
        <w:rPr>
          <w:rFonts w:ascii="Palatino Linotype" w:eastAsia="Palatino Linotype" w:hAnsi="Palatino Linotype" w:cs="Tahoma"/>
          <w:bCs/>
          <w:color w:val="0D0D0D"/>
          <w:sz w:val="22"/>
          <w:szCs w:val="22"/>
          <w:lang w:val="es-ES" w:eastAsia="es-ES_tradnl"/>
        </w:rPr>
      </w:pPr>
    </w:p>
    <w:p w14:paraId="4B79EA15" w14:textId="77777777" w:rsidR="00065A1E" w:rsidRPr="00FE7FBC" w:rsidRDefault="00065A1E" w:rsidP="00065A1E">
      <w:pPr>
        <w:spacing w:after="160" w:line="360" w:lineRule="auto"/>
        <w:contextualSpacing/>
        <w:jc w:val="both"/>
        <w:rPr>
          <w:rFonts w:ascii="Palatino Linotype" w:eastAsia="Palatino Linotype" w:hAnsi="Palatino Linotype" w:cs="Tahoma"/>
          <w:color w:val="000000"/>
          <w:sz w:val="22"/>
          <w:szCs w:val="22"/>
          <w:lang w:eastAsia="es-ES_tradnl"/>
        </w:rPr>
      </w:pPr>
      <w:r w:rsidRPr="00FE7FBC">
        <w:rPr>
          <w:rFonts w:ascii="Palatino Linotype" w:eastAsia="Palatino Linotype" w:hAnsi="Palatino Linotype" w:cs="Tahoma"/>
          <w:bCs/>
          <w:color w:val="0D0D0D"/>
          <w:sz w:val="22"/>
          <w:szCs w:val="22"/>
          <w:lang w:val="es-ES" w:eastAsia="es-ES_tradnl"/>
        </w:rPr>
        <w:t>D</w:t>
      </w:r>
      <w:proofErr w:type="spellStart"/>
      <w:r w:rsidRPr="00FE7FBC">
        <w:rPr>
          <w:rFonts w:ascii="Palatino Linotype" w:eastAsia="Palatino Linotype" w:hAnsi="Palatino Linotype" w:cs="Tahoma"/>
          <w:bCs/>
          <w:iCs/>
          <w:color w:val="000000"/>
          <w:sz w:val="22"/>
          <w:szCs w:val="22"/>
          <w:lang w:eastAsia="es-ES_tradnl"/>
        </w:rPr>
        <w:t>icha</w:t>
      </w:r>
      <w:proofErr w:type="spellEnd"/>
      <w:r w:rsidRPr="00FE7FBC">
        <w:rPr>
          <w:rFonts w:ascii="Palatino Linotype" w:eastAsia="Palatino Linotype" w:hAnsi="Palatino Linotype" w:cs="Tahoma"/>
          <w:bCs/>
          <w:iCs/>
          <w:color w:val="000000"/>
          <w:sz w:val="22"/>
          <w:szCs w:val="22"/>
          <w:lang w:eastAsia="es-ES_tradnl"/>
        </w:rPr>
        <w:t xml:space="preserve"> situación toma sustento en</w:t>
      </w:r>
      <w:r w:rsidRPr="00FE7FBC">
        <w:rPr>
          <w:rFonts w:ascii="Palatino Linotype" w:eastAsia="Palatino Linotype" w:hAnsi="Palatino Linotype" w:cs="Tahoma"/>
          <w:bCs/>
          <w:color w:val="000000"/>
          <w:sz w:val="22"/>
          <w:szCs w:val="22"/>
          <w:lang w:eastAsia="es-ES_tradnl"/>
        </w:rPr>
        <w:t xml:space="preserve"> el</w:t>
      </w:r>
      <w:r w:rsidRPr="00FE7FBC">
        <w:rPr>
          <w:rFonts w:ascii="Palatino Linotype" w:eastAsia="Palatino Linotype" w:hAnsi="Palatino Linotype" w:cs="Tahoma"/>
          <w:color w:val="000000"/>
          <w:sz w:val="22"/>
          <w:szCs w:val="22"/>
          <w:lang w:eastAsia="es-ES_tradnl"/>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esta, ni presentarla conforme al interés del Solicitante.</w:t>
      </w:r>
    </w:p>
    <w:p w14:paraId="1774A5F1" w14:textId="77777777" w:rsidR="00100EAD" w:rsidRPr="00FE7FBC" w:rsidRDefault="00100EAD" w:rsidP="00065A1E">
      <w:pPr>
        <w:spacing w:after="160" w:line="360" w:lineRule="auto"/>
        <w:contextualSpacing/>
        <w:jc w:val="both"/>
        <w:rPr>
          <w:rFonts w:ascii="Palatino Linotype" w:eastAsia="Palatino Linotype" w:hAnsi="Palatino Linotype" w:cs="Tahoma"/>
          <w:bCs/>
          <w:color w:val="0D0D0D"/>
          <w:sz w:val="22"/>
          <w:szCs w:val="22"/>
          <w:lang w:val="es-ES" w:eastAsia="es-ES_tradnl"/>
        </w:rPr>
      </w:pPr>
    </w:p>
    <w:p w14:paraId="1F15FFAC" w14:textId="77777777" w:rsidR="00065A1E" w:rsidRPr="00FE7FBC" w:rsidRDefault="00065A1E" w:rsidP="00065A1E">
      <w:pPr>
        <w:tabs>
          <w:tab w:val="left" w:pos="4962"/>
        </w:tabs>
        <w:spacing w:after="160" w:line="360" w:lineRule="auto"/>
        <w:contextualSpacing/>
        <w:jc w:val="both"/>
        <w:rPr>
          <w:rFonts w:ascii="Palatino Linotype" w:eastAsia="Palatino Linotype" w:hAnsi="Palatino Linotype" w:cs="Tahoma"/>
          <w:color w:val="000000"/>
          <w:sz w:val="22"/>
          <w:szCs w:val="22"/>
          <w:lang w:eastAsia="es-ES_tradnl"/>
        </w:rPr>
      </w:pPr>
      <w:r w:rsidRPr="00FE7FBC">
        <w:rPr>
          <w:rFonts w:ascii="Palatino Linotype" w:eastAsia="Palatino Linotype" w:hAnsi="Palatino Linotype" w:cs="Tahoma"/>
          <w:color w:val="000000"/>
          <w:sz w:val="22"/>
          <w:szCs w:val="22"/>
          <w:lang w:eastAsia="es-ES_tradnl"/>
        </w:rPr>
        <w:t xml:space="preserve">De esta manera, </w:t>
      </w:r>
      <w:r w:rsidRPr="00FE7FBC">
        <w:rPr>
          <w:rFonts w:ascii="Palatino Linotype" w:eastAsia="Palatino Linotype" w:hAnsi="Palatino Linotype" w:cs="Tahoma"/>
          <w:color w:val="000000"/>
          <w:sz w:val="22"/>
          <w:szCs w:val="22"/>
          <w:lang w:val="es-ES" w:eastAsia="es-ES_tradnl"/>
        </w:rPr>
        <w:t xml:space="preserve">el derecho de acceso a la información pública se satisface en aquellos casos en que se entregue el soporte documental en el que conste la información solicitada, sin necesidad de elaborar documentos </w:t>
      </w:r>
      <w:r w:rsidRPr="00FE7FBC">
        <w:rPr>
          <w:rFonts w:ascii="Palatino Linotype" w:eastAsia="Palatino Linotype" w:hAnsi="Palatino Linotype" w:cs="Tahoma"/>
          <w:i/>
          <w:color w:val="000000"/>
          <w:sz w:val="22"/>
          <w:szCs w:val="22"/>
          <w:lang w:eastAsia="es-ES_tradnl"/>
        </w:rPr>
        <w:t>ad hoc</w:t>
      </w:r>
      <w:r w:rsidRPr="00FE7FBC">
        <w:rPr>
          <w:rFonts w:ascii="Palatino Linotype" w:eastAsia="Palatino Linotype" w:hAnsi="Palatino Linotype" w:cs="Tahoma"/>
          <w:color w:val="000000"/>
          <w:sz w:val="22"/>
          <w:szCs w:val="22"/>
          <w:lang w:eastAsia="es-ES_tradnl"/>
        </w:rPr>
        <w:t xml:space="preserve">; lo cual, de conformidad con en el artículo 160 de la Ley de </w:t>
      </w:r>
      <w:r w:rsidRPr="00FE7FBC">
        <w:rPr>
          <w:rFonts w:ascii="Palatino Linotype" w:eastAsia="Palatino Linotype" w:hAnsi="Palatino Linotype" w:cs="Tahoma"/>
          <w:color w:val="000000"/>
          <w:sz w:val="22"/>
          <w:szCs w:val="22"/>
          <w:lang w:eastAsia="es-ES_tradnl"/>
        </w:rPr>
        <w:lastRenderedPageBreak/>
        <w:t xml:space="preserve">Transparencia y Acceso a la Información Pública del Estado de México y Municipios, el cual refiere que los sujetos obligados deberán entregar la información que obre en sus archivos. </w:t>
      </w:r>
    </w:p>
    <w:p w14:paraId="29FE2D5F" w14:textId="77777777" w:rsidR="00065A1E" w:rsidRPr="00FE7FBC" w:rsidRDefault="00065A1E" w:rsidP="00100EAD">
      <w:pPr>
        <w:rPr>
          <w:rFonts w:ascii="Palatino Linotype" w:eastAsia="Palatino Linotype" w:hAnsi="Palatino Linotype" w:cs="Tahoma"/>
          <w:color w:val="000000"/>
          <w:sz w:val="22"/>
          <w:szCs w:val="22"/>
          <w:lang w:val="es-ES" w:eastAsia="es-MX"/>
        </w:rPr>
      </w:pPr>
    </w:p>
    <w:p w14:paraId="171F5EB8" w14:textId="434FD077" w:rsidR="00065A1E" w:rsidRPr="00FE7FBC" w:rsidRDefault="00065A1E" w:rsidP="00065A1E">
      <w:pPr>
        <w:spacing w:line="360" w:lineRule="auto"/>
        <w:jc w:val="both"/>
        <w:rPr>
          <w:rFonts w:ascii="Palatino Linotype" w:eastAsia="Palatino Linotype" w:hAnsi="Palatino Linotype" w:cs="Tahoma"/>
          <w:color w:val="000000"/>
          <w:sz w:val="22"/>
          <w:szCs w:val="22"/>
          <w:lang w:eastAsia="es-MX"/>
        </w:rPr>
      </w:pPr>
      <w:r w:rsidRPr="00FE7FBC">
        <w:rPr>
          <w:rFonts w:ascii="Palatino Linotype" w:eastAsia="Palatino Linotype" w:hAnsi="Palatino Linotype" w:cs="Tahoma"/>
          <w:color w:val="000000"/>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w:t>
      </w:r>
      <w:r w:rsidRPr="00FE7FBC">
        <w:rPr>
          <w:rFonts w:ascii="Palatino Linotype" w:eastAsia="Palatino Linotype" w:hAnsi="Palatino Linotype" w:cs="Tahoma"/>
          <w:color w:val="000000"/>
          <w:sz w:val="22"/>
          <w:szCs w:val="22"/>
          <w:lang w:val="x-none" w:eastAsia="es-MX"/>
        </w:rPr>
        <w:t xml:space="preserve">á proporcionar </w:t>
      </w:r>
      <w:r w:rsidR="00100EAD" w:rsidRPr="00FE7FBC">
        <w:rPr>
          <w:rFonts w:ascii="Palatino Linotype" w:eastAsia="Palatino Linotype" w:hAnsi="Palatino Linotype" w:cs="Tahoma"/>
          <w:color w:val="000000"/>
          <w:sz w:val="22"/>
          <w:szCs w:val="22"/>
          <w:lang w:eastAsia="es-MX"/>
        </w:rPr>
        <w:t>los correos electrónicos, junto sus anexos.</w:t>
      </w:r>
    </w:p>
    <w:p w14:paraId="7804F73F" w14:textId="77777777" w:rsidR="00100EAD" w:rsidRPr="00FE7FBC" w:rsidRDefault="00100EAD" w:rsidP="00065A1E">
      <w:pPr>
        <w:spacing w:line="360" w:lineRule="auto"/>
        <w:jc w:val="both"/>
        <w:rPr>
          <w:rFonts w:ascii="Palatino Linotype" w:eastAsia="Palatino Linotype" w:hAnsi="Palatino Linotype" w:cs="Tahoma"/>
          <w:color w:val="000000"/>
          <w:sz w:val="22"/>
          <w:szCs w:val="22"/>
          <w:lang w:eastAsia="es-MX"/>
        </w:rPr>
      </w:pPr>
    </w:p>
    <w:p w14:paraId="7244ADE1" w14:textId="1B7463BB" w:rsidR="00100EAD" w:rsidRPr="00FE7FBC" w:rsidRDefault="00100EAD" w:rsidP="00065A1E">
      <w:pPr>
        <w:spacing w:line="360" w:lineRule="auto"/>
        <w:jc w:val="both"/>
        <w:rPr>
          <w:rFonts w:ascii="Palatino Linotype" w:eastAsia="Palatino Linotype" w:hAnsi="Palatino Linotype" w:cs="Tahoma"/>
          <w:color w:val="000000"/>
          <w:sz w:val="22"/>
          <w:szCs w:val="22"/>
          <w:lang w:val="es-ES" w:eastAsia="es-MX"/>
        </w:rPr>
      </w:pPr>
      <w:r w:rsidRPr="00FE7FBC">
        <w:rPr>
          <w:rFonts w:ascii="Palatino Linotype" w:eastAsia="Palatino Linotype" w:hAnsi="Palatino Linotype" w:cs="Tahoma"/>
          <w:color w:val="000000"/>
          <w:sz w:val="22"/>
          <w:szCs w:val="22"/>
          <w:lang w:val="es-ES" w:eastAsia="es-MX"/>
        </w:rPr>
        <w:t>Lo anterior, toda vez que los anexos deben entenderse como parte integral de la misma, por lo que la entrega de la información no se encontraba completa; dicha situación toma sustento, en el Criterio de Interpretación, con clave de control SO/017/2017, de la Segunda Época, emitido por el Instituto Nacional de Transparencia, Acceso a la Información y Protección de Datos Personales, el cual precisa que los anexos de los documentos solicitados, forman parte de estos, por lo que los sujetos obligados deberán proporcionarlos, a menos que el Solicitante manifieste expresamente su interés de acceder al documento principal.</w:t>
      </w:r>
    </w:p>
    <w:p w14:paraId="79A354B9" w14:textId="77777777" w:rsidR="002E1F7B" w:rsidRPr="00FE7FBC" w:rsidRDefault="002E1F7B"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006214D4" w14:textId="007AD6BD" w:rsidR="00100EAD" w:rsidRPr="00FE7FBC" w:rsidRDefault="00100EAD" w:rsidP="00100EAD">
      <w:p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Ahora bien, no pasa desapercibido para este Instituto que la documentación solicitada por el hoy Recurrente, pudiera contener información de naturaleza reservada, por lo que, en lo sucesivo se procede a especificar las circunstancias que debe acreditar el Sujeto Obligado para acreditar la reserva de alguno de los correos electrónicos. </w:t>
      </w:r>
    </w:p>
    <w:p w14:paraId="4DC5CB7A" w14:textId="77777777" w:rsidR="00100EAD" w:rsidRPr="00FE7FBC" w:rsidRDefault="00100EAD" w:rsidP="00100EAD">
      <w:pPr>
        <w:spacing w:line="360" w:lineRule="auto"/>
        <w:jc w:val="both"/>
        <w:rPr>
          <w:rFonts w:ascii="Palatino Linotype" w:eastAsia="Palatino Linotype" w:hAnsi="Palatino Linotype" w:cs="Palatino Linotype"/>
          <w:color w:val="000000"/>
          <w:sz w:val="22"/>
          <w:szCs w:val="22"/>
          <w:lang w:eastAsia="es-MX"/>
        </w:rPr>
      </w:pPr>
    </w:p>
    <w:p w14:paraId="42D3AB67"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 xml:space="preserve">la causal de clasificación establecida en el artículo 140, fracciones VI, VIII y X, de la Ley de Transparencia y Acceso a la Información Pública del Estado de México y Municipios (homólogo al 113, fracción XI, de la Ley General de Transparencia y Acceso a la Información Pública), misma que establece que será información reservada, aquella que vulnere la </w:t>
      </w:r>
      <w:r w:rsidRPr="00FE7FBC">
        <w:rPr>
          <w:rFonts w:ascii="Palatino Linotype" w:eastAsia="Palatino Linotype" w:hAnsi="Palatino Linotype" w:cs="Palatino Linotype"/>
          <w:color w:val="0D0D0D"/>
          <w:sz w:val="22"/>
          <w:szCs w:val="22"/>
          <w:lang w:eastAsia="es-MX"/>
        </w:rPr>
        <w:lastRenderedPageBreak/>
        <w:t>conducción de los procedimientos administrativos seguidos en forma de juicio, en tanto no hayan causado estado.</w:t>
      </w:r>
    </w:p>
    <w:p w14:paraId="4D6353F3"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769880B1"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En ese sentido, los Lineamientos Generales prevén lo siguiente:</w:t>
      </w:r>
    </w:p>
    <w:p w14:paraId="538E0A53"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0B2EEE18"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b/>
          <w:i/>
          <w:color w:val="0D0D0D"/>
          <w:lang w:eastAsia="es-MX"/>
        </w:rPr>
        <w:t>“Trigésimo.</w:t>
      </w:r>
      <w:r w:rsidRPr="00FE7FBC">
        <w:rPr>
          <w:rFonts w:ascii="Palatino Linotype" w:eastAsia="Palatino Linotype" w:hAnsi="Palatino Linotype" w:cs="Palatino Linotype"/>
          <w:i/>
          <w:color w:val="0D0D0D"/>
          <w:lang w:eastAsia="es-MX"/>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2270BD54"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p>
    <w:p w14:paraId="5A1BF23E"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t>I.</w:t>
      </w:r>
      <w:r w:rsidRPr="00FE7FBC">
        <w:rPr>
          <w:rFonts w:ascii="Palatino Linotype" w:eastAsia="Palatino Linotype" w:hAnsi="Palatino Linotype" w:cs="Palatino Linotype"/>
          <w:i/>
          <w:lang w:eastAsia="es-MX"/>
        </w:rPr>
        <w:t xml:space="preserve"> La existencia de un juicio o procedimiento administrativo materialmente jurisdiccional, que se encuentre en trámite; </w:t>
      </w:r>
    </w:p>
    <w:p w14:paraId="7D290D3C"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p>
    <w:p w14:paraId="2AEDB966"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t>II.</w:t>
      </w:r>
      <w:r w:rsidRPr="00FE7FBC">
        <w:rPr>
          <w:rFonts w:ascii="Palatino Linotype" w:eastAsia="Palatino Linotype" w:hAnsi="Palatino Linotype" w:cs="Palatino Linotype"/>
          <w:i/>
          <w:lang w:eastAsia="es-MX"/>
        </w:rPr>
        <w:t xml:space="preserve"> Que la información solicitada se refiera a actuaciones, diligencias o constancias propias del procedimiento; y</w:t>
      </w:r>
    </w:p>
    <w:p w14:paraId="7CEE489B"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p>
    <w:p w14:paraId="5C64583F"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t>III.</w:t>
      </w:r>
      <w:r w:rsidRPr="00FE7FBC">
        <w:rPr>
          <w:rFonts w:ascii="Palatino Linotype" w:eastAsia="Palatino Linotype" w:hAnsi="Palatino Linotype" w:cs="Palatino Linotype"/>
          <w:i/>
          <w:lang w:eastAsia="es-MX"/>
        </w:rPr>
        <w:t xml:space="preserve"> Que su difusión afecte o interrumpa la libertad de decisión de las autoridades dentro del juicio o procedimiento administrativo seguido en forma de juicio.</w:t>
      </w:r>
    </w:p>
    <w:p w14:paraId="109A3F22"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p>
    <w:p w14:paraId="0874B174"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i/>
          <w:color w:val="0D0D0D"/>
          <w:lang w:eastAsia="es-MX"/>
        </w:rPr>
        <w:t xml:space="preserve">Para los efectos del primer párrafo de este numeral, se considera procedimiento seguido en forma de juicio a aquel formalmente administrativo, pero materialmente jurisdiccional; esto es, en el que concurran los siguientes elementos: </w:t>
      </w:r>
    </w:p>
    <w:p w14:paraId="7FC86828"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p>
    <w:p w14:paraId="4650CF80"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b/>
          <w:i/>
          <w:color w:val="0D0D0D"/>
          <w:lang w:eastAsia="es-MX"/>
        </w:rPr>
        <w:t>1.</w:t>
      </w:r>
      <w:r w:rsidRPr="00FE7FBC">
        <w:rPr>
          <w:rFonts w:ascii="Palatino Linotype" w:eastAsia="Palatino Linotype" w:hAnsi="Palatino Linotype" w:cs="Palatino Linotype"/>
          <w:i/>
          <w:color w:val="0D0D0D"/>
          <w:lang w:eastAsia="es-MX"/>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25353CD7"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p>
    <w:p w14:paraId="066BC7B2"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b/>
          <w:i/>
          <w:color w:val="0D0D0D"/>
          <w:lang w:eastAsia="es-MX"/>
        </w:rPr>
        <w:t>2.</w:t>
      </w:r>
      <w:r w:rsidRPr="00FE7FBC">
        <w:rPr>
          <w:rFonts w:ascii="Palatino Linotype" w:eastAsia="Palatino Linotype" w:hAnsi="Palatino Linotype" w:cs="Palatino Linotype"/>
          <w:i/>
          <w:color w:val="0D0D0D"/>
          <w:lang w:eastAsia="es-MX"/>
        </w:rPr>
        <w:t xml:space="preserve"> Que se cumplan las formalidades esenciales del procedimiento. </w:t>
      </w:r>
    </w:p>
    <w:p w14:paraId="6FD8A4FE"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p>
    <w:p w14:paraId="653EA05A"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i/>
          <w:color w:val="0D0D0D"/>
          <w:lang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2E9A951B"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7B5702AC"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540E86D4"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4C576714" w14:textId="77777777" w:rsidR="00100EAD" w:rsidRPr="00FE7FBC" w:rsidRDefault="00100EAD" w:rsidP="00100EAD">
      <w:pPr>
        <w:numPr>
          <w:ilvl w:val="0"/>
          <w:numId w:val="19"/>
        </w:numPr>
        <w:spacing w:after="160"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La existencia de un juicio o procedimiento administrativo materialmente jurisdiccional, que se encuentre en trámite;</w:t>
      </w:r>
    </w:p>
    <w:p w14:paraId="501A51F7"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1CC7598F" w14:textId="77777777" w:rsidR="00100EAD" w:rsidRPr="00FE7FBC" w:rsidRDefault="00100EAD" w:rsidP="00100EAD">
      <w:pPr>
        <w:numPr>
          <w:ilvl w:val="0"/>
          <w:numId w:val="19"/>
        </w:numPr>
        <w:spacing w:after="160"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Que la información solicitada se refiera a actuaciones, diligencias o constancias propias del procedimiento, y</w:t>
      </w:r>
    </w:p>
    <w:p w14:paraId="26C37AD9" w14:textId="77777777" w:rsidR="00100EAD" w:rsidRPr="00FE7FBC" w:rsidRDefault="00100EAD" w:rsidP="00100EAD">
      <w:pPr>
        <w:spacing w:line="360" w:lineRule="auto"/>
        <w:ind w:left="720"/>
        <w:jc w:val="both"/>
        <w:rPr>
          <w:rFonts w:ascii="Palatino Linotype" w:eastAsia="Palatino Linotype" w:hAnsi="Palatino Linotype" w:cs="Palatino Linotype"/>
          <w:color w:val="000000"/>
          <w:sz w:val="22"/>
          <w:szCs w:val="22"/>
          <w:lang w:eastAsia="es-MX"/>
        </w:rPr>
      </w:pPr>
    </w:p>
    <w:p w14:paraId="344C9DA4" w14:textId="77777777" w:rsidR="00100EAD" w:rsidRPr="00FE7FBC" w:rsidRDefault="00100EAD" w:rsidP="00100EAD">
      <w:pPr>
        <w:numPr>
          <w:ilvl w:val="0"/>
          <w:numId w:val="19"/>
        </w:numPr>
        <w:spacing w:after="160"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Que su difusión afecte o interrumpa la libertad de decisión de las autoridades dentro del juicio o procedimiento administrativo seguido en forma de juicio.</w:t>
      </w:r>
    </w:p>
    <w:p w14:paraId="7A486900"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46F12FB1"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2DBF7B89" w14:textId="77777777" w:rsidR="00100EAD" w:rsidRPr="00FE7FBC" w:rsidRDefault="00100EAD" w:rsidP="00100EAD">
      <w:pPr>
        <w:spacing w:line="360" w:lineRule="auto"/>
        <w:ind w:right="-28"/>
        <w:jc w:val="both"/>
        <w:rPr>
          <w:rFonts w:ascii="Palatino Linotype" w:eastAsia="Palatino Linotype" w:hAnsi="Palatino Linotype" w:cs="Palatino Linotype"/>
          <w:b/>
          <w:sz w:val="22"/>
          <w:szCs w:val="22"/>
          <w:lang w:eastAsia="es-MX"/>
        </w:rPr>
      </w:pPr>
    </w:p>
    <w:p w14:paraId="25F2EF44"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lastRenderedPageBreak/>
        <w:t>Ahora bien, es menester precisar que para que se trate de un</w:t>
      </w:r>
      <w:r w:rsidRPr="00FE7FBC">
        <w:rPr>
          <w:rFonts w:ascii="Palatino Linotype" w:eastAsia="Palatino Linotype" w:hAnsi="Palatino Linotype" w:cs="Palatino Linotype"/>
          <w:b/>
          <w:color w:val="0D0D0D"/>
          <w:sz w:val="22"/>
          <w:szCs w:val="22"/>
          <w:lang w:eastAsia="es-MX"/>
        </w:rPr>
        <w:t xml:space="preserve"> </w:t>
      </w:r>
      <w:r w:rsidRPr="00FE7FBC">
        <w:rPr>
          <w:rFonts w:ascii="Palatino Linotype" w:eastAsia="Palatino Linotype" w:hAnsi="Palatino Linotype" w:cs="Palatino Linotype"/>
          <w:color w:val="0D0D0D"/>
          <w:sz w:val="22"/>
          <w:szCs w:val="22"/>
          <w:lang w:eastAsia="es-MX"/>
        </w:rPr>
        <w:t xml:space="preserve">juicio o procedimiento administrativo materialmente jurisdiccional, debe cumplirse con lo dispuesto en los Lineamientos Generales, así como lo sostenido por la Segunda Sala de la Suprema Corte de Justicia de la Nación, en la Tesis 2a./J. 22/2003, consistente en que un “procedimiento en forma de juicio”, debe entenderse </w:t>
      </w:r>
      <w:r w:rsidRPr="00FE7FBC">
        <w:rPr>
          <w:rFonts w:ascii="Palatino Linotype" w:eastAsia="Palatino Linotype" w:hAnsi="Palatino Linotype" w:cs="Palatino Linotype"/>
          <w:i/>
          <w:color w:val="0D0D0D"/>
          <w:sz w:val="22"/>
          <w:szCs w:val="22"/>
          <w:lang w:eastAsia="es-MX"/>
        </w:rPr>
        <w:t>lato sensu</w:t>
      </w:r>
      <w:r w:rsidRPr="00FE7FBC">
        <w:rPr>
          <w:rFonts w:ascii="Palatino Linotype" w:eastAsia="Palatino Linotype" w:hAnsi="Palatino Linotype" w:cs="Palatino Linotype"/>
          <w:color w:val="0D0D0D"/>
          <w:sz w:val="22"/>
          <w:szCs w:val="22"/>
          <w:lang w:eastAsia="es-MX"/>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FE7FBC">
        <w:rPr>
          <w:rFonts w:ascii="Palatino Linotype" w:eastAsia="Palatino Linotype" w:hAnsi="Palatino Linotype" w:cs="Palatino Linotype"/>
          <w:b/>
          <w:color w:val="0D0D0D"/>
          <w:sz w:val="22"/>
          <w:szCs w:val="22"/>
          <w:lang w:eastAsia="es-MX"/>
        </w:rPr>
        <w:t xml:space="preserve"> </w:t>
      </w:r>
      <w:r w:rsidRPr="00FE7FBC">
        <w:rPr>
          <w:rFonts w:ascii="Palatino Linotype" w:eastAsia="Palatino Linotype" w:hAnsi="Palatino Linotype" w:cs="Palatino Linotype"/>
          <w:color w:val="0D0D0D"/>
          <w:sz w:val="22"/>
          <w:szCs w:val="22"/>
          <w:lang w:eastAsia="es-MX"/>
        </w:rPr>
        <w:t>tal como se muestra a continuación:</w:t>
      </w:r>
    </w:p>
    <w:p w14:paraId="73D1DBE4"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54EDB203"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color w:val="0D0D0D"/>
          <w:lang w:eastAsia="es-MX"/>
        </w:rPr>
        <w:t>“</w:t>
      </w:r>
      <w:r w:rsidRPr="00FE7FBC">
        <w:rPr>
          <w:rFonts w:ascii="Palatino Linotype" w:eastAsia="Palatino Linotype" w:hAnsi="Palatino Linotype" w:cs="Palatino Linotype"/>
          <w:b/>
          <w:i/>
          <w:color w:val="0D0D0D"/>
          <w:lang w:eastAsia="es-MX"/>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FE7FBC">
        <w:rPr>
          <w:rFonts w:ascii="Palatino Linotype" w:eastAsia="Palatino Linotype" w:hAnsi="Palatino Linotype" w:cs="Palatino Linotype"/>
          <w:i/>
          <w:color w:val="0D0D0D"/>
          <w:lang w:eastAsia="es-MX"/>
        </w:rPr>
        <w:t xml:space="preserve">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FE7FBC">
        <w:rPr>
          <w:rFonts w:ascii="Palatino Linotype" w:eastAsia="Palatino Linotype" w:hAnsi="Palatino Linotype" w:cs="Palatino Linotype"/>
          <w:i/>
          <w:color w:val="0D0D0D"/>
          <w:lang w:eastAsia="es-MX"/>
        </w:rPr>
        <w:t>expeditez</w:t>
      </w:r>
      <w:proofErr w:type="spellEnd"/>
      <w:r w:rsidRPr="00FE7FBC">
        <w:rPr>
          <w:rFonts w:ascii="Palatino Linotype" w:eastAsia="Palatino Linotype" w:hAnsi="Palatino Linotype" w:cs="Palatino Linotype"/>
          <w:i/>
          <w:color w:val="0D0D0D"/>
          <w:lang w:eastAsia="es-MX"/>
        </w:rPr>
        <w:t xml:space="preserve"> de las diligencias procedimentales. Tal es la estructura que dicha Ley adopta en el amparo directo, así como en los procedimientos de ejecución y en los procedimientos de remate, como lo establece en sus artículos </w:t>
      </w:r>
      <w:hyperlink r:id="rId10" w:history="1">
        <w:r w:rsidRPr="00FE7FBC">
          <w:rPr>
            <w:rFonts w:ascii="Palatino Linotype" w:eastAsia="Palatino Linotype" w:hAnsi="Palatino Linotype" w:cs="Palatino Linotype"/>
            <w:i/>
            <w:color w:val="0D0D0D"/>
            <w:lang w:eastAsia="es-MX"/>
          </w:rPr>
          <w:t>158</w:t>
        </w:r>
      </w:hyperlink>
      <w:r w:rsidRPr="00FE7FBC">
        <w:rPr>
          <w:rFonts w:ascii="Palatino Linotype" w:eastAsia="Palatino Linotype" w:hAnsi="Palatino Linotype" w:cs="Palatino Linotype"/>
          <w:i/>
          <w:color w:val="0D0D0D"/>
          <w:lang w:eastAsia="es-MX"/>
        </w:rPr>
        <w:t xml:space="preserve"> y </w:t>
      </w:r>
      <w:hyperlink r:id="rId11" w:history="1">
        <w:r w:rsidRPr="00FE7FBC">
          <w:rPr>
            <w:rFonts w:ascii="Palatino Linotype" w:eastAsia="Palatino Linotype" w:hAnsi="Palatino Linotype" w:cs="Palatino Linotype"/>
            <w:i/>
            <w:color w:val="0D0D0D"/>
            <w:lang w:eastAsia="es-MX"/>
          </w:rPr>
          <w:t>114, fracción III</w:t>
        </w:r>
      </w:hyperlink>
      <w:r w:rsidRPr="00FE7FBC">
        <w:rPr>
          <w:rFonts w:ascii="Palatino Linotype" w:eastAsia="Palatino Linotype" w:hAnsi="Palatino Linotype" w:cs="Palatino Linotype"/>
          <w:i/>
          <w:color w:val="0D0D0D"/>
          <w:lang w:eastAsia="es-MX"/>
        </w:rPr>
        <w:t xml:space="preserve">,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FE7FBC">
        <w:rPr>
          <w:rFonts w:ascii="Palatino Linotype" w:eastAsia="Palatino Linotype" w:hAnsi="Palatino Linotype" w:cs="Palatino Linotype"/>
          <w:i/>
          <w:color w:val="0D0D0D"/>
          <w:lang w:eastAsia="es-MX"/>
        </w:rPr>
        <w:lastRenderedPageBreak/>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3DD3046B" w14:textId="77777777" w:rsidR="00100EAD" w:rsidRPr="00FE7FBC" w:rsidRDefault="00100EAD" w:rsidP="00100EAD">
      <w:pPr>
        <w:spacing w:line="360" w:lineRule="auto"/>
        <w:jc w:val="both"/>
        <w:rPr>
          <w:rFonts w:ascii="Palatino Linotype" w:eastAsia="Palatino Linotype" w:hAnsi="Palatino Linotype" w:cs="Palatino Linotype"/>
          <w:b/>
          <w:color w:val="0D0D0D"/>
          <w:sz w:val="22"/>
          <w:szCs w:val="22"/>
          <w:lang w:eastAsia="es-MX"/>
        </w:rPr>
      </w:pPr>
    </w:p>
    <w:p w14:paraId="635D42DA"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0BDA9810"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5C0862BF"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sz w:val="22"/>
          <w:szCs w:val="22"/>
          <w:lang w:eastAsia="es-MX"/>
        </w:rPr>
      </w:pPr>
      <w:r w:rsidRPr="00FE7FBC">
        <w:rPr>
          <w:rFonts w:ascii="Palatino Linotype" w:eastAsia="Palatino Linotype" w:hAnsi="Palatino Linotype" w:cs="Palatino Linotype"/>
          <w:b/>
          <w:i/>
          <w:color w:val="0D0D0D"/>
          <w:lang w:eastAsia="es-MX"/>
        </w:rPr>
        <w:t xml:space="preserve">“FORMALIDADES ESENCIALES DEL PROCEDIMIENTO. SON LAS QUE GARANTIZAN UNA ADECUADA Y OPORTUNA DEFENSA PREVIA AL ACTO PRIVATIVO. </w:t>
      </w:r>
      <w:r w:rsidRPr="00FE7FBC">
        <w:rPr>
          <w:rFonts w:ascii="Palatino Linotype" w:eastAsia="Palatino Linotype" w:hAnsi="Palatino Linotype" w:cs="Palatino Linotype"/>
          <w:i/>
          <w:color w:val="0D0D0D"/>
          <w:lang w:eastAsia="es-MX"/>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48C1176C"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32AC6280"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 xml:space="preserve">Del criterio jurisprudencial citado, se desprende que las formalidades esenciales del procedimiento que exige el párrafo segundo del artículo 14 de la Constitución Política de los </w:t>
      </w:r>
      <w:r w:rsidRPr="00FE7FBC">
        <w:rPr>
          <w:rFonts w:ascii="Palatino Linotype" w:eastAsia="Palatino Linotype" w:hAnsi="Palatino Linotype" w:cs="Palatino Linotype"/>
          <w:color w:val="0D0D0D"/>
          <w:sz w:val="22"/>
          <w:szCs w:val="22"/>
          <w:lang w:eastAsia="es-MX"/>
        </w:rPr>
        <w:lastRenderedPageBreak/>
        <w:t>Estados Unidos Mexicanos para que se respete la garantía de audiencia, son las que resultan necesarias para garantizar la defensa adecuada antes del acto de privación y que, de manera genérica, se traducen en los siguientes requisitos:</w:t>
      </w:r>
    </w:p>
    <w:p w14:paraId="1A4BA14B"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62777716" w14:textId="77777777" w:rsidR="00100EAD" w:rsidRPr="00FE7FBC" w:rsidRDefault="00100EAD" w:rsidP="00100EAD">
      <w:pPr>
        <w:numPr>
          <w:ilvl w:val="0"/>
          <w:numId w:val="20"/>
        </w:numPr>
        <w:spacing w:after="160" w:line="360" w:lineRule="auto"/>
        <w:ind w:left="851"/>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La notificación del inicio del procedimiento y sus consecuencias;</w:t>
      </w:r>
    </w:p>
    <w:p w14:paraId="1C2073B7" w14:textId="77777777" w:rsidR="00100EAD" w:rsidRPr="00FE7FBC" w:rsidRDefault="00100EAD" w:rsidP="00100EAD">
      <w:pPr>
        <w:numPr>
          <w:ilvl w:val="0"/>
          <w:numId w:val="20"/>
        </w:numPr>
        <w:spacing w:after="160" w:line="360" w:lineRule="auto"/>
        <w:ind w:left="851"/>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 xml:space="preserve">La oportunidad de ofrecer y desahogar pruebas; </w:t>
      </w:r>
    </w:p>
    <w:p w14:paraId="2403FC76" w14:textId="77777777" w:rsidR="00100EAD" w:rsidRPr="00FE7FBC" w:rsidRDefault="00100EAD" w:rsidP="00100EAD">
      <w:pPr>
        <w:numPr>
          <w:ilvl w:val="0"/>
          <w:numId w:val="20"/>
        </w:numPr>
        <w:spacing w:after="160" w:line="360" w:lineRule="auto"/>
        <w:ind w:left="851"/>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La oportunidad de alegar; y</w:t>
      </w:r>
    </w:p>
    <w:p w14:paraId="47F9118F" w14:textId="77777777" w:rsidR="00100EAD" w:rsidRPr="00FE7FBC" w:rsidRDefault="00100EAD" w:rsidP="00100EAD">
      <w:pPr>
        <w:numPr>
          <w:ilvl w:val="0"/>
          <w:numId w:val="20"/>
        </w:numPr>
        <w:spacing w:after="160" w:line="360" w:lineRule="auto"/>
        <w:ind w:left="851"/>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El dictado de una resolución que dirima las cuestiones debatidas.</w:t>
      </w:r>
    </w:p>
    <w:p w14:paraId="39237ADC"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212D1095"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 xml:space="preserve">Por lo que hace a la notificación del inicio del procedimiento y sus consecuencias, es la etapa en la que se hace del conocimiento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 </w:t>
      </w:r>
    </w:p>
    <w:p w14:paraId="58E1E29E"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6CBFB3F8"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Por tal circunstancia, se considera que el Sujeto Obligado para actualizar la causal de reserva establecida en el artículo 140, fracciones VI, VIII y X, de la Ley de Transparencia y Acceso a la Información Pública del Estado de México y Municipios, en determinados oficios, deberá desarrollar su prueba de daño específica, en donde además deberá acreditar la existencia de un juicio o procedimiento administrativo materialmente jurisdiccional en trámite; así como, que los oficios forman parte de las actuaciones, diligencias o constancias propias del </w:t>
      </w:r>
      <w:r w:rsidRPr="00FE7FBC">
        <w:rPr>
          <w:rFonts w:ascii="Palatino Linotype" w:eastAsia="Palatino Linotype" w:hAnsi="Palatino Linotype" w:cs="Palatino Linotype"/>
          <w:sz w:val="22"/>
          <w:szCs w:val="22"/>
          <w:lang w:eastAsia="es-MX"/>
        </w:rPr>
        <w:lastRenderedPageBreak/>
        <w:t>procedimiento, cuya difusión afecte o interrumpa la libertad de decisión de las autoridades; por lo que, en caso de no materializar lo anterior, no será procedente la reserva.</w:t>
      </w:r>
    </w:p>
    <w:p w14:paraId="11681281" w14:textId="77777777" w:rsidR="00100EAD" w:rsidRPr="00FE7FBC" w:rsidRDefault="00100EAD" w:rsidP="00100EAD">
      <w:pPr>
        <w:spacing w:line="360" w:lineRule="auto"/>
        <w:ind w:right="-28"/>
        <w:jc w:val="both"/>
        <w:rPr>
          <w:rFonts w:ascii="Palatino Linotype" w:eastAsia="Palatino Linotype" w:hAnsi="Palatino Linotype" w:cs="Palatino Linotype"/>
          <w:sz w:val="22"/>
          <w:szCs w:val="22"/>
          <w:lang w:eastAsia="es-MX"/>
        </w:rPr>
      </w:pPr>
    </w:p>
    <w:p w14:paraId="609A976F"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color w:val="0D0D0D"/>
          <w:sz w:val="22"/>
          <w:szCs w:val="22"/>
          <w:lang w:eastAsia="es-MX"/>
        </w:rPr>
        <w:t xml:space="preserve">Ahora bien, se procede analizar la causal de reserva establecida en el </w:t>
      </w:r>
      <w:r w:rsidRPr="00FE7FBC">
        <w:rPr>
          <w:rFonts w:ascii="Palatino Linotype" w:eastAsia="Palatino Linotype" w:hAnsi="Palatino Linotype" w:cs="Palatino Linotype"/>
          <w:sz w:val="22"/>
          <w:szCs w:val="22"/>
          <w:lang w:eastAsia="es-MX"/>
        </w:rPr>
        <w:t>artículo 140, fracción VII, de la Ley de Transparencia y Acceso a la Información Pública del Estado de México y Municipios (homólogo al artículo 113, fracción VIII de la Ley General de Transparencia y Acceso a la Información Pública), que precisa lo siguiente:</w:t>
      </w:r>
    </w:p>
    <w:p w14:paraId="25B05C7C" w14:textId="77777777" w:rsidR="00100EAD" w:rsidRPr="00FE7FBC" w:rsidRDefault="00100EAD" w:rsidP="00100EAD">
      <w:pPr>
        <w:spacing w:line="360" w:lineRule="auto"/>
        <w:ind w:right="-93"/>
        <w:jc w:val="both"/>
        <w:rPr>
          <w:rFonts w:ascii="Palatino Linotype" w:eastAsia="Palatino Linotype" w:hAnsi="Palatino Linotype" w:cs="Palatino Linotype"/>
          <w:sz w:val="22"/>
          <w:szCs w:val="22"/>
          <w:lang w:eastAsia="es-MX"/>
        </w:rPr>
      </w:pPr>
    </w:p>
    <w:p w14:paraId="79D8CEBF"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t>“Artículo 140.</w:t>
      </w:r>
      <w:r w:rsidRPr="00FE7FBC">
        <w:rPr>
          <w:rFonts w:ascii="Palatino Linotype" w:eastAsia="Palatino Linotype" w:hAnsi="Palatino Linotype" w:cs="Palatino Linotype"/>
          <w:i/>
          <w:lang w:eastAsia="es-MX"/>
        </w:rPr>
        <w:t xml:space="preserve"> El acceso a la información pública será restringido excepcionalmente, cuando por razones de interés público, ésta sea clasificada como reservada, conforme a los criterios siguientes:</w:t>
      </w:r>
    </w:p>
    <w:p w14:paraId="0D805D17"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i/>
          <w:lang w:eastAsia="es-MX"/>
        </w:rPr>
        <w:t>…</w:t>
      </w:r>
    </w:p>
    <w:p w14:paraId="107FFDD2"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i/>
          <w:lang w:eastAsia="es-MX"/>
        </w:rPr>
        <w:t>VII. La que contenga las opiniones, recomendaciones o puntos de vista que formen parte del proceso deliberativo de los servidores públicos, hasta en tanto sea adoptada la decisión definitiva, la cual deberá estar documentada;</w:t>
      </w:r>
    </w:p>
    <w:p w14:paraId="19391930" w14:textId="77777777" w:rsidR="00100EAD" w:rsidRPr="00FE7FBC" w:rsidRDefault="00100EAD" w:rsidP="00100EAD">
      <w:pPr>
        <w:spacing w:line="360" w:lineRule="auto"/>
        <w:ind w:left="567" w:right="567"/>
        <w:jc w:val="both"/>
        <w:rPr>
          <w:rFonts w:ascii="Palatino Linotype" w:eastAsia="Palatino Linotype" w:hAnsi="Palatino Linotype" w:cs="Palatino Linotype"/>
          <w:lang w:eastAsia="es-MX"/>
        </w:rPr>
      </w:pPr>
      <w:r w:rsidRPr="00FE7FBC">
        <w:rPr>
          <w:rFonts w:ascii="Palatino Linotype" w:eastAsia="Palatino Linotype" w:hAnsi="Palatino Linotype" w:cs="Palatino Linotype"/>
          <w:i/>
          <w:lang w:eastAsia="es-MX"/>
        </w:rPr>
        <w:t xml:space="preserve">…” </w:t>
      </w:r>
    </w:p>
    <w:p w14:paraId="3E880D3F"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0470F651"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Por su parte, en los Lineamientos Generales, se prevé lo siguiente:</w:t>
      </w:r>
    </w:p>
    <w:p w14:paraId="7CA63F63"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10DAC17D"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t xml:space="preserve">“Vigésimo séptimo. </w:t>
      </w:r>
      <w:r w:rsidRPr="00FE7FBC">
        <w:rPr>
          <w:rFonts w:ascii="Palatino Linotype" w:eastAsia="Palatino Linotype" w:hAnsi="Palatino Linotype" w:cs="Palatino Linotype"/>
          <w:i/>
          <w:lang w:eastAsia="es-MX"/>
        </w:rPr>
        <w:t>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333D8A17"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p>
    <w:p w14:paraId="5AE7583D"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t>I.</w:t>
      </w:r>
      <w:r w:rsidRPr="00FE7FBC">
        <w:rPr>
          <w:rFonts w:ascii="Palatino Linotype" w:eastAsia="Palatino Linotype" w:hAnsi="Palatino Linotype" w:cs="Palatino Linotype"/>
          <w:i/>
          <w:lang w:eastAsia="es-MX"/>
        </w:rPr>
        <w:t xml:space="preserve"> La existencia de un proceso deliberativo en curso, precisando la fecha de inicio;</w:t>
      </w:r>
    </w:p>
    <w:p w14:paraId="78310BBA"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p>
    <w:p w14:paraId="0C9BCA2C"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lastRenderedPageBreak/>
        <w:t>II.</w:t>
      </w:r>
      <w:r w:rsidRPr="00FE7FBC">
        <w:rPr>
          <w:rFonts w:ascii="Palatino Linotype" w:eastAsia="Palatino Linotype" w:hAnsi="Palatino Linotype" w:cs="Palatino Linotype"/>
          <w:i/>
          <w:lang w:eastAsia="es-MX"/>
        </w:rPr>
        <w:t xml:space="preserve"> Que la información consista en opiniones, recomendaciones o puntos de vista de los servidores públicos que participan en el proceso deliberativo;</w:t>
      </w:r>
    </w:p>
    <w:p w14:paraId="4FA7A72A"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p>
    <w:p w14:paraId="6DC4E466"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t>III.</w:t>
      </w:r>
      <w:r w:rsidRPr="00FE7FBC">
        <w:rPr>
          <w:rFonts w:ascii="Palatino Linotype" w:eastAsia="Palatino Linotype" w:hAnsi="Palatino Linotype" w:cs="Palatino Linotype"/>
          <w:i/>
          <w:lang w:eastAsia="es-MX"/>
        </w:rPr>
        <w:t xml:space="preserve"> Que la información se encuentre relacionada, de manera directa, con el proceso deliberativo, y</w:t>
      </w:r>
    </w:p>
    <w:p w14:paraId="357B1DB5"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p>
    <w:p w14:paraId="4F2F7DF2"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b/>
          <w:i/>
          <w:lang w:eastAsia="es-MX"/>
        </w:rPr>
        <w:t>IV.</w:t>
      </w:r>
      <w:r w:rsidRPr="00FE7FBC">
        <w:rPr>
          <w:rFonts w:ascii="Palatino Linotype" w:eastAsia="Palatino Linotype" w:hAnsi="Palatino Linotype" w:cs="Palatino Linotype"/>
          <w:i/>
          <w:lang w:eastAsia="es-MX"/>
        </w:rPr>
        <w:t xml:space="preserve"> Que con su difusión se pueda llegar a interrumpir, menoscabar o inhibir el diseño, negociación, determinación o implementación de los asuntos sometidos a deliberación.</w:t>
      </w:r>
    </w:p>
    <w:p w14:paraId="6BFF9AE8"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p>
    <w:p w14:paraId="47E6A8FF"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i/>
          <w:lang w:eastAsia="es-MX"/>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76EE1C12" w14:textId="77777777" w:rsidR="00100EAD" w:rsidRPr="00FE7FBC" w:rsidRDefault="00100EAD" w:rsidP="00100EAD">
      <w:pPr>
        <w:spacing w:line="360" w:lineRule="auto"/>
        <w:ind w:left="567" w:right="567"/>
        <w:jc w:val="both"/>
        <w:rPr>
          <w:rFonts w:ascii="Palatino Linotype" w:eastAsia="Palatino Linotype" w:hAnsi="Palatino Linotype" w:cs="Palatino Linotype"/>
          <w:i/>
          <w:lang w:eastAsia="es-MX"/>
        </w:rPr>
      </w:pPr>
      <w:r w:rsidRPr="00FE7FBC">
        <w:rPr>
          <w:rFonts w:ascii="Palatino Linotype" w:eastAsia="Palatino Linotype" w:hAnsi="Palatino Linotype" w:cs="Palatino Linotype"/>
          <w:i/>
          <w:lang w:eastAsia="es-MX"/>
        </w:rPr>
        <w:t>…”</w:t>
      </w:r>
    </w:p>
    <w:p w14:paraId="27B7CBC9"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5111B190"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De los preceptos normativos citados, se desprende que podrá considerarse como información reservada la que contenga opiniones, recomendaciones o puntos de vista que formen parte del proceso deliberativo de los servidores públicos, hasta en tanto no sea adoptada la decisión definitiva, la cual deberá estar documentada. En ese tenor, para poder acreditar la clasificación referida, deben cumplirse los siguientes requisitos:</w:t>
      </w:r>
    </w:p>
    <w:p w14:paraId="2ED5CF75"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5B8495CB" w14:textId="77777777" w:rsidR="00100EAD" w:rsidRPr="00FE7FBC" w:rsidRDefault="00100EAD" w:rsidP="00100EAD">
      <w:pPr>
        <w:numPr>
          <w:ilvl w:val="0"/>
          <w:numId w:val="21"/>
        </w:numPr>
        <w:spacing w:after="160"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La existencia de un proceso deliberativo en curso. </w:t>
      </w:r>
    </w:p>
    <w:p w14:paraId="087361DE" w14:textId="77777777" w:rsidR="00100EAD" w:rsidRPr="00FE7FBC" w:rsidRDefault="00100EAD" w:rsidP="00100EAD">
      <w:pPr>
        <w:spacing w:line="360" w:lineRule="auto"/>
        <w:ind w:left="720"/>
        <w:jc w:val="both"/>
        <w:rPr>
          <w:rFonts w:ascii="Palatino Linotype" w:eastAsia="Palatino Linotype" w:hAnsi="Palatino Linotype" w:cs="Palatino Linotype"/>
          <w:sz w:val="22"/>
          <w:szCs w:val="22"/>
          <w:lang w:eastAsia="es-MX"/>
        </w:rPr>
      </w:pPr>
    </w:p>
    <w:p w14:paraId="4D7E4250" w14:textId="77777777" w:rsidR="00100EAD" w:rsidRPr="00FE7FBC" w:rsidRDefault="00100EAD" w:rsidP="00100EAD">
      <w:pPr>
        <w:numPr>
          <w:ilvl w:val="0"/>
          <w:numId w:val="21"/>
        </w:numPr>
        <w:spacing w:after="160"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Que la información solicitada consista en opiniones, recomendaciones o puntos de vista de los servidores públicos que participan en el proceso deliberativo.</w:t>
      </w:r>
    </w:p>
    <w:p w14:paraId="7FC2C788" w14:textId="77777777" w:rsidR="00100EAD" w:rsidRPr="00FE7FBC" w:rsidRDefault="00100EAD" w:rsidP="00100EAD">
      <w:pPr>
        <w:spacing w:line="360" w:lineRule="auto"/>
        <w:ind w:left="720"/>
        <w:jc w:val="both"/>
        <w:rPr>
          <w:rFonts w:ascii="Palatino Linotype" w:eastAsia="Palatino Linotype" w:hAnsi="Palatino Linotype" w:cs="Palatino Linotype"/>
          <w:sz w:val="22"/>
          <w:szCs w:val="22"/>
          <w:lang w:eastAsia="es-MX"/>
        </w:rPr>
      </w:pPr>
    </w:p>
    <w:p w14:paraId="6E6DAFC1" w14:textId="77777777" w:rsidR="00100EAD" w:rsidRPr="00FE7FBC" w:rsidRDefault="00100EAD" w:rsidP="00100EAD">
      <w:pPr>
        <w:numPr>
          <w:ilvl w:val="0"/>
          <w:numId w:val="21"/>
        </w:numPr>
        <w:spacing w:after="160"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Que la información solicitada se encuentre relacionada de manera directa con el proceso deliberativo.</w:t>
      </w:r>
    </w:p>
    <w:p w14:paraId="00FC68FE" w14:textId="77777777" w:rsidR="00100EAD" w:rsidRPr="00FE7FBC" w:rsidRDefault="00100EAD" w:rsidP="00100EAD">
      <w:pPr>
        <w:spacing w:line="360" w:lineRule="auto"/>
        <w:ind w:left="720"/>
        <w:jc w:val="both"/>
        <w:rPr>
          <w:rFonts w:ascii="Palatino Linotype" w:eastAsia="Palatino Linotype" w:hAnsi="Palatino Linotype" w:cs="Palatino Linotype"/>
          <w:sz w:val="22"/>
          <w:szCs w:val="22"/>
          <w:lang w:eastAsia="es-MX"/>
        </w:rPr>
      </w:pPr>
    </w:p>
    <w:p w14:paraId="6E547EB6" w14:textId="77777777" w:rsidR="00100EAD" w:rsidRPr="00FE7FBC" w:rsidRDefault="00100EAD" w:rsidP="00100EAD">
      <w:pPr>
        <w:numPr>
          <w:ilvl w:val="0"/>
          <w:numId w:val="21"/>
        </w:numPr>
        <w:spacing w:after="160"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Que con su difusión se pueda llegar afectar los asuntos sometidos a deliberación. </w:t>
      </w:r>
    </w:p>
    <w:p w14:paraId="3A8DECED" w14:textId="77777777" w:rsidR="00100EAD" w:rsidRPr="00FE7FBC" w:rsidRDefault="00100EAD" w:rsidP="00100EAD">
      <w:pPr>
        <w:spacing w:line="360" w:lineRule="auto"/>
        <w:ind w:right="-91"/>
        <w:jc w:val="both"/>
        <w:rPr>
          <w:rFonts w:ascii="Palatino Linotype" w:eastAsia="Palatino Linotype" w:hAnsi="Palatino Linotype" w:cs="Palatino Linotype"/>
          <w:sz w:val="22"/>
          <w:szCs w:val="22"/>
          <w:lang w:eastAsia="es-MX"/>
        </w:rPr>
      </w:pPr>
    </w:p>
    <w:p w14:paraId="71C7192F" w14:textId="77777777" w:rsidR="00100EAD" w:rsidRPr="00FE7FBC" w:rsidRDefault="00100EAD" w:rsidP="00100EAD">
      <w:pPr>
        <w:spacing w:line="360" w:lineRule="auto"/>
        <w:ind w:right="-91"/>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En ese sentido, la información de un proceso deliberativo que es susceptible de reserva, es aquélla que registra la deliberación o el sentido de la decisión, al tratarse de opiniones, recomendaciones o puntos de vista que son valorados por las autoridades, ya que lo que se protege es la secrecía en la toma de decisiones hasta que estas sean adoptadas a fin de que dicha deliberación no sea afectada por agentes externos de modo tal que estos servidores se vean incapacitados para tomar la decisión de forma adecuada; es decir, la información susceptible de reserva es aquella que estrictamente forma parte y guarda relación directa con el proceso de toma de decisión y cuya divulgación, precisamente, inhibir ese proceso o lesionar su determinación.</w:t>
      </w:r>
    </w:p>
    <w:p w14:paraId="7E1E1F26" w14:textId="77777777" w:rsidR="00100EAD" w:rsidRPr="00FE7FBC" w:rsidRDefault="00100EAD" w:rsidP="00100EAD">
      <w:pPr>
        <w:spacing w:line="360" w:lineRule="auto"/>
        <w:ind w:right="-91"/>
        <w:jc w:val="both"/>
        <w:rPr>
          <w:rFonts w:ascii="Palatino Linotype" w:eastAsia="Palatino Linotype" w:hAnsi="Palatino Linotype" w:cs="Palatino Linotype"/>
          <w:sz w:val="22"/>
          <w:szCs w:val="22"/>
          <w:lang w:eastAsia="es-MX"/>
        </w:rPr>
      </w:pPr>
    </w:p>
    <w:p w14:paraId="649DF767" w14:textId="77777777" w:rsidR="00100EAD" w:rsidRPr="00FE7FBC" w:rsidRDefault="00100EAD" w:rsidP="00100EAD">
      <w:pPr>
        <w:spacing w:line="360" w:lineRule="auto"/>
        <w:ind w:right="-91"/>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En otras palabras, lo que se busca evitar es que se divulgue información que pueda entorpecer o afectar el correcto desarrollo de la deliberación.</w:t>
      </w:r>
    </w:p>
    <w:p w14:paraId="1B291B56"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130A81D2" w14:textId="77777777" w:rsidR="00100EAD" w:rsidRPr="00FE7FBC" w:rsidRDefault="00100EAD" w:rsidP="00100EAD">
      <w:pPr>
        <w:spacing w:line="360" w:lineRule="auto"/>
        <w:ind w:right="-28"/>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Conforme a lo anterior, se considera que el Sujeto Obligado para actualizar la causal de reserva establecida en el artículo 140, fracción VII, de la Ley de Transparencia y Acceso a la Información Pública del Estado de México y Municipios, en determinados oficios, deberá desarrollar su prueba de daño específica, en donde además deberá acreditar la existencia de un procedimiento deliberativo en trámite; así como, que los oficios consistan en opiniones, </w:t>
      </w:r>
      <w:r w:rsidRPr="00FE7FBC">
        <w:rPr>
          <w:rFonts w:ascii="Palatino Linotype" w:eastAsia="Palatino Linotype" w:hAnsi="Palatino Linotype" w:cs="Palatino Linotype"/>
          <w:sz w:val="22"/>
          <w:szCs w:val="22"/>
          <w:lang w:eastAsia="es-MX"/>
        </w:rPr>
        <w:lastRenderedPageBreak/>
        <w:t>recomendaciones o puntos de vista de los servidores públicos que se encuentren relacionadas de manera directa con el proceso deliberativo, cuya divulgación pueda interrumpir, menoscabar o inhibir el diseño, negociación, determinación o implementación de los asuntos sometidos a deliberación; conforme a lo anterior, si los documentos no materializan dicha circunstancia, o bien, se trata de insumos informativos que no afectan la deliberación, no podrá clasificarlos por la presente causal.</w:t>
      </w:r>
    </w:p>
    <w:p w14:paraId="15230505" w14:textId="77777777" w:rsidR="00100EAD" w:rsidRPr="00FE7FBC" w:rsidRDefault="00100EAD" w:rsidP="00100EAD">
      <w:pPr>
        <w:spacing w:line="360" w:lineRule="auto"/>
        <w:ind w:right="-28"/>
        <w:jc w:val="both"/>
        <w:rPr>
          <w:rFonts w:ascii="Palatino Linotype" w:eastAsia="Palatino Linotype" w:hAnsi="Palatino Linotype" w:cs="Palatino Linotype"/>
          <w:sz w:val="22"/>
          <w:szCs w:val="22"/>
          <w:lang w:eastAsia="es-MX"/>
        </w:rPr>
      </w:pPr>
    </w:p>
    <w:p w14:paraId="7B845F57"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Finalmente, se analiza la causal de clasificación establecida en el 140, fracción VI, de la Ley de Transparencia y Acceso a la Información Pública del Estado de México y Municipios (homólogo al 113, fracción X, de la Ley General de Transparencia y Acceso a la Información Pública), mismo que establece que será información reservada, aquella que vulnere los derechos al debido proceso en los procedimientos judiciales o administrativos. En ese sentido, los Lineamientos Generales, prevén lo siguiente:</w:t>
      </w:r>
    </w:p>
    <w:p w14:paraId="204A743C"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6359DD5D"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i/>
          <w:color w:val="0D0D0D"/>
          <w:lang w:eastAsia="es-MX"/>
        </w:rPr>
        <w:t>“</w:t>
      </w:r>
      <w:r w:rsidRPr="00FE7FBC">
        <w:rPr>
          <w:rFonts w:ascii="Palatino Linotype" w:eastAsia="Palatino Linotype" w:hAnsi="Palatino Linotype" w:cs="Palatino Linotype"/>
          <w:b/>
          <w:i/>
          <w:color w:val="0D0D0D"/>
          <w:lang w:eastAsia="es-MX"/>
        </w:rPr>
        <w:t>Vigésimo noveno.</w:t>
      </w:r>
      <w:r w:rsidRPr="00FE7FBC">
        <w:rPr>
          <w:rFonts w:ascii="Palatino Linotype" w:eastAsia="Palatino Linotype" w:hAnsi="Palatino Linotype" w:cs="Palatino Linotype"/>
          <w:i/>
          <w:color w:val="0D0D0D"/>
          <w:lang w:eastAsia="es-MX"/>
        </w:rPr>
        <w:t xml:space="preserve"> De conformidad con el artículo 113, fracción X de la Ley General, podrá considerarse como información reservada, aquella que de divulgarse afecte el debido proceso al actualizarse los siguientes elementos:</w:t>
      </w:r>
    </w:p>
    <w:p w14:paraId="098E2223"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p>
    <w:p w14:paraId="2CC05B07"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b/>
          <w:i/>
          <w:color w:val="0D0D0D"/>
          <w:lang w:eastAsia="es-MX"/>
        </w:rPr>
        <w:t>I.</w:t>
      </w:r>
      <w:r w:rsidRPr="00FE7FBC">
        <w:rPr>
          <w:rFonts w:ascii="Palatino Linotype" w:eastAsia="Palatino Linotype" w:hAnsi="Palatino Linotype" w:cs="Palatino Linotype"/>
          <w:i/>
          <w:color w:val="0D0D0D"/>
          <w:lang w:eastAsia="es-MX"/>
        </w:rPr>
        <w:t xml:space="preserve"> La existencia de un procedimiento judicial, administrativo o arbitral en trámite;</w:t>
      </w:r>
    </w:p>
    <w:p w14:paraId="6A70EBDD"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b/>
          <w:i/>
          <w:color w:val="0D0D0D"/>
          <w:lang w:eastAsia="es-MX"/>
        </w:rPr>
        <w:t>II.</w:t>
      </w:r>
      <w:r w:rsidRPr="00FE7FBC">
        <w:rPr>
          <w:rFonts w:ascii="Palatino Linotype" w:eastAsia="Palatino Linotype" w:hAnsi="Palatino Linotype" w:cs="Palatino Linotype"/>
          <w:i/>
          <w:color w:val="0D0D0D"/>
          <w:lang w:eastAsia="es-MX"/>
        </w:rPr>
        <w:t xml:space="preserve"> Que el sujeto obligado sea parte en ese procedimiento;</w:t>
      </w:r>
    </w:p>
    <w:p w14:paraId="091572B4"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b/>
          <w:i/>
          <w:color w:val="0D0D0D"/>
          <w:lang w:eastAsia="es-MX"/>
        </w:rPr>
        <w:t>III.</w:t>
      </w:r>
      <w:r w:rsidRPr="00FE7FBC">
        <w:rPr>
          <w:rFonts w:ascii="Palatino Linotype" w:eastAsia="Palatino Linotype" w:hAnsi="Palatino Linotype" w:cs="Palatino Linotype"/>
          <w:i/>
          <w:color w:val="0D0D0D"/>
          <w:lang w:eastAsia="es-MX"/>
        </w:rPr>
        <w:t xml:space="preserve"> Que la información no sea conocida por la contraparte antes de la presentación de la misma en el proceso, y</w:t>
      </w:r>
    </w:p>
    <w:p w14:paraId="16DE08B5"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D0D0D"/>
          <w:lang w:eastAsia="es-MX"/>
        </w:rPr>
      </w:pPr>
      <w:r w:rsidRPr="00FE7FBC">
        <w:rPr>
          <w:rFonts w:ascii="Palatino Linotype" w:eastAsia="Palatino Linotype" w:hAnsi="Palatino Linotype" w:cs="Palatino Linotype"/>
          <w:b/>
          <w:i/>
          <w:color w:val="0D0D0D"/>
          <w:lang w:eastAsia="es-MX"/>
        </w:rPr>
        <w:t xml:space="preserve">IV. </w:t>
      </w:r>
      <w:r w:rsidRPr="00FE7FBC">
        <w:rPr>
          <w:rFonts w:ascii="Palatino Linotype" w:eastAsia="Palatino Linotype" w:hAnsi="Palatino Linotype" w:cs="Palatino Linotype"/>
          <w:i/>
          <w:color w:val="0D0D0D"/>
          <w:lang w:eastAsia="es-MX"/>
        </w:rPr>
        <w:t>Que con su divulgación se afecte la oportunidad de llevar a cabo alguna de las garantías del debido proceso.”</w:t>
      </w:r>
    </w:p>
    <w:p w14:paraId="5F00CCC3"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3CBC39D8"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lastRenderedPageBreak/>
        <w:t>Del lineamiento citado, se colige que como información reservada podrá clasificarse aquella cuya publicación afecte los derechos del debido proceso. En ese contexto, para considerar que se actualiza dicha causal es necesario que se configuren los siguientes elementos:</w:t>
      </w:r>
    </w:p>
    <w:p w14:paraId="1C03E79E"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5CD94B33" w14:textId="77777777" w:rsidR="00100EAD" w:rsidRPr="00FE7FBC" w:rsidRDefault="00100EAD" w:rsidP="00100EAD">
      <w:pPr>
        <w:numPr>
          <w:ilvl w:val="0"/>
          <w:numId w:val="22"/>
        </w:numPr>
        <w:spacing w:after="160"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Que exista un procedimiento judicial, administrativo o arbitral en trámite.</w:t>
      </w:r>
    </w:p>
    <w:p w14:paraId="1726C337"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451BC6BC" w14:textId="77777777" w:rsidR="00100EAD" w:rsidRPr="00FE7FBC" w:rsidRDefault="00100EAD" w:rsidP="00100EAD">
      <w:pPr>
        <w:numPr>
          <w:ilvl w:val="0"/>
          <w:numId w:val="22"/>
        </w:numPr>
        <w:spacing w:after="160"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Que el sujeto obligado sea parte en ese procedimiento.</w:t>
      </w:r>
    </w:p>
    <w:p w14:paraId="55A3E526"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0B9ACE41" w14:textId="77777777" w:rsidR="00100EAD" w:rsidRPr="00FE7FBC" w:rsidRDefault="00100EAD" w:rsidP="00100EAD">
      <w:pPr>
        <w:numPr>
          <w:ilvl w:val="0"/>
          <w:numId w:val="22"/>
        </w:numPr>
        <w:spacing w:after="160"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Que la información no sea conocida por la contraparte antes de la presentación de la misma en el proceso.</w:t>
      </w:r>
    </w:p>
    <w:p w14:paraId="4CE75939"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6256AFBB" w14:textId="77777777" w:rsidR="00100EAD" w:rsidRPr="00FE7FBC" w:rsidRDefault="00100EAD" w:rsidP="00100EAD">
      <w:pPr>
        <w:numPr>
          <w:ilvl w:val="0"/>
          <w:numId w:val="22"/>
        </w:numPr>
        <w:spacing w:after="160"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Que con su divulgación se menoscaben los derechos del debido proceso.</w:t>
      </w:r>
    </w:p>
    <w:p w14:paraId="32A07279" w14:textId="77777777" w:rsidR="00100EAD" w:rsidRPr="00FE7FBC" w:rsidRDefault="00100EAD" w:rsidP="00100EAD">
      <w:pPr>
        <w:spacing w:line="360" w:lineRule="auto"/>
        <w:ind w:left="720"/>
        <w:jc w:val="both"/>
        <w:rPr>
          <w:rFonts w:ascii="Palatino Linotype" w:eastAsia="Palatino Linotype" w:hAnsi="Palatino Linotype" w:cs="Palatino Linotype"/>
          <w:color w:val="0D0D0D"/>
          <w:sz w:val="22"/>
          <w:szCs w:val="22"/>
          <w:lang w:eastAsia="es-MX"/>
        </w:rPr>
      </w:pPr>
    </w:p>
    <w:p w14:paraId="5054681E" w14:textId="3ABFF7C8"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 xml:space="preserve">Con base en lo expuesto, se desprende que la información susceptible de clasificarse como reservada bajo el supuesto aludido, es aquella cuya difusión vulnere los derechos del debido proceso, dado que los procedimientos siguen en tramitándose; lo anterior, toma relevancia, toda vez </w:t>
      </w:r>
      <w:r w:rsidR="00C0149B" w:rsidRPr="00FE7FBC">
        <w:rPr>
          <w:rFonts w:ascii="Palatino Linotype" w:eastAsia="Palatino Linotype" w:hAnsi="Palatino Linotype" w:cs="Palatino Linotype"/>
          <w:color w:val="0D0D0D"/>
          <w:sz w:val="22"/>
          <w:szCs w:val="22"/>
          <w:lang w:eastAsia="es-MX"/>
        </w:rPr>
        <w:t>que,</w:t>
      </w:r>
      <w:r w:rsidRPr="00FE7FBC">
        <w:rPr>
          <w:rFonts w:ascii="Palatino Linotype" w:eastAsia="Palatino Linotype" w:hAnsi="Palatino Linotype" w:cs="Palatino Linotype"/>
          <w:color w:val="0D0D0D"/>
          <w:sz w:val="22"/>
          <w:szCs w:val="22"/>
          <w:lang w:eastAsia="es-MX"/>
        </w:rPr>
        <w:t xml:space="preserve"> a las partes, se les debe garantizar su derecho al debido proceso, permitiéndole, entre otras cosas, a ofrecer pruebas y presentar alegatos.</w:t>
      </w:r>
    </w:p>
    <w:p w14:paraId="512B30C5" w14:textId="77777777" w:rsidR="00100EAD" w:rsidRPr="00FE7FBC" w:rsidRDefault="00100EAD" w:rsidP="00100EAD">
      <w:pPr>
        <w:spacing w:line="360" w:lineRule="auto"/>
        <w:ind w:right="-28"/>
        <w:jc w:val="both"/>
        <w:rPr>
          <w:rFonts w:ascii="Palatino Linotype" w:eastAsia="Palatino Linotype" w:hAnsi="Palatino Linotype" w:cs="Palatino Linotype"/>
          <w:sz w:val="22"/>
          <w:szCs w:val="22"/>
          <w:lang w:eastAsia="es-MX"/>
        </w:rPr>
      </w:pPr>
    </w:p>
    <w:p w14:paraId="00FAE8A9" w14:textId="1EEDFCA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r w:rsidRPr="00FE7FBC">
        <w:rPr>
          <w:rFonts w:ascii="Palatino Linotype" w:eastAsia="Palatino Linotype" w:hAnsi="Palatino Linotype" w:cs="Palatino Linotype"/>
          <w:color w:val="0D0D0D"/>
          <w:sz w:val="22"/>
          <w:szCs w:val="22"/>
          <w:lang w:eastAsia="es-MX"/>
        </w:rPr>
        <w:t xml:space="preserve">Por lo que, en el presente caso para actualizar dicha causal de reserva, deberá acreditar la existencia de un procedimiento judicial, administrativo o arbitral en trámite, en donde sea parte el Sujeto Obligado, y que los oficios menoscaben los derechos del debido proceso, es decir, que se trate de la estrategia procesal </w:t>
      </w:r>
      <w:r w:rsidR="00C44A52" w:rsidRPr="00FE7FBC">
        <w:rPr>
          <w:rFonts w:ascii="Palatino Linotype" w:eastAsia="Palatino Linotype" w:hAnsi="Palatino Linotype" w:cs="Palatino Linotype"/>
          <w:color w:val="0D0D0D"/>
          <w:sz w:val="22"/>
          <w:szCs w:val="22"/>
          <w:lang w:eastAsia="es-MX"/>
        </w:rPr>
        <w:t>del Colegio</w:t>
      </w:r>
      <w:r w:rsidRPr="00FE7FBC">
        <w:rPr>
          <w:rFonts w:ascii="Palatino Linotype" w:eastAsia="Palatino Linotype" w:hAnsi="Palatino Linotype" w:cs="Palatino Linotype"/>
          <w:color w:val="0D0D0D"/>
          <w:sz w:val="22"/>
          <w:szCs w:val="22"/>
          <w:lang w:eastAsia="es-MX"/>
        </w:rPr>
        <w:t xml:space="preserve">, que no se le haya hecho del </w:t>
      </w:r>
      <w:r w:rsidRPr="00FE7FBC">
        <w:rPr>
          <w:rFonts w:ascii="Palatino Linotype" w:eastAsia="Palatino Linotype" w:hAnsi="Palatino Linotype" w:cs="Palatino Linotype"/>
          <w:color w:val="0D0D0D"/>
          <w:sz w:val="22"/>
          <w:szCs w:val="22"/>
          <w:lang w:eastAsia="es-MX"/>
        </w:rPr>
        <w:lastRenderedPageBreak/>
        <w:t>conocimiento a la contraparte; por lo que, en el caso que dicha información no afecte los derechos del debido proceso, no podrá clasificarlos.</w:t>
      </w:r>
    </w:p>
    <w:p w14:paraId="34BC4EDF" w14:textId="77777777" w:rsidR="00100EAD" w:rsidRPr="00FE7FBC" w:rsidRDefault="00100EAD" w:rsidP="00100EAD">
      <w:pPr>
        <w:spacing w:line="360" w:lineRule="auto"/>
        <w:jc w:val="both"/>
        <w:rPr>
          <w:rFonts w:ascii="Palatino Linotype" w:eastAsia="Palatino Linotype" w:hAnsi="Palatino Linotype" w:cs="Palatino Linotype"/>
          <w:color w:val="0D0D0D"/>
          <w:sz w:val="22"/>
          <w:szCs w:val="22"/>
          <w:lang w:eastAsia="es-MX"/>
        </w:rPr>
      </w:pPr>
    </w:p>
    <w:p w14:paraId="4EAA7C07" w14:textId="77777777" w:rsidR="00C0149B" w:rsidRPr="00FE7FBC" w:rsidRDefault="00C0149B" w:rsidP="00C0149B">
      <w:pPr>
        <w:tabs>
          <w:tab w:val="left" w:pos="4962"/>
        </w:tabs>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D64F3E1" w14:textId="77777777" w:rsidR="00C0149B" w:rsidRPr="00FE7FBC" w:rsidRDefault="00C0149B" w:rsidP="00C0149B">
      <w:pPr>
        <w:tabs>
          <w:tab w:val="left" w:pos="4962"/>
        </w:tabs>
        <w:spacing w:line="360" w:lineRule="auto"/>
        <w:jc w:val="both"/>
        <w:rPr>
          <w:rFonts w:ascii="Palatino Linotype" w:eastAsia="Palatino Linotype" w:hAnsi="Palatino Linotype" w:cs="Palatino Linotype"/>
          <w:sz w:val="22"/>
          <w:szCs w:val="22"/>
          <w:lang w:eastAsia="es-MX"/>
        </w:rPr>
      </w:pPr>
    </w:p>
    <w:p w14:paraId="24ECE8B0" w14:textId="77777777" w:rsidR="00C0149B" w:rsidRPr="00FE7FBC" w:rsidRDefault="00C0149B" w:rsidP="00C0149B">
      <w:pPr>
        <w:numPr>
          <w:ilvl w:val="0"/>
          <w:numId w:val="23"/>
        </w:numPr>
        <w:tabs>
          <w:tab w:val="left" w:pos="4962"/>
        </w:tabs>
        <w:spacing w:after="160" w:line="360" w:lineRule="auto"/>
        <w:ind w:left="709" w:hanging="436"/>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La divulgación de la información representa un riesgo real, demostrable e identificable de perjuicio significativo al interés público o a la seguridad nacional.</w:t>
      </w:r>
    </w:p>
    <w:p w14:paraId="2FA77BC9" w14:textId="77777777" w:rsidR="00C0149B" w:rsidRPr="00FE7FBC" w:rsidRDefault="00C0149B" w:rsidP="00C0149B">
      <w:pPr>
        <w:numPr>
          <w:ilvl w:val="0"/>
          <w:numId w:val="23"/>
        </w:numPr>
        <w:tabs>
          <w:tab w:val="left" w:pos="4962"/>
        </w:tabs>
        <w:spacing w:after="160" w:line="360" w:lineRule="auto"/>
        <w:ind w:left="709" w:hanging="436"/>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El riesgo de perjuicio supera el interés público general de que se difunda.</w:t>
      </w:r>
    </w:p>
    <w:p w14:paraId="47448B50" w14:textId="77777777" w:rsidR="00C0149B" w:rsidRPr="00FE7FBC" w:rsidRDefault="00C0149B" w:rsidP="00C0149B">
      <w:pPr>
        <w:numPr>
          <w:ilvl w:val="0"/>
          <w:numId w:val="23"/>
        </w:numPr>
        <w:tabs>
          <w:tab w:val="left" w:pos="4962"/>
        </w:tabs>
        <w:spacing w:after="160" w:line="360" w:lineRule="auto"/>
        <w:ind w:left="709" w:hanging="436"/>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Que la limitación se adecua al principio de proporcionalidad y representa el medio menos restrictivo disponible para evitar el perjuicio.</w:t>
      </w:r>
    </w:p>
    <w:p w14:paraId="2BA145DE" w14:textId="77777777" w:rsidR="00C0149B" w:rsidRPr="00FE7FBC" w:rsidRDefault="00C0149B" w:rsidP="00C0149B">
      <w:pPr>
        <w:spacing w:line="360" w:lineRule="auto"/>
        <w:rPr>
          <w:rFonts w:ascii="Palatino Linotype" w:eastAsia="Palatino Linotype" w:hAnsi="Palatino Linotype" w:cs="Palatino Linotype"/>
          <w:sz w:val="22"/>
          <w:szCs w:val="22"/>
          <w:lang w:eastAsia="es-MX"/>
        </w:rPr>
      </w:pPr>
    </w:p>
    <w:p w14:paraId="65022C43" w14:textId="77777777" w:rsidR="00C0149B" w:rsidRPr="00FE7FBC" w:rsidRDefault="00C0149B" w:rsidP="00C0149B">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w:t>
      </w:r>
    </w:p>
    <w:p w14:paraId="1F6905A5" w14:textId="77777777" w:rsidR="00C0149B" w:rsidRPr="00FE7FBC" w:rsidRDefault="00C0149B" w:rsidP="00C0149B">
      <w:pPr>
        <w:spacing w:line="360" w:lineRule="auto"/>
        <w:jc w:val="both"/>
        <w:rPr>
          <w:rFonts w:ascii="Palatino Linotype" w:eastAsia="Palatino Linotype" w:hAnsi="Palatino Linotype" w:cs="Palatino Linotype"/>
          <w:sz w:val="22"/>
          <w:szCs w:val="22"/>
          <w:lang w:eastAsia="es-MX"/>
        </w:rPr>
      </w:pPr>
    </w:p>
    <w:p w14:paraId="34B93D81" w14:textId="3AC2F203" w:rsidR="00100EAD" w:rsidRPr="00FE7FBC" w:rsidRDefault="00C0149B" w:rsidP="00C0149B">
      <w:pPr>
        <w:spacing w:line="360" w:lineRule="auto"/>
        <w:contextualSpacing/>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sz w:val="22"/>
          <w:szCs w:val="22"/>
          <w:lang w:eastAsia="es-MX"/>
        </w:rPr>
        <w:t xml:space="preserve">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w:t>
      </w:r>
      <w:r w:rsidRPr="00FE7FBC">
        <w:rPr>
          <w:rFonts w:ascii="Palatino Linotype" w:eastAsia="Palatino Linotype" w:hAnsi="Palatino Linotype" w:cs="Palatino Linotype"/>
          <w:sz w:val="22"/>
          <w:szCs w:val="22"/>
          <w:lang w:eastAsia="es-MX"/>
        </w:rPr>
        <w:lastRenderedPageBreak/>
        <w:t>graves a derechos humanos o delitos de lesa humanidad; por lo que, si el Sujeto Obligado considera que alguno de los correos actualiza alguna causal de reserva, deberá acreditar los requisitos establecidos y realizar la prueba de daño correspondiente, misma que deberá ser validada por el Comité de Transparencia.</w:t>
      </w:r>
    </w:p>
    <w:p w14:paraId="4FC3B400" w14:textId="77777777" w:rsidR="00100EAD" w:rsidRPr="00FE7FBC" w:rsidRDefault="00100EAD"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4B0D8FA8" w14:textId="681B8424" w:rsidR="00100EAD" w:rsidRPr="00FE7FBC" w:rsidRDefault="00100EAD"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Finalmente, es de señalar que los correos electrónicos, podrían contar con diversos datos, entre los cuáles se encuentran los siguientes:</w:t>
      </w:r>
    </w:p>
    <w:p w14:paraId="5FA6B858" w14:textId="77777777" w:rsidR="00100EAD" w:rsidRPr="00FE7FBC" w:rsidRDefault="00100EAD" w:rsidP="0033771A">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1C43E9D3" w14:textId="77777777" w:rsidR="00100EAD" w:rsidRPr="00FE7FBC" w:rsidRDefault="00100EAD" w:rsidP="00100EAD">
      <w:pPr>
        <w:numPr>
          <w:ilvl w:val="0"/>
          <w:numId w:val="14"/>
        </w:num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Nombre de Particulares</w:t>
      </w:r>
    </w:p>
    <w:p w14:paraId="746E0570" w14:textId="77777777" w:rsidR="00100EAD" w:rsidRPr="00FE7FBC" w:rsidRDefault="00100EAD" w:rsidP="00100EAD">
      <w:pPr>
        <w:numPr>
          <w:ilvl w:val="0"/>
          <w:numId w:val="14"/>
        </w:num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Teléfono Particular</w:t>
      </w:r>
    </w:p>
    <w:p w14:paraId="3BD385F6" w14:textId="77777777" w:rsidR="00100EAD" w:rsidRPr="00FE7FBC" w:rsidRDefault="00100EAD" w:rsidP="00100EAD">
      <w:pPr>
        <w:numPr>
          <w:ilvl w:val="0"/>
          <w:numId w:val="14"/>
        </w:num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Correo electrónico Particular</w:t>
      </w:r>
    </w:p>
    <w:p w14:paraId="3CC6F3FA" w14:textId="77777777" w:rsidR="00100EAD" w:rsidRPr="00FE7FBC" w:rsidRDefault="00100EAD" w:rsidP="00100EAD">
      <w:pPr>
        <w:numPr>
          <w:ilvl w:val="0"/>
          <w:numId w:val="14"/>
        </w:num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 xml:space="preserve">Domicilio Particular </w:t>
      </w:r>
    </w:p>
    <w:p w14:paraId="378A8DD8" w14:textId="77777777" w:rsidR="00100EAD" w:rsidRPr="00FE7FBC" w:rsidRDefault="00100EAD" w:rsidP="00100EAD">
      <w:pPr>
        <w:numPr>
          <w:ilvl w:val="0"/>
          <w:numId w:val="14"/>
        </w:numPr>
        <w:spacing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Nombre de los miembros del Consejo de Participación Ciudadana</w:t>
      </w:r>
    </w:p>
    <w:p w14:paraId="59707102" w14:textId="77777777" w:rsidR="00100EAD" w:rsidRPr="00FE7FBC" w:rsidRDefault="00100EAD" w:rsidP="00100EAD">
      <w:pPr>
        <w:spacing w:line="360" w:lineRule="auto"/>
        <w:jc w:val="both"/>
        <w:rPr>
          <w:rFonts w:ascii="Palatino Linotype" w:eastAsia="Palatino Linotype" w:hAnsi="Palatino Linotype" w:cs="Palatino Linotype"/>
          <w:color w:val="FF0000"/>
          <w:sz w:val="22"/>
          <w:szCs w:val="22"/>
          <w:lang w:eastAsia="es-MX"/>
        </w:rPr>
      </w:pPr>
    </w:p>
    <w:p w14:paraId="49AC35E3"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6E9C2F56"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78D0E954"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w:t>
      </w:r>
      <w:r w:rsidRPr="00FE7FBC">
        <w:rPr>
          <w:rFonts w:ascii="Palatino Linotype" w:eastAsia="Palatino Linotype" w:hAnsi="Palatino Linotype" w:cs="Palatino Linotype"/>
          <w:sz w:val="22"/>
          <w:szCs w:val="22"/>
          <w:lang w:eastAsia="es-MX"/>
        </w:rPr>
        <w:lastRenderedPageBreak/>
        <w:t xml:space="preserve">derechos de terceros o cuando se transmita entre sujetos obligados en términos de los tratados y los acuerdos interinstitucionales. </w:t>
      </w:r>
    </w:p>
    <w:p w14:paraId="01943BB9"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2EC3D398"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En términos de lo expuesto, la documentación y aquellos datos que se consideren confidenciales, serán una limitante del derecho de acceso a la información, siempre y cuando: </w:t>
      </w:r>
    </w:p>
    <w:p w14:paraId="29992837"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73A89B95" w14:textId="77777777" w:rsidR="00100EAD" w:rsidRPr="00FE7FBC" w:rsidRDefault="00100EAD" w:rsidP="00100EAD">
      <w:pPr>
        <w:numPr>
          <w:ilvl w:val="0"/>
          <w:numId w:val="15"/>
        </w:numPr>
        <w:spacing w:after="160"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Se trate de datos personales o información privada; esto es, información concerniente a una persona física o jurídico colectiva y que esta sea identificada o identificable.</w:t>
      </w:r>
    </w:p>
    <w:p w14:paraId="2665A445" w14:textId="77777777" w:rsidR="00100EAD" w:rsidRPr="00FE7FBC" w:rsidRDefault="00100EAD" w:rsidP="00100EAD">
      <w:pPr>
        <w:spacing w:line="360" w:lineRule="auto"/>
        <w:ind w:left="720"/>
        <w:jc w:val="both"/>
        <w:rPr>
          <w:rFonts w:ascii="Palatino Linotype" w:eastAsia="Palatino Linotype" w:hAnsi="Palatino Linotype" w:cs="Palatino Linotype"/>
          <w:color w:val="000000"/>
          <w:sz w:val="22"/>
          <w:szCs w:val="22"/>
          <w:lang w:eastAsia="es-MX"/>
        </w:rPr>
      </w:pPr>
    </w:p>
    <w:p w14:paraId="245BB3F9" w14:textId="77777777" w:rsidR="00100EAD" w:rsidRPr="00FE7FBC" w:rsidRDefault="00100EAD" w:rsidP="00100EAD">
      <w:pPr>
        <w:numPr>
          <w:ilvl w:val="0"/>
          <w:numId w:val="15"/>
        </w:numPr>
        <w:spacing w:after="160" w:line="360" w:lineRule="auto"/>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color w:val="000000"/>
          <w:sz w:val="22"/>
          <w:szCs w:val="22"/>
          <w:lang w:eastAsia="es-MX"/>
        </w:rPr>
        <w:t>Para la difusión de los datos, se requiera el consentimiento del titular</w:t>
      </w:r>
    </w:p>
    <w:p w14:paraId="6D14272E" w14:textId="77777777" w:rsidR="00100EAD" w:rsidRPr="00FE7FBC" w:rsidRDefault="00100EAD" w:rsidP="00100EAD">
      <w:pPr>
        <w:spacing w:line="360" w:lineRule="auto"/>
        <w:jc w:val="both"/>
        <w:rPr>
          <w:rFonts w:ascii="Palatino Linotype" w:eastAsia="Palatino Linotype" w:hAnsi="Palatino Linotype" w:cs="Palatino Linotype"/>
          <w:color w:val="FF0000"/>
          <w:sz w:val="22"/>
          <w:szCs w:val="22"/>
          <w:lang w:eastAsia="es-MX"/>
        </w:rPr>
      </w:pPr>
    </w:p>
    <w:p w14:paraId="392FF3BE"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7FA68661"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327E2695" w14:textId="77777777" w:rsidR="00100EAD" w:rsidRPr="00FE7FBC" w:rsidRDefault="00100EAD" w:rsidP="00100EAD">
      <w:pPr>
        <w:spacing w:line="360" w:lineRule="auto"/>
        <w:jc w:val="both"/>
        <w:rPr>
          <w:rFonts w:ascii="Palatino Linotype" w:eastAsia="Palatino Linotype" w:hAnsi="Palatino Linotype" w:cs="Palatino Linotype"/>
          <w:color w:val="FF0000"/>
          <w:sz w:val="22"/>
          <w:szCs w:val="22"/>
          <w:lang w:eastAsia="es-MX"/>
        </w:rPr>
      </w:pPr>
      <w:r w:rsidRPr="00FE7FBC">
        <w:rPr>
          <w:rFonts w:ascii="Palatino Linotype" w:eastAsia="Palatino Linotype" w:hAnsi="Palatino Linotype" w:cs="Palatino Linotype"/>
          <w:sz w:val="22"/>
          <w:szCs w:val="22"/>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C9AF8F9" w14:textId="77777777" w:rsidR="00100EAD" w:rsidRPr="00FE7FBC" w:rsidRDefault="00100EAD" w:rsidP="00100EAD">
      <w:pPr>
        <w:spacing w:line="360" w:lineRule="auto"/>
        <w:jc w:val="both"/>
        <w:rPr>
          <w:rFonts w:ascii="Palatino Linotype" w:eastAsia="Palatino Linotype" w:hAnsi="Palatino Linotype" w:cs="Palatino Linotype"/>
          <w:color w:val="FF0000"/>
          <w:sz w:val="22"/>
          <w:szCs w:val="22"/>
          <w:lang w:eastAsia="es-MX"/>
        </w:rPr>
      </w:pPr>
    </w:p>
    <w:p w14:paraId="504E2FF0" w14:textId="77777777" w:rsidR="00100EAD" w:rsidRPr="00FE7FBC" w:rsidRDefault="00100EAD" w:rsidP="00100EAD">
      <w:pPr>
        <w:numPr>
          <w:ilvl w:val="0"/>
          <w:numId w:val="16"/>
        </w:numPr>
        <w:spacing w:after="160" w:line="360" w:lineRule="auto"/>
        <w:jc w:val="both"/>
        <w:rPr>
          <w:rFonts w:ascii="Palatino Linotype" w:eastAsia="Palatino Linotype" w:hAnsi="Palatino Linotype" w:cs="Palatino Linotype"/>
          <w:b/>
          <w:color w:val="000000"/>
          <w:sz w:val="22"/>
          <w:szCs w:val="22"/>
          <w:lang w:eastAsia="es-MX"/>
        </w:rPr>
      </w:pPr>
      <w:r w:rsidRPr="00FE7FBC">
        <w:rPr>
          <w:rFonts w:ascii="Palatino Linotype" w:eastAsia="Palatino Linotype" w:hAnsi="Palatino Linotype" w:cs="Palatino Linotype"/>
          <w:b/>
          <w:color w:val="000000"/>
          <w:sz w:val="22"/>
          <w:szCs w:val="22"/>
          <w:lang w:eastAsia="es-MX"/>
        </w:rPr>
        <w:t>Nombre de particulares</w:t>
      </w:r>
    </w:p>
    <w:p w14:paraId="6291EEF7" w14:textId="77777777" w:rsidR="00100EAD" w:rsidRPr="00FE7FBC" w:rsidRDefault="00100EAD" w:rsidP="00100EAD">
      <w:pPr>
        <w:spacing w:line="360" w:lineRule="auto"/>
        <w:jc w:val="both"/>
        <w:rPr>
          <w:rFonts w:ascii="Palatino Linotype" w:eastAsia="Palatino Linotype" w:hAnsi="Palatino Linotype" w:cs="Palatino Linotype"/>
          <w:color w:val="FF0000"/>
          <w:sz w:val="22"/>
          <w:szCs w:val="22"/>
          <w:lang w:eastAsia="es-MX"/>
        </w:rPr>
      </w:pPr>
    </w:p>
    <w:p w14:paraId="13895F56"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181B2569"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6476E557"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0491D49"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4FF55BD3" w14:textId="77777777" w:rsidR="00100EAD" w:rsidRPr="00FE7FBC" w:rsidRDefault="00100EAD" w:rsidP="00100EAD">
      <w:pPr>
        <w:spacing w:line="360" w:lineRule="auto"/>
        <w:ind w:left="567" w:right="567"/>
        <w:jc w:val="both"/>
        <w:rPr>
          <w:rFonts w:ascii="Palatino Linotype" w:eastAsia="Palatino Linotype" w:hAnsi="Palatino Linotype" w:cs="Palatino Linotype"/>
          <w:i/>
          <w:color w:val="000000"/>
          <w:lang w:eastAsia="es-MX"/>
        </w:rPr>
      </w:pPr>
      <w:r w:rsidRPr="00FE7FBC">
        <w:rPr>
          <w:rFonts w:ascii="Palatino Linotype" w:eastAsia="Palatino Linotype" w:hAnsi="Palatino Linotype" w:cs="Palatino Linotype"/>
          <w:b/>
          <w:i/>
          <w:color w:val="000000"/>
          <w:lang w:eastAsia="es-MX"/>
        </w:rPr>
        <w:t>“DERECHO A LA VIDA PRIVADA. SU CONTENIDO GENERAL Y LA IMPORTANCIA DE NO DESCONTEXTUALIZAR LAS REFERENCIAS A LA MISMA.</w:t>
      </w:r>
      <w:r w:rsidRPr="00FE7FBC">
        <w:rPr>
          <w:rFonts w:ascii="Palatino Linotype" w:eastAsia="Palatino Linotype" w:hAnsi="Palatino Linotype" w:cs="Palatino Linotype"/>
          <w:i/>
          <w:color w:val="000000"/>
          <w:lang w:eastAsia="es-MX"/>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w:t>
      </w:r>
      <w:r w:rsidRPr="00FE7FBC">
        <w:rPr>
          <w:rFonts w:ascii="Palatino Linotype" w:eastAsia="Palatino Linotype" w:hAnsi="Palatino Linotype" w:cs="Palatino Linotype"/>
          <w:i/>
          <w:color w:val="000000"/>
          <w:lang w:eastAsia="es-MX"/>
        </w:rPr>
        <w:lastRenderedPageBreak/>
        <w:t xml:space="preserve">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FE7FBC">
        <w:rPr>
          <w:rFonts w:ascii="Palatino Linotype" w:eastAsia="Palatino Linotype" w:hAnsi="Palatino Linotype" w:cs="Palatino Linotype"/>
          <w:b/>
          <w:i/>
          <w:color w:val="000000"/>
          <w:lang w:eastAsia="es-MX"/>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FE7FBC">
        <w:rPr>
          <w:rFonts w:ascii="Palatino Linotype" w:eastAsia="Palatino Linotype" w:hAnsi="Palatino Linotype" w:cs="Palatino Linotype"/>
          <w:i/>
          <w:color w:val="000000"/>
          <w:lang w:eastAsia="es-MX"/>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FE7FBC">
        <w:rPr>
          <w:rFonts w:ascii="Palatino Linotype" w:eastAsia="Palatino Linotype" w:hAnsi="Palatino Linotype" w:cs="Palatino Linotype"/>
          <w:b/>
          <w:i/>
          <w:color w:val="000000"/>
          <w:lang w:eastAsia="es-MX"/>
        </w:rPr>
        <w:t>En un sentido amplio, entonces, la protección constitucional de la vida privada implica poder conducir parte de la vida de uno protegido de la mirada y las injerencias de los demás</w:t>
      </w:r>
      <w:r w:rsidRPr="00FE7FBC">
        <w:rPr>
          <w:rFonts w:ascii="Palatino Linotype" w:eastAsia="Palatino Linotype" w:hAnsi="Palatino Linotype" w:cs="Palatino Linotype"/>
          <w:i/>
          <w:color w:val="000000"/>
          <w:lang w:eastAsia="es-MX"/>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w:t>
      </w:r>
      <w:r w:rsidRPr="00FE7FBC">
        <w:rPr>
          <w:rFonts w:ascii="Palatino Linotype" w:eastAsia="Palatino Linotype" w:hAnsi="Palatino Linotype" w:cs="Palatino Linotype"/>
          <w:i/>
          <w:color w:val="000000"/>
          <w:lang w:eastAsia="es-MX"/>
        </w:rPr>
        <w:lastRenderedPageBreak/>
        <w:t>comunicaciones privadas, o la protección contra la divulgación de informaciones comunicadas o recibidas confidencialmente por un particular.”</w:t>
      </w:r>
    </w:p>
    <w:p w14:paraId="12D0937C" w14:textId="77777777" w:rsidR="00100EAD" w:rsidRPr="00FE7FBC" w:rsidRDefault="00100EAD" w:rsidP="00100EAD">
      <w:pPr>
        <w:spacing w:line="360" w:lineRule="auto"/>
        <w:jc w:val="both"/>
        <w:rPr>
          <w:rFonts w:ascii="Palatino Linotype" w:eastAsia="Palatino Linotype" w:hAnsi="Palatino Linotype" w:cs="Palatino Linotype"/>
          <w:color w:val="FF0000"/>
          <w:sz w:val="22"/>
          <w:szCs w:val="22"/>
          <w:lang w:eastAsia="es-MX"/>
        </w:rPr>
      </w:pPr>
    </w:p>
    <w:p w14:paraId="66B6A9C0" w14:textId="77777777" w:rsidR="00100EAD" w:rsidRPr="00FE7FBC" w:rsidRDefault="00100EAD" w:rsidP="00100EAD">
      <w:pPr>
        <w:spacing w:line="360" w:lineRule="auto"/>
        <w:jc w:val="both"/>
        <w:rPr>
          <w:rFonts w:ascii="Palatino Linotype" w:eastAsia="Palatino Linotype" w:hAnsi="Palatino Linotype" w:cs="Palatino Linotype"/>
          <w:b/>
          <w:sz w:val="22"/>
          <w:szCs w:val="22"/>
          <w:u w:val="single"/>
          <w:lang w:eastAsia="es-MX"/>
        </w:rPr>
      </w:pPr>
      <w:r w:rsidRPr="00FE7FBC">
        <w:rPr>
          <w:rFonts w:ascii="Palatino Linotype" w:eastAsia="Palatino Linotype" w:hAnsi="Palatino Linotype" w:cs="Palatino Linotype"/>
          <w:sz w:val="22"/>
          <w:szCs w:val="22"/>
          <w:lang w:eastAsia="es-MX"/>
        </w:rPr>
        <w:t xml:space="preserve">De conformidad con lo señalado, se colige que </w:t>
      </w:r>
      <w:r w:rsidRPr="00FE7FBC">
        <w:rPr>
          <w:rFonts w:ascii="Palatino Linotype" w:eastAsia="Palatino Linotype" w:hAnsi="Palatino Linotype" w:cs="Palatino Linotype"/>
          <w:b/>
          <w:sz w:val="22"/>
          <w:szCs w:val="22"/>
          <w:u w:val="single"/>
          <w:lang w:eastAsia="es-MX"/>
        </w:rPr>
        <w:t xml:space="preserve">las actividades que realicen los particulares, dentro del ámbito privado, o dentro de la esfera particular, es información que debe protegerse. </w:t>
      </w:r>
    </w:p>
    <w:p w14:paraId="089B2350"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42A67181" w14:textId="77777777" w:rsidR="00100EAD" w:rsidRPr="00FE7FBC" w:rsidRDefault="00100EAD" w:rsidP="00100EAD">
      <w:pPr>
        <w:spacing w:line="360" w:lineRule="auto"/>
        <w:jc w:val="both"/>
        <w:rPr>
          <w:rFonts w:ascii="Palatino Linotype" w:eastAsia="Palatino Linotype" w:hAnsi="Palatino Linotype" w:cs="Palatino Linotype"/>
          <w:color w:val="FF0000"/>
          <w:sz w:val="22"/>
          <w:szCs w:val="22"/>
          <w:lang w:eastAsia="es-MX"/>
        </w:rPr>
      </w:pPr>
      <w:r w:rsidRPr="00FE7FBC">
        <w:rPr>
          <w:rFonts w:ascii="Palatino Linotype" w:eastAsia="Palatino Linotype" w:hAnsi="Palatino Linotype" w:cs="Palatino Linotype"/>
          <w:sz w:val="22"/>
          <w:szCs w:val="22"/>
          <w:lang w:eastAsia="es-MX"/>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065D399C" w14:textId="77777777" w:rsidR="00100EAD" w:rsidRPr="00FE7FBC" w:rsidRDefault="00100EAD" w:rsidP="00100EAD">
      <w:pPr>
        <w:spacing w:line="360" w:lineRule="auto"/>
        <w:jc w:val="both"/>
        <w:rPr>
          <w:rFonts w:ascii="Palatino Linotype" w:eastAsia="Palatino Linotype" w:hAnsi="Palatino Linotype" w:cs="Palatino Linotype"/>
          <w:color w:val="000000"/>
          <w:sz w:val="22"/>
          <w:szCs w:val="22"/>
          <w:lang w:eastAsia="es-MX"/>
        </w:rPr>
      </w:pPr>
    </w:p>
    <w:p w14:paraId="4177BDAF" w14:textId="77777777" w:rsidR="00100EAD" w:rsidRPr="00FE7FBC" w:rsidRDefault="00100EAD" w:rsidP="00100EAD">
      <w:pPr>
        <w:numPr>
          <w:ilvl w:val="0"/>
          <w:numId w:val="17"/>
        </w:numPr>
        <w:spacing w:after="160" w:line="360" w:lineRule="auto"/>
        <w:jc w:val="both"/>
        <w:rPr>
          <w:rFonts w:ascii="Palatino Linotype" w:eastAsia="Palatino Linotype" w:hAnsi="Palatino Linotype" w:cs="Palatino Linotype"/>
          <w:b/>
          <w:color w:val="000000"/>
          <w:sz w:val="22"/>
          <w:szCs w:val="22"/>
          <w:lang w:eastAsia="es-MX"/>
        </w:rPr>
      </w:pPr>
      <w:r w:rsidRPr="00FE7FBC">
        <w:rPr>
          <w:rFonts w:ascii="Palatino Linotype" w:eastAsia="Palatino Linotype" w:hAnsi="Palatino Linotype" w:cs="Palatino Linotype"/>
          <w:b/>
          <w:color w:val="000000"/>
          <w:sz w:val="22"/>
          <w:szCs w:val="22"/>
          <w:lang w:eastAsia="es-MX"/>
        </w:rPr>
        <w:t xml:space="preserve">Domicilio Particular </w:t>
      </w:r>
    </w:p>
    <w:p w14:paraId="29B4BC44" w14:textId="77777777" w:rsidR="00100EAD" w:rsidRPr="00FE7FBC" w:rsidRDefault="00100EAD" w:rsidP="00100EAD">
      <w:pPr>
        <w:spacing w:line="360" w:lineRule="auto"/>
        <w:jc w:val="both"/>
        <w:rPr>
          <w:rFonts w:ascii="Palatino Linotype" w:eastAsia="Palatino Linotype" w:hAnsi="Palatino Linotype" w:cs="Palatino Linotype"/>
          <w:b/>
          <w:color w:val="000000"/>
          <w:sz w:val="22"/>
          <w:szCs w:val="22"/>
          <w:lang w:eastAsia="es-MX"/>
        </w:rPr>
      </w:pPr>
    </w:p>
    <w:p w14:paraId="15A74071"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4C5FEA52" w14:textId="77777777" w:rsidR="00100EAD" w:rsidRPr="00FE7FBC" w:rsidRDefault="00100EAD" w:rsidP="00100EAD">
      <w:pPr>
        <w:spacing w:line="360" w:lineRule="auto"/>
        <w:jc w:val="both"/>
        <w:rPr>
          <w:rFonts w:ascii="Palatino Linotype" w:eastAsia="Palatino Linotype" w:hAnsi="Palatino Linotype" w:cs="Palatino Linotype"/>
          <w:b/>
          <w:sz w:val="22"/>
          <w:szCs w:val="22"/>
          <w:lang w:eastAsia="es-MX"/>
        </w:rPr>
      </w:pPr>
      <w:r w:rsidRPr="00FE7FBC">
        <w:rPr>
          <w:rFonts w:ascii="Palatino Linotype" w:eastAsia="Palatino Linotype" w:hAnsi="Palatino Linotype" w:cs="Palatino Linotype"/>
          <w:sz w:val="22"/>
          <w:szCs w:val="22"/>
          <w:lang w:eastAsia="es-MX"/>
        </w:rPr>
        <w:t>De la misma manera, lo establece el artículo 29 del Código Civil Federal, al precisar que el domicilio de personas físicas</w:t>
      </w:r>
      <w:r w:rsidRPr="00FE7FBC">
        <w:rPr>
          <w:rFonts w:ascii="Palatino Linotype" w:eastAsia="Palatino Linotype" w:hAnsi="Palatino Linotype" w:cs="Palatino Linotype"/>
          <w:b/>
          <w:sz w:val="22"/>
          <w:szCs w:val="22"/>
          <w:lang w:eastAsia="es-MX"/>
        </w:rPr>
        <w:t>, es el lugar donde residen habitualmente, el lugar del centro principal de sus negocios, donde residan o el lugar donde se encuentren.</w:t>
      </w:r>
    </w:p>
    <w:p w14:paraId="16AD1945" w14:textId="77777777" w:rsidR="00100EAD" w:rsidRPr="00FE7FBC" w:rsidRDefault="00100EAD" w:rsidP="00100EAD">
      <w:pPr>
        <w:spacing w:line="360" w:lineRule="auto"/>
        <w:jc w:val="both"/>
        <w:rPr>
          <w:rFonts w:ascii="Palatino Linotype" w:eastAsia="Palatino Linotype" w:hAnsi="Palatino Linotype" w:cs="Palatino Linotype"/>
          <w:b/>
          <w:sz w:val="22"/>
          <w:szCs w:val="22"/>
          <w:lang w:eastAsia="es-MX"/>
        </w:rPr>
      </w:pPr>
    </w:p>
    <w:p w14:paraId="09AF1881"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w:t>
      </w:r>
      <w:r w:rsidRPr="00FE7FBC">
        <w:rPr>
          <w:rFonts w:ascii="Palatino Linotype" w:eastAsia="Palatino Linotype" w:hAnsi="Palatino Linotype" w:cs="Palatino Linotype"/>
          <w:sz w:val="22"/>
          <w:szCs w:val="22"/>
          <w:lang w:eastAsia="es-MX"/>
        </w:rPr>
        <w:lastRenderedPageBreak/>
        <w:t xml:space="preserve">personal y, por ende, confidencial, ya que incide directamente en la privacidad de personas físicas identificadas y su difusión podría afectar la esfera privada de las mismas. </w:t>
      </w:r>
    </w:p>
    <w:p w14:paraId="1D4BB554"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Por lo tanto, se actualiza la clasificación del domicilio y su comprobante, de conformidad con la fracción I, del artículo 143 de la Ley de Transparencia y Acceso a la Información Pública del Estado de México y Municipios.</w:t>
      </w:r>
    </w:p>
    <w:p w14:paraId="7C780E49" w14:textId="77777777" w:rsidR="00100EAD" w:rsidRPr="00FE7FBC" w:rsidRDefault="00100EAD" w:rsidP="00100EAD">
      <w:pPr>
        <w:spacing w:line="360" w:lineRule="auto"/>
        <w:jc w:val="both"/>
        <w:rPr>
          <w:rFonts w:ascii="Palatino Linotype" w:eastAsia="Palatino Linotype" w:hAnsi="Palatino Linotype" w:cs="Palatino Linotype"/>
          <w:b/>
          <w:sz w:val="22"/>
          <w:szCs w:val="22"/>
          <w:lang w:eastAsia="es-MX"/>
        </w:rPr>
      </w:pPr>
    </w:p>
    <w:p w14:paraId="24C8FE42" w14:textId="77777777" w:rsidR="00100EAD" w:rsidRPr="00FE7FBC" w:rsidRDefault="00100EAD" w:rsidP="00100EAD">
      <w:pPr>
        <w:numPr>
          <w:ilvl w:val="0"/>
          <w:numId w:val="18"/>
        </w:numPr>
        <w:spacing w:after="160" w:line="360" w:lineRule="auto"/>
        <w:jc w:val="both"/>
        <w:rPr>
          <w:rFonts w:ascii="Palatino Linotype" w:eastAsia="Palatino Linotype" w:hAnsi="Palatino Linotype" w:cs="Palatino Linotype"/>
          <w:b/>
          <w:color w:val="000000"/>
          <w:sz w:val="22"/>
          <w:szCs w:val="22"/>
          <w:lang w:eastAsia="es-MX"/>
        </w:rPr>
      </w:pPr>
      <w:r w:rsidRPr="00FE7FBC">
        <w:rPr>
          <w:rFonts w:ascii="Palatino Linotype" w:eastAsia="Palatino Linotype" w:hAnsi="Palatino Linotype" w:cs="Palatino Linotype"/>
          <w:b/>
          <w:color w:val="000000"/>
          <w:sz w:val="22"/>
          <w:szCs w:val="22"/>
          <w:lang w:eastAsia="es-MX"/>
        </w:rPr>
        <w:t>Correo electrónico particular</w:t>
      </w:r>
    </w:p>
    <w:p w14:paraId="4DCEE7A4" w14:textId="77777777" w:rsidR="00100EAD" w:rsidRPr="00FE7FBC" w:rsidRDefault="00100EAD" w:rsidP="00100EAD">
      <w:pPr>
        <w:spacing w:line="360" w:lineRule="auto"/>
        <w:jc w:val="both"/>
        <w:rPr>
          <w:rFonts w:ascii="Palatino Linotype" w:eastAsia="Palatino Linotype" w:hAnsi="Palatino Linotype" w:cs="Palatino Linotype"/>
          <w:b/>
          <w:color w:val="000000"/>
          <w:sz w:val="22"/>
          <w:szCs w:val="22"/>
          <w:lang w:eastAsia="es-MX"/>
        </w:rPr>
      </w:pPr>
    </w:p>
    <w:p w14:paraId="15996B3A"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39B35215"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2F60CA71"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2F433096"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3FABB4AC" w14:textId="77777777" w:rsidR="00100EAD" w:rsidRPr="00FE7FBC" w:rsidRDefault="00100EAD" w:rsidP="00100EAD">
      <w:pPr>
        <w:numPr>
          <w:ilvl w:val="0"/>
          <w:numId w:val="18"/>
        </w:numPr>
        <w:spacing w:after="160" w:line="360" w:lineRule="auto"/>
        <w:jc w:val="both"/>
        <w:rPr>
          <w:rFonts w:ascii="Palatino Linotype" w:eastAsia="Palatino Linotype" w:hAnsi="Palatino Linotype" w:cs="Palatino Linotype"/>
          <w:b/>
          <w:color w:val="000000"/>
          <w:sz w:val="22"/>
          <w:szCs w:val="22"/>
          <w:lang w:eastAsia="es-MX"/>
        </w:rPr>
      </w:pPr>
      <w:r w:rsidRPr="00FE7FBC">
        <w:rPr>
          <w:rFonts w:ascii="Palatino Linotype" w:eastAsia="Palatino Linotype" w:hAnsi="Palatino Linotype" w:cs="Palatino Linotype"/>
          <w:b/>
          <w:color w:val="000000"/>
          <w:sz w:val="22"/>
          <w:szCs w:val="22"/>
          <w:lang w:eastAsia="es-MX"/>
        </w:rPr>
        <w:t xml:space="preserve">Teléfono o celular particular </w:t>
      </w:r>
    </w:p>
    <w:p w14:paraId="393EFD95"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40930177"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lastRenderedPageBreak/>
        <w:t>Al igual que el correo electrónico, el número asignado a un teléfono particular o celular permite localizar a una persona física identificada o identificable, ya sea a través de un dispositivo móvil o bien, en un lugar como el domicilio.</w:t>
      </w:r>
    </w:p>
    <w:p w14:paraId="62ABFEE1"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7B5DF6F8"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 xml:space="preserve"> 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5ED88440"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p>
    <w:p w14:paraId="33566457" w14:textId="77777777" w:rsidR="00100EAD" w:rsidRPr="00FE7FBC" w:rsidRDefault="00100EAD" w:rsidP="00100EAD">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sz w:val="22"/>
          <w:szCs w:val="22"/>
          <w:lang w:eastAsia="es-MX"/>
        </w:rPr>
        <w:t>En tales consideraciones, dicho dato personal es susceptible de ser clasificado como confidencial, con fundamento en el artículo 143, fracción I de la Ley de Transparencia y Acceso a la Información Pública.</w:t>
      </w:r>
    </w:p>
    <w:p w14:paraId="50C1887F" w14:textId="77777777" w:rsidR="00100EAD" w:rsidRPr="00FE7FBC" w:rsidRDefault="00100EAD" w:rsidP="00100EAD">
      <w:pPr>
        <w:spacing w:line="360" w:lineRule="auto"/>
        <w:contextualSpacing/>
        <w:jc w:val="both"/>
        <w:rPr>
          <w:rFonts w:ascii="Palatino Linotype" w:eastAsia="Palatino Linotype" w:hAnsi="Palatino Linotype" w:cs="Tahoma"/>
          <w:bCs/>
          <w:color w:val="000000" w:themeColor="text1"/>
          <w:sz w:val="22"/>
          <w:szCs w:val="22"/>
          <w:lang w:eastAsia="es-MX"/>
        </w:rPr>
      </w:pPr>
    </w:p>
    <w:p w14:paraId="3A06C2B7" w14:textId="77777777" w:rsidR="00100EAD" w:rsidRPr="00FE7FBC" w:rsidRDefault="00100EAD" w:rsidP="00100EAD">
      <w:pPr>
        <w:spacing w:line="360" w:lineRule="auto"/>
        <w:ind w:right="-28"/>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sz w:val="22"/>
          <w:szCs w:val="22"/>
          <w:lang w:eastAsia="es-MX"/>
        </w:rPr>
        <w:t>Por lo que, para atender el requerimiento deberá proporcionar los documentos solicitados en versión pública; p</w:t>
      </w:r>
      <w:r w:rsidRPr="00FE7FBC">
        <w:rPr>
          <w:rFonts w:ascii="Palatino Linotype" w:eastAsia="Palatino Linotype" w:hAnsi="Palatino Linotype" w:cs="Palatino Linotype"/>
          <w:color w:val="000000"/>
          <w:sz w:val="22"/>
          <w:szCs w:val="22"/>
          <w:lang w:eastAsia="es-MX"/>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46CF57B7" w14:textId="77777777" w:rsidR="00A311EC" w:rsidRPr="00FE7FBC"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B64F51A" w14:textId="3308E948" w:rsidR="00A311EC" w:rsidRPr="00FE7FBC" w:rsidRDefault="00100EAD" w:rsidP="00A311EC">
      <w:pPr>
        <w:keepNext/>
        <w:keepLines/>
        <w:outlineLvl w:val="1"/>
        <w:rPr>
          <w:rFonts w:ascii="Palatino Linotype" w:eastAsia="Palatino Linotype" w:hAnsi="Palatino Linotype" w:cs="Palatino Linotype"/>
          <w:b/>
          <w:color w:val="000000" w:themeColor="text1"/>
          <w:sz w:val="22"/>
          <w:szCs w:val="36"/>
          <w:lang w:eastAsia="es-MX"/>
        </w:rPr>
      </w:pPr>
      <w:bookmarkStart w:id="30" w:name="_Toc187931076"/>
      <w:bookmarkStart w:id="31" w:name="_Toc191561716"/>
      <w:bookmarkStart w:id="32" w:name="_Toc209709320"/>
      <w:r w:rsidRPr="00FE7FBC">
        <w:rPr>
          <w:rFonts w:ascii="Palatino Linotype" w:eastAsia="Palatino Linotype" w:hAnsi="Palatino Linotype" w:cs="Palatino Linotype"/>
          <w:b/>
          <w:color w:val="000000" w:themeColor="text1"/>
          <w:sz w:val="22"/>
          <w:szCs w:val="36"/>
          <w:lang w:eastAsia="es-MX"/>
        </w:rPr>
        <w:t>SEXTO</w:t>
      </w:r>
      <w:r w:rsidR="00A311EC" w:rsidRPr="00FE7FBC">
        <w:rPr>
          <w:rFonts w:ascii="Palatino Linotype" w:eastAsia="Palatino Linotype" w:hAnsi="Palatino Linotype" w:cs="Palatino Linotype"/>
          <w:b/>
          <w:color w:val="000000" w:themeColor="text1"/>
          <w:sz w:val="22"/>
          <w:szCs w:val="36"/>
          <w:lang w:eastAsia="es-MX"/>
        </w:rPr>
        <w:t>. Decisión</w:t>
      </w:r>
      <w:bookmarkEnd w:id="30"/>
      <w:bookmarkEnd w:id="31"/>
      <w:bookmarkEnd w:id="32"/>
    </w:p>
    <w:p w14:paraId="0B1BB653" w14:textId="77777777" w:rsidR="00A311EC" w:rsidRPr="00FE7FBC"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412E3364" w14:textId="2AC3B1BA"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 xml:space="preserve">Con fundamento en el artículo 186, fracción III, de la Ley de Transparencia y Acceso a la Información Pública del Estado de México y Municipios, este Instituto considera procedente </w:t>
      </w:r>
      <w:r w:rsidR="004C704E" w:rsidRPr="00FE7FBC">
        <w:rPr>
          <w:rFonts w:ascii="Palatino Linotype" w:eastAsia="Palatino Linotype" w:hAnsi="Palatino Linotype" w:cs="Palatino Linotype"/>
          <w:b/>
          <w:color w:val="000000" w:themeColor="text1"/>
          <w:sz w:val="22"/>
          <w:szCs w:val="22"/>
          <w:lang w:eastAsia="es-MX"/>
        </w:rPr>
        <w:lastRenderedPageBreak/>
        <w:t>REVOCAR</w:t>
      </w:r>
      <w:r w:rsidRPr="00FE7FBC">
        <w:rPr>
          <w:rFonts w:ascii="Palatino Linotype" w:eastAsia="Palatino Linotype" w:hAnsi="Palatino Linotype" w:cs="Palatino Linotype"/>
          <w:color w:val="000000" w:themeColor="text1"/>
          <w:sz w:val="22"/>
          <w:szCs w:val="22"/>
          <w:lang w:eastAsia="es-MX"/>
        </w:rPr>
        <w:t xml:space="preserve"> la respuesta otorgada por el Sujeto Obligado a la solicitud de información </w:t>
      </w:r>
      <w:r w:rsidR="002C34E0" w:rsidRPr="00FE7FBC">
        <w:rPr>
          <w:rFonts w:ascii="Palatino Linotype" w:hAnsi="Palatino Linotype" w:cs="Tahoma"/>
          <w:b/>
          <w:bCs/>
          <w:sz w:val="22"/>
          <w:szCs w:val="22"/>
        </w:rPr>
        <w:t>00035/</w:t>
      </w:r>
      <w:proofErr w:type="spellStart"/>
      <w:r w:rsidR="002C34E0" w:rsidRPr="00FE7FBC">
        <w:rPr>
          <w:rFonts w:ascii="Palatino Linotype" w:hAnsi="Palatino Linotype" w:cs="Tahoma"/>
          <w:b/>
          <w:bCs/>
          <w:sz w:val="22"/>
          <w:szCs w:val="22"/>
        </w:rPr>
        <w:t>CECyTEM</w:t>
      </w:r>
      <w:proofErr w:type="spellEnd"/>
      <w:r w:rsidR="002C34E0" w:rsidRPr="00FE7FBC">
        <w:rPr>
          <w:rFonts w:ascii="Palatino Linotype" w:hAnsi="Palatino Linotype" w:cs="Tahoma"/>
          <w:b/>
          <w:bCs/>
          <w:sz w:val="22"/>
          <w:szCs w:val="22"/>
        </w:rPr>
        <w:t>/IP/2025</w:t>
      </w:r>
      <w:r w:rsidRPr="00FE7FBC">
        <w:rPr>
          <w:rFonts w:ascii="Palatino Linotype" w:eastAsia="Palatino Linotype" w:hAnsi="Palatino Linotype" w:cs="Palatino Linotype"/>
          <w:color w:val="000000" w:themeColor="text1"/>
          <w:sz w:val="22"/>
          <w:szCs w:val="22"/>
          <w:lang w:eastAsia="es-MX"/>
        </w:rPr>
        <w:t xml:space="preserve">, por resultar parcialmente fundadas las razones o motivos de inconformidad hechos valer por la persona Recurrente, en el Recurso de Revisión </w:t>
      </w:r>
      <w:r w:rsidR="009D0182" w:rsidRPr="00FE7FBC">
        <w:rPr>
          <w:rFonts w:ascii="Palatino Linotype" w:eastAsia="Palatino Linotype" w:hAnsi="Palatino Linotype" w:cs="Palatino Linotype"/>
          <w:b/>
          <w:color w:val="000000" w:themeColor="text1"/>
          <w:sz w:val="22"/>
          <w:szCs w:val="22"/>
          <w:lang w:eastAsia="es-MX"/>
        </w:rPr>
        <w:t>09431/INFOEM/IP/RR/2025</w:t>
      </w:r>
      <w:r w:rsidR="004C704E" w:rsidRPr="00FE7FBC">
        <w:rPr>
          <w:rFonts w:ascii="Palatino Linotype" w:eastAsia="Palatino Linotype" w:hAnsi="Palatino Linotype" w:cs="Palatino Linotype"/>
          <w:b/>
          <w:color w:val="000000" w:themeColor="text1"/>
          <w:sz w:val="22"/>
          <w:szCs w:val="22"/>
          <w:lang w:eastAsia="es-MX"/>
        </w:rPr>
        <w:t>.</w:t>
      </w:r>
    </w:p>
    <w:p w14:paraId="247667BC" w14:textId="77777777" w:rsidR="00A311EC" w:rsidRPr="00FE7FBC" w:rsidRDefault="00A311EC"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D765A0E" w14:textId="77777777" w:rsidR="00A311EC" w:rsidRPr="00FE7FBC" w:rsidRDefault="00A311EC" w:rsidP="00A311EC">
      <w:pPr>
        <w:spacing w:line="360" w:lineRule="auto"/>
        <w:ind w:right="142"/>
        <w:jc w:val="both"/>
        <w:rPr>
          <w:rFonts w:ascii="Palatino Linotype" w:eastAsia="Palatino Linotype" w:hAnsi="Palatino Linotype" w:cs="Palatino Linotype"/>
          <w:b/>
          <w:color w:val="000000" w:themeColor="text1"/>
          <w:sz w:val="22"/>
          <w:szCs w:val="22"/>
          <w:u w:val="single"/>
          <w:lang w:eastAsia="es-MX"/>
        </w:rPr>
      </w:pPr>
      <w:r w:rsidRPr="00FE7FBC">
        <w:rPr>
          <w:rFonts w:ascii="Palatino Linotype" w:eastAsia="Palatino Linotype" w:hAnsi="Palatino Linotype" w:cs="Palatino Linotype"/>
          <w:b/>
          <w:color w:val="000000" w:themeColor="text1"/>
          <w:sz w:val="22"/>
          <w:szCs w:val="22"/>
          <w:u w:val="single"/>
          <w:lang w:eastAsia="es-MX"/>
        </w:rPr>
        <w:t>Términos de la Resolución para la persona Recurrente</w:t>
      </w:r>
    </w:p>
    <w:p w14:paraId="7069C537"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4BFD22F" w14:textId="56CD2854"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Se hace del conocimiento al Particular que este Instituto le otorgó la razón debido a que el Sujeto Obligado,</w:t>
      </w:r>
      <w:r w:rsidR="004C704E" w:rsidRPr="00FE7FBC">
        <w:rPr>
          <w:rFonts w:ascii="Palatino Linotype" w:eastAsia="Palatino Linotype" w:hAnsi="Palatino Linotype" w:cs="Palatino Linotype"/>
          <w:color w:val="000000" w:themeColor="text1"/>
          <w:sz w:val="22"/>
          <w:szCs w:val="22"/>
          <w:lang w:eastAsia="es-MX"/>
        </w:rPr>
        <w:t xml:space="preserve"> debió hacer entrega de la información</w:t>
      </w:r>
      <w:r w:rsidR="0067157A" w:rsidRPr="00FE7FBC">
        <w:rPr>
          <w:rFonts w:ascii="Palatino Linotype" w:eastAsia="Palatino Linotype" w:hAnsi="Palatino Linotype" w:cs="Palatino Linotype"/>
          <w:color w:val="000000" w:themeColor="text1"/>
          <w:sz w:val="22"/>
          <w:szCs w:val="22"/>
          <w:lang w:eastAsia="es-MX"/>
        </w:rPr>
        <w:t>, pues con independe</w:t>
      </w:r>
      <w:r w:rsidR="00E22F33" w:rsidRPr="00FE7FBC">
        <w:rPr>
          <w:rFonts w:ascii="Palatino Linotype" w:eastAsia="Palatino Linotype" w:hAnsi="Palatino Linotype" w:cs="Palatino Linotype"/>
          <w:color w:val="000000" w:themeColor="text1"/>
          <w:sz w:val="22"/>
          <w:szCs w:val="22"/>
          <w:lang w:eastAsia="es-MX"/>
        </w:rPr>
        <w:t xml:space="preserve">ncia del uso que le den los particulares a la información pública, los Sujetos Obligados, tienen el deber de hacer entrega de la misma. Cuando contengan información clasificada, ya sea </w:t>
      </w:r>
      <w:r w:rsidR="00492F41" w:rsidRPr="00FE7FBC">
        <w:rPr>
          <w:rFonts w:ascii="Palatino Linotype" w:eastAsia="Palatino Linotype" w:hAnsi="Palatino Linotype" w:cs="Palatino Linotype"/>
          <w:color w:val="000000" w:themeColor="text1"/>
          <w:sz w:val="22"/>
          <w:szCs w:val="22"/>
          <w:lang w:eastAsia="es-MX"/>
        </w:rPr>
        <w:t>como confidencial o reservada</w:t>
      </w:r>
      <w:r w:rsidR="00E22F33" w:rsidRPr="00FE7FBC">
        <w:rPr>
          <w:rFonts w:ascii="Palatino Linotype" w:eastAsia="Palatino Linotype" w:hAnsi="Palatino Linotype" w:cs="Palatino Linotype"/>
          <w:color w:val="000000" w:themeColor="text1"/>
          <w:sz w:val="22"/>
          <w:szCs w:val="22"/>
          <w:lang w:eastAsia="es-MX"/>
        </w:rPr>
        <w:t xml:space="preserve">, se deberá hacer entrega </w:t>
      </w:r>
      <w:r w:rsidR="00826993" w:rsidRPr="00FE7FBC">
        <w:rPr>
          <w:rFonts w:ascii="Palatino Linotype" w:eastAsia="Palatino Linotype" w:hAnsi="Palatino Linotype" w:cs="Palatino Linotype"/>
          <w:color w:val="000000" w:themeColor="text1"/>
          <w:sz w:val="22"/>
          <w:szCs w:val="22"/>
          <w:lang w:eastAsia="es-MX"/>
        </w:rPr>
        <w:t>del acuerdo de clasificación, que sustente las versiones públicas.</w:t>
      </w:r>
    </w:p>
    <w:p w14:paraId="6DEF0AA5"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u w:val="single"/>
          <w:lang w:eastAsia="es-MX"/>
        </w:rPr>
      </w:pPr>
    </w:p>
    <w:p w14:paraId="06785747"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t>La labor del INFOEM, es apoyar a la población para acceder a la información pública y garantizar la protección de sus datos personales.</w:t>
      </w:r>
    </w:p>
    <w:p w14:paraId="51B8F1AB" w14:textId="77777777" w:rsidR="00A311EC" w:rsidRPr="00FE7FBC" w:rsidRDefault="00A311EC"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F1C13C6" w14:textId="77777777" w:rsidR="00A311EC" w:rsidRPr="00FE7FBC" w:rsidRDefault="00A311EC" w:rsidP="00A311EC">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33" w:name="_Toc187931077"/>
      <w:bookmarkStart w:id="34" w:name="_Toc191561717"/>
      <w:bookmarkStart w:id="35" w:name="_Toc209709321"/>
      <w:r w:rsidRPr="00FE7FBC">
        <w:rPr>
          <w:rFonts w:ascii="Palatino Linotype" w:eastAsia="Palatino Linotype" w:hAnsi="Palatino Linotype" w:cs="Palatino Linotype"/>
          <w:b/>
          <w:color w:val="000000" w:themeColor="text1"/>
          <w:sz w:val="22"/>
          <w:szCs w:val="48"/>
          <w:lang w:eastAsia="es-MX"/>
        </w:rPr>
        <w:t>R E S U E L V E</w:t>
      </w:r>
      <w:bookmarkEnd w:id="33"/>
      <w:bookmarkEnd w:id="34"/>
      <w:bookmarkEnd w:id="35"/>
    </w:p>
    <w:p w14:paraId="332F66ED" w14:textId="77777777" w:rsidR="00A311EC" w:rsidRPr="00FE7FBC"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3C8C5D54" w14:textId="6E6F4001"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b/>
          <w:color w:val="000000" w:themeColor="text1"/>
          <w:sz w:val="22"/>
          <w:szCs w:val="22"/>
          <w:lang w:eastAsia="es-MX"/>
        </w:rPr>
        <w:t xml:space="preserve">PRIMERO. </w:t>
      </w:r>
      <w:r w:rsidRPr="00FE7FBC">
        <w:rPr>
          <w:rFonts w:ascii="Palatino Linotype" w:eastAsia="Palatino Linotype" w:hAnsi="Palatino Linotype" w:cs="Palatino Linotype"/>
          <w:color w:val="000000" w:themeColor="text1"/>
          <w:sz w:val="22"/>
          <w:szCs w:val="22"/>
          <w:lang w:eastAsia="es-MX"/>
        </w:rPr>
        <w:t xml:space="preserve">Se </w:t>
      </w:r>
      <w:r w:rsidR="00844251" w:rsidRPr="00FE7FBC">
        <w:rPr>
          <w:rFonts w:ascii="Palatino Linotype" w:eastAsia="Palatino Linotype" w:hAnsi="Palatino Linotype" w:cs="Palatino Linotype"/>
          <w:b/>
          <w:color w:val="000000" w:themeColor="text1"/>
          <w:sz w:val="22"/>
          <w:szCs w:val="22"/>
          <w:lang w:eastAsia="es-MX"/>
        </w:rPr>
        <w:t>REVOCA</w:t>
      </w:r>
      <w:r w:rsidRPr="00FE7FBC">
        <w:rPr>
          <w:rFonts w:ascii="Palatino Linotype" w:eastAsia="Palatino Linotype" w:hAnsi="Palatino Linotype" w:cs="Palatino Linotype"/>
          <w:color w:val="000000" w:themeColor="text1"/>
          <w:sz w:val="22"/>
          <w:szCs w:val="22"/>
          <w:lang w:eastAsia="es-MX"/>
        </w:rPr>
        <w:t xml:space="preserve"> la respuesta entregada por el </w:t>
      </w:r>
      <w:r w:rsidR="005E0A40" w:rsidRPr="00FE7FBC">
        <w:rPr>
          <w:rFonts w:ascii="Palatino Linotype" w:eastAsia="Palatino Linotype" w:hAnsi="Palatino Linotype" w:cs="Palatino Linotype"/>
          <w:bCs/>
          <w:color w:val="000000" w:themeColor="text1"/>
          <w:sz w:val="22"/>
          <w:szCs w:val="22"/>
          <w:lang w:eastAsia="es-MX"/>
        </w:rPr>
        <w:t>Colegio de Estudios Científicos y Tecnológicos del Estado de México</w:t>
      </w:r>
      <w:r w:rsidRPr="00FE7FBC">
        <w:rPr>
          <w:rFonts w:ascii="Palatino Linotype" w:eastAsia="Palatino Linotype" w:hAnsi="Palatino Linotype" w:cs="Palatino Linotype"/>
          <w:bCs/>
          <w:color w:val="000000" w:themeColor="text1"/>
          <w:sz w:val="22"/>
          <w:szCs w:val="22"/>
          <w:lang w:eastAsia="es-MX"/>
        </w:rPr>
        <w:t xml:space="preserve"> a la solicitud de información </w:t>
      </w:r>
      <w:r w:rsidR="002C34E0" w:rsidRPr="00FE7FBC">
        <w:rPr>
          <w:rFonts w:ascii="Palatino Linotype" w:hAnsi="Palatino Linotype" w:cs="Tahoma"/>
          <w:bCs/>
          <w:sz w:val="22"/>
          <w:szCs w:val="22"/>
        </w:rPr>
        <w:t>00035/</w:t>
      </w:r>
      <w:proofErr w:type="spellStart"/>
      <w:r w:rsidR="002C34E0" w:rsidRPr="00FE7FBC">
        <w:rPr>
          <w:rFonts w:ascii="Palatino Linotype" w:hAnsi="Palatino Linotype" w:cs="Tahoma"/>
          <w:bCs/>
          <w:sz w:val="22"/>
          <w:szCs w:val="22"/>
        </w:rPr>
        <w:t>CECyTEM</w:t>
      </w:r>
      <w:proofErr w:type="spellEnd"/>
      <w:r w:rsidR="002C34E0" w:rsidRPr="00FE7FBC">
        <w:rPr>
          <w:rFonts w:ascii="Palatino Linotype" w:hAnsi="Palatino Linotype" w:cs="Tahoma"/>
          <w:bCs/>
          <w:sz w:val="22"/>
          <w:szCs w:val="22"/>
        </w:rPr>
        <w:t>/IP/2025</w:t>
      </w:r>
      <w:r w:rsidR="00844251" w:rsidRPr="00FE7FBC">
        <w:rPr>
          <w:rFonts w:ascii="Palatino Linotype" w:hAnsi="Palatino Linotype" w:cs="Tahoma"/>
          <w:bCs/>
          <w:sz w:val="22"/>
          <w:szCs w:val="22"/>
        </w:rPr>
        <w:t xml:space="preserve"> </w:t>
      </w:r>
      <w:r w:rsidRPr="00FE7FBC">
        <w:rPr>
          <w:rFonts w:ascii="Palatino Linotype" w:eastAsia="Palatino Linotype" w:hAnsi="Palatino Linotype" w:cs="Palatino Linotype"/>
          <w:bCs/>
          <w:color w:val="000000" w:themeColor="text1"/>
          <w:sz w:val="22"/>
          <w:szCs w:val="22"/>
          <w:lang w:eastAsia="es-MX"/>
        </w:rPr>
        <w:t xml:space="preserve">por resultar parcialmente fundadas las razones o motivos de inconformidad hechos valer por la persona Recurrente en el Recurso de Revisión </w:t>
      </w:r>
      <w:r w:rsidR="009D0182" w:rsidRPr="00FE7FBC">
        <w:rPr>
          <w:rFonts w:ascii="Palatino Linotype" w:eastAsia="Palatino Linotype" w:hAnsi="Palatino Linotype" w:cs="Palatino Linotype"/>
          <w:bCs/>
          <w:color w:val="000000" w:themeColor="text1"/>
          <w:sz w:val="22"/>
          <w:szCs w:val="22"/>
          <w:lang w:eastAsia="es-MX"/>
        </w:rPr>
        <w:t>09431/INFOEM/IP/RR/2025</w:t>
      </w:r>
      <w:r w:rsidRPr="00FE7FBC">
        <w:rPr>
          <w:rFonts w:ascii="Palatino Linotype" w:eastAsia="Palatino Linotype" w:hAnsi="Palatino Linotype" w:cs="Palatino Linotype"/>
          <w:bCs/>
          <w:color w:val="000000" w:themeColor="text1"/>
          <w:sz w:val="22"/>
          <w:szCs w:val="22"/>
          <w:lang w:eastAsia="es-MX"/>
        </w:rPr>
        <w:t>,</w:t>
      </w:r>
      <w:r w:rsidRPr="00FE7FBC">
        <w:rPr>
          <w:rFonts w:ascii="Palatino Linotype" w:eastAsia="Palatino Linotype" w:hAnsi="Palatino Linotype" w:cs="Palatino Linotype"/>
          <w:color w:val="000000" w:themeColor="text1"/>
          <w:sz w:val="22"/>
          <w:szCs w:val="22"/>
          <w:lang w:eastAsia="es-MX"/>
        </w:rPr>
        <w:t xml:space="preserve"> en términos de los considerandos QUINTO y </w:t>
      </w:r>
      <w:r w:rsidR="00100EAD" w:rsidRPr="00FE7FBC">
        <w:rPr>
          <w:rFonts w:ascii="Palatino Linotype" w:eastAsia="Palatino Linotype" w:hAnsi="Palatino Linotype" w:cs="Palatino Linotype"/>
          <w:color w:val="000000" w:themeColor="text1"/>
          <w:sz w:val="22"/>
          <w:szCs w:val="22"/>
          <w:lang w:eastAsia="es-MX"/>
        </w:rPr>
        <w:t>SEXTO</w:t>
      </w:r>
      <w:r w:rsidRPr="00FE7FBC">
        <w:rPr>
          <w:rFonts w:ascii="Palatino Linotype" w:eastAsia="Palatino Linotype" w:hAnsi="Palatino Linotype" w:cs="Palatino Linotype"/>
          <w:color w:val="000000" w:themeColor="text1"/>
          <w:sz w:val="22"/>
          <w:szCs w:val="22"/>
          <w:lang w:eastAsia="es-MX"/>
        </w:rPr>
        <w:t xml:space="preserve"> de la presente Resolución.</w:t>
      </w:r>
    </w:p>
    <w:p w14:paraId="6FE52113"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432D3A2" w14:textId="06508BFC"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b/>
          <w:color w:val="000000" w:themeColor="text1"/>
          <w:sz w:val="22"/>
          <w:szCs w:val="22"/>
          <w:lang w:eastAsia="es-MX"/>
        </w:rPr>
        <w:lastRenderedPageBreak/>
        <w:t xml:space="preserve">SEGUNDO. </w:t>
      </w:r>
      <w:r w:rsidRPr="00FE7FBC">
        <w:rPr>
          <w:rFonts w:ascii="Palatino Linotype" w:eastAsia="Palatino Linotype" w:hAnsi="Palatino Linotype" w:cs="Palatino Linotype"/>
          <w:color w:val="000000"/>
          <w:sz w:val="22"/>
          <w:szCs w:val="22"/>
          <w:lang w:eastAsia="es-MX"/>
        </w:rPr>
        <w:t xml:space="preserve">Se </w:t>
      </w:r>
      <w:r w:rsidRPr="00FE7FBC">
        <w:rPr>
          <w:rFonts w:ascii="Palatino Linotype" w:eastAsia="Palatino Linotype" w:hAnsi="Palatino Linotype" w:cs="Palatino Linotype"/>
          <w:b/>
          <w:color w:val="000000"/>
          <w:sz w:val="22"/>
          <w:szCs w:val="22"/>
          <w:lang w:eastAsia="es-MX"/>
        </w:rPr>
        <w:t>ORDENA</w:t>
      </w:r>
      <w:r w:rsidRPr="00FE7FBC">
        <w:rPr>
          <w:rFonts w:ascii="Palatino Linotype" w:eastAsia="Palatino Linotype" w:hAnsi="Palatino Linotype" w:cs="Palatino Linotype"/>
          <w:color w:val="000000"/>
          <w:sz w:val="22"/>
          <w:szCs w:val="22"/>
          <w:lang w:eastAsia="es-MX"/>
        </w:rPr>
        <w:t xml:space="preserve"> al Sujeto Obligado, a efecto de que previa búsqueda exhaustiva y razonable, entregue a través del SAIMEX, en su caso en versión pública, los documentos relacionados </w:t>
      </w:r>
      <w:r w:rsidR="00844251" w:rsidRPr="00FE7FBC">
        <w:rPr>
          <w:rFonts w:ascii="Palatino Linotype" w:eastAsia="Palatino Linotype" w:hAnsi="Palatino Linotype" w:cs="Palatino Linotype"/>
          <w:color w:val="000000"/>
          <w:sz w:val="22"/>
          <w:szCs w:val="22"/>
          <w:lang w:eastAsia="es-MX"/>
        </w:rPr>
        <w:t>que den cuenta de lo siguiente</w:t>
      </w:r>
      <w:r w:rsidRPr="00FE7FBC">
        <w:rPr>
          <w:rFonts w:ascii="Palatino Linotype" w:eastAsia="Palatino Linotype" w:hAnsi="Palatino Linotype" w:cs="Palatino Linotype"/>
          <w:color w:val="000000"/>
          <w:sz w:val="22"/>
          <w:szCs w:val="22"/>
          <w:lang w:eastAsia="es-MX"/>
        </w:rPr>
        <w:t>:</w:t>
      </w:r>
    </w:p>
    <w:p w14:paraId="6CEDBFE5"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0AC5ABE6" w14:textId="2B016B8B" w:rsidR="00A311EC" w:rsidRPr="00FE7FBC" w:rsidRDefault="00550B29" w:rsidP="004B1994">
      <w:pPr>
        <w:pStyle w:val="Prrafodelista"/>
        <w:numPr>
          <w:ilvl w:val="0"/>
          <w:numId w:val="9"/>
        </w:numPr>
        <w:spacing w:line="360" w:lineRule="auto"/>
        <w:ind w:right="142"/>
        <w:jc w:val="both"/>
        <w:rPr>
          <w:rFonts w:ascii="Palatino Linotype" w:eastAsia="Palatino Linotype" w:hAnsi="Palatino Linotype" w:cs="Palatino Linotype"/>
          <w:color w:val="000000"/>
          <w:szCs w:val="22"/>
          <w:lang w:eastAsia="es-MX"/>
        </w:rPr>
      </w:pPr>
      <w:r w:rsidRPr="00FE7FBC">
        <w:rPr>
          <w:rFonts w:ascii="Palatino Linotype" w:eastAsia="Palatino Linotype" w:hAnsi="Palatino Linotype" w:cs="Palatino Linotype"/>
          <w:color w:val="000000"/>
          <w:szCs w:val="22"/>
          <w:lang w:eastAsia="es-MX"/>
        </w:rPr>
        <w:t xml:space="preserve">Los correos electrónicos enviados y recibidos del primero de junio al catorce de julio de dos mil veinticinco, </w:t>
      </w:r>
      <w:r w:rsidR="00C0149B" w:rsidRPr="00FE7FBC">
        <w:rPr>
          <w:rFonts w:ascii="Palatino Linotype" w:eastAsia="Palatino Linotype" w:hAnsi="Palatino Linotype" w:cs="Palatino Linotype"/>
          <w:color w:val="000000"/>
          <w:szCs w:val="22"/>
          <w:lang w:eastAsia="es-MX"/>
        </w:rPr>
        <w:t xml:space="preserve">junto con sus anexos, de la cuenta de e-mail referida en respuesta asignada a la </w:t>
      </w:r>
      <w:r w:rsidR="00C33B84" w:rsidRPr="00FE7FBC">
        <w:rPr>
          <w:rFonts w:ascii="Palatino Linotype" w:eastAsia="Palatino Linotype" w:hAnsi="Palatino Linotype" w:cs="Palatino Linotype"/>
          <w:color w:val="000000"/>
          <w:szCs w:val="22"/>
          <w:lang w:eastAsia="es-MX"/>
        </w:rPr>
        <w:t>Unidad Jurídica y de Igualdad de Género.</w:t>
      </w:r>
    </w:p>
    <w:p w14:paraId="7173A075" w14:textId="77777777" w:rsidR="00844251" w:rsidRPr="00FE7FBC" w:rsidRDefault="00844251" w:rsidP="00C33B84">
      <w:pPr>
        <w:spacing w:line="360" w:lineRule="auto"/>
        <w:ind w:right="142"/>
        <w:jc w:val="both"/>
        <w:rPr>
          <w:rFonts w:ascii="Palatino Linotype" w:eastAsia="Palatino Linotype" w:hAnsi="Palatino Linotype" w:cs="Palatino Linotype"/>
          <w:color w:val="000000"/>
          <w:szCs w:val="22"/>
          <w:lang w:eastAsia="es-MX"/>
        </w:rPr>
      </w:pPr>
    </w:p>
    <w:p w14:paraId="1BB4D920" w14:textId="498BCA4A" w:rsidR="00C0149B" w:rsidRPr="00FE7FBC" w:rsidRDefault="00353E6D" w:rsidP="00C0149B">
      <w:pPr>
        <w:spacing w:line="360" w:lineRule="auto"/>
        <w:jc w:val="both"/>
        <w:rPr>
          <w:rFonts w:ascii="Palatino Linotype" w:eastAsia="Palatino Linotype" w:hAnsi="Palatino Linotype" w:cs="Palatino Linotype"/>
          <w:sz w:val="22"/>
          <w:szCs w:val="22"/>
          <w:lang w:eastAsia="es-MX"/>
        </w:rPr>
      </w:pPr>
      <w:r w:rsidRPr="00FE7FBC">
        <w:rPr>
          <w:rFonts w:ascii="Palatino Linotype" w:eastAsia="Palatino Linotype" w:hAnsi="Palatino Linotype" w:cs="Palatino Linotype"/>
          <w:color w:val="000000"/>
          <w:sz w:val="22"/>
          <w:szCs w:val="22"/>
          <w:lang w:eastAsia="es-MX"/>
        </w:rPr>
        <w:t>Además, de ser necesario</w:t>
      </w:r>
      <w:r w:rsidR="00A311EC" w:rsidRPr="00FE7FBC">
        <w:rPr>
          <w:rFonts w:ascii="Palatino Linotype" w:eastAsia="Palatino Linotype" w:hAnsi="Palatino Linotype" w:cs="Palatino Linotype"/>
          <w:color w:val="000000"/>
          <w:sz w:val="22"/>
          <w:szCs w:val="22"/>
          <w:lang w:eastAsia="es-MX"/>
        </w:rPr>
        <w:t xml:space="preserve"> deberá proporcionar el Acuerdo de Clasificación donde el Comité de Transparencia, </w:t>
      </w:r>
      <w:r w:rsidR="00C0149B" w:rsidRPr="00FE7FBC">
        <w:rPr>
          <w:rFonts w:ascii="Palatino Linotype" w:eastAsia="Palatino Linotype" w:hAnsi="Palatino Linotype" w:cs="Palatino Linotype"/>
          <w:sz w:val="22"/>
          <w:szCs w:val="22"/>
          <w:lang w:eastAsia="es-MX"/>
        </w:rPr>
        <w:t>confirme la eliminación de los datos en la versión pública, o la clasificación de los correos, en el supuesto que actualicen alguna causal de reserva, conforme a lo establecido en el Considerando QUINTO, de conformidad con los artículos 49, fracciones II y VIII y 132, fracción II de la Ley de Transparencia y Acceso a la Información Pública del Estado de México y Municipios.</w:t>
      </w:r>
    </w:p>
    <w:p w14:paraId="74A04B1A" w14:textId="03FA6770"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5C2450E"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b/>
          <w:color w:val="000000" w:themeColor="text1"/>
          <w:sz w:val="22"/>
          <w:szCs w:val="22"/>
          <w:lang w:eastAsia="es-MX"/>
        </w:rPr>
        <w:t xml:space="preserve">TERCERO. NOTIFÍQUESE POR SAIMEX </w:t>
      </w:r>
      <w:r w:rsidRPr="00FE7FBC">
        <w:rPr>
          <w:rFonts w:ascii="Palatino Linotype" w:eastAsia="Palatino Linotype" w:hAnsi="Palatino Linotype" w:cs="Palatino Linotype"/>
          <w:color w:val="000000" w:themeColor="text1"/>
          <w:sz w:val="22"/>
          <w:szCs w:val="22"/>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8E00C77"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764B1E06"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FE7FBC">
        <w:rPr>
          <w:rFonts w:ascii="Palatino Linotype" w:eastAsia="Palatino Linotype" w:hAnsi="Palatino Linotype" w:cs="Palatino Linotype"/>
          <w:color w:val="000000" w:themeColor="text1"/>
          <w:sz w:val="22"/>
          <w:szCs w:val="22"/>
          <w:lang w:eastAsia="es-MX"/>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CBC27E"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35F12E6C" w14:textId="77777777" w:rsidR="00A311EC" w:rsidRPr="00FE7FB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FE7FBC">
        <w:rPr>
          <w:rFonts w:ascii="Palatino Linotype" w:eastAsia="Palatino Linotype" w:hAnsi="Palatino Linotype" w:cs="Palatino Linotype"/>
          <w:b/>
          <w:color w:val="000000"/>
          <w:sz w:val="22"/>
          <w:szCs w:val="22"/>
          <w:lang w:eastAsia="es-MX"/>
        </w:rPr>
        <w:t>CUARTO. NOTIFÍQUESE</w:t>
      </w:r>
      <w:r w:rsidRPr="00FE7FBC">
        <w:rPr>
          <w:rFonts w:ascii="Palatino Linotype" w:eastAsia="Palatino Linotype" w:hAnsi="Palatino Linotype" w:cs="Palatino Linotype"/>
          <w:color w:val="000000"/>
          <w:sz w:val="22"/>
          <w:szCs w:val="22"/>
          <w:lang w:eastAsia="es-MX"/>
        </w:rPr>
        <w:t xml:space="preserve"> </w:t>
      </w:r>
      <w:r w:rsidRPr="00FE7FBC">
        <w:rPr>
          <w:rFonts w:ascii="Palatino Linotype" w:eastAsia="Palatino Linotype" w:hAnsi="Palatino Linotype" w:cs="Palatino Linotype"/>
          <w:b/>
          <w:color w:val="000000" w:themeColor="text1"/>
          <w:sz w:val="22"/>
          <w:szCs w:val="22"/>
          <w:lang w:eastAsia="es-MX"/>
        </w:rPr>
        <w:t xml:space="preserve">POR SAIMEX </w:t>
      </w:r>
      <w:r w:rsidRPr="00FE7FBC">
        <w:rPr>
          <w:rFonts w:ascii="Palatino Linotype" w:eastAsia="Palatino Linotype" w:hAnsi="Palatino Linotype" w:cs="Palatino Linotype"/>
          <w:color w:val="000000"/>
          <w:sz w:val="22"/>
          <w:szCs w:val="22"/>
          <w:lang w:eastAsia="es-MX"/>
        </w:rP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FE7FBC" w:rsidRDefault="002B52A1" w:rsidP="002B52A1">
      <w:pPr>
        <w:tabs>
          <w:tab w:val="left" w:pos="4962"/>
        </w:tabs>
        <w:spacing w:line="360" w:lineRule="auto"/>
        <w:ind w:right="142"/>
        <w:jc w:val="both"/>
        <w:rPr>
          <w:rFonts w:ascii="Palatino Linotype" w:hAnsi="Palatino Linotype"/>
          <w:sz w:val="22"/>
          <w:szCs w:val="22"/>
        </w:rPr>
      </w:pPr>
    </w:p>
    <w:p w14:paraId="11F2F43A" w14:textId="3CCFCFDB" w:rsidR="002B52A1" w:rsidRPr="002D7325" w:rsidRDefault="002B52A1" w:rsidP="002B52A1">
      <w:pPr>
        <w:tabs>
          <w:tab w:val="left" w:pos="4962"/>
        </w:tabs>
        <w:spacing w:line="360" w:lineRule="auto"/>
        <w:ind w:right="142"/>
        <w:jc w:val="both"/>
        <w:rPr>
          <w:rFonts w:ascii="Palatino Linotype" w:hAnsi="Palatino Linotype"/>
          <w:sz w:val="22"/>
          <w:szCs w:val="22"/>
        </w:rPr>
      </w:pPr>
      <w:r w:rsidRPr="00FE7FBC">
        <w:rPr>
          <w:rFonts w:ascii="Palatino Linotype" w:hAnsi="Palatino Linotype"/>
          <w:sz w:val="22"/>
          <w:szCs w:val="22"/>
        </w:rPr>
        <w:t xml:space="preserve">ASÍ LO RESUELVE, POR </w:t>
      </w:r>
      <w:r w:rsidRPr="00FE7FBC">
        <w:rPr>
          <w:rFonts w:ascii="Palatino Linotype" w:hAnsi="Palatino Linotype"/>
          <w:b/>
          <w:sz w:val="22"/>
          <w:szCs w:val="22"/>
        </w:rPr>
        <w:t>UNANIMIDAD</w:t>
      </w:r>
      <w:r w:rsidRPr="00FE7FBC">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844251" w:rsidRPr="00FE7FBC">
        <w:rPr>
          <w:rFonts w:ascii="Palatino Linotype" w:hAnsi="Palatino Linotype"/>
          <w:sz w:val="22"/>
          <w:szCs w:val="22"/>
        </w:rPr>
        <w:t xml:space="preserve">, </w:t>
      </w:r>
      <w:r w:rsidRPr="00FE7FBC">
        <w:rPr>
          <w:rFonts w:ascii="Palatino Linotype" w:hAnsi="Palatino Linotype"/>
          <w:sz w:val="22"/>
          <w:szCs w:val="22"/>
        </w:rPr>
        <w:t>MARÍA DEL ROSARIO MEJÍA AYALA, SHARON CRISTINA MORALES MARTÍNEZ, LUIS GUSTAVO PARRA</w:t>
      </w:r>
      <w:r w:rsidR="00F95A1C" w:rsidRPr="00FE7FBC">
        <w:rPr>
          <w:rFonts w:ascii="Palatino Linotype" w:hAnsi="Palatino Linotype"/>
          <w:sz w:val="22"/>
          <w:szCs w:val="22"/>
        </w:rPr>
        <w:t xml:space="preserve"> NORIEGA,</w:t>
      </w:r>
      <w:r w:rsidRPr="00FE7FBC">
        <w:rPr>
          <w:rFonts w:ascii="Palatino Linotype" w:hAnsi="Palatino Linotype"/>
          <w:sz w:val="22"/>
          <w:szCs w:val="22"/>
        </w:rPr>
        <w:t xml:space="preserve"> GUADALUPE RAMÍREZ PEÑA, EN LA </w:t>
      </w:r>
      <w:r w:rsidR="00844251" w:rsidRPr="00FE7FBC">
        <w:rPr>
          <w:rFonts w:ascii="Palatino Linotype" w:hAnsi="Palatino Linotype"/>
          <w:sz w:val="22"/>
          <w:szCs w:val="22"/>
        </w:rPr>
        <w:t xml:space="preserve">TRIGÉSIMA </w:t>
      </w:r>
      <w:r w:rsidR="00867705" w:rsidRPr="00FE7FBC">
        <w:rPr>
          <w:rFonts w:ascii="Palatino Linotype" w:hAnsi="Palatino Linotype"/>
          <w:sz w:val="22"/>
          <w:szCs w:val="22"/>
        </w:rPr>
        <w:t>CUARTA</w:t>
      </w:r>
      <w:r w:rsidRPr="00FE7FBC">
        <w:rPr>
          <w:rFonts w:ascii="Palatino Linotype" w:hAnsi="Palatino Linotype"/>
          <w:sz w:val="22"/>
          <w:szCs w:val="22"/>
        </w:rPr>
        <w:t xml:space="preserve"> SESIÓN ORDINARIA, CELEBRADA EL </w:t>
      </w:r>
      <w:r w:rsidR="00867705" w:rsidRPr="00FE7FBC">
        <w:rPr>
          <w:rFonts w:ascii="Palatino Linotype" w:hAnsi="Palatino Linotype"/>
          <w:sz w:val="22"/>
          <w:szCs w:val="22"/>
        </w:rPr>
        <w:t>VEINTICUATRO</w:t>
      </w:r>
      <w:r w:rsidRPr="00FE7FBC">
        <w:rPr>
          <w:rFonts w:ascii="Palatino Linotype" w:hAnsi="Palatino Linotype"/>
          <w:sz w:val="22"/>
          <w:szCs w:val="22"/>
        </w:rPr>
        <w:t xml:space="preserve"> DE </w:t>
      </w:r>
      <w:r w:rsidR="00844251" w:rsidRPr="00FE7FBC">
        <w:rPr>
          <w:rFonts w:ascii="Palatino Linotype" w:hAnsi="Palatino Linotype"/>
          <w:sz w:val="22"/>
          <w:szCs w:val="22"/>
        </w:rPr>
        <w:t>SEPTIEMBRE</w:t>
      </w:r>
      <w:r w:rsidRPr="00FE7FBC">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E4D8" w14:textId="77777777" w:rsidR="00244877" w:rsidRDefault="00244877" w:rsidP="00B31222">
      <w:r>
        <w:separator/>
      </w:r>
    </w:p>
  </w:endnote>
  <w:endnote w:type="continuationSeparator" w:id="0">
    <w:p w14:paraId="2778E344" w14:textId="77777777" w:rsidR="00244877" w:rsidRDefault="00244877" w:rsidP="00B31222">
      <w:r>
        <w:continuationSeparator/>
      </w:r>
    </w:p>
  </w:endnote>
  <w:endnote w:type="continuationNotice" w:id="1">
    <w:p w14:paraId="758C650C" w14:textId="77777777" w:rsidR="00244877" w:rsidRDefault="00244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566358" w:rsidRDefault="005663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59BF">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59BF">
              <w:rPr>
                <w:b/>
                <w:bCs/>
                <w:noProof/>
              </w:rPr>
              <w:t>41</w:t>
            </w:r>
            <w:r>
              <w:rPr>
                <w:b/>
                <w:bCs/>
                <w:sz w:val="24"/>
                <w:szCs w:val="24"/>
              </w:rPr>
              <w:fldChar w:fldCharType="end"/>
            </w:r>
          </w:p>
        </w:sdtContent>
      </w:sdt>
    </w:sdtContent>
  </w:sdt>
  <w:p w14:paraId="364888E5" w14:textId="77777777" w:rsidR="00566358" w:rsidRDefault="005663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566358" w:rsidRDefault="005663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59B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59BF">
              <w:rPr>
                <w:b/>
                <w:bCs/>
                <w:noProof/>
              </w:rPr>
              <w:t>41</w:t>
            </w:r>
            <w:r>
              <w:rPr>
                <w:b/>
                <w:bCs/>
                <w:sz w:val="24"/>
                <w:szCs w:val="24"/>
              </w:rPr>
              <w:fldChar w:fldCharType="end"/>
            </w:r>
          </w:p>
        </w:sdtContent>
      </w:sdt>
    </w:sdtContent>
  </w:sdt>
  <w:p w14:paraId="18F29F48" w14:textId="77777777" w:rsidR="00566358" w:rsidRDefault="005663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B805" w14:textId="77777777" w:rsidR="00244877" w:rsidRDefault="00244877" w:rsidP="00B31222">
      <w:r>
        <w:separator/>
      </w:r>
    </w:p>
  </w:footnote>
  <w:footnote w:type="continuationSeparator" w:id="0">
    <w:p w14:paraId="0874CD84" w14:textId="77777777" w:rsidR="00244877" w:rsidRDefault="00244877" w:rsidP="00B31222">
      <w:r>
        <w:continuationSeparator/>
      </w:r>
    </w:p>
  </w:footnote>
  <w:footnote w:type="continuationNotice" w:id="1">
    <w:p w14:paraId="1D0E510C" w14:textId="77777777" w:rsidR="00244877" w:rsidRDefault="00244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566358"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566358" w:rsidRPr="005C106F" w14:paraId="1961E804" w14:textId="77777777" w:rsidTr="00202DB8">
      <w:trPr>
        <w:trHeight w:val="1435"/>
      </w:trPr>
      <w:tc>
        <w:tcPr>
          <w:tcW w:w="2835" w:type="dxa"/>
        </w:tcPr>
        <w:p w14:paraId="31019BC9" w14:textId="77777777" w:rsidR="00566358" w:rsidRPr="005C106F" w:rsidRDefault="00566358"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4FC08C4D">
                <wp:simplePos x="0" y="0"/>
                <wp:positionH relativeFrom="page">
                  <wp:posOffset>-1005205</wp:posOffset>
                </wp:positionH>
                <wp:positionV relativeFrom="margin">
                  <wp:posOffset>-295275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566358" w:rsidRDefault="00566358"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66358" w14:paraId="35637856" w14:textId="77777777" w:rsidTr="00DF3BE8">
            <w:trPr>
              <w:trHeight w:val="144"/>
            </w:trPr>
            <w:tc>
              <w:tcPr>
                <w:tcW w:w="2589" w:type="dxa"/>
              </w:tcPr>
              <w:p w14:paraId="27D3058A" w14:textId="77777777" w:rsidR="00566358" w:rsidRPr="00431A70" w:rsidRDefault="0056635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106AB183" w:rsidR="00566358" w:rsidRPr="00583900" w:rsidRDefault="00AD2798"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09431</w:t>
                </w:r>
                <w:r w:rsidR="00566358" w:rsidRPr="0096397D">
                  <w:rPr>
                    <w:rFonts w:ascii="Palatino Linotype" w:eastAsia="Calibri" w:hAnsi="Palatino Linotype" w:cs="Tahoma"/>
                    <w:bCs/>
                    <w:sz w:val="22"/>
                    <w:szCs w:val="22"/>
                    <w:lang w:val="es-MX" w:eastAsia="en-US"/>
                  </w:rPr>
                  <w:t>/INFOEM/IP/RR/2025</w:t>
                </w:r>
              </w:p>
            </w:tc>
          </w:tr>
          <w:tr w:rsidR="00566358" w14:paraId="5FDC787F" w14:textId="77777777" w:rsidTr="00DF3BE8">
            <w:trPr>
              <w:trHeight w:val="283"/>
            </w:trPr>
            <w:tc>
              <w:tcPr>
                <w:tcW w:w="2589" w:type="dxa"/>
              </w:tcPr>
              <w:p w14:paraId="440C47F8" w14:textId="77777777" w:rsidR="00566358" w:rsidRPr="00431A70" w:rsidRDefault="0056635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6356DE79" w:rsidR="00566358" w:rsidRPr="005F13CF" w:rsidRDefault="00AD2798" w:rsidP="0031023E">
                <w:pPr>
                  <w:tabs>
                    <w:tab w:val="left" w:pos="2834"/>
                    <w:tab w:val="right" w:pos="8838"/>
                  </w:tabs>
                  <w:ind w:left="-106" w:right="171"/>
                  <w:jc w:val="both"/>
                  <w:rPr>
                    <w:rFonts w:ascii="Palatino Linotype" w:eastAsia="Calibri" w:hAnsi="Palatino Linotype" w:cs="Tahoma"/>
                    <w:bCs/>
                    <w:sz w:val="22"/>
                    <w:szCs w:val="22"/>
                    <w:lang w:eastAsia="en-US"/>
                  </w:rPr>
                </w:pPr>
                <w:r w:rsidRPr="00AD2798">
                  <w:rPr>
                    <w:rFonts w:ascii="Palatino Linotype" w:eastAsia="Calibri" w:hAnsi="Palatino Linotype" w:cs="Tahoma"/>
                    <w:bCs/>
                    <w:sz w:val="22"/>
                    <w:szCs w:val="22"/>
                    <w:lang w:val="es-MX" w:eastAsia="en-US"/>
                  </w:rPr>
                  <w:t>Colegio de Estudios Científicos y Tecnológicos del Estado de México</w:t>
                </w:r>
              </w:p>
            </w:tc>
          </w:tr>
          <w:tr w:rsidR="00566358" w14:paraId="22E20C45" w14:textId="77777777" w:rsidTr="00DF3BE8">
            <w:trPr>
              <w:trHeight w:val="283"/>
            </w:trPr>
            <w:tc>
              <w:tcPr>
                <w:tcW w:w="2589" w:type="dxa"/>
              </w:tcPr>
              <w:p w14:paraId="28077987" w14:textId="77777777" w:rsidR="00566358" w:rsidRPr="00431A70" w:rsidRDefault="0056635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566358" w:rsidRDefault="00566358"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566358" w:rsidRPr="00431A70" w:rsidRDefault="00566358"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566358" w:rsidRPr="005C106F" w:rsidRDefault="00566358" w:rsidP="005743D2">
          <w:pPr>
            <w:tabs>
              <w:tab w:val="right" w:pos="8838"/>
            </w:tabs>
            <w:ind w:left="-28"/>
            <w:jc w:val="both"/>
            <w:rPr>
              <w:rFonts w:ascii="Arial" w:eastAsia="Calibri" w:hAnsi="Arial" w:cs="Arial"/>
              <w:b/>
              <w:sz w:val="22"/>
              <w:szCs w:val="22"/>
              <w:lang w:eastAsia="en-US"/>
            </w:rPr>
          </w:pPr>
        </w:p>
      </w:tc>
    </w:tr>
  </w:tbl>
  <w:p w14:paraId="5C0E90BB" w14:textId="77777777" w:rsidR="00566358" w:rsidRPr="00A25151" w:rsidRDefault="00566358"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566358" w:rsidRPr="00330DA7" w14:paraId="26B3CEF7" w14:textId="77777777" w:rsidTr="003B165A">
      <w:trPr>
        <w:trHeight w:val="1435"/>
      </w:trPr>
      <w:tc>
        <w:tcPr>
          <w:tcW w:w="2835" w:type="dxa"/>
        </w:tcPr>
        <w:p w14:paraId="1D9FFA95" w14:textId="51F0EC92" w:rsidR="00566358" w:rsidRPr="00330DA7" w:rsidRDefault="00566358"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66358" w:rsidRPr="00431A70" w14:paraId="654AF96C" w14:textId="77777777" w:rsidTr="00DF3BE8">
            <w:trPr>
              <w:trHeight w:val="144"/>
            </w:trPr>
            <w:tc>
              <w:tcPr>
                <w:tcW w:w="2589" w:type="dxa"/>
              </w:tcPr>
              <w:p w14:paraId="1D5CEAD7" w14:textId="77777777" w:rsidR="00566358" w:rsidRPr="00431A70" w:rsidRDefault="00566358"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518435C8" w:rsidR="00566358" w:rsidRPr="00583900" w:rsidRDefault="002A709E"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09431</w:t>
                </w:r>
                <w:r w:rsidR="00566358" w:rsidRPr="00387A54">
                  <w:rPr>
                    <w:rFonts w:ascii="Palatino Linotype" w:eastAsia="Calibri" w:hAnsi="Palatino Linotype" w:cs="Tahoma"/>
                    <w:bCs/>
                    <w:sz w:val="22"/>
                    <w:szCs w:val="22"/>
                    <w:lang w:val="es-MX" w:eastAsia="en-US"/>
                  </w:rPr>
                  <w:t>/INFOEM/IP/RR/2025</w:t>
                </w:r>
              </w:p>
            </w:tc>
          </w:tr>
          <w:tr w:rsidR="00566358" w:rsidRPr="00286D0C" w14:paraId="0A5959FC" w14:textId="77777777" w:rsidTr="00DF3BE8">
            <w:trPr>
              <w:trHeight w:val="144"/>
            </w:trPr>
            <w:tc>
              <w:tcPr>
                <w:tcW w:w="2589" w:type="dxa"/>
              </w:tcPr>
              <w:p w14:paraId="084FA244" w14:textId="77777777" w:rsidR="00566358" w:rsidRPr="00431A70" w:rsidRDefault="0056635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43D51C6F" w:rsidR="00566358" w:rsidRPr="00286D0C" w:rsidRDefault="00873C2E" w:rsidP="003D4390">
                <w:pPr>
                  <w:tabs>
                    <w:tab w:val="left" w:pos="3122"/>
                    <w:tab w:val="right" w:pos="8838"/>
                  </w:tabs>
                  <w:ind w:left="-106" w:right="-105"/>
                  <w:jc w:val="both"/>
                  <w:rPr>
                    <w:rFonts w:ascii="Palatino Linotype" w:eastAsia="Calibri" w:hAnsi="Palatino Linotype" w:cs="Tahoma"/>
                    <w:bCs/>
                    <w:sz w:val="22"/>
                    <w:szCs w:val="22"/>
                    <w:lang w:eastAsia="en-US"/>
                  </w:rPr>
                </w:pPr>
                <w:r w:rsidRPr="00873C2E">
                  <w:rPr>
                    <w:rFonts w:ascii="Palatino Linotype" w:eastAsia="Calibri" w:hAnsi="Palatino Linotype" w:cs="Tahoma"/>
                    <w:bCs/>
                    <w:sz w:val="22"/>
                    <w:szCs w:val="22"/>
                    <w:highlight w:val="black"/>
                    <w:lang w:eastAsia="en-US"/>
                  </w:rPr>
                  <w:t>XXXXXXXXX</w:t>
                </w:r>
              </w:p>
            </w:tc>
          </w:tr>
          <w:tr w:rsidR="00566358" w:rsidRPr="00431A70" w14:paraId="0C63DC69" w14:textId="77777777" w:rsidTr="00DF3BE8">
            <w:trPr>
              <w:trHeight w:val="283"/>
            </w:trPr>
            <w:tc>
              <w:tcPr>
                <w:tcW w:w="2589" w:type="dxa"/>
              </w:tcPr>
              <w:p w14:paraId="20DDDBE9" w14:textId="77777777" w:rsidR="00566358" w:rsidRPr="00431A70" w:rsidRDefault="0056635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1F3D0B8B" w:rsidR="00566358" w:rsidRPr="005F13CF" w:rsidRDefault="00AD2798" w:rsidP="0031023E">
                <w:pPr>
                  <w:tabs>
                    <w:tab w:val="left" w:pos="2834"/>
                    <w:tab w:val="right" w:pos="8838"/>
                  </w:tabs>
                  <w:ind w:left="-106" w:right="-105"/>
                  <w:jc w:val="both"/>
                  <w:rPr>
                    <w:rFonts w:ascii="Palatino Linotype" w:eastAsia="Calibri" w:hAnsi="Palatino Linotype" w:cs="Tahoma"/>
                    <w:bCs/>
                    <w:sz w:val="22"/>
                    <w:szCs w:val="22"/>
                    <w:lang w:eastAsia="en-US"/>
                  </w:rPr>
                </w:pPr>
                <w:r w:rsidRPr="00AD2798">
                  <w:rPr>
                    <w:rFonts w:ascii="Palatino Linotype" w:eastAsia="Calibri" w:hAnsi="Palatino Linotype" w:cs="Tahoma"/>
                    <w:bCs/>
                    <w:sz w:val="22"/>
                    <w:szCs w:val="22"/>
                    <w:lang w:val="es-MX" w:eastAsia="en-US"/>
                  </w:rPr>
                  <w:t>Colegio de Estudios Científicos y Tecnológicos del Estado de México</w:t>
                </w:r>
              </w:p>
            </w:tc>
          </w:tr>
          <w:tr w:rsidR="00566358" w:rsidRPr="00431A70" w14:paraId="4190109E" w14:textId="77777777" w:rsidTr="00DF3BE8">
            <w:trPr>
              <w:trHeight w:val="283"/>
            </w:trPr>
            <w:tc>
              <w:tcPr>
                <w:tcW w:w="2589" w:type="dxa"/>
              </w:tcPr>
              <w:p w14:paraId="6E0B52C7" w14:textId="77777777" w:rsidR="00566358" w:rsidRPr="00431A70" w:rsidRDefault="0056635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566358" w:rsidRPr="00431A70" w:rsidRDefault="00566358"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566358" w:rsidRPr="00330DA7" w:rsidRDefault="00566358" w:rsidP="00DB7E5F">
          <w:pPr>
            <w:tabs>
              <w:tab w:val="right" w:pos="8838"/>
            </w:tabs>
            <w:ind w:left="-28"/>
            <w:jc w:val="both"/>
            <w:rPr>
              <w:rFonts w:ascii="Arial" w:eastAsia="Calibri" w:hAnsi="Arial" w:cs="Arial"/>
              <w:b/>
              <w:sz w:val="22"/>
              <w:szCs w:val="22"/>
              <w:lang w:eastAsia="en-US"/>
            </w:rPr>
          </w:pPr>
        </w:p>
      </w:tc>
    </w:tr>
  </w:tbl>
  <w:p w14:paraId="5B17B43E" w14:textId="77777777" w:rsidR="00566358" w:rsidRPr="00330DA7" w:rsidRDefault="00566358"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B65594"/>
    <w:multiLevelType w:val="multilevel"/>
    <w:tmpl w:val="C12080EC"/>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135F65"/>
    <w:multiLevelType w:val="multilevel"/>
    <w:tmpl w:val="E94CAA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900116"/>
    <w:multiLevelType w:val="multilevel"/>
    <w:tmpl w:val="C5B2C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A930A8"/>
    <w:multiLevelType w:val="hybridMultilevel"/>
    <w:tmpl w:val="A2D8D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A1326D2"/>
    <w:multiLevelType w:val="hybridMultilevel"/>
    <w:tmpl w:val="E9EEFE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2A03A57"/>
    <w:multiLevelType w:val="hybridMultilevel"/>
    <w:tmpl w:val="44864912"/>
    <w:lvl w:ilvl="0" w:tplc="06AAFC3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846152"/>
    <w:multiLevelType w:val="multilevel"/>
    <w:tmpl w:val="C436E70C"/>
    <w:lvl w:ilvl="0">
      <w:start w:val="1"/>
      <w:numFmt w:val="decimal"/>
      <w:lvlText w:val="%1)"/>
      <w:lvlJc w:val="left"/>
      <w:pPr>
        <w:ind w:left="720" w:hanging="360"/>
      </w:pPr>
      <w:rPr>
        <w:b/>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17"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F26372"/>
    <w:multiLevelType w:val="hybridMultilevel"/>
    <w:tmpl w:val="14288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0456C7"/>
    <w:multiLevelType w:val="hybridMultilevel"/>
    <w:tmpl w:val="A850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E87F37"/>
    <w:multiLevelType w:val="hybridMultilevel"/>
    <w:tmpl w:val="D74E4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14618D"/>
    <w:multiLevelType w:val="multilevel"/>
    <w:tmpl w:val="59D84C9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4289834">
    <w:abstractNumId w:val="0"/>
  </w:num>
  <w:num w:numId="2" w16cid:durableId="664086468">
    <w:abstractNumId w:val="1"/>
  </w:num>
  <w:num w:numId="3" w16cid:durableId="422188311">
    <w:abstractNumId w:val="8"/>
  </w:num>
  <w:num w:numId="4" w16cid:durableId="491802288">
    <w:abstractNumId w:val="9"/>
  </w:num>
  <w:num w:numId="5" w16cid:durableId="791482982">
    <w:abstractNumId w:val="22"/>
  </w:num>
  <w:num w:numId="6" w16cid:durableId="368922555">
    <w:abstractNumId w:val="20"/>
  </w:num>
  <w:num w:numId="7" w16cid:durableId="497575501">
    <w:abstractNumId w:val="19"/>
  </w:num>
  <w:num w:numId="8" w16cid:durableId="1910454546">
    <w:abstractNumId w:val="18"/>
  </w:num>
  <w:num w:numId="9" w16cid:durableId="1766920409">
    <w:abstractNumId w:val="15"/>
  </w:num>
  <w:num w:numId="10" w16cid:durableId="1049570076">
    <w:abstractNumId w:val="6"/>
  </w:num>
  <w:num w:numId="11" w16cid:durableId="491482992">
    <w:abstractNumId w:val="11"/>
  </w:num>
  <w:num w:numId="12" w16cid:durableId="288441665">
    <w:abstractNumId w:val="13"/>
  </w:num>
  <w:num w:numId="13" w16cid:durableId="1700625109">
    <w:abstractNumId w:val="10"/>
  </w:num>
  <w:num w:numId="14" w16cid:durableId="1785490840">
    <w:abstractNumId w:val="23"/>
  </w:num>
  <w:num w:numId="15" w16cid:durableId="313796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794605">
    <w:abstractNumId w:val="5"/>
  </w:num>
  <w:num w:numId="17" w16cid:durableId="836457729">
    <w:abstractNumId w:val="12"/>
  </w:num>
  <w:num w:numId="18" w16cid:durableId="133180541">
    <w:abstractNumId w:val="17"/>
  </w:num>
  <w:num w:numId="19" w16cid:durableId="1426803753">
    <w:abstractNumId w:val="21"/>
    <w:lvlOverride w:ilvl="0">
      <w:startOverride w:val="1"/>
    </w:lvlOverride>
    <w:lvlOverride w:ilvl="1"/>
    <w:lvlOverride w:ilvl="2"/>
    <w:lvlOverride w:ilvl="3"/>
    <w:lvlOverride w:ilvl="4"/>
    <w:lvlOverride w:ilvl="5"/>
    <w:lvlOverride w:ilvl="6"/>
    <w:lvlOverride w:ilvl="7"/>
    <w:lvlOverride w:ilvl="8"/>
  </w:num>
  <w:num w:numId="20" w16cid:durableId="1675838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030960">
    <w:abstractNumId w:val="16"/>
    <w:lvlOverride w:ilvl="0">
      <w:startOverride w:val="1"/>
    </w:lvlOverride>
    <w:lvlOverride w:ilvl="1"/>
    <w:lvlOverride w:ilvl="2"/>
    <w:lvlOverride w:ilvl="3"/>
    <w:lvlOverride w:ilvl="4"/>
    <w:lvlOverride w:ilvl="5"/>
    <w:lvlOverride w:ilvl="6"/>
    <w:lvlOverride w:ilvl="7"/>
    <w:lvlOverride w:ilvl="8"/>
  </w:num>
  <w:num w:numId="22" w16cid:durableId="528493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4716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705623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111"/>
    <w:rsid w:val="00010426"/>
    <w:rsid w:val="000106AE"/>
    <w:rsid w:val="00011436"/>
    <w:rsid w:val="00012B7E"/>
    <w:rsid w:val="00013291"/>
    <w:rsid w:val="00013861"/>
    <w:rsid w:val="00013A19"/>
    <w:rsid w:val="00013C8D"/>
    <w:rsid w:val="0001402B"/>
    <w:rsid w:val="00014465"/>
    <w:rsid w:val="00014BC5"/>
    <w:rsid w:val="00015966"/>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07"/>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5F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2453"/>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BE2"/>
    <w:rsid w:val="00053EEF"/>
    <w:rsid w:val="00054106"/>
    <w:rsid w:val="0005422F"/>
    <w:rsid w:val="00054623"/>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551C"/>
    <w:rsid w:val="00065A1E"/>
    <w:rsid w:val="0006654C"/>
    <w:rsid w:val="000666FD"/>
    <w:rsid w:val="000672AA"/>
    <w:rsid w:val="000700D4"/>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5937"/>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A77D3"/>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B7934"/>
    <w:rsid w:val="000C0396"/>
    <w:rsid w:val="000C04EA"/>
    <w:rsid w:val="000C055A"/>
    <w:rsid w:val="000C2283"/>
    <w:rsid w:val="000C2529"/>
    <w:rsid w:val="000C27CA"/>
    <w:rsid w:val="000C3B64"/>
    <w:rsid w:val="000C3F1A"/>
    <w:rsid w:val="000C471D"/>
    <w:rsid w:val="000C52AB"/>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0EAD"/>
    <w:rsid w:val="0010125B"/>
    <w:rsid w:val="001017B7"/>
    <w:rsid w:val="001034C6"/>
    <w:rsid w:val="001036C3"/>
    <w:rsid w:val="00103855"/>
    <w:rsid w:val="001049B0"/>
    <w:rsid w:val="00104ADB"/>
    <w:rsid w:val="0010556B"/>
    <w:rsid w:val="00105632"/>
    <w:rsid w:val="001057BC"/>
    <w:rsid w:val="00107098"/>
    <w:rsid w:val="00107105"/>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4B0B"/>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27C6C"/>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76D"/>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2D48"/>
    <w:rsid w:val="0016319D"/>
    <w:rsid w:val="00163387"/>
    <w:rsid w:val="00163BAA"/>
    <w:rsid w:val="001646D2"/>
    <w:rsid w:val="001649B8"/>
    <w:rsid w:val="00165010"/>
    <w:rsid w:val="00165891"/>
    <w:rsid w:val="00166805"/>
    <w:rsid w:val="0016712E"/>
    <w:rsid w:val="00167136"/>
    <w:rsid w:val="00170545"/>
    <w:rsid w:val="00171ADD"/>
    <w:rsid w:val="001725FA"/>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B3E"/>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2CB"/>
    <w:rsid w:val="001C1705"/>
    <w:rsid w:val="001C17B0"/>
    <w:rsid w:val="001C182B"/>
    <w:rsid w:val="001C1CFF"/>
    <w:rsid w:val="001C1F74"/>
    <w:rsid w:val="001C2232"/>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6FE"/>
    <w:rsid w:val="001D3CA3"/>
    <w:rsid w:val="001D3E97"/>
    <w:rsid w:val="001D5A6D"/>
    <w:rsid w:val="001D67AC"/>
    <w:rsid w:val="001D7012"/>
    <w:rsid w:val="001D733A"/>
    <w:rsid w:val="001D7530"/>
    <w:rsid w:val="001D7974"/>
    <w:rsid w:val="001D7BD2"/>
    <w:rsid w:val="001E04FC"/>
    <w:rsid w:val="001E05F1"/>
    <w:rsid w:val="001E0C19"/>
    <w:rsid w:val="001E1564"/>
    <w:rsid w:val="001E1DDD"/>
    <w:rsid w:val="001E211D"/>
    <w:rsid w:val="001E22BA"/>
    <w:rsid w:val="001E293E"/>
    <w:rsid w:val="001E2A4D"/>
    <w:rsid w:val="001E331E"/>
    <w:rsid w:val="001E3322"/>
    <w:rsid w:val="001E343E"/>
    <w:rsid w:val="001E4C89"/>
    <w:rsid w:val="001E4D13"/>
    <w:rsid w:val="001E53C2"/>
    <w:rsid w:val="001E548E"/>
    <w:rsid w:val="001E589C"/>
    <w:rsid w:val="001E6342"/>
    <w:rsid w:val="001E6357"/>
    <w:rsid w:val="001E66F6"/>
    <w:rsid w:val="001E6816"/>
    <w:rsid w:val="001E6FC5"/>
    <w:rsid w:val="001E745E"/>
    <w:rsid w:val="001E7B15"/>
    <w:rsid w:val="001E7B8B"/>
    <w:rsid w:val="001F0C4E"/>
    <w:rsid w:val="001F0E9C"/>
    <w:rsid w:val="001F0EB8"/>
    <w:rsid w:val="001F0F7D"/>
    <w:rsid w:val="001F1540"/>
    <w:rsid w:val="001F18F9"/>
    <w:rsid w:val="001F1A77"/>
    <w:rsid w:val="001F1B7B"/>
    <w:rsid w:val="001F2C2A"/>
    <w:rsid w:val="001F30C3"/>
    <w:rsid w:val="001F3102"/>
    <w:rsid w:val="001F3351"/>
    <w:rsid w:val="001F435F"/>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617"/>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6A79"/>
    <w:rsid w:val="00237C1F"/>
    <w:rsid w:val="00237D0D"/>
    <w:rsid w:val="00240363"/>
    <w:rsid w:val="00241116"/>
    <w:rsid w:val="002415E5"/>
    <w:rsid w:val="002433A4"/>
    <w:rsid w:val="002435DC"/>
    <w:rsid w:val="002447B2"/>
    <w:rsid w:val="00244877"/>
    <w:rsid w:val="00244ABB"/>
    <w:rsid w:val="00245268"/>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4F7E"/>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09E"/>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4E0"/>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1F7B"/>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45"/>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1D4"/>
    <w:rsid w:val="0031023E"/>
    <w:rsid w:val="00310C11"/>
    <w:rsid w:val="00311D8B"/>
    <w:rsid w:val="00311DCB"/>
    <w:rsid w:val="0031243F"/>
    <w:rsid w:val="00312456"/>
    <w:rsid w:val="003128D0"/>
    <w:rsid w:val="0031313F"/>
    <w:rsid w:val="0031355E"/>
    <w:rsid w:val="003147E9"/>
    <w:rsid w:val="0031500F"/>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3771A"/>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181F"/>
    <w:rsid w:val="00353701"/>
    <w:rsid w:val="00353B6D"/>
    <w:rsid w:val="00353C72"/>
    <w:rsid w:val="00353E6D"/>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A54"/>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2A7B"/>
    <w:rsid w:val="003E3072"/>
    <w:rsid w:val="003E31E5"/>
    <w:rsid w:val="003E32ED"/>
    <w:rsid w:val="003E3A39"/>
    <w:rsid w:val="003E3DF8"/>
    <w:rsid w:val="003E58C9"/>
    <w:rsid w:val="003E58D5"/>
    <w:rsid w:val="003E5F91"/>
    <w:rsid w:val="003E601D"/>
    <w:rsid w:val="003E6061"/>
    <w:rsid w:val="003E68B5"/>
    <w:rsid w:val="003E7115"/>
    <w:rsid w:val="003E71D3"/>
    <w:rsid w:val="003E77B5"/>
    <w:rsid w:val="003F01E2"/>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45B"/>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03EA"/>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6CD"/>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664"/>
    <w:rsid w:val="00475C6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4F2F"/>
    <w:rsid w:val="0048519E"/>
    <w:rsid w:val="00485EC7"/>
    <w:rsid w:val="004860BD"/>
    <w:rsid w:val="00487430"/>
    <w:rsid w:val="00487710"/>
    <w:rsid w:val="0048783B"/>
    <w:rsid w:val="0049115D"/>
    <w:rsid w:val="00491430"/>
    <w:rsid w:val="00491A4E"/>
    <w:rsid w:val="004922A7"/>
    <w:rsid w:val="00492F41"/>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7C3"/>
    <w:rsid w:val="004B3992"/>
    <w:rsid w:val="004B3F2D"/>
    <w:rsid w:val="004B4E57"/>
    <w:rsid w:val="004B591D"/>
    <w:rsid w:val="004B5A60"/>
    <w:rsid w:val="004B7542"/>
    <w:rsid w:val="004B769A"/>
    <w:rsid w:val="004B78C7"/>
    <w:rsid w:val="004B7943"/>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04E"/>
    <w:rsid w:val="004C78C8"/>
    <w:rsid w:val="004C7E83"/>
    <w:rsid w:val="004D01DA"/>
    <w:rsid w:val="004D0563"/>
    <w:rsid w:val="004D0E1D"/>
    <w:rsid w:val="004D151D"/>
    <w:rsid w:val="004D17F9"/>
    <w:rsid w:val="004D185C"/>
    <w:rsid w:val="004D18DE"/>
    <w:rsid w:val="004D19CC"/>
    <w:rsid w:val="004D1F4F"/>
    <w:rsid w:val="004D2B43"/>
    <w:rsid w:val="004D2C72"/>
    <w:rsid w:val="004D3573"/>
    <w:rsid w:val="004D42A5"/>
    <w:rsid w:val="004D583C"/>
    <w:rsid w:val="004D59BF"/>
    <w:rsid w:val="004D5DB3"/>
    <w:rsid w:val="004D6AAE"/>
    <w:rsid w:val="004E019E"/>
    <w:rsid w:val="004E09C5"/>
    <w:rsid w:val="004E0AA4"/>
    <w:rsid w:val="004E0D17"/>
    <w:rsid w:val="004E162C"/>
    <w:rsid w:val="004E24D4"/>
    <w:rsid w:val="004E2B43"/>
    <w:rsid w:val="004E2CEB"/>
    <w:rsid w:val="004E345F"/>
    <w:rsid w:val="004E34DA"/>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528F"/>
    <w:rsid w:val="00517427"/>
    <w:rsid w:val="00520C2F"/>
    <w:rsid w:val="00521A73"/>
    <w:rsid w:val="005220BE"/>
    <w:rsid w:val="00522206"/>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B29"/>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358"/>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DBF"/>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72"/>
    <w:rsid w:val="005864DC"/>
    <w:rsid w:val="00586FA8"/>
    <w:rsid w:val="00586FDF"/>
    <w:rsid w:val="00587F23"/>
    <w:rsid w:val="00590A85"/>
    <w:rsid w:val="005912F7"/>
    <w:rsid w:val="00591E3A"/>
    <w:rsid w:val="005921DB"/>
    <w:rsid w:val="00592510"/>
    <w:rsid w:val="00593411"/>
    <w:rsid w:val="00593980"/>
    <w:rsid w:val="00593CB4"/>
    <w:rsid w:val="00593CFE"/>
    <w:rsid w:val="00593D55"/>
    <w:rsid w:val="00593E0E"/>
    <w:rsid w:val="00593E68"/>
    <w:rsid w:val="0059433D"/>
    <w:rsid w:val="00597487"/>
    <w:rsid w:val="00597C02"/>
    <w:rsid w:val="005A0452"/>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69A"/>
    <w:rsid w:val="005C7700"/>
    <w:rsid w:val="005D0941"/>
    <w:rsid w:val="005D1427"/>
    <w:rsid w:val="005D22D3"/>
    <w:rsid w:val="005D26B8"/>
    <w:rsid w:val="005D285E"/>
    <w:rsid w:val="005D364D"/>
    <w:rsid w:val="005D3841"/>
    <w:rsid w:val="005D3F69"/>
    <w:rsid w:val="005D457F"/>
    <w:rsid w:val="005D49C8"/>
    <w:rsid w:val="005D5607"/>
    <w:rsid w:val="005D5B86"/>
    <w:rsid w:val="005D6A2B"/>
    <w:rsid w:val="005D6AD9"/>
    <w:rsid w:val="005E0A40"/>
    <w:rsid w:val="005E1099"/>
    <w:rsid w:val="005E15D1"/>
    <w:rsid w:val="005E1BC2"/>
    <w:rsid w:val="005E1EE5"/>
    <w:rsid w:val="005E2F72"/>
    <w:rsid w:val="005E32ED"/>
    <w:rsid w:val="005E37E9"/>
    <w:rsid w:val="005E4697"/>
    <w:rsid w:val="005E4B75"/>
    <w:rsid w:val="005E4BAF"/>
    <w:rsid w:val="005E69E7"/>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075"/>
    <w:rsid w:val="0060381C"/>
    <w:rsid w:val="00603A46"/>
    <w:rsid w:val="006045FD"/>
    <w:rsid w:val="00604CF3"/>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C7A"/>
    <w:rsid w:val="00620E8F"/>
    <w:rsid w:val="00621760"/>
    <w:rsid w:val="006217BB"/>
    <w:rsid w:val="006224A6"/>
    <w:rsid w:val="0062277D"/>
    <w:rsid w:val="00623FA0"/>
    <w:rsid w:val="00625134"/>
    <w:rsid w:val="00625A68"/>
    <w:rsid w:val="00625ADA"/>
    <w:rsid w:val="00625BD5"/>
    <w:rsid w:val="00625DFB"/>
    <w:rsid w:val="0062694A"/>
    <w:rsid w:val="0062703B"/>
    <w:rsid w:val="006277B7"/>
    <w:rsid w:val="00627FA4"/>
    <w:rsid w:val="00630617"/>
    <w:rsid w:val="006308EB"/>
    <w:rsid w:val="00632E54"/>
    <w:rsid w:val="006333A1"/>
    <w:rsid w:val="00633619"/>
    <w:rsid w:val="00633635"/>
    <w:rsid w:val="00633BA6"/>
    <w:rsid w:val="00634436"/>
    <w:rsid w:val="00634D1A"/>
    <w:rsid w:val="00634F16"/>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3E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57A"/>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D6B"/>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36C9"/>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3DC9"/>
    <w:rsid w:val="007343FD"/>
    <w:rsid w:val="0073447A"/>
    <w:rsid w:val="00734FB9"/>
    <w:rsid w:val="007355EC"/>
    <w:rsid w:val="00735843"/>
    <w:rsid w:val="00735915"/>
    <w:rsid w:val="00735C21"/>
    <w:rsid w:val="00735FE4"/>
    <w:rsid w:val="0073614A"/>
    <w:rsid w:val="00736FF2"/>
    <w:rsid w:val="00737108"/>
    <w:rsid w:val="00737849"/>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4F68"/>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899"/>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5B5"/>
    <w:rsid w:val="0078080D"/>
    <w:rsid w:val="00780CD6"/>
    <w:rsid w:val="007812D1"/>
    <w:rsid w:val="00781812"/>
    <w:rsid w:val="00781A64"/>
    <w:rsid w:val="00782EA4"/>
    <w:rsid w:val="0078401C"/>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8AC"/>
    <w:rsid w:val="007D1BCD"/>
    <w:rsid w:val="007D2BE6"/>
    <w:rsid w:val="007D2F75"/>
    <w:rsid w:val="007D48A3"/>
    <w:rsid w:val="007D4AB0"/>
    <w:rsid w:val="007D4F74"/>
    <w:rsid w:val="007D5BF3"/>
    <w:rsid w:val="007D5BF9"/>
    <w:rsid w:val="007D710E"/>
    <w:rsid w:val="007D7215"/>
    <w:rsid w:val="007D7B8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5DCF"/>
    <w:rsid w:val="007E6649"/>
    <w:rsid w:val="007E69BB"/>
    <w:rsid w:val="007E6AB8"/>
    <w:rsid w:val="007E6F40"/>
    <w:rsid w:val="007E70B9"/>
    <w:rsid w:val="007E70FD"/>
    <w:rsid w:val="007E728E"/>
    <w:rsid w:val="007E7E96"/>
    <w:rsid w:val="007F08FC"/>
    <w:rsid w:val="007F19DA"/>
    <w:rsid w:val="007F1A5A"/>
    <w:rsid w:val="007F2109"/>
    <w:rsid w:val="007F21C5"/>
    <w:rsid w:val="007F26EE"/>
    <w:rsid w:val="007F2A58"/>
    <w:rsid w:val="007F2DD0"/>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68C6"/>
    <w:rsid w:val="00807232"/>
    <w:rsid w:val="00807627"/>
    <w:rsid w:val="00807636"/>
    <w:rsid w:val="00807982"/>
    <w:rsid w:val="00807B88"/>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993"/>
    <w:rsid w:val="00826BB6"/>
    <w:rsid w:val="0082778C"/>
    <w:rsid w:val="00827F88"/>
    <w:rsid w:val="008310F6"/>
    <w:rsid w:val="008315CE"/>
    <w:rsid w:val="00831AA8"/>
    <w:rsid w:val="008336A5"/>
    <w:rsid w:val="0083391E"/>
    <w:rsid w:val="008344DA"/>
    <w:rsid w:val="0083454E"/>
    <w:rsid w:val="00834C4C"/>
    <w:rsid w:val="00834F65"/>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251"/>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67705"/>
    <w:rsid w:val="008703CD"/>
    <w:rsid w:val="008704DF"/>
    <w:rsid w:val="00870622"/>
    <w:rsid w:val="008706E3"/>
    <w:rsid w:val="00870FF0"/>
    <w:rsid w:val="008715CB"/>
    <w:rsid w:val="00873C2E"/>
    <w:rsid w:val="00874300"/>
    <w:rsid w:val="00874748"/>
    <w:rsid w:val="00874894"/>
    <w:rsid w:val="00875DB0"/>
    <w:rsid w:val="00876057"/>
    <w:rsid w:val="00876309"/>
    <w:rsid w:val="00876F54"/>
    <w:rsid w:val="00877292"/>
    <w:rsid w:val="0087754A"/>
    <w:rsid w:val="0087766C"/>
    <w:rsid w:val="00880552"/>
    <w:rsid w:val="008814A6"/>
    <w:rsid w:val="008815E8"/>
    <w:rsid w:val="0088198B"/>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054"/>
    <w:rsid w:val="008935AA"/>
    <w:rsid w:val="008939CF"/>
    <w:rsid w:val="00893D5A"/>
    <w:rsid w:val="00894326"/>
    <w:rsid w:val="00894DF3"/>
    <w:rsid w:val="0089523A"/>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1E1"/>
    <w:rsid w:val="008A3808"/>
    <w:rsid w:val="008A4138"/>
    <w:rsid w:val="008A5662"/>
    <w:rsid w:val="008A5D96"/>
    <w:rsid w:val="008A5F7E"/>
    <w:rsid w:val="008A6178"/>
    <w:rsid w:val="008A61E2"/>
    <w:rsid w:val="008A660F"/>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26C"/>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40F5"/>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8F6"/>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EC2"/>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57FD8"/>
    <w:rsid w:val="00960346"/>
    <w:rsid w:val="00960466"/>
    <w:rsid w:val="00960F05"/>
    <w:rsid w:val="00961724"/>
    <w:rsid w:val="009617D3"/>
    <w:rsid w:val="00961B68"/>
    <w:rsid w:val="00962260"/>
    <w:rsid w:val="009626F7"/>
    <w:rsid w:val="009628F1"/>
    <w:rsid w:val="0096397D"/>
    <w:rsid w:val="0096463B"/>
    <w:rsid w:val="00965E2D"/>
    <w:rsid w:val="00967035"/>
    <w:rsid w:val="00967054"/>
    <w:rsid w:val="00967869"/>
    <w:rsid w:val="0096796E"/>
    <w:rsid w:val="009702DB"/>
    <w:rsid w:val="00970BEB"/>
    <w:rsid w:val="00970F44"/>
    <w:rsid w:val="0097149A"/>
    <w:rsid w:val="00971A16"/>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D44"/>
    <w:rsid w:val="00994FB1"/>
    <w:rsid w:val="00995A6A"/>
    <w:rsid w:val="00995D84"/>
    <w:rsid w:val="00996302"/>
    <w:rsid w:val="009971AA"/>
    <w:rsid w:val="00997908"/>
    <w:rsid w:val="009A0A04"/>
    <w:rsid w:val="009A0D75"/>
    <w:rsid w:val="009A1234"/>
    <w:rsid w:val="009A1E3F"/>
    <w:rsid w:val="009A2803"/>
    <w:rsid w:val="009A2C7F"/>
    <w:rsid w:val="009A306D"/>
    <w:rsid w:val="009A347A"/>
    <w:rsid w:val="009A3661"/>
    <w:rsid w:val="009A4730"/>
    <w:rsid w:val="009A5A3D"/>
    <w:rsid w:val="009A620E"/>
    <w:rsid w:val="009A670A"/>
    <w:rsid w:val="009A6EA2"/>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C4"/>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182"/>
    <w:rsid w:val="009D048B"/>
    <w:rsid w:val="009D0A63"/>
    <w:rsid w:val="009D1B5D"/>
    <w:rsid w:val="009D2767"/>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1FDB"/>
    <w:rsid w:val="00A02488"/>
    <w:rsid w:val="00A02AB3"/>
    <w:rsid w:val="00A034EF"/>
    <w:rsid w:val="00A03A1B"/>
    <w:rsid w:val="00A03BD9"/>
    <w:rsid w:val="00A048C7"/>
    <w:rsid w:val="00A0598E"/>
    <w:rsid w:val="00A05D71"/>
    <w:rsid w:val="00A05E08"/>
    <w:rsid w:val="00A063A6"/>
    <w:rsid w:val="00A06844"/>
    <w:rsid w:val="00A06A2C"/>
    <w:rsid w:val="00A06CC5"/>
    <w:rsid w:val="00A06D3A"/>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1EC"/>
    <w:rsid w:val="00A31582"/>
    <w:rsid w:val="00A315DF"/>
    <w:rsid w:val="00A32453"/>
    <w:rsid w:val="00A32564"/>
    <w:rsid w:val="00A33A8D"/>
    <w:rsid w:val="00A34223"/>
    <w:rsid w:val="00A34F11"/>
    <w:rsid w:val="00A34F21"/>
    <w:rsid w:val="00A3509C"/>
    <w:rsid w:val="00A352DA"/>
    <w:rsid w:val="00A35E2F"/>
    <w:rsid w:val="00A36013"/>
    <w:rsid w:val="00A36159"/>
    <w:rsid w:val="00A369FF"/>
    <w:rsid w:val="00A36FB5"/>
    <w:rsid w:val="00A37891"/>
    <w:rsid w:val="00A40A51"/>
    <w:rsid w:val="00A415BA"/>
    <w:rsid w:val="00A419A8"/>
    <w:rsid w:val="00A42041"/>
    <w:rsid w:val="00A4230D"/>
    <w:rsid w:val="00A4379B"/>
    <w:rsid w:val="00A43CE2"/>
    <w:rsid w:val="00A441AA"/>
    <w:rsid w:val="00A4432A"/>
    <w:rsid w:val="00A44E17"/>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97B"/>
    <w:rsid w:val="00A70C6E"/>
    <w:rsid w:val="00A71251"/>
    <w:rsid w:val="00A719AA"/>
    <w:rsid w:val="00A71E7E"/>
    <w:rsid w:val="00A731B5"/>
    <w:rsid w:val="00A73DE3"/>
    <w:rsid w:val="00A73E67"/>
    <w:rsid w:val="00A747F9"/>
    <w:rsid w:val="00A74C2D"/>
    <w:rsid w:val="00A74D87"/>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CF9"/>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209A"/>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72B"/>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798"/>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281"/>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1B06"/>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7A"/>
    <w:rsid w:val="00B233F4"/>
    <w:rsid w:val="00B234EC"/>
    <w:rsid w:val="00B25CEA"/>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301"/>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5DA"/>
    <w:rsid w:val="00BD2EAC"/>
    <w:rsid w:val="00BD3421"/>
    <w:rsid w:val="00BD4BB3"/>
    <w:rsid w:val="00BD4EAE"/>
    <w:rsid w:val="00BD4FA5"/>
    <w:rsid w:val="00BD50FE"/>
    <w:rsid w:val="00BD5C33"/>
    <w:rsid w:val="00BD6804"/>
    <w:rsid w:val="00BD7F11"/>
    <w:rsid w:val="00BE17C6"/>
    <w:rsid w:val="00BE2498"/>
    <w:rsid w:val="00BE2BD3"/>
    <w:rsid w:val="00BE2E7C"/>
    <w:rsid w:val="00BE337B"/>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820"/>
    <w:rsid w:val="00BE7B48"/>
    <w:rsid w:val="00BF0B5F"/>
    <w:rsid w:val="00BF2FEE"/>
    <w:rsid w:val="00BF3269"/>
    <w:rsid w:val="00BF3381"/>
    <w:rsid w:val="00BF4B55"/>
    <w:rsid w:val="00BF667D"/>
    <w:rsid w:val="00BF68BB"/>
    <w:rsid w:val="00BF69D9"/>
    <w:rsid w:val="00BF6E25"/>
    <w:rsid w:val="00BF706E"/>
    <w:rsid w:val="00BF773F"/>
    <w:rsid w:val="00BF7E94"/>
    <w:rsid w:val="00C0149B"/>
    <w:rsid w:val="00C0169B"/>
    <w:rsid w:val="00C01727"/>
    <w:rsid w:val="00C01EA2"/>
    <w:rsid w:val="00C02357"/>
    <w:rsid w:val="00C03070"/>
    <w:rsid w:val="00C03EA1"/>
    <w:rsid w:val="00C046C5"/>
    <w:rsid w:val="00C06B11"/>
    <w:rsid w:val="00C06BCB"/>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B84"/>
    <w:rsid w:val="00C3485C"/>
    <w:rsid w:val="00C3486C"/>
    <w:rsid w:val="00C35376"/>
    <w:rsid w:val="00C3583A"/>
    <w:rsid w:val="00C35A5E"/>
    <w:rsid w:val="00C364D0"/>
    <w:rsid w:val="00C36C23"/>
    <w:rsid w:val="00C37A5F"/>
    <w:rsid w:val="00C407E5"/>
    <w:rsid w:val="00C40B65"/>
    <w:rsid w:val="00C4265A"/>
    <w:rsid w:val="00C42DAC"/>
    <w:rsid w:val="00C4342B"/>
    <w:rsid w:val="00C44A52"/>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209"/>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1E8"/>
    <w:rsid w:val="00C80361"/>
    <w:rsid w:val="00C8157D"/>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3F89"/>
    <w:rsid w:val="00C9454B"/>
    <w:rsid w:val="00C950E3"/>
    <w:rsid w:val="00C953F1"/>
    <w:rsid w:val="00C955F1"/>
    <w:rsid w:val="00C963DF"/>
    <w:rsid w:val="00C96DFE"/>
    <w:rsid w:val="00C96FE8"/>
    <w:rsid w:val="00C97151"/>
    <w:rsid w:val="00C9737D"/>
    <w:rsid w:val="00C976D1"/>
    <w:rsid w:val="00C97FDA"/>
    <w:rsid w:val="00CA015B"/>
    <w:rsid w:val="00CA067D"/>
    <w:rsid w:val="00CA0F81"/>
    <w:rsid w:val="00CA2C6A"/>
    <w:rsid w:val="00CA2D01"/>
    <w:rsid w:val="00CA308F"/>
    <w:rsid w:val="00CA3491"/>
    <w:rsid w:val="00CA3730"/>
    <w:rsid w:val="00CA3C52"/>
    <w:rsid w:val="00CA47AE"/>
    <w:rsid w:val="00CA511D"/>
    <w:rsid w:val="00CA563F"/>
    <w:rsid w:val="00CA5C24"/>
    <w:rsid w:val="00CA5FDD"/>
    <w:rsid w:val="00CA67BA"/>
    <w:rsid w:val="00CA71D4"/>
    <w:rsid w:val="00CB0326"/>
    <w:rsid w:val="00CB03C1"/>
    <w:rsid w:val="00CB142E"/>
    <w:rsid w:val="00CB1BA0"/>
    <w:rsid w:val="00CB1F95"/>
    <w:rsid w:val="00CB5569"/>
    <w:rsid w:val="00CB5B59"/>
    <w:rsid w:val="00CB5D29"/>
    <w:rsid w:val="00CB6019"/>
    <w:rsid w:val="00CB66F2"/>
    <w:rsid w:val="00CB675A"/>
    <w:rsid w:val="00CB6847"/>
    <w:rsid w:val="00CB6C8F"/>
    <w:rsid w:val="00CB6EC8"/>
    <w:rsid w:val="00CB7423"/>
    <w:rsid w:val="00CB782B"/>
    <w:rsid w:val="00CC082B"/>
    <w:rsid w:val="00CC0E77"/>
    <w:rsid w:val="00CC13BE"/>
    <w:rsid w:val="00CC2092"/>
    <w:rsid w:val="00CC285C"/>
    <w:rsid w:val="00CC291F"/>
    <w:rsid w:val="00CC2E28"/>
    <w:rsid w:val="00CC2EAF"/>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DDC"/>
    <w:rsid w:val="00CD2422"/>
    <w:rsid w:val="00CD2797"/>
    <w:rsid w:val="00CD2AB8"/>
    <w:rsid w:val="00CD2D4D"/>
    <w:rsid w:val="00CD3A5D"/>
    <w:rsid w:val="00CD3F0D"/>
    <w:rsid w:val="00CD4404"/>
    <w:rsid w:val="00CD4930"/>
    <w:rsid w:val="00CD4AF7"/>
    <w:rsid w:val="00CD4C8A"/>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42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1CF"/>
    <w:rsid w:val="00D06906"/>
    <w:rsid w:val="00D06EF0"/>
    <w:rsid w:val="00D07171"/>
    <w:rsid w:val="00D07742"/>
    <w:rsid w:val="00D10711"/>
    <w:rsid w:val="00D10B2F"/>
    <w:rsid w:val="00D117D5"/>
    <w:rsid w:val="00D11916"/>
    <w:rsid w:val="00D11D77"/>
    <w:rsid w:val="00D125A8"/>
    <w:rsid w:val="00D126F1"/>
    <w:rsid w:val="00D1276A"/>
    <w:rsid w:val="00D134FE"/>
    <w:rsid w:val="00D13D80"/>
    <w:rsid w:val="00D14329"/>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3CFA"/>
    <w:rsid w:val="00D54BD5"/>
    <w:rsid w:val="00D561A5"/>
    <w:rsid w:val="00D5699B"/>
    <w:rsid w:val="00D571F7"/>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B9C"/>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7681C"/>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2F39"/>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653"/>
    <w:rsid w:val="00DD399C"/>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1F9"/>
    <w:rsid w:val="00DF382D"/>
    <w:rsid w:val="00DF3BE8"/>
    <w:rsid w:val="00DF3F0D"/>
    <w:rsid w:val="00DF5CF5"/>
    <w:rsid w:val="00DF5E98"/>
    <w:rsid w:val="00DF5F03"/>
    <w:rsid w:val="00DF626D"/>
    <w:rsid w:val="00DF71CC"/>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2F33"/>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352"/>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EEB"/>
    <w:rsid w:val="00E56663"/>
    <w:rsid w:val="00E57636"/>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25D"/>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21A"/>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389"/>
    <w:rsid w:val="00EB4900"/>
    <w:rsid w:val="00EB5D80"/>
    <w:rsid w:val="00EB64EC"/>
    <w:rsid w:val="00EC044E"/>
    <w:rsid w:val="00EC0C14"/>
    <w:rsid w:val="00EC0FCB"/>
    <w:rsid w:val="00EC10DA"/>
    <w:rsid w:val="00EC25AE"/>
    <w:rsid w:val="00EC25D9"/>
    <w:rsid w:val="00EC2B42"/>
    <w:rsid w:val="00EC2B82"/>
    <w:rsid w:val="00EC3B8F"/>
    <w:rsid w:val="00EC3CBC"/>
    <w:rsid w:val="00EC5BF3"/>
    <w:rsid w:val="00EC5CA0"/>
    <w:rsid w:val="00EC642A"/>
    <w:rsid w:val="00EC651D"/>
    <w:rsid w:val="00EC6738"/>
    <w:rsid w:val="00EC6C95"/>
    <w:rsid w:val="00EC6D3B"/>
    <w:rsid w:val="00EC7330"/>
    <w:rsid w:val="00EC7372"/>
    <w:rsid w:val="00EC7FFE"/>
    <w:rsid w:val="00ED0706"/>
    <w:rsid w:val="00ED0EAC"/>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9C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6B5"/>
    <w:rsid w:val="00F1602E"/>
    <w:rsid w:val="00F160C8"/>
    <w:rsid w:val="00F16511"/>
    <w:rsid w:val="00F1684C"/>
    <w:rsid w:val="00F17435"/>
    <w:rsid w:val="00F17BCE"/>
    <w:rsid w:val="00F20633"/>
    <w:rsid w:val="00F210B8"/>
    <w:rsid w:val="00F211D8"/>
    <w:rsid w:val="00F21CB5"/>
    <w:rsid w:val="00F228DB"/>
    <w:rsid w:val="00F22DB1"/>
    <w:rsid w:val="00F23316"/>
    <w:rsid w:val="00F2385F"/>
    <w:rsid w:val="00F23B0A"/>
    <w:rsid w:val="00F23CCC"/>
    <w:rsid w:val="00F24527"/>
    <w:rsid w:val="00F24E11"/>
    <w:rsid w:val="00F25CFE"/>
    <w:rsid w:val="00F25E23"/>
    <w:rsid w:val="00F26CBF"/>
    <w:rsid w:val="00F272B6"/>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6D"/>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5C9B"/>
    <w:rsid w:val="00F66601"/>
    <w:rsid w:val="00F66BD7"/>
    <w:rsid w:val="00F6741B"/>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102"/>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5748"/>
    <w:rsid w:val="00F85C9F"/>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9C7"/>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142"/>
    <w:rsid w:val="00FC53DD"/>
    <w:rsid w:val="00FC6827"/>
    <w:rsid w:val="00FC6B14"/>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E7FBC"/>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table" w:customStyle="1" w:styleId="Tablaconcuadrcula3">
    <w:name w:val="Tabla con cuadrícula3"/>
    <w:basedOn w:val="Tablanormal"/>
    <w:next w:val="Tablaconcuadrcula"/>
    <w:uiPriority w:val="39"/>
    <w:rsid w:val="00A311EC"/>
    <w:pPr>
      <w:spacing w:after="0" w:line="240" w:lineRule="auto"/>
      <w:jc w:val="both"/>
    </w:pPr>
    <w:rPr>
      <w:rFonts w:ascii="Palatino Linotype" w:eastAsia="Palatino Linotype" w:hAnsi="Palatino Linotype" w:cs="Palatino Linotype"/>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32352"/>
    <w:rPr>
      <w:color w:val="605E5C"/>
      <w:shd w:val="clear" w:color="auto" w:fill="E1DFDD"/>
    </w:rPr>
  </w:style>
  <w:style w:type="character" w:customStyle="1" w:styleId="Mencinsinresolver9">
    <w:name w:val="Mención sin resolver9"/>
    <w:basedOn w:val="Fuentedeprrafopredeter"/>
    <w:uiPriority w:val="99"/>
    <w:semiHidden/>
    <w:unhideWhenUsed/>
    <w:rsid w:val="00F2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6082248">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28285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2136137">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5340665">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09626328">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205291">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617243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6878595">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5841187">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802234">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726401">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88906346">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35456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067023">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448331">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7003941">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40934">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4626505">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7634864">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08075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722095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juridica@cecytem.m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unidad.juridica@cecytem.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3BAD-4EC2-42DF-80AC-6A9A52C7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10531</Words>
  <Characters>56048</Characters>
  <Application>Microsoft Office Word</Application>
  <DocSecurity>0</DocSecurity>
  <Lines>1037</Lines>
  <Paragraphs>218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4</cp:revision>
  <cp:lastPrinted>2025-09-25T23:14:00Z</cp:lastPrinted>
  <dcterms:created xsi:type="dcterms:W3CDTF">2025-09-25T23:14:00Z</dcterms:created>
  <dcterms:modified xsi:type="dcterms:W3CDTF">2025-11-28T05:43:00Z</dcterms:modified>
</cp:coreProperties>
</file>