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5D74E" w14:textId="15D90195" w:rsidR="00797C7C" w:rsidRPr="00F12038" w:rsidRDefault="00797C7C" w:rsidP="00797C7C">
      <w:pPr>
        <w:spacing w:after="0" w:line="360" w:lineRule="auto"/>
        <w:contextualSpacing/>
        <w:jc w:val="both"/>
        <w:rPr>
          <w:rFonts w:ascii="Palatino Linotype" w:hAnsi="Palatino Linotype" w:cs="Tahoma"/>
          <w:kern w:val="0"/>
          <w14:ligatures w14:val="none"/>
        </w:rPr>
      </w:pPr>
      <w:r w:rsidRPr="00F12038">
        <w:rPr>
          <w:rFonts w:ascii="Palatino Linotype" w:hAnsi="Palatino Linotype" w:cs="Tahoma"/>
          <w:kern w:val="0"/>
          <w14:ligatures w14:val="none"/>
        </w:rPr>
        <w:t xml:space="preserve">Resolución del Pleno del Instituto de Transparencia, Acceso a la Información Pública y Protección de Datos Personales del Estado de México y Municipios, con domicilio en Metepec, Estado de México, de fecha </w:t>
      </w:r>
      <w:r w:rsidR="00E75C04" w:rsidRPr="00F12038">
        <w:rPr>
          <w:rFonts w:ascii="Palatino Linotype" w:hAnsi="Palatino Linotype" w:cs="Tahoma"/>
          <w:kern w:val="0"/>
          <w14:ligatures w14:val="none"/>
        </w:rPr>
        <w:t>veinte de agosto de dos mil veinticinco.</w:t>
      </w:r>
    </w:p>
    <w:p w14:paraId="3401ADCB" w14:textId="77777777" w:rsidR="00797C7C" w:rsidRPr="00F12038" w:rsidRDefault="00797C7C" w:rsidP="00797C7C">
      <w:pPr>
        <w:spacing w:after="0" w:line="360" w:lineRule="auto"/>
        <w:contextualSpacing/>
        <w:jc w:val="both"/>
        <w:rPr>
          <w:rFonts w:ascii="Palatino Linotype" w:hAnsi="Palatino Linotype" w:cs="Tahoma"/>
          <w:bCs/>
          <w:color w:val="FF0000"/>
          <w:kern w:val="0"/>
          <w14:ligatures w14:val="none"/>
        </w:rPr>
      </w:pPr>
    </w:p>
    <w:p w14:paraId="5F4D6490" w14:textId="73EE07A6" w:rsidR="00F12038" w:rsidRPr="00F12038" w:rsidRDefault="00797C7C" w:rsidP="00F12038">
      <w:pPr>
        <w:spacing w:after="0" w:line="360" w:lineRule="auto"/>
        <w:contextualSpacing/>
        <w:jc w:val="both"/>
        <w:rPr>
          <w:rFonts w:ascii="Palatino Linotype" w:hAnsi="Palatino Linotype" w:cs="Tahoma"/>
          <w:kern w:val="0"/>
          <w14:ligatures w14:val="none"/>
        </w:rPr>
      </w:pPr>
      <w:r w:rsidRPr="00F12038">
        <w:rPr>
          <w:rFonts w:ascii="Palatino Linotype" w:hAnsi="Palatino Linotype" w:cs="Tahoma"/>
          <w:b/>
          <w:bCs/>
          <w:kern w:val="0"/>
          <w14:ligatures w14:val="none"/>
        </w:rPr>
        <w:t>VISTO</w:t>
      </w:r>
      <w:r w:rsidRPr="00F12038">
        <w:rPr>
          <w:rFonts w:ascii="Palatino Linotype" w:hAnsi="Palatino Linotype" w:cs="Tahoma"/>
          <w:kern w:val="0"/>
          <w14:ligatures w14:val="none"/>
        </w:rPr>
        <w:t xml:space="preserve"> el expediente conformado con motivo de</w:t>
      </w:r>
      <w:r w:rsidR="00F12038" w:rsidRPr="00F12038">
        <w:rPr>
          <w:rFonts w:ascii="Palatino Linotype" w:hAnsi="Palatino Linotype" w:cs="Tahoma"/>
          <w:kern w:val="0"/>
          <w14:ligatures w14:val="none"/>
        </w:rPr>
        <w:t xml:space="preserve">l </w:t>
      </w:r>
      <w:r w:rsidR="00603C50">
        <w:rPr>
          <w:rFonts w:ascii="Palatino Linotype" w:hAnsi="Palatino Linotype" w:cs="Tahoma"/>
          <w:kern w:val="0"/>
          <w14:ligatures w14:val="none"/>
        </w:rPr>
        <w:t>Recurso de Revisión</w:t>
      </w:r>
      <w:r w:rsidR="00C84110" w:rsidRPr="00F12038">
        <w:rPr>
          <w:rFonts w:ascii="Palatino Linotype" w:hAnsi="Palatino Linotype" w:cs="Tahoma"/>
          <w:kern w:val="0"/>
          <w14:ligatures w14:val="none"/>
        </w:rPr>
        <w:t xml:space="preserve"> </w:t>
      </w:r>
      <w:bookmarkStart w:id="0" w:name="_Hlk203598315"/>
      <w:r w:rsidR="00F12038" w:rsidRPr="00603C50">
        <w:rPr>
          <w:rFonts w:ascii="Palatino Linotype" w:hAnsi="Palatino Linotype" w:cs="Tahoma"/>
          <w:b/>
          <w:kern w:val="0"/>
          <w14:ligatures w14:val="none"/>
        </w:rPr>
        <w:t>01861/INFOEM/ICR-33/IP/RR/2025</w:t>
      </w:r>
      <w:bookmarkEnd w:id="0"/>
      <w:r w:rsidRPr="00F12038">
        <w:rPr>
          <w:rFonts w:ascii="Palatino Linotype" w:hAnsi="Palatino Linotype" w:cs="Tahoma"/>
          <w:kern w:val="0"/>
          <w14:ligatures w14:val="none"/>
        </w:rPr>
        <w:t>, interpuesto p</w:t>
      </w:r>
      <w:r w:rsidRPr="00154811">
        <w:rPr>
          <w:rFonts w:ascii="Palatino Linotype" w:hAnsi="Palatino Linotype" w:cs="Tahoma"/>
          <w:kern w:val="0"/>
          <w14:ligatures w14:val="none"/>
        </w:rPr>
        <w:t xml:space="preserve">or </w:t>
      </w:r>
      <w:r w:rsidR="00154811" w:rsidRPr="00154811">
        <w:rPr>
          <w:rFonts w:ascii="Palatino Linotype" w:eastAsia="Calibri" w:hAnsi="Palatino Linotype" w:cs="Tahoma"/>
          <w:highlight w:val="black"/>
        </w:rPr>
        <w:t>XXXXXXX</w:t>
      </w:r>
      <w:bookmarkStart w:id="1" w:name="_GoBack"/>
      <w:bookmarkEnd w:id="1"/>
      <w:r w:rsidR="00F12038" w:rsidRPr="00F12038">
        <w:rPr>
          <w:rFonts w:ascii="Palatino Linotype" w:hAnsi="Palatino Linotype" w:cs="Tahoma"/>
          <w:kern w:val="0"/>
          <w14:ligatures w14:val="none"/>
        </w:rPr>
        <w:t xml:space="preserve">, en lo sucesivo la persona Recurrente o Solicitante, en contra de la respuesta del Sujeto Obligado, </w:t>
      </w:r>
      <w:r w:rsidR="00F12038" w:rsidRPr="00F12038">
        <w:rPr>
          <w:rFonts w:ascii="Palatino Linotype" w:hAnsi="Palatino Linotype" w:cs="Tahoma"/>
          <w:b/>
          <w:bCs/>
          <w:kern w:val="0"/>
          <w14:ligatures w14:val="none"/>
        </w:rPr>
        <w:t>Ayuntamiento de la Paz</w:t>
      </w:r>
      <w:r w:rsidR="00F12038" w:rsidRPr="00F12038">
        <w:rPr>
          <w:rFonts w:ascii="Palatino Linotype" w:hAnsi="Palatino Linotype" w:cs="Tahoma"/>
          <w:kern w:val="0"/>
          <w14:ligatures w14:val="none"/>
        </w:rPr>
        <w:t>, a la solicitud de acceso a la información pública 00105/LAPAZ/IP/2025, se emite la presente Resolución, con base en los Antecedentes y Considerandos que se exponen a continuación:</w:t>
      </w:r>
    </w:p>
    <w:p w14:paraId="1A250E78" w14:textId="3717C7D9" w:rsidR="00F12038" w:rsidRDefault="00F12038" w:rsidP="00797C7C">
      <w:pPr>
        <w:spacing w:after="0" w:line="360" w:lineRule="auto"/>
        <w:contextualSpacing/>
        <w:jc w:val="both"/>
        <w:rPr>
          <w:rFonts w:ascii="Palatino Linotype" w:hAnsi="Palatino Linotype" w:cs="Tahoma"/>
          <w:bCs/>
          <w:color w:val="FF0000"/>
          <w:kern w:val="0"/>
          <w14:ligatures w14:val="none"/>
        </w:rPr>
      </w:pPr>
    </w:p>
    <w:p w14:paraId="5E9FA4CC" w14:textId="77777777" w:rsidR="00797C7C" w:rsidRDefault="00797C7C" w:rsidP="00797C7C">
      <w:pPr>
        <w:tabs>
          <w:tab w:val="center" w:pos="4522"/>
          <w:tab w:val="left" w:pos="7245"/>
        </w:tabs>
        <w:spacing w:after="0" w:line="360" w:lineRule="auto"/>
        <w:contextualSpacing/>
        <w:jc w:val="center"/>
        <w:rPr>
          <w:rFonts w:ascii="Palatino Linotype" w:hAnsi="Palatino Linotype" w:cs="Tahoma"/>
          <w:b/>
          <w:kern w:val="0"/>
          <w14:ligatures w14:val="none"/>
        </w:rPr>
      </w:pPr>
      <w:r w:rsidRPr="00F12038">
        <w:rPr>
          <w:rFonts w:ascii="Palatino Linotype" w:hAnsi="Palatino Linotype" w:cs="Tahoma"/>
          <w:b/>
          <w:kern w:val="0"/>
          <w14:ligatures w14:val="none"/>
        </w:rPr>
        <w:t>A N T E C E D E N T E S</w:t>
      </w:r>
    </w:p>
    <w:p w14:paraId="603A570B" w14:textId="77777777" w:rsidR="00F12038" w:rsidRPr="00F12038" w:rsidRDefault="00F12038" w:rsidP="00797C7C">
      <w:pPr>
        <w:tabs>
          <w:tab w:val="center" w:pos="4522"/>
          <w:tab w:val="left" w:pos="7245"/>
        </w:tabs>
        <w:spacing w:after="0" w:line="360" w:lineRule="auto"/>
        <w:contextualSpacing/>
        <w:jc w:val="center"/>
        <w:rPr>
          <w:rFonts w:ascii="Palatino Linotype" w:hAnsi="Palatino Linotype" w:cs="Tahoma"/>
          <w:b/>
          <w:kern w:val="0"/>
          <w14:ligatures w14:val="none"/>
        </w:rPr>
      </w:pPr>
    </w:p>
    <w:p w14:paraId="4F85DB7E" w14:textId="77777777" w:rsidR="00F12038" w:rsidRPr="00F12038" w:rsidRDefault="00F12038" w:rsidP="00F12038">
      <w:pPr>
        <w:keepNext/>
        <w:keepLines/>
        <w:spacing w:after="0" w:line="360" w:lineRule="auto"/>
        <w:jc w:val="both"/>
        <w:outlineLvl w:val="1"/>
        <w:rPr>
          <w:rFonts w:ascii="Palatino Linotype" w:eastAsia="Calibri" w:hAnsi="Palatino Linotype" w:cstheme="majorBidi"/>
          <w:b/>
          <w:kern w:val="0"/>
          <w:szCs w:val="26"/>
          <w:lang w:val="es-ES"/>
          <w14:ligatures w14:val="none"/>
        </w:rPr>
      </w:pPr>
      <w:bookmarkStart w:id="2" w:name="_Toc190871536"/>
      <w:bookmarkStart w:id="3" w:name="_Toc193806600"/>
      <w:r w:rsidRPr="00F12038">
        <w:rPr>
          <w:rFonts w:ascii="Palatino Linotype" w:eastAsia="Calibri" w:hAnsi="Palatino Linotype" w:cstheme="majorBidi"/>
          <w:b/>
          <w:kern w:val="0"/>
          <w:szCs w:val="26"/>
          <w:lang w:val="es-ES"/>
          <w14:ligatures w14:val="none"/>
        </w:rPr>
        <w:t>I. Presentación de la solicitud de información</w:t>
      </w:r>
      <w:bookmarkEnd w:id="2"/>
      <w:bookmarkEnd w:id="3"/>
    </w:p>
    <w:p w14:paraId="5D424418" w14:textId="77777777" w:rsidR="00F12038" w:rsidRPr="00F12038" w:rsidRDefault="00F12038" w:rsidP="00F12038">
      <w:pPr>
        <w:spacing w:after="0" w:line="360" w:lineRule="auto"/>
        <w:jc w:val="both"/>
        <w:rPr>
          <w:rFonts w:ascii="Palatino Linotype" w:hAnsi="Palatino Linotype" w:cs="Tahoma"/>
          <w:color w:val="FF0000"/>
          <w:kern w:val="0"/>
          <w14:ligatures w14:val="none"/>
        </w:rPr>
      </w:pPr>
    </w:p>
    <w:p w14:paraId="523B25F5" w14:textId="77777777" w:rsidR="00F12038" w:rsidRPr="00F12038" w:rsidRDefault="00F12038" w:rsidP="00F12038">
      <w:pPr>
        <w:spacing w:after="0" w:line="360" w:lineRule="auto"/>
        <w:jc w:val="both"/>
        <w:rPr>
          <w:rFonts w:ascii="Palatino Linotype" w:eastAsia="Calibri" w:hAnsi="Palatino Linotype" w:cs="Tahoma"/>
          <w:kern w:val="0"/>
          <w14:ligatures w14:val="none"/>
        </w:rPr>
      </w:pPr>
      <w:r w:rsidRPr="00F12038">
        <w:rPr>
          <w:rFonts w:ascii="Palatino Linotype" w:eastAsia="Calibri" w:hAnsi="Palatino Linotype" w:cs="Tahoma"/>
          <w:kern w:val="0"/>
          <w14:ligatures w14:val="none"/>
        </w:rPr>
        <w:t xml:space="preserve">El once de febrero de dos mil veinticinco, </w:t>
      </w:r>
      <w:r w:rsidRPr="00F12038">
        <w:rPr>
          <w:rFonts w:ascii="Palatino Linotype" w:eastAsia="Calibri" w:hAnsi="Palatino Linotype" w:cs="Tahoma"/>
          <w:kern w:val="0"/>
          <w:lang w:val="es-ES"/>
          <w14:ligatures w14:val="none"/>
        </w:rPr>
        <w:t>se presentó una solicitud de información por la persona Recurrente, a través del Sistema de Acceso a la Información Mexiquense (SAIMEX),</w:t>
      </w:r>
      <w:r w:rsidRPr="00F12038">
        <w:rPr>
          <w:rFonts w:ascii="Palatino Linotype" w:eastAsia="Calibri" w:hAnsi="Palatino Linotype" w:cs="Times New Roman"/>
          <w:b/>
          <w:bCs/>
          <w:kern w:val="0"/>
          <w14:ligatures w14:val="none"/>
        </w:rPr>
        <w:t xml:space="preserve"> </w:t>
      </w:r>
      <w:r w:rsidRPr="00F12038">
        <w:rPr>
          <w:rFonts w:ascii="Palatino Linotype" w:eastAsia="Calibri" w:hAnsi="Palatino Linotype" w:cs="Tahoma"/>
          <w:kern w:val="0"/>
          <w:lang w:val="es-ES"/>
          <w14:ligatures w14:val="none"/>
        </w:rPr>
        <w:t>ante el</w:t>
      </w:r>
      <w:r w:rsidRPr="00F12038">
        <w:rPr>
          <w:rFonts w:ascii="Palatino Linotype" w:eastAsia="Calibri" w:hAnsi="Palatino Linotype" w:cs="Tahoma"/>
          <w:kern w:val="0"/>
          <w14:ligatures w14:val="none"/>
        </w:rPr>
        <w:t xml:space="preserve"> Ayuntamiento de la Paz, </w:t>
      </w:r>
      <w:r w:rsidRPr="00F12038">
        <w:rPr>
          <w:rFonts w:ascii="Palatino Linotype" w:hAnsi="Palatino Linotype" w:cs="Tahoma"/>
          <w:kern w:val="0"/>
          <w14:ligatures w14:val="none"/>
        </w:rPr>
        <w:t>en los siguientes términos:</w:t>
      </w:r>
    </w:p>
    <w:p w14:paraId="422C0EA8" w14:textId="77777777" w:rsidR="00F12038" w:rsidRPr="00F12038" w:rsidRDefault="00F12038" w:rsidP="00F12038">
      <w:pPr>
        <w:spacing w:after="0" w:line="360" w:lineRule="auto"/>
        <w:jc w:val="both"/>
        <w:rPr>
          <w:rFonts w:ascii="Palatino Linotype" w:hAnsi="Palatino Linotype" w:cs="Tahoma"/>
          <w:color w:val="FF0000"/>
          <w:kern w:val="0"/>
          <w14:ligatures w14:val="none"/>
        </w:rPr>
      </w:pPr>
    </w:p>
    <w:p w14:paraId="2F3B1707" w14:textId="77777777" w:rsidR="00F12038" w:rsidRPr="00F12038" w:rsidRDefault="00F12038" w:rsidP="00F12038">
      <w:pPr>
        <w:spacing w:after="0" w:line="360" w:lineRule="auto"/>
        <w:ind w:left="567" w:right="567"/>
        <w:jc w:val="both"/>
        <w:rPr>
          <w:rFonts w:ascii="Palatino Linotype" w:eastAsia="Times New Roman" w:hAnsi="Palatino Linotype" w:cs="Arial"/>
          <w:b/>
          <w:bCs/>
          <w:i/>
          <w:iCs/>
          <w:kern w:val="0"/>
          <w:sz w:val="20"/>
          <w:szCs w:val="20"/>
          <w:lang w:eastAsia="es-ES"/>
          <w14:ligatures w14:val="none"/>
        </w:rPr>
      </w:pPr>
      <w:r w:rsidRPr="00F12038">
        <w:rPr>
          <w:rFonts w:ascii="Palatino Linotype" w:hAnsi="Palatino Linotype" w:cs="Tahoma"/>
          <w:b/>
          <w:bCs/>
          <w:i/>
          <w:kern w:val="0"/>
          <w:sz w:val="20"/>
          <w:szCs w:val="20"/>
          <w14:ligatures w14:val="none"/>
        </w:rPr>
        <w:t>“</w:t>
      </w:r>
      <w:r w:rsidRPr="00F12038">
        <w:rPr>
          <w:rFonts w:ascii="Palatino Linotype" w:eastAsia="Times New Roman" w:hAnsi="Palatino Linotype" w:cs="Arial"/>
          <w:b/>
          <w:bCs/>
          <w:i/>
          <w:iCs/>
          <w:kern w:val="0"/>
          <w:sz w:val="20"/>
          <w:szCs w:val="20"/>
          <w:lang w:eastAsia="es-ES"/>
          <w14:ligatures w14:val="none"/>
        </w:rPr>
        <w:t>DESCRIPCIÓN CLARA Y PRECISA DE LA INFORMACIÓN SOLICITADA</w:t>
      </w:r>
    </w:p>
    <w:p w14:paraId="08EF32C6" w14:textId="77777777" w:rsidR="00F12038" w:rsidRPr="00F12038" w:rsidRDefault="00F12038" w:rsidP="00F12038">
      <w:pPr>
        <w:spacing w:after="0" w:line="360" w:lineRule="auto"/>
        <w:ind w:left="567" w:right="567"/>
        <w:jc w:val="both"/>
        <w:rPr>
          <w:rFonts w:ascii="Palatino Linotype" w:eastAsia="Times New Roman" w:hAnsi="Palatino Linotype" w:cs="Arial"/>
          <w:bCs/>
          <w:i/>
          <w:iCs/>
          <w:kern w:val="0"/>
          <w:sz w:val="20"/>
          <w:szCs w:val="20"/>
          <w:lang w:eastAsia="es-ES"/>
          <w14:ligatures w14:val="none"/>
        </w:rPr>
      </w:pPr>
      <w:bookmarkStart w:id="4" w:name="_Hlk168055945"/>
      <w:r w:rsidRPr="00F12038">
        <w:rPr>
          <w:rFonts w:ascii="Palatino Linotype" w:eastAsia="Times New Roman" w:hAnsi="Palatino Linotype" w:cs="Arial"/>
          <w:bCs/>
          <w:i/>
          <w:iCs/>
          <w:kern w:val="0"/>
          <w:sz w:val="20"/>
          <w:szCs w:val="20"/>
          <w:lang w:eastAsia="es-ES"/>
          <w14:ligatures w14:val="none"/>
        </w:rPr>
        <w:t>Convenio laboral firmado con el sindicato Suteym y el H ayuntamiento del año 2024” (Sic)</w:t>
      </w:r>
    </w:p>
    <w:p w14:paraId="5B7B977E" w14:textId="77777777" w:rsidR="00F12038" w:rsidRPr="00F12038" w:rsidRDefault="00F12038" w:rsidP="00F12038">
      <w:pPr>
        <w:tabs>
          <w:tab w:val="left" w:pos="4667"/>
        </w:tabs>
        <w:spacing w:after="0" w:line="360" w:lineRule="auto"/>
        <w:ind w:left="567" w:right="567"/>
        <w:jc w:val="both"/>
        <w:rPr>
          <w:rFonts w:ascii="Palatino Linotype" w:eastAsia="Times New Roman" w:hAnsi="Palatino Linotype" w:cs="Tahoma"/>
          <w:b/>
          <w:bCs/>
          <w:i/>
          <w:iCs/>
          <w:kern w:val="0"/>
          <w:sz w:val="20"/>
          <w:szCs w:val="20"/>
          <w:lang w:eastAsia="es-ES"/>
          <w14:ligatures w14:val="none"/>
        </w:rPr>
      </w:pPr>
    </w:p>
    <w:p w14:paraId="2F6F9424" w14:textId="77777777" w:rsidR="00F12038" w:rsidRPr="00F12038" w:rsidRDefault="00F12038" w:rsidP="00F12038">
      <w:pPr>
        <w:tabs>
          <w:tab w:val="left" w:pos="4667"/>
        </w:tabs>
        <w:spacing w:after="0" w:line="360" w:lineRule="auto"/>
        <w:ind w:left="567" w:right="567"/>
        <w:jc w:val="both"/>
        <w:rPr>
          <w:rFonts w:ascii="Palatino Linotype" w:eastAsia="Times New Roman" w:hAnsi="Palatino Linotype" w:cs="Tahoma"/>
          <w:b/>
          <w:bCs/>
          <w:i/>
          <w:iCs/>
          <w:kern w:val="0"/>
          <w:sz w:val="20"/>
          <w:szCs w:val="20"/>
          <w:lang w:eastAsia="es-ES"/>
          <w14:ligatures w14:val="none"/>
        </w:rPr>
      </w:pPr>
      <w:r w:rsidRPr="00F12038">
        <w:rPr>
          <w:rFonts w:ascii="Palatino Linotype" w:eastAsia="Times New Roman" w:hAnsi="Palatino Linotype" w:cs="Tahoma"/>
          <w:b/>
          <w:bCs/>
          <w:i/>
          <w:iCs/>
          <w:kern w:val="0"/>
          <w:sz w:val="20"/>
          <w:szCs w:val="20"/>
          <w:lang w:eastAsia="es-ES"/>
          <w14:ligatures w14:val="none"/>
        </w:rPr>
        <w:t>“MODALIDAD DE ENTREGA</w:t>
      </w:r>
    </w:p>
    <w:p w14:paraId="6692FAF9" w14:textId="77777777" w:rsidR="00F12038" w:rsidRPr="00F12038" w:rsidRDefault="00F12038" w:rsidP="00F12038">
      <w:pPr>
        <w:spacing w:after="0" w:line="360" w:lineRule="auto"/>
        <w:ind w:left="567" w:right="567"/>
        <w:jc w:val="both"/>
        <w:rPr>
          <w:rFonts w:ascii="Palatino Linotype" w:eastAsia="Times New Roman" w:hAnsi="Palatino Linotype" w:cs="Arial"/>
          <w:bCs/>
          <w:i/>
          <w:iCs/>
          <w:kern w:val="0"/>
          <w:sz w:val="20"/>
          <w:szCs w:val="20"/>
          <w:lang w:eastAsia="es-ES"/>
          <w14:ligatures w14:val="none"/>
        </w:rPr>
      </w:pPr>
      <w:r w:rsidRPr="00F12038">
        <w:rPr>
          <w:rFonts w:ascii="Palatino Linotype" w:eastAsia="Times New Roman" w:hAnsi="Palatino Linotype" w:cs="Arial"/>
          <w:bCs/>
          <w:i/>
          <w:iCs/>
          <w:kern w:val="0"/>
          <w:sz w:val="20"/>
          <w:szCs w:val="20"/>
          <w:lang w:eastAsia="es-ES"/>
          <w14:ligatures w14:val="none"/>
        </w:rPr>
        <w:t xml:space="preserve">A través del SAIMEX” </w:t>
      </w:r>
      <w:bookmarkEnd w:id="4"/>
    </w:p>
    <w:p w14:paraId="2FB310C1" w14:textId="77777777" w:rsidR="00F12038" w:rsidRPr="00F12038" w:rsidRDefault="00F12038" w:rsidP="00F12038">
      <w:pPr>
        <w:tabs>
          <w:tab w:val="left" w:pos="4667"/>
        </w:tabs>
        <w:spacing w:after="0" w:line="360" w:lineRule="auto"/>
        <w:ind w:right="567"/>
        <w:jc w:val="both"/>
        <w:rPr>
          <w:rFonts w:ascii="Palatino Linotype" w:eastAsia="Times New Roman" w:hAnsi="Palatino Linotype" w:cs="Tahoma"/>
          <w:b/>
          <w:bCs/>
          <w:color w:val="FF0000"/>
          <w:kern w:val="0"/>
          <w:szCs w:val="24"/>
          <w:lang w:eastAsia="es-ES"/>
          <w14:ligatures w14:val="none"/>
        </w:rPr>
      </w:pPr>
    </w:p>
    <w:p w14:paraId="03967DFB" w14:textId="77777777" w:rsidR="00F12038" w:rsidRPr="00F12038" w:rsidRDefault="00F12038" w:rsidP="00F12038">
      <w:pPr>
        <w:keepNext/>
        <w:keepLines/>
        <w:spacing w:after="0" w:line="360" w:lineRule="auto"/>
        <w:jc w:val="both"/>
        <w:outlineLvl w:val="1"/>
        <w:rPr>
          <w:rFonts w:ascii="Palatino Linotype" w:eastAsia="Times New Roman" w:hAnsi="Palatino Linotype" w:cstheme="majorBidi"/>
          <w:b/>
          <w:kern w:val="0"/>
          <w:szCs w:val="26"/>
          <w:lang w:eastAsia="es-ES"/>
          <w14:ligatures w14:val="none"/>
        </w:rPr>
      </w:pPr>
      <w:bookmarkStart w:id="5" w:name="_Toc190871537"/>
      <w:bookmarkStart w:id="6" w:name="_Toc193806601"/>
      <w:r w:rsidRPr="00F12038">
        <w:rPr>
          <w:rFonts w:ascii="Palatino Linotype" w:eastAsia="Times New Roman" w:hAnsi="Palatino Linotype" w:cstheme="majorBidi"/>
          <w:b/>
          <w:kern w:val="0"/>
          <w:szCs w:val="26"/>
          <w:lang w:eastAsia="es-ES"/>
          <w14:ligatures w14:val="none"/>
        </w:rPr>
        <w:t>II. Respuesta del Sujeto Obligado</w:t>
      </w:r>
      <w:bookmarkEnd w:id="5"/>
      <w:bookmarkEnd w:id="6"/>
    </w:p>
    <w:p w14:paraId="3F6BACB2" w14:textId="77777777" w:rsidR="00F12038" w:rsidRPr="00F12038" w:rsidRDefault="00F12038" w:rsidP="00F12038">
      <w:pPr>
        <w:tabs>
          <w:tab w:val="left" w:pos="4667"/>
        </w:tabs>
        <w:spacing w:after="0" w:line="360" w:lineRule="auto"/>
        <w:ind w:right="567"/>
        <w:jc w:val="both"/>
        <w:rPr>
          <w:rFonts w:ascii="Palatino Linotype" w:eastAsia="Times New Roman" w:hAnsi="Palatino Linotype" w:cs="Tahoma"/>
          <w:b/>
          <w:bCs/>
          <w:color w:val="FF0000"/>
          <w:kern w:val="0"/>
          <w:szCs w:val="24"/>
          <w:lang w:eastAsia="es-ES"/>
          <w14:ligatures w14:val="none"/>
        </w:rPr>
      </w:pPr>
    </w:p>
    <w:p w14:paraId="20CD1071" w14:textId="77777777" w:rsidR="00F12038" w:rsidRPr="00F12038" w:rsidRDefault="00F12038" w:rsidP="00F12038">
      <w:pPr>
        <w:autoSpaceDE w:val="0"/>
        <w:autoSpaceDN w:val="0"/>
        <w:adjustRightInd w:val="0"/>
        <w:spacing w:after="0" w:line="360" w:lineRule="auto"/>
        <w:contextualSpacing/>
        <w:jc w:val="both"/>
        <w:rPr>
          <w:rFonts w:ascii="Palatino Linotype" w:eastAsia="Times New Roman" w:hAnsi="Palatino Linotype" w:cs="Tahoma"/>
          <w:kern w:val="0"/>
          <w:lang w:eastAsia="es-ES"/>
          <w14:ligatures w14:val="none"/>
        </w:rPr>
      </w:pPr>
      <w:bookmarkStart w:id="7" w:name="_Hlk170906280"/>
      <w:r w:rsidRPr="00F12038">
        <w:rPr>
          <w:rFonts w:ascii="Palatino Linotype" w:eastAsia="Calibri" w:hAnsi="Palatino Linotype" w:cs="Tahoma"/>
          <w:kern w:val="0"/>
          <w14:ligatures w14:val="none"/>
        </w:rPr>
        <w:t xml:space="preserve">El veinte de febrero de dos mil veinticinco, el Sujeto Obligado notificó al Particular, mediante el </w:t>
      </w:r>
      <w:r w:rsidRPr="00F12038">
        <w:rPr>
          <w:rFonts w:ascii="Palatino Linotype" w:eastAsia="Times New Roman" w:hAnsi="Palatino Linotype" w:cs="Tahoma"/>
          <w:kern w:val="0"/>
          <w:lang w:eastAsia="es-ES"/>
          <w14:ligatures w14:val="none"/>
        </w:rPr>
        <w:t xml:space="preserve">Sistema de Acceso a la Información Mexiquense (SAIMEX), la respuesta a la solicitud de </w:t>
      </w:r>
      <w:r w:rsidRPr="00F12038">
        <w:rPr>
          <w:rFonts w:ascii="Palatino Linotype" w:eastAsia="Times New Roman" w:hAnsi="Palatino Linotype" w:cs="Tahoma"/>
          <w:kern w:val="0"/>
          <w:lang w:eastAsia="es-ES"/>
          <w14:ligatures w14:val="none"/>
        </w:rPr>
        <w:lastRenderedPageBreak/>
        <w:t>acceso a la información, a través de un escrito de la misma fecha, suscrito por la Titular de la Coordinación de la Unidad de Transparencia, por medio del cual menciona lo siguiente:</w:t>
      </w:r>
    </w:p>
    <w:p w14:paraId="75FC887A" w14:textId="77777777" w:rsidR="00F12038" w:rsidRPr="00F12038" w:rsidRDefault="00F12038" w:rsidP="00F12038">
      <w:pPr>
        <w:spacing w:after="0" w:line="360" w:lineRule="auto"/>
        <w:ind w:left="567" w:right="567"/>
        <w:jc w:val="both"/>
        <w:rPr>
          <w:rFonts w:ascii="Palatino Linotype" w:eastAsia="Times New Roman" w:hAnsi="Palatino Linotype" w:cs="Arial"/>
          <w:bCs/>
          <w:i/>
          <w:iCs/>
          <w:kern w:val="0"/>
          <w:sz w:val="20"/>
          <w:szCs w:val="20"/>
          <w:lang w:eastAsia="es-ES"/>
          <w14:ligatures w14:val="none"/>
        </w:rPr>
      </w:pPr>
    </w:p>
    <w:p w14:paraId="740CB0D2" w14:textId="77777777" w:rsidR="00F12038" w:rsidRPr="00F12038" w:rsidRDefault="00F12038" w:rsidP="00F12038">
      <w:pPr>
        <w:spacing w:after="0" w:line="360" w:lineRule="auto"/>
        <w:ind w:left="567" w:right="567"/>
        <w:jc w:val="both"/>
        <w:rPr>
          <w:rFonts w:ascii="Palatino Linotype" w:eastAsia="Times New Roman" w:hAnsi="Palatino Linotype" w:cs="Arial"/>
          <w:bCs/>
          <w:i/>
          <w:iCs/>
          <w:kern w:val="0"/>
          <w:sz w:val="20"/>
          <w:szCs w:val="20"/>
          <w:lang w:eastAsia="es-ES"/>
          <w14:ligatures w14:val="none"/>
        </w:rPr>
      </w:pPr>
      <w:r w:rsidRPr="00F12038">
        <w:rPr>
          <w:rFonts w:ascii="Palatino Linotype" w:eastAsia="Times New Roman" w:hAnsi="Palatino Linotype" w:cs="Arial"/>
          <w:bCs/>
          <w:i/>
          <w:iCs/>
          <w:kern w:val="0"/>
          <w:sz w:val="20"/>
          <w:szCs w:val="20"/>
          <w:lang w:eastAsia="es-ES"/>
          <w14:ligatures w14:val="none"/>
        </w:rPr>
        <w:t xml:space="preserve">“…Por este medio y de la manera más respetuosa hago de su conocimiento, que la información solicitada a través de este medio no es competencia de este sujeto obligado, ya que órgano al que menciona (sindicato) cuenta con su unidad interna de Transparencia, por lo cual me permito dirigirlo a su siguiente pagina y/o correo electrónico: SUTEYMLaPAz22.26@gmail.com </w:t>
      </w:r>
    </w:p>
    <w:p w14:paraId="25E855E9" w14:textId="77777777" w:rsidR="00F12038" w:rsidRPr="00F12038" w:rsidRDefault="00F12038" w:rsidP="00F12038">
      <w:pPr>
        <w:spacing w:after="0" w:line="360" w:lineRule="auto"/>
        <w:ind w:left="567" w:right="567"/>
        <w:jc w:val="both"/>
        <w:rPr>
          <w:rFonts w:ascii="Palatino Linotype" w:eastAsia="Times New Roman" w:hAnsi="Palatino Linotype" w:cs="Arial"/>
          <w:bCs/>
          <w:i/>
          <w:iCs/>
          <w:kern w:val="0"/>
          <w:sz w:val="20"/>
          <w:szCs w:val="20"/>
          <w:lang w:eastAsia="es-ES"/>
          <w14:ligatures w14:val="none"/>
        </w:rPr>
      </w:pPr>
    </w:p>
    <w:p w14:paraId="5D349B97" w14:textId="77777777" w:rsidR="00F12038" w:rsidRPr="00F12038" w:rsidRDefault="00F12038" w:rsidP="00F12038">
      <w:pPr>
        <w:spacing w:after="0" w:line="360" w:lineRule="auto"/>
        <w:ind w:left="567" w:right="567"/>
        <w:jc w:val="both"/>
        <w:rPr>
          <w:rFonts w:ascii="Palatino Linotype" w:eastAsia="Times New Roman" w:hAnsi="Palatino Linotype" w:cs="Arial"/>
          <w:bCs/>
          <w:i/>
          <w:iCs/>
          <w:kern w:val="0"/>
          <w:sz w:val="20"/>
          <w:szCs w:val="20"/>
          <w:lang w:eastAsia="es-ES"/>
          <w14:ligatures w14:val="none"/>
        </w:rPr>
      </w:pPr>
      <w:r w:rsidRPr="00F12038">
        <w:rPr>
          <w:rFonts w:ascii="Palatino Linotype" w:eastAsia="Times New Roman" w:hAnsi="Palatino Linotype" w:cs="Arial"/>
          <w:bCs/>
          <w:i/>
          <w:iCs/>
          <w:kern w:val="0"/>
          <w:sz w:val="20"/>
          <w:szCs w:val="20"/>
          <w:lang w:eastAsia="es-ES"/>
          <w14:ligatures w14:val="none"/>
        </w:rPr>
        <w:t>Sin otro punto que aclarar me despido recordándole que la Unidad de Transparencia se encuentra a sus órdenes…” (Sic)</w:t>
      </w:r>
    </w:p>
    <w:p w14:paraId="4641E8CA" w14:textId="77777777" w:rsidR="00F12038" w:rsidRPr="00F12038" w:rsidRDefault="00F12038" w:rsidP="00F12038">
      <w:pPr>
        <w:spacing w:after="0" w:line="360" w:lineRule="auto"/>
        <w:ind w:right="567"/>
        <w:jc w:val="both"/>
        <w:rPr>
          <w:rFonts w:ascii="Palatino Linotype" w:eastAsia="Times New Roman" w:hAnsi="Palatino Linotype" w:cs="Arial"/>
          <w:bCs/>
          <w:i/>
          <w:iCs/>
          <w:color w:val="FF0000"/>
          <w:kern w:val="0"/>
          <w:sz w:val="20"/>
          <w:szCs w:val="20"/>
          <w:lang w:eastAsia="es-ES"/>
          <w14:ligatures w14:val="none"/>
        </w:rPr>
      </w:pPr>
    </w:p>
    <w:p w14:paraId="698C6DAA" w14:textId="77777777" w:rsidR="00F12038" w:rsidRPr="00F12038" w:rsidRDefault="00F12038" w:rsidP="00F12038">
      <w:pPr>
        <w:keepNext/>
        <w:keepLines/>
        <w:spacing w:after="0" w:line="360" w:lineRule="auto"/>
        <w:jc w:val="both"/>
        <w:outlineLvl w:val="1"/>
        <w:rPr>
          <w:rFonts w:ascii="Palatino Linotype" w:eastAsia="Calibri" w:hAnsi="Palatino Linotype" w:cstheme="majorBidi"/>
          <w:b/>
          <w:kern w:val="0"/>
          <w:szCs w:val="26"/>
          <w14:ligatures w14:val="none"/>
        </w:rPr>
      </w:pPr>
      <w:bookmarkStart w:id="8" w:name="_Toc190871538"/>
      <w:bookmarkStart w:id="9" w:name="_Toc193806602"/>
      <w:bookmarkEnd w:id="7"/>
      <w:r w:rsidRPr="00F12038">
        <w:rPr>
          <w:rFonts w:ascii="Palatino Linotype" w:eastAsia="Calibri" w:hAnsi="Palatino Linotype" w:cstheme="majorBidi"/>
          <w:b/>
          <w:kern w:val="0"/>
          <w:szCs w:val="26"/>
          <w14:ligatures w14:val="none"/>
        </w:rPr>
        <w:t>III. Interposición del Recurso de Revisión</w:t>
      </w:r>
      <w:bookmarkEnd w:id="8"/>
      <w:bookmarkEnd w:id="9"/>
    </w:p>
    <w:p w14:paraId="4B57FC42" w14:textId="77777777" w:rsidR="00F12038" w:rsidRPr="00F12038" w:rsidRDefault="00F12038" w:rsidP="00F12038">
      <w:pPr>
        <w:spacing w:after="0" w:line="360" w:lineRule="auto"/>
        <w:jc w:val="both"/>
        <w:rPr>
          <w:rFonts w:ascii="Palatino Linotype" w:eastAsia="Times New Roman" w:hAnsi="Palatino Linotype" w:cs="Tahoma"/>
          <w:bCs/>
          <w:color w:val="FF0000"/>
          <w:kern w:val="0"/>
          <w:lang w:eastAsia="es-ES"/>
          <w14:ligatures w14:val="none"/>
        </w:rPr>
      </w:pPr>
    </w:p>
    <w:p w14:paraId="0975403A" w14:textId="77777777" w:rsidR="00F12038" w:rsidRPr="00F12038" w:rsidRDefault="00F12038" w:rsidP="00F12038">
      <w:pPr>
        <w:spacing w:after="0" w:line="360" w:lineRule="auto"/>
        <w:jc w:val="both"/>
        <w:rPr>
          <w:rFonts w:ascii="Palatino Linotype" w:eastAsia="Times New Roman" w:hAnsi="Palatino Linotype" w:cs="Tahoma"/>
          <w:b/>
          <w:bCs/>
          <w:kern w:val="0"/>
          <w:lang w:eastAsia="es-ES"/>
          <w14:ligatures w14:val="none"/>
        </w:rPr>
      </w:pPr>
      <w:r w:rsidRPr="00F12038">
        <w:rPr>
          <w:rFonts w:ascii="Palatino Linotype" w:eastAsia="Times New Roman" w:hAnsi="Palatino Linotype" w:cs="Tahoma"/>
          <w:bCs/>
          <w:kern w:val="0"/>
          <w:lang w:val="es-ES" w:eastAsia="es-ES"/>
          <w14:ligatures w14:val="none"/>
        </w:rPr>
        <w:t xml:space="preserve">El veinticuatro de febrero de dos mil veinticinco, se recibió </w:t>
      </w:r>
      <w:r w:rsidRPr="00F12038">
        <w:rPr>
          <w:rFonts w:ascii="Palatino Linotype" w:eastAsia="Times New Roman" w:hAnsi="Palatino Linotype" w:cs="Tahoma"/>
          <w:bCs/>
          <w:kern w:val="0"/>
          <w:lang w:eastAsia="es-ES"/>
          <w14:ligatures w14:val="none"/>
        </w:rPr>
        <w:t xml:space="preserve">en este Instituto, a través del </w:t>
      </w:r>
      <w:r w:rsidRPr="00F12038">
        <w:rPr>
          <w:rFonts w:ascii="Palatino Linotype" w:eastAsia="Times New Roman" w:hAnsi="Palatino Linotype" w:cs="Tahoma"/>
          <w:bCs/>
          <w:kern w:val="0"/>
          <w:lang w:val="es-ES" w:eastAsia="es-ES"/>
          <w14:ligatures w14:val="none"/>
        </w:rPr>
        <w:t>Sistema de Acceso a la Información Mexiquense (SAIMEX)</w:t>
      </w:r>
      <w:r w:rsidRPr="00F12038">
        <w:rPr>
          <w:rFonts w:ascii="Palatino Linotype" w:eastAsia="Times New Roman" w:hAnsi="Palatino Linotype" w:cs="Tahoma"/>
          <w:bCs/>
          <w:kern w:val="0"/>
          <w:lang w:eastAsia="es-ES"/>
          <w14:ligatures w14:val="none"/>
        </w:rPr>
        <w:t xml:space="preserve">, </w:t>
      </w:r>
      <w:r w:rsidRPr="00F12038">
        <w:rPr>
          <w:rFonts w:ascii="Palatino Linotype" w:eastAsia="Times New Roman" w:hAnsi="Palatino Linotype" w:cs="Tahoma"/>
          <w:b/>
          <w:bCs/>
          <w:kern w:val="0"/>
          <w:lang w:eastAsia="es-ES"/>
          <w14:ligatures w14:val="none"/>
        </w:rPr>
        <w:t>(ya que si bien, se tuvo por interpuesto el veintidós de dicho mes y año, este fue inhábil por lo que se tuvo por presentado el día hábil subsecuente)</w:t>
      </w:r>
      <w:r w:rsidRPr="00F12038">
        <w:rPr>
          <w:rFonts w:ascii="Palatino Linotype" w:eastAsia="Times New Roman" w:hAnsi="Palatino Linotype" w:cs="Tahoma"/>
          <w:bCs/>
          <w:kern w:val="0"/>
          <w:lang w:eastAsia="es-ES"/>
          <w14:ligatures w14:val="none"/>
        </w:rPr>
        <w:t xml:space="preserve"> el Recurso de Revisión interpuesto por la persona Recurrente, en contra de la respuesta del Sujeto Obligado</w:t>
      </w:r>
      <w:r w:rsidRPr="00F12038">
        <w:rPr>
          <w:rFonts w:ascii="Palatino Linotype" w:eastAsia="Calibri" w:hAnsi="Palatino Linotype" w:cs="Times New Roman"/>
          <w:kern w:val="0"/>
          <w14:ligatures w14:val="none"/>
        </w:rPr>
        <w:t xml:space="preserve">, </w:t>
      </w:r>
      <w:r w:rsidRPr="00F12038">
        <w:rPr>
          <w:rFonts w:ascii="Palatino Linotype" w:eastAsia="Times New Roman" w:hAnsi="Palatino Linotype" w:cs="Tahoma"/>
          <w:bCs/>
          <w:kern w:val="0"/>
          <w:lang w:eastAsia="es-ES"/>
          <w14:ligatures w14:val="none"/>
        </w:rPr>
        <w:t>en los siguientes términos:</w:t>
      </w:r>
    </w:p>
    <w:p w14:paraId="722DB926" w14:textId="77777777" w:rsidR="00F12038" w:rsidRPr="00F12038" w:rsidRDefault="00F12038" w:rsidP="00F12038">
      <w:pPr>
        <w:spacing w:after="0" w:line="360" w:lineRule="auto"/>
        <w:jc w:val="both"/>
        <w:rPr>
          <w:rFonts w:ascii="Palatino Linotype" w:eastAsia="Times New Roman" w:hAnsi="Palatino Linotype" w:cs="Tahoma"/>
          <w:b/>
          <w:bCs/>
          <w:color w:val="FF0000"/>
          <w:kern w:val="0"/>
          <w:lang w:val="es-ES" w:eastAsia="es-ES"/>
          <w14:ligatures w14:val="none"/>
        </w:rPr>
      </w:pPr>
    </w:p>
    <w:p w14:paraId="5F24DCF7" w14:textId="77777777" w:rsidR="00F12038" w:rsidRPr="00F12038" w:rsidRDefault="00F12038" w:rsidP="00F12038">
      <w:pPr>
        <w:spacing w:after="0" w:line="360" w:lineRule="auto"/>
        <w:ind w:left="567" w:right="567"/>
        <w:jc w:val="both"/>
        <w:rPr>
          <w:rFonts w:ascii="Palatino Linotype" w:eastAsia="Times New Roman" w:hAnsi="Palatino Linotype" w:cs="Tahoma"/>
          <w:b/>
          <w:bCs/>
          <w:i/>
          <w:iCs/>
          <w:kern w:val="0"/>
          <w:sz w:val="20"/>
          <w:szCs w:val="20"/>
          <w:lang w:eastAsia="es-ES"/>
          <w14:ligatures w14:val="none"/>
        </w:rPr>
      </w:pPr>
      <w:r w:rsidRPr="00F12038">
        <w:rPr>
          <w:rFonts w:ascii="Palatino Linotype" w:eastAsia="Times New Roman" w:hAnsi="Palatino Linotype" w:cs="Tahoma"/>
          <w:b/>
          <w:bCs/>
          <w:i/>
          <w:iCs/>
          <w:kern w:val="0"/>
          <w:sz w:val="20"/>
          <w:szCs w:val="20"/>
          <w:lang w:eastAsia="es-ES"/>
          <w14:ligatures w14:val="none"/>
        </w:rPr>
        <w:t>“ACTO IMPUGNADO</w:t>
      </w:r>
    </w:p>
    <w:p w14:paraId="243DDACE" w14:textId="77777777" w:rsidR="00F12038" w:rsidRPr="00F12038" w:rsidRDefault="00F12038" w:rsidP="00F12038">
      <w:pPr>
        <w:spacing w:after="0" w:line="360" w:lineRule="auto"/>
        <w:ind w:left="567" w:right="567"/>
        <w:jc w:val="both"/>
        <w:rPr>
          <w:rFonts w:ascii="Palatino Linotype" w:eastAsia="Times New Roman" w:hAnsi="Palatino Linotype" w:cs="Tahoma"/>
          <w:bCs/>
          <w:i/>
          <w:kern w:val="0"/>
          <w:sz w:val="20"/>
          <w:szCs w:val="20"/>
          <w:lang w:eastAsia="es-ES"/>
          <w14:ligatures w14:val="none"/>
        </w:rPr>
      </w:pPr>
      <w:r w:rsidRPr="00F12038">
        <w:rPr>
          <w:rFonts w:ascii="Palatino Linotype" w:eastAsia="Times New Roman" w:hAnsi="Palatino Linotype" w:cs="Tahoma"/>
          <w:bCs/>
          <w:i/>
          <w:kern w:val="0"/>
          <w:sz w:val="20"/>
          <w:szCs w:val="20"/>
          <w:lang w:eastAsia="es-ES"/>
          <w14:ligatures w14:val="none"/>
        </w:rPr>
        <w:t>RECURSO DE REVISION”  (Sic)</w:t>
      </w:r>
    </w:p>
    <w:p w14:paraId="73FFD9F7" w14:textId="77777777" w:rsidR="00F12038" w:rsidRPr="00F12038" w:rsidRDefault="00F12038" w:rsidP="00F12038">
      <w:pPr>
        <w:spacing w:after="0" w:line="360" w:lineRule="auto"/>
        <w:ind w:left="567" w:right="567"/>
        <w:jc w:val="both"/>
        <w:rPr>
          <w:rFonts w:ascii="Palatino Linotype" w:eastAsia="Times New Roman" w:hAnsi="Palatino Linotype" w:cs="Tahoma"/>
          <w:bCs/>
          <w:i/>
          <w:color w:val="FF0000"/>
          <w:kern w:val="0"/>
          <w:sz w:val="20"/>
          <w:szCs w:val="20"/>
          <w:lang w:eastAsia="es-ES"/>
          <w14:ligatures w14:val="none"/>
        </w:rPr>
      </w:pPr>
    </w:p>
    <w:p w14:paraId="3959BD5C" w14:textId="77777777" w:rsidR="00F12038" w:rsidRPr="00F12038" w:rsidRDefault="00F12038" w:rsidP="00F12038">
      <w:pPr>
        <w:spacing w:after="0" w:line="360" w:lineRule="auto"/>
        <w:ind w:left="567" w:right="567"/>
        <w:jc w:val="both"/>
        <w:rPr>
          <w:rFonts w:ascii="Palatino Linotype" w:eastAsia="Times New Roman" w:hAnsi="Palatino Linotype" w:cs="Tahoma"/>
          <w:b/>
          <w:bCs/>
          <w:i/>
          <w:kern w:val="0"/>
          <w:sz w:val="20"/>
          <w:szCs w:val="20"/>
          <w:lang w:eastAsia="es-ES"/>
          <w14:ligatures w14:val="none"/>
        </w:rPr>
      </w:pPr>
      <w:r w:rsidRPr="00F12038">
        <w:rPr>
          <w:rFonts w:ascii="Palatino Linotype" w:eastAsia="Times New Roman" w:hAnsi="Palatino Linotype" w:cs="Tahoma"/>
          <w:b/>
          <w:bCs/>
          <w:i/>
          <w:kern w:val="0"/>
          <w:sz w:val="20"/>
          <w:szCs w:val="20"/>
          <w:lang w:eastAsia="es-ES"/>
          <w14:ligatures w14:val="none"/>
        </w:rPr>
        <w:t>“RAZONES O MOTIVOS DE LA INCONFORMIDAD</w:t>
      </w:r>
    </w:p>
    <w:p w14:paraId="42C24A2A" w14:textId="77777777" w:rsidR="00F12038" w:rsidRPr="00F12038" w:rsidRDefault="00F12038" w:rsidP="00F12038">
      <w:pPr>
        <w:spacing w:after="0" w:line="360" w:lineRule="auto"/>
        <w:ind w:left="567" w:right="567"/>
        <w:jc w:val="both"/>
        <w:rPr>
          <w:rFonts w:ascii="Palatino Linotype" w:eastAsia="Times New Roman" w:hAnsi="Palatino Linotype" w:cs="Tahoma"/>
          <w:bCs/>
          <w:i/>
          <w:kern w:val="0"/>
          <w:sz w:val="20"/>
          <w:szCs w:val="20"/>
          <w:lang w:eastAsia="es-ES"/>
          <w14:ligatures w14:val="none"/>
        </w:rPr>
      </w:pPr>
      <w:r w:rsidRPr="00F12038">
        <w:rPr>
          <w:rFonts w:ascii="Palatino Linotype" w:eastAsia="Times New Roman" w:hAnsi="Palatino Linotype" w:cs="Tahoma"/>
          <w:bCs/>
          <w:i/>
          <w:kern w:val="0"/>
          <w:sz w:val="20"/>
          <w:szCs w:val="20"/>
          <w:lang w:eastAsia="es-ES"/>
          <w14:ligatures w14:val="none"/>
        </w:rPr>
        <w:t>LOS CONVENIOS SON FIRMADOS POR LA PRESIDENTA Y SECRETARIO DELA YUANTAMIENTO TENIENDO COMO RESULTADO UN CONVENIO LABORAL Y ES INFORMACION QUE DEBE DE ESTAR EN SUS ARCHIVOS” (Sic)</w:t>
      </w:r>
    </w:p>
    <w:p w14:paraId="32A3FBA2" w14:textId="77777777" w:rsidR="00F12038" w:rsidRPr="00F12038" w:rsidRDefault="00F12038" w:rsidP="00F12038">
      <w:pPr>
        <w:spacing w:after="0" w:line="360" w:lineRule="auto"/>
        <w:ind w:left="567" w:right="567"/>
        <w:jc w:val="both"/>
        <w:rPr>
          <w:rFonts w:ascii="Palatino Linotype" w:eastAsia="Times New Roman" w:hAnsi="Palatino Linotype" w:cs="Tahoma"/>
          <w:bCs/>
          <w:i/>
          <w:color w:val="FF0000"/>
          <w:kern w:val="0"/>
          <w:lang w:eastAsia="es-ES"/>
          <w14:ligatures w14:val="none"/>
        </w:rPr>
      </w:pPr>
    </w:p>
    <w:p w14:paraId="57F94F8A" w14:textId="77777777" w:rsidR="00F12038" w:rsidRPr="00F12038" w:rsidRDefault="00F12038" w:rsidP="00F12038">
      <w:pPr>
        <w:keepNext/>
        <w:keepLines/>
        <w:spacing w:after="0" w:line="360" w:lineRule="auto"/>
        <w:jc w:val="both"/>
        <w:outlineLvl w:val="1"/>
        <w:rPr>
          <w:rFonts w:ascii="Palatino Linotype" w:eastAsia="Batang" w:hAnsi="Palatino Linotype" w:cstheme="majorBidi"/>
          <w:b/>
          <w:kern w:val="0"/>
          <w:szCs w:val="26"/>
          <w14:ligatures w14:val="none"/>
        </w:rPr>
      </w:pPr>
      <w:bookmarkStart w:id="10" w:name="_Toc190871539"/>
      <w:bookmarkStart w:id="11" w:name="_Toc193806603"/>
      <w:r w:rsidRPr="00F12038">
        <w:rPr>
          <w:rFonts w:ascii="Palatino Linotype" w:eastAsia="Calibri" w:hAnsi="Palatino Linotype" w:cstheme="majorBidi"/>
          <w:b/>
          <w:kern w:val="0"/>
          <w:szCs w:val="26"/>
          <w14:ligatures w14:val="none"/>
        </w:rPr>
        <w:t xml:space="preserve">IV. </w:t>
      </w:r>
      <w:r w:rsidRPr="00F12038">
        <w:rPr>
          <w:rFonts w:ascii="Palatino Linotype" w:eastAsia="Batang" w:hAnsi="Palatino Linotype" w:cstheme="majorBidi"/>
          <w:b/>
          <w:kern w:val="0"/>
          <w:szCs w:val="26"/>
          <w14:ligatures w14:val="none"/>
        </w:rPr>
        <w:t>Trámite del Recurso de Revisión</w:t>
      </w:r>
      <w:r w:rsidRPr="00F12038">
        <w:rPr>
          <w:rFonts w:ascii="Palatino Linotype" w:eastAsia="Calibri" w:hAnsi="Palatino Linotype" w:cstheme="majorBidi"/>
          <w:b/>
          <w:kern w:val="0"/>
          <w:szCs w:val="26"/>
          <w14:ligatures w14:val="none"/>
        </w:rPr>
        <w:t xml:space="preserve"> </w:t>
      </w:r>
      <w:r w:rsidRPr="00F12038">
        <w:rPr>
          <w:rFonts w:ascii="Palatino Linotype" w:eastAsia="Batang" w:hAnsi="Palatino Linotype" w:cstheme="majorBidi"/>
          <w:b/>
          <w:kern w:val="0"/>
          <w:szCs w:val="26"/>
          <w14:ligatures w14:val="none"/>
        </w:rPr>
        <w:t>ante este Instituto</w:t>
      </w:r>
      <w:bookmarkEnd w:id="10"/>
      <w:bookmarkEnd w:id="11"/>
    </w:p>
    <w:p w14:paraId="126D4B3C" w14:textId="77777777" w:rsidR="00F12038" w:rsidRPr="00F12038" w:rsidRDefault="00F12038" w:rsidP="00F12038">
      <w:pPr>
        <w:spacing w:after="0" w:line="360" w:lineRule="auto"/>
        <w:jc w:val="both"/>
        <w:rPr>
          <w:rFonts w:ascii="Palatino Linotype" w:eastAsia="Batang" w:hAnsi="Palatino Linotype" w:cs="Tahoma"/>
          <w:bCs/>
          <w:kern w:val="0"/>
          <w14:ligatures w14:val="none"/>
        </w:rPr>
      </w:pPr>
    </w:p>
    <w:p w14:paraId="05EBF812" w14:textId="77777777" w:rsidR="00F12038" w:rsidRPr="00F12038" w:rsidRDefault="00F12038" w:rsidP="00F12038">
      <w:pPr>
        <w:spacing w:after="0" w:line="360" w:lineRule="auto"/>
        <w:jc w:val="both"/>
        <w:rPr>
          <w:rFonts w:ascii="Palatino Linotype" w:eastAsia="Times New Roman" w:hAnsi="Palatino Linotype" w:cs="Tahoma"/>
          <w:bCs/>
          <w:kern w:val="0"/>
          <w:lang w:val="es-ES" w:eastAsia="es-ES"/>
          <w14:ligatures w14:val="none"/>
        </w:rPr>
      </w:pPr>
      <w:bookmarkStart w:id="12" w:name="_Toc190871540"/>
      <w:bookmarkStart w:id="13" w:name="_Toc193806604"/>
      <w:r w:rsidRPr="00F12038">
        <w:rPr>
          <w:rFonts w:ascii="Palatino Linotype" w:eastAsiaTheme="majorEastAsia" w:hAnsi="Palatino Linotype" w:cstheme="majorBidi"/>
          <w:b/>
          <w:kern w:val="0"/>
          <w:szCs w:val="24"/>
          <w14:ligatures w14:val="none"/>
        </w:rPr>
        <w:lastRenderedPageBreak/>
        <w:t>a) Turno del Medio de Impugnación</w:t>
      </w:r>
      <w:bookmarkEnd w:id="12"/>
      <w:bookmarkEnd w:id="13"/>
      <w:r w:rsidRPr="00F12038">
        <w:rPr>
          <w:rFonts w:ascii="Palatino Linotype" w:eastAsia="Batang" w:hAnsi="Palatino Linotype" w:cs="Tahoma"/>
          <w:b/>
          <w:bCs/>
          <w:kern w:val="0"/>
          <w14:ligatures w14:val="none"/>
        </w:rPr>
        <w:t>.</w:t>
      </w:r>
      <w:r w:rsidRPr="00F12038">
        <w:rPr>
          <w:rFonts w:ascii="Palatino Linotype" w:eastAsia="Batang" w:hAnsi="Palatino Linotype" w:cs="Tahoma"/>
          <w:bCs/>
          <w:kern w:val="0"/>
          <w14:ligatures w14:val="none"/>
        </w:rPr>
        <w:t xml:space="preserve"> </w:t>
      </w:r>
      <w:r w:rsidRPr="00F12038">
        <w:rPr>
          <w:rFonts w:ascii="Palatino Linotype" w:eastAsia="Times New Roman" w:hAnsi="Palatino Linotype" w:cs="Tahoma"/>
          <w:bCs/>
          <w:kern w:val="0"/>
          <w:lang w:val="es-ES" w:eastAsia="es-ES"/>
          <w14:ligatures w14:val="none"/>
        </w:rPr>
        <w:t xml:space="preserve">El veintidós de febrero de dos mil veinticinco, </w:t>
      </w:r>
      <w:r w:rsidRPr="00F12038">
        <w:rPr>
          <w:rFonts w:ascii="Palatino Linotype" w:eastAsia="Batang" w:hAnsi="Palatino Linotype" w:cs="Tahoma"/>
          <w:bCs/>
          <w:kern w:val="0"/>
          <w14:ligatures w14:val="none"/>
        </w:rPr>
        <w:t xml:space="preserve">el </w:t>
      </w:r>
      <w:r w:rsidRPr="00F12038">
        <w:rPr>
          <w:rFonts w:ascii="Palatino Linotype" w:eastAsia="Calibri" w:hAnsi="Palatino Linotype" w:cs="Tahoma"/>
          <w:kern w:val="0"/>
          <w:lang w:val="es-ES"/>
          <w14:ligatures w14:val="none"/>
        </w:rPr>
        <w:t>Sistema de Acceso a la Información Mexiquense (SAIMEX),</w:t>
      </w:r>
      <w:r w:rsidRPr="00F12038">
        <w:rPr>
          <w:rFonts w:ascii="Palatino Linotype" w:eastAsia="Batang" w:hAnsi="Palatino Linotype" w:cs="Tahoma"/>
          <w:bCs/>
          <w:kern w:val="0"/>
          <w14:ligatures w14:val="none"/>
        </w:rPr>
        <w:t xml:space="preserve"> asignó el número de expediente</w:t>
      </w:r>
      <w:r w:rsidRPr="00F12038">
        <w:rPr>
          <w:rFonts w:ascii="Palatino Linotype" w:hAnsi="Palatino Linotype"/>
          <w:kern w:val="0"/>
          <w14:ligatures w14:val="none"/>
        </w:rPr>
        <w:t xml:space="preserve"> </w:t>
      </w:r>
      <w:r w:rsidRPr="00F12038">
        <w:rPr>
          <w:rFonts w:ascii="Palatino Linotype" w:eastAsia="Calibri" w:hAnsi="Palatino Linotype" w:cs="Tahoma"/>
          <w:b/>
          <w:bCs/>
          <w:kern w:val="0"/>
          <w14:ligatures w14:val="none"/>
        </w:rPr>
        <w:t>01861/INFOEM/IP/RR/2025</w:t>
      </w:r>
      <w:r w:rsidRPr="00F12038">
        <w:rPr>
          <w:rFonts w:ascii="Palatino Linotype" w:eastAsia="Batang" w:hAnsi="Palatino Linotype" w:cs="Tahoma"/>
          <w:bCs/>
          <w:kern w:val="0"/>
          <w14:ligatures w14:val="none"/>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489871A7" w14:textId="77777777" w:rsidR="00F12038" w:rsidRPr="00F12038" w:rsidRDefault="00F12038" w:rsidP="00F12038">
      <w:pPr>
        <w:spacing w:after="0" w:line="360" w:lineRule="auto"/>
        <w:jc w:val="both"/>
        <w:rPr>
          <w:rFonts w:ascii="Palatino Linotype" w:eastAsia="Batang" w:hAnsi="Palatino Linotype" w:cs="Tahoma"/>
          <w:bCs/>
          <w:color w:val="FF0000"/>
          <w:kern w:val="0"/>
          <w14:ligatures w14:val="none"/>
        </w:rPr>
      </w:pPr>
    </w:p>
    <w:p w14:paraId="1B4CE677" w14:textId="77777777" w:rsidR="00F12038" w:rsidRPr="00F12038" w:rsidRDefault="00F12038" w:rsidP="00F12038">
      <w:pPr>
        <w:spacing w:after="0" w:line="360" w:lineRule="auto"/>
        <w:jc w:val="both"/>
        <w:rPr>
          <w:rFonts w:ascii="Palatino Linotype" w:eastAsia="Batang" w:hAnsi="Palatino Linotype" w:cs="Tahoma"/>
          <w:bCs/>
          <w:kern w:val="0"/>
          <w14:ligatures w14:val="none"/>
        </w:rPr>
      </w:pPr>
      <w:bookmarkStart w:id="14" w:name="_Toc190871541"/>
      <w:bookmarkStart w:id="15" w:name="_Toc193806605"/>
      <w:r w:rsidRPr="00F12038">
        <w:rPr>
          <w:rFonts w:ascii="Palatino Linotype" w:eastAsiaTheme="majorEastAsia" w:hAnsi="Palatino Linotype" w:cstheme="majorBidi"/>
          <w:b/>
          <w:kern w:val="0"/>
          <w:szCs w:val="24"/>
          <w14:ligatures w14:val="none"/>
        </w:rPr>
        <w:t>b) Admisión del Recurso de Revisión</w:t>
      </w:r>
      <w:bookmarkEnd w:id="14"/>
      <w:bookmarkEnd w:id="15"/>
      <w:r w:rsidRPr="00F12038">
        <w:rPr>
          <w:rFonts w:ascii="Palatino Linotype" w:eastAsia="Times New Roman" w:hAnsi="Palatino Linotype" w:cs="Tahoma"/>
          <w:b/>
          <w:bCs/>
          <w:kern w:val="0"/>
          <w:lang w:val="es-ES_tradnl" w:eastAsia="es-ES"/>
          <w14:ligatures w14:val="none"/>
        </w:rPr>
        <w:t xml:space="preserve">. </w:t>
      </w:r>
      <w:r w:rsidRPr="00F12038">
        <w:rPr>
          <w:rFonts w:ascii="Palatino Linotype" w:eastAsia="Batang" w:hAnsi="Palatino Linotype" w:cs="Tahoma"/>
          <w:bCs/>
          <w:kern w:val="0"/>
          <w14:ligatures w14:val="none"/>
        </w:rPr>
        <w:t xml:space="preserve">El veintisiete de febrero de dos mil veinticinco, </w:t>
      </w:r>
      <w:r w:rsidRPr="00F12038">
        <w:rPr>
          <w:rFonts w:ascii="Palatino Linotype" w:eastAsia="Times New Roman" w:hAnsi="Palatino Linotype" w:cs="Tahoma"/>
          <w:bCs/>
          <w:kern w:val="0"/>
          <w:lang w:val="es-ES_tradnl" w:eastAsia="es-ES"/>
          <w14:ligatures w14:val="none"/>
        </w:rPr>
        <w:t xml:space="preserve">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7032320D" w14:textId="77777777" w:rsidR="00F12038" w:rsidRPr="00F12038" w:rsidRDefault="00F12038" w:rsidP="00F12038">
      <w:pPr>
        <w:widowControl w:val="0"/>
        <w:spacing w:after="0" w:line="360" w:lineRule="auto"/>
        <w:jc w:val="both"/>
        <w:rPr>
          <w:rFonts w:ascii="Palatino Linotype" w:eastAsia="Times New Roman" w:hAnsi="Palatino Linotype" w:cs="Tahoma"/>
          <w:b/>
          <w:color w:val="FF0000"/>
          <w:kern w:val="0"/>
          <w:lang w:eastAsia="es-ES"/>
          <w14:ligatures w14:val="none"/>
        </w:rPr>
      </w:pPr>
    </w:p>
    <w:p w14:paraId="50B72039" w14:textId="77777777" w:rsidR="00F12038" w:rsidRPr="00F12038" w:rsidRDefault="00F12038" w:rsidP="00F12038">
      <w:pPr>
        <w:spacing w:after="0" w:line="360" w:lineRule="auto"/>
        <w:jc w:val="both"/>
        <w:rPr>
          <w:rFonts w:ascii="Palatino Linotype" w:eastAsia="Times New Roman" w:hAnsi="Palatino Linotype" w:cs="Times New Roman"/>
          <w:kern w:val="0"/>
          <w14:ligatures w14:val="none"/>
        </w:rPr>
      </w:pPr>
      <w:bookmarkStart w:id="16" w:name="_Toc190871542"/>
      <w:bookmarkStart w:id="17" w:name="_Toc193806606"/>
      <w:r w:rsidRPr="00F12038">
        <w:rPr>
          <w:rFonts w:ascii="Palatino Linotype" w:eastAsiaTheme="majorEastAsia" w:hAnsi="Palatino Linotype" w:cstheme="majorBidi"/>
          <w:b/>
          <w:kern w:val="0"/>
          <w:szCs w:val="24"/>
          <w14:ligatures w14:val="none"/>
        </w:rPr>
        <w:t>c) Informe Justificado</w:t>
      </w:r>
      <w:bookmarkEnd w:id="16"/>
      <w:bookmarkEnd w:id="17"/>
      <w:r w:rsidRPr="00F12038">
        <w:rPr>
          <w:rFonts w:ascii="Palatino Linotype" w:eastAsia="Times New Roman" w:hAnsi="Palatino Linotype" w:cs="Times New Roman"/>
          <w:b/>
          <w:kern w:val="0"/>
          <w14:ligatures w14:val="none"/>
        </w:rPr>
        <w:t>.</w:t>
      </w:r>
      <w:r w:rsidRPr="00F12038">
        <w:rPr>
          <w:rFonts w:ascii="Palatino Linotype" w:eastAsia="Times New Roman" w:hAnsi="Palatino Linotype" w:cs="Times New Roman"/>
          <w:kern w:val="0"/>
          <w14:ligatures w14:val="none"/>
        </w:rPr>
        <w:t xml:space="preserve"> En cuatro de marzo de dos mil veinticinco, el Sujeto Obligado a través del SAIMEX, presentó en el apartado de Informe Justificado,  a través de la digitalización del oficio CESLP/202/02/25 del veintiocho de febrero de dos mil veinticinco, suscrito por el Secretario General de Sección de la Paz del </w:t>
      </w:r>
      <w:r w:rsidRPr="00F12038">
        <w:rPr>
          <w:rFonts w:ascii="Palatino Linotype" w:hAnsi="Palatino Linotype"/>
          <w:color w:val="000000" w:themeColor="text1"/>
          <w:kern w:val="0"/>
          <w14:ligatures w14:val="none"/>
        </w:rPr>
        <w:t xml:space="preserve">Sindicato Único de </w:t>
      </w:r>
      <w:r w:rsidRPr="00F12038">
        <w:rPr>
          <w:rFonts w:ascii="Palatino Linotype" w:hAnsi="Palatino Linotype" w:cs="Tahoma"/>
          <w:kern w:val="0"/>
          <w14:ligatures w14:val="none"/>
        </w:rPr>
        <w:t xml:space="preserve"> Trabajadores de los Poderes, Municipios e Instituciones Descentralizadas del Estado de México</w:t>
      </w:r>
      <w:r w:rsidRPr="00F12038">
        <w:rPr>
          <w:rFonts w:ascii="Palatino Linotype" w:eastAsia="Times New Roman" w:hAnsi="Palatino Linotype" w:cs="Times New Roman"/>
          <w:kern w:val="0"/>
          <w14:ligatures w14:val="none"/>
        </w:rPr>
        <w:t>, dirigido a la Titular de la Coordinación de la Unidad de Transparencia del Ayuntamiento, por medio del cual se menciona lo siguiente:</w:t>
      </w:r>
    </w:p>
    <w:p w14:paraId="1C5BFC28" w14:textId="77777777" w:rsidR="00F12038" w:rsidRPr="00F12038" w:rsidRDefault="00F12038" w:rsidP="00F12038">
      <w:pPr>
        <w:spacing w:after="0" w:line="360" w:lineRule="auto"/>
        <w:jc w:val="both"/>
        <w:rPr>
          <w:rFonts w:ascii="Palatino Linotype" w:eastAsia="Times New Roman" w:hAnsi="Palatino Linotype" w:cs="Times New Roman"/>
          <w:kern w:val="0"/>
          <w14:ligatures w14:val="none"/>
        </w:rPr>
      </w:pPr>
    </w:p>
    <w:p w14:paraId="0FE54F05" w14:textId="77777777" w:rsidR="00F12038" w:rsidRPr="00F12038" w:rsidRDefault="00F12038" w:rsidP="00F12038">
      <w:pPr>
        <w:spacing w:after="0" w:line="360" w:lineRule="auto"/>
        <w:ind w:left="567" w:right="567"/>
        <w:jc w:val="both"/>
        <w:rPr>
          <w:rFonts w:ascii="Palatino Linotype" w:eastAsia="Times New Roman" w:hAnsi="Palatino Linotype" w:cs="Arial"/>
          <w:bCs/>
          <w:i/>
          <w:iCs/>
          <w:kern w:val="0"/>
          <w:sz w:val="20"/>
          <w:szCs w:val="20"/>
          <w:lang w:eastAsia="es-ES"/>
          <w14:ligatures w14:val="none"/>
        </w:rPr>
      </w:pPr>
      <w:r w:rsidRPr="00F12038">
        <w:rPr>
          <w:rFonts w:ascii="Palatino Linotype" w:eastAsia="Times New Roman" w:hAnsi="Palatino Linotype" w:cs="Arial"/>
          <w:bCs/>
          <w:i/>
          <w:iCs/>
          <w:kern w:val="0"/>
          <w:sz w:val="20"/>
          <w:szCs w:val="20"/>
          <w:lang w:eastAsia="es-ES"/>
          <w14:ligatures w14:val="none"/>
        </w:rPr>
        <w:t xml:space="preserve">“…Por medio de la presente, me dirijo a usted de la forma más respetuosa para comunicarle que con base en su oficio LA PAZ/PM/UT/2025/00024 recibido con fecha el día 21 de febrero del 2025, hacemos mención que solo se han firmado los convenios 2022, 2023 y 2024, aun estan pendiente las firmas de los convenios 2025 y 2026 por lo cuál no se puede atender a su petición. Reitero que estamos en la mejor disponibilidad de trabajo y colaboración con la administración actual, también informarle </w:t>
      </w:r>
      <w:r w:rsidRPr="00F12038">
        <w:rPr>
          <w:rFonts w:ascii="Palatino Linotype" w:eastAsia="Times New Roman" w:hAnsi="Palatino Linotype" w:cs="Arial"/>
          <w:bCs/>
          <w:i/>
          <w:iCs/>
          <w:kern w:val="0"/>
          <w:sz w:val="20"/>
          <w:szCs w:val="20"/>
          <w:lang w:eastAsia="es-ES"/>
          <w14:ligatures w14:val="none"/>
        </w:rPr>
        <w:lastRenderedPageBreak/>
        <w:t>que el área de presidencia cuentan con los convenios originales 2022, 2023 y 2024 si los requiere…” (Sic)</w:t>
      </w:r>
    </w:p>
    <w:p w14:paraId="6B15270A" w14:textId="77777777" w:rsidR="00F12038" w:rsidRPr="00F12038" w:rsidRDefault="00F12038" w:rsidP="00F12038">
      <w:pPr>
        <w:spacing w:after="0" w:line="360" w:lineRule="auto"/>
        <w:jc w:val="both"/>
        <w:rPr>
          <w:rFonts w:ascii="Palatino Linotype" w:eastAsia="Times New Roman" w:hAnsi="Palatino Linotype" w:cs="Times New Roman"/>
          <w:color w:val="FF0000"/>
          <w:kern w:val="0"/>
          <w14:ligatures w14:val="none"/>
        </w:rPr>
      </w:pPr>
    </w:p>
    <w:p w14:paraId="25879BA0" w14:textId="77777777" w:rsidR="00F12038" w:rsidRPr="00F12038" w:rsidRDefault="00F12038" w:rsidP="00F12038">
      <w:pPr>
        <w:spacing w:after="0" w:line="360" w:lineRule="auto"/>
        <w:jc w:val="both"/>
        <w:rPr>
          <w:rFonts w:ascii="Palatino Linotype" w:eastAsia="Times New Roman" w:hAnsi="Palatino Linotype" w:cs="Times New Roman"/>
          <w:b/>
          <w:bCs/>
          <w:kern w:val="0"/>
          <w14:ligatures w14:val="none"/>
        </w:rPr>
      </w:pPr>
      <w:bookmarkStart w:id="18" w:name="_Toc190871543"/>
      <w:bookmarkStart w:id="19" w:name="_Toc193806607"/>
      <w:r w:rsidRPr="00F12038">
        <w:rPr>
          <w:rFonts w:ascii="Palatino Linotype" w:eastAsiaTheme="majorEastAsia" w:hAnsi="Palatino Linotype" w:cstheme="majorBidi"/>
          <w:b/>
          <w:kern w:val="0"/>
          <w:szCs w:val="24"/>
          <w14:ligatures w14:val="none"/>
        </w:rPr>
        <w:t>d) Vista al Informe Justificado</w:t>
      </w:r>
      <w:bookmarkEnd w:id="18"/>
      <w:bookmarkEnd w:id="19"/>
      <w:r w:rsidRPr="00F12038">
        <w:rPr>
          <w:rFonts w:ascii="Palatino Linotype" w:eastAsia="Times New Roman" w:hAnsi="Palatino Linotype" w:cs="Times New Roman"/>
          <w:b/>
          <w:kern w:val="0"/>
          <w14:ligatures w14:val="none"/>
        </w:rPr>
        <w:t xml:space="preserve">. </w:t>
      </w:r>
      <w:r w:rsidRPr="00F12038">
        <w:rPr>
          <w:rFonts w:ascii="Palatino Linotype" w:eastAsia="Times New Roman" w:hAnsi="Palatino Linotype" w:cs="Times New Roman"/>
          <w:kern w:val="0"/>
          <w14:ligatures w14:val="none"/>
        </w:rPr>
        <w:t>El veinticinco de marzo de dos mil veinticinco, se notificó a través del SAIMEX, el acuerdo mediante el cual se puso a la vista del Particular el Informe Justificado, proveído por el cual se le otorgó a este último, un término de tres días hábiles contados a partir del día siguiente a la notificación, a fin de emitir las manifestaciones que conforme a sus intereses convinieran.</w:t>
      </w:r>
      <w:r w:rsidRPr="00F12038">
        <w:rPr>
          <w:rFonts w:ascii="Palatino Linotype" w:hAnsi="Palatino Linotype"/>
          <w:kern w:val="0"/>
          <w14:ligatures w14:val="none"/>
        </w:rPr>
        <w:t xml:space="preserve"> </w:t>
      </w:r>
    </w:p>
    <w:p w14:paraId="5E6A1FAA" w14:textId="77777777" w:rsidR="00F12038" w:rsidRPr="00F12038" w:rsidRDefault="00F12038" w:rsidP="00F12038">
      <w:pPr>
        <w:spacing w:after="0" w:line="360" w:lineRule="auto"/>
        <w:jc w:val="both"/>
        <w:rPr>
          <w:rFonts w:ascii="Palatino Linotype" w:eastAsia="Times New Roman" w:hAnsi="Palatino Linotype" w:cs="Tahoma"/>
          <w:b/>
          <w:color w:val="FF0000"/>
          <w:kern w:val="0"/>
          <w:lang w:eastAsia="es-ES"/>
          <w14:ligatures w14:val="none"/>
        </w:rPr>
      </w:pPr>
    </w:p>
    <w:p w14:paraId="284DB518" w14:textId="77777777" w:rsidR="00F12038" w:rsidRPr="00F12038" w:rsidRDefault="00F12038" w:rsidP="00F12038">
      <w:pPr>
        <w:widowControl w:val="0"/>
        <w:spacing w:after="0" w:line="360" w:lineRule="auto"/>
        <w:jc w:val="both"/>
        <w:rPr>
          <w:rFonts w:ascii="Palatino Linotype" w:eastAsia="Times New Roman" w:hAnsi="Palatino Linotype" w:cs="Tahoma"/>
          <w:kern w:val="0"/>
          <w:lang w:eastAsia="es-ES"/>
          <w14:ligatures w14:val="none"/>
        </w:rPr>
      </w:pPr>
      <w:bookmarkStart w:id="20" w:name="_Toc190871544"/>
      <w:bookmarkStart w:id="21" w:name="_Toc193806608"/>
      <w:r w:rsidRPr="00F12038">
        <w:rPr>
          <w:rFonts w:ascii="Palatino Linotype" w:eastAsiaTheme="majorEastAsia" w:hAnsi="Palatino Linotype" w:cstheme="majorBidi"/>
          <w:b/>
          <w:kern w:val="0"/>
          <w:szCs w:val="24"/>
          <w14:ligatures w14:val="none"/>
        </w:rPr>
        <w:t>e) Cierre de instrucción</w:t>
      </w:r>
      <w:bookmarkEnd w:id="20"/>
      <w:bookmarkEnd w:id="21"/>
      <w:r w:rsidRPr="00F12038">
        <w:rPr>
          <w:rFonts w:ascii="Palatino Linotype" w:eastAsia="Times New Roman" w:hAnsi="Palatino Linotype" w:cs="Tahoma"/>
          <w:b/>
          <w:kern w:val="0"/>
          <w:lang w:eastAsia="es-ES"/>
          <w14:ligatures w14:val="none"/>
        </w:rPr>
        <w:t>.</w:t>
      </w:r>
      <w:r w:rsidRPr="00F12038">
        <w:rPr>
          <w:rFonts w:ascii="Palatino Linotype" w:eastAsia="Times New Roman" w:hAnsi="Palatino Linotype" w:cs="Tahoma"/>
          <w:kern w:val="0"/>
          <w:lang w:eastAsia="es-ES"/>
          <w14:ligatures w14:val="none"/>
        </w:rPr>
        <w:t xml:space="preserve"> El cuatro de abril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F12038">
        <w:rPr>
          <w:rFonts w:ascii="Palatino Linotype" w:eastAsia="Times New Roman" w:hAnsi="Palatino Linotype" w:cs="Tahoma"/>
          <w:kern w:val="0"/>
          <w:lang w:val="es-ES" w:eastAsia="es-ES"/>
          <w14:ligatures w14:val="none"/>
        </w:rPr>
        <w:t>Sistema de Acceso a la Información Mexiquense (SAIMEX)</w:t>
      </w:r>
      <w:r w:rsidRPr="00F12038">
        <w:rPr>
          <w:rFonts w:ascii="Palatino Linotype" w:eastAsia="Times New Roman" w:hAnsi="Palatino Linotype" w:cs="Tahoma"/>
          <w:kern w:val="0"/>
          <w:lang w:eastAsia="es-ES"/>
          <w14:ligatures w14:val="none"/>
        </w:rPr>
        <w:t xml:space="preserve">. </w:t>
      </w:r>
    </w:p>
    <w:p w14:paraId="4349F860" w14:textId="77777777" w:rsidR="00CA3D8D" w:rsidRPr="00F12038" w:rsidRDefault="00CA3D8D" w:rsidP="00CA3D8D">
      <w:pPr>
        <w:spacing w:after="0" w:line="360" w:lineRule="auto"/>
        <w:jc w:val="both"/>
        <w:rPr>
          <w:rFonts w:ascii="Palatino Linotype" w:hAnsi="Palatino Linotype" w:cs="Tahoma"/>
          <w:iCs/>
          <w:color w:val="FF0000"/>
          <w:kern w:val="0"/>
          <w:lang w:val="es-ES"/>
          <w14:ligatures w14:val="none"/>
        </w:rPr>
      </w:pPr>
    </w:p>
    <w:p w14:paraId="25A563E1" w14:textId="43B523EB" w:rsidR="00797C7C" w:rsidRPr="00F12038" w:rsidRDefault="00F12038" w:rsidP="00797C7C">
      <w:pPr>
        <w:spacing w:after="0" w:line="360" w:lineRule="auto"/>
        <w:jc w:val="both"/>
        <w:rPr>
          <w:rFonts w:ascii="Palatino Linotype" w:eastAsia="Times New Roman" w:hAnsi="Palatino Linotype" w:cs="Tahoma"/>
          <w:bCs/>
          <w:kern w:val="0"/>
          <w:lang w:eastAsia="es-ES"/>
          <w14:ligatures w14:val="none"/>
        </w:rPr>
      </w:pPr>
      <w:r w:rsidRPr="00F12038">
        <w:rPr>
          <w:rFonts w:ascii="Palatino Linotype" w:eastAsia="Times New Roman" w:hAnsi="Palatino Linotype" w:cs="Tahoma"/>
          <w:b/>
          <w:kern w:val="0"/>
          <w:lang w:eastAsia="es-ES"/>
          <w14:ligatures w14:val="none"/>
        </w:rPr>
        <w:t>f</w:t>
      </w:r>
      <w:r w:rsidR="00797C7C" w:rsidRPr="00F12038">
        <w:rPr>
          <w:rFonts w:ascii="Palatino Linotype" w:eastAsia="Times New Roman" w:hAnsi="Palatino Linotype" w:cs="Tahoma"/>
          <w:b/>
          <w:kern w:val="0"/>
          <w:lang w:eastAsia="es-ES"/>
          <w14:ligatures w14:val="none"/>
        </w:rPr>
        <w:t xml:space="preserve">) </w:t>
      </w:r>
      <w:r w:rsidR="00797C7C" w:rsidRPr="00F12038">
        <w:rPr>
          <w:rFonts w:ascii="Palatino Linotype" w:eastAsia="Times New Roman" w:hAnsi="Palatino Linotype" w:cs="Tahoma"/>
          <w:b/>
          <w:bCs/>
          <w:kern w:val="0"/>
          <w:lang w:eastAsia="es-ES"/>
          <w14:ligatures w14:val="none"/>
        </w:rPr>
        <w:t xml:space="preserve">Notificación de la Resolución del Recurso de Revisión. </w:t>
      </w:r>
      <w:r w:rsidR="00797C7C" w:rsidRPr="00F12038">
        <w:rPr>
          <w:rFonts w:ascii="Palatino Linotype" w:eastAsia="Times New Roman" w:hAnsi="Palatino Linotype" w:cs="Tahoma"/>
          <w:bCs/>
          <w:kern w:val="0"/>
          <w:lang w:eastAsia="es-ES"/>
          <w14:ligatures w14:val="none"/>
        </w:rPr>
        <w:t xml:space="preserve">El </w:t>
      </w:r>
      <w:r w:rsidR="00CA3D8D" w:rsidRPr="00F12038">
        <w:rPr>
          <w:rFonts w:ascii="Palatino Linotype" w:eastAsia="Times New Roman" w:hAnsi="Palatino Linotype" w:cs="Tahoma"/>
          <w:bCs/>
          <w:kern w:val="0"/>
          <w:lang w:eastAsia="es-ES"/>
          <w14:ligatures w14:val="none"/>
        </w:rPr>
        <w:t xml:space="preserve">siete de </w:t>
      </w:r>
      <w:r w:rsidRPr="00F12038">
        <w:rPr>
          <w:rFonts w:ascii="Palatino Linotype" w:eastAsia="Times New Roman" w:hAnsi="Palatino Linotype" w:cs="Tahoma"/>
          <w:bCs/>
          <w:kern w:val="0"/>
          <w:lang w:eastAsia="es-ES"/>
          <w14:ligatures w14:val="none"/>
        </w:rPr>
        <w:t xml:space="preserve">abril </w:t>
      </w:r>
      <w:r w:rsidR="00CA3D8D" w:rsidRPr="00F12038">
        <w:rPr>
          <w:rFonts w:ascii="Palatino Linotype" w:eastAsia="Times New Roman" w:hAnsi="Palatino Linotype" w:cs="Tahoma"/>
          <w:bCs/>
          <w:kern w:val="0"/>
          <w:lang w:eastAsia="es-ES"/>
          <w14:ligatures w14:val="none"/>
        </w:rPr>
        <w:t xml:space="preserve">de dos mil veinticinco, </w:t>
      </w:r>
      <w:r w:rsidR="00797C7C" w:rsidRPr="00F12038">
        <w:rPr>
          <w:rFonts w:ascii="Palatino Linotype" w:eastAsia="Times New Roman" w:hAnsi="Palatino Linotype" w:cs="Tahoma"/>
          <w:bCs/>
          <w:kern w:val="0"/>
          <w:lang w:eastAsia="es-ES"/>
          <w14:ligatures w14:val="none"/>
        </w:rPr>
        <w:t xml:space="preserve">se notificó por medio del Sistema de Acceso a la Información Mexiquense </w:t>
      </w:r>
      <w:r w:rsidR="00797C7C" w:rsidRPr="00F12038">
        <w:rPr>
          <w:rFonts w:ascii="Palatino Linotype" w:eastAsia="Times New Roman" w:hAnsi="Palatino Linotype" w:cs="Tahoma"/>
          <w:bCs/>
          <w:kern w:val="0"/>
          <w:lang w:val="es-ES" w:eastAsia="es-ES"/>
          <w14:ligatures w14:val="none"/>
        </w:rPr>
        <w:t>(SAIMEX)</w:t>
      </w:r>
      <w:r w:rsidR="00797C7C" w:rsidRPr="00F12038">
        <w:rPr>
          <w:rFonts w:ascii="Palatino Linotype" w:eastAsia="Times New Roman" w:hAnsi="Palatino Linotype" w:cs="Tahoma"/>
          <w:bCs/>
          <w:kern w:val="0"/>
          <w:lang w:eastAsia="es-ES"/>
          <w14:ligatures w14:val="none"/>
        </w:rPr>
        <w:t>, a las partes, la resolución del Medio de Impugnación previamente referido.</w:t>
      </w:r>
    </w:p>
    <w:p w14:paraId="54F56EF3" w14:textId="77777777" w:rsidR="00797C7C" w:rsidRPr="00F12038" w:rsidRDefault="00797C7C" w:rsidP="00797C7C">
      <w:pPr>
        <w:spacing w:after="0" w:line="360" w:lineRule="auto"/>
        <w:jc w:val="both"/>
        <w:rPr>
          <w:rFonts w:ascii="Palatino Linotype" w:eastAsia="Times New Roman" w:hAnsi="Palatino Linotype" w:cs="Tahoma"/>
          <w:bCs/>
          <w:color w:val="FF0000"/>
          <w:kern w:val="0"/>
          <w:lang w:eastAsia="es-ES"/>
          <w14:ligatures w14:val="none"/>
        </w:rPr>
      </w:pPr>
    </w:p>
    <w:p w14:paraId="66AE53AA" w14:textId="60D25EB4" w:rsidR="00797C7C" w:rsidRPr="00F12038" w:rsidRDefault="00797C7C" w:rsidP="00797C7C">
      <w:pPr>
        <w:spacing w:after="0" w:line="360" w:lineRule="auto"/>
        <w:jc w:val="both"/>
        <w:rPr>
          <w:rFonts w:ascii="Palatino Linotype" w:eastAsia="Times New Roman" w:hAnsi="Palatino Linotype" w:cs="Tahoma"/>
          <w:b/>
          <w:kern w:val="0"/>
          <w:lang w:eastAsia="es-ES"/>
          <w14:ligatures w14:val="none"/>
        </w:rPr>
      </w:pPr>
      <w:r w:rsidRPr="00F12038">
        <w:rPr>
          <w:rFonts w:ascii="Palatino Linotype" w:eastAsia="Times New Roman" w:hAnsi="Palatino Linotype" w:cs="Tahoma"/>
          <w:b/>
          <w:kern w:val="0"/>
          <w:lang w:eastAsia="es-ES"/>
          <w14:ligatures w14:val="none"/>
        </w:rPr>
        <w:t>V. Entrega de la información en cumplimiento a la Resolución de</w:t>
      </w:r>
      <w:r w:rsidR="00CA3D8D" w:rsidRPr="00F12038">
        <w:rPr>
          <w:rFonts w:ascii="Palatino Linotype" w:eastAsia="Times New Roman" w:hAnsi="Palatino Linotype" w:cs="Tahoma"/>
          <w:b/>
          <w:kern w:val="0"/>
          <w:lang w:eastAsia="es-ES"/>
          <w14:ligatures w14:val="none"/>
        </w:rPr>
        <w:t xml:space="preserve"> los</w:t>
      </w:r>
      <w:r w:rsidRPr="00F12038">
        <w:rPr>
          <w:rFonts w:ascii="Palatino Linotype" w:eastAsia="Times New Roman" w:hAnsi="Palatino Linotype" w:cs="Tahoma"/>
          <w:b/>
          <w:kern w:val="0"/>
          <w:lang w:eastAsia="es-ES"/>
          <w14:ligatures w14:val="none"/>
        </w:rPr>
        <w:t xml:space="preserve"> Recurso de Revisión </w:t>
      </w:r>
      <w:r w:rsidR="00A17EC9" w:rsidRPr="00F12038">
        <w:rPr>
          <w:rFonts w:ascii="Palatino Linotype" w:hAnsi="Palatino Linotype" w:cs="Tahoma"/>
          <w:b/>
          <w:kern w:val="0"/>
          <w14:ligatures w14:val="none"/>
        </w:rPr>
        <w:t>0</w:t>
      </w:r>
      <w:r w:rsidR="00F12038" w:rsidRPr="00F12038">
        <w:rPr>
          <w:rFonts w:ascii="Palatino Linotype" w:hAnsi="Palatino Linotype" w:cs="Tahoma"/>
          <w:b/>
          <w:kern w:val="0"/>
          <w14:ligatures w14:val="none"/>
        </w:rPr>
        <w:t>1861</w:t>
      </w:r>
      <w:r w:rsidR="00A17EC9" w:rsidRPr="00F12038">
        <w:rPr>
          <w:rFonts w:ascii="Palatino Linotype" w:hAnsi="Palatino Linotype" w:cs="Tahoma"/>
          <w:b/>
          <w:kern w:val="0"/>
          <w14:ligatures w14:val="none"/>
        </w:rPr>
        <w:t>/INFOEM/IP/RR/2025.</w:t>
      </w:r>
    </w:p>
    <w:p w14:paraId="48CC9678" w14:textId="77777777" w:rsidR="00797C7C" w:rsidRPr="00F12038" w:rsidRDefault="00797C7C" w:rsidP="00797C7C">
      <w:pPr>
        <w:spacing w:after="0" w:line="360" w:lineRule="auto"/>
        <w:jc w:val="both"/>
        <w:rPr>
          <w:rFonts w:ascii="Palatino Linotype" w:eastAsia="Times New Roman" w:hAnsi="Palatino Linotype" w:cs="Tahoma"/>
          <w:b/>
          <w:bCs/>
          <w:color w:val="FF0000"/>
          <w:kern w:val="0"/>
          <w:lang w:eastAsia="es-ES"/>
          <w14:ligatures w14:val="none"/>
        </w:rPr>
      </w:pPr>
    </w:p>
    <w:p w14:paraId="3965B26D" w14:textId="0436781E" w:rsidR="001132B8" w:rsidRDefault="00D55E25" w:rsidP="00797C7C">
      <w:pPr>
        <w:spacing w:after="0" w:line="360" w:lineRule="auto"/>
        <w:jc w:val="both"/>
        <w:rPr>
          <w:rFonts w:ascii="Palatino Linotype" w:hAnsi="Palatino Linotype" w:cs="Tahoma"/>
          <w:bCs/>
          <w:kern w:val="0"/>
          <w:lang w:val="es-ES"/>
          <w14:ligatures w14:val="none"/>
        </w:rPr>
      </w:pPr>
      <w:r w:rsidRPr="001132B8">
        <w:rPr>
          <w:rFonts w:ascii="Palatino Linotype" w:eastAsia="Times New Roman" w:hAnsi="Palatino Linotype" w:cs="Tahoma"/>
          <w:kern w:val="0"/>
          <w:lang w:eastAsia="es-ES"/>
          <w14:ligatures w14:val="none"/>
        </w:rPr>
        <w:t xml:space="preserve">El </w:t>
      </w:r>
      <w:r w:rsidR="00F12038" w:rsidRPr="001132B8">
        <w:rPr>
          <w:rFonts w:ascii="Palatino Linotype" w:eastAsia="Times New Roman" w:hAnsi="Palatino Linotype" w:cs="Tahoma"/>
          <w:kern w:val="0"/>
          <w:lang w:eastAsia="es-ES"/>
          <w14:ligatures w14:val="none"/>
        </w:rPr>
        <w:t xml:space="preserve">veintrés de abril de dos mil veinticinco, </w:t>
      </w:r>
      <w:r w:rsidR="00797C7C" w:rsidRPr="001132B8">
        <w:rPr>
          <w:rFonts w:ascii="Palatino Linotype" w:hAnsi="Palatino Linotype" w:cs="Tahoma"/>
          <w:kern w:val="0"/>
          <w14:ligatures w14:val="none"/>
        </w:rPr>
        <w:t xml:space="preserve">el Sujeto Obligado notificó a través </w:t>
      </w:r>
      <w:r w:rsidR="00797C7C" w:rsidRPr="001132B8">
        <w:rPr>
          <w:rFonts w:ascii="Palatino Linotype" w:hAnsi="Palatino Linotype" w:cs="Tahoma"/>
          <w:bCs/>
          <w:kern w:val="0"/>
          <w14:ligatures w14:val="none"/>
        </w:rPr>
        <w:t xml:space="preserve">del Sistema de Acceso a la Información Mexiquense </w:t>
      </w:r>
      <w:r w:rsidR="00797C7C" w:rsidRPr="001132B8">
        <w:rPr>
          <w:rFonts w:ascii="Palatino Linotype" w:hAnsi="Palatino Linotype" w:cs="Tahoma"/>
          <w:bCs/>
          <w:kern w:val="0"/>
          <w:lang w:val="es-ES"/>
          <w14:ligatures w14:val="none"/>
        </w:rPr>
        <w:t>(SAIMEX), la entrega de información</w:t>
      </w:r>
      <w:r w:rsidR="009F58B8" w:rsidRPr="001132B8">
        <w:rPr>
          <w:rFonts w:ascii="Palatino Linotype" w:hAnsi="Palatino Linotype" w:cs="Tahoma"/>
          <w:bCs/>
          <w:kern w:val="0"/>
          <w:lang w:val="es-ES"/>
          <w14:ligatures w14:val="none"/>
        </w:rPr>
        <w:t xml:space="preserve"> en relación con </w:t>
      </w:r>
      <w:r w:rsidR="001132B8" w:rsidRPr="001132B8">
        <w:rPr>
          <w:rFonts w:ascii="Palatino Linotype" w:hAnsi="Palatino Linotype" w:cs="Tahoma"/>
          <w:bCs/>
          <w:kern w:val="0"/>
          <w:lang w:val="es-ES"/>
          <w14:ligatures w14:val="none"/>
        </w:rPr>
        <w:t xml:space="preserve">el </w:t>
      </w:r>
      <w:r w:rsidR="00A17EC9" w:rsidRPr="001132B8">
        <w:rPr>
          <w:rFonts w:ascii="Palatino Linotype" w:hAnsi="Palatino Linotype" w:cs="Tahoma"/>
          <w:bCs/>
          <w:kern w:val="0"/>
          <w:lang w:val="es-ES"/>
          <w14:ligatures w14:val="none"/>
        </w:rPr>
        <w:t>R</w:t>
      </w:r>
      <w:r w:rsidR="009F58B8" w:rsidRPr="001132B8">
        <w:rPr>
          <w:rFonts w:ascii="Palatino Linotype" w:hAnsi="Palatino Linotype" w:cs="Tahoma"/>
          <w:bCs/>
          <w:kern w:val="0"/>
          <w:lang w:val="es-ES"/>
          <w14:ligatures w14:val="none"/>
        </w:rPr>
        <w:t xml:space="preserve">ecurso de </w:t>
      </w:r>
      <w:r w:rsidR="00A17EC9" w:rsidRPr="001132B8">
        <w:rPr>
          <w:rFonts w:ascii="Palatino Linotype" w:hAnsi="Palatino Linotype" w:cs="Tahoma"/>
          <w:bCs/>
          <w:kern w:val="0"/>
          <w:lang w:val="es-ES"/>
          <w14:ligatures w14:val="none"/>
        </w:rPr>
        <w:t>R</w:t>
      </w:r>
      <w:r w:rsidR="009F58B8" w:rsidRPr="001132B8">
        <w:rPr>
          <w:rFonts w:ascii="Palatino Linotype" w:hAnsi="Palatino Linotype" w:cs="Tahoma"/>
          <w:bCs/>
          <w:kern w:val="0"/>
          <w:lang w:val="es-ES"/>
          <w14:ligatures w14:val="none"/>
        </w:rPr>
        <w:t>evisión 01</w:t>
      </w:r>
      <w:r w:rsidR="001132B8" w:rsidRPr="001132B8">
        <w:rPr>
          <w:rFonts w:ascii="Palatino Linotype" w:hAnsi="Palatino Linotype" w:cs="Tahoma"/>
          <w:bCs/>
          <w:kern w:val="0"/>
          <w:lang w:val="es-ES"/>
          <w14:ligatures w14:val="none"/>
        </w:rPr>
        <w:t>861</w:t>
      </w:r>
      <w:r w:rsidR="009F58B8" w:rsidRPr="001132B8">
        <w:rPr>
          <w:rFonts w:ascii="Palatino Linotype" w:hAnsi="Palatino Linotype" w:cs="Tahoma"/>
          <w:bCs/>
          <w:kern w:val="0"/>
          <w:lang w:val="es-ES"/>
          <w14:ligatures w14:val="none"/>
        </w:rPr>
        <w:t>/INFOEM/IP/RR/2025</w:t>
      </w:r>
      <w:r w:rsidR="00797C7C" w:rsidRPr="001132B8">
        <w:rPr>
          <w:rFonts w:ascii="Palatino Linotype" w:hAnsi="Palatino Linotype" w:cs="Tahoma"/>
          <w:bCs/>
          <w:kern w:val="0"/>
          <w:lang w:val="es-ES"/>
          <w14:ligatures w14:val="none"/>
        </w:rPr>
        <w:t>,</w:t>
      </w:r>
      <w:r w:rsidR="00ED16D9">
        <w:rPr>
          <w:rFonts w:ascii="Palatino Linotype" w:hAnsi="Palatino Linotype" w:cs="Tahoma"/>
          <w:bCs/>
          <w:kern w:val="0"/>
          <w:lang w:val="es-ES"/>
          <w14:ligatures w14:val="none"/>
        </w:rPr>
        <w:t xml:space="preserve"> a través del oficio LAPAZ/PM/SHA/2025/0513 del veintitrés de abril de dos mil veinticinco, suscrito por el </w:t>
      </w:r>
      <w:r w:rsidR="00ED16D9">
        <w:rPr>
          <w:rFonts w:ascii="Palatino Linotype" w:hAnsi="Palatino Linotype" w:cs="Tahoma"/>
          <w:bCs/>
          <w:kern w:val="0"/>
          <w:lang w:val="es-ES"/>
          <w14:ligatures w14:val="none"/>
        </w:rPr>
        <w:lastRenderedPageBreak/>
        <w:t>Secretario del Ayuntamiento, dirigido a la Titular de la Unidad de Transparencia, por medio del cual se menciona lo siguiente:</w:t>
      </w:r>
    </w:p>
    <w:p w14:paraId="38AAB971" w14:textId="77777777" w:rsidR="00ED16D9" w:rsidRPr="001132B8" w:rsidRDefault="00ED16D9" w:rsidP="00797C7C">
      <w:pPr>
        <w:spacing w:after="0" w:line="360" w:lineRule="auto"/>
        <w:jc w:val="both"/>
        <w:rPr>
          <w:rFonts w:ascii="Palatino Linotype" w:hAnsi="Palatino Linotype" w:cs="Tahoma"/>
          <w:bCs/>
          <w:kern w:val="0"/>
          <w:lang w:val="es-ES"/>
          <w14:ligatures w14:val="none"/>
        </w:rPr>
      </w:pPr>
    </w:p>
    <w:p w14:paraId="3984D6EF" w14:textId="319B9989" w:rsidR="001132B8" w:rsidRPr="00ED16D9" w:rsidRDefault="00ED16D9" w:rsidP="00ED16D9">
      <w:pPr>
        <w:spacing w:after="0" w:line="360" w:lineRule="auto"/>
        <w:ind w:left="567" w:right="567"/>
        <w:jc w:val="both"/>
        <w:rPr>
          <w:rFonts w:ascii="Palatino Linotype" w:eastAsia="Times New Roman" w:hAnsi="Palatino Linotype" w:cs="Arial"/>
          <w:bCs/>
          <w:i/>
          <w:iCs/>
          <w:kern w:val="0"/>
          <w:sz w:val="20"/>
          <w:szCs w:val="20"/>
          <w:lang w:eastAsia="es-ES"/>
          <w14:ligatures w14:val="none"/>
        </w:rPr>
      </w:pPr>
      <w:r>
        <w:rPr>
          <w:rFonts w:ascii="Palatino Linotype" w:eastAsia="Times New Roman" w:hAnsi="Palatino Linotype" w:cs="Arial"/>
          <w:bCs/>
          <w:i/>
          <w:iCs/>
          <w:kern w:val="0"/>
          <w:sz w:val="20"/>
          <w:szCs w:val="20"/>
          <w:lang w:eastAsia="es-ES"/>
          <w14:ligatures w14:val="none"/>
        </w:rPr>
        <w:t xml:space="preserve">“… </w:t>
      </w:r>
      <w:r w:rsidRPr="00ED16D9">
        <w:rPr>
          <w:rFonts w:ascii="Palatino Linotype" w:eastAsia="Times New Roman" w:hAnsi="Palatino Linotype" w:cs="Arial"/>
          <w:bCs/>
          <w:i/>
          <w:iCs/>
          <w:kern w:val="0"/>
          <w:sz w:val="20"/>
          <w:szCs w:val="20"/>
          <w:lang w:eastAsia="es-ES"/>
          <w14:ligatures w14:val="none"/>
        </w:rPr>
        <w:t>De lo anterior, me permito informarle que, con fundamento en el artículo 12, 19 de la Ley de Transparencia y Acceso a la Información Pública del Estado de México y Municipios, le expongo que, derivado de una búsqueda exhaustiva y minuciosa en los archivos que resguarda esta Secretaría, no se encontró documento alguno referente al Convenio antes mencionado, por tal motivo, al no ser de competencia y de no tener información alguna, esta Dependencia Administrativa no cuenta con lo antes solicitado</w:t>
      </w:r>
      <w:r>
        <w:rPr>
          <w:rFonts w:ascii="Palatino Linotype" w:eastAsia="Times New Roman" w:hAnsi="Palatino Linotype" w:cs="Arial"/>
          <w:bCs/>
          <w:i/>
          <w:iCs/>
          <w:kern w:val="0"/>
          <w:sz w:val="20"/>
          <w:szCs w:val="20"/>
          <w:lang w:eastAsia="es-ES"/>
          <w14:ligatures w14:val="none"/>
        </w:rPr>
        <w:t>…” (Sic)</w:t>
      </w:r>
    </w:p>
    <w:p w14:paraId="0B8C7731" w14:textId="77777777" w:rsidR="008C598E" w:rsidRPr="00F12038" w:rsidRDefault="008C598E" w:rsidP="00797C7C">
      <w:pPr>
        <w:spacing w:after="0" w:line="360" w:lineRule="auto"/>
        <w:jc w:val="both"/>
        <w:rPr>
          <w:rFonts w:ascii="Palatino Linotype" w:hAnsi="Palatino Linotype"/>
          <w:b/>
          <w:bCs/>
          <w:color w:val="FF0000"/>
          <w:kern w:val="0"/>
          <w:sz w:val="20"/>
          <w:szCs w:val="20"/>
          <w14:ligatures w14:val="none"/>
        </w:rPr>
      </w:pPr>
    </w:p>
    <w:p w14:paraId="52E8FC70" w14:textId="5E3A8F3E" w:rsidR="00797C7C" w:rsidRPr="00A266EF" w:rsidRDefault="00797C7C" w:rsidP="00797C7C">
      <w:pPr>
        <w:tabs>
          <w:tab w:val="center" w:pos="4560"/>
          <w:tab w:val="left" w:pos="8207"/>
        </w:tabs>
        <w:spacing w:after="0" w:line="360" w:lineRule="auto"/>
        <w:jc w:val="both"/>
        <w:rPr>
          <w:rFonts w:ascii="Palatino Linotype" w:eastAsia="Times New Roman" w:hAnsi="Palatino Linotype" w:cs="Tahoma"/>
          <w:b/>
          <w:kern w:val="0"/>
          <w:lang w:eastAsia="es-ES"/>
          <w14:ligatures w14:val="none"/>
        </w:rPr>
      </w:pPr>
      <w:r w:rsidRPr="00A266EF">
        <w:rPr>
          <w:rFonts w:ascii="Palatino Linotype" w:eastAsia="Times New Roman" w:hAnsi="Palatino Linotype" w:cs="Tahoma"/>
          <w:b/>
          <w:kern w:val="0"/>
          <w:lang w:eastAsia="es-ES"/>
          <w14:ligatures w14:val="none"/>
        </w:rPr>
        <w:t>VI. Interposición de</w:t>
      </w:r>
      <w:r w:rsidR="006B2152" w:rsidRPr="00A266EF">
        <w:rPr>
          <w:rFonts w:ascii="Palatino Linotype" w:eastAsia="Times New Roman" w:hAnsi="Palatino Linotype" w:cs="Tahoma"/>
          <w:b/>
          <w:kern w:val="0"/>
          <w:lang w:eastAsia="es-ES"/>
          <w14:ligatures w14:val="none"/>
        </w:rPr>
        <w:t xml:space="preserve"> los</w:t>
      </w:r>
      <w:r w:rsidRPr="00A266EF">
        <w:rPr>
          <w:rFonts w:ascii="Palatino Linotype" w:eastAsia="Times New Roman" w:hAnsi="Palatino Linotype" w:cs="Tahoma"/>
          <w:b/>
          <w:kern w:val="0"/>
          <w:lang w:eastAsia="es-ES"/>
          <w14:ligatures w14:val="none"/>
        </w:rPr>
        <w:t xml:space="preserve"> Recurso</w:t>
      </w:r>
      <w:r w:rsidR="006B2152" w:rsidRPr="00A266EF">
        <w:rPr>
          <w:rFonts w:ascii="Palatino Linotype" w:eastAsia="Times New Roman" w:hAnsi="Palatino Linotype" w:cs="Tahoma"/>
          <w:b/>
          <w:kern w:val="0"/>
          <w:lang w:eastAsia="es-ES"/>
          <w14:ligatures w14:val="none"/>
        </w:rPr>
        <w:t>s</w:t>
      </w:r>
      <w:r w:rsidRPr="00A266EF">
        <w:rPr>
          <w:rFonts w:ascii="Palatino Linotype" w:eastAsia="Times New Roman" w:hAnsi="Palatino Linotype" w:cs="Tahoma"/>
          <w:b/>
          <w:kern w:val="0"/>
          <w:lang w:eastAsia="es-ES"/>
          <w14:ligatures w14:val="none"/>
        </w:rPr>
        <w:t xml:space="preserve"> de Revisión</w:t>
      </w:r>
      <w:r w:rsidRPr="00A266EF">
        <w:rPr>
          <w:rFonts w:ascii="Palatino Linotype" w:hAnsi="Palatino Linotype"/>
          <w:b/>
          <w:kern w:val="0"/>
          <w14:ligatures w14:val="none"/>
        </w:rPr>
        <w:t xml:space="preserve"> </w:t>
      </w:r>
      <w:r w:rsidR="006B2152" w:rsidRPr="00A266EF">
        <w:rPr>
          <w:rFonts w:ascii="Palatino Linotype" w:hAnsi="Palatino Linotype"/>
          <w:b/>
        </w:rPr>
        <w:t>01251/INFOEM/ICR-44/IP/RR/2025 y acumulados</w:t>
      </w:r>
    </w:p>
    <w:p w14:paraId="4F293485" w14:textId="77777777" w:rsidR="00797C7C" w:rsidRPr="00F12038" w:rsidRDefault="00797C7C" w:rsidP="00797C7C">
      <w:pPr>
        <w:autoSpaceDE w:val="0"/>
        <w:autoSpaceDN w:val="0"/>
        <w:adjustRightInd w:val="0"/>
        <w:spacing w:after="0" w:line="360" w:lineRule="auto"/>
        <w:jc w:val="both"/>
        <w:rPr>
          <w:rFonts w:ascii="Palatino Linotype" w:eastAsia="Times New Roman" w:hAnsi="Palatino Linotype" w:cs="Tahoma"/>
          <w:b/>
          <w:color w:val="FF0000"/>
          <w:kern w:val="0"/>
          <w:lang w:eastAsia="es-ES"/>
          <w14:ligatures w14:val="none"/>
        </w:rPr>
      </w:pPr>
    </w:p>
    <w:p w14:paraId="1C42A07C" w14:textId="43137749" w:rsidR="00A266EF" w:rsidRPr="00A266EF" w:rsidRDefault="00797C7C" w:rsidP="00797C7C">
      <w:pPr>
        <w:widowControl w:val="0"/>
        <w:autoSpaceDE w:val="0"/>
        <w:autoSpaceDN w:val="0"/>
        <w:adjustRightInd w:val="0"/>
        <w:spacing w:after="0" w:line="360" w:lineRule="auto"/>
        <w:jc w:val="both"/>
        <w:rPr>
          <w:rFonts w:ascii="Palatino Linotype" w:eastAsia="Times New Roman" w:hAnsi="Palatino Linotype" w:cs="Tahoma"/>
          <w:kern w:val="0"/>
          <w:lang w:eastAsia="es-ES"/>
          <w14:ligatures w14:val="none"/>
        </w:rPr>
      </w:pPr>
      <w:r w:rsidRPr="00A266EF">
        <w:rPr>
          <w:rFonts w:ascii="Palatino Linotype" w:eastAsia="Times New Roman" w:hAnsi="Palatino Linotype" w:cs="Tahoma"/>
          <w:kern w:val="0"/>
          <w:lang w:eastAsia="es-ES"/>
          <w14:ligatures w14:val="none"/>
        </w:rPr>
        <w:t xml:space="preserve">Con fecha </w:t>
      </w:r>
      <w:r w:rsidR="00A266EF" w:rsidRPr="00A266EF">
        <w:rPr>
          <w:rFonts w:ascii="Palatino Linotype" w:eastAsia="Times New Roman" w:hAnsi="Palatino Linotype" w:cs="Tahoma"/>
          <w:kern w:val="0"/>
          <w:lang w:eastAsia="es-ES"/>
          <w14:ligatures w14:val="none"/>
        </w:rPr>
        <w:t xml:space="preserve">dieciséis de mayo de dos mil veinticinco, </w:t>
      </w:r>
      <w:r w:rsidRPr="00A266EF">
        <w:rPr>
          <w:rFonts w:ascii="Palatino Linotype" w:eastAsia="Times New Roman" w:hAnsi="Palatino Linotype" w:cs="Tahoma"/>
          <w:kern w:val="0"/>
          <w:lang w:eastAsia="es-ES"/>
          <w14:ligatures w14:val="none"/>
        </w:rPr>
        <w:t>se recibi</w:t>
      </w:r>
      <w:r w:rsidR="00A266EF" w:rsidRPr="00A266EF">
        <w:rPr>
          <w:rFonts w:ascii="Palatino Linotype" w:eastAsia="Times New Roman" w:hAnsi="Palatino Linotype" w:cs="Tahoma"/>
          <w:kern w:val="0"/>
          <w:lang w:eastAsia="es-ES"/>
          <w14:ligatures w14:val="none"/>
        </w:rPr>
        <w:t>ó</w:t>
      </w:r>
      <w:r w:rsidRPr="00A266EF">
        <w:rPr>
          <w:rFonts w:ascii="Palatino Linotype" w:eastAsia="Times New Roman" w:hAnsi="Palatino Linotype" w:cs="Tahoma"/>
          <w:kern w:val="0"/>
          <w:lang w:eastAsia="es-ES"/>
          <w14:ligatures w14:val="none"/>
        </w:rPr>
        <w:t xml:space="preserve"> en este </w:t>
      </w:r>
      <w:r w:rsidRPr="00A266EF">
        <w:rPr>
          <w:rFonts w:ascii="Palatino Linotype" w:eastAsia="Calibri" w:hAnsi="Palatino Linotype" w:cs="Tahoma"/>
          <w:kern w:val="0"/>
          <w14:ligatures w14:val="none"/>
        </w:rPr>
        <w:t xml:space="preserve">Instituto, a través del </w:t>
      </w:r>
      <w:r w:rsidRPr="00A266EF">
        <w:rPr>
          <w:rFonts w:ascii="Palatino Linotype" w:eastAsia="Times New Roman" w:hAnsi="Palatino Linotype" w:cs="Tahoma"/>
          <w:kern w:val="0"/>
          <w:lang w:val="es-ES" w:eastAsia="es-ES"/>
          <w14:ligatures w14:val="none"/>
        </w:rPr>
        <w:t>Sistema de Acceso a la Información Mexiquense (SAIMEX)</w:t>
      </w:r>
      <w:r w:rsidRPr="00A266EF">
        <w:rPr>
          <w:rFonts w:ascii="Palatino Linotype" w:eastAsia="Times New Roman" w:hAnsi="Palatino Linotype" w:cs="Tahoma"/>
          <w:kern w:val="0"/>
          <w:lang w:eastAsia="es-ES"/>
          <w14:ligatures w14:val="none"/>
        </w:rPr>
        <w:t>,</w:t>
      </w:r>
      <w:r w:rsidR="008C598E" w:rsidRPr="00A266EF">
        <w:rPr>
          <w:rFonts w:ascii="Palatino Linotype" w:eastAsia="Times New Roman" w:hAnsi="Palatino Linotype" w:cs="Tahoma"/>
          <w:kern w:val="0"/>
          <w:lang w:eastAsia="es-ES"/>
          <w14:ligatures w14:val="none"/>
        </w:rPr>
        <w:t xml:space="preserve"> </w:t>
      </w:r>
      <w:r w:rsidR="00A266EF" w:rsidRPr="00A266EF">
        <w:rPr>
          <w:rFonts w:ascii="Palatino Linotype" w:eastAsia="Times New Roman" w:hAnsi="Palatino Linotype" w:cs="Tahoma"/>
          <w:kern w:val="0"/>
          <w:lang w:eastAsia="es-ES"/>
          <w14:ligatures w14:val="none"/>
        </w:rPr>
        <w:t xml:space="preserve">el </w:t>
      </w:r>
      <w:r w:rsidR="008C598E" w:rsidRPr="00A266EF">
        <w:rPr>
          <w:rFonts w:ascii="Palatino Linotype" w:eastAsia="Times New Roman" w:hAnsi="Palatino Linotype" w:cs="Tahoma"/>
          <w:kern w:val="0"/>
          <w:lang w:eastAsia="es-ES"/>
          <w14:ligatures w14:val="none"/>
        </w:rPr>
        <w:t>Recurso</w:t>
      </w:r>
      <w:r w:rsidRPr="00A266EF">
        <w:rPr>
          <w:rFonts w:ascii="Palatino Linotype" w:eastAsia="Times New Roman" w:hAnsi="Palatino Linotype" w:cs="Tahoma"/>
          <w:kern w:val="0"/>
          <w:lang w:eastAsia="es-ES"/>
          <w14:ligatures w14:val="none"/>
        </w:rPr>
        <w:t xml:space="preserve"> de Revisión interpuesto por la parte Recurrente, en contra de la respuesta del Sujeto Obligado, en cumplimiento a la Resolución referida en el Antecedente IV, </w:t>
      </w:r>
      <w:r w:rsidR="00A266EF" w:rsidRPr="00A266EF">
        <w:rPr>
          <w:rFonts w:ascii="Palatino Linotype" w:eastAsia="Times New Roman" w:hAnsi="Palatino Linotype" w:cs="Tahoma"/>
          <w:kern w:val="0"/>
          <w:lang w:eastAsia="es-ES"/>
          <w14:ligatures w14:val="none"/>
        </w:rPr>
        <w:t>en los siguientes términos:</w:t>
      </w:r>
    </w:p>
    <w:p w14:paraId="343DD720" w14:textId="77777777" w:rsidR="00797C7C" w:rsidRPr="00F12038" w:rsidRDefault="00797C7C" w:rsidP="00797C7C">
      <w:pPr>
        <w:widowControl w:val="0"/>
        <w:autoSpaceDE w:val="0"/>
        <w:autoSpaceDN w:val="0"/>
        <w:adjustRightInd w:val="0"/>
        <w:spacing w:after="0" w:line="360" w:lineRule="auto"/>
        <w:jc w:val="both"/>
        <w:rPr>
          <w:rFonts w:ascii="Palatino Linotype" w:eastAsia="Times New Roman" w:hAnsi="Palatino Linotype" w:cs="Tahoma"/>
          <w:color w:val="FF0000"/>
          <w:kern w:val="0"/>
          <w:lang w:eastAsia="es-ES"/>
          <w14:ligatures w14:val="none"/>
        </w:rPr>
      </w:pPr>
    </w:p>
    <w:p w14:paraId="4372AC89" w14:textId="77777777" w:rsidR="00797C7C" w:rsidRPr="00A266EF" w:rsidRDefault="00797C7C" w:rsidP="00127149">
      <w:pPr>
        <w:tabs>
          <w:tab w:val="left" w:pos="4667"/>
        </w:tabs>
        <w:spacing w:after="0" w:line="360" w:lineRule="auto"/>
        <w:ind w:left="567" w:right="567"/>
        <w:jc w:val="both"/>
        <w:rPr>
          <w:rFonts w:ascii="Palatino Linotype" w:eastAsia="Calibri" w:hAnsi="Palatino Linotype" w:cs="Tahoma"/>
          <w:b/>
          <w:bCs/>
          <w:i/>
          <w:kern w:val="0"/>
          <w:sz w:val="20"/>
          <w:szCs w:val="20"/>
          <w:lang w:eastAsia="es-ES"/>
          <w14:ligatures w14:val="none"/>
        </w:rPr>
      </w:pPr>
      <w:r w:rsidRPr="00A266EF">
        <w:rPr>
          <w:rFonts w:ascii="Palatino Linotype" w:eastAsia="Calibri" w:hAnsi="Palatino Linotype" w:cs="Tahoma"/>
          <w:b/>
          <w:bCs/>
          <w:i/>
          <w:kern w:val="0"/>
          <w:sz w:val="20"/>
          <w:szCs w:val="20"/>
          <w:lang w:eastAsia="es-ES"/>
          <w14:ligatures w14:val="none"/>
        </w:rPr>
        <w:t>“ACTO IMPUGNADO</w:t>
      </w:r>
    </w:p>
    <w:p w14:paraId="2151C94E" w14:textId="0A8B51AA" w:rsidR="00797C7C" w:rsidRPr="00A266EF" w:rsidRDefault="00A266EF" w:rsidP="00127149">
      <w:pPr>
        <w:spacing w:after="0" w:line="360" w:lineRule="auto"/>
        <w:ind w:left="567" w:right="567"/>
        <w:jc w:val="both"/>
        <w:rPr>
          <w:rFonts w:ascii="Palatino Linotype" w:hAnsi="Palatino Linotype"/>
          <w:i/>
          <w:iCs/>
          <w:kern w:val="0"/>
          <w:sz w:val="20"/>
          <w:szCs w:val="20"/>
          <w14:ligatures w14:val="none"/>
        </w:rPr>
      </w:pPr>
      <w:r w:rsidRPr="00A266EF">
        <w:rPr>
          <w:rFonts w:ascii="Palatino Linotype" w:hAnsi="Palatino Linotype"/>
          <w:i/>
          <w:iCs/>
          <w:kern w:val="0"/>
          <w:sz w:val="20"/>
          <w:szCs w:val="20"/>
          <w14:ligatures w14:val="none"/>
        </w:rPr>
        <w:t>no entrego información “</w:t>
      </w:r>
      <w:r w:rsidR="00797C7C" w:rsidRPr="00A266EF">
        <w:rPr>
          <w:rFonts w:ascii="Palatino Linotype" w:hAnsi="Palatino Linotype"/>
          <w:i/>
          <w:iCs/>
          <w:kern w:val="0"/>
          <w:sz w:val="20"/>
          <w:szCs w:val="20"/>
          <w14:ligatures w14:val="none"/>
        </w:rPr>
        <w:t xml:space="preserve"> (Sic)</w:t>
      </w:r>
    </w:p>
    <w:p w14:paraId="59A47E64" w14:textId="77777777" w:rsidR="00797C7C" w:rsidRPr="00A266EF" w:rsidRDefault="00797C7C" w:rsidP="00127149">
      <w:pPr>
        <w:spacing w:after="0" w:line="360" w:lineRule="auto"/>
        <w:ind w:left="567" w:right="567"/>
        <w:jc w:val="both"/>
        <w:rPr>
          <w:rFonts w:ascii="Palatino Linotype" w:eastAsia="Times New Roman" w:hAnsi="Palatino Linotype" w:cs="Times New Roman"/>
          <w:i/>
          <w:kern w:val="0"/>
          <w:sz w:val="20"/>
          <w:szCs w:val="20"/>
          <w:lang w:eastAsia="es-MX"/>
          <w14:ligatures w14:val="none"/>
        </w:rPr>
      </w:pPr>
    </w:p>
    <w:p w14:paraId="16919FFE" w14:textId="77777777" w:rsidR="00797C7C" w:rsidRPr="00A266EF" w:rsidRDefault="00797C7C" w:rsidP="00127149">
      <w:pPr>
        <w:spacing w:after="0" w:line="360" w:lineRule="auto"/>
        <w:ind w:left="567" w:right="567"/>
        <w:jc w:val="both"/>
        <w:rPr>
          <w:rFonts w:ascii="Palatino Linotype" w:hAnsi="Palatino Linotype"/>
          <w:b/>
          <w:bCs/>
          <w:i/>
          <w:iCs/>
          <w:kern w:val="0"/>
          <w:sz w:val="20"/>
          <w:szCs w:val="20"/>
          <w14:ligatures w14:val="none"/>
        </w:rPr>
      </w:pPr>
      <w:r w:rsidRPr="00A266EF">
        <w:rPr>
          <w:rFonts w:ascii="Palatino Linotype" w:hAnsi="Palatino Linotype"/>
          <w:b/>
          <w:bCs/>
          <w:i/>
          <w:iCs/>
          <w:kern w:val="0"/>
          <w:sz w:val="20"/>
          <w:szCs w:val="20"/>
          <w14:ligatures w14:val="none"/>
        </w:rPr>
        <w:t>“RAZONES O MOTIVOS DE LA INCONFORMIDAD</w:t>
      </w:r>
    </w:p>
    <w:p w14:paraId="6BB388B2" w14:textId="3E78C767" w:rsidR="00797C7C" w:rsidRPr="00A266EF" w:rsidRDefault="00A266EF" w:rsidP="00127149">
      <w:pPr>
        <w:spacing w:after="0" w:line="360" w:lineRule="auto"/>
        <w:ind w:left="567" w:right="567"/>
        <w:jc w:val="both"/>
        <w:rPr>
          <w:rFonts w:ascii="Palatino Linotype" w:hAnsi="Palatino Linotype"/>
          <w:i/>
          <w:iCs/>
          <w:kern w:val="0"/>
          <w:sz w:val="20"/>
          <w:szCs w:val="20"/>
          <w14:ligatures w14:val="none"/>
        </w:rPr>
      </w:pPr>
      <w:r w:rsidRPr="00A266EF">
        <w:rPr>
          <w:rFonts w:ascii="Palatino Linotype" w:hAnsi="Palatino Linotype"/>
          <w:i/>
          <w:iCs/>
          <w:kern w:val="0"/>
          <w:sz w:val="20"/>
          <w:szCs w:val="20"/>
          <w14:ligatures w14:val="none"/>
        </w:rPr>
        <w:t>no entrego información “</w:t>
      </w:r>
      <w:r w:rsidR="00797C7C" w:rsidRPr="00A266EF">
        <w:rPr>
          <w:rFonts w:ascii="Palatino Linotype" w:hAnsi="Palatino Linotype"/>
          <w:i/>
          <w:iCs/>
          <w:kern w:val="0"/>
          <w:sz w:val="20"/>
          <w:szCs w:val="20"/>
          <w14:ligatures w14:val="none"/>
        </w:rPr>
        <w:t xml:space="preserve"> (Sic)</w:t>
      </w:r>
    </w:p>
    <w:p w14:paraId="7B33C9CD" w14:textId="77777777" w:rsidR="00F66E9A" w:rsidRPr="00F12038" w:rsidRDefault="00F66E9A" w:rsidP="00F66E9A">
      <w:pPr>
        <w:widowControl w:val="0"/>
        <w:autoSpaceDE w:val="0"/>
        <w:autoSpaceDN w:val="0"/>
        <w:adjustRightInd w:val="0"/>
        <w:spacing w:after="0" w:line="360" w:lineRule="auto"/>
        <w:jc w:val="both"/>
        <w:rPr>
          <w:rFonts w:ascii="Palatino Linotype" w:eastAsia="Times New Roman" w:hAnsi="Palatino Linotype" w:cs="Tahoma"/>
          <w:b/>
          <w:bCs/>
          <w:color w:val="FF0000"/>
          <w:kern w:val="0"/>
          <w:sz w:val="20"/>
          <w:szCs w:val="20"/>
          <w:lang w:eastAsia="es-ES"/>
          <w14:ligatures w14:val="none"/>
        </w:rPr>
      </w:pPr>
    </w:p>
    <w:p w14:paraId="6190020F" w14:textId="77777777" w:rsidR="00797C7C" w:rsidRPr="00F12038" w:rsidRDefault="00797C7C" w:rsidP="00797C7C">
      <w:pPr>
        <w:widowControl w:val="0"/>
        <w:autoSpaceDE w:val="0"/>
        <w:autoSpaceDN w:val="0"/>
        <w:adjustRightInd w:val="0"/>
        <w:spacing w:after="0" w:line="360" w:lineRule="auto"/>
        <w:jc w:val="both"/>
        <w:rPr>
          <w:rFonts w:ascii="Palatino Linotype" w:eastAsia="Times New Roman" w:hAnsi="Palatino Linotype" w:cs="Tahoma"/>
          <w:color w:val="FF0000"/>
          <w:kern w:val="0"/>
          <w:sz w:val="24"/>
          <w:szCs w:val="24"/>
          <w:lang w:eastAsia="es-ES"/>
          <w14:ligatures w14:val="none"/>
        </w:rPr>
      </w:pPr>
    </w:p>
    <w:p w14:paraId="6CABDAC7" w14:textId="13297DE4" w:rsidR="00797C7C" w:rsidRPr="002D3E61" w:rsidRDefault="002D3E61" w:rsidP="00797C7C">
      <w:pPr>
        <w:tabs>
          <w:tab w:val="center" w:pos="4560"/>
          <w:tab w:val="left" w:pos="8207"/>
        </w:tabs>
        <w:spacing w:after="0" w:line="360" w:lineRule="auto"/>
        <w:jc w:val="both"/>
        <w:rPr>
          <w:rFonts w:ascii="Palatino Linotype" w:eastAsia="Times New Roman" w:hAnsi="Palatino Linotype" w:cs="Tahoma"/>
          <w:b/>
          <w:kern w:val="0"/>
          <w:lang w:eastAsia="es-ES"/>
          <w14:ligatures w14:val="none"/>
        </w:rPr>
      </w:pPr>
      <w:r w:rsidRPr="002D3E61">
        <w:rPr>
          <w:rFonts w:ascii="Palatino Linotype" w:eastAsia="Times New Roman" w:hAnsi="Palatino Linotype" w:cs="Tahoma"/>
          <w:b/>
          <w:kern w:val="0"/>
          <w:lang w:eastAsia="es-ES"/>
          <w14:ligatures w14:val="none"/>
        </w:rPr>
        <w:t>VII. Trámite del Recurso</w:t>
      </w:r>
      <w:r w:rsidR="00797C7C" w:rsidRPr="002D3E61">
        <w:rPr>
          <w:rFonts w:ascii="Palatino Linotype" w:eastAsia="Times New Roman" w:hAnsi="Palatino Linotype" w:cs="Tahoma"/>
          <w:b/>
          <w:kern w:val="0"/>
          <w:lang w:eastAsia="es-ES"/>
          <w14:ligatures w14:val="none"/>
        </w:rPr>
        <w:t xml:space="preserve"> de Revisión número </w:t>
      </w:r>
      <w:r w:rsidRPr="002D3E61">
        <w:rPr>
          <w:rFonts w:ascii="Palatino Linotype" w:eastAsia="Times New Roman" w:hAnsi="Palatino Linotype" w:cs="Tahoma"/>
          <w:b/>
          <w:kern w:val="0"/>
          <w:lang w:eastAsia="es-ES"/>
          <w14:ligatures w14:val="none"/>
        </w:rPr>
        <w:t>01861/INFOEM/ICR-33/IP/RR/2025</w:t>
      </w:r>
    </w:p>
    <w:p w14:paraId="17F502A0" w14:textId="77777777" w:rsidR="00797C7C" w:rsidRPr="00F12038" w:rsidRDefault="00797C7C" w:rsidP="00797C7C">
      <w:pPr>
        <w:spacing w:after="0" w:line="360" w:lineRule="auto"/>
        <w:jc w:val="both"/>
        <w:rPr>
          <w:rFonts w:ascii="Palatino Linotype" w:eastAsia="Batang" w:hAnsi="Palatino Linotype" w:cs="Tahoma"/>
          <w:b/>
          <w:bCs/>
          <w:color w:val="FF0000"/>
          <w:kern w:val="0"/>
          <w:lang w:eastAsia="es-ES"/>
          <w14:ligatures w14:val="none"/>
        </w:rPr>
      </w:pPr>
    </w:p>
    <w:p w14:paraId="2D727131" w14:textId="5FD63487" w:rsidR="00797C7C" w:rsidRPr="002D3E61" w:rsidRDefault="00797C7C" w:rsidP="002D3E61">
      <w:pPr>
        <w:tabs>
          <w:tab w:val="center" w:pos="4560"/>
          <w:tab w:val="left" w:pos="8207"/>
        </w:tabs>
        <w:spacing w:after="0" w:line="360" w:lineRule="auto"/>
        <w:jc w:val="both"/>
        <w:rPr>
          <w:rFonts w:ascii="Palatino Linotype" w:eastAsia="Batang" w:hAnsi="Palatino Linotype" w:cs="Tahoma"/>
          <w:bCs/>
          <w:kern w:val="0"/>
          <w:lang w:eastAsia="es-ES"/>
          <w14:ligatures w14:val="none"/>
        </w:rPr>
      </w:pPr>
      <w:r w:rsidRPr="002D3E61">
        <w:rPr>
          <w:rFonts w:ascii="Palatino Linotype" w:eastAsia="Batang" w:hAnsi="Palatino Linotype" w:cs="Tahoma"/>
          <w:b/>
          <w:bCs/>
          <w:kern w:val="0"/>
          <w:lang w:eastAsia="es-ES"/>
          <w14:ligatures w14:val="none"/>
        </w:rPr>
        <w:lastRenderedPageBreak/>
        <w:t>a) Turno de los Recursos</w:t>
      </w:r>
      <w:r w:rsidRPr="002D3E61">
        <w:rPr>
          <w:rFonts w:ascii="Palatino Linotype" w:eastAsia="Times New Roman" w:hAnsi="Palatino Linotype" w:cs="Tahoma"/>
          <w:b/>
          <w:kern w:val="0"/>
          <w:lang w:eastAsia="es-ES"/>
          <w14:ligatures w14:val="none"/>
        </w:rPr>
        <w:t xml:space="preserve"> de Revisión</w:t>
      </w:r>
      <w:r w:rsidRPr="002D3E61">
        <w:rPr>
          <w:rFonts w:ascii="Palatino Linotype" w:eastAsia="Batang" w:hAnsi="Palatino Linotype" w:cs="Tahoma"/>
          <w:b/>
          <w:bCs/>
          <w:kern w:val="0"/>
          <w:lang w:eastAsia="es-ES"/>
          <w14:ligatures w14:val="none"/>
        </w:rPr>
        <w:t>.</w:t>
      </w:r>
      <w:r w:rsidRPr="002D3E61">
        <w:rPr>
          <w:rFonts w:ascii="Palatino Linotype" w:eastAsia="Batang" w:hAnsi="Palatino Linotype" w:cs="Tahoma"/>
          <w:bCs/>
          <w:kern w:val="0"/>
          <w:lang w:eastAsia="es-ES"/>
          <w14:ligatures w14:val="none"/>
        </w:rPr>
        <w:t xml:space="preserve"> </w:t>
      </w:r>
      <w:r w:rsidRPr="002D3E61">
        <w:rPr>
          <w:rFonts w:ascii="Palatino Linotype" w:eastAsia="Times New Roman" w:hAnsi="Palatino Linotype" w:cs="Tahoma"/>
          <w:kern w:val="0"/>
          <w:lang w:eastAsia="es-ES"/>
          <w14:ligatures w14:val="none"/>
        </w:rPr>
        <w:t xml:space="preserve">El </w:t>
      </w:r>
      <w:r w:rsidR="002D3E61" w:rsidRPr="002D3E61">
        <w:rPr>
          <w:rFonts w:ascii="Palatino Linotype" w:eastAsia="Times New Roman" w:hAnsi="Palatino Linotype" w:cs="Tahoma"/>
          <w:kern w:val="0"/>
          <w:lang w:eastAsia="es-ES"/>
          <w14:ligatures w14:val="none"/>
        </w:rPr>
        <w:t xml:space="preserve">dieciséis de mayo de </w:t>
      </w:r>
      <w:r w:rsidR="00F66E9A" w:rsidRPr="002D3E61">
        <w:rPr>
          <w:rFonts w:ascii="Palatino Linotype" w:eastAsia="Times New Roman" w:hAnsi="Palatino Linotype" w:cs="Tahoma"/>
          <w:kern w:val="0"/>
          <w:lang w:eastAsia="es-ES"/>
          <w14:ligatures w14:val="none"/>
        </w:rPr>
        <w:t xml:space="preserve">dos mil veinticinco, </w:t>
      </w:r>
      <w:r w:rsidRPr="002D3E61">
        <w:rPr>
          <w:rFonts w:ascii="Palatino Linotype" w:eastAsia="Batang" w:hAnsi="Palatino Linotype" w:cs="Tahoma"/>
          <w:bCs/>
          <w:kern w:val="0"/>
          <w:lang w:eastAsia="es-ES"/>
          <w14:ligatures w14:val="none"/>
        </w:rPr>
        <w:t xml:space="preserve">el </w:t>
      </w:r>
      <w:r w:rsidRPr="002D3E61">
        <w:rPr>
          <w:rFonts w:ascii="Palatino Linotype" w:eastAsia="Times New Roman" w:hAnsi="Palatino Linotype" w:cs="Tahoma"/>
          <w:kern w:val="0"/>
          <w:lang w:val="es-ES" w:eastAsia="es-ES"/>
          <w14:ligatures w14:val="none"/>
        </w:rPr>
        <w:t>Sistema de Acceso a la Información Mexiquense (SAIMEX),</w:t>
      </w:r>
      <w:r w:rsidRPr="002D3E61">
        <w:rPr>
          <w:rFonts w:ascii="Palatino Linotype" w:eastAsia="Batang" w:hAnsi="Palatino Linotype" w:cs="Tahoma"/>
          <w:bCs/>
          <w:kern w:val="0"/>
          <w:lang w:eastAsia="es-ES"/>
          <w14:ligatures w14:val="none"/>
        </w:rPr>
        <w:t xml:space="preserve"> asignó </w:t>
      </w:r>
      <w:r w:rsidR="002D3E61" w:rsidRPr="002D3E61">
        <w:rPr>
          <w:rFonts w:ascii="Palatino Linotype" w:eastAsia="Batang" w:hAnsi="Palatino Linotype" w:cs="Tahoma"/>
          <w:bCs/>
          <w:kern w:val="0"/>
          <w:lang w:eastAsia="es-ES"/>
          <w14:ligatures w14:val="none"/>
        </w:rPr>
        <w:t>el número</w:t>
      </w:r>
      <w:r w:rsidRPr="002D3E61">
        <w:rPr>
          <w:rFonts w:ascii="Palatino Linotype" w:eastAsia="Batang" w:hAnsi="Palatino Linotype" w:cs="Tahoma"/>
          <w:bCs/>
          <w:kern w:val="0"/>
          <w:lang w:eastAsia="es-ES"/>
          <w14:ligatures w14:val="none"/>
        </w:rPr>
        <w:t xml:space="preserve"> de expediente</w:t>
      </w:r>
      <w:bookmarkStart w:id="22" w:name="_Hlk166019230"/>
      <w:r w:rsidRPr="002D3E61">
        <w:rPr>
          <w:rFonts w:ascii="Palatino Linotype" w:eastAsia="Batang" w:hAnsi="Palatino Linotype" w:cs="Tahoma"/>
          <w:bCs/>
          <w:kern w:val="0"/>
          <w:lang w:eastAsia="es-ES"/>
          <w14:ligatures w14:val="none"/>
        </w:rPr>
        <w:t xml:space="preserve"> </w:t>
      </w:r>
      <w:r w:rsidR="002D3E61" w:rsidRPr="002D3E61">
        <w:rPr>
          <w:rFonts w:ascii="Palatino Linotype" w:eastAsia="Times New Roman" w:hAnsi="Palatino Linotype" w:cs="Tahoma"/>
          <w:b/>
          <w:kern w:val="0"/>
          <w:lang w:eastAsia="es-ES"/>
          <w14:ligatures w14:val="none"/>
        </w:rPr>
        <w:t>01861/INFOEM/ICR-33/IP/RR/2025</w:t>
      </w:r>
      <w:bookmarkEnd w:id="22"/>
      <w:r w:rsidR="00F66E9A" w:rsidRPr="002D3E61">
        <w:rPr>
          <w:rFonts w:ascii="Palatino Linotype" w:eastAsia="Batang" w:hAnsi="Palatino Linotype" w:cs="Tahoma"/>
          <w:bCs/>
          <w:kern w:val="0"/>
          <w:lang w:eastAsia="es-ES"/>
          <w14:ligatures w14:val="none"/>
        </w:rPr>
        <w:t xml:space="preserve">, </w:t>
      </w:r>
      <w:r w:rsidRPr="002D3E61">
        <w:rPr>
          <w:rFonts w:ascii="Palatino Linotype" w:eastAsia="Batang" w:hAnsi="Palatino Linotype" w:cs="Tahoma"/>
          <w:bCs/>
          <w:kern w:val="0"/>
          <w:lang w:eastAsia="es-ES"/>
          <w14:ligatures w14:val="none"/>
        </w:rPr>
        <w:t>a</w:t>
      </w:r>
      <w:r w:rsidR="002D3E61" w:rsidRPr="002D3E61">
        <w:rPr>
          <w:rFonts w:ascii="Palatino Linotype" w:eastAsia="Batang" w:hAnsi="Palatino Linotype" w:cs="Tahoma"/>
          <w:bCs/>
          <w:kern w:val="0"/>
          <w:lang w:eastAsia="es-ES"/>
          <w14:ligatures w14:val="none"/>
        </w:rPr>
        <w:t>l</w:t>
      </w:r>
      <w:r w:rsidRPr="002D3E61">
        <w:rPr>
          <w:rFonts w:ascii="Palatino Linotype" w:eastAsia="Batang" w:hAnsi="Palatino Linotype" w:cs="Tahoma"/>
          <w:bCs/>
          <w:kern w:val="0"/>
          <w:lang w:eastAsia="es-ES"/>
          <w14:ligatures w14:val="none"/>
        </w:rPr>
        <w:t xml:space="preserve"> Medio de Impugnación que nos ocupa, con base en el sistema aprobado por el Pleno de este Organismo Garante y los turnó al </w:t>
      </w:r>
      <w:r w:rsidRPr="002D3E61">
        <w:rPr>
          <w:rFonts w:ascii="Palatino Linotype" w:eastAsia="Batang" w:hAnsi="Palatino Linotype" w:cs="Tahoma"/>
          <w:b/>
          <w:bCs/>
          <w:kern w:val="0"/>
          <w:lang w:eastAsia="es-ES"/>
          <w14:ligatures w14:val="none"/>
        </w:rPr>
        <w:t>Comisionado Ponente Luis Gustavo Parra Noriega</w:t>
      </w:r>
      <w:r w:rsidRPr="002D3E61">
        <w:rPr>
          <w:rFonts w:ascii="Palatino Linotype" w:eastAsia="Batang" w:hAnsi="Palatino Linotype" w:cs="Tahoma"/>
          <w:bCs/>
          <w:kern w:val="0"/>
          <w:lang w:eastAsia="es-ES"/>
          <w14:ligatures w14:val="none"/>
        </w:rPr>
        <w:t>, para los efectos del artículo 185, fracción I de la Ley de Transparencia y Acceso a la Información Pública del Estado de México y Municipios.</w:t>
      </w:r>
    </w:p>
    <w:p w14:paraId="1A6D4011" w14:textId="77777777" w:rsidR="00797C7C" w:rsidRPr="00F12038" w:rsidRDefault="00797C7C" w:rsidP="00797C7C">
      <w:pPr>
        <w:spacing w:after="0" w:line="360" w:lineRule="auto"/>
        <w:jc w:val="both"/>
        <w:rPr>
          <w:rFonts w:ascii="Palatino Linotype" w:eastAsia="Batang" w:hAnsi="Palatino Linotype" w:cs="Tahoma"/>
          <w:bCs/>
          <w:color w:val="FF0000"/>
          <w:kern w:val="0"/>
          <w:lang w:eastAsia="es-ES"/>
          <w14:ligatures w14:val="none"/>
        </w:rPr>
      </w:pPr>
    </w:p>
    <w:p w14:paraId="6C3F88CA" w14:textId="42BBAF5C" w:rsidR="00797C7C" w:rsidRPr="002D3E61" w:rsidRDefault="00797C7C" w:rsidP="00797C7C">
      <w:pPr>
        <w:spacing w:after="0" w:line="360" w:lineRule="auto"/>
        <w:jc w:val="both"/>
        <w:rPr>
          <w:rFonts w:ascii="Palatino Linotype" w:eastAsia="Batang" w:hAnsi="Palatino Linotype" w:cs="Tahoma"/>
          <w:bCs/>
          <w:kern w:val="0"/>
          <w:lang w:eastAsia="es-ES"/>
          <w14:ligatures w14:val="none"/>
        </w:rPr>
      </w:pPr>
      <w:r w:rsidRPr="002D3E61">
        <w:rPr>
          <w:rFonts w:ascii="Palatino Linotype" w:eastAsia="Batang" w:hAnsi="Palatino Linotype" w:cs="Tahoma"/>
          <w:b/>
          <w:bCs/>
          <w:kern w:val="0"/>
          <w:lang w:eastAsia="es-ES"/>
          <w14:ligatures w14:val="none"/>
        </w:rPr>
        <w:t xml:space="preserve">b) Admisión del </w:t>
      </w:r>
      <w:r w:rsidRPr="002D3E61">
        <w:rPr>
          <w:rFonts w:ascii="Palatino Linotype" w:eastAsia="Times New Roman" w:hAnsi="Palatino Linotype" w:cs="Tahoma"/>
          <w:b/>
          <w:kern w:val="0"/>
          <w:lang w:eastAsia="es-ES"/>
          <w14:ligatures w14:val="none"/>
        </w:rPr>
        <w:t>Recurso de Revisión</w:t>
      </w:r>
      <w:r w:rsidRPr="002D3E61">
        <w:rPr>
          <w:rFonts w:ascii="Palatino Linotype" w:eastAsia="Batang" w:hAnsi="Palatino Linotype" w:cs="Tahoma"/>
          <w:b/>
          <w:bCs/>
          <w:kern w:val="0"/>
          <w:lang w:eastAsia="es-ES"/>
          <w14:ligatures w14:val="none"/>
        </w:rPr>
        <w:t xml:space="preserve">. </w:t>
      </w:r>
      <w:r w:rsidRPr="002D3E61">
        <w:rPr>
          <w:rFonts w:ascii="Palatino Linotype" w:eastAsia="Batang" w:hAnsi="Palatino Linotype" w:cs="Tahoma"/>
          <w:bCs/>
          <w:kern w:val="0"/>
          <w:lang w:eastAsia="es-ES"/>
          <w14:ligatures w14:val="none"/>
        </w:rPr>
        <w:t>El</w:t>
      </w:r>
      <w:r w:rsidR="00F66E9A" w:rsidRPr="002D3E61">
        <w:rPr>
          <w:rFonts w:ascii="Palatino Linotype" w:eastAsia="Batang" w:hAnsi="Palatino Linotype" w:cs="Tahoma"/>
          <w:bCs/>
          <w:kern w:val="0"/>
          <w:lang w:eastAsia="es-ES"/>
          <w14:ligatures w14:val="none"/>
        </w:rPr>
        <w:t xml:space="preserve"> </w:t>
      </w:r>
      <w:r w:rsidR="002D3E61" w:rsidRPr="002D3E61">
        <w:rPr>
          <w:rFonts w:ascii="Palatino Linotype" w:eastAsia="Batang" w:hAnsi="Palatino Linotype" w:cs="Tahoma"/>
          <w:bCs/>
          <w:kern w:val="0"/>
          <w:lang w:eastAsia="es-ES"/>
          <w14:ligatures w14:val="none"/>
        </w:rPr>
        <w:t xml:space="preserve">veintiuno de mayo de dos mil veinticinco, </w:t>
      </w:r>
      <w:r w:rsidRPr="002D3E61">
        <w:rPr>
          <w:rFonts w:ascii="Palatino Linotype" w:eastAsia="Batang" w:hAnsi="Palatino Linotype" w:cs="Tahoma"/>
          <w:bCs/>
          <w:kern w:val="0"/>
          <w:lang w:eastAsia="es-ES"/>
          <w14:ligatures w14:val="none"/>
        </w:rPr>
        <w:t xml:space="preserve">se acordó la admisión </w:t>
      </w:r>
      <w:r w:rsidR="002D3E61" w:rsidRPr="002D3E61">
        <w:rPr>
          <w:rFonts w:ascii="Palatino Linotype" w:eastAsia="Batang" w:hAnsi="Palatino Linotype" w:cs="Tahoma"/>
          <w:bCs/>
          <w:kern w:val="0"/>
          <w:lang w:eastAsia="es-ES"/>
          <w14:ligatures w14:val="none"/>
        </w:rPr>
        <w:t>del</w:t>
      </w:r>
      <w:r w:rsidRPr="002D3E61">
        <w:rPr>
          <w:rFonts w:ascii="Palatino Linotype" w:eastAsia="Batang" w:hAnsi="Palatino Linotype" w:cs="Tahoma"/>
          <w:bCs/>
          <w:kern w:val="0"/>
          <w:lang w:eastAsia="es-ES"/>
          <w14:ligatures w14:val="none"/>
        </w:rPr>
        <w:t xml:space="preserve"> Recurso de Revisión número </w:t>
      </w:r>
      <w:r w:rsidR="002D3E61" w:rsidRPr="002D3E61">
        <w:rPr>
          <w:rFonts w:ascii="Palatino Linotype" w:eastAsia="Times New Roman" w:hAnsi="Palatino Linotype" w:cs="Tahoma"/>
          <w:b/>
          <w:kern w:val="0"/>
          <w:lang w:eastAsia="es-ES"/>
          <w14:ligatures w14:val="none"/>
        </w:rPr>
        <w:t>01861/INFOEM/ICR-33/IP/RR/2025</w:t>
      </w:r>
      <w:r w:rsidR="00F66E9A" w:rsidRPr="002D3E61">
        <w:rPr>
          <w:rFonts w:ascii="Palatino Linotype" w:eastAsia="Batang" w:hAnsi="Palatino Linotype" w:cs="Tahoma"/>
          <w:bCs/>
          <w:kern w:val="0"/>
          <w:lang w:eastAsia="es-ES"/>
          <w14:ligatures w14:val="none"/>
        </w:rPr>
        <w:t xml:space="preserve">, </w:t>
      </w:r>
      <w:r w:rsidRPr="002D3E61">
        <w:rPr>
          <w:rFonts w:ascii="Palatino Linotype" w:eastAsia="Batang" w:hAnsi="Palatino Linotype" w:cs="Tahoma"/>
          <w:bCs/>
          <w:kern w:val="0"/>
          <w:lang w:eastAsia="es-ES"/>
          <w14:ligatures w14:val="none"/>
        </w:rPr>
        <w:t>interpuesto</w:t>
      </w:r>
      <w:r w:rsidR="002D3E61" w:rsidRPr="002D3E61">
        <w:rPr>
          <w:rFonts w:ascii="Palatino Linotype" w:eastAsia="Batang" w:hAnsi="Palatino Linotype" w:cs="Tahoma"/>
          <w:bCs/>
          <w:kern w:val="0"/>
          <w:lang w:eastAsia="es-ES"/>
          <w14:ligatures w14:val="none"/>
        </w:rPr>
        <w:t xml:space="preserve"> </w:t>
      </w:r>
      <w:r w:rsidRPr="002D3E61">
        <w:rPr>
          <w:rFonts w:ascii="Palatino Linotype" w:eastAsia="Batang" w:hAnsi="Palatino Linotype" w:cs="Tahoma"/>
          <w:bCs/>
          <w:kern w:val="0"/>
          <w:lang w:eastAsia="es-ES"/>
          <w14:ligatures w14:val="none"/>
        </w:rPr>
        <w:t xml:space="preserve">por el Particular en contra del Sujeto Obligado, en términos del artículo 185, fracciones I, II y IV de la Ley de Transparencia y Acceso a la Información Pública del Estado de México y Municipios, </w:t>
      </w:r>
      <w:r w:rsidR="002D3E61" w:rsidRPr="002D3E61">
        <w:rPr>
          <w:rFonts w:ascii="Palatino Linotype" w:eastAsia="Batang" w:hAnsi="Palatino Linotype" w:cs="Tahoma"/>
          <w:bCs/>
          <w:kern w:val="0"/>
          <w:lang w:eastAsia="es-ES"/>
          <w14:ligatures w14:val="none"/>
        </w:rPr>
        <w:t>el</w:t>
      </w:r>
      <w:r w:rsidR="00F66E9A" w:rsidRPr="002D3E61">
        <w:rPr>
          <w:rFonts w:ascii="Palatino Linotype" w:eastAsia="Batang" w:hAnsi="Palatino Linotype" w:cs="Tahoma"/>
          <w:bCs/>
          <w:kern w:val="0"/>
          <w:lang w:eastAsia="es-ES"/>
          <w14:ligatures w14:val="none"/>
        </w:rPr>
        <w:t xml:space="preserve">  </w:t>
      </w:r>
      <w:r w:rsidRPr="002D3E61">
        <w:rPr>
          <w:rFonts w:ascii="Palatino Linotype" w:eastAsia="Batang" w:hAnsi="Palatino Linotype" w:cs="Tahoma"/>
          <w:bCs/>
          <w:kern w:val="0"/>
          <w:lang w:eastAsia="es-ES"/>
          <w14:ligatures w14:val="none"/>
        </w:rPr>
        <w:t>cual fue notificado a las partes el</w:t>
      </w:r>
      <w:r w:rsidR="00F66E9A" w:rsidRPr="002D3E61">
        <w:rPr>
          <w:rFonts w:ascii="Palatino Linotype" w:eastAsia="Batang" w:hAnsi="Palatino Linotype" w:cs="Tahoma"/>
          <w:bCs/>
          <w:kern w:val="0"/>
          <w:lang w:eastAsia="es-ES"/>
          <w14:ligatures w14:val="none"/>
        </w:rPr>
        <w:t xml:space="preserve"> mismo día</w:t>
      </w:r>
      <w:r w:rsidRPr="002D3E61">
        <w:rPr>
          <w:rFonts w:ascii="Palatino Linotype" w:eastAsia="Batang" w:hAnsi="Palatino Linotype" w:cs="Tahoma"/>
          <w:bCs/>
          <w:kern w:val="0"/>
          <w:lang w:eastAsia="es-ES"/>
          <w14:ligatures w14:val="none"/>
        </w:rPr>
        <w:t>, a través del Sistema de Acceso a la Información Mexiquense (SAIMEX), en el que se les otorgó un plazo de siete días hábiles posteriores a la misma, para que manifestaran lo que a su derecho conviniera y formularan alegatos.</w:t>
      </w:r>
      <w:r w:rsidRPr="002D3E61">
        <w:rPr>
          <w:rFonts w:ascii="Palatino Linotype" w:eastAsia="Times New Roman" w:hAnsi="Palatino Linotype" w:cs="Tahoma"/>
          <w:b/>
          <w:kern w:val="0"/>
          <w:lang w:eastAsia="es-ES"/>
          <w14:ligatures w14:val="none"/>
        </w:rPr>
        <w:t xml:space="preserve"> </w:t>
      </w:r>
    </w:p>
    <w:p w14:paraId="2437EEC5" w14:textId="77777777" w:rsidR="00F66E9A" w:rsidRPr="00F12038" w:rsidRDefault="00F66E9A" w:rsidP="00797C7C">
      <w:pPr>
        <w:spacing w:after="0" w:line="360" w:lineRule="auto"/>
        <w:jc w:val="both"/>
        <w:rPr>
          <w:rFonts w:ascii="Palatino Linotype" w:eastAsia="Batang" w:hAnsi="Palatino Linotype" w:cs="Tahoma"/>
          <w:bCs/>
          <w:color w:val="FF0000"/>
          <w:kern w:val="0"/>
          <w:lang w:eastAsia="es-ES"/>
          <w14:ligatures w14:val="none"/>
        </w:rPr>
      </w:pPr>
    </w:p>
    <w:p w14:paraId="62315D31" w14:textId="4B74F002" w:rsidR="00D81E4F" w:rsidRPr="008D205F" w:rsidRDefault="00D81E4F" w:rsidP="00D81E4F">
      <w:pPr>
        <w:spacing w:after="0" w:line="360" w:lineRule="auto"/>
        <w:jc w:val="both"/>
        <w:rPr>
          <w:rFonts w:ascii="Palatino Linotype" w:hAnsi="Palatino Linotype" w:cs="Tahoma"/>
          <w:bCs/>
          <w:kern w:val="0"/>
          <w:lang w:val="es-ES"/>
          <w14:ligatures w14:val="none"/>
        </w:rPr>
      </w:pPr>
      <w:r w:rsidRPr="008D205F">
        <w:rPr>
          <w:rFonts w:ascii="Palatino Linotype" w:eastAsia="Times New Roman" w:hAnsi="Palatino Linotype" w:cs="Tahoma"/>
          <w:b/>
          <w:kern w:val="0"/>
          <w:lang w:eastAsia="es-ES"/>
          <w14:ligatures w14:val="none"/>
        </w:rPr>
        <w:t>d) Informe Justificado.</w:t>
      </w:r>
      <w:r w:rsidR="00D37A8E" w:rsidRPr="008D205F">
        <w:rPr>
          <w:rFonts w:ascii="Palatino Linotype" w:eastAsia="Times New Roman" w:hAnsi="Palatino Linotype" w:cs="Tahoma"/>
          <w:b/>
          <w:kern w:val="0"/>
          <w:lang w:eastAsia="es-ES"/>
          <w14:ligatures w14:val="none"/>
        </w:rPr>
        <w:t xml:space="preserve"> </w:t>
      </w:r>
      <w:r w:rsidR="00D2129C" w:rsidRPr="008D205F">
        <w:rPr>
          <w:rFonts w:ascii="Palatino Linotype" w:eastAsia="Times New Roman" w:hAnsi="Palatino Linotype" w:cs="Tahoma"/>
          <w:kern w:val="0"/>
          <w:lang w:eastAsia="es-ES"/>
          <w14:ligatures w14:val="none"/>
        </w:rPr>
        <w:t>En fecha</w:t>
      </w:r>
      <w:r w:rsidRPr="008D205F">
        <w:rPr>
          <w:rFonts w:ascii="Palatino Linotype" w:eastAsia="Times New Roman" w:hAnsi="Palatino Linotype" w:cs="Tahoma"/>
          <w:kern w:val="0"/>
          <w:lang w:eastAsia="es-ES"/>
          <w14:ligatures w14:val="none"/>
        </w:rPr>
        <w:t xml:space="preserve"> </w:t>
      </w:r>
      <w:r w:rsidR="00D2129C" w:rsidRPr="008D205F">
        <w:rPr>
          <w:rFonts w:ascii="Palatino Linotype" w:eastAsia="Times New Roman" w:hAnsi="Palatino Linotype" w:cs="Tahoma"/>
          <w:kern w:val="0"/>
          <w:lang w:eastAsia="es-ES"/>
          <w14:ligatures w14:val="none"/>
        </w:rPr>
        <w:t>veintisiete d</w:t>
      </w:r>
      <w:r w:rsidR="00C47267" w:rsidRPr="008D205F">
        <w:rPr>
          <w:rFonts w:ascii="Palatino Linotype" w:eastAsia="Times New Roman" w:hAnsi="Palatino Linotype" w:cs="Tahoma"/>
          <w:kern w:val="0"/>
          <w:lang w:eastAsia="es-ES"/>
          <w14:ligatures w14:val="none"/>
        </w:rPr>
        <w:t xml:space="preserve">e mayo de dos mil veinticinco, </w:t>
      </w:r>
      <w:r w:rsidRPr="008D205F">
        <w:rPr>
          <w:rFonts w:ascii="Palatino Linotype" w:hAnsi="Palatino Linotype" w:cs="Tahoma"/>
          <w:kern w:val="0"/>
          <w14:ligatures w14:val="none"/>
        </w:rPr>
        <w:t xml:space="preserve">el Sujeto Obligado notificó a través </w:t>
      </w:r>
      <w:r w:rsidRPr="008D205F">
        <w:rPr>
          <w:rFonts w:ascii="Palatino Linotype" w:hAnsi="Palatino Linotype" w:cs="Tahoma"/>
          <w:bCs/>
          <w:kern w:val="0"/>
          <w14:ligatures w14:val="none"/>
        </w:rPr>
        <w:t xml:space="preserve">del Sistema de Acceso a la Información Mexiquense </w:t>
      </w:r>
      <w:r w:rsidRPr="008D205F">
        <w:rPr>
          <w:rFonts w:ascii="Palatino Linotype" w:hAnsi="Palatino Linotype" w:cs="Tahoma"/>
          <w:bCs/>
          <w:kern w:val="0"/>
          <w:lang w:val="es-ES"/>
          <w14:ligatures w14:val="none"/>
        </w:rPr>
        <w:t xml:space="preserve">(SAIMEX), </w:t>
      </w:r>
      <w:r w:rsidR="00C47267" w:rsidRPr="008D205F">
        <w:rPr>
          <w:rFonts w:ascii="Palatino Linotype" w:hAnsi="Palatino Linotype" w:cs="Tahoma"/>
          <w:bCs/>
          <w:kern w:val="0"/>
          <w:lang w:val="es-ES"/>
          <w14:ligatures w14:val="none"/>
        </w:rPr>
        <w:t xml:space="preserve">su informe justificado a través de </w:t>
      </w:r>
      <w:r w:rsidRPr="008D205F">
        <w:rPr>
          <w:rFonts w:ascii="Palatino Linotype" w:hAnsi="Palatino Linotype" w:cs="Tahoma"/>
          <w:bCs/>
          <w:kern w:val="0"/>
          <w:lang w:val="es-ES"/>
          <w14:ligatures w14:val="none"/>
        </w:rPr>
        <w:t>la digitalización de los siguientes documentos:</w:t>
      </w:r>
    </w:p>
    <w:p w14:paraId="1AD111B9" w14:textId="77777777" w:rsidR="00D81E4F" w:rsidRPr="00F12038" w:rsidRDefault="00D81E4F" w:rsidP="00D81E4F">
      <w:pPr>
        <w:spacing w:after="0" w:line="360" w:lineRule="auto"/>
        <w:jc w:val="both"/>
        <w:rPr>
          <w:rFonts w:ascii="Palatino Linotype" w:eastAsia="Palatino Linotype" w:hAnsi="Palatino Linotype" w:cs="Palatino Linotype"/>
          <w:color w:val="FF0000"/>
          <w:kern w:val="0"/>
          <w:lang w:eastAsia="es-MX"/>
          <w14:ligatures w14:val="none"/>
        </w:rPr>
      </w:pPr>
    </w:p>
    <w:p w14:paraId="61A1A66B" w14:textId="3EF86B50" w:rsidR="00D81E4F" w:rsidRDefault="00D81E4F" w:rsidP="00D81E4F">
      <w:pPr>
        <w:spacing w:after="0" w:line="360" w:lineRule="auto"/>
        <w:jc w:val="both"/>
        <w:rPr>
          <w:rFonts w:ascii="Palatino Linotype" w:eastAsia="Palatino Linotype" w:hAnsi="Palatino Linotype" w:cs="Palatino Linotype"/>
          <w:kern w:val="0"/>
          <w:lang w:eastAsia="es-MX"/>
          <w14:ligatures w14:val="none"/>
        </w:rPr>
      </w:pPr>
      <w:r w:rsidRPr="00067E8D">
        <w:rPr>
          <w:rFonts w:ascii="Palatino Linotype" w:eastAsia="Palatino Linotype" w:hAnsi="Palatino Linotype" w:cs="Palatino Linotype"/>
          <w:kern w:val="0"/>
          <w:lang w:eastAsia="es-MX"/>
          <w14:ligatures w14:val="none"/>
        </w:rPr>
        <w:t xml:space="preserve">i) Oficio </w:t>
      </w:r>
      <w:r w:rsidR="00067E8D" w:rsidRPr="00067E8D">
        <w:rPr>
          <w:rFonts w:ascii="Palatino Linotype" w:eastAsia="Palatino Linotype" w:hAnsi="Palatino Linotype" w:cs="Palatino Linotype"/>
          <w:kern w:val="0"/>
          <w:lang w:eastAsia="es-MX"/>
          <w14:ligatures w14:val="none"/>
        </w:rPr>
        <w:t>CESLP/ECO/0468/04/25</w:t>
      </w:r>
      <w:r w:rsidR="00067E8D">
        <w:rPr>
          <w:rFonts w:ascii="Palatino Linotype" w:eastAsia="Palatino Linotype" w:hAnsi="Palatino Linotype" w:cs="Palatino Linotype"/>
          <w:kern w:val="0"/>
          <w:lang w:eastAsia="es-MX"/>
          <w14:ligatures w14:val="none"/>
        </w:rPr>
        <w:t xml:space="preserve"> del veintinueve de abril de dos mil veinticinco, suscrito por la Titular de la Unidad de Transparencia, dirigido al Secretario General de la Sección la Paz, por medio del cual se menciona lo siguiente:</w:t>
      </w:r>
    </w:p>
    <w:p w14:paraId="117A4A44" w14:textId="77777777" w:rsidR="00D81E4F" w:rsidRPr="00F12038" w:rsidRDefault="00D81E4F" w:rsidP="00D81E4F">
      <w:pPr>
        <w:spacing w:after="0" w:line="360" w:lineRule="auto"/>
        <w:jc w:val="both"/>
        <w:rPr>
          <w:rFonts w:ascii="Palatino Linotype" w:eastAsia="Palatino Linotype" w:hAnsi="Palatino Linotype" w:cs="Palatino Linotype"/>
          <w:color w:val="FF0000"/>
          <w:kern w:val="0"/>
          <w:lang w:eastAsia="es-MX"/>
          <w14:ligatures w14:val="none"/>
        </w:rPr>
      </w:pPr>
    </w:p>
    <w:p w14:paraId="1B7FBBB1" w14:textId="54F0BB61" w:rsidR="00D81E4F" w:rsidRPr="00ED4C03" w:rsidRDefault="00ED4C03" w:rsidP="00D81E4F">
      <w:pPr>
        <w:spacing w:after="0" w:line="360" w:lineRule="auto"/>
        <w:ind w:left="567" w:right="567"/>
        <w:jc w:val="both"/>
        <w:rPr>
          <w:rFonts w:ascii="Palatino Linotype" w:hAnsi="Palatino Linotype"/>
          <w:i/>
          <w:iCs/>
          <w:kern w:val="0"/>
          <w:sz w:val="20"/>
          <w:szCs w:val="20"/>
          <w14:ligatures w14:val="none"/>
        </w:rPr>
      </w:pPr>
      <w:r w:rsidRPr="00ED4C03">
        <w:rPr>
          <w:rFonts w:ascii="Palatino Linotype" w:hAnsi="Palatino Linotype"/>
          <w:i/>
          <w:iCs/>
          <w:kern w:val="0"/>
          <w:sz w:val="20"/>
          <w:szCs w:val="20"/>
          <w14:ligatures w14:val="none"/>
        </w:rPr>
        <w:t>“…Me permito anexar a la presente copia fotostática del Convenio de Prestaciones de Ley y Colaterales 2024 firmado por el H. Ayuntamiento de La Paz y la Sección Sindical del SUTEYM de este municipio. Dicho convenio comprende un total de 21 páginas</w:t>
      </w:r>
      <w:r>
        <w:rPr>
          <w:rFonts w:ascii="Palatino Linotype" w:hAnsi="Palatino Linotype"/>
          <w:i/>
          <w:iCs/>
          <w:kern w:val="0"/>
          <w:sz w:val="20"/>
          <w:szCs w:val="20"/>
          <w14:ligatures w14:val="none"/>
        </w:rPr>
        <w:t>…” (Sic)</w:t>
      </w:r>
    </w:p>
    <w:p w14:paraId="0E50367E" w14:textId="77777777" w:rsidR="00D81E4F" w:rsidRPr="00F12038" w:rsidRDefault="00D81E4F" w:rsidP="00D81E4F">
      <w:pPr>
        <w:spacing w:after="0" w:line="360" w:lineRule="auto"/>
        <w:jc w:val="both"/>
        <w:rPr>
          <w:rFonts w:ascii="Palatino Linotype" w:hAnsi="Palatino Linotype"/>
          <w:color w:val="FF0000"/>
          <w:kern w:val="0"/>
          <w14:ligatures w14:val="none"/>
        </w:rPr>
      </w:pPr>
    </w:p>
    <w:p w14:paraId="2E1BA858" w14:textId="0AF7AE3C" w:rsidR="00D81E4F" w:rsidRDefault="00ED673B" w:rsidP="00ED673B">
      <w:pPr>
        <w:spacing w:after="0" w:line="360" w:lineRule="auto"/>
        <w:jc w:val="both"/>
        <w:rPr>
          <w:rFonts w:ascii="Palatino Linotype" w:hAnsi="Palatino Linotype"/>
        </w:rPr>
      </w:pPr>
      <w:r>
        <w:rPr>
          <w:rFonts w:ascii="Palatino Linotype" w:hAnsi="Palatino Linotype"/>
          <w:kern w:val="0"/>
          <w14:ligatures w14:val="none"/>
        </w:rPr>
        <w:lastRenderedPageBreak/>
        <w:t>ii</w:t>
      </w:r>
      <w:r w:rsidRPr="00ED673B">
        <w:rPr>
          <w:rFonts w:ascii="Palatino Linotype" w:hAnsi="Palatino Linotype"/>
          <w:kern w:val="0"/>
          <w14:ligatures w14:val="none"/>
        </w:rPr>
        <w:t>) E</w:t>
      </w:r>
      <w:r w:rsidR="00812AAB">
        <w:rPr>
          <w:rFonts w:ascii="Palatino Linotype" w:hAnsi="Palatino Linotype"/>
          <w:kern w:val="0"/>
          <w14:ligatures w14:val="none"/>
        </w:rPr>
        <w:t>l</w:t>
      </w:r>
      <w:r w:rsidRPr="00ED673B">
        <w:rPr>
          <w:rFonts w:ascii="Palatino Linotype" w:hAnsi="Palatino Linotype"/>
          <w:kern w:val="0"/>
          <w14:ligatures w14:val="none"/>
        </w:rPr>
        <w:t xml:space="preserve"> </w:t>
      </w:r>
      <w:r w:rsidRPr="00ED673B">
        <w:rPr>
          <w:rFonts w:ascii="Palatino Linotype" w:hAnsi="Palatino Linotype"/>
        </w:rPr>
        <w:t>Convenio de Prestaciones de Ley y C</w:t>
      </w:r>
      <w:r>
        <w:rPr>
          <w:rFonts w:ascii="Palatino Linotype" w:hAnsi="Palatino Linotype"/>
        </w:rPr>
        <w:t>olaterales dos mil veinticuatro</w:t>
      </w:r>
      <w:r w:rsidR="00812AAB">
        <w:rPr>
          <w:rFonts w:ascii="Palatino Linotype" w:hAnsi="Palatino Linotype"/>
        </w:rPr>
        <w:t xml:space="preserve">, celebrado entre el Ayuntamiento de La Paz y el </w:t>
      </w:r>
      <w:r w:rsidR="00D464ED" w:rsidRPr="00595CB5">
        <w:rPr>
          <w:rFonts w:ascii="Palatino Linotype" w:hAnsi="Palatino Linotype" w:cs="Tahoma"/>
          <w:kern w:val="0"/>
          <w14:ligatures w14:val="none"/>
        </w:rPr>
        <w:t>Sindicato Único de Trabajadores de los Poderes, Municipios e Instituciones Descentralizadas del Estado de México</w:t>
      </w:r>
      <w:r w:rsidR="00D464ED">
        <w:rPr>
          <w:rFonts w:ascii="Palatino Linotype" w:hAnsi="Palatino Linotype" w:cs="Tahoma"/>
          <w:kern w:val="0"/>
          <w14:ligatures w14:val="none"/>
        </w:rPr>
        <w:t>.</w:t>
      </w:r>
    </w:p>
    <w:p w14:paraId="3DB23F8E" w14:textId="77777777" w:rsidR="00EE2EDD" w:rsidRDefault="00EE2EDD" w:rsidP="00ED673B">
      <w:pPr>
        <w:spacing w:after="0" w:line="360" w:lineRule="auto"/>
        <w:jc w:val="both"/>
        <w:rPr>
          <w:rFonts w:ascii="Palatino Linotype" w:hAnsi="Palatino Linotype"/>
        </w:rPr>
      </w:pPr>
    </w:p>
    <w:p w14:paraId="332A1F63" w14:textId="6B2DBBEF" w:rsidR="00EE2EDD" w:rsidRPr="009A7E6C" w:rsidRDefault="00EE2EDD" w:rsidP="00EE2EDD">
      <w:pPr>
        <w:spacing w:after="0" w:line="360" w:lineRule="auto"/>
        <w:jc w:val="both"/>
        <w:rPr>
          <w:rFonts w:ascii="Palatino Linotype" w:eastAsia="Times New Roman" w:hAnsi="Palatino Linotype" w:cs="Tahoma"/>
          <w:bCs/>
          <w:kern w:val="0"/>
          <w:lang w:eastAsia="es-ES"/>
          <w14:ligatures w14:val="none"/>
        </w:rPr>
      </w:pPr>
      <w:r w:rsidRPr="009A7E6C">
        <w:rPr>
          <w:rFonts w:ascii="Palatino Linotype" w:eastAsia="Times New Roman" w:hAnsi="Palatino Linotype" w:cs="Tahoma"/>
          <w:b/>
          <w:kern w:val="0"/>
          <w:lang w:eastAsia="es-ES"/>
          <w14:ligatures w14:val="none"/>
        </w:rPr>
        <w:t xml:space="preserve">e) Vista del Informe Justificado. </w:t>
      </w:r>
      <w:r w:rsidRPr="009A7E6C">
        <w:rPr>
          <w:rFonts w:ascii="Palatino Linotype" w:eastAsia="Times New Roman" w:hAnsi="Palatino Linotype" w:cs="Tahoma"/>
          <w:bCs/>
          <w:kern w:val="0"/>
          <w:lang w:eastAsia="es-ES"/>
          <w14:ligatures w14:val="none"/>
        </w:rPr>
        <w:t>El trece de agosto de dos mi</w:t>
      </w:r>
      <w:r w:rsidR="009A7E6C" w:rsidRPr="009A7E6C">
        <w:rPr>
          <w:rFonts w:ascii="Palatino Linotype" w:eastAsia="Times New Roman" w:hAnsi="Palatino Linotype" w:cs="Tahoma"/>
          <w:bCs/>
          <w:kern w:val="0"/>
          <w:lang w:eastAsia="es-ES"/>
          <w14:ligatures w14:val="none"/>
        </w:rPr>
        <w:t xml:space="preserve">l veinticinco, se dictó acuerdo </w:t>
      </w:r>
      <w:r w:rsidRPr="009A7E6C">
        <w:rPr>
          <w:rFonts w:ascii="Palatino Linotype" w:eastAsia="Times New Roman" w:hAnsi="Palatino Linotype" w:cs="Tahoma"/>
          <w:bCs/>
          <w:kern w:val="0"/>
          <w:lang w:eastAsia="es-ES"/>
          <w14:ligatures w14:val="none"/>
        </w:rPr>
        <w:t xml:space="preserve">mediante el cual se puso a la vista del Particular el Informe Justificado, entregado por el Sujeto Obligado, el cual fue notificado a las partes, a través del Sistema de Acceso a la Información Mexiquense (SAIMEX), el mismo día. </w:t>
      </w:r>
      <w:r w:rsidRPr="009A7E6C">
        <w:rPr>
          <w:rFonts w:ascii="Palatino Linotype" w:eastAsia="Times New Roman" w:hAnsi="Palatino Linotype" w:cs="Tahoma"/>
          <w:b/>
          <w:kern w:val="0"/>
          <w:lang w:eastAsia="es-ES"/>
          <w14:ligatures w14:val="none"/>
        </w:rPr>
        <w:t>Cabe señalar que el Particular fue omiso en realizar manifestación alguna.</w:t>
      </w:r>
    </w:p>
    <w:p w14:paraId="48BF7C2B" w14:textId="77777777" w:rsidR="00D81E4F" w:rsidRPr="00F12038" w:rsidRDefault="00D81E4F" w:rsidP="00797C7C">
      <w:pPr>
        <w:spacing w:after="0" w:line="360" w:lineRule="auto"/>
        <w:jc w:val="both"/>
        <w:rPr>
          <w:rFonts w:ascii="Palatino Linotype" w:eastAsia="Times New Roman" w:hAnsi="Palatino Linotype" w:cs="Tahoma"/>
          <w:b/>
          <w:color w:val="FF0000"/>
          <w:kern w:val="0"/>
          <w:lang w:eastAsia="es-ES"/>
          <w14:ligatures w14:val="none"/>
        </w:rPr>
      </w:pPr>
    </w:p>
    <w:p w14:paraId="0B5DA634" w14:textId="001E96BE" w:rsidR="00797C7C" w:rsidRPr="00AE3D3F" w:rsidRDefault="00EE2EDD" w:rsidP="00797C7C">
      <w:pPr>
        <w:spacing w:after="0" w:line="360" w:lineRule="auto"/>
        <w:jc w:val="both"/>
        <w:rPr>
          <w:rFonts w:ascii="Palatino Linotype" w:eastAsia="Palatino Linotype" w:hAnsi="Palatino Linotype" w:cs="Palatino Linotype"/>
          <w:kern w:val="0"/>
          <w14:ligatures w14:val="none"/>
        </w:rPr>
      </w:pPr>
      <w:r>
        <w:rPr>
          <w:rFonts w:ascii="Palatino Linotype" w:eastAsia="Palatino Linotype" w:hAnsi="Palatino Linotype" w:cs="Palatino Linotype"/>
          <w:b/>
          <w:bCs/>
          <w:kern w:val="0"/>
          <w14:ligatures w14:val="none"/>
        </w:rPr>
        <w:t>f</w:t>
      </w:r>
      <w:r w:rsidR="00797C7C" w:rsidRPr="00877ABF">
        <w:rPr>
          <w:rFonts w:ascii="Palatino Linotype" w:eastAsia="Palatino Linotype" w:hAnsi="Palatino Linotype" w:cs="Palatino Linotype"/>
          <w:b/>
          <w:bCs/>
          <w:kern w:val="0"/>
          <w14:ligatures w14:val="none"/>
        </w:rPr>
        <w:t xml:space="preserve">) Ampliación </w:t>
      </w:r>
      <w:r w:rsidR="00797C7C" w:rsidRPr="007127A8">
        <w:rPr>
          <w:rFonts w:ascii="Palatino Linotype" w:eastAsia="Palatino Linotype" w:hAnsi="Palatino Linotype" w:cs="Palatino Linotype"/>
          <w:b/>
          <w:bCs/>
          <w:kern w:val="0"/>
          <w14:ligatures w14:val="none"/>
        </w:rPr>
        <w:t>de plazo para resolver.</w:t>
      </w:r>
      <w:r w:rsidR="00797C7C" w:rsidRPr="007127A8">
        <w:rPr>
          <w:rFonts w:ascii="Palatino Linotype" w:eastAsia="Palatino Linotype" w:hAnsi="Palatino Linotype" w:cs="Palatino Linotype"/>
          <w:kern w:val="0"/>
          <w14:ligatures w14:val="none"/>
        </w:rPr>
        <w:t xml:space="preserve"> El</w:t>
      </w:r>
      <w:r w:rsidR="00AE3D3F" w:rsidRPr="007127A8">
        <w:rPr>
          <w:rFonts w:ascii="Palatino Linotype" w:eastAsia="Palatino Linotype" w:hAnsi="Palatino Linotype" w:cs="Palatino Linotype"/>
          <w:kern w:val="0"/>
          <w14:ligatures w14:val="none"/>
        </w:rPr>
        <w:t xml:space="preserve"> trece de agosto de dos </w:t>
      </w:r>
      <w:r w:rsidR="00D37A8E" w:rsidRPr="007127A8">
        <w:rPr>
          <w:rFonts w:ascii="Palatino Linotype" w:eastAsia="Palatino Linotype" w:hAnsi="Palatino Linotype" w:cs="Palatino Linotype"/>
          <w:kern w:val="0"/>
          <w14:ligatures w14:val="none"/>
        </w:rPr>
        <w:t>mil veinticinco</w:t>
      </w:r>
      <w:r w:rsidR="00797C7C" w:rsidRPr="007127A8">
        <w:rPr>
          <w:rFonts w:ascii="Palatino Linotype" w:eastAsia="Palatino Linotype" w:hAnsi="Palatino Linotype" w:cs="Palatino Linotype"/>
          <w:kern w:val="0"/>
          <w14:ligatures w14:val="none"/>
        </w:rPr>
        <w:t>, el Comisionado Ponente, con fundamento en lo dispuesto por el artículo 181, párrafo tercero, de la Ley de Transparencia y Acceso a la Información Pública del Estado de México y Municipios, acordó ampliar por un periodo</w:t>
      </w:r>
      <w:r w:rsidR="007127A8" w:rsidRPr="007127A8">
        <w:rPr>
          <w:rFonts w:ascii="Palatino Linotype" w:eastAsia="Palatino Linotype" w:hAnsi="Palatino Linotype" w:cs="Palatino Linotype"/>
          <w:kern w:val="0"/>
          <w14:ligatures w14:val="none"/>
        </w:rPr>
        <w:t xml:space="preserve"> razonable</w:t>
      </w:r>
      <w:r w:rsidR="00797C7C" w:rsidRPr="007127A8">
        <w:rPr>
          <w:rFonts w:ascii="Palatino Linotype" w:eastAsia="Palatino Linotype" w:hAnsi="Palatino Linotype" w:cs="Palatino Linotype"/>
          <w:kern w:val="0"/>
          <w14:ligatures w14:val="none"/>
        </w:rPr>
        <w:t>, el plazo para resolver el Recurso de Revisión que nos ocupa; acto que fue notificado a las partes, mediante el Sistema de Acceso a la Información Mexiquense (SAIMEX)</w:t>
      </w:r>
      <w:r w:rsidR="00D37A8E" w:rsidRPr="007127A8">
        <w:rPr>
          <w:rFonts w:ascii="Palatino Linotype" w:eastAsia="Palatino Linotype" w:hAnsi="Palatino Linotype" w:cs="Palatino Linotype"/>
          <w:kern w:val="0"/>
          <w14:ligatures w14:val="none"/>
        </w:rPr>
        <w:t xml:space="preserve">, el </w:t>
      </w:r>
      <w:r w:rsidR="007127A8">
        <w:rPr>
          <w:rFonts w:ascii="Palatino Linotype" w:eastAsia="Palatino Linotype" w:hAnsi="Palatino Linotype" w:cs="Palatino Linotype"/>
          <w:kern w:val="0"/>
          <w14:ligatures w14:val="none"/>
        </w:rPr>
        <w:t xml:space="preserve">catorce de agosto de dos mil veinticinco. </w:t>
      </w:r>
    </w:p>
    <w:p w14:paraId="2AB06E7C" w14:textId="77777777" w:rsidR="00D37A8E" w:rsidRPr="00F12038" w:rsidRDefault="00D37A8E" w:rsidP="00D37A8E">
      <w:pPr>
        <w:spacing w:after="0" w:line="360" w:lineRule="auto"/>
        <w:jc w:val="both"/>
        <w:rPr>
          <w:rFonts w:ascii="Palatino Linotype" w:eastAsia="Times New Roman" w:hAnsi="Palatino Linotype" w:cs="Tahoma"/>
          <w:b/>
          <w:color w:val="FF0000"/>
          <w:kern w:val="0"/>
          <w:lang w:eastAsia="es-ES"/>
          <w14:ligatures w14:val="none"/>
        </w:rPr>
      </w:pPr>
    </w:p>
    <w:p w14:paraId="7240E990" w14:textId="5F11FA85" w:rsidR="00797C7C" w:rsidRPr="00AE66ED" w:rsidRDefault="00135272" w:rsidP="00797C7C">
      <w:pPr>
        <w:spacing w:after="0" w:line="360" w:lineRule="auto"/>
        <w:jc w:val="both"/>
        <w:rPr>
          <w:rFonts w:ascii="Palatino Linotype" w:eastAsia="Times New Roman" w:hAnsi="Palatino Linotype" w:cs="Tahoma"/>
          <w:kern w:val="0"/>
          <w:lang w:eastAsia="es-ES"/>
          <w14:ligatures w14:val="none"/>
        </w:rPr>
      </w:pPr>
      <w:r w:rsidRPr="00AE66ED">
        <w:rPr>
          <w:rFonts w:ascii="Palatino Linotype" w:eastAsia="Times New Roman" w:hAnsi="Palatino Linotype" w:cs="Tahoma"/>
          <w:b/>
          <w:kern w:val="0"/>
          <w:lang w:eastAsia="es-ES"/>
          <w14:ligatures w14:val="none"/>
        </w:rPr>
        <w:t>e</w:t>
      </w:r>
      <w:r w:rsidR="00797C7C" w:rsidRPr="00AE66ED">
        <w:rPr>
          <w:rFonts w:ascii="Palatino Linotype" w:eastAsia="Times New Roman" w:hAnsi="Palatino Linotype" w:cs="Tahoma"/>
          <w:b/>
          <w:kern w:val="0"/>
          <w:lang w:eastAsia="es-ES"/>
          <w14:ligatures w14:val="none"/>
        </w:rPr>
        <w:t>) Cierre de instrucción.</w:t>
      </w:r>
      <w:r w:rsidR="001E33A0" w:rsidRPr="00AE66ED">
        <w:rPr>
          <w:rFonts w:ascii="Palatino Linotype" w:eastAsia="Times New Roman" w:hAnsi="Palatino Linotype" w:cs="Tahoma"/>
          <w:kern w:val="0"/>
          <w:lang w:eastAsia="es-ES"/>
          <w14:ligatures w14:val="none"/>
        </w:rPr>
        <w:t xml:space="preserve"> El </w:t>
      </w:r>
      <w:r w:rsidR="00AE66ED" w:rsidRPr="00AE66ED">
        <w:rPr>
          <w:rFonts w:ascii="Palatino Linotype" w:eastAsia="Times New Roman" w:hAnsi="Palatino Linotype" w:cs="Tahoma"/>
          <w:kern w:val="0"/>
          <w:lang w:eastAsia="es-ES"/>
          <w14:ligatures w14:val="none"/>
        </w:rPr>
        <w:t xml:space="preserve">diecinueve de agosto </w:t>
      </w:r>
      <w:r w:rsidR="00D37A8E" w:rsidRPr="00AE66ED">
        <w:rPr>
          <w:rFonts w:ascii="Palatino Linotype" w:eastAsia="Times New Roman" w:hAnsi="Palatino Linotype" w:cs="Tahoma"/>
          <w:kern w:val="0"/>
          <w:lang w:eastAsia="es-ES"/>
          <w14:ligatures w14:val="none"/>
        </w:rPr>
        <w:t xml:space="preserve">de dos mil  veinticinco, </w:t>
      </w:r>
      <w:r w:rsidR="00797C7C" w:rsidRPr="00AE66ED">
        <w:rPr>
          <w:rFonts w:ascii="Palatino Linotype" w:eastAsia="Times New Roman" w:hAnsi="Palatino Linotype" w:cs="Tahoma"/>
          <w:kern w:val="0"/>
          <w:lang w:eastAsia="es-ES"/>
          <w14:ligatures w14:val="none"/>
        </w:rPr>
        <w:t xml:space="preserve">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797C7C" w:rsidRPr="00AE66ED">
        <w:rPr>
          <w:rFonts w:ascii="Palatino Linotype" w:eastAsia="Times New Roman" w:hAnsi="Palatino Linotype" w:cs="Tahoma"/>
          <w:kern w:val="0"/>
          <w:lang w:val="es-ES" w:eastAsia="es-ES"/>
          <w14:ligatures w14:val="none"/>
        </w:rPr>
        <w:t>Sistema de Acceso a la Información Mexiquense (SAIMEX)</w:t>
      </w:r>
      <w:r w:rsidR="00797C7C" w:rsidRPr="00AE66ED">
        <w:rPr>
          <w:rFonts w:ascii="Palatino Linotype" w:eastAsia="Times New Roman" w:hAnsi="Palatino Linotype" w:cs="Tahoma"/>
          <w:kern w:val="0"/>
          <w:lang w:eastAsia="es-ES"/>
          <w14:ligatures w14:val="none"/>
        </w:rPr>
        <w:t>.</w:t>
      </w:r>
    </w:p>
    <w:p w14:paraId="3F4D3C36" w14:textId="77777777" w:rsidR="00797C7C" w:rsidRPr="00AE66ED" w:rsidRDefault="00797C7C" w:rsidP="00797C7C">
      <w:pPr>
        <w:spacing w:after="0" w:line="360" w:lineRule="auto"/>
        <w:jc w:val="both"/>
        <w:rPr>
          <w:rFonts w:ascii="Palatino Linotype" w:eastAsia="Times New Roman" w:hAnsi="Palatino Linotype" w:cs="Tahoma"/>
          <w:b/>
          <w:bCs/>
          <w:kern w:val="0"/>
          <w:lang w:eastAsia="es-ES"/>
          <w14:ligatures w14:val="none"/>
        </w:rPr>
      </w:pPr>
    </w:p>
    <w:p w14:paraId="110BCA0C" w14:textId="77777777" w:rsidR="00797C7C" w:rsidRPr="00AE66ED" w:rsidRDefault="00797C7C" w:rsidP="00797C7C">
      <w:pPr>
        <w:spacing w:after="0" w:line="360" w:lineRule="auto"/>
        <w:contextualSpacing/>
        <w:jc w:val="both"/>
        <w:rPr>
          <w:rFonts w:ascii="Palatino Linotype" w:hAnsi="Palatino Linotype" w:cs="Tahoma"/>
          <w:kern w:val="0"/>
          <w14:ligatures w14:val="none"/>
        </w:rPr>
      </w:pPr>
      <w:r w:rsidRPr="00AE66ED">
        <w:rPr>
          <w:rFonts w:ascii="Palatino Linotype" w:hAnsi="Palatino Linotype" w:cs="Tahoma"/>
          <w:kern w:val="0"/>
          <w14:ligatures w14:val="none"/>
        </w:rPr>
        <w:t xml:space="preserve">En razón de que fue debidamente sustanciado el expediente electrónico y no existe diligencia pendiente de desahogo, se emite la resolución que conforme a Derecho proceda, de acuerdo a los siguientes: </w:t>
      </w:r>
    </w:p>
    <w:p w14:paraId="0C52ED74" w14:textId="77777777" w:rsidR="00797C7C" w:rsidRPr="00F12038" w:rsidRDefault="00797C7C" w:rsidP="00797C7C">
      <w:pPr>
        <w:spacing w:after="0" w:line="360" w:lineRule="auto"/>
        <w:contextualSpacing/>
        <w:jc w:val="both"/>
        <w:rPr>
          <w:rFonts w:ascii="Palatino Linotype" w:hAnsi="Palatino Linotype" w:cs="Tahoma"/>
          <w:color w:val="FF0000"/>
          <w:kern w:val="0"/>
          <w14:ligatures w14:val="none"/>
        </w:rPr>
      </w:pPr>
    </w:p>
    <w:p w14:paraId="646C2C5E" w14:textId="77777777" w:rsidR="00797C7C" w:rsidRPr="00AE66ED" w:rsidRDefault="00797C7C" w:rsidP="00797C7C">
      <w:pPr>
        <w:spacing w:after="0" w:line="360" w:lineRule="auto"/>
        <w:contextualSpacing/>
        <w:jc w:val="center"/>
        <w:rPr>
          <w:rFonts w:ascii="Palatino Linotype" w:hAnsi="Palatino Linotype" w:cs="Tahoma"/>
          <w:b/>
          <w:kern w:val="0"/>
          <w14:ligatures w14:val="none"/>
        </w:rPr>
      </w:pPr>
      <w:r w:rsidRPr="00AE66ED">
        <w:rPr>
          <w:rFonts w:ascii="Palatino Linotype" w:hAnsi="Palatino Linotype" w:cs="Tahoma"/>
          <w:b/>
          <w:kern w:val="0"/>
          <w14:ligatures w14:val="none"/>
        </w:rPr>
        <w:t>CONSIDERANDOS</w:t>
      </w:r>
    </w:p>
    <w:p w14:paraId="24EEF8F4" w14:textId="77777777" w:rsidR="00797C7C" w:rsidRPr="00AE66ED" w:rsidRDefault="00797C7C" w:rsidP="00797C7C">
      <w:pPr>
        <w:spacing w:after="0" w:line="360" w:lineRule="auto"/>
        <w:contextualSpacing/>
        <w:jc w:val="center"/>
        <w:rPr>
          <w:rFonts w:ascii="Palatino Linotype" w:hAnsi="Palatino Linotype" w:cs="Tahoma"/>
          <w:b/>
          <w:kern w:val="0"/>
          <w14:ligatures w14:val="none"/>
        </w:rPr>
      </w:pPr>
    </w:p>
    <w:p w14:paraId="7ED16435" w14:textId="77777777" w:rsidR="00797C7C" w:rsidRPr="00AE66ED" w:rsidRDefault="00797C7C" w:rsidP="00797C7C">
      <w:pPr>
        <w:spacing w:after="0" w:line="360" w:lineRule="auto"/>
        <w:contextualSpacing/>
        <w:jc w:val="both"/>
        <w:rPr>
          <w:rFonts w:ascii="Palatino Linotype" w:eastAsia="Batang" w:hAnsi="Palatino Linotype" w:cs="Tahoma"/>
          <w:b/>
          <w:bCs/>
          <w:kern w:val="0"/>
          <w:lang w:eastAsia="es-ES"/>
          <w14:ligatures w14:val="none"/>
        </w:rPr>
      </w:pPr>
      <w:r w:rsidRPr="00AE66ED">
        <w:rPr>
          <w:rFonts w:ascii="Palatino Linotype" w:eastAsia="Batang" w:hAnsi="Palatino Linotype" w:cs="Tahoma"/>
          <w:b/>
          <w:bCs/>
          <w:kern w:val="0"/>
          <w:lang w:eastAsia="es-ES"/>
          <w14:ligatures w14:val="none"/>
        </w:rPr>
        <w:t>PRIMERO. Competencia</w:t>
      </w:r>
    </w:p>
    <w:p w14:paraId="074B44F8" w14:textId="77777777" w:rsidR="00FE1592" w:rsidRPr="00AE66ED" w:rsidRDefault="00FE1592" w:rsidP="00797C7C">
      <w:pPr>
        <w:spacing w:after="0" w:line="360" w:lineRule="auto"/>
        <w:contextualSpacing/>
        <w:jc w:val="both"/>
        <w:rPr>
          <w:rFonts w:ascii="Palatino Linotype" w:eastAsia="Batang" w:hAnsi="Palatino Linotype" w:cs="Tahoma"/>
          <w:b/>
          <w:bCs/>
          <w:kern w:val="0"/>
          <w:lang w:eastAsia="es-ES"/>
          <w14:ligatures w14:val="none"/>
        </w:rPr>
      </w:pPr>
    </w:p>
    <w:p w14:paraId="6D0AA2AC" w14:textId="1B8BC21E" w:rsidR="00FE1592" w:rsidRPr="00AE66ED" w:rsidRDefault="00FE1592" w:rsidP="00FE1592">
      <w:pPr>
        <w:spacing w:after="0" w:line="360" w:lineRule="auto"/>
        <w:jc w:val="both"/>
        <w:rPr>
          <w:rFonts w:ascii="Palatino Linotype" w:eastAsia="Palatino Linotype" w:hAnsi="Palatino Linotype" w:cs="Palatino Linotype"/>
          <w:kern w:val="0"/>
          <w:lang w:eastAsia="es-MX"/>
          <w14:ligatures w14:val="none"/>
        </w:rPr>
      </w:pPr>
      <w:r w:rsidRPr="00AE66ED">
        <w:rPr>
          <w:rFonts w:ascii="Palatino Linotype" w:eastAsia="Palatino Linotype" w:hAnsi="Palatino Linotype" w:cs="Palatino Linotype"/>
          <w:kern w:val="0"/>
          <w:lang w:eastAsia="es-MX"/>
          <w14:ligatures w14:val="non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w:t>
      </w:r>
      <w:r w:rsidR="00A17EC9" w:rsidRPr="00AE66ED">
        <w:rPr>
          <w:rFonts w:ascii="Palatino Linotype" w:eastAsia="Palatino Linotype" w:hAnsi="Palatino Linotype" w:cs="Palatino Linotype"/>
          <w:kern w:val="0"/>
          <w:lang w:eastAsia="es-MX"/>
          <w14:ligatures w14:val="none"/>
        </w:rPr>
        <w:t>noveno</w:t>
      </w:r>
      <w:r w:rsidRPr="00AE66ED">
        <w:rPr>
          <w:rFonts w:ascii="Palatino Linotype" w:eastAsia="Palatino Linotype" w:hAnsi="Palatino Linotype" w:cs="Palatino Linotype"/>
          <w:kern w:val="0"/>
          <w:lang w:eastAsia="es-MX"/>
          <w14:ligatures w14:val="none"/>
        </w:rPr>
        <w:t xml:space="preserve">, </w:t>
      </w:r>
      <w:r w:rsidR="00A17EC9" w:rsidRPr="00AE66ED">
        <w:rPr>
          <w:rFonts w:ascii="Palatino Linotype" w:eastAsia="Palatino Linotype" w:hAnsi="Palatino Linotype" w:cs="Palatino Linotype"/>
          <w:kern w:val="0"/>
          <w:lang w:eastAsia="es-MX"/>
          <w14:ligatures w14:val="none"/>
        </w:rPr>
        <w:t>cuadragésimo</w:t>
      </w:r>
      <w:r w:rsidRPr="00AE66ED">
        <w:rPr>
          <w:rFonts w:ascii="Palatino Linotype" w:eastAsia="Palatino Linotype" w:hAnsi="Palatino Linotype" w:cs="Palatino Linotype"/>
          <w:kern w:val="0"/>
          <w:lang w:eastAsia="es-MX"/>
          <w14:ligatures w14:val="none"/>
        </w:rPr>
        <w:t xml:space="preserve"> y </w:t>
      </w:r>
      <w:r w:rsidR="00A17EC9" w:rsidRPr="00AE66ED">
        <w:rPr>
          <w:rFonts w:ascii="Palatino Linotype" w:eastAsia="Palatino Linotype" w:hAnsi="Palatino Linotype" w:cs="Palatino Linotype"/>
          <w:kern w:val="0"/>
          <w:lang w:eastAsia="es-MX"/>
          <w14:ligatures w14:val="none"/>
        </w:rPr>
        <w:t>cuadragésimo primero</w:t>
      </w:r>
      <w:r w:rsidRPr="00AE66ED">
        <w:rPr>
          <w:rFonts w:ascii="Palatino Linotype" w:eastAsia="Palatino Linotype" w:hAnsi="Palatino Linotype" w:cs="Palatino Linotype"/>
          <w:kern w:val="0"/>
          <w:lang w:eastAsia="es-MX"/>
          <w14:ligatures w14:val="none"/>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1C49FB1" w14:textId="77777777" w:rsidR="00D37A8E" w:rsidRPr="00AE66ED" w:rsidRDefault="00D37A8E" w:rsidP="00797C7C">
      <w:pPr>
        <w:spacing w:after="0" w:line="360" w:lineRule="auto"/>
        <w:contextualSpacing/>
        <w:jc w:val="both"/>
        <w:rPr>
          <w:rFonts w:ascii="Palatino Linotype" w:eastAsia="Times New Roman" w:hAnsi="Palatino Linotype" w:cs="Tahoma"/>
          <w:bCs/>
          <w:kern w:val="0"/>
          <w:lang w:eastAsia="es-ES"/>
          <w14:ligatures w14:val="none"/>
        </w:rPr>
      </w:pPr>
    </w:p>
    <w:p w14:paraId="707844D2" w14:textId="51942160" w:rsidR="00797C7C" w:rsidRPr="00AE66ED" w:rsidRDefault="00797C7C" w:rsidP="00797C7C">
      <w:pPr>
        <w:spacing w:after="0" w:line="360" w:lineRule="auto"/>
        <w:jc w:val="both"/>
        <w:rPr>
          <w:rFonts w:ascii="Palatino Linotype" w:eastAsia="Times New Roman" w:hAnsi="Palatino Linotype" w:cs="Tahoma"/>
          <w:b/>
          <w:kern w:val="0"/>
          <w:lang w:eastAsia="es-ES"/>
          <w14:ligatures w14:val="none"/>
        </w:rPr>
      </w:pPr>
      <w:r w:rsidRPr="00AE66ED">
        <w:rPr>
          <w:rFonts w:ascii="Palatino Linotype" w:eastAsia="Times New Roman" w:hAnsi="Palatino Linotype" w:cs="Tahoma"/>
          <w:b/>
          <w:kern w:val="0"/>
          <w:lang w:eastAsia="es-ES"/>
          <w14:ligatures w14:val="none"/>
        </w:rPr>
        <w:t xml:space="preserve">SEGUNDO. Causales de </w:t>
      </w:r>
      <w:r w:rsidR="009D6261" w:rsidRPr="00AE66ED">
        <w:rPr>
          <w:rFonts w:ascii="Palatino Linotype" w:eastAsia="Times New Roman" w:hAnsi="Palatino Linotype" w:cs="Tahoma"/>
          <w:b/>
          <w:kern w:val="0"/>
          <w:lang w:eastAsia="es-ES"/>
          <w14:ligatures w14:val="none"/>
        </w:rPr>
        <w:t xml:space="preserve">improcedencia </w:t>
      </w:r>
    </w:p>
    <w:p w14:paraId="2200B7A2" w14:textId="77777777" w:rsidR="009D6261" w:rsidRPr="00AE66ED" w:rsidRDefault="009D6261" w:rsidP="009D6261">
      <w:pPr>
        <w:spacing w:after="0" w:line="360" w:lineRule="auto"/>
        <w:jc w:val="both"/>
        <w:rPr>
          <w:rFonts w:ascii="Palatino Linotype" w:eastAsia="Times New Roman" w:hAnsi="Palatino Linotype" w:cs="Tahoma"/>
          <w:bCs/>
          <w:kern w:val="0"/>
          <w:lang w:eastAsia="es-ES"/>
          <w14:ligatures w14:val="none"/>
        </w:rPr>
      </w:pPr>
    </w:p>
    <w:p w14:paraId="749A1355" w14:textId="77777777" w:rsidR="00A17EC9" w:rsidRPr="00AE66ED" w:rsidRDefault="00A17EC9" w:rsidP="00A17EC9">
      <w:pPr>
        <w:autoSpaceDE w:val="0"/>
        <w:autoSpaceDN w:val="0"/>
        <w:adjustRightInd w:val="0"/>
        <w:spacing w:line="360" w:lineRule="auto"/>
        <w:contextualSpacing/>
        <w:jc w:val="both"/>
        <w:rPr>
          <w:rFonts w:ascii="Palatino Linotype" w:hAnsi="Palatino Linotype" w:cs="Tahoma"/>
          <w:lang w:val="es-ES"/>
        </w:rPr>
      </w:pPr>
      <w:r w:rsidRPr="00AE66ED">
        <w:rPr>
          <w:rFonts w:ascii="Palatino Linotype" w:hAnsi="Palatino Linotype" w:cs="Tahoma"/>
          <w:lang w:val="es-ES"/>
        </w:rPr>
        <w:t xml:space="preserve">De las constancias que forma parte del Recurso de Revisión que se analiza, se advierte que previo al estudio del fondo de la </w:t>
      </w:r>
      <w:r w:rsidRPr="00AE66ED">
        <w:rPr>
          <w:rFonts w:ascii="Palatino Linotype" w:hAnsi="Palatino Linotype" w:cs="Tahoma"/>
          <w:i/>
          <w:lang w:val="es-ES"/>
        </w:rPr>
        <w:t>litis</w:t>
      </w:r>
      <w:r w:rsidRPr="00AE66ED">
        <w:rPr>
          <w:rFonts w:ascii="Palatino Linotype" w:hAnsi="Palatino Linotype" w:cs="Tahoma"/>
          <w:lang w:val="es-ES"/>
        </w:rPr>
        <w:t>, es necesario estudiar las causales de improcedencia y sobreseimiento que se adviertan, para determinar lo que en Derecho proceda.</w:t>
      </w:r>
    </w:p>
    <w:p w14:paraId="55E4AAE6" w14:textId="77777777" w:rsidR="00A17EC9" w:rsidRPr="00AE66ED" w:rsidRDefault="00A17EC9" w:rsidP="00A17EC9">
      <w:pPr>
        <w:spacing w:line="360" w:lineRule="auto"/>
        <w:contextualSpacing/>
        <w:jc w:val="both"/>
        <w:rPr>
          <w:rFonts w:ascii="Palatino Linotype" w:eastAsia="Calibri" w:hAnsi="Palatino Linotype" w:cs="Tahoma"/>
          <w:b/>
          <w:lang w:val="es-ES" w:eastAsia="es-MX"/>
        </w:rPr>
      </w:pPr>
    </w:p>
    <w:p w14:paraId="0B3FEA9A" w14:textId="3A5FB1DA" w:rsidR="00A17EC9" w:rsidRPr="00AE66ED" w:rsidRDefault="00A17EC9" w:rsidP="00A17EC9">
      <w:pPr>
        <w:spacing w:line="360" w:lineRule="auto"/>
        <w:contextualSpacing/>
        <w:jc w:val="both"/>
        <w:rPr>
          <w:rFonts w:ascii="Palatino Linotype" w:hAnsi="Palatino Linotype" w:cs="Tahoma"/>
          <w:b/>
          <w:bCs/>
          <w:lang w:val="es-ES"/>
        </w:rPr>
      </w:pPr>
      <w:r w:rsidRPr="00AE66ED">
        <w:rPr>
          <w:rFonts w:ascii="Palatino Linotype" w:hAnsi="Palatino Linotype" w:cs="Tahoma"/>
          <w:b/>
          <w:bCs/>
          <w:lang w:val="es-ES"/>
        </w:rPr>
        <w:t>Causales de improcedencia</w:t>
      </w:r>
    </w:p>
    <w:p w14:paraId="61DC02CD" w14:textId="77777777" w:rsidR="00A17EC9" w:rsidRPr="00AE66ED" w:rsidRDefault="00A17EC9" w:rsidP="009D6261">
      <w:pPr>
        <w:spacing w:after="0" w:line="360" w:lineRule="auto"/>
        <w:jc w:val="both"/>
        <w:rPr>
          <w:rFonts w:ascii="Palatino Linotype" w:eastAsia="Times New Roman" w:hAnsi="Palatino Linotype" w:cs="Tahoma"/>
          <w:bCs/>
          <w:kern w:val="0"/>
          <w:lang w:eastAsia="es-ES"/>
          <w14:ligatures w14:val="none"/>
        </w:rPr>
      </w:pPr>
    </w:p>
    <w:p w14:paraId="6A48BB28" w14:textId="77777777" w:rsidR="00D37A8E" w:rsidRPr="00AE66ED" w:rsidRDefault="00D37A8E" w:rsidP="00D37A8E">
      <w:pPr>
        <w:spacing w:after="0" w:line="360" w:lineRule="auto"/>
        <w:jc w:val="both"/>
        <w:rPr>
          <w:rFonts w:ascii="Palatino Linotype" w:eastAsia="Times New Roman" w:hAnsi="Palatino Linotype" w:cs="Tahoma"/>
          <w:bCs/>
          <w:kern w:val="0"/>
          <w:lang w:eastAsia="es-ES"/>
          <w14:ligatures w14:val="none"/>
        </w:rPr>
      </w:pPr>
      <w:r w:rsidRPr="00AE66ED">
        <w:rPr>
          <w:rFonts w:ascii="Palatino Linotype" w:eastAsia="Times New Roman" w:hAnsi="Palatino Linotype" w:cs="Tahoma"/>
          <w:bCs/>
          <w:kern w:val="0"/>
          <w:lang w:eastAsia="es-ES"/>
          <w14:ligatures w14:val="none"/>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AE66ED">
        <w:rPr>
          <w:rFonts w:ascii="Palatino Linotype" w:eastAsia="Times New Roman" w:hAnsi="Palatino Linotype" w:cs="Tahoma"/>
          <w:bCs/>
          <w:kern w:val="0"/>
          <w:lang w:eastAsia="es-ES"/>
          <w14:ligatures w14:val="none"/>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340DB4E" w14:textId="77777777" w:rsidR="00D37A8E" w:rsidRPr="00AE66ED" w:rsidRDefault="00D37A8E" w:rsidP="00D37A8E">
      <w:pPr>
        <w:spacing w:after="0" w:line="360" w:lineRule="auto"/>
        <w:jc w:val="both"/>
        <w:rPr>
          <w:rFonts w:ascii="Palatino Linotype" w:eastAsia="Times New Roman" w:hAnsi="Palatino Linotype" w:cs="Tahoma"/>
          <w:bCs/>
          <w:kern w:val="0"/>
          <w:lang w:eastAsia="es-ES"/>
          <w14:ligatures w14:val="none"/>
        </w:rPr>
      </w:pPr>
    </w:p>
    <w:p w14:paraId="66ED4061" w14:textId="134B40F0" w:rsidR="00D37A8E" w:rsidRDefault="00D37A8E" w:rsidP="00D37A8E">
      <w:pPr>
        <w:spacing w:after="0" w:line="360" w:lineRule="auto"/>
        <w:jc w:val="both"/>
        <w:rPr>
          <w:rFonts w:ascii="Palatino Linotype" w:eastAsia="Times New Roman" w:hAnsi="Palatino Linotype" w:cs="Tahoma"/>
          <w:kern w:val="0"/>
          <w:szCs w:val="24"/>
          <w:lang w:eastAsia="es-ES"/>
          <w14:ligatures w14:val="none"/>
        </w:rPr>
      </w:pPr>
      <w:r w:rsidRPr="00AE66ED">
        <w:rPr>
          <w:rFonts w:ascii="Palatino Linotype" w:eastAsia="Times New Roman" w:hAnsi="Palatino Linotype" w:cs="Tahoma"/>
          <w:kern w:val="0"/>
          <w:szCs w:val="24"/>
          <w:lang w:eastAsia="es-ES"/>
          <w14:ligatures w14:val="none"/>
        </w:rPr>
        <w:t xml:space="preserve">En el presente caso, </w:t>
      </w:r>
      <w:r w:rsidRPr="00AE66ED">
        <w:rPr>
          <w:rFonts w:ascii="Palatino Linotype" w:eastAsia="Times New Roman" w:hAnsi="Palatino Linotype" w:cs="Tahoma"/>
          <w:b/>
          <w:bCs/>
          <w:kern w:val="0"/>
          <w:szCs w:val="24"/>
          <w:lang w:eastAsia="es-ES"/>
          <w14:ligatures w14:val="none"/>
        </w:rPr>
        <w:t>no se actualiza ninguna de las causales de improcedencia</w:t>
      </w:r>
      <w:r w:rsidRPr="00AE66ED">
        <w:rPr>
          <w:rFonts w:ascii="Palatino Linotype" w:eastAsia="Times New Roman" w:hAnsi="Palatino Linotype" w:cs="Tahoma"/>
          <w:kern w:val="0"/>
          <w:szCs w:val="24"/>
          <w:lang w:eastAsia="es-ES"/>
          <w14:ligatures w14:val="none"/>
        </w:rPr>
        <w:t xml:space="preserve">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3AD1513E" w14:textId="77777777" w:rsidR="00D464ED" w:rsidRPr="00AE66ED" w:rsidRDefault="00D464ED" w:rsidP="00D37A8E">
      <w:pPr>
        <w:spacing w:after="0" w:line="360" w:lineRule="auto"/>
        <w:jc w:val="both"/>
        <w:rPr>
          <w:rFonts w:ascii="Palatino Linotype" w:eastAsia="Times New Roman" w:hAnsi="Palatino Linotype" w:cs="Tahoma"/>
          <w:kern w:val="0"/>
          <w:szCs w:val="24"/>
          <w:lang w:eastAsia="es-ES"/>
          <w14:ligatures w14:val="none"/>
        </w:rPr>
      </w:pPr>
    </w:p>
    <w:p w14:paraId="36CBC565" w14:textId="77777777" w:rsidR="00D37A8E" w:rsidRPr="00AE66ED" w:rsidRDefault="00D37A8E" w:rsidP="00D37A8E">
      <w:pPr>
        <w:spacing w:after="0" w:line="360" w:lineRule="auto"/>
        <w:jc w:val="both"/>
        <w:rPr>
          <w:rFonts w:ascii="Palatino Linotype" w:eastAsia="Times New Roman" w:hAnsi="Palatino Linotype" w:cs="Tahoma"/>
          <w:kern w:val="0"/>
          <w:lang w:val="es-ES" w:eastAsia="es-ES"/>
          <w14:ligatures w14:val="none"/>
        </w:rPr>
      </w:pPr>
      <w:r w:rsidRPr="00AE66ED">
        <w:rPr>
          <w:rFonts w:ascii="Palatino Linotype" w:eastAsia="Times New Roman" w:hAnsi="Palatino Linotype" w:cs="Tahoma"/>
          <w:kern w:val="0"/>
          <w:lang w:eastAsia="es-ES"/>
          <w14:ligatures w14:val="none"/>
        </w:rPr>
        <w:t>Asimismo, se considera por lo que hace a la fracción III, del artículo 191, de la Ley de la materia, toda vez, que ya ha sido admitido el Recurso de Revisión, se realizará el análisis correspondiente en el Considerando Tercero.</w:t>
      </w:r>
    </w:p>
    <w:p w14:paraId="42608CB5" w14:textId="77777777" w:rsidR="00D37A8E" w:rsidRPr="00AE66ED" w:rsidRDefault="00D37A8E" w:rsidP="00D37A8E">
      <w:pPr>
        <w:spacing w:after="0" w:line="360" w:lineRule="auto"/>
        <w:contextualSpacing/>
        <w:jc w:val="both"/>
        <w:rPr>
          <w:rFonts w:ascii="Palatino Linotype" w:eastAsia="Times New Roman" w:hAnsi="Palatino Linotype" w:cs="Tahoma"/>
          <w:b/>
          <w:bCs/>
          <w:kern w:val="0"/>
          <w:lang w:val="es-ES" w:eastAsia="es-ES"/>
          <w14:ligatures w14:val="none"/>
        </w:rPr>
      </w:pPr>
    </w:p>
    <w:p w14:paraId="0D02CD81" w14:textId="0D88625B" w:rsidR="00D37A8E" w:rsidRPr="00D464ED" w:rsidRDefault="00D464ED" w:rsidP="00D37A8E">
      <w:pPr>
        <w:spacing w:after="0" w:line="360" w:lineRule="auto"/>
        <w:jc w:val="both"/>
        <w:rPr>
          <w:rFonts w:ascii="Palatino Linotype" w:eastAsia="Times New Roman" w:hAnsi="Palatino Linotype" w:cs="Tahoma"/>
          <w:b/>
          <w:kern w:val="0"/>
          <w:lang w:eastAsia="es-ES"/>
          <w14:ligatures w14:val="none"/>
        </w:rPr>
      </w:pPr>
      <w:r w:rsidRPr="00D464ED">
        <w:rPr>
          <w:rFonts w:ascii="Palatino Linotype" w:eastAsia="Times New Roman" w:hAnsi="Palatino Linotype" w:cs="Tahoma"/>
          <w:b/>
          <w:kern w:val="0"/>
          <w:lang w:eastAsia="es-ES"/>
          <w14:ligatures w14:val="none"/>
        </w:rPr>
        <w:t xml:space="preserve">TERCERO. </w:t>
      </w:r>
      <w:r w:rsidR="00D37A8E" w:rsidRPr="00D464ED">
        <w:rPr>
          <w:rFonts w:ascii="Palatino Linotype" w:eastAsia="Times New Roman" w:hAnsi="Palatino Linotype" w:cs="Tahoma"/>
          <w:b/>
          <w:kern w:val="0"/>
          <w:lang w:eastAsia="es-ES"/>
          <w14:ligatures w14:val="none"/>
        </w:rPr>
        <w:t>Causales de sobreseimiento</w:t>
      </w:r>
    </w:p>
    <w:p w14:paraId="43219B34" w14:textId="77777777" w:rsidR="00D37A8E" w:rsidRPr="00AE66ED" w:rsidRDefault="00D37A8E" w:rsidP="00D37A8E">
      <w:pPr>
        <w:spacing w:after="0" w:line="360" w:lineRule="auto"/>
        <w:contextualSpacing/>
        <w:jc w:val="both"/>
        <w:rPr>
          <w:rFonts w:ascii="Palatino Linotype" w:eastAsia="Times New Roman" w:hAnsi="Palatino Linotype" w:cs="Tahoma"/>
          <w:b/>
          <w:bCs/>
          <w:kern w:val="0"/>
          <w:lang w:eastAsia="es-ES"/>
          <w14:ligatures w14:val="none"/>
        </w:rPr>
      </w:pPr>
    </w:p>
    <w:p w14:paraId="4743B70F" w14:textId="77777777" w:rsidR="00D37A8E" w:rsidRPr="00AE66ED" w:rsidRDefault="00D37A8E" w:rsidP="00D37A8E">
      <w:pPr>
        <w:spacing w:after="0" w:line="360" w:lineRule="auto"/>
        <w:contextualSpacing/>
        <w:jc w:val="both"/>
        <w:rPr>
          <w:rFonts w:ascii="Palatino Linotype" w:eastAsia="Times New Roman" w:hAnsi="Palatino Linotype" w:cs="Tahoma"/>
          <w:bCs/>
          <w:kern w:val="0"/>
          <w:lang w:eastAsia="es-ES"/>
          <w14:ligatures w14:val="none"/>
        </w:rPr>
      </w:pPr>
      <w:r w:rsidRPr="00AE66ED">
        <w:rPr>
          <w:rFonts w:ascii="Palatino Linotype" w:eastAsia="Times New Roman" w:hAnsi="Palatino Linotype" w:cs="Tahoma"/>
          <w:bCs/>
          <w:kern w:val="0"/>
          <w:lang w:eastAsia="es-ES"/>
          <w14:ligatures w14:val="none"/>
        </w:rPr>
        <w:t xml:space="preserve">Por ser de previo y especial pronunciamiento, este Instituto analiza si se actualiza alguna causal de sobreseimiento. </w:t>
      </w:r>
    </w:p>
    <w:p w14:paraId="0BD2903F" w14:textId="77777777" w:rsidR="00D37A8E" w:rsidRPr="00F12038" w:rsidRDefault="00D37A8E" w:rsidP="00D37A8E">
      <w:pPr>
        <w:spacing w:after="0" w:line="360" w:lineRule="auto"/>
        <w:contextualSpacing/>
        <w:jc w:val="both"/>
        <w:rPr>
          <w:rFonts w:ascii="Palatino Linotype" w:eastAsia="Times New Roman" w:hAnsi="Palatino Linotype" w:cs="Tahoma"/>
          <w:bCs/>
          <w:color w:val="FF0000"/>
          <w:kern w:val="0"/>
          <w:lang w:eastAsia="es-ES"/>
          <w14:ligatures w14:val="none"/>
        </w:rPr>
      </w:pPr>
    </w:p>
    <w:p w14:paraId="459CB3B8" w14:textId="0880F7D0" w:rsidR="00AE66ED" w:rsidRPr="00AE66ED" w:rsidRDefault="00AE66ED" w:rsidP="00AE66ED">
      <w:pPr>
        <w:spacing w:after="0" w:line="360" w:lineRule="auto"/>
        <w:contextualSpacing/>
        <w:jc w:val="both"/>
        <w:rPr>
          <w:rFonts w:ascii="Palatino Linotype" w:eastAsia="Times New Roman" w:hAnsi="Palatino Linotype" w:cs="Tahoma"/>
          <w:bCs/>
          <w:kern w:val="0"/>
          <w:lang w:eastAsia="es-ES"/>
          <w14:ligatures w14:val="none"/>
        </w:rPr>
      </w:pPr>
      <w:r w:rsidRPr="00AE66ED">
        <w:rPr>
          <w:rFonts w:ascii="Palatino Linotype" w:eastAsia="Times New Roman" w:hAnsi="Palatino Linotype" w:cs="Tahoma"/>
          <w:bCs/>
          <w:kern w:val="0"/>
          <w:lang w:eastAsia="es-ES"/>
          <w14:ligatures w14:val="none"/>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IV y V, toda vez que no hay constancias en el </w:t>
      </w:r>
      <w:r w:rsidRPr="00AE66ED">
        <w:rPr>
          <w:rFonts w:ascii="Palatino Linotype" w:eastAsia="Times New Roman" w:hAnsi="Palatino Linotype" w:cs="Tahoma"/>
          <w:bCs/>
          <w:kern w:val="0"/>
          <w:lang w:eastAsia="es-ES"/>
          <w14:ligatures w14:val="none"/>
        </w:rPr>
        <w:lastRenderedPageBreak/>
        <w:t>expediente en que se actúa, de que el recurrente se haya desistido del recurso, haya fallecido, actualice alguna causal de improcedencia o bien, haya quedado sin materia</w:t>
      </w:r>
    </w:p>
    <w:p w14:paraId="27A77209" w14:textId="77777777" w:rsidR="00AE66ED" w:rsidRPr="00AE66ED" w:rsidRDefault="00AE66ED" w:rsidP="00AE66ED">
      <w:pPr>
        <w:spacing w:after="0" w:line="360" w:lineRule="auto"/>
        <w:contextualSpacing/>
        <w:jc w:val="both"/>
        <w:rPr>
          <w:rFonts w:ascii="Palatino Linotype" w:eastAsia="Times New Roman" w:hAnsi="Palatino Linotype" w:cs="Tahoma"/>
          <w:bCs/>
          <w:kern w:val="0"/>
          <w:lang w:eastAsia="es-ES"/>
          <w14:ligatures w14:val="none"/>
        </w:rPr>
      </w:pPr>
    </w:p>
    <w:p w14:paraId="132B265E" w14:textId="6AE1F0BD" w:rsidR="00595CB5" w:rsidRPr="004A4943" w:rsidRDefault="00AE66ED" w:rsidP="00595CB5">
      <w:pPr>
        <w:spacing w:after="0" w:line="360" w:lineRule="auto"/>
        <w:jc w:val="both"/>
        <w:rPr>
          <w:rFonts w:ascii="Palatino Linotype" w:eastAsia="Times New Roman" w:hAnsi="Palatino Linotype" w:cs="Tahoma"/>
          <w:bCs/>
          <w:kern w:val="0"/>
          <w:lang w:eastAsia="es-ES"/>
          <w14:ligatures w14:val="none"/>
        </w:rPr>
      </w:pPr>
      <w:r w:rsidRPr="00AE66ED">
        <w:rPr>
          <w:rFonts w:ascii="Palatino Linotype" w:eastAsia="Times New Roman" w:hAnsi="Palatino Linotype" w:cs="Tahoma"/>
          <w:bCs/>
          <w:kern w:val="0"/>
          <w:lang w:eastAsia="es-ES"/>
          <w14:ligatures w14:val="none"/>
        </w:rPr>
        <w:t>Ahora bien, toda vez que durante la sustanciación del Recurso de Revisión</w:t>
      </w:r>
      <w:r w:rsidR="00595CB5">
        <w:rPr>
          <w:rFonts w:ascii="Palatino Linotype" w:eastAsia="Times New Roman" w:hAnsi="Palatino Linotype" w:cs="Tahoma"/>
          <w:bCs/>
          <w:kern w:val="0"/>
          <w:lang w:eastAsia="es-ES"/>
          <w14:ligatures w14:val="none"/>
        </w:rPr>
        <w:t xml:space="preserve"> </w:t>
      </w:r>
      <w:r w:rsidRPr="002D3E61">
        <w:rPr>
          <w:rFonts w:ascii="Palatino Linotype" w:eastAsia="Calibri" w:hAnsi="Palatino Linotype" w:cs="Tahoma"/>
          <w:color w:val="000000" w:themeColor="text1"/>
        </w:rPr>
        <w:t>01861/</w:t>
      </w:r>
      <w:r w:rsidRPr="00AE66ED">
        <w:rPr>
          <w:rFonts w:ascii="Palatino Linotype" w:eastAsia="Times New Roman" w:hAnsi="Palatino Linotype" w:cs="Tahoma"/>
          <w:bCs/>
          <w:kern w:val="0"/>
          <w:lang w:eastAsia="es-ES"/>
          <w14:ligatures w14:val="none"/>
        </w:rPr>
        <w:t xml:space="preserve">INFOEM/ICR-33/IP/RR/2025, el Ayuntamiento de la Paz,  modificó su respuesta a través de su Informe Justificado, se estima procedente entrar al estudio de la causal de sobreseimiento prevista en la fracción III del precepto legal previamente señalado; para lo cual, es necesario precisar que el Particular </w:t>
      </w:r>
      <w:r w:rsidR="004A4943">
        <w:rPr>
          <w:rFonts w:ascii="Palatino Linotype" w:eastAsia="Times New Roman" w:hAnsi="Palatino Linotype" w:cs="Tahoma"/>
          <w:bCs/>
          <w:kern w:val="0"/>
          <w:lang w:eastAsia="es-ES"/>
          <w14:ligatures w14:val="none"/>
        </w:rPr>
        <w:t xml:space="preserve"> mediante la solicitud de información </w:t>
      </w:r>
      <w:r w:rsidR="004A4943" w:rsidRPr="004A4943">
        <w:rPr>
          <w:rFonts w:ascii="Palatino Linotype" w:hAnsi="Palatino Linotype" w:cs="Tahoma"/>
          <w:kern w:val="0"/>
          <w14:ligatures w14:val="none"/>
        </w:rPr>
        <w:t>00105/LAPAZ/IP/2025</w:t>
      </w:r>
      <w:r w:rsidR="004A4943">
        <w:rPr>
          <w:rFonts w:ascii="Palatino Linotype" w:eastAsia="Times New Roman" w:hAnsi="Palatino Linotype" w:cs="Tahoma"/>
          <w:bCs/>
          <w:kern w:val="0"/>
          <w:lang w:eastAsia="es-ES"/>
          <w14:ligatures w14:val="none"/>
        </w:rPr>
        <w:t xml:space="preserve"> </w:t>
      </w:r>
      <w:r w:rsidRPr="00AE66ED">
        <w:rPr>
          <w:rFonts w:ascii="Palatino Linotype" w:eastAsia="Times New Roman" w:hAnsi="Palatino Linotype" w:cs="Tahoma"/>
          <w:bCs/>
          <w:kern w:val="0"/>
          <w:lang w:eastAsia="es-ES"/>
          <w14:ligatures w14:val="none"/>
        </w:rPr>
        <w:t>requirió el</w:t>
      </w:r>
      <w:r w:rsidR="00595CB5" w:rsidRPr="00595CB5">
        <w:rPr>
          <w:rFonts w:ascii="Palatino Linotype" w:hAnsi="Palatino Linotype" w:cs="Tahoma"/>
          <w:kern w:val="0"/>
          <w14:ligatures w14:val="none"/>
        </w:rPr>
        <w:t xml:space="preserve"> Convenio Laboral firmado entre el Sindicato Único de Trabajadores de los Poderes, Municipios e Instituciones Descentralizadas del Estado de México y el Ayuntamiento, para el ejercicio fiscal dos mil veinticuatro.</w:t>
      </w:r>
    </w:p>
    <w:p w14:paraId="680146E1" w14:textId="09CD6657" w:rsidR="00D37A8E" w:rsidRPr="00AE66ED" w:rsidRDefault="00D37A8E" w:rsidP="00AE66ED">
      <w:pPr>
        <w:spacing w:after="0" w:line="360" w:lineRule="auto"/>
        <w:contextualSpacing/>
        <w:jc w:val="both"/>
        <w:rPr>
          <w:rFonts w:ascii="Palatino Linotype" w:eastAsia="Times New Roman" w:hAnsi="Palatino Linotype" w:cs="Tahoma"/>
          <w:bCs/>
          <w:kern w:val="0"/>
          <w:lang w:eastAsia="es-ES"/>
          <w14:ligatures w14:val="none"/>
        </w:rPr>
      </w:pPr>
    </w:p>
    <w:p w14:paraId="27DBC730" w14:textId="23640D1B" w:rsidR="00AE66ED" w:rsidRPr="00931099" w:rsidRDefault="00931099" w:rsidP="00D37A8E">
      <w:pPr>
        <w:spacing w:after="0" w:line="360" w:lineRule="auto"/>
        <w:jc w:val="both"/>
        <w:rPr>
          <w:rFonts w:ascii="Palatino Linotype" w:eastAsia="Times New Roman" w:hAnsi="Palatino Linotype" w:cs="Tahoma"/>
          <w:bCs/>
          <w:kern w:val="0"/>
          <w:lang w:eastAsia="es-ES"/>
          <w14:ligatures w14:val="none"/>
        </w:rPr>
      </w:pPr>
      <w:r w:rsidRPr="00931099">
        <w:rPr>
          <w:rFonts w:ascii="Palatino Linotype" w:eastAsia="Times New Roman" w:hAnsi="Palatino Linotype" w:cs="Tahoma"/>
          <w:bCs/>
          <w:kern w:val="0"/>
          <w:lang w:eastAsia="es-ES"/>
          <w14:ligatures w14:val="none"/>
        </w:rPr>
        <w:t>En respuesta</w:t>
      </w:r>
      <w:r w:rsidR="004A4943">
        <w:rPr>
          <w:rFonts w:ascii="Palatino Linotype" w:eastAsia="Times New Roman" w:hAnsi="Palatino Linotype" w:cs="Tahoma"/>
          <w:bCs/>
          <w:kern w:val="0"/>
          <w:lang w:eastAsia="es-ES"/>
          <w14:ligatures w14:val="none"/>
        </w:rPr>
        <w:t xml:space="preserve"> al requerimiento</w:t>
      </w:r>
      <w:r w:rsidRPr="00931099">
        <w:rPr>
          <w:rFonts w:ascii="Palatino Linotype" w:eastAsia="Times New Roman" w:hAnsi="Palatino Linotype" w:cs="Tahoma"/>
          <w:bCs/>
          <w:kern w:val="0"/>
          <w:lang w:eastAsia="es-ES"/>
          <w14:ligatures w14:val="none"/>
        </w:rPr>
        <w:t xml:space="preserve"> el ente Recurrido, refirió que el Sujeto Obligado no era competente para conocer de lo solicitado, ya que el gremio contaba con su Unidad de Transparencia; ante dicha circunstancia, la parte Recurrente se inconformó con la declaración de incompetencia por el Sujeto Obligado, lo cual actualiza el supuesto previsto en el artículo 179, fracción IV, de la Ley de Transparencia y Acceso a la Información Pública del Estado de México y Municipios.</w:t>
      </w:r>
    </w:p>
    <w:p w14:paraId="35753D07" w14:textId="77777777" w:rsidR="00AE66ED" w:rsidRDefault="00AE66ED" w:rsidP="009574DE">
      <w:pPr>
        <w:spacing w:after="0" w:line="360" w:lineRule="auto"/>
        <w:ind w:left="708"/>
        <w:jc w:val="both"/>
        <w:rPr>
          <w:rFonts w:ascii="Palatino Linotype" w:eastAsia="Calibri" w:hAnsi="Palatino Linotype" w:cs="Tahoma"/>
          <w:color w:val="FF0000"/>
          <w:kern w:val="0"/>
          <w:lang w:eastAsia="es-ES_tradnl"/>
          <w14:ligatures w14:val="none"/>
        </w:rPr>
      </w:pPr>
    </w:p>
    <w:p w14:paraId="0DEF473B" w14:textId="17ED4FF2" w:rsidR="004A4943" w:rsidRPr="004A4943" w:rsidRDefault="004A4943" w:rsidP="00992124">
      <w:pPr>
        <w:spacing w:after="0" w:line="360" w:lineRule="auto"/>
        <w:jc w:val="both"/>
        <w:rPr>
          <w:rFonts w:ascii="Palatino Linotype" w:eastAsia="Times New Roman" w:hAnsi="Palatino Linotype" w:cs="Tahoma"/>
          <w:bCs/>
          <w:kern w:val="0"/>
          <w:lang w:eastAsia="es-ES"/>
          <w14:ligatures w14:val="none"/>
        </w:rPr>
      </w:pPr>
      <w:r w:rsidRPr="004A4943">
        <w:rPr>
          <w:rFonts w:ascii="Palatino Linotype" w:eastAsia="Times New Roman" w:hAnsi="Palatino Linotype" w:cs="Tahoma"/>
          <w:bCs/>
          <w:kern w:val="0"/>
          <w:lang w:eastAsia="es-ES"/>
          <w14:ligatures w14:val="none"/>
        </w:rPr>
        <w:t xml:space="preserve">Por lo que, en el Recurso de Revisión 01861/INFOEM/IP/RR/2025 se concluyó </w:t>
      </w:r>
      <w:r w:rsidRPr="004A4943">
        <w:rPr>
          <w:rFonts w:ascii="Palatino Linotype" w:eastAsia="Times New Roman" w:hAnsi="Palatino Linotype" w:cs="Tahoma"/>
          <w:b/>
          <w:bCs/>
          <w:kern w:val="0"/>
          <w:lang w:eastAsia="es-ES"/>
          <w14:ligatures w14:val="none"/>
        </w:rPr>
        <w:t>REVOCAR</w:t>
      </w:r>
      <w:r w:rsidR="005F6AEB">
        <w:rPr>
          <w:rFonts w:ascii="Palatino Linotype" w:eastAsia="Times New Roman" w:hAnsi="Palatino Linotype" w:cs="Tahoma"/>
          <w:b/>
          <w:bCs/>
          <w:kern w:val="0"/>
          <w:lang w:eastAsia="es-ES"/>
          <w14:ligatures w14:val="none"/>
        </w:rPr>
        <w:t xml:space="preserve"> y</w:t>
      </w:r>
      <w:r w:rsidR="00992124">
        <w:rPr>
          <w:rFonts w:ascii="Palatino Linotype" w:eastAsia="Times New Roman" w:hAnsi="Palatino Linotype" w:cs="Tahoma"/>
          <w:bCs/>
          <w:kern w:val="0"/>
          <w:lang w:eastAsia="es-ES"/>
          <w14:ligatures w14:val="none"/>
        </w:rPr>
        <w:t xml:space="preserve"> </w:t>
      </w:r>
      <w:r w:rsidRPr="004A4943">
        <w:rPr>
          <w:rFonts w:ascii="Palatino Linotype" w:eastAsia="Times New Roman" w:hAnsi="Palatino Linotype" w:cs="Tahoma"/>
          <w:b/>
          <w:bCs/>
          <w:kern w:val="0"/>
          <w:lang w:eastAsia="es-ES"/>
          <w14:ligatures w14:val="none"/>
        </w:rPr>
        <w:t>ORDENAR</w:t>
      </w:r>
      <w:r w:rsidRPr="004A4943">
        <w:rPr>
          <w:rFonts w:ascii="Palatino Linotype" w:eastAsia="Times New Roman" w:hAnsi="Palatino Linotype" w:cs="Tahoma"/>
          <w:bCs/>
          <w:kern w:val="0"/>
          <w:lang w:eastAsia="es-ES"/>
          <w14:ligatures w14:val="none"/>
        </w:rPr>
        <w:t xml:space="preserve"> al </w:t>
      </w:r>
      <w:r>
        <w:rPr>
          <w:rFonts w:ascii="Palatino Linotype" w:eastAsia="Times New Roman" w:hAnsi="Palatino Linotype" w:cs="Tahoma"/>
          <w:bCs/>
          <w:kern w:val="0"/>
          <w:lang w:eastAsia="es-ES"/>
          <w14:ligatures w14:val="none"/>
        </w:rPr>
        <w:t xml:space="preserve">Ayuntamiento de la Paz </w:t>
      </w:r>
      <w:r w:rsidR="005F6AEB" w:rsidRPr="005F6AEB">
        <w:rPr>
          <w:rFonts w:ascii="Palatino Linotype" w:eastAsia="Times New Roman" w:hAnsi="Palatino Linotype" w:cs="Tahoma"/>
          <w:bCs/>
          <w:kern w:val="0"/>
          <w:lang w:eastAsia="es-ES"/>
          <w14:ligatures w14:val="none"/>
        </w:rPr>
        <w:t>el Convenio Laboral suscrito entre el Ayuntamiento de la Paz y el Sindicato Único de Trabajadores de los Poderes, Municipios e Instituciones Descentralizadas del Estado de México, para el ejercicio fiscal dos mil veinticuatro</w:t>
      </w:r>
      <w:r w:rsidR="005F6AEB">
        <w:rPr>
          <w:rFonts w:ascii="Palatino Linotype" w:eastAsia="Times New Roman" w:hAnsi="Palatino Linotype" w:cs="Tahoma"/>
          <w:bCs/>
          <w:kern w:val="0"/>
          <w:lang w:eastAsia="es-ES"/>
          <w14:ligatures w14:val="none"/>
        </w:rPr>
        <w:t>.</w:t>
      </w:r>
    </w:p>
    <w:p w14:paraId="6DB2FF0C" w14:textId="77777777" w:rsidR="00AE66ED" w:rsidRPr="004A4943" w:rsidRDefault="00AE66ED" w:rsidP="00D37A8E">
      <w:pPr>
        <w:spacing w:after="0" w:line="360" w:lineRule="auto"/>
        <w:jc w:val="both"/>
        <w:rPr>
          <w:rFonts w:ascii="Palatino Linotype" w:eastAsia="Times New Roman" w:hAnsi="Palatino Linotype" w:cs="Tahoma"/>
          <w:bCs/>
          <w:kern w:val="0"/>
          <w:lang w:eastAsia="es-ES"/>
          <w14:ligatures w14:val="none"/>
        </w:rPr>
      </w:pPr>
    </w:p>
    <w:p w14:paraId="04115034" w14:textId="77777777" w:rsidR="00992124" w:rsidRDefault="00992124" w:rsidP="00992124">
      <w:pPr>
        <w:spacing w:after="0" w:line="360" w:lineRule="auto"/>
        <w:jc w:val="both"/>
        <w:rPr>
          <w:rFonts w:ascii="Palatino Linotype" w:eastAsia="Times New Roman" w:hAnsi="Palatino Linotype" w:cs="Tahoma"/>
          <w:bCs/>
          <w:kern w:val="0"/>
          <w:lang w:eastAsia="es-ES"/>
          <w14:ligatures w14:val="none"/>
        </w:rPr>
      </w:pPr>
      <w:r w:rsidRPr="00992124">
        <w:rPr>
          <w:rFonts w:ascii="Palatino Linotype" w:eastAsia="Calibri" w:hAnsi="Palatino Linotype" w:cs="Tahoma"/>
          <w:kern w:val="0"/>
          <w:lang w:eastAsia="es-ES_tradnl"/>
          <w14:ligatures w14:val="none"/>
        </w:rPr>
        <w:t xml:space="preserve">Posteriormente, </w:t>
      </w:r>
      <w:r>
        <w:rPr>
          <w:rFonts w:ascii="Palatino Linotype" w:eastAsia="Calibri" w:hAnsi="Palatino Linotype" w:cs="Tahoma"/>
          <w:kern w:val="0"/>
          <w:lang w:eastAsia="es-ES_tradnl"/>
          <w14:ligatures w14:val="none"/>
        </w:rPr>
        <w:t xml:space="preserve">en la </w:t>
      </w:r>
      <w:r w:rsidRPr="00992124">
        <w:rPr>
          <w:rFonts w:ascii="Palatino Linotype" w:eastAsia="Times New Roman" w:hAnsi="Palatino Linotype" w:cs="Tahoma"/>
          <w:bCs/>
          <w:kern w:val="0"/>
          <w:lang w:eastAsia="es-ES"/>
          <w14:ligatures w14:val="none"/>
        </w:rPr>
        <w:t>entrega de la información en cumplimiento a la Resolución de</w:t>
      </w:r>
      <w:r>
        <w:rPr>
          <w:rFonts w:ascii="Palatino Linotype" w:eastAsia="Times New Roman" w:hAnsi="Palatino Linotype" w:cs="Tahoma"/>
          <w:bCs/>
          <w:kern w:val="0"/>
          <w:lang w:eastAsia="es-ES"/>
          <w14:ligatures w14:val="none"/>
        </w:rPr>
        <w:t>l</w:t>
      </w:r>
      <w:r w:rsidRPr="00992124">
        <w:rPr>
          <w:rFonts w:ascii="Palatino Linotype" w:eastAsia="Times New Roman" w:hAnsi="Palatino Linotype" w:cs="Tahoma"/>
          <w:bCs/>
          <w:kern w:val="0"/>
          <w:lang w:eastAsia="es-ES"/>
          <w14:ligatures w14:val="none"/>
        </w:rPr>
        <w:t xml:space="preserve"> Recurso de Revisión 01861</w:t>
      </w:r>
      <w:r>
        <w:rPr>
          <w:rFonts w:ascii="Palatino Linotype" w:eastAsia="Times New Roman" w:hAnsi="Palatino Linotype" w:cs="Tahoma"/>
          <w:bCs/>
          <w:kern w:val="0"/>
          <w:lang w:eastAsia="es-ES"/>
          <w14:ligatures w14:val="none"/>
        </w:rPr>
        <w:t xml:space="preserve">/INFOEM/IP/RR/2025, el Sujeto Obligado a través del Secretario del Ayuntamiento </w:t>
      </w:r>
      <w:r w:rsidRPr="00992124">
        <w:rPr>
          <w:rFonts w:ascii="Palatino Linotype" w:eastAsia="Times New Roman" w:hAnsi="Palatino Linotype" w:cs="Tahoma"/>
          <w:bCs/>
          <w:kern w:val="0"/>
          <w:lang w:eastAsia="es-ES"/>
          <w14:ligatures w14:val="none"/>
        </w:rPr>
        <w:t xml:space="preserve">señalo que  no se encontró documento alguno referente al Convenio antes </w:t>
      </w:r>
      <w:r w:rsidRPr="00992124">
        <w:rPr>
          <w:rFonts w:ascii="Palatino Linotype" w:eastAsia="Times New Roman" w:hAnsi="Palatino Linotype" w:cs="Tahoma"/>
          <w:bCs/>
          <w:kern w:val="0"/>
          <w:lang w:eastAsia="es-ES"/>
          <w14:ligatures w14:val="none"/>
        </w:rPr>
        <w:lastRenderedPageBreak/>
        <w:t xml:space="preserve">mencionado, por tal motivo, al no ser de competencia y </w:t>
      </w:r>
      <w:r>
        <w:rPr>
          <w:rFonts w:ascii="Palatino Linotype" w:eastAsia="Times New Roman" w:hAnsi="Palatino Linotype" w:cs="Tahoma"/>
          <w:bCs/>
          <w:kern w:val="0"/>
          <w:lang w:eastAsia="es-ES"/>
          <w14:ligatures w14:val="none"/>
        </w:rPr>
        <w:t xml:space="preserve">de no tener información alguna; por lo que </w:t>
      </w:r>
      <w:r w:rsidRPr="00931099">
        <w:rPr>
          <w:rFonts w:ascii="Palatino Linotype" w:eastAsia="Times New Roman" w:hAnsi="Palatino Linotype" w:cs="Tahoma"/>
          <w:bCs/>
          <w:kern w:val="0"/>
          <w:lang w:eastAsia="es-ES"/>
          <w14:ligatures w14:val="none"/>
        </w:rPr>
        <w:t xml:space="preserve">la parte Recurrente se inconformó con la </w:t>
      </w:r>
      <w:r>
        <w:rPr>
          <w:rFonts w:ascii="Palatino Linotype" w:eastAsia="Times New Roman" w:hAnsi="Palatino Linotype" w:cs="Tahoma"/>
          <w:bCs/>
          <w:kern w:val="0"/>
          <w:lang w:eastAsia="es-ES"/>
          <w14:ligatures w14:val="none"/>
        </w:rPr>
        <w:t>entrega de la información que no corresponde con lo</w:t>
      </w:r>
      <w:r w:rsidRPr="00931099">
        <w:rPr>
          <w:rFonts w:ascii="Palatino Linotype" w:eastAsia="Times New Roman" w:hAnsi="Palatino Linotype" w:cs="Tahoma"/>
          <w:bCs/>
          <w:kern w:val="0"/>
          <w:lang w:eastAsia="es-ES"/>
          <w14:ligatures w14:val="none"/>
        </w:rPr>
        <w:t>, lo cual actualiza el supuesto previsto</w:t>
      </w:r>
      <w:r>
        <w:rPr>
          <w:rFonts w:ascii="Palatino Linotype" w:eastAsia="Times New Roman" w:hAnsi="Palatino Linotype" w:cs="Tahoma"/>
          <w:bCs/>
          <w:kern w:val="0"/>
          <w:lang w:eastAsia="es-ES"/>
          <w14:ligatures w14:val="none"/>
        </w:rPr>
        <w:t xml:space="preserve"> en el artículo 179, fracción VI</w:t>
      </w:r>
      <w:r w:rsidRPr="00931099">
        <w:rPr>
          <w:rFonts w:ascii="Palatino Linotype" w:eastAsia="Times New Roman" w:hAnsi="Palatino Linotype" w:cs="Tahoma"/>
          <w:bCs/>
          <w:kern w:val="0"/>
          <w:lang w:eastAsia="es-ES"/>
          <w14:ligatures w14:val="none"/>
        </w:rPr>
        <w:t>, de la Ley de Transparencia y Acceso a la Información Pública del Estado de México y Municipios</w:t>
      </w:r>
      <w:r>
        <w:rPr>
          <w:rFonts w:ascii="Palatino Linotype" w:eastAsia="Times New Roman" w:hAnsi="Palatino Linotype" w:cs="Tahoma"/>
          <w:bCs/>
          <w:kern w:val="0"/>
          <w:lang w:eastAsia="es-ES"/>
          <w14:ligatures w14:val="none"/>
        </w:rPr>
        <w:t xml:space="preserve">; dicha situación, al aplicar la </w:t>
      </w:r>
      <w:r w:rsidRPr="00992124">
        <w:rPr>
          <w:rFonts w:ascii="Palatino Linotype" w:eastAsia="Times New Roman" w:hAnsi="Palatino Linotype" w:cs="Tahoma"/>
          <w:bCs/>
          <w:kern w:val="0"/>
          <w:lang w:eastAsia="es-ES"/>
          <w14:ligatures w14:val="none"/>
        </w:rPr>
        <w:t xml:space="preserve">suplencia de la queja a favor de la Solicitante, en términos </w:t>
      </w:r>
      <w:r>
        <w:rPr>
          <w:rFonts w:ascii="Palatino Linotype" w:eastAsia="Times New Roman" w:hAnsi="Palatino Linotype" w:cs="Tahoma"/>
          <w:bCs/>
          <w:kern w:val="0"/>
          <w:lang w:eastAsia="es-ES"/>
          <w14:ligatures w14:val="none"/>
        </w:rPr>
        <w:t xml:space="preserve">de los diversos 13 y, penúltimo </w:t>
      </w:r>
      <w:r w:rsidRPr="00992124">
        <w:rPr>
          <w:rFonts w:ascii="Palatino Linotype" w:eastAsia="Times New Roman" w:hAnsi="Palatino Linotype" w:cs="Tahoma"/>
          <w:bCs/>
          <w:kern w:val="0"/>
          <w:lang w:eastAsia="es-ES"/>
          <w14:ligatures w14:val="none"/>
        </w:rPr>
        <w:t>párrafo, de</w:t>
      </w:r>
      <w:r>
        <w:rPr>
          <w:rFonts w:ascii="Palatino Linotype" w:eastAsia="Times New Roman" w:hAnsi="Palatino Linotype" w:cs="Tahoma"/>
          <w:bCs/>
          <w:kern w:val="0"/>
          <w:lang w:eastAsia="es-ES"/>
          <w14:ligatures w14:val="none"/>
        </w:rPr>
        <w:t xml:space="preserve">l 181 del ordenamiento señalado. </w:t>
      </w:r>
    </w:p>
    <w:p w14:paraId="7AFB544C" w14:textId="77777777" w:rsidR="00992124" w:rsidRDefault="00992124" w:rsidP="00992124">
      <w:pPr>
        <w:spacing w:after="0" w:line="360" w:lineRule="auto"/>
        <w:jc w:val="both"/>
        <w:rPr>
          <w:rFonts w:ascii="Palatino Linotype" w:eastAsia="Times New Roman" w:hAnsi="Palatino Linotype" w:cs="Tahoma"/>
          <w:bCs/>
          <w:kern w:val="0"/>
          <w:lang w:eastAsia="es-ES"/>
          <w14:ligatures w14:val="none"/>
        </w:rPr>
      </w:pPr>
    </w:p>
    <w:p w14:paraId="549F1042" w14:textId="6EB9DC8F" w:rsidR="00992124" w:rsidRDefault="00992124" w:rsidP="00D37A8E">
      <w:pPr>
        <w:spacing w:after="0" w:line="360" w:lineRule="auto"/>
        <w:jc w:val="both"/>
        <w:rPr>
          <w:rFonts w:ascii="Palatino Linotype" w:hAnsi="Palatino Linotype" w:cs="Tahoma"/>
          <w:kern w:val="0"/>
          <w14:ligatures w14:val="none"/>
        </w:rPr>
      </w:pPr>
      <w:r>
        <w:rPr>
          <w:rFonts w:ascii="Palatino Linotype" w:eastAsia="Times New Roman" w:hAnsi="Palatino Linotype" w:cs="Tahoma"/>
          <w:bCs/>
          <w:kern w:val="0"/>
          <w:lang w:eastAsia="es-ES"/>
          <w14:ligatures w14:val="none"/>
        </w:rPr>
        <w:t xml:space="preserve">No obstante, durante la sustanciación </w:t>
      </w:r>
      <w:r w:rsidR="00812AAB" w:rsidRPr="00812AAB">
        <w:rPr>
          <w:rFonts w:ascii="Palatino Linotype" w:eastAsia="Times New Roman" w:hAnsi="Palatino Linotype" w:cs="Tahoma"/>
          <w:bCs/>
          <w:kern w:val="0"/>
          <w:lang w:eastAsia="es-ES"/>
          <w14:ligatures w14:val="none"/>
        </w:rPr>
        <w:t>del Medio de Impugnación, el Ente Recurrido proporcionó</w:t>
      </w:r>
      <w:r w:rsidR="00D464ED" w:rsidRPr="00D464ED">
        <w:rPr>
          <w:rFonts w:ascii="Palatino Linotype" w:hAnsi="Palatino Linotype"/>
          <w:kern w:val="0"/>
          <w14:ligatures w14:val="none"/>
        </w:rPr>
        <w:t xml:space="preserve"> </w:t>
      </w:r>
      <w:r w:rsidR="00D464ED">
        <w:rPr>
          <w:rFonts w:ascii="Palatino Linotype" w:hAnsi="Palatino Linotype"/>
          <w:kern w:val="0"/>
          <w14:ligatures w14:val="none"/>
        </w:rPr>
        <w:t>“</w:t>
      </w:r>
      <w:r w:rsidR="00D464ED" w:rsidRPr="00ED673B">
        <w:rPr>
          <w:rFonts w:ascii="Palatino Linotype" w:hAnsi="Palatino Linotype"/>
          <w:kern w:val="0"/>
          <w14:ligatures w14:val="none"/>
        </w:rPr>
        <w:t>E</w:t>
      </w:r>
      <w:r w:rsidR="00D464ED">
        <w:rPr>
          <w:rFonts w:ascii="Palatino Linotype" w:hAnsi="Palatino Linotype"/>
          <w:kern w:val="0"/>
          <w14:ligatures w14:val="none"/>
        </w:rPr>
        <w:t>l</w:t>
      </w:r>
      <w:r w:rsidR="00D464ED" w:rsidRPr="00ED673B">
        <w:rPr>
          <w:rFonts w:ascii="Palatino Linotype" w:hAnsi="Palatino Linotype"/>
          <w:kern w:val="0"/>
          <w14:ligatures w14:val="none"/>
        </w:rPr>
        <w:t xml:space="preserve"> </w:t>
      </w:r>
      <w:r w:rsidR="00D464ED" w:rsidRPr="00ED673B">
        <w:rPr>
          <w:rFonts w:ascii="Palatino Linotype" w:hAnsi="Palatino Linotype"/>
        </w:rPr>
        <w:t>Convenio de Prestaciones de Ley y C</w:t>
      </w:r>
      <w:r w:rsidR="00D464ED">
        <w:rPr>
          <w:rFonts w:ascii="Palatino Linotype" w:hAnsi="Palatino Linotype"/>
        </w:rPr>
        <w:t xml:space="preserve">olaterales dos mil veinticuatro, celebrado entre el Ayuntamiento de La Paz y el </w:t>
      </w:r>
      <w:r w:rsidR="00D464ED" w:rsidRPr="00595CB5">
        <w:rPr>
          <w:rFonts w:ascii="Palatino Linotype" w:hAnsi="Palatino Linotype" w:cs="Tahoma"/>
          <w:kern w:val="0"/>
          <w14:ligatures w14:val="none"/>
        </w:rPr>
        <w:t>Sindicato Único de Trabajadores de los Poderes, Municipios e Instituciones Descentralizadas del Estado de México</w:t>
      </w:r>
      <w:r w:rsidR="00D464ED">
        <w:rPr>
          <w:rFonts w:ascii="Palatino Linotype" w:hAnsi="Palatino Linotype" w:cs="Tahoma"/>
          <w:kern w:val="0"/>
          <w14:ligatures w14:val="none"/>
        </w:rPr>
        <w:t>”, tal como se desprende de la siguiente captura de pantalla:</w:t>
      </w:r>
    </w:p>
    <w:p w14:paraId="3BC620F5" w14:textId="77777777" w:rsidR="00547E04" w:rsidRDefault="00547E04" w:rsidP="00D37A8E">
      <w:pPr>
        <w:spacing w:after="0" w:line="360" w:lineRule="auto"/>
        <w:jc w:val="both"/>
        <w:rPr>
          <w:rFonts w:ascii="Palatino Linotype" w:hAnsi="Palatino Linotype" w:cs="Tahoma"/>
          <w:kern w:val="0"/>
          <w14:ligatures w14:val="none"/>
        </w:rPr>
      </w:pPr>
    </w:p>
    <w:p w14:paraId="6B4F597A" w14:textId="6ED413DB" w:rsidR="00D464ED" w:rsidRPr="00812AAB" w:rsidRDefault="00D464ED" w:rsidP="00D464ED">
      <w:pPr>
        <w:spacing w:after="0" w:line="360" w:lineRule="auto"/>
        <w:jc w:val="center"/>
        <w:rPr>
          <w:rFonts w:ascii="Palatino Linotype" w:eastAsia="Times New Roman" w:hAnsi="Palatino Linotype" w:cs="Tahoma"/>
          <w:bCs/>
          <w:kern w:val="0"/>
          <w:lang w:eastAsia="es-ES"/>
          <w14:ligatures w14:val="none"/>
        </w:rPr>
      </w:pPr>
      <w:r>
        <w:rPr>
          <w:rFonts w:ascii="Palatino Linotype" w:eastAsia="Times New Roman" w:hAnsi="Palatino Linotype" w:cs="Tahoma"/>
          <w:bCs/>
          <w:noProof/>
          <w:kern w:val="0"/>
          <w:lang w:eastAsia="es-MX"/>
          <w14:ligatures w14:val="none"/>
        </w:rPr>
        <w:drawing>
          <wp:inline distT="0" distB="0" distL="0" distR="0" wp14:anchorId="0B857427" wp14:editId="71422971">
            <wp:extent cx="5133010" cy="3695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8760" cy="3699840"/>
                    </a:xfrm>
                    <a:prstGeom prst="rect">
                      <a:avLst/>
                    </a:prstGeom>
                    <a:noFill/>
                  </pic:spPr>
                </pic:pic>
              </a:graphicData>
            </a:graphic>
          </wp:inline>
        </w:drawing>
      </w:r>
    </w:p>
    <w:p w14:paraId="753F8B31" w14:textId="77777777" w:rsidR="00992124" w:rsidRDefault="00992124" w:rsidP="00D37A8E">
      <w:pPr>
        <w:spacing w:after="0" w:line="360" w:lineRule="auto"/>
        <w:jc w:val="both"/>
        <w:rPr>
          <w:rFonts w:ascii="Palatino Linotype" w:eastAsia="Calibri" w:hAnsi="Palatino Linotype" w:cs="Tahoma"/>
          <w:color w:val="FF0000"/>
          <w:kern w:val="0"/>
          <w:lang w:eastAsia="es-ES_tradnl"/>
          <w14:ligatures w14:val="none"/>
        </w:rPr>
      </w:pPr>
    </w:p>
    <w:p w14:paraId="21CBCC97" w14:textId="77EA5EC0" w:rsidR="00992124" w:rsidRDefault="00D464ED" w:rsidP="00D37A8E">
      <w:pPr>
        <w:spacing w:after="0" w:line="360" w:lineRule="auto"/>
        <w:jc w:val="both"/>
        <w:rPr>
          <w:rFonts w:ascii="Palatino Linotype" w:eastAsia="Calibri" w:hAnsi="Palatino Linotype" w:cs="Tahoma"/>
          <w:kern w:val="0"/>
          <w:lang w:eastAsia="es-ES_tradnl"/>
          <w14:ligatures w14:val="none"/>
        </w:rPr>
      </w:pPr>
      <w:r w:rsidRPr="00D464ED">
        <w:rPr>
          <w:rFonts w:ascii="Palatino Linotype" w:eastAsia="Calibri" w:hAnsi="Palatino Linotype" w:cs="Tahoma"/>
          <w:kern w:val="0"/>
          <w:lang w:eastAsia="es-ES_tradnl"/>
          <w14:ligatures w14:val="none"/>
        </w:rPr>
        <w:lastRenderedPageBreak/>
        <w:t>En ese contexto, de la revisión de las documentales, se logra vislumbrar que contienen la información requerida por el particular, pues el Sujeto Obligado remitió el</w:t>
      </w:r>
      <w:r>
        <w:rPr>
          <w:rFonts w:ascii="Palatino Linotype" w:eastAsia="Calibri" w:hAnsi="Palatino Linotype" w:cs="Tahoma"/>
          <w:kern w:val="0"/>
          <w:lang w:eastAsia="es-ES_tradnl"/>
          <w14:ligatures w14:val="none"/>
        </w:rPr>
        <w:t xml:space="preserve"> convenio laboral requerido, de </w:t>
      </w:r>
      <w:r w:rsidRPr="00D464ED">
        <w:rPr>
          <w:rFonts w:ascii="Palatino Linotype" w:eastAsia="Calibri" w:hAnsi="Palatino Linotype" w:cs="Tahoma"/>
          <w:kern w:val="0"/>
          <w:lang w:eastAsia="es-ES_tradnl"/>
          <w14:ligatures w14:val="none"/>
        </w:rPr>
        <w:t>tal suerte, se advierte que el Sujeto Obligado proporcionó el documento señalado en respuesta tal y como obraba en sus archivos;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r>
        <w:rPr>
          <w:rFonts w:ascii="Palatino Linotype" w:eastAsia="Calibri" w:hAnsi="Palatino Linotype" w:cs="Tahoma"/>
          <w:kern w:val="0"/>
          <w:lang w:eastAsia="es-ES_tradnl"/>
          <w14:ligatures w14:val="none"/>
        </w:rPr>
        <w:t>.</w:t>
      </w:r>
    </w:p>
    <w:p w14:paraId="7541D1A6" w14:textId="77777777" w:rsidR="00D464ED" w:rsidRDefault="00D464ED" w:rsidP="00D37A8E">
      <w:pPr>
        <w:spacing w:after="0" w:line="360" w:lineRule="auto"/>
        <w:jc w:val="both"/>
        <w:rPr>
          <w:rFonts w:ascii="Palatino Linotype" w:eastAsia="Calibri" w:hAnsi="Palatino Linotype" w:cs="Tahoma"/>
          <w:kern w:val="0"/>
          <w:lang w:eastAsia="es-ES_tradnl"/>
          <w14:ligatures w14:val="none"/>
        </w:rPr>
      </w:pPr>
    </w:p>
    <w:p w14:paraId="7914CEB4" w14:textId="0DD21F12" w:rsidR="00D464ED" w:rsidRDefault="00D464ED" w:rsidP="00D37A8E">
      <w:pPr>
        <w:spacing w:after="0" w:line="360" w:lineRule="auto"/>
        <w:jc w:val="both"/>
        <w:rPr>
          <w:rFonts w:ascii="Palatino Linotype" w:eastAsia="Calibri" w:hAnsi="Palatino Linotype" w:cs="Tahoma"/>
          <w:kern w:val="0"/>
          <w:lang w:eastAsia="es-ES_tradnl"/>
          <w14:ligatures w14:val="none"/>
        </w:rPr>
      </w:pPr>
      <w:r w:rsidRPr="00D464ED">
        <w:rPr>
          <w:rFonts w:ascii="Palatino Linotype" w:eastAsia="Calibri" w:hAnsi="Palatino Linotype" w:cs="Tahoma"/>
          <w:kern w:val="0"/>
          <w:lang w:eastAsia="es-ES_tradnl"/>
          <w14:ligatures w14:val="none"/>
        </w:rPr>
        <w:t xml:space="preserve">De esta manera, el derecho de acceso a la información pública se satisface en aquellos casos en que se entregue el soporte documental en el que conste la información solicitada, sin necesidad de elaborar documentos </w:t>
      </w:r>
      <w:r w:rsidRPr="00D464ED">
        <w:rPr>
          <w:rFonts w:ascii="Palatino Linotype" w:eastAsia="Calibri" w:hAnsi="Palatino Linotype" w:cs="Tahoma"/>
          <w:i/>
          <w:kern w:val="0"/>
          <w:lang w:eastAsia="es-ES_tradnl"/>
          <w14:ligatures w14:val="none"/>
        </w:rPr>
        <w:t>ad hoc</w:t>
      </w:r>
      <w:r w:rsidRPr="00D464ED">
        <w:rPr>
          <w:rFonts w:ascii="Palatino Linotype" w:eastAsia="Calibri" w:hAnsi="Palatino Linotype" w:cs="Tahoma"/>
          <w:kern w:val="0"/>
          <w:lang w:eastAsia="es-ES_tradnl"/>
          <w14:ligatures w14:val="none"/>
        </w:rPr>
        <w:t>; lo cual, toma sustento en el artículo 160 de la Ley de Transparencia y Acceso a la Información Pública del Estado de México y Municipios, el cual refiere que los sujetos obligados deberán entregar la información que obre en sus archivos</w:t>
      </w:r>
      <w:r>
        <w:rPr>
          <w:rFonts w:ascii="Palatino Linotype" w:eastAsia="Calibri" w:hAnsi="Palatino Linotype" w:cs="Tahoma"/>
          <w:kern w:val="0"/>
          <w:lang w:eastAsia="es-ES_tradnl"/>
          <w14:ligatures w14:val="none"/>
        </w:rPr>
        <w:t>.</w:t>
      </w:r>
    </w:p>
    <w:p w14:paraId="50FEAAD0" w14:textId="77777777" w:rsidR="00D464ED" w:rsidRDefault="00D464ED" w:rsidP="00D37A8E">
      <w:pPr>
        <w:spacing w:after="0" w:line="360" w:lineRule="auto"/>
        <w:jc w:val="both"/>
        <w:rPr>
          <w:rFonts w:ascii="Palatino Linotype" w:eastAsia="Calibri" w:hAnsi="Palatino Linotype" w:cs="Tahoma"/>
          <w:kern w:val="0"/>
          <w:lang w:eastAsia="es-ES_tradnl"/>
          <w14:ligatures w14:val="none"/>
        </w:rPr>
      </w:pPr>
    </w:p>
    <w:p w14:paraId="54EBCD05" w14:textId="50FB454E" w:rsidR="00D464ED" w:rsidRDefault="00D464ED" w:rsidP="00D37A8E">
      <w:pPr>
        <w:spacing w:after="0" w:line="360" w:lineRule="auto"/>
        <w:jc w:val="both"/>
        <w:rPr>
          <w:rFonts w:ascii="Palatino Linotype" w:eastAsia="Calibri" w:hAnsi="Palatino Linotype" w:cs="Tahoma"/>
          <w:kern w:val="0"/>
          <w:lang w:eastAsia="es-ES_tradnl"/>
          <w14:ligatures w14:val="none"/>
        </w:rPr>
      </w:pPr>
      <w:r w:rsidRPr="00D464ED">
        <w:rPr>
          <w:rFonts w:ascii="Palatino Linotype" w:eastAsia="Calibri" w:hAnsi="Palatino Linotype" w:cs="Tahoma"/>
          <w:kern w:val="0"/>
          <w:lang w:eastAsia="es-ES_tradnl"/>
          <w14:ligatures w14:val="none"/>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w:t>
      </w:r>
      <w:r w:rsidR="00A378A4">
        <w:rPr>
          <w:rFonts w:ascii="Palatino Linotype" w:eastAsia="Calibri" w:hAnsi="Palatino Linotype" w:cs="Tahoma"/>
          <w:kern w:val="0"/>
          <w:lang w:eastAsia="es-ES_tradnl"/>
          <w14:ligatures w14:val="none"/>
        </w:rPr>
        <w:t>l Sujeto Obligado, proporcionó “</w:t>
      </w:r>
      <w:r w:rsidRPr="00D464ED">
        <w:rPr>
          <w:rFonts w:ascii="Palatino Linotype" w:eastAsia="Calibri" w:hAnsi="Palatino Linotype" w:cs="Tahoma"/>
          <w:kern w:val="0"/>
          <w:lang w:eastAsia="es-ES_tradnl"/>
          <w14:ligatures w14:val="none"/>
        </w:rPr>
        <w:t>El Convenio de Prestaciones de Ley y Colaterales dos mil veinticuatro, celebrado entre el Ayuntamiento de La Paz y el Sindicato Único de Trabajadores de los Poderes, Municipios e Instituciones Descentralizadas del Estado de México”</w:t>
      </w:r>
      <w:r>
        <w:rPr>
          <w:rFonts w:ascii="Palatino Linotype" w:eastAsia="Calibri" w:hAnsi="Palatino Linotype" w:cs="Tahoma"/>
          <w:kern w:val="0"/>
          <w:lang w:eastAsia="es-ES_tradnl"/>
          <w14:ligatures w14:val="none"/>
        </w:rPr>
        <w:t xml:space="preserve"> (convenio laboral), </w:t>
      </w:r>
      <w:r w:rsidRPr="00D464ED">
        <w:rPr>
          <w:rFonts w:ascii="Palatino Linotype" w:eastAsia="Calibri" w:hAnsi="Palatino Linotype" w:cs="Tahoma"/>
          <w:kern w:val="0"/>
          <w:lang w:eastAsia="es-ES_tradnl"/>
          <w14:ligatures w14:val="none"/>
        </w:rPr>
        <w:t>por lo que, se considera que la impugnación que se dirime ha quedado sin materia.</w:t>
      </w:r>
    </w:p>
    <w:p w14:paraId="2E4AC3E8" w14:textId="77777777" w:rsidR="00D464ED" w:rsidRPr="00D464ED" w:rsidRDefault="00D464ED" w:rsidP="00D37A8E">
      <w:pPr>
        <w:spacing w:after="0" w:line="360" w:lineRule="auto"/>
        <w:jc w:val="both"/>
        <w:rPr>
          <w:rFonts w:ascii="Palatino Linotype" w:eastAsia="Calibri" w:hAnsi="Palatino Linotype" w:cs="Tahoma"/>
          <w:kern w:val="0"/>
          <w:lang w:eastAsia="es-ES_tradnl"/>
          <w14:ligatures w14:val="none"/>
        </w:rPr>
      </w:pPr>
    </w:p>
    <w:p w14:paraId="668760D9" w14:textId="77777777" w:rsidR="00797C7C" w:rsidRPr="00F12038" w:rsidRDefault="00797C7C" w:rsidP="00797C7C">
      <w:pPr>
        <w:spacing w:after="0" w:line="360" w:lineRule="auto"/>
        <w:contextualSpacing/>
        <w:jc w:val="both"/>
        <w:rPr>
          <w:rFonts w:ascii="Palatino Linotype" w:eastAsia="Times New Roman" w:hAnsi="Palatino Linotype" w:cs="Tahoma"/>
          <w:bCs/>
          <w:color w:val="FF0000"/>
          <w:kern w:val="0"/>
          <w:lang w:eastAsia="es-ES"/>
          <w14:ligatures w14:val="none"/>
        </w:rPr>
      </w:pPr>
    </w:p>
    <w:p w14:paraId="6AFE5F3A" w14:textId="5BA08BA7" w:rsidR="00797C7C" w:rsidRPr="00D464ED" w:rsidRDefault="001A7875" w:rsidP="00797C7C">
      <w:pPr>
        <w:spacing w:after="0" w:line="360" w:lineRule="auto"/>
        <w:jc w:val="both"/>
        <w:rPr>
          <w:rFonts w:ascii="Palatino Linotype" w:eastAsia="Times New Roman" w:hAnsi="Palatino Linotype" w:cs="Tahoma"/>
          <w:b/>
          <w:bCs/>
          <w:iCs/>
          <w:kern w:val="0"/>
          <w:lang w:val="es-ES" w:eastAsia="es-ES"/>
          <w14:ligatures w14:val="none"/>
        </w:rPr>
      </w:pPr>
      <w:r w:rsidRPr="00D464ED">
        <w:rPr>
          <w:rFonts w:ascii="Palatino Linotype" w:eastAsia="Palatino Linotype" w:hAnsi="Palatino Linotype" w:cs="Palatino Linotype"/>
          <w:b/>
          <w:kern w:val="0"/>
          <w14:ligatures w14:val="none"/>
        </w:rPr>
        <w:lastRenderedPageBreak/>
        <w:t>CUARTO</w:t>
      </w:r>
      <w:r w:rsidR="00797C7C" w:rsidRPr="00D464ED">
        <w:rPr>
          <w:rFonts w:ascii="Palatino Linotype" w:eastAsia="Palatino Linotype" w:hAnsi="Palatino Linotype" w:cs="Palatino Linotype"/>
          <w:b/>
          <w:kern w:val="0"/>
          <w14:ligatures w14:val="none"/>
        </w:rPr>
        <w:t xml:space="preserve">. </w:t>
      </w:r>
      <w:r w:rsidR="00797C7C" w:rsidRPr="00D464ED">
        <w:rPr>
          <w:rFonts w:ascii="Palatino Linotype" w:eastAsia="Times New Roman" w:hAnsi="Palatino Linotype" w:cs="Tahoma"/>
          <w:b/>
          <w:bCs/>
          <w:iCs/>
          <w:kern w:val="0"/>
          <w:lang w:val="es-ES" w:eastAsia="es-ES"/>
          <w14:ligatures w14:val="none"/>
        </w:rPr>
        <w:t>Decisión</w:t>
      </w:r>
    </w:p>
    <w:p w14:paraId="3B98115B" w14:textId="77777777" w:rsidR="00797C7C" w:rsidRPr="00D464ED" w:rsidRDefault="00797C7C" w:rsidP="00797C7C">
      <w:pPr>
        <w:spacing w:after="0" w:line="360" w:lineRule="auto"/>
        <w:contextualSpacing/>
        <w:jc w:val="both"/>
        <w:rPr>
          <w:rFonts w:ascii="Palatino Linotype" w:eastAsia="Times New Roman" w:hAnsi="Palatino Linotype" w:cs="Tahoma"/>
          <w:iCs/>
          <w:kern w:val="0"/>
          <w:lang w:val="es-ES" w:eastAsia="es-ES"/>
          <w14:ligatures w14:val="none"/>
        </w:rPr>
      </w:pPr>
    </w:p>
    <w:p w14:paraId="391A6D72" w14:textId="089CE786" w:rsidR="00D464ED" w:rsidRPr="00D464ED" w:rsidRDefault="00D464ED" w:rsidP="00797C7C">
      <w:pPr>
        <w:spacing w:after="0" w:line="360" w:lineRule="auto"/>
        <w:contextualSpacing/>
        <w:jc w:val="both"/>
        <w:rPr>
          <w:rFonts w:ascii="Palatino Linotype" w:eastAsia="Times New Roman" w:hAnsi="Palatino Linotype" w:cs="Tahoma"/>
          <w:iCs/>
          <w:kern w:val="0"/>
          <w:lang w:val="es-ES" w:eastAsia="es-ES"/>
          <w14:ligatures w14:val="none"/>
        </w:rPr>
      </w:pPr>
      <w:r w:rsidRPr="00D464ED">
        <w:rPr>
          <w:rFonts w:ascii="Palatino Linotype" w:eastAsia="Times New Roman" w:hAnsi="Palatino Linotype" w:cs="Tahoma"/>
          <w:iCs/>
          <w:kern w:val="0"/>
          <w:lang w:val="es-ES" w:eastAsia="es-ES"/>
          <w14:ligatures w14:val="none"/>
        </w:rPr>
        <w:t xml:space="preserve">Con fundamento en lo dispuesto en el artículo 186, fracción I, de la Ley de Transparencia y Acceso a la Información Pública del Estado de México y Municipios, se considera procedente </w:t>
      </w:r>
      <w:r w:rsidRPr="00D464ED">
        <w:rPr>
          <w:rFonts w:ascii="Palatino Linotype" w:eastAsia="Times New Roman" w:hAnsi="Palatino Linotype" w:cs="Tahoma"/>
          <w:b/>
          <w:iCs/>
          <w:kern w:val="0"/>
          <w:lang w:val="es-ES" w:eastAsia="es-ES"/>
          <w14:ligatures w14:val="none"/>
        </w:rPr>
        <w:t>SOBRESEER</w:t>
      </w:r>
      <w:r w:rsidRPr="00D464ED">
        <w:rPr>
          <w:rFonts w:ascii="Palatino Linotype" w:eastAsia="Times New Roman" w:hAnsi="Palatino Linotype" w:cs="Tahoma"/>
          <w:iCs/>
          <w:kern w:val="0"/>
          <w:lang w:val="es-ES" w:eastAsia="es-ES"/>
          <w14:ligatures w14:val="none"/>
        </w:rPr>
        <w:t xml:space="preserve"> el Recurso de Revisión 01861/INFOEM/ICR-33/IP/RR/2025, en virtud de que se actualiza la hipótesis normativa prevista en la fracción III, del artículo 192, del citado ordenamiento legal.</w:t>
      </w:r>
    </w:p>
    <w:p w14:paraId="7ED910F8" w14:textId="77777777" w:rsidR="002A58EF" w:rsidRPr="00F12038" w:rsidRDefault="002A58EF" w:rsidP="00C42AAD">
      <w:pPr>
        <w:spacing w:after="0" w:line="360" w:lineRule="auto"/>
        <w:jc w:val="both"/>
        <w:rPr>
          <w:rFonts w:ascii="Palatino Linotype" w:hAnsi="Palatino Linotype" w:cs="Tahoma"/>
          <w:color w:val="FF0000"/>
          <w:kern w:val="0"/>
          <w14:ligatures w14:val="none"/>
        </w:rPr>
      </w:pPr>
    </w:p>
    <w:p w14:paraId="32E36C19" w14:textId="77777777" w:rsidR="00797C7C" w:rsidRPr="00034962" w:rsidRDefault="00797C7C" w:rsidP="00797C7C">
      <w:pPr>
        <w:spacing w:after="0" w:line="360" w:lineRule="auto"/>
        <w:contextualSpacing/>
        <w:jc w:val="both"/>
        <w:rPr>
          <w:rFonts w:ascii="Palatino Linotype" w:eastAsia="Times New Roman" w:hAnsi="Palatino Linotype" w:cs="Tahoma"/>
          <w:b/>
          <w:bCs/>
          <w:iCs/>
          <w:kern w:val="0"/>
          <w:lang w:val="es-ES" w:eastAsia="es-ES"/>
          <w14:ligatures w14:val="none"/>
        </w:rPr>
      </w:pPr>
      <w:r w:rsidRPr="00034962">
        <w:rPr>
          <w:rFonts w:ascii="Palatino Linotype" w:eastAsia="Times New Roman" w:hAnsi="Palatino Linotype" w:cs="Tahoma"/>
          <w:b/>
          <w:bCs/>
          <w:iCs/>
          <w:kern w:val="0"/>
          <w:lang w:val="es-ES" w:eastAsia="es-ES"/>
          <w14:ligatures w14:val="none"/>
        </w:rPr>
        <w:t>Términos de la Resolución para conocimiento del Particular</w:t>
      </w:r>
    </w:p>
    <w:p w14:paraId="7A43B434" w14:textId="77777777" w:rsidR="00C87805" w:rsidRPr="00034962" w:rsidRDefault="00C87805" w:rsidP="00C87805">
      <w:pPr>
        <w:spacing w:after="0" w:line="360" w:lineRule="auto"/>
        <w:jc w:val="both"/>
        <w:rPr>
          <w:rFonts w:ascii="Palatino Linotype" w:eastAsia="Times New Roman" w:hAnsi="Palatino Linotype" w:cs="Tahoma"/>
          <w:bCs/>
          <w:kern w:val="0"/>
          <w:lang w:eastAsia="es-ES"/>
          <w14:ligatures w14:val="none"/>
        </w:rPr>
      </w:pPr>
    </w:p>
    <w:p w14:paraId="066ABE40" w14:textId="346856C8" w:rsidR="00D464ED" w:rsidRPr="00034962" w:rsidRDefault="00C87805" w:rsidP="00C87805">
      <w:pPr>
        <w:spacing w:after="0" w:line="360" w:lineRule="auto"/>
        <w:contextualSpacing/>
        <w:jc w:val="both"/>
        <w:rPr>
          <w:rFonts w:ascii="Palatino Linotype" w:eastAsia="Times New Roman" w:hAnsi="Palatino Linotype" w:cs="Tahoma"/>
          <w:iCs/>
          <w:kern w:val="0"/>
          <w:lang w:val="es-ES" w:eastAsia="es-ES"/>
          <w14:ligatures w14:val="none"/>
        </w:rPr>
      </w:pPr>
      <w:r w:rsidRPr="00034962">
        <w:rPr>
          <w:rFonts w:ascii="Palatino Linotype" w:eastAsia="Times New Roman" w:hAnsi="Palatino Linotype" w:cs="Tahoma"/>
          <w:iCs/>
          <w:kern w:val="0"/>
          <w:lang w:val="es-ES" w:eastAsia="es-ES"/>
          <w14:ligatures w14:val="none"/>
        </w:rPr>
        <w:t xml:space="preserve">Se le hace del conocimiento al Particular, que </w:t>
      </w:r>
      <w:r w:rsidR="00D464ED" w:rsidRPr="00034962">
        <w:rPr>
          <w:rFonts w:ascii="Palatino Linotype" w:eastAsia="Times New Roman" w:hAnsi="Palatino Linotype" w:cs="Tahoma"/>
          <w:iCs/>
          <w:kern w:val="0"/>
          <w:lang w:val="es-ES" w:eastAsia="es-ES"/>
          <w14:ligatures w14:val="none"/>
        </w:rPr>
        <w:t>si bien, en el presente caso se le daba la razón pues el Sujeto Obligado no le proporcionó la información solicitada, lo cierto es que durante la sustanciación el Ente Recurrido proporcionó</w:t>
      </w:r>
      <w:r w:rsidR="00034962" w:rsidRPr="00034962">
        <w:rPr>
          <w:rFonts w:ascii="Palatino Linotype" w:eastAsia="Times New Roman" w:hAnsi="Palatino Linotype" w:cs="Tahoma"/>
          <w:iCs/>
          <w:kern w:val="0"/>
          <w:lang w:val="es-ES" w:eastAsia="es-ES"/>
          <w14:ligatures w14:val="none"/>
        </w:rPr>
        <w:t xml:space="preserve"> la información solicitada</w:t>
      </w:r>
      <w:r w:rsidR="00D464ED" w:rsidRPr="00034962">
        <w:rPr>
          <w:rFonts w:ascii="Palatino Linotype" w:eastAsia="Times New Roman" w:hAnsi="Palatino Linotype" w:cs="Tahoma"/>
          <w:iCs/>
          <w:kern w:val="0"/>
          <w:lang w:val="es-ES" w:eastAsia="es-ES"/>
          <w14:ligatures w14:val="none"/>
        </w:rPr>
        <w:t>. La labor del Instituto, es apoyar a la población a acceder a la información pública y garantizar la protección de los datos personales.</w:t>
      </w:r>
    </w:p>
    <w:p w14:paraId="023E1B1E" w14:textId="77777777" w:rsidR="00797C7C" w:rsidRPr="00F12038" w:rsidRDefault="00797C7C" w:rsidP="00797C7C">
      <w:pPr>
        <w:spacing w:after="0" w:line="360" w:lineRule="auto"/>
        <w:contextualSpacing/>
        <w:jc w:val="both"/>
        <w:rPr>
          <w:rFonts w:ascii="Palatino Linotype" w:eastAsia="Palatino Linotype" w:hAnsi="Palatino Linotype" w:cs="Palatino Linotype"/>
          <w:color w:val="FF0000"/>
          <w:kern w:val="0"/>
          <w14:ligatures w14:val="none"/>
        </w:rPr>
      </w:pPr>
    </w:p>
    <w:p w14:paraId="3DA6E680" w14:textId="51C249A5" w:rsidR="00797C7C" w:rsidRPr="00034962" w:rsidRDefault="00797C7C" w:rsidP="00797C7C">
      <w:pPr>
        <w:spacing w:after="0" w:line="360" w:lineRule="auto"/>
        <w:contextualSpacing/>
        <w:jc w:val="both"/>
        <w:rPr>
          <w:rFonts w:ascii="Palatino Linotype" w:eastAsia="Palatino Linotype" w:hAnsi="Palatino Linotype" w:cs="Palatino Linotype"/>
          <w:kern w:val="0"/>
          <w14:ligatures w14:val="none"/>
        </w:rPr>
      </w:pPr>
      <w:r w:rsidRPr="00034962">
        <w:rPr>
          <w:rFonts w:ascii="Palatino Linotype" w:eastAsia="Palatino Linotype" w:hAnsi="Palatino Linotype" w:cs="Palatino Linotype"/>
          <w:kern w:val="0"/>
          <w14:ligatures w14:val="none"/>
        </w:rPr>
        <w:t>Por lo expuesto y fundado, este Pleno:</w:t>
      </w:r>
    </w:p>
    <w:p w14:paraId="46E595F7" w14:textId="77777777" w:rsidR="00797C7C" w:rsidRPr="00034962" w:rsidRDefault="00797C7C" w:rsidP="00797C7C">
      <w:pPr>
        <w:spacing w:after="0" w:line="360" w:lineRule="auto"/>
        <w:contextualSpacing/>
        <w:jc w:val="both"/>
        <w:rPr>
          <w:rFonts w:ascii="Palatino Linotype" w:eastAsia="Palatino Linotype" w:hAnsi="Palatino Linotype" w:cs="Palatino Linotype"/>
          <w:kern w:val="0"/>
          <w14:ligatures w14:val="none"/>
        </w:rPr>
      </w:pPr>
    </w:p>
    <w:p w14:paraId="70B6F9EC" w14:textId="77777777" w:rsidR="00797C7C" w:rsidRPr="00034962" w:rsidRDefault="00797C7C" w:rsidP="00797C7C">
      <w:pPr>
        <w:spacing w:after="0" w:line="360" w:lineRule="auto"/>
        <w:contextualSpacing/>
        <w:jc w:val="center"/>
        <w:rPr>
          <w:rFonts w:ascii="Palatino Linotype" w:eastAsia="Palatino Linotype" w:hAnsi="Palatino Linotype" w:cs="Palatino Linotype"/>
          <w:b/>
          <w:bCs/>
          <w:kern w:val="0"/>
          <w14:ligatures w14:val="none"/>
        </w:rPr>
      </w:pPr>
      <w:r w:rsidRPr="00034962">
        <w:rPr>
          <w:rFonts w:ascii="Palatino Linotype" w:eastAsia="Palatino Linotype" w:hAnsi="Palatino Linotype" w:cs="Palatino Linotype"/>
          <w:b/>
          <w:bCs/>
          <w:kern w:val="0"/>
          <w14:ligatures w14:val="none"/>
        </w:rPr>
        <w:t>R E S U E L V E</w:t>
      </w:r>
    </w:p>
    <w:p w14:paraId="369EC0BB" w14:textId="77777777" w:rsidR="00797C7C" w:rsidRPr="00F12038" w:rsidRDefault="00797C7C" w:rsidP="00797C7C">
      <w:pPr>
        <w:spacing w:after="0" w:line="360" w:lineRule="auto"/>
        <w:contextualSpacing/>
        <w:jc w:val="center"/>
        <w:rPr>
          <w:rFonts w:ascii="Palatino Linotype" w:eastAsia="Palatino Linotype" w:hAnsi="Palatino Linotype" w:cs="Palatino Linotype"/>
          <w:b/>
          <w:bCs/>
          <w:color w:val="FF0000"/>
          <w:kern w:val="0"/>
          <w14:ligatures w14:val="none"/>
        </w:rPr>
      </w:pPr>
    </w:p>
    <w:p w14:paraId="21D60A0E" w14:textId="776E202D" w:rsidR="00034962" w:rsidRPr="00034962" w:rsidRDefault="00797C7C" w:rsidP="00797C7C">
      <w:pPr>
        <w:spacing w:after="0" w:line="360" w:lineRule="auto"/>
        <w:contextualSpacing/>
        <w:jc w:val="both"/>
        <w:rPr>
          <w:rFonts w:ascii="Palatino Linotype" w:eastAsia="Palatino Linotype" w:hAnsi="Palatino Linotype" w:cs="Palatino Linotype"/>
          <w:kern w:val="0"/>
          <w14:ligatures w14:val="none"/>
        </w:rPr>
      </w:pPr>
      <w:r w:rsidRPr="00034962">
        <w:rPr>
          <w:rFonts w:ascii="Palatino Linotype" w:eastAsia="Palatino Linotype" w:hAnsi="Palatino Linotype" w:cs="Palatino Linotype"/>
          <w:b/>
          <w:kern w:val="0"/>
          <w14:ligatures w14:val="none"/>
        </w:rPr>
        <w:t>PRIMERO.</w:t>
      </w:r>
      <w:r w:rsidRPr="00034962">
        <w:rPr>
          <w:rFonts w:ascii="Palatino Linotype" w:eastAsia="Palatino Linotype" w:hAnsi="Palatino Linotype" w:cs="Palatino Linotype"/>
          <w:kern w:val="0"/>
          <w14:ligatures w14:val="none"/>
        </w:rPr>
        <w:t xml:space="preserve"> </w:t>
      </w:r>
      <w:r w:rsidR="00034962">
        <w:rPr>
          <w:rFonts w:ascii="Palatino Linotype" w:eastAsia="Palatino Linotype" w:hAnsi="Palatino Linotype" w:cs="Palatino Linotype"/>
          <w:kern w:val="0"/>
          <w14:ligatures w14:val="none"/>
        </w:rPr>
        <w:t xml:space="preserve">Se </w:t>
      </w:r>
      <w:r w:rsidR="00034962" w:rsidRPr="00034962">
        <w:rPr>
          <w:rFonts w:ascii="Palatino Linotype" w:eastAsia="Palatino Linotype" w:hAnsi="Palatino Linotype" w:cs="Palatino Linotype"/>
          <w:b/>
          <w:kern w:val="0"/>
          <w14:ligatures w14:val="none"/>
        </w:rPr>
        <w:t>SOBRESEE</w:t>
      </w:r>
      <w:r w:rsidR="00034962">
        <w:rPr>
          <w:rFonts w:ascii="Palatino Linotype" w:eastAsia="Palatino Linotype" w:hAnsi="Palatino Linotype" w:cs="Palatino Linotype"/>
          <w:kern w:val="0"/>
          <w14:ligatures w14:val="none"/>
        </w:rPr>
        <w:t xml:space="preserve"> </w:t>
      </w:r>
      <w:r w:rsidR="00034962" w:rsidRPr="00034962">
        <w:rPr>
          <w:rFonts w:ascii="Palatino Linotype" w:eastAsia="Palatino Linotype" w:hAnsi="Palatino Linotype" w:cs="Palatino Linotype"/>
          <w:kern w:val="0"/>
          <w14:ligatures w14:val="none"/>
        </w:rPr>
        <w:t xml:space="preserve">el Recurso de Revisión número </w:t>
      </w:r>
      <w:r w:rsidR="00034962" w:rsidRPr="00D464ED">
        <w:rPr>
          <w:rFonts w:ascii="Palatino Linotype" w:eastAsia="Times New Roman" w:hAnsi="Palatino Linotype" w:cs="Tahoma"/>
          <w:iCs/>
          <w:kern w:val="0"/>
          <w:lang w:val="es-ES" w:eastAsia="es-ES"/>
          <w14:ligatures w14:val="none"/>
        </w:rPr>
        <w:t>01861/INFOEM/ICR-33/IP/RR/2025</w:t>
      </w:r>
      <w:r w:rsidR="00034962" w:rsidRPr="00034962">
        <w:rPr>
          <w:rFonts w:ascii="Palatino Linotype" w:eastAsia="Palatino Linotype" w:hAnsi="Palatino Linotype" w:cs="Palatino Linotype"/>
          <w:kern w:val="0"/>
          <w14:ligatures w14:val="none"/>
        </w:rPr>
        <w:t>, en términos del artículo 192, fracción III, de la Ley de Transparencia y Acceso a la Información Pública del Estado de México y Municipios, porque el Sujeto Obligado al modificar la respuesta</w:t>
      </w:r>
      <w:r w:rsidR="00034962">
        <w:rPr>
          <w:rFonts w:ascii="Palatino Linotype" w:eastAsia="Palatino Linotype" w:hAnsi="Palatino Linotype" w:cs="Palatino Linotype"/>
          <w:kern w:val="0"/>
          <w14:ligatures w14:val="none"/>
        </w:rPr>
        <w:t xml:space="preserve"> en cumplimiento a la resolución del Recurso de Revisión 01861</w:t>
      </w:r>
      <w:r w:rsidR="00034962" w:rsidRPr="00034962">
        <w:rPr>
          <w:rFonts w:ascii="Palatino Linotype" w:eastAsia="Palatino Linotype" w:hAnsi="Palatino Linotype" w:cs="Palatino Linotype"/>
          <w:kern w:val="0"/>
          <w14:ligatures w14:val="none"/>
        </w:rPr>
        <w:t>INFOEM/IP/RR/2025</w:t>
      </w:r>
      <w:r w:rsidR="00034962">
        <w:rPr>
          <w:rFonts w:ascii="Palatino Linotype" w:eastAsia="Palatino Linotype" w:hAnsi="Palatino Linotype" w:cs="Palatino Linotype"/>
          <w:kern w:val="0"/>
          <w14:ligatures w14:val="none"/>
        </w:rPr>
        <w:t xml:space="preserve">, </w:t>
      </w:r>
      <w:r w:rsidR="00034962" w:rsidRPr="00034962">
        <w:rPr>
          <w:rFonts w:ascii="Palatino Linotype" w:eastAsia="Palatino Linotype" w:hAnsi="Palatino Linotype" w:cs="Palatino Linotype"/>
          <w:kern w:val="0"/>
          <w14:ligatures w14:val="none"/>
        </w:rPr>
        <w:t>el Medio de Impugnación quedó sin materia, en términos de los Considerandos TERCERO y CUARTO de la presente Resolución.</w:t>
      </w:r>
    </w:p>
    <w:p w14:paraId="2F2EB0FE" w14:textId="77777777" w:rsidR="00034962" w:rsidRDefault="00034962" w:rsidP="00797C7C">
      <w:pPr>
        <w:spacing w:after="0" w:line="360" w:lineRule="auto"/>
        <w:contextualSpacing/>
        <w:jc w:val="both"/>
        <w:rPr>
          <w:rFonts w:ascii="Palatino Linotype" w:eastAsia="Palatino Linotype" w:hAnsi="Palatino Linotype" w:cs="Palatino Linotype"/>
          <w:color w:val="FF0000"/>
          <w:kern w:val="0"/>
          <w14:ligatures w14:val="none"/>
        </w:rPr>
      </w:pPr>
    </w:p>
    <w:p w14:paraId="56D85770" w14:textId="77777777" w:rsidR="00C87805" w:rsidRPr="00F12038" w:rsidRDefault="00C87805" w:rsidP="00797C7C">
      <w:pPr>
        <w:spacing w:after="0" w:line="360" w:lineRule="auto"/>
        <w:contextualSpacing/>
        <w:jc w:val="both"/>
        <w:rPr>
          <w:rFonts w:ascii="Palatino Linotype" w:eastAsia="Palatino Linotype" w:hAnsi="Palatino Linotype" w:cs="Palatino Linotype"/>
          <w:color w:val="FF0000"/>
          <w:kern w:val="0"/>
          <w14:ligatures w14:val="none"/>
        </w:rPr>
      </w:pPr>
    </w:p>
    <w:p w14:paraId="7402D6DC" w14:textId="08520E8F" w:rsidR="0046781E" w:rsidRPr="00034962" w:rsidRDefault="00034962" w:rsidP="00797C7C">
      <w:pPr>
        <w:spacing w:after="0" w:line="360" w:lineRule="auto"/>
        <w:contextualSpacing/>
        <w:jc w:val="both"/>
        <w:rPr>
          <w:rFonts w:ascii="Palatino Linotype" w:eastAsia="Palatino Linotype" w:hAnsi="Palatino Linotype" w:cs="Palatino Linotype"/>
          <w:kern w:val="0"/>
          <w14:ligatures w14:val="none"/>
        </w:rPr>
      </w:pPr>
      <w:r w:rsidRPr="00034962">
        <w:rPr>
          <w:rFonts w:ascii="Palatino Linotype" w:eastAsia="Palatino Linotype" w:hAnsi="Palatino Linotype" w:cs="Palatino Linotype"/>
          <w:b/>
          <w:bCs/>
          <w:kern w:val="0"/>
          <w14:ligatures w14:val="none"/>
        </w:rPr>
        <w:t>SEGUNDO</w:t>
      </w:r>
      <w:r w:rsidR="0046781E" w:rsidRPr="00034962">
        <w:rPr>
          <w:rFonts w:ascii="Palatino Linotype" w:eastAsia="Palatino Linotype" w:hAnsi="Palatino Linotype" w:cs="Palatino Linotype"/>
          <w:b/>
          <w:bCs/>
          <w:kern w:val="0"/>
          <w14:ligatures w14:val="none"/>
        </w:rPr>
        <w:t>. NOTIFÍQUESE POR SAIMEX</w:t>
      </w:r>
      <w:r w:rsidR="0046781E" w:rsidRPr="00034962">
        <w:rPr>
          <w:rFonts w:ascii="Palatino Linotype" w:eastAsia="Palatino Linotype" w:hAnsi="Palatino Linotype" w:cs="Palatino Linotype"/>
          <w:kern w:val="0"/>
          <w14:ligatures w14:val="none"/>
        </w:rPr>
        <w:t xml:space="preserve"> la presente resolución al Titular de la Unidad de Transparencia del Sujeto Obligado. </w:t>
      </w:r>
    </w:p>
    <w:p w14:paraId="22296547" w14:textId="77777777" w:rsidR="0046781E" w:rsidRPr="00034962" w:rsidRDefault="0046781E" w:rsidP="00797C7C">
      <w:pPr>
        <w:spacing w:after="0" w:line="360" w:lineRule="auto"/>
        <w:contextualSpacing/>
        <w:jc w:val="both"/>
        <w:rPr>
          <w:rFonts w:ascii="Palatino Linotype" w:eastAsia="Palatino Linotype" w:hAnsi="Palatino Linotype" w:cs="Palatino Linotype"/>
          <w:kern w:val="0"/>
          <w14:ligatures w14:val="none"/>
        </w:rPr>
      </w:pPr>
    </w:p>
    <w:p w14:paraId="055862FA" w14:textId="7904C005" w:rsidR="00797C7C" w:rsidRPr="00034962" w:rsidRDefault="00034962" w:rsidP="00797C7C">
      <w:pPr>
        <w:spacing w:after="0" w:line="360" w:lineRule="auto"/>
        <w:contextualSpacing/>
        <w:jc w:val="both"/>
        <w:rPr>
          <w:rFonts w:ascii="Palatino Linotype" w:eastAsia="Palatino Linotype" w:hAnsi="Palatino Linotype" w:cs="Palatino Linotype"/>
          <w:kern w:val="0"/>
          <w14:ligatures w14:val="none"/>
        </w:rPr>
      </w:pPr>
      <w:r w:rsidRPr="00034962">
        <w:rPr>
          <w:rFonts w:ascii="Palatino Linotype" w:eastAsia="Palatino Linotype" w:hAnsi="Palatino Linotype" w:cs="Palatino Linotype"/>
          <w:b/>
          <w:bCs/>
          <w:kern w:val="0"/>
          <w14:ligatures w14:val="none"/>
        </w:rPr>
        <w:t>TERCERO</w:t>
      </w:r>
      <w:r w:rsidR="0046781E" w:rsidRPr="00034962">
        <w:rPr>
          <w:rFonts w:ascii="Palatino Linotype" w:eastAsia="Palatino Linotype" w:hAnsi="Palatino Linotype" w:cs="Palatino Linotype"/>
          <w:b/>
          <w:bCs/>
          <w:kern w:val="0"/>
          <w14:ligatures w14:val="none"/>
        </w:rPr>
        <w:t>. NOTIFÍQUESE POR SAIMEX</w:t>
      </w:r>
      <w:r w:rsidR="0046781E" w:rsidRPr="00034962">
        <w:rPr>
          <w:rFonts w:ascii="Palatino Linotype" w:eastAsia="Palatino Linotype" w:hAnsi="Palatino Linotype" w:cs="Palatino Linotype"/>
          <w:kern w:val="0"/>
          <w14:ligatures w14:val="none"/>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CCF10FB" w14:textId="77777777" w:rsidR="00797C7C" w:rsidRPr="00034962" w:rsidRDefault="00797C7C" w:rsidP="00797C7C">
      <w:pPr>
        <w:spacing w:after="0" w:line="360" w:lineRule="auto"/>
        <w:contextualSpacing/>
        <w:jc w:val="both"/>
        <w:rPr>
          <w:rFonts w:ascii="Palatino Linotype" w:eastAsia="Palatino Linotype" w:hAnsi="Palatino Linotype" w:cs="Palatino Linotype"/>
          <w:kern w:val="0"/>
          <w14:ligatures w14:val="none"/>
        </w:rPr>
      </w:pPr>
    </w:p>
    <w:p w14:paraId="3ECB5509" w14:textId="0D1B731B" w:rsidR="00797C7C" w:rsidRPr="00034962" w:rsidRDefault="00797C7C" w:rsidP="00797C7C">
      <w:pPr>
        <w:spacing w:after="0" w:line="360" w:lineRule="auto"/>
        <w:contextualSpacing/>
        <w:jc w:val="both"/>
        <w:rPr>
          <w:rFonts w:ascii="Palatino Linotype" w:eastAsia="Palatino Linotype" w:hAnsi="Palatino Linotype" w:cs="Palatino Linotype"/>
          <w:kern w:val="0"/>
          <w14:ligatures w14:val="none"/>
        </w:rPr>
      </w:pPr>
      <w:r w:rsidRPr="00034962">
        <w:rPr>
          <w:rFonts w:ascii="Palatino Linotype" w:eastAsia="Palatino Linotype" w:hAnsi="Palatino Linotype" w:cs="Palatino Linotype"/>
          <w:kern w:val="0"/>
          <w14:ligatures w14:val="none"/>
        </w:rPr>
        <w:t xml:space="preserve">ASÍ LO RESUELVE, POR </w:t>
      </w:r>
      <w:r w:rsidRPr="00603C50">
        <w:rPr>
          <w:rFonts w:ascii="Palatino Linotype" w:eastAsia="Palatino Linotype" w:hAnsi="Palatino Linotype" w:cs="Palatino Linotype"/>
          <w:b/>
          <w:kern w:val="0"/>
          <w14:ligatures w14:val="none"/>
        </w:rPr>
        <w:t>UNANIMIDAD</w:t>
      </w:r>
      <w:r w:rsidRPr="00034962">
        <w:rPr>
          <w:rFonts w:ascii="Palatino Linotype" w:eastAsia="Palatino Linotype" w:hAnsi="Palatino Linotype" w:cs="Palatino Linotype"/>
          <w:kern w:val="0"/>
          <w14:ligatures w14:val="none"/>
        </w:rPr>
        <w:t xml:space="preserve"> DE VOTOS EL PLENO DEL INSTITUTO DE TRANSPARENCIA, ACCESO A LA INFORMACIÓN PÚBLICA Y PROTECCIÓN DE DATOS PERSONALES DEL ESTADO DE MÉXICO Y MUNICIPIOS, CONFORMADO POR LOS COMISIONADOS JOSÉ MARTÍNEZ VILCHIS</w:t>
      </w:r>
      <w:r w:rsidR="008C7056">
        <w:rPr>
          <w:rFonts w:ascii="Palatino Linotype" w:eastAsia="Palatino Linotype" w:hAnsi="Palatino Linotype" w:cs="Palatino Linotype"/>
          <w:kern w:val="0"/>
          <w14:ligatures w14:val="none"/>
        </w:rPr>
        <w:t xml:space="preserve"> (AUSENCIA JUSTIFICADA)</w:t>
      </w:r>
      <w:r w:rsidRPr="00034962">
        <w:rPr>
          <w:rFonts w:ascii="Palatino Linotype" w:eastAsia="Palatino Linotype" w:hAnsi="Palatino Linotype" w:cs="Palatino Linotype"/>
          <w:kern w:val="0"/>
          <w14:ligatures w14:val="none"/>
        </w:rPr>
        <w:t xml:space="preserve">, MARÍA DEL ROSARIO MEJÍA AYALA, SHARON CRISTINA MORALES MARTÍNEZ, LUIS GUSTAVO PARRA NORIEGA Y GUADALUPE RAMÍREZ PEÑA, EN LA </w:t>
      </w:r>
      <w:r w:rsidR="0046781E" w:rsidRPr="00034962">
        <w:rPr>
          <w:rFonts w:ascii="Palatino Linotype" w:eastAsia="Palatino Linotype" w:hAnsi="Palatino Linotype" w:cs="Palatino Linotype"/>
          <w:kern w:val="0"/>
          <w14:ligatures w14:val="none"/>
        </w:rPr>
        <w:t xml:space="preserve">VIGÉSIMA </w:t>
      </w:r>
      <w:r w:rsidR="00034962" w:rsidRPr="00034962">
        <w:rPr>
          <w:rFonts w:ascii="Palatino Linotype" w:eastAsia="Palatino Linotype" w:hAnsi="Palatino Linotype" w:cs="Palatino Linotype"/>
          <w:kern w:val="0"/>
          <w14:ligatures w14:val="none"/>
        </w:rPr>
        <w:t xml:space="preserve">NOVENA </w:t>
      </w:r>
      <w:r w:rsidRPr="00034962">
        <w:rPr>
          <w:rFonts w:ascii="Palatino Linotype" w:eastAsia="Palatino Linotype" w:hAnsi="Palatino Linotype" w:cs="Palatino Linotype"/>
          <w:kern w:val="0"/>
          <w14:ligatures w14:val="none"/>
        </w:rPr>
        <w:t xml:space="preserve">SESIÓN ORDINARIA, CELEBRADA EL </w:t>
      </w:r>
      <w:r w:rsidR="00034962" w:rsidRPr="00034962">
        <w:rPr>
          <w:rFonts w:ascii="Palatino Linotype" w:eastAsia="Palatino Linotype" w:hAnsi="Palatino Linotype" w:cs="Palatino Linotype"/>
          <w:kern w:val="0"/>
          <w14:ligatures w14:val="none"/>
        </w:rPr>
        <w:t xml:space="preserve">VEINTE </w:t>
      </w:r>
      <w:r w:rsidR="0046781E" w:rsidRPr="00034962">
        <w:rPr>
          <w:rFonts w:ascii="Palatino Linotype" w:eastAsia="Palatino Linotype" w:hAnsi="Palatino Linotype" w:cs="Palatino Linotype"/>
          <w:kern w:val="0"/>
          <w14:ligatures w14:val="none"/>
        </w:rPr>
        <w:t xml:space="preserve">DE AGOSTO </w:t>
      </w:r>
      <w:r w:rsidRPr="00034962">
        <w:rPr>
          <w:rFonts w:ascii="Palatino Linotype" w:eastAsia="Palatino Linotype" w:hAnsi="Palatino Linotype" w:cs="Palatino Linotype"/>
          <w:kern w:val="0"/>
          <w14:ligatures w14:val="none"/>
        </w:rPr>
        <w:t>DE DOS MIL VEINTIC</w:t>
      </w:r>
      <w:r w:rsidR="0046781E" w:rsidRPr="00034962">
        <w:rPr>
          <w:rFonts w:ascii="Palatino Linotype" w:eastAsia="Palatino Linotype" w:hAnsi="Palatino Linotype" w:cs="Palatino Linotype"/>
          <w:kern w:val="0"/>
          <w14:ligatures w14:val="none"/>
        </w:rPr>
        <w:t>INCO</w:t>
      </w:r>
      <w:r w:rsidRPr="00034962">
        <w:rPr>
          <w:rFonts w:ascii="Palatino Linotype" w:eastAsia="Palatino Linotype" w:hAnsi="Palatino Linotype" w:cs="Palatino Linotype"/>
          <w:kern w:val="0"/>
          <w14:ligatures w14:val="none"/>
        </w:rPr>
        <w:t>, ANTE EL SECRETARIO TÉCNICO DEL PLENO, ALEXIS TAPIA RAMÍREZ.</w:t>
      </w:r>
    </w:p>
    <w:p w14:paraId="198A0AAC" w14:textId="77777777" w:rsidR="00797C7C" w:rsidRPr="00F12038" w:rsidRDefault="00797C7C" w:rsidP="00797C7C">
      <w:pPr>
        <w:spacing w:after="0"/>
        <w:jc w:val="both"/>
        <w:rPr>
          <w:rFonts w:ascii="Palatino Linotype" w:hAnsi="Palatino Linotype"/>
          <w:color w:val="FF0000"/>
          <w:kern w:val="0"/>
          <w14:ligatures w14:val="none"/>
        </w:rPr>
      </w:pPr>
    </w:p>
    <w:p w14:paraId="007ACA0F" w14:textId="77777777" w:rsidR="008302C9" w:rsidRPr="00F12038" w:rsidRDefault="008302C9">
      <w:pPr>
        <w:rPr>
          <w:color w:val="FF0000"/>
        </w:rPr>
      </w:pPr>
    </w:p>
    <w:p w14:paraId="722F9C81" w14:textId="77777777" w:rsidR="004340F5" w:rsidRPr="00F12038" w:rsidRDefault="004340F5">
      <w:pPr>
        <w:rPr>
          <w:color w:val="FF0000"/>
        </w:rPr>
      </w:pPr>
    </w:p>
    <w:p w14:paraId="7386C018" w14:textId="77777777" w:rsidR="004340F5" w:rsidRPr="00F12038" w:rsidRDefault="004340F5">
      <w:pPr>
        <w:rPr>
          <w:color w:val="FF0000"/>
        </w:rPr>
      </w:pPr>
    </w:p>
    <w:p w14:paraId="54436ADC" w14:textId="77777777" w:rsidR="004340F5" w:rsidRPr="00F12038" w:rsidRDefault="004340F5">
      <w:pPr>
        <w:rPr>
          <w:color w:val="FF0000"/>
        </w:rPr>
      </w:pPr>
    </w:p>
    <w:p w14:paraId="4FEAA4A3" w14:textId="77777777" w:rsidR="004340F5" w:rsidRPr="00F12038" w:rsidRDefault="004340F5">
      <w:pPr>
        <w:rPr>
          <w:color w:val="FF0000"/>
        </w:rPr>
      </w:pPr>
    </w:p>
    <w:p w14:paraId="54CBECC5" w14:textId="77777777" w:rsidR="004340F5" w:rsidRPr="00F12038" w:rsidRDefault="004340F5">
      <w:pPr>
        <w:rPr>
          <w:color w:val="FF0000"/>
        </w:rPr>
      </w:pPr>
    </w:p>
    <w:p w14:paraId="77B144EF" w14:textId="77777777" w:rsidR="004340F5" w:rsidRPr="00F12038" w:rsidRDefault="004340F5">
      <w:pPr>
        <w:rPr>
          <w:color w:val="FF0000"/>
        </w:rPr>
      </w:pPr>
    </w:p>
    <w:p w14:paraId="504EEDFF" w14:textId="77777777" w:rsidR="004340F5" w:rsidRPr="00F12038" w:rsidRDefault="004340F5">
      <w:pPr>
        <w:rPr>
          <w:color w:val="FF0000"/>
        </w:rPr>
      </w:pPr>
    </w:p>
    <w:p w14:paraId="3789D8A8" w14:textId="77777777" w:rsidR="004340F5" w:rsidRPr="00F12038" w:rsidRDefault="004340F5">
      <w:pPr>
        <w:rPr>
          <w:color w:val="FF0000"/>
        </w:rPr>
      </w:pPr>
    </w:p>
    <w:p w14:paraId="3DAFD9ED" w14:textId="77777777" w:rsidR="001D2FDF" w:rsidRPr="00F12038" w:rsidRDefault="001D2FDF">
      <w:pPr>
        <w:rPr>
          <w:color w:val="FF0000"/>
        </w:rPr>
      </w:pPr>
    </w:p>
    <w:p w14:paraId="1E483004" w14:textId="77777777" w:rsidR="001D2FDF" w:rsidRPr="00F12038" w:rsidRDefault="001D2FDF">
      <w:pPr>
        <w:rPr>
          <w:color w:val="FF0000"/>
        </w:rPr>
      </w:pPr>
    </w:p>
    <w:p w14:paraId="5266D7E7" w14:textId="77777777" w:rsidR="001D2FDF" w:rsidRPr="00F12038" w:rsidRDefault="001D2FDF">
      <w:pPr>
        <w:rPr>
          <w:color w:val="FF0000"/>
        </w:rPr>
      </w:pPr>
    </w:p>
    <w:p w14:paraId="4E759993" w14:textId="77777777" w:rsidR="001D2FDF" w:rsidRPr="00F12038" w:rsidRDefault="001D2FDF">
      <w:pPr>
        <w:rPr>
          <w:color w:val="FF0000"/>
        </w:rPr>
      </w:pPr>
    </w:p>
    <w:p w14:paraId="10918262" w14:textId="77777777" w:rsidR="001D2FDF" w:rsidRPr="00F12038" w:rsidRDefault="001D2FDF">
      <w:pPr>
        <w:rPr>
          <w:color w:val="FF0000"/>
        </w:rPr>
      </w:pPr>
    </w:p>
    <w:p w14:paraId="3943A53F" w14:textId="77777777" w:rsidR="001D2FDF" w:rsidRPr="00F12038" w:rsidRDefault="001D2FDF">
      <w:pPr>
        <w:rPr>
          <w:color w:val="FF0000"/>
        </w:rPr>
      </w:pPr>
    </w:p>
    <w:sectPr w:rsidR="001D2FDF" w:rsidRPr="00F12038" w:rsidSect="00127149">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54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5A011" w14:textId="77777777" w:rsidR="00BF0756" w:rsidRDefault="00BF0756" w:rsidP="00C84110">
      <w:pPr>
        <w:spacing w:after="0" w:line="240" w:lineRule="auto"/>
      </w:pPr>
      <w:r>
        <w:separator/>
      </w:r>
    </w:p>
  </w:endnote>
  <w:endnote w:type="continuationSeparator" w:id="0">
    <w:p w14:paraId="0DF3A113" w14:textId="77777777" w:rsidR="00BF0756" w:rsidRDefault="00BF0756" w:rsidP="00C8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1838DDB0" w14:textId="77777777" w:rsidR="00D464ED" w:rsidRDefault="00D46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9284A">
              <w:rPr>
                <w:b/>
                <w:bCs/>
                <w:noProof/>
              </w:rPr>
              <w:t>15</w:t>
            </w:r>
            <w:r>
              <w:rPr>
                <w:b/>
                <w:bCs/>
                <w:sz w:val="24"/>
                <w:szCs w:val="24"/>
              </w:rPr>
              <w:fldChar w:fldCharType="end"/>
            </w:r>
          </w:p>
        </w:sdtContent>
      </w:sdt>
    </w:sdtContent>
  </w:sdt>
  <w:p w14:paraId="589D6EFF" w14:textId="77777777" w:rsidR="00D464ED" w:rsidRDefault="00D464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6FE8F2FB" w14:textId="77777777" w:rsidR="00D464ED" w:rsidRDefault="00D46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4811">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4811">
              <w:rPr>
                <w:b/>
                <w:bCs/>
                <w:noProof/>
              </w:rPr>
              <w:t>15</w:t>
            </w:r>
            <w:r>
              <w:rPr>
                <w:b/>
                <w:bCs/>
                <w:sz w:val="24"/>
                <w:szCs w:val="24"/>
              </w:rPr>
              <w:fldChar w:fldCharType="end"/>
            </w:r>
          </w:p>
        </w:sdtContent>
      </w:sdt>
    </w:sdtContent>
  </w:sdt>
  <w:p w14:paraId="56BE8BF5" w14:textId="77777777" w:rsidR="00D464ED" w:rsidRDefault="00D464E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7AB91BD9" w14:textId="77777777" w:rsidR="00D464ED" w:rsidRDefault="00D46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481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4811">
              <w:rPr>
                <w:b/>
                <w:bCs/>
                <w:noProof/>
              </w:rPr>
              <w:t>15</w:t>
            </w:r>
            <w:r>
              <w:rPr>
                <w:b/>
                <w:bCs/>
                <w:sz w:val="24"/>
                <w:szCs w:val="24"/>
              </w:rPr>
              <w:fldChar w:fldCharType="end"/>
            </w:r>
          </w:p>
        </w:sdtContent>
      </w:sdt>
    </w:sdtContent>
  </w:sdt>
  <w:p w14:paraId="2A6E3F48" w14:textId="77777777" w:rsidR="00D464ED" w:rsidRDefault="00D464ED" w:rsidP="00D2129C">
    <w:pPr>
      <w:pStyle w:val="Piedepgina"/>
      <w:tabs>
        <w:tab w:val="clear" w:pos="4419"/>
        <w:tab w:val="clear" w:pos="8838"/>
        <w:tab w:val="left" w:pos="39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2D3A7" w14:textId="77777777" w:rsidR="00BF0756" w:rsidRDefault="00BF0756" w:rsidP="00C84110">
      <w:pPr>
        <w:spacing w:after="0" w:line="240" w:lineRule="auto"/>
      </w:pPr>
      <w:r>
        <w:separator/>
      </w:r>
    </w:p>
  </w:footnote>
  <w:footnote w:type="continuationSeparator" w:id="0">
    <w:p w14:paraId="3EA9B732" w14:textId="77777777" w:rsidR="00BF0756" w:rsidRDefault="00BF0756" w:rsidP="00C84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0" w:type="dxa"/>
      <w:tblLayout w:type="fixed"/>
      <w:tblLook w:val="04A0" w:firstRow="1" w:lastRow="0" w:firstColumn="1" w:lastColumn="0" w:noHBand="0" w:noVBand="1"/>
    </w:tblPr>
    <w:tblGrid>
      <w:gridCol w:w="3260"/>
      <w:gridCol w:w="6730"/>
    </w:tblGrid>
    <w:tr w:rsidR="00D464ED" w:rsidRPr="008C644E" w14:paraId="1FD82121" w14:textId="77777777" w:rsidTr="00D2129C">
      <w:trPr>
        <w:trHeight w:val="1435"/>
      </w:trPr>
      <w:tc>
        <w:tcPr>
          <w:tcW w:w="3261" w:type="dxa"/>
        </w:tcPr>
        <w:p w14:paraId="663EAC92" w14:textId="77777777" w:rsidR="00D464ED" w:rsidRPr="008C644E" w:rsidRDefault="00D464ED" w:rsidP="00D2129C">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D464ED" w:rsidRPr="008C644E" w14:paraId="33A3843A" w14:textId="77777777" w:rsidTr="00D2129C">
            <w:trPr>
              <w:trHeight w:val="144"/>
            </w:trPr>
            <w:tc>
              <w:tcPr>
                <w:tcW w:w="2559" w:type="dxa"/>
                <w:hideMark/>
              </w:tcPr>
              <w:p w14:paraId="0D6F47F7" w14:textId="77777777" w:rsidR="00D464ED" w:rsidRPr="008C644E" w:rsidRDefault="00D464ED" w:rsidP="00D2129C">
                <w:pPr>
                  <w:pStyle w:val="Encabezado"/>
                  <w:rPr>
                    <w:b/>
                  </w:rPr>
                </w:pPr>
                <w:r w:rsidRPr="008C644E">
                  <w:rPr>
                    <w:b/>
                  </w:rPr>
                  <w:t>Recurso de Revisión:</w:t>
                </w:r>
              </w:p>
            </w:tc>
            <w:tc>
              <w:tcPr>
                <w:tcW w:w="3259" w:type="dxa"/>
                <w:hideMark/>
              </w:tcPr>
              <w:p w14:paraId="012889EE" w14:textId="77777777" w:rsidR="00D464ED" w:rsidRPr="008C644E" w:rsidRDefault="00D464ED" w:rsidP="00D2129C">
                <w:pPr>
                  <w:pStyle w:val="Encabezado"/>
                </w:pPr>
                <w:r>
                  <w:t>01206/INFOEM/IP/RR/2022</w:t>
                </w:r>
              </w:p>
            </w:tc>
            <w:tc>
              <w:tcPr>
                <w:tcW w:w="3402" w:type="dxa"/>
              </w:tcPr>
              <w:p w14:paraId="0B400F9C" w14:textId="77777777" w:rsidR="00D464ED" w:rsidRPr="008C644E" w:rsidRDefault="00D464ED" w:rsidP="00D2129C">
                <w:pPr>
                  <w:pStyle w:val="Encabezado"/>
                  <w:rPr>
                    <w:bCs/>
                  </w:rPr>
                </w:pPr>
              </w:p>
            </w:tc>
          </w:tr>
          <w:tr w:rsidR="00D464ED" w:rsidRPr="008C644E" w14:paraId="53B7367E" w14:textId="77777777" w:rsidTr="00D2129C">
            <w:trPr>
              <w:trHeight w:val="283"/>
            </w:trPr>
            <w:tc>
              <w:tcPr>
                <w:tcW w:w="2559" w:type="dxa"/>
                <w:hideMark/>
              </w:tcPr>
              <w:p w14:paraId="23147F06" w14:textId="77777777" w:rsidR="00D464ED" w:rsidRPr="008C644E" w:rsidRDefault="00D464ED" w:rsidP="00D2129C">
                <w:pPr>
                  <w:pStyle w:val="Encabezado"/>
                  <w:rPr>
                    <w:b/>
                  </w:rPr>
                </w:pPr>
                <w:r w:rsidRPr="008C644E">
                  <w:rPr>
                    <w:b/>
                  </w:rPr>
                  <w:t>Sujeto Obligado:</w:t>
                </w:r>
              </w:p>
            </w:tc>
            <w:tc>
              <w:tcPr>
                <w:tcW w:w="3259" w:type="dxa"/>
                <w:hideMark/>
              </w:tcPr>
              <w:p w14:paraId="6459D21F" w14:textId="77777777" w:rsidR="00D464ED" w:rsidRPr="008C644E" w:rsidRDefault="00D464ED" w:rsidP="00D2129C">
                <w:pPr>
                  <w:pStyle w:val="Encabezado"/>
                </w:pPr>
                <w:r w:rsidRPr="008C644E">
                  <w:rPr>
                    <w:lang w:val="es-MX"/>
                  </w:rPr>
                  <w:t>Ayuntamiento</w:t>
                </w:r>
                <w:r>
                  <w:rPr>
                    <w:lang w:val="es-MX"/>
                  </w:rPr>
                  <w:t xml:space="preserve"> de</w:t>
                </w:r>
                <w:r w:rsidRPr="008C644E">
                  <w:rPr>
                    <w:lang w:val="es-MX"/>
                  </w:rPr>
                  <w:t xml:space="preserve"> </w:t>
                </w:r>
                <w:r>
                  <w:rPr>
                    <w:lang w:val="es-MX"/>
                  </w:rPr>
                  <w:t>Tezoyuca</w:t>
                </w:r>
              </w:p>
            </w:tc>
            <w:tc>
              <w:tcPr>
                <w:tcW w:w="3402" w:type="dxa"/>
              </w:tcPr>
              <w:p w14:paraId="64DED5A6" w14:textId="77777777" w:rsidR="00D464ED" w:rsidRPr="008C644E" w:rsidRDefault="00D464ED" w:rsidP="00D2129C">
                <w:pPr>
                  <w:pStyle w:val="Encabezado"/>
                </w:pPr>
              </w:p>
            </w:tc>
          </w:tr>
          <w:tr w:rsidR="00D464ED" w:rsidRPr="008C644E" w14:paraId="07306CAB" w14:textId="77777777" w:rsidTr="00D2129C">
            <w:trPr>
              <w:trHeight w:val="283"/>
            </w:trPr>
            <w:tc>
              <w:tcPr>
                <w:tcW w:w="2559" w:type="dxa"/>
                <w:hideMark/>
              </w:tcPr>
              <w:p w14:paraId="36B25CE9" w14:textId="77777777" w:rsidR="00D464ED" w:rsidRPr="008C644E" w:rsidRDefault="00D464ED" w:rsidP="00D2129C">
                <w:pPr>
                  <w:pStyle w:val="Encabezado"/>
                  <w:rPr>
                    <w:b/>
                  </w:rPr>
                </w:pPr>
                <w:r w:rsidRPr="008C644E">
                  <w:rPr>
                    <w:b/>
                  </w:rPr>
                  <w:t xml:space="preserve">Comisionado Ponente: </w:t>
                </w:r>
              </w:p>
            </w:tc>
            <w:tc>
              <w:tcPr>
                <w:tcW w:w="3259" w:type="dxa"/>
                <w:hideMark/>
              </w:tcPr>
              <w:p w14:paraId="73A32804" w14:textId="77777777" w:rsidR="00D464ED" w:rsidRPr="008C644E" w:rsidRDefault="00D464ED" w:rsidP="00D2129C">
                <w:pPr>
                  <w:pStyle w:val="Encabezado"/>
                  <w:rPr>
                    <w:b/>
                  </w:rPr>
                </w:pPr>
                <w:r w:rsidRPr="008C644E">
                  <w:t>Luis Gustavo Parra Noriega</w:t>
                </w:r>
              </w:p>
            </w:tc>
            <w:tc>
              <w:tcPr>
                <w:tcW w:w="3402" w:type="dxa"/>
              </w:tcPr>
              <w:p w14:paraId="55430555" w14:textId="77777777" w:rsidR="00D464ED" w:rsidRPr="008C644E" w:rsidRDefault="00D464ED" w:rsidP="00D2129C">
                <w:pPr>
                  <w:pStyle w:val="Encabezado"/>
                </w:pPr>
              </w:p>
            </w:tc>
          </w:tr>
        </w:tbl>
        <w:p w14:paraId="67C586FA" w14:textId="77777777" w:rsidR="00D464ED" w:rsidRPr="008C644E" w:rsidRDefault="00D464ED" w:rsidP="00D2129C">
          <w:pPr>
            <w:pStyle w:val="Encabezado"/>
            <w:rPr>
              <w:b/>
            </w:rPr>
          </w:pPr>
        </w:p>
      </w:tc>
    </w:tr>
  </w:tbl>
  <w:p w14:paraId="417BAF94" w14:textId="77777777" w:rsidR="00D464ED" w:rsidRDefault="00BF0756">
    <w:pPr>
      <w:pStyle w:val="Encabezado"/>
    </w:pPr>
    <w:r>
      <w:rPr>
        <w:noProof/>
      </w:rPr>
      <w:pict w14:anchorId="00918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58" w:type="dxa"/>
      <w:tblInd w:w="-993" w:type="dxa"/>
      <w:tblLayout w:type="fixed"/>
      <w:tblLook w:val="04A0" w:firstRow="1" w:lastRow="0" w:firstColumn="1" w:lastColumn="0" w:noHBand="0" w:noVBand="1"/>
    </w:tblPr>
    <w:tblGrid>
      <w:gridCol w:w="3403"/>
      <w:gridCol w:w="7155"/>
    </w:tblGrid>
    <w:tr w:rsidR="00D464ED" w:rsidRPr="00070567" w14:paraId="7C719EA2" w14:textId="77777777" w:rsidTr="00D2129C">
      <w:trPr>
        <w:trHeight w:val="1435"/>
      </w:trPr>
      <w:tc>
        <w:tcPr>
          <w:tcW w:w="3403" w:type="dxa"/>
        </w:tcPr>
        <w:p w14:paraId="72C45A2C" w14:textId="77777777" w:rsidR="00D464ED" w:rsidRDefault="00D464ED" w:rsidP="00D2129C">
          <w:pPr>
            <w:tabs>
              <w:tab w:val="right" w:pos="4273"/>
            </w:tabs>
            <w:spacing w:line="256" w:lineRule="auto"/>
            <w:rPr>
              <w:rFonts w:ascii="Garamond" w:eastAsia="Calibri" w:hAnsi="Garamond"/>
            </w:rPr>
          </w:pPr>
        </w:p>
      </w:tc>
      <w:tc>
        <w:tcPr>
          <w:tcW w:w="7155" w:type="dxa"/>
          <w:hideMark/>
        </w:tcPr>
        <w:p w14:paraId="71C43368" w14:textId="77777777" w:rsidR="00D464ED" w:rsidRPr="00070567" w:rsidRDefault="00D464ED" w:rsidP="00070567">
          <w:pPr>
            <w:tabs>
              <w:tab w:val="left" w:pos="2834"/>
              <w:tab w:val="right" w:pos="8838"/>
            </w:tabs>
            <w:spacing w:after="0" w:line="240" w:lineRule="auto"/>
            <w:ind w:right="-105"/>
            <w:rPr>
              <w:rFonts w:ascii="Palatino Linotype" w:hAnsi="Palatino Linotype"/>
            </w:rPr>
          </w:pPr>
        </w:p>
        <w:tbl>
          <w:tblPr>
            <w:tblStyle w:val="Tablaconcuadrcula"/>
            <w:tblW w:w="9612" w:type="dxa"/>
            <w:tblInd w:w="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49"/>
            <w:gridCol w:w="4397"/>
            <w:gridCol w:w="2666"/>
          </w:tblGrid>
          <w:tr w:rsidR="00D464ED" w:rsidRPr="00070567" w14:paraId="6C0129CD" w14:textId="77777777" w:rsidTr="00127149">
            <w:trPr>
              <w:trHeight w:val="144"/>
            </w:trPr>
            <w:tc>
              <w:tcPr>
                <w:tcW w:w="2549" w:type="dxa"/>
                <w:hideMark/>
              </w:tcPr>
              <w:p w14:paraId="0EF50C81" w14:textId="77777777" w:rsidR="00D464ED" w:rsidRPr="00070567" w:rsidRDefault="00D464ED" w:rsidP="00070567">
                <w:pPr>
                  <w:tabs>
                    <w:tab w:val="left" w:pos="2834"/>
                    <w:tab w:val="right" w:pos="8838"/>
                  </w:tabs>
                  <w:ind w:right="-105"/>
                  <w:rPr>
                    <w:rFonts w:ascii="Palatino Linotype" w:hAnsi="Palatino Linotype"/>
                    <w:b/>
                    <w:bCs/>
                    <w:lang w:val="es-MX"/>
                  </w:rPr>
                </w:pPr>
                <w:bookmarkStart w:id="23" w:name="_Hlk12526980"/>
                <w:r w:rsidRPr="00070567">
                  <w:rPr>
                    <w:rFonts w:ascii="Palatino Linotype" w:hAnsi="Palatino Linotype"/>
                    <w:b/>
                    <w:bCs/>
                    <w:lang w:val="es-MX"/>
                  </w:rPr>
                  <w:t>Recurso de Revisión:</w:t>
                </w:r>
              </w:p>
            </w:tc>
            <w:tc>
              <w:tcPr>
                <w:tcW w:w="4397" w:type="dxa"/>
                <w:hideMark/>
              </w:tcPr>
              <w:p w14:paraId="69ED5DBE" w14:textId="232DF1CC" w:rsidR="00D464ED" w:rsidRPr="00070567" w:rsidRDefault="00D464ED" w:rsidP="00070567">
                <w:pPr>
                  <w:tabs>
                    <w:tab w:val="left" w:pos="2834"/>
                    <w:tab w:val="right" w:pos="8838"/>
                  </w:tabs>
                  <w:ind w:right="-105"/>
                  <w:rPr>
                    <w:rFonts w:ascii="Palatino Linotype" w:hAnsi="Palatino Linotype"/>
                    <w:lang w:val="es-MX"/>
                  </w:rPr>
                </w:pPr>
                <w:r w:rsidRPr="002D3E61">
                  <w:rPr>
                    <w:rFonts w:ascii="Palatino Linotype" w:eastAsia="Calibri" w:hAnsi="Palatino Linotype" w:cs="Tahoma"/>
                    <w:color w:val="000000" w:themeColor="text1"/>
                    <w:lang w:val="es-MX"/>
                  </w:rPr>
                  <w:t>01861/INFOEM/ICR-33/IP/RR/2025</w:t>
                </w:r>
              </w:p>
            </w:tc>
            <w:tc>
              <w:tcPr>
                <w:tcW w:w="2666" w:type="dxa"/>
              </w:tcPr>
              <w:p w14:paraId="52323AA8" w14:textId="77777777" w:rsidR="00D464ED" w:rsidRPr="00070567" w:rsidRDefault="00D464ED" w:rsidP="00070567">
                <w:pPr>
                  <w:tabs>
                    <w:tab w:val="left" w:pos="2834"/>
                    <w:tab w:val="right" w:pos="8838"/>
                  </w:tabs>
                  <w:ind w:right="-105"/>
                  <w:rPr>
                    <w:rFonts w:ascii="Palatino Linotype" w:hAnsi="Palatino Linotype"/>
                    <w:lang w:val="es-MX"/>
                  </w:rPr>
                </w:pPr>
              </w:p>
            </w:tc>
            <w:bookmarkEnd w:id="23"/>
          </w:tr>
          <w:tr w:rsidR="00D464ED" w:rsidRPr="00070567" w14:paraId="0B997727" w14:textId="77777777" w:rsidTr="00127149">
            <w:trPr>
              <w:trHeight w:val="283"/>
            </w:trPr>
            <w:tc>
              <w:tcPr>
                <w:tcW w:w="2549" w:type="dxa"/>
                <w:hideMark/>
              </w:tcPr>
              <w:p w14:paraId="03AD9776" w14:textId="77777777" w:rsidR="00D464ED" w:rsidRPr="00070567" w:rsidRDefault="00D464ED" w:rsidP="00070567">
                <w:pPr>
                  <w:tabs>
                    <w:tab w:val="left" w:pos="2834"/>
                    <w:tab w:val="right" w:pos="8838"/>
                  </w:tabs>
                  <w:ind w:right="-105"/>
                  <w:rPr>
                    <w:rFonts w:ascii="Palatino Linotype" w:hAnsi="Palatino Linotype"/>
                    <w:b/>
                    <w:bCs/>
                    <w:lang w:val="es-MX"/>
                  </w:rPr>
                </w:pPr>
                <w:r w:rsidRPr="00070567">
                  <w:rPr>
                    <w:rFonts w:ascii="Palatino Linotype" w:hAnsi="Palatino Linotype"/>
                    <w:b/>
                    <w:bCs/>
                    <w:lang w:val="es-MX"/>
                  </w:rPr>
                  <w:t>Sujeto Obligado:</w:t>
                </w:r>
              </w:p>
            </w:tc>
            <w:tc>
              <w:tcPr>
                <w:tcW w:w="4397" w:type="dxa"/>
                <w:hideMark/>
              </w:tcPr>
              <w:p w14:paraId="35983241" w14:textId="1D6DA6A1" w:rsidR="00D464ED" w:rsidRPr="00070567" w:rsidRDefault="00D464ED" w:rsidP="00070567">
                <w:pPr>
                  <w:tabs>
                    <w:tab w:val="left" w:pos="2834"/>
                    <w:tab w:val="right" w:pos="8838"/>
                  </w:tabs>
                  <w:ind w:right="-105"/>
                  <w:rPr>
                    <w:rFonts w:ascii="Palatino Linotype" w:hAnsi="Palatino Linotype"/>
                    <w:lang w:val="es-MX"/>
                  </w:rPr>
                </w:pPr>
                <w:r w:rsidRPr="00F12038">
                  <w:rPr>
                    <w:rFonts w:ascii="Palatino Linotype" w:hAnsi="Palatino Linotype"/>
                    <w:lang w:val="es-MX"/>
                  </w:rPr>
                  <w:t>Ayuntamiento de la Paz</w:t>
                </w:r>
              </w:p>
            </w:tc>
            <w:tc>
              <w:tcPr>
                <w:tcW w:w="2666" w:type="dxa"/>
              </w:tcPr>
              <w:p w14:paraId="2ACCBDC8" w14:textId="77777777" w:rsidR="00D464ED" w:rsidRPr="00070567" w:rsidRDefault="00D464ED" w:rsidP="00070567">
                <w:pPr>
                  <w:tabs>
                    <w:tab w:val="left" w:pos="2834"/>
                    <w:tab w:val="right" w:pos="8838"/>
                  </w:tabs>
                  <w:ind w:right="-105"/>
                  <w:rPr>
                    <w:rFonts w:ascii="Palatino Linotype" w:hAnsi="Palatino Linotype"/>
                    <w:lang w:val="es-MX"/>
                  </w:rPr>
                </w:pPr>
              </w:p>
            </w:tc>
          </w:tr>
          <w:tr w:rsidR="00D464ED" w:rsidRPr="00070567" w14:paraId="70416EFA" w14:textId="77777777" w:rsidTr="00127149">
            <w:trPr>
              <w:trHeight w:val="283"/>
            </w:trPr>
            <w:tc>
              <w:tcPr>
                <w:tcW w:w="2549" w:type="dxa"/>
                <w:hideMark/>
              </w:tcPr>
              <w:p w14:paraId="197CD050" w14:textId="77777777" w:rsidR="00D464ED" w:rsidRPr="00070567" w:rsidRDefault="00D464ED" w:rsidP="00070567">
                <w:pPr>
                  <w:tabs>
                    <w:tab w:val="left" w:pos="2834"/>
                    <w:tab w:val="right" w:pos="8838"/>
                  </w:tabs>
                  <w:ind w:right="-105"/>
                  <w:rPr>
                    <w:rFonts w:ascii="Palatino Linotype" w:hAnsi="Palatino Linotype"/>
                    <w:b/>
                    <w:bCs/>
                    <w:lang w:val="es-MX"/>
                  </w:rPr>
                </w:pPr>
                <w:r w:rsidRPr="00070567">
                  <w:rPr>
                    <w:rFonts w:ascii="Palatino Linotype" w:hAnsi="Palatino Linotype"/>
                    <w:b/>
                    <w:bCs/>
                    <w:lang w:val="es-MX"/>
                  </w:rPr>
                  <w:t xml:space="preserve">Comisionado Ponente: </w:t>
                </w:r>
              </w:p>
            </w:tc>
            <w:tc>
              <w:tcPr>
                <w:tcW w:w="4397" w:type="dxa"/>
                <w:hideMark/>
              </w:tcPr>
              <w:p w14:paraId="645048EE" w14:textId="77777777" w:rsidR="00D464ED" w:rsidRPr="00070567" w:rsidRDefault="00D464ED" w:rsidP="00070567">
                <w:pPr>
                  <w:tabs>
                    <w:tab w:val="left" w:pos="2834"/>
                    <w:tab w:val="right" w:pos="8838"/>
                  </w:tabs>
                  <w:ind w:right="-105"/>
                  <w:rPr>
                    <w:rFonts w:ascii="Palatino Linotype" w:hAnsi="Palatino Linotype"/>
                    <w:lang w:val="es-MX"/>
                  </w:rPr>
                </w:pPr>
                <w:r w:rsidRPr="00070567">
                  <w:rPr>
                    <w:rFonts w:ascii="Palatino Linotype" w:hAnsi="Palatino Linotype"/>
                    <w:lang w:val="es-MX"/>
                  </w:rPr>
                  <w:t>Luis Gustavo Parra Noriega</w:t>
                </w:r>
              </w:p>
            </w:tc>
            <w:tc>
              <w:tcPr>
                <w:tcW w:w="2666" w:type="dxa"/>
              </w:tcPr>
              <w:p w14:paraId="770AB151" w14:textId="77777777" w:rsidR="00D464ED" w:rsidRPr="00070567" w:rsidRDefault="00D464ED" w:rsidP="00070567">
                <w:pPr>
                  <w:tabs>
                    <w:tab w:val="left" w:pos="2834"/>
                    <w:tab w:val="right" w:pos="8838"/>
                  </w:tabs>
                  <w:ind w:right="-105"/>
                  <w:rPr>
                    <w:rFonts w:ascii="Palatino Linotype" w:hAnsi="Palatino Linotype"/>
                    <w:lang w:val="es-MX"/>
                  </w:rPr>
                </w:pPr>
              </w:p>
            </w:tc>
          </w:tr>
        </w:tbl>
        <w:p w14:paraId="194B6515" w14:textId="77777777" w:rsidR="00D464ED" w:rsidRPr="00070567" w:rsidRDefault="00D464ED" w:rsidP="00070567">
          <w:pPr>
            <w:tabs>
              <w:tab w:val="left" w:pos="2834"/>
              <w:tab w:val="right" w:pos="8838"/>
            </w:tabs>
            <w:spacing w:after="0" w:line="240" w:lineRule="auto"/>
            <w:ind w:right="-105"/>
            <w:rPr>
              <w:rFonts w:ascii="Palatino Linotype" w:hAnsi="Palatino Linotype"/>
            </w:rPr>
          </w:pPr>
        </w:p>
      </w:tc>
    </w:tr>
  </w:tbl>
  <w:p w14:paraId="2DDF9C0C" w14:textId="54F1F9CC" w:rsidR="00D464ED" w:rsidRDefault="00D464E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A0" w:firstRow="1" w:lastRow="0" w:firstColumn="1" w:lastColumn="0" w:noHBand="0" w:noVBand="1"/>
    </w:tblPr>
    <w:tblGrid>
      <w:gridCol w:w="2127"/>
      <w:gridCol w:w="7512"/>
    </w:tblGrid>
    <w:tr w:rsidR="00D464ED" w:rsidRPr="008C644E" w14:paraId="042A248B" w14:textId="77777777" w:rsidTr="00D2129C">
      <w:trPr>
        <w:trHeight w:val="1435"/>
      </w:trPr>
      <w:tc>
        <w:tcPr>
          <w:tcW w:w="2127" w:type="dxa"/>
        </w:tcPr>
        <w:p w14:paraId="54052BEF" w14:textId="02620B47" w:rsidR="00D464ED" w:rsidRPr="008C644E" w:rsidRDefault="00D464ED" w:rsidP="00D2129C">
          <w:pPr>
            <w:pStyle w:val="Encabezado"/>
          </w:pPr>
        </w:p>
      </w:tc>
      <w:tc>
        <w:tcPr>
          <w:tcW w:w="7512" w:type="dxa"/>
          <w:hideMark/>
        </w:tcPr>
        <w:tbl>
          <w:tblPr>
            <w:tblStyle w:val="Tablaconcuadrcula"/>
            <w:tblW w:w="13466" w:type="dxa"/>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4111"/>
            <w:gridCol w:w="3402"/>
            <w:gridCol w:w="3402"/>
          </w:tblGrid>
          <w:tr w:rsidR="00D464ED" w:rsidRPr="008C644E" w14:paraId="329509FD" w14:textId="77777777" w:rsidTr="00127149">
            <w:trPr>
              <w:trHeight w:val="144"/>
            </w:trPr>
            <w:tc>
              <w:tcPr>
                <w:tcW w:w="2551" w:type="dxa"/>
                <w:hideMark/>
              </w:tcPr>
              <w:p w14:paraId="657354E7" w14:textId="77777777" w:rsidR="00D464ED" w:rsidRPr="008C644E" w:rsidRDefault="00D464ED" w:rsidP="00D2129C">
                <w:pPr>
                  <w:pStyle w:val="Encabezado"/>
                  <w:rPr>
                    <w:b/>
                  </w:rPr>
                </w:pPr>
                <w:r w:rsidRPr="008C644E">
                  <w:rPr>
                    <w:b/>
                  </w:rPr>
                  <w:t>Recurso de Revisión:</w:t>
                </w:r>
              </w:p>
            </w:tc>
            <w:tc>
              <w:tcPr>
                <w:tcW w:w="4111" w:type="dxa"/>
                <w:hideMark/>
              </w:tcPr>
              <w:p w14:paraId="148CFD09" w14:textId="17E10A28" w:rsidR="00D464ED" w:rsidRPr="00EB23CB" w:rsidRDefault="00D464ED" w:rsidP="00D2129C">
                <w:pPr>
                  <w:pStyle w:val="Encabezado"/>
                </w:pPr>
                <w:r w:rsidRPr="002D3E61">
                  <w:rPr>
                    <w:rFonts w:eastAsia="Calibri" w:cs="Tahoma"/>
                    <w:lang w:val="es-MX"/>
                  </w:rPr>
                  <w:t>01861/INFOEM/ICR-33/IP/RR/2025</w:t>
                </w:r>
              </w:p>
            </w:tc>
            <w:tc>
              <w:tcPr>
                <w:tcW w:w="3402" w:type="dxa"/>
              </w:tcPr>
              <w:p w14:paraId="7FD3F0F2" w14:textId="77777777" w:rsidR="00D464ED" w:rsidRPr="008C644E" w:rsidRDefault="00D464ED" w:rsidP="00D2129C">
                <w:pPr>
                  <w:pStyle w:val="Encabezado"/>
                  <w:rPr>
                    <w:bCs/>
                  </w:rPr>
                </w:pPr>
              </w:p>
            </w:tc>
            <w:tc>
              <w:tcPr>
                <w:tcW w:w="3402" w:type="dxa"/>
              </w:tcPr>
              <w:p w14:paraId="00CF7A57" w14:textId="77777777" w:rsidR="00D464ED" w:rsidRPr="008C644E" w:rsidRDefault="00D464ED" w:rsidP="00D2129C">
                <w:pPr>
                  <w:pStyle w:val="Encabezado"/>
                  <w:rPr>
                    <w:bCs/>
                  </w:rPr>
                </w:pPr>
              </w:p>
            </w:tc>
          </w:tr>
          <w:tr w:rsidR="00D464ED" w:rsidRPr="008C644E" w14:paraId="3CCE18DE" w14:textId="77777777" w:rsidTr="00127149">
            <w:trPr>
              <w:trHeight w:val="144"/>
            </w:trPr>
            <w:tc>
              <w:tcPr>
                <w:tcW w:w="2551" w:type="dxa"/>
                <w:hideMark/>
              </w:tcPr>
              <w:p w14:paraId="1AACF319" w14:textId="77777777" w:rsidR="00D464ED" w:rsidRPr="008C644E" w:rsidRDefault="00D464ED" w:rsidP="00D2129C">
                <w:pPr>
                  <w:pStyle w:val="Encabezado"/>
                  <w:rPr>
                    <w:b/>
                  </w:rPr>
                </w:pPr>
                <w:r w:rsidRPr="008C644E">
                  <w:rPr>
                    <w:b/>
                  </w:rPr>
                  <w:t>Recurrente:</w:t>
                </w:r>
              </w:p>
            </w:tc>
            <w:tc>
              <w:tcPr>
                <w:tcW w:w="4111" w:type="dxa"/>
              </w:tcPr>
              <w:p w14:paraId="77F6D04C" w14:textId="2E24FA3C" w:rsidR="00D464ED" w:rsidRPr="008C644E" w:rsidRDefault="00154811" w:rsidP="00D2129C">
                <w:pPr>
                  <w:pStyle w:val="Encabezado"/>
                </w:pPr>
                <w:r w:rsidRPr="00154811">
                  <w:rPr>
                    <w:rFonts w:eastAsia="Calibri" w:cs="Tahoma"/>
                    <w:highlight w:val="black"/>
                    <w:lang w:val="es-MX"/>
                  </w:rPr>
                  <w:t>XXXXXXX</w:t>
                </w:r>
              </w:p>
            </w:tc>
            <w:tc>
              <w:tcPr>
                <w:tcW w:w="3402" w:type="dxa"/>
              </w:tcPr>
              <w:p w14:paraId="52A1DD5F" w14:textId="77777777" w:rsidR="00D464ED" w:rsidRPr="008C644E" w:rsidRDefault="00D464ED" w:rsidP="00D2129C">
                <w:pPr>
                  <w:pStyle w:val="Encabezado"/>
                </w:pPr>
              </w:p>
            </w:tc>
            <w:tc>
              <w:tcPr>
                <w:tcW w:w="3402" w:type="dxa"/>
              </w:tcPr>
              <w:p w14:paraId="26B65B02" w14:textId="77777777" w:rsidR="00D464ED" w:rsidRPr="008C644E" w:rsidRDefault="00D464ED" w:rsidP="00D2129C">
                <w:pPr>
                  <w:pStyle w:val="Encabezado"/>
                </w:pPr>
              </w:p>
            </w:tc>
          </w:tr>
          <w:tr w:rsidR="00D464ED" w:rsidRPr="008C644E" w14:paraId="0029EF15" w14:textId="77777777" w:rsidTr="00127149">
            <w:trPr>
              <w:trHeight w:val="283"/>
            </w:trPr>
            <w:tc>
              <w:tcPr>
                <w:tcW w:w="2551" w:type="dxa"/>
                <w:hideMark/>
              </w:tcPr>
              <w:p w14:paraId="499CDEE1" w14:textId="77777777" w:rsidR="00D464ED" w:rsidRPr="008C644E" w:rsidRDefault="00D464ED" w:rsidP="00D2129C">
                <w:pPr>
                  <w:pStyle w:val="Encabezado"/>
                  <w:rPr>
                    <w:b/>
                  </w:rPr>
                </w:pPr>
                <w:r w:rsidRPr="008C644E">
                  <w:rPr>
                    <w:b/>
                  </w:rPr>
                  <w:t>Sujeto Obligado:</w:t>
                </w:r>
              </w:p>
            </w:tc>
            <w:tc>
              <w:tcPr>
                <w:tcW w:w="4111" w:type="dxa"/>
                <w:hideMark/>
              </w:tcPr>
              <w:p w14:paraId="221F3C9A" w14:textId="3DFE4645" w:rsidR="00D464ED" w:rsidRPr="008C644E" w:rsidRDefault="00D464ED" w:rsidP="00D2129C">
                <w:pPr>
                  <w:pStyle w:val="Encabezado"/>
                </w:pPr>
                <w:r>
                  <w:rPr>
                    <w:rFonts w:eastAsia="Calibri" w:cs="Tahoma"/>
                    <w:lang w:val="es-MX"/>
                  </w:rPr>
                  <w:t>Ayuntamiento de la Paz</w:t>
                </w:r>
              </w:p>
            </w:tc>
            <w:tc>
              <w:tcPr>
                <w:tcW w:w="3402" w:type="dxa"/>
              </w:tcPr>
              <w:p w14:paraId="236491C6" w14:textId="77777777" w:rsidR="00D464ED" w:rsidRPr="008C644E" w:rsidRDefault="00D464ED" w:rsidP="00D2129C">
                <w:pPr>
                  <w:pStyle w:val="Encabezado"/>
                </w:pPr>
              </w:p>
            </w:tc>
            <w:tc>
              <w:tcPr>
                <w:tcW w:w="3402" w:type="dxa"/>
              </w:tcPr>
              <w:p w14:paraId="64392AC0" w14:textId="77777777" w:rsidR="00D464ED" w:rsidRPr="008C644E" w:rsidRDefault="00D464ED" w:rsidP="00D2129C">
                <w:pPr>
                  <w:pStyle w:val="Encabezado"/>
                </w:pPr>
              </w:p>
            </w:tc>
          </w:tr>
          <w:tr w:rsidR="00D464ED" w:rsidRPr="008C644E" w14:paraId="0E2527F8" w14:textId="77777777" w:rsidTr="00127149">
            <w:trPr>
              <w:trHeight w:val="283"/>
            </w:trPr>
            <w:tc>
              <w:tcPr>
                <w:tcW w:w="2551" w:type="dxa"/>
                <w:hideMark/>
              </w:tcPr>
              <w:p w14:paraId="63C5983F" w14:textId="77777777" w:rsidR="00D464ED" w:rsidRPr="008C644E" w:rsidRDefault="00D464ED" w:rsidP="00D2129C">
                <w:pPr>
                  <w:pStyle w:val="Encabezado"/>
                  <w:rPr>
                    <w:b/>
                  </w:rPr>
                </w:pPr>
                <w:r w:rsidRPr="008C644E">
                  <w:rPr>
                    <w:b/>
                  </w:rPr>
                  <w:t xml:space="preserve">Comisionado Ponente: </w:t>
                </w:r>
              </w:p>
            </w:tc>
            <w:tc>
              <w:tcPr>
                <w:tcW w:w="4111" w:type="dxa"/>
                <w:hideMark/>
              </w:tcPr>
              <w:p w14:paraId="1F61C7C4" w14:textId="77777777" w:rsidR="00D464ED" w:rsidRDefault="00D464ED" w:rsidP="00D2129C">
                <w:pPr>
                  <w:pStyle w:val="Encabezado"/>
                </w:pPr>
                <w:r w:rsidRPr="008C644E">
                  <w:t>Luis Gustavo Parra Noriega</w:t>
                </w:r>
              </w:p>
              <w:p w14:paraId="2E6E9BC1" w14:textId="77777777" w:rsidR="00D464ED" w:rsidRPr="008C644E" w:rsidRDefault="00D464ED" w:rsidP="00D2129C">
                <w:pPr>
                  <w:pStyle w:val="Encabezado"/>
                  <w:rPr>
                    <w:b/>
                  </w:rPr>
                </w:pPr>
              </w:p>
            </w:tc>
            <w:tc>
              <w:tcPr>
                <w:tcW w:w="3402" w:type="dxa"/>
              </w:tcPr>
              <w:p w14:paraId="645A0E6F" w14:textId="77777777" w:rsidR="00D464ED" w:rsidRPr="008C644E" w:rsidRDefault="00D464ED" w:rsidP="00D2129C">
                <w:pPr>
                  <w:pStyle w:val="Encabezado"/>
                </w:pPr>
              </w:p>
            </w:tc>
            <w:tc>
              <w:tcPr>
                <w:tcW w:w="3402" w:type="dxa"/>
              </w:tcPr>
              <w:p w14:paraId="6DE89190" w14:textId="77777777" w:rsidR="00D464ED" w:rsidRPr="008C644E" w:rsidRDefault="00D464ED" w:rsidP="00D2129C">
                <w:pPr>
                  <w:pStyle w:val="Encabezado"/>
                </w:pPr>
              </w:p>
            </w:tc>
          </w:tr>
        </w:tbl>
        <w:p w14:paraId="427B02E0" w14:textId="77777777" w:rsidR="00D464ED" w:rsidRPr="008C644E" w:rsidRDefault="00D464ED" w:rsidP="00D2129C">
          <w:pPr>
            <w:pStyle w:val="Encabezado"/>
            <w:rPr>
              <w:b/>
            </w:rPr>
          </w:pPr>
        </w:p>
      </w:tc>
    </w:tr>
  </w:tbl>
  <w:p w14:paraId="5FC8A1D1" w14:textId="47FE5079" w:rsidR="00D464ED" w:rsidRDefault="00BF0756">
    <w:pPr>
      <w:pStyle w:val="Encabezado"/>
    </w:pPr>
    <w:r>
      <w:rPr>
        <w:noProof/>
      </w:rPr>
      <w:pict w14:anchorId="78015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2049" type="#_x0000_t75" alt="MARCA DE AGUA - HOJA RESOLUCIÓN" style="position:absolute;left:0;text-align:left;margin-left:-92.25pt;margin-top:-123.8pt;width:663.5pt;height:12in;z-index:-251655168;mso-wrap-edited:f;mso-width-percent:0;mso-height-percent:0;mso-position-horizontal-relative:margin;mso-position-vertical-relative:margin;mso-width-percent:0;mso-height-percent:0"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D9360AA"/>
    <w:multiLevelType w:val="hybridMultilevel"/>
    <w:tmpl w:val="6786E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B2AD1"/>
    <w:multiLevelType w:val="hybridMultilevel"/>
    <w:tmpl w:val="E85EEAB0"/>
    <w:lvl w:ilvl="0" w:tplc="12FE21AC">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D58AB102"/>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5C33CF"/>
    <w:multiLevelType w:val="hybridMultilevel"/>
    <w:tmpl w:val="89D4EE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726041"/>
    <w:multiLevelType w:val="hybridMultilevel"/>
    <w:tmpl w:val="C072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247C"/>
    <w:multiLevelType w:val="hybridMultilevel"/>
    <w:tmpl w:val="BB621E9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DC040D1"/>
    <w:multiLevelType w:val="hybridMultilevel"/>
    <w:tmpl w:val="6222303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A50BB9"/>
    <w:multiLevelType w:val="multilevel"/>
    <w:tmpl w:val="B568E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1" w15:restartNumberingAfterBreak="0">
    <w:nsid w:val="55FC5A7F"/>
    <w:multiLevelType w:val="hybridMultilevel"/>
    <w:tmpl w:val="20F6C5F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hint="default"/>
      </w:rPr>
    </w:lvl>
    <w:lvl w:ilvl="8" w:tplc="080A0005">
      <w:start w:val="1"/>
      <w:numFmt w:val="bullet"/>
      <w:lvlText w:val=""/>
      <w:lvlJc w:val="left"/>
      <w:pPr>
        <w:ind w:left="6540" w:hanging="360"/>
      </w:pPr>
      <w:rPr>
        <w:rFonts w:ascii="Wingdings" w:hAnsi="Wingdings" w:hint="default"/>
      </w:rPr>
    </w:lvl>
  </w:abstractNum>
  <w:abstractNum w:abstractNumId="22"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7E6AFE"/>
    <w:multiLevelType w:val="hybridMultilevel"/>
    <w:tmpl w:val="AB0C9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5297554"/>
    <w:multiLevelType w:val="multilevel"/>
    <w:tmpl w:val="B140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2247A2"/>
    <w:multiLevelType w:val="hybridMultilevel"/>
    <w:tmpl w:val="BF280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DEE73BC"/>
    <w:multiLevelType w:val="hybridMultilevel"/>
    <w:tmpl w:val="8ED61B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1"/>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4"/>
  </w:num>
  <w:num w:numId="12">
    <w:abstractNumId w:val="26"/>
  </w:num>
  <w:num w:numId="13">
    <w:abstractNumId w:val="1"/>
  </w:num>
  <w:num w:numId="14">
    <w:abstractNumId w:val="17"/>
  </w:num>
  <w:num w:numId="15">
    <w:abstractNumId w:val="0"/>
  </w:num>
  <w:num w:numId="16">
    <w:abstractNumId w:val="20"/>
  </w:num>
  <w:num w:numId="17">
    <w:abstractNumId w:val="7"/>
  </w:num>
  <w:num w:numId="18">
    <w:abstractNumId w:val="23"/>
  </w:num>
  <w:num w:numId="19">
    <w:abstractNumId w:val="9"/>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5"/>
  </w:num>
  <w:num w:numId="24">
    <w:abstractNumId w:val="15"/>
  </w:num>
  <w:num w:numId="25">
    <w:abstractNumId w:val="12"/>
  </w:num>
  <w:num w:numId="26">
    <w:abstractNumId w:val="1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8"/>
  </w:num>
  <w:num w:numId="31">
    <w:abstractNumId w:val="13"/>
  </w:num>
  <w:num w:numId="32">
    <w:abstractNumId w:val="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7C"/>
    <w:rsid w:val="00005927"/>
    <w:rsid w:val="00025381"/>
    <w:rsid w:val="00034962"/>
    <w:rsid w:val="000364D7"/>
    <w:rsid w:val="00060999"/>
    <w:rsid w:val="00063DF0"/>
    <w:rsid w:val="00067E8D"/>
    <w:rsid w:val="00070567"/>
    <w:rsid w:val="0009024E"/>
    <w:rsid w:val="000A7B4A"/>
    <w:rsid w:val="000E3C32"/>
    <w:rsid w:val="001132B8"/>
    <w:rsid w:val="00127149"/>
    <w:rsid w:val="00135272"/>
    <w:rsid w:val="00154811"/>
    <w:rsid w:val="00187577"/>
    <w:rsid w:val="0019635F"/>
    <w:rsid w:val="001A7875"/>
    <w:rsid w:val="001D0F5E"/>
    <w:rsid w:val="001D2FDF"/>
    <w:rsid w:val="001E33A0"/>
    <w:rsid w:val="0022600F"/>
    <w:rsid w:val="00247DC4"/>
    <w:rsid w:val="00250BA5"/>
    <w:rsid w:val="002A58EF"/>
    <w:rsid w:val="002C2E6B"/>
    <w:rsid w:val="002C794F"/>
    <w:rsid w:val="002D3E61"/>
    <w:rsid w:val="00312CB3"/>
    <w:rsid w:val="003140C2"/>
    <w:rsid w:val="00365121"/>
    <w:rsid w:val="003B168E"/>
    <w:rsid w:val="003D13C6"/>
    <w:rsid w:val="004020E6"/>
    <w:rsid w:val="004245FD"/>
    <w:rsid w:val="004340F5"/>
    <w:rsid w:val="00444B42"/>
    <w:rsid w:val="00462EA5"/>
    <w:rsid w:val="0046781E"/>
    <w:rsid w:val="004A4943"/>
    <w:rsid w:val="004E73A0"/>
    <w:rsid w:val="00547E04"/>
    <w:rsid w:val="00595CB5"/>
    <w:rsid w:val="005B329C"/>
    <w:rsid w:val="005D1AE2"/>
    <w:rsid w:val="005D2C97"/>
    <w:rsid w:val="005F51B1"/>
    <w:rsid w:val="005F52C2"/>
    <w:rsid w:val="005F6AEB"/>
    <w:rsid w:val="00603C50"/>
    <w:rsid w:val="00616985"/>
    <w:rsid w:val="0069284A"/>
    <w:rsid w:val="00694C17"/>
    <w:rsid w:val="006A10FC"/>
    <w:rsid w:val="006B2152"/>
    <w:rsid w:val="006B6FA3"/>
    <w:rsid w:val="006C26A0"/>
    <w:rsid w:val="006D2E5A"/>
    <w:rsid w:val="007127A8"/>
    <w:rsid w:val="00712900"/>
    <w:rsid w:val="00762A81"/>
    <w:rsid w:val="00797C7C"/>
    <w:rsid w:val="007E4B95"/>
    <w:rsid w:val="00812AAB"/>
    <w:rsid w:val="00823DD2"/>
    <w:rsid w:val="008302C9"/>
    <w:rsid w:val="00877ABF"/>
    <w:rsid w:val="0089141A"/>
    <w:rsid w:val="008A475C"/>
    <w:rsid w:val="008A66ED"/>
    <w:rsid w:val="008C598E"/>
    <w:rsid w:val="008C7056"/>
    <w:rsid w:val="008D205F"/>
    <w:rsid w:val="009170BB"/>
    <w:rsid w:val="00931099"/>
    <w:rsid w:val="00937CA9"/>
    <w:rsid w:val="009574DE"/>
    <w:rsid w:val="00962634"/>
    <w:rsid w:val="00992124"/>
    <w:rsid w:val="009950B0"/>
    <w:rsid w:val="009A7E6C"/>
    <w:rsid w:val="009D6261"/>
    <w:rsid w:val="009F58B8"/>
    <w:rsid w:val="00A12053"/>
    <w:rsid w:val="00A17EC9"/>
    <w:rsid w:val="00A266EF"/>
    <w:rsid w:val="00A378A4"/>
    <w:rsid w:val="00A501D1"/>
    <w:rsid w:val="00AE3D3F"/>
    <w:rsid w:val="00AE66ED"/>
    <w:rsid w:val="00B17A8D"/>
    <w:rsid w:val="00B37779"/>
    <w:rsid w:val="00B7212D"/>
    <w:rsid w:val="00B94F39"/>
    <w:rsid w:val="00BF0756"/>
    <w:rsid w:val="00C41BF2"/>
    <w:rsid w:val="00C42AAD"/>
    <w:rsid w:val="00C47267"/>
    <w:rsid w:val="00C57397"/>
    <w:rsid w:val="00C66B66"/>
    <w:rsid w:val="00C8157B"/>
    <w:rsid w:val="00C84110"/>
    <w:rsid w:val="00C87805"/>
    <w:rsid w:val="00CA3D8D"/>
    <w:rsid w:val="00CC13CF"/>
    <w:rsid w:val="00CD3385"/>
    <w:rsid w:val="00CD7059"/>
    <w:rsid w:val="00D014B4"/>
    <w:rsid w:val="00D15142"/>
    <w:rsid w:val="00D2129C"/>
    <w:rsid w:val="00D2665D"/>
    <w:rsid w:val="00D27FCB"/>
    <w:rsid w:val="00D35A55"/>
    <w:rsid w:val="00D37A8E"/>
    <w:rsid w:val="00D464ED"/>
    <w:rsid w:val="00D55E25"/>
    <w:rsid w:val="00D6009D"/>
    <w:rsid w:val="00D71AA9"/>
    <w:rsid w:val="00D81E4F"/>
    <w:rsid w:val="00D82647"/>
    <w:rsid w:val="00D867E6"/>
    <w:rsid w:val="00D933B3"/>
    <w:rsid w:val="00DB382F"/>
    <w:rsid w:val="00DC7CC2"/>
    <w:rsid w:val="00DF214D"/>
    <w:rsid w:val="00E03E14"/>
    <w:rsid w:val="00E75114"/>
    <w:rsid w:val="00E75C04"/>
    <w:rsid w:val="00E9532D"/>
    <w:rsid w:val="00EB71D4"/>
    <w:rsid w:val="00ED16D9"/>
    <w:rsid w:val="00ED4C03"/>
    <w:rsid w:val="00ED673B"/>
    <w:rsid w:val="00EE2EDD"/>
    <w:rsid w:val="00EE7BB6"/>
    <w:rsid w:val="00F12038"/>
    <w:rsid w:val="00F13075"/>
    <w:rsid w:val="00F165C1"/>
    <w:rsid w:val="00F66E9A"/>
    <w:rsid w:val="00FE1592"/>
    <w:rsid w:val="00FE2CDF"/>
    <w:rsid w:val="00FE3B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A648C4"/>
  <w15:chartTrackingRefBased/>
  <w15:docId w15:val="{405CC2E5-79A5-4CD3-B55D-BB24D607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797C7C"/>
  </w:style>
  <w:style w:type="paragraph" w:styleId="Encabezado">
    <w:name w:val="header"/>
    <w:basedOn w:val="Normal"/>
    <w:link w:val="EncabezadoCar"/>
    <w:uiPriority w:val="99"/>
    <w:unhideWhenUsed/>
    <w:rsid w:val="00797C7C"/>
    <w:pPr>
      <w:tabs>
        <w:tab w:val="center" w:pos="4419"/>
        <w:tab w:val="right" w:pos="8838"/>
      </w:tabs>
      <w:spacing w:after="0" w:line="240" w:lineRule="auto"/>
      <w:jc w:val="both"/>
    </w:pPr>
    <w:rPr>
      <w:rFonts w:ascii="Palatino Linotype" w:hAnsi="Palatino Linotype"/>
      <w:color w:val="000000" w:themeColor="text1"/>
      <w:kern w:val="0"/>
      <w14:ligatures w14:val="none"/>
    </w:rPr>
  </w:style>
  <w:style w:type="character" w:customStyle="1" w:styleId="EncabezadoCar">
    <w:name w:val="Encabezado Car"/>
    <w:basedOn w:val="Fuentedeprrafopredeter"/>
    <w:link w:val="Encabezado"/>
    <w:uiPriority w:val="99"/>
    <w:rsid w:val="00797C7C"/>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797C7C"/>
    <w:pPr>
      <w:tabs>
        <w:tab w:val="center" w:pos="4419"/>
        <w:tab w:val="right" w:pos="8838"/>
      </w:tabs>
      <w:spacing w:after="0" w:line="240" w:lineRule="auto"/>
      <w:jc w:val="both"/>
    </w:pPr>
    <w:rPr>
      <w:rFonts w:ascii="Palatino Linotype" w:hAnsi="Palatino Linotype"/>
      <w:color w:val="000000" w:themeColor="text1"/>
      <w:kern w:val="0"/>
      <w14:ligatures w14:val="none"/>
    </w:rPr>
  </w:style>
  <w:style w:type="character" w:customStyle="1" w:styleId="PiedepginaCar">
    <w:name w:val="Pie de página Car"/>
    <w:basedOn w:val="Fuentedeprrafopredeter"/>
    <w:link w:val="Piedepgina"/>
    <w:uiPriority w:val="99"/>
    <w:rsid w:val="00797C7C"/>
    <w:rPr>
      <w:rFonts w:ascii="Palatino Linotype" w:hAnsi="Palatino Linotype"/>
      <w:color w:val="000000" w:themeColor="text1"/>
      <w:kern w:val="0"/>
      <w14:ligatures w14:val="none"/>
    </w:rPr>
  </w:style>
  <w:style w:type="table" w:styleId="Tablaconcuadrcula">
    <w:name w:val="Table Grid"/>
    <w:basedOn w:val="Tablanormal"/>
    <w:uiPriority w:val="59"/>
    <w:rsid w:val="00797C7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797C7C"/>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7C"/>
    <w:pPr>
      <w:spacing w:after="0" w:line="240" w:lineRule="auto"/>
      <w:ind w:left="720"/>
      <w:contextualSpacing/>
    </w:pPr>
    <w:rPr>
      <w:rFonts w:ascii="Century Gothic" w:eastAsia="Times New Roman" w:hAnsi="Century Gothic" w:cs="Times New Roman"/>
      <w:szCs w:val="24"/>
      <w:lang w:eastAsia="es-ES"/>
    </w:rPr>
  </w:style>
  <w:style w:type="paragraph" w:styleId="NormalWeb">
    <w:name w:val="Normal (Web)"/>
    <w:basedOn w:val="Normal"/>
    <w:uiPriority w:val="99"/>
    <w:unhideWhenUsed/>
    <w:rsid w:val="00797C7C"/>
    <w:pPr>
      <w:jc w:val="both"/>
    </w:pPr>
    <w:rPr>
      <w:rFonts w:ascii="Times New Roman" w:hAnsi="Times New Roman" w:cs="Times New Roman"/>
      <w:color w:val="000000" w:themeColor="text1"/>
      <w:kern w:val="0"/>
      <w:sz w:val="24"/>
      <w:szCs w:val="24"/>
      <w14:ligatures w14:val="none"/>
    </w:rPr>
  </w:style>
  <w:style w:type="character" w:styleId="Hipervnculo">
    <w:name w:val="Hyperlink"/>
    <w:basedOn w:val="Fuentedeprrafopredeter"/>
    <w:uiPriority w:val="99"/>
    <w:unhideWhenUsed/>
    <w:rsid w:val="00797C7C"/>
    <w:rPr>
      <w:color w:val="0000FF"/>
      <w:u w:val="single"/>
    </w:rPr>
  </w:style>
  <w:style w:type="character" w:customStyle="1" w:styleId="Mencinsinresolver1">
    <w:name w:val="Mención sin resolver1"/>
    <w:basedOn w:val="Fuentedeprrafopredeter"/>
    <w:uiPriority w:val="99"/>
    <w:semiHidden/>
    <w:unhideWhenUsed/>
    <w:rsid w:val="00797C7C"/>
    <w:rPr>
      <w:color w:val="605E5C"/>
      <w:shd w:val="clear" w:color="auto" w:fill="E1DFDD"/>
    </w:rPr>
  </w:style>
  <w:style w:type="table" w:customStyle="1" w:styleId="Tablaconcuadrcula1">
    <w:name w:val="Tabla con cuadrícula1"/>
    <w:basedOn w:val="Tablanormal"/>
    <w:next w:val="Tablaconcuadrcula"/>
    <w:uiPriority w:val="59"/>
    <w:qFormat/>
    <w:rsid w:val="00797C7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797C7C"/>
    <w:rPr>
      <w:color w:val="605E5C"/>
      <w:shd w:val="clear" w:color="auto" w:fill="E1DFDD"/>
    </w:rPr>
  </w:style>
  <w:style w:type="table" w:customStyle="1" w:styleId="Tablaconcuadrcula2">
    <w:name w:val="Tabla con cuadrícula2"/>
    <w:basedOn w:val="Tablanormal"/>
    <w:next w:val="Tablaconcuadrcula"/>
    <w:uiPriority w:val="59"/>
    <w:qFormat/>
    <w:rsid w:val="00CA3D8D"/>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35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3451</Words>
  <Characters>18981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 Gs</dc:creator>
  <cp:keywords/>
  <dc:description/>
  <cp:lastModifiedBy>USUARIO</cp:lastModifiedBy>
  <cp:revision>2</cp:revision>
  <cp:lastPrinted>2025-08-22T17:22:00Z</cp:lastPrinted>
  <dcterms:created xsi:type="dcterms:W3CDTF">2025-09-11T23:35:00Z</dcterms:created>
  <dcterms:modified xsi:type="dcterms:W3CDTF">2025-09-11T23:35:00Z</dcterms:modified>
</cp:coreProperties>
</file>