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66C2" w14:textId="77777777" w:rsidR="004C57BE" w:rsidRDefault="004C57BE" w:rsidP="00595713">
      <w:pPr>
        <w:pStyle w:val="TtuloTDC"/>
        <w:spacing w:before="0" w:line="360" w:lineRule="auto"/>
        <w:jc w:val="center"/>
        <w:rPr>
          <w:rFonts w:ascii="Palatino Linotype" w:eastAsiaTheme="minorHAnsi" w:hAnsi="Palatino Linotype" w:cstheme="minorBidi"/>
          <w:color w:val="000000" w:themeColor="text1"/>
          <w:sz w:val="22"/>
          <w:szCs w:val="22"/>
          <w:lang w:val="es-ES" w:eastAsia="en-US"/>
        </w:rPr>
      </w:pPr>
    </w:p>
    <w:sdt>
      <w:sdtPr>
        <w:rPr>
          <w:rFonts w:ascii="Palatino Linotype" w:eastAsiaTheme="minorHAnsi" w:hAnsi="Palatino Linotype" w:cstheme="minorBidi"/>
          <w:color w:val="000000" w:themeColor="text1"/>
          <w:sz w:val="22"/>
          <w:szCs w:val="22"/>
          <w:lang w:val="es-ES" w:eastAsia="en-US"/>
        </w:rPr>
        <w:id w:val="1217700029"/>
        <w:docPartObj>
          <w:docPartGallery w:val="Table of Contents"/>
          <w:docPartUnique/>
        </w:docPartObj>
      </w:sdtPr>
      <w:sdtEndPr>
        <w:rPr>
          <w:b/>
          <w:bCs/>
        </w:rPr>
      </w:sdtEndPr>
      <w:sdtContent>
        <w:p w14:paraId="09C5D268" w14:textId="61CE0436" w:rsidR="001B0FD7" w:rsidRPr="005B4090" w:rsidRDefault="001B0FD7" w:rsidP="00595713">
          <w:pPr>
            <w:pStyle w:val="TtuloTDC"/>
            <w:spacing w:before="0" w:line="360" w:lineRule="auto"/>
            <w:jc w:val="center"/>
            <w:rPr>
              <w:rFonts w:ascii="Palatino Linotype" w:hAnsi="Palatino Linotype"/>
              <w:color w:val="auto"/>
              <w:sz w:val="22"/>
              <w:szCs w:val="22"/>
              <w:lang w:val="es-ES"/>
            </w:rPr>
          </w:pPr>
          <w:r w:rsidRPr="005B4090">
            <w:rPr>
              <w:rFonts w:ascii="Palatino Linotype" w:hAnsi="Palatino Linotype"/>
              <w:color w:val="auto"/>
              <w:sz w:val="22"/>
              <w:szCs w:val="22"/>
              <w:lang w:val="es-ES"/>
            </w:rPr>
            <w:t xml:space="preserve">RESOLUCIÓN DEL RECURSO DE REVISIÓN </w:t>
          </w:r>
          <w:r w:rsidR="006168DA" w:rsidRPr="005B4090">
            <w:rPr>
              <w:rFonts w:ascii="Palatino Linotype" w:hAnsi="Palatino Linotype"/>
              <w:color w:val="auto"/>
              <w:sz w:val="22"/>
              <w:szCs w:val="22"/>
              <w:lang w:val="es-ES"/>
            </w:rPr>
            <w:t>11446</w:t>
          </w:r>
          <w:r w:rsidR="00361461" w:rsidRPr="005B4090">
            <w:rPr>
              <w:rFonts w:ascii="Palatino Linotype" w:hAnsi="Palatino Linotype"/>
              <w:color w:val="auto"/>
              <w:sz w:val="22"/>
              <w:szCs w:val="22"/>
              <w:lang w:val="es-ES"/>
            </w:rPr>
            <w:t>/INFOEM/IP/RR/2025</w:t>
          </w:r>
          <w:r w:rsidR="00F01DD7" w:rsidRPr="005B4090">
            <w:rPr>
              <w:rFonts w:ascii="Palatino Linotype" w:hAnsi="Palatino Linotype"/>
              <w:color w:val="auto"/>
              <w:sz w:val="22"/>
              <w:szCs w:val="22"/>
              <w:lang w:val="es-ES"/>
            </w:rPr>
            <w:t xml:space="preserve"> </w:t>
          </w:r>
          <w:r w:rsidRPr="005B4090">
            <w:rPr>
              <w:rFonts w:ascii="Palatino Linotype" w:hAnsi="Palatino Linotype"/>
              <w:color w:val="auto"/>
              <w:sz w:val="22"/>
              <w:szCs w:val="22"/>
              <w:lang w:val="es-ES"/>
            </w:rPr>
            <w:t>Y ACUMULADO</w:t>
          </w:r>
          <w:r w:rsidR="008332C6" w:rsidRPr="005B4090">
            <w:rPr>
              <w:rFonts w:ascii="Palatino Linotype" w:hAnsi="Palatino Linotype"/>
              <w:color w:val="auto"/>
              <w:sz w:val="22"/>
              <w:szCs w:val="22"/>
              <w:lang w:val="es-ES"/>
            </w:rPr>
            <w:t>S</w:t>
          </w:r>
        </w:p>
        <w:p w14:paraId="456A141F" w14:textId="77777777" w:rsidR="000D3E96" w:rsidRPr="005B4090" w:rsidRDefault="000D3E96" w:rsidP="00595713">
          <w:pPr>
            <w:spacing w:after="0" w:line="360" w:lineRule="auto"/>
            <w:rPr>
              <w:lang w:val="es-ES" w:eastAsia="es-MX"/>
            </w:rPr>
          </w:pPr>
        </w:p>
        <w:p w14:paraId="127EC30E" w14:textId="44A806A5" w:rsidR="002B7007" w:rsidRPr="005B4090" w:rsidRDefault="001B0FD7" w:rsidP="00595713">
          <w:pPr>
            <w:pStyle w:val="TDC1"/>
            <w:tabs>
              <w:tab w:val="right" w:leader="dot" w:pos="8921"/>
            </w:tabs>
            <w:spacing w:after="0" w:line="360" w:lineRule="auto"/>
            <w:rPr>
              <w:rFonts w:asciiTheme="minorHAnsi" w:eastAsiaTheme="minorEastAsia" w:hAnsiTheme="minorHAnsi"/>
              <w:noProof/>
              <w:color w:val="auto"/>
              <w:lang w:eastAsia="es-MX"/>
            </w:rPr>
          </w:pPr>
          <w:r w:rsidRPr="005B4090">
            <w:fldChar w:fldCharType="begin"/>
          </w:r>
          <w:r w:rsidRPr="005B4090">
            <w:instrText xml:space="preserve"> TOC \o "1-3" \h \z \u </w:instrText>
          </w:r>
          <w:r w:rsidRPr="005B4090">
            <w:fldChar w:fldCharType="separate"/>
          </w:r>
          <w:hyperlink w:anchor="_Toc212028278" w:history="1">
            <w:r w:rsidR="002B7007" w:rsidRPr="005B4090">
              <w:rPr>
                <w:rStyle w:val="Hipervnculo"/>
                <w:noProof/>
              </w:rPr>
              <w:t>A N T E C E D E N T E S</w:t>
            </w:r>
            <w:r w:rsidR="002B7007" w:rsidRPr="005B4090">
              <w:rPr>
                <w:noProof/>
                <w:webHidden/>
              </w:rPr>
              <w:tab/>
            </w:r>
            <w:r w:rsidR="002B7007" w:rsidRPr="005B4090">
              <w:rPr>
                <w:noProof/>
                <w:webHidden/>
              </w:rPr>
              <w:fldChar w:fldCharType="begin"/>
            </w:r>
            <w:r w:rsidR="002B7007" w:rsidRPr="005B4090">
              <w:rPr>
                <w:noProof/>
                <w:webHidden/>
              </w:rPr>
              <w:instrText xml:space="preserve"> PAGEREF _Toc212028278 \h </w:instrText>
            </w:r>
            <w:r w:rsidR="002B7007" w:rsidRPr="005B4090">
              <w:rPr>
                <w:noProof/>
                <w:webHidden/>
              </w:rPr>
            </w:r>
            <w:r w:rsidR="002B7007" w:rsidRPr="005B4090">
              <w:rPr>
                <w:noProof/>
                <w:webHidden/>
              </w:rPr>
              <w:fldChar w:fldCharType="separate"/>
            </w:r>
            <w:r w:rsidR="00CB0470">
              <w:rPr>
                <w:noProof/>
                <w:webHidden/>
              </w:rPr>
              <w:t>2</w:t>
            </w:r>
            <w:r w:rsidR="002B7007" w:rsidRPr="005B4090">
              <w:rPr>
                <w:noProof/>
                <w:webHidden/>
              </w:rPr>
              <w:fldChar w:fldCharType="end"/>
            </w:r>
          </w:hyperlink>
        </w:p>
        <w:p w14:paraId="240DA164" w14:textId="7BDDF1BA"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79" w:history="1">
            <w:r w:rsidRPr="005B4090">
              <w:rPr>
                <w:rStyle w:val="Hipervnculo"/>
                <w:noProof/>
              </w:rPr>
              <w:t>I. Presentación de las solicitudes de información</w:t>
            </w:r>
            <w:r w:rsidRPr="005B4090">
              <w:rPr>
                <w:noProof/>
                <w:webHidden/>
              </w:rPr>
              <w:tab/>
            </w:r>
            <w:r w:rsidRPr="005B4090">
              <w:rPr>
                <w:noProof/>
                <w:webHidden/>
              </w:rPr>
              <w:fldChar w:fldCharType="begin"/>
            </w:r>
            <w:r w:rsidRPr="005B4090">
              <w:rPr>
                <w:noProof/>
                <w:webHidden/>
              </w:rPr>
              <w:instrText xml:space="preserve"> PAGEREF _Toc212028279 \h </w:instrText>
            </w:r>
            <w:r w:rsidRPr="005B4090">
              <w:rPr>
                <w:noProof/>
                <w:webHidden/>
              </w:rPr>
            </w:r>
            <w:r w:rsidRPr="005B4090">
              <w:rPr>
                <w:noProof/>
                <w:webHidden/>
              </w:rPr>
              <w:fldChar w:fldCharType="separate"/>
            </w:r>
            <w:r w:rsidR="00CB0470">
              <w:rPr>
                <w:noProof/>
                <w:webHidden/>
              </w:rPr>
              <w:t>2</w:t>
            </w:r>
            <w:r w:rsidRPr="005B4090">
              <w:rPr>
                <w:noProof/>
                <w:webHidden/>
              </w:rPr>
              <w:fldChar w:fldCharType="end"/>
            </w:r>
          </w:hyperlink>
        </w:p>
        <w:p w14:paraId="39F540BC" w14:textId="552D9AA1"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0" w:history="1">
            <w:r w:rsidRPr="005B4090">
              <w:rPr>
                <w:rStyle w:val="Hipervnculo"/>
                <w:rFonts w:eastAsia="Calibri"/>
                <w:bCs/>
                <w:noProof/>
              </w:rPr>
              <w:t>II. Prórroga para atender las solicitudes de información</w:t>
            </w:r>
            <w:r w:rsidRPr="005B4090">
              <w:rPr>
                <w:noProof/>
                <w:webHidden/>
              </w:rPr>
              <w:tab/>
            </w:r>
            <w:r w:rsidRPr="005B4090">
              <w:rPr>
                <w:noProof/>
                <w:webHidden/>
              </w:rPr>
              <w:fldChar w:fldCharType="begin"/>
            </w:r>
            <w:r w:rsidRPr="005B4090">
              <w:rPr>
                <w:noProof/>
                <w:webHidden/>
              </w:rPr>
              <w:instrText xml:space="preserve"> PAGEREF _Toc212028280 \h </w:instrText>
            </w:r>
            <w:r w:rsidRPr="005B4090">
              <w:rPr>
                <w:noProof/>
                <w:webHidden/>
              </w:rPr>
              <w:fldChar w:fldCharType="separate"/>
            </w:r>
            <w:r w:rsidR="00CB0470">
              <w:rPr>
                <w:b/>
                <w:bCs/>
                <w:noProof/>
                <w:webHidden/>
                <w:lang w:val="es-ES"/>
              </w:rPr>
              <w:t>¡Error! Marcador no definido.</w:t>
            </w:r>
            <w:r w:rsidRPr="005B4090">
              <w:rPr>
                <w:noProof/>
                <w:webHidden/>
              </w:rPr>
              <w:fldChar w:fldCharType="end"/>
            </w:r>
          </w:hyperlink>
        </w:p>
        <w:p w14:paraId="10C14A1C" w14:textId="679CB33E"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1" w:history="1">
            <w:r w:rsidRPr="005B4090">
              <w:rPr>
                <w:rStyle w:val="Hipervnculo"/>
                <w:rFonts w:eastAsia="Calibri"/>
                <w:noProof/>
              </w:rPr>
              <w:t>III. Respuesta del Sujeto Obligado</w:t>
            </w:r>
            <w:r w:rsidRPr="005B4090">
              <w:rPr>
                <w:noProof/>
                <w:webHidden/>
              </w:rPr>
              <w:tab/>
            </w:r>
            <w:r w:rsidRPr="005B4090">
              <w:rPr>
                <w:noProof/>
                <w:webHidden/>
              </w:rPr>
              <w:fldChar w:fldCharType="begin"/>
            </w:r>
            <w:r w:rsidRPr="005B4090">
              <w:rPr>
                <w:noProof/>
                <w:webHidden/>
              </w:rPr>
              <w:instrText xml:space="preserve"> PAGEREF _Toc212028281 \h </w:instrText>
            </w:r>
            <w:r w:rsidRPr="005B4090">
              <w:rPr>
                <w:noProof/>
                <w:webHidden/>
              </w:rPr>
            </w:r>
            <w:r w:rsidRPr="005B4090">
              <w:rPr>
                <w:noProof/>
                <w:webHidden/>
              </w:rPr>
              <w:fldChar w:fldCharType="separate"/>
            </w:r>
            <w:r w:rsidR="00CB0470">
              <w:rPr>
                <w:noProof/>
                <w:webHidden/>
              </w:rPr>
              <w:t>3</w:t>
            </w:r>
            <w:r w:rsidRPr="005B4090">
              <w:rPr>
                <w:noProof/>
                <w:webHidden/>
              </w:rPr>
              <w:fldChar w:fldCharType="end"/>
            </w:r>
          </w:hyperlink>
        </w:p>
        <w:p w14:paraId="6244D788" w14:textId="57F183CD"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2" w:history="1">
            <w:r w:rsidRPr="005B4090">
              <w:rPr>
                <w:rStyle w:val="Hipervnculo"/>
                <w:rFonts w:eastAsia="Calibri"/>
                <w:noProof/>
              </w:rPr>
              <w:t>IV. Interposición del Recurso de Revisión</w:t>
            </w:r>
            <w:r w:rsidRPr="005B4090">
              <w:rPr>
                <w:noProof/>
                <w:webHidden/>
              </w:rPr>
              <w:tab/>
            </w:r>
            <w:r w:rsidRPr="005B4090">
              <w:rPr>
                <w:noProof/>
                <w:webHidden/>
              </w:rPr>
              <w:fldChar w:fldCharType="begin"/>
            </w:r>
            <w:r w:rsidRPr="005B4090">
              <w:rPr>
                <w:noProof/>
                <w:webHidden/>
              </w:rPr>
              <w:instrText xml:space="preserve"> PAGEREF _Toc212028282 \h </w:instrText>
            </w:r>
            <w:r w:rsidRPr="005B4090">
              <w:rPr>
                <w:noProof/>
                <w:webHidden/>
              </w:rPr>
            </w:r>
            <w:r w:rsidRPr="005B4090">
              <w:rPr>
                <w:noProof/>
                <w:webHidden/>
              </w:rPr>
              <w:fldChar w:fldCharType="separate"/>
            </w:r>
            <w:r w:rsidR="00CB0470">
              <w:rPr>
                <w:noProof/>
                <w:webHidden/>
              </w:rPr>
              <w:t>4</w:t>
            </w:r>
            <w:r w:rsidRPr="005B4090">
              <w:rPr>
                <w:noProof/>
                <w:webHidden/>
              </w:rPr>
              <w:fldChar w:fldCharType="end"/>
            </w:r>
          </w:hyperlink>
        </w:p>
        <w:p w14:paraId="060D6190" w14:textId="0C6DB6FB"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3" w:history="1">
            <w:r w:rsidRPr="005B4090">
              <w:rPr>
                <w:rStyle w:val="Hipervnculo"/>
                <w:rFonts w:eastAsia="Calibri"/>
                <w:noProof/>
              </w:rPr>
              <w:t xml:space="preserve">V. </w:t>
            </w:r>
            <w:r w:rsidRPr="005B4090">
              <w:rPr>
                <w:rStyle w:val="Hipervnculo"/>
                <w:rFonts w:eastAsia="Batang"/>
                <w:noProof/>
              </w:rPr>
              <w:t>Trámite de los Recursos de Revisión</w:t>
            </w:r>
            <w:r w:rsidRPr="005B4090">
              <w:rPr>
                <w:rStyle w:val="Hipervnculo"/>
                <w:rFonts w:eastAsia="Calibri"/>
                <w:noProof/>
              </w:rPr>
              <w:t xml:space="preserve"> </w:t>
            </w:r>
            <w:r w:rsidRPr="005B4090">
              <w:rPr>
                <w:rStyle w:val="Hipervnculo"/>
                <w:rFonts w:eastAsia="Batang"/>
                <w:noProof/>
              </w:rPr>
              <w:t>ante este Instituto</w:t>
            </w:r>
            <w:r w:rsidRPr="005B4090">
              <w:rPr>
                <w:noProof/>
                <w:webHidden/>
              </w:rPr>
              <w:tab/>
            </w:r>
            <w:r w:rsidRPr="005B4090">
              <w:rPr>
                <w:noProof/>
                <w:webHidden/>
              </w:rPr>
              <w:fldChar w:fldCharType="begin"/>
            </w:r>
            <w:r w:rsidRPr="005B4090">
              <w:rPr>
                <w:noProof/>
                <w:webHidden/>
              </w:rPr>
              <w:instrText xml:space="preserve"> PAGEREF _Toc212028283 \h </w:instrText>
            </w:r>
            <w:r w:rsidRPr="005B4090">
              <w:rPr>
                <w:noProof/>
                <w:webHidden/>
              </w:rPr>
            </w:r>
            <w:r w:rsidRPr="005B4090">
              <w:rPr>
                <w:noProof/>
                <w:webHidden/>
              </w:rPr>
              <w:fldChar w:fldCharType="separate"/>
            </w:r>
            <w:r w:rsidR="00CB0470">
              <w:rPr>
                <w:noProof/>
                <w:webHidden/>
              </w:rPr>
              <w:t>5</w:t>
            </w:r>
            <w:r w:rsidRPr="005B4090">
              <w:rPr>
                <w:noProof/>
                <w:webHidden/>
              </w:rPr>
              <w:fldChar w:fldCharType="end"/>
            </w:r>
          </w:hyperlink>
        </w:p>
        <w:p w14:paraId="4A648D08" w14:textId="01F14280" w:rsidR="002B7007" w:rsidRPr="005B4090" w:rsidRDefault="002B7007" w:rsidP="00595713">
          <w:pPr>
            <w:pStyle w:val="TDC1"/>
            <w:tabs>
              <w:tab w:val="right" w:leader="dot" w:pos="8921"/>
            </w:tabs>
            <w:spacing w:after="0" w:line="360" w:lineRule="auto"/>
            <w:rPr>
              <w:rFonts w:asciiTheme="minorHAnsi" w:eastAsiaTheme="minorEastAsia" w:hAnsiTheme="minorHAnsi"/>
              <w:noProof/>
              <w:color w:val="auto"/>
              <w:lang w:eastAsia="es-MX"/>
            </w:rPr>
          </w:pPr>
          <w:hyperlink w:anchor="_Toc212028284" w:history="1">
            <w:r w:rsidRPr="005B4090">
              <w:rPr>
                <w:rStyle w:val="Hipervnculo"/>
                <w:noProof/>
                <w:lang w:val="es-ES"/>
              </w:rPr>
              <w:t>CONSIDERANDOS</w:t>
            </w:r>
            <w:r w:rsidRPr="005B4090">
              <w:rPr>
                <w:noProof/>
                <w:webHidden/>
              </w:rPr>
              <w:tab/>
            </w:r>
            <w:r w:rsidRPr="005B4090">
              <w:rPr>
                <w:noProof/>
                <w:webHidden/>
              </w:rPr>
              <w:fldChar w:fldCharType="begin"/>
            </w:r>
            <w:r w:rsidRPr="005B4090">
              <w:rPr>
                <w:noProof/>
                <w:webHidden/>
              </w:rPr>
              <w:instrText xml:space="preserve"> PAGEREF _Toc212028284 \h </w:instrText>
            </w:r>
            <w:r w:rsidRPr="005B4090">
              <w:rPr>
                <w:noProof/>
                <w:webHidden/>
              </w:rPr>
            </w:r>
            <w:r w:rsidRPr="005B4090">
              <w:rPr>
                <w:noProof/>
                <w:webHidden/>
              </w:rPr>
              <w:fldChar w:fldCharType="separate"/>
            </w:r>
            <w:r w:rsidR="00CB0470">
              <w:rPr>
                <w:noProof/>
                <w:webHidden/>
              </w:rPr>
              <w:t>7</w:t>
            </w:r>
            <w:r w:rsidRPr="005B4090">
              <w:rPr>
                <w:noProof/>
                <w:webHidden/>
              </w:rPr>
              <w:fldChar w:fldCharType="end"/>
            </w:r>
          </w:hyperlink>
        </w:p>
        <w:p w14:paraId="0E833CD5" w14:textId="10E6F36F"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5" w:history="1">
            <w:r w:rsidRPr="005B4090">
              <w:rPr>
                <w:rStyle w:val="Hipervnculo"/>
                <w:rFonts w:eastAsia="Calibri"/>
                <w:noProof/>
                <w:lang w:val="es-ES" w:eastAsia="es-MX"/>
              </w:rPr>
              <w:t xml:space="preserve">PRIMERO. </w:t>
            </w:r>
            <w:r w:rsidRPr="005B4090">
              <w:rPr>
                <w:rStyle w:val="Hipervnculo"/>
                <w:noProof/>
                <w:lang w:val="es-ES"/>
              </w:rPr>
              <w:t>Competencia</w:t>
            </w:r>
            <w:r w:rsidRPr="005B4090">
              <w:rPr>
                <w:noProof/>
                <w:webHidden/>
              </w:rPr>
              <w:tab/>
            </w:r>
            <w:r w:rsidRPr="005B4090">
              <w:rPr>
                <w:noProof/>
                <w:webHidden/>
              </w:rPr>
              <w:fldChar w:fldCharType="begin"/>
            </w:r>
            <w:r w:rsidRPr="005B4090">
              <w:rPr>
                <w:noProof/>
                <w:webHidden/>
              </w:rPr>
              <w:instrText xml:space="preserve"> PAGEREF _Toc212028285 \h </w:instrText>
            </w:r>
            <w:r w:rsidRPr="005B4090">
              <w:rPr>
                <w:noProof/>
                <w:webHidden/>
              </w:rPr>
            </w:r>
            <w:r w:rsidRPr="005B4090">
              <w:rPr>
                <w:noProof/>
                <w:webHidden/>
              </w:rPr>
              <w:fldChar w:fldCharType="separate"/>
            </w:r>
            <w:r w:rsidR="00CB0470">
              <w:rPr>
                <w:noProof/>
                <w:webHidden/>
              </w:rPr>
              <w:t>7</w:t>
            </w:r>
            <w:r w:rsidRPr="005B4090">
              <w:rPr>
                <w:noProof/>
                <w:webHidden/>
              </w:rPr>
              <w:fldChar w:fldCharType="end"/>
            </w:r>
          </w:hyperlink>
        </w:p>
        <w:p w14:paraId="5BC17172" w14:textId="61F9A3FB"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6" w:history="1">
            <w:r w:rsidRPr="005B4090">
              <w:rPr>
                <w:rStyle w:val="Hipervnculo"/>
                <w:rFonts w:eastAsia="Calibri"/>
                <w:noProof/>
                <w:lang w:val="es-ES" w:eastAsia="es-MX"/>
              </w:rPr>
              <w:t xml:space="preserve">SEGUNDO. </w:t>
            </w:r>
            <w:r w:rsidRPr="005B4090">
              <w:rPr>
                <w:rStyle w:val="Hipervnculo"/>
                <w:noProof/>
                <w:lang w:val="es-ES"/>
              </w:rPr>
              <w:t>Causales de improcedencia y sobreseimiento</w:t>
            </w:r>
            <w:r w:rsidRPr="005B4090">
              <w:rPr>
                <w:noProof/>
                <w:webHidden/>
              </w:rPr>
              <w:tab/>
            </w:r>
            <w:r w:rsidRPr="005B4090">
              <w:rPr>
                <w:noProof/>
                <w:webHidden/>
              </w:rPr>
              <w:fldChar w:fldCharType="begin"/>
            </w:r>
            <w:r w:rsidRPr="005B4090">
              <w:rPr>
                <w:noProof/>
                <w:webHidden/>
              </w:rPr>
              <w:instrText xml:space="preserve"> PAGEREF _Toc212028286 \h </w:instrText>
            </w:r>
            <w:r w:rsidRPr="005B4090">
              <w:rPr>
                <w:noProof/>
                <w:webHidden/>
              </w:rPr>
            </w:r>
            <w:r w:rsidRPr="005B4090">
              <w:rPr>
                <w:noProof/>
                <w:webHidden/>
              </w:rPr>
              <w:fldChar w:fldCharType="separate"/>
            </w:r>
            <w:r w:rsidR="00CB0470">
              <w:rPr>
                <w:noProof/>
                <w:webHidden/>
              </w:rPr>
              <w:t>8</w:t>
            </w:r>
            <w:r w:rsidRPr="005B4090">
              <w:rPr>
                <w:noProof/>
                <w:webHidden/>
              </w:rPr>
              <w:fldChar w:fldCharType="end"/>
            </w:r>
          </w:hyperlink>
        </w:p>
        <w:p w14:paraId="272A19DA" w14:textId="542AEDE8"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7" w:history="1">
            <w:r w:rsidRPr="005B4090">
              <w:rPr>
                <w:rStyle w:val="Hipervnculo"/>
                <w:rFonts w:eastAsia="Calibri"/>
                <w:noProof/>
                <w:lang w:val="es-ES" w:eastAsia="es-ES_tradnl"/>
              </w:rPr>
              <w:t>TERCERO. Determinación de la Controversia</w:t>
            </w:r>
            <w:r w:rsidRPr="005B4090">
              <w:rPr>
                <w:noProof/>
                <w:webHidden/>
              </w:rPr>
              <w:tab/>
            </w:r>
            <w:r w:rsidRPr="005B4090">
              <w:rPr>
                <w:noProof/>
                <w:webHidden/>
              </w:rPr>
              <w:fldChar w:fldCharType="begin"/>
            </w:r>
            <w:r w:rsidRPr="005B4090">
              <w:rPr>
                <w:noProof/>
                <w:webHidden/>
              </w:rPr>
              <w:instrText xml:space="preserve"> PAGEREF _Toc212028287 \h </w:instrText>
            </w:r>
            <w:r w:rsidRPr="005B4090">
              <w:rPr>
                <w:noProof/>
                <w:webHidden/>
              </w:rPr>
            </w:r>
            <w:r w:rsidRPr="005B4090">
              <w:rPr>
                <w:noProof/>
                <w:webHidden/>
              </w:rPr>
              <w:fldChar w:fldCharType="separate"/>
            </w:r>
            <w:r w:rsidR="00CB0470">
              <w:rPr>
                <w:noProof/>
                <w:webHidden/>
              </w:rPr>
              <w:t>10</w:t>
            </w:r>
            <w:r w:rsidRPr="005B4090">
              <w:rPr>
                <w:noProof/>
                <w:webHidden/>
              </w:rPr>
              <w:fldChar w:fldCharType="end"/>
            </w:r>
          </w:hyperlink>
        </w:p>
        <w:p w14:paraId="152E8834" w14:textId="291CB3CD"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8" w:history="1">
            <w:r w:rsidRPr="005B4090">
              <w:rPr>
                <w:rStyle w:val="Hipervnculo"/>
                <w:noProof/>
                <w:lang w:val="es-ES"/>
              </w:rPr>
              <w:t xml:space="preserve">CUARTO. </w:t>
            </w:r>
            <w:r w:rsidRPr="005B4090">
              <w:rPr>
                <w:rStyle w:val="Hipervnculo"/>
                <w:noProof/>
              </w:rPr>
              <w:t>Marco normativo aplicable en materia de transparencia y acceso a la información pública</w:t>
            </w:r>
            <w:r w:rsidRPr="005B4090">
              <w:rPr>
                <w:noProof/>
                <w:webHidden/>
              </w:rPr>
              <w:tab/>
            </w:r>
            <w:r w:rsidRPr="005B4090">
              <w:rPr>
                <w:noProof/>
                <w:webHidden/>
              </w:rPr>
              <w:fldChar w:fldCharType="begin"/>
            </w:r>
            <w:r w:rsidRPr="005B4090">
              <w:rPr>
                <w:noProof/>
                <w:webHidden/>
              </w:rPr>
              <w:instrText xml:space="preserve"> PAGEREF _Toc212028288 \h </w:instrText>
            </w:r>
            <w:r w:rsidRPr="005B4090">
              <w:rPr>
                <w:noProof/>
                <w:webHidden/>
              </w:rPr>
            </w:r>
            <w:r w:rsidRPr="005B4090">
              <w:rPr>
                <w:noProof/>
                <w:webHidden/>
              </w:rPr>
              <w:fldChar w:fldCharType="separate"/>
            </w:r>
            <w:r w:rsidR="00CB0470">
              <w:rPr>
                <w:noProof/>
                <w:webHidden/>
              </w:rPr>
              <w:t>13</w:t>
            </w:r>
            <w:r w:rsidRPr="005B4090">
              <w:rPr>
                <w:noProof/>
                <w:webHidden/>
              </w:rPr>
              <w:fldChar w:fldCharType="end"/>
            </w:r>
          </w:hyperlink>
        </w:p>
        <w:p w14:paraId="352BFBB9" w14:textId="760C0672"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89" w:history="1">
            <w:r w:rsidRPr="005B4090">
              <w:rPr>
                <w:rStyle w:val="Hipervnculo"/>
                <w:rFonts w:eastAsia="Times New Roman"/>
                <w:noProof/>
                <w:lang w:val="es-ES" w:eastAsia="es-ES"/>
              </w:rPr>
              <w:t>QUINTO. Estudio de Fondo</w:t>
            </w:r>
            <w:r w:rsidRPr="005B4090">
              <w:rPr>
                <w:noProof/>
                <w:webHidden/>
              </w:rPr>
              <w:tab/>
            </w:r>
            <w:r w:rsidRPr="005B4090">
              <w:rPr>
                <w:noProof/>
                <w:webHidden/>
              </w:rPr>
              <w:fldChar w:fldCharType="begin"/>
            </w:r>
            <w:r w:rsidRPr="005B4090">
              <w:rPr>
                <w:noProof/>
                <w:webHidden/>
              </w:rPr>
              <w:instrText xml:space="preserve"> PAGEREF _Toc212028289 \h </w:instrText>
            </w:r>
            <w:r w:rsidRPr="005B4090">
              <w:rPr>
                <w:noProof/>
                <w:webHidden/>
              </w:rPr>
            </w:r>
            <w:r w:rsidRPr="005B4090">
              <w:rPr>
                <w:noProof/>
                <w:webHidden/>
              </w:rPr>
              <w:fldChar w:fldCharType="separate"/>
            </w:r>
            <w:r w:rsidR="00CB0470">
              <w:rPr>
                <w:noProof/>
                <w:webHidden/>
              </w:rPr>
              <w:t>14</w:t>
            </w:r>
            <w:r w:rsidRPr="005B4090">
              <w:rPr>
                <w:noProof/>
                <w:webHidden/>
              </w:rPr>
              <w:fldChar w:fldCharType="end"/>
            </w:r>
          </w:hyperlink>
        </w:p>
        <w:p w14:paraId="7364B0F6" w14:textId="777625E7"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90" w:history="1">
            <w:r w:rsidRPr="005B4090">
              <w:rPr>
                <w:rStyle w:val="Hipervnculo"/>
                <w:rFonts w:eastAsia="Times New Roman"/>
                <w:noProof/>
                <w:lang w:eastAsia="es-ES"/>
              </w:rPr>
              <w:t>SEXTO. Decisión</w:t>
            </w:r>
            <w:r w:rsidRPr="005B4090">
              <w:rPr>
                <w:noProof/>
                <w:webHidden/>
              </w:rPr>
              <w:tab/>
            </w:r>
            <w:r w:rsidRPr="005B4090">
              <w:rPr>
                <w:noProof/>
                <w:webHidden/>
              </w:rPr>
              <w:fldChar w:fldCharType="begin"/>
            </w:r>
            <w:r w:rsidRPr="005B4090">
              <w:rPr>
                <w:noProof/>
                <w:webHidden/>
              </w:rPr>
              <w:instrText xml:space="preserve"> PAGEREF _Toc212028290 \h </w:instrText>
            </w:r>
            <w:r w:rsidRPr="005B4090">
              <w:rPr>
                <w:noProof/>
                <w:webHidden/>
              </w:rPr>
            </w:r>
            <w:r w:rsidRPr="005B4090">
              <w:rPr>
                <w:noProof/>
                <w:webHidden/>
              </w:rPr>
              <w:fldChar w:fldCharType="separate"/>
            </w:r>
            <w:r w:rsidR="00CB0470">
              <w:rPr>
                <w:noProof/>
                <w:webHidden/>
              </w:rPr>
              <w:t>37</w:t>
            </w:r>
            <w:r w:rsidRPr="005B4090">
              <w:rPr>
                <w:noProof/>
                <w:webHidden/>
              </w:rPr>
              <w:fldChar w:fldCharType="end"/>
            </w:r>
          </w:hyperlink>
        </w:p>
        <w:p w14:paraId="78E5B584" w14:textId="2A5F272F" w:rsidR="002B7007" w:rsidRPr="005B4090" w:rsidRDefault="002B7007" w:rsidP="00595713">
          <w:pPr>
            <w:pStyle w:val="TDC2"/>
            <w:tabs>
              <w:tab w:val="right" w:leader="dot" w:pos="8921"/>
            </w:tabs>
            <w:spacing w:after="0" w:line="360" w:lineRule="auto"/>
            <w:rPr>
              <w:rFonts w:asciiTheme="minorHAnsi" w:eastAsiaTheme="minorEastAsia" w:hAnsiTheme="minorHAnsi"/>
              <w:noProof/>
              <w:color w:val="auto"/>
              <w:lang w:eastAsia="es-MX"/>
            </w:rPr>
          </w:pPr>
          <w:hyperlink w:anchor="_Toc212028291" w:history="1">
            <w:r w:rsidRPr="005B4090">
              <w:rPr>
                <w:rStyle w:val="Hipervnculo"/>
                <w:rFonts w:eastAsia="Times New Roman"/>
                <w:noProof/>
                <w:lang w:val="es-ES" w:eastAsia="es-ES"/>
              </w:rPr>
              <w:t>SÉPTIMO. Vista a la Secretaría Técnica del Pleno</w:t>
            </w:r>
            <w:r w:rsidRPr="005B4090">
              <w:rPr>
                <w:noProof/>
                <w:webHidden/>
              </w:rPr>
              <w:tab/>
            </w:r>
            <w:r w:rsidRPr="005B4090">
              <w:rPr>
                <w:noProof/>
                <w:webHidden/>
              </w:rPr>
              <w:fldChar w:fldCharType="begin"/>
            </w:r>
            <w:r w:rsidRPr="005B4090">
              <w:rPr>
                <w:noProof/>
                <w:webHidden/>
              </w:rPr>
              <w:instrText xml:space="preserve"> PAGEREF _Toc212028291 \h </w:instrText>
            </w:r>
            <w:r w:rsidRPr="005B4090">
              <w:rPr>
                <w:noProof/>
                <w:webHidden/>
              </w:rPr>
            </w:r>
            <w:r w:rsidRPr="005B4090">
              <w:rPr>
                <w:noProof/>
                <w:webHidden/>
              </w:rPr>
              <w:fldChar w:fldCharType="separate"/>
            </w:r>
            <w:r w:rsidR="00CB0470">
              <w:rPr>
                <w:noProof/>
                <w:webHidden/>
              </w:rPr>
              <w:t>38</w:t>
            </w:r>
            <w:r w:rsidRPr="005B4090">
              <w:rPr>
                <w:noProof/>
                <w:webHidden/>
              </w:rPr>
              <w:fldChar w:fldCharType="end"/>
            </w:r>
          </w:hyperlink>
        </w:p>
        <w:p w14:paraId="1F717560" w14:textId="0002155E" w:rsidR="002B7007" w:rsidRPr="005B4090" w:rsidRDefault="002B7007" w:rsidP="00595713">
          <w:pPr>
            <w:pStyle w:val="TDC1"/>
            <w:tabs>
              <w:tab w:val="right" w:leader="dot" w:pos="8921"/>
            </w:tabs>
            <w:spacing w:after="0" w:line="360" w:lineRule="auto"/>
            <w:rPr>
              <w:rFonts w:asciiTheme="minorHAnsi" w:eastAsiaTheme="minorEastAsia" w:hAnsiTheme="minorHAnsi"/>
              <w:noProof/>
              <w:color w:val="auto"/>
              <w:lang w:eastAsia="es-MX"/>
            </w:rPr>
          </w:pPr>
          <w:hyperlink w:anchor="_Toc212028292" w:history="1">
            <w:r w:rsidRPr="005B4090">
              <w:rPr>
                <w:rStyle w:val="Hipervnculo"/>
                <w:rFonts w:eastAsia="Times New Roman"/>
                <w:noProof/>
                <w:lang w:val="es-ES" w:eastAsia="es-ES"/>
              </w:rPr>
              <w:t>R E S U E L V E</w:t>
            </w:r>
            <w:r w:rsidRPr="005B4090">
              <w:rPr>
                <w:noProof/>
                <w:webHidden/>
              </w:rPr>
              <w:tab/>
            </w:r>
            <w:r w:rsidRPr="005B4090">
              <w:rPr>
                <w:noProof/>
                <w:webHidden/>
              </w:rPr>
              <w:fldChar w:fldCharType="begin"/>
            </w:r>
            <w:r w:rsidRPr="005B4090">
              <w:rPr>
                <w:noProof/>
                <w:webHidden/>
              </w:rPr>
              <w:instrText xml:space="preserve"> PAGEREF _Toc212028292 \h </w:instrText>
            </w:r>
            <w:r w:rsidRPr="005B4090">
              <w:rPr>
                <w:noProof/>
                <w:webHidden/>
              </w:rPr>
            </w:r>
            <w:r w:rsidRPr="005B4090">
              <w:rPr>
                <w:noProof/>
                <w:webHidden/>
              </w:rPr>
              <w:fldChar w:fldCharType="separate"/>
            </w:r>
            <w:r w:rsidR="00CB0470">
              <w:rPr>
                <w:noProof/>
                <w:webHidden/>
              </w:rPr>
              <w:t>40</w:t>
            </w:r>
            <w:r w:rsidRPr="005B4090">
              <w:rPr>
                <w:noProof/>
                <w:webHidden/>
              </w:rPr>
              <w:fldChar w:fldCharType="end"/>
            </w:r>
          </w:hyperlink>
        </w:p>
        <w:p w14:paraId="052595E2" w14:textId="577D9F12" w:rsidR="001B0FD7" w:rsidRPr="005B4090" w:rsidRDefault="001B0FD7" w:rsidP="00595713">
          <w:pPr>
            <w:spacing w:after="0" w:line="360" w:lineRule="auto"/>
          </w:pPr>
          <w:r w:rsidRPr="005B4090">
            <w:rPr>
              <w:b/>
              <w:bCs/>
              <w:lang w:val="es-ES"/>
            </w:rPr>
            <w:fldChar w:fldCharType="end"/>
          </w:r>
        </w:p>
      </w:sdtContent>
    </w:sdt>
    <w:p w14:paraId="23B8A1BF" w14:textId="77777777" w:rsidR="00EF37E1" w:rsidRPr="005B4090" w:rsidRDefault="001B0FD7" w:rsidP="00595713">
      <w:pPr>
        <w:tabs>
          <w:tab w:val="left" w:pos="8931"/>
        </w:tabs>
        <w:spacing w:after="0" w:line="360" w:lineRule="auto"/>
        <w:rPr>
          <w:rFonts w:cs="Tahoma"/>
          <w:bCs/>
        </w:rPr>
      </w:pPr>
      <w:r w:rsidRPr="005B4090">
        <w:rPr>
          <w:rFonts w:cs="Tahoma"/>
          <w:bCs/>
        </w:rPr>
        <w:br w:type="column"/>
      </w:r>
    </w:p>
    <w:p w14:paraId="6730EDA1" w14:textId="64BBDB44" w:rsidR="009109DA" w:rsidRPr="005B4090" w:rsidRDefault="009109DA" w:rsidP="00595713">
      <w:pPr>
        <w:tabs>
          <w:tab w:val="left" w:pos="8931"/>
        </w:tabs>
        <w:spacing w:after="0" w:line="360" w:lineRule="auto"/>
        <w:rPr>
          <w:rFonts w:eastAsia="Calibri" w:cs="Tahoma"/>
          <w:lang w:val="es-ES"/>
        </w:rPr>
      </w:pPr>
      <w:r w:rsidRPr="005B4090">
        <w:rPr>
          <w:rFonts w:cs="Tahoma"/>
          <w:bCs/>
        </w:rPr>
        <w:t xml:space="preserve">Resolución del Pleno del Instituto de Transparencia, Acceso a la Información Pública y Protección de Datos Personales del Estado de México y Municipios, con domicilio en Metepec, </w:t>
      </w:r>
      <w:r w:rsidRPr="005B4090">
        <w:rPr>
          <w:rFonts w:eastAsia="Calibri" w:cs="Tahoma"/>
          <w:lang w:val="es-ES"/>
        </w:rPr>
        <w:t xml:space="preserve">Estado de México, de fecha </w:t>
      </w:r>
      <w:r w:rsidR="006168DA" w:rsidRPr="005B4090">
        <w:rPr>
          <w:rFonts w:eastAsia="Calibri" w:cs="Tahoma"/>
          <w:lang w:val="es-ES"/>
        </w:rPr>
        <w:t>cinco de noviembre</w:t>
      </w:r>
      <w:r w:rsidR="00361461" w:rsidRPr="005B4090">
        <w:rPr>
          <w:rFonts w:eastAsia="Calibri" w:cs="Tahoma"/>
          <w:lang w:val="es-ES"/>
        </w:rPr>
        <w:t xml:space="preserve"> </w:t>
      </w:r>
      <w:r w:rsidRPr="005B4090">
        <w:rPr>
          <w:rFonts w:eastAsia="Calibri" w:cs="Tahoma"/>
          <w:lang w:val="es-ES"/>
        </w:rPr>
        <w:t>de dos mil veinti</w:t>
      </w:r>
      <w:r w:rsidR="00496AEA" w:rsidRPr="005B4090">
        <w:rPr>
          <w:rFonts w:eastAsia="Calibri" w:cs="Tahoma"/>
          <w:lang w:val="es-ES"/>
        </w:rPr>
        <w:t>c</w:t>
      </w:r>
      <w:r w:rsidR="004F4B08" w:rsidRPr="005B4090">
        <w:rPr>
          <w:rFonts w:eastAsia="Calibri" w:cs="Tahoma"/>
          <w:lang w:val="es-ES"/>
        </w:rPr>
        <w:t>inco</w:t>
      </w:r>
      <w:r w:rsidRPr="005B4090">
        <w:rPr>
          <w:rFonts w:eastAsia="Calibri" w:cs="Tahoma"/>
          <w:lang w:val="es-ES"/>
        </w:rPr>
        <w:t xml:space="preserve">. </w:t>
      </w:r>
    </w:p>
    <w:p w14:paraId="5B192EAD" w14:textId="77777777" w:rsidR="009109DA" w:rsidRPr="005B4090" w:rsidRDefault="009109DA" w:rsidP="00595713">
      <w:pPr>
        <w:spacing w:after="0" w:line="360" w:lineRule="auto"/>
        <w:rPr>
          <w:rFonts w:eastAsia="Calibri" w:cs="Tahoma"/>
          <w:b/>
          <w:bCs/>
          <w:lang w:val="es-ES"/>
        </w:rPr>
      </w:pPr>
    </w:p>
    <w:p w14:paraId="5B5C7008" w14:textId="2D808C9D" w:rsidR="00005BF0" w:rsidRPr="005B4090" w:rsidRDefault="00005BF0" w:rsidP="00595713">
      <w:pPr>
        <w:spacing w:after="0" w:line="360" w:lineRule="auto"/>
        <w:rPr>
          <w:rFonts w:cs="Tahoma"/>
          <w:color w:val="0D0D0D" w:themeColor="text1" w:themeTint="F2"/>
        </w:rPr>
      </w:pPr>
      <w:r w:rsidRPr="005B4090">
        <w:rPr>
          <w:rFonts w:cs="Tahoma"/>
          <w:b/>
          <w:bCs/>
          <w:color w:val="0D0D0D" w:themeColor="text1" w:themeTint="F2"/>
          <w:lang w:val="es-ES_tradnl"/>
        </w:rPr>
        <w:t xml:space="preserve">VISTO </w:t>
      </w:r>
      <w:r w:rsidRPr="005B4090">
        <w:rPr>
          <w:rFonts w:cs="Tahoma"/>
          <w:bCs/>
          <w:color w:val="0D0D0D" w:themeColor="text1" w:themeTint="F2"/>
          <w:lang w:val="es-ES_tradnl"/>
        </w:rPr>
        <w:t>el expediente conformado con mo</w:t>
      </w:r>
      <w:r w:rsidR="00361461" w:rsidRPr="005B4090">
        <w:rPr>
          <w:rFonts w:cs="Tahoma"/>
          <w:bCs/>
          <w:color w:val="0D0D0D" w:themeColor="text1" w:themeTint="F2"/>
          <w:lang w:val="es-ES_tradnl"/>
        </w:rPr>
        <w:t xml:space="preserve">tivo de los Recurso de Revisión </w:t>
      </w:r>
      <w:r w:rsidR="006168DA" w:rsidRPr="00723192">
        <w:rPr>
          <w:rFonts w:cs="Tahoma"/>
          <w:b/>
          <w:color w:val="0D0D0D" w:themeColor="text1" w:themeTint="F2"/>
          <w:lang w:val="es-ES_tradnl"/>
        </w:rPr>
        <w:t>11446</w:t>
      </w:r>
      <w:r w:rsidR="00361461" w:rsidRPr="00723192">
        <w:rPr>
          <w:rFonts w:cs="Tahoma"/>
          <w:b/>
          <w:color w:val="0D0D0D" w:themeColor="text1" w:themeTint="F2"/>
          <w:lang w:val="es-ES_tradnl"/>
        </w:rPr>
        <w:t>/INFOEM/IP/RR/2025,</w:t>
      </w:r>
      <w:r w:rsidR="008663BF" w:rsidRPr="00723192">
        <w:rPr>
          <w:rFonts w:cs="Tahoma"/>
          <w:b/>
          <w:color w:val="0D0D0D" w:themeColor="text1" w:themeTint="F2"/>
          <w:lang w:val="es-ES_tradnl"/>
        </w:rPr>
        <w:t xml:space="preserve"> </w:t>
      </w:r>
      <w:r w:rsidR="006168DA" w:rsidRPr="00723192">
        <w:rPr>
          <w:rFonts w:cs="Tahoma"/>
          <w:b/>
          <w:color w:val="0D0D0D" w:themeColor="text1" w:themeTint="F2"/>
          <w:lang w:val="es-ES_tradnl"/>
        </w:rPr>
        <w:t>11447/INFOEM/IP/RR/2025, 11449/INFOEM/IP/RR/2025, 11450/INFOEM/IP/RR/2025, 11463/INFOEM/IP/RR/2025 y 11490/INFOEM/IP/RR/2025</w:t>
      </w:r>
      <w:r w:rsidR="008663BF" w:rsidRPr="00723192">
        <w:rPr>
          <w:rFonts w:cs="Tahoma"/>
          <w:b/>
          <w:color w:val="0D0D0D" w:themeColor="text1" w:themeTint="F2"/>
          <w:lang w:val="es-ES_tradnl"/>
        </w:rPr>
        <w:t>,</w:t>
      </w:r>
      <w:r w:rsidRPr="00723192">
        <w:rPr>
          <w:rFonts w:cs="Tahoma"/>
          <w:b/>
          <w:color w:val="0D0D0D" w:themeColor="text1" w:themeTint="F2"/>
          <w:lang w:val="es-ES_tradnl"/>
        </w:rPr>
        <w:t xml:space="preserve"> </w:t>
      </w:r>
      <w:r w:rsidRPr="005B4090">
        <w:rPr>
          <w:rFonts w:cs="Tahoma"/>
          <w:color w:val="0D0D0D" w:themeColor="text1" w:themeTint="F2"/>
          <w:lang w:val="es-ES_tradnl"/>
        </w:rPr>
        <w:t>interpuesto</w:t>
      </w:r>
      <w:r w:rsidR="00794D11" w:rsidRPr="005B4090">
        <w:rPr>
          <w:rFonts w:cs="Tahoma"/>
          <w:color w:val="0D0D0D" w:themeColor="text1" w:themeTint="F2"/>
          <w:lang w:val="es-ES_tradnl"/>
        </w:rPr>
        <w:t>s por</w:t>
      </w:r>
      <w:r w:rsidR="00762337" w:rsidRPr="005B4090">
        <w:rPr>
          <w:rFonts w:cs="Tahoma"/>
          <w:color w:val="0D0D0D" w:themeColor="text1" w:themeTint="F2"/>
          <w:lang w:val="es-ES_tradnl"/>
        </w:rPr>
        <w:t xml:space="preserve"> </w:t>
      </w:r>
      <w:r w:rsidR="00496AEA" w:rsidRPr="005B4090">
        <w:rPr>
          <w:rFonts w:cs="Tahoma"/>
          <w:color w:val="0D0D0D" w:themeColor="text1" w:themeTint="F2"/>
          <w:lang w:val="es-ES_tradnl"/>
        </w:rPr>
        <w:t>la persona</w:t>
      </w:r>
      <w:r w:rsidR="00084D97" w:rsidRPr="005B4090">
        <w:rPr>
          <w:rFonts w:cs="Tahoma"/>
          <w:color w:val="0D0D0D" w:themeColor="text1" w:themeTint="F2"/>
          <w:lang w:val="es-ES_tradnl"/>
        </w:rPr>
        <w:t xml:space="preserve"> </w:t>
      </w:r>
      <w:r w:rsidRPr="005B4090">
        <w:rPr>
          <w:rFonts w:cs="Tahoma"/>
          <w:color w:val="0D0D0D" w:themeColor="text1" w:themeTint="F2"/>
          <w:lang w:val="es-ES_tradnl"/>
        </w:rPr>
        <w:t xml:space="preserve">Recurrente o Particular, en contra de la </w:t>
      </w:r>
      <w:r w:rsidR="0080627B" w:rsidRPr="005B4090">
        <w:rPr>
          <w:rFonts w:cs="Tahoma"/>
          <w:color w:val="0D0D0D" w:themeColor="text1" w:themeTint="F2"/>
          <w:lang w:val="es-ES_tradnl"/>
        </w:rPr>
        <w:t xml:space="preserve">falta de </w:t>
      </w:r>
      <w:r w:rsidRPr="005B4090">
        <w:rPr>
          <w:rFonts w:cs="Tahoma"/>
          <w:color w:val="0D0D0D" w:themeColor="text1" w:themeTint="F2"/>
          <w:lang w:val="es-ES_tradnl"/>
        </w:rPr>
        <w:t xml:space="preserve">respuesta del Sujeto Obligado, </w:t>
      </w:r>
      <w:r w:rsidR="006168DA" w:rsidRPr="00723192">
        <w:rPr>
          <w:rFonts w:eastAsia="Calibri" w:cs="Tahoma"/>
          <w:b/>
          <w:bCs/>
        </w:rPr>
        <w:t>Ayuntamiento de Tepotzotlán</w:t>
      </w:r>
      <w:r w:rsidRPr="005B4090">
        <w:rPr>
          <w:rFonts w:cs="Tahoma"/>
          <w:color w:val="0D0D0D" w:themeColor="text1" w:themeTint="F2"/>
          <w:lang w:val="es-ES_tradnl"/>
        </w:rPr>
        <w:t>,</w:t>
      </w:r>
      <w:r w:rsidRPr="005B4090">
        <w:rPr>
          <w:rFonts w:cs="Tahoma"/>
          <w:color w:val="0D0D0D" w:themeColor="text1" w:themeTint="F2"/>
        </w:rPr>
        <w:t xml:space="preserve"> a las solicitudes de acceso a la información pública</w:t>
      </w:r>
      <w:r w:rsidR="00794D11" w:rsidRPr="005B4090">
        <w:rPr>
          <w:rFonts w:cs="Tahoma"/>
          <w:color w:val="0D0D0D" w:themeColor="text1" w:themeTint="F2"/>
        </w:rPr>
        <w:t xml:space="preserve"> </w:t>
      </w:r>
      <w:r w:rsidR="006168DA" w:rsidRPr="005B4090">
        <w:rPr>
          <w:rFonts w:cs="Tahoma"/>
          <w:color w:val="0D0D0D" w:themeColor="text1" w:themeTint="F2"/>
        </w:rPr>
        <w:t>00505/TEPOTZOT</w:t>
      </w:r>
      <w:r w:rsidR="008663BF" w:rsidRPr="005B4090">
        <w:rPr>
          <w:rFonts w:cs="Tahoma"/>
          <w:color w:val="0D0D0D" w:themeColor="text1" w:themeTint="F2"/>
        </w:rPr>
        <w:t>/IP/2025</w:t>
      </w:r>
      <w:r w:rsidR="003D6320" w:rsidRPr="005B4090">
        <w:rPr>
          <w:rFonts w:cs="Tahoma"/>
          <w:color w:val="0D0D0D" w:themeColor="text1" w:themeTint="F2"/>
        </w:rPr>
        <w:t xml:space="preserve">, </w:t>
      </w:r>
      <w:r w:rsidR="006168DA" w:rsidRPr="005B4090">
        <w:rPr>
          <w:rFonts w:cs="Tahoma"/>
          <w:color w:val="0D0D0D" w:themeColor="text1" w:themeTint="F2"/>
        </w:rPr>
        <w:t>00504/TEPOTZOT/IP/2025, 00494/TEPOTZOT/IP/2025, 00492/TEPOTZOT/IP/2025, 00493/TEPOTZOT/IP/2025 y 00472/TEPOTZOT/IP/2025</w:t>
      </w:r>
      <w:r w:rsidR="0001294B" w:rsidRPr="005B4090">
        <w:rPr>
          <w:rFonts w:cs="Tahoma"/>
          <w:color w:val="0D0D0D" w:themeColor="text1" w:themeTint="F2"/>
        </w:rPr>
        <w:t xml:space="preserve">,  </w:t>
      </w:r>
      <w:r w:rsidR="00407A01" w:rsidRPr="005B4090">
        <w:rPr>
          <w:rFonts w:cs="Tahoma"/>
          <w:color w:val="0D0D0D" w:themeColor="text1" w:themeTint="F2"/>
        </w:rPr>
        <w:t xml:space="preserve"> y </w:t>
      </w:r>
      <w:r w:rsidRPr="005B4090">
        <w:rPr>
          <w:rFonts w:cs="Tahoma"/>
          <w:color w:val="0D0D0D" w:themeColor="text1" w:themeTint="F2"/>
          <w:lang w:val="es-ES_tradnl"/>
        </w:rPr>
        <w:t>se emite la</w:t>
      </w:r>
      <w:r w:rsidRPr="005B4090">
        <w:rPr>
          <w:rFonts w:cs="Tahoma"/>
          <w:bCs/>
          <w:color w:val="0D0D0D" w:themeColor="text1" w:themeTint="F2"/>
          <w:lang w:val="es-ES_tradnl"/>
        </w:rPr>
        <w:t xml:space="preserve"> presente Resolución, con base en los Antecedentes y Considerandos que a continuación se exponen:</w:t>
      </w:r>
    </w:p>
    <w:p w14:paraId="2B3B2C76" w14:textId="77777777" w:rsidR="0001294B" w:rsidRPr="005B4090" w:rsidRDefault="0001294B" w:rsidP="00595713">
      <w:pPr>
        <w:spacing w:after="0" w:line="360" w:lineRule="auto"/>
        <w:rPr>
          <w:rFonts w:eastAsia="Calibri" w:cs="Tahoma"/>
          <w:b/>
          <w:bCs/>
        </w:rPr>
      </w:pPr>
    </w:p>
    <w:p w14:paraId="053F92C3" w14:textId="164080E8" w:rsidR="009109DA" w:rsidRPr="005B4090" w:rsidRDefault="009109DA" w:rsidP="00595713">
      <w:pPr>
        <w:pStyle w:val="Ttulo1"/>
      </w:pPr>
      <w:bookmarkStart w:id="0" w:name="_Toc212028278"/>
      <w:r w:rsidRPr="005B4090">
        <w:t>A N T E C E D E N T E S</w:t>
      </w:r>
      <w:bookmarkEnd w:id="0"/>
    </w:p>
    <w:p w14:paraId="3E22B062" w14:textId="77777777" w:rsidR="009109DA" w:rsidRPr="005B4090" w:rsidRDefault="009109DA" w:rsidP="00595713">
      <w:pPr>
        <w:spacing w:after="0" w:line="360" w:lineRule="auto"/>
        <w:rPr>
          <w:rFonts w:eastAsia="Calibri" w:cs="Tahoma"/>
          <w:b/>
          <w:bCs/>
          <w:lang w:val="es-ES"/>
        </w:rPr>
      </w:pPr>
    </w:p>
    <w:p w14:paraId="2C7DEFAF" w14:textId="38CE47A2" w:rsidR="0051666C" w:rsidRPr="005B4090" w:rsidRDefault="0051666C" w:rsidP="00595713">
      <w:pPr>
        <w:pStyle w:val="Ttulo2"/>
      </w:pPr>
      <w:bookmarkStart w:id="1" w:name="_Toc212028279"/>
      <w:r w:rsidRPr="005B4090">
        <w:t>I. Presentación de las solicitudes de información</w:t>
      </w:r>
      <w:bookmarkEnd w:id="1"/>
    </w:p>
    <w:p w14:paraId="7660E79C" w14:textId="77777777" w:rsidR="0051666C" w:rsidRPr="005B4090" w:rsidRDefault="0051666C" w:rsidP="00595713">
      <w:pPr>
        <w:tabs>
          <w:tab w:val="left" w:pos="567"/>
        </w:tabs>
        <w:spacing w:after="0" w:line="360" w:lineRule="auto"/>
        <w:ind w:left="54"/>
        <w:contextualSpacing/>
        <w:rPr>
          <w:rFonts w:cs="Tahoma"/>
          <w:b/>
          <w:lang w:val="es-ES_tradnl"/>
        </w:rPr>
      </w:pPr>
    </w:p>
    <w:p w14:paraId="30A5E0D1" w14:textId="0099C36C" w:rsidR="00496AEA" w:rsidRPr="005B4090" w:rsidRDefault="00496AEA" w:rsidP="00595713">
      <w:pPr>
        <w:tabs>
          <w:tab w:val="left" w:pos="567"/>
        </w:tabs>
        <w:spacing w:after="0" w:line="360" w:lineRule="auto"/>
        <w:rPr>
          <w:rFonts w:eastAsia="Calibri" w:cs="Times New Roman"/>
        </w:rPr>
      </w:pPr>
      <w:r w:rsidRPr="005B4090">
        <w:rPr>
          <w:rFonts w:cs="Tahoma"/>
          <w:lang w:val="es-ES_tradnl"/>
        </w:rPr>
        <w:t>El</w:t>
      </w:r>
      <w:r w:rsidR="00A13DD4" w:rsidRPr="005B4090">
        <w:rPr>
          <w:rFonts w:cs="Tahoma"/>
          <w:lang w:val="es-ES_tradnl"/>
        </w:rPr>
        <w:t xml:space="preserve"> </w:t>
      </w:r>
      <w:r w:rsidR="006168DA" w:rsidRPr="005B4090">
        <w:rPr>
          <w:rFonts w:cs="Tahoma"/>
          <w:lang w:val="es-ES_tradnl"/>
        </w:rPr>
        <w:t>primero de septiembre</w:t>
      </w:r>
      <w:r w:rsidR="0051666C" w:rsidRPr="005B4090">
        <w:rPr>
          <w:rFonts w:cs="Tahoma"/>
          <w:lang w:val="es-ES_tradnl"/>
        </w:rPr>
        <w:t xml:space="preserve"> de dos mil </w:t>
      </w:r>
      <w:r w:rsidR="00270FA7" w:rsidRPr="005B4090">
        <w:rPr>
          <w:rFonts w:cs="Tahoma"/>
          <w:lang w:val="es-ES_tradnl"/>
        </w:rPr>
        <w:t>veinticinco</w:t>
      </w:r>
      <w:r w:rsidR="006168DA" w:rsidRPr="005B4090">
        <w:rPr>
          <w:rFonts w:cs="Tahoma"/>
          <w:lang w:val="es-ES_tradnl"/>
        </w:rPr>
        <w:t xml:space="preserve"> (</w:t>
      </w:r>
      <w:proofErr w:type="gramStart"/>
      <w:r w:rsidR="006168DA" w:rsidRPr="005B4090">
        <w:rPr>
          <w:rFonts w:cs="Tahoma"/>
          <w:lang w:val="es-ES_tradnl"/>
        </w:rPr>
        <w:t>ya que</w:t>
      </w:r>
      <w:proofErr w:type="gramEnd"/>
      <w:r w:rsidR="006168DA" w:rsidRPr="005B4090">
        <w:rPr>
          <w:rFonts w:cs="Tahoma"/>
          <w:lang w:val="es-ES_tradnl"/>
        </w:rPr>
        <w:t xml:space="preserve"> </w:t>
      </w:r>
      <w:proofErr w:type="gramStart"/>
      <w:r w:rsidR="006168DA" w:rsidRPr="005B4090">
        <w:rPr>
          <w:rFonts w:cs="Tahoma"/>
          <w:lang w:val="es-ES_tradnl"/>
        </w:rPr>
        <w:t>si  bien</w:t>
      </w:r>
      <w:proofErr w:type="gramEnd"/>
      <w:r w:rsidR="006168DA" w:rsidRPr="005B4090">
        <w:rPr>
          <w:rFonts w:cs="Tahoma"/>
          <w:lang w:val="es-ES_tradnl"/>
        </w:rPr>
        <w:t xml:space="preserve"> se registró el treinta y uno de agosto del mismo año, tan bien es que, fue día inhábil)</w:t>
      </w:r>
      <w:r w:rsidR="00DE037A" w:rsidRPr="005B4090">
        <w:rPr>
          <w:rFonts w:cs="Tahoma"/>
          <w:lang w:val="es-ES_tradnl"/>
        </w:rPr>
        <w:t xml:space="preserve"> y veintinueve de agosto del mismo año</w:t>
      </w:r>
      <w:r w:rsidRPr="005B4090">
        <w:rPr>
          <w:rFonts w:cs="Tahoma"/>
          <w:lang w:val="es-ES_tradnl"/>
        </w:rPr>
        <w:t>,</w:t>
      </w:r>
      <w:r w:rsidR="00E152A2" w:rsidRPr="005B4090">
        <w:rPr>
          <w:rFonts w:cs="Tahoma"/>
          <w:lang w:val="es-ES_tradnl"/>
        </w:rPr>
        <w:t xml:space="preserve"> </w:t>
      </w:r>
      <w:r w:rsidR="00084D97" w:rsidRPr="005B4090">
        <w:rPr>
          <w:rFonts w:cs="Tahoma"/>
          <w:lang w:val="es-ES_tradnl"/>
        </w:rPr>
        <w:t>el</w:t>
      </w:r>
      <w:r w:rsidR="0051666C" w:rsidRPr="005B4090">
        <w:rPr>
          <w:rFonts w:cs="Tahoma"/>
          <w:lang w:val="es-ES_tradnl"/>
        </w:rPr>
        <w:t xml:space="preserve"> Particular presentó </w:t>
      </w:r>
      <w:r w:rsidR="006168DA" w:rsidRPr="005B4090">
        <w:rPr>
          <w:rFonts w:cs="Tahoma"/>
          <w:lang w:val="es-ES_tradnl"/>
        </w:rPr>
        <w:t>seis</w:t>
      </w:r>
      <w:r w:rsidR="0051666C" w:rsidRPr="005B4090">
        <w:rPr>
          <w:rFonts w:cs="Tahoma"/>
          <w:lang w:val="es-ES_tradnl"/>
        </w:rPr>
        <w:t xml:space="preserve"> solicitudes de acceso a la información pública, </w:t>
      </w:r>
      <w:r w:rsidR="0051666C" w:rsidRPr="005B4090">
        <w:rPr>
          <w:rFonts w:cs="Tahoma"/>
        </w:rPr>
        <w:t>a través del Sistema de Acceso a la Información Mexiquense (SAIMEX),</w:t>
      </w:r>
      <w:r w:rsidR="00AA52EF" w:rsidRPr="005B4090">
        <w:rPr>
          <w:rFonts w:eastAsia="Calibri" w:cs="Times New Roman"/>
          <w:b/>
          <w:bCs/>
        </w:rPr>
        <w:t xml:space="preserve"> </w:t>
      </w:r>
      <w:r w:rsidR="0051666C" w:rsidRPr="005B4090">
        <w:rPr>
          <w:rFonts w:cs="Tahoma"/>
        </w:rPr>
        <w:t>ante</w:t>
      </w:r>
      <w:r w:rsidR="00794D11" w:rsidRPr="005B4090">
        <w:rPr>
          <w:rFonts w:cs="Tahoma"/>
        </w:rPr>
        <w:t xml:space="preserve"> el </w:t>
      </w:r>
      <w:r w:rsidR="006168DA" w:rsidRPr="005B4090">
        <w:rPr>
          <w:rFonts w:eastAsia="Calibri" w:cs="Tahoma"/>
        </w:rPr>
        <w:t>Ayuntamiento de Tepotzotlán</w:t>
      </w:r>
      <w:r w:rsidR="00287DD2" w:rsidRPr="005B4090">
        <w:rPr>
          <w:rFonts w:eastAsia="Calibri" w:cs="Times New Roman"/>
          <w:b/>
          <w:bCs/>
        </w:rPr>
        <w:t>,</w:t>
      </w:r>
      <w:r w:rsidR="0051666C" w:rsidRPr="005B4090">
        <w:rPr>
          <w:rFonts w:eastAsia="Calibri" w:cs="Times New Roman"/>
          <w:b/>
          <w:bCs/>
        </w:rPr>
        <w:t xml:space="preserve"> </w:t>
      </w:r>
      <w:r w:rsidR="0051666C" w:rsidRPr="005B4090">
        <w:rPr>
          <w:rFonts w:eastAsia="Calibri" w:cs="Times New Roman"/>
          <w:bCs/>
        </w:rPr>
        <w:t>en los siguientes términos:</w:t>
      </w:r>
    </w:p>
    <w:p w14:paraId="004FFBE8" w14:textId="77777777" w:rsidR="00270FA7" w:rsidRPr="005B4090" w:rsidRDefault="00270FA7" w:rsidP="00595713">
      <w:pPr>
        <w:tabs>
          <w:tab w:val="left" w:pos="567"/>
        </w:tabs>
        <w:spacing w:after="0" w:line="360" w:lineRule="auto"/>
        <w:rPr>
          <w:rFonts w:eastAsia="Calibri" w:cs="Times New Roman"/>
          <w:bCs/>
        </w:rPr>
      </w:pPr>
    </w:p>
    <w:tbl>
      <w:tblPr>
        <w:tblStyle w:val="Tablaconcuadrcula2"/>
        <w:tblW w:w="8926" w:type="dxa"/>
        <w:tblLook w:val="04A0" w:firstRow="1" w:lastRow="0" w:firstColumn="1" w:lastColumn="0" w:noHBand="0" w:noVBand="1"/>
      </w:tblPr>
      <w:tblGrid>
        <w:gridCol w:w="2632"/>
        <w:gridCol w:w="6294"/>
      </w:tblGrid>
      <w:tr w:rsidR="00D94483" w:rsidRPr="005B4090" w14:paraId="2E0AFC1B" w14:textId="77777777" w:rsidTr="00DB5382">
        <w:tc>
          <w:tcPr>
            <w:tcW w:w="2632"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5B4090" w:rsidRDefault="00D94483" w:rsidP="00595713">
            <w:pPr>
              <w:tabs>
                <w:tab w:val="left" w:pos="567"/>
              </w:tabs>
              <w:spacing w:line="360" w:lineRule="auto"/>
              <w:ind w:right="-28"/>
              <w:contextualSpacing/>
              <w:rPr>
                <w:rFonts w:cs="Tahoma"/>
                <w:b/>
                <w:color w:val="000000"/>
                <w:sz w:val="20"/>
                <w:szCs w:val="20"/>
              </w:rPr>
            </w:pPr>
            <w:r w:rsidRPr="005B4090">
              <w:rPr>
                <w:rFonts w:cs="Tahoma"/>
                <w:b/>
                <w:color w:val="000000"/>
                <w:sz w:val="20"/>
                <w:szCs w:val="20"/>
              </w:rPr>
              <w:t>FOLIO DE SOLICITUD</w:t>
            </w:r>
          </w:p>
        </w:tc>
        <w:tc>
          <w:tcPr>
            <w:tcW w:w="6294"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7777777" w:rsidR="00D94483" w:rsidRPr="005B4090" w:rsidRDefault="00D94483" w:rsidP="00595713">
            <w:pPr>
              <w:tabs>
                <w:tab w:val="left" w:pos="567"/>
              </w:tabs>
              <w:spacing w:line="360" w:lineRule="auto"/>
              <w:contextualSpacing/>
              <w:rPr>
                <w:rFonts w:cs="Tahoma"/>
                <w:b/>
                <w:color w:val="000000"/>
                <w:sz w:val="20"/>
                <w:szCs w:val="20"/>
              </w:rPr>
            </w:pPr>
            <w:r w:rsidRPr="005B4090">
              <w:rPr>
                <w:rFonts w:cs="Tahoma"/>
                <w:b/>
                <w:color w:val="000000"/>
                <w:sz w:val="20"/>
                <w:szCs w:val="20"/>
              </w:rPr>
              <w:t>DESCRIPCIÓN CLARA Y PRECISA DE LA INFORMACIÓN SOLICITADA</w:t>
            </w:r>
          </w:p>
        </w:tc>
      </w:tr>
      <w:tr w:rsidR="00D94483" w:rsidRPr="005B4090" w14:paraId="1F325B7A" w14:textId="77777777" w:rsidTr="00DB5382">
        <w:tc>
          <w:tcPr>
            <w:tcW w:w="2632" w:type="dxa"/>
            <w:tcBorders>
              <w:top w:val="single" w:sz="4" w:space="0" w:color="auto"/>
              <w:left w:val="single" w:sz="4" w:space="0" w:color="auto"/>
              <w:bottom w:val="single" w:sz="4" w:space="0" w:color="auto"/>
              <w:right w:val="single" w:sz="4" w:space="0" w:color="auto"/>
            </w:tcBorders>
          </w:tcPr>
          <w:p w14:paraId="387FC426" w14:textId="43ACB038" w:rsidR="00D94483" w:rsidRPr="005B4090" w:rsidRDefault="006168DA" w:rsidP="00595713">
            <w:pPr>
              <w:tabs>
                <w:tab w:val="left" w:pos="567"/>
              </w:tabs>
              <w:spacing w:line="360" w:lineRule="auto"/>
              <w:ind w:right="-28"/>
              <w:contextualSpacing/>
              <w:rPr>
                <w:rFonts w:cs="Tahoma"/>
                <w:b/>
                <w:bCs/>
                <w:i/>
                <w:iCs/>
                <w:color w:val="000000"/>
                <w:sz w:val="20"/>
                <w:szCs w:val="20"/>
              </w:rPr>
            </w:pPr>
            <w:r w:rsidRPr="005B4090">
              <w:rPr>
                <w:rFonts w:cs="Tahoma"/>
                <w:b/>
                <w:bCs/>
                <w:i/>
                <w:iCs/>
                <w:color w:val="000000"/>
                <w:sz w:val="20"/>
                <w:szCs w:val="20"/>
              </w:rPr>
              <w:lastRenderedPageBreak/>
              <w:t>00505/TEPOTZOT/IP/2025</w:t>
            </w:r>
          </w:p>
        </w:tc>
        <w:tc>
          <w:tcPr>
            <w:tcW w:w="6294" w:type="dxa"/>
            <w:tcBorders>
              <w:top w:val="single" w:sz="4" w:space="0" w:color="auto"/>
              <w:left w:val="single" w:sz="4" w:space="0" w:color="auto"/>
              <w:bottom w:val="single" w:sz="4" w:space="0" w:color="auto"/>
              <w:right w:val="single" w:sz="4" w:space="0" w:color="auto"/>
            </w:tcBorders>
          </w:tcPr>
          <w:p w14:paraId="1894CABC" w14:textId="18970E4B" w:rsidR="00270FA7" w:rsidRPr="005B4090" w:rsidRDefault="006168DA" w:rsidP="00595713">
            <w:pPr>
              <w:tabs>
                <w:tab w:val="left" w:pos="567"/>
              </w:tabs>
              <w:spacing w:line="360" w:lineRule="auto"/>
              <w:contextualSpacing/>
              <w:rPr>
                <w:rFonts w:cs="Tahoma"/>
                <w:i/>
                <w:iCs/>
                <w:color w:val="000000"/>
                <w:sz w:val="20"/>
                <w:szCs w:val="20"/>
                <w:lang w:val="es-MX"/>
              </w:rPr>
            </w:pPr>
            <w:r w:rsidRPr="005B4090">
              <w:rPr>
                <w:rFonts w:cs="Tahoma"/>
                <w:i/>
                <w:iCs/>
                <w:color w:val="000000"/>
                <w:sz w:val="20"/>
                <w:szCs w:val="20"/>
                <w:lang w:val="es-MX"/>
              </w:rPr>
              <w:t xml:space="preserve">Del </w:t>
            </w:r>
            <w:proofErr w:type="gramStart"/>
            <w:r w:rsidRPr="005B4090">
              <w:rPr>
                <w:rFonts w:cs="Tahoma"/>
                <w:i/>
                <w:iCs/>
                <w:color w:val="000000"/>
                <w:sz w:val="20"/>
                <w:szCs w:val="20"/>
                <w:lang w:val="es-MX"/>
              </w:rPr>
              <w:t>Director</w:t>
            </w:r>
            <w:proofErr w:type="gramEnd"/>
            <w:r w:rsidRPr="005B4090">
              <w:rPr>
                <w:rFonts w:cs="Tahoma"/>
                <w:i/>
                <w:iCs/>
                <w:color w:val="000000"/>
                <w:sz w:val="20"/>
                <w:szCs w:val="20"/>
                <w:lang w:val="es-MX"/>
              </w:rPr>
              <w:t xml:space="preserve"> y </w:t>
            </w:r>
            <w:proofErr w:type="gramStart"/>
            <w:r w:rsidRPr="005B4090">
              <w:rPr>
                <w:rFonts w:cs="Tahoma"/>
                <w:i/>
                <w:iCs/>
                <w:color w:val="000000"/>
                <w:sz w:val="20"/>
                <w:szCs w:val="20"/>
                <w:lang w:val="es-MX"/>
              </w:rPr>
              <w:t>Subdirector</w:t>
            </w:r>
            <w:proofErr w:type="gramEnd"/>
            <w:r w:rsidRPr="005B4090">
              <w:rPr>
                <w:rFonts w:cs="Tahoma"/>
                <w:i/>
                <w:iCs/>
                <w:color w:val="000000"/>
                <w:sz w:val="20"/>
                <w:szCs w:val="20"/>
                <w:lang w:val="es-MX"/>
              </w:rPr>
              <w:t xml:space="preserve"> de Desarrollo Urbano, todos los recibos de nómina del 2025 y del 2024</w:t>
            </w:r>
            <w:r w:rsidR="00270FA7" w:rsidRPr="005B4090">
              <w:rPr>
                <w:rFonts w:cs="Tahoma"/>
                <w:i/>
                <w:iCs/>
                <w:color w:val="000000"/>
                <w:sz w:val="20"/>
                <w:szCs w:val="20"/>
                <w:lang w:val="es-MX"/>
              </w:rPr>
              <w:t xml:space="preserve">” </w:t>
            </w:r>
            <w:r w:rsidR="006A2607" w:rsidRPr="005B4090">
              <w:rPr>
                <w:rFonts w:cs="Tahoma"/>
                <w:i/>
                <w:iCs/>
                <w:color w:val="000000"/>
                <w:sz w:val="20"/>
                <w:szCs w:val="20"/>
                <w:lang w:val="es-MX"/>
              </w:rPr>
              <w:t>(Sic.)</w:t>
            </w:r>
          </w:p>
        </w:tc>
      </w:tr>
      <w:tr w:rsidR="006A2607" w:rsidRPr="005B4090" w14:paraId="16102132" w14:textId="77777777" w:rsidTr="00DB5382">
        <w:tc>
          <w:tcPr>
            <w:tcW w:w="2632" w:type="dxa"/>
            <w:tcBorders>
              <w:top w:val="single" w:sz="4" w:space="0" w:color="auto"/>
              <w:left w:val="single" w:sz="4" w:space="0" w:color="auto"/>
              <w:bottom w:val="single" w:sz="4" w:space="0" w:color="auto"/>
              <w:right w:val="single" w:sz="4" w:space="0" w:color="auto"/>
            </w:tcBorders>
          </w:tcPr>
          <w:p w14:paraId="452B87CC" w14:textId="4F75142B" w:rsidR="006A2607" w:rsidRPr="005B4090" w:rsidRDefault="006168DA" w:rsidP="00595713">
            <w:pPr>
              <w:tabs>
                <w:tab w:val="left" w:pos="567"/>
              </w:tabs>
              <w:spacing w:line="360" w:lineRule="auto"/>
              <w:ind w:right="-28"/>
              <w:contextualSpacing/>
              <w:rPr>
                <w:rFonts w:cs="Tahoma"/>
                <w:b/>
                <w:bCs/>
                <w:i/>
                <w:iCs/>
                <w:color w:val="0D0D0D" w:themeColor="text1" w:themeTint="F2"/>
                <w:sz w:val="20"/>
                <w:szCs w:val="20"/>
              </w:rPr>
            </w:pPr>
            <w:r w:rsidRPr="005B4090">
              <w:rPr>
                <w:rFonts w:cs="Tahoma"/>
                <w:b/>
                <w:bCs/>
                <w:i/>
                <w:iCs/>
                <w:color w:val="0D0D0D" w:themeColor="text1" w:themeTint="F2"/>
                <w:sz w:val="20"/>
                <w:szCs w:val="20"/>
              </w:rPr>
              <w:t>00504/TEPOTZOT/IP/2025</w:t>
            </w:r>
          </w:p>
        </w:tc>
        <w:tc>
          <w:tcPr>
            <w:tcW w:w="6294" w:type="dxa"/>
            <w:tcBorders>
              <w:top w:val="single" w:sz="4" w:space="0" w:color="auto"/>
              <w:left w:val="single" w:sz="4" w:space="0" w:color="auto"/>
              <w:bottom w:val="single" w:sz="4" w:space="0" w:color="auto"/>
              <w:right w:val="single" w:sz="4" w:space="0" w:color="auto"/>
            </w:tcBorders>
          </w:tcPr>
          <w:p w14:paraId="320572C1" w14:textId="4A268064" w:rsidR="006A2607" w:rsidRPr="005B4090" w:rsidRDefault="002E345B" w:rsidP="00595713">
            <w:pPr>
              <w:tabs>
                <w:tab w:val="left" w:pos="567"/>
              </w:tabs>
              <w:spacing w:line="360" w:lineRule="auto"/>
              <w:contextualSpacing/>
              <w:rPr>
                <w:rFonts w:cs="Tahoma"/>
                <w:i/>
                <w:iCs/>
                <w:color w:val="000000"/>
                <w:sz w:val="20"/>
                <w:szCs w:val="20"/>
              </w:rPr>
            </w:pPr>
            <w:r w:rsidRPr="005B4090">
              <w:rPr>
                <w:rFonts w:cs="Tahoma"/>
                <w:i/>
                <w:iCs/>
                <w:color w:val="000000"/>
                <w:sz w:val="20"/>
                <w:szCs w:val="20"/>
                <w:lang w:val="es-MX"/>
              </w:rPr>
              <w:t>Los recibos de pago de todo el 2025 del personal del área donde administran la carga de gasolina y diésel</w:t>
            </w:r>
            <w:r w:rsidR="006A2607" w:rsidRPr="005B4090">
              <w:rPr>
                <w:rFonts w:cs="Tahoma"/>
                <w:i/>
                <w:iCs/>
                <w:color w:val="000000"/>
                <w:sz w:val="20"/>
                <w:szCs w:val="20"/>
                <w:lang w:val="es-MX"/>
              </w:rPr>
              <w:t>” (Sic.)</w:t>
            </w:r>
          </w:p>
        </w:tc>
      </w:tr>
      <w:tr w:rsidR="006A2607" w:rsidRPr="005B4090" w14:paraId="537440C6" w14:textId="77777777" w:rsidTr="00DB5382">
        <w:tc>
          <w:tcPr>
            <w:tcW w:w="2632" w:type="dxa"/>
            <w:tcBorders>
              <w:top w:val="single" w:sz="4" w:space="0" w:color="auto"/>
              <w:left w:val="single" w:sz="4" w:space="0" w:color="auto"/>
              <w:bottom w:val="single" w:sz="4" w:space="0" w:color="auto"/>
              <w:right w:val="single" w:sz="4" w:space="0" w:color="auto"/>
            </w:tcBorders>
          </w:tcPr>
          <w:p w14:paraId="71F67764" w14:textId="1847FF51" w:rsidR="006A2607" w:rsidRPr="005B4090" w:rsidRDefault="006168DA" w:rsidP="00595713">
            <w:pPr>
              <w:tabs>
                <w:tab w:val="left" w:pos="567"/>
              </w:tabs>
              <w:spacing w:line="360" w:lineRule="auto"/>
              <w:ind w:right="-28"/>
              <w:contextualSpacing/>
              <w:rPr>
                <w:rFonts w:cs="Tahoma"/>
                <w:b/>
                <w:bCs/>
                <w:i/>
                <w:iCs/>
                <w:color w:val="0D0D0D" w:themeColor="text1" w:themeTint="F2"/>
                <w:sz w:val="20"/>
                <w:szCs w:val="20"/>
              </w:rPr>
            </w:pPr>
            <w:r w:rsidRPr="005B4090">
              <w:rPr>
                <w:rFonts w:cs="Tahoma"/>
                <w:b/>
                <w:bCs/>
                <w:i/>
                <w:iCs/>
                <w:color w:val="0D0D0D" w:themeColor="text1" w:themeTint="F2"/>
                <w:sz w:val="20"/>
                <w:szCs w:val="20"/>
              </w:rPr>
              <w:t>00494/TEPOTZOT/IP/2025</w:t>
            </w:r>
          </w:p>
        </w:tc>
        <w:tc>
          <w:tcPr>
            <w:tcW w:w="6294" w:type="dxa"/>
            <w:tcBorders>
              <w:top w:val="single" w:sz="4" w:space="0" w:color="auto"/>
              <w:left w:val="single" w:sz="4" w:space="0" w:color="auto"/>
              <w:bottom w:val="single" w:sz="4" w:space="0" w:color="auto"/>
              <w:right w:val="single" w:sz="4" w:space="0" w:color="auto"/>
            </w:tcBorders>
          </w:tcPr>
          <w:p w14:paraId="174F2CBE" w14:textId="062D985C" w:rsidR="006A2607" w:rsidRPr="005B4090" w:rsidRDefault="002E345B" w:rsidP="00595713">
            <w:pPr>
              <w:tabs>
                <w:tab w:val="left" w:pos="567"/>
              </w:tabs>
              <w:spacing w:line="360" w:lineRule="auto"/>
              <w:contextualSpacing/>
              <w:rPr>
                <w:rFonts w:cs="Tahoma"/>
                <w:i/>
                <w:iCs/>
                <w:color w:val="000000"/>
                <w:sz w:val="20"/>
                <w:szCs w:val="20"/>
              </w:rPr>
            </w:pPr>
            <w:r w:rsidRPr="005B4090">
              <w:rPr>
                <w:rFonts w:cs="Tahoma"/>
                <w:i/>
                <w:iCs/>
                <w:color w:val="000000"/>
                <w:sz w:val="20"/>
                <w:szCs w:val="20"/>
                <w:lang w:val="es-MX"/>
              </w:rPr>
              <w:t xml:space="preserve">Todos los recibos de nómina del 2025 de todas las personas de apellido </w:t>
            </w:r>
            <w:proofErr w:type="spellStart"/>
            <w:r w:rsidRPr="005B4090">
              <w:rPr>
                <w:rFonts w:cs="Tahoma"/>
                <w:i/>
                <w:iCs/>
                <w:color w:val="000000"/>
                <w:sz w:val="20"/>
                <w:szCs w:val="20"/>
                <w:lang w:val="es-MX"/>
              </w:rPr>
              <w:t>Zuppa</w:t>
            </w:r>
            <w:proofErr w:type="spellEnd"/>
            <w:r w:rsidR="006A2607" w:rsidRPr="005B4090">
              <w:rPr>
                <w:rFonts w:cs="Tahoma"/>
                <w:i/>
                <w:iCs/>
                <w:color w:val="000000"/>
                <w:sz w:val="20"/>
                <w:szCs w:val="20"/>
                <w:lang w:val="es-MX"/>
              </w:rPr>
              <w:t>” (Sic.)</w:t>
            </w:r>
          </w:p>
        </w:tc>
      </w:tr>
      <w:tr w:rsidR="006A2607" w:rsidRPr="005B4090" w14:paraId="1B76D397" w14:textId="77777777" w:rsidTr="00DB5382">
        <w:tc>
          <w:tcPr>
            <w:tcW w:w="2632" w:type="dxa"/>
            <w:tcBorders>
              <w:top w:val="single" w:sz="4" w:space="0" w:color="auto"/>
              <w:left w:val="single" w:sz="4" w:space="0" w:color="auto"/>
              <w:bottom w:val="single" w:sz="4" w:space="0" w:color="auto"/>
              <w:right w:val="single" w:sz="4" w:space="0" w:color="auto"/>
            </w:tcBorders>
          </w:tcPr>
          <w:p w14:paraId="206CF589" w14:textId="14BD93B8" w:rsidR="006A2607" w:rsidRPr="005B4090" w:rsidRDefault="006168DA" w:rsidP="00595713">
            <w:pPr>
              <w:tabs>
                <w:tab w:val="left" w:pos="567"/>
              </w:tabs>
              <w:spacing w:line="360" w:lineRule="auto"/>
              <w:ind w:right="-28"/>
              <w:contextualSpacing/>
              <w:rPr>
                <w:rFonts w:cs="Tahoma"/>
                <w:b/>
                <w:bCs/>
                <w:i/>
                <w:iCs/>
                <w:color w:val="0D0D0D" w:themeColor="text1" w:themeTint="F2"/>
                <w:sz w:val="20"/>
                <w:szCs w:val="20"/>
              </w:rPr>
            </w:pPr>
            <w:r w:rsidRPr="005B4090">
              <w:rPr>
                <w:rFonts w:cs="Tahoma"/>
                <w:b/>
                <w:bCs/>
                <w:i/>
                <w:iCs/>
                <w:color w:val="0D0D0D" w:themeColor="text1" w:themeTint="F2"/>
                <w:sz w:val="20"/>
                <w:szCs w:val="20"/>
              </w:rPr>
              <w:t>00492/TEPOTZOT/IP/2025</w:t>
            </w:r>
          </w:p>
        </w:tc>
        <w:tc>
          <w:tcPr>
            <w:tcW w:w="6294" w:type="dxa"/>
            <w:tcBorders>
              <w:top w:val="single" w:sz="4" w:space="0" w:color="auto"/>
              <w:left w:val="single" w:sz="4" w:space="0" w:color="auto"/>
              <w:bottom w:val="single" w:sz="4" w:space="0" w:color="auto"/>
              <w:right w:val="single" w:sz="4" w:space="0" w:color="auto"/>
            </w:tcBorders>
          </w:tcPr>
          <w:p w14:paraId="0F145E6A" w14:textId="2BA8C8AF" w:rsidR="006A2607" w:rsidRPr="005B4090" w:rsidRDefault="002E345B" w:rsidP="00595713">
            <w:pPr>
              <w:tabs>
                <w:tab w:val="left" w:pos="567"/>
              </w:tabs>
              <w:spacing w:line="360" w:lineRule="auto"/>
              <w:contextualSpacing/>
              <w:rPr>
                <w:rFonts w:cs="Tahoma"/>
                <w:i/>
                <w:iCs/>
                <w:color w:val="000000"/>
                <w:sz w:val="20"/>
                <w:szCs w:val="20"/>
              </w:rPr>
            </w:pPr>
            <w:r w:rsidRPr="005B4090">
              <w:rPr>
                <w:rFonts w:cs="Tahoma"/>
                <w:i/>
                <w:iCs/>
                <w:color w:val="000000"/>
                <w:sz w:val="20"/>
                <w:szCs w:val="20"/>
                <w:lang w:val="es-MX"/>
              </w:rPr>
              <w:t>Todos los recibos de nómina del 2025 de la Coordinadora General Municipal de Mejora Regulatoria</w:t>
            </w:r>
            <w:r w:rsidR="006A2607" w:rsidRPr="005B4090">
              <w:rPr>
                <w:rFonts w:cs="Tahoma"/>
                <w:i/>
                <w:iCs/>
                <w:color w:val="000000"/>
                <w:sz w:val="20"/>
                <w:szCs w:val="20"/>
                <w:lang w:val="es-MX"/>
              </w:rPr>
              <w:t>” (Sic.)</w:t>
            </w:r>
          </w:p>
        </w:tc>
      </w:tr>
      <w:tr w:rsidR="00D94483" w:rsidRPr="005B4090" w14:paraId="5E133AE9" w14:textId="77777777" w:rsidTr="00DB5382">
        <w:tc>
          <w:tcPr>
            <w:tcW w:w="2632" w:type="dxa"/>
            <w:tcBorders>
              <w:top w:val="single" w:sz="4" w:space="0" w:color="auto"/>
              <w:left w:val="single" w:sz="4" w:space="0" w:color="auto"/>
              <w:bottom w:val="single" w:sz="4" w:space="0" w:color="auto"/>
              <w:right w:val="single" w:sz="4" w:space="0" w:color="auto"/>
            </w:tcBorders>
          </w:tcPr>
          <w:p w14:paraId="1FEB3FD6" w14:textId="35E82E36" w:rsidR="00D94483" w:rsidRPr="005B4090" w:rsidRDefault="006168DA" w:rsidP="00595713">
            <w:pPr>
              <w:tabs>
                <w:tab w:val="left" w:pos="567"/>
              </w:tabs>
              <w:spacing w:line="360" w:lineRule="auto"/>
              <w:ind w:right="-28"/>
              <w:contextualSpacing/>
              <w:rPr>
                <w:rFonts w:cs="Tahoma"/>
                <w:b/>
                <w:bCs/>
                <w:i/>
                <w:iCs/>
                <w:color w:val="0D0D0D"/>
                <w:sz w:val="20"/>
                <w:szCs w:val="20"/>
              </w:rPr>
            </w:pPr>
            <w:r w:rsidRPr="005B4090">
              <w:rPr>
                <w:rFonts w:cs="Tahoma"/>
                <w:b/>
                <w:bCs/>
                <w:i/>
                <w:iCs/>
                <w:color w:val="0D0D0D"/>
                <w:sz w:val="20"/>
                <w:szCs w:val="20"/>
              </w:rPr>
              <w:t>00493/TEPOTZOT/IP/2025</w:t>
            </w:r>
          </w:p>
        </w:tc>
        <w:tc>
          <w:tcPr>
            <w:tcW w:w="6294" w:type="dxa"/>
            <w:tcBorders>
              <w:top w:val="single" w:sz="4" w:space="0" w:color="auto"/>
              <w:left w:val="single" w:sz="4" w:space="0" w:color="auto"/>
              <w:bottom w:val="single" w:sz="4" w:space="0" w:color="auto"/>
              <w:right w:val="single" w:sz="4" w:space="0" w:color="auto"/>
            </w:tcBorders>
          </w:tcPr>
          <w:p w14:paraId="1EFCAA05" w14:textId="5D635BB3" w:rsidR="003A1DBB" w:rsidRPr="005B4090" w:rsidRDefault="002E345B" w:rsidP="00595713">
            <w:pPr>
              <w:tabs>
                <w:tab w:val="left" w:pos="567"/>
              </w:tabs>
              <w:spacing w:line="360" w:lineRule="auto"/>
              <w:contextualSpacing/>
              <w:rPr>
                <w:rFonts w:cs="Tahoma"/>
                <w:i/>
                <w:iCs/>
                <w:color w:val="000000"/>
                <w:sz w:val="20"/>
                <w:szCs w:val="20"/>
                <w:lang w:val="es-MX"/>
              </w:rPr>
            </w:pPr>
            <w:r w:rsidRPr="005B4090">
              <w:rPr>
                <w:rFonts w:cs="Tahoma"/>
                <w:i/>
                <w:iCs/>
                <w:color w:val="000000"/>
                <w:sz w:val="20"/>
                <w:szCs w:val="20"/>
                <w:lang w:val="es-MX"/>
              </w:rPr>
              <w:t>Todos los recibos de nómina del 2025 de todos los jefes de la dirección de desarrollo y fomento económico.</w:t>
            </w:r>
            <w:r w:rsidR="00913451" w:rsidRPr="005B4090">
              <w:rPr>
                <w:rFonts w:cs="Tahoma"/>
                <w:i/>
                <w:iCs/>
                <w:color w:val="000000"/>
                <w:sz w:val="20"/>
                <w:szCs w:val="20"/>
                <w:lang w:val="es-MX"/>
              </w:rPr>
              <w:t>” (Sic.)</w:t>
            </w:r>
          </w:p>
        </w:tc>
      </w:tr>
      <w:tr w:rsidR="006168DA" w:rsidRPr="005B4090" w14:paraId="3A5B1A82" w14:textId="77777777" w:rsidTr="00DB5382">
        <w:tc>
          <w:tcPr>
            <w:tcW w:w="2632" w:type="dxa"/>
            <w:tcBorders>
              <w:top w:val="single" w:sz="4" w:space="0" w:color="auto"/>
              <w:left w:val="single" w:sz="4" w:space="0" w:color="auto"/>
              <w:bottom w:val="single" w:sz="4" w:space="0" w:color="auto"/>
              <w:right w:val="single" w:sz="4" w:space="0" w:color="auto"/>
            </w:tcBorders>
          </w:tcPr>
          <w:p w14:paraId="1B81DDE1" w14:textId="018D8F46" w:rsidR="006168DA" w:rsidRPr="005B4090" w:rsidRDefault="006168DA" w:rsidP="00595713">
            <w:pPr>
              <w:tabs>
                <w:tab w:val="left" w:pos="567"/>
              </w:tabs>
              <w:spacing w:line="360" w:lineRule="auto"/>
              <w:ind w:right="-28"/>
              <w:contextualSpacing/>
              <w:rPr>
                <w:rFonts w:cs="Tahoma"/>
                <w:b/>
                <w:bCs/>
                <w:i/>
                <w:iCs/>
                <w:color w:val="0D0D0D"/>
                <w:sz w:val="20"/>
                <w:szCs w:val="20"/>
              </w:rPr>
            </w:pPr>
            <w:r w:rsidRPr="005B4090">
              <w:rPr>
                <w:rFonts w:cs="Tahoma"/>
                <w:b/>
                <w:bCs/>
                <w:i/>
                <w:iCs/>
                <w:color w:val="0D0D0D"/>
                <w:sz w:val="20"/>
                <w:szCs w:val="20"/>
              </w:rPr>
              <w:t>00472/TEPOTZOT/IP/2025</w:t>
            </w:r>
          </w:p>
        </w:tc>
        <w:tc>
          <w:tcPr>
            <w:tcW w:w="6294" w:type="dxa"/>
            <w:tcBorders>
              <w:top w:val="single" w:sz="4" w:space="0" w:color="auto"/>
              <w:left w:val="single" w:sz="4" w:space="0" w:color="auto"/>
              <w:bottom w:val="single" w:sz="4" w:space="0" w:color="auto"/>
              <w:right w:val="single" w:sz="4" w:space="0" w:color="auto"/>
            </w:tcBorders>
          </w:tcPr>
          <w:p w14:paraId="6029B03E" w14:textId="1A922864" w:rsidR="006168DA" w:rsidRPr="005B4090" w:rsidRDefault="00DE037A" w:rsidP="00595713">
            <w:pPr>
              <w:tabs>
                <w:tab w:val="left" w:pos="567"/>
              </w:tabs>
              <w:spacing w:line="360" w:lineRule="auto"/>
              <w:contextualSpacing/>
              <w:rPr>
                <w:rFonts w:cs="Tahoma"/>
                <w:i/>
                <w:iCs/>
                <w:color w:val="000000"/>
                <w:sz w:val="20"/>
                <w:szCs w:val="20"/>
              </w:rPr>
            </w:pPr>
            <w:r w:rsidRPr="005B4090">
              <w:rPr>
                <w:rFonts w:cs="Tahoma"/>
                <w:i/>
                <w:iCs/>
                <w:color w:val="000000"/>
                <w:sz w:val="20"/>
                <w:szCs w:val="20"/>
              </w:rPr>
              <w:t xml:space="preserve">Los recibos de nómina de 2025, y gafete de la titular de la </w:t>
            </w:r>
            <w:proofErr w:type="spellStart"/>
            <w:r w:rsidRPr="005B4090">
              <w:rPr>
                <w:rFonts w:cs="Tahoma"/>
                <w:i/>
                <w:iCs/>
                <w:color w:val="000000"/>
                <w:sz w:val="20"/>
                <w:szCs w:val="20"/>
              </w:rPr>
              <w:t>uippe</w:t>
            </w:r>
            <w:proofErr w:type="spellEnd"/>
            <w:r w:rsidRPr="005B4090">
              <w:rPr>
                <w:rFonts w:cs="Tahoma"/>
                <w:i/>
                <w:iCs/>
                <w:color w:val="000000"/>
                <w:sz w:val="20"/>
                <w:szCs w:val="20"/>
              </w:rPr>
              <w:t xml:space="preserve"> municipal</w:t>
            </w:r>
            <w:r w:rsidR="006168DA" w:rsidRPr="005B4090">
              <w:rPr>
                <w:rFonts w:cs="Tahoma"/>
                <w:i/>
                <w:iCs/>
                <w:color w:val="000000"/>
                <w:sz w:val="20"/>
                <w:szCs w:val="20"/>
              </w:rPr>
              <w:t>” (Sic.)</w:t>
            </w:r>
          </w:p>
        </w:tc>
      </w:tr>
    </w:tbl>
    <w:p w14:paraId="49C2A683" w14:textId="77777777" w:rsidR="00825FAA" w:rsidRPr="005B4090" w:rsidRDefault="00825FAA" w:rsidP="00595713">
      <w:pPr>
        <w:spacing w:after="0" w:line="360" w:lineRule="auto"/>
        <w:ind w:right="567"/>
        <w:contextualSpacing/>
        <w:rPr>
          <w:i/>
          <w:sz w:val="20"/>
          <w:szCs w:val="20"/>
        </w:rPr>
      </w:pPr>
    </w:p>
    <w:p w14:paraId="37680469" w14:textId="58629706" w:rsidR="0051666C" w:rsidRPr="005B4090" w:rsidRDefault="0051666C" w:rsidP="00595713">
      <w:pPr>
        <w:tabs>
          <w:tab w:val="left" w:pos="4667"/>
        </w:tabs>
        <w:spacing w:after="0" w:line="360" w:lineRule="auto"/>
        <w:rPr>
          <w:rFonts w:cs="Tahoma"/>
          <w:bCs/>
          <w:i/>
        </w:rPr>
      </w:pPr>
      <w:r w:rsidRPr="005B4090">
        <w:rPr>
          <w:rFonts w:cs="Tahoma"/>
          <w:bCs/>
          <w:iCs/>
        </w:rPr>
        <w:t xml:space="preserve">Es de señalar que en las </w:t>
      </w:r>
      <w:r w:rsidR="006B1E4E" w:rsidRPr="005B4090">
        <w:rPr>
          <w:rFonts w:cs="Tahoma"/>
          <w:bCs/>
          <w:iCs/>
        </w:rPr>
        <w:t>seis</w:t>
      </w:r>
      <w:r w:rsidRPr="005B4090">
        <w:rPr>
          <w:rFonts w:cs="Tahoma"/>
          <w:bCs/>
          <w:iCs/>
        </w:rPr>
        <w:t xml:space="preserve"> solicitudes de acceso a la información el ahora Recurrente </w:t>
      </w:r>
      <w:proofErr w:type="gramStart"/>
      <w:r w:rsidRPr="005B4090">
        <w:rPr>
          <w:rFonts w:cs="Tahoma"/>
          <w:bCs/>
          <w:iCs/>
        </w:rPr>
        <w:t>eligió como</w:t>
      </w:r>
      <w:proofErr w:type="gramEnd"/>
      <w:r w:rsidRPr="005B4090">
        <w:rPr>
          <w:rFonts w:cs="Tahoma"/>
          <w:bCs/>
          <w:iCs/>
        </w:rPr>
        <w:t xml:space="preserve"> modalidad de entrega de la información </w:t>
      </w:r>
      <w:r w:rsidRPr="005B4090">
        <w:rPr>
          <w:rFonts w:cs="Tahoma"/>
          <w:bCs/>
          <w:i/>
        </w:rPr>
        <w:t>“A través del SAIMEX”.</w:t>
      </w:r>
    </w:p>
    <w:p w14:paraId="1B482881" w14:textId="77777777" w:rsidR="00085BA7" w:rsidRPr="005B4090" w:rsidRDefault="00085BA7" w:rsidP="00595713">
      <w:pPr>
        <w:spacing w:after="0" w:line="360" w:lineRule="auto"/>
        <w:rPr>
          <w:rFonts w:eastAsia="Calibri" w:cs="Tahoma"/>
          <w:b/>
          <w:bCs/>
        </w:rPr>
      </w:pPr>
    </w:p>
    <w:p w14:paraId="63CFD72F" w14:textId="515A4CFA" w:rsidR="009109DA" w:rsidRPr="005B4090" w:rsidRDefault="00292386" w:rsidP="00595713">
      <w:pPr>
        <w:pStyle w:val="Ttulo2"/>
        <w:rPr>
          <w:rFonts w:eastAsia="Calibri"/>
        </w:rPr>
      </w:pPr>
      <w:bookmarkStart w:id="2" w:name="_Toc212028281"/>
      <w:r w:rsidRPr="005B4090">
        <w:rPr>
          <w:rFonts w:eastAsia="Calibri"/>
        </w:rPr>
        <w:t>I</w:t>
      </w:r>
      <w:r w:rsidR="00085BA7" w:rsidRPr="005B4090">
        <w:rPr>
          <w:rFonts w:eastAsia="Calibri"/>
        </w:rPr>
        <w:t>I</w:t>
      </w:r>
      <w:r w:rsidR="009109DA" w:rsidRPr="005B4090">
        <w:rPr>
          <w:rFonts w:eastAsia="Calibri"/>
        </w:rPr>
        <w:t>. Respuesta del Sujeto Obligado</w:t>
      </w:r>
      <w:bookmarkEnd w:id="2"/>
      <w:r w:rsidR="00D53C49" w:rsidRPr="005B4090">
        <w:rPr>
          <w:rFonts w:eastAsia="Calibri"/>
        </w:rPr>
        <w:t xml:space="preserve"> </w:t>
      </w:r>
    </w:p>
    <w:p w14:paraId="6AFEEAE6" w14:textId="77777777" w:rsidR="00D53C49" w:rsidRPr="005B4090" w:rsidRDefault="00D53C49" w:rsidP="00595713">
      <w:pPr>
        <w:spacing w:after="0" w:line="360" w:lineRule="auto"/>
        <w:rPr>
          <w:rFonts w:eastAsia="Calibri" w:cs="Tahoma"/>
          <w:b/>
          <w:bCs/>
        </w:rPr>
      </w:pPr>
    </w:p>
    <w:tbl>
      <w:tblPr>
        <w:tblStyle w:val="Tablaconcuadrcula"/>
        <w:tblW w:w="0" w:type="auto"/>
        <w:tblLook w:val="04A0" w:firstRow="1" w:lastRow="0" w:firstColumn="1" w:lastColumn="0" w:noHBand="0" w:noVBand="1"/>
      </w:tblPr>
      <w:tblGrid>
        <w:gridCol w:w="4815"/>
        <w:gridCol w:w="4106"/>
      </w:tblGrid>
      <w:tr w:rsidR="00D53C49" w:rsidRPr="005B4090" w14:paraId="57803635" w14:textId="77777777" w:rsidTr="00C86887">
        <w:tc>
          <w:tcPr>
            <w:tcW w:w="4815" w:type="dxa"/>
          </w:tcPr>
          <w:p w14:paraId="03FA9616" w14:textId="357751D0" w:rsidR="00D53C49" w:rsidRPr="005B4090" w:rsidRDefault="00D53C49" w:rsidP="00D53C49">
            <w:pPr>
              <w:spacing w:line="276" w:lineRule="auto"/>
              <w:rPr>
                <w:rFonts w:eastAsia="Calibri" w:cs="Tahoma"/>
                <w:b/>
                <w:bCs/>
                <w:sz w:val="20"/>
                <w:szCs w:val="20"/>
              </w:rPr>
            </w:pPr>
            <w:r w:rsidRPr="005B4090">
              <w:rPr>
                <w:rFonts w:eastAsia="Calibri" w:cs="Tahoma"/>
                <w:b/>
                <w:bCs/>
                <w:sz w:val="20"/>
                <w:szCs w:val="20"/>
              </w:rPr>
              <w:t>De las Solicitudes de Información 00505/TEPOTZOT/IP/2025, 00504/TEPOTZOT/IP/2025, 00494/TEPOTZOT/IP/2025, 0049</w:t>
            </w:r>
            <w:r w:rsidR="008B25DA" w:rsidRPr="005B4090">
              <w:rPr>
                <w:rFonts w:eastAsia="Calibri" w:cs="Tahoma"/>
                <w:b/>
                <w:bCs/>
                <w:sz w:val="20"/>
                <w:szCs w:val="20"/>
              </w:rPr>
              <w:t>3</w:t>
            </w:r>
            <w:r w:rsidRPr="005B4090">
              <w:rPr>
                <w:rFonts w:eastAsia="Calibri" w:cs="Tahoma"/>
                <w:b/>
                <w:bCs/>
                <w:sz w:val="20"/>
                <w:szCs w:val="20"/>
              </w:rPr>
              <w:t>/TEPOTZOT/IP/2025 y 00472/TEPOTZOT/IP/2025</w:t>
            </w:r>
          </w:p>
        </w:tc>
        <w:tc>
          <w:tcPr>
            <w:tcW w:w="4106" w:type="dxa"/>
          </w:tcPr>
          <w:p w14:paraId="3F5C6AF6" w14:textId="4E78A241" w:rsidR="00D53C49" w:rsidRPr="005B4090" w:rsidRDefault="00D53C49" w:rsidP="00D53C49">
            <w:pPr>
              <w:spacing w:line="276" w:lineRule="auto"/>
              <w:rPr>
                <w:rFonts w:eastAsia="Calibri" w:cs="Tahoma"/>
                <w:b/>
                <w:bCs/>
                <w:sz w:val="20"/>
                <w:szCs w:val="20"/>
              </w:rPr>
            </w:pPr>
            <w:r w:rsidRPr="005B4090">
              <w:rPr>
                <w:rFonts w:eastAsia="Calibri" w:cs="Tahoma"/>
                <w:b/>
                <w:bCs/>
                <w:sz w:val="20"/>
                <w:szCs w:val="20"/>
              </w:rPr>
              <w:t>De la solicitud de información 00492/TEPOTZOT/IP/2025</w:t>
            </w:r>
          </w:p>
        </w:tc>
      </w:tr>
      <w:tr w:rsidR="00D53C49" w:rsidRPr="005B4090" w14:paraId="57223999" w14:textId="77777777" w:rsidTr="00C86887">
        <w:tc>
          <w:tcPr>
            <w:tcW w:w="4815" w:type="dxa"/>
          </w:tcPr>
          <w:p w14:paraId="6CAC7D19" w14:textId="091362DB" w:rsidR="00D53C49" w:rsidRPr="005B4090" w:rsidRDefault="00D53C49" w:rsidP="00595713">
            <w:pPr>
              <w:spacing w:line="360" w:lineRule="auto"/>
              <w:rPr>
                <w:rFonts w:eastAsia="Calibri" w:cs="Tahoma"/>
                <w:bCs/>
                <w:sz w:val="20"/>
                <w:szCs w:val="20"/>
              </w:rPr>
            </w:pPr>
            <w:r w:rsidRPr="005B4090">
              <w:rPr>
                <w:rFonts w:eastAsia="Calibri" w:cs="Tahoma"/>
                <w:bCs/>
                <w:sz w:val="20"/>
                <w:szCs w:val="20"/>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w:t>
            </w:r>
            <w:r w:rsidRPr="005B4090">
              <w:rPr>
                <w:rFonts w:eastAsia="Calibri" w:cs="Tahoma"/>
                <w:bCs/>
                <w:sz w:val="20"/>
                <w:szCs w:val="20"/>
              </w:rPr>
              <w:lastRenderedPageBreak/>
              <w:t xml:space="preserve">obran en el expediente electrónico del Sistema de Acceso a la Información Mexiquense (SAIMEX), se advierte que el </w:t>
            </w:r>
            <w:r w:rsidRPr="005B4090">
              <w:rPr>
                <w:rFonts w:eastAsia="Calibri" w:cs="Tahoma"/>
                <w:b/>
                <w:bCs/>
                <w:sz w:val="20"/>
                <w:szCs w:val="20"/>
              </w:rPr>
              <w:t>Ayuntamiento de Tepotzotlán</w:t>
            </w:r>
            <w:r w:rsidRPr="005B4090">
              <w:rPr>
                <w:rFonts w:eastAsia="Calibri" w:cs="Tahoma"/>
                <w:bCs/>
                <w:sz w:val="20"/>
                <w:szCs w:val="20"/>
              </w:rPr>
              <w:t>, omitió dar respuesta a las solicitudes de información, por lo que se configura la negativa ficta a entregar información, prevista en los artículos 166, párrafo cuarto y 178, párrafo segundo, de la Ley de Transparencia y Acceso a la Información Pública del Estado de México y Municipios.</w:t>
            </w:r>
          </w:p>
        </w:tc>
        <w:tc>
          <w:tcPr>
            <w:tcW w:w="4106" w:type="dxa"/>
          </w:tcPr>
          <w:p w14:paraId="0291E0D1" w14:textId="7F22A043" w:rsidR="00D53C49" w:rsidRPr="005B4090" w:rsidRDefault="00D53C49" w:rsidP="00D53C49">
            <w:pPr>
              <w:spacing w:line="360" w:lineRule="auto"/>
              <w:rPr>
                <w:rFonts w:eastAsia="Palatino Linotype" w:cs="Palatino Linotype"/>
                <w:color w:val="000000"/>
                <w:sz w:val="20"/>
                <w:lang w:eastAsia="es-MX"/>
              </w:rPr>
            </w:pPr>
            <w:r w:rsidRPr="005B4090">
              <w:rPr>
                <w:rFonts w:eastAsia="Palatino Linotype" w:cs="Palatino Linotype"/>
                <w:color w:val="000000"/>
                <w:sz w:val="20"/>
                <w:lang w:eastAsia="es-MX"/>
              </w:rPr>
              <w:lastRenderedPageBreak/>
              <w:t xml:space="preserve">El veintisiete de septiembre de dos mil veinticinco, el Sujeto Obligado notificó, a través del Sistema de Acceso a la Información Mexiquense (SAIMEX), la respuesta a la solicitud de acceso a la información pública, a través del oficio </w:t>
            </w:r>
            <w:r w:rsidRPr="005B4090">
              <w:rPr>
                <w:rFonts w:eastAsia="Palatino Linotype" w:cs="Palatino Linotype"/>
                <w:color w:val="000000"/>
                <w:sz w:val="20"/>
                <w:lang w:eastAsia="es-MX"/>
              </w:rPr>
              <w:lastRenderedPageBreak/>
              <w:t xml:space="preserve">número </w:t>
            </w:r>
            <w:proofErr w:type="spellStart"/>
            <w:r w:rsidRPr="005B4090">
              <w:rPr>
                <w:rFonts w:eastAsia="Palatino Linotype" w:cs="Palatino Linotype"/>
                <w:color w:val="000000"/>
                <w:sz w:val="20"/>
                <w:lang w:eastAsia="es-MX"/>
              </w:rPr>
              <w:t>DAyF</w:t>
            </w:r>
            <w:proofErr w:type="spellEnd"/>
            <w:r w:rsidRPr="005B4090">
              <w:rPr>
                <w:rFonts w:eastAsia="Palatino Linotype" w:cs="Palatino Linotype"/>
                <w:color w:val="000000"/>
                <w:sz w:val="20"/>
                <w:lang w:eastAsia="es-MX"/>
              </w:rPr>
              <w:t>/469/2025, del veintidós de septiembre de dos mil veinticinco</w:t>
            </w:r>
            <w:r w:rsidR="00C86887" w:rsidRPr="005B4090">
              <w:rPr>
                <w:rFonts w:eastAsia="Palatino Linotype" w:cs="Palatino Linotype"/>
                <w:color w:val="000000"/>
                <w:sz w:val="20"/>
                <w:lang w:eastAsia="es-MX"/>
              </w:rPr>
              <w:t xml:space="preserve">, suscrito por el </w:t>
            </w:r>
            <w:proofErr w:type="gramStart"/>
            <w:r w:rsidR="00C86887" w:rsidRPr="005B4090">
              <w:rPr>
                <w:rFonts w:eastAsia="Palatino Linotype" w:cs="Palatino Linotype"/>
                <w:color w:val="000000"/>
                <w:sz w:val="20"/>
                <w:lang w:eastAsia="es-MX"/>
              </w:rPr>
              <w:t>Director</w:t>
            </w:r>
            <w:proofErr w:type="gramEnd"/>
            <w:r w:rsidR="00C86887" w:rsidRPr="005B4090">
              <w:rPr>
                <w:rFonts w:eastAsia="Palatino Linotype" w:cs="Palatino Linotype"/>
                <w:color w:val="000000"/>
                <w:sz w:val="20"/>
                <w:lang w:eastAsia="es-MX"/>
              </w:rPr>
              <w:t xml:space="preserve"> de Administración y Finanzas y dirigido a la Titular </w:t>
            </w:r>
            <w:proofErr w:type="gramStart"/>
            <w:r w:rsidR="00C86887" w:rsidRPr="005B4090">
              <w:rPr>
                <w:rFonts w:eastAsia="Palatino Linotype" w:cs="Palatino Linotype"/>
                <w:color w:val="000000"/>
                <w:sz w:val="20"/>
                <w:lang w:eastAsia="es-MX"/>
              </w:rPr>
              <w:t>de  la</w:t>
            </w:r>
            <w:proofErr w:type="gramEnd"/>
            <w:r w:rsidR="00C86887" w:rsidRPr="005B4090">
              <w:rPr>
                <w:rFonts w:eastAsia="Palatino Linotype" w:cs="Palatino Linotype"/>
                <w:color w:val="000000"/>
                <w:sz w:val="20"/>
                <w:lang w:eastAsia="es-MX"/>
              </w:rPr>
              <w:t xml:space="preserve"> Unidad de Transparencia, por medio del cual mencionó lo siguiente:</w:t>
            </w:r>
          </w:p>
          <w:p w14:paraId="6E6B2CB6" w14:textId="77777777" w:rsidR="00C86887" w:rsidRPr="005B4090" w:rsidRDefault="00C86887" w:rsidP="00D53C49">
            <w:pPr>
              <w:spacing w:line="360" w:lineRule="auto"/>
              <w:rPr>
                <w:rFonts w:eastAsia="Palatino Linotype" w:cs="Palatino Linotype"/>
                <w:color w:val="000000"/>
                <w:sz w:val="20"/>
                <w:lang w:eastAsia="es-MX"/>
              </w:rPr>
            </w:pPr>
          </w:p>
          <w:p w14:paraId="209F446B" w14:textId="1320BD55" w:rsidR="00C86887" w:rsidRPr="005B4090" w:rsidRDefault="00C86887" w:rsidP="00D53C49">
            <w:pPr>
              <w:spacing w:line="360" w:lineRule="auto"/>
              <w:rPr>
                <w:rFonts w:eastAsia="Palatino Linotype" w:cs="Palatino Linotype"/>
                <w:i/>
                <w:color w:val="000000"/>
                <w:sz w:val="20"/>
                <w:lang w:eastAsia="es-MX"/>
              </w:rPr>
            </w:pPr>
            <w:r w:rsidRPr="005B4090">
              <w:rPr>
                <w:rFonts w:eastAsia="Palatino Linotype" w:cs="Palatino Linotype"/>
                <w:i/>
                <w:color w:val="000000"/>
                <w:sz w:val="20"/>
                <w:lang w:eastAsia="es-MX"/>
              </w:rPr>
              <w:t>“…En virtud de lo anterior, después de realizar una búsqueda exhaustiva y razonable en los archivos y registros que obran en esta Dirección, se informa que no se tiene una dependencia bajo el nombre de Dirección de Desarrollo y Fomento Agropecuario y Fomento Económico.</w:t>
            </w:r>
          </w:p>
          <w:p w14:paraId="30480CDD" w14:textId="3069FBE1" w:rsidR="00D53C49" w:rsidRPr="005B4090" w:rsidRDefault="00C86887" w:rsidP="00595713">
            <w:pPr>
              <w:spacing w:line="360" w:lineRule="auto"/>
              <w:rPr>
                <w:rFonts w:eastAsia="Palatino Linotype" w:cs="Palatino Linotype"/>
                <w:i/>
                <w:color w:val="000000"/>
                <w:sz w:val="20"/>
                <w:lang w:eastAsia="es-MX"/>
              </w:rPr>
            </w:pPr>
            <w:r w:rsidRPr="005B4090">
              <w:rPr>
                <w:rFonts w:eastAsia="Palatino Linotype" w:cs="Palatino Linotype"/>
                <w:i/>
                <w:color w:val="000000"/>
                <w:sz w:val="20"/>
                <w:lang w:eastAsia="es-MX"/>
              </w:rPr>
              <w:t>…”</w:t>
            </w:r>
          </w:p>
        </w:tc>
      </w:tr>
    </w:tbl>
    <w:p w14:paraId="570E7704" w14:textId="77777777" w:rsidR="009109DA" w:rsidRPr="005B4090" w:rsidRDefault="009109DA" w:rsidP="00595713">
      <w:pPr>
        <w:autoSpaceDE w:val="0"/>
        <w:autoSpaceDN w:val="0"/>
        <w:adjustRightInd w:val="0"/>
        <w:spacing w:after="0" w:line="360" w:lineRule="auto"/>
        <w:rPr>
          <w:rFonts w:eastAsia="Calibri" w:cs="Tahoma"/>
          <w:b/>
          <w:color w:val="000000"/>
        </w:rPr>
      </w:pPr>
    </w:p>
    <w:p w14:paraId="60F8A719" w14:textId="25A88720" w:rsidR="009109DA" w:rsidRPr="005B4090" w:rsidRDefault="00D96DD8" w:rsidP="00595713">
      <w:pPr>
        <w:pStyle w:val="Ttulo2"/>
        <w:rPr>
          <w:rFonts w:eastAsia="Calibri"/>
        </w:rPr>
      </w:pPr>
      <w:bookmarkStart w:id="3" w:name="_Toc212028282"/>
      <w:r w:rsidRPr="005B4090">
        <w:rPr>
          <w:rFonts w:eastAsia="Calibri"/>
        </w:rPr>
        <w:t>I</w:t>
      </w:r>
      <w:r w:rsidR="006B1E4E" w:rsidRPr="005B4090">
        <w:rPr>
          <w:rFonts w:eastAsia="Calibri"/>
        </w:rPr>
        <w:t>II</w:t>
      </w:r>
      <w:r w:rsidR="009109DA" w:rsidRPr="005B4090">
        <w:rPr>
          <w:rFonts w:eastAsia="Calibri"/>
        </w:rPr>
        <w:t>. Interposición del Recurso de Revisión</w:t>
      </w:r>
      <w:bookmarkEnd w:id="3"/>
      <w:r w:rsidR="009109DA" w:rsidRPr="005B4090">
        <w:rPr>
          <w:rFonts w:eastAsia="Calibri"/>
        </w:rPr>
        <w:t xml:space="preserve"> </w:t>
      </w:r>
    </w:p>
    <w:p w14:paraId="3E2F5155" w14:textId="77777777" w:rsidR="009109DA" w:rsidRPr="005B4090" w:rsidRDefault="009109DA" w:rsidP="00595713">
      <w:pPr>
        <w:spacing w:after="0" w:line="360" w:lineRule="auto"/>
        <w:rPr>
          <w:rFonts w:eastAsia="Times New Roman" w:cs="Tahoma"/>
          <w:bCs/>
          <w:color w:val="auto"/>
          <w:lang w:eastAsia="es-ES"/>
        </w:rPr>
      </w:pPr>
    </w:p>
    <w:p w14:paraId="7A3DB35F" w14:textId="412CEE24" w:rsidR="00802B14" w:rsidRPr="005B4090" w:rsidRDefault="00121FAB" w:rsidP="00595713">
      <w:pPr>
        <w:spacing w:after="0" w:line="360" w:lineRule="auto"/>
        <w:rPr>
          <w:rFonts w:eastAsia="Times New Roman" w:cs="Tahoma"/>
          <w:bCs/>
          <w:color w:val="auto"/>
          <w:lang w:eastAsia="es-ES"/>
        </w:rPr>
      </w:pPr>
      <w:r w:rsidRPr="005B4090">
        <w:rPr>
          <w:rFonts w:eastAsia="Times New Roman" w:cs="Tahoma"/>
          <w:bCs/>
          <w:color w:val="auto"/>
          <w:lang w:val="es-ES" w:eastAsia="es-ES"/>
        </w:rPr>
        <w:t xml:space="preserve">El </w:t>
      </w:r>
      <w:r w:rsidR="00905A3A" w:rsidRPr="005B4090">
        <w:rPr>
          <w:rFonts w:eastAsia="Times New Roman" w:cs="Tahoma"/>
          <w:bCs/>
          <w:color w:val="auto"/>
          <w:lang w:val="es-ES" w:eastAsia="es-ES"/>
        </w:rPr>
        <w:t>seis de octubre</w:t>
      </w:r>
      <w:r w:rsidR="00256BCA" w:rsidRPr="005B4090">
        <w:rPr>
          <w:rFonts w:eastAsia="Times New Roman" w:cs="Tahoma"/>
          <w:bCs/>
          <w:color w:val="auto"/>
          <w:lang w:val="es-ES" w:eastAsia="es-ES"/>
        </w:rPr>
        <w:t xml:space="preserve"> </w:t>
      </w:r>
      <w:r w:rsidR="0028229D" w:rsidRPr="005B4090">
        <w:rPr>
          <w:rFonts w:eastAsia="Times New Roman" w:cs="Tahoma"/>
          <w:bCs/>
          <w:color w:val="auto"/>
          <w:lang w:val="es-ES" w:eastAsia="es-ES"/>
        </w:rPr>
        <w:t>de dos mil veinticinco</w:t>
      </w:r>
      <w:r w:rsidR="00905A3A" w:rsidRPr="005B4090">
        <w:rPr>
          <w:rFonts w:eastAsia="Times New Roman" w:cs="Tahoma"/>
          <w:bCs/>
          <w:color w:val="auto"/>
          <w:lang w:val="es-ES" w:eastAsia="es-ES"/>
        </w:rPr>
        <w:t xml:space="preserve"> (</w:t>
      </w:r>
      <w:proofErr w:type="gramStart"/>
      <w:r w:rsidR="00905A3A" w:rsidRPr="005B4090">
        <w:rPr>
          <w:rFonts w:eastAsia="Times New Roman" w:cs="Tahoma"/>
          <w:bCs/>
          <w:color w:val="auto"/>
          <w:lang w:val="es-ES" w:eastAsia="es-ES"/>
        </w:rPr>
        <w:t>ya que</w:t>
      </w:r>
      <w:proofErr w:type="gramEnd"/>
      <w:r w:rsidR="00905A3A" w:rsidRPr="005B4090">
        <w:rPr>
          <w:rFonts w:eastAsia="Times New Roman" w:cs="Tahoma"/>
          <w:bCs/>
          <w:color w:val="auto"/>
          <w:lang w:val="es-ES" w:eastAsia="es-ES"/>
        </w:rPr>
        <w:t xml:space="preserve"> si bien se registró el cuatro</w:t>
      </w:r>
      <w:r w:rsidR="00DE037A" w:rsidRPr="005B4090">
        <w:rPr>
          <w:rFonts w:eastAsia="Times New Roman" w:cs="Tahoma"/>
          <w:bCs/>
          <w:color w:val="auto"/>
          <w:lang w:val="es-ES" w:eastAsia="es-ES"/>
        </w:rPr>
        <w:t xml:space="preserve"> y cinco</w:t>
      </w:r>
      <w:r w:rsidR="00905A3A" w:rsidRPr="005B4090">
        <w:rPr>
          <w:rFonts w:eastAsia="Times New Roman" w:cs="Tahoma"/>
          <w:bCs/>
          <w:color w:val="auto"/>
          <w:lang w:val="es-ES" w:eastAsia="es-ES"/>
        </w:rPr>
        <w:t xml:space="preserve"> </w:t>
      </w:r>
      <w:proofErr w:type="gramStart"/>
      <w:r w:rsidR="00905A3A" w:rsidRPr="005B4090">
        <w:rPr>
          <w:rFonts w:eastAsia="Times New Roman" w:cs="Tahoma"/>
          <w:bCs/>
          <w:color w:val="auto"/>
          <w:lang w:val="es-ES" w:eastAsia="es-ES"/>
        </w:rPr>
        <w:t>del  mismo</w:t>
      </w:r>
      <w:proofErr w:type="gramEnd"/>
      <w:r w:rsidR="00905A3A" w:rsidRPr="005B4090">
        <w:rPr>
          <w:rFonts w:eastAsia="Times New Roman" w:cs="Tahoma"/>
          <w:bCs/>
          <w:color w:val="auto"/>
          <w:lang w:val="es-ES" w:eastAsia="es-ES"/>
        </w:rPr>
        <w:t xml:space="preserve"> mes y año, tan bien es que, fue día inhábil)</w:t>
      </w:r>
      <w:r w:rsidR="00113AE3" w:rsidRPr="005B4090">
        <w:rPr>
          <w:rFonts w:eastAsia="Times New Roman" w:cs="Tahoma"/>
          <w:bCs/>
          <w:color w:val="auto"/>
          <w:lang w:val="es-ES" w:eastAsia="es-ES"/>
        </w:rPr>
        <w:t xml:space="preserve">, </w:t>
      </w:r>
      <w:r w:rsidR="00113AE3" w:rsidRPr="005B4090">
        <w:rPr>
          <w:rFonts w:eastAsia="Times New Roman" w:cs="Tahoma"/>
          <w:bCs/>
          <w:color w:val="auto"/>
          <w:lang w:eastAsia="es-ES"/>
        </w:rPr>
        <w:t xml:space="preserve">se recibió en este Instituto, a través del </w:t>
      </w:r>
      <w:r w:rsidR="00113AE3" w:rsidRPr="005B4090">
        <w:rPr>
          <w:rFonts w:eastAsia="Times New Roman" w:cs="Tahoma"/>
          <w:bCs/>
          <w:color w:val="auto"/>
          <w:lang w:val="es-ES" w:eastAsia="es-ES"/>
        </w:rPr>
        <w:t>Sistema de Acceso a la Información Mexiquense (SAIMEX)</w:t>
      </w:r>
      <w:r w:rsidR="00113AE3" w:rsidRPr="005B4090">
        <w:rPr>
          <w:rFonts w:eastAsia="Times New Roman" w:cs="Tahoma"/>
          <w:bCs/>
          <w:color w:val="auto"/>
          <w:lang w:eastAsia="es-ES"/>
        </w:rPr>
        <w:t xml:space="preserve">, </w:t>
      </w:r>
      <w:r w:rsidR="00905A3A" w:rsidRPr="005B4090">
        <w:rPr>
          <w:rFonts w:eastAsia="Times New Roman" w:cs="Tahoma"/>
          <w:bCs/>
          <w:color w:val="auto"/>
          <w:lang w:eastAsia="es-ES"/>
        </w:rPr>
        <w:t>seis</w:t>
      </w:r>
      <w:r w:rsidR="00113AE3" w:rsidRPr="005B4090">
        <w:rPr>
          <w:rFonts w:eastAsia="Times New Roman" w:cs="Tahoma"/>
          <w:bCs/>
          <w:color w:val="auto"/>
          <w:lang w:eastAsia="es-ES"/>
        </w:rPr>
        <w:t xml:space="preserve"> Recursos de Revisión interpuestos por la p</w:t>
      </w:r>
      <w:r w:rsidR="002514BF" w:rsidRPr="005B4090">
        <w:rPr>
          <w:rFonts w:eastAsia="Times New Roman" w:cs="Tahoma"/>
          <w:bCs/>
          <w:color w:val="auto"/>
          <w:lang w:eastAsia="es-ES"/>
        </w:rPr>
        <w:t>ersona</w:t>
      </w:r>
      <w:r w:rsidR="00113AE3" w:rsidRPr="005B4090">
        <w:rPr>
          <w:rFonts w:eastAsia="Times New Roman" w:cs="Tahoma"/>
          <w:bCs/>
          <w:color w:val="auto"/>
          <w:lang w:eastAsia="es-ES"/>
        </w:rPr>
        <w:t xml:space="preserve"> Recurrente, en contra de la falta de respuesta del Sujeto Obligado</w:t>
      </w:r>
      <w:r w:rsidR="0028229D" w:rsidRPr="005B4090">
        <w:rPr>
          <w:rFonts w:cs="Tahoma"/>
          <w:lang w:val="es-ES"/>
        </w:rPr>
        <w:t xml:space="preserve">, </w:t>
      </w:r>
      <w:r w:rsidR="00113AE3" w:rsidRPr="005B4090">
        <w:rPr>
          <w:rFonts w:eastAsia="Times New Roman" w:cs="Tahoma"/>
          <w:bCs/>
          <w:color w:val="auto"/>
          <w:lang w:eastAsia="es-ES"/>
        </w:rPr>
        <w:t xml:space="preserve">en los </w:t>
      </w:r>
      <w:r w:rsidR="00EB4163" w:rsidRPr="005B4090">
        <w:rPr>
          <w:rFonts w:eastAsia="Times New Roman" w:cs="Tahoma"/>
          <w:bCs/>
          <w:color w:val="auto"/>
          <w:lang w:eastAsia="es-ES"/>
        </w:rPr>
        <w:t>términos</w:t>
      </w:r>
      <w:r w:rsidR="002514BF" w:rsidRPr="005B4090">
        <w:rPr>
          <w:rFonts w:eastAsia="Times New Roman" w:cs="Tahoma"/>
          <w:bCs/>
          <w:color w:val="auto"/>
          <w:lang w:eastAsia="es-ES"/>
        </w:rPr>
        <w:t xml:space="preserve"> </w:t>
      </w:r>
      <w:r w:rsidR="00113AE3" w:rsidRPr="005B4090">
        <w:rPr>
          <w:rFonts w:eastAsia="Times New Roman" w:cs="Tahoma"/>
          <w:bCs/>
          <w:color w:val="auto"/>
          <w:lang w:eastAsia="es-ES"/>
        </w:rPr>
        <w:t>siguientes:</w:t>
      </w:r>
      <w:r w:rsidR="00E17E82" w:rsidRPr="005B4090">
        <w:rPr>
          <w:rFonts w:cs="Tahoma"/>
          <w:lang w:val="es-ES"/>
        </w:rPr>
        <w:t xml:space="preserve"> </w:t>
      </w:r>
    </w:p>
    <w:p w14:paraId="37BC5D84" w14:textId="77777777" w:rsidR="000F3F8A" w:rsidRPr="005B4090" w:rsidRDefault="000F3F8A" w:rsidP="00595713">
      <w:pPr>
        <w:widowControl w:val="0"/>
        <w:spacing w:after="0" w:line="360" w:lineRule="auto"/>
        <w:rPr>
          <w:rFonts w:cs="Tahoma"/>
          <w:i/>
          <w:lang w:val="es-ES"/>
        </w:rPr>
      </w:pPr>
    </w:p>
    <w:p w14:paraId="52D475F1" w14:textId="03274014" w:rsidR="002E345B" w:rsidRPr="005B4090" w:rsidRDefault="002E345B" w:rsidP="002E345B">
      <w:pPr>
        <w:spacing w:after="0" w:line="360" w:lineRule="auto"/>
        <w:ind w:left="567" w:right="567"/>
        <w:contextualSpacing/>
        <w:rPr>
          <w:rFonts w:cs="Tahoma"/>
          <w:b/>
          <w:bCs/>
          <w:i/>
          <w:sz w:val="20"/>
          <w:szCs w:val="20"/>
        </w:rPr>
      </w:pPr>
      <w:r w:rsidRPr="005B4090">
        <w:rPr>
          <w:rFonts w:cs="Tahoma"/>
          <w:b/>
          <w:bCs/>
          <w:i/>
          <w:sz w:val="20"/>
          <w:szCs w:val="20"/>
        </w:rPr>
        <w:t>Recursos de Revisión 11446/INFOEM/IP/RR/2025, 11447/INFOEM/IP/RR/2025, 11449/INFOEM/IP/RR/2025, 11450/INFOEM/IP/RR/2025</w:t>
      </w:r>
    </w:p>
    <w:p w14:paraId="1096B75F" w14:textId="5FE57C02" w:rsidR="00802B14" w:rsidRPr="005B4090" w:rsidRDefault="00EE6AEF" w:rsidP="00595713">
      <w:pPr>
        <w:spacing w:after="0" w:line="360" w:lineRule="auto"/>
        <w:ind w:left="567" w:right="567"/>
        <w:contextualSpacing/>
        <w:rPr>
          <w:rFonts w:cs="Tahoma"/>
          <w:b/>
          <w:bCs/>
          <w:i/>
          <w:sz w:val="20"/>
          <w:szCs w:val="20"/>
        </w:rPr>
      </w:pPr>
      <w:r w:rsidRPr="005B4090">
        <w:rPr>
          <w:rFonts w:cs="Tahoma"/>
          <w:b/>
          <w:bCs/>
          <w:i/>
          <w:sz w:val="20"/>
          <w:szCs w:val="20"/>
        </w:rPr>
        <w:t>‘’</w:t>
      </w:r>
      <w:r w:rsidR="00802B14" w:rsidRPr="005B4090">
        <w:rPr>
          <w:rFonts w:cs="Tahoma"/>
          <w:b/>
          <w:bCs/>
          <w:i/>
          <w:sz w:val="20"/>
          <w:szCs w:val="20"/>
        </w:rPr>
        <w:t>ACTO IMPUGNADO</w:t>
      </w:r>
    </w:p>
    <w:p w14:paraId="01057F4C" w14:textId="765D5D88" w:rsidR="00802B14" w:rsidRPr="005B4090" w:rsidRDefault="00905A3A" w:rsidP="00595713">
      <w:pPr>
        <w:tabs>
          <w:tab w:val="left" w:pos="4667"/>
        </w:tabs>
        <w:spacing w:after="0" w:line="360" w:lineRule="auto"/>
        <w:ind w:left="567" w:right="567"/>
        <w:rPr>
          <w:rFonts w:cs="Tahoma"/>
          <w:bCs/>
          <w:i/>
          <w:sz w:val="20"/>
          <w:szCs w:val="20"/>
        </w:rPr>
      </w:pPr>
      <w:r w:rsidRPr="005B4090">
        <w:rPr>
          <w:rFonts w:cs="Tahoma"/>
          <w:bCs/>
          <w:i/>
          <w:sz w:val="20"/>
          <w:szCs w:val="20"/>
        </w:rPr>
        <w:t>La falta de respuesta a una solicitud de acceso a la información</w:t>
      </w:r>
      <w:r w:rsidR="00EE6AEF" w:rsidRPr="005B4090">
        <w:rPr>
          <w:rFonts w:cs="Tahoma"/>
          <w:bCs/>
          <w:i/>
          <w:sz w:val="20"/>
          <w:szCs w:val="20"/>
        </w:rPr>
        <w:t>’’</w:t>
      </w:r>
      <w:r w:rsidR="00150A85" w:rsidRPr="005B4090">
        <w:rPr>
          <w:rFonts w:cs="Tahoma"/>
          <w:bCs/>
          <w:i/>
          <w:sz w:val="20"/>
          <w:szCs w:val="20"/>
        </w:rPr>
        <w:t xml:space="preserve"> (Sic.)</w:t>
      </w:r>
    </w:p>
    <w:p w14:paraId="4AF13A89" w14:textId="77777777" w:rsidR="00802B14" w:rsidRPr="005B4090" w:rsidRDefault="00802B14" w:rsidP="00595713">
      <w:pPr>
        <w:tabs>
          <w:tab w:val="left" w:pos="4667"/>
        </w:tabs>
        <w:spacing w:after="0" w:line="360" w:lineRule="auto"/>
        <w:ind w:left="567" w:right="567"/>
        <w:rPr>
          <w:rFonts w:cs="Tahoma"/>
          <w:bCs/>
          <w:i/>
          <w:sz w:val="20"/>
          <w:szCs w:val="20"/>
        </w:rPr>
      </w:pPr>
    </w:p>
    <w:p w14:paraId="235F6EE4" w14:textId="0E72B13D" w:rsidR="00802B14" w:rsidRPr="005B4090" w:rsidRDefault="00EE6AEF" w:rsidP="00595713">
      <w:pPr>
        <w:tabs>
          <w:tab w:val="left" w:pos="4667"/>
        </w:tabs>
        <w:spacing w:after="0" w:line="360" w:lineRule="auto"/>
        <w:ind w:left="567" w:right="567"/>
        <w:rPr>
          <w:rFonts w:cs="Tahoma"/>
          <w:b/>
          <w:bCs/>
          <w:i/>
          <w:sz w:val="20"/>
          <w:szCs w:val="20"/>
        </w:rPr>
      </w:pPr>
      <w:r w:rsidRPr="005B4090">
        <w:rPr>
          <w:rFonts w:cs="Tahoma"/>
          <w:b/>
          <w:bCs/>
          <w:i/>
          <w:sz w:val="20"/>
          <w:szCs w:val="20"/>
        </w:rPr>
        <w:t>‘’</w:t>
      </w:r>
      <w:r w:rsidR="00802B14" w:rsidRPr="005B4090">
        <w:rPr>
          <w:rFonts w:cs="Tahoma"/>
          <w:b/>
          <w:bCs/>
          <w:i/>
          <w:sz w:val="20"/>
          <w:szCs w:val="20"/>
        </w:rPr>
        <w:t>RAZONES O MOTIVOS DE LA INCONFORMIDAD</w:t>
      </w:r>
    </w:p>
    <w:p w14:paraId="584980F1" w14:textId="15ED80F5" w:rsidR="00F46DF7" w:rsidRPr="005B4090" w:rsidRDefault="00905A3A" w:rsidP="00595713">
      <w:pPr>
        <w:tabs>
          <w:tab w:val="left" w:pos="4667"/>
        </w:tabs>
        <w:spacing w:after="0" w:line="360" w:lineRule="auto"/>
        <w:ind w:left="567" w:right="567"/>
        <w:rPr>
          <w:rFonts w:cs="Tahoma"/>
          <w:i/>
          <w:sz w:val="20"/>
          <w:szCs w:val="20"/>
        </w:rPr>
      </w:pPr>
      <w:r w:rsidRPr="005B4090">
        <w:rPr>
          <w:rFonts w:cs="Tahoma"/>
          <w:i/>
          <w:sz w:val="20"/>
          <w:szCs w:val="20"/>
        </w:rPr>
        <w:lastRenderedPageBreak/>
        <w:t>La falta de respuesta a una solicitud de acceso a la información</w:t>
      </w:r>
      <w:r w:rsidR="003A1DBB" w:rsidRPr="005B4090">
        <w:rPr>
          <w:rFonts w:cs="Tahoma"/>
          <w:i/>
          <w:sz w:val="20"/>
          <w:szCs w:val="20"/>
        </w:rPr>
        <w:t>”</w:t>
      </w:r>
      <w:r w:rsidR="00F46DF7" w:rsidRPr="005B4090">
        <w:rPr>
          <w:rFonts w:cs="Tahoma"/>
          <w:i/>
          <w:sz w:val="20"/>
          <w:szCs w:val="20"/>
        </w:rPr>
        <w:t xml:space="preserve"> (Sic.)</w:t>
      </w:r>
    </w:p>
    <w:p w14:paraId="763D285E" w14:textId="77777777" w:rsidR="002E345B" w:rsidRPr="005B4090" w:rsidRDefault="002E345B" w:rsidP="00595713">
      <w:pPr>
        <w:tabs>
          <w:tab w:val="left" w:pos="4667"/>
        </w:tabs>
        <w:spacing w:after="0" w:line="360" w:lineRule="auto"/>
        <w:ind w:left="567" w:right="567"/>
        <w:rPr>
          <w:rFonts w:cs="Tahoma"/>
          <w:i/>
          <w:sz w:val="20"/>
          <w:szCs w:val="20"/>
        </w:rPr>
      </w:pPr>
    </w:p>
    <w:p w14:paraId="3BBD7698" w14:textId="4C556597" w:rsidR="002E345B" w:rsidRPr="005B4090" w:rsidRDefault="002E345B" w:rsidP="002E345B">
      <w:pPr>
        <w:spacing w:after="0" w:line="360" w:lineRule="auto"/>
        <w:ind w:left="567" w:right="567"/>
        <w:contextualSpacing/>
        <w:rPr>
          <w:rFonts w:cs="Tahoma"/>
          <w:b/>
          <w:bCs/>
          <w:i/>
          <w:sz w:val="20"/>
          <w:szCs w:val="20"/>
        </w:rPr>
      </w:pPr>
      <w:r w:rsidRPr="005B4090">
        <w:rPr>
          <w:rFonts w:cs="Tahoma"/>
          <w:b/>
          <w:bCs/>
          <w:i/>
          <w:sz w:val="20"/>
          <w:szCs w:val="20"/>
        </w:rPr>
        <w:t>Recursos de Revisión 11463/INFOEM/IP/RR/2025</w:t>
      </w:r>
    </w:p>
    <w:p w14:paraId="3E7A1122" w14:textId="77777777" w:rsidR="002E345B" w:rsidRPr="005B4090" w:rsidRDefault="002E345B" w:rsidP="002E345B">
      <w:pPr>
        <w:spacing w:after="0" w:line="360" w:lineRule="auto"/>
        <w:ind w:left="567" w:right="567"/>
        <w:contextualSpacing/>
        <w:rPr>
          <w:rFonts w:cs="Tahoma"/>
          <w:b/>
          <w:bCs/>
          <w:i/>
          <w:sz w:val="20"/>
          <w:szCs w:val="20"/>
        </w:rPr>
      </w:pPr>
      <w:r w:rsidRPr="005B4090">
        <w:rPr>
          <w:rFonts w:cs="Tahoma"/>
          <w:b/>
          <w:bCs/>
          <w:i/>
          <w:sz w:val="20"/>
          <w:szCs w:val="20"/>
        </w:rPr>
        <w:t>‘’ACTO IMPUGNADO</w:t>
      </w:r>
    </w:p>
    <w:p w14:paraId="6BF02D80" w14:textId="3D3D5546" w:rsidR="002E345B" w:rsidRPr="005B4090" w:rsidRDefault="002E345B" w:rsidP="002E345B">
      <w:pPr>
        <w:tabs>
          <w:tab w:val="left" w:pos="4667"/>
        </w:tabs>
        <w:spacing w:after="0" w:line="360" w:lineRule="auto"/>
        <w:ind w:left="567" w:right="567"/>
        <w:rPr>
          <w:rFonts w:cs="Tahoma"/>
          <w:bCs/>
          <w:i/>
          <w:sz w:val="20"/>
          <w:szCs w:val="20"/>
        </w:rPr>
      </w:pPr>
      <w:r w:rsidRPr="005B4090">
        <w:rPr>
          <w:rFonts w:cs="Tahoma"/>
          <w:bCs/>
          <w:i/>
          <w:sz w:val="20"/>
          <w:szCs w:val="20"/>
        </w:rPr>
        <w:t xml:space="preserve">Niegan la información de una manera en la que el Tesorero de Tepotzotlán, Carlos González Mendoza se burla de la ciudadanía y de los integrantes del Instituto garante del derecho de acceso a la información mexiquense, está claro que existe la Dirección de Desarrollo y Fomento Económico y que existe la jefatura de fomento agropecuario y esto él lo sabe por ser el tesorero a no ser que este cobrando por no ir a trabajar y ni enterado este de </w:t>
      </w:r>
      <w:proofErr w:type="spellStart"/>
      <w:r w:rsidRPr="005B4090">
        <w:rPr>
          <w:rFonts w:cs="Tahoma"/>
          <w:bCs/>
          <w:i/>
          <w:sz w:val="20"/>
          <w:szCs w:val="20"/>
        </w:rPr>
        <w:t>como</w:t>
      </w:r>
      <w:proofErr w:type="spellEnd"/>
      <w:r w:rsidRPr="005B4090">
        <w:rPr>
          <w:rFonts w:cs="Tahoma"/>
          <w:bCs/>
          <w:i/>
          <w:sz w:val="20"/>
          <w:szCs w:val="20"/>
        </w:rPr>
        <w:t xml:space="preserve"> está integrada la estructura de dicha área y jefatura mencionada, con su argumento, solo pretende burlarse de la ciudadanía que tiene derecho a saber cómo se gasta el dinero del pueblo, que es dinero que el tesorero utiliza y niega información como si fuera su dinero.’’ (Sic.)</w:t>
      </w:r>
    </w:p>
    <w:p w14:paraId="780E73C5" w14:textId="77777777" w:rsidR="002E345B" w:rsidRPr="005B4090" w:rsidRDefault="002E345B" w:rsidP="002E345B">
      <w:pPr>
        <w:tabs>
          <w:tab w:val="left" w:pos="4667"/>
        </w:tabs>
        <w:spacing w:after="0" w:line="360" w:lineRule="auto"/>
        <w:ind w:left="567" w:right="567"/>
        <w:rPr>
          <w:rFonts w:cs="Tahoma"/>
          <w:bCs/>
          <w:i/>
          <w:sz w:val="20"/>
          <w:szCs w:val="20"/>
        </w:rPr>
      </w:pPr>
    </w:p>
    <w:p w14:paraId="5D7C3889" w14:textId="77777777" w:rsidR="002E345B" w:rsidRPr="005B4090" w:rsidRDefault="002E345B" w:rsidP="002E345B">
      <w:pPr>
        <w:tabs>
          <w:tab w:val="left" w:pos="4667"/>
        </w:tabs>
        <w:spacing w:after="0" w:line="360" w:lineRule="auto"/>
        <w:ind w:left="567" w:right="567"/>
        <w:rPr>
          <w:rFonts w:cs="Tahoma"/>
          <w:b/>
          <w:bCs/>
          <w:i/>
          <w:sz w:val="20"/>
          <w:szCs w:val="20"/>
        </w:rPr>
      </w:pPr>
      <w:r w:rsidRPr="005B4090">
        <w:rPr>
          <w:rFonts w:cs="Tahoma"/>
          <w:b/>
          <w:bCs/>
          <w:i/>
          <w:sz w:val="20"/>
          <w:szCs w:val="20"/>
        </w:rPr>
        <w:t>‘’RAZONES O MOTIVOS DE LA INCONFORMIDAD</w:t>
      </w:r>
    </w:p>
    <w:p w14:paraId="2342A70B" w14:textId="6DEA308C" w:rsidR="002E345B" w:rsidRPr="005B4090" w:rsidRDefault="002E345B" w:rsidP="002E345B">
      <w:pPr>
        <w:tabs>
          <w:tab w:val="left" w:pos="4667"/>
        </w:tabs>
        <w:spacing w:after="0" w:line="360" w:lineRule="auto"/>
        <w:ind w:left="567" w:right="567"/>
        <w:rPr>
          <w:rFonts w:cs="Tahoma"/>
          <w:i/>
          <w:sz w:val="20"/>
          <w:szCs w:val="20"/>
        </w:rPr>
      </w:pPr>
      <w:r w:rsidRPr="005B4090">
        <w:rPr>
          <w:rFonts w:cs="Tahoma"/>
          <w:i/>
          <w:sz w:val="20"/>
          <w:szCs w:val="20"/>
        </w:rPr>
        <w:t>Niegan la información con el pretexto de que no se colocó el nombre de las áreas y jefaturas como él las conocer, pero si el Tesorero supiera un poquito de derechos humanos, sabría que el ciudadano no está obligado a señalar las áreas como él las conoce, pues el argumento que utiliza es burlonamente ilógico, exigir a la ciudadanía que describa lo que él conforme a sus funciones debe conocer y obviamente tener en sus archivos.” (Sic.)</w:t>
      </w:r>
    </w:p>
    <w:p w14:paraId="42226D90" w14:textId="77777777" w:rsidR="00DE037A" w:rsidRPr="005B4090" w:rsidRDefault="00DE037A" w:rsidP="002E345B">
      <w:pPr>
        <w:tabs>
          <w:tab w:val="left" w:pos="4667"/>
        </w:tabs>
        <w:spacing w:after="0" w:line="360" w:lineRule="auto"/>
        <w:ind w:left="567" w:right="567"/>
        <w:rPr>
          <w:rFonts w:cs="Tahoma"/>
          <w:i/>
          <w:sz w:val="20"/>
          <w:szCs w:val="20"/>
        </w:rPr>
      </w:pPr>
    </w:p>
    <w:p w14:paraId="3FBC3A12" w14:textId="673F372D" w:rsidR="00DE037A" w:rsidRPr="005B4090" w:rsidRDefault="00DE037A" w:rsidP="00DE037A">
      <w:pPr>
        <w:spacing w:after="0" w:line="360" w:lineRule="auto"/>
        <w:ind w:left="567" w:right="567"/>
        <w:contextualSpacing/>
        <w:rPr>
          <w:rFonts w:cs="Tahoma"/>
          <w:b/>
          <w:bCs/>
          <w:i/>
          <w:sz w:val="20"/>
          <w:szCs w:val="20"/>
        </w:rPr>
      </w:pPr>
      <w:r w:rsidRPr="005B4090">
        <w:rPr>
          <w:rFonts w:cs="Tahoma"/>
          <w:b/>
          <w:bCs/>
          <w:i/>
          <w:sz w:val="20"/>
          <w:szCs w:val="20"/>
        </w:rPr>
        <w:t>Recursos de Revisión 11490/INFOEM/IP/RR/2025</w:t>
      </w:r>
    </w:p>
    <w:p w14:paraId="330C94DD" w14:textId="77777777" w:rsidR="00DE037A" w:rsidRPr="005B4090" w:rsidRDefault="00DE037A" w:rsidP="00DE037A">
      <w:pPr>
        <w:spacing w:after="0" w:line="360" w:lineRule="auto"/>
        <w:ind w:left="567" w:right="567"/>
        <w:contextualSpacing/>
        <w:rPr>
          <w:rFonts w:cs="Tahoma"/>
          <w:b/>
          <w:bCs/>
          <w:i/>
          <w:sz w:val="20"/>
          <w:szCs w:val="20"/>
        </w:rPr>
      </w:pPr>
      <w:r w:rsidRPr="005B4090">
        <w:rPr>
          <w:rFonts w:cs="Tahoma"/>
          <w:b/>
          <w:bCs/>
          <w:i/>
          <w:sz w:val="20"/>
          <w:szCs w:val="20"/>
        </w:rPr>
        <w:t>‘’ACTO IMPUGNADO</w:t>
      </w:r>
    </w:p>
    <w:p w14:paraId="04B7B157" w14:textId="6E221AD3" w:rsidR="00DE037A" w:rsidRPr="005B4090" w:rsidRDefault="00DE037A" w:rsidP="00DE037A">
      <w:pPr>
        <w:tabs>
          <w:tab w:val="left" w:pos="4667"/>
        </w:tabs>
        <w:spacing w:after="0" w:line="360" w:lineRule="auto"/>
        <w:ind w:left="567" w:right="567"/>
        <w:rPr>
          <w:rFonts w:cs="Tahoma"/>
          <w:bCs/>
          <w:i/>
          <w:sz w:val="20"/>
          <w:szCs w:val="20"/>
        </w:rPr>
      </w:pPr>
      <w:r w:rsidRPr="005B4090">
        <w:rPr>
          <w:rFonts w:cs="Tahoma"/>
          <w:bCs/>
          <w:i/>
          <w:sz w:val="20"/>
          <w:szCs w:val="20"/>
        </w:rPr>
        <w:t>Solicitud no atendida’’ (Sic.)</w:t>
      </w:r>
    </w:p>
    <w:p w14:paraId="161AFBEC" w14:textId="77777777" w:rsidR="00DE037A" w:rsidRPr="005B4090" w:rsidRDefault="00DE037A" w:rsidP="00DE037A">
      <w:pPr>
        <w:tabs>
          <w:tab w:val="left" w:pos="4667"/>
        </w:tabs>
        <w:spacing w:after="0" w:line="360" w:lineRule="auto"/>
        <w:ind w:left="567" w:right="567"/>
        <w:rPr>
          <w:rFonts w:cs="Tahoma"/>
          <w:bCs/>
          <w:i/>
          <w:sz w:val="20"/>
          <w:szCs w:val="20"/>
        </w:rPr>
      </w:pPr>
    </w:p>
    <w:p w14:paraId="243F51BF" w14:textId="77777777" w:rsidR="00DE037A" w:rsidRPr="005B4090" w:rsidRDefault="00DE037A" w:rsidP="00DE037A">
      <w:pPr>
        <w:tabs>
          <w:tab w:val="left" w:pos="4667"/>
        </w:tabs>
        <w:spacing w:after="0" w:line="360" w:lineRule="auto"/>
        <w:ind w:left="567" w:right="567"/>
        <w:rPr>
          <w:rFonts w:cs="Tahoma"/>
          <w:b/>
          <w:bCs/>
          <w:i/>
          <w:sz w:val="20"/>
          <w:szCs w:val="20"/>
        </w:rPr>
      </w:pPr>
      <w:r w:rsidRPr="005B4090">
        <w:rPr>
          <w:rFonts w:cs="Tahoma"/>
          <w:b/>
          <w:bCs/>
          <w:i/>
          <w:sz w:val="20"/>
          <w:szCs w:val="20"/>
        </w:rPr>
        <w:t>‘’RAZONES O MOTIVOS DE LA INCONFORMIDAD</w:t>
      </w:r>
    </w:p>
    <w:p w14:paraId="3DD216AA" w14:textId="0F4FF618" w:rsidR="00DE037A" w:rsidRPr="005B4090" w:rsidRDefault="00DE037A" w:rsidP="00DE037A">
      <w:pPr>
        <w:tabs>
          <w:tab w:val="left" w:pos="4667"/>
        </w:tabs>
        <w:spacing w:after="0" w:line="360" w:lineRule="auto"/>
        <w:ind w:left="567" w:right="567"/>
        <w:rPr>
          <w:rFonts w:cs="Tahoma"/>
          <w:i/>
          <w:sz w:val="20"/>
          <w:szCs w:val="20"/>
        </w:rPr>
      </w:pPr>
      <w:r w:rsidRPr="005B4090">
        <w:rPr>
          <w:rFonts w:cs="Tahoma"/>
          <w:i/>
          <w:sz w:val="20"/>
          <w:szCs w:val="20"/>
        </w:rPr>
        <w:t>No hay repuesta” (Sic.)</w:t>
      </w:r>
    </w:p>
    <w:p w14:paraId="07312032" w14:textId="77777777" w:rsidR="00FF03B6" w:rsidRPr="005B4090" w:rsidRDefault="00FF03B6" w:rsidP="00595713">
      <w:pPr>
        <w:spacing w:after="0" w:line="360" w:lineRule="auto"/>
        <w:rPr>
          <w:rFonts w:eastAsia="Times New Roman" w:cs="Tahoma"/>
          <w:bCs/>
          <w:color w:val="auto"/>
          <w:lang w:eastAsia="es-ES"/>
        </w:rPr>
      </w:pPr>
    </w:p>
    <w:p w14:paraId="5EC0DAEA" w14:textId="4D5494BD" w:rsidR="009109DA" w:rsidRPr="005B4090" w:rsidRDefault="006B1E4E" w:rsidP="00595713">
      <w:pPr>
        <w:pStyle w:val="Ttulo2"/>
        <w:rPr>
          <w:rFonts w:eastAsia="Batang"/>
        </w:rPr>
      </w:pPr>
      <w:bookmarkStart w:id="4" w:name="_Toc212028283"/>
      <w:r w:rsidRPr="005B4090">
        <w:rPr>
          <w:rFonts w:eastAsia="Calibri"/>
        </w:rPr>
        <w:t>I</w:t>
      </w:r>
      <w:r w:rsidR="009109DA" w:rsidRPr="005B4090">
        <w:rPr>
          <w:rFonts w:eastAsia="Calibri"/>
        </w:rPr>
        <w:t xml:space="preserve">V. </w:t>
      </w:r>
      <w:r w:rsidR="009109DA" w:rsidRPr="005B4090">
        <w:rPr>
          <w:rFonts w:eastAsia="Batang"/>
        </w:rPr>
        <w:t>Trámite de</w:t>
      </w:r>
      <w:r w:rsidR="00A53AD2" w:rsidRPr="005B4090">
        <w:rPr>
          <w:rFonts w:eastAsia="Batang"/>
        </w:rPr>
        <w:t xml:space="preserve"> los</w:t>
      </w:r>
      <w:r w:rsidR="009109DA" w:rsidRPr="005B4090">
        <w:rPr>
          <w:rFonts w:eastAsia="Batang"/>
        </w:rPr>
        <w:t xml:space="preserve"> Recurso</w:t>
      </w:r>
      <w:r w:rsidR="00A53AD2" w:rsidRPr="005B4090">
        <w:rPr>
          <w:rFonts w:eastAsia="Batang"/>
        </w:rPr>
        <w:t>s</w:t>
      </w:r>
      <w:r w:rsidR="009109DA" w:rsidRPr="005B4090">
        <w:rPr>
          <w:rFonts w:eastAsia="Batang"/>
        </w:rPr>
        <w:t xml:space="preserve"> de Revisión</w:t>
      </w:r>
      <w:r w:rsidR="009109DA" w:rsidRPr="005B4090">
        <w:rPr>
          <w:rFonts w:eastAsia="Calibri"/>
        </w:rPr>
        <w:t xml:space="preserve"> </w:t>
      </w:r>
      <w:r w:rsidR="009109DA" w:rsidRPr="005B4090">
        <w:rPr>
          <w:rFonts w:eastAsia="Batang"/>
        </w:rPr>
        <w:t>ante este Instituto</w:t>
      </w:r>
      <w:bookmarkEnd w:id="4"/>
    </w:p>
    <w:p w14:paraId="279B26E4" w14:textId="77777777" w:rsidR="009109DA" w:rsidRPr="005B4090" w:rsidRDefault="009109DA" w:rsidP="00595713">
      <w:pPr>
        <w:spacing w:after="0" w:line="360" w:lineRule="auto"/>
        <w:rPr>
          <w:rFonts w:eastAsia="Batang" w:cs="Tahoma"/>
          <w:b/>
          <w:bCs/>
          <w:color w:val="000000"/>
        </w:rPr>
      </w:pPr>
    </w:p>
    <w:p w14:paraId="46DAAD54" w14:textId="2AE2DB8E" w:rsidR="007960AB" w:rsidRPr="005B4090" w:rsidRDefault="007960AB" w:rsidP="00595713">
      <w:pPr>
        <w:spacing w:after="0" w:line="360" w:lineRule="auto"/>
        <w:contextualSpacing/>
        <w:rPr>
          <w:rFonts w:eastAsia="Batang" w:cs="Tahoma"/>
          <w:b/>
          <w:bCs/>
          <w:lang w:val="es-ES_tradnl"/>
        </w:rPr>
      </w:pPr>
      <w:r w:rsidRPr="005B4090">
        <w:rPr>
          <w:rFonts w:eastAsia="Batang" w:cs="Tahoma"/>
          <w:b/>
          <w:bCs/>
          <w:lang w:val="es-ES_tradnl"/>
        </w:rPr>
        <w:lastRenderedPageBreak/>
        <w:t xml:space="preserve">a) Turno del </w:t>
      </w:r>
      <w:r w:rsidRPr="005B4090">
        <w:rPr>
          <w:rFonts w:cs="Tahoma"/>
          <w:b/>
          <w:lang w:val="es-ES_tradnl"/>
        </w:rPr>
        <w:t>Recurso de Revisión</w:t>
      </w:r>
      <w:r w:rsidRPr="005B4090">
        <w:rPr>
          <w:rFonts w:eastAsia="Batang" w:cs="Tahoma"/>
          <w:b/>
          <w:bCs/>
          <w:lang w:val="es-ES_tradnl"/>
        </w:rPr>
        <w:t>.</w:t>
      </w:r>
      <w:r w:rsidR="00E5030C" w:rsidRPr="005B4090">
        <w:rPr>
          <w:rFonts w:eastAsia="Batang" w:cs="Tahoma"/>
          <w:bCs/>
          <w:lang w:val="es-ES_tradnl"/>
        </w:rPr>
        <w:t xml:space="preserve"> </w:t>
      </w:r>
      <w:r w:rsidR="00E5030C" w:rsidRPr="005B4090">
        <w:rPr>
          <w:rFonts w:eastAsia="Times New Roman" w:cs="Tahoma"/>
          <w:bCs/>
          <w:color w:val="auto"/>
          <w:lang w:val="es-ES" w:eastAsia="es-ES"/>
        </w:rPr>
        <w:t xml:space="preserve">El </w:t>
      </w:r>
      <w:r w:rsidR="00905A3A" w:rsidRPr="005B4090">
        <w:rPr>
          <w:rFonts w:eastAsia="Times New Roman" w:cs="Tahoma"/>
          <w:bCs/>
          <w:color w:val="auto"/>
          <w:lang w:val="es-ES" w:eastAsia="es-ES"/>
        </w:rPr>
        <w:t>seis de octubre</w:t>
      </w:r>
      <w:r w:rsidR="003A1DBB" w:rsidRPr="005B4090">
        <w:rPr>
          <w:rFonts w:eastAsia="Times New Roman" w:cs="Tahoma"/>
          <w:bCs/>
          <w:color w:val="auto"/>
          <w:lang w:val="es-ES" w:eastAsia="es-ES"/>
        </w:rPr>
        <w:t xml:space="preserve"> de dos mil veinticinco</w:t>
      </w:r>
      <w:r w:rsidRPr="005B4090">
        <w:rPr>
          <w:rFonts w:eastAsia="Batang" w:cs="Tahoma"/>
          <w:bCs/>
          <w:lang w:val="es-ES_tradnl"/>
        </w:rPr>
        <w:t xml:space="preserve">, el </w:t>
      </w:r>
      <w:r w:rsidRPr="005B4090">
        <w:rPr>
          <w:rFonts w:cs="Tahoma"/>
          <w:lang w:val="es-ES"/>
        </w:rPr>
        <w:t>Sistema de Acceso a la Información Mexiquense (SAIMEX),</w:t>
      </w:r>
      <w:r w:rsidRPr="005B4090">
        <w:rPr>
          <w:rFonts w:eastAsia="Batang" w:cs="Tahoma"/>
          <w:bCs/>
          <w:lang w:val="es-ES_tradnl"/>
        </w:rPr>
        <w:t xml:space="preserve"> asignó los números de expediente</w:t>
      </w:r>
      <w:r w:rsidR="0080192A" w:rsidRPr="005B4090">
        <w:rPr>
          <w:rFonts w:eastAsia="Batang" w:cs="Tahoma"/>
          <w:bCs/>
          <w:lang w:val="es-ES_tradnl"/>
        </w:rPr>
        <w:t xml:space="preserve"> </w:t>
      </w:r>
      <w:r w:rsidR="00905A3A" w:rsidRPr="005B4090">
        <w:rPr>
          <w:rFonts w:eastAsia="Batang" w:cs="Tahoma"/>
          <w:bCs/>
          <w:lang w:val="es-ES_tradnl"/>
        </w:rPr>
        <w:t>11446/INFOEM/IP/RR/2025, 11447/INFOEM/IP/RR/2025, 11449/INFOEM/IP/RR/2025, 11450/INFOEM/IP/RR/2025, 11463/INFOEM/IP/RR/2025 y 11490/INFOEM/IP/RR/2025</w:t>
      </w:r>
      <w:r w:rsidR="003A1DBB" w:rsidRPr="005B4090">
        <w:rPr>
          <w:rFonts w:cs="Tahoma"/>
          <w:b/>
          <w:color w:val="0D0D0D" w:themeColor="text1" w:themeTint="F2"/>
          <w:lang w:val="es-ES_tradnl"/>
        </w:rPr>
        <w:t xml:space="preserve"> </w:t>
      </w:r>
      <w:r w:rsidRPr="005B4090">
        <w:rPr>
          <w:rFonts w:eastAsia="Batang" w:cs="Tahoma"/>
          <w:bCs/>
          <w:lang w:val="es-ES_tradnl"/>
        </w:rPr>
        <w:t xml:space="preserve">al </w:t>
      </w:r>
      <w:r w:rsidR="009764EC" w:rsidRPr="005B4090">
        <w:rPr>
          <w:rFonts w:eastAsia="Batang" w:cs="Tahoma"/>
          <w:bCs/>
          <w:lang w:val="es-ES_tradnl"/>
        </w:rPr>
        <w:t>M</w:t>
      </w:r>
      <w:r w:rsidRPr="005B4090">
        <w:rPr>
          <w:rFonts w:eastAsia="Batang" w:cs="Tahoma"/>
          <w:bCs/>
          <w:lang w:val="es-ES_tradnl"/>
        </w:rPr>
        <w:t xml:space="preserve">edio de </w:t>
      </w:r>
      <w:r w:rsidR="009764EC" w:rsidRPr="005B4090">
        <w:rPr>
          <w:rFonts w:eastAsia="Batang" w:cs="Tahoma"/>
          <w:bCs/>
          <w:lang w:val="es-ES_tradnl"/>
        </w:rPr>
        <w:t>I</w:t>
      </w:r>
      <w:r w:rsidRPr="005B4090">
        <w:rPr>
          <w:rFonts w:eastAsia="Batang" w:cs="Tahoma"/>
          <w:bCs/>
          <w:lang w:val="es-ES_tradnl"/>
        </w:rPr>
        <w:t xml:space="preserve">mpugnación que nos ocupa, con base en el sistema aprobado por el Pleno de este </w:t>
      </w:r>
      <w:r w:rsidR="00341274" w:rsidRPr="005B4090">
        <w:rPr>
          <w:rFonts w:eastAsia="Batang" w:cs="Tahoma"/>
          <w:bCs/>
          <w:lang w:val="es-ES_tradnl"/>
        </w:rPr>
        <w:t>Organismo</w:t>
      </w:r>
      <w:r w:rsidRPr="005B4090">
        <w:rPr>
          <w:rFonts w:eastAsia="Batang" w:cs="Tahoma"/>
          <w:bCs/>
          <w:lang w:val="es-ES_tradnl"/>
        </w:rPr>
        <w:t xml:space="preserve"> Garante y lo</w:t>
      </w:r>
      <w:r w:rsidR="009764EC" w:rsidRPr="005B4090">
        <w:rPr>
          <w:rFonts w:eastAsia="Batang" w:cs="Tahoma"/>
          <w:bCs/>
          <w:lang w:val="es-ES_tradnl"/>
        </w:rPr>
        <w:t>s</w:t>
      </w:r>
      <w:r w:rsidRPr="005B4090">
        <w:rPr>
          <w:rFonts w:eastAsia="Batang" w:cs="Tahoma"/>
          <w:bCs/>
          <w:lang w:val="es-ES_tradnl"/>
        </w:rPr>
        <w:t xml:space="preserve"> turnó a</w:t>
      </w:r>
      <w:r w:rsidR="0055375C" w:rsidRPr="005B4090">
        <w:rPr>
          <w:rFonts w:eastAsia="Batang" w:cs="Tahoma"/>
          <w:bCs/>
          <w:lang w:val="es-ES_tradnl"/>
        </w:rPr>
        <w:t xml:space="preserve"> los</w:t>
      </w:r>
      <w:r w:rsidRPr="005B4090">
        <w:rPr>
          <w:rFonts w:eastAsia="Batang" w:cs="Tahoma"/>
          <w:bCs/>
          <w:lang w:val="es-ES_tradnl"/>
        </w:rPr>
        <w:t xml:space="preserve"> Comisionado</w:t>
      </w:r>
      <w:r w:rsidR="0055375C" w:rsidRPr="005B4090">
        <w:rPr>
          <w:rFonts w:eastAsia="Batang" w:cs="Tahoma"/>
          <w:bCs/>
          <w:lang w:val="es-ES_tradnl"/>
        </w:rPr>
        <w:t xml:space="preserve">s Sharon Cristina Morales Martínez, María del Rosario </w:t>
      </w:r>
      <w:r w:rsidR="001F49B1" w:rsidRPr="005B4090">
        <w:rPr>
          <w:rFonts w:eastAsia="Batang" w:cs="Tahoma"/>
          <w:bCs/>
          <w:lang w:val="es-ES_tradnl"/>
        </w:rPr>
        <w:t>Mejía</w:t>
      </w:r>
      <w:r w:rsidR="0055375C" w:rsidRPr="005B4090">
        <w:rPr>
          <w:rFonts w:eastAsia="Batang" w:cs="Tahoma"/>
          <w:bCs/>
          <w:lang w:val="es-ES_tradnl"/>
        </w:rPr>
        <w:t xml:space="preserve"> Ayala</w:t>
      </w:r>
      <w:r w:rsidR="00D5454E" w:rsidRPr="005B4090">
        <w:rPr>
          <w:rFonts w:eastAsia="Batang" w:cs="Tahoma"/>
          <w:bCs/>
          <w:lang w:val="es-ES_tradnl"/>
        </w:rPr>
        <w:t>, Guadalupe Ramírez Peña, José Martínez Vilchis</w:t>
      </w:r>
      <w:r w:rsidR="0055375C" w:rsidRPr="005B4090">
        <w:rPr>
          <w:rFonts w:eastAsia="Batang" w:cs="Tahoma"/>
          <w:bCs/>
          <w:lang w:val="es-ES_tradnl"/>
        </w:rPr>
        <w:t xml:space="preserve"> y</w:t>
      </w:r>
      <w:r w:rsidRPr="005B4090">
        <w:rPr>
          <w:rFonts w:eastAsia="Batang" w:cs="Tahoma"/>
          <w:bCs/>
          <w:lang w:val="es-ES_tradnl"/>
        </w:rPr>
        <w:t xml:space="preserve"> Luis Gustavo Parra Noriega</w:t>
      </w:r>
      <w:r w:rsidR="009764EC" w:rsidRPr="005B4090">
        <w:rPr>
          <w:rFonts w:eastAsia="Batang" w:cs="Tahoma"/>
          <w:bCs/>
          <w:lang w:val="es-ES_tradnl"/>
        </w:rPr>
        <w:t>, respectivamente</w:t>
      </w:r>
      <w:r w:rsidRPr="005B4090">
        <w:rPr>
          <w:rFonts w:eastAsia="Batang" w:cs="Tahoma"/>
          <w:bCs/>
          <w:lang w:val="es-ES_tradnl"/>
        </w:rPr>
        <w:t>, para los efectos del artículo 185, fracción I de la Ley de Transparencia y Acceso a la Información Pública del Estado de México y Municipios.</w:t>
      </w:r>
    </w:p>
    <w:p w14:paraId="6EACD599" w14:textId="77777777" w:rsidR="009109DA" w:rsidRPr="005B4090" w:rsidRDefault="009109DA" w:rsidP="00595713">
      <w:pPr>
        <w:spacing w:after="0" w:line="360" w:lineRule="auto"/>
        <w:rPr>
          <w:rFonts w:eastAsia="Batang" w:cs="Tahoma"/>
          <w:bCs/>
          <w:color w:val="000000"/>
        </w:rPr>
      </w:pPr>
    </w:p>
    <w:p w14:paraId="5F5565B2" w14:textId="207D3C24" w:rsidR="00B936FD" w:rsidRPr="005B4090" w:rsidRDefault="00B936FD" w:rsidP="00595713">
      <w:pPr>
        <w:spacing w:after="0" w:line="360" w:lineRule="auto"/>
        <w:rPr>
          <w:rFonts w:eastAsia="Batang" w:cs="Tahoma"/>
          <w:lang w:val="es-ES_tradnl"/>
        </w:rPr>
      </w:pPr>
      <w:r w:rsidRPr="005B4090">
        <w:rPr>
          <w:rFonts w:eastAsia="Batang" w:cs="Tahoma"/>
          <w:b/>
          <w:bCs/>
        </w:rPr>
        <w:t>b) Admisión del Recurso de Revisión</w:t>
      </w:r>
      <w:r w:rsidRPr="005B4090">
        <w:rPr>
          <w:rFonts w:eastAsia="Batang" w:cs="Tahoma"/>
          <w:b/>
          <w:bCs/>
          <w:lang w:val="es-ES_tradnl"/>
        </w:rPr>
        <w:t xml:space="preserve">. </w:t>
      </w:r>
      <w:r w:rsidRPr="005B4090">
        <w:rPr>
          <w:rFonts w:eastAsia="Batang" w:cs="Tahoma"/>
          <w:lang w:val="es-ES_tradnl"/>
        </w:rPr>
        <w:t>El</w:t>
      </w:r>
      <w:r w:rsidR="009277AF" w:rsidRPr="005B4090">
        <w:rPr>
          <w:rFonts w:eastAsia="Batang" w:cs="Tahoma"/>
          <w:lang w:val="es-ES_tradnl"/>
        </w:rPr>
        <w:t xml:space="preserve"> </w:t>
      </w:r>
      <w:r w:rsidR="002E345B" w:rsidRPr="005B4090">
        <w:rPr>
          <w:rFonts w:eastAsia="Batang" w:cs="Tahoma"/>
          <w:lang w:val="es-ES_tradnl"/>
        </w:rPr>
        <w:t xml:space="preserve">ocho y </w:t>
      </w:r>
      <w:r w:rsidR="00905A3A" w:rsidRPr="005B4090">
        <w:rPr>
          <w:rFonts w:eastAsia="Batang" w:cs="Tahoma"/>
          <w:lang w:val="es-ES_tradnl"/>
        </w:rPr>
        <w:t xml:space="preserve">nueve de octubre </w:t>
      </w:r>
      <w:r w:rsidR="0055375C" w:rsidRPr="005B4090">
        <w:rPr>
          <w:rFonts w:eastAsia="Batang" w:cs="Tahoma"/>
          <w:lang w:val="es-ES_tradnl"/>
        </w:rPr>
        <w:t>de dos mil veinticinco</w:t>
      </w:r>
      <w:r w:rsidRPr="005B4090">
        <w:rPr>
          <w:rFonts w:eastAsia="Batang" w:cs="Tahoma"/>
          <w:lang w:val="es-ES_tradnl"/>
        </w:rPr>
        <w:t>, se acordó la admisión de</w:t>
      </w:r>
      <w:r w:rsidR="0093175C" w:rsidRPr="005B4090">
        <w:rPr>
          <w:rFonts w:eastAsia="Batang" w:cs="Tahoma"/>
          <w:lang w:val="es-ES_tradnl"/>
        </w:rPr>
        <w:t xml:space="preserve"> los</w:t>
      </w:r>
      <w:r w:rsidRPr="005B4090">
        <w:rPr>
          <w:rFonts w:eastAsia="Batang" w:cs="Tahoma"/>
          <w:lang w:val="es-ES_tradnl"/>
        </w:rPr>
        <w:t xml:space="preserve"> Recurso</w:t>
      </w:r>
      <w:r w:rsidR="0093175C" w:rsidRPr="005B4090">
        <w:rPr>
          <w:rFonts w:eastAsia="Batang" w:cs="Tahoma"/>
          <w:lang w:val="es-ES_tradnl"/>
        </w:rPr>
        <w:t>s</w:t>
      </w:r>
      <w:r w:rsidRPr="005B4090">
        <w:rPr>
          <w:rFonts w:eastAsia="Batang" w:cs="Tahoma"/>
          <w:lang w:val="es-ES_tradnl"/>
        </w:rPr>
        <w:t xml:space="preserve"> de Revisión interpuesto</w:t>
      </w:r>
      <w:r w:rsidR="0093175C" w:rsidRPr="005B4090">
        <w:rPr>
          <w:rFonts w:eastAsia="Batang" w:cs="Tahoma"/>
          <w:lang w:val="es-ES_tradnl"/>
        </w:rPr>
        <w:t>s</w:t>
      </w:r>
      <w:r w:rsidRPr="005B4090">
        <w:rPr>
          <w:rFonts w:eastAsia="Batang" w:cs="Tahoma"/>
          <w:lang w:val="es-ES_tradnl"/>
        </w:rPr>
        <w:t xml:space="preserve"> por </w:t>
      </w:r>
      <w:r w:rsidR="00FF1373" w:rsidRPr="005B4090">
        <w:rPr>
          <w:rFonts w:eastAsia="Batang" w:cs="Tahoma"/>
          <w:lang w:val="es-ES_tradnl"/>
        </w:rPr>
        <w:t>la</w:t>
      </w:r>
      <w:r w:rsidRPr="005B4090">
        <w:rPr>
          <w:rFonts w:eastAsia="Batang" w:cs="Tahoma"/>
          <w:lang w:val="es-ES_tradnl"/>
        </w:rPr>
        <w:t xml:space="preserve"> </w:t>
      </w:r>
      <w:r w:rsidR="009931C7" w:rsidRPr="005B4090">
        <w:rPr>
          <w:rFonts w:eastAsia="Batang" w:cs="Tahoma"/>
          <w:lang w:val="es-ES_tradnl"/>
        </w:rPr>
        <w:t xml:space="preserve">persona </w:t>
      </w:r>
      <w:r w:rsidRPr="005B4090">
        <w:rPr>
          <w:rFonts w:eastAsia="Batang" w:cs="Tahoma"/>
          <w:lang w:val="es-ES_tradnl"/>
        </w:rPr>
        <w:t xml:space="preserve">Recurrente en contra del Sujeto Obligado, en términos del artículo 185, fracciones I y II de la Ley de Transparencia y Acceso a la Información Pública del Estado de México y Municipios, el cual fue notificado a las partes </w:t>
      </w:r>
      <w:r w:rsidR="002E345B" w:rsidRPr="005B4090">
        <w:rPr>
          <w:rFonts w:eastAsia="Batang" w:cs="Tahoma"/>
          <w:lang w:val="es-ES_tradnl"/>
        </w:rPr>
        <w:t>los</w:t>
      </w:r>
      <w:r w:rsidR="0055375C" w:rsidRPr="005B4090">
        <w:rPr>
          <w:rFonts w:eastAsia="Batang" w:cs="Tahoma"/>
          <w:lang w:val="es-ES_tradnl"/>
        </w:rPr>
        <w:t xml:space="preserve"> </w:t>
      </w:r>
      <w:r w:rsidR="00964159" w:rsidRPr="005B4090">
        <w:rPr>
          <w:rFonts w:eastAsia="Batang" w:cs="Tahoma"/>
          <w:lang w:val="es-ES_tradnl"/>
        </w:rPr>
        <w:t>mismo</w:t>
      </w:r>
      <w:r w:rsidR="002E345B" w:rsidRPr="005B4090">
        <w:rPr>
          <w:rFonts w:eastAsia="Batang" w:cs="Tahoma"/>
          <w:lang w:val="es-ES_tradnl"/>
        </w:rPr>
        <w:t>s</w:t>
      </w:r>
      <w:r w:rsidR="00964159" w:rsidRPr="005B4090">
        <w:rPr>
          <w:rFonts w:eastAsia="Batang" w:cs="Tahoma"/>
          <w:lang w:val="es-ES_tradnl"/>
        </w:rPr>
        <w:t xml:space="preserve"> día</w:t>
      </w:r>
      <w:r w:rsidR="002E345B" w:rsidRPr="005B4090">
        <w:rPr>
          <w:rFonts w:eastAsia="Batang" w:cs="Tahoma"/>
          <w:lang w:val="es-ES_tradnl"/>
        </w:rPr>
        <w:t>s</w:t>
      </w:r>
      <w:r w:rsidR="00CD5EB3" w:rsidRPr="005B4090">
        <w:rPr>
          <w:rFonts w:eastAsia="Batang" w:cs="Tahoma"/>
          <w:lang w:val="es-ES_tradnl"/>
        </w:rPr>
        <w:t>,</w:t>
      </w:r>
      <w:r w:rsidRPr="005B4090">
        <w:rPr>
          <w:rFonts w:eastAsia="Batang" w:cs="Tahoma"/>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4A355E62" w14:textId="23D56DE6" w:rsidR="00DC7AA4" w:rsidRPr="005B4090" w:rsidRDefault="00DC7AA4" w:rsidP="00595713">
      <w:pPr>
        <w:spacing w:after="0" w:line="360" w:lineRule="auto"/>
        <w:rPr>
          <w:rFonts w:eastAsia="Calibri" w:cs="Tahoma"/>
        </w:rPr>
      </w:pPr>
    </w:p>
    <w:p w14:paraId="7E165D1E" w14:textId="5C82427C" w:rsidR="005E4DDE" w:rsidRPr="005B4090" w:rsidRDefault="0097122A" w:rsidP="00595713">
      <w:pPr>
        <w:spacing w:after="0" w:line="360" w:lineRule="auto"/>
        <w:rPr>
          <w:rFonts w:eastAsia="Palatino Linotype" w:cs="Palatino Linotype"/>
          <w:color w:val="000000"/>
          <w:lang w:eastAsia="es-MX"/>
        </w:rPr>
      </w:pPr>
      <w:r w:rsidRPr="005B4090">
        <w:rPr>
          <w:rFonts w:eastAsia="Palatino Linotype" w:cs="Palatino Linotype"/>
          <w:b/>
          <w:color w:val="000000"/>
          <w:lang w:eastAsia="es-MX"/>
        </w:rPr>
        <w:t>c) Informe Justificado</w:t>
      </w:r>
      <w:r w:rsidR="00964159" w:rsidRPr="005B4090">
        <w:rPr>
          <w:rFonts w:eastAsia="Palatino Linotype" w:cs="Palatino Linotype"/>
          <w:b/>
          <w:color w:val="000000"/>
          <w:lang w:eastAsia="es-MX"/>
        </w:rPr>
        <w:t xml:space="preserve"> y Manifestaciones</w:t>
      </w:r>
      <w:r w:rsidRPr="005B4090">
        <w:rPr>
          <w:rFonts w:eastAsia="Palatino Linotype" w:cs="Palatino Linotype"/>
          <w:b/>
          <w:color w:val="000000"/>
          <w:lang w:eastAsia="es-MX"/>
        </w:rPr>
        <w:t xml:space="preserve">. </w:t>
      </w:r>
      <w:r w:rsidR="00964159" w:rsidRPr="005B4090">
        <w:rPr>
          <w:rFonts w:cs="Tahoma"/>
          <w:iCs/>
          <w:lang w:val="es-ES"/>
        </w:rPr>
        <w:t>Las partes fueron omisas en emitir manifestaciones o alegatos</w:t>
      </w:r>
      <w:r w:rsidR="00964159" w:rsidRPr="005B4090">
        <w:rPr>
          <w:rFonts w:cs="Tahoma"/>
        </w:rPr>
        <w:t>.</w:t>
      </w:r>
    </w:p>
    <w:p w14:paraId="522D9F71" w14:textId="77777777" w:rsidR="00964159" w:rsidRPr="005B4090" w:rsidRDefault="00964159" w:rsidP="00595713">
      <w:pPr>
        <w:spacing w:after="0" w:line="360" w:lineRule="auto"/>
        <w:rPr>
          <w:rFonts w:eastAsia="Palatino Linotype" w:cs="Palatino Linotype"/>
          <w:color w:val="000000"/>
          <w:lang w:eastAsia="es-MX"/>
        </w:rPr>
      </w:pPr>
    </w:p>
    <w:p w14:paraId="22507F0A" w14:textId="37A4412B" w:rsidR="0097122A" w:rsidRPr="005B4090" w:rsidRDefault="00964159" w:rsidP="00595713">
      <w:pPr>
        <w:spacing w:after="0" w:line="360" w:lineRule="auto"/>
        <w:rPr>
          <w:rFonts w:eastAsia="Palatino Linotype" w:cs="Tahoma"/>
          <w:bCs/>
          <w:i/>
          <w:color w:val="000000"/>
          <w:lang w:val="es-ES" w:eastAsia="es-MX"/>
        </w:rPr>
      </w:pPr>
      <w:r w:rsidRPr="005B4090">
        <w:rPr>
          <w:rFonts w:cs="Tahoma"/>
          <w:b/>
        </w:rPr>
        <w:t>d</w:t>
      </w:r>
      <w:r w:rsidR="005E4DDE" w:rsidRPr="005B4090">
        <w:rPr>
          <w:rFonts w:cs="Tahoma"/>
          <w:b/>
        </w:rPr>
        <w:t xml:space="preserve">) </w:t>
      </w:r>
      <w:r w:rsidR="005E4DDE" w:rsidRPr="005B4090">
        <w:rPr>
          <w:rFonts w:eastAsia="Calibri" w:cs="Tahoma"/>
          <w:b/>
        </w:rPr>
        <w:t>Acumulación de los asuntos.</w:t>
      </w:r>
      <w:r w:rsidRPr="005B4090">
        <w:rPr>
          <w:rFonts w:eastAsia="Calibri" w:cs="Tahoma"/>
        </w:rPr>
        <w:t xml:space="preserve"> El veintiocho</w:t>
      </w:r>
      <w:r w:rsidR="005E4DDE" w:rsidRPr="005B4090">
        <w:rPr>
          <w:rFonts w:eastAsia="Calibri" w:cs="Tahoma"/>
        </w:rPr>
        <w:t xml:space="preserve"> de octubre de dos mil veinticinco, el Pleno del Instituto de Transparencia, Acceso a la Información Pública y Protección de Datos Personales del Estado de México y Municipio</w:t>
      </w:r>
      <w:r w:rsidRPr="005B4090">
        <w:rPr>
          <w:rFonts w:eastAsia="Calibri" w:cs="Tahoma"/>
        </w:rPr>
        <w:t>s, por medio del Acuerdo del quince de octubre</w:t>
      </w:r>
      <w:r w:rsidR="005E4DDE" w:rsidRPr="005B4090">
        <w:rPr>
          <w:rFonts w:eastAsia="Calibri" w:cs="Tahoma"/>
        </w:rPr>
        <w:t xml:space="preserve">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w:t>
      </w:r>
      <w:r w:rsidR="005E4DDE" w:rsidRPr="005B4090">
        <w:rPr>
          <w:rFonts w:eastAsia="Calibri" w:cs="Tahoma"/>
        </w:rPr>
        <w:lastRenderedPageBreak/>
        <w:t xml:space="preserve">Acceso a la Información Pública del Estado de México y Municipios, de conformidad con su artículo 195 de dicho ordenamiento, </w:t>
      </w:r>
      <w:r w:rsidR="005E4DDE" w:rsidRPr="005B4090">
        <w:rPr>
          <w:rFonts w:eastAsia="Calibri" w:cs="Tahoma"/>
          <w:b/>
          <w:bCs/>
        </w:rPr>
        <w:t xml:space="preserve">decretó </w:t>
      </w:r>
      <w:r w:rsidR="005E4DDE" w:rsidRPr="005B4090">
        <w:rPr>
          <w:rFonts w:eastAsia="Calibri" w:cs="Tahoma"/>
        </w:rPr>
        <w:t>la acumulación de los Recursos de Revisión</w:t>
      </w:r>
      <w:r w:rsidRPr="005B4090">
        <w:rPr>
          <w:rFonts w:eastAsia="Batang" w:cs="Tahoma"/>
          <w:bCs/>
          <w:lang w:val="es-ES_tradnl"/>
        </w:rPr>
        <w:t xml:space="preserve"> 11447/INFOEM/IP/RR/2025, 11449/INFOEM/IP/RR/2025, 11450/INFOEM/IP/RR/2025, 11463/INFOEM/IP/RR/2025 y 11490/INFOEM/IP/RR/2025</w:t>
      </w:r>
      <w:r w:rsidR="005E4DDE" w:rsidRPr="005B4090">
        <w:rPr>
          <w:color w:val="000000"/>
        </w:rPr>
        <w:t xml:space="preserve"> </w:t>
      </w:r>
      <w:r w:rsidR="005E4DDE" w:rsidRPr="005B4090">
        <w:rPr>
          <w:rFonts w:eastAsia="Calibri" w:cs="Tahoma"/>
        </w:rPr>
        <w:t xml:space="preserve">al diverso </w:t>
      </w:r>
      <w:r w:rsidRPr="005B4090">
        <w:rPr>
          <w:rFonts w:cs="Tahoma"/>
          <w:color w:val="0D0D0D" w:themeColor="text1" w:themeTint="F2"/>
          <w:lang w:val="es-ES_tradnl"/>
        </w:rPr>
        <w:t>11446</w:t>
      </w:r>
      <w:r w:rsidR="005E4DDE" w:rsidRPr="005B4090">
        <w:rPr>
          <w:rFonts w:cs="Tahoma"/>
          <w:color w:val="0D0D0D" w:themeColor="text1" w:themeTint="F2"/>
          <w:lang w:val="es-ES_tradnl"/>
        </w:rPr>
        <w:t>/INFOEM/IP/RR/2025</w:t>
      </w:r>
      <w:r w:rsidR="005E4DDE" w:rsidRPr="005B4090">
        <w:rPr>
          <w:rFonts w:eastAsia="Calibri" w:cs="Tahoma"/>
        </w:rPr>
        <w:t>, por ser este último el más antiguo, sustanciado bajo el índice de esta Ponencia.</w:t>
      </w:r>
    </w:p>
    <w:p w14:paraId="3364D67A" w14:textId="77777777" w:rsidR="00964159" w:rsidRPr="005B4090" w:rsidRDefault="00964159" w:rsidP="00595713">
      <w:pPr>
        <w:spacing w:after="0" w:line="360" w:lineRule="auto"/>
        <w:rPr>
          <w:rFonts w:eastAsia="Palatino Linotype" w:cs="Tahoma"/>
          <w:bCs/>
          <w:i/>
          <w:color w:val="000000"/>
          <w:lang w:val="es-ES" w:eastAsia="es-MX"/>
        </w:rPr>
      </w:pPr>
    </w:p>
    <w:p w14:paraId="3C2ECF04" w14:textId="33D1E585" w:rsidR="009109DA" w:rsidRPr="005B4090" w:rsidRDefault="00964159" w:rsidP="00595713">
      <w:pPr>
        <w:spacing w:after="0" w:line="360" w:lineRule="auto"/>
        <w:rPr>
          <w:rFonts w:eastAsia="Times New Roman" w:cs="Tahoma"/>
          <w:color w:val="auto"/>
          <w:szCs w:val="24"/>
          <w:lang w:eastAsia="es-ES"/>
        </w:rPr>
      </w:pPr>
      <w:r w:rsidRPr="005B4090">
        <w:rPr>
          <w:rFonts w:eastAsia="Times New Roman" w:cs="Tahoma"/>
          <w:b/>
          <w:color w:val="auto"/>
          <w:szCs w:val="24"/>
          <w:lang w:eastAsia="es-ES"/>
        </w:rPr>
        <w:t>e</w:t>
      </w:r>
      <w:r w:rsidR="009109DA" w:rsidRPr="005B4090">
        <w:rPr>
          <w:rFonts w:eastAsia="Times New Roman" w:cs="Tahoma"/>
          <w:b/>
          <w:color w:val="auto"/>
          <w:szCs w:val="24"/>
          <w:lang w:eastAsia="es-ES"/>
        </w:rPr>
        <w:t>) Cierre de instrucción.</w:t>
      </w:r>
      <w:r w:rsidR="009109DA" w:rsidRPr="005B4090">
        <w:rPr>
          <w:rFonts w:eastAsia="Times New Roman" w:cs="Tahoma"/>
          <w:color w:val="auto"/>
          <w:szCs w:val="24"/>
          <w:lang w:eastAsia="es-ES"/>
        </w:rPr>
        <w:t xml:space="preserve"> El</w:t>
      </w:r>
      <w:r w:rsidR="00FF1373" w:rsidRPr="005B4090">
        <w:rPr>
          <w:rFonts w:eastAsia="Times New Roman" w:cs="Tahoma"/>
          <w:color w:val="auto"/>
          <w:szCs w:val="24"/>
          <w:lang w:eastAsia="es-ES"/>
        </w:rPr>
        <w:t xml:space="preserve"> </w:t>
      </w:r>
      <w:r w:rsidR="00DE037A" w:rsidRPr="005B4090">
        <w:rPr>
          <w:rFonts w:eastAsia="Times New Roman" w:cs="Tahoma"/>
          <w:color w:val="auto"/>
          <w:szCs w:val="24"/>
          <w:lang w:eastAsia="es-ES"/>
        </w:rPr>
        <w:t xml:space="preserve">veinte y </w:t>
      </w:r>
      <w:r w:rsidRPr="005B4090">
        <w:rPr>
          <w:rFonts w:eastAsia="Times New Roman" w:cs="Tahoma"/>
          <w:color w:val="auto"/>
          <w:szCs w:val="24"/>
          <w:lang w:eastAsia="es-ES"/>
        </w:rPr>
        <w:t>veinti</w:t>
      </w:r>
      <w:r w:rsidR="00DE037A" w:rsidRPr="005B4090">
        <w:rPr>
          <w:rFonts w:eastAsia="Times New Roman" w:cs="Tahoma"/>
          <w:color w:val="auto"/>
          <w:szCs w:val="24"/>
          <w:lang w:eastAsia="es-ES"/>
        </w:rPr>
        <w:t>ocho</w:t>
      </w:r>
      <w:r w:rsidRPr="005B4090">
        <w:rPr>
          <w:rFonts w:eastAsia="Times New Roman" w:cs="Tahoma"/>
          <w:color w:val="auto"/>
          <w:szCs w:val="24"/>
          <w:lang w:eastAsia="es-ES"/>
        </w:rPr>
        <w:t xml:space="preserve"> </w:t>
      </w:r>
      <w:r w:rsidR="001077F8" w:rsidRPr="005B4090">
        <w:rPr>
          <w:rFonts w:eastAsia="Times New Roman" w:cs="Tahoma"/>
          <w:color w:val="auto"/>
          <w:szCs w:val="24"/>
          <w:lang w:eastAsia="es-ES"/>
        </w:rPr>
        <w:t>de octubre</w:t>
      </w:r>
      <w:r w:rsidR="00A64328" w:rsidRPr="005B4090">
        <w:rPr>
          <w:rFonts w:eastAsia="Times New Roman" w:cs="Tahoma"/>
          <w:color w:val="auto"/>
          <w:szCs w:val="24"/>
          <w:lang w:eastAsia="es-ES"/>
        </w:rPr>
        <w:t xml:space="preserve"> de </w:t>
      </w:r>
      <w:r w:rsidR="00C2064C" w:rsidRPr="005B4090">
        <w:rPr>
          <w:rFonts w:eastAsia="Times New Roman" w:cs="Tahoma"/>
          <w:color w:val="auto"/>
          <w:szCs w:val="24"/>
          <w:lang w:eastAsia="es-ES"/>
        </w:rPr>
        <w:t>dos mil veintic</w:t>
      </w:r>
      <w:r w:rsidR="009748B9" w:rsidRPr="005B4090">
        <w:rPr>
          <w:rFonts w:eastAsia="Times New Roman" w:cs="Tahoma"/>
          <w:color w:val="auto"/>
          <w:szCs w:val="24"/>
          <w:lang w:eastAsia="es-ES"/>
        </w:rPr>
        <w:t>inco</w:t>
      </w:r>
      <w:r w:rsidR="009109DA" w:rsidRPr="005B409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5B4090">
        <w:rPr>
          <w:rFonts w:eastAsia="Times New Roman" w:cs="Tahoma"/>
          <w:color w:val="auto"/>
          <w:szCs w:val="20"/>
          <w:lang w:val="es-ES" w:eastAsia="es-ES"/>
        </w:rPr>
        <w:t>Sistema de Acceso a la Información Mexiquense (SAIMEX)</w:t>
      </w:r>
      <w:r w:rsidR="009109DA" w:rsidRPr="005B4090">
        <w:rPr>
          <w:rFonts w:eastAsia="Times New Roman" w:cs="Tahoma"/>
          <w:color w:val="auto"/>
          <w:szCs w:val="24"/>
          <w:lang w:eastAsia="es-ES"/>
        </w:rPr>
        <w:t xml:space="preserve">. </w:t>
      </w:r>
    </w:p>
    <w:p w14:paraId="6AC8A71D" w14:textId="77777777" w:rsidR="009109DA" w:rsidRPr="005B4090" w:rsidRDefault="009109DA" w:rsidP="00595713">
      <w:pPr>
        <w:spacing w:after="0" w:line="360" w:lineRule="auto"/>
        <w:rPr>
          <w:rFonts w:eastAsia="Times New Roman" w:cs="Tahoma"/>
          <w:color w:val="auto"/>
          <w:szCs w:val="24"/>
          <w:lang w:eastAsia="es-ES"/>
        </w:rPr>
      </w:pPr>
    </w:p>
    <w:p w14:paraId="661E652A" w14:textId="02ACD4DE" w:rsidR="009109DA" w:rsidRPr="005B4090" w:rsidRDefault="009109DA" w:rsidP="00595713">
      <w:pPr>
        <w:spacing w:after="0" w:line="360" w:lineRule="auto"/>
        <w:rPr>
          <w:rFonts w:eastAsia="Times New Roman" w:cs="Tahoma"/>
          <w:color w:val="000000"/>
          <w:szCs w:val="24"/>
          <w:lang w:eastAsia="es-ES"/>
        </w:rPr>
      </w:pPr>
      <w:proofErr w:type="gramStart"/>
      <w:r w:rsidRPr="005B4090">
        <w:rPr>
          <w:rFonts w:eastAsia="Times New Roman" w:cs="Tahoma"/>
          <w:color w:val="000000"/>
          <w:szCs w:val="24"/>
          <w:lang w:eastAsia="es-ES"/>
        </w:rPr>
        <w:t>En razón de</w:t>
      </w:r>
      <w:proofErr w:type="gramEnd"/>
      <w:r w:rsidRPr="005B4090">
        <w:rPr>
          <w:rFonts w:eastAsia="Times New Roman" w:cs="Tahoma"/>
          <w:color w:val="000000"/>
          <w:szCs w:val="24"/>
          <w:lang w:eastAsia="es-ES"/>
        </w:rPr>
        <w:t xml:space="preserve"> que fue debidamente sustanciado e integrado el expediente electrónico y no existe diligencia pendiente de desahogo, se emite la resolución que conforme a Derecho proceda, </w:t>
      </w:r>
      <w:proofErr w:type="gramStart"/>
      <w:r w:rsidRPr="005B4090">
        <w:rPr>
          <w:rFonts w:eastAsia="Times New Roman" w:cs="Tahoma"/>
          <w:color w:val="000000"/>
          <w:szCs w:val="24"/>
          <w:lang w:eastAsia="es-ES"/>
        </w:rPr>
        <w:t>de acuerdo a</w:t>
      </w:r>
      <w:proofErr w:type="gramEnd"/>
      <w:r w:rsidRPr="005B4090">
        <w:rPr>
          <w:rFonts w:eastAsia="Times New Roman" w:cs="Tahoma"/>
          <w:color w:val="000000"/>
          <w:szCs w:val="24"/>
          <w:lang w:eastAsia="es-ES"/>
        </w:rPr>
        <w:t xml:space="preserve"> los siguientes:</w:t>
      </w:r>
    </w:p>
    <w:p w14:paraId="237A7146" w14:textId="77777777" w:rsidR="00FF03B6" w:rsidRPr="005B4090" w:rsidRDefault="00FF03B6" w:rsidP="00595713">
      <w:pPr>
        <w:spacing w:after="0" w:line="360" w:lineRule="auto"/>
        <w:rPr>
          <w:rFonts w:eastAsia="Times New Roman" w:cs="Tahoma"/>
          <w:b/>
          <w:color w:val="auto"/>
          <w:lang w:val="es-ES" w:eastAsia="es-ES"/>
        </w:rPr>
      </w:pPr>
    </w:p>
    <w:p w14:paraId="68BF6408" w14:textId="6E2103A3" w:rsidR="00712AB9" w:rsidRPr="005B4090" w:rsidRDefault="00712AB9" w:rsidP="00595713">
      <w:pPr>
        <w:pStyle w:val="Ttulo1"/>
        <w:rPr>
          <w:lang w:val="es-ES"/>
        </w:rPr>
      </w:pPr>
      <w:bookmarkStart w:id="5" w:name="_Toc212028284"/>
      <w:r w:rsidRPr="005B4090">
        <w:rPr>
          <w:lang w:val="es-ES"/>
        </w:rPr>
        <w:t>CONSIDERANDOS</w:t>
      </w:r>
      <w:bookmarkEnd w:id="5"/>
    </w:p>
    <w:p w14:paraId="116D689E" w14:textId="77777777" w:rsidR="00712AB9" w:rsidRPr="005B4090" w:rsidRDefault="00712AB9" w:rsidP="00595713">
      <w:pPr>
        <w:spacing w:after="0" w:line="360" w:lineRule="auto"/>
        <w:rPr>
          <w:rFonts w:cs="Tahoma"/>
          <w:b/>
          <w:lang w:val="es-ES"/>
        </w:rPr>
      </w:pPr>
    </w:p>
    <w:p w14:paraId="2D53237B" w14:textId="03957B6E" w:rsidR="00712AB9" w:rsidRPr="005B4090" w:rsidRDefault="00712AB9" w:rsidP="00595713">
      <w:pPr>
        <w:pStyle w:val="Ttulo2"/>
        <w:rPr>
          <w:lang w:val="es-ES"/>
        </w:rPr>
      </w:pPr>
      <w:bookmarkStart w:id="6" w:name="_Toc212028285"/>
      <w:r w:rsidRPr="005B4090">
        <w:rPr>
          <w:rFonts w:eastAsia="Calibri"/>
          <w:lang w:val="es-ES" w:eastAsia="es-MX"/>
        </w:rPr>
        <w:t xml:space="preserve">PRIMERO. </w:t>
      </w:r>
      <w:r w:rsidRPr="005B4090">
        <w:rPr>
          <w:lang w:val="es-ES"/>
        </w:rPr>
        <w:t>Competencia</w:t>
      </w:r>
      <w:bookmarkEnd w:id="6"/>
    </w:p>
    <w:p w14:paraId="6984F45B" w14:textId="77777777" w:rsidR="00712AB9" w:rsidRPr="005B4090" w:rsidRDefault="00712AB9" w:rsidP="00595713">
      <w:pPr>
        <w:autoSpaceDE w:val="0"/>
        <w:autoSpaceDN w:val="0"/>
        <w:adjustRightInd w:val="0"/>
        <w:spacing w:after="0" w:line="360" w:lineRule="auto"/>
        <w:rPr>
          <w:rFonts w:cs="Tahoma"/>
          <w:b/>
          <w:lang w:val="es-ES"/>
        </w:rPr>
      </w:pPr>
    </w:p>
    <w:p w14:paraId="271319BD" w14:textId="1AC315C8" w:rsidR="00D94483" w:rsidRPr="005B4090" w:rsidRDefault="00664DE5" w:rsidP="00664DE5">
      <w:pPr>
        <w:autoSpaceDE w:val="0"/>
        <w:autoSpaceDN w:val="0"/>
        <w:adjustRightInd w:val="0"/>
        <w:spacing w:after="0" w:line="360" w:lineRule="auto"/>
        <w:rPr>
          <w:rFonts w:cs="Tahoma"/>
          <w:bCs/>
          <w:lang w:val="es-ES"/>
        </w:rPr>
      </w:pPr>
      <w:r w:rsidRPr="005B4090">
        <w:rPr>
          <w:rFonts w:cs="Tahoma"/>
          <w:bCs/>
          <w:lang w:val="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w:t>
      </w:r>
      <w:r w:rsidRPr="005B4090">
        <w:rPr>
          <w:rFonts w:cs="Tahoma"/>
          <w:bCs/>
          <w:lang w:val="es-ES"/>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3E57960" w14:textId="77777777" w:rsidR="00712AB9" w:rsidRPr="005B4090" w:rsidRDefault="00712AB9" w:rsidP="00595713">
      <w:pPr>
        <w:autoSpaceDE w:val="0"/>
        <w:autoSpaceDN w:val="0"/>
        <w:adjustRightInd w:val="0"/>
        <w:spacing w:after="0" w:line="360" w:lineRule="auto"/>
        <w:rPr>
          <w:rFonts w:eastAsia="Calibri" w:cs="Tahoma"/>
          <w:b/>
          <w:lang w:eastAsia="es-MX"/>
        </w:rPr>
      </w:pPr>
    </w:p>
    <w:p w14:paraId="456E3B01" w14:textId="27471711" w:rsidR="00712AB9" w:rsidRPr="005B4090" w:rsidRDefault="00712AB9" w:rsidP="00595713">
      <w:pPr>
        <w:pStyle w:val="Ttulo2"/>
        <w:rPr>
          <w:lang w:val="es-ES"/>
        </w:rPr>
      </w:pPr>
      <w:bookmarkStart w:id="7" w:name="_Toc212028286"/>
      <w:r w:rsidRPr="005B4090">
        <w:rPr>
          <w:rFonts w:eastAsia="Calibri"/>
          <w:lang w:val="es-ES" w:eastAsia="es-MX"/>
        </w:rPr>
        <w:t xml:space="preserve">SEGUNDO. </w:t>
      </w:r>
      <w:r w:rsidRPr="005B4090">
        <w:rPr>
          <w:lang w:val="es-ES"/>
        </w:rPr>
        <w:t>Causales de improcedencia y sobreseimiento</w:t>
      </w:r>
      <w:bookmarkEnd w:id="7"/>
    </w:p>
    <w:p w14:paraId="30DA7B31" w14:textId="77777777" w:rsidR="00712AB9" w:rsidRPr="005B4090" w:rsidRDefault="00712AB9" w:rsidP="00595713">
      <w:pPr>
        <w:autoSpaceDE w:val="0"/>
        <w:autoSpaceDN w:val="0"/>
        <w:adjustRightInd w:val="0"/>
        <w:spacing w:after="0" w:line="360" w:lineRule="auto"/>
        <w:rPr>
          <w:rFonts w:cs="Tahoma"/>
          <w:b/>
          <w:lang w:val="es-ES"/>
        </w:rPr>
      </w:pPr>
    </w:p>
    <w:p w14:paraId="48B4DADF" w14:textId="77777777" w:rsidR="00712AB9" w:rsidRPr="005B4090" w:rsidRDefault="00712AB9" w:rsidP="00595713">
      <w:pPr>
        <w:autoSpaceDE w:val="0"/>
        <w:autoSpaceDN w:val="0"/>
        <w:adjustRightInd w:val="0"/>
        <w:spacing w:after="0" w:line="360" w:lineRule="auto"/>
        <w:rPr>
          <w:rFonts w:cs="Tahoma"/>
          <w:lang w:val="es-ES"/>
        </w:rPr>
      </w:pPr>
      <w:r w:rsidRPr="005B4090">
        <w:rPr>
          <w:rFonts w:cs="Tahoma"/>
          <w:lang w:val="es-ES"/>
        </w:rPr>
        <w:t xml:space="preserve">De las constancias que forma parte del Recurso de Revisión que se analiza, se advierte que previo al estudio del fondo de la </w:t>
      </w:r>
      <w:r w:rsidRPr="005B4090">
        <w:rPr>
          <w:rFonts w:cs="Tahoma"/>
          <w:i/>
          <w:lang w:val="es-ES"/>
        </w:rPr>
        <w:t>litis</w:t>
      </w:r>
      <w:r w:rsidRPr="005B4090">
        <w:rPr>
          <w:rFonts w:cs="Tahoma"/>
          <w:lang w:val="es-ES"/>
        </w:rPr>
        <w:t>, es necesario estudiar las causales de improcedencia y sobreseimiento que se adviertan, para determinar lo que en Derecho proceda.</w:t>
      </w:r>
    </w:p>
    <w:p w14:paraId="5D3D6F35" w14:textId="77777777" w:rsidR="00712AB9" w:rsidRPr="005B4090" w:rsidRDefault="00712AB9" w:rsidP="00595713">
      <w:pPr>
        <w:autoSpaceDE w:val="0"/>
        <w:autoSpaceDN w:val="0"/>
        <w:adjustRightInd w:val="0"/>
        <w:spacing w:after="0" w:line="360" w:lineRule="auto"/>
        <w:rPr>
          <w:rFonts w:cs="Tahoma"/>
          <w:lang w:val="es-ES"/>
        </w:rPr>
      </w:pPr>
    </w:p>
    <w:p w14:paraId="18E02810" w14:textId="6D4CC090" w:rsidR="00712AB9" w:rsidRPr="005B4090" w:rsidRDefault="00712AB9" w:rsidP="00595713">
      <w:pPr>
        <w:autoSpaceDE w:val="0"/>
        <w:autoSpaceDN w:val="0"/>
        <w:adjustRightInd w:val="0"/>
        <w:spacing w:after="0" w:line="360" w:lineRule="auto"/>
        <w:rPr>
          <w:rFonts w:eastAsia="Calibri" w:cs="Tahoma"/>
          <w:b/>
          <w:lang w:val="es-ES" w:eastAsia="es-MX"/>
        </w:rPr>
      </w:pPr>
      <w:r w:rsidRPr="005B4090">
        <w:rPr>
          <w:rFonts w:eastAsia="Calibri" w:cs="Tahoma"/>
          <w:b/>
          <w:lang w:val="es-ES" w:eastAsia="es-MX"/>
        </w:rPr>
        <w:t>Causales de improcedencia</w:t>
      </w:r>
    </w:p>
    <w:p w14:paraId="6A6D9F30" w14:textId="77777777" w:rsidR="00712AB9" w:rsidRPr="005B4090" w:rsidRDefault="00712AB9" w:rsidP="00595713">
      <w:pPr>
        <w:autoSpaceDE w:val="0"/>
        <w:autoSpaceDN w:val="0"/>
        <w:adjustRightInd w:val="0"/>
        <w:spacing w:after="0" w:line="360" w:lineRule="auto"/>
        <w:rPr>
          <w:rFonts w:eastAsia="Calibri" w:cs="Tahoma"/>
          <w:lang w:val="es-ES" w:eastAsia="es-MX"/>
        </w:rPr>
      </w:pPr>
    </w:p>
    <w:p w14:paraId="0A80E92E" w14:textId="77777777" w:rsidR="00712AB9" w:rsidRPr="005B4090" w:rsidRDefault="00712AB9" w:rsidP="00595713">
      <w:pPr>
        <w:spacing w:after="0" w:line="360" w:lineRule="auto"/>
        <w:rPr>
          <w:rFonts w:eastAsia="Times New Roman" w:cs="Tahoma"/>
          <w:lang w:eastAsia="es-ES"/>
        </w:rPr>
      </w:pPr>
      <w:r w:rsidRPr="005B4090">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5B4090" w:rsidRDefault="00712AB9" w:rsidP="00595713">
      <w:pPr>
        <w:spacing w:after="0" w:line="360" w:lineRule="auto"/>
        <w:rPr>
          <w:rFonts w:cs="Tahoma"/>
        </w:rPr>
      </w:pPr>
      <w:r w:rsidRPr="005B4090">
        <w:rPr>
          <w:rFonts w:cs="Tahoma"/>
        </w:rPr>
        <w:t xml:space="preserve">  </w:t>
      </w:r>
    </w:p>
    <w:p w14:paraId="1BF86C5F" w14:textId="77777777" w:rsidR="00712AB9" w:rsidRPr="005B4090" w:rsidRDefault="00712AB9" w:rsidP="00595713">
      <w:pPr>
        <w:spacing w:after="0" w:line="360" w:lineRule="auto"/>
        <w:rPr>
          <w:rFonts w:cs="Tahoma"/>
        </w:rPr>
      </w:pPr>
      <w:r w:rsidRPr="005B4090">
        <w:rPr>
          <w:rFonts w:cs="Tahoma"/>
        </w:rPr>
        <w:t>En el presente caso, </w:t>
      </w:r>
      <w:r w:rsidRPr="005B4090">
        <w:rPr>
          <w:rFonts w:cs="Tahoma"/>
          <w:b/>
          <w:bCs/>
        </w:rPr>
        <w:t>no se actualiza ninguna de las causales de improcedencia</w:t>
      </w:r>
      <w:r w:rsidRPr="005B4090">
        <w:rPr>
          <w:rFonts w:cs="Tahoma"/>
        </w:rPr>
        <w:t xml:space="preserve"> establecidas en el ordenamiento jurídico previamente señalado, toda vez que: este Instituto no tiene conocimiento de que se encuentre en trámite algún medio de defensa presentado por el </w:t>
      </w:r>
      <w:r w:rsidRPr="005B4090">
        <w:rPr>
          <w:rFonts w:cs="Tahoma"/>
        </w:rPr>
        <w:lastRenderedPageBreak/>
        <w:t>Recurrente ante otra instancia; no existió prevención alguna; la veracidad de la respuesta no formó parte del agravio; ni se realizó una consulta o ampliación a los alcances del requerimiento informativo.</w:t>
      </w:r>
    </w:p>
    <w:p w14:paraId="246233C8" w14:textId="77777777" w:rsidR="00712AB9" w:rsidRPr="005B4090" w:rsidRDefault="00712AB9" w:rsidP="00595713">
      <w:pPr>
        <w:spacing w:after="0" w:line="360" w:lineRule="auto"/>
        <w:rPr>
          <w:rFonts w:cs="Tahoma"/>
        </w:rPr>
      </w:pPr>
    </w:p>
    <w:p w14:paraId="66694D21" w14:textId="08C12EC7" w:rsidR="00712AB9" w:rsidRPr="005B4090" w:rsidRDefault="00712AB9" w:rsidP="00595713">
      <w:pPr>
        <w:spacing w:after="0" w:line="360" w:lineRule="auto"/>
        <w:rPr>
          <w:rFonts w:cs="Tahoma"/>
          <w:lang w:val="es-ES"/>
        </w:rPr>
      </w:pPr>
      <w:r w:rsidRPr="005B4090">
        <w:rPr>
          <w:rFonts w:cs="Tahoma"/>
          <w:lang w:val="es-ES"/>
        </w:rPr>
        <w:t xml:space="preserve">Además, de que el Medio de Impugnación fue presentado en tiempo, toda vez que ante la ausencia de las respuestas del Ente Recurrido, se constituyó la </w:t>
      </w:r>
      <w:r w:rsidRPr="005B4090">
        <w:rPr>
          <w:rFonts w:cs="Tahoma"/>
          <w:b/>
          <w:lang w:val="es-ES"/>
        </w:rPr>
        <w:t>negativa ficta</w:t>
      </w:r>
      <w:r w:rsidRPr="005B4090">
        <w:rPr>
          <w:rFonts w:cs="Tahoma"/>
          <w:lang w:val="es-ES"/>
        </w:rPr>
        <w:t xml:space="preserve">, que genera la posibilidad de los particulares de interponer un recurso de revisión ante tal omisión, </w:t>
      </w:r>
      <w:r w:rsidRPr="005B4090">
        <w:rPr>
          <w:rFonts w:cs="Tahoma"/>
          <w:u w:val="single"/>
          <w:lang w:val="es-ES"/>
        </w:rPr>
        <w:t>en cualquier momento</w:t>
      </w:r>
      <w:r w:rsidRPr="005B4090">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5B4090" w:rsidRDefault="00712AB9" w:rsidP="00595713">
      <w:pPr>
        <w:spacing w:after="0" w:line="360" w:lineRule="auto"/>
        <w:rPr>
          <w:rFonts w:cs="Tahoma"/>
          <w:lang w:val="es-ES"/>
        </w:rPr>
      </w:pPr>
    </w:p>
    <w:p w14:paraId="32FD54A1" w14:textId="3A560F34" w:rsidR="00712AB9" w:rsidRPr="005B4090" w:rsidRDefault="00712AB9" w:rsidP="00595713">
      <w:pPr>
        <w:spacing w:after="0" w:line="360" w:lineRule="auto"/>
        <w:rPr>
          <w:rFonts w:eastAsia="Times New Roman" w:cs="Tahoma"/>
          <w:lang w:val="es-ES" w:eastAsia="es-ES"/>
        </w:rPr>
      </w:pPr>
      <w:r w:rsidRPr="005B4090">
        <w:rPr>
          <w:rFonts w:cs="Tahoma"/>
        </w:rPr>
        <w:t xml:space="preserve">Por lo cual, se actualiza la causal de procedencia del Recurso de Revisión señalada en el artículo 179, fracción </w:t>
      </w:r>
      <w:r w:rsidR="0026731C" w:rsidRPr="005B4090">
        <w:rPr>
          <w:rFonts w:cs="Tahoma"/>
        </w:rPr>
        <w:t xml:space="preserve">VI y </w:t>
      </w:r>
      <w:r w:rsidRPr="005B4090">
        <w:rPr>
          <w:rFonts w:cs="Tahoma"/>
        </w:rPr>
        <w:t xml:space="preserve">VII, de la Ley en cita, </w:t>
      </w:r>
      <w:r w:rsidRPr="005B4090">
        <w:rPr>
          <w:rFonts w:eastAsia="Calibri" w:cs="Tahoma"/>
          <w:lang w:eastAsia="es-MX"/>
        </w:rPr>
        <w:t xml:space="preserve">pues la parte Recurrente se inconformó </w:t>
      </w:r>
      <w:r w:rsidRPr="005B4090">
        <w:rPr>
          <w:rFonts w:cs="Tahoma"/>
          <w:lang w:val="es-ES"/>
        </w:rPr>
        <w:t>con la falta de respuesta a la solicitud de acceso a la información</w:t>
      </w:r>
      <w:r w:rsidR="0026731C" w:rsidRPr="005B4090">
        <w:rPr>
          <w:rFonts w:cs="Tahoma"/>
          <w:lang w:val="es-ES"/>
        </w:rPr>
        <w:t xml:space="preserve"> y de la entrega de información que no corresponde con lo solicitado</w:t>
      </w:r>
      <w:r w:rsidRPr="005B4090">
        <w:rPr>
          <w:rFonts w:cs="Tahoma"/>
          <w:lang w:val="es-ES"/>
        </w:rPr>
        <w:t>.</w:t>
      </w:r>
    </w:p>
    <w:p w14:paraId="3BA481A0" w14:textId="77777777" w:rsidR="00712AB9" w:rsidRPr="005B4090" w:rsidRDefault="00712AB9" w:rsidP="00595713">
      <w:pPr>
        <w:spacing w:after="0" w:line="360" w:lineRule="auto"/>
        <w:rPr>
          <w:rFonts w:cs="Tahoma"/>
          <w:lang w:val="es-ES"/>
        </w:rPr>
      </w:pPr>
    </w:p>
    <w:p w14:paraId="67E685C1" w14:textId="348448E7" w:rsidR="005D2C72" w:rsidRPr="005B4090" w:rsidRDefault="00712AB9" w:rsidP="00595713">
      <w:pPr>
        <w:spacing w:after="0" w:line="360" w:lineRule="auto"/>
        <w:rPr>
          <w:rFonts w:cs="Tahoma"/>
        </w:rPr>
      </w:pPr>
      <w:r w:rsidRPr="005B4090">
        <w:rPr>
          <w:rFonts w:cs="Tahoma"/>
          <w:b/>
          <w:bCs/>
        </w:rPr>
        <w:t>Causales de sobreseimiento</w:t>
      </w:r>
    </w:p>
    <w:p w14:paraId="11A620EC" w14:textId="77777777" w:rsidR="005D2C72" w:rsidRPr="005B4090" w:rsidRDefault="005D2C72" w:rsidP="00595713">
      <w:pPr>
        <w:spacing w:after="0" w:line="360" w:lineRule="auto"/>
        <w:rPr>
          <w:rFonts w:cs="Tahoma"/>
        </w:rPr>
      </w:pPr>
    </w:p>
    <w:p w14:paraId="236F1C2A" w14:textId="77777777" w:rsidR="00712AB9" w:rsidRPr="005B4090" w:rsidRDefault="00712AB9" w:rsidP="00595713">
      <w:pPr>
        <w:spacing w:after="0" w:line="360" w:lineRule="auto"/>
        <w:rPr>
          <w:rFonts w:cs="Tahoma"/>
        </w:rPr>
      </w:pPr>
      <w:r w:rsidRPr="005B4090">
        <w:rPr>
          <w:rFonts w:cs="Tahoma"/>
        </w:rPr>
        <w:t>Por ser de previo y especial pronunciamiento, este Instituto analiza si se actualiza alguna causal de sobreseimiento.</w:t>
      </w:r>
    </w:p>
    <w:p w14:paraId="78984182" w14:textId="77777777" w:rsidR="00712AB9" w:rsidRPr="005B4090" w:rsidRDefault="00712AB9" w:rsidP="00595713">
      <w:pPr>
        <w:spacing w:after="0" w:line="360" w:lineRule="auto"/>
        <w:rPr>
          <w:rFonts w:cs="Tahoma"/>
        </w:rPr>
      </w:pPr>
    </w:p>
    <w:p w14:paraId="041618A8" w14:textId="77777777" w:rsidR="00712AB9" w:rsidRPr="005B4090" w:rsidRDefault="00712AB9" w:rsidP="00595713">
      <w:pPr>
        <w:spacing w:after="0" w:line="360" w:lineRule="auto"/>
        <w:rPr>
          <w:rFonts w:cs="Tahoma"/>
        </w:rPr>
      </w:pPr>
      <w:r w:rsidRPr="005B4090">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5B4090">
        <w:rPr>
          <w:rFonts w:cs="Tahoma"/>
        </w:rPr>
        <w:lastRenderedPageBreak/>
        <w:t>fallecido, sobreviniera alguna causal de improcedencia, que el Sujeto Obligado hubiese modificado o revocado el acto impugnado o bien, haya quedado sin materia.</w:t>
      </w:r>
    </w:p>
    <w:p w14:paraId="2A2F8A2C" w14:textId="77777777" w:rsidR="00FB1036" w:rsidRPr="005B4090" w:rsidRDefault="00FB1036" w:rsidP="00595713">
      <w:pPr>
        <w:spacing w:after="0" w:line="360" w:lineRule="auto"/>
        <w:rPr>
          <w:rFonts w:cs="Tahoma"/>
        </w:rPr>
      </w:pPr>
    </w:p>
    <w:p w14:paraId="0621EEA9" w14:textId="77777777" w:rsidR="00712AB9" w:rsidRPr="005B4090" w:rsidRDefault="00712AB9" w:rsidP="00595713">
      <w:pPr>
        <w:tabs>
          <w:tab w:val="left" w:pos="4962"/>
        </w:tabs>
        <w:spacing w:after="0" w:line="360" w:lineRule="auto"/>
        <w:rPr>
          <w:rFonts w:cs="Tahoma"/>
          <w:lang w:val="es-ES"/>
        </w:rPr>
      </w:pPr>
      <w:r w:rsidRPr="005B4090">
        <w:rPr>
          <w:rFonts w:cs="Tahoma"/>
          <w:bCs/>
          <w:lang w:val="es-ES"/>
        </w:rPr>
        <w:t xml:space="preserve">Por tales motivos, </w:t>
      </w:r>
      <w:r w:rsidRPr="005B4090">
        <w:rPr>
          <w:rFonts w:cs="Tahoma"/>
          <w:lang w:val="es-ES"/>
        </w:rPr>
        <w:t xml:space="preserve">se considera procedente entrar al fondo del presente asunto. </w:t>
      </w:r>
    </w:p>
    <w:p w14:paraId="5ECD6A23" w14:textId="77777777" w:rsidR="00712AB9" w:rsidRPr="005B4090" w:rsidRDefault="00712AB9" w:rsidP="00595713">
      <w:pPr>
        <w:tabs>
          <w:tab w:val="left" w:pos="4962"/>
        </w:tabs>
        <w:spacing w:after="0" w:line="360" w:lineRule="auto"/>
        <w:rPr>
          <w:rFonts w:eastAsia="Calibri" w:cs="Tahoma"/>
          <w:b/>
          <w:iCs/>
          <w:lang w:val="es-ES" w:eastAsia="es-ES_tradnl"/>
        </w:rPr>
      </w:pPr>
    </w:p>
    <w:p w14:paraId="096DA905" w14:textId="646E3145" w:rsidR="00712AB9" w:rsidRPr="005B4090" w:rsidRDefault="00712AB9" w:rsidP="00595713">
      <w:pPr>
        <w:pStyle w:val="Ttulo2"/>
        <w:rPr>
          <w:rFonts w:eastAsia="Calibri"/>
          <w:lang w:val="es-ES" w:eastAsia="es-ES_tradnl"/>
        </w:rPr>
      </w:pPr>
      <w:bookmarkStart w:id="8" w:name="_Toc212028287"/>
      <w:r w:rsidRPr="005B4090">
        <w:rPr>
          <w:rFonts w:eastAsia="Calibri"/>
          <w:lang w:val="es-ES" w:eastAsia="es-ES_tradnl"/>
        </w:rPr>
        <w:t>TERCERO. Determinación de la Controversia</w:t>
      </w:r>
      <w:bookmarkEnd w:id="8"/>
      <w:r w:rsidRPr="005B4090">
        <w:rPr>
          <w:rFonts w:eastAsia="Calibri"/>
          <w:lang w:val="es-ES" w:eastAsia="es-ES_tradnl"/>
        </w:rPr>
        <w:t xml:space="preserve"> </w:t>
      </w:r>
    </w:p>
    <w:p w14:paraId="73B8C4F3" w14:textId="77777777" w:rsidR="00EB4163" w:rsidRPr="005B4090" w:rsidRDefault="00EB4163" w:rsidP="00595713">
      <w:pPr>
        <w:spacing w:after="0" w:line="360" w:lineRule="auto"/>
      </w:pPr>
    </w:p>
    <w:p w14:paraId="2A56A529" w14:textId="539DAD2A" w:rsidR="00EB4163" w:rsidRPr="005B4090" w:rsidRDefault="00712AB9" w:rsidP="004F6232">
      <w:pPr>
        <w:tabs>
          <w:tab w:val="left" w:pos="4962"/>
        </w:tabs>
        <w:spacing w:after="0" w:line="360" w:lineRule="auto"/>
        <w:rPr>
          <w:rFonts w:eastAsia="Calibri" w:cs="Tahoma"/>
          <w:iCs/>
          <w:lang w:val="es-ES" w:eastAsia="es-ES_tradnl"/>
        </w:rPr>
      </w:pPr>
      <w:r w:rsidRPr="005B4090">
        <w:rPr>
          <w:rFonts w:eastAsia="Calibri" w:cs="Tahoma"/>
          <w:iCs/>
          <w:lang w:val="es-ES" w:eastAsia="es-ES_tradnl"/>
        </w:rPr>
        <w:t>Con el objeto de ilustrar la controversia planteada, resulta conveniente</w:t>
      </w:r>
      <w:r w:rsidR="00EB4163" w:rsidRPr="005B4090">
        <w:rPr>
          <w:rFonts w:eastAsia="Calibri" w:cs="Tahoma"/>
          <w:iCs/>
          <w:lang w:val="es-ES" w:eastAsia="es-ES_tradnl"/>
        </w:rPr>
        <w:t xml:space="preserve"> realizar un cuadro que contenga la solicitud de información, la respuesta por parte del Sujeto Obligado, la inconformidad por parte del Recurrente y el Informe Justificado, conforme a lo siguiente:</w:t>
      </w:r>
    </w:p>
    <w:p w14:paraId="6D253E70" w14:textId="77777777" w:rsidR="00EB4163" w:rsidRPr="005B4090" w:rsidRDefault="00EB4163" w:rsidP="004F6232">
      <w:pPr>
        <w:tabs>
          <w:tab w:val="left" w:pos="4962"/>
        </w:tabs>
        <w:spacing w:after="0" w:line="360" w:lineRule="auto"/>
        <w:rPr>
          <w:rFonts w:eastAsia="Calibri" w:cs="Tahoma"/>
          <w:iCs/>
          <w:lang w:val="es-ES" w:eastAsia="es-ES_tradnl"/>
        </w:rPr>
      </w:pPr>
    </w:p>
    <w:tbl>
      <w:tblPr>
        <w:tblStyle w:val="Tablaconcuadrcula"/>
        <w:tblW w:w="0" w:type="auto"/>
        <w:tblLook w:val="04A0" w:firstRow="1" w:lastRow="0" w:firstColumn="1" w:lastColumn="0" w:noHBand="0" w:noVBand="1"/>
      </w:tblPr>
      <w:tblGrid>
        <w:gridCol w:w="2230"/>
        <w:gridCol w:w="2230"/>
        <w:gridCol w:w="2230"/>
        <w:gridCol w:w="2231"/>
      </w:tblGrid>
      <w:tr w:rsidR="00EB4163" w:rsidRPr="005B4090" w14:paraId="43D78E99" w14:textId="77777777" w:rsidTr="00EB4163">
        <w:tc>
          <w:tcPr>
            <w:tcW w:w="2230" w:type="dxa"/>
            <w:shd w:val="clear" w:color="auto" w:fill="DEEAF6" w:themeFill="accent5" w:themeFillTint="33"/>
          </w:tcPr>
          <w:p w14:paraId="4E9ABB12" w14:textId="616CE264" w:rsidR="00EB4163" w:rsidRPr="005B4090" w:rsidRDefault="00EB4163" w:rsidP="00EB4163">
            <w:pPr>
              <w:tabs>
                <w:tab w:val="left" w:pos="4962"/>
              </w:tabs>
              <w:jc w:val="center"/>
              <w:rPr>
                <w:rFonts w:eastAsia="Calibri" w:cs="Tahoma"/>
                <w:b/>
                <w:iCs/>
                <w:lang w:eastAsia="es-ES_tradnl"/>
              </w:rPr>
            </w:pPr>
            <w:r w:rsidRPr="005B4090">
              <w:rPr>
                <w:rFonts w:eastAsia="Calibri" w:cs="Tahoma"/>
                <w:b/>
                <w:iCs/>
                <w:lang w:eastAsia="es-ES_tradnl"/>
              </w:rPr>
              <w:t>Solicitud de Información</w:t>
            </w:r>
          </w:p>
        </w:tc>
        <w:tc>
          <w:tcPr>
            <w:tcW w:w="2230" w:type="dxa"/>
            <w:shd w:val="clear" w:color="auto" w:fill="DEEAF6" w:themeFill="accent5" w:themeFillTint="33"/>
          </w:tcPr>
          <w:p w14:paraId="210793CF" w14:textId="1075B0D3" w:rsidR="00EB4163" w:rsidRPr="005B4090" w:rsidRDefault="00EB4163" w:rsidP="00EB4163">
            <w:pPr>
              <w:tabs>
                <w:tab w:val="left" w:pos="4962"/>
              </w:tabs>
              <w:jc w:val="center"/>
              <w:rPr>
                <w:rFonts w:eastAsia="Calibri" w:cs="Tahoma"/>
                <w:b/>
                <w:iCs/>
                <w:lang w:eastAsia="es-ES_tradnl"/>
              </w:rPr>
            </w:pPr>
            <w:r w:rsidRPr="005B4090">
              <w:rPr>
                <w:rFonts w:eastAsia="Calibri" w:cs="Tahoma"/>
                <w:b/>
                <w:iCs/>
                <w:lang w:eastAsia="es-ES_tradnl"/>
              </w:rPr>
              <w:t>Respuesta</w:t>
            </w:r>
          </w:p>
        </w:tc>
        <w:tc>
          <w:tcPr>
            <w:tcW w:w="2230" w:type="dxa"/>
            <w:shd w:val="clear" w:color="auto" w:fill="DEEAF6" w:themeFill="accent5" w:themeFillTint="33"/>
          </w:tcPr>
          <w:p w14:paraId="3ABE1FC0" w14:textId="43AFB440" w:rsidR="00EB4163" w:rsidRPr="005B4090" w:rsidRDefault="00EB4163" w:rsidP="00EB4163">
            <w:pPr>
              <w:tabs>
                <w:tab w:val="left" w:pos="4962"/>
              </w:tabs>
              <w:jc w:val="center"/>
              <w:rPr>
                <w:rFonts w:eastAsia="Calibri" w:cs="Tahoma"/>
                <w:b/>
                <w:iCs/>
                <w:lang w:eastAsia="es-ES_tradnl"/>
              </w:rPr>
            </w:pPr>
            <w:r w:rsidRPr="005B4090">
              <w:rPr>
                <w:rFonts w:eastAsia="Calibri" w:cs="Tahoma"/>
                <w:b/>
                <w:iCs/>
                <w:lang w:eastAsia="es-ES_tradnl"/>
              </w:rPr>
              <w:t>Inconformidad</w:t>
            </w:r>
          </w:p>
        </w:tc>
        <w:tc>
          <w:tcPr>
            <w:tcW w:w="2231" w:type="dxa"/>
            <w:shd w:val="clear" w:color="auto" w:fill="DEEAF6" w:themeFill="accent5" w:themeFillTint="33"/>
          </w:tcPr>
          <w:p w14:paraId="2AD4E164" w14:textId="655BA86C" w:rsidR="00EB4163" w:rsidRPr="005B4090" w:rsidRDefault="00EB4163" w:rsidP="00EB4163">
            <w:pPr>
              <w:tabs>
                <w:tab w:val="left" w:pos="4962"/>
              </w:tabs>
              <w:jc w:val="center"/>
              <w:rPr>
                <w:rFonts w:eastAsia="Calibri" w:cs="Tahoma"/>
                <w:b/>
                <w:iCs/>
                <w:lang w:eastAsia="es-ES_tradnl"/>
              </w:rPr>
            </w:pPr>
            <w:r w:rsidRPr="005B4090">
              <w:rPr>
                <w:rFonts w:eastAsia="Calibri" w:cs="Tahoma"/>
                <w:b/>
                <w:iCs/>
                <w:lang w:eastAsia="es-ES_tradnl"/>
              </w:rPr>
              <w:t>Informe Justificado</w:t>
            </w:r>
          </w:p>
        </w:tc>
      </w:tr>
      <w:tr w:rsidR="00B2563E" w:rsidRPr="005B4090" w14:paraId="2DDED686" w14:textId="77777777" w:rsidTr="00EB4163">
        <w:tc>
          <w:tcPr>
            <w:tcW w:w="2230" w:type="dxa"/>
          </w:tcPr>
          <w:p w14:paraId="3F86522F" w14:textId="33F58B05"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 xml:space="preserve">1. Los recibos de nómina del </w:t>
            </w:r>
            <w:proofErr w:type="gramStart"/>
            <w:r w:rsidRPr="005B4090">
              <w:rPr>
                <w:rFonts w:eastAsia="Calibri" w:cs="Tahoma"/>
                <w:iCs/>
                <w:sz w:val="20"/>
                <w:lang w:eastAsia="es-ES_tradnl"/>
              </w:rPr>
              <w:t>Director</w:t>
            </w:r>
            <w:proofErr w:type="gramEnd"/>
            <w:r w:rsidRPr="005B4090">
              <w:rPr>
                <w:rFonts w:eastAsia="Calibri" w:cs="Tahoma"/>
                <w:iCs/>
                <w:sz w:val="20"/>
                <w:lang w:eastAsia="es-ES_tradnl"/>
              </w:rPr>
              <w:t xml:space="preserve"> y </w:t>
            </w:r>
            <w:proofErr w:type="gramStart"/>
            <w:r w:rsidRPr="005B4090">
              <w:rPr>
                <w:rFonts w:eastAsia="Calibri" w:cs="Tahoma"/>
                <w:iCs/>
                <w:sz w:val="20"/>
                <w:lang w:eastAsia="es-ES_tradnl"/>
              </w:rPr>
              <w:t>Subdirector</w:t>
            </w:r>
            <w:proofErr w:type="gramEnd"/>
            <w:r w:rsidRPr="005B4090">
              <w:rPr>
                <w:rFonts w:eastAsia="Calibri" w:cs="Tahoma"/>
                <w:iCs/>
                <w:sz w:val="20"/>
                <w:lang w:eastAsia="es-ES_tradnl"/>
              </w:rPr>
              <w:t xml:space="preserve"> de Desarrollo Urbano, del primero de enero de dos mil veinticuatro al primero de septiembre de dos mil veinticinco;</w:t>
            </w:r>
          </w:p>
        </w:tc>
        <w:tc>
          <w:tcPr>
            <w:tcW w:w="2230" w:type="dxa"/>
            <w:vMerge w:val="restart"/>
          </w:tcPr>
          <w:p w14:paraId="1F0B9D4F" w14:textId="64EE6949"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bCs/>
                <w:sz w:val="20"/>
                <w:szCs w:val="20"/>
              </w:rPr>
              <w:t>Omitió dar respuesta a las solicitudes de información.</w:t>
            </w:r>
          </w:p>
        </w:tc>
        <w:tc>
          <w:tcPr>
            <w:tcW w:w="2230" w:type="dxa"/>
            <w:vMerge w:val="restart"/>
          </w:tcPr>
          <w:p w14:paraId="1B9E9713" w14:textId="027F85A6" w:rsidR="00B2563E" w:rsidRPr="005B4090" w:rsidRDefault="00B2563E" w:rsidP="004F6232">
            <w:pPr>
              <w:tabs>
                <w:tab w:val="left" w:pos="4962"/>
              </w:tabs>
              <w:spacing w:line="360" w:lineRule="auto"/>
              <w:rPr>
                <w:rFonts w:eastAsia="Calibri" w:cs="Tahoma"/>
                <w:iCs/>
                <w:sz w:val="20"/>
                <w:lang w:eastAsia="es-ES_tradnl"/>
              </w:rPr>
            </w:pPr>
            <w:r w:rsidRPr="005B4090">
              <w:rPr>
                <w:rFonts w:cs="Tahoma"/>
                <w:bCs/>
                <w:iCs/>
                <w:sz w:val="20"/>
              </w:rPr>
              <w:t xml:space="preserve">Ante la falta de respuesta del Ente Recurrido, el Particular, justamente se inconformó porque no </w:t>
            </w:r>
            <w:proofErr w:type="gramStart"/>
            <w:r w:rsidRPr="005B4090">
              <w:rPr>
                <w:rFonts w:cs="Tahoma"/>
                <w:bCs/>
                <w:iCs/>
                <w:sz w:val="20"/>
              </w:rPr>
              <w:t>le</w:t>
            </w:r>
            <w:proofErr w:type="gramEnd"/>
            <w:r w:rsidRPr="005B4090">
              <w:rPr>
                <w:rFonts w:cs="Tahoma"/>
                <w:bCs/>
                <w:iCs/>
                <w:sz w:val="20"/>
              </w:rPr>
              <w:t xml:space="preserve"> dieron contestación a sus requerimientos de información, lo cual se actualiza el supuesto previsto en el artículo 179, fracción VII, de la Ley de Transparencia y Acceso a la Información Pública </w:t>
            </w:r>
            <w:r w:rsidRPr="005B4090">
              <w:rPr>
                <w:rFonts w:cs="Tahoma"/>
                <w:bCs/>
                <w:iCs/>
                <w:sz w:val="20"/>
              </w:rPr>
              <w:lastRenderedPageBreak/>
              <w:t>del Estado de México y Municipios</w:t>
            </w:r>
          </w:p>
        </w:tc>
        <w:tc>
          <w:tcPr>
            <w:tcW w:w="2231" w:type="dxa"/>
            <w:vMerge w:val="restart"/>
          </w:tcPr>
          <w:p w14:paraId="2E16704C" w14:textId="405A2789"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sz w:val="20"/>
              </w:rPr>
              <w:lastRenderedPageBreak/>
              <w:t xml:space="preserve">Así las cosas, una vez admitido y notificado el Recurso de Revisión a las partes, </w:t>
            </w:r>
            <w:r w:rsidRPr="005B4090">
              <w:rPr>
                <w:rFonts w:cs="Tahoma"/>
                <w:sz w:val="20"/>
              </w:rPr>
              <w:t>estas</w:t>
            </w:r>
            <w:r w:rsidRPr="005B4090">
              <w:rPr>
                <w:rFonts w:cs="Tahoma"/>
                <w:bCs/>
                <w:iCs/>
                <w:sz w:val="20"/>
                <w:lang w:eastAsia="es-ES"/>
              </w:rPr>
              <w:t xml:space="preserve"> fueron omisas en realizar manifestaciones o alegatos.</w:t>
            </w:r>
          </w:p>
        </w:tc>
      </w:tr>
      <w:tr w:rsidR="00B2563E" w:rsidRPr="005B4090" w14:paraId="180C431A" w14:textId="77777777" w:rsidTr="00EB4163">
        <w:tc>
          <w:tcPr>
            <w:tcW w:w="2230" w:type="dxa"/>
          </w:tcPr>
          <w:p w14:paraId="58D88E06" w14:textId="44CC72DF"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 xml:space="preserve">2. Los recibos de nómina del personal del área donde administran la carga de gasolina y diésel, del primero de enero al primero de </w:t>
            </w:r>
            <w:r w:rsidRPr="005B4090">
              <w:rPr>
                <w:rFonts w:eastAsia="Calibri" w:cs="Tahoma"/>
                <w:iCs/>
                <w:sz w:val="20"/>
                <w:lang w:eastAsia="es-ES_tradnl"/>
              </w:rPr>
              <w:lastRenderedPageBreak/>
              <w:t>septiembre de dos mil veinticinco;</w:t>
            </w:r>
          </w:p>
        </w:tc>
        <w:tc>
          <w:tcPr>
            <w:tcW w:w="2230" w:type="dxa"/>
            <w:vMerge/>
          </w:tcPr>
          <w:p w14:paraId="06CD50A1" w14:textId="77777777" w:rsidR="00B2563E" w:rsidRPr="005B4090" w:rsidRDefault="00B2563E" w:rsidP="004F6232">
            <w:pPr>
              <w:tabs>
                <w:tab w:val="left" w:pos="4962"/>
              </w:tabs>
              <w:spacing w:line="360" w:lineRule="auto"/>
              <w:rPr>
                <w:rFonts w:eastAsia="Calibri" w:cs="Tahoma"/>
                <w:iCs/>
                <w:sz w:val="20"/>
                <w:lang w:eastAsia="es-ES_tradnl"/>
              </w:rPr>
            </w:pPr>
          </w:p>
        </w:tc>
        <w:tc>
          <w:tcPr>
            <w:tcW w:w="2230" w:type="dxa"/>
            <w:vMerge/>
          </w:tcPr>
          <w:p w14:paraId="0D9AD8CE" w14:textId="77777777" w:rsidR="00B2563E" w:rsidRPr="005B4090" w:rsidRDefault="00B2563E" w:rsidP="004F6232">
            <w:pPr>
              <w:tabs>
                <w:tab w:val="left" w:pos="4962"/>
              </w:tabs>
              <w:spacing w:line="360" w:lineRule="auto"/>
              <w:rPr>
                <w:rFonts w:eastAsia="Calibri" w:cs="Tahoma"/>
                <w:iCs/>
                <w:sz w:val="20"/>
                <w:lang w:eastAsia="es-ES_tradnl"/>
              </w:rPr>
            </w:pPr>
          </w:p>
        </w:tc>
        <w:tc>
          <w:tcPr>
            <w:tcW w:w="2231" w:type="dxa"/>
            <w:vMerge/>
          </w:tcPr>
          <w:p w14:paraId="087BFFAD" w14:textId="77777777" w:rsidR="00B2563E" w:rsidRPr="005B4090" w:rsidRDefault="00B2563E" w:rsidP="004F6232">
            <w:pPr>
              <w:tabs>
                <w:tab w:val="left" w:pos="4962"/>
              </w:tabs>
              <w:spacing w:line="360" w:lineRule="auto"/>
              <w:rPr>
                <w:rFonts w:eastAsia="Calibri" w:cs="Tahoma"/>
                <w:iCs/>
                <w:sz w:val="20"/>
                <w:lang w:eastAsia="es-ES_tradnl"/>
              </w:rPr>
            </w:pPr>
          </w:p>
        </w:tc>
      </w:tr>
      <w:tr w:rsidR="00B2563E" w:rsidRPr="005B4090" w14:paraId="00334D39" w14:textId="77777777" w:rsidTr="00EB4163">
        <w:tc>
          <w:tcPr>
            <w:tcW w:w="2230" w:type="dxa"/>
          </w:tcPr>
          <w:p w14:paraId="516FF9BD" w14:textId="2CC134B4"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 xml:space="preserve">3. Los recibos de nómina de todo el personal adscrito de apellido </w:t>
            </w:r>
            <w:proofErr w:type="spellStart"/>
            <w:r w:rsidRPr="005B4090">
              <w:rPr>
                <w:rFonts w:eastAsia="Calibri" w:cs="Tahoma"/>
                <w:iCs/>
                <w:sz w:val="20"/>
                <w:lang w:eastAsia="es-ES_tradnl"/>
              </w:rPr>
              <w:t>Zuppa</w:t>
            </w:r>
            <w:proofErr w:type="spellEnd"/>
            <w:r w:rsidRPr="005B4090">
              <w:rPr>
                <w:rFonts w:eastAsia="Calibri" w:cs="Tahoma"/>
                <w:iCs/>
                <w:sz w:val="20"/>
                <w:lang w:eastAsia="es-ES_tradnl"/>
              </w:rPr>
              <w:t>, del primero de enero al primero de septiembre de dos mil veinticinco;</w:t>
            </w:r>
          </w:p>
        </w:tc>
        <w:tc>
          <w:tcPr>
            <w:tcW w:w="2230" w:type="dxa"/>
            <w:vMerge/>
          </w:tcPr>
          <w:p w14:paraId="4FCC9F53" w14:textId="77777777" w:rsidR="00B2563E" w:rsidRPr="005B4090" w:rsidRDefault="00B2563E" w:rsidP="004F6232">
            <w:pPr>
              <w:tabs>
                <w:tab w:val="left" w:pos="4962"/>
              </w:tabs>
              <w:spacing w:line="360" w:lineRule="auto"/>
              <w:rPr>
                <w:rFonts w:eastAsia="Calibri" w:cs="Tahoma"/>
                <w:iCs/>
                <w:sz w:val="20"/>
                <w:lang w:eastAsia="es-ES_tradnl"/>
              </w:rPr>
            </w:pPr>
          </w:p>
        </w:tc>
        <w:tc>
          <w:tcPr>
            <w:tcW w:w="2230" w:type="dxa"/>
            <w:vMerge/>
          </w:tcPr>
          <w:p w14:paraId="780920EB" w14:textId="77777777" w:rsidR="00B2563E" w:rsidRPr="005B4090" w:rsidRDefault="00B2563E" w:rsidP="004F6232">
            <w:pPr>
              <w:tabs>
                <w:tab w:val="left" w:pos="4962"/>
              </w:tabs>
              <w:spacing w:line="360" w:lineRule="auto"/>
              <w:rPr>
                <w:rFonts w:eastAsia="Calibri" w:cs="Tahoma"/>
                <w:iCs/>
                <w:sz w:val="20"/>
                <w:lang w:eastAsia="es-ES_tradnl"/>
              </w:rPr>
            </w:pPr>
          </w:p>
        </w:tc>
        <w:tc>
          <w:tcPr>
            <w:tcW w:w="2231" w:type="dxa"/>
            <w:vMerge/>
          </w:tcPr>
          <w:p w14:paraId="1140DB8C" w14:textId="77777777" w:rsidR="00B2563E" w:rsidRPr="005B4090" w:rsidRDefault="00B2563E" w:rsidP="004F6232">
            <w:pPr>
              <w:tabs>
                <w:tab w:val="left" w:pos="4962"/>
              </w:tabs>
              <w:spacing w:line="360" w:lineRule="auto"/>
              <w:rPr>
                <w:rFonts w:eastAsia="Calibri" w:cs="Tahoma"/>
                <w:iCs/>
                <w:sz w:val="20"/>
                <w:lang w:eastAsia="es-ES_tradnl"/>
              </w:rPr>
            </w:pPr>
          </w:p>
        </w:tc>
      </w:tr>
      <w:tr w:rsidR="00B2563E" w:rsidRPr="005B4090" w14:paraId="61714ECC" w14:textId="77777777" w:rsidTr="00EB4163">
        <w:tc>
          <w:tcPr>
            <w:tcW w:w="2230" w:type="dxa"/>
          </w:tcPr>
          <w:p w14:paraId="397D96AB" w14:textId="36DE5A11"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4. Los recibos de nómina de la Coordinadora General Municipal de Mejora Regulatoria, del primero de enero al primero de septiembre de dos mil veinticinco;</w:t>
            </w:r>
          </w:p>
        </w:tc>
        <w:tc>
          <w:tcPr>
            <w:tcW w:w="2230" w:type="dxa"/>
            <w:vMerge/>
          </w:tcPr>
          <w:p w14:paraId="2209F052" w14:textId="77777777" w:rsidR="00B2563E" w:rsidRPr="005B4090" w:rsidRDefault="00B2563E" w:rsidP="004F6232">
            <w:pPr>
              <w:tabs>
                <w:tab w:val="left" w:pos="4962"/>
              </w:tabs>
              <w:spacing w:line="360" w:lineRule="auto"/>
              <w:rPr>
                <w:rFonts w:eastAsia="Calibri" w:cs="Tahoma"/>
                <w:iCs/>
                <w:sz w:val="20"/>
                <w:lang w:eastAsia="es-ES_tradnl"/>
              </w:rPr>
            </w:pPr>
          </w:p>
        </w:tc>
        <w:tc>
          <w:tcPr>
            <w:tcW w:w="2230" w:type="dxa"/>
            <w:vMerge/>
          </w:tcPr>
          <w:p w14:paraId="7255373A" w14:textId="77777777" w:rsidR="00B2563E" w:rsidRPr="005B4090" w:rsidRDefault="00B2563E" w:rsidP="004F6232">
            <w:pPr>
              <w:tabs>
                <w:tab w:val="left" w:pos="4962"/>
              </w:tabs>
              <w:spacing w:line="360" w:lineRule="auto"/>
              <w:rPr>
                <w:rFonts w:eastAsia="Calibri" w:cs="Tahoma"/>
                <w:iCs/>
                <w:sz w:val="20"/>
                <w:lang w:eastAsia="es-ES_tradnl"/>
              </w:rPr>
            </w:pPr>
          </w:p>
        </w:tc>
        <w:tc>
          <w:tcPr>
            <w:tcW w:w="2231" w:type="dxa"/>
            <w:vMerge/>
          </w:tcPr>
          <w:p w14:paraId="4A34AA2D" w14:textId="77777777" w:rsidR="00B2563E" w:rsidRPr="005B4090" w:rsidRDefault="00B2563E" w:rsidP="004F6232">
            <w:pPr>
              <w:tabs>
                <w:tab w:val="left" w:pos="4962"/>
              </w:tabs>
              <w:spacing w:line="360" w:lineRule="auto"/>
              <w:rPr>
                <w:rFonts w:eastAsia="Calibri" w:cs="Tahoma"/>
                <w:iCs/>
                <w:sz w:val="20"/>
                <w:lang w:eastAsia="es-ES_tradnl"/>
              </w:rPr>
            </w:pPr>
          </w:p>
        </w:tc>
      </w:tr>
      <w:tr w:rsidR="00B2563E" w:rsidRPr="005B4090" w14:paraId="17D0F1D8" w14:textId="77777777" w:rsidTr="00EB4163">
        <w:tc>
          <w:tcPr>
            <w:tcW w:w="2230" w:type="dxa"/>
          </w:tcPr>
          <w:p w14:paraId="167EB667" w14:textId="4BFAC689"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5. Los recibos de nómina de todos los jefes de la Dirección de Desarrollo y Fomento Económico, del primero de enero al primero de septiembre de dos mil veinticinco, y</w:t>
            </w:r>
          </w:p>
        </w:tc>
        <w:tc>
          <w:tcPr>
            <w:tcW w:w="2230" w:type="dxa"/>
          </w:tcPr>
          <w:p w14:paraId="16285055" w14:textId="6F89D6F8"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 xml:space="preserve">A través del </w:t>
            </w:r>
            <w:proofErr w:type="gramStart"/>
            <w:r w:rsidRPr="005B4090">
              <w:rPr>
                <w:rFonts w:eastAsia="Calibri" w:cs="Tahoma"/>
                <w:iCs/>
                <w:sz w:val="20"/>
                <w:lang w:eastAsia="es-ES_tradnl"/>
              </w:rPr>
              <w:t>Director</w:t>
            </w:r>
            <w:proofErr w:type="gramEnd"/>
            <w:r w:rsidRPr="005B4090">
              <w:rPr>
                <w:rFonts w:eastAsia="Calibri" w:cs="Tahoma"/>
                <w:iCs/>
                <w:sz w:val="20"/>
                <w:lang w:eastAsia="es-ES_tradnl"/>
              </w:rPr>
              <w:t xml:space="preserve"> de Administración y Finanzas mencionó que después de una búsqueda exhaustiva y razonable en sus archivos no se tiene una dependencia bajo el nombre mencionado.</w:t>
            </w:r>
          </w:p>
        </w:tc>
        <w:tc>
          <w:tcPr>
            <w:tcW w:w="2230" w:type="dxa"/>
          </w:tcPr>
          <w:p w14:paraId="239E8839" w14:textId="70F9E786" w:rsidR="00B2563E" w:rsidRPr="005B4090" w:rsidRDefault="00B2563E" w:rsidP="004F6232">
            <w:pPr>
              <w:tabs>
                <w:tab w:val="left" w:pos="4962"/>
              </w:tabs>
              <w:spacing w:line="360" w:lineRule="auto"/>
              <w:rPr>
                <w:rFonts w:eastAsia="Calibri" w:cs="Tahoma"/>
                <w:iCs/>
                <w:sz w:val="20"/>
                <w:lang w:eastAsia="es-ES_tradnl"/>
              </w:rPr>
            </w:pPr>
            <w:r w:rsidRPr="005B4090">
              <w:rPr>
                <w:rFonts w:eastAsia="Palatino Linotype" w:cs="Tahoma"/>
                <w:color w:val="000000"/>
                <w:sz w:val="20"/>
                <w:szCs w:val="20"/>
                <w:lang w:val="es-MX" w:eastAsia="es-MX"/>
              </w:rPr>
              <w:t xml:space="preserve">Ante dicha circunstancia, el Particular se inconformó de la entrega de información que no corresponde con lo solicitado, al mencionar que no le entregaron la información solicitada pues deben conocer el nombre de sus áreas, </w:t>
            </w:r>
            <w:r w:rsidRPr="005B4090">
              <w:rPr>
                <w:rFonts w:eastAsia="Palatino Linotype" w:cs="Tahoma"/>
                <w:color w:val="000000"/>
                <w:sz w:val="20"/>
                <w:szCs w:val="20"/>
                <w:lang w:val="es-MX" w:eastAsia="es-MX"/>
              </w:rPr>
              <w:lastRenderedPageBreak/>
              <w:t>lo cual actualiza la causal de procedencia prevista en la fracción VI, del artículo 179 de la Ley de Transparencia y Acceso a la Información Pública del Estado de México y Municipios.</w:t>
            </w:r>
          </w:p>
        </w:tc>
        <w:tc>
          <w:tcPr>
            <w:tcW w:w="2231" w:type="dxa"/>
            <w:vMerge/>
          </w:tcPr>
          <w:p w14:paraId="13DCC727" w14:textId="77777777" w:rsidR="00B2563E" w:rsidRPr="005B4090" w:rsidRDefault="00B2563E" w:rsidP="004F6232">
            <w:pPr>
              <w:tabs>
                <w:tab w:val="left" w:pos="4962"/>
              </w:tabs>
              <w:spacing w:line="360" w:lineRule="auto"/>
              <w:rPr>
                <w:rFonts w:eastAsia="Calibri" w:cs="Tahoma"/>
                <w:iCs/>
                <w:sz w:val="20"/>
                <w:lang w:eastAsia="es-ES_tradnl"/>
              </w:rPr>
            </w:pPr>
          </w:p>
        </w:tc>
      </w:tr>
      <w:tr w:rsidR="00B2563E" w:rsidRPr="005B4090" w14:paraId="299E66FB" w14:textId="77777777" w:rsidTr="00EB4163">
        <w:tc>
          <w:tcPr>
            <w:tcW w:w="2230" w:type="dxa"/>
          </w:tcPr>
          <w:p w14:paraId="1E5E7421" w14:textId="68015832"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iCs/>
                <w:sz w:val="20"/>
                <w:lang w:eastAsia="es-ES_tradnl"/>
              </w:rPr>
              <w:t>6. Los recibos de nómina y el gafete de la Titular de la UIPPE, del primero de enero al primero de septiembre de dos mil veinticinco.</w:t>
            </w:r>
          </w:p>
        </w:tc>
        <w:tc>
          <w:tcPr>
            <w:tcW w:w="2230" w:type="dxa"/>
          </w:tcPr>
          <w:p w14:paraId="2899CAF7" w14:textId="15967AD9" w:rsidR="00B2563E" w:rsidRPr="005B4090" w:rsidRDefault="00B2563E" w:rsidP="004F6232">
            <w:pPr>
              <w:tabs>
                <w:tab w:val="left" w:pos="4962"/>
              </w:tabs>
              <w:spacing w:line="360" w:lineRule="auto"/>
              <w:rPr>
                <w:rFonts w:eastAsia="Calibri" w:cs="Tahoma"/>
                <w:iCs/>
                <w:sz w:val="20"/>
                <w:lang w:eastAsia="es-ES_tradnl"/>
              </w:rPr>
            </w:pPr>
            <w:r w:rsidRPr="005B4090">
              <w:rPr>
                <w:rFonts w:eastAsia="Calibri" w:cs="Tahoma"/>
                <w:bCs/>
                <w:sz w:val="20"/>
                <w:szCs w:val="20"/>
              </w:rPr>
              <w:t>Omitió dar respuesta a las solicitudes de información.</w:t>
            </w:r>
          </w:p>
        </w:tc>
        <w:tc>
          <w:tcPr>
            <w:tcW w:w="2230" w:type="dxa"/>
          </w:tcPr>
          <w:p w14:paraId="2F0C2951" w14:textId="61A61485" w:rsidR="00B2563E" w:rsidRPr="005B4090" w:rsidRDefault="00B2563E" w:rsidP="004F6232">
            <w:pPr>
              <w:tabs>
                <w:tab w:val="left" w:pos="4962"/>
              </w:tabs>
              <w:spacing w:line="360" w:lineRule="auto"/>
              <w:rPr>
                <w:rFonts w:eastAsia="Calibri" w:cs="Tahoma"/>
                <w:iCs/>
                <w:sz w:val="20"/>
                <w:lang w:eastAsia="es-ES_tradnl"/>
              </w:rPr>
            </w:pPr>
            <w:r w:rsidRPr="005B4090">
              <w:rPr>
                <w:rFonts w:cs="Tahoma"/>
                <w:bCs/>
                <w:iCs/>
                <w:sz w:val="20"/>
              </w:rPr>
              <w:t xml:space="preserve">Ante la falta de respuesta del Ente Recurrido, el Particular, justamente se inconformó porque no </w:t>
            </w:r>
            <w:proofErr w:type="gramStart"/>
            <w:r w:rsidRPr="005B4090">
              <w:rPr>
                <w:rFonts w:cs="Tahoma"/>
                <w:bCs/>
                <w:iCs/>
                <w:sz w:val="20"/>
              </w:rPr>
              <w:t>le</w:t>
            </w:r>
            <w:proofErr w:type="gramEnd"/>
            <w:r w:rsidRPr="005B4090">
              <w:rPr>
                <w:rFonts w:cs="Tahoma"/>
                <w:bCs/>
                <w:iCs/>
                <w:sz w:val="20"/>
              </w:rPr>
              <w:t xml:space="preserve"> dieron contestación a sus requerimientos de información, lo cual se actualiza el supuesto previsto en el artículo 179, fracción VII, de la Ley de Transparencia y Acceso a la Información Pública del Estado de México y Municipios.</w:t>
            </w:r>
          </w:p>
        </w:tc>
        <w:tc>
          <w:tcPr>
            <w:tcW w:w="2231" w:type="dxa"/>
            <w:vMerge/>
          </w:tcPr>
          <w:p w14:paraId="0099DC20" w14:textId="77777777" w:rsidR="00B2563E" w:rsidRPr="005B4090" w:rsidRDefault="00B2563E" w:rsidP="004F6232">
            <w:pPr>
              <w:tabs>
                <w:tab w:val="left" w:pos="4962"/>
              </w:tabs>
              <w:spacing w:line="360" w:lineRule="auto"/>
              <w:rPr>
                <w:rFonts w:eastAsia="Calibri" w:cs="Tahoma"/>
                <w:iCs/>
                <w:sz w:val="20"/>
                <w:lang w:eastAsia="es-ES_tradnl"/>
              </w:rPr>
            </w:pPr>
          </w:p>
        </w:tc>
      </w:tr>
    </w:tbl>
    <w:p w14:paraId="44F0C369" w14:textId="5C045699" w:rsidR="00712AB9" w:rsidRPr="005B4090" w:rsidRDefault="00712AB9" w:rsidP="00595713">
      <w:pPr>
        <w:tabs>
          <w:tab w:val="left" w:pos="4962"/>
        </w:tabs>
        <w:spacing w:after="0" w:line="360" w:lineRule="auto"/>
        <w:rPr>
          <w:rFonts w:eastAsia="Calibri" w:cs="Tahoma"/>
          <w:iCs/>
          <w:lang w:val="es-ES" w:eastAsia="es-ES_tradnl"/>
        </w:rPr>
      </w:pPr>
    </w:p>
    <w:p w14:paraId="63855DEC" w14:textId="35DB177A" w:rsidR="00712AB9" w:rsidRPr="005B4090" w:rsidRDefault="00712AB9" w:rsidP="00595713">
      <w:pPr>
        <w:tabs>
          <w:tab w:val="left" w:pos="4962"/>
        </w:tabs>
        <w:spacing w:after="0" w:line="360" w:lineRule="auto"/>
        <w:rPr>
          <w:rFonts w:eastAsia="Calibri" w:cs="Tahoma"/>
          <w:bCs/>
        </w:rPr>
      </w:pPr>
      <w:r w:rsidRPr="005B4090">
        <w:rPr>
          <w:rFonts w:eastAsia="Calibri" w:cs="Tahoma"/>
          <w:iCs/>
          <w:lang w:val="es-ES" w:eastAsia="es-ES_tradnl"/>
        </w:rPr>
        <w:t>Lo anterior, se desprende de las documentales que obran en los expedientes de referencia, materia de la presente resolución, consistente en: la solic</w:t>
      </w:r>
      <w:r w:rsidR="00032C2C" w:rsidRPr="005B4090">
        <w:rPr>
          <w:rFonts w:eastAsia="Calibri" w:cs="Tahoma"/>
          <w:iCs/>
          <w:lang w:val="es-ES" w:eastAsia="es-ES_tradnl"/>
        </w:rPr>
        <w:t>itud de acceso a la información</w:t>
      </w:r>
      <w:r w:rsidR="008871E7" w:rsidRPr="005B4090">
        <w:rPr>
          <w:rFonts w:eastAsia="Calibri" w:cs="Tahoma"/>
          <w:iCs/>
          <w:lang w:val="es-ES" w:eastAsia="es-ES_tradnl"/>
        </w:rPr>
        <w:t xml:space="preserve"> y</w:t>
      </w:r>
      <w:r w:rsidR="00DB7256" w:rsidRPr="005B4090">
        <w:rPr>
          <w:rFonts w:eastAsia="Calibri" w:cs="Tahoma"/>
          <w:iCs/>
          <w:lang w:val="es-ES" w:eastAsia="es-ES_tradnl"/>
        </w:rPr>
        <w:t xml:space="preserve"> </w:t>
      </w:r>
      <w:r w:rsidRPr="005B4090">
        <w:rPr>
          <w:rFonts w:eastAsia="Calibri" w:cs="Tahoma"/>
          <w:iCs/>
          <w:lang w:eastAsia="es-ES_tradnl"/>
        </w:rPr>
        <w:t xml:space="preserve">el </w:t>
      </w:r>
      <w:r w:rsidRPr="005B4090">
        <w:rPr>
          <w:rFonts w:eastAsia="Calibri" w:cs="Tahoma"/>
          <w:iCs/>
          <w:lang w:eastAsia="es-ES_tradnl"/>
        </w:rPr>
        <w:lastRenderedPageBreak/>
        <w:t xml:space="preserve">escrito </w:t>
      </w:r>
      <w:proofErr w:type="spellStart"/>
      <w:r w:rsidRPr="005B4090">
        <w:rPr>
          <w:rFonts w:eastAsia="Calibri" w:cs="Tahoma"/>
          <w:iCs/>
          <w:lang w:eastAsia="es-ES_tradnl"/>
        </w:rPr>
        <w:t>recursal</w:t>
      </w:r>
      <w:proofErr w:type="spellEnd"/>
      <w:r w:rsidRPr="005B4090">
        <w:rPr>
          <w:rFonts w:eastAsia="Calibri" w:cs="Tahoma"/>
          <w:iCs/>
          <w:lang w:eastAsia="es-ES_tradnl"/>
        </w:rPr>
        <w:t xml:space="preserve">; </w:t>
      </w:r>
      <w:r w:rsidRPr="005B409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5B4090" w:rsidRDefault="00712AB9" w:rsidP="00595713">
      <w:pPr>
        <w:tabs>
          <w:tab w:val="left" w:pos="4962"/>
        </w:tabs>
        <w:spacing w:after="0" w:line="360" w:lineRule="auto"/>
        <w:rPr>
          <w:rFonts w:eastAsia="Calibri" w:cs="Tahoma"/>
          <w:bCs/>
        </w:rPr>
      </w:pPr>
    </w:p>
    <w:p w14:paraId="21C806B6" w14:textId="53DC00B4" w:rsidR="00712AB9" w:rsidRPr="005B4090" w:rsidRDefault="00712AB9" w:rsidP="00595713">
      <w:pPr>
        <w:pStyle w:val="Ttulo2"/>
      </w:pPr>
      <w:bookmarkStart w:id="9" w:name="_Toc212028288"/>
      <w:r w:rsidRPr="005B4090">
        <w:rPr>
          <w:lang w:val="es-ES"/>
        </w:rPr>
        <w:t xml:space="preserve">CUARTO. </w:t>
      </w:r>
      <w:r w:rsidRPr="005B4090">
        <w:t>Marco normativo aplicable en materia de transparencia y acceso a la información pública</w:t>
      </w:r>
      <w:bookmarkEnd w:id="9"/>
    </w:p>
    <w:p w14:paraId="11B643C5" w14:textId="77777777" w:rsidR="00712AB9" w:rsidRPr="005B4090" w:rsidRDefault="00712AB9" w:rsidP="00595713">
      <w:pPr>
        <w:spacing w:after="0" w:line="360" w:lineRule="auto"/>
        <w:rPr>
          <w:rFonts w:cs="Tahoma"/>
          <w:b/>
        </w:rPr>
      </w:pPr>
    </w:p>
    <w:p w14:paraId="0C091C32" w14:textId="77777777" w:rsidR="00FB1036" w:rsidRPr="005B4090" w:rsidRDefault="00FB1036" w:rsidP="00595713">
      <w:pPr>
        <w:spacing w:after="0" w:line="360" w:lineRule="auto"/>
        <w:rPr>
          <w:rFonts w:eastAsia="Times New Roman" w:cs="Tahoma"/>
          <w:color w:val="auto"/>
          <w:lang w:eastAsia="es-ES"/>
        </w:rPr>
      </w:pPr>
      <w:r w:rsidRPr="005B4090">
        <w:rPr>
          <w:rFonts w:eastAsia="Times New Roman" w:cs="Tahoma"/>
          <w:color w:val="auto"/>
          <w:lang w:eastAsia="es-ES"/>
        </w:rPr>
        <w:t xml:space="preserve">El artículo 6°, Apartado A), fracción I de la Constitución Política de los Estados Unidos Mexicanos, establece que toda la información en posesión de cualquier </w:t>
      </w:r>
      <w:proofErr w:type="gramStart"/>
      <w:r w:rsidRPr="005B4090">
        <w:rPr>
          <w:rFonts w:eastAsia="Times New Roman" w:cs="Tahoma"/>
          <w:color w:val="auto"/>
          <w:lang w:eastAsia="es-ES"/>
        </w:rPr>
        <w:t>autoridad,</w:t>
      </w:r>
      <w:proofErr w:type="gramEnd"/>
      <w:r w:rsidRPr="005B4090">
        <w:rPr>
          <w:rFonts w:eastAsia="Times New Roman" w:cs="Tahoma"/>
          <w:color w:val="auto"/>
          <w:lang w:eastAsia="es-ES"/>
        </w:rPr>
        <w:t xml:space="preserve"> es pública y sólo podrá ser reservada temporalmente por razones de interés público.</w:t>
      </w:r>
    </w:p>
    <w:p w14:paraId="7E4404D8" w14:textId="77777777" w:rsidR="00FB1036" w:rsidRPr="005B4090" w:rsidRDefault="00FB1036" w:rsidP="00595713">
      <w:pPr>
        <w:spacing w:after="0" w:line="360" w:lineRule="auto"/>
        <w:rPr>
          <w:rFonts w:eastAsia="Times New Roman" w:cs="Tahoma"/>
          <w:color w:val="auto"/>
          <w:lang w:eastAsia="es-ES"/>
        </w:rPr>
      </w:pPr>
    </w:p>
    <w:p w14:paraId="04A20B14" w14:textId="0697C8EF" w:rsidR="00FB1036" w:rsidRPr="005B4090" w:rsidRDefault="00FB1036" w:rsidP="00595713">
      <w:pPr>
        <w:spacing w:after="0" w:line="360" w:lineRule="auto"/>
        <w:rPr>
          <w:rFonts w:eastAsia="Times New Roman" w:cs="Tahoma"/>
          <w:color w:val="auto"/>
          <w:lang w:eastAsia="es-ES"/>
        </w:rPr>
      </w:pPr>
      <w:r w:rsidRPr="005B4090">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5B4090" w:rsidRDefault="00FB1036" w:rsidP="00595713">
      <w:pPr>
        <w:spacing w:after="0" w:line="360" w:lineRule="auto"/>
        <w:rPr>
          <w:rFonts w:eastAsia="Times New Roman" w:cs="Tahoma"/>
          <w:color w:val="auto"/>
          <w:lang w:eastAsia="es-ES"/>
        </w:rPr>
      </w:pPr>
    </w:p>
    <w:p w14:paraId="3D4F66F5" w14:textId="77777777" w:rsidR="00FB1036" w:rsidRPr="005B4090" w:rsidRDefault="00FB1036" w:rsidP="00595713">
      <w:pPr>
        <w:spacing w:after="0" w:line="360" w:lineRule="auto"/>
        <w:rPr>
          <w:rFonts w:eastAsia="Times New Roman" w:cs="Tahoma"/>
          <w:color w:val="auto"/>
          <w:lang w:eastAsia="es-ES"/>
        </w:rPr>
      </w:pPr>
      <w:r w:rsidRPr="005B4090">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5B4090" w:rsidRDefault="00D94483" w:rsidP="00595713">
      <w:pPr>
        <w:spacing w:after="0" w:line="360" w:lineRule="auto"/>
        <w:rPr>
          <w:rFonts w:eastAsia="Times New Roman" w:cs="Tahoma"/>
          <w:iCs/>
          <w:color w:val="auto"/>
          <w:lang w:eastAsia="es-ES"/>
        </w:rPr>
      </w:pPr>
    </w:p>
    <w:p w14:paraId="01BD0FFB" w14:textId="77777777" w:rsidR="00D94483" w:rsidRPr="005B4090" w:rsidRDefault="00D94483" w:rsidP="00595713">
      <w:pPr>
        <w:spacing w:after="0" w:line="360" w:lineRule="auto"/>
        <w:rPr>
          <w:rFonts w:eastAsia="Times New Roman" w:cs="Tahoma"/>
          <w:iCs/>
          <w:color w:val="auto"/>
          <w:lang w:eastAsia="es-ES"/>
        </w:rPr>
      </w:pPr>
      <w:r w:rsidRPr="005B4090">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5B4090" w:rsidRDefault="00712AB9" w:rsidP="00595713">
      <w:pPr>
        <w:widowControl w:val="0"/>
        <w:spacing w:after="0" w:line="360" w:lineRule="auto"/>
        <w:rPr>
          <w:rFonts w:eastAsia="Times New Roman" w:cs="Tahoma"/>
          <w:lang w:eastAsia="es-MX"/>
        </w:rPr>
      </w:pPr>
    </w:p>
    <w:p w14:paraId="63EE3CA6" w14:textId="77777777" w:rsidR="00712AB9" w:rsidRPr="005B4090" w:rsidRDefault="00712AB9" w:rsidP="00595713">
      <w:pPr>
        <w:widowControl w:val="0"/>
        <w:spacing w:after="0" w:line="360" w:lineRule="auto"/>
        <w:rPr>
          <w:rFonts w:eastAsia="Times New Roman" w:cs="Tahoma"/>
          <w:lang w:eastAsia="es-MX"/>
        </w:rPr>
      </w:pPr>
      <w:r w:rsidRPr="005B4090">
        <w:rPr>
          <w:rFonts w:eastAsia="Times New Roman" w:cs="Tahoma"/>
          <w:lang w:eastAsia="es-MX"/>
        </w:rPr>
        <w:t>El artículo 12, que, quienes generen, recopilen, administren, manejen, procesen, archiven o conserven información pública serán responsables de la misma.</w:t>
      </w:r>
    </w:p>
    <w:p w14:paraId="45998A7D" w14:textId="77777777" w:rsidR="00712AB9" w:rsidRPr="005B4090" w:rsidRDefault="00712AB9" w:rsidP="00595713">
      <w:pPr>
        <w:widowControl w:val="0"/>
        <w:spacing w:after="0" w:line="360" w:lineRule="auto"/>
        <w:rPr>
          <w:rFonts w:eastAsia="Times New Roman" w:cs="Tahoma"/>
          <w:lang w:eastAsia="es-MX"/>
        </w:rPr>
      </w:pPr>
    </w:p>
    <w:p w14:paraId="2E62C39D" w14:textId="77777777" w:rsidR="00712AB9" w:rsidRPr="005B4090" w:rsidRDefault="00712AB9" w:rsidP="00595713">
      <w:pPr>
        <w:widowControl w:val="0"/>
        <w:spacing w:after="0" w:line="360" w:lineRule="auto"/>
        <w:rPr>
          <w:rFonts w:eastAsia="Times New Roman" w:cs="Tahoma"/>
          <w:lang w:eastAsia="es-MX"/>
        </w:rPr>
      </w:pPr>
      <w:r w:rsidRPr="005B4090">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1A0EC9D" w14:textId="77777777" w:rsidR="008B0D92" w:rsidRPr="005B4090" w:rsidRDefault="008B0D92" w:rsidP="00595713">
      <w:pPr>
        <w:spacing w:after="0" w:line="360" w:lineRule="auto"/>
        <w:rPr>
          <w:rFonts w:eastAsia="Times New Roman" w:cs="Tahoma"/>
          <w:lang w:eastAsia="es-MX"/>
        </w:rPr>
      </w:pPr>
    </w:p>
    <w:p w14:paraId="045179D6" w14:textId="3A13E537" w:rsidR="00712AB9" w:rsidRPr="005B4090" w:rsidRDefault="00712AB9" w:rsidP="00595713">
      <w:pPr>
        <w:pStyle w:val="Ttulo2"/>
        <w:rPr>
          <w:rFonts w:eastAsia="Times New Roman"/>
          <w:lang w:val="es-ES" w:eastAsia="es-ES"/>
        </w:rPr>
      </w:pPr>
      <w:bookmarkStart w:id="10" w:name="_Toc212028289"/>
      <w:r w:rsidRPr="005B4090">
        <w:rPr>
          <w:rFonts w:eastAsia="Times New Roman"/>
          <w:lang w:val="es-ES" w:eastAsia="es-ES"/>
        </w:rPr>
        <w:t>QUINTO. Estudio de Fondo</w:t>
      </w:r>
      <w:bookmarkEnd w:id="10"/>
    </w:p>
    <w:p w14:paraId="2D7B0F17" w14:textId="77777777" w:rsidR="008854C7" w:rsidRPr="005B4090" w:rsidRDefault="008854C7" w:rsidP="00595713">
      <w:pPr>
        <w:spacing w:after="0" w:line="360" w:lineRule="auto"/>
        <w:rPr>
          <w:rFonts w:eastAsia="Times New Roman" w:cs="Tahoma"/>
          <w:b/>
          <w:lang w:val="es-ES" w:eastAsia="es-ES"/>
        </w:rPr>
      </w:pPr>
    </w:p>
    <w:p w14:paraId="70FAC6FA" w14:textId="104828C6" w:rsidR="00712AB9" w:rsidRPr="005B4090" w:rsidRDefault="00712AB9" w:rsidP="00595713">
      <w:pPr>
        <w:widowControl w:val="0"/>
        <w:spacing w:after="0" w:line="360" w:lineRule="auto"/>
        <w:rPr>
          <w:rFonts w:eastAsia="Times New Roman" w:cs="Tahoma"/>
          <w:lang w:eastAsia="es-MX"/>
        </w:rPr>
      </w:pPr>
      <w:r w:rsidRPr="005B4090">
        <w:rPr>
          <w:rFonts w:eastAsia="Times New Roman" w:cs="Tahoma"/>
          <w:lang w:eastAsia="es-MX"/>
        </w:rPr>
        <w:t>Expuestas las posturas de las pa</w:t>
      </w:r>
      <w:r w:rsidR="008854C7" w:rsidRPr="005B4090">
        <w:rPr>
          <w:rFonts w:eastAsia="Times New Roman" w:cs="Tahoma"/>
          <w:lang w:eastAsia="es-MX"/>
        </w:rPr>
        <w:t>rtes, se procede al análisis de los</w:t>
      </w:r>
      <w:r w:rsidRPr="005B4090">
        <w:rPr>
          <w:rFonts w:eastAsia="Times New Roman" w:cs="Tahoma"/>
          <w:lang w:eastAsia="es-MX"/>
        </w:rPr>
        <w:t xml:space="preserve"> agravio</w:t>
      </w:r>
      <w:r w:rsidR="008854C7" w:rsidRPr="005B4090">
        <w:rPr>
          <w:rFonts w:eastAsia="Times New Roman" w:cs="Tahoma"/>
          <w:lang w:eastAsia="es-MX"/>
        </w:rPr>
        <w:t>s</w:t>
      </w:r>
      <w:r w:rsidRPr="005B4090">
        <w:rPr>
          <w:rFonts w:eastAsia="Times New Roman" w:cs="Tahoma"/>
          <w:lang w:eastAsia="es-MX"/>
        </w:rPr>
        <w:t xml:space="preserve"> hecho</w:t>
      </w:r>
      <w:r w:rsidR="008854C7" w:rsidRPr="005B4090">
        <w:rPr>
          <w:rFonts w:eastAsia="Times New Roman" w:cs="Tahoma"/>
          <w:lang w:eastAsia="es-MX"/>
        </w:rPr>
        <w:t>s</w:t>
      </w:r>
      <w:r w:rsidRPr="005B4090">
        <w:rPr>
          <w:rFonts w:eastAsia="Times New Roman" w:cs="Tahoma"/>
          <w:lang w:eastAsia="es-MX"/>
        </w:rPr>
        <w:t xml:space="preserve"> valer por </w:t>
      </w:r>
      <w:r w:rsidR="00BD5769" w:rsidRPr="005B4090">
        <w:rPr>
          <w:rFonts w:eastAsia="Times New Roman" w:cs="Tahoma"/>
          <w:lang w:eastAsia="es-MX"/>
        </w:rPr>
        <w:t>la persona</w:t>
      </w:r>
      <w:r w:rsidRPr="005B4090">
        <w:rPr>
          <w:rFonts w:eastAsia="Times New Roman" w:cs="Tahoma"/>
          <w:lang w:eastAsia="es-MX"/>
        </w:rPr>
        <w:t xml:space="preserve"> Recurrente, concerniente</w:t>
      </w:r>
      <w:r w:rsidR="008854C7" w:rsidRPr="005B4090">
        <w:rPr>
          <w:rFonts w:eastAsia="Times New Roman" w:cs="Tahoma"/>
          <w:lang w:eastAsia="es-MX"/>
        </w:rPr>
        <w:t>s</w:t>
      </w:r>
      <w:r w:rsidRPr="005B4090">
        <w:rPr>
          <w:rFonts w:eastAsia="Times New Roman" w:cs="Tahoma"/>
          <w:lang w:eastAsia="es-MX"/>
        </w:rPr>
        <w:t xml:space="preserve"> a la falta de respuesta del</w:t>
      </w:r>
      <w:r w:rsidR="00122B7A" w:rsidRPr="005B4090">
        <w:rPr>
          <w:rFonts w:eastAsia="Calibri" w:cs="Tahoma"/>
        </w:rPr>
        <w:t xml:space="preserve"> </w:t>
      </w:r>
      <w:r w:rsidR="008871E7" w:rsidRPr="005B4090">
        <w:rPr>
          <w:rFonts w:eastAsia="Calibri" w:cs="Tahoma"/>
        </w:rPr>
        <w:t>Ayuntamiento de Tepotzotlán</w:t>
      </w:r>
      <w:r w:rsidR="00822090" w:rsidRPr="005B4090">
        <w:rPr>
          <w:rFonts w:eastAsia="Times New Roman" w:cs="Tahoma"/>
          <w:lang w:eastAsia="es-MX"/>
        </w:rPr>
        <w:t>,</w:t>
      </w:r>
      <w:r w:rsidR="00BD5769" w:rsidRPr="005B4090">
        <w:rPr>
          <w:rFonts w:eastAsia="Times New Roman" w:cs="Tahoma"/>
          <w:lang w:eastAsia="es-MX"/>
        </w:rPr>
        <w:t xml:space="preserve"> </w:t>
      </w:r>
      <w:r w:rsidRPr="005B4090">
        <w:rPr>
          <w:rFonts w:eastAsia="Times New Roman" w:cs="Tahoma"/>
          <w:lang w:eastAsia="es-MX"/>
        </w:rPr>
        <w:t>a la</w:t>
      </w:r>
      <w:r w:rsidR="00EA449A" w:rsidRPr="005B4090">
        <w:rPr>
          <w:rFonts w:eastAsia="Times New Roman" w:cs="Tahoma"/>
          <w:lang w:eastAsia="es-MX"/>
        </w:rPr>
        <w:t xml:space="preserve">s </w:t>
      </w:r>
      <w:r w:rsidRPr="005B4090">
        <w:rPr>
          <w:rFonts w:eastAsia="Times New Roman" w:cs="Tahoma"/>
          <w:lang w:eastAsia="es-MX"/>
        </w:rPr>
        <w:t>solicitud</w:t>
      </w:r>
      <w:r w:rsidR="00EA449A" w:rsidRPr="005B4090">
        <w:rPr>
          <w:rFonts w:eastAsia="Times New Roman" w:cs="Tahoma"/>
          <w:lang w:eastAsia="es-MX"/>
        </w:rPr>
        <w:t>es</w:t>
      </w:r>
      <w:r w:rsidRPr="005B4090">
        <w:rPr>
          <w:rFonts w:eastAsia="Times New Roman" w:cs="Tahoma"/>
          <w:lang w:eastAsia="es-MX"/>
        </w:rPr>
        <w:t xml:space="preserve"> de información</w:t>
      </w:r>
      <w:r w:rsidR="00822090" w:rsidRPr="005B4090">
        <w:rPr>
          <w:rFonts w:eastAsia="Times New Roman" w:cs="Tahoma"/>
          <w:lang w:eastAsia="es-MX"/>
        </w:rPr>
        <w:t xml:space="preserve"> pública</w:t>
      </w:r>
      <w:r w:rsidR="008854C7" w:rsidRPr="005B4090">
        <w:rPr>
          <w:rFonts w:eastAsia="Times New Roman" w:cs="Tahoma"/>
          <w:lang w:eastAsia="es-MX"/>
        </w:rPr>
        <w:t xml:space="preserve"> y a la entrega de información que no corresponde con lo solicitado, por tal motivo, es procedente hacer un análisis por puntos conforme a lo siguiente:</w:t>
      </w:r>
    </w:p>
    <w:p w14:paraId="2B7965B9" w14:textId="77777777" w:rsidR="00F32CEA" w:rsidRPr="005B4090" w:rsidRDefault="00F32CEA" w:rsidP="00595713">
      <w:pPr>
        <w:widowControl w:val="0"/>
        <w:spacing w:after="0" w:line="360" w:lineRule="auto"/>
        <w:rPr>
          <w:rFonts w:eastAsia="Times New Roman" w:cs="Tahoma"/>
          <w:lang w:eastAsia="es-MX"/>
        </w:rPr>
      </w:pPr>
    </w:p>
    <w:p w14:paraId="2CA65D52" w14:textId="1F8577FB" w:rsidR="008854C7" w:rsidRPr="005B4090" w:rsidRDefault="008854C7" w:rsidP="00595713">
      <w:pPr>
        <w:widowControl w:val="0"/>
        <w:spacing w:after="0" w:line="360" w:lineRule="auto"/>
        <w:rPr>
          <w:rFonts w:eastAsia="Times New Roman" w:cs="Tahoma"/>
          <w:b/>
          <w:lang w:eastAsia="es-MX"/>
        </w:rPr>
      </w:pPr>
      <w:r w:rsidRPr="005B4090">
        <w:rPr>
          <w:rFonts w:eastAsia="Times New Roman" w:cs="Tahoma"/>
          <w:b/>
          <w:lang w:eastAsia="es-MX"/>
        </w:rPr>
        <w:t xml:space="preserve">De </w:t>
      </w:r>
      <w:r w:rsidR="002C59C6" w:rsidRPr="005B4090">
        <w:rPr>
          <w:rFonts w:eastAsia="Times New Roman" w:cs="Tahoma"/>
          <w:b/>
          <w:lang w:eastAsia="es-MX"/>
        </w:rPr>
        <w:t>los Recursos de Revisión 11446/INFOEM/IP/RR/2025, 11447/INFOEM/IP/RR/2025, 11449/INFOEM/IP/RR/2025, 11450/INFOEM/IP/RR/2025 y 11490/INFOEM/IP/RR/2025</w:t>
      </w:r>
    </w:p>
    <w:p w14:paraId="5CBE95C5" w14:textId="77777777" w:rsidR="008854C7" w:rsidRPr="005B4090" w:rsidRDefault="008854C7" w:rsidP="00595713">
      <w:pPr>
        <w:widowControl w:val="0"/>
        <w:spacing w:after="0" w:line="360" w:lineRule="auto"/>
        <w:rPr>
          <w:rFonts w:eastAsia="Times New Roman" w:cs="Tahoma"/>
          <w:lang w:eastAsia="es-MX"/>
        </w:rPr>
      </w:pPr>
    </w:p>
    <w:p w14:paraId="0DDE2065" w14:textId="77777777" w:rsidR="00712AB9" w:rsidRPr="005B4090" w:rsidRDefault="00712AB9" w:rsidP="00595713">
      <w:pPr>
        <w:spacing w:after="0" w:line="360" w:lineRule="auto"/>
        <w:rPr>
          <w:rFonts w:eastAsia="Calibri" w:cs="Tahoma"/>
          <w:bCs/>
        </w:rPr>
      </w:pPr>
      <w:r w:rsidRPr="005B4090">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5B4090" w:rsidRDefault="00712AB9" w:rsidP="00595713">
      <w:pPr>
        <w:spacing w:after="0" w:line="360" w:lineRule="auto"/>
        <w:rPr>
          <w:rFonts w:eastAsia="Calibri" w:cs="Tahoma"/>
          <w:bCs/>
        </w:rPr>
      </w:pPr>
    </w:p>
    <w:p w14:paraId="5770FBFD" w14:textId="77777777" w:rsidR="00712AB9" w:rsidRPr="005B4090" w:rsidRDefault="00712AB9" w:rsidP="00595713">
      <w:pPr>
        <w:numPr>
          <w:ilvl w:val="0"/>
          <w:numId w:val="1"/>
        </w:numPr>
        <w:spacing w:after="0" w:line="360" w:lineRule="auto"/>
        <w:contextualSpacing/>
        <w:rPr>
          <w:rFonts w:eastAsia="Calibri" w:cs="Tahoma"/>
          <w:bCs/>
        </w:rPr>
      </w:pPr>
      <w:r w:rsidRPr="005B4090">
        <w:rPr>
          <w:rFonts w:eastAsia="Calibri" w:cs="Tahoma"/>
          <w:bCs/>
        </w:rPr>
        <w:t>Proveer lo necesario para garantizar a toda persona el derecho de acceso a la información pública, a través de procedimientos sencillos, expeditos, oportunos y gratuitos;</w:t>
      </w:r>
    </w:p>
    <w:p w14:paraId="24800928" w14:textId="77777777" w:rsidR="00712AB9" w:rsidRPr="005B4090" w:rsidRDefault="00712AB9" w:rsidP="00595713">
      <w:pPr>
        <w:spacing w:after="0" w:line="360" w:lineRule="auto"/>
        <w:ind w:left="720"/>
        <w:contextualSpacing/>
        <w:rPr>
          <w:rFonts w:eastAsia="Calibri" w:cs="Tahoma"/>
          <w:bCs/>
        </w:rPr>
      </w:pPr>
    </w:p>
    <w:p w14:paraId="5EEBFAC0" w14:textId="77777777" w:rsidR="00712AB9" w:rsidRPr="005B4090" w:rsidRDefault="00712AB9" w:rsidP="00595713">
      <w:pPr>
        <w:numPr>
          <w:ilvl w:val="0"/>
          <w:numId w:val="1"/>
        </w:numPr>
        <w:spacing w:after="0" w:line="360" w:lineRule="auto"/>
        <w:contextualSpacing/>
        <w:rPr>
          <w:rFonts w:eastAsia="Calibri" w:cs="Tahoma"/>
          <w:bCs/>
        </w:rPr>
      </w:pPr>
      <w:r w:rsidRPr="005B4090">
        <w:rPr>
          <w:rFonts w:eastAsia="Calibri" w:cs="Tahoma"/>
          <w:bCs/>
        </w:rPr>
        <w:t>Transparentar la gestión pública, mediante la difusión de la información generada por los Sujetos Obligados, y</w:t>
      </w:r>
    </w:p>
    <w:p w14:paraId="1DFF92EF" w14:textId="77777777" w:rsidR="00712AB9" w:rsidRPr="005B4090" w:rsidRDefault="00712AB9" w:rsidP="00595713">
      <w:pPr>
        <w:spacing w:after="0" w:line="360" w:lineRule="auto"/>
        <w:ind w:left="720"/>
        <w:contextualSpacing/>
        <w:rPr>
          <w:rFonts w:eastAsia="Calibri" w:cs="Tahoma"/>
          <w:bCs/>
        </w:rPr>
      </w:pPr>
    </w:p>
    <w:p w14:paraId="70B4A5FA" w14:textId="77777777" w:rsidR="00712AB9" w:rsidRPr="005B4090" w:rsidRDefault="00712AB9" w:rsidP="00595713">
      <w:pPr>
        <w:numPr>
          <w:ilvl w:val="0"/>
          <w:numId w:val="1"/>
        </w:numPr>
        <w:spacing w:after="0" w:line="360" w:lineRule="auto"/>
        <w:contextualSpacing/>
        <w:rPr>
          <w:rFonts w:eastAsia="Calibri" w:cs="Tahoma"/>
          <w:bCs/>
        </w:rPr>
      </w:pPr>
      <w:r w:rsidRPr="005B4090">
        <w:rPr>
          <w:rFonts w:eastAsia="Calibri" w:cs="Tahoma"/>
          <w:bCs/>
        </w:rPr>
        <w:t>Promover, fomentar y difundir la cultura de la transparencia en el ejercicio de la función pública, el acceso a la información y la participación ciudadana, así como, la rendición de cuentas.</w:t>
      </w:r>
    </w:p>
    <w:p w14:paraId="5D5048C7" w14:textId="77777777" w:rsidR="00712AB9" w:rsidRPr="005B4090" w:rsidRDefault="00712AB9" w:rsidP="00595713">
      <w:pPr>
        <w:spacing w:after="0" w:line="360" w:lineRule="auto"/>
        <w:rPr>
          <w:rFonts w:eastAsia="Calibri" w:cs="Tahoma"/>
          <w:bCs/>
        </w:rPr>
      </w:pPr>
    </w:p>
    <w:p w14:paraId="6C04D5EE" w14:textId="77777777" w:rsidR="00712AB9" w:rsidRPr="005B4090" w:rsidRDefault="00712AB9" w:rsidP="00595713">
      <w:pPr>
        <w:spacing w:after="0" w:line="360" w:lineRule="auto"/>
        <w:rPr>
          <w:rFonts w:eastAsia="Calibri" w:cs="Tahoma"/>
          <w:bCs/>
        </w:rPr>
      </w:pPr>
      <w:r w:rsidRPr="005B4090">
        <w:rPr>
          <w:rFonts w:eastAsia="Calibri" w:cs="Tahoma"/>
          <w:bCs/>
        </w:rPr>
        <w:t xml:space="preserve">Conforme a lo anterior, se desprende que </w:t>
      </w:r>
      <w:r w:rsidRPr="005B4090">
        <w:rPr>
          <w:rFonts w:eastAsia="Calibri" w:cs="Tahoma"/>
          <w:b/>
          <w:bCs/>
        </w:rPr>
        <w:t xml:space="preserve">los objetivos de la Ley de la </w:t>
      </w:r>
      <w:proofErr w:type="gramStart"/>
      <w:r w:rsidRPr="005B4090">
        <w:rPr>
          <w:rFonts w:eastAsia="Calibri" w:cs="Tahoma"/>
          <w:b/>
          <w:bCs/>
        </w:rPr>
        <w:t>materia,</w:t>
      </w:r>
      <w:proofErr w:type="gramEnd"/>
      <w:r w:rsidRPr="005B4090">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5B4090" w:rsidRDefault="00712AB9" w:rsidP="00595713">
      <w:pPr>
        <w:spacing w:after="0" w:line="360" w:lineRule="auto"/>
        <w:rPr>
          <w:rFonts w:eastAsia="Calibri" w:cs="Tahoma"/>
          <w:bCs/>
        </w:rPr>
      </w:pPr>
    </w:p>
    <w:p w14:paraId="7C342317" w14:textId="77777777" w:rsidR="00712AB9" w:rsidRPr="005B4090" w:rsidRDefault="00712AB9" w:rsidP="00595713">
      <w:pPr>
        <w:spacing w:after="0" w:line="360" w:lineRule="auto"/>
        <w:rPr>
          <w:rFonts w:eastAsia="Calibri" w:cs="Tahoma"/>
          <w:bCs/>
        </w:rPr>
      </w:pPr>
      <w:r w:rsidRPr="005B4090">
        <w:rPr>
          <w:rFonts w:eastAsia="Calibri" w:cs="Tahoma"/>
          <w:bCs/>
        </w:rPr>
        <w:t xml:space="preserve">En ese orden de ideas, para la atención de las solicitudes de acceso a la información, debe privilegiarse el </w:t>
      </w:r>
      <w:r w:rsidRPr="005B4090">
        <w:rPr>
          <w:rFonts w:eastAsia="Calibri" w:cs="Tahoma"/>
          <w:b/>
          <w:bCs/>
        </w:rPr>
        <w:t>principio de máxima publicidad</w:t>
      </w:r>
      <w:r w:rsidRPr="005B4090">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5B4090" w:rsidRDefault="00712AB9" w:rsidP="00595713">
      <w:pPr>
        <w:spacing w:after="0" w:line="360" w:lineRule="auto"/>
        <w:rPr>
          <w:rFonts w:eastAsia="Calibri" w:cs="Tahoma"/>
          <w:bCs/>
        </w:rPr>
      </w:pPr>
    </w:p>
    <w:p w14:paraId="0280313F" w14:textId="77777777" w:rsidR="00712AB9" w:rsidRPr="005B4090" w:rsidRDefault="00712AB9" w:rsidP="00595713">
      <w:pPr>
        <w:spacing w:after="0" w:line="360" w:lineRule="auto"/>
        <w:rPr>
          <w:rFonts w:eastAsia="Calibri" w:cs="Tahoma"/>
          <w:bCs/>
        </w:rPr>
      </w:pPr>
      <w:r w:rsidRPr="005B4090">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5B4090" w:rsidRDefault="00712AB9" w:rsidP="00595713">
      <w:pPr>
        <w:spacing w:after="0" w:line="360" w:lineRule="auto"/>
        <w:rPr>
          <w:rFonts w:eastAsia="Calibri" w:cs="Tahoma"/>
          <w:bCs/>
        </w:rPr>
      </w:pPr>
    </w:p>
    <w:p w14:paraId="6614C5AA" w14:textId="77777777" w:rsidR="00712AB9" w:rsidRPr="005B4090" w:rsidRDefault="00712AB9" w:rsidP="00595713">
      <w:pPr>
        <w:numPr>
          <w:ilvl w:val="0"/>
          <w:numId w:val="2"/>
        </w:numPr>
        <w:spacing w:after="0" w:line="360" w:lineRule="auto"/>
        <w:contextualSpacing/>
        <w:rPr>
          <w:rFonts w:eastAsia="Calibri" w:cs="Tahoma"/>
          <w:bCs/>
        </w:rPr>
      </w:pPr>
      <w:r w:rsidRPr="005B4090">
        <w:rPr>
          <w:rFonts w:eastAsia="Calibri" w:cs="Tahoma"/>
          <w:bC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5B4090">
        <w:rPr>
          <w:rFonts w:eastAsia="Calibri" w:cs="Tahoma"/>
          <w:bCs/>
        </w:rPr>
        <w:lastRenderedPageBreak/>
        <w:t>notificaciones correspondientes, además de llevar a cabo de todas las gestiones necesarias para facilitar el acceso de la información;</w:t>
      </w:r>
    </w:p>
    <w:p w14:paraId="45EFEF74" w14:textId="77777777" w:rsidR="00712AB9" w:rsidRPr="005B4090" w:rsidRDefault="00712AB9" w:rsidP="00595713">
      <w:pPr>
        <w:spacing w:after="0" w:line="360" w:lineRule="auto"/>
        <w:ind w:left="720"/>
        <w:contextualSpacing/>
        <w:rPr>
          <w:rFonts w:eastAsia="Calibri" w:cs="Tahoma"/>
          <w:bCs/>
        </w:rPr>
      </w:pPr>
    </w:p>
    <w:p w14:paraId="20C2047E" w14:textId="77777777" w:rsidR="00712AB9" w:rsidRPr="005B4090" w:rsidRDefault="00712AB9" w:rsidP="00595713">
      <w:pPr>
        <w:numPr>
          <w:ilvl w:val="0"/>
          <w:numId w:val="2"/>
        </w:numPr>
        <w:spacing w:after="0" w:line="360" w:lineRule="auto"/>
        <w:contextualSpacing/>
        <w:rPr>
          <w:rFonts w:eastAsia="Calibri" w:cs="Tahoma"/>
          <w:bCs/>
        </w:rPr>
      </w:pPr>
      <w:r w:rsidRPr="005B4090">
        <w:rPr>
          <w:rFonts w:eastAsia="Calibri" w:cs="Tahoma"/>
          <w:bCs/>
        </w:rPr>
        <w:t xml:space="preserve">Las respuestas a los requerimientos informativos deberán notificarse al interesado en el menor tiempo posible, que no podrá exceder </w:t>
      </w:r>
      <w:r w:rsidRPr="005B4090">
        <w:rPr>
          <w:rFonts w:eastAsia="Calibri" w:cs="Tahoma"/>
          <w:b/>
          <w:bCs/>
        </w:rPr>
        <w:t>quince días, contados a partir del día siguiente a la presentación de ésta.</w:t>
      </w:r>
      <w:r w:rsidRPr="005B4090">
        <w:rPr>
          <w:rFonts w:eastAsia="Calibri" w:cs="Tahoma"/>
          <w:bCs/>
        </w:rPr>
        <w:t xml:space="preserve"> Excepcionalmente, el plazo referido podrá ampliarse por siete días hábiles más, cuando existan razones fundadas y motivadas, a través del Comité de Transparencia;</w:t>
      </w:r>
    </w:p>
    <w:p w14:paraId="4E3316F6" w14:textId="77777777" w:rsidR="00712AB9" w:rsidRPr="005B4090" w:rsidRDefault="00712AB9" w:rsidP="00595713">
      <w:pPr>
        <w:spacing w:after="0" w:line="360" w:lineRule="auto"/>
        <w:ind w:left="720"/>
        <w:contextualSpacing/>
        <w:rPr>
          <w:rFonts w:eastAsia="Calibri" w:cs="Tahoma"/>
          <w:bCs/>
        </w:rPr>
      </w:pPr>
    </w:p>
    <w:p w14:paraId="1904B642" w14:textId="77777777" w:rsidR="00712AB9" w:rsidRPr="005B4090" w:rsidRDefault="00712AB9" w:rsidP="00595713">
      <w:pPr>
        <w:numPr>
          <w:ilvl w:val="0"/>
          <w:numId w:val="2"/>
        </w:numPr>
        <w:spacing w:after="0" w:line="360" w:lineRule="auto"/>
        <w:contextualSpacing/>
        <w:rPr>
          <w:rFonts w:eastAsia="Calibri" w:cs="Tahoma"/>
          <w:b/>
          <w:bCs/>
        </w:rPr>
      </w:pPr>
      <w:r w:rsidRPr="005B4090">
        <w:rPr>
          <w:rFonts w:eastAsia="Calibri" w:cs="Tahoma"/>
          <w:bCs/>
        </w:rPr>
        <w:t xml:space="preserve">Las Unidades de Transparencia garantizarán que las solicitudes se turnen a todas las áreas competentes que cuenten con la información o deban tenerla </w:t>
      </w:r>
      <w:proofErr w:type="gramStart"/>
      <w:r w:rsidRPr="005B4090">
        <w:rPr>
          <w:rFonts w:eastAsia="Calibri" w:cs="Tahoma"/>
          <w:bCs/>
        </w:rPr>
        <w:t>de acuerdo a</w:t>
      </w:r>
      <w:proofErr w:type="gramEnd"/>
      <w:r w:rsidRPr="005B4090">
        <w:rPr>
          <w:rFonts w:eastAsia="Calibri" w:cs="Tahoma"/>
          <w:bCs/>
        </w:rPr>
        <w:t xml:space="preserve"> sus facultades, funciones y atribuciones, para que realicen una búsqueda exhaustiva y razonable de la documentación solicitada, con el fin de que proporcionen las expresiones documentales </w:t>
      </w:r>
      <w:r w:rsidRPr="005B4090">
        <w:rPr>
          <w:rFonts w:eastAsia="Calibri" w:cs="Tahoma"/>
          <w:b/>
          <w:bCs/>
        </w:rPr>
        <w:t>que se encuentren en sus archivos o que estén constreñidos a elaborar;</w:t>
      </w:r>
    </w:p>
    <w:p w14:paraId="64D0C21D" w14:textId="77777777" w:rsidR="00712AB9" w:rsidRPr="005B4090" w:rsidRDefault="00712AB9" w:rsidP="00595713">
      <w:pPr>
        <w:spacing w:after="0" w:line="360" w:lineRule="auto"/>
        <w:ind w:left="720"/>
        <w:contextualSpacing/>
        <w:rPr>
          <w:rFonts w:eastAsia="Calibri" w:cs="Tahoma"/>
          <w:b/>
          <w:bCs/>
        </w:rPr>
      </w:pPr>
    </w:p>
    <w:p w14:paraId="37B3BEF5" w14:textId="77777777" w:rsidR="00712AB9" w:rsidRPr="005B4090" w:rsidRDefault="00712AB9" w:rsidP="00595713">
      <w:pPr>
        <w:numPr>
          <w:ilvl w:val="0"/>
          <w:numId w:val="2"/>
        </w:numPr>
        <w:spacing w:after="0" w:line="360" w:lineRule="auto"/>
        <w:contextualSpacing/>
        <w:rPr>
          <w:rFonts w:eastAsia="Calibri" w:cs="Tahoma"/>
          <w:b/>
          <w:bCs/>
        </w:rPr>
      </w:pPr>
      <w:r w:rsidRPr="005B4090">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5B4090" w:rsidRDefault="00712AB9" w:rsidP="00595713">
      <w:pPr>
        <w:spacing w:after="0" w:line="360" w:lineRule="auto"/>
        <w:ind w:left="720"/>
        <w:contextualSpacing/>
        <w:rPr>
          <w:rFonts w:eastAsia="Calibri" w:cs="Tahoma"/>
          <w:b/>
          <w:bCs/>
        </w:rPr>
      </w:pPr>
    </w:p>
    <w:p w14:paraId="08005923" w14:textId="77777777" w:rsidR="00712AB9" w:rsidRPr="005B4090" w:rsidRDefault="00712AB9" w:rsidP="00595713">
      <w:pPr>
        <w:numPr>
          <w:ilvl w:val="0"/>
          <w:numId w:val="2"/>
        </w:numPr>
        <w:spacing w:after="0" w:line="360" w:lineRule="auto"/>
        <w:contextualSpacing/>
        <w:rPr>
          <w:rFonts w:eastAsia="Calibri" w:cs="Tahoma"/>
          <w:b/>
          <w:bCs/>
        </w:rPr>
      </w:pPr>
      <w:r w:rsidRPr="005B4090">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5B4090" w:rsidRDefault="00712AB9" w:rsidP="00595713">
      <w:pPr>
        <w:spacing w:after="0" w:line="360" w:lineRule="auto"/>
        <w:rPr>
          <w:rFonts w:cs="Tahoma"/>
        </w:rPr>
      </w:pPr>
    </w:p>
    <w:p w14:paraId="0C2F4C96" w14:textId="576E4F85" w:rsidR="00712AB9" w:rsidRPr="005B4090" w:rsidRDefault="00712AB9" w:rsidP="00595713">
      <w:pPr>
        <w:spacing w:after="0" w:line="360" w:lineRule="auto"/>
        <w:rPr>
          <w:rFonts w:cs="Tahoma"/>
        </w:rPr>
      </w:pPr>
      <w:r w:rsidRPr="005B4090">
        <w:rPr>
          <w:rFonts w:cs="Tahoma"/>
        </w:rPr>
        <w:t>Una vez establecido lo anterior, es de indicar que el agravio de</w:t>
      </w:r>
      <w:r w:rsidR="00205855" w:rsidRPr="005B4090">
        <w:rPr>
          <w:rFonts w:cs="Tahoma"/>
        </w:rPr>
        <w:t>l</w:t>
      </w:r>
      <w:r w:rsidRPr="005B4090">
        <w:rPr>
          <w:rFonts w:cs="Tahoma"/>
        </w:rPr>
        <w:t xml:space="preserve"> Particular consistió en que, a la fecha de interposición de</w:t>
      </w:r>
      <w:r w:rsidR="004E0B39" w:rsidRPr="005B4090">
        <w:rPr>
          <w:rFonts w:cs="Tahoma"/>
        </w:rPr>
        <w:t xml:space="preserve"> los </w:t>
      </w:r>
      <w:r w:rsidRPr="005B4090">
        <w:rPr>
          <w:rFonts w:cs="Tahoma"/>
        </w:rPr>
        <w:t>Recurso</w:t>
      </w:r>
      <w:r w:rsidR="004E0B39" w:rsidRPr="005B4090">
        <w:rPr>
          <w:rFonts w:cs="Tahoma"/>
        </w:rPr>
        <w:t>s</w:t>
      </w:r>
      <w:r w:rsidRPr="005B4090">
        <w:rPr>
          <w:rFonts w:cs="Tahoma"/>
        </w:rPr>
        <w:t xml:space="preserve"> de Revisión, el</w:t>
      </w:r>
      <w:r w:rsidR="00122B7A" w:rsidRPr="005B4090">
        <w:rPr>
          <w:rFonts w:eastAsia="Calibri" w:cs="Tahoma"/>
        </w:rPr>
        <w:t xml:space="preserve"> </w:t>
      </w:r>
      <w:r w:rsidR="008871E7" w:rsidRPr="005B4090">
        <w:rPr>
          <w:rFonts w:eastAsia="Calibri" w:cs="Tahoma"/>
        </w:rPr>
        <w:t>Ayuntamiento de Tepotzotlán</w:t>
      </w:r>
      <w:r w:rsidRPr="005B4090">
        <w:rPr>
          <w:rFonts w:cs="Tahoma"/>
        </w:rPr>
        <w:t>, no había registrado respuesta a</w:t>
      </w:r>
      <w:r w:rsidR="004E0B39" w:rsidRPr="005B4090">
        <w:rPr>
          <w:rFonts w:cs="Tahoma"/>
        </w:rPr>
        <w:t xml:space="preserve"> los</w:t>
      </w:r>
      <w:r w:rsidRPr="005B4090">
        <w:rPr>
          <w:rFonts w:cs="Tahoma"/>
        </w:rPr>
        <w:t xml:space="preserve"> requerimiento</w:t>
      </w:r>
      <w:r w:rsidR="004E0B39" w:rsidRPr="005B4090">
        <w:rPr>
          <w:rFonts w:cs="Tahoma"/>
        </w:rPr>
        <w:t xml:space="preserve">s </w:t>
      </w:r>
      <w:r w:rsidRPr="005B4090">
        <w:rPr>
          <w:rFonts w:cs="Tahoma"/>
        </w:rPr>
        <w:t xml:space="preserve">de acceso a la información, </w:t>
      </w:r>
      <w:r w:rsidR="004E0B39" w:rsidRPr="005B4090">
        <w:rPr>
          <w:rFonts w:cs="Tahoma"/>
        </w:rPr>
        <w:t>los</w:t>
      </w:r>
      <w:r w:rsidRPr="005B4090">
        <w:rPr>
          <w:rFonts w:cs="Tahoma"/>
        </w:rPr>
        <w:t xml:space="preserve"> cual</w:t>
      </w:r>
      <w:r w:rsidR="004E0B39" w:rsidRPr="005B4090">
        <w:rPr>
          <w:rFonts w:cs="Tahoma"/>
        </w:rPr>
        <w:t>es</w:t>
      </w:r>
      <w:r w:rsidRPr="005B4090">
        <w:rPr>
          <w:rFonts w:cs="Tahoma"/>
        </w:rPr>
        <w:t xml:space="preserve"> se </w:t>
      </w:r>
      <w:r w:rsidR="00225915" w:rsidRPr="005B4090">
        <w:rPr>
          <w:rFonts w:cs="Tahoma"/>
        </w:rPr>
        <w:t>presentaron</w:t>
      </w:r>
      <w:r w:rsidRPr="005B4090">
        <w:rPr>
          <w:rFonts w:cs="Tahoma"/>
        </w:rPr>
        <w:t xml:space="preserve"> el</w:t>
      </w:r>
      <w:r w:rsidR="00DB7256" w:rsidRPr="005B4090">
        <w:rPr>
          <w:rFonts w:cs="Tahoma"/>
        </w:rPr>
        <w:t xml:space="preserve"> </w:t>
      </w:r>
      <w:r w:rsidR="008871E7" w:rsidRPr="005B4090">
        <w:rPr>
          <w:rFonts w:cs="Tahoma"/>
        </w:rPr>
        <w:t xml:space="preserve">veintinueve de agosto y primero de septiembre </w:t>
      </w:r>
      <w:r w:rsidR="00DB7256" w:rsidRPr="005B4090">
        <w:rPr>
          <w:rFonts w:cs="Tahoma"/>
        </w:rPr>
        <w:t>de dos mil veinticinco</w:t>
      </w:r>
      <w:r w:rsidR="005D00E2" w:rsidRPr="005B4090">
        <w:rPr>
          <w:rFonts w:cs="Tahoma"/>
        </w:rPr>
        <w:t>.</w:t>
      </w:r>
      <w:r w:rsidR="00DB7256" w:rsidRPr="005B4090">
        <w:rPr>
          <w:rFonts w:cs="Tahoma"/>
        </w:rPr>
        <w:t xml:space="preserve"> </w:t>
      </w:r>
    </w:p>
    <w:p w14:paraId="0D99DAAE" w14:textId="77777777" w:rsidR="00712AB9" w:rsidRPr="005B4090" w:rsidRDefault="00712AB9" w:rsidP="00595713">
      <w:pPr>
        <w:spacing w:after="0" w:line="360" w:lineRule="auto"/>
        <w:rPr>
          <w:rFonts w:cs="Tahoma"/>
        </w:rPr>
      </w:pPr>
    </w:p>
    <w:p w14:paraId="0CF93B57" w14:textId="7A888290" w:rsidR="00633F72" w:rsidRPr="005B4090" w:rsidRDefault="00633F72" w:rsidP="00595713">
      <w:pPr>
        <w:spacing w:after="0" w:line="360" w:lineRule="auto"/>
        <w:rPr>
          <w:rFonts w:eastAsia="Calibri" w:cs="Tahoma"/>
          <w:color w:val="000000"/>
        </w:rPr>
      </w:pPr>
      <w:r w:rsidRPr="005B4090">
        <w:rPr>
          <w:rFonts w:eastAsia="Calibri" w:cs="Tahoma"/>
          <w:bCs/>
          <w:color w:val="000000"/>
        </w:rPr>
        <w:t xml:space="preserve">En ese orden de ideas, el plazo con el que contaba el Sujeto Obligado para emitir contestación al requerimiento informativo, </w:t>
      </w:r>
      <w:r w:rsidRPr="005B4090">
        <w:rPr>
          <w:rFonts w:eastAsia="Calibri" w:cs="Tahoma"/>
          <w:b/>
          <w:bCs/>
          <w:color w:val="000000"/>
        </w:rPr>
        <w:t xml:space="preserve">comenzó a correr el </w:t>
      </w:r>
      <w:r w:rsidR="008871E7" w:rsidRPr="005B4090">
        <w:rPr>
          <w:rFonts w:eastAsia="Calibri" w:cs="Tahoma"/>
          <w:b/>
          <w:bCs/>
          <w:color w:val="000000"/>
        </w:rPr>
        <w:t xml:space="preserve">primero y dos y fenecieron el veintidós y veintitrés de septiembre </w:t>
      </w:r>
      <w:r w:rsidR="00A05166" w:rsidRPr="005B4090">
        <w:rPr>
          <w:rFonts w:eastAsia="Calibri" w:cs="Tahoma"/>
          <w:b/>
          <w:bCs/>
          <w:color w:val="000000"/>
        </w:rPr>
        <w:t xml:space="preserve">de dos mil veinticinco, </w:t>
      </w:r>
      <w:r w:rsidRPr="005B4090">
        <w:rPr>
          <w:rFonts w:eastAsia="Calibri" w:cs="Tahoma"/>
          <w:color w:val="000000"/>
        </w:rPr>
        <w:t>lo anterior, sin contar los días,</w:t>
      </w:r>
      <w:r w:rsidR="00A05166" w:rsidRPr="005B4090">
        <w:rPr>
          <w:rFonts w:eastAsia="Calibri" w:cs="Tahoma"/>
          <w:color w:val="000000"/>
        </w:rPr>
        <w:t xml:space="preserve"> </w:t>
      </w:r>
      <w:r w:rsidR="008871E7" w:rsidRPr="005B4090">
        <w:rPr>
          <w:rFonts w:eastAsia="Calibri" w:cs="Tahoma"/>
          <w:color w:val="000000"/>
        </w:rPr>
        <w:t xml:space="preserve">treinta y treinta y uno de agosto, así como, seis, siete, trece, catorce, dieciséis, veinte y veintiuno de septiembre </w:t>
      </w:r>
      <w:r w:rsidR="00A05166" w:rsidRPr="005B4090">
        <w:rPr>
          <w:rFonts w:eastAsia="Calibri" w:cs="Tahoma"/>
          <w:color w:val="000000"/>
        </w:rPr>
        <w:t>de dos mil veinticinco</w:t>
      </w:r>
      <w:r w:rsidRPr="005B4090">
        <w:rPr>
          <w:rFonts w:eastAsia="Calibri" w:cs="Tahoma"/>
          <w:color w:val="000000"/>
        </w:rPr>
        <w:t xml:space="preserve">, al ser inhábiles, </w:t>
      </w:r>
      <w:r w:rsidRPr="005B4090">
        <w:rPr>
          <w:rFonts w:eastAsia="Batang" w:cs="Tahoma"/>
          <w:bCs/>
        </w:rPr>
        <w:t>de conformidad con el artículo 3°, fracción X, de la Ley de Transparencia y Acceso a la Información Pública del Estado de México y Municipios</w:t>
      </w:r>
      <w:r w:rsidR="00225915" w:rsidRPr="005B4090">
        <w:rPr>
          <w:rFonts w:eastAsia="Batang" w:cs="Tahoma"/>
          <w:bCs/>
        </w:rPr>
        <w:t xml:space="preserve">, </w:t>
      </w:r>
      <w:r w:rsidRPr="005B4090">
        <w:rPr>
          <w:rFonts w:eastAsia="Batang" w:cs="Tahoma"/>
          <w:bCs/>
        </w:rPr>
        <w:t xml:space="preserve">el </w:t>
      </w:r>
      <w:r w:rsidRPr="005B4090">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w:t>
      </w:r>
      <w:r w:rsidR="00F77EA7" w:rsidRPr="005B4090">
        <w:rPr>
          <w:rFonts w:eastAsia="Batang" w:cs="Tahoma"/>
          <w:lang w:val="es-ES"/>
        </w:rPr>
        <w:t>cinco.</w:t>
      </w:r>
    </w:p>
    <w:p w14:paraId="4A7A954D" w14:textId="77777777" w:rsidR="008871E7" w:rsidRPr="005B4090" w:rsidRDefault="008871E7" w:rsidP="00595713">
      <w:pPr>
        <w:spacing w:after="0" w:line="360" w:lineRule="auto"/>
        <w:rPr>
          <w:rFonts w:eastAsia="Calibri" w:cs="Tahoma"/>
          <w:lang w:val="es-ES"/>
        </w:rPr>
      </w:pPr>
    </w:p>
    <w:p w14:paraId="2C424AA1" w14:textId="77777777" w:rsidR="002C59C6" w:rsidRPr="005B4090" w:rsidRDefault="008871E7" w:rsidP="00595713">
      <w:pPr>
        <w:spacing w:after="0" w:line="360" w:lineRule="auto"/>
        <w:rPr>
          <w:rFonts w:cs="Tahoma"/>
          <w:iCs/>
          <w:lang w:val="es-ES"/>
        </w:rPr>
      </w:pPr>
      <w:r w:rsidRPr="005B4090">
        <w:rPr>
          <w:rFonts w:cs="Tahoma"/>
          <w:iCs/>
        </w:rPr>
        <w:t xml:space="preserve">Así, este Instituto verificó que, en efecto, no se registró respuesta a la solicitud de información de la persona Recurrente, en el </w:t>
      </w:r>
      <w:r w:rsidRPr="005B4090">
        <w:rPr>
          <w:rFonts w:cs="Tahoma"/>
          <w:iCs/>
          <w:lang w:val="es-ES"/>
        </w:rPr>
        <w:t>Sistema de Acceso a la Información Mexiquense (SAIMEX), tal como se observa a continuación:</w:t>
      </w:r>
    </w:p>
    <w:p w14:paraId="10C3B54E" w14:textId="77777777" w:rsidR="00107EDB" w:rsidRPr="005B4090" w:rsidRDefault="00107EDB" w:rsidP="00595713">
      <w:pPr>
        <w:spacing w:after="0" w:line="360" w:lineRule="auto"/>
        <w:rPr>
          <w:rFonts w:cs="Tahoma"/>
          <w:iCs/>
          <w:lang w:val="es-ES"/>
        </w:rPr>
      </w:pPr>
    </w:p>
    <w:p w14:paraId="41400C62" w14:textId="6E6B8B7D" w:rsidR="00107EDB" w:rsidRPr="005B4090" w:rsidRDefault="00107EDB" w:rsidP="00595713">
      <w:pPr>
        <w:spacing w:after="0" w:line="360" w:lineRule="auto"/>
        <w:rPr>
          <w:rFonts w:cs="Tahoma"/>
          <w:iCs/>
          <w:lang w:val="es-ES"/>
        </w:rPr>
        <w:sectPr w:rsidR="00107EDB" w:rsidRPr="005B4090" w:rsidSect="007F77E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608" w:bottom="1560" w:left="1701" w:header="851" w:footer="709" w:gutter="0"/>
          <w:cols w:space="708"/>
          <w:titlePg/>
          <w:docGrid w:linePitch="360"/>
        </w:sectPr>
      </w:pPr>
    </w:p>
    <w:p w14:paraId="7BF38853" w14:textId="742D10FD" w:rsidR="008871E7" w:rsidRPr="005B4090" w:rsidRDefault="00D53C49" w:rsidP="008871E7">
      <w:pPr>
        <w:spacing w:after="0" w:line="360" w:lineRule="auto"/>
        <w:jc w:val="center"/>
        <w:rPr>
          <w:rFonts w:eastAsia="Calibri" w:cs="Tahoma"/>
          <w:bCs/>
        </w:rPr>
      </w:pPr>
      <w:r w:rsidRPr="005B4090">
        <w:rPr>
          <w:rFonts w:eastAsia="Calibri" w:cs="Tahoma"/>
          <w:bCs/>
          <w:noProof/>
          <w:lang w:eastAsia="es-MX"/>
        </w:rPr>
        <w:drawing>
          <wp:inline distT="0" distB="0" distL="0" distR="0" wp14:anchorId="7FF1BBE8" wp14:editId="74E5911C">
            <wp:extent cx="2743409" cy="131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0574E.tmp"/>
                    <pic:cNvPicPr/>
                  </pic:nvPicPr>
                  <pic:blipFill>
                    <a:blip r:embed="rId14">
                      <a:extLst>
                        <a:ext uri="{28A0092B-C50C-407E-A947-70E740481C1C}">
                          <a14:useLocalDpi xmlns:a14="http://schemas.microsoft.com/office/drawing/2010/main" val="0"/>
                        </a:ext>
                      </a:extLst>
                    </a:blip>
                    <a:stretch>
                      <a:fillRect/>
                    </a:stretch>
                  </pic:blipFill>
                  <pic:spPr>
                    <a:xfrm>
                      <a:off x="0" y="0"/>
                      <a:ext cx="2743409" cy="1310400"/>
                    </a:xfrm>
                    <a:prstGeom prst="rect">
                      <a:avLst/>
                    </a:prstGeom>
                  </pic:spPr>
                </pic:pic>
              </a:graphicData>
            </a:graphic>
          </wp:inline>
        </w:drawing>
      </w:r>
    </w:p>
    <w:p w14:paraId="7158B631" w14:textId="3AFC3357" w:rsidR="00D53C49" w:rsidRPr="005B4090" w:rsidRDefault="00D53C49" w:rsidP="00107EDB">
      <w:pPr>
        <w:spacing w:after="0" w:line="360" w:lineRule="auto"/>
        <w:rPr>
          <w:rFonts w:eastAsia="Calibri" w:cs="Tahoma"/>
          <w:bCs/>
        </w:rPr>
      </w:pPr>
      <w:r w:rsidRPr="005B4090">
        <w:rPr>
          <w:rFonts w:eastAsia="Calibri" w:cs="Tahoma"/>
          <w:bCs/>
          <w:noProof/>
          <w:lang w:eastAsia="es-MX"/>
        </w:rPr>
        <w:drawing>
          <wp:inline distT="0" distB="0" distL="0" distR="0" wp14:anchorId="784A5550" wp14:editId="25FCD509">
            <wp:extent cx="2703600" cy="1328400"/>
            <wp:effectExtent l="0" t="0" r="190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8E2D.tmp"/>
                    <pic:cNvPicPr/>
                  </pic:nvPicPr>
                  <pic:blipFill>
                    <a:blip r:embed="rId15">
                      <a:extLst>
                        <a:ext uri="{28A0092B-C50C-407E-A947-70E740481C1C}">
                          <a14:useLocalDpi xmlns:a14="http://schemas.microsoft.com/office/drawing/2010/main" val="0"/>
                        </a:ext>
                      </a:extLst>
                    </a:blip>
                    <a:stretch>
                      <a:fillRect/>
                    </a:stretch>
                  </pic:blipFill>
                  <pic:spPr>
                    <a:xfrm>
                      <a:off x="0" y="0"/>
                      <a:ext cx="2703600" cy="1328400"/>
                    </a:xfrm>
                    <a:prstGeom prst="rect">
                      <a:avLst/>
                    </a:prstGeom>
                  </pic:spPr>
                </pic:pic>
              </a:graphicData>
            </a:graphic>
          </wp:inline>
        </w:drawing>
      </w:r>
    </w:p>
    <w:p w14:paraId="44B006A6" w14:textId="57F7A314" w:rsidR="00D53C49" w:rsidRPr="005B4090" w:rsidRDefault="00D53C49" w:rsidP="008871E7">
      <w:pPr>
        <w:spacing w:after="0" w:line="360" w:lineRule="auto"/>
        <w:jc w:val="center"/>
        <w:rPr>
          <w:rFonts w:eastAsia="Calibri" w:cs="Tahoma"/>
          <w:bCs/>
        </w:rPr>
      </w:pPr>
      <w:r w:rsidRPr="005B4090">
        <w:rPr>
          <w:rFonts w:eastAsia="Calibri" w:cs="Tahoma"/>
          <w:bCs/>
          <w:noProof/>
          <w:lang w:eastAsia="es-MX"/>
        </w:rPr>
        <w:lastRenderedPageBreak/>
        <w:drawing>
          <wp:inline distT="0" distB="0" distL="0" distR="0" wp14:anchorId="52380A1C" wp14:editId="793DC232">
            <wp:extent cx="2809875" cy="13970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0C4A0.tmp"/>
                    <pic:cNvPicPr/>
                  </pic:nvPicPr>
                  <pic:blipFill>
                    <a:blip r:embed="rId16">
                      <a:extLst>
                        <a:ext uri="{28A0092B-C50C-407E-A947-70E740481C1C}">
                          <a14:useLocalDpi xmlns:a14="http://schemas.microsoft.com/office/drawing/2010/main" val="0"/>
                        </a:ext>
                      </a:extLst>
                    </a:blip>
                    <a:stretch>
                      <a:fillRect/>
                    </a:stretch>
                  </pic:blipFill>
                  <pic:spPr>
                    <a:xfrm>
                      <a:off x="0" y="0"/>
                      <a:ext cx="2830618" cy="1407358"/>
                    </a:xfrm>
                    <a:prstGeom prst="rect">
                      <a:avLst/>
                    </a:prstGeom>
                  </pic:spPr>
                </pic:pic>
              </a:graphicData>
            </a:graphic>
          </wp:inline>
        </w:drawing>
      </w:r>
    </w:p>
    <w:p w14:paraId="55310438" w14:textId="1D047E13" w:rsidR="00D53C49" w:rsidRPr="005B4090" w:rsidRDefault="00D53C49" w:rsidP="00107EDB">
      <w:pPr>
        <w:spacing w:after="0" w:line="360" w:lineRule="auto"/>
        <w:jc w:val="center"/>
        <w:rPr>
          <w:rFonts w:eastAsia="Calibri" w:cs="Tahoma"/>
          <w:bCs/>
        </w:rPr>
      </w:pPr>
    </w:p>
    <w:p w14:paraId="5A4047B4" w14:textId="08D3D11E" w:rsidR="002C59C6" w:rsidRPr="005B4090" w:rsidRDefault="002C59C6" w:rsidP="00107EDB">
      <w:pPr>
        <w:spacing w:after="0" w:line="360" w:lineRule="auto"/>
        <w:jc w:val="center"/>
        <w:rPr>
          <w:rFonts w:eastAsia="Calibri" w:cs="Tahoma"/>
          <w:bCs/>
        </w:rPr>
        <w:sectPr w:rsidR="002C59C6" w:rsidRPr="005B4090" w:rsidSect="002C59C6">
          <w:type w:val="continuous"/>
          <w:pgSz w:w="12240" w:h="15840"/>
          <w:pgMar w:top="1418" w:right="1608" w:bottom="1560" w:left="1701" w:header="851" w:footer="709" w:gutter="0"/>
          <w:cols w:num="2" w:space="708"/>
          <w:titlePg/>
          <w:docGrid w:linePitch="360"/>
        </w:sectPr>
      </w:pPr>
      <w:r w:rsidRPr="005B4090">
        <w:rPr>
          <w:rFonts w:eastAsia="Calibri" w:cs="Tahoma"/>
          <w:bCs/>
          <w:noProof/>
          <w:lang w:eastAsia="es-MX"/>
        </w:rPr>
        <w:drawing>
          <wp:inline distT="0" distB="0" distL="0" distR="0" wp14:anchorId="092376E5" wp14:editId="7B07C3E0">
            <wp:extent cx="2752135" cy="1318437"/>
            <wp:effectExtent l="0" t="0" r="381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00DF3C.tmp"/>
                    <pic:cNvPicPr/>
                  </pic:nvPicPr>
                  <pic:blipFill>
                    <a:blip r:embed="rId17">
                      <a:extLst>
                        <a:ext uri="{28A0092B-C50C-407E-A947-70E740481C1C}">
                          <a14:useLocalDpi xmlns:a14="http://schemas.microsoft.com/office/drawing/2010/main" val="0"/>
                        </a:ext>
                      </a:extLst>
                    </a:blip>
                    <a:stretch>
                      <a:fillRect/>
                    </a:stretch>
                  </pic:blipFill>
                  <pic:spPr>
                    <a:xfrm>
                      <a:off x="0" y="0"/>
                      <a:ext cx="2761081" cy="1322723"/>
                    </a:xfrm>
                    <a:prstGeom prst="rect">
                      <a:avLst/>
                    </a:prstGeom>
                  </pic:spPr>
                </pic:pic>
              </a:graphicData>
            </a:graphic>
          </wp:inline>
        </w:drawing>
      </w:r>
    </w:p>
    <w:p w14:paraId="1FFD47AC" w14:textId="410A1170" w:rsidR="00107EDB" w:rsidRPr="005B4090" w:rsidRDefault="00107EDB" w:rsidP="00107EDB">
      <w:pPr>
        <w:spacing w:after="0" w:line="360" w:lineRule="auto"/>
        <w:jc w:val="center"/>
        <w:rPr>
          <w:rFonts w:eastAsia="Calibri" w:cs="Tahoma"/>
          <w:bCs/>
        </w:rPr>
      </w:pPr>
      <w:r w:rsidRPr="005B4090">
        <w:rPr>
          <w:rFonts w:eastAsia="Calibri" w:cs="Tahoma"/>
          <w:bCs/>
          <w:noProof/>
          <w:lang w:eastAsia="es-MX"/>
        </w:rPr>
        <w:drawing>
          <wp:inline distT="0" distB="0" distL="0" distR="0" wp14:anchorId="3A4BCF9A" wp14:editId="09681F97">
            <wp:extent cx="2847975" cy="140012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00553.tmp"/>
                    <pic:cNvPicPr/>
                  </pic:nvPicPr>
                  <pic:blipFill>
                    <a:blip r:embed="rId18">
                      <a:extLst>
                        <a:ext uri="{28A0092B-C50C-407E-A947-70E740481C1C}">
                          <a14:useLocalDpi xmlns:a14="http://schemas.microsoft.com/office/drawing/2010/main" val="0"/>
                        </a:ext>
                      </a:extLst>
                    </a:blip>
                    <a:stretch>
                      <a:fillRect/>
                    </a:stretch>
                  </pic:blipFill>
                  <pic:spPr>
                    <a:xfrm>
                      <a:off x="0" y="0"/>
                      <a:ext cx="2887571" cy="1419588"/>
                    </a:xfrm>
                    <a:prstGeom prst="rect">
                      <a:avLst/>
                    </a:prstGeom>
                  </pic:spPr>
                </pic:pic>
              </a:graphicData>
            </a:graphic>
          </wp:inline>
        </w:drawing>
      </w:r>
    </w:p>
    <w:p w14:paraId="45CA9C1D" w14:textId="77777777" w:rsidR="00107EDB" w:rsidRPr="005B4090" w:rsidRDefault="00107EDB" w:rsidP="00595713">
      <w:pPr>
        <w:spacing w:after="0" w:line="360" w:lineRule="auto"/>
        <w:rPr>
          <w:rFonts w:eastAsia="Calibri" w:cs="Tahoma"/>
          <w:bCs/>
        </w:rPr>
      </w:pPr>
    </w:p>
    <w:p w14:paraId="0388E89B" w14:textId="52B35B83" w:rsidR="00712AB9" w:rsidRPr="005B4090" w:rsidRDefault="00712AB9" w:rsidP="00595713">
      <w:pPr>
        <w:spacing w:after="0" w:line="360" w:lineRule="auto"/>
        <w:rPr>
          <w:rFonts w:eastAsia="Calibri" w:cs="Tahoma"/>
          <w:b/>
          <w:bCs/>
        </w:rPr>
      </w:pPr>
      <w:r w:rsidRPr="005B4090">
        <w:rPr>
          <w:rFonts w:eastAsia="Calibri" w:cs="Tahoma"/>
          <w:bCs/>
        </w:rPr>
        <w:t xml:space="preserve">Así, se colige que, tal como lo precisó </w:t>
      </w:r>
      <w:r w:rsidR="00F34CA9" w:rsidRPr="005B4090">
        <w:rPr>
          <w:rFonts w:eastAsia="Calibri" w:cs="Tahoma"/>
          <w:bCs/>
        </w:rPr>
        <w:t>el</w:t>
      </w:r>
      <w:r w:rsidRPr="005B4090">
        <w:rPr>
          <w:rFonts w:eastAsia="Calibri" w:cs="Tahoma"/>
          <w:bCs/>
        </w:rPr>
        <w:t xml:space="preserve"> Particular, </w:t>
      </w:r>
      <w:r w:rsidRPr="005B4090">
        <w:rPr>
          <w:rFonts w:eastAsia="Calibri" w:cs="Tahoma"/>
          <w:b/>
          <w:bCs/>
        </w:rPr>
        <w:t>el</w:t>
      </w:r>
      <w:r w:rsidR="00570A07" w:rsidRPr="005B4090">
        <w:rPr>
          <w:rFonts w:eastAsia="Calibri" w:cs="Tahoma"/>
          <w:b/>
          <w:bCs/>
        </w:rPr>
        <w:t xml:space="preserve"> </w:t>
      </w:r>
      <w:r w:rsidR="008871E7" w:rsidRPr="005B4090">
        <w:rPr>
          <w:rFonts w:eastAsia="Calibri" w:cs="Tahoma"/>
          <w:b/>
          <w:bCs/>
        </w:rPr>
        <w:t>Ayuntamiento de Tepotzotlán</w:t>
      </w:r>
      <w:r w:rsidRPr="005B4090">
        <w:rPr>
          <w:rFonts w:eastAsia="Calibri" w:cs="Tahoma"/>
          <w:bCs/>
        </w:rPr>
        <w:t>, no emitió respuesta para dar contestación a la</w:t>
      </w:r>
      <w:r w:rsidR="0013028B" w:rsidRPr="005B4090">
        <w:rPr>
          <w:rFonts w:eastAsia="Calibri" w:cs="Tahoma"/>
          <w:bCs/>
        </w:rPr>
        <w:t>s</w:t>
      </w:r>
      <w:r w:rsidRPr="005B4090">
        <w:rPr>
          <w:rFonts w:eastAsia="Calibri" w:cs="Tahoma"/>
          <w:bCs/>
        </w:rPr>
        <w:t xml:space="preserve"> solicitud</w:t>
      </w:r>
      <w:r w:rsidR="0013028B" w:rsidRPr="005B4090">
        <w:rPr>
          <w:rFonts w:eastAsia="Calibri" w:cs="Tahoma"/>
          <w:bCs/>
        </w:rPr>
        <w:t>es</w:t>
      </w:r>
      <w:r w:rsidRPr="005B4090">
        <w:rPr>
          <w:rFonts w:eastAsia="Calibri" w:cs="Tahoma"/>
          <w:bCs/>
        </w:rPr>
        <w:t xml:space="preserve"> de información, dentro de los plazos establecidos en el artículo 163, de la Ley de la materia, pues </w:t>
      </w:r>
      <w:r w:rsidRPr="005B4090">
        <w:rPr>
          <w:rFonts w:eastAsia="Calibri" w:cs="Tahoma"/>
          <w:b/>
          <w:bCs/>
        </w:rPr>
        <w:t xml:space="preserve">tenía hasta </w:t>
      </w:r>
      <w:r w:rsidR="0076191A" w:rsidRPr="005B4090">
        <w:rPr>
          <w:rFonts w:eastAsia="Calibri" w:cs="Tahoma"/>
          <w:b/>
          <w:bCs/>
        </w:rPr>
        <w:t>el</w:t>
      </w:r>
      <w:r w:rsidR="008D6E84" w:rsidRPr="005B4090">
        <w:rPr>
          <w:rFonts w:eastAsia="Calibri" w:cs="Tahoma"/>
          <w:b/>
          <w:bCs/>
        </w:rPr>
        <w:t xml:space="preserve"> </w:t>
      </w:r>
      <w:r w:rsidR="002C59C6" w:rsidRPr="005B4090">
        <w:rPr>
          <w:rFonts w:eastAsia="Calibri" w:cs="Tahoma"/>
          <w:b/>
          <w:bCs/>
        </w:rPr>
        <w:t>veintidós y veintitrés de septiembre</w:t>
      </w:r>
      <w:r w:rsidR="008B0398" w:rsidRPr="005B4090">
        <w:rPr>
          <w:rFonts w:eastAsia="Calibri" w:cs="Tahoma"/>
          <w:b/>
          <w:bCs/>
        </w:rPr>
        <w:t xml:space="preserve"> </w:t>
      </w:r>
      <w:r w:rsidR="000C230B" w:rsidRPr="005B4090">
        <w:rPr>
          <w:rFonts w:eastAsia="Calibri" w:cs="Tahoma"/>
          <w:b/>
          <w:bCs/>
        </w:rPr>
        <w:t>de dos mil veinticinco</w:t>
      </w:r>
      <w:r w:rsidRPr="005B4090">
        <w:rPr>
          <w:rFonts w:eastAsia="Calibri" w:cs="Tahoma"/>
          <w:bCs/>
        </w:rPr>
        <w:t>, para realizar dicha situación, inclusive a la presente fecha, dicho ente no ha emitido contestación alguna; por lo que, resulta evidente que el agravio hecho valer por el Recurrente resulta</w:t>
      </w:r>
      <w:r w:rsidRPr="005B4090">
        <w:rPr>
          <w:rFonts w:eastAsia="Calibri" w:cs="Tahoma"/>
          <w:b/>
          <w:bCs/>
        </w:rPr>
        <w:t xml:space="preserve"> FUNDADO.</w:t>
      </w:r>
    </w:p>
    <w:p w14:paraId="1862F2AF" w14:textId="77777777" w:rsidR="00A14C76" w:rsidRPr="005B4090" w:rsidRDefault="00A14C76" w:rsidP="00595713">
      <w:pPr>
        <w:spacing w:after="0" w:line="360" w:lineRule="auto"/>
        <w:rPr>
          <w:rFonts w:eastAsia="Calibri" w:cs="Tahoma"/>
          <w:b/>
          <w:bCs/>
        </w:rPr>
      </w:pPr>
    </w:p>
    <w:p w14:paraId="17B0B0B2" w14:textId="61859A1C" w:rsidR="00A14C76" w:rsidRPr="005B4090" w:rsidRDefault="002C59C6" w:rsidP="00595713">
      <w:pPr>
        <w:spacing w:after="0" w:line="360" w:lineRule="auto"/>
        <w:rPr>
          <w:rFonts w:eastAsia="Calibri" w:cs="Tahoma"/>
          <w:bCs/>
        </w:rPr>
      </w:pPr>
      <w:r w:rsidRPr="005B4090">
        <w:rPr>
          <w:rFonts w:eastAsia="Calibri" w:cs="Tahoma"/>
          <w:bCs/>
        </w:rPr>
        <w:t xml:space="preserve">Con base en lo expuesto, es procedente </w:t>
      </w:r>
      <w:r w:rsidRPr="005B4090">
        <w:rPr>
          <w:rFonts w:eastAsia="Calibri" w:cs="Tahoma"/>
          <w:b/>
          <w:bCs/>
        </w:rPr>
        <w:t>ORDENAR</w:t>
      </w:r>
      <w:r w:rsidRPr="005B4090">
        <w:rPr>
          <w:rFonts w:eastAsia="Calibri" w:cs="Tahoma"/>
          <w:bCs/>
        </w:rPr>
        <w:t xml:space="preserve"> al Sujeto Obligado, que emita respuesta que a derecho corresponda, a los requerimientos de información; no obstante, para tal circunstancia es necesario contextualizar la solicitud de información.</w:t>
      </w:r>
    </w:p>
    <w:p w14:paraId="165057C9" w14:textId="77777777" w:rsidR="002C59C6" w:rsidRPr="005B4090" w:rsidRDefault="002C59C6" w:rsidP="00595713">
      <w:pPr>
        <w:spacing w:after="0" w:line="360" w:lineRule="auto"/>
        <w:rPr>
          <w:rFonts w:eastAsia="Calibri" w:cs="Tahoma"/>
          <w:bCs/>
        </w:rPr>
      </w:pPr>
    </w:p>
    <w:p w14:paraId="6BC92017" w14:textId="77777777" w:rsidR="002C59C6" w:rsidRPr="005B4090" w:rsidRDefault="002C59C6" w:rsidP="002C59C6">
      <w:pPr>
        <w:spacing w:after="0" w:line="360" w:lineRule="auto"/>
        <w:ind w:right="-28"/>
        <w:contextualSpacing/>
        <w:rPr>
          <w:rFonts w:eastAsia="Calibri" w:cs="Tahoma"/>
          <w:b/>
          <w:color w:val="000000"/>
          <w:lang w:eastAsia="es-MX"/>
        </w:rPr>
      </w:pPr>
      <w:r w:rsidRPr="005B4090">
        <w:rPr>
          <w:rFonts w:eastAsia="Times New Roman" w:cs="Tahoma"/>
          <w:color w:val="000000"/>
          <w:lang w:eastAsia="es-ES"/>
        </w:rPr>
        <w:t xml:space="preserve">Al respecto, </w:t>
      </w:r>
      <w:r w:rsidRPr="005B4090">
        <w:rPr>
          <w:rFonts w:eastAsia="Calibri" w:cs="Tahoma"/>
          <w:bCs/>
          <w:color w:val="000000"/>
          <w:lang w:eastAsia="es-MX"/>
        </w:rPr>
        <w:t>es necesario traer a colación la Guía Técnica 9 “La Administración del Personal Municipal”, que establece que son servidores públicos, son todas aquellas personas que prestan su trabajo al servicio del municipio, conformado por las autoridades (</w:t>
      </w:r>
      <w:proofErr w:type="gramStart"/>
      <w:r w:rsidRPr="005B4090">
        <w:rPr>
          <w:rFonts w:eastAsia="Calibri" w:cs="Tahoma"/>
          <w:bCs/>
          <w:color w:val="000000"/>
          <w:lang w:eastAsia="es-MX"/>
        </w:rPr>
        <w:t>Presidente</w:t>
      </w:r>
      <w:proofErr w:type="gramEnd"/>
      <w:r w:rsidRPr="005B4090">
        <w:rPr>
          <w:rFonts w:eastAsia="Calibri" w:cs="Tahoma"/>
          <w:bCs/>
          <w:color w:val="000000"/>
          <w:lang w:eastAsia="es-MX"/>
        </w:rPr>
        <w:t xml:space="preserve"> Municipal, Síndico, Regidores, Comisarios, </w:t>
      </w:r>
      <w:proofErr w:type="gramStart"/>
      <w:r w:rsidRPr="005B4090">
        <w:rPr>
          <w:rFonts w:eastAsia="Calibri" w:cs="Tahoma"/>
          <w:bCs/>
          <w:color w:val="000000"/>
          <w:lang w:eastAsia="es-MX"/>
        </w:rPr>
        <w:t>Delegados</w:t>
      </w:r>
      <w:proofErr w:type="gramEnd"/>
      <w:r w:rsidRPr="005B4090">
        <w:rPr>
          <w:rFonts w:eastAsia="Calibri" w:cs="Tahoma"/>
          <w:bCs/>
          <w:color w:val="000000"/>
          <w:lang w:eastAsia="es-MX"/>
        </w:rPr>
        <w:t xml:space="preserve"> y Agentes Municipales), funcionarios </w:t>
      </w:r>
      <w:r w:rsidRPr="005B4090">
        <w:rPr>
          <w:rFonts w:eastAsia="Calibri" w:cs="Tahoma"/>
          <w:bCs/>
          <w:color w:val="000000"/>
          <w:lang w:eastAsia="es-MX"/>
        </w:rPr>
        <w:lastRenderedPageBreak/>
        <w:t>(</w:t>
      </w:r>
      <w:proofErr w:type="gramStart"/>
      <w:r w:rsidRPr="005B4090">
        <w:rPr>
          <w:rFonts w:eastAsia="Calibri" w:cs="Tahoma"/>
          <w:bCs/>
          <w:color w:val="000000"/>
          <w:lang w:eastAsia="es-MX"/>
        </w:rPr>
        <w:t>Secretario</w:t>
      </w:r>
      <w:proofErr w:type="gramEnd"/>
      <w:r w:rsidRPr="005B4090">
        <w:rPr>
          <w:rFonts w:eastAsia="Calibri" w:cs="Tahoma"/>
          <w:bCs/>
          <w:color w:val="000000"/>
          <w:lang w:eastAsia="es-MX"/>
        </w:rPr>
        <w:t xml:space="preserve"> del Ayuntamiento, </w:t>
      </w:r>
      <w:proofErr w:type="gramStart"/>
      <w:r w:rsidRPr="005B4090">
        <w:rPr>
          <w:rFonts w:eastAsia="Calibri" w:cs="Tahoma"/>
          <w:bCs/>
          <w:color w:val="000000"/>
          <w:lang w:eastAsia="es-MX"/>
        </w:rPr>
        <w:t>Directores</w:t>
      </w:r>
      <w:proofErr w:type="gramEnd"/>
      <w:r w:rsidRPr="005B4090">
        <w:rPr>
          <w:rFonts w:eastAsia="Calibri" w:cs="Tahoma"/>
          <w:bCs/>
          <w:color w:val="000000"/>
          <w:lang w:eastAsia="es-MX"/>
        </w:rPr>
        <w:t xml:space="preserve">, Tesoreros, Contralores y </w:t>
      </w:r>
      <w:proofErr w:type="gramStart"/>
      <w:r w:rsidRPr="005B4090">
        <w:rPr>
          <w:rFonts w:eastAsia="Calibri" w:cs="Tahoma"/>
          <w:bCs/>
          <w:color w:val="000000"/>
          <w:lang w:eastAsia="es-MX"/>
        </w:rPr>
        <w:t>Jefes</w:t>
      </w:r>
      <w:proofErr w:type="gramEnd"/>
      <w:r w:rsidRPr="005B4090">
        <w:rPr>
          <w:rFonts w:eastAsia="Calibri" w:cs="Tahoma"/>
          <w:bCs/>
          <w:color w:val="000000"/>
          <w:lang w:eastAsia="es-MX"/>
        </w:rPr>
        <w:t xml:space="preserve"> de Departamento) y empleados (puestos administrativos y técnicos).</w:t>
      </w:r>
    </w:p>
    <w:p w14:paraId="1DE0F843" w14:textId="77777777" w:rsidR="002C59C6" w:rsidRPr="005B4090" w:rsidRDefault="002C59C6" w:rsidP="002C59C6">
      <w:pPr>
        <w:spacing w:after="0" w:line="360" w:lineRule="auto"/>
        <w:ind w:right="-28"/>
        <w:contextualSpacing/>
        <w:rPr>
          <w:rFonts w:eastAsia="Calibri" w:cs="Tahoma"/>
          <w:b/>
          <w:color w:val="000000"/>
          <w:lang w:eastAsia="es-MX"/>
        </w:rPr>
      </w:pPr>
    </w:p>
    <w:p w14:paraId="3C4D5939" w14:textId="0071C533" w:rsidR="002C59C6" w:rsidRPr="005B4090" w:rsidRDefault="002C59C6" w:rsidP="002C59C6">
      <w:pPr>
        <w:spacing w:after="0" w:line="360" w:lineRule="auto"/>
        <w:rPr>
          <w:rFonts w:eastAsia="Calibri" w:cs="Tahoma"/>
          <w:bCs/>
          <w:color w:val="000000"/>
          <w:lang w:val="es-ES" w:eastAsia="es-MX"/>
        </w:rPr>
      </w:pPr>
      <w:r w:rsidRPr="005B4090">
        <w:rPr>
          <w:rFonts w:eastAsia="Palatino Linotype" w:cs="Tahoma"/>
          <w:bCs/>
          <w:iCs/>
          <w:color w:val="000000"/>
          <w:lang w:eastAsia="es-MX"/>
        </w:rPr>
        <w:t xml:space="preserve">En ese orden de ideas, </w:t>
      </w:r>
      <w:r w:rsidRPr="005B4090">
        <w:rPr>
          <w:rFonts w:eastAsia="Calibri" w:cs="Tahoma"/>
          <w:bCs/>
          <w:color w:val="000000"/>
          <w:lang w:val="es-ES" w:eastAsia="es-MX"/>
        </w:rPr>
        <w:t xml:space="preserve">el artículo 4°, fracción VI, de la Ley del Trabajo de los servidores públicos del Estado y Municipios, precisa que son </w:t>
      </w:r>
      <w:r w:rsidRPr="005B4090">
        <w:rPr>
          <w:rFonts w:eastAsia="Calibri" w:cs="Tahoma"/>
          <w:b/>
          <w:bCs/>
          <w:color w:val="000000"/>
          <w:lang w:val="es-ES" w:eastAsia="es-MX"/>
        </w:rPr>
        <w:t>servidores públicos</w:t>
      </w:r>
      <w:r w:rsidRPr="005B4090">
        <w:rPr>
          <w:rFonts w:eastAsia="Calibri" w:cs="Tahoma"/>
          <w:bCs/>
          <w:color w:val="000000"/>
          <w:lang w:val="es-ES" w:eastAsia="es-MX"/>
        </w:rPr>
        <w:t>, todas las personas físicas que presten a una institución pública un trabajo personal subordinado, mediante el pago de un sueldo.</w:t>
      </w:r>
    </w:p>
    <w:p w14:paraId="7E64B3EC" w14:textId="77777777" w:rsidR="002C59C6" w:rsidRPr="005B4090" w:rsidRDefault="002C59C6" w:rsidP="002C59C6">
      <w:pPr>
        <w:spacing w:after="0" w:line="360" w:lineRule="auto"/>
        <w:ind w:right="-28"/>
        <w:contextualSpacing/>
        <w:rPr>
          <w:rFonts w:eastAsia="Calibri" w:cs="Tahoma"/>
          <w:bCs/>
          <w:color w:val="000000"/>
          <w:lang w:val="es-ES" w:eastAsia="es-MX"/>
        </w:rPr>
      </w:pPr>
    </w:p>
    <w:p w14:paraId="78576B3A" w14:textId="36C69F0C" w:rsidR="002C59C6" w:rsidRPr="005B4090" w:rsidRDefault="002C59C6" w:rsidP="002C59C6">
      <w:pPr>
        <w:spacing w:after="0" w:line="360" w:lineRule="auto"/>
        <w:contextualSpacing/>
        <w:rPr>
          <w:rFonts w:eastAsia="Calibri" w:cs="Times New Roman"/>
          <w:bCs/>
          <w:color w:val="000000"/>
          <w:lang w:eastAsia="es-MX"/>
        </w:rPr>
      </w:pPr>
      <w:r w:rsidRPr="005B4090">
        <w:rPr>
          <w:rFonts w:eastAsia="Calibri" w:cs="Times New Roman"/>
          <w:bCs/>
          <w:color w:val="000000"/>
          <w:lang w:eastAsia="es-MX"/>
        </w:rPr>
        <w:t>En ese contexto,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BE14F14" w14:textId="77777777" w:rsidR="002C59C6" w:rsidRPr="005B4090" w:rsidRDefault="002C59C6" w:rsidP="002C59C6">
      <w:pPr>
        <w:spacing w:after="0" w:line="360" w:lineRule="auto"/>
        <w:contextualSpacing/>
        <w:rPr>
          <w:rFonts w:eastAsia="Calibri" w:cs="Times New Roman"/>
          <w:bCs/>
          <w:color w:val="000000"/>
          <w:lang w:eastAsia="es-MX"/>
        </w:rPr>
      </w:pPr>
    </w:p>
    <w:p w14:paraId="3DA3ABBA" w14:textId="064DE333" w:rsidR="002C59C6" w:rsidRPr="005B4090" w:rsidRDefault="002C59C6" w:rsidP="002C59C6">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Asimismo,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AFFC2FB" w14:textId="77777777" w:rsidR="002C59C6" w:rsidRPr="005B4090" w:rsidRDefault="002C59C6" w:rsidP="002C59C6">
      <w:pPr>
        <w:widowControl w:val="0"/>
        <w:autoSpaceDE w:val="0"/>
        <w:autoSpaceDN w:val="0"/>
        <w:adjustRightInd w:val="0"/>
        <w:spacing w:after="0" w:line="360" w:lineRule="auto"/>
        <w:contextualSpacing/>
        <w:rPr>
          <w:rFonts w:eastAsia="Times New Roman" w:cs="Times New Roman"/>
          <w:color w:val="auto"/>
          <w:lang w:eastAsia="es-ES"/>
        </w:rPr>
      </w:pPr>
    </w:p>
    <w:p w14:paraId="50E7EACE" w14:textId="3B1329A8" w:rsidR="002C59C6" w:rsidRPr="005B4090" w:rsidRDefault="002C59C6" w:rsidP="002C59C6">
      <w:pPr>
        <w:spacing w:after="0" w:line="360" w:lineRule="auto"/>
        <w:rPr>
          <w:rFonts w:eastAsia="Palatino Linotype" w:cs="Palatino Linotype"/>
          <w:b/>
          <w:color w:val="000000"/>
          <w:lang w:eastAsia="es-MX"/>
        </w:rPr>
      </w:pPr>
      <w:r w:rsidRPr="005B4090">
        <w:rPr>
          <w:rFonts w:eastAsia="Palatino Linotype" w:cs="Palatino Linotype"/>
          <w:color w:val="000000"/>
          <w:lang w:eastAsia="es-MX"/>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5B4090">
        <w:rPr>
          <w:rFonts w:eastAsia="Palatino Linotype" w:cs="Palatino Linotype"/>
          <w:b/>
          <w:color w:val="000000"/>
          <w:lang w:eastAsia="es-MX"/>
        </w:rPr>
        <w:t>1000 Servicios Personales</w:t>
      </w:r>
      <w:r w:rsidRPr="005B4090">
        <w:rPr>
          <w:rFonts w:eastAsia="Palatino Linotype" w:cs="Palatino Linotype"/>
          <w:color w:val="000000"/>
          <w:lang w:eastAsia="es-MX"/>
        </w:rPr>
        <w:t>,</w:t>
      </w:r>
      <w:r w:rsidRPr="005B4090">
        <w:rPr>
          <w:rFonts w:eastAsia="Palatino Linotype" w:cs="Palatino Linotype"/>
          <w:b/>
          <w:color w:val="000000"/>
          <w:lang w:eastAsia="es-MX"/>
        </w:rPr>
        <w:t xml:space="preserve"> que agrupa las remuneraciones del personal al servicio de los entes públicos, tales como el sueldo, salarios, dietas, honorarios, prestaciones, aguinaldo, obligaciones laborales, entre otras.</w:t>
      </w:r>
    </w:p>
    <w:p w14:paraId="6C27AF95" w14:textId="77777777" w:rsidR="002C59C6" w:rsidRPr="005B4090" w:rsidRDefault="002C59C6" w:rsidP="002C59C6">
      <w:pPr>
        <w:spacing w:after="0" w:line="360" w:lineRule="auto"/>
        <w:rPr>
          <w:rFonts w:eastAsia="Palatino Linotype" w:cs="Palatino Linotype"/>
          <w:b/>
          <w:color w:val="000000"/>
          <w:lang w:eastAsia="es-MX"/>
        </w:rPr>
      </w:pPr>
    </w:p>
    <w:p w14:paraId="4987E3A9" w14:textId="77777777" w:rsidR="002C59C6" w:rsidRPr="005B4090" w:rsidRDefault="002C59C6" w:rsidP="002C59C6">
      <w:pPr>
        <w:autoSpaceDE w:val="0"/>
        <w:autoSpaceDN w:val="0"/>
        <w:adjustRightInd w:val="0"/>
        <w:spacing w:after="0" w:line="360" w:lineRule="auto"/>
        <w:rPr>
          <w:rFonts w:eastAsia="Calibri" w:cs="Tahoma"/>
          <w:bCs/>
          <w:iCs/>
          <w:color w:val="000000"/>
          <w:lang w:val="es-ES" w:eastAsia="es-MX"/>
        </w:rPr>
      </w:pPr>
      <w:r w:rsidRPr="005B4090">
        <w:rPr>
          <w:rFonts w:eastAsia="Calibri" w:cs="Tahoma"/>
          <w:bCs/>
          <w:iCs/>
          <w:color w:val="000000"/>
          <w:lang w:eastAsia="es-MX"/>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w:t>
      </w:r>
      <w:r w:rsidRPr="005B4090">
        <w:rPr>
          <w:rFonts w:eastAsia="Calibri" w:cs="Tahoma"/>
          <w:b/>
          <w:bCs/>
          <w:iCs/>
          <w:color w:val="000000"/>
          <w:lang w:eastAsia="es-MX"/>
        </w:rPr>
        <w:t>recibos de pago de salarios o las</w:t>
      </w:r>
      <w:r w:rsidRPr="005B4090">
        <w:rPr>
          <w:rFonts w:eastAsia="Calibri" w:cs="Tahoma"/>
          <w:bCs/>
          <w:iCs/>
          <w:color w:val="000000"/>
          <w:lang w:eastAsia="es-MX"/>
        </w:rPr>
        <w:t xml:space="preserve"> </w:t>
      </w:r>
      <w:r w:rsidRPr="005B4090">
        <w:rPr>
          <w:rFonts w:eastAsia="Calibri" w:cs="Tahoma"/>
          <w:b/>
          <w:bCs/>
          <w:iCs/>
          <w:color w:val="000000"/>
          <w:lang w:eastAsia="es-MX"/>
        </w:rPr>
        <w:t xml:space="preserve">constancias documentales del pago de sueldos, </w:t>
      </w:r>
      <w:r w:rsidRPr="005B4090">
        <w:rPr>
          <w:rFonts w:eastAsia="Calibri" w:cs="Tahoma"/>
          <w:bCs/>
          <w:iCs/>
          <w:color w:val="000000"/>
          <w:lang w:eastAsia="es-MX"/>
        </w:rPr>
        <w:t xml:space="preserve">cuando sea por depósito o mediante información electrónica; así como los recibos o constancias de depósito o del medio de información magnética o electrónica que sean utilizadas para el pago de salarios, prima </w:t>
      </w:r>
      <w:r w:rsidRPr="005B4090">
        <w:rPr>
          <w:rFonts w:eastAsia="Calibri" w:cs="Tahoma"/>
          <w:bCs/>
          <w:iCs/>
          <w:color w:val="000000"/>
          <w:lang w:val="es-ES" w:eastAsia="es-MX"/>
        </w:rPr>
        <w:t xml:space="preserve">vacacional, aguinaldo y demás prestaciones. </w:t>
      </w:r>
    </w:p>
    <w:p w14:paraId="7D35A009" w14:textId="77777777" w:rsidR="002C59C6" w:rsidRPr="005B4090" w:rsidRDefault="002C59C6" w:rsidP="002C59C6">
      <w:pPr>
        <w:spacing w:after="0" w:line="360" w:lineRule="auto"/>
        <w:ind w:right="-28"/>
        <w:rPr>
          <w:rFonts w:eastAsia="Times New Roman" w:cs="Tahoma"/>
          <w:iCs/>
          <w:color w:val="000000"/>
          <w:lang w:eastAsia="es-ES"/>
        </w:rPr>
      </w:pPr>
    </w:p>
    <w:p w14:paraId="0D496AB7" w14:textId="77777777" w:rsidR="002C59C6" w:rsidRPr="005B4090" w:rsidRDefault="002C59C6" w:rsidP="002C59C6">
      <w:pPr>
        <w:spacing w:after="0" w:line="360" w:lineRule="auto"/>
        <w:rPr>
          <w:rFonts w:eastAsia="Calibri" w:cs="Times New Roman"/>
          <w:bCs/>
          <w:color w:val="000000"/>
          <w:lang w:eastAsia="es-MX"/>
        </w:rPr>
      </w:pPr>
      <w:r w:rsidRPr="005B4090">
        <w:rPr>
          <w:rFonts w:eastAsia="Calibri" w:cs="Times New Roman"/>
          <w:bCs/>
          <w:color w:val="000000"/>
          <w:lang w:eastAsia="es-MX"/>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48FA241" w14:textId="77777777" w:rsidR="002C59C6" w:rsidRPr="005B4090" w:rsidRDefault="002C59C6" w:rsidP="002C59C6">
      <w:pPr>
        <w:spacing w:after="0" w:line="360" w:lineRule="auto"/>
        <w:rPr>
          <w:rFonts w:eastAsia="Calibri" w:cs="Times New Roman"/>
          <w:bCs/>
          <w:color w:val="000000"/>
          <w:lang w:eastAsia="es-MX"/>
        </w:rPr>
      </w:pPr>
    </w:p>
    <w:p w14:paraId="25508529" w14:textId="77777777" w:rsidR="002C59C6" w:rsidRPr="005B4090" w:rsidRDefault="002C59C6" w:rsidP="002C59C6">
      <w:pPr>
        <w:spacing w:after="0" w:line="360" w:lineRule="auto"/>
        <w:ind w:left="567" w:right="567"/>
        <w:rPr>
          <w:rFonts w:eastAsia="Calibri" w:cs="Times New Roman"/>
          <w:bCs/>
          <w:i/>
          <w:iCs/>
          <w:color w:val="000000"/>
          <w:sz w:val="20"/>
          <w:szCs w:val="20"/>
          <w:lang w:val="es-ES" w:eastAsia="es-MX"/>
        </w:rPr>
      </w:pPr>
      <w:r w:rsidRPr="005B4090">
        <w:rPr>
          <w:rFonts w:eastAsia="Calibri" w:cs="Times New Roman"/>
          <w:b/>
          <w:bCs/>
          <w:i/>
          <w:iCs/>
          <w:color w:val="000000"/>
          <w:sz w:val="20"/>
          <w:szCs w:val="20"/>
          <w:lang w:val="es-ES" w:eastAsia="es-MX"/>
        </w:rPr>
        <w:t>“RECIBOS DE PAGO</w:t>
      </w:r>
      <w:r w:rsidRPr="005B4090">
        <w:rPr>
          <w:rFonts w:eastAsia="Calibri" w:cs="Times New Roman"/>
          <w:bCs/>
          <w:i/>
          <w:iCs/>
          <w:color w:val="000000"/>
          <w:sz w:val="20"/>
          <w:szCs w:val="20"/>
          <w:lang w:val="es-ES" w:eastAsia="es-MX"/>
        </w:rPr>
        <w:t xml:space="preserve"> </w:t>
      </w:r>
      <w:r w:rsidRPr="005B4090">
        <w:rPr>
          <w:rFonts w:eastAsia="Calibri" w:cs="Times New Roman"/>
          <w:b/>
          <w:bCs/>
          <w:i/>
          <w:iCs/>
          <w:color w:val="000000"/>
          <w:sz w:val="20"/>
          <w:szCs w:val="20"/>
          <w:lang w:val="es-ES" w:eastAsia="es-MX"/>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B4090">
        <w:rPr>
          <w:rFonts w:eastAsia="Calibri" w:cs="Times New Roman"/>
          <w:bCs/>
          <w:i/>
          <w:iCs/>
          <w:color w:val="000000"/>
          <w:sz w:val="20"/>
          <w:szCs w:val="20"/>
          <w:lang w:val="es-ES" w:eastAsia="es-MX"/>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D113ECD" w14:textId="77777777" w:rsidR="002C59C6" w:rsidRPr="005B4090" w:rsidRDefault="002C59C6" w:rsidP="002C59C6">
      <w:pPr>
        <w:spacing w:after="0" w:line="360" w:lineRule="auto"/>
        <w:rPr>
          <w:rFonts w:eastAsia="Calibri" w:cs="Times New Roman"/>
          <w:b/>
          <w:bCs/>
          <w:i/>
          <w:iCs/>
          <w:color w:val="000000"/>
          <w:lang w:val="es-ES" w:eastAsia="es-MX"/>
        </w:rPr>
      </w:pPr>
    </w:p>
    <w:p w14:paraId="234478BD" w14:textId="39A30E32" w:rsidR="002C59C6" w:rsidRPr="005B4090" w:rsidRDefault="002C59C6" w:rsidP="002C59C6">
      <w:pPr>
        <w:spacing w:after="0" w:line="360" w:lineRule="auto"/>
        <w:rPr>
          <w:rFonts w:eastAsia="Calibri" w:cs="Times New Roman"/>
          <w:bCs/>
          <w:color w:val="000000"/>
          <w:lang w:val="es-ES" w:eastAsia="es-MX"/>
        </w:rPr>
      </w:pPr>
      <w:r w:rsidRPr="005B4090">
        <w:rPr>
          <w:rFonts w:eastAsia="Calibri" w:cs="Times New Roman"/>
          <w:bCs/>
          <w:color w:val="000000"/>
          <w:lang w:val="es-ES" w:eastAsia="es-MX"/>
        </w:rPr>
        <w:lastRenderedPageBreak/>
        <w:t xml:space="preserve">De la tesis transcrita, se desprende que </w:t>
      </w:r>
      <w:r w:rsidRPr="005B4090">
        <w:rPr>
          <w:rFonts w:eastAsia="Calibri" w:cs="Times New Roman"/>
          <w:b/>
          <w:bCs/>
          <w:color w:val="000000"/>
          <w:lang w:val="es-ES" w:eastAsia="es-MX"/>
        </w:rPr>
        <w:t>en materia burocrática</w:t>
      </w:r>
      <w:r w:rsidRPr="005B4090">
        <w:rPr>
          <w:rFonts w:eastAsia="Calibri" w:cs="Times New Roman"/>
          <w:bCs/>
          <w:color w:val="000000"/>
          <w:lang w:val="es-ES" w:eastAsia="es-MX"/>
        </w:rPr>
        <w:t xml:space="preserve"> </w:t>
      </w:r>
      <w:r w:rsidRPr="005B4090">
        <w:rPr>
          <w:rFonts w:eastAsia="Calibri" w:cs="Times New Roman"/>
          <w:b/>
          <w:bCs/>
          <w:color w:val="000000"/>
          <w:lang w:val="es-ES" w:eastAsia="es-MX"/>
        </w:rPr>
        <w:t>los recibos de pago acreditan los conceptos y montos que en ellos se insertan</w:t>
      </w:r>
      <w:r w:rsidRPr="005B4090">
        <w:rPr>
          <w:rFonts w:eastAsia="Calibri" w:cs="Times New Roman"/>
          <w:bCs/>
          <w:color w:val="000000"/>
          <w:lang w:val="es-ES" w:eastAsia="es-MX"/>
        </w:rPr>
        <w:t>, y constituyen prueba para demostrar las percepciones y montos que reciben los servidores públicos.</w:t>
      </w:r>
    </w:p>
    <w:p w14:paraId="6377C08B" w14:textId="5612D3A5" w:rsidR="00E735AD" w:rsidRPr="005B4090" w:rsidRDefault="00E735AD" w:rsidP="002C59C6">
      <w:pPr>
        <w:spacing w:after="0" w:line="360" w:lineRule="auto"/>
        <w:rPr>
          <w:rFonts w:eastAsia="Calibri" w:cs="Times New Roman"/>
          <w:bCs/>
          <w:color w:val="000000"/>
          <w:lang w:val="es-ES" w:eastAsia="es-MX"/>
        </w:rPr>
      </w:pPr>
    </w:p>
    <w:p w14:paraId="2B4E49EB" w14:textId="3D9EF8C8" w:rsidR="00E735AD" w:rsidRPr="005B4090" w:rsidRDefault="00E735AD" w:rsidP="002C59C6">
      <w:pPr>
        <w:spacing w:after="0" w:line="360" w:lineRule="auto"/>
        <w:rPr>
          <w:rFonts w:eastAsia="Calibri" w:cs="Times New Roman"/>
          <w:bCs/>
          <w:color w:val="000000"/>
          <w:lang w:val="es-ES" w:eastAsia="es-MX"/>
        </w:rPr>
      </w:pPr>
      <w:r w:rsidRPr="005B4090">
        <w:rPr>
          <w:rFonts w:eastAsia="Calibri" w:cs="Times New Roman"/>
          <w:bCs/>
          <w:color w:val="000000"/>
          <w:lang w:val="es-ES" w:eastAsia="es-MX"/>
        </w:rPr>
        <w:t>Ahora bien, de los gafetes, el artículo 93, fracción XVI, de la Ley del Trabajo de los Servidores Públicos del Estado de México, se logra desprender que es una obligación de todos los servidores públicos portar y hacer uso de las credenciales de identificación.</w:t>
      </w:r>
    </w:p>
    <w:p w14:paraId="78AFC843" w14:textId="77777777" w:rsidR="00344C07" w:rsidRPr="005B4090" w:rsidRDefault="00344C07" w:rsidP="00595713">
      <w:pPr>
        <w:tabs>
          <w:tab w:val="left" w:pos="4962"/>
        </w:tabs>
        <w:spacing w:after="0" w:line="360" w:lineRule="auto"/>
        <w:rPr>
          <w:rFonts w:eastAsia="Calibri" w:cs="Tahoma"/>
          <w:b/>
          <w:bCs/>
        </w:rPr>
      </w:pPr>
    </w:p>
    <w:p w14:paraId="5DE314D6" w14:textId="481B8EA1" w:rsidR="00A5729B" w:rsidRPr="005B4090" w:rsidRDefault="00750C4D" w:rsidP="00595713">
      <w:pPr>
        <w:spacing w:after="0" w:line="360" w:lineRule="auto"/>
        <w:contextualSpacing/>
        <w:rPr>
          <w:rFonts w:eastAsia="Calibri" w:cs="Tahoma"/>
          <w:bCs/>
          <w:color w:val="000000"/>
        </w:rPr>
      </w:pPr>
      <w:r w:rsidRPr="005B4090">
        <w:rPr>
          <w:rFonts w:cs="Tahoma"/>
          <w:bCs/>
          <w:iCs/>
          <w:color w:val="000000"/>
          <w:lang w:val="es-ES" w:eastAsia="es-MX"/>
        </w:rPr>
        <w:t>Conforme a lo anterior</w:t>
      </w:r>
      <w:r w:rsidR="00BF36A5" w:rsidRPr="005B4090">
        <w:rPr>
          <w:rFonts w:cs="Tahoma"/>
          <w:bCs/>
          <w:iCs/>
          <w:color w:val="000000"/>
          <w:lang w:val="es-ES" w:eastAsia="es-MX"/>
        </w:rPr>
        <w:t>,</w:t>
      </w:r>
      <w:r w:rsidRPr="005B4090">
        <w:rPr>
          <w:rFonts w:cs="Tahoma"/>
          <w:bCs/>
          <w:iCs/>
          <w:color w:val="000000"/>
          <w:lang w:val="es-ES" w:eastAsia="es-MX"/>
        </w:rPr>
        <w:t xml:space="preserve"> el Sujeto Obligado </w:t>
      </w:r>
      <w:r w:rsidR="00BF36A5" w:rsidRPr="005B4090">
        <w:rPr>
          <w:rFonts w:cs="Tahoma"/>
          <w:bCs/>
          <w:iCs/>
          <w:color w:val="000000"/>
          <w:lang w:val="es-ES" w:eastAsia="es-MX"/>
        </w:rPr>
        <w:t>cuenta con competencia para conocer de lo solicitado, por lo que</w:t>
      </w:r>
      <w:r w:rsidR="00B25235" w:rsidRPr="005B4090">
        <w:rPr>
          <w:rFonts w:cs="Tahoma"/>
          <w:bCs/>
          <w:iCs/>
          <w:color w:val="000000"/>
          <w:lang w:val="es-ES" w:eastAsia="es-MX"/>
        </w:rPr>
        <w:t xml:space="preserve">, </w:t>
      </w:r>
      <w:r w:rsidRPr="005B4090">
        <w:rPr>
          <w:rFonts w:cs="Tahoma"/>
          <w:bCs/>
          <w:iCs/>
          <w:color w:val="000000"/>
          <w:lang w:val="es-ES" w:eastAsia="es-MX"/>
        </w:rPr>
        <w:t>deberá realizar una búsqueda exhaustiva y razonable en todas las unidades administrativas competentes</w:t>
      </w:r>
      <w:r w:rsidR="00A5729B" w:rsidRPr="005B4090">
        <w:rPr>
          <w:rFonts w:eastAsia="Times New Roman" w:cs="Tahoma"/>
          <w:bCs/>
          <w:iCs/>
          <w:color w:val="auto"/>
          <w:lang w:eastAsia="es-ES"/>
        </w:rPr>
        <w:t>,</w:t>
      </w:r>
      <w:r w:rsidR="00A5729B" w:rsidRPr="005B4090">
        <w:rPr>
          <w:rFonts w:eastAsia="Calibri" w:cs="Tahoma"/>
          <w:bCs/>
        </w:rPr>
        <w:t xml:space="preserve"> a efecto de que dé la respuesta que a derecho corresponda y, en su caso, proporcione los documentos que den cuenta de la información solicitada</w:t>
      </w:r>
      <w:r w:rsidR="00A5729B" w:rsidRPr="005B4090">
        <w:rPr>
          <w:rFonts w:eastAsia="Calibri" w:cs="Tahoma"/>
          <w:bCs/>
          <w:color w:val="000000"/>
        </w:rPr>
        <w:t>.</w:t>
      </w:r>
    </w:p>
    <w:p w14:paraId="1097F5E5" w14:textId="77777777" w:rsidR="00D30891" w:rsidRPr="005B4090" w:rsidRDefault="00D30891" w:rsidP="00595713">
      <w:pPr>
        <w:spacing w:after="0" w:line="360" w:lineRule="auto"/>
        <w:contextualSpacing/>
        <w:rPr>
          <w:rFonts w:eastAsia="Calibri" w:cs="Tahoma"/>
          <w:bCs/>
          <w:color w:val="000000"/>
        </w:rPr>
      </w:pPr>
    </w:p>
    <w:p w14:paraId="16BADA9D" w14:textId="63120E7E" w:rsidR="00E735AD" w:rsidRPr="005B4090" w:rsidRDefault="00E735AD" w:rsidP="00595713">
      <w:pPr>
        <w:spacing w:after="0" w:line="360" w:lineRule="auto"/>
        <w:contextualSpacing/>
        <w:rPr>
          <w:rFonts w:eastAsia="Calibri" w:cs="Tahoma"/>
          <w:b/>
          <w:bCs/>
          <w:color w:val="000000"/>
        </w:rPr>
      </w:pPr>
      <w:r w:rsidRPr="005B4090">
        <w:rPr>
          <w:rFonts w:eastAsia="Calibri" w:cs="Tahoma"/>
          <w:b/>
          <w:bCs/>
          <w:color w:val="000000"/>
        </w:rPr>
        <w:t xml:space="preserve">Del Recurso de Revisión </w:t>
      </w:r>
      <w:r w:rsidRPr="005B4090">
        <w:rPr>
          <w:rFonts w:eastAsia="Calibri" w:cs="Tahoma"/>
          <w:b/>
        </w:rPr>
        <w:t>11463/INFOEM/IP/RR/2025</w:t>
      </w:r>
    </w:p>
    <w:p w14:paraId="45E8E40D" w14:textId="77777777" w:rsidR="00D30891" w:rsidRPr="005B4090" w:rsidRDefault="00D30891" w:rsidP="00595713">
      <w:pPr>
        <w:spacing w:after="0" w:line="360" w:lineRule="auto"/>
        <w:contextualSpacing/>
        <w:rPr>
          <w:rFonts w:eastAsia="Calibri" w:cs="Tahoma"/>
          <w:bCs/>
          <w:color w:val="000000"/>
        </w:rPr>
      </w:pPr>
    </w:p>
    <w:p w14:paraId="437D10EB" w14:textId="31BB089D" w:rsidR="00930D79" w:rsidRPr="005B4090" w:rsidRDefault="00D30891" w:rsidP="0074545C">
      <w:pPr>
        <w:spacing w:after="0" w:line="360" w:lineRule="auto"/>
        <w:contextualSpacing/>
        <w:rPr>
          <w:rFonts w:eastAsia="Times New Roman" w:cs="Tahoma"/>
          <w:iCs/>
          <w:color w:val="auto"/>
          <w:lang w:eastAsia="es-ES"/>
        </w:rPr>
      </w:pPr>
      <w:r w:rsidRPr="005B4090">
        <w:rPr>
          <w:rFonts w:eastAsia="Times New Roman" w:cs="Tahoma"/>
          <w:iCs/>
          <w:color w:val="auto"/>
          <w:lang w:eastAsia="es-ES"/>
        </w:rPr>
        <w:t xml:space="preserve">Al respecto, es necesario precisar que la pretensión del ahora Recurrente es obtener, </w:t>
      </w:r>
      <w:r w:rsidR="0074545C" w:rsidRPr="005B4090">
        <w:rPr>
          <w:rFonts w:eastAsia="Times New Roman" w:cs="Tahoma"/>
          <w:iCs/>
          <w:color w:val="auto"/>
          <w:lang w:eastAsia="es-ES"/>
        </w:rPr>
        <w:t xml:space="preserve">los recibos de nómina de todos los jefes de la Dirección de Desarrollo y Fomento Económico, del </w:t>
      </w:r>
      <w:r w:rsidR="00107EDB" w:rsidRPr="005B4090">
        <w:rPr>
          <w:rFonts w:eastAsia="Times New Roman" w:cs="Tahoma"/>
          <w:iCs/>
          <w:color w:val="auto"/>
          <w:lang w:eastAsia="es-ES"/>
        </w:rPr>
        <w:t>de la primera quincena de enero a la segunda de agosto</w:t>
      </w:r>
      <w:r w:rsidR="0074545C" w:rsidRPr="005B4090">
        <w:rPr>
          <w:rFonts w:eastAsia="Times New Roman" w:cs="Tahoma"/>
          <w:iCs/>
          <w:color w:val="auto"/>
          <w:lang w:eastAsia="es-ES"/>
        </w:rPr>
        <w:t xml:space="preserve"> de dos mil veinticinco</w:t>
      </w:r>
      <w:r w:rsidR="00107EDB" w:rsidRPr="005B4090">
        <w:rPr>
          <w:rFonts w:eastAsia="Times New Roman" w:cs="Tahoma"/>
          <w:iCs/>
          <w:color w:val="auto"/>
          <w:lang w:eastAsia="es-ES"/>
        </w:rPr>
        <w:t xml:space="preserve"> (última pagada a la fecha de la solicitud)</w:t>
      </w:r>
    </w:p>
    <w:p w14:paraId="36CA1946" w14:textId="77777777" w:rsidR="0074545C" w:rsidRPr="005B4090" w:rsidRDefault="0074545C" w:rsidP="0074545C">
      <w:pPr>
        <w:spacing w:after="0" w:line="360" w:lineRule="auto"/>
        <w:contextualSpacing/>
        <w:rPr>
          <w:rFonts w:eastAsia="Calibri" w:cs="Tahoma"/>
          <w:iCs/>
          <w:lang w:val="es-ES" w:eastAsia="es-ES_tradnl"/>
        </w:rPr>
      </w:pPr>
    </w:p>
    <w:p w14:paraId="55435CDA" w14:textId="4DFD5C0A" w:rsidR="00EE6203" w:rsidRPr="005B4090" w:rsidRDefault="00EE6203" w:rsidP="00595713">
      <w:pPr>
        <w:spacing w:after="0" w:line="360" w:lineRule="auto"/>
        <w:rPr>
          <w:color w:val="0D0D0D"/>
        </w:rPr>
      </w:pPr>
      <w:bookmarkStart w:id="11" w:name="_Hlk76480431"/>
      <w:r w:rsidRPr="005B4090">
        <w:rPr>
          <w:color w:val="000000"/>
        </w:rPr>
        <w:t>Ahora bien, de las constancias que obran en el expediente electrónico, se advierte que el Sujeto Obligado</w:t>
      </w:r>
      <w:r w:rsidR="0074545C" w:rsidRPr="005B4090">
        <w:rPr>
          <w:color w:val="0D0D0D"/>
        </w:rPr>
        <w:t xml:space="preserve"> turno la solicitud de información a la Dirección de Administración y Finanzas</w:t>
      </w:r>
      <w:r w:rsidRPr="005B4090">
        <w:rPr>
          <w:color w:val="000000"/>
        </w:rPr>
        <w:t xml:space="preserve">; </w:t>
      </w:r>
      <w:r w:rsidRPr="005B4090">
        <w:t xml:space="preserve">por lo que, es oportuno hacer referencia al </w:t>
      </w:r>
      <w:r w:rsidRPr="005B4090">
        <w:rPr>
          <w:b/>
        </w:rPr>
        <w:t>procedimiento de búsqueda que deben de seguir los Sujetos Obligados para localizar la información</w:t>
      </w:r>
      <w:r w:rsidRPr="005B4090">
        <w:t xml:space="preserve">, el cual se encuentra previsto en el artículo 162 de la Ley de Transparencia y Acceso a la Información Pública del Estado de México y Municipios, el cual establece que las Unidades de Transparencia garantizarán </w:t>
      </w:r>
      <w:r w:rsidRPr="005B4090">
        <w:lastRenderedPageBreak/>
        <w:t>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4E068B" w14:textId="77777777" w:rsidR="00EE6203" w:rsidRPr="005B4090" w:rsidRDefault="00EE6203" w:rsidP="0074545C">
      <w:pPr>
        <w:spacing w:after="0" w:line="360" w:lineRule="auto"/>
      </w:pPr>
    </w:p>
    <w:p w14:paraId="552CB0AF" w14:textId="05681A7A" w:rsidR="0074545C" w:rsidRPr="005B4090" w:rsidRDefault="0074545C" w:rsidP="0074545C">
      <w:pPr>
        <w:spacing w:after="0" w:line="360" w:lineRule="auto"/>
      </w:pPr>
      <w:r w:rsidRPr="005B4090">
        <w:t>De lo anterior, es necesario traer a colación el artículo 38 y 48, del Bando Municipal de Tepotzotlán dos mil veinticinco</w:t>
      </w:r>
      <w:r w:rsidR="002341F2" w:rsidRPr="005B4090">
        <w:t xml:space="preserve">, donde establece que, la </w:t>
      </w:r>
      <w:proofErr w:type="gramStart"/>
      <w:r w:rsidR="002341F2" w:rsidRPr="005B4090">
        <w:t>Presidenta</w:t>
      </w:r>
      <w:proofErr w:type="gramEnd"/>
      <w:r w:rsidR="002341F2" w:rsidRPr="005B4090">
        <w:t xml:space="preserve"> Municipal en el ejercicio de sus facultades establecidas en las leyes correspondientes, se auxiliará de una Dirección de Administración y Finanzas encargada </w:t>
      </w:r>
      <w:r w:rsidRPr="005B4090">
        <w:t>de la recaudación de los ingresos municipales y responsable de realizar las erogaciones que lleve a cabo el Ayuntamiento.</w:t>
      </w:r>
    </w:p>
    <w:p w14:paraId="05CC6F99" w14:textId="77777777" w:rsidR="002341F2" w:rsidRPr="005B4090" w:rsidRDefault="002341F2" w:rsidP="0074545C">
      <w:pPr>
        <w:spacing w:after="0" w:line="360" w:lineRule="auto"/>
      </w:pPr>
    </w:p>
    <w:p w14:paraId="105DB2D4" w14:textId="30C2085D" w:rsidR="00EE6203" w:rsidRPr="005B4090" w:rsidRDefault="00EE6203" w:rsidP="00595713">
      <w:pPr>
        <w:spacing w:after="0" w:line="360" w:lineRule="auto"/>
        <w:rPr>
          <w:color w:val="000000"/>
        </w:rPr>
      </w:pPr>
      <w:r w:rsidRPr="005B4090">
        <w:rPr>
          <w:color w:val="000000"/>
        </w:rPr>
        <w:t xml:space="preserve">Así y de lo plasmado en párrafos anteriores, </w:t>
      </w:r>
      <w:r w:rsidRPr="005B4090">
        <w:t>se logra c</w:t>
      </w:r>
      <w:r w:rsidR="002341F2" w:rsidRPr="005B4090">
        <w:t>olegir que el Sujeto Obligado</w:t>
      </w:r>
      <w:r w:rsidRPr="005B4090">
        <w:t xml:space="preserve"> cumplió con el procedimiento de búsqueda </w:t>
      </w:r>
      <w:r w:rsidRPr="005B4090">
        <w:rPr>
          <w:color w:val="000000"/>
        </w:rPr>
        <w:t xml:space="preserve">establecido en el artículo 162 de la Ley de Transparencia y Acceso a la Información Pública del Estado de México y Municipios, toda </w:t>
      </w:r>
      <w:r w:rsidR="002341F2" w:rsidRPr="005B4090">
        <w:rPr>
          <w:color w:val="000000"/>
        </w:rPr>
        <w:t xml:space="preserve">vez, que </w:t>
      </w:r>
      <w:r w:rsidRPr="005B4090">
        <w:rPr>
          <w:color w:val="000000"/>
        </w:rPr>
        <w:t>gestionó el requerimiento de información al área competente para conocer de lo peticionado.</w:t>
      </w:r>
    </w:p>
    <w:p w14:paraId="1EC79813" w14:textId="77777777" w:rsidR="002341F2" w:rsidRPr="005B4090" w:rsidRDefault="002341F2" w:rsidP="00595713">
      <w:pPr>
        <w:spacing w:after="0" w:line="360" w:lineRule="auto"/>
        <w:rPr>
          <w:color w:val="000000"/>
        </w:rPr>
      </w:pPr>
    </w:p>
    <w:p w14:paraId="377947ED" w14:textId="40685C44" w:rsidR="00107EDB" w:rsidRPr="005B4090" w:rsidRDefault="002341F2" w:rsidP="002341F2">
      <w:pPr>
        <w:spacing w:after="0" w:line="360" w:lineRule="auto"/>
        <w:rPr>
          <w:color w:val="000000"/>
        </w:rPr>
      </w:pPr>
      <w:r w:rsidRPr="005B4090">
        <w:rPr>
          <w:color w:val="000000"/>
        </w:rPr>
        <w:t xml:space="preserve">Ahora bien, en respuesta, </w:t>
      </w:r>
      <w:r w:rsidR="00107EDB" w:rsidRPr="005B4090">
        <w:rPr>
          <w:color w:val="000000"/>
        </w:rPr>
        <w:t>la Dirección</w:t>
      </w:r>
      <w:r w:rsidRPr="005B4090">
        <w:rPr>
          <w:color w:val="000000"/>
        </w:rPr>
        <w:t xml:space="preserve"> de Administración y Finanzas mencionó que después de una búsqueda exhaustiva y razonable en sus archivos no se tiene una dependencia bajo el nombre de Dirección de Desarrollo y Fomento Agropecuario y Fomento Económico</w:t>
      </w:r>
      <w:r w:rsidR="00107EDB" w:rsidRPr="005B4090">
        <w:rPr>
          <w:color w:val="000000"/>
        </w:rPr>
        <w:t>; es decir, se pronunció sobre un área con distinta denominación.</w:t>
      </w:r>
    </w:p>
    <w:p w14:paraId="216DD1EF" w14:textId="77777777" w:rsidR="00107EDB" w:rsidRPr="005B4090" w:rsidRDefault="00107EDB" w:rsidP="002341F2">
      <w:pPr>
        <w:spacing w:after="0" w:line="360" w:lineRule="auto"/>
        <w:rPr>
          <w:color w:val="000000"/>
        </w:rPr>
      </w:pPr>
    </w:p>
    <w:p w14:paraId="034C0C1A" w14:textId="77777777" w:rsidR="00107EDB" w:rsidRPr="005B4090" w:rsidRDefault="00107EDB" w:rsidP="00107EDB">
      <w:pPr>
        <w:tabs>
          <w:tab w:val="center" w:pos="4522"/>
        </w:tabs>
        <w:spacing w:after="0" w:line="360" w:lineRule="auto"/>
        <w:rPr>
          <w:rFonts w:eastAsia="Calibri" w:cs="Times New Roman"/>
          <w:color w:val="000000"/>
          <w:lang w:eastAsia="es-MX"/>
        </w:rPr>
      </w:pPr>
      <w:r w:rsidRPr="005B4090">
        <w:rPr>
          <w:rFonts w:eastAsia="Calibri" w:cs="Times New Roman"/>
          <w:color w:val="000000"/>
          <w:lang w:eastAsia="es-MX"/>
        </w:rPr>
        <w:t>En ese sentido, de conformidad con el artículo 38 del Bando Municipal de Tepotzotlán dos mil veinticinco y con el portal de Información Pública de Oficio Mexiquense (IPOMEX</w:t>
      </w:r>
      <w:proofErr w:type="gramStart"/>
      <w:r w:rsidRPr="005B4090">
        <w:rPr>
          <w:rFonts w:eastAsia="Calibri" w:cs="Times New Roman"/>
          <w:color w:val="000000"/>
          <w:lang w:eastAsia="es-MX"/>
        </w:rPr>
        <w:t>),  fracción</w:t>
      </w:r>
      <w:proofErr w:type="gramEnd"/>
      <w:r w:rsidRPr="005B4090">
        <w:rPr>
          <w:rFonts w:eastAsia="Calibri" w:cs="Times New Roman"/>
          <w:color w:val="000000"/>
          <w:lang w:eastAsia="es-MX"/>
        </w:rPr>
        <w:t xml:space="preserve"> II A “Estructura orgánica”, se advierte que el Sujeto Obligado cuenta con un área denominada Dirección de Desarrollo y Fomento Económico, tal y como se muestra en el extracto siguiente:</w:t>
      </w:r>
    </w:p>
    <w:p w14:paraId="1778F1C7" w14:textId="77777777" w:rsidR="00107EDB" w:rsidRPr="005B4090" w:rsidRDefault="00107EDB" w:rsidP="00107EDB">
      <w:pPr>
        <w:tabs>
          <w:tab w:val="center" w:pos="4522"/>
        </w:tabs>
        <w:spacing w:after="0" w:line="360" w:lineRule="auto"/>
        <w:rPr>
          <w:rFonts w:eastAsia="Calibri" w:cs="Times New Roman"/>
          <w:color w:val="000000"/>
          <w:lang w:eastAsia="es-MX"/>
        </w:rPr>
      </w:pPr>
    </w:p>
    <w:p w14:paraId="15E018D8" w14:textId="77777777" w:rsidR="00107EDB" w:rsidRPr="005B4090" w:rsidRDefault="00107EDB" w:rsidP="00107EDB">
      <w:pPr>
        <w:tabs>
          <w:tab w:val="center" w:pos="4522"/>
        </w:tabs>
        <w:spacing w:after="0" w:line="360" w:lineRule="auto"/>
        <w:rPr>
          <w:rFonts w:eastAsia="Calibri" w:cs="Times New Roman"/>
          <w:color w:val="000000"/>
          <w:lang w:eastAsia="es-MX"/>
        </w:rPr>
      </w:pPr>
      <w:r w:rsidRPr="005B4090">
        <w:rPr>
          <w:rFonts w:eastAsia="Calibri" w:cs="Times New Roman"/>
          <w:noProof/>
          <w:color w:val="000000"/>
          <w:lang w:eastAsia="es-MX"/>
        </w:rPr>
        <w:lastRenderedPageBreak/>
        <w:drawing>
          <wp:inline distT="0" distB="0" distL="0" distR="0" wp14:anchorId="4DB97316" wp14:editId="5E80F645">
            <wp:extent cx="5671185" cy="3345180"/>
            <wp:effectExtent l="0" t="0" r="571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00B946.tmp"/>
                    <pic:cNvPicPr/>
                  </pic:nvPicPr>
                  <pic:blipFill>
                    <a:blip r:embed="rId19">
                      <a:extLst>
                        <a:ext uri="{28A0092B-C50C-407E-A947-70E740481C1C}">
                          <a14:useLocalDpi xmlns:a14="http://schemas.microsoft.com/office/drawing/2010/main" val="0"/>
                        </a:ext>
                      </a:extLst>
                    </a:blip>
                    <a:stretch>
                      <a:fillRect/>
                    </a:stretch>
                  </pic:blipFill>
                  <pic:spPr>
                    <a:xfrm>
                      <a:off x="0" y="0"/>
                      <a:ext cx="5671185" cy="3345180"/>
                    </a:xfrm>
                    <a:prstGeom prst="rect">
                      <a:avLst/>
                    </a:prstGeom>
                  </pic:spPr>
                </pic:pic>
              </a:graphicData>
            </a:graphic>
          </wp:inline>
        </w:drawing>
      </w:r>
    </w:p>
    <w:p w14:paraId="5125CDC4" w14:textId="77777777" w:rsidR="00107EDB" w:rsidRPr="005B4090" w:rsidRDefault="00107EDB" w:rsidP="00107EDB">
      <w:pPr>
        <w:tabs>
          <w:tab w:val="center" w:pos="4522"/>
        </w:tabs>
        <w:spacing w:after="0" w:line="360" w:lineRule="auto"/>
        <w:rPr>
          <w:rFonts w:eastAsia="Calibri" w:cs="Times New Roman"/>
          <w:color w:val="000000"/>
          <w:lang w:eastAsia="es-MX"/>
        </w:rPr>
      </w:pPr>
    </w:p>
    <w:p w14:paraId="645937AA" w14:textId="77777777" w:rsidR="00107EDB" w:rsidRPr="005B4090" w:rsidRDefault="00107EDB" w:rsidP="00107EDB">
      <w:pPr>
        <w:spacing w:after="0" w:line="360" w:lineRule="auto"/>
        <w:rPr>
          <w:rFonts w:eastAsia="Calibri" w:cs="Times New Roman"/>
          <w:color w:val="000000"/>
          <w:lang w:eastAsia="es-MX"/>
        </w:rPr>
      </w:pPr>
      <w:r w:rsidRPr="005B4090">
        <w:rPr>
          <w:rFonts w:eastAsia="Calibri" w:cs="Times New Roman"/>
          <w:color w:val="000000"/>
          <w:lang w:eastAsia="es-MX"/>
        </w:rPr>
        <w:t xml:space="preserve">Lo cual se robustece con el artículo 38 del Bando Municipal de Tepotzotlán, del dos mil veinticinco, que precisa que la Presidencia Municipal se auxiliará para el cumplimiento de sus facultades de diversas áreas, entre las cuáles se </w:t>
      </w:r>
      <w:proofErr w:type="spellStart"/>
      <w:r w:rsidRPr="005B4090">
        <w:rPr>
          <w:rFonts w:eastAsia="Calibri" w:cs="Times New Roman"/>
          <w:color w:val="000000"/>
          <w:lang w:eastAsia="es-MX"/>
        </w:rPr>
        <w:t>enceuntra</w:t>
      </w:r>
      <w:proofErr w:type="spellEnd"/>
      <w:r w:rsidRPr="005B4090">
        <w:rPr>
          <w:rFonts w:eastAsia="Calibri" w:cs="Times New Roman"/>
          <w:color w:val="000000"/>
          <w:lang w:eastAsia="es-MX"/>
        </w:rPr>
        <w:t xml:space="preserve"> la Dirección de Desarrollo y Fomento Económico.</w:t>
      </w:r>
    </w:p>
    <w:p w14:paraId="75B030C6" w14:textId="77777777" w:rsidR="00107EDB" w:rsidRPr="005B4090" w:rsidRDefault="00107EDB" w:rsidP="002341F2">
      <w:pPr>
        <w:spacing w:after="0" w:line="360" w:lineRule="auto"/>
        <w:rPr>
          <w:color w:val="000000"/>
        </w:rPr>
      </w:pPr>
    </w:p>
    <w:p w14:paraId="092AA031" w14:textId="5CF2B909" w:rsidR="002341F2" w:rsidRPr="005B4090" w:rsidRDefault="00107EDB" w:rsidP="00107EDB">
      <w:pPr>
        <w:spacing w:after="0" w:line="360" w:lineRule="auto"/>
        <w:rPr>
          <w:rFonts w:eastAsia="Palatino Linotype" w:cs="Palatino Linotype"/>
          <w:color w:val="000000"/>
          <w:lang w:eastAsia="es-MX"/>
        </w:rPr>
      </w:pPr>
      <w:r w:rsidRPr="005B4090">
        <w:rPr>
          <w:color w:val="000000"/>
        </w:rPr>
        <w:t xml:space="preserve">Conforme a lo anterior, se logra vislumbrar que la respuesta entregada por el área </w:t>
      </w:r>
      <w:proofErr w:type="gramStart"/>
      <w:r w:rsidRPr="005B4090">
        <w:rPr>
          <w:color w:val="000000"/>
        </w:rPr>
        <w:t>competente,</w:t>
      </w:r>
      <w:proofErr w:type="gramEnd"/>
      <w:r w:rsidRPr="005B4090">
        <w:rPr>
          <w:color w:val="000000"/>
        </w:rPr>
        <w:t xml:space="preserve"> resulta incongruente, pues se pronunció de un área que no fue solicitada por la persona Recurrente;</w:t>
      </w:r>
      <w:r w:rsidR="002341F2" w:rsidRPr="005B4090">
        <w:rPr>
          <w:rFonts w:eastAsia="Palatino Linotype" w:cs="Palatino Linotype"/>
          <w:color w:val="000000"/>
          <w:lang w:eastAsia="es-MX"/>
        </w:rPr>
        <w:t xml:space="preserve"> </w:t>
      </w:r>
      <w:r w:rsidR="002341F2" w:rsidRPr="005B4090">
        <w:rPr>
          <w:rFonts w:eastAsia="Times New Roman" w:cs="Tahoma"/>
          <w:bCs/>
          <w:iCs/>
          <w:color w:val="000000"/>
          <w:lang w:eastAsia="es-ES"/>
        </w:rPr>
        <w:t>s</w:t>
      </w:r>
      <w:r w:rsidR="002341F2" w:rsidRPr="005B4090">
        <w:rPr>
          <w:rFonts w:eastAsia="Calibri" w:cs="Tahoma"/>
          <w:color w:val="000000"/>
          <w:lang w:eastAsia="es-MX"/>
        </w:rPr>
        <w:t xml:space="preserve">obre el tema </w:t>
      </w:r>
      <w:r w:rsidR="002341F2" w:rsidRPr="005B4090">
        <w:rPr>
          <w:rFonts w:eastAsia="Calibri" w:cs="Times New Roman"/>
          <w:color w:val="000000"/>
          <w:lang w:eastAsia="es-MX"/>
        </w:rPr>
        <w:t xml:space="preserve">el </w:t>
      </w:r>
      <w:r w:rsidR="002341F2" w:rsidRPr="005B4090">
        <w:rPr>
          <w:rFonts w:eastAsia="Times New Roman" w:cs="Tahoma"/>
          <w:color w:val="000000"/>
          <w:lang w:eastAsia="es-ES"/>
        </w:rPr>
        <w:t>artículo 1.8, fracción IX, del Código Administrativo del Estado de México, establece que para que un acto administrativo tenga validez, deberá guardar congruencia con lo solicitado.</w:t>
      </w:r>
    </w:p>
    <w:p w14:paraId="4350329F" w14:textId="77777777" w:rsidR="002341F2" w:rsidRPr="005B4090" w:rsidRDefault="002341F2" w:rsidP="002341F2">
      <w:pPr>
        <w:spacing w:after="0" w:line="360" w:lineRule="auto"/>
        <w:rPr>
          <w:rFonts w:eastAsia="Times New Roman" w:cs="Tahoma"/>
          <w:color w:val="000000"/>
          <w:lang w:eastAsia="es-ES"/>
        </w:rPr>
      </w:pPr>
    </w:p>
    <w:p w14:paraId="76B2C7CA" w14:textId="77777777" w:rsidR="002341F2" w:rsidRPr="005B4090" w:rsidRDefault="002341F2" w:rsidP="002341F2">
      <w:pPr>
        <w:tabs>
          <w:tab w:val="center" w:pos="4522"/>
        </w:tabs>
        <w:spacing w:after="0" w:line="360" w:lineRule="auto"/>
        <w:rPr>
          <w:rFonts w:eastAsia="Calibri" w:cs="Times New Roman"/>
          <w:color w:val="000000"/>
          <w:lang w:eastAsia="es-MX"/>
        </w:rPr>
      </w:pPr>
      <w:r w:rsidRPr="005B4090">
        <w:rPr>
          <w:rFonts w:eastAsia="Calibri" w:cs="Times New Roman"/>
          <w:color w:val="000000"/>
          <w:lang w:eastAsia="es-MX"/>
        </w:rPr>
        <w:t xml:space="preserve">Situación que se robustece, con </w:t>
      </w:r>
      <w:r w:rsidRPr="005B4090">
        <w:rPr>
          <w:rFonts w:eastAsia="Calibri" w:cs="Tahoma"/>
          <w:bCs/>
          <w:color w:val="000000"/>
          <w:lang w:eastAsia="es-MX"/>
        </w:rPr>
        <w:t xml:space="preserve">el Criterio Orientador, con clave de control SO/002/2017, de la Segunda Época, emitido por el entonces Instituto Nacional de Transparencia, Acceso a la Información y Protección de Datos Personales vigente a la fecha de la solicitud, que </w:t>
      </w:r>
      <w:r w:rsidRPr="005B4090">
        <w:rPr>
          <w:rFonts w:eastAsia="Calibri" w:cs="Times New Roman"/>
          <w:color w:val="000000"/>
          <w:lang w:eastAsia="es-MX"/>
        </w:rPr>
        <w:t xml:space="preserve">establece </w:t>
      </w:r>
      <w:r w:rsidRPr="005B4090">
        <w:rPr>
          <w:rFonts w:eastAsia="Calibri" w:cs="Times New Roman"/>
          <w:color w:val="000000"/>
          <w:lang w:eastAsia="es-MX"/>
        </w:rPr>
        <w:lastRenderedPageBreak/>
        <w:t xml:space="preserve">que todo acto administrativo debe apegarse al </w:t>
      </w:r>
      <w:r w:rsidRPr="005B4090">
        <w:rPr>
          <w:rFonts w:eastAsia="Calibri" w:cs="Times New Roman"/>
          <w:b/>
          <w:bCs/>
          <w:color w:val="000000"/>
          <w:lang w:eastAsia="es-MX"/>
        </w:rPr>
        <w:t>principio de congruencia</w:t>
      </w:r>
      <w:r w:rsidRPr="005B4090">
        <w:rPr>
          <w:rFonts w:eastAsia="Calibri" w:cs="Times New Roman"/>
          <w:color w:val="000000"/>
          <w:lang w:eastAsia="es-MX"/>
        </w:rPr>
        <w:t xml:space="preserve">, entendiendo por éste que </w:t>
      </w:r>
      <w:r w:rsidRPr="005B4090">
        <w:rPr>
          <w:rFonts w:eastAsia="Calibri" w:cs="Tahoma"/>
          <w:bCs/>
          <w:iCs/>
          <w:color w:val="000000"/>
          <w:lang w:eastAsia="es-MX"/>
        </w:rPr>
        <w:t>exista concordancia entre el requerimiento formulado por el particular y la respuesta proporcionada por el sujeto obligado</w:t>
      </w:r>
      <w:r w:rsidRPr="005B4090">
        <w:rPr>
          <w:rFonts w:eastAsia="Calibri" w:cs="Times New Roman"/>
          <w:color w:val="000000"/>
          <w:lang w:eastAsia="es-MX"/>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3A77BE8" w14:textId="77777777" w:rsidR="002341F2" w:rsidRPr="005B4090" w:rsidRDefault="002341F2" w:rsidP="002341F2">
      <w:pPr>
        <w:tabs>
          <w:tab w:val="center" w:pos="4522"/>
        </w:tabs>
        <w:spacing w:after="0" w:line="360" w:lineRule="auto"/>
        <w:rPr>
          <w:rFonts w:eastAsia="Calibri" w:cs="Times New Roman"/>
          <w:color w:val="000000"/>
          <w:lang w:eastAsia="es-MX"/>
        </w:rPr>
      </w:pPr>
    </w:p>
    <w:p w14:paraId="6A21E4E5" w14:textId="604017AE" w:rsidR="002341F2" w:rsidRPr="005B4090" w:rsidRDefault="002341F2" w:rsidP="002341F2">
      <w:pPr>
        <w:spacing w:after="0" w:line="360" w:lineRule="auto"/>
        <w:rPr>
          <w:rFonts w:eastAsia="Calibri" w:cs="Times New Roman"/>
          <w:b/>
          <w:bCs/>
          <w:color w:val="000000"/>
          <w:lang w:eastAsia="es-MX"/>
        </w:rPr>
      </w:pPr>
      <w:r w:rsidRPr="005B4090">
        <w:rPr>
          <w:rFonts w:eastAsia="Calibri" w:cs="Times New Roman"/>
          <w:color w:val="000000"/>
          <w:lang w:eastAsia="es-MX"/>
        </w:rPr>
        <w:t xml:space="preserve">Derivado de lo anterior, se logra vislumbrar que el Sujeto Obligado no atendió de manera correcta la solicitud de información, pues solo se limitó a pronunciarse del nombre de una Dirección que </w:t>
      </w:r>
      <w:r w:rsidR="00107EDB" w:rsidRPr="005B4090">
        <w:rPr>
          <w:rFonts w:eastAsia="Calibri" w:cs="Times New Roman"/>
          <w:color w:val="000000"/>
          <w:lang w:eastAsia="es-MX"/>
        </w:rPr>
        <w:t xml:space="preserve">no fue solicitada </w:t>
      </w:r>
      <w:r w:rsidRPr="005B4090">
        <w:rPr>
          <w:rFonts w:eastAsia="Calibri" w:cs="Times New Roman"/>
          <w:color w:val="000000"/>
          <w:lang w:eastAsia="es-MX"/>
        </w:rPr>
        <w:t xml:space="preserve">y </w:t>
      </w:r>
      <w:r w:rsidR="00107EDB" w:rsidRPr="005B4090">
        <w:rPr>
          <w:rFonts w:eastAsia="Calibri" w:cs="Times New Roman"/>
          <w:color w:val="000000"/>
          <w:lang w:eastAsia="es-MX"/>
        </w:rPr>
        <w:t>del área correcta, que en el presente caso recae en la Dirección de Desarrollo y Fomento Económico</w:t>
      </w:r>
      <w:r w:rsidRPr="005B4090">
        <w:rPr>
          <w:rFonts w:eastAsia="Calibri" w:cs="Times New Roman"/>
          <w:color w:val="000000"/>
          <w:lang w:eastAsia="es-MX"/>
        </w:rPr>
        <w:t xml:space="preserve">, lo cual da como resultado que el agravio sea </w:t>
      </w:r>
      <w:r w:rsidRPr="005B4090">
        <w:rPr>
          <w:rFonts w:eastAsia="Calibri" w:cs="Times New Roman"/>
          <w:b/>
          <w:bCs/>
          <w:color w:val="000000"/>
          <w:lang w:eastAsia="es-MX"/>
        </w:rPr>
        <w:t>FUNDADO.</w:t>
      </w:r>
    </w:p>
    <w:p w14:paraId="3CB8B5FA" w14:textId="77777777" w:rsidR="001C36A7" w:rsidRPr="005B4090" w:rsidRDefault="001C36A7" w:rsidP="002341F2">
      <w:pPr>
        <w:spacing w:after="0" w:line="360" w:lineRule="auto"/>
        <w:rPr>
          <w:rFonts w:eastAsia="Calibri" w:cs="Times New Roman"/>
          <w:b/>
          <w:bCs/>
          <w:color w:val="000000"/>
          <w:lang w:eastAsia="es-MX"/>
        </w:rPr>
      </w:pPr>
    </w:p>
    <w:p w14:paraId="05182B42" w14:textId="0E270B6C" w:rsidR="001C36A7" w:rsidRPr="005B4090" w:rsidRDefault="001C36A7" w:rsidP="001C36A7">
      <w:pPr>
        <w:spacing w:after="0" w:line="360" w:lineRule="auto"/>
        <w:rPr>
          <w:rFonts w:eastAsia="Times New Roman" w:cs="Times New Roman"/>
          <w:bCs/>
          <w:iCs/>
          <w:color w:val="auto"/>
          <w:szCs w:val="20"/>
          <w:lang w:eastAsia="es-ES"/>
        </w:rPr>
      </w:pPr>
      <w:r w:rsidRPr="005B4090">
        <w:rPr>
          <w:rFonts w:eastAsia="Times New Roman" w:cs="Tahoma"/>
          <w:bCs/>
          <w:color w:val="auto"/>
          <w:lang w:eastAsia="es-ES"/>
        </w:rPr>
        <w:t>Así, este Instituto considera que, para atender el requerimiento de información, el</w:t>
      </w:r>
      <w:r w:rsidRPr="005B4090">
        <w:rPr>
          <w:rFonts w:eastAsia="Times New Roman" w:cs="Times New Roman"/>
          <w:bCs/>
          <w:iCs/>
          <w:color w:val="auto"/>
          <w:szCs w:val="20"/>
          <w:lang w:eastAsia="es-ES"/>
        </w:rPr>
        <w:t xml:space="preserve"> Sujeto Obligado deberá realizar una búsqueda exhaustiva y razonable en los archivos de la Dirección de Administración y Finanzas a efecto de entregar, los recibos de nómina de todos los jefes </w:t>
      </w:r>
      <w:r w:rsidR="00107EDB" w:rsidRPr="005B4090">
        <w:rPr>
          <w:rFonts w:eastAsia="Times New Roman" w:cs="Times New Roman"/>
          <w:bCs/>
          <w:iCs/>
          <w:color w:val="auto"/>
          <w:szCs w:val="20"/>
          <w:lang w:eastAsia="es-ES"/>
        </w:rPr>
        <w:t>de las áreas que conforman a la</w:t>
      </w:r>
      <w:r w:rsidRPr="005B4090">
        <w:rPr>
          <w:rFonts w:eastAsia="Times New Roman" w:cs="Times New Roman"/>
          <w:bCs/>
          <w:iCs/>
          <w:color w:val="auto"/>
          <w:szCs w:val="20"/>
          <w:lang w:eastAsia="es-ES"/>
        </w:rPr>
        <w:t xml:space="preserve"> Dirección de Desarrollo y Fomento Económico, </w:t>
      </w:r>
      <w:r w:rsidR="00502FC7" w:rsidRPr="005B4090">
        <w:rPr>
          <w:rFonts w:eastAsia="Times New Roman" w:cs="Times New Roman"/>
          <w:bCs/>
          <w:iCs/>
          <w:color w:val="auto"/>
          <w:szCs w:val="20"/>
          <w:lang w:eastAsia="es-ES"/>
        </w:rPr>
        <w:t>de la primera quincena de enero a la segunda de agosto de dos mil veinticinco.</w:t>
      </w:r>
    </w:p>
    <w:p w14:paraId="171A0173" w14:textId="77777777" w:rsidR="001C36A7" w:rsidRPr="005B4090" w:rsidRDefault="001C36A7" w:rsidP="001C36A7">
      <w:pPr>
        <w:spacing w:after="0" w:line="360" w:lineRule="auto"/>
        <w:rPr>
          <w:rFonts w:eastAsia="Times New Roman" w:cs="Times New Roman"/>
          <w:bCs/>
          <w:iCs/>
          <w:color w:val="auto"/>
          <w:szCs w:val="20"/>
          <w:lang w:eastAsia="es-ES"/>
        </w:rPr>
      </w:pPr>
    </w:p>
    <w:p w14:paraId="70D6A4AE" w14:textId="77777777" w:rsidR="001C36A7" w:rsidRPr="005B4090" w:rsidRDefault="001C36A7" w:rsidP="001C36A7">
      <w:pPr>
        <w:spacing w:after="0" w:line="360" w:lineRule="auto"/>
        <w:ind w:right="-28"/>
        <w:contextualSpacing/>
        <w:rPr>
          <w:rFonts w:eastAsia="Times New Roman" w:cs="Tahoma"/>
          <w:color w:val="auto"/>
          <w:lang w:eastAsia="es-ES"/>
        </w:rPr>
      </w:pPr>
      <w:r w:rsidRPr="005B4090">
        <w:rPr>
          <w:rFonts w:eastAsia="Calibri" w:cs="Tahoma"/>
          <w:bCs/>
          <w:color w:val="auto"/>
          <w:lang w:eastAsia="es-MX"/>
        </w:rPr>
        <w:t>Dicha</w:t>
      </w:r>
      <w:r w:rsidRPr="005B4090">
        <w:rPr>
          <w:rFonts w:eastAsia="Times New Roman" w:cs="Tahoma"/>
          <w:bCs/>
          <w:iCs/>
          <w:color w:val="auto"/>
          <w:szCs w:val="24"/>
          <w:lang w:val="es-ES" w:eastAsia="es-ES"/>
        </w:rPr>
        <w:t xml:space="preserve"> determinación toma relevancia, pues </w:t>
      </w:r>
      <w:r w:rsidRPr="005B4090">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78902F" w14:textId="77777777" w:rsidR="001C36A7" w:rsidRPr="005B4090" w:rsidRDefault="001C36A7" w:rsidP="001C36A7">
      <w:pPr>
        <w:spacing w:after="0" w:line="360" w:lineRule="auto"/>
        <w:ind w:right="-28"/>
        <w:contextualSpacing/>
        <w:rPr>
          <w:rFonts w:eastAsia="Palatino Linotype" w:cs="Tahoma"/>
          <w:color w:val="000000"/>
          <w:lang w:eastAsia="es-MX"/>
        </w:rPr>
      </w:pPr>
    </w:p>
    <w:p w14:paraId="2D405E46" w14:textId="77777777" w:rsidR="001C36A7" w:rsidRPr="005B4090" w:rsidRDefault="001C36A7" w:rsidP="001C36A7">
      <w:pPr>
        <w:spacing w:after="0" w:line="360" w:lineRule="auto"/>
        <w:contextualSpacing/>
        <w:rPr>
          <w:rFonts w:eastAsia="Calibri" w:cs="Tahoma"/>
          <w:bCs/>
          <w:iCs/>
          <w:color w:val="000000"/>
          <w:lang w:eastAsia="es-MX"/>
        </w:rPr>
      </w:pPr>
      <w:r w:rsidRPr="005B4090">
        <w:rPr>
          <w:rFonts w:eastAsia="Calibri" w:cs="Tahoma"/>
          <w:bCs/>
          <w:iCs/>
          <w:color w:val="000000"/>
          <w:lang w:eastAsia="es-MX"/>
        </w:rPr>
        <w:lastRenderedPageBreak/>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1AB63CA" w14:textId="77777777" w:rsidR="00502FC7" w:rsidRPr="005B4090" w:rsidRDefault="00502FC7" w:rsidP="001C36A7">
      <w:pPr>
        <w:spacing w:after="0" w:line="360" w:lineRule="auto"/>
        <w:contextualSpacing/>
        <w:rPr>
          <w:rFonts w:eastAsia="Calibri" w:cs="Tahoma"/>
          <w:bCs/>
          <w:iCs/>
          <w:color w:val="000000"/>
          <w:lang w:eastAsia="es-MX"/>
        </w:rPr>
      </w:pPr>
    </w:p>
    <w:p w14:paraId="196D7F5F" w14:textId="1F7B126C" w:rsidR="001C36A7" w:rsidRPr="005B4090" w:rsidRDefault="001C36A7" w:rsidP="001C36A7">
      <w:pPr>
        <w:widowControl w:val="0"/>
        <w:autoSpaceDE w:val="0"/>
        <w:autoSpaceDN w:val="0"/>
        <w:adjustRightInd w:val="0"/>
        <w:spacing w:after="0" w:line="360" w:lineRule="auto"/>
        <w:contextualSpacing/>
        <w:rPr>
          <w:rFonts w:eastAsia="Times New Roman" w:cs="Times New Roman"/>
          <w:bCs/>
          <w:iCs/>
          <w:color w:val="000000"/>
          <w:szCs w:val="20"/>
          <w:lang w:val="es-ES" w:eastAsia="es-ES"/>
        </w:rPr>
      </w:pPr>
      <w:r w:rsidRPr="005B4090">
        <w:rPr>
          <w:rFonts w:eastAsia="Calibri" w:cs="Tahoma"/>
          <w:bCs/>
          <w:iCs/>
          <w:color w:val="000000"/>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5B4090">
        <w:rPr>
          <w:rFonts w:eastAsia="Times New Roman" w:cs="Tahoma"/>
          <w:color w:val="000000"/>
          <w:szCs w:val="24"/>
          <w:lang w:val="es-ES" w:eastAsia="es-ES"/>
        </w:rPr>
        <w:t>por lo que, en el presente caso, el Sujeto Obligado deberá entregar</w:t>
      </w:r>
      <w:r w:rsidRPr="005B4090">
        <w:rPr>
          <w:rFonts w:eastAsia="Times New Roman" w:cs="Times New Roman"/>
          <w:bCs/>
          <w:iCs/>
          <w:color w:val="000000"/>
          <w:szCs w:val="20"/>
          <w:lang w:val="es-ES" w:eastAsia="es-ES"/>
        </w:rPr>
        <w:t xml:space="preserve"> los recibos de nómina.</w:t>
      </w:r>
    </w:p>
    <w:p w14:paraId="4F7E7062" w14:textId="77777777" w:rsidR="001C36A7" w:rsidRPr="005B4090" w:rsidRDefault="001C36A7" w:rsidP="001C36A7">
      <w:pPr>
        <w:widowControl w:val="0"/>
        <w:autoSpaceDE w:val="0"/>
        <w:autoSpaceDN w:val="0"/>
        <w:adjustRightInd w:val="0"/>
        <w:spacing w:after="0" w:line="360" w:lineRule="auto"/>
        <w:contextualSpacing/>
        <w:rPr>
          <w:rFonts w:eastAsia="Times New Roman" w:cs="Times New Roman"/>
          <w:bCs/>
          <w:iCs/>
          <w:color w:val="000000"/>
          <w:szCs w:val="20"/>
          <w:lang w:val="es-ES" w:eastAsia="es-ES"/>
        </w:rPr>
      </w:pPr>
    </w:p>
    <w:p w14:paraId="2AD1825E" w14:textId="77777777" w:rsidR="001C36A7" w:rsidRPr="005B4090" w:rsidRDefault="001C36A7" w:rsidP="001C36A7">
      <w:pPr>
        <w:spacing w:after="0" w:line="360" w:lineRule="auto"/>
        <w:ind w:right="-28"/>
        <w:contextualSpacing/>
        <w:rPr>
          <w:rFonts w:eastAsia="Times New Roman" w:cs="Times New Roman"/>
          <w:bCs/>
          <w:color w:val="auto"/>
          <w:lang w:eastAsia="es-ES"/>
        </w:rPr>
      </w:pPr>
      <w:r w:rsidRPr="005B4090">
        <w:rPr>
          <w:rFonts w:eastAsia="Times New Roman" w:cs="Times New Roman"/>
          <w:bCs/>
          <w:iCs/>
          <w:color w:val="000000"/>
          <w:szCs w:val="20"/>
          <w:lang w:eastAsia="es-ES"/>
        </w:rPr>
        <w:t>A</w:t>
      </w:r>
      <w:r w:rsidRPr="005B4090">
        <w:rPr>
          <w:rFonts w:eastAsia="Times New Roman" w:cs="Times New Roman"/>
          <w:bCs/>
          <w:color w:val="auto"/>
          <w:lang w:eastAsia="es-ES"/>
        </w:rPr>
        <w:t>hora bien, de los documentos pendientes de su entrega pudiera ser que contengan los datos siguientes:</w:t>
      </w:r>
    </w:p>
    <w:p w14:paraId="40AA2D74" w14:textId="77777777" w:rsidR="001C36A7" w:rsidRPr="005B4090" w:rsidRDefault="001C36A7" w:rsidP="001C36A7">
      <w:pPr>
        <w:widowControl w:val="0"/>
        <w:autoSpaceDE w:val="0"/>
        <w:autoSpaceDN w:val="0"/>
        <w:adjustRightInd w:val="0"/>
        <w:spacing w:after="0" w:line="360" w:lineRule="auto"/>
        <w:contextualSpacing/>
        <w:rPr>
          <w:rFonts w:eastAsia="Times New Roman" w:cs="Times New Roman"/>
          <w:bCs/>
          <w:iCs/>
          <w:color w:val="000000"/>
          <w:szCs w:val="20"/>
          <w:lang w:val="es-ES" w:eastAsia="es-ES"/>
        </w:rPr>
      </w:pPr>
    </w:p>
    <w:p w14:paraId="14635062"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bookmarkStart w:id="12" w:name="_Hlk179971039"/>
      <w:r w:rsidRPr="005B4090">
        <w:rPr>
          <w:rFonts w:eastAsia="Palatino Linotype" w:cs="Palatino Linotype"/>
          <w:color w:val="000000"/>
          <w:lang w:eastAsia="es-MX"/>
        </w:rPr>
        <w:t>Clave Única de Registro de Población (CURP);</w:t>
      </w:r>
    </w:p>
    <w:p w14:paraId="410F7121"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Registro Federal de Contribuyentes del servidor público (RFC);</w:t>
      </w:r>
    </w:p>
    <w:p w14:paraId="0873DB4E"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Número de seguridad social del Instituto de Seguridad Social del Estado de México y Municipios;</w:t>
      </w:r>
    </w:p>
    <w:p w14:paraId="5FB0EA6B"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Deducciones por Ley (monto y concepto);</w:t>
      </w:r>
    </w:p>
    <w:p w14:paraId="211DF5B9"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Deducciones Personales (monto y concepto);</w:t>
      </w:r>
    </w:p>
    <w:p w14:paraId="626162F3"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Código bidimensional o QR;</w:t>
      </w:r>
    </w:p>
    <w:p w14:paraId="4D1E012F"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Cadena original del complemento de certificación digital del organismo previamente señalado, y</w:t>
      </w:r>
    </w:p>
    <w:p w14:paraId="13203A0D" w14:textId="77777777" w:rsidR="001C36A7" w:rsidRPr="005B4090" w:rsidRDefault="001C36A7" w:rsidP="001C36A7">
      <w:pPr>
        <w:numPr>
          <w:ilvl w:val="0"/>
          <w:numId w:val="13"/>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Folio Fiscal.</w:t>
      </w:r>
    </w:p>
    <w:p w14:paraId="6ED68262" w14:textId="77777777" w:rsidR="001C36A7" w:rsidRPr="005B4090" w:rsidRDefault="001C36A7" w:rsidP="001C36A7">
      <w:pPr>
        <w:spacing w:after="0" w:line="360" w:lineRule="auto"/>
        <w:ind w:left="720"/>
        <w:rPr>
          <w:rFonts w:eastAsia="Palatino Linotype" w:cs="Palatino Linotype"/>
          <w:color w:val="000000"/>
          <w:lang w:eastAsia="es-MX"/>
        </w:rPr>
      </w:pPr>
    </w:p>
    <w:bookmarkEnd w:id="12"/>
    <w:p w14:paraId="50D860FD" w14:textId="77777777" w:rsidR="001C36A7" w:rsidRPr="005B4090" w:rsidRDefault="001C36A7" w:rsidP="001C36A7">
      <w:pPr>
        <w:spacing w:after="0" w:line="360" w:lineRule="auto"/>
        <w:ind w:right="-28"/>
        <w:rPr>
          <w:rFonts w:eastAsia="Palatino Linotype" w:cs="Palatino Linotype"/>
          <w:color w:val="000000"/>
          <w:lang w:eastAsia="es-MX"/>
        </w:rPr>
      </w:pPr>
      <w:r w:rsidRPr="005B4090">
        <w:rPr>
          <w:rFonts w:eastAsia="Palatino Linotype" w:cs="Palatino Linotype"/>
          <w:color w:val="000000"/>
          <w:lang w:eastAsia="es-MX"/>
        </w:rPr>
        <w:lastRenderedPageBreak/>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180DAF4A" w14:textId="77777777" w:rsidR="001C36A7" w:rsidRPr="005B4090" w:rsidRDefault="001C36A7" w:rsidP="001C36A7">
      <w:pPr>
        <w:spacing w:after="0" w:line="360" w:lineRule="auto"/>
        <w:rPr>
          <w:rFonts w:eastAsia="Palatino Linotype" w:cs="Palatino Linotype"/>
          <w:color w:val="000000"/>
          <w:lang w:eastAsia="es-MX"/>
        </w:rPr>
      </w:pPr>
    </w:p>
    <w:p w14:paraId="600A7A81"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5B4090">
        <w:rPr>
          <w:rFonts w:eastAsia="Palatino Linotype" w:cs="Palatino Linotype"/>
          <w:color w:val="000000"/>
          <w:lang w:eastAsia="es-MX"/>
        </w:rPr>
        <w:t>ii</w:t>
      </w:r>
      <w:proofErr w:type="spellEnd"/>
      <w:r w:rsidRPr="005B4090">
        <w:rPr>
          <w:rFonts w:eastAsia="Palatino Linotype" w:cs="Palatino Linotype"/>
          <w:color w:val="000000"/>
          <w:lang w:eastAsia="es-MX"/>
        </w:rPr>
        <w:t xml:space="preserve">) por ley tenga el carácter de pública, </w:t>
      </w:r>
      <w:proofErr w:type="spellStart"/>
      <w:r w:rsidRPr="005B4090">
        <w:rPr>
          <w:rFonts w:eastAsia="Palatino Linotype" w:cs="Palatino Linotype"/>
          <w:color w:val="000000"/>
          <w:lang w:eastAsia="es-MX"/>
        </w:rPr>
        <w:t>iii</w:t>
      </w:r>
      <w:proofErr w:type="spellEnd"/>
      <w:r w:rsidRPr="005B4090">
        <w:rPr>
          <w:rFonts w:eastAsia="Palatino Linotype" w:cs="Palatino Linotype"/>
          <w:color w:val="000000"/>
          <w:lang w:eastAsia="es-MX"/>
        </w:rPr>
        <w:t xml:space="preserve">) exista una orden judicial, </w:t>
      </w:r>
      <w:proofErr w:type="spellStart"/>
      <w:r w:rsidRPr="005B4090">
        <w:rPr>
          <w:rFonts w:eastAsia="Palatino Linotype" w:cs="Palatino Linotype"/>
          <w:color w:val="000000"/>
          <w:lang w:eastAsia="es-MX"/>
        </w:rPr>
        <w:t>iv</w:t>
      </w:r>
      <w:proofErr w:type="spellEnd"/>
      <w:r w:rsidRPr="005B4090">
        <w:rPr>
          <w:rFonts w:eastAsia="Palatino Linotype" w:cs="Palatino Linotype"/>
          <w:color w:val="000000"/>
          <w:lang w:eastAsia="es-MX"/>
        </w:rPr>
        <w:t>) por razones de seguridad nacional y salubridad general o v) para proteger los derechos de terceros o cuando se transmita entre sujetos obligados en términos de los tratados y los acuerdos interinstitucionales.</w:t>
      </w:r>
    </w:p>
    <w:p w14:paraId="0D0A91CA" w14:textId="77777777" w:rsidR="001C36A7" w:rsidRPr="005B4090" w:rsidRDefault="001C36A7" w:rsidP="001C36A7">
      <w:pPr>
        <w:spacing w:after="0" w:line="360" w:lineRule="auto"/>
        <w:rPr>
          <w:rFonts w:eastAsia="Palatino Linotype" w:cs="Palatino Linotype"/>
          <w:color w:val="000000"/>
          <w:lang w:eastAsia="es-MX"/>
        </w:rPr>
      </w:pPr>
    </w:p>
    <w:p w14:paraId="6987AD93"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En términos de lo expuesto, la documentación y aquellos datos que se consideren confidenciales, serán una limitante del derecho de acceso a la información, siempre y cuando:</w:t>
      </w:r>
    </w:p>
    <w:p w14:paraId="151ACD47" w14:textId="77777777" w:rsidR="001C36A7" w:rsidRPr="005B4090" w:rsidRDefault="001C36A7" w:rsidP="001C36A7">
      <w:pPr>
        <w:spacing w:after="0" w:line="360" w:lineRule="auto"/>
        <w:rPr>
          <w:rFonts w:eastAsia="Palatino Linotype" w:cs="Palatino Linotype"/>
          <w:color w:val="000000"/>
          <w:lang w:eastAsia="es-MX"/>
        </w:rPr>
      </w:pPr>
    </w:p>
    <w:p w14:paraId="4041CD59" w14:textId="77777777" w:rsidR="001C36A7" w:rsidRPr="005B4090" w:rsidRDefault="001C36A7" w:rsidP="001C36A7">
      <w:pPr>
        <w:numPr>
          <w:ilvl w:val="0"/>
          <w:numId w:val="14"/>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Se trate de datos personales o información privada; esto es, información concerniente a una persona física o jurídico colectiva y que esta sea identificada o identificable. </w:t>
      </w:r>
    </w:p>
    <w:p w14:paraId="376F9DC8" w14:textId="77777777" w:rsidR="001C36A7" w:rsidRPr="005B4090" w:rsidRDefault="001C36A7" w:rsidP="001C36A7">
      <w:pPr>
        <w:numPr>
          <w:ilvl w:val="0"/>
          <w:numId w:val="14"/>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Para la difusión de los datos, se requiera el consentimiento del titular. </w:t>
      </w:r>
    </w:p>
    <w:p w14:paraId="5004E250" w14:textId="77777777" w:rsidR="001C36A7" w:rsidRPr="005B4090" w:rsidRDefault="001C36A7" w:rsidP="001C36A7">
      <w:pPr>
        <w:spacing w:after="0" w:line="360" w:lineRule="auto"/>
        <w:rPr>
          <w:rFonts w:eastAsia="Palatino Linotype" w:cs="Palatino Linotype"/>
          <w:color w:val="000000"/>
          <w:lang w:eastAsia="es-MX"/>
        </w:rPr>
      </w:pPr>
    </w:p>
    <w:p w14:paraId="666AFD0A"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5B4090">
        <w:rPr>
          <w:rFonts w:eastAsia="Palatino Linotype" w:cs="Palatino Linotype"/>
          <w:color w:val="000000"/>
          <w:lang w:eastAsia="es-MX"/>
        </w:rPr>
        <w:lastRenderedPageBreak/>
        <w:t xml:space="preserve">de cualquier documento informativo físico o electrónico), establecida en cualquier formato o modalidad. </w:t>
      </w:r>
    </w:p>
    <w:p w14:paraId="317A4AA4" w14:textId="77777777" w:rsidR="001C36A7" w:rsidRPr="005B4090" w:rsidRDefault="001C36A7" w:rsidP="001C36A7">
      <w:pPr>
        <w:spacing w:after="0" w:line="360" w:lineRule="auto"/>
        <w:rPr>
          <w:rFonts w:eastAsia="Palatino Linotype" w:cs="Palatino Linotype"/>
          <w:color w:val="000000"/>
          <w:lang w:eastAsia="es-MX"/>
        </w:rPr>
      </w:pPr>
    </w:p>
    <w:p w14:paraId="3B8E3F88"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B2828F5" w14:textId="77777777" w:rsidR="001C36A7" w:rsidRPr="005B4090" w:rsidRDefault="001C36A7" w:rsidP="001C36A7">
      <w:pPr>
        <w:spacing w:after="0" w:line="360" w:lineRule="auto"/>
        <w:ind w:right="-28"/>
        <w:rPr>
          <w:rFonts w:eastAsia="Palatino Linotype" w:cs="Palatino Linotype"/>
          <w:color w:val="auto"/>
          <w:lang w:eastAsia="es-MX"/>
        </w:rPr>
      </w:pPr>
    </w:p>
    <w:p w14:paraId="1EF94993" w14:textId="77777777" w:rsidR="001C36A7" w:rsidRPr="005B4090" w:rsidRDefault="001C36A7" w:rsidP="001C36A7">
      <w:pPr>
        <w:numPr>
          <w:ilvl w:val="0"/>
          <w:numId w:val="15"/>
        </w:numPr>
        <w:spacing w:after="0" w:line="360" w:lineRule="auto"/>
        <w:rPr>
          <w:rFonts w:eastAsia="Palatino Linotype" w:cs="Palatino Linotype"/>
          <w:b/>
          <w:color w:val="000000"/>
          <w:lang w:eastAsia="es-MX"/>
        </w:rPr>
      </w:pPr>
      <w:r w:rsidRPr="005B4090">
        <w:rPr>
          <w:rFonts w:eastAsia="Palatino Linotype" w:cs="Palatino Linotype"/>
          <w:b/>
          <w:color w:val="000000"/>
          <w:lang w:eastAsia="es-MX"/>
        </w:rPr>
        <w:t>Clave Única de Registro de Población (CURP)</w:t>
      </w:r>
    </w:p>
    <w:p w14:paraId="5C884E30" w14:textId="77777777" w:rsidR="001C36A7" w:rsidRPr="005B4090" w:rsidRDefault="001C36A7" w:rsidP="001C36A7">
      <w:pPr>
        <w:spacing w:after="0" w:line="360" w:lineRule="auto"/>
        <w:rPr>
          <w:rFonts w:eastAsia="Palatino Linotype" w:cs="Palatino Linotype"/>
          <w:color w:val="000000"/>
          <w:lang w:eastAsia="es-MX"/>
        </w:rPr>
      </w:pPr>
    </w:p>
    <w:p w14:paraId="742C73B5"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85FD2A6" w14:textId="77777777" w:rsidR="001C36A7" w:rsidRPr="005B4090" w:rsidRDefault="001C36A7" w:rsidP="001C36A7">
      <w:pPr>
        <w:spacing w:after="0" w:line="360" w:lineRule="auto"/>
        <w:rPr>
          <w:rFonts w:eastAsia="Palatino Linotype" w:cs="Palatino Linotype"/>
          <w:color w:val="000000"/>
          <w:lang w:eastAsia="es-MX"/>
        </w:rPr>
      </w:pPr>
    </w:p>
    <w:p w14:paraId="3F2119B9"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E4ABDD" w14:textId="77777777" w:rsidR="001C36A7" w:rsidRPr="005B4090" w:rsidRDefault="001C36A7" w:rsidP="001C36A7">
      <w:pPr>
        <w:spacing w:after="0" w:line="360" w:lineRule="auto"/>
        <w:rPr>
          <w:rFonts w:eastAsia="Palatino Linotype" w:cs="Palatino Linotype"/>
          <w:color w:val="000000"/>
          <w:lang w:eastAsia="es-MX"/>
        </w:rPr>
      </w:pPr>
    </w:p>
    <w:p w14:paraId="26A23F70"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En ese orden de ideas, la Secretaría de Gobernación en las direcciones </w:t>
      </w:r>
      <w:hyperlink r:id="rId20" w:history="1">
        <w:r w:rsidRPr="005B4090">
          <w:rPr>
            <w:rFonts w:eastAsia="Palatino Linotype" w:cs="Palatino Linotype"/>
            <w:color w:val="0563C1"/>
            <w:u w:val="single"/>
            <w:lang w:eastAsia="es-MX"/>
          </w:rPr>
          <w:t>https://consultas.curp.gob.mx/CurpSP/html/informacionecurpPS.html</w:t>
        </w:r>
      </w:hyperlink>
      <w:r w:rsidRPr="005B4090">
        <w:rPr>
          <w:rFonts w:eastAsia="Palatino Linotype" w:cs="Palatino Linotype"/>
          <w:color w:val="000000"/>
          <w:lang w:eastAsia="es-MX"/>
        </w:rPr>
        <w:t xml:space="preserve"> y </w:t>
      </w:r>
      <w:hyperlink r:id="rId21" w:history="1">
        <w:r w:rsidRPr="005B4090">
          <w:rPr>
            <w:rFonts w:eastAsia="Palatino Linotype" w:cs="Palatino Linotype"/>
            <w:color w:val="0563C1"/>
            <w:u w:val="single"/>
            <w:lang w:eastAsia="es-MX"/>
          </w:rPr>
          <w:t>https://www.gob.mx/segob/renapo/acciones-y-programas/clave-unica-de-registro-de-poblacion-curp-142226</w:t>
        </w:r>
      </w:hyperlink>
      <w:r w:rsidRPr="005B4090">
        <w:rPr>
          <w:rFonts w:eastAsia="Palatino Linotype" w:cs="Palatino Linotype"/>
          <w:color w:val="000000"/>
          <w:lang w:eastAsia="es-MX"/>
        </w:rPr>
        <w:t xml:space="preserve"> (consultadas el seis de junio de dos mil veintidós), estableció que la </w:t>
      </w:r>
      <w:r w:rsidRPr="005B4090">
        <w:rPr>
          <w:rFonts w:eastAsia="Palatino Linotype" w:cs="Palatino Linotype"/>
          <w:color w:val="000000"/>
          <w:lang w:eastAsia="es-MX"/>
        </w:rPr>
        <w:lastRenderedPageBreak/>
        <w:t xml:space="preserve">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B4090">
        <w:rPr>
          <w:rFonts w:eastAsia="Palatino Linotype" w:cs="Palatino Linotype"/>
          <w:b/>
          <w:color w:val="000000"/>
          <w:lang w:eastAsia="es-MX"/>
        </w:rPr>
        <w:t>se generan a partir de los datos contenidos en el documento probatorio de la identidad</w:t>
      </w:r>
      <w:r w:rsidRPr="005B4090">
        <w:rPr>
          <w:rFonts w:eastAsia="Palatino Linotype" w:cs="Palatino Linotype"/>
          <w:color w:val="000000"/>
          <w:lang w:eastAsia="es-MX"/>
        </w:rPr>
        <w:t xml:space="preserve"> </w:t>
      </w:r>
      <w:r w:rsidRPr="005B4090">
        <w:rPr>
          <w:rFonts w:eastAsia="Palatino Linotype" w:cs="Palatino Linotype"/>
          <w:b/>
          <w:color w:val="000000"/>
          <w:lang w:eastAsia="es-MX"/>
        </w:rPr>
        <w:t xml:space="preserve">del interesado </w:t>
      </w:r>
      <w:r w:rsidRPr="005B4090">
        <w:rPr>
          <w:rFonts w:eastAsia="Palatino Linotype" w:cs="Palatino Linotype"/>
          <w:color w:val="000000"/>
          <w:lang w:eastAsia="es-MX"/>
        </w:rPr>
        <w:t>(acta de nacimiento, carta de naturalización o documento migratorio) de la siguiente forma:</w:t>
      </w:r>
    </w:p>
    <w:p w14:paraId="396872CC" w14:textId="77777777" w:rsidR="001C36A7" w:rsidRPr="005B4090" w:rsidRDefault="001C36A7" w:rsidP="001C36A7">
      <w:pPr>
        <w:spacing w:after="0" w:line="360" w:lineRule="auto"/>
        <w:rPr>
          <w:rFonts w:eastAsia="Palatino Linotype" w:cs="Palatino Linotype"/>
          <w:color w:val="000000"/>
          <w:lang w:eastAsia="es-MX"/>
        </w:rPr>
      </w:pPr>
    </w:p>
    <w:p w14:paraId="7708BE0B" w14:textId="77777777" w:rsidR="001C36A7" w:rsidRPr="005B4090" w:rsidRDefault="001C36A7" w:rsidP="001C36A7">
      <w:pPr>
        <w:numPr>
          <w:ilvl w:val="0"/>
          <w:numId w:val="16"/>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El primero y segundo apellidos, así como al nombre de pila;</w:t>
      </w:r>
    </w:p>
    <w:p w14:paraId="256FA635" w14:textId="77777777" w:rsidR="001C36A7" w:rsidRPr="005B4090" w:rsidRDefault="001C36A7" w:rsidP="001C36A7">
      <w:pPr>
        <w:numPr>
          <w:ilvl w:val="0"/>
          <w:numId w:val="16"/>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La fecha de nacimiento;</w:t>
      </w:r>
    </w:p>
    <w:p w14:paraId="4747FC9F" w14:textId="77777777" w:rsidR="001C36A7" w:rsidRPr="005B4090" w:rsidRDefault="001C36A7" w:rsidP="001C36A7">
      <w:pPr>
        <w:numPr>
          <w:ilvl w:val="0"/>
          <w:numId w:val="16"/>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El sexo, y</w:t>
      </w:r>
    </w:p>
    <w:p w14:paraId="2FB33089" w14:textId="77777777" w:rsidR="001C36A7" w:rsidRPr="005B4090" w:rsidRDefault="001C36A7" w:rsidP="001C36A7">
      <w:pPr>
        <w:numPr>
          <w:ilvl w:val="0"/>
          <w:numId w:val="16"/>
        </w:numPr>
        <w:spacing w:after="0" w:line="360" w:lineRule="auto"/>
        <w:rPr>
          <w:rFonts w:eastAsia="Palatino Linotype" w:cs="Palatino Linotype"/>
          <w:color w:val="000000"/>
          <w:lang w:eastAsia="es-MX"/>
        </w:rPr>
      </w:pPr>
      <w:r w:rsidRPr="005B4090">
        <w:rPr>
          <w:rFonts w:eastAsia="Palatino Linotype" w:cs="Palatino Linotype"/>
          <w:color w:val="000000"/>
          <w:lang w:eastAsia="es-MX"/>
        </w:rPr>
        <w:t>La entidad federativa de nacimiento.</w:t>
      </w:r>
    </w:p>
    <w:p w14:paraId="0859CA45" w14:textId="77777777" w:rsidR="001C36A7" w:rsidRPr="005B4090" w:rsidRDefault="001C36A7" w:rsidP="001C36A7">
      <w:pPr>
        <w:spacing w:after="0" w:line="360" w:lineRule="auto"/>
        <w:rPr>
          <w:rFonts w:eastAsia="Palatino Linotype" w:cs="Palatino Linotype"/>
          <w:color w:val="000000"/>
          <w:lang w:eastAsia="es-MX"/>
        </w:rPr>
      </w:pPr>
    </w:p>
    <w:p w14:paraId="77B16C04"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Los dos últimos elementos de la Clave Única de Registro de Población evitan la duplicidad de la Clave y garantizan su correcta integración.</w:t>
      </w:r>
    </w:p>
    <w:p w14:paraId="6C89C312" w14:textId="77777777" w:rsidR="001C36A7" w:rsidRPr="005B4090" w:rsidRDefault="001C36A7" w:rsidP="001C36A7">
      <w:pPr>
        <w:spacing w:after="0" w:line="360" w:lineRule="auto"/>
        <w:rPr>
          <w:rFonts w:eastAsia="Palatino Linotype" w:cs="Palatino Linotype"/>
          <w:color w:val="000000"/>
          <w:lang w:eastAsia="es-MX"/>
        </w:rPr>
      </w:pPr>
    </w:p>
    <w:p w14:paraId="7C0D7FD9"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CEEA0D8" w14:textId="77777777" w:rsidR="001C36A7" w:rsidRPr="005B4090" w:rsidRDefault="001C36A7" w:rsidP="001C36A7">
      <w:pPr>
        <w:spacing w:after="0" w:line="360" w:lineRule="auto"/>
        <w:rPr>
          <w:rFonts w:eastAsia="Palatino Linotype" w:cs="Palatino Linotype"/>
          <w:color w:val="000000"/>
          <w:lang w:eastAsia="es-MX"/>
        </w:rPr>
      </w:pPr>
    </w:p>
    <w:p w14:paraId="599D3F6E"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00974B50" w14:textId="77777777" w:rsidR="001C36A7" w:rsidRPr="005B4090" w:rsidRDefault="001C36A7" w:rsidP="001C36A7">
      <w:pPr>
        <w:spacing w:after="0" w:line="360" w:lineRule="auto"/>
        <w:ind w:left="567" w:right="567"/>
        <w:rPr>
          <w:rFonts w:eastAsia="Palatino Linotype" w:cs="Palatino Linotype"/>
          <w:color w:val="000000"/>
          <w:sz w:val="20"/>
          <w:szCs w:val="20"/>
          <w:lang w:eastAsia="es-MX"/>
        </w:rPr>
      </w:pPr>
    </w:p>
    <w:p w14:paraId="4730E233" w14:textId="77777777" w:rsidR="001C36A7" w:rsidRPr="005B4090" w:rsidRDefault="001C36A7" w:rsidP="001C36A7">
      <w:pPr>
        <w:spacing w:after="0" w:line="360" w:lineRule="auto"/>
        <w:ind w:left="567" w:right="567"/>
        <w:rPr>
          <w:rFonts w:eastAsia="Palatino Linotype" w:cs="Palatino Linotype"/>
          <w:i/>
          <w:color w:val="000000"/>
          <w:sz w:val="20"/>
          <w:szCs w:val="20"/>
          <w:lang w:eastAsia="es-MX"/>
        </w:rPr>
      </w:pPr>
      <w:r w:rsidRPr="005B4090">
        <w:rPr>
          <w:rFonts w:eastAsia="Palatino Linotype" w:cs="Palatino Linotype"/>
          <w:b/>
          <w:i/>
          <w:color w:val="000000"/>
          <w:sz w:val="20"/>
          <w:szCs w:val="20"/>
          <w:lang w:eastAsia="es-MX"/>
        </w:rPr>
        <w:lastRenderedPageBreak/>
        <w:t xml:space="preserve">“Clave Única de Registro de Población (CURP). </w:t>
      </w:r>
      <w:r w:rsidRPr="005B4090">
        <w:rPr>
          <w:rFonts w:eastAsia="Palatino Linotype" w:cs="Palatino Linotype"/>
          <w:i/>
          <w:color w:val="000000"/>
          <w:sz w:val="20"/>
          <w:szCs w:val="20"/>
          <w:lang w:eastAsia="es-MX"/>
        </w:rPr>
        <w:t xml:space="preserve">La Clave Única de Registro de Población se integra por datos personales que sólo conciernen al particular titular de </w:t>
      </w:r>
      <w:proofErr w:type="gramStart"/>
      <w:r w:rsidRPr="005B4090">
        <w:rPr>
          <w:rFonts w:eastAsia="Palatino Linotype" w:cs="Palatino Linotype"/>
          <w:i/>
          <w:color w:val="000000"/>
          <w:sz w:val="20"/>
          <w:szCs w:val="20"/>
          <w:lang w:eastAsia="es-MX"/>
        </w:rPr>
        <w:t>la misma</w:t>
      </w:r>
      <w:proofErr w:type="gramEnd"/>
      <w:r w:rsidRPr="005B4090">
        <w:rPr>
          <w:rFonts w:eastAsia="Palatino Linotype" w:cs="Palatino Linotype"/>
          <w:i/>
          <w:color w:val="000000"/>
          <w:sz w:val="20"/>
          <w:szCs w:val="20"/>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962A9D4" w14:textId="77777777" w:rsidR="001C36A7" w:rsidRPr="005B4090" w:rsidRDefault="001C36A7" w:rsidP="001C36A7">
      <w:pPr>
        <w:spacing w:after="0" w:line="360" w:lineRule="auto"/>
        <w:rPr>
          <w:rFonts w:eastAsia="Palatino Linotype" w:cs="Palatino Linotype"/>
          <w:color w:val="000000"/>
          <w:lang w:eastAsia="es-MX"/>
        </w:rPr>
      </w:pPr>
    </w:p>
    <w:p w14:paraId="1919ED27"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A43D095" w14:textId="77777777" w:rsidR="001C36A7" w:rsidRPr="005B4090" w:rsidRDefault="001C36A7" w:rsidP="001C36A7">
      <w:pPr>
        <w:spacing w:after="0" w:line="360" w:lineRule="auto"/>
        <w:rPr>
          <w:rFonts w:eastAsia="Palatino Linotype" w:cs="Palatino Linotype"/>
          <w:color w:val="000000"/>
          <w:lang w:eastAsia="es-MX"/>
        </w:rPr>
      </w:pPr>
    </w:p>
    <w:p w14:paraId="12ABC16B" w14:textId="77777777" w:rsidR="001C36A7" w:rsidRPr="005B4090" w:rsidRDefault="001C36A7" w:rsidP="001C36A7">
      <w:pPr>
        <w:numPr>
          <w:ilvl w:val="0"/>
          <w:numId w:val="15"/>
        </w:numPr>
        <w:spacing w:after="0" w:line="360" w:lineRule="auto"/>
        <w:rPr>
          <w:rFonts w:eastAsia="Palatino Linotype" w:cs="Palatino Linotype"/>
          <w:b/>
          <w:color w:val="000000"/>
          <w:lang w:eastAsia="es-MX"/>
        </w:rPr>
      </w:pPr>
      <w:r w:rsidRPr="005B4090">
        <w:rPr>
          <w:rFonts w:eastAsia="Palatino Linotype" w:cs="Palatino Linotype"/>
          <w:b/>
          <w:color w:val="000000"/>
          <w:lang w:eastAsia="es-MX"/>
        </w:rPr>
        <w:t>Registro Federal de Contribuyentes (RFC)</w:t>
      </w:r>
    </w:p>
    <w:p w14:paraId="6227EDF3" w14:textId="77777777" w:rsidR="001C36A7" w:rsidRPr="005B4090" w:rsidRDefault="001C36A7" w:rsidP="001C36A7">
      <w:pPr>
        <w:spacing w:after="0" w:line="360" w:lineRule="auto"/>
        <w:rPr>
          <w:rFonts w:eastAsia="Palatino Linotype" w:cs="Palatino Linotype"/>
          <w:color w:val="000000"/>
          <w:lang w:eastAsia="es-MX"/>
        </w:rPr>
      </w:pPr>
    </w:p>
    <w:p w14:paraId="30E07971"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9FA8B0" w14:textId="77777777" w:rsidR="001C36A7" w:rsidRPr="005B4090" w:rsidRDefault="001C36A7" w:rsidP="001C36A7">
      <w:pPr>
        <w:spacing w:after="0" w:line="360" w:lineRule="auto"/>
        <w:rPr>
          <w:rFonts w:eastAsia="Palatino Linotype" w:cs="Palatino Linotype"/>
          <w:color w:val="000000"/>
          <w:lang w:eastAsia="es-MX"/>
        </w:rPr>
      </w:pPr>
    </w:p>
    <w:p w14:paraId="3E172A1A" w14:textId="77777777" w:rsidR="001C36A7" w:rsidRPr="005B4090" w:rsidRDefault="001C36A7" w:rsidP="001C36A7">
      <w:pPr>
        <w:spacing w:after="0" w:line="360" w:lineRule="auto"/>
        <w:rPr>
          <w:rFonts w:eastAsia="Palatino Linotype" w:cs="Palatino Linotype"/>
          <w:color w:val="000000"/>
          <w:lang w:eastAsia="es-MX"/>
        </w:rPr>
      </w:pPr>
      <w:proofErr w:type="gramStart"/>
      <w:r w:rsidRPr="005B4090">
        <w:rPr>
          <w:rFonts w:eastAsia="Palatino Linotype" w:cs="Palatino Linotype"/>
          <w:color w:val="000000"/>
          <w:lang w:eastAsia="es-MX"/>
        </w:rPr>
        <w:t>De acuerdo a</w:t>
      </w:r>
      <w:proofErr w:type="gramEnd"/>
      <w:r w:rsidRPr="005B4090">
        <w:rPr>
          <w:rFonts w:eastAsia="Palatino Linotype" w:cs="Palatino Linotype"/>
          <w:color w:val="000000"/>
          <w:lang w:eastAsia="es-MX"/>
        </w:rPr>
        <w:t xml:space="preserve"> lo establecido en el artículo en comento, esta clave se compone de trece caracteres alfanuméricos, con datos obtenidos de los apellidos, nombre(s), fecha de nacimiento del titular, más una </w:t>
      </w:r>
      <w:proofErr w:type="spellStart"/>
      <w:r w:rsidRPr="005B4090">
        <w:rPr>
          <w:rFonts w:eastAsia="Palatino Linotype" w:cs="Palatino Linotype"/>
          <w:color w:val="000000"/>
          <w:lang w:eastAsia="es-MX"/>
        </w:rPr>
        <w:t>homoclave</w:t>
      </w:r>
      <w:proofErr w:type="spellEnd"/>
      <w:r w:rsidRPr="005B4090">
        <w:rPr>
          <w:rFonts w:eastAsia="Palatino Linotype" w:cs="Palatino Linotype"/>
          <w:color w:val="000000"/>
          <w:lang w:eastAsia="es-MX"/>
        </w:rPr>
        <w:t xml:space="preserve"> que establece el sistema automático del Servicio de Administración Tributaria.</w:t>
      </w:r>
    </w:p>
    <w:p w14:paraId="19B6E9D6" w14:textId="77777777" w:rsidR="001C36A7" w:rsidRPr="005B4090" w:rsidRDefault="001C36A7" w:rsidP="001C36A7">
      <w:pPr>
        <w:spacing w:after="0" w:line="360" w:lineRule="auto"/>
        <w:rPr>
          <w:rFonts w:eastAsia="Palatino Linotype" w:cs="Palatino Linotype"/>
          <w:color w:val="000000"/>
          <w:lang w:eastAsia="es-MX"/>
        </w:rPr>
      </w:pPr>
    </w:p>
    <w:p w14:paraId="193567AC"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Ahora bien, la clave del Registro Federal de </w:t>
      </w:r>
      <w:proofErr w:type="gramStart"/>
      <w:r w:rsidRPr="005B4090">
        <w:rPr>
          <w:rFonts w:eastAsia="Palatino Linotype" w:cs="Palatino Linotype"/>
          <w:color w:val="000000"/>
          <w:lang w:eastAsia="es-MX"/>
        </w:rPr>
        <w:t>Contribuyentes,</w:t>
      </w:r>
      <w:proofErr w:type="gramEnd"/>
      <w:r w:rsidRPr="005B4090">
        <w:rPr>
          <w:rFonts w:eastAsia="Palatino Linotype" w:cs="Palatino Linotype"/>
          <w:color w:val="000000"/>
          <w:lang w:eastAsia="es-MX"/>
        </w:rPr>
        <w:t xml:space="preserve"> es el medio de control que tiene la Secretaría de Hacienda y Crédito Público, a través del Servicio de Administración Tributaria, para exigir y vigilar el cumplimiento de las obligaciones fiscales de los </w:t>
      </w:r>
      <w:r w:rsidRPr="005B4090">
        <w:rPr>
          <w:rFonts w:eastAsia="Palatino Linotype" w:cs="Palatino Linotype"/>
          <w:color w:val="000000"/>
          <w:lang w:eastAsia="es-MX"/>
        </w:rPr>
        <w:lastRenderedPageBreak/>
        <w:t>contribuyentes; mientras que los particulares tramitan dicho dato, con el único propósito de realizar mediante esa clave de identificación, operaciones o actividades de naturaleza fiscal.</w:t>
      </w:r>
    </w:p>
    <w:p w14:paraId="30D6FC6A" w14:textId="77777777" w:rsidR="001C36A7" w:rsidRPr="005B4090" w:rsidRDefault="001C36A7" w:rsidP="001C36A7">
      <w:pPr>
        <w:spacing w:after="0" w:line="360" w:lineRule="auto"/>
        <w:rPr>
          <w:rFonts w:eastAsia="Palatino Linotype" w:cs="Palatino Linotype"/>
          <w:color w:val="000000"/>
          <w:lang w:eastAsia="es-MX"/>
        </w:rPr>
      </w:pPr>
    </w:p>
    <w:p w14:paraId="429E3A8F"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B3967CD" w14:textId="77777777" w:rsidR="001C36A7" w:rsidRPr="005B4090" w:rsidRDefault="001C36A7" w:rsidP="001C36A7">
      <w:pPr>
        <w:spacing w:after="0" w:line="360" w:lineRule="auto"/>
        <w:rPr>
          <w:rFonts w:eastAsia="Palatino Linotype" w:cs="Palatino Linotype"/>
          <w:color w:val="000000"/>
          <w:lang w:eastAsia="es-MX"/>
        </w:rPr>
      </w:pPr>
    </w:p>
    <w:p w14:paraId="744FF3DE"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A4B8808" w14:textId="77777777" w:rsidR="001C36A7" w:rsidRPr="005B4090" w:rsidRDefault="001C36A7" w:rsidP="001C36A7">
      <w:pPr>
        <w:spacing w:after="0" w:line="360" w:lineRule="auto"/>
        <w:rPr>
          <w:rFonts w:eastAsia="Palatino Linotype" w:cs="Palatino Linotype"/>
          <w:color w:val="000000"/>
          <w:lang w:eastAsia="es-MX"/>
        </w:rPr>
      </w:pPr>
    </w:p>
    <w:p w14:paraId="7EAE6276" w14:textId="77777777" w:rsidR="001C36A7" w:rsidRPr="005B4090" w:rsidRDefault="001C36A7" w:rsidP="001C36A7">
      <w:pPr>
        <w:spacing w:after="0" w:line="360" w:lineRule="auto"/>
        <w:ind w:left="567" w:right="567"/>
        <w:rPr>
          <w:rFonts w:eastAsia="Palatino Linotype" w:cs="Palatino Linotype"/>
          <w:i/>
          <w:color w:val="000000"/>
          <w:sz w:val="20"/>
          <w:szCs w:val="20"/>
          <w:lang w:eastAsia="es-MX"/>
        </w:rPr>
      </w:pPr>
      <w:r w:rsidRPr="005B4090">
        <w:rPr>
          <w:rFonts w:eastAsia="Palatino Linotype" w:cs="Palatino Linotype"/>
          <w:b/>
          <w:i/>
          <w:color w:val="000000"/>
          <w:sz w:val="20"/>
          <w:szCs w:val="20"/>
          <w:lang w:eastAsia="es-MX"/>
        </w:rPr>
        <w:t>“Registro Federal de Contribuyentes (RFC) de personas físicas.</w:t>
      </w:r>
      <w:r w:rsidRPr="005B4090">
        <w:rPr>
          <w:rFonts w:eastAsia="Palatino Linotype" w:cs="Palatino Linotype"/>
          <w:i/>
          <w:color w:val="000000"/>
          <w:sz w:val="20"/>
          <w:szCs w:val="20"/>
          <w:lang w:eastAsia="es-MX"/>
        </w:rPr>
        <w:t xml:space="preserve"> El RFC es una clave de carácter fiscal, única e irrepetible, que permite identificar al titular, su edad y fecha de nacimiento, por lo que es un dato personal de carácter confidencial.”</w:t>
      </w:r>
    </w:p>
    <w:p w14:paraId="0304349E" w14:textId="77777777" w:rsidR="001C36A7" w:rsidRPr="005B4090" w:rsidRDefault="001C36A7" w:rsidP="001C36A7">
      <w:pPr>
        <w:spacing w:after="0" w:line="360" w:lineRule="auto"/>
        <w:ind w:left="567" w:right="567"/>
        <w:rPr>
          <w:rFonts w:eastAsia="Palatino Linotype" w:cs="Palatino Linotype"/>
          <w:i/>
          <w:color w:val="000000"/>
          <w:sz w:val="20"/>
          <w:szCs w:val="20"/>
          <w:lang w:eastAsia="es-MX"/>
        </w:rPr>
      </w:pPr>
    </w:p>
    <w:p w14:paraId="53634CAA"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381099A" w14:textId="77777777" w:rsidR="001C36A7" w:rsidRPr="005B4090" w:rsidRDefault="001C36A7" w:rsidP="001C36A7">
      <w:pPr>
        <w:tabs>
          <w:tab w:val="center" w:pos="4522"/>
        </w:tabs>
        <w:spacing w:after="0" w:line="360" w:lineRule="auto"/>
        <w:rPr>
          <w:rFonts w:eastAsia="Palatino Linotype" w:cs="Palatino Linotype"/>
          <w:color w:val="000000"/>
          <w:lang w:eastAsia="es-MX"/>
        </w:rPr>
      </w:pPr>
    </w:p>
    <w:p w14:paraId="285A1C62" w14:textId="77777777" w:rsidR="001C36A7" w:rsidRPr="005B4090" w:rsidRDefault="001C36A7" w:rsidP="001C36A7">
      <w:pPr>
        <w:numPr>
          <w:ilvl w:val="0"/>
          <w:numId w:val="15"/>
        </w:numPr>
        <w:spacing w:after="0" w:line="360" w:lineRule="auto"/>
        <w:rPr>
          <w:rFonts w:eastAsia="Palatino Linotype" w:cs="Palatino Linotype"/>
          <w:b/>
          <w:color w:val="000000"/>
          <w:lang w:eastAsia="es-MX"/>
        </w:rPr>
      </w:pPr>
      <w:r w:rsidRPr="005B4090">
        <w:rPr>
          <w:rFonts w:eastAsia="Palatino Linotype" w:cs="Palatino Linotype"/>
          <w:b/>
          <w:color w:val="000000"/>
          <w:lang w:eastAsia="es-MX"/>
        </w:rPr>
        <w:t>Número de seguridad social del Instituto de Seguridad Social del Estado de México y Municipios</w:t>
      </w:r>
    </w:p>
    <w:p w14:paraId="23FFA15D" w14:textId="77777777" w:rsidR="001C36A7" w:rsidRPr="005B4090" w:rsidRDefault="001C36A7" w:rsidP="001C36A7">
      <w:pPr>
        <w:spacing w:after="0" w:line="360" w:lineRule="auto"/>
        <w:rPr>
          <w:rFonts w:eastAsia="Palatino Linotype" w:cs="Palatino Linotype"/>
          <w:b/>
          <w:color w:val="000000"/>
          <w:lang w:eastAsia="es-MX"/>
        </w:rPr>
      </w:pPr>
    </w:p>
    <w:p w14:paraId="20DE2462"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52694E7" w14:textId="77777777" w:rsidR="001C36A7" w:rsidRPr="005B4090" w:rsidRDefault="001C36A7" w:rsidP="001C36A7">
      <w:pPr>
        <w:spacing w:after="0" w:line="360" w:lineRule="auto"/>
        <w:rPr>
          <w:rFonts w:eastAsia="Palatino Linotype" w:cs="Palatino Linotype"/>
          <w:color w:val="000000"/>
          <w:lang w:eastAsia="es-MX"/>
        </w:rPr>
      </w:pPr>
    </w:p>
    <w:p w14:paraId="342B1878"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456700F" w14:textId="77777777" w:rsidR="001C36A7" w:rsidRPr="005B4090" w:rsidRDefault="001C36A7" w:rsidP="001C36A7">
      <w:pPr>
        <w:spacing w:after="0" w:line="360" w:lineRule="auto"/>
        <w:rPr>
          <w:rFonts w:eastAsia="Palatino Linotype" w:cs="Palatino Linotype"/>
          <w:color w:val="000000"/>
          <w:lang w:eastAsia="es-MX"/>
        </w:rPr>
      </w:pPr>
    </w:p>
    <w:p w14:paraId="3315DFB1"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9336709" w14:textId="77777777" w:rsidR="001C36A7" w:rsidRPr="005B4090" w:rsidRDefault="001C36A7" w:rsidP="001C36A7">
      <w:pPr>
        <w:spacing w:after="0" w:line="360" w:lineRule="auto"/>
        <w:rPr>
          <w:rFonts w:eastAsia="Palatino Linotype" w:cs="Palatino Linotype"/>
          <w:color w:val="000000"/>
          <w:lang w:eastAsia="es-MX"/>
        </w:rPr>
      </w:pPr>
    </w:p>
    <w:p w14:paraId="7404A706"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w:t>
      </w:r>
      <w:r w:rsidRPr="005B4090">
        <w:rPr>
          <w:rFonts w:eastAsia="Palatino Linotype" w:cs="Palatino Linotype"/>
          <w:color w:val="000000"/>
          <w:lang w:eastAsia="es-MX"/>
        </w:rPr>
        <w:lastRenderedPageBreak/>
        <w:t>por tal motivo, es un dato personal confidencial, que actualiza el supuesto de confidencialidad, establecido en el artículo 143, fracción I, de la Ley de Transparencia y Acceso a la Información Pública del Estado de México y Municipios.</w:t>
      </w:r>
    </w:p>
    <w:p w14:paraId="71887A74" w14:textId="77777777" w:rsidR="001C36A7" w:rsidRPr="005B4090" w:rsidRDefault="001C36A7" w:rsidP="001C36A7">
      <w:pPr>
        <w:spacing w:after="0" w:line="360" w:lineRule="auto"/>
        <w:rPr>
          <w:rFonts w:eastAsia="Palatino Linotype" w:cs="Palatino Linotype"/>
          <w:color w:val="000000"/>
          <w:lang w:eastAsia="es-MX"/>
        </w:rPr>
      </w:pPr>
    </w:p>
    <w:p w14:paraId="1BCE95ED" w14:textId="77777777" w:rsidR="001C36A7" w:rsidRPr="005B4090" w:rsidRDefault="001C36A7" w:rsidP="001C36A7">
      <w:pPr>
        <w:numPr>
          <w:ilvl w:val="0"/>
          <w:numId w:val="19"/>
        </w:numPr>
        <w:spacing w:after="0" w:line="360" w:lineRule="auto"/>
        <w:contextualSpacing/>
        <w:rPr>
          <w:rFonts w:eastAsia="Times New Roman" w:cs="Times New Roman"/>
          <w:b/>
          <w:color w:val="000000"/>
          <w:szCs w:val="24"/>
          <w:lang w:eastAsia="es-ES"/>
        </w:rPr>
      </w:pPr>
      <w:r w:rsidRPr="005B4090">
        <w:rPr>
          <w:rFonts w:eastAsia="Times New Roman" w:cs="Times New Roman"/>
          <w:b/>
          <w:color w:val="000000"/>
          <w:szCs w:val="24"/>
          <w:lang w:eastAsia="es-ES"/>
        </w:rPr>
        <w:t xml:space="preserve">Deducciones por Ley </w:t>
      </w:r>
    </w:p>
    <w:p w14:paraId="5F5A5A38" w14:textId="77777777" w:rsidR="001C36A7" w:rsidRPr="005B4090" w:rsidRDefault="001C36A7" w:rsidP="001C36A7">
      <w:pPr>
        <w:spacing w:after="0" w:line="360" w:lineRule="auto"/>
        <w:rPr>
          <w:rFonts w:eastAsia="Palatino Linotype" w:cs="Palatino Linotype"/>
          <w:color w:val="000000"/>
          <w:lang w:eastAsia="es-MX"/>
        </w:rPr>
      </w:pPr>
    </w:p>
    <w:p w14:paraId="28440E3B"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 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 (días no laborados).</w:t>
      </w:r>
    </w:p>
    <w:p w14:paraId="55E2B8E3" w14:textId="77777777" w:rsidR="001C36A7" w:rsidRPr="005B4090" w:rsidRDefault="001C36A7" w:rsidP="001C36A7">
      <w:pPr>
        <w:spacing w:after="0" w:line="360" w:lineRule="auto"/>
        <w:rPr>
          <w:rFonts w:eastAsia="Palatino Linotype" w:cs="Palatino Linotype"/>
          <w:color w:val="000000"/>
          <w:lang w:eastAsia="es-MX"/>
        </w:rPr>
      </w:pPr>
    </w:p>
    <w:p w14:paraId="75DBB2EE"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086C45D5" w14:textId="77777777" w:rsidR="001C36A7" w:rsidRPr="005B4090" w:rsidRDefault="001C36A7" w:rsidP="001C36A7">
      <w:pPr>
        <w:spacing w:after="0" w:line="360" w:lineRule="auto"/>
        <w:rPr>
          <w:rFonts w:eastAsia="Palatino Linotype" w:cs="Palatino Linotype"/>
          <w:color w:val="000000"/>
          <w:lang w:eastAsia="es-MX"/>
        </w:rPr>
      </w:pPr>
    </w:p>
    <w:p w14:paraId="3CBFA91D"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Como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del Trabajo de Servidores Públicos del Estado de México y Municipios (descuentos por faltas o inasistencias). </w:t>
      </w:r>
    </w:p>
    <w:p w14:paraId="1FC781DF" w14:textId="77777777" w:rsidR="001C36A7" w:rsidRPr="005B4090" w:rsidRDefault="001C36A7" w:rsidP="001C36A7">
      <w:pPr>
        <w:spacing w:after="0" w:line="360" w:lineRule="auto"/>
        <w:rPr>
          <w:rFonts w:eastAsia="Palatino Linotype" w:cs="Palatino Linotype"/>
          <w:color w:val="000000"/>
          <w:lang w:eastAsia="es-MX"/>
        </w:rPr>
      </w:pPr>
    </w:p>
    <w:p w14:paraId="43CE14AA"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lastRenderedPageBreak/>
        <w:t>Por tal circunstancia y toda vez, que las deducciones por Ley, son de carácter obligatorio y ayuda a rendir cuentas, de que el Ayuntamiento de Cuautitlán cumple con sus funciones de patrón, al retener determinado monto del sueldo de los servidores públicos, es que se considera que son de naturaleza pública y, por lo tanto, no procede su clasificación en términos del artículo 143, fracción I, de la Ley de Transparencia y Acceso a la Información Pública del Estado de México y Municipios, por lo que, deberá dejar visible el monto y concepto de las mismas.</w:t>
      </w:r>
    </w:p>
    <w:p w14:paraId="53FB90A1" w14:textId="77777777" w:rsidR="001C36A7" w:rsidRPr="005B4090" w:rsidRDefault="001C36A7" w:rsidP="001C36A7">
      <w:pPr>
        <w:spacing w:after="0" w:line="360" w:lineRule="auto"/>
        <w:rPr>
          <w:rFonts w:eastAsia="Palatino Linotype" w:cs="Palatino Linotype"/>
          <w:color w:val="000000"/>
          <w:lang w:eastAsia="es-MX"/>
        </w:rPr>
      </w:pPr>
    </w:p>
    <w:p w14:paraId="74E84647" w14:textId="77777777" w:rsidR="001C36A7" w:rsidRPr="005B4090" w:rsidRDefault="001C36A7" w:rsidP="001C36A7">
      <w:pPr>
        <w:numPr>
          <w:ilvl w:val="0"/>
          <w:numId w:val="17"/>
        </w:numPr>
        <w:spacing w:after="0" w:line="360" w:lineRule="auto"/>
        <w:jc w:val="left"/>
        <w:rPr>
          <w:rFonts w:eastAsia="Palatino Linotype" w:cs="Palatino Linotype"/>
          <w:b/>
          <w:color w:val="000000"/>
          <w:lang w:eastAsia="es-MX"/>
        </w:rPr>
      </w:pPr>
      <w:r w:rsidRPr="005B4090">
        <w:rPr>
          <w:rFonts w:eastAsia="Palatino Linotype" w:cs="Palatino Linotype"/>
          <w:b/>
          <w:color w:val="000000"/>
          <w:lang w:eastAsia="es-MX"/>
        </w:rPr>
        <w:t>Deducciones personales</w:t>
      </w:r>
    </w:p>
    <w:p w14:paraId="0DDD112D" w14:textId="77777777" w:rsidR="001C36A7" w:rsidRPr="005B4090" w:rsidRDefault="001C36A7" w:rsidP="001C36A7">
      <w:pPr>
        <w:spacing w:after="0" w:line="360" w:lineRule="auto"/>
        <w:ind w:left="720"/>
        <w:rPr>
          <w:rFonts w:eastAsia="Palatino Linotype" w:cs="Palatino Linotype"/>
          <w:b/>
          <w:color w:val="000000"/>
          <w:lang w:eastAsia="es-MX"/>
        </w:rPr>
      </w:pPr>
    </w:p>
    <w:p w14:paraId="74E896BA"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9EB644B" w14:textId="77777777" w:rsidR="001C36A7" w:rsidRPr="005B4090" w:rsidRDefault="001C36A7" w:rsidP="001C36A7">
      <w:pPr>
        <w:spacing w:after="0" w:line="360" w:lineRule="auto"/>
        <w:rPr>
          <w:rFonts w:eastAsia="Palatino Linotype" w:cs="Palatino Linotype"/>
          <w:color w:val="000000"/>
          <w:lang w:eastAsia="es-MX"/>
        </w:rPr>
      </w:pPr>
    </w:p>
    <w:p w14:paraId="76735B7F"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Asimismo, hay otras que se generan con motivo de una sentencia judicial, como es la pensión alimenticia que periódicamente se retira de la cuenta de un empleado, a efecto de que sea entregado a un tercero.  </w:t>
      </w:r>
    </w:p>
    <w:p w14:paraId="428A1790" w14:textId="77777777" w:rsidR="001C36A7" w:rsidRPr="005B4090" w:rsidRDefault="001C36A7" w:rsidP="001C36A7">
      <w:pPr>
        <w:spacing w:after="0" w:line="360" w:lineRule="auto"/>
        <w:rPr>
          <w:rFonts w:eastAsia="Palatino Linotype" w:cs="Palatino Linotype"/>
          <w:color w:val="000000"/>
          <w:lang w:eastAsia="es-MX"/>
        </w:rPr>
      </w:pPr>
    </w:p>
    <w:p w14:paraId="46B6D60A"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F3E1898" w14:textId="77777777" w:rsidR="001C36A7" w:rsidRPr="005B4090" w:rsidRDefault="001C36A7" w:rsidP="001C36A7">
      <w:pPr>
        <w:spacing w:after="0" w:line="360" w:lineRule="auto"/>
        <w:rPr>
          <w:rFonts w:eastAsia="Palatino Linotype" w:cs="Palatino Linotype"/>
          <w:color w:val="000000"/>
          <w:lang w:eastAsia="es-MX"/>
        </w:rPr>
      </w:pPr>
    </w:p>
    <w:p w14:paraId="3C426CB1" w14:textId="77777777" w:rsidR="001C36A7" w:rsidRPr="005B4090" w:rsidRDefault="001C36A7"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lastRenderedPageBreak/>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B508450" w14:textId="77777777" w:rsidR="001C36A7" w:rsidRPr="005B4090" w:rsidRDefault="001C36A7" w:rsidP="001C36A7">
      <w:pPr>
        <w:spacing w:after="0" w:line="360" w:lineRule="auto"/>
        <w:contextualSpacing/>
        <w:rPr>
          <w:rFonts w:eastAsia="Palatino Linotype" w:cs="Palatino Linotype"/>
          <w:b/>
          <w:bCs/>
          <w:color w:val="000000"/>
          <w:lang w:eastAsia="es-MX"/>
        </w:rPr>
      </w:pPr>
    </w:p>
    <w:p w14:paraId="3AF0CBE0" w14:textId="77777777" w:rsidR="001C36A7" w:rsidRPr="005B4090" w:rsidRDefault="001C36A7" w:rsidP="001C36A7">
      <w:pPr>
        <w:numPr>
          <w:ilvl w:val="0"/>
          <w:numId w:val="18"/>
        </w:numPr>
        <w:spacing w:after="0" w:line="360" w:lineRule="auto"/>
        <w:contextualSpacing/>
        <w:rPr>
          <w:rFonts w:eastAsia="Times New Roman" w:cs="Tahoma"/>
          <w:b/>
          <w:bCs/>
          <w:color w:val="000000"/>
          <w:szCs w:val="24"/>
          <w:lang w:val="es-ES" w:eastAsia="es-ES"/>
        </w:rPr>
      </w:pPr>
      <w:r w:rsidRPr="005B4090">
        <w:rPr>
          <w:rFonts w:eastAsia="Times New Roman" w:cs="Tahoma"/>
          <w:b/>
          <w:bCs/>
          <w:color w:val="000000"/>
          <w:szCs w:val="24"/>
          <w:lang w:val="es-ES" w:eastAsia="es-ES"/>
        </w:rPr>
        <w:t xml:space="preserve">Código bidimensional o </w:t>
      </w:r>
      <w:proofErr w:type="spellStart"/>
      <w:r w:rsidRPr="005B4090">
        <w:rPr>
          <w:rFonts w:eastAsia="Times New Roman" w:cs="Tahoma"/>
          <w:b/>
          <w:bCs/>
          <w:color w:val="000000"/>
          <w:szCs w:val="24"/>
          <w:lang w:val="es-ES" w:eastAsia="es-ES"/>
        </w:rPr>
        <w:t>Qr</w:t>
      </w:r>
      <w:proofErr w:type="spellEnd"/>
    </w:p>
    <w:p w14:paraId="42CA2FE9" w14:textId="77777777" w:rsidR="001C36A7" w:rsidRPr="005B4090" w:rsidRDefault="001C36A7" w:rsidP="001C36A7">
      <w:pPr>
        <w:spacing w:after="0" w:line="360" w:lineRule="auto"/>
        <w:contextualSpacing/>
        <w:rPr>
          <w:rFonts w:eastAsia="Times New Roman" w:cs="Tahoma"/>
          <w:bCs/>
          <w:color w:val="000000"/>
          <w:lang w:val="es-ES" w:eastAsia="es-ES"/>
        </w:rPr>
      </w:pPr>
    </w:p>
    <w:p w14:paraId="619CC7D2"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En principio, resulta necesario señalar que los comprobantes fiscales digitales por Internet, deben de incluir un código bidimensional conforme al formato QR </w:t>
      </w:r>
      <w:proofErr w:type="spellStart"/>
      <w:r w:rsidRPr="005B4090">
        <w:rPr>
          <w:rFonts w:eastAsia="Times New Roman" w:cs="Tahoma"/>
          <w:bCs/>
          <w:color w:val="000000"/>
          <w:lang w:val="es-ES" w:eastAsia="es-ES"/>
        </w:rPr>
        <w:t>Code</w:t>
      </w:r>
      <w:proofErr w:type="spellEnd"/>
      <w:r w:rsidRPr="005B4090">
        <w:rPr>
          <w:rFonts w:eastAsia="Times New Roman" w:cs="Tahoma"/>
          <w:bCs/>
          <w:color w:val="000000"/>
          <w:lang w:val="es-ES" w:eastAsia="es-ES"/>
        </w:rPr>
        <w:t xml:space="preserve"> (Quick Response </w:t>
      </w:r>
      <w:proofErr w:type="spellStart"/>
      <w:r w:rsidRPr="005B4090">
        <w:rPr>
          <w:rFonts w:eastAsia="Times New Roman" w:cs="Tahoma"/>
          <w:bCs/>
          <w:color w:val="000000"/>
          <w:lang w:val="es-ES" w:eastAsia="es-ES"/>
        </w:rPr>
        <w:t>Code</w:t>
      </w:r>
      <w:proofErr w:type="spellEnd"/>
      <w:r w:rsidRPr="005B4090">
        <w:rPr>
          <w:rFonts w:eastAsia="Times New Roman" w:cs="Tahoma"/>
          <w:bCs/>
          <w:color w:val="000000"/>
          <w:lang w:val="es-ES" w:eastAsia="es-E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22" w:history="1">
        <w:r w:rsidRPr="005B4090">
          <w:rPr>
            <w:rFonts w:eastAsia="Times New Roman" w:cs="Tahoma"/>
            <w:bCs/>
            <w:color w:val="0000FF"/>
            <w:u w:val="single"/>
            <w:lang w:val="es-ES" w:eastAsia="es-ES"/>
          </w:rPr>
          <w:t>http://dof.gob.mx/nota_detalle.php?codigo=5492254&amp;fecha=28/07/2017</w:t>
        </w:r>
      </w:hyperlink>
      <w:r w:rsidRPr="005B4090">
        <w:rPr>
          <w:rFonts w:eastAsia="Times New Roman" w:cs="Tahoma"/>
          <w:bCs/>
          <w:color w:val="000000"/>
          <w:lang w:val="es-ES" w:eastAsia="es-ES"/>
        </w:rPr>
        <w:t>. Incluso con la captura de dicho código, a través de la aplicación móvil del Servicio de Administración Tributaria, permite el acceso al Registro Federal de Contribuyentes, como del Sujeto Obligado, como de los servidores públicos.</w:t>
      </w:r>
    </w:p>
    <w:p w14:paraId="56AABCBF" w14:textId="77777777" w:rsidR="001C36A7" w:rsidRPr="005B4090" w:rsidRDefault="001C36A7" w:rsidP="001C36A7">
      <w:pPr>
        <w:spacing w:after="0" w:line="360" w:lineRule="auto"/>
        <w:contextualSpacing/>
        <w:rPr>
          <w:rFonts w:eastAsia="Times New Roman" w:cs="Tahoma"/>
          <w:bCs/>
          <w:color w:val="000000"/>
          <w:lang w:val="es-ES" w:eastAsia="es-ES"/>
        </w:rPr>
      </w:pPr>
    </w:p>
    <w:p w14:paraId="6F17D615" w14:textId="77777777" w:rsidR="001C36A7" w:rsidRPr="005B4090" w:rsidRDefault="001C36A7" w:rsidP="001C36A7">
      <w:pPr>
        <w:spacing w:after="0" w:line="360" w:lineRule="auto"/>
        <w:contextualSpacing/>
        <w:rPr>
          <w:rFonts w:eastAsia="Times New Roman" w:cs="Tahoma"/>
          <w:b/>
          <w:color w:val="000000"/>
          <w:lang w:val="es-ES" w:eastAsia="es-ES"/>
        </w:rPr>
      </w:pPr>
      <w:r w:rsidRPr="005B4090">
        <w:rPr>
          <w:rFonts w:eastAsia="Times New Roman" w:cs="Tahoma"/>
          <w:bCs/>
          <w:color w:val="000000"/>
          <w:lang w:val="es-ES" w:eastAsia="es-E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Pr="005B4090">
        <w:rPr>
          <w:rFonts w:eastAsia="Times New Roman" w:cs="Tahoma"/>
          <w:b/>
          <w:color w:val="000000"/>
          <w:lang w:val="es-ES" w:eastAsia="es-ES"/>
        </w:rPr>
        <w:t xml:space="preserve"> Cabe señalar que dicho dato se dejó visible.</w:t>
      </w:r>
    </w:p>
    <w:p w14:paraId="007CD6A6" w14:textId="77777777" w:rsidR="001C36A7" w:rsidRPr="005B4090" w:rsidRDefault="001C36A7" w:rsidP="001C36A7">
      <w:pPr>
        <w:spacing w:after="0" w:line="360" w:lineRule="auto"/>
        <w:contextualSpacing/>
        <w:rPr>
          <w:rFonts w:eastAsia="Times New Roman" w:cs="Tahoma"/>
          <w:bCs/>
          <w:color w:val="000000"/>
          <w:lang w:val="es-ES" w:eastAsia="es-ES"/>
        </w:rPr>
      </w:pPr>
    </w:p>
    <w:p w14:paraId="50434AE3" w14:textId="77777777" w:rsidR="001C36A7" w:rsidRPr="005B4090" w:rsidRDefault="001C36A7" w:rsidP="001C36A7">
      <w:pPr>
        <w:numPr>
          <w:ilvl w:val="0"/>
          <w:numId w:val="18"/>
        </w:numPr>
        <w:spacing w:after="0" w:line="360" w:lineRule="auto"/>
        <w:contextualSpacing/>
        <w:rPr>
          <w:rFonts w:eastAsia="Times New Roman" w:cs="Tahoma"/>
          <w:b/>
          <w:bCs/>
          <w:color w:val="000000"/>
          <w:szCs w:val="24"/>
          <w:lang w:val="es-ES" w:eastAsia="es-ES"/>
        </w:rPr>
      </w:pPr>
      <w:r w:rsidRPr="005B4090">
        <w:rPr>
          <w:rFonts w:eastAsia="Times New Roman" w:cs="Tahoma"/>
          <w:b/>
          <w:bCs/>
          <w:color w:val="000000"/>
          <w:szCs w:val="24"/>
          <w:lang w:val="es-ES" w:eastAsia="es-ES"/>
        </w:rPr>
        <w:t>Cadena original del complemento de certificación digital del organismo previamente señalado</w:t>
      </w:r>
    </w:p>
    <w:p w14:paraId="409CC33A" w14:textId="77777777" w:rsidR="001C36A7" w:rsidRPr="005B4090" w:rsidRDefault="001C36A7" w:rsidP="001C36A7">
      <w:pPr>
        <w:spacing w:after="0" w:line="360" w:lineRule="auto"/>
        <w:contextualSpacing/>
        <w:rPr>
          <w:rFonts w:eastAsia="Times New Roman" w:cs="Tahoma"/>
          <w:bCs/>
          <w:color w:val="000000"/>
          <w:lang w:val="es-ES" w:eastAsia="es-ES"/>
        </w:rPr>
      </w:pPr>
    </w:p>
    <w:p w14:paraId="58FA686D"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9850E11"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 </w:t>
      </w:r>
    </w:p>
    <w:p w14:paraId="20796E4E"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Las cadenas originales que se </w:t>
      </w:r>
      <w:proofErr w:type="gramStart"/>
      <w:r w:rsidRPr="005B4090">
        <w:rPr>
          <w:rFonts w:eastAsia="Times New Roman" w:cs="Tahoma"/>
          <w:bCs/>
          <w:color w:val="000000"/>
          <w:lang w:val="es-ES" w:eastAsia="es-ES"/>
        </w:rPr>
        <w:t>agregan,</w:t>
      </w:r>
      <w:proofErr w:type="gramEnd"/>
      <w:r w:rsidRPr="005B4090">
        <w:rPr>
          <w:rFonts w:eastAsia="Times New Roman" w:cs="Tahoma"/>
          <w:bCs/>
          <w:color w:val="000000"/>
          <w:lang w:val="es-ES" w:eastAsia="es-ES"/>
        </w:rPr>
        <w:t xml:space="preserve"> tienen una secuencia de generación, determinados con base en el ANEXO 20 de la Segunda Resolución de modificaciones a la Resolución Miscelánea </w:t>
      </w:r>
      <w:proofErr w:type="gramStart"/>
      <w:r w:rsidRPr="005B4090">
        <w:rPr>
          <w:rFonts w:eastAsia="Times New Roman" w:cs="Tahoma"/>
          <w:bCs/>
          <w:color w:val="000000"/>
          <w:lang w:val="es-ES" w:eastAsia="es-ES"/>
        </w:rPr>
        <w:t>Fiscal,  que</w:t>
      </w:r>
      <w:proofErr w:type="gramEnd"/>
      <w:r w:rsidRPr="005B4090">
        <w:rPr>
          <w:rFonts w:eastAsia="Times New Roman" w:cs="Tahoma"/>
          <w:bCs/>
          <w:color w:val="000000"/>
          <w:lang w:val="es-ES" w:eastAsia="es-ES"/>
        </w:rPr>
        <w:t xml:space="preserve"> precisa los datos de los que se componen los elementos de seguridad y se puntualiza que dicha información está encriptada.</w:t>
      </w:r>
    </w:p>
    <w:p w14:paraId="6D896ECA"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 </w:t>
      </w:r>
    </w:p>
    <w:p w14:paraId="4C6C2E06"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w:t>
      </w:r>
    </w:p>
    <w:p w14:paraId="6D2E72B8"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Elementos utilizados en la generación de Sellos Digitales:</w:t>
      </w:r>
    </w:p>
    <w:p w14:paraId="29F3F52E"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p>
    <w:p w14:paraId="0F11B4C3"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•Cadena Original, el elemento a sellar, en este caso de un comprobante fiscal digital a través de Internet.</w:t>
      </w:r>
    </w:p>
    <w:p w14:paraId="35506885"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•Certificado de Sello Digital y su correspondiente clave privada.</w:t>
      </w:r>
    </w:p>
    <w:p w14:paraId="68C67B53"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•Algoritmos de criptografía de clave pública para firma electrónica avanzada.</w:t>
      </w:r>
    </w:p>
    <w:p w14:paraId="21760428"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•Especificaciones de conversión de la firma electrónica avanzada a Base 64.</w:t>
      </w:r>
    </w:p>
    <w:p w14:paraId="478A46AD"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Para la generación de sellos digitales se utiliza criptografía de clave pública aplicada a una cadena original.</w:t>
      </w:r>
    </w:p>
    <w:p w14:paraId="1EC63404"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p>
    <w:p w14:paraId="34C636C6"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lastRenderedPageBreak/>
        <w:t>Criptografía de la Clave Pública</w:t>
      </w:r>
    </w:p>
    <w:p w14:paraId="3330220C"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p>
    <w:p w14:paraId="5896F136"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 xml:space="preserve">La criptografía de Clave Pública se basa en la generación de una pareja de números muy grandes relacionados íntimamente entre sí, de tal manera que una operación de </w:t>
      </w:r>
      <w:proofErr w:type="spellStart"/>
      <w:r w:rsidRPr="005B4090">
        <w:rPr>
          <w:rFonts w:eastAsia="Times New Roman" w:cs="Tahoma"/>
          <w:bCs/>
          <w:i/>
          <w:color w:val="000000"/>
          <w:sz w:val="20"/>
          <w:lang w:val="es-ES" w:eastAsia="es-ES"/>
        </w:rPr>
        <w:t>encripción</w:t>
      </w:r>
      <w:proofErr w:type="spellEnd"/>
      <w:r w:rsidRPr="005B4090">
        <w:rPr>
          <w:rFonts w:eastAsia="Times New Roman" w:cs="Tahoma"/>
          <w:bCs/>
          <w:i/>
          <w:color w:val="000000"/>
          <w:sz w:val="20"/>
          <w:lang w:val="es-ES" w:eastAsia="es-ES"/>
        </w:rPr>
        <w:t xml:space="preserve"> sobre un mensaje tomando como clave de </w:t>
      </w:r>
      <w:proofErr w:type="spellStart"/>
      <w:r w:rsidRPr="005B4090">
        <w:rPr>
          <w:rFonts w:eastAsia="Times New Roman" w:cs="Tahoma"/>
          <w:bCs/>
          <w:i/>
          <w:color w:val="000000"/>
          <w:sz w:val="20"/>
          <w:lang w:val="es-ES" w:eastAsia="es-ES"/>
        </w:rPr>
        <w:t>encripción</w:t>
      </w:r>
      <w:proofErr w:type="spellEnd"/>
      <w:r w:rsidRPr="005B4090">
        <w:rPr>
          <w:rFonts w:eastAsia="Times New Roman" w:cs="Tahoma"/>
          <w:bCs/>
          <w:i/>
          <w:color w:val="000000"/>
          <w:sz w:val="20"/>
          <w:lang w:val="es-ES" w:eastAsia="es-ES"/>
        </w:rPr>
        <w:t xml:space="preserve"> a uno de los dos números, produce un mensaje alterado en su significado que solo puede ser devuelto a su estado original mediante la operación de </w:t>
      </w:r>
      <w:proofErr w:type="spellStart"/>
      <w:r w:rsidRPr="005B4090">
        <w:rPr>
          <w:rFonts w:eastAsia="Times New Roman" w:cs="Tahoma"/>
          <w:bCs/>
          <w:i/>
          <w:color w:val="000000"/>
          <w:sz w:val="20"/>
          <w:lang w:val="es-ES" w:eastAsia="es-ES"/>
        </w:rPr>
        <w:t>desencripción</w:t>
      </w:r>
      <w:proofErr w:type="spellEnd"/>
      <w:r w:rsidRPr="005B4090">
        <w:rPr>
          <w:rFonts w:eastAsia="Times New Roman" w:cs="Tahoma"/>
          <w:bCs/>
          <w:i/>
          <w:color w:val="000000"/>
          <w:sz w:val="20"/>
          <w:lang w:val="es-ES" w:eastAsia="es-ES"/>
        </w:rPr>
        <w:t xml:space="preserve"> correspondiente tomando como clave de </w:t>
      </w:r>
      <w:proofErr w:type="spellStart"/>
      <w:r w:rsidRPr="005B4090">
        <w:rPr>
          <w:rFonts w:eastAsia="Times New Roman" w:cs="Tahoma"/>
          <w:bCs/>
          <w:i/>
          <w:color w:val="000000"/>
          <w:sz w:val="20"/>
          <w:lang w:val="es-ES" w:eastAsia="es-ES"/>
        </w:rPr>
        <w:t>desencripción</w:t>
      </w:r>
      <w:proofErr w:type="spellEnd"/>
      <w:r w:rsidRPr="005B4090">
        <w:rPr>
          <w:rFonts w:eastAsia="Times New Roman" w:cs="Tahoma"/>
          <w:bCs/>
          <w:i/>
          <w:color w:val="000000"/>
          <w:sz w:val="20"/>
          <w:lang w:val="es-ES" w:eastAsia="es-ES"/>
        </w:rPr>
        <w:t xml:space="preserve"> al otro número de la pareja.</w:t>
      </w:r>
    </w:p>
    <w:p w14:paraId="31B09011" w14:textId="77777777" w:rsidR="001C36A7" w:rsidRPr="005B4090" w:rsidRDefault="001C36A7" w:rsidP="001C36A7">
      <w:pPr>
        <w:spacing w:after="0" w:line="360" w:lineRule="auto"/>
        <w:ind w:left="567" w:right="567"/>
        <w:contextualSpacing/>
        <w:rPr>
          <w:rFonts w:eastAsia="Times New Roman" w:cs="Tahoma"/>
          <w:bCs/>
          <w:i/>
          <w:color w:val="000000"/>
          <w:sz w:val="20"/>
          <w:lang w:val="es-ES" w:eastAsia="es-ES"/>
        </w:rPr>
      </w:pPr>
      <w:r w:rsidRPr="005B4090">
        <w:rPr>
          <w:rFonts w:eastAsia="Times New Roman" w:cs="Tahoma"/>
          <w:bCs/>
          <w:i/>
          <w:color w:val="000000"/>
          <w:sz w:val="20"/>
          <w:lang w:val="es-ES" w:eastAsia="es-ES"/>
        </w:rPr>
        <w:t>…”</w:t>
      </w:r>
    </w:p>
    <w:p w14:paraId="5D93A1C8"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 </w:t>
      </w:r>
    </w:p>
    <w:p w14:paraId="03B26C0C"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Es decir, por sí solos las </w:t>
      </w:r>
      <w:proofErr w:type="gramStart"/>
      <w:r w:rsidRPr="005B4090">
        <w:rPr>
          <w:rFonts w:eastAsia="Times New Roman" w:cs="Tahoma"/>
          <w:bCs/>
          <w:color w:val="000000"/>
          <w:lang w:val="es-ES" w:eastAsia="es-ES"/>
        </w:rPr>
        <w:t>cadenas originales y los sellos originales</w:t>
      </w:r>
      <w:proofErr w:type="gramEnd"/>
      <w:r w:rsidRPr="005B4090">
        <w:rPr>
          <w:rFonts w:eastAsia="Times New Roman" w:cs="Tahoma"/>
          <w:bCs/>
          <w:color w:val="000000"/>
          <w:lang w:val="es-ES" w:eastAsia="es-ES"/>
        </w:rPr>
        <w:t xml:space="preserve">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EE7BB88" w14:textId="77777777" w:rsidR="001C36A7" w:rsidRPr="005B4090" w:rsidRDefault="001C36A7" w:rsidP="001C36A7">
      <w:pPr>
        <w:spacing w:after="0" w:line="360" w:lineRule="auto"/>
        <w:contextualSpacing/>
        <w:rPr>
          <w:rFonts w:eastAsia="Times New Roman" w:cs="Tahoma"/>
          <w:bCs/>
          <w:color w:val="000000"/>
          <w:lang w:val="es-ES" w:eastAsia="es-ES"/>
        </w:rPr>
      </w:pPr>
    </w:p>
    <w:p w14:paraId="4B1252EE"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19045E7D" w14:textId="77777777" w:rsidR="001C36A7" w:rsidRPr="005B4090" w:rsidRDefault="001C36A7" w:rsidP="001C36A7">
      <w:pPr>
        <w:spacing w:after="0" w:line="360" w:lineRule="auto"/>
        <w:contextualSpacing/>
        <w:rPr>
          <w:rFonts w:eastAsia="Times New Roman" w:cs="Tahoma"/>
          <w:bCs/>
          <w:color w:val="000000"/>
          <w:lang w:val="es-ES" w:eastAsia="es-ES"/>
        </w:rPr>
      </w:pPr>
    </w:p>
    <w:p w14:paraId="57A995B6" w14:textId="77777777" w:rsidR="001C36A7" w:rsidRPr="005B4090" w:rsidRDefault="001C36A7" w:rsidP="001C36A7">
      <w:pPr>
        <w:numPr>
          <w:ilvl w:val="0"/>
          <w:numId w:val="18"/>
        </w:numPr>
        <w:spacing w:after="0" w:line="360" w:lineRule="auto"/>
        <w:contextualSpacing/>
        <w:rPr>
          <w:rFonts w:eastAsia="Times New Roman" w:cs="Tahoma"/>
          <w:b/>
          <w:bCs/>
          <w:color w:val="000000"/>
          <w:szCs w:val="24"/>
          <w:lang w:val="es-ES" w:eastAsia="es-ES"/>
        </w:rPr>
      </w:pPr>
      <w:r w:rsidRPr="005B4090">
        <w:rPr>
          <w:rFonts w:eastAsia="Times New Roman" w:cs="Tahoma"/>
          <w:b/>
          <w:bCs/>
          <w:color w:val="000000"/>
          <w:szCs w:val="24"/>
          <w:lang w:val="es-ES" w:eastAsia="es-ES"/>
        </w:rPr>
        <w:t>Folio Fiscal</w:t>
      </w:r>
    </w:p>
    <w:p w14:paraId="1FE138B7" w14:textId="77777777" w:rsidR="001C36A7" w:rsidRPr="005B4090" w:rsidRDefault="001C36A7" w:rsidP="001C36A7">
      <w:pPr>
        <w:spacing w:after="0" w:line="360" w:lineRule="auto"/>
        <w:contextualSpacing/>
        <w:rPr>
          <w:rFonts w:eastAsia="Times New Roman" w:cs="Tahoma"/>
          <w:bCs/>
          <w:color w:val="000000"/>
          <w:lang w:val="es-ES" w:eastAsia="es-ES"/>
        </w:rPr>
      </w:pPr>
    </w:p>
    <w:p w14:paraId="1E4996E7"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Ahora bien, por lo que hace Folio Fiscal,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w:t>
      </w:r>
      <w:r w:rsidRPr="005B4090">
        <w:rPr>
          <w:rFonts w:eastAsia="Times New Roman" w:cs="Tahoma"/>
          <w:bCs/>
          <w:color w:val="000000"/>
          <w:lang w:val="es-ES" w:eastAsia="es-ES"/>
        </w:rPr>
        <w:lastRenderedPageBreak/>
        <w:t>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82EEE45" w14:textId="77777777" w:rsidR="001C36A7" w:rsidRPr="005B4090" w:rsidRDefault="001C36A7" w:rsidP="001C36A7">
      <w:pPr>
        <w:spacing w:after="0" w:line="360" w:lineRule="auto"/>
        <w:contextualSpacing/>
        <w:rPr>
          <w:rFonts w:eastAsia="Times New Roman" w:cs="Tahoma"/>
          <w:bCs/>
          <w:color w:val="000000"/>
          <w:lang w:val="es-ES" w:eastAsia="es-ES"/>
        </w:rPr>
      </w:pPr>
    </w:p>
    <w:p w14:paraId="0B777216" w14:textId="77777777" w:rsidR="001C36A7" w:rsidRPr="005B4090" w:rsidRDefault="001C36A7" w:rsidP="001C36A7">
      <w:pPr>
        <w:spacing w:after="0" w:line="360" w:lineRule="auto"/>
        <w:contextualSpacing/>
        <w:jc w:val="center"/>
        <w:rPr>
          <w:rFonts w:eastAsia="Times New Roman" w:cs="Tahoma"/>
          <w:bCs/>
          <w:color w:val="000000"/>
          <w:lang w:val="es-ES" w:eastAsia="es-ES"/>
        </w:rPr>
      </w:pPr>
      <w:r w:rsidRPr="005B4090">
        <w:rPr>
          <w:rFonts w:eastAsia="Palatino Linotype" w:cs="Palatino Linotype"/>
          <w:noProof/>
          <w:color w:val="000000"/>
          <w:lang w:eastAsia="es-MX"/>
        </w:rPr>
        <w:drawing>
          <wp:inline distT="0" distB="0" distL="0" distR="0" wp14:anchorId="516578A6" wp14:editId="3CD2676D">
            <wp:extent cx="4438650" cy="1028700"/>
            <wp:effectExtent l="0" t="0" r="0" b="0"/>
            <wp:docPr id="10852076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Texto&#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00605F22"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 xml:space="preserve"> </w:t>
      </w:r>
    </w:p>
    <w:p w14:paraId="0C2E441E" w14:textId="77777777" w:rsidR="001C36A7" w:rsidRPr="005B4090" w:rsidRDefault="001C36A7" w:rsidP="001C36A7">
      <w:pPr>
        <w:spacing w:after="0" w:line="360" w:lineRule="auto"/>
        <w:contextualSpacing/>
        <w:rPr>
          <w:rFonts w:eastAsia="Times New Roman" w:cs="Tahoma"/>
          <w:bCs/>
          <w:color w:val="000000"/>
          <w:lang w:val="es-ES" w:eastAsia="es-ES"/>
        </w:rPr>
      </w:pPr>
      <w:r w:rsidRPr="005B4090">
        <w:rPr>
          <w:rFonts w:eastAsia="Times New Roman" w:cs="Tahoma"/>
          <w:bCs/>
          <w:color w:val="000000"/>
          <w:lang w:val="es-ES" w:eastAsia="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5F7DF2E" w14:textId="77777777" w:rsidR="001C36A7" w:rsidRPr="005B4090" w:rsidRDefault="001C36A7" w:rsidP="001C36A7">
      <w:pPr>
        <w:spacing w:after="0" w:line="360" w:lineRule="auto"/>
        <w:contextualSpacing/>
        <w:rPr>
          <w:rFonts w:eastAsia="Times New Roman" w:cs="Tahoma"/>
          <w:bCs/>
          <w:color w:val="000000"/>
          <w:lang w:val="es-ES" w:eastAsia="es-ES"/>
        </w:rPr>
      </w:pPr>
    </w:p>
    <w:p w14:paraId="0A0F02FA" w14:textId="77777777" w:rsidR="001C36A7" w:rsidRPr="005B4090" w:rsidRDefault="001C36A7" w:rsidP="001C36A7">
      <w:pPr>
        <w:tabs>
          <w:tab w:val="left" w:pos="4962"/>
        </w:tabs>
        <w:spacing w:after="0" w:line="360" w:lineRule="auto"/>
        <w:rPr>
          <w:rFonts w:eastAsia="Calibri" w:cs="Tahoma"/>
          <w:bCs/>
          <w:color w:val="auto"/>
          <w:lang w:val="es-ES" w:eastAsia="es-MX"/>
        </w:rPr>
      </w:pPr>
      <w:r w:rsidRPr="005B4090">
        <w:rPr>
          <w:rFonts w:eastAsia="Palatino Linotype" w:cs="Palatino Linotype"/>
          <w:color w:val="000000"/>
          <w:lang w:eastAsia="es-MX"/>
        </w:rPr>
        <w:t>Por lo que, para atender el requerimiento deberá proporcionar los documentos señalados en la presente Resolución, en versión pública, tomando en consideración lo analizado en párrafos previos; p</w:t>
      </w:r>
      <w:r w:rsidRPr="005B4090">
        <w:rPr>
          <w:rFonts w:eastAsia="Times New Roman" w:cs="Tahoma"/>
          <w:bCs/>
          <w:iCs/>
          <w:color w:val="000000"/>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11"/>
    <w:p w14:paraId="4646E678" w14:textId="77777777" w:rsidR="00712AB9" w:rsidRPr="005B4090" w:rsidRDefault="00712AB9" w:rsidP="00595713">
      <w:pPr>
        <w:spacing w:after="0" w:line="360" w:lineRule="auto"/>
        <w:rPr>
          <w:rFonts w:eastAsia="Calibri" w:cs="Tahoma"/>
          <w:bCs/>
        </w:rPr>
      </w:pPr>
    </w:p>
    <w:p w14:paraId="29046F6C" w14:textId="54FFE939" w:rsidR="00712AB9" w:rsidRPr="005B4090" w:rsidRDefault="00712AB9" w:rsidP="00595713">
      <w:pPr>
        <w:pStyle w:val="Ttulo2"/>
        <w:rPr>
          <w:rFonts w:eastAsia="Times New Roman"/>
          <w:lang w:eastAsia="es-ES"/>
        </w:rPr>
      </w:pPr>
      <w:bookmarkStart w:id="13" w:name="_Toc212028290"/>
      <w:r w:rsidRPr="005B4090">
        <w:rPr>
          <w:rFonts w:eastAsia="Times New Roman"/>
          <w:lang w:eastAsia="es-ES"/>
        </w:rPr>
        <w:t>SEXTO. Decisión</w:t>
      </w:r>
      <w:bookmarkEnd w:id="13"/>
    </w:p>
    <w:p w14:paraId="2A33564E" w14:textId="77777777" w:rsidR="00712AB9" w:rsidRPr="005B4090" w:rsidRDefault="00712AB9" w:rsidP="00595713">
      <w:pPr>
        <w:spacing w:after="0" w:line="360" w:lineRule="auto"/>
        <w:rPr>
          <w:rFonts w:eastAsia="Times New Roman" w:cs="Tahoma"/>
          <w:lang w:eastAsia="es-ES"/>
        </w:rPr>
      </w:pPr>
    </w:p>
    <w:p w14:paraId="17C863A0" w14:textId="2909B191" w:rsidR="001B02F7" w:rsidRPr="005B4090" w:rsidRDefault="00B360C8" w:rsidP="001C36A7">
      <w:pPr>
        <w:spacing w:after="0" w:line="360" w:lineRule="auto"/>
        <w:rPr>
          <w:rFonts w:cs="Tahoma"/>
          <w:iCs/>
        </w:rPr>
      </w:pPr>
      <w:r w:rsidRPr="005B4090">
        <w:rPr>
          <w:rFonts w:eastAsia="Times New Roman" w:cs="Tahoma"/>
          <w:color w:val="auto"/>
          <w:lang w:eastAsia="es-ES"/>
        </w:rPr>
        <w:lastRenderedPageBreak/>
        <w:t xml:space="preserve">Con fundamento en el artículo 186, fracción IV, de la Ley de Transparencia y Acceso a la Información Pública del Estado de México y Municipios, este Instituto considera procedente </w:t>
      </w:r>
      <w:r w:rsidRPr="005B4090">
        <w:rPr>
          <w:rFonts w:eastAsia="Times New Roman" w:cs="Tahoma"/>
          <w:b/>
          <w:bCs/>
          <w:color w:val="auto"/>
          <w:lang w:eastAsia="es-ES"/>
        </w:rPr>
        <w:t>ORDENAR</w:t>
      </w:r>
      <w:r w:rsidR="001C36A7" w:rsidRPr="005B4090">
        <w:rPr>
          <w:rFonts w:eastAsia="Times New Roman" w:cs="Tahoma"/>
          <w:color w:val="auto"/>
          <w:lang w:eastAsia="es-ES"/>
        </w:rPr>
        <w:t xml:space="preserve"> al Sujeto Obligado d</w:t>
      </w:r>
      <w:r w:rsidR="001B02F7" w:rsidRPr="005B4090">
        <w:rPr>
          <w:rFonts w:eastAsia="Calibri" w:cs="Tahoma"/>
        </w:rPr>
        <w:t xml:space="preserve">é atención y </w:t>
      </w:r>
      <w:r w:rsidR="001B02F7" w:rsidRPr="005B4090">
        <w:rPr>
          <w:rFonts w:cs="Tahoma"/>
        </w:rPr>
        <w:t>respuesta a las solicitudes d</w:t>
      </w:r>
      <w:r w:rsidR="00361D72" w:rsidRPr="005B4090">
        <w:rPr>
          <w:rFonts w:cs="Tahoma"/>
        </w:rPr>
        <w:t>e información pública</w:t>
      </w:r>
      <w:r w:rsidR="001C36A7" w:rsidRPr="005B4090">
        <w:rPr>
          <w:rFonts w:cs="Tahoma"/>
        </w:rPr>
        <w:t xml:space="preserve"> 00505/TEPOTZOT/IP/2025, 00504/TEPOTZOT/IP/2025, 00494/TEPOTZOT/IP/2025, 00492/TEPOTZOT/IP/2025 y 00472/TEPOTZOT/IP/2025</w:t>
      </w:r>
      <w:r w:rsidR="001B02F7" w:rsidRPr="005B4090">
        <w:rPr>
          <w:rFonts w:cs="Tahoma"/>
          <w:iCs/>
        </w:rPr>
        <w:t>.</w:t>
      </w:r>
    </w:p>
    <w:p w14:paraId="73EDD141" w14:textId="77777777" w:rsidR="001C36A7" w:rsidRPr="005B4090" w:rsidRDefault="001C36A7" w:rsidP="001C36A7">
      <w:pPr>
        <w:spacing w:after="0" w:line="360" w:lineRule="auto"/>
        <w:rPr>
          <w:rFonts w:cs="Tahoma"/>
          <w:iCs/>
        </w:rPr>
      </w:pPr>
    </w:p>
    <w:p w14:paraId="1DB56249" w14:textId="2C944151" w:rsidR="001C36A7" w:rsidRPr="005B4090" w:rsidRDefault="003B742E" w:rsidP="001C36A7">
      <w:pPr>
        <w:spacing w:after="0" w:line="360" w:lineRule="auto"/>
        <w:rPr>
          <w:rFonts w:eastAsia="Palatino Linotype" w:cs="Palatino Linotype"/>
          <w:color w:val="000000"/>
          <w:lang w:eastAsia="es-MX"/>
        </w:rPr>
      </w:pPr>
      <w:r w:rsidRPr="005B4090">
        <w:rPr>
          <w:rFonts w:eastAsia="Palatino Linotype" w:cs="Palatino Linotype"/>
          <w:color w:val="000000"/>
          <w:lang w:eastAsia="es-MX"/>
        </w:rPr>
        <w:t>C</w:t>
      </w:r>
      <w:r w:rsidR="001C36A7" w:rsidRPr="005B4090">
        <w:rPr>
          <w:rFonts w:eastAsia="Palatino Linotype" w:cs="Palatino Linotype"/>
          <w:color w:val="000000"/>
          <w:lang w:eastAsia="es-MX"/>
        </w:rPr>
        <w:t xml:space="preserve">on fundamento en el artículo 186, fracción III, de la Ley de Transparencia y Acceso a la Información Pública del Estado de México y Municipios, este Instituto considera procedente </w:t>
      </w:r>
      <w:r w:rsidR="001C36A7" w:rsidRPr="005B4090">
        <w:rPr>
          <w:rFonts w:eastAsia="Palatino Linotype" w:cs="Palatino Linotype"/>
          <w:b/>
          <w:color w:val="000000"/>
          <w:lang w:eastAsia="es-MX"/>
        </w:rPr>
        <w:t xml:space="preserve">REVOCAR </w:t>
      </w:r>
      <w:r w:rsidR="001C36A7" w:rsidRPr="005B4090">
        <w:rPr>
          <w:rFonts w:eastAsia="Palatino Linotype" w:cs="Palatino Linotype"/>
          <w:color w:val="000000"/>
          <w:lang w:eastAsia="es-MX"/>
        </w:rPr>
        <w:t>la respuesta del Ayu</w:t>
      </w:r>
      <w:r w:rsidRPr="005B4090">
        <w:rPr>
          <w:rFonts w:eastAsia="Palatino Linotype" w:cs="Palatino Linotype"/>
          <w:color w:val="000000"/>
          <w:lang w:eastAsia="es-MX"/>
        </w:rPr>
        <w:t>ntamiento de Tepotzotlán de la solicitud de información 00493/TEPOTZOT/IP/2025</w:t>
      </w:r>
      <w:r w:rsidR="001C36A7" w:rsidRPr="005B4090">
        <w:rPr>
          <w:rFonts w:eastAsia="Palatino Linotype" w:cs="Palatino Linotype"/>
          <w:b/>
          <w:color w:val="000000"/>
          <w:lang w:eastAsia="es-MX"/>
        </w:rPr>
        <w:t xml:space="preserve">, </w:t>
      </w:r>
      <w:r w:rsidR="001C36A7" w:rsidRPr="005B4090">
        <w:rPr>
          <w:rFonts w:eastAsia="Palatino Linotype" w:cs="Palatino Linotype"/>
          <w:color w:val="000000"/>
          <w:lang w:eastAsia="es-MX"/>
        </w:rPr>
        <w:t>a efecto de que entregue la información solicitada.</w:t>
      </w:r>
    </w:p>
    <w:p w14:paraId="44E2CB09" w14:textId="6E58C348" w:rsidR="00F5209A" w:rsidRPr="005B4090" w:rsidRDefault="00F5209A" w:rsidP="003B742E">
      <w:pPr>
        <w:spacing w:after="0" w:line="360" w:lineRule="auto"/>
      </w:pPr>
    </w:p>
    <w:p w14:paraId="16E0554A" w14:textId="0278C975" w:rsidR="00D9713D" w:rsidRPr="005B4090" w:rsidRDefault="00D9713D" w:rsidP="00595713">
      <w:pPr>
        <w:pStyle w:val="Ttulo2"/>
        <w:rPr>
          <w:rFonts w:eastAsia="Times New Roman"/>
          <w:lang w:val="es-ES" w:eastAsia="es-ES"/>
        </w:rPr>
      </w:pPr>
      <w:bookmarkStart w:id="14" w:name="_Toc212028291"/>
      <w:r w:rsidRPr="005B4090">
        <w:rPr>
          <w:rFonts w:eastAsia="Times New Roman"/>
          <w:lang w:val="es-ES" w:eastAsia="es-ES"/>
        </w:rPr>
        <w:t>SÉPTIMO. Vista a la Secretaría Técnica del Pleno</w:t>
      </w:r>
      <w:bookmarkEnd w:id="14"/>
    </w:p>
    <w:p w14:paraId="3734C6B5" w14:textId="77777777" w:rsidR="00D9713D" w:rsidRPr="005B4090" w:rsidRDefault="00D9713D" w:rsidP="00595713">
      <w:pPr>
        <w:spacing w:after="0" w:line="360" w:lineRule="auto"/>
        <w:rPr>
          <w:rFonts w:eastAsia="Times New Roman" w:cs="Tahoma"/>
          <w:b/>
          <w:bCs/>
          <w:iCs/>
          <w:color w:val="auto"/>
          <w:lang w:val="es-ES" w:eastAsia="es-ES"/>
        </w:rPr>
      </w:pPr>
    </w:p>
    <w:p w14:paraId="46D38B62" w14:textId="338672AD" w:rsidR="00FB1036" w:rsidRPr="005B4090"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En el caso en estudio, ha quedado acreditado que el</w:t>
      </w:r>
      <w:r w:rsidR="000C230B" w:rsidRPr="005B4090">
        <w:rPr>
          <w:rFonts w:eastAsia="Calibri" w:cs="Tahoma"/>
        </w:rPr>
        <w:t xml:space="preserve"> </w:t>
      </w:r>
      <w:r w:rsidR="00BA5906" w:rsidRPr="005B4090">
        <w:rPr>
          <w:rFonts w:eastAsia="Calibri" w:cs="Tahoma"/>
        </w:rPr>
        <w:t>Ayuntamiento de Tepotzotlán</w:t>
      </w:r>
      <w:r w:rsidRPr="005B4090">
        <w:rPr>
          <w:rFonts w:eastAsia="Times New Roman" w:cs="Tahoma"/>
          <w:b/>
          <w:bCs/>
          <w:iCs/>
          <w:color w:val="auto"/>
          <w:lang w:val="es-ES" w:eastAsia="es-ES"/>
        </w:rPr>
        <w:t xml:space="preserve">, </w:t>
      </w:r>
      <w:r w:rsidRPr="005B4090">
        <w:rPr>
          <w:rFonts w:eastAsia="Times New Roman" w:cs="Tahoma"/>
          <w:bCs/>
          <w:iCs/>
          <w:color w:val="auto"/>
          <w:lang w:val="es-ES" w:eastAsia="es-ES"/>
        </w:rPr>
        <w:t xml:space="preserve">omitió dar respuesta en el plazo señalado en el artículo 163 de la Ley de Transparencia y Acceso a </w:t>
      </w:r>
      <w:proofErr w:type="gramStart"/>
      <w:r w:rsidRPr="005B4090">
        <w:rPr>
          <w:rFonts w:eastAsia="Times New Roman" w:cs="Tahoma"/>
          <w:bCs/>
          <w:iCs/>
          <w:color w:val="auto"/>
          <w:lang w:val="es-ES" w:eastAsia="es-ES"/>
        </w:rPr>
        <w:t xml:space="preserve">la </w:t>
      </w:r>
      <w:r w:rsidR="0028448B" w:rsidRPr="005B4090">
        <w:rPr>
          <w:rFonts w:eastAsia="Times New Roman" w:cs="Tahoma"/>
          <w:bCs/>
          <w:iCs/>
          <w:color w:val="auto"/>
          <w:lang w:val="es-ES" w:eastAsia="es-ES"/>
        </w:rPr>
        <w:t xml:space="preserve"> </w:t>
      </w:r>
      <w:r w:rsidRPr="005B4090">
        <w:rPr>
          <w:rFonts w:eastAsia="Times New Roman" w:cs="Tahoma"/>
          <w:bCs/>
          <w:iCs/>
          <w:color w:val="auto"/>
          <w:lang w:val="es-ES" w:eastAsia="es-ES"/>
        </w:rPr>
        <w:t>Información</w:t>
      </w:r>
      <w:proofErr w:type="gramEnd"/>
      <w:r w:rsidRPr="005B4090">
        <w:rPr>
          <w:rFonts w:eastAsia="Times New Roman" w:cs="Tahoma"/>
          <w:bCs/>
          <w:iCs/>
          <w:color w:val="auto"/>
          <w:lang w:val="es-ES" w:eastAsia="es-ES"/>
        </w:rPr>
        <w:t xml:space="preserve"> Pública del Estado de México y Municipios. </w:t>
      </w:r>
    </w:p>
    <w:p w14:paraId="090EEA05" w14:textId="77777777" w:rsidR="00FB1036" w:rsidRPr="005B4090" w:rsidRDefault="00FB1036" w:rsidP="00595713">
      <w:pPr>
        <w:spacing w:after="0" w:line="360" w:lineRule="auto"/>
        <w:rPr>
          <w:rFonts w:eastAsia="Times New Roman" w:cs="Tahoma"/>
          <w:bCs/>
          <w:iCs/>
          <w:color w:val="auto"/>
          <w:lang w:val="es-ES" w:eastAsia="es-ES"/>
        </w:rPr>
      </w:pPr>
    </w:p>
    <w:p w14:paraId="50B6CE8E" w14:textId="3C9707B1" w:rsidR="00D9713D" w:rsidRPr="005B4090" w:rsidRDefault="00D9713D" w:rsidP="00595713">
      <w:pPr>
        <w:spacing w:after="0" w:line="360" w:lineRule="auto"/>
        <w:rPr>
          <w:rFonts w:eastAsia="Times New Roman" w:cs="Tahoma"/>
          <w:b/>
          <w:bCs/>
          <w:iCs/>
          <w:color w:val="auto"/>
          <w:lang w:val="es-ES" w:eastAsia="es-ES"/>
        </w:rPr>
      </w:pPr>
      <w:r w:rsidRPr="005B4090">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5B4090">
        <w:rPr>
          <w:rFonts w:eastAsia="Times New Roman" w:cs="Tahoma"/>
          <w:b/>
          <w:bCs/>
          <w:iCs/>
          <w:color w:val="auto"/>
          <w:lang w:val="es-ES" w:eastAsia="es-ES"/>
        </w:rPr>
        <w:t xml:space="preserve">. </w:t>
      </w:r>
    </w:p>
    <w:p w14:paraId="6D4A8C31" w14:textId="77777777" w:rsidR="00D94483" w:rsidRPr="005B4090" w:rsidRDefault="00D94483" w:rsidP="00595713">
      <w:pPr>
        <w:spacing w:after="0" w:line="360" w:lineRule="auto"/>
        <w:rPr>
          <w:rFonts w:eastAsia="Times New Roman" w:cs="Tahoma"/>
          <w:b/>
          <w:bCs/>
          <w:iCs/>
          <w:color w:val="auto"/>
          <w:lang w:val="es-ES" w:eastAsia="es-ES"/>
        </w:rPr>
      </w:pPr>
    </w:p>
    <w:p w14:paraId="23E08BC8" w14:textId="77777777" w:rsidR="00FB1036" w:rsidRPr="005B4090"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5B4090" w:rsidRDefault="00FB1036" w:rsidP="00595713">
      <w:pPr>
        <w:spacing w:after="0" w:line="360" w:lineRule="auto"/>
        <w:rPr>
          <w:rFonts w:eastAsia="Times New Roman" w:cs="Tahoma"/>
          <w:bCs/>
          <w:iCs/>
          <w:color w:val="auto"/>
          <w:lang w:val="es-ES" w:eastAsia="es-ES"/>
        </w:rPr>
      </w:pPr>
    </w:p>
    <w:p w14:paraId="220B2BD4" w14:textId="785F4042" w:rsidR="00D9713D" w:rsidRPr="005B4090"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5B4090" w:rsidRDefault="00D9713D" w:rsidP="00595713">
      <w:pPr>
        <w:spacing w:after="0" w:line="360" w:lineRule="auto"/>
        <w:rPr>
          <w:rFonts w:eastAsia="Times New Roman" w:cs="Tahoma"/>
          <w:bCs/>
          <w:iCs/>
          <w:color w:val="auto"/>
          <w:lang w:val="es-ES" w:eastAsia="es-ES"/>
        </w:rPr>
      </w:pPr>
    </w:p>
    <w:p w14:paraId="257AED57" w14:textId="77777777" w:rsidR="00D9713D" w:rsidRPr="005B4090"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5B4090" w:rsidRDefault="00D9713D" w:rsidP="00595713">
      <w:pPr>
        <w:spacing w:after="0" w:line="360" w:lineRule="auto"/>
        <w:rPr>
          <w:rFonts w:eastAsia="Times New Roman" w:cs="Tahoma"/>
          <w:bCs/>
          <w:iCs/>
          <w:color w:val="auto"/>
          <w:lang w:val="es-ES" w:eastAsia="es-ES"/>
        </w:rPr>
      </w:pPr>
    </w:p>
    <w:p w14:paraId="49C354F8" w14:textId="77777777" w:rsidR="00D9713D" w:rsidRPr="005B4090"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5B4090" w:rsidRDefault="00D9713D" w:rsidP="00595713">
      <w:pPr>
        <w:spacing w:after="0" w:line="360" w:lineRule="auto"/>
        <w:rPr>
          <w:rFonts w:eastAsia="Times New Roman" w:cs="Tahoma"/>
          <w:b/>
          <w:bCs/>
          <w:iCs/>
          <w:color w:val="auto"/>
          <w:lang w:val="es-ES" w:eastAsia="es-ES"/>
        </w:rPr>
      </w:pPr>
    </w:p>
    <w:p w14:paraId="34F224B4" w14:textId="77777777" w:rsidR="00D9713D" w:rsidRPr="005B4090" w:rsidRDefault="00D9713D" w:rsidP="00595713">
      <w:pPr>
        <w:spacing w:after="0" w:line="360" w:lineRule="auto"/>
        <w:rPr>
          <w:rFonts w:eastAsia="Times New Roman" w:cs="Tahoma"/>
          <w:b/>
          <w:bCs/>
          <w:iCs/>
          <w:color w:val="auto"/>
          <w:lang w:val="es-ES" w:eastAsia="es-ES"/>
        </w:rPr>
      </w:pPr>
      <w:r w:rsidRPr="005B4090">
        <w:rPr>
          <w:rFonts w:eastAsia="Times New Roman" w:cs="Tahoma"/>
          <w:b/>
          <w:bCs/>
          <w:iCs/>
          <w:color w:val="auto"/>
          <w:lang w:val="es-ES" w:eastAsia="es-ES"/>
        </w:rPr>
        <w:t>Términos de la Resolución para conocimiento del Particular</w:t>
      </w:r>
    </w:p>
    <w:p w14:paraId="4876DB17" w14:textId="77777777" w:rsidR="00D9713D" w:rsidRPr="005B4090" w:rsidRDefault="00D9713D" w:rsidP="00595713">
      <w:pPr>
        <w:spacing w:after="0" w:line="360" w:lineRule="auto"/>
        <w:rPr>
          <w:rFonts w:eastAsia="Times New Roman" w:cs="Tahoma"/>
          <w:b/>
          <w:bCs/>
          <w:iCs/>
          <w:color w:val="auto"/>
          <w:lang w:val="es-ES" w:eastAsia="es-ES"/>
        </w:rPr>
      </w:pPr>
    </w:p>
    <w:p w14:paraId="29359472" w14:textId="11D1BD29" w:rsidR="00BA5906" w:rsidRPr="005B4090" w:rsidRDefault="00BA5906" w:rsidP="00595713">
      <w:pPr>
        <w:spacing w:after="0" w:line="360" w:lineRule="auto"/>
        <w:rPr>
          <w:rFonts w:cs="Tahoma"/>
          <w:bCs/>
          <w:iCs/>
        </w:rPr>
      </w:pPr>
      <w:r w:rsidRPr="005B4090">
        <w:rPr>
          <w:rFonts w:cs="Tahoma"/>
          <w:bCs/>
          <w:iCs/>
          <w:lang w:val="es-ES"/>
        </w:rPr>
        <w:t xml:space="preserve">Se le hace del conocimiento al Particular, que, para las solicitudes de información pública </w:t>
      </w:r>
      <w:r w:rsidRPr="005B4090">
        <w:rPr>
          <w:rFonts w:cs="Tahoma"/>
        </w:rPr>
        <w:t>00505/TEPOTZOT/IP/2025, 00504/TEPOTZOT/IP/2025, 00494/TEPOTZOT/IP/2025, 00492/TEPOTZOT/IP/2025 y 00472/TEPOTZOT/IP/2025</w:t>
      </w:r>
      <w:r w:rsidRPr="005B4090">
        <w:rPr>
          <w:rFonts w:cs="Tahoma"/>
          <w:bCs/>
          <w:iCs/>
          <w:lang w:val="es-ES"/>
        </w:rPr>
        <w:t xml:space="preserve">, se le da la razón, pues </w:t>
      </w:r>
      <w:r w:rsidRPr="005B4090">
        <w:rPr>
          <w:rFonts w:cs="Tahoma"/>
          <w:bCs/>
          <w:iCs/>
        </w:rPr>
        <w:t xml:space="preserve">el Sujeto Obligado </w:t>
      </w:r>
      <w:r w:rsidRPr="005B4090">
        <w:rPr>
          <w:rFonts w:cs="Tahoma"/>
          <w:bCs/>
          <w:iCs/>
          <w:lang w:val="es-ES"/>
        </w:rPr>
        <w:t xml:space="preserve">no emitió contestación alguna, por lo que, deberá dar atención al requerimiento de información, realizar unas búsqueda exhaustiva y razonable en sus archivos, y en su caso, entregarle la documentación que corresponda.  </w:t>
      </w:r>
      <w:r w:rsidRPr="005B4090">
        <w:rPr>
          <w:rFonts w:cs="Tahoma"/>
          <w:bCs/>
          <w:iCs/>
        </w:rPr>
        <w:t xml:space="preserve">Además, se le informa que, de conformidad con lo establecido en el artículo 179, párrafo segundo, de la Ley de Transparencia y Acceso a la Información Pública del Estado de México y Municipios, tiene derecho a interponer </w:t>
      </w:r>
      <w:r w:rsidRPr="005B4090">
        <w:rPr>
          <w:rFonts w:cs="Tahoma"/>
          <w:bCs/>
          <w:iCs/>
        </w:rPr>
        <w:lastRenderedPageBreak/>
        <w:t>nuevamente Recurso de Revisión ante este Instituto, por la respuesta que dé el Sujeto Obligado, en cumplimiento a esta Resolución.</w:t>
      </w:r>
    </w:p>
    <w:p w14:paraId="365297B3" w14:textId="77777777" w:rsidR="00BA5906" w:rsidRPr="005B4090" w:rsidRDefault="00BA5906" w:rsidP="00595713">
      <w:pPr>
        <w:spacing w:after="0" w:line="360" w:lineRule="auto"/>
        <w:rPr>
          <w:rFonts w:cs="Tahoma"/>
          <w:bCs/>
          <w:iCs/>
        </w:rPr>
      </w:pPr>
    </w:p>
    <w:p w14:paraId="199284A6" w14:textId="09B427AE" w:rsidR="00BA5906" w:rsidRPr="005B4090" w:rsidRDefault="00BA5906" w:rsidP="00595713">
      <w:pPr>
        <w:spacing w:after="0" w:line="360" w:lineRule="auto"/>
        <w:rPr>
          <w:rFonts w:cs="Tahoma"/>
          <w:bCs/>
          <w:iCs/>
          <w:lang w:val="es-ES"/>
        </w:rPr>
      </w:pPr>
      <w:r w:rsidRPr="005B4090">
        <w:rPr>
          <w:rFonts w:cs="Tahoma"/>
          <w:bCs/>
          <w:iCs/>
        </w:rPr>
        <w:t xml:space="preserve">Asimismo, para la solicitud de información 00493/TEPOTZOT/IP/2025, </w:t>
      </w:r>
      <w:r w:rsidRPr="005B4090">
        <w:rPr>
          <w:rFonts w:eastAsia="Palatino Linotype" w:cs="Palatino Linotype"/>
          <w:color w:val="000000"/>
          <w:lang w:eastAsia="es-MX"/>
        </w:rPr>
        <w:t>si bien el Sujeto Obligado dio respuesta, esta no atiende lo solicitado, por lo que, deberá hacer la entrega de la información solicitada.</w:t>
      </w:r>
    </w:p>
    <w:p w14:paraId="1EBCE087" w14:textId="77777777" w:rsidR="00FB1036" w:rsidRPr="005B4090" w:rsidRDefault="00FB1036" w:rsidP="00595713">
      <w:pPr>
        <w:spacing w:after="0" w:line="360" w:lineRule="auto"/>
        <w:rPr>
          <w:rFonts w:eastAsia="Times New Roman" w:cs="Tahoma"/>
          <w:bCs/>
          <w:iCs/>
          <w:color w:val="auto"/>
          <w:lang w:eastAsia="es-ES"/>
        </w:rPr>
      </w:pPr>
    </w:p>
    <w:p w14:paraId="4EFE6226" w14:textId="77777777" w:rsidR="00FB1036" w:rsidRPr="005B4090" w:rsidRDefault="00FB1036" w:rsidP="00595713">
      <w:pPr>
        <w:spacing w:after="0" w:line="360" w:lineRule="auto"/>
        <w:rPr>
          <w:rFonts w:eastAsia="Calibri" w:cs="Times New Roman"/>
          <w:color w:val="000000"/>
        </w:rPr>
      </w:pPr>
      <w:r w:rsidRPr="005B4090">
        <w:rPr>
          <w:rFonts w:eastAsia="Calibri" w:cs="Times New Roman"/>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5B4090" w:rsidRDefault="00D9713D" w:rsidP="00595713">
      <w:pPr>
        <w:spacing w:after="0" w:line="360" w:lineRule="auto"/>
        <w:rPr>
          <w:rFonts w:eastAsia="Times New Roman" w:cs="Tahoma"/>
          <w:b/>
          <w:bCs/>
          <w:iCs/>
          <w:color w:val="auto"/>
          <w:lang w:eastAsia="es-ES"/>
        </w:rPr>
      </w:pPr>
    </w:p>
    <w:p w14:paraId="15186959" w14:textId="6FF1ACBA" w:rsidR="007F6F21" w:rsidRPr="005B4090"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Por lo expuesto y fundado, este Pleno:</w:t>
      </w:r>
    </w:p>
    <w:p w14:paraId="4166A1AD" w14:textId="77777777" w:rsidR="007F6F21" w:rsidRPr="005B4090" w:rsidRDefault="007F6F21" w:rsidP="00595713">
      <w:pPr>
        <w:spacing w:after="0" w:line="360" w:lineRule="auto"/>
        <w:rPr>
          <w:rFonts w:eastAsia="Times New Roman" w:cs="Tahoma"/>
          <w:b/>
          <w:bCs/>
          <w:iCs/>
          <w:color w:val="auto"/>
          <w:lang w:val="es-ES" w:eastAsia="es-ES"/>
        </w:rPr>
      </w:pPr>
    </w:p>
    <w:p w14:paraId="7729DF77" w14:textId="77777777" w:rsidR="00D9713D" w:rsidRPr="005B4090" w:rsidRDefault="00D9713D" w:rsidP="00595713">
      <w:pPr>
        <w:pStyle w:val="Ttulo1"/>
        <w:rPr>
          <w:rFonts w:eastAsia="Times New Roman"/>
          <w:lang w:val="es-ES" w:eastAsia="es-ES"/>
        </w:rPr>
      </w:pPr>
      <w:bookmarkStart w:id="15" w:name="_Toc212028292"/>
      <w:r w:rsidRPr="005B4090">
        <w:rPr>
          <w:rFonts w:eastAsia="Times New Roman"/>
          <w:lang w:val="es-ES" w:eastAsia="es-ES"/>
        </w:rPr>
        <w:t>R E S U E L V E</w:t>
      </w:r>
      <w:bookmarkEnd w:id="15"/>
    </w:p>
    <w:p w14:paraId="1C6ED00B" w14:textId="77777777" w:rsidR="00D9713D" w:rsidRPr="005B4090" w:rsidRDefault="00D9713D" w:rsidP="00595713">
      <w:pPr>
        <w:spacing w:after="0" w:line="360" w:lineRule="auto"/>
        <w:rPr>
          <w:rFonts w:eastAsia="Times New Roman" w:cs="Tahoma"/>
          <w:b/>
          <w:bCs/>
          <w:iCs/>
          <w:color w:val="auto"/>
          <w:lang w:val="es-ES" w:eastAsia="es-ES"/>
        </w:rPr>
      </w:pPr>
    </w:p>
    <w:p w14:paraId="622FFA8E" w14:textId="70F6FDF0" w:rsidR="00D9713D" w:rsidRPr="005B4090" w:rsidRDefault="00D9713D" w:rsidP="00595713">
      <w:pPr>
        <w:spacing w:after="0" w:line="360" w:lineRule="auto"/>
        <w:rPr>
          <w:rFonts w:eastAsia="Times New Roman" w:cs="Tahoma"/>
          <w:b/>
          <w:bCs/>
          <w:iCs/>
          <w:color w:val="auto"/>
          <w:lang w:val="es-ES" w:eastAsia="es-ES"/>
        </w:rPr>
      </w:pPr>
      <w:r w:rsidRPr="005B4090">
        <w:rPr>
          <w:rFonts w:eastAsia="Times New Roman" w:cs="Tahoma"/>
          <w:b/>
          <w:bCs/>
          <w:iCs/>
          <w:color w:val="auto"/>
          <w:lang w:val="es-ES" w:eastAsia="es-ES"/>
        </w:rPr>
        <w:t>PRIMERO.</w:t>
      </w:r>
      <w:r w:rsidRPr="005B4090">
        <w:rPr>
          <w:rFonts w:eastAsia="Times New Roman" w:cs="Tahoma"/>
          <w:bCs/>
          <w:iCs/>
          <w:color w:val="auto"/>
          <w:lang w:val="es-ES" w:eastAsia="es-ES"/>
        </w:rPr>
        <w:t xml:space="preserve"> Resultan</w:t>
      </w:r>
      <w:r w:rsidRPr="005B4090">
        <w:rPr>
          <w:rFonts w:eastAsia="Times New Roman" w:cs="Tahoma"/>
          <w:b/>
          <w:bCs/>
          <w:iCs/>
          <w:color w:val="auto"/>
          <w:lang w:val="es-ES" w:eastAsia="es-ES"/>
        </w:rPr>
        <w:t xml:space="preserve"> FUNDADAS </w:t>
      </w:r>
      <w:r w:rsidRPr="005B4090">
        <w:rPr>
          <w:rFonts w:eastAsia="Times New Roman" w:cs="Tahoma"/>
          <w:bCs/>
          <w:iCs/>
          <w:color w:val="auto"/>
          <w:lang w:val="es-ES" w:eastAsia="es-ES"/>
        </w:rPr>
        <w:t xml:space="preserve">las razones o motivos de inconformidad hechos valer por el Particular en </w:t>
      </w:r>
      <w:r w:rsidR="00DD55A8" w:rsidRPr="005B4090">
        <w:rPr>
          <w:rFonts w:eastAsia="Times New Roman" w:cs="Tahoma"/>
          <w:bCs/>
          <w:iCs/>
          <w:color w:val="auto"/>
          <w:lang w:val="es-ES" w:eastAsia="es-ES"/>
        </w:rPr>
        <w:t>los</w:t>
      </w:r>
      <w:r w:rsidRPr="005B4090">
        <w:rPr>
          <w:rFonts w:eastAsia="Times New Roman" w:cs="Tahoma"/>
          <w:bCs/>
          <w:iCs/>
          <w:color w:val="auto"/>
          <w:lang w:val="es-ES" w:eastAsia="es-ES"/>
        </w:rPr>
        <w:t xml:space="preserve"> Recurso</w:t>
      </w:r>
      <w:r w:rsidR="00DD55A8" w:rsidRPr="005B4090">
        <w:rPr>
          <w:rFonts w:eastAsia="Times New Roman" w:cs="Tahoma"/>
          <w:bCs/>
          <w:iCs/>
          <w:color w:val="auto"/>
          <w:lang w:val="es-ES" w:eastAsia="es-ES"/>
        </w:rPr>
        <w:t>s</w:t>
      </w:r>
      <w:r w:rsidRPr="005B4090">
        <w:rPr>
          <w:rFonts w:eastAsia="Times New Roman" w:cs="Tahoma"/>
          <w:bCs/>
          <w:iCs/>
          <w:color w:val="auto"/>
          <w:lang w:val="es-ES" w:eastAsia="es-ES"/>
        </w:rPr>
        <w:t xml:space="preserve"> de Revisión</w:t>
      </w:r>
      <w:r w:rsidR="006B596F" w:rsidRPr="005B4090">
        <w:rPr>
          <w:rFonts w:cs="Tahoma"/>
          <w:bCs/>
          <w:color w:val="0D0D0D" w:themeColor="text1" w:themeTint="F2"/>
          <w:lang w:val="es-ES_tradnl"/>
        </w:rPr>
        <w:t xml:space="preserve"> 11446/INFOEM/IP/RR/2025, 11447/INFOEM/IP/RR/2025, 11449/INFOEM/IP/RR</w:t>
      </w:r>
      <w:r w:rsidR="008B2A36" w:rsidRPr="005B4090">
        <w:rPr>
          <w:rFonts w:cs="Tahoma"/>
          <w:bCs/>
          <w:color w:val="0D0D0D" w:themeColor="text1" w:themeTint="F2"/>
          <w:lang w:val="es-ES_tradnl"/>
        </w:rPr>
        <w:t xml:space="preserve">/2025, 11450/INFOEM/IP/RR/2025 </w:t>
      </w:r>
      <w:r w:rsidR="006B596F" w:rsidRPr="005B4090">
        <w:rPr>
          <w:rFonts w:cs="Tahoma"/>
          <w:bCs/>
          <w:color w:val="0D0D0D" w:themeColor="text1" w:themeTint="F2"/>
          <w:lang w:val="es-ES_tradnl"/>
        </w:rPr>
        <w:t>y 11490/INFOEM/IP/RR/2025</w:t>
      </w:r>
      <w:r w:rsidR="000C230B" w:rsidRPr="005B4090">
        <w:rPr>
          <w:rFonts w:cs="Tahoma"/>
          <w:color w:val="0D0D0D" w:themeColor="text1" w:themeTint="F2"/>
          <w:lang w:val="es-ES_tradnl"/>
        </w:rPr>
        <w:t xml:space="preserve">, </w:t>
      </w:r>
      <w:r w:rsidRPr="005B4090">
        <w:rPr>
          <w:rFonts w:eastAsia="Times New Roman" w:cs="Tahoma"/>
          <w:bCs/>
          <w:iCs/>
          <w:color w:val="auto"/>
          <w:lang w:val="es-ES" w:eastAsia="es-ES"/>
        </w:rPr>
        <w:t xml:space="preserve">en términos del considerando </w:t>
      </w:r>
      <w:r w:rsidRPr="005B4090">
        <w:rPr>
          <w:rFonts w:eastAsia="Times New Roman" w:cs="Tahoma"/>
          <w:b/>
          <w:bCs/>
          <w:iCs/>
          <w:color w:val="auto"/>
          <w:lang w:val="es-ES" w:eastAsia="es-ES"/>
        </w:rPr>
        <w:t>QUINTO</w:t>
      </w:r>
      <w:r w:rsidRPr="005B4090">
        <w:rPr>
          <w:rFonts w:eastAsia="Times New Roman" w:cs="Tahoma"/>
          <w:bCs/>
          <w:iCs/>
          <w:color w:val="auto"/>
          <w:lang w:val="es-ES" w:eastAsia="es-ES"/>
        </w:rPr>
        <w:t xml:space="preserve"> y </w:t>
      </w:r>
      <w:r w:rsidRPr="005B4090">
        <w:rPr>
          <w:rFonts w:eastAsia="Times New Roman" w:cs="Tahoma"/>
          <w:b/>
          <w:bCs/>
          <w:iCs/>
          <w:color w:val="auto"/>
          <w:lang w:val="es-ES" w:eastAsia="es-ES"/>
        </w:rPr>
        <w:t xml:space="preserve">SEXTO </w:t>
      </w:r>
      <w:r w:rsidRPr="005B4090">
        <w:rPr>
          <w:rFonts w:eastAsia="Times New Roman" w:cs="Tahoma"/>
          <w:bCs/>
          <w:iCs/>
          <w:color w:val="auto"/>
          <w:lang w:val="es-ES" w:eastAsia="es-ES"/>
        </w:rPr>
        <w:t>de la presente Resolución</w:t>
      </w:r>
      <w:r w:rsidRPr="005B4090">
        <w:rPr>
          <w:rFonts w:eastAsia="Times New Roman" w:cs="Tahoma"/>
          <w:b/>
          <w:bCs/>
          <w:iCs/>
          <w:color w:val="auto"/>
          <w:lang w:val="es-ES" w:eastAsia="es-ES"/>
        </w:rPr>
        <w:t>.</w:t>
      </w:r>
    </w:p>
    <w:p w14:paraId="51F3577F" w14:textId="77777777" w:rsidR="00502FC7" w:rsidRPr="005B4090" w:rsidRDefault="00502FC7" w:rsidP="00595713">
      <w:pPr>
        <w:spacing w:after="0" w:line="360" w:lineRule="auto"/>
        <w:rPr>
          <w:rFonts w:eastAsia="Times New Roman" w:cs="Tahoma"/>
          <w:b/>
          <w:bCs/>
          <w:iCs/>
          <w:color w:val="auto"/>
          <w:lang w:val="es-ES" w:eastAsia="es-ES"/>
        </w:rPr>
      </w:pPr>
    </w:p>
    <w:p w14:paraId="1CCA2E37" w14:textId="335177A8" w:rsidR="00502FC7" w:rsidRPr="005B4090" w:rsidRDefault="00502FC7" w:rsidP="00595713">
      <w:pPr>
        <w:spacing w:after="0" w:line="360" w:lineRule="auto"/>
        <w:rPr>
          <w:rFonts w:eastAsia="Times New Roman" w:cs="Tahoma"/>
          <w:b/>
          <w:bCs/>
          <w:iCs/>
          <w:color w:val="auto"/>
          <w:lang w:val="es-ES" w:eastAsia="es-ES"/>
        </w:rPr>
      </w:pPr>
      <w:r w:rsidRPr="005B4090">
        <w:rPr>
          <w:color w:val="000000"/>
        </w:rPr>
        <w:t>Se</w:t>
      </w:r>
      <w:r w:rsidRPr="005B4090">
        <w:rPr>
          <w:b/>
          <w:bCs/>
          <w:color w:val="000000"/>
        </w:rPr>
        <w:t xml:space="preserve"> ORDENA </w:t>
      </w:r>
      <w:r w:rsidRPr="005B4090">
        <w:rPr>
          <w:color w:val="000000"/>
        </w:rPr>
        <w:t>al Sujeto Obligado, a efecto de que dé atención a las solicitudes de acceso a la información</w:t>
      </w:r>
      <w:r w:rsidRPr="005B4090">
        <w:rPr>
          <w:color w:val="0D0D0D"/>
        </w:rPr>
        <w:t xml:space="preserve"> </w:t>
      </w:r>
      <w:r w:rsidRPr="005B4090">
        <w:rPr>
          <w:rFonts w:cs="Tahoma"/>
        </w:rPr>
        <w:t xml:space="preserve">00505/TEPOTZOT/IP/2025, 00504/TEPOTZOT/IP/2025, 00494/TEPOTZOT/IP/2025, 00492/TEPOTZOT/IP/2025 y 00472/TEPOTZOT/IP/2025 </w:t>
      </w:r>
      <w:r w:rsidRPr="005B4090">
        <w:rPr>
          <w:color w:val="000000"/>
        </w:rPr>
        <w:t>y, a través del Sistema de Acceso a la Información Mexiquense (SAIMEX), dé la respuesta que conforme a derecho corresponda</w:t>
      </w:r>
      <w:r w:rsidRPr="005B4090">
        <w:rPr>
          <w:b/>
          <w:bCs/>
          <w:color w:val="000000"/>
          <w:sz w:val="20"/>
          <w:szCs w:val="20"/>
        </w:rPr>
        <w:t>.</w:t>
      </w:r>
    </w:p>
    <w:p w14:paraId="6DF58D54" w14:textId="43A3A69B" w:rsidR="008B2A36" w:rsidRPr="005B4090" w:rsidRDefault="008B2A36" w:rsidP="008B2A36">
      <w:pPr>
        <w:spacing w:after="0" w:line="360" w:lineRule="auto"/>
        <w:contextualSpacing/>
        <w:rPr>
          <w:rFonts w:eastAsia="Palatino Linotype" w:cs="Palatino Linotype"/>
          <w:bCs/>
          <w:color w:val="000000"/>
          <w:lang w:eastAsia="es-MX"/>
        </w:rPr>
      </w:pPr>
      <w:r w:rsidRPr="005B4090">
        <w:rPr>
          <w:rFonts w:eastAsia="Palatino Linotype" w:cs="Tahoma"/>
          <w:b/>
          <w:bCs/>
          <w:color w:val="000000"/>
          <w:lang w:eastAsia="es-MX"/>
        </w:rPr>
        <w:lastRenderedPageBreak/>
        <w:t xml:space="preserve">SEGUNDO. </w:t>
      </w:r>
      <w:r w:rsidRPr="005B4090">
        <w:rPr>
          <w:rFonts w:eastAsia="Palatino Linotype" w:cs="Tahoma"/>
          <w:bCs/>
          <w:color w:val="000000"/>
          <w:lang w:eastAsia="es-MX"/>
        </w:rPr>
        <w:t xml:space="preserve">Se </w:t>
      </w:r>
      <w:r w:rsidRPr="005B4090">
        <w:rPr>
          <w:rFonts w:eastAsia="Palatino Linotype" w:cs="Tahoma"/>
          <w:b/>
          <w:bCs/>
          <w:color w:val="000000"/>
          <w:lang w:eastAsia="es-MX"/>
        </w:rPr>
        <w:t xml:space="preserve">REVOCA </w:t>
      </w:r>
      <w:r w:rsidRPr="005B4090">
        <w:rPr>
          <w:rFonts w:eastAsia="Palatino Linotype" w:cs="Tahoma"/>
          <w:bCs/>
          <w:color w:val="000000"/>
          <w:lang w:eastAsia="es-MX"/>
        </w:rPr>
        <w:t>la respuesta entregada por el Ayuntamiento de Tepotzotlán, a la solicitud de información</w:t>
      </w:r>
      <w:r w:rsidRPr="005B4090">
        <w:rPr>
          <w:rFonts w:eastAsia="Palatino Linotype" w:cs="Palatino Linotype"/>
          <w:color w:val="000000"/>
          <w:lang w:eastAsia="es-MX"/>
        </w:rPr>
        <w:t xml:space="preserve"> 00493/TEPOTZOT/IP/2025</w:t>
      </w:r>
      <w:r w:rsidRPr="005B4090">
        <w:rPr>
          <w:rFonts w:eastAsia="Palatino Linotype" w:cs="Palatino Linotype"/>
          <w:bCs/>
          <w:color w:val="000000"/>
          <w:lang w:eastAsia="es-MX"/>
        </w:rPr>
        <w:t xml:space="preserve">, por resultar </w:t>
      </w:r>
      <w:r w:rsidRPr="005B4090">
        <w:rPr>
          <w:rFonts w:eastAsia="Palatino Linotype" w:cs="Palatino Linotype"/>
          <w:b/>
          <w:bCs/>
          <w:color w:val="000000"/>
          <w:lang w:eastAsia="es-MX"/>
        </w:rPr>
        <w:t>FUNDADAS</w:t>
      </w:r>
      <w:r w:rsidRPr="005B4090">
        <w:rPr>
          <w:rFonts w:eastAsia="Palatino Linotype" w:cs="Tahoma"/>
          <w:b/>
          <w:bCs/>
          <w:color w:val="000000"/>
          <w:lang w:eastAsia="es-MX"/>
        </w:rPr>
        <w:t xml:space="preserve"> </w:t>
      </w:r>
      <w:r w:rsidRPr="005B4090">
        <w:rPr>
          <w:rFonts w:eastAsia="Calibri" w:cs="Tahoma"/>
          <w:bCs/>
          <w:color w:val="000000"/>
          <w:lang w:eastAsia="es-MX"/>
        </w:rPr>
        <w:t>las razones o motivos de inconformidad hechos valer por el Recurrente</w:t>
      </w:r>
      <w:r w:rsidRPr="005B4090">
        <w:rPr>
          <w:rFonts w:eastAsia="Palatino Linotype" w:cs="Tahoma"/>
          <w:bCs/>
          <w:color w:val="000000"/>
          <w:lang w:eastAsia="es-MX"/>
        </w:rPr>
        <w:t xml:space="preserve">, </w:t>
      </w:r>
      <w:r w:rsidRPr="005B4090">
        <w:rPr>
          <w:rFonts w:eastAsia="Calibri" w:cs="Tahoma"/>
          <w:bCs/>
          <w:color w:val="000000"/>
          <w:lang w:eastAsia="es-MX"/>
        </w:rPr>
        <w:t>en términos de los considerandos QUINTO y SEXTO de la presente Resolución.</w:t>
      </w:r>
    </w:p>
    <w:p w14:paraId="0949ED3E" w14:textId="77777777" w:rsidR="008B2A36" w:rsidRPr="005B4090" w:rsidRDefault="008B2A36" w:rsidP="00595713">
      <w:pPr>
        <w:spacing w:after="0" w:line="360" w:lineRule="auto"/>
        <w:rPr>
          <w:rFonts w:eastAsia="Times New Roman" w:cs="Tahoma"/>
          <w:b/>
          <w:bCs/>
          <w:iCs/>
          <w:color w:val="auto"/>
          <w:lang w:val="es-ES" w:eastAsia="es-ES"/>
        </w:rPr>
      </w:pPr>
    </w:p>
    <w:p w14:paraId="44EEA68C" w14:textId="23AF4CBD" w:rsidR="006B596F" w:rsidRPr="005B4090" w:rsidRDefault="00D9713D" w:rsidP="00502FC7">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Se</w:t>
      </w:r>
      <w:r w:rsidRPr="005B4090">
        <w:rPr>
          <w:rFonts w:eastAsia="Times New Roman" w:cs="Tahoma"/>
          <w:b/>
          <w:bCs/>
          <w:iCs/>
          <w:color w:val="auto"/>
          <w:lang w:val="es-ES" w:eastAsia="es-ES"/>
        </w:rPr>
        <w:t xml:space="preserve"> ORDENA </w:t>
      </w:r>
      <w:r w:rsidRPr="005B4090">
        <w:rPr>
          <w:rFonts w:eastAsia="Times New Roman" w:cs="Tahoma"/>
          <w:bCs/>
          <w:iCs/>
          <w:color w:val="auto"/>
          <w:lang w:val="es-ES" w:eastAsia="es-ES"/>
        </w:rPr>
        <w:t>al Sujeto Obligado, a efecto de que</w:t>
      </w:r>
      <w:r w:rsidR="00502FC7" w:rsidRPr="005B4090">
        <w:rPr>
          <w:rFonts w:eastAsia="Times New Roman" w:cs="Tahoma"/>
          <w:bCs/>
          <w:iCs/>
          <w:color w:val="auto"/>
          <w:lang w:val="es-ES" w:eastAsia="es-ES"/>
        </w:rPr>
        <w:t xml:space="preserve"> previa búsqueda exhaustiva y razonable en los archivos de las unidades administrativas competentes, entregue a </w:t>
      </w:r>
      <w:r w:rsidR="00502FC7" w:rsidRPr="005B4090">
        <w:rPr>
          <w:color w:val="000000"/>
        </w:rPr>
        <w:t>través del Sistema de Acceso a la Información Mexiquense (SAIMEX), en versión pública, lo siguiente:</w:t>
      </w:r>
    </w:p>
    <w:p w14:paraId="70E1EE35" w14:textId="77777777" w:rsidR="00E80826" w:rsidRPr="005B4090" w:rsidRDefault="00E80826" w:rsidP="008B2A36">
      <w:pPr>
        <w:spacing w:after="0" w:line="360" w:lineRule="auto"/>
        <w:rPr>
          <w:rFonts w:eastAsia="Times New Roman" w:cs="Tahoma"/>
          <w:bCs/>
          <w:iCs/>
          <w:color w:val="auto"/>
          <w:lang w:val="es-ES" w:eastAsia="es-ES"/>
        </w:rPr>
      </w:pPr>
    </w:p>
    <w:p w14:paraId="758D8F74" w14:textId="4E91CE23" w:rsidR="001A7824" w:rsidRPr="005B4090" w:rsidRDefault="008B2A36" w:rsidP="00502FC7">
      <w:pPr>
        <w:pStyle w:val="Prrafodelista"/>
        <w:numPr>
          <w:ilvl w:val="0"/>
          <w:numId w:val="22"/>
        </w:numPr>
        <w:spacing w:after="0" w:line="360" w:lineRule="auto"/>
        <w:rPr>
          <w:rFonts w:eastAsia="Times New Roman" w:cs="Times New Roman"/>
          <w:bCs/>
          <w:iCs/>
          <w:color w:val="auto"/>
          <w:szCs w:val="20"/>
          <w:lang w:eastAsia="es-ES"/>
        </w:rPr>
      </w:pPr>
      <w:r w:rsidRPr="005B4090">
        <w:rPr>
          <w:rFonts w:eastAsia="Times New Roman" w:cs="Times New Roman"/>
          <w:bCs/>
          <w:iCs/>
          <w:color w:val="auto"/>
          <w:szCs w:val="20"/>
          <w:lang w:eastAsia="es-ES"/>
        </w:rPr>
        <w:t xml:space="preserve">Los recibos de nómina de todos los jefes </w:t>
      </w:r>
      <w:r w:rsidR="00502FC7" w:rsidRPr="005B4090">
        <w:rPr>
          <w:rFonts w:eastAsia="Times New Roman" w:cs="Times New Roman"/>
          <w:bCs/>
          <w:iCs/>
          <w:color w:val="auto"/>
          <w:szCs w:val="20"/>
          <w:lang w:eastAsia="es-ES"/>
        </w:rPr>
        <w:t>de las áreas que conforman a</w:t>
      </w:r>
      <w:r w:rsidRPr="005B4090">
        <w:rPr>
          <w:rFonts w:eastAsia="Times New Roman" w:cs="Times New Roman"/>
          <w:bCs/>
          <w:iCs/>
          <w:color w:val="auto"/>
          <w:szCs w:val="20"/>
          <w:lang w:eastAsia="es-ES"/>
        </w:rPr>
        <w:t xml:space="preserve"> la Dirección de Desarrollo y Fomento Económico</w:t>
      </w:r>
      <w:r w:rsidR="00502FC7" w:rsidRPr="005B4090">
        <w:rPr>
          <w:rFonts w:eastAsia="Times New Roman" w:cs="Times New Roman"/>
          <w:bCs/>
          <w:iCs/>
          <w:color w:val="auto"/>
          <w:szCs w:val="20"/>
          <w:lang w:eastAsia="es-ES"/>
        </w:rPr>
        <w:t xml:space="preserve"> (incluyendo al titular de la unidad administrativa)</w:t>
      </w:r>
      <w:r w:rsidRPr="005B4090">
        <w:rPr>
          <w:rFonts w:eastAsia="Times New Roman" w:cs="Times New Roman"/>
          <w:bCs/>
          <w:iCs/>
          <w:color w:val="auto"/>
          <w:szCs w:val="20"/>
          <w:lang w:eastAsia="es-ES"/>
        </w:rPr>
        <w:t xml:space="preserve">, </w:t>
      </w:r>
      <w:r w:rsidR="00502FC7" w:rsidRPr="005B4090">
        <w:rPr>
          <w:rFonts w:eastAsia="Times New Roman" w:cs="Times New Roman"/>
          <w:bCs/>
          <w:iCs/>
          <w:color w:val="auto"/>
          <w:szCs w:val="20"/>
          <w:lang w:eastAsia="es-ES"/>
        </w:rPr>
        <w:t>de la primera quincena de enero a la segunda de agosto de dos mil veinticinco</w:t>
      </w:r>
      <w:r w:rsidRPr="005B4090">
        <w:rPr>
          <w:rFonts w:eastAsia="Times New Roman" w:cs="Times New Roman"/>
          <w:bCs/>
          <w:iCs/>
          <w:color w:val="auto"/>
          <w:szCs w:val="20"/>
          <w:lang w:eastAsia="es-ES"/>
        </w:rPr>
        <w:t>.</w:t>
      </w:r>
    </w:p>
    <w:p w14:paraId="2B38D775" w14:textId="77777777" w:rsidR="00005C7F" w:rsidRPr="005B4090" w:rsidRDefault="00005C7F" w:rsidP="00595713">
      <w:pPr>
        <w:autoSpaceDE w:val="0"/>
        <w:autoSpaceDN w:val="0"/>
        <w:adjustRightInd w:val="0"/>
        <w:spacing w:after="0" w:line="360" w:lineRule="auto"/>
        <w:contextualSpacing/>
        <w:rPr>
          <w:rFonts w:eastAsia="Calibri" w:cs="Times New Roman"/>
          <w:color w:val="000000"/>
        </w:rPr>
      </w:pPr>
    </w:p>
    <w:p w14:paraId="3EAE613F" w14:textId="4A9DE7F6" w:rsidR="00005C7F" w:rsidRPr="005B4090" w:rsidRDefault="00005C7F" w:rsidP="00595713">
      <w:pPr>
        <w:spacing w:after="0" w:line="360" w:lineRule="auto"/>
        <w:contextualSpacing/>
        <w:rPr>
          <w:rFonts w:cs="Tahoma"/>
          <w:bCs/>
          <w:iCs/>
          <w:lang w:eastAsia="es-ES"/>
        </w:rPr>
      </w:pPr>
      <w:r w:rsidRPr="005B4090">
        <w:rPr>
          <w:rFonts w:eastAsia="Calibri" w:cs="Tahoma"/>
          <w:bCs/>
          <w:iCs/>
          <w:szCs w:val="24"/>
          <w:lang w:eastAsia="es-ES_tradnl"/>
        </w:rPr>
        <w:t>Además, deberá proporcionar el Acuerdo de Clasificación donde el Comité de Transparencia, confirme la eliminación de los datos o información en la versión pública, o la clasificación de los oficios, en el supuesto que actualicen alguna causal de reserva</w:t>
      </w:r>
      <w:r w:rsidRPr="005B4090">
        <w:rPr>
          <w:rFonts w:cs="Tahoma"/>
          <w:bCs/>
          <w:iCs/>
          <w:lang w:eastAsia="es-ES"/>
        </w:rPr>
        <w:t>, de conformidad con los artículos 49, fracciones II y VIII y 132, fracción II de la Ley de Transparencia y Acceso a la Información Pública del Estado de México y Municipios.</w:t>
      </w:r>
    </w:p>
    <w:p w14:paraId="3A35C132" w14:textId="12E1D1F9" w:rsidR="00D9713D" w:rsidRPr="005B4090" w:rsidRDefault="00D9713D" w:rsidP="00595713">
      <w:pPr>
        <w:spacing w:after="0" w:line="360" w:lineRule="auto"/>
        <w:rPr>
          <w:rFonts w:eastAsia="Times New Roman" w:cs="Tahoma"/>
          <w:bCs/>
          <w:iCs/>
          <w:color w:val="auto"/>
          <w:lang w:val="es-ES" w:eastAsia="es-ES"/>
        </w:rPr>
      </w:pPr>
    </w:p>
    <w:p w14:paraId="3B41699D" w14:textId="386DA5E3" w:rsidR="00D9713D" w:rsidRPr="005B4090" w:rsidRDefault="00502FC7" w:rsidP="00595713">
      <w:pPr>
        <w:spacing w:after="0" w:line="360" w:lineRule="auto"/>
        <w:rPr>
          <w:rFonts w:eastAsia="Times New Roman" w:cs="Tahoma"/>
          <w:b/>
          <w:bCs/>
          <w:iCs/>
          <w:color w:val="auto"/>
          <w:lang w:val="es-ES" w:eastAsia="es-ES"/>
        </w:rPr>
      </w:pPr>
      <w:r w:rsidRPr="005B4090">
        <w:rPr>
          <w:rFonts w:eastAsia="Times New Roman" w:cs="Tahoma"/>
          <w:b/>
          <w:bCs/>
          <w:iCs/>
          <w:color w:val="auto"/>
          <w:lang w:val="es-ES" w:eastAsia="es-ES"/>
        </w:rPr>
        <w:t>TERCERO</w:t>
      </w:r>
      <w:r w:rsidR="00D9713D" w:rsidRPr="005B4090">
        <w:rPr>
          <w:rFonts w:eastAsia="Times New Roman" w:cs="Tahoma"/>
          <w:b/>
          <w:bCs/>
          <w:iCs/>
          <w:color w:val="auto"/>
          <w:lang w:val="es-ES" w:eastAsia="es-ES"/>
        </w:rPr>
        <w:t xml:space="preserve">. </w:t>
      </w:r>
      <w:r w:rsidR="00D9713D" w:rsidRPr="005B4090">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00D9713D" w:rsidRPr="005B4090">
        <w:rPr>
          <w:rFonts w:eastAsia="Times New Roman" w:cs="Tahoma"/>
          <w:b/>
          <w:bCs/>
          <w:iCs/>
          <w:color w:val="auto"/>
          <w:lang w:val="es-ES" w:eastAsia="es-ES"/>
        </w:rPr>
        <w:t xml:space="preserve">.  </w:t>
      </w:r>
    </w:p>
    <w:p w14:paraId="577D8CB1" w14:textId="77777777" w:rsidR="00D9713D" w:rsidRPr="005B4090" w:rsidRDefault="00D9713D" w:rsidP="00595713">
      <w:pPr>
        <w:spacing w:after="0" w:line="360" w:lineRule="auto"/>
        <w:rPr>
          <w:rFonts w:eastAsia="Times New Roman" w:cs="Tahoma"/>
          <w:b/>
          <w:bCs/>
          <w:iCs/>
          <w:color w:val="auto"/>
          <w:lang w:val="es-ES" w:eastAsia="es-ES"/>
        </w:rPr>
      </w:pPr>
    </w:p>
    <w:p w14:paraId="068B4848" w14:textId="2BC0485F" w:rsidR="00D9713D" w:rsidRPr="005B4090" w:rsidRDefault="00502FC7" w:rsidP="00595713">
      <w:pPr>
        <w:spacing w:after="0" w:line="360" w:lineRule="auto"/>
        <w:rPr>
          <w:rFonts w:eastAsia="Times New Roman" w:cs="Tahoma"/>
          <w:b/>
          <w:bCs/>
          <w:iCs/>
          <w:color w:val="auto"/>
          <w:lang w:val="es-ES" w:eastAsia="es-ES"/>
        </w:rPr>
      </w:pPr>
      <w:r w:rsidRPr="005B4090">
        <w:rPr>
          <w:rFonts w:eastAsia="Times New Roman" w:cs="Tahoma"/>
          <w:b/>
          <w:bCs/>
          <w:iCs/>
          <w:color w:val="auto"/>
          <w:lang w:val="es-ES" w:eastAsia="es-ES"/>
        </w:rPr>
        <w:t>CUARTO</w:t>
      </w:r>
      <w:r w:rsidR="00D9713D" w:rsidRPr="005B4090">
        <w:rPr>
          <w:rFonts w:eastAsia="Times New Roman" w:cs="Tahoma"/>
          <w:b/>
          <w:bCs/>
          <w:iCs/>
          <w:color w:val="auto"/>
          <w:lang w:val="es-ES" w:eastAsia="es-ES"/>
        </w:rPr>
        <w:t xml:space="preserve">. NOTIFÍQUESE POR SAIMEX </w:t>
      </w:r>
      <w:r w:rsidR="00D9713D" w:rsidRPr="005B4090">
        <w:rPr>
          <w:rFonts w:eastAsia="Times New Roman" w:cs="Tahoma"/>
          <w:bCs/>
          <w:iCs/>
          <w:color w:val="auto"/>
          <w:lang w:val="es-ES" w:eastAsia="es-ES"/>
        </w:rPr>
        <w:t xml:space="preserve">la presente resolución al Titular de la Unidad de Transparencia del Sujeto Obligado, para que conforme al artículo 186 último párrafo, 189 </w:t>
      </w:r>
      <w:r w:rsidR="00D9713D" w:rsidRPr="005B4090">
        <w:rPr>
          <w:rFonts w:eastAsia="Times New Roman" w:cs="Tahoma"/>
          <w:bCs/>
          <w:iCs/>
          <w:color w:val="auto"/>
          <w:lang w:val="es-ES" w:eastAsia="es-E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60ADCD" w14:textId="77777777" w:rsidR="00D9713D" w:rsidRPr="005B4090" w:rsidRDefault="00D9713D" w:rsidP="00595713">
      <w:pPr>
        <w:spacing w:after="0" w:line="360" w:lineRule="auto"/>
        <w:rPr>
          <w:rFonts w:eastAsia="Times New Roman" w:cs="Tahoma"/>
          <w:b/>
          <w:bCs/>
          <w:iCs/>
          <w:color w:val="auto"/>
          <w:lang w:val="es-ES" w:eastAsia="es-ES"/>
        </w:rPr>
      </w:pPr>
    </w:p>
    <w:p w14:paraId="1FF85B6E" w14:textId="2C9486D3" w:rsidR="00D9713D" w:rsidRPr="005B4090" w:rsidRDefault="00502FC7" w:rsidP="00595713">
      <w:pPr>
        <w:spacing w:after="0" w:line="360" w:lineRule="auto"/>
        <w:rPr>
          <w:rFonts w:eastAsia="Times New Roman" w:cs="Tahoma"/>
          <w:bCs/>
          <w:iCs/>
          <w:color w:val="auto"/>
          <w:lang w:val="es-ES" w:eastAsia="es-ES"/>
        </w:rPr>
      </w:pPr>
      <w:r w:rsidRPr="005B4090">
        <w:rPr>
          <w:rFonts w:eastAsia="Times New Roman" w:cs="Tahoma"/>
          <w:b/>
          <w:bCs/>
          <w:iCs/>
          <w:color w:val="auto"/>
          <w:lang w:val="es-ES" w:eastAsia="es-ES"/>
        </w:rPr>
        <w:t>QUINTO.</w:t>
      </w:r>
      <w:r w:rsidR="00D9713D" w:rsidRPr="005B4090">
        <w:rPr>
          <w:rFonts w:eastAsia="Times New Roman" w:cs="Tahoma"/>
          <w:b/>
          <w:bCs/>
          <w:iCs/>
          <w:color w:val="auto"/>
          <w:lang w:val="es-ES" w:eastAsia="es-ES"/>
        </w:rPr>
        <w:t xml:space="preserve"> NOTIFÍQUESE POR SAIMEX </w:t>
      </w:r>
      <w:r w:rsidR="00D9713D" w:rsidRPr="005B4090">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5B4090" w:rsidRDefault="00D9713D" w:rsidP="00595713">
      <w:pPr>
        <w:spacing w:after="0" w:line="360" w:lineRule="auto"/>
        <w:rPr>
          <w:rFonts w:eastAsia="Times New Roman" w:cs="Tahoma"/>
          <w:b/>
          <w:bCs/>
          <w:iCs/>
          <w:color w:val="auto"/>
          <w:lang w:val="es-ES" w:eastAsia="es-ES"/>
        </w:rPr>
      </w:pPr>
    </w:p>
    <w:p w14:paraId="257B2DDE" w14:textId="7FE382E5" w:rsidR="00D9713D" w:rsidRPr="005B4090" w:rsidRDefault="00502FC7" w:rsidP="00595713">
      <w:pPr>
        <w:spacing w:after="0" w:line="360" w:lineRule="auto"/>
        <w:rPr>
          <w:rFonts w:eastAsia="Times New Roman" w:cs="Tahoma"/>
          <w:b/>
          <w:bCs/>
          <w:iCs/>
          <w:color w:val="auto"/>
          <w:lang w:val="es-ES" w:eastAsia="es-ES"/>
        </w:rPr>
      </w:pPr>
      <w:r w:rsidRPr="005B4090">
        <w:rPr>
          <w:rFonts w:eastAsia="Times New Roman" w:cs="Tahoma"/>
          <w:b/>
          <w:bCs/>
          <w:iCs/>
          <w:color w:val="auto"/>
          <w:lang w:val="es-ES" w:eastAsia="es-ES"/>
        </w:rPr>
        <w:t>SEXTO</w:t>
      </w:r>
      <w:r w:rsidR="00D9713D" w:rsidRPr="005B4090">
        <w:rPr>
          <w:rFonts w:eastAsia="Times New Roman" w:cs="Tahoma"/>
          <w:b/>
          <w:bCs/>
          <w:iCs/>
          <w:color w:val="auto"/>
          <w:lang w:val="es-ES" w:eastAsia="es-ES"/>
        </w:rPr>
        <w:t xml:space="preserve">. </w:t>
      </w:r>
      <w:r w:rsidR="00D9713D" w:rsidRPr="005B4090">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00D9713D" w:rsidRPr="005B4090">
        <w:rPr>
          <w:rFonts w:eastAsia="Times New Roman" w:cs="Tahoma"/>
          <w:b/>
          <w:bCs/>
          <w:iCs/>
          <w:color w:val="auto"/>
          <w:lang w:val="es-ES" w:eastAsia="es-ES"/>
        </w:rPr>
        <w:t>SÉPTIMO</w:t>
      </w:r>
      <w:r w:rsidR="00D9713D" w:rsidRPr="005B4090">
        <w:rPr>
          <w:rFonts w:eastAsia="Times New Roman" w:cs="Tahoma"/>
          <w:bCs/>
          <w:iCs/>
          <w:color w:val="auto"/>
          <w:lang w:val="es-ES" w:eastAsia="es-ES"/>
        </w:rPr>
        <w:t xml:space="preserve"> de la presente Resolución.</w:t>
      </w:r>
    </w:p>
    <w:p w14:paraId="019B692E" w14:textId="77777777" w:rsidR="00D9713D" w:rsidRPr="005B4090" w:rsidRDefault="00D9713D" w:rsidP="00595713">
      <w:pPr>
        <w:spacing w:after="0" w:line="360" w:lineRule="auto"/>
        <w:rPr>
          <w:rFonts w:eastAsia="Times New Roman" w:cs="Tahoma"/>
          <w:b/>
          <w:bCs/>
          <w:iCs/>
          <w:color w:val="auto"/>
          <w:lang w:val="es-ES" w:eastAsia="es-ES"/>
        </w:rPr>
      </w:pPr>
    </w:p>
    <w:p w14:paraId="421EC0C9" w14:textId="6BB8CED1" w:rsidR="00D9713D" w:rsidRPr="00D9713D" w:rsidRDefault="00D9713D" w:rsidP="00595713">
      <w:pPr>
        <w:spacing w:after="0" w:line="360" w:lineRule="auto"/>
        <w:rPr>
          <w:rFonts w:eastAsia="Times New Roman" w:cs="Tahoma"/>
          <w:bCs/>
          <w:iCs/>
          <w:color w:val="auto"/>
          <w:lang w:val="es-ES" w:eastAsia="es-ES"/>
        </w:rPr>
      </w:pPr>
      <w:r w:rsidRPr="005B4090">
        <w:rPr>
          <w:rFonts w:eastAsia="Times New Roman" w:cs="Tahoma"/>
          <w:bCs/>
          <w:iCs/>
          <w:color w:val="auto"/>
          <w:lang w:val="es-ES" w:eastAsia="es-ES"/>
        </w:rPr>
        <w:t xml:space="preserve">ASÍ LO RESUELVE, POR </w:t>
      </w:r>
      <w:r w:rsidRPr="005B4090">
        <w:rPr>
          <w:rFonts w:eastAsia="Times New Roman" w:cs="Tahoma"/>
          <w:b/>
          <w:bCs/>
          <w:iCs/>
          <w:color w:val="auto"/>
          <w:lang w:val="es-ES" w:eastAsia="es-ES"/>
        </w:rPr>
        <w:t>UNANIMIDAD</w:t>
      </w:r>
      <w:r w:rsidRPr="005B4090">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8C4921" w:rsidRPr="005B4090">
        <w:rPr>
          <w:rFonts w:eastAsia="Times New Roman" w:cs="Tahoma"/>
          <w:bCs/>
          <w:iCs/>
          <w:color w:val="auto"/>
          <w:lang w:val="es-ES" w:eastAsia="es-ES"/>
        </w:rPr>
        <w:t xml:space="preserve"> </w:t>
      </w:r>
      <w:r w:rsidR="007248B4">
        <w:rPr>
          <w:rFonts w:eastAsia="Calibri" w:cs="Tahoma"/>
          <w:bCs/>
        </w:rPr>
        <w:t>(</w:t>
      </w:r>
      <w:r w:rsidR="008C4921" w:rsidRPr="005B4090">
        <w:rPr>
          <w:rFonts w:eastAsia="Calibri" w:cs="Tahoma"/>
          <w:bCs/>
        </w:rPr>
        <w:t>AUSENCIA JUSTIFICADA)</w:t>
      </w:r>
      <w:r w:rsidRPr="005B4090">
        <w:rPr>
          <w:rFonts w:eastAsia="Times New Roman" w:cs="Tahoma"/>
          <w:bCs/>
          <w:iCs/>
          <w:color w:val="auto"/>
          <w:lang w:val="es-ES" w:eastAsia="es-ES"/>
        </w:rPr>
        <w:t xml:space="preserve">, SHARON CRISTINA MORALES MARTÍNEZ, LUIS GUSTAVO PARRA NORIEGA </w:t>
      </w:r>
      <w:r w:rsidR="008B2A36" w:rsidRPr="005B4090">
        <w:rPr>
          <w:rFonts w:eastAsia="Times New Roman" w:cs="Tahoma"/>
          <w:bCs/>
          <w:iCs/>
          <w:color w:val="auto"/>
          <w:lang w:val="es-ES" w:eastAsia="es-ES"/>
        </w:rPr>
        <w:t xml:space="preserve">Y GUADALUPE RAMÍREZ PEÑA, EN LA </w:t>
      </w:r>
      <w:r w:rsidR="005B4090">
        <w:rPr>
          <w:rFonts w:eastAsia="Times New Roman" w:cs="Tahoma"/>
          <w:bCs/>
          <w:iCs/>
          <w:color w:val="auto"/>
          <w:lang w:val="es-ES" w:eastAsia="es-ES"/>
        </w:rPr>
        <w:t>TRIGÉSIMA NOVENA</w:t>
      </w:r>
      <w:r w:rsidR="00407A01" w:rsidRPr="005B4090">
        <w:rPr>
          <w:rFonts w:eastAsia="Times New Roman" w:cs="Tahoma"/>
          <w:bCs/>
          <w:iCs/>
          <w:color w:val="auto"/>
          <w:lang w:val="es-ES" w:eastAsia="es-ES"/>
        </w:rPr>
        <w:t xml:space="preserve"> SESIÓN ORDINARIA, CELEBRADA EL </w:t>
      </w:r>
      <w:r w:rsidR="008B2A36" w:rsidRPr="005B4090">
        <w:rPr>
          <w:rFonts w:eastAsia="Times New Roman" w:cs="Tahoma"/>
          <w:bCs/>
          <w:iCs/>
          <w:color w:val="auto"/>
          <w:lang w:val="es-ES" w:eastAsia="es-ES"/>
        </w:rPr>
        <w:t>CINCO DE NOVIEMBRE</w:t>
      </w:r>
      <w:r w:rsidR="00407A01" w:rsidRPr="005B4090">
        <w:rPr>
          <w:rFonts w:eastAsia="Times New Roman" w:cs="Tahoma"/>
          <w:bCs/>
          <w:iCs/>
          <w:color w:val="auto"/>
          <w:lang w:val="es-ES" w:eastAsia="es-ES"/>
        </w:rPr>
        <w:t xml:space="preserve"> </w:t>
      </w:r>
      <w:r w:rsidRPr="005B4090">
        <w:rPr>
          <w:rFonts w:eastAsia="Times New Roman" w:cs="Tahoma"/>
          <w:bCs/>
          <w:iCs/>
          <w:color w:val="auto"/>
          <w:lang w:val="es-ES" w:eastAsia="es-ES"/>
        </w:rPr>
        <w:t xml:space="preserve">DE DOS MIL </w:t>
      </w:r>
      <w:r w:rsidRPr="005B4090">
        <w:rPr>
          <w:rFonts w:eastAsia="Times New Roman" w:cs="Tahoma"/>
          <w:bCs/>
          <w:iCs/>
          <w:color w:val="auto"/>
          <w:lang w:val="es-ES" w:eastAsia="es-ES"/>
        </w:rPr>
        <w:lastRenderedPageBreak/>
        <w:t>VEINTIC</w:t>
      </w:r>
      <w:r w:rsidR="0019363F" w:rsidRPr="005B4090">
        <w:rPr>
          <w:rFonts w:eastAsia="Times New Roman" w:cs="Tahoma"/>
          <w:bCs/>
          <w:iCs/>
          <w:color w:val="auto"/>
          <w:lang w:val="es-ES" w:eastAsia="es-ES"/>
        </w:rPr>
        <w:t>INCO</w:t>
      </w:r>
      <w:r w:rsidRPr="005B4090">
        <w:rPr>
          <w:rFonts w:eastAsia="Times New Roman" w:cs="Tahoma"/>
          <w:bCs/>
          <w:iCs/>
          <w:color w:val="auto"/>
          <w:lang w:val="es-ES" w:eastAsia="es-ES"/>
        </w:rPr>
        <w:t>, ANTE EL SECRETARIO TÉCNICO DEL PLENO, ALEXIS TAPIA RAMÍREZ.</w:t>
      </w:r>
    </w:p>
    <w:p w14:paraId="7C12D9C2" w14:textId="77777777" w:rsidR="00D9713D" w:rsidRDefault="00D9713D" w:rsidP="00595713">
      <w:pPr>
        <w:spacing w:after="0" w:line="360" w:lineRule="auto"/>
        <w:rPr>
          <w:rFonts w:eastAsia="Times New Roman" w:cs="Tahoma"/>
          <w:color w:val="auto"/>
          <w:lang w:eastAsia="es-ES"/>
        </w:rPr>
      </w:pPr>
    </w:p>
    <w:p w14:paraId="49210536" w14:textId="77777777" w:rsidR="00712AB9" w:rsidRDefault="00712AB9" w:rsidP="00595713">
      <w:pPr>
        <w:spacing w:after="0" w:line="360" w:lineRule="auto"/>
        <w:rPr>
          <w:rFonts w:eastAsia="Times New Roman" w:cs="Tahoma"/>
          <w:lang w:eastAsia="es-ES"/>
        </w:rPr>
      </w:pPr>
    </w:p>
    <w:p w14:paraId="562C9EA5" w14:textId="77777777" w:rsidR="00712AB9" w:rsidRDefault="00712AB9" w:rsidP="00595713">
      <w:pPr>
        <w:spacing w:after="0" w:line="360" w:lineRule="auto"/>
        <w:jc w:val="center"/>
        <w:rPr>
          <w:rFonts w:eastAsia="Times New Roman" w:cs="Tahoma"/>
          <w:b/>
          <w:color w:val="auto"/>
          <w:lang w:val="es-ES" w:eastAsia="es-ES"/>
        </w:rPr>
      </w:pPr>
    </w:p>
    <w:p w14:paraId="6BC1793A" w14:textId="77777777" w:rsidR="007C0C00" w:rsidRDefault="007C0C00" w:rsidP="00595713">
      <w:pPr>
        <w:spacing w:after="0" w:line="360" w:lineRule="auto"/>
        <w:jc w:val="center"/>
        <w:rPr>
          <w:rFonts w:eastAsia="Times New Roman" w:cs="Tahoma"/>
          <w:b/>
          <w:color w:val="auto"/>
          <w:lang w:val="es-ES" w:eastAsia="es-ES"/>
        </w:rPr>
      </w:pPr>
    </w:p>
    <w:p w14:paraId="61DD8436" w14:textId="77777777" w:rsidR="007C0C00" w:rsidRDefault="007C0C00" w:rsidP="00595713">
      <w:pPr>
        <w:spacing w:after="0" w:line="360" w:lineRule="auto"/>
        <w:jc w:val="center"/>
        <w:rPr>
          <w:rFonts w:eastAsia="Times New Roman" w:cs="Tahoma"/>
          <w:b/>
          <w:color w:val="auto"/>
          <w:lang w:val="es-ES" w:eastAsia="es-ES"/>
        </w:rPr>
      </w:pPr>
    </w:p>
    <w:p w14:paraId="700ACFAF" w14:textId="77777777" w:rsidR="007C0C00" w:rsidRDefault="007C0C00" w:rsidP="00595713">
      <w:pPr>
        <w:spacing w:after="0" w:line="360" w:lineRule="auto"/>
        <w:jc w:val="center"/>
        <w:rPr>
          <w:rFonts w:eastAsia="Times New Roman" w:cs="Tahoma"/>
          <w:b/>
          <w:color w:val="auto"/>
          <w:lang w:val="es-ES" w:eastAsia="es-ES"/>
        </w:rPr>
      </w:pPr>
    </w:p>
    <w:p w14:paraId="2CBD3C3C" w14:textId="77777777" w:rsidR="007C0C00" w:rsidRDefault="007C0C00" w:rsidP="00595713">
      <w:pPr>
        <w:spacing w:after="0" w:line="360" w:lineRule="auto"/>
        <w:jc w:val="center"/>
        <w:rPr>
          <w:rFonts w:eastAsia="Times New Roman" w:cs="Tahoma"/>
          <w:b/>
          <w:color w:val="auto"/>
          <w:lang w:val="es-ES" w:eastAsia="es-ES"/>
        </w:rPr>
      </w:pPr>
    </w:p>
    <w:p w14:paraId="477FF12D" w14:textId="77777777" w:rsidR="007C0C00" w:rsidRDefault="007C0C00" w:rsidP="00595713">
      <w:pPr>
        <w:spacing w:after="0" w:line="360" w:lineRule="auto"/>
        <w:jc w:val="center"/>
        <w:rPr>
          <w:rFonts w:eastAsia="Times New Roman" w:cs="Tahoma"/>
          <w:b/>
          <w:color w:val="auto"/>
          <w:lang w:val="es-ES" w:eastAsia="es-ES"/>
        </w:rPr>
      </w:pPr>
    </w:p>
    <w:p w14:paraId="3F298ADF" w14:textId="77777777" w:rsidR="007C0C00" w:rsidRDefault="007C0C00" w:rsidP="00595713">
      <w:pPr>
        <w:spacing w:after="0" w:line="360" w:lineRule="auto"/>
        <w:jc w:val="center"/>
        <w:rPr>
          <w:rFonts w:eastAsia="Times New Roman" w:cs="Tahoma"/>
          <w:b/>
          <w:color w:val="auto"/>
          <w:lang w:val="es-ES" w:eastAsia="es-ES"/>
        </w:rPr>
      </w:pPr>
    </w:p>
    <w:p w14:paraId="10F851DB" w14:textId="77777777" w:rsidR="007C0C00" w:rsidRDefault="007C0C00" w:rsidP="00595713">
      <w:pPr>
        <w:spacing w:after="0" w:line="360" w:lineRule="auto"/>
        <w:jc w:val="center"/>
        <w:rPr>
          <w:rFonts w:eastAsia="Times New Roman" w:cs="Tahoma"/>
          <w:b/>
          <w:color w:val="auto"/>
          <w:lang w:val="es-ES" w:eastAsia="es-ES"/>
        </w:rPr>
      </w:pPr>
    </w:p>
    <w:p w14:paraId="28660817" w14:textId="77777777" w:rsidR="009109DA" w:rsidRDefault="009109DA" w:rsidP="00595713">
      <w:pPr>
        <w:spacing w:after="0" w:line="360" w:lineRule="auto"/>
        <w:ind w:right="-28"/>
        <w:rPr>
          <w:rFonts w:eastAsia="Calibri" w:cs="Tahoma"/>
          <w:b/>
          <w:bCs/>
          <w:color w:val="auto"/>
        </w:rPr>
      </w:pPr>
    </w:p>
    <w:p w14:paraId="4BC3DC36" w14:textId="77777777" w:rsidR="00D501AD" w:rsidRDefault="00D501AD" w:rsidP="00595713">
      <w:pPr>
        <w:spacing w:after="0" w:line="360" w:lineRule="auto"/>
        <w:ind w:right="-28"/>
        <w:rPr>
          <w:rFonts w:eastAsia="Calibri" w:cs="Tahoma"/>
          <w:b/>
          <w:bCs/>
          <w:color w:val="auto"/>
        </w:rPr>
      </w:pPr>
    </w:p>
    <w:p w14:paraId="2BE30686" w14:textId="77777777" w:rsidR="007248B4" w:rsidRDefault="007248B4" w:rsidP="00595713">
      <w:pPr>
        <w:spacing w:after="0" w:line="360" w:lineRule="auto"/>
        <w:ind w:right="-28"/>
        <w:rPr>
          <w:rFonts w:eastAsia="Calibri" w:cs="Tahoma"/>
          <w:b/>
          <w:bCs/>
          <w:color w:val="auto"/>
        </w:rPr>
      </w:pPr>
    </w:p>
    <w:p w14:paraId="3F7E15C7" w14:textId="77777777" w:rsidR="007248B4" w:rsidRDefault="007248B4" w:rsidP="00595713">
      <w:pPr>
        <w:spacing w:after="0" w:line="360" w:lineRule="auto"/>
        <w:ind w:right="-28"/>
        <w:rPr>
          <w:rFonts w:eastAsia="Calibri" w:cs="Tahoma"/>
          <w:b/>
          <w:bCs/>
          <w:color w:val="auto"/>
        </w:rPr>
      </w:pPr>
    </w:p>
    <w:p w14:paraId="631637A0" w14:textId="77777777" w:rsidR="007248B4" w:rsidRDefault="007248B4" w:rsidP="00595713">
      <w:pPr>
        <w:spacing w:after="0" w:line="360" w:lineRule="auto"/>
        <w:ind w:right="-28"/>
        <w:rPr>
          <w:rFonts w:eastAsia="Calibri" w:cs="Tahoma"/>
          <w:b/>
          <w:bCs/>
          <w:color w:val="auto"/>
        </w:rPr>
      </w:pPr>
    </w:p>
    <w:p w14:paraId="6660E823" w14:textId="77777777" w:rsidR="007248B4" w:rsidRDefault="007248B4" w:rsidP="00595713">
      <w:pPr>
        <w:spacing w:after="0" w:line="360" w:lineRule="auto"/>
        <w:ind w:right="-28"/>
        <w:rPr>
          <w:rFonts w:eastAsia="Calibri" w:cs="Tahoma"/>
          <w:b/>
          <w:bCs/>
          <w:color w:val="auto"/>
        </w:rPr>
      </w:pPr>
    </w:p>
    <w:p w14:paraId="2EB67FF3" w14:textId="77777777" w:rsidR="007248B4" w:rsidRDefault="007248B4" w:rsidP="00595713">
      <w:pPr>
        <w:spacing w:after="0" w:line="360" w:lineRule="auto"/>
        <w:ind w:right="-28"/>
        <w:rPr>
          <w:rFonts w:eastAsia="Calibri" w:cs="Tahoma"/>
          <w:b/>
          <w:bCs/>
          <w:color w:val="auto"/>
        </w:rPr>
      </w:pPr>
    </w:p>
    <w:p w14:paraId="2A576312" w14:textId="77777777" w:rsidR="007248B4" w:rsidRDefault="007248B4" w:rsidP="00595713">
      <w:pPr>
        <w:spacing w:after="0" w:line="360" w:lineRule="auto"/>
        <w:ind w:right="-28"/>
        <w:rPr>
          <w:rFonts w:eastAsia="Calibri" w:cs="Tahoma"/>
          <w:b/>
          <w:bCs/>
          <w:color w:val="auto"/>
        </w:rPr>
      </w:pPr>
    </w:p>
    <w:p w14:paraId="7580828D" w14:textId="77777777" w:rsidR="007248B4" w:rsidRDefault="007248B4" w:rsidP="00595713">
      <w:pPr>
        <w:spacing w:after="0" w:line="360" w:lineRule="auto"/>
        <w:ind w:right="-28"/>
        <w:rPr>
          <w:rFonts w:eastAsia="Calibri" w:cs="Tahoma"/>
          <w:b/>
          <w:bCs/>
          <w:color w:val="auto"/>
        </w:rPr>
      </w:pPr>
    </w:p>
    <w:p w14:paraId="5E1D5355" w14:textId="77777777" w:rsidR="007248B4" w:rsidRDefault="007248B4" w:rsidP="00595713">
      <w:pPr>
        <w:spacing w:after="0" w:line="360" w:lineRule="auto"/>
        <w:ind w:right="-28"/>
        <w:rPr>
          <w:rFonts w:eastAsia="Calibri" w:cs="Tahoma"/>
          <w:b/>
          <w:bCs/>
          <w:color w:val="auto"/>
        </w:rPr>
      </w:pPr>
    </w:p>
    <w:p w14:paraId="2612C450" w14:textId="77777777" w:rsidR="007248B4" w:rsidRDefault="007248B4" w:rsidP="00595713">
      <w:pPr>
        <w:spacing w:after="0" w:line="360" w:lineRule="auto"/>
        <w:ind w:right="-28"/>
        <w:rPr>
          <w:rFonts w:eastAsia="Calibri" w:cs="Tahoma"/>
          <w:b/>
          <w:bCs/>
          <w:color w:val="auto"/>
        </w:rPr>
      </w:pPr>
    </w:p>
    <w:p w14:paraId="39020223" w14:textId="77777777" w:rsidR="007248B4" w:rsidRDefault="007248B4" w:rsidP="00595713">
      <w:pPr>
        <w:spacing w:after="0" w:line="360" w:lineRule="auto"/>
        <w:ind w:right="-28"/>
        <w:rPr>
          <w:rFonts w:eastAsia="Calibri" w:cs="Tahoma"/>
          <w:b/>
          <w:bCs/>
          <w:color w:val="auto"/>
        </w:rPr>
      </w:pPr>
    </w:p>
    <w:p w14:paraId="1D18C0B9" w14:textId="77777777" w:rsidR="007248B4" w:rsidRDefault="007248B4" w:rsidP="00595713">
      <w:pPr>
        <w:spacing w:after="0" w:line="360" w:lineRule="auto"/>
        <w:ind w:right="-28"/>
        <w:rPr>
          <w:rFonts w:eastAsia="Calibri" w:cs="Tahoma"/>
          <w:b/>
          <w:bCs/>
          <w:color w:val="auto"/>
        </w:rPr>
      </w:pPr>
    </w:p>
    <w:p w14:paraId="59A64209" w14:textId="77777777" w:rsidR="007248B4" w:rsidRDefault="007248B4" w:rsidP="00595713">
      <w:pPr>
        <w:spacing w:after="0" w:line="360" w:lineRule="auto"/>
        <w:ind w:right="-28"/>
        <w:rPr>
          <w:rFonts w:eastAsia="Calibri" w:cs="Tahoma"/>
          <w:b/>
          <w:bCs/>
          <w:color w:val="auto"/>
        </w:rPr>
      </w:pPr>
    </w:p>
    <w:p w14:paraId="5A404263" w14:textId="77777777" w:rsidR="007248B4" w:rsidRDefault="007248B4" w:rsidP="00595713">
      <w:pPr>
        <w:spacing w:after="0" w:line="360" w:lineRule="auto"/>
        <w:ind w:right="-28"/>
        <w:rPr>
          <w:rFonts w:eastAsia="Calibri" w:cs="Tahoma"/>
          <w:b/>
          <w:bCs/>
          <w:color w:val="auto"/>
        </w:rPr>
      </w:pPr>
    </w:p>
    <w:p w14:paraId="6E3FB81D" w14:textId="77777777" w:rsidR="007248B4" w:rsidRDefault="007248B4" w:rsidP="00595713">
      <w:pPr>
        <w:spacing w:after="0" w:line="360" w:lineRule="auto"/>
        <w:ind w:right="-28"/>
        <w:rPr>
          <w:rFonts w:eastAsia="Calibri" w:cs="Tahoma"/>
          <w:b/>
          <w:bCs/>
          <w:color w:val="auto"/>
        </w:rPr>
      </w:pPr>
    </w:p>
    <w:sectPr w:rsidR="007248B4"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AEF3" w14:textId="77777777" w:rsidR="0080278F" w:rsidRDefault="0080278F" w:rsidP="009109DA">
      <w:pPr>
        <w:spacing w:after="0" w:line="240" w:lineRule="auto"/>
      </w:pPr>
      <w:r>
        <w:separator/>
      </w:r>
    </w:p>
  </w:endnote>
  <w:endnote w:type="continuationSeparator" w:id="0">
    <w:p w14:paraId="247AF47A" w14:textId="77777777" w:rsidR="0080278F" w:rsidRDefault="0080278F" w:rsidP="009109DA">
      <w:pPr>
        <w:spacing w:after="0" w:line="240" w:lineRule="auto"/>
      </w:pPr>
      <w:r>
        <w:continuationSeparator/>
      </w:r>
    </w:p>
  </w:endnote>
  <w:endnote w:type="continuationNotice" w:id="1">
    <w:p w14:paraId="06F7344B" w14:textId="77777777" w:rsidR="0080278F" w:rsidRDefault="00802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1D3D5161" w14:textId="77777777" w:rsidR="002341F2" w:rsidRDefault="002341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2341F2" w:rsidRDefault="002341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1E2C91C" w14:textId="77777777" w:rsidR="002341F2" w:rsidRDefault="002341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48B4">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48B4">
              <w:rPr>
                <w:b/>
                <w:bCs/>
                <w:noProof/>
              </w:rPr>
              <w:t>44</w:t>
            </w:r>
            <w:r>
              <w:rPr>
                <w:b/>
                <w:bCs/>
                <w:sz w:val="24"/>
                <w:szCs w:val="24"/>
              </w:rPr>
              <w:fldChar w:fldCharType="end"/>
            </w:r>
          </w:p>
        </w:sdtContent>
      </w:sdt>
    </w:sdtContent>
  </w:sdt>
  <w:p w14:paraId="044A0D1E" w14:textId="77777777" w:rsidR="002341F2" w:rsidRDefault="002341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1CD3AE81" w14:textId="77777777" w:rsidR="002341F2" w:rsidRDefault="002341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652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6523">
              <w:rPr>
                <w:b/>
                <w:bCs/>
                <w:noProof/>
              </w:rPr>
              <w:t>1</w:t>
            </w:r>
            <w:r>
              <w:rPr>
                <w:b/>
                <w:bCs/>
                <w:sz w:val="24"/>
                <w:szCs w:val="24"/>
              </w:rPr>
              <w:fldChar w:fldCharType="end"/>
            </w:r>
          </w:p>
        </w:sdtContent>
      </w:sdt>
    </w:sdtContent>
  </w:sdt>
  <w:p w14:paraId="7FDA568A" w14:textId="77777777" w:rsidR="002341F2" w:rsidRDefault="002341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7C1A" w14:textId="77777777" w:rsidR="0080278F" w:rsidRDefault="0080278F" w:rsidP="009109DA">
      <w:pPr>
        <w:spacing w:after="0" w:line="240" w:lineRule="auto"/>
      </w:pPr>
      <w:r>
        <w:separator/>
      </w:r>
    </w:p>
  </w:footnote>
  <w:footnote w:type="continuationSeparator" w:id="0">
    <w:p w14:paraId="731B93DE" w14:textId="77777777" w:rsidR="0080278F" w:rsidRDefault="0080278F" w:rsidP="009109DA">
      <w:pPr>
        <w:spacing w:after="0" w:line="240" w:lineRule="auto"/>
      </w:pPr>
      <w:r>
        <w:continuationSeparator/>
      </w:r>
    </w:p>
  </w:footnote>
  <w:footnote w:type="continuationNotice" w:id="1">
    <w:p w14:paraId="41D180E9" w14:textId="77777777" w:rsidR="0080278F" w:rsidRDefault="00802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2341F2" w:rsidRPr="00E152D8" w14:paraId="5CF799E1" w14:textId="77777777" w:rsidTr="00021304">
      <w:trPr>
        <w:trHeight w:val="132"/>
      </w:trPr>
      <w:tc>
        <w:tcPr>
          <w:tcW w:w="2691" w:type="dxa"/>
        </w:tcPr>
        <w:p w14:paraId="58433B88" w14:textId="77777777" w:rsidR="002341F2" w:rsidRPr="00E152D8" w:rsidRDefault="002341F2"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2341F2" w:rsidRPr="00EE1572" w:rsidRDefault="002341F2" w:rsidP="00021304">
          <w:pPr>
            <w:tabs>
              <w:tab w:val="right" w:pos="8838"/>
            </w:tabs>
            <w:ind w:left="-28" w:right="-32"/>
            <w:rPr>
              <w:rFonts w:eastAsia="Calibri" w:cs="Tahoma"/>
            </w:rPr>
          </w:pPr>
          <w:r w:rsidRPr="00EE1572">
            <w:rPr>
              <w:rFonts w:eastAsia="Calibri" w:cs="Tahoma"/>
            </w:rPr>
            <w:t>03846/INFOEM/IP/RR/2020</w:t>
          </w:r>
        </w:p>
      </w:tc>
    </w:tr>
    <w:tr w:rsidR="002341F2" w:rsidRPr="00E152D8" w14:paraId="4F9344E6" w14:textId="77777777" w:rsidTr="00021304">
      <w:trPr>
        <w:trHeight w:val="261"/>
      </w:trPr>
      <w:tc>
        <w:tcPr>
          <w:tcW w:w="2691" w:type="dxa"/>
        </w:tcPr>
        <w:p w14:paraId="21D73B42" w14:textId="77777777" w:rsidR="002341F2" w:rsidRPr="00E152D8" w:rsidRDefault="002341F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2341F2" w:rsidRPr="00EE1572" w:rsidRDefault="002341F2" w:rsidP="00021304">
          <w:pPr>
            <w:tabs>
              <w:tab w:val="right" w:pos="8838"/>
            </w:tabs>
            <w:ind w:right="-32"/>
            <w:rPr>
              <w:rFonts w:eastAsia="Calibri" w:cs="Tahoma"/>
              <w:lang w:val="es-MX"/>
            </w:rPr>
          </w:pPr>
          <w:r w:rsidRPr="00EE1572">
            <w:rPr>
              <w:rFonts w:eastAsia="Calibri" w:cs="Tahoma"/>
              <w:lang w:val="es-MX"/>
            </w:rPr>
            <w:t>Ayuntamiento de Temascalcingo</w:t>
          </w:r>
        </w:p>
      </w:tc>
    </w:tr>
    <w:tr w:rsidR="002341F2" w:rsidRPr="00E152D8" w14:paraId="0CB77E34" w14:textId="77777777" w:rsidTr="00021304">
      <w:trPr>
        <w:trHeight w:val="261"/>
      </w:trPr>
      <w:tc>
        <w:tcPr>
          <w:tcW w:w="2691" w:type="dxa"/>
        </w:tcPr>
        <w:p w14:paraId="5FC71474" w14:textId="77777777" w:rsidR="002341F2" w:rsidRPr="00E152D8" w:rsidRDefault="002341F2"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2341F2" w:rsidRPr="00E152D8" w:rsidRDefault="002341F2"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2341F2" w:rsidRDefault="00000000">
    <w:pPr>
      <w:pStyle w:val="Encabezado"/>
    </w:pPr>
    <w:r>
      <w:rPr>
        <w:noProof/>
      </w:rPr>
      <w:pict w14:anchorId="7BDBF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2341F2" w:rsidRPr="00E152D8" w14:paraId="588DF1A0" w14:textId="77777777" w:rsidTr="003D6320">
      <w:trPr>
        <w:trHeight w:val="138"/>
      </w:trPr>
      <w:tc>
        <w:tcPr>
          <w:tcW w:w="2552" w:type="dxa"/>
        </w:tcPr>
        <w:p w14:paraId="350F7BA3" w14:textId="77777777" w:rsidR="002341F2" w:rsidRPr="00E152D8" w:rsidRDefault="002341F2"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4A3D6DB9" w:rsidR="002341F2" w:rsidRPr="00051642" w:rsidRDefault="002341F2" w:rsidP="009367AE">
          <w:pPr>
            <w:tabs>
              <w:tab w:val="right" w:pos="8838"/>
            </w:tabs>
            <w:ind w:left="-107" w:right="-32"/>
            <w:rPr>
              <w:rFonts w:eastAsia="Calibri" w:cs="Tahoma"/>
            </w:rPr>
          </w:pPr>
          <w:r>
            <w:rPr>
              <w:rFonts w:eastAsia="Calibri" w:cs="Tahoma"/>
              <w:lang w:val="es-MX"/>
            </w:rPr>
            <w:t>11446/INFOEM/IP/RR/2025 y acumulados</w:t>
          </w:r>
        </w:p>
      </w:tc>
    </w:tr>
    <w:tr w:rsidR="002341F2" w:rsidRPr="00E152D8" w14:paraId="6B38F986" w14:textId="77777777" w:rsidTr="003D6320">
      <w:trPr>
        <w:trHeight w:val="273"/>
      </w:trPr>
      <w:tc>
        <w:tcPr>
          <w:tcW w:w="2552" w:type="dxa"/>
        </w:tcPr>
        <w:p w14:paraId="587B5E6A" w14:textId="77777777" w:rsidR="002341F2" w:rsidRPr="00E152D8" w:rsidRDefault="002341F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6F26C6FA" w:rsidR="002341F2" w:rsidRPr="00051642" w:rsidRDefault="002341F2" w:rsidP="00A05166">
          <w:pPr>
            <w:tabs>
              <w:tab w:val="right" w:pos="8838"/>
            </w:tabs>
            <w:ind w:left="-107" w:right="-32"/>
            <w:rPr>
              <w:rFonts w:eastAsia="Calibri" w:cs="Tahoma"/>
              <w:lang w:val="es-MX"/>
            </w:rPr>
          </w:pPr>
          <w:r>
            <w:rPr>
              <w:rFonts w:eastAsia="Calibri" w:cs="Tahoma"/>
              <w:lang w:val="es-MX"/>
            </w:rPr>
            <w:t>Ayuntamiento de Tepotzotlán</w:t>
          </w:r>
        </w:p>
      </w:tc>
    </w:tr>
    <w:tr w:rsidR="002341F2" w:rsidRPr="00E152D8" w14:paraId="641CFA98" w14:textId="77777777" w:rsidTr="003D6320">
      <w:trPr>
        <w:trHeight w:val="273"/>
      </w:trPr>
      <w:tc>
        <w:tcPr>
          <w:tcW w:w="2552" w:type="dxa"/>
        </w:tcPr>
        <w:p w14:paraId="03C97189" w14:textId="77777777" w:rsidR="002341F2" w:rsidRPr="00E152D8" w:rsidRDefault="002341F2"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2341F2" w:rsidRPr="00E152D8" w:rsidRDefault="002341F2"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2341F2" w:rsidRDefault="00000000" w:rsidP="00021304">
    <w:pPr>
      <w:pStyle w:val="Encabezado"/>
    </w:pPr>
    <w:r>
      <w:rPr>
        <w:noProof/>
      </w:rPr>
      <w:pict w14:anchorId="59C2D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7.85pt;margin-top:-121.5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2341F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2341F2" w:rsidRPr="00E152D8" w14:paraId="7ED8A7F5" w14:textId="77777777" w:rsidTr="003D6320">
      <w:trPr>
        <w:trHeight w:val="132"/>
      </w:trPr>
      <w:tc>
        <w:tcPr>
          <w:tcW w:w="2551" w:type="dxa"/>
        </w:tcPr>
        <w:p w14:paraId="3C7A9CEA" w14:textId="77777777" w:rsidR="002341F2" w:rsidRPr="00E152D8" w:rsidRDefault="002341F2"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67DA3B5A" w:rsidR="002341F2" w:rsidRPr="00051642" w:rsidRDefault="002341F2" w:rsidP="00732733">
          <w:pPr>
            <w:tabs>
              <w:tab w:val="right" w:pos="8838"/>
            </w:tabs>
            <w:ind w:left="-111" w:right="170"/>
            <w:rPr>
              <w:rFonts w:eastAsia="Calibri" w:cs="Tahoma"/>
            </w:rPr>
          </w:pPr>
          <w:r>
            <w:rPr>
              <w:rFonts w:eastAsia="Calibri" w:cs="Tahoma"/>
              <w:lang w:val="es-MX"/>
            </w:rPr>
            <w:t>11446/INFOEM/IP/RR/2025 y acumulados</w:t>
          </w:r>
        </w:p>
      </w:tc>
    </w:tr>
    <w:tr w:rsidR="002341F2" w:rsidRPr="00E152D8" w14:paraId="4C9A1F64" w14:textId="77777777" w:rsidTr="003D6320">
      <w:trPr>
        <w:trHeight w:val="132"/>
      </w:trPr>
      <w:tc>
        <w:tcPr>
          <w:tcW w:w="2551" w:type="dxa"/>
        </w:tcPr>
        <w:p w14:paraId="58B051A5" w14:textId="77777777" w:rsidR="002341F2" w:rsidRPr="00E152D8" w:rsidRDefault="002341F2"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0EB26FA5" w:rsidR="002341F2" w:rsidRPr="00E152D8" w:rsidRDefault="002341F2" w:rsidP="00021304">
          <w:pPr>
            <w:tabs>
              <w:tab w:val="right" w:pos="8838"/>
            </w:tabs>
            <w:ind w:left="-111" w:right="-109"/>
            <w:rPr>
              <w:rFonts w:eastAsia="Calibri" w:cs="Tahoma"/>
              <w:lang w:val="es-MX"/>
            </w:rPr>
          </w:pPr>
        </w:p>
      </w:tc>
    </w:tr>
    <w:tr w:rsidR="002341F2" w:rsidRPr="00E152D8" w14:paraId="1F528C45" w14:textId="77777777" w:rsidTr="003D6320">
      <w:trPr>
        <w:trHeight w:val="261"/>
      </w:trPr>
      <w:tc>
        <w:tcPr>
          <w:tcW w:w="2551" w:type="dxa"/>
        </w:tcPr>
        <w:p w14:paraId="4FB325C1" w14:textId="77777777" w:rsidR="002341F2" w:rsidRPr="00E152D8" w:rsidRDefault="002341F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28002717" w:rsidR="002341F2" w:rsidRPr="008C4EC4" w:rsidRDefault="002341F2" w:rsidP="00794D11">
          <w:pPr>
            <w:tabs>
              <w:tab w:val="right" w:pos="8838"/>
            </w:tabs>
            <w:ind w:left="-111" w:right="182"/>
            <w:rPr>
              <w:rFonts w:eastAsia="Calibri" w:cs="Tahoma"/>
              <w:lang w:val="es-MX"/>
            </w:rPr>
          </w:pPr>
          <w:r>
            <w:rPr>
              <w:rFonts w:eastAsia="Calibri" w:cs="Tahoma"/>
              <w:lang w:val="es-MX"/>
            </w:rPr>
            <w:t>Ayuntamiento de Tepotzotlán</w:t>
          </w:r>
        </w:p>
      </w:tc>
    </w:tr>
    <w:tr w:rsidR="002341F2" w:rsidRPr="00E152D8" w14:paraId="35FBBE19" w14:textId="77777777" w:rsidTr="003D6320">
      <w:trPr>
        <w:trHeight w:val="261"/>
      </w:trPr>
      <w:tc>
        <w:tcPr>
          <w:tcW w:w="2551" w:type="dxa"/>
        </w:tcPr>
        <w:p w14:paraId="3CDBF381" w14:textId="77777777" w:rsidR="002341F2" w:rsidRPr="00E152D8" w:rsidRDefault="002341F2"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2341F2" w:rsidRPr="00E152D8" w:rsidRDefault="002341F2"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2341F2" w:rsidRDefault="00000000" w:rsidP="00021304">
    <w:pPr>
      <w:pStyle w:val="Encabezado"/>
      <w:tabs>
        <w:tab w:val="left" w:pos="5812"/>
      </w:tabs>
    </w:pPr>
    <w:r>
      <w:rPr>
        <w:noProof/>
      </w:rPr>
      <w:pict w14:anchorId="22BFA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99.3pt;margin-top:-123.8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55"/>
    <w:multiLevelType w:val="hybridMultilevel"/>
    <w:tmpl w:val="01687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7B3C"/>
    <w:multiLevelType w:val="hybridMultilevel"/>
    <w:tmpl w:val="3C3C4850"/>
    <w:lvl w:ilvl="0" w:tplc="684ED88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B714FE"/>
    <w:multiLevelType w:val="hybridMultilevel"/>
    <w:tmpl w:val="F1B0A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ED7C25"/>
    <w:multiLevelType w:val="hybridMultilevel"/>
    <w:tmpl w:val="ECF87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266513"/>
    <w:multiLevelType w:val="hybridMultilevel"/>
    <w:tmpl w:val="C8A28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8472B6"/>
    <w:multiLevelType w:val="hybridMultilevel"/>
    <w:tmpl w:val="4DAAC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C330C"/>
    <w:multiLevelType w:val="hybridMultilevel"/>
    <w:tmpl w:val="7826AD7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E1779"/>
    <w:multiLevelType w:val="hybridMultilevel"/>
    <w:tmpl w:val="58ECB2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3E0A59"/>
    <w:multiLevelType w:val="hybridMultilevel"/>
    <w:tmpl w:val="71D6865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942F6"/>
    <w:multiLevelType w:val="hybridMultilevel"/>
    <w:tmpl w:val="586EE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57996446">
    <w:abstractNumId w:val="11"/>
  </w:num>
  <w:num w:numId="2" w16cid:durableId="1985967266">
    <w:abstractNumId w:val="20"/>
  </w:num>
  <w:num w:numId="3" w16cid:durableId="1685743448">
    <w:abstractNumId w:val="0"/>
  </w:num>
  <w:num w:numId="4" w16cid:durableId="1938903057">
    <w:abstractNumId w:val="19"/>
  </w:num>
  <w:num w:numId="5" w16cid:durableId="1437094479">
    <w:abstractNumId w:val="4"/>
  </w:num>
  <w:num w:numId="6" w16cid:durableId="781725233">
    <w:abstractNumId w:val="21"/>
  </w:num>
  <w:num w:numId="7" w16cid:durableId="1647322864">
    <w:abstractNumId w:val="16"/>
  </w:num>
  <w:num w:numId="8" w16cid:durableId="1991907586">
    <w:abstractNumId w:val="7"/>
  </w:num>
  <w:num w:numId="9" w16cid:durableId="366755615">
    <w:abstractNumId w:val="5"/>
  </w:num>
  <w:num w:numId="10" w16cid:durableId="460851786">
    <w:abstractNumId w:val="10"/>
  </w:num>
  <w:num w:numId="11" w16cid:durableId="268467576">
    <w:abstractNumId w:val="1"/>
  </w:num>
  <w:num w:numId="12" w16cid:durableId="37631141">
    <w:abstractNumId w:val="3"/>
  </w:num>
  <w:num w:numId="13" w16cid:durableId="2072388650">
    <w:abstractNumId w:val="18"/>
  </w:num>
  <w:num w:numId="14" w16cid:durableId="1635527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714359">
    <w:abstractNumId w:val="2"/>
  </w:num>
  <w:num w:numId="16" w16cid:durableId="2066448033">
    <w:abstractNumId w:val="15"/>
  </w:num>
  <w:num w:numId="17" w16cid:durableId="1581477495">
    <w:abstractNumId w:val="17"/>
  </w:num>
  <w:num w:numId="18" w16cid:durableId="2009281266">
    <w:abstractNumId w:val="6"/>
  </w:num>
  <w:num w:numId="19" w16cid:durableId="756092458">
    <w:abstractNumId w:val="12"/>
  </w:num>
  <w:num w:numId="20" w16cid:durableId="1020861310">
    <w:abstractNumId w:val="8"/>
  </w:num>
  <w:num w:numId="21" w16cid:durableId="219827881">
    <w:abstractNumId w:val="9"/>
  </w:num>
  <w:num w:numId="22" w16cid:durableId="35824547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419A"/>
    <w:rsid w:val="00004BF3"/>
    <w:rsid w:val="00005BF0"/>
    <w:rsid w:val="00005C7F"/>
    <w:rsid w:val="00006088"/>
    <w:rsid w:val="000125DD"/>
    <w:rsid w:val="0001294B"/>
    <w:rsid w:val="00015743"/>
    <w:rsid w:val="00021304"/>
    <w:rsid w:val="000224A4"/>
    <w:rsid w:val="0002483B"/>
    <w:rsid w:val="00024C7E"/>
    <w:rsid w:val="000273DE"/>
    <w:rsid w:val="0003050B"/>
    <w:rsid w:val="00031797"/>
    <w:rsid w:val="00032190"/>
    <w:rsid w:val="000321E9"/>
    <w:rsid w:val="00032302"/>
    <w:rsid w:val="00032C2C"/>
    <w:rsid w:val="000357E9"/>
    <w:rsid w:val="00042C80"/>
    <w:rsid w:val="00043206"/>
    <w:rsid w:val="00043BF4"/>
    <w:rsid w:val="00045950"/>
    <w:rsid w:val="000567DC"/>
    <w:rsid w:val="000606D9"/>
    <w:rsid w:val="00065864"/>
    <w:rsid w:val="000677B9"/>
    <w:rsid w:val="000746B0"/>
    <w:rsid w:val="00074B5D"/>
    <w:rsid w:val="00083729"/>
    <w:rsid w:val="00084D97"/>
    <w:rsid w:val="00084F13"/>
    <w:rsid w:val="00085BA7"/>
    <w:rsid w:val="0008671E"/>
    <w:rsid w:val="00086ABF"/>
    <w:rsid w:val="00094A5B"/>
    <w:rsid w:val="000975D3"/>
    <w:rsid w:val="00097B07"/>
    <w:rsid w:val="000A19D6"/>
    <w:rsid w:val="000A38DF"/>
    <w:rsid w:val="000A41E1"/>
    <w:rsid w:val="000A72BB"/>
    <w:rsid w:val="000B3764"/>
    <w:rsid w:val="000C230B"/>
    <w:rsid w:val="000D0B14"/>
    <w:rsid w:val="000D0F72"/>
    <w:rsid w:val="000D3E96"/>
    <w:rsid w:val="000D6771"/>
    <w:rsid w:val="000E31D1"/>
    <w:rsid w:val="000E3584"/>
    <w:rsid w:val="000E3846"/>
    <w:rsid w:val="000F1AC6"/>
    <w:rsid w:val="000F31B9"/>
    <w:rsid w:val="000F3F8A"/>
    <w:rsid w:val="000F4782"/>
    <w:rsid w:val="000F5346"/>
    <w:rsid w:val="000F7BE5"/>
    <w:rsid w:val="001000D8"/>
    <w:rsid w:val="00103791"/>
    <w:rsid w:val="00103ED5"/>
    <w:rsid w:val="001045C0"/>
    <w:rsid w:val="00105421"/>
    <w:rsid w:val="001077F8"/>
    <w:rsid w:val="00107EDB"/>
    <w:rsid w:val="00113AE3"/>
    <w:rsid w:val="00121E88"/>
    <w:rsid w:val="00121FAB"/>
    <w:rsid w:val="00122B7A"/>
    <w:rsid w:val="00127605"/>
    <w:rsid w:val="00127A18"/>
    <w:rsid w:val="0013028B"/>
    <w:rsid w:val="001344E0"/>
    <w:rsid w:val="00141009"/>
    <w:rsid w:val="00145911"/>
    <w:rsid w:val="0014618A"/>
    <w:rsid w:val="00150A85"/>
    <w:rsid w:val="00151624"/>
    <w:rsid w:val="0015465F"/>
    <w:rsid w:val="00155367"/>
    <w:rsid w:val="001560BF"/>
    <w:rsid w:val="00171694"/>
    <w:rsid w:val="00171C7E"/>
    <w:rsid w:val="001720A2"/>
    <w:rsid w:val="0017329F"/>
    <w:rsid w:val="0017460E"/>
    <w:rsid w:val="001759D7"/>
    <w:rsid w:val="00175E20"/>
    <w:rsid w:val="00176972"/>
    <w:rsid w:val="00192EAE"/>
    <w:rsid w:val="0019363F"/>
    <w:rsid w:val="00195E5A"/>
    <w:rsid w:val="001A6009"/>
    <w:rsid w:val="001A7824"/>
    <w:rsid w:val="001B0084"/>
    <w:rsid w:val="001B02F7"/>
    <w:rsid w:val="001B0FD7"/>
    <w:rsid w:val="001B34F3"/>
    <w:rsid w:val="001B6516"/>
    <w:rsid w:val="001C36A7"/>
    <w:rsid w:val="001C41C4"/>
    <w:rsid w:val="001C6C6E"/>
    <w:rsid w:val="001D0615"/>
    <w:rsid w:val="001D1AA3"/>
    <w:rsid w:val="001D404C"/>
    <w:rsid w:val="001D4EEA"/>
    <w:rsid w:val="001D69B6"/>
    <w:rsid w:val="001D6D2A"/>
    <w:rsid w:val="001E225F"/>
    <w:rsid w:val="001E3D0C"/>
    <w:rsid w:val="001E511A"/>
    <w:rsid w:val="001E7A18"/>
    <w:rsid w:val="001F317C"/>
    <w:rsid w:val="001F49B1"/>
    <w:rsid w:val="001F523A"/>
    <w:rsid w:val="00201985"/>
    <w:rsid w:val="00205855"/>
    <w:rsid w:val="00207B39"/>
    <w:rsid w:val="0021022D"/>
    <w:rsid w:val="00212CB3"/>
    <w:rsid w:val="002147A6"/>
    <w:rsid w:val="00220D4B"/>
    <w:rsid w:val="00225915"/>
    <w:rsid w:val="00230733"/>
    <w:rsid w:val="00233322"/>
    <w:rsid w:val="002341F2"/>
    <w:rsid w:val="0023499D"/>
    <w:rsid w:val="00235405"/>
    <w:rsid w:val="00241BC1"/>
    <w:rsid w:val="00244F79"/>
    <w:rsid w:val="002473B3"/>
    <w:rsid w:val="002514BF"/>
    <w:rsid w:val="002516A8"/>
    <w:rsid w:val="00252DC1"/>
    <w:rsid w:val="0025582F"/>
    <w:rsid w:val="00256BCA"/>
    <w:rsid w:val="002636DC"/>
    <w:rsid w:val="00263962"/>
    <w:rsid w:val="002666EE"/>
    <w:rsid w:val="0026731C"/>
    <w:rsid w:val="002674C6"/>
    <w:rsid w:val="00270FA7"/>
    <w:rsid w:val="00273255"/>
    <w:rsid w:val="002752B6"/>
    <w:rsid w:val="0028229D"/>
    <w:rsid w:val="002838F8"/>
    <w:rsid w:val="0028448B"/>
    <w:rsid w:val="00285ED7"/>
    <w:rsid w:val="002877B3"/>
    <w:rsid w:val="00287DD2"/>
    <w:rsid w:val="00291EB3"/>
    <w:rsid w:val="00292386"/>
    <w:rsid w:val="002A2F47"/>
    <w:rsid w:val="002A33D8"/>
    <w:rsid w:val="002A6CE2"/>
    <w:rsid w:val="002B0499"/>
    <w:rsid w:val="002B1058"/>
    <w:rsid w:val="002B3033"/>
    <w:rsid w:val="002B3B7E"/>
    <w:rsid w:val="002B61D6"/>
    <w:rsid w:val="002B661F"/>
    <w:rsid w:val="002B7007"/>
    <w:rsid w:val="002C53A2"/>
    <w:rsid w:val="002C59C6"/>
    <w:rsid w:val="002C6DB7"/>
    <w:rsid w:val="002D52E1"/>
    <w:rsid w:val="002D53AC"/>
    <w:rsid w:val="002D6232"/>
    <w:rsid w:val="002E03F2"/>
    <w:rsid w:val="002E1F34"/>
    <w:rsid w:val="002E345B"/>
    <w:rsid w:val="002E4DB1"/>
    <w:rsid w:val="002E7995"/>
    <w:rsid w:val="002F417A"/>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2FCC"/>
    <w:rsid w:val="00335D93"/>
    <w:rsid w:val="00340F96"/>
    <w:rsid w:val="00341274"/>
    <w:rsid w:val="00342D32"/>
    <w:rsid w:val="00344C07"/>
    <w:rsid w:val="00344EE8"/>
    <w:rsid w:val="00347055"/>
    <w:rsid w:val="00352206"/>
    <w:rsid w:val="00353C89"/>
    <w:rsid w:val="00354EE5"/>
    <w:rsid w:val="00356B0D"/>
    <w:rsid w:val="00361461"/>
    <w:rsid w:val="00361940"/>
    <w:rsid w:val="00361D72"/>
    <w:rsid w:val="003720E4"/>
    <w:rsid w:val="00373EDF"/>
    <w:rsid w:val="0038074C"/>
    <w:rsid w:val="00382F13"/>
    <w:rsid w:val="00390EFE"/>
    <w:rsid w:val="003917FB"/>
    <w:rsid w:val="003921AD"/>
    <w:rsid w:val="00392D86"/>
    <w:rsid w:val="003935DD"/>
    <w:rsid w:val="00395071"/>
    <w:rsid w:val="00395C77"/>
    <w:rsid w:val="003A1302"/>
    <w:rsid w:val="003A1DBB"/>
    <w:rsid w:val="003A4C58"/>
    <w:rsid w:val="003A55E1"/>
    <w:rsid w:val="003A7900"/>
    <w:rsid w:val="003B742E"/>
    <w:rsid w:val="003C0AD1"/>
    <w:rsid w:val="003C4BBD"/>
    <w:rsid w:val="003C58D4"/>
    <w:rsid w:val="003D6320"/>
    <w:rsid w:val="003D71C4"/>
    <w:rsid w:val="003D7A39"/>
    <w:rsid w:val="003E0446"/>
    <w:rsid w:val="003E4F8E"/>
    <w:rsid w:val="003F12C6"/>
    <w:rsid w:val="003F23FD"/>
    <w:rsid w:val="003F26A5"/>
    <w:rsid w:val="003F2700"/>
    <w:rsid w:val="004061BE"/>
    <w:rsid w:val="00407A01"/>
    <w:rsid w:val="00416664"/>
    <w:rsid w:val="004211CC"/>
    <w:rsid w:val="0042371C"/>
    <w:rsid w:val="00425E39"/>
    <w:rsid w:val="00434731"/>
    <w:rsid w:val="0043578C"/>
    <w:rsid w:val="00442158"/>
    <w:rsid w:val="004427B7"/>
    <w:rsid w:val="004440F0"/>
    <w:rsid w:val="00444FBC"/>
    <w:rsid w:val="0044785C"/>
    <w:rsid w:val="00462C30"/>
    <w:rsid w:val="00463D55"/>
    <w:rsid w:val="00464B0C"/>
    <w:rsid w:val="00465A15"/>
    <w:rsid w:val="004701E0"/>
    <w:rsid w:val="004717AB"/>
    <w:rsid w:val="00480272"/>
    <w:rsid w:val="004813CE"/>
    <w:rsid w:val="00482426"/>
    <w:rsid w:val="004858A0"/>
    <w:rsid w:val="004910E7"/>
    <w:rsid w:val="004920A7"/>
    <w:rsid w:val="00496AEA"/>
    <w:rsid w:val="004A2589"/>
    <w:rsid w:val="004A3215"/>
    <w:rsid w:val="004A3A96"/>
    <w:rsid w:val="004A5655"/>
    <w:rsid w:val="004B603F"/>
    <w:rsid w:val="004B6BE1"/>
    <w:rsid w:val="004C57BE"/>
    <w:rsid w:val="004D24F0"/>
    <w:rsid w:val="004D6B6F"/>
    <w:rsid w:val="004E0B39"/>
    <w:rsid w:val="004E1B8F"/>
    <w:rsid w:val="004E26B9"/>
    <w:rsid w:val="004E3775"/>
    <w:rsid w:val="004F44DC"/>
    <w:rsid w:val="004F4B08"/>
    <w:rsid w:val="004F6232"/>
    <w:rsid w:val="00501640"/>
    <w:rsid w:val="00502FC7"/>
    <w:rsid w:val="0050367C"/>
    <w:rsid w:val="005113DE"/>
    <w:rsid w:val="0051185B"/>
    <w:rsid w:val="005145FA"/>
    <w:rsid w:val="00515F0A"/>
    <w:rsid w:val="0051666C"/>
    <w:rsid w:val="00520445"/>
    <w:rsid w:val="00521168"/>
    <w:rsid w:val="00521603"/>
    <w:rsid w:val="00521C02"/>
    <w:rsid w:val="0052460E"/>
    <w:rsid w:val="00525D0D"/>
    <w:rsid w:val="005313FE"/>
    <w:rsid w:val="005317FC"/>
    <w:rsid w:val="00531CEF"/>
    <w:rsid w:val="005322C8"/>
    <w:rsid w:val="005339AF"/>
    <w:rsid w:val="005509A2"/>
    <w:rsid w:val="005510A2"/>
    <w:rsid w:val="0055375C"/>
    <w:rsid w:val="00554E81"/>
    <w:rsid w:val="00561818"/>
    <w:rsid w:val="005631F0"/>
    <w:rsid w:val="00566A01"/>
    <w:rsid w:val="00570663"/>
    <w:rsid w:val="00570A07"/>
    <w:rsid w:val="005732F0"/>
    <w:rsid w:val="00574AAA"/>
    <w:rsid w:val="005760D2"/>
    <w:rsid w:val="00577EAB"/>
    <w:rsid w:val="005807D8"/>
    <w:rsid w:val="0058616C"/>
    <w:rsid w:val="005872C6"/>
    <w:rsid w:val="00592609"/>
    <w:rsid w:val="00593BFB"/>
    <w:rsid w:val="00595713"/>
    <w:rsid w:val="005A230B"/>
    <w:rsid w:val="005A2496"/>
    <w:rsid w:val="005A4DA5"/>
    <w:rsid w:val="005A7869"/>
    <w:rsid w:val="005B2CD5"/>
    <w:rsid w:val="005B31F3"/>
    <w:rsid w:val="005B39FF"/>
    <w:rsid w:val="005B4090"/>
    <w:rsid w:val="005C1191"/>
    <w:rsid w:val="005C18D5"/>
    <w:rsid w:val="005C1A1B"/>
    <w:rsid w:val="005C2EF1"/>
    <w:rsid w:val="005C382C"/>
    <w:rsid w:val="005D00E2"/>
    <w:rsid w:val="005D2C72"/>
    <w:rsid w:val="005D2D37"/>
    <w:rsid w:val="005D38D8"/>
    <w:rsid w:val="005D39F2"/>
    <w:rsid w:val="005E0FD0"/>
    <w:rsid w:val="005E1854"/>
    <w:rsid w:val="005E20E0"/>
    <w:rsid w:val="005E3D01"/>
    <w:rsid w:val="005E3E95"/>
    <w:rsid w:val="005E41D0"/>
    <w:rsid w:val="005E4DDE"/>
    <w:rsid w:val="005F3D3A"/>
    <w:rsid w:val="005F4E7A"/>
    <w:rsid w:val="00600378"/>
    <w:rsid w:val="00602604"/>
    <w:rsid w:val="006043CF"/>
    <w:rsid w:val="00614892"/>
    <w:rsid w:val="006168DA"/>
    <w:rsid w:val="006213EE"/>
    <w:rsid w:val="00625A48"/>
    <w:rsid w:val="00625EC0"/>
    <w:rsid w:val="00626B2A"/>
    <w:rsid w:val="006324FB"/>
    <w:rsid w:val="0063305F"/>
    <w:rsid w:val="00633F72"/>
    <w:rsid w:val="0063550D"/>
    <w:rsid w:val="006429D5"/>
    <w:rsid w:val="00643AFB"/>
    <w:rsid w:val="00651715"/>
    <w:rsid w:val="00656450"/>
    <w:rsid w:val="00661333"/>
    <w:rsid w:val="006619A6"/>
    <w:rsid w:val="00664DE5"/>
    <w:rsid w:val="0067669B"/>
    <w:rsid w:val="0069289F"/>
    <w:rsid w:val="00695F01"/>
    <w:rsid w:val="00696785"/>
    <w:rsid w:val="00696EE5"/>
    <w:rsid w:val="006A0EE8"/>
    <w:rsid w:val="006A2607"/>
    <w:rsid w:val="006A6D5F"/>
    <w:rsid w:val="006B1E4E"/>
    <w:rsid w:val="006B2720"/>
    <w:rsid w:val="006B5205"/>
    <w:rsid w:val="006B596F"/>
    <w:rsid w:val="006B70E5"/>
    <w:rsid w:val="006C1D36"/>
    <w:rsid w:val="006D6F0E"/>
    <w:rsid w:val="006E4C66"/>
    <w:rsid w:val="006E7F2D"/>
    <w:rsid w:val="006F03FC"/>
    <w:rsid w:val="006F51EC"/>
    <w:rsid w:val="006F532C"/>
    <w:rsid w:val="00700FDD"/>
    <w:rsid w:val="007016CA"/>
    <w:rsid w:val="00702443"/>
    <w:rsid w:val="00711D2E"/>
    <w:rsid w:val="00712AB9"/>
    <w:rsid w:val="00720896"/>
    <w:rsid w:val="00723192"/>
    <w:rsid w:val="007248B4"/>
    <w:rsid w:val="00726685"/>
    <w:rsid w:val="00726B1C"/>
    <w:rsid w:val="00727541"/>
    <w:rsid w:val="00732733"/>
    <w:rsid w:val="00733E71"/>
    <w:rsid w:val="00741097"/>
    <w:rsid w:val="007439CE"/>
    <w:rsid w:val="0074545C"/>
    <w:rsid w:val="0074796B"/>
    <w:rsid w:val="00750C4D"/>
    <w:rsid w:val="007548C5"/>
    <w:rsid w:val="00754DF1"/>
    <w:rsid w:val="0076191A"/>
    <w:rsid w:val="00762337"/>
    <w:rsid w:val="0076551F"/>
    <w:rsid w:val="00766A88"/>
    <w:rsid w:val="00771242"/>
    <w:rsid w:val="00774C4C"/>
    <w:rsid w:val="00785E01"/>
    <w:rsid w:val="00786792"/>
    <w:rsid w:val="00787C5D"/>
    <w:rsid w:val="00790387"/>
    <w:rsid w:val="007911C1"/>
    <w:rsid w:val="007937B4"/>
    <w:rsid w:val="00794D11"/>
    <w:rsid w:val="007960AB"/>
    <w:rsid w:val="0079660C"/>
    <w:rsid w:val="007A1DB8"/>
    <w:rsid w:val="007A29F9"/>
    <w:rsid w:val="007A7009"/>
    <w:rsid w:val="007B1E83"/>
    <w:rsid w:val="007B32E7"/>
    <w:rsid w:val="007B49BC"/>
    <w:rsid w:val="007C0C00"/>
    <w:rsid w:val="007C2C93"/>
    <w:rsid w:val="007C63C8"/>
    <w:rsid w:val="007D1E59"/>
    <w:rsid w:val="007E0CF7"/>
    <w:rsid w:val="007E3256"/>
    <w:rsid w:val="007E668F"/>
    <w:rsid w:val="007E67B7"/>
    <w:rsid w:val="007E69E4"/>
    <w:rsid w:val="007F470D"/>
    <w:rsid w:val="007F6F21"/>
    <w:rsid w:val="007F77E2"/>
    <w:rsid w:val="0080192A"/>
    <w:rsid w:val="0080278F"/>
    <w:rsid w:val="00802B14"/>
    <w:rsid w:val="008032FC"/>
    <w:rsid w:val="0080627B"/>
    <w:rsid w:val="00813B38"/>
    <w:rsid w:val="00814A36"/>
    <w:rsid w:val="00817259"/>
    <w:rsid w:val="00822090"/>
    <w:rsid w:val="00825FAA"/>
    <w:rsid w:val="00827374"/>
    <w:rsid w:val="00830672"/>
    <w:rsid w:val="008332C6"/>
    <w:rsid w:val="00833E15"/>
    <w:rsid w:val="008344DA"/>
    <w:rsid w:val="00835AA2"/>
    <w:rsid w:val="008370D7"/>
    <w:rsid w:val="00840395"/>
    <w:rsid w:val="00842418"/>
    <w:rsid w:val="00852F84"/>
    <w:rsid w:val="00860FDA"/>
    <w:rsid w:val="00863D1B"/>
    <w:rsid w:val="008663BF"/>
    <w:rsid w:val="008706AE"/>
    <w:rsid w:val="00872E6C"/>
    <w:rsid w:val="0087720A"/>
    <w:rsid w:val="00877974"/>
    <w:rsid w:val="00877AB5"/>
    <w:rsid w:val="0088306A"/>
    <w:rsid w:val="008830A3"/>
    <w:rsid w:val="008854C7"/>
    <w:rsid w:val="008871E7"/>
    <w:rsid w:val="0088732E"/>
    <w:rsid w:val="008902DB"/>
    <w:rsid w:val="008A1159"/>
    <w:rsid w:val="008A5301"/>
    <w:rsid w:val="008A639A"/>
    <w:rsid w:val="008B0398"/>
    <w:rsid w:val="008B0D92"/>
    <w:rsid w:val="008B25DA"/>
    <w:rsid w:val="008B2A36"/>
    <w:rsid w:val="008B375E"/>
    <w:rsid w:val="008B74D0"/>
    <w:rsid w:val="008C133A"/>
    <w:rsid w:val="008C30A9"/>
    <w:rsid w:val="008C476E"/>
    <w:rsid w:val="008C4921"/>
    <w:rsid w:val="008C4EC4"/>
    <w:rsid w:val="008C5801"/>
    <w:rsid w:val="008C5ACC"/>
    <w:rsid w:val="008C6BBA"/>
    <w:rsid w:val="008C7B79"/>
    <w:rsid w:val="008D1DA1"/>
    <w:rsid w:val="008D314F"/>
    <w:rsid w:val="008D394B"/>
    <w:rsid w:val="008D3C2D"/>
    <w:rsid w:val="008D6E84"/>
    <w:rsid w:val="008E3952"/>
    <w:rsid w:val="008F2BA2"/>
    <w:rsid w:val="008F5213"/>
    <w:rsid w:val="00900054"/>
    <w:rsid w:val="009025B0"/>
    <w:rsid w:val="009030D8"/>
    <w:rsid w:val="00905A3A"/>
    <w:rsid w:val="0090792A"/>
    <w:rsid w:val="00910761"/>
    <w:rsid w:val="00910874"/>
    <w:rsid w:val="009109DA"/>
    <w:rsid w:val="00910C82"/>
    <w:rsid w:val="00911D5E"/>
    <w:rsid w:val="00913451"/>
    <w:rsid w:val="009169CA"/>
    <w:rsid w:val="00921469"/>
    <w:rsid w:val="009235B1"/>
    <w:rsid w:val="00924FD0"/>
    <w:rsid w:val="00925AEF"/>
    <w:rsid w:val="00925C01"/>
    <w:rsid w:val="009277AF"/>
    <w:rsid w:val="00930D79"/>
    <w:rsid w:val="0093175C"/>
    <w:rsid w:val="00933544"/>
    <w:rsid w:val="009367AE"/>
    <w:rsid w:val="00936F42"/>
    <w:rsid w:val="00943187"/>
    <w:rsid w:val="0095027C"/>
    <w:rsid w:val="009546D2"/>
    <w:rsid w:val="0095742B"/>
    <w:rsid w:val="0096103B"/>
    <w:rsid w:val="00961D42"/>
    <w:rsid w:val="00964159"/>
    <w:rsid w:val="00965074"/>
    <w:rsid w:val="0097122A"/>
    <w:rsid w:val="00971249"/>
    <w:rsid w:val="00971B10"/>
    <w:rsid w:val="009748B9"/>
    <w:rsid w:val="009764EC"/>
    <w:rsid w:val="0097716F"/>
    <w:rsid w:val="009817EE"/>
    <w:rsid w:val="00985015"/>
    <w:rsid w:val="009931C7"/>
    <w:rsid w:val="00993E41"/>
    <w:rsid w:val="00995BCA"/>
    <w:rsid w:val="009A646B"/>
    <w:rsid w:val="009A6523"/>
    <w:rsid w:val="009A7C84"/>
    <w:rsid w:val="009B6620"/>
    <w:rsid w:val="009B668F"/>
    <w:rsid w:val="009C5138"/>
    <w:rsid w:val="009D1FBF"/>
    <w:rsid w:val="009D7750"/>
    <w:rsid w:val="009D7D2B"/>
    <w:rsid w:val="009E3576"/>
    <w:rsid w:val="009E41B6"/>
    <w:rsid w:val="009E60A5"/>
    <w:rsid w:val="009E7530"/>
    <w:rsid w:val="009F531A"/>
    <w:rsid w:val="00A00C6C"/>
    <w:rsid w:val="00A015AA"/>
    <w:rsid w:val="00A02B57"/>
    <w:rsid w:val="00A05166"/>
    <w:rsid w:val="00A139E0"/>
    <w:rsid w:val="00A13DD4"/>
    <w:rsid w:val="00A1420A"/>
    <w:rsid w:val="00A14C76"/>
    <w:rsid w:val="00A21D5D"/>
    <w:rsid w:val="00A22017"/>
    <w:rsid w:val="00A23931"/>
    <w:rsid w:val="00A25456"/>
    <w:rsid w:val="00A33A82"/>
    <w:rsid w:val="00A35F68"/>
    <w:rsid w:val="00A42917"/>
    <w:rsid w:val="00A43317"/>
    <w:rsid w:val="00A43E8D"/>
    <w:rsid w:val="00A440AA"/>
    <w:rsid w:val="00A4656A"/>
    <w:rsid w:val="00A468FF"/>
    <w:rsid w:val="00A5200A"/>
    <w:rsid w:val="00A52763"/>
    <w:rsid w:val="00A53AD2"/>
    <w:rsid w:val="00A53F85"/>
    <w:rsid w:val="00A5729B"/>
    <w:rsid w:val="00A6253C"/>
    <w:rsid w:val="00A63ACE"/>
    <w:rsid w:val="00A64328"/>
    <w:rsid w:val="00A6698C"/>
    <w:rsid w:val="00A679B6"/>
    <w:rsid w:val="00A67ECB"/>
    <w:rsid w:val="00A71280"/>
    <w:rsid w:val="00A71B4F"/>
    <w:rsid w:val="00A73F0C"/>
    <w:rsid w:val="00A76A8B"/>
    <w:rsid w:val="00A81685"/>
    <w:rsid w:val="00A84A66"/>
    <w:rsid w:val="00A91932"/>
    <w:rsid w:val="00A91ABC"/>
    <w:rsid w:val="00A95F16"/>
    <w:rsid w:val="00A962D6"/>
    <w:rsid w:val="00AA3F1F"/>
    <w:rsid w:val="00AA48A3"/>
    <w:rsid w:val="00AA52EF"/>
    <w:rsid w:val="00AB006B"/>
    <w:rsid w:val="00AB396A"/>
    <w:rsid w:val="00AB4186"/>
    <w:rsid w:val="00AB6F31"/>
    <w:rsid w:val="00AC1A54"/>
    <w:rsid w:val="00AD4AEB"/>
    <w:rsid w:val="00AD78C1"/>
    <w:rsid w:val="00AD792D"/>
    <w:rsid w:val="00AE345C"/>
    <w:rsid w:val="00AE6AE6"/>
    <w:rsid w:val="00AF00E3"/>
    <w:rsid w:val="00AF6970"/>
    <w:rsid w:val="00AF707A"/>
    <w:rsid w:val="00B03C9A"/>
    <w:rsid w:val="00B114D4"/>
    <w:rsid w:val="00B17E20"/>
    <w:rsid w:val="00B20BA9"/>
    <w:rsid w:val="00B221D3"/>
    <w:rsid w:val="00B23180"/>
    <w:rsid w:val="00B25235"/>
    <w:rsid w:val="00B2563E"/>
    <w:rsid w:val="00B360C8"/>
    <w:rsid w:val="00B47934"/>
    <w:rsid w:val="00B5162F"/>
    <w:rsid w:val="00B61508"/>
    <w:rsid w:val="00B636C8"/>
    <w:rsid w:val="00B6394E"/>
    <w:rsid w:val="00B7276E"/>
    <w:rsid w:val="00B80045"/>
    <w:rsid w:val="00B81134"/>
    <w:rsid w:val="00B82AF3"/>
    <w:rsid w:val="00B84CF1"/>
    <w:rsid w:val="00B87B40"/>
    <w:rsid w:val="00B936FD"/>
    <w:rsid w:val="00B937C7"/>
    <w:rsid w:val="00B93F5C"/>
    <w:rsid w:val="00B93FC1"/>
    <w:rsid w:val="00B94E2F"/>
    <w:rsid w:val="00B978C7"/>
    <w:rsid w:val="00BA3733"/>
    <w:rsid w:val="00BA44E4"/>
    <w:rsid w:val="00BA5906"/>
    <w:rsid w:val="00BA5C6D"/>
    <w:rsid w:val="00BB072D"/>
    <w:rsid w:val="00BB62C1"/>
    <w:rsid w:val="00BD1519"/>
    <w:rsid w:val="00BD2A18"/>
    <w:rsid w:val="00BD5514"/>
    <w:rsid w:val="00BD5769"/>
    <w:rsid w:val="00BE5EDE"/>
    <w:rsid w:val="00BF36A5"/>
    <w:rsid w:val="00C04071"/>
    <w:rsid w:val="00C04127"/>
    <w:rsid w:val="00C104F9"/>
    <w:rsid w:val="00C14D6F"/>
    <w:rsid w:val="00C14FBE"/>
    <w:rsid w:val="00C15BCB"/>
    <w:rsid w:val="00C1697C"/>
    <w:rsid w:val="00C2064C"/>
    <w:rsid w:val="00C21BAA"/>
    <w:rsid w:val="00C237BC"/>
    <w:rsid w:val="00C2425A"/>
    <w:rsid w:val="00C311DF"/>
    <w:rsid w:val="00C331FC"/>
    <w:rsid w:val="00C35BF3"/>
    <w:rsid w:val="00C37906"/>
    <w:rsid w:val="00C41C31"/>
    <w:rsid w:val="00C4216C"/>
    <w:rsid w:val="00C441A4"/>
    <w:rsid w:val="00C44857"/>
    <w:rsid w:val="00C467BD"/>
    <w:rsid w:val="00C47F5F"/>
    <w:rsid w:val="00C567C4"/>
    <w:rsid w:val="00C576B2"/>
    <w:rsid w:val="00C57BF8"/>
    <w:rsid w:val="00C61134"/>
    <w:rsid w:val="00C64F98"/>
    <w:rsid w:val="00C66D45"/>
    <w:rsid w:val="00C71E26"/>
    <w:rsid w:val="00C737DB"/>
    <w:rsid w:val="00C748DC"/>
    <w:rsid w:val="00C74F2C"/>
    <w:rsid w:val="00C75A80"/>
    <w:rsid w:val="00C82A69"/>
    <w:rsid w:val="00C82F45"/>
    <w:rsid w:val="00C86887"/>
    <w:rsid w:val="00C91A4C"/>
    <w:rsid w:val="00C928BE"/>
    <w:rsid w:val="00C9292B"/>
    <w:rsid w:val="00C93B11"/>
    <w:rsid w:val="00C93B7E"/>
    <w:rsid w:val="00C94F94"/>
    <w:rsid w:val="00CA0815"/>
    <w:rsid w:val="00CA4C35"/>
    <w:rsid w:val="00CA4CF3"/>
    <w:rsid w:val="00CA7BB7"/>
    <w:rsid w:val="00CB0470"/>
    <w:rsid w:val="00CB19CA"/>
    <w:rsid w:val="00CB7ED5"/>
    <w:rsid w:val="00CC0E04"/>
    <w:rsid w:val="00CC19F3"/>
    <w:rsid w:val="00CC26D2"/>
    <w:rsid w:val="00CC3031"/>
    <w:rsid w:val="00CD14DD"/>
    <w:rsid w:val="00CD5EB3"/>
    <w:rsid w:val="00CD6EE6"/>
    <w:rsid w:val="00CD7B20"/>
    <w:rsid w:val="00CE1307"/>
    <w:rsid w:val="00CE187D"/>
    <w:rsid w:val="00CF05ED"/>
    <w:rsid w:val="00CF1AE6"/>
    <w:rsid w:val="00CF2151"/>
    <w:rsid w:val="00CF6147"/>
    <w:rsid w:val="00D001E6"/>
    <w:rsid w:val="00D003C1"/>
    <w:rsid w:val="00D043B2"/>
    <w:rsid w:val="00D07247"/>
    <w:rsid w:val="00D10307"/>
    <w:rsid w:val="00D14EB3"/>
    <w:rsid w:val="00D24FA7"/>
    <w:rsid w:val="00D258A7"/>
    <w:rsid w:val="00D303FA"/>
    <w:rsid w:val="00D30891"/>
    <w:rsid w:val="00D30AA4"/>
    <w:rsid w:val="00D33DA0"/>
    <w:rsid w:val="00D35F77"/>
    <w:rsid w:val="00D44F21"/>
    <w:rsid w:val="00D501AD"/>
    <w:rsid w:val="00D53A2C"/>
    <w:rsid w:val="00D53C49"/>
    <w:rsid w:val="00D53C5E"/>
    <w:rsid w:val="00D5454E"/>
    <w:rsid w:val="00D547E0"/>
    <w:rsid w:val="00D54BF5"/>
    <w:rsid w:val="00D576BF"/>
    <w:rsid w:val="00D57A34"/>
    <w:rsid w:val="00D67CA6"/>
    <w:rsid w:val="00D70D70"/>
    <w:rsid w:val="00D73239"/>
    <w:rsid w:val="00D73507"/>
    <w:rsid w:val="00D75375"/>
    <w:rsid w:val="00D80DE9"/>
    <w:rsid w:val="00D81FE4"/>
    <w:rsid w:val="00D92D95"/>
    <w:rsid w:val="00D94483"/>
    <w:rsid w:val="00D96DD8"/>
    <w:rsid w:val="00D9713D"/>
    <w:rsid w:val="00DA03E3"/>
    <w:rsid w:val="00DA3676"/>
    <w:rsid w:val="00DA3841"/>
    <w:rsid w:val="00DB1D08"/>
    <w:rsid w:val="00DB5382"/>
    <w:rsid w:val="00DB6F7B"/>
    <w:rsid w:val="00DB7256"/>
    <w:rsid w:val="00DC32A2"/>
    <w:rsid w:val="00DC4F16"/>
    <w:rsid w:val="00DC5AC4"/>
    <w:rsid w:val="00DC7AA4"/>
    <w:rsid w:val="00DD0B12"/>
    <w:rsid w:val="00DD55A8"/>
    <w:rsid w:val="00DE037A"/>
    <w:rsid w:val="00DE321A"/>
    <w:rsid w:val="00DF38CA"/>
    <w:rsid w:val="00DF75FC"/>
    <w:rsid w:val="00E00064"/>
    <w:rsid w:val="00E045E0"/>
    <w:rsid w:val="00E10956"/>
    <w:rsid w:val="00E152A2"/>
    <w:rsid w:val="00E17E82"/>
    <w:rsid w:val="00E22655"/>
    <w:rsid w:val="00E241CB"/>
    <w:rsid w:val="00E25031"/>
    <w:rsid w:val="00E26298"/>
    <w:rsid w:val="00E275B8"/>
    <w:rsid w:val="00E33668"/>
    <w:rsid w:val="00E366A2"/>
    <w:rsid w:val="00E429E3"/>
    <w:rsid w:val="00E42CED"/>
    <w:rsid w:val="00E4772F"/>
    <w:rsid w:val="00E5026F"/>
    <w:rsid w:val="00E5030C"/>
    <w:rsid w:val="00E53BF2"/>
    <w:rsid w:val="00E62327"/>
    <w:rsid w:val="00E6572C"/>
    <w:rsid w:val="00E67BC6"/>
    <w:rsid w:val="00E71C2B"/>
    <w:rsid w:val="00E735AD"/>
    <w:rsid w:val="00E75633"/>
    <w:rsid w:val="00E77852"/>
    <w:rsid w:val="00E80826"/>
    <w:rsid w:val="00E82D25"/>
    <w:rsid w:val="00E85AAE"/>
    <w:rsid w:val="00E947D2"/>
    <w:rsid w:val="00E95C2C"/>
    <w:rsid w:val="00EA449A"/>
    <w:rsid w:val="00EA4647"/>
    <w:rsid w:val="00EB3376"/>
    <w:rsid w:val="00EB4163"/>
    <w:rsid w:val="00EB5B0A"/>
    <w:rsid w:val="00EB6BA6"/>
    <w:rsid w:val="00EC0884"/>
    <w:rsid w:val="00EC39F8"/>
    <w:rsid w:val="00EC6027"/>
    <w:rsid w:val="00EC725F"/>
    <w:rsid w:val="00ED0496"/>
    <w:rsid w:val="00ED099E"/>
    <w:rsid w:val="00ED7852"/>
    <w:rsid w:val="00ED79E4"/>
    <w:rsid w:val="00EE2D94"/>
    <w:rsid w:val="00EE5FA7"/>
    <w:rsid w:val="00EE6203"/>
    <w:rsid w:val="00EE6910"/>
    <w:rsid w:val="00EE6AEF"/>
    <w:rsid w:val="00EF0958"/>
    <w:rsid w:val="00EF1BFA"/>
    <w:rsid w:val="00EF302C"/>
    <w:rsid w:val="00EF37E1"/>
    <w:rsid w:val="00F018F5"/>
    <w:rsid w:val="00F01DD7"/>
    <w:rsid w:val="00F0439B"/>
    <w:rsid w:val="00F117CB"/>
    <w:rsid w:val="00F127AB"/>
    <w:rsid w:val="00F1413A"/>
    <w:rsid w:val="00F20F82"/>
    <w:rsid w:val="00F31111"/>
    <w:rsid w:val="00F313FF"/>
    <w:rsid w:val="00F32CEA"/>
    <w:rsid w:val="00F333B4"/>
    <w:rsid w:val="00F34CA9"/>
    <w:rsid w:val="00F432F4"/>
    <w:rsid w:val="00F4535E"/>
    <w:rsid w:val="00F46724"/>
    <w:rsid w:val="00F46DF7"/>
    <w:rsid w:val="00F5209A"/>
    <w:rsid w:val="00F5505B"/>
    <w:rsid w:val="00F56D2B"/>
    <w:rsid w:val="00F60407"/>
    <w:rsid w:val="00F6241E"/>
    <w:rsid w:val="00F66423"/>
    <w:rsid w:val="00F67661"/>
    <w:rsid w:val="00F72089"/>
    <w:rsid w:val="00F72507"/>
    <w:rsid w:val="00F7292C"/>
    <w:rsid w:val="00F76255"/>
    <w:rsid w:val="00F77EA7"/>
    <w:rsid w:val="00F83571"/>
    <w:rsid w:val="00F85430"/>
    <w:rsid w:val="00F91C70"/>
    <w:rsid w:val="00F9337E"/>
    <w:rsid w:val="00F951AB"/>
    <w:rsid w:val="00F96449"/>
    <w:rsid w:val="00FA059C"/>
    <w:rsid w:val="00FA3009"/>
    <w:rsid w:val="00FA54D2"/>
    <w:rsid w:val="00FA591B"/>
    <w:rsid w:val="00FA66EC"/>
    <w:rsid w:val="00FA6BD9"/>
    <w:rsid w:val="00FA71ED"/>
    <w:rsid w:val="00FB1036"/>
    <w:rsid w:val="00FC0870"/>
    <w:rsid w:val="00FC1916"/>
    <w:rsid w:val="00FC501D"/>
    <w:rsid w:val="00FD0866"/>
    <w:rsid w:val="00FD288C"/>
    <w:rsid w:val="00FD4F75"/>
    <w:rsid w:val="00FD533A"/>
    <w:rsid w:val="00FE09A7"/>
    <w:rsid w:val="00FE2953"/>
    <w:rsid w:val="00FE36A6"/>
    <w:rsid w:val="00FE3902"/>
    <w:rsid w:val="00FE4CE3"/>
    <w:rsid w:val="00FE5F75"/>
    <w:rsid w:val="00FF03B6"/>
    <w:rsid w:val="00FF1373"/>
    <w:rsid w:val="00FF26A7"/>
    <w:rsid w:val="00FF32B7"/>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32"/>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table" w:customStyle="1" w:styleId="Tablaconcuadrcula1">
    <w:name w:val="Tabla con cuadrícula1"/>
    <w:basedOn w:val="Tablanormal"/>
    <w:next w:val="Tablaconcuadrcula"/>
    <w:uiPriority w:val="39"/>
    <w:qFormat/>
    <w:rsid w:val="0097122A"/>
    <w:pPr>
      <w:spacing w:after="0" w:line="240" w:lineRule="auto"/>
      <w:jc w:val="both"/>
    </w:pPr>
    <w:rPr>
      <w:rFonts w:ascii="Palatino Linotype" w:eastAsia="Palatino Linotype" w:hAnsi="Palatino Linotype" w:cs="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174930338">
      <w:bodyDiv w:val="1"/>
      <w:marLeft w:val="0"/>
      <w:marRight w:val="0"/>
      <w:marTop w:val="0"/>
      <w:marBottom w:val="0"/>
      <w:divBdr>
        <w:top w:val="none" w:sz="0" w:space="0" w:color="auto"/>
        <w:left w:val="none" w:sz="0" w:space="0" w:color="auto"/>
        <w:bottom w:val="none" w:sz="0" w:space="0" w:color="auto"/>
        <w:right w:val="none" w:sz="0" w:space="0" w:color="auto"/>
      </w:divBdr>
      <w:divsChild>
        <w:div w:id="25107891">
          <w:marLeft w:val="0"/>
          <w:marRight w:val="0"/>
          <w:marTop w:val="0"/>
          <w:marBottom w:val="0"/>
          <w:divBdr>
            <w:top w:val="none" w:sz="0" w:space="0" w:color="auto"/>
            <w:left w:val="none" w:sz="0" w:space="0" w:color="auto"/>
            <w:bottom w:val="none" w:sz="0" w:space="0" w:color="auto"/>
            <w:right w:val="none" w:sz="0" w:space="0" w:color="auto"/>
          </w:divBdr>
        </w:div>
      </w:divsChild>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584608085">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79097500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26645376">
      <w:bodyDiv w:val="1"/>
      <w:marLeft w:val="0"/>
      <w:marRight w:val="0"/>
      <w:marTop w:val="0"/>
      <w:marBottom w:val="0"/>
      <w:divBdr>
        <w:top w:val="none" w:sz="0" w:space="0" w:color="auto"/>
        <w:left w:val="none" w:sz="0" w:space="0" w:color="auto"/>
        <w:bottom w:val="none" w:sz="0" w:space="0" w:color="auto"/>
        <w:right w:val="none" w:sz="0" w:space="0" w:color="auto"/>
      </w:divBdr>
      <w:divsChild>
        <w:div w:id="501819456">
          <w:marLeft w:val="0"/>
          <w:marRight w:val="0"/>
          <w:marTop w:val="0"/>
          <w:marBottom w:val="0"/>
          <w:divBdr>
            <w:top w:val="none" w:sz="0" w:space="0" w:color="auto"/>
            <w:left w:val="none" w:sz="0" w:space="0" w:color="auto"/>
            <w:bottom w:val="none" w:sz="0" w:space="0" w:color="auto"/>
            <w:right w:val="none" w:sz="0" w:space="0" w:color="auto"/>
          </w:divBdr>
        </w:div>
      </w:divsChild>
    </w:div>
    <w:div w:id="1258176891">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69061671">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399481289">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2941753">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1843163072">
      <w:bodyDiv w:val="1"/>
      <w:marLeft w:val="0"/>
      <w:marRight w:val="0"/>
      <w:marTop w:val="0"/>
      <w:marBottom w:val="0"/>
      <w:divBdr>
        <w:top w:val="none" w:sz="0" w:space="0" w:color="auto"/>
        <w:left w:val="none" w:sz="0" w:space="0" w:color="auto"/>
        <w:bottom w:val="none" w:sz="0" w:space="0" w:color="auto"/>
        <w:right w:val="none" w:sz="0" w:space="0" w:color="auto"/>
      </w:divBdr>
    </w:div>
    <w:div w:id="1860925372">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13821616">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tmp"/><Relationship Id="rId3" Type="http://schemas.openxmlformats.org/officeDocument/2006/relationships/styles" Target="styles.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hyperlink" Target="https://consultas.curp.gob.mx/CurpSP/html/informacionecur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7.tm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tmp"/><Relationship Id="rId22"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E322-20BD-46CC-98DD-EE165BCE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10726</Words>
  <Characters>57924</Characters>
  <Application>Microsoft Office Word</Application>
  <DocSecurity>0</DocSecurity>
  <Lines>1287</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4</cp:revision>
  <cp:lastPrinted>2025-11-07T05:12:00Z</cp:lastPrinted>
  <dcterms:created xsi:type="dcterms:W3CDTF">2025-11-07T05:12:00Z</dcterms:created>
  <dcterms:modified xsi:type="dcterms:W3CDTF">2025-11-07T05:12:00Z</dcterms:modified>
</cp:coreProperties>
</file>