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546" w:rsidRPr="00F45679" w:rsidRDefault="00BA2679">
      <w:pPr>
        <w:tabs>
          <w:tab w:val="left" w:pos="3465"/>
        </w:tabs>
        <w:spacing w:line="360" w:lineRule="auto"/>
        <w:jc w:val="both"/>
        <w:rPr>
          <w:rFonts w:ascii="Palatino Linotype" w:eastAsia="Palatino Linotype" w:hAnsi="Palatino Linotype" w:cs="Palatino Linotype"/>
          <w:b/>
          <w:color w:val="000000"/>
        </w:rPr>
      </w:pPr>
      <w:r w:rsidRPr="00F4567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F45679">
        <w:rPr>
          <w:rFonts w:ascii="Palatino Linotype" w:eastAsia="Palatino Linotype" w:hAnsi="Palatino Linotype" w:cs="Palatino Linotype"/>
          <w:b/>
        </w:rPr>
        <w:t xml:space="preserve">de fecha </w:t>
      </w:r>
      <w:r w:rsidR="00542518" w:rsidRPr="00F45679">
        <w:rPr>
          <w:rFonts w:ascii="Palatino Linotype" w:eastAsia="Palatino Linotype" w:hAnsi="Palatino Linotype" w:cs="Palatino Linotype"/>
          <w:b/>
          <w:color w:val="000000"/>
        </w:rPr>
        <w:t>cinco</w:t>
      </w:r>
      <w:r w:rsidR="00F45679" w:rsidRPr="00F45679">
        <w:rPr>
          <w:rFonts w:ascii="Palatino Linotype" w:eastAsia="Palatino Linotype" w:hAnsi="Palatino Linotype" w:cs="Palatino Linotype"/>
          <w:b/>
          <w:color w:val="000000"/>
        </w:rPr>
        <w:t xml:space="preserve"> (05)</w:t>
      </w:r>
      <w:r w:rsidRPr="00F45679">
        <w:rPr>
          <w:rFonts w:ascii="Palatino Linotype" w:eastAsia="Palatino Linotype" w:hAnsi="Palatino Linotype" w:cs="Palatino Linotype"/>
          <w:b/>
          <w:color w:val="000000"/>
        </w:rPr>
        <w:t xml:space="preserve"> de febrero de dos mil veintiséis.</w:t>
      </w:r>
    </w:p>
    <w:p w:rsidR="008E1546" w:rsidRPr="00F45679" w:rsidRDefault="008E1546">
      <w:pPr>
        <w:tabs>
          <w:tab w:val="left" w:pos="3465"/>
        </w:tabs>
        <w:spacing w:line="360" w:lineRule="auto"/>
        <w:jc w:val="both"/>
        <w:rPr>
          <w:rFonts w:ascii="Palatino Linotype" w:eastAsia="Palatino Linotype" w:hAnsi="Palatino Linotype" w:cs="Palatino Linotype"/>
        </w:rPr>
      </w:pPr>
    </w:p>
    <w:p w:rsidR="008E1546" w:rsidRPr="00F45679" w:rsidRDefault="00BA2679">
      <w:pPr>
        <w:spacing w:line="360" w:lineRule="auto"/>
        <w:jc w:val="both"/>
        <w:rPr>
          <w:rFonts w:ascii="Palatino Linotype" w:eastAsia="Palatino Linotype" w:hAnsi="Palatino Linotype" w:cs="Palatino Linotype"/>
        </w:rPr>
      </w:pPr>
      <w:r w:rsidRPr="00F45679">
        <w:rPr>
          <w:rFonts w:ascii="Palatino Linotype" w:eastAsia="Palatino Linotype" w:hAnsi="Palatino Linotype" w:cs="Palatino Linotype"/>
          <w:b/>
          <w:bCs/>
        </w:rPr>
        <w:t>VISTO</w:t>
      </w:r>
      <w:r w:rsidRPr="00F45679">
        <w:rPr>
          <w:rFonts w:ascii="Palatino Linotype" w:eastAsia="Palatino Linotype" w:hAnsi="Palatino Linotype" w:cs="Palatino Linotype"/>
        </w:rPr>
        <w:t xml:space="preserve"> el expediente electrónico formado con motivo del Recurso de Revisión </w:t>
      </w:r>
      <w:r w:rsidRPr="00F45679">
        <w:rPr>
          <w:rFonts w:ascii="Palatino Linotype" w:eastAsia="Palatino Linotype" w:hAnsi="Palatino Linotype" w:cs="Palatino Linotype"/>
          <w:b/>
          <w:bCs/>
        </w:rPr>
        <w:t>06018/INFOEM/IP/RR/2025</w:t>
      </w:r>
      <w:r w:rsidRPr="00F45679">
        <w:rPr>
          <w:rFonts w:ascii="Palatino Linotype" w:eastAsia="Palatino Linotype" w:hAnsi="Palatino Linotype" w:cs="Palatino Linotype"/>
        </w:rPr>
        <w:t>,</w:t>
      </w:r>
      <w:r w:rsidRPr="00F45679">
        <w:rPr>
          <w:rFonts w:ascii="Palatino Linotype" w:eastAsia="Palatino Linotype" w:hAnsi="Palatino Linotype" w:cs="Palatino Linotype"/>
          <w:b/>
          <w:bCs/>
        </w:rPr>
        <w:t xml:space="preserve"> </w:t>
      </w:r>
      <w:r w:rsidRPr="00F45679">
        <w:rPr>
          <w:rFonts w:ascii="Palatino Linotype" w:eastAsia="Palatino Linotype" w:hAnsi="Palatino Linotype" w:cs="Palatino Linotype"/>
        </w:rPr>
        <w:t xml:space="preserve">promovido por </w:t>
      </w:r>
      <w:r w:rsidR="00F20CB7">
        <w:rPr>
          <w:rFonts w:ascii="Palatino Linotype" w:eastAsia="Palatino Linotype" w:hAnsi="Palatino Linotype" w:cs="Palatino Linotype"/>
          <w:b/>
          <w:bCs/>
        </w:rPr>
        <w:t>XXXX</w:t>
      </w:r>
      <w:r w:rsidRPr="00F45679">
        <w:rPr>
          <w:rFonts w:ascii="Palatino Linotype" w:eastAsia="Palatino Linotype" w:hAnsi="Palatino Linotype" w:cs="Palatino Linotype"/>
          <w:b/>
          <w:bCs/>
        </w:rPr>
        <w:t>,</w:t>
      </w:r>
      <w:r w:rsidRPr="00F45679">
        <w:rPr>
          <w:rFonts w:ascii="Palatino Linotype" w:eastAsia="Palatino Linotype" w:hAnsi="Palatino Linotype" w:cs="Palatino Linotype"/>
        </w:rPr>
        <w:t xml:space="preserve"> a quien en lo sucesivo se le identificará como </w:t>
      </w:r>
      <w:r w:rsidRPr="00F45679">
        <w:rPr>
          <w:rFonts w:ascii="Palatino Linotype" w:eastAsia="Palatino Linotype" w:hAnsi="Palatino Linotype" w:cs="Palatino Linotype"/>
          <w:b/>
          <w:bCs/>
        </w:rPr>
        <w:t>EL RECURRENTE</w:t>
      </w:r>
      <w:r w:rsidRPr="00F45679">
        <w:rPr>
          <w:rFonts w:ascii="Palatino Linotype" w:eastAsia="Palatino Linotype" w:hAnsi="Palatino Linotype" w:cs="Palatino Linotype"/>
        </w:rPr>
        <w:t xml:space="preserve">, en contra de la respuesta del </w:t>
      </w:r>
      <w:r w:rsidRPr="00F45679">
        <w:rPr>
          <w:rFonts w:ascii="Palatino Linotype" w:eastAsia="Palatino Linotype" w:hAnsi="Palatino Linotype" w:cs="Palatino Linotype"/>
          <w:b/>
          <w:bCs/>
        </w:rPr>
        <w:t xml:space="preserve">Ayuntamiento de Texcoco, </w:t>
      </w:r>
      <w:r w:rsidRPr="00F45679">
        <w:rPr>
          <w:rFonts w:ascii="Palatino Linotype" w:eastAsia="Palatino Linotype" w:hAnsi="Palatino Linotype" w:cs="Palatino Linotype"/>
        </w:rPr>
        <w:t xml:space="preserve">en </w:t>
      </w:r>
      <w:r w:rsidR="00F45679">
        <w:rPr>
          <w:rFonts w:ascii="Palatino Linotype" w:eastAsia="Palatino Linotype" w:hAnsi="Palatino Linotype" w:cs="Palatino Linotype"/>
        </w:rPr>
        <w:t>adelante</w:t>
      </w:r>
      <w:r w:rsidRPr="00F45679">
        <w:rPr>
          <w:rFonts w:ascii="Palatino Linotype" w:eastAsia="Palatino Linotype" w:hAnsi="Palatino Linotype" w:cs="Palatino Linotype"/>
        </w:rPr>
        <w:t xml:space="preserve"> el</w:t>
      </w:r>
      <w:r w:rsidRPr="00F45679">
        <w:rPr>
          <w:rFonts w:ascii="Palatino Linotype" w:eastAsia="Palatino Linotype" w:hAnsi="Palatino Linotype" w:cs="Palatino Linotype"/>
          <w:b/>
          <w:bCs/>
        </w:rPr>
        <w:t xml:space="preserve"> SUJETO OBLIGADO</w:t>
      </w:r>
      <w:r w:rsidRPr="00F45679">
        <w:rPr>
          <w:rFonts w:ascii="Palatino Linotype" w:eastAsia="Palatino Linotype" w:hAnsi="Palatino Linotype" w:cs="Palatino Linotype"/>
        </w:rPr>
        <w:t>, se procede a dictar la presente Resolución, con base en los siguientes:</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pStyle w:val="Ttulo1"/>
        <w:spacing w:before="0" w:line="360" w:lineRule="auto"/>
        <w:jc w:val="center"/>
        <w:rPr>
          <w:rFonts w:ascii="Palatino Linotype" w:eastAsia="Palatino Linotype" w:hAnsi="Palatino Linotype" w:cs="Palatino Linotype"/>
          <w:b/>
          <w:bCs/>
          <w:color w:val="000000"/>
          <w:sz w:val="24"/>
          <w:szCs w:val="24"/>
        </w:rPr>
      </w:pPr>
      <w:bookmarkStart w:id="0" w:name="_heading=h.czzyrbyfsmwx" w:colFirst="0" w:colLast="0"/>
      <w:bookmarkEnd w:id="0"/>
      <w:r w:rsidRPr="00F45679">
        <w:rPr>
          <w:rFonts w:ascii="Palatino Linotype" w:eastAsia="Palatino Linotype" w:hAnsi="Palatino Linotype" w:cs="Palatino Linotype"/>
          <w:b/>
          <w:bCs/>
          <w:color w:val="000000"/>
          <w:sz w:val="24"/>
          <w:szCs w:val="24"/>
        </w:rPr>
        <w:t>A</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N</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T</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E</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C</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E</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D</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E</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N</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T</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E</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S</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El día </w:t>
      </w:r>
      <w:r w:rsidRPr="00F45679">
        <w:rPr>
          <w:rFonts w:ascii="Palatino Linotype" w:eastAsia="Palatino Linotype" w:hAnsi="Palatino Linotype" w:cs="Palatino Linotype"/>
          <w:b/>
          <w:bCs/>
          <w:color w:val="000000"/>
        </w:rPr>
        <w:t xml:space="preserve">veintitrés de abril dos mil veinticinco, </w:t>
      </w:r>
      <w:r w:rsidRPr="00F45679">
        <w:rPr>
          <w:rFonts w:ascii="Palatino Linotype" w:eastAsia="Palatino Linotype" w:hAnsi="Palatino Linotype" w:cs="Palatino Linotype"/>
          <w:color w:val="000000"/>
        </w:rPr>
        <w:t xml:space="preserve">se presentó ante 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F45679">
        <w:rPr>
          <w:rFonts w:ascii="Palatino Linotype" w:eastAsia="Palatino Linotype" w:hAnsi="Palatino Linotype" w:cs="Palatino Linotype"/>
          <w:b/>
          <w:bCs/>
          <w:color w:val="000000"/>
        </w:rPr>
        <w:t xml:space="preserve"> 00060/TEXCOCO/IP/2025; </w:t>
      </w:r>
      <w:r w:rsidR="00F45679">
        <w:rPr>
          <w:rFonts w:ascii="Palatino Linotype" w:eastAsia="Palatino Linotype" w:hAnsi="Palatino Linotype" w:cs="Palatino Linotype"/>
          <w:color w:val="000000"/>
        </w:rPr>
        <w:t>en la que</w:t>
      </w:r>
      <w:r w:rsidRPr="00F45679">
        <w:rPr>
          <w:rFonts w:ascii="Palatino Linotype" w:eastAsia="Palatino Linotype" w:hAnsi="Palatino Linotype" w:cs="Palatino Linotype"/>
          <w:color w:val="000000"/>
        </w:rPr>
        <w:t xml:space="preserve"> se solicitó la siguiente información:</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u w:val="single"/>
        </w:rPr>
      </w:pPr>
      <w:r w:rsidRPr="00F45679">
        <w:rPr>
          <w:rFonts w:ascii="Palatino Linotype" w:eastAsia="Palatino Linotype" w:hAnsi="Palatino Linotype" w:cs="Palatino Linotype"/>
          <w:i/>
          <w:iCs/>
          <w:color w:val="000000"/>
        </w:rPr>
        <w:t xml:space="preserve">“Solicitud de información pública conforme a la Ley de Transparencia y Acceso a la Información Pública del Estado de México y Municipios. Por medio del presente, con fundamento en los artículos correspondientes de la Ley de Transparencia y Acceso a la Información Pública del Estado de México y Municipios, solicito de manera atenta y respetuosa la siguiente información: </w:t>
      </w:r>
      <w:r w:rsidRPr="00F45679">
        <w:rPr>
          <w:rFonts w:ascii="Palatino Linotype" w:eastAsia="Palatino Linotype" w:hAnsi="Palatino Linotype" w:cs="Palatino Linotype"/>
          <w:i/>
          <w:iCs/>
          <w:color w:val="000000"/>
          <w:u w:val="single"/>
        </w:rPr>
        <w:t xml:space="preserve">Contrato o convenio celebrado entre el Ayuntamiento de Texcoco y la empresa o entidad encargada de la operación de los parquímetros en el municipio, </w:t>
      </w:r>
      <w:r w:rsidRPr="00F45679">
        <w:rPr>
          <w:rFonts w:ascii="Palatino Linotype" w:eastAsia="Palatino Linotype" w:hAnsi="Palatino Linotype" w:cs="Palatino Linotype"/>
          <w:i/>
          <w:iCs/>
          <w:color w:val="000000"/>
          <w:u w:val="single"/>
        </w:rPr>
        <w:lastRenderedPageBreak/>
        <w:t>incluyendo: Vigencia del contrato. Condiciones generales y particulares. Monto pactado o contraprestación. Responsabilidades de las partes. Ingresos generados y su destino. Programa de Obras Públicas Municipal vigente, especificando: Descripción de cada obra (nombre y objetivo). Comunidad o localidad beneficiada. Costo total estimado y/o ejercido. Fuente de financiamiento. Modalidad de adjudicación (licitación pública, invitación restringida o adjudicación directa). Nombre de la empresa, contratista o persona física encargada de la ejecución de cada obra. Fechas de inicio y término de cada proyecto.”</w:t>
      </w:r>
    </w:p>
    <w:p w:rsidR="008E1546" w:rsidRPr="00F45679" w:rsidRDefault="008E1546">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p>
    <w:p w:rsidR="008E1546" w:rsidRPr="00F45679" w:rsidRDefault="00BA2679" w:rsidP="00F45679">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Modalidad de entrega de la información: Vía SAIMEX.</w:t>
      </w:r>
    </w:p>
    <w:p w:rsidR="008E1546" w:rsidRPr="00F45679" w:rsidRDefault="008E1546">
      <w:pPr>
        <w:pBdr>
          <w:top w:val="nil"/>
          <w:left w:val="nil"/>
          <w:bottom w:val="nil"/>
          <w:right w:val="nil"/>
          <w:between w:val="nil"/>
        </w:pBdr>
        <w:spacing w:line="360" w:lineRule="auto"/>
        <w:ind w:left="709"/>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En fecha </w:t>
      </w:r>
      <w:r w:rsidRPr="00F45679">
        <w:rPr>
          <w:rFonts w:ascii="Palatino Linotype" w:eastAsia="Palatino Linotype" w:hAnsi="Palatino Linotype" w:cs="Palatino Linotype"/>
          <w:b/>
          <w:bCs/>
          <w:color w:val="000000"/>
        </w:rPr>
        <w:t>quince de mayo de dos mil veinticinco</w:t>
      </w:r>
      <w:r w:rsidRPr="00F45679">
        <w:rPr>
          <w:rFonts w:ascii="Palatino Linotype" w:eastAsia="Palatino Linotype" w:hAnsi="Palatino Linotype" w:cs="Palatino Linotype"/>
          <w:color w:val="000000"/>
        </w:rPr>
        <w:t xml:space="preserve"> 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realizó una prórroga del plazo ordinario para dar atención a la solicitud de información de 15 días hábiles para atender su solicitud de información por un lapso de 7 días hábiles adicionales.</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222222"/>
        </w:rPr>
      </w:pPr>
      <w:r w:rsidRPr="00F45679">
        <w:rPr>
          <w:rFonts w:ascii="Palatino Linotype" w:eastAsia="Palatino Linotype" w:hAnsi="Palatino Linotype" w:cs="Palatino Linotype"/>
          <w:color w:val="000000"/>
        </w:rPr>
        <w:t xml:space="preserve">Al respecto no pasa desapercibido señalar </w:t>
      </w:r>
      <w:r w:rsidRPr="00F45679">
        <w:rPr>
          <w:rFonts w:ascii="Palatino Linotype" w:eastAsia="Palatino Linotype" w:hAnsi="Palatino Linotype" w:cs="Palatino Linotype"/>
          <w:color w:val="222222"/>
        </w:rPr>
        <w:t>que dicha prorroga resulta</w:t>
      </w:r>
      <w:r w:rsidRPr="00F45679">
        <w:rPr>
          <w:rFonts w:ascii="Palatino Linotype" w:eastAsia="Palatino Linotype" w:hAnsi="Palatino Linotype" w:cs="Palatino Linotype"/>
          <w:b/>
          <w:bCs/>
          <w:i/>
          <w:iCs/>
          <w:color w:val="222222"/>
        </w:rPr>
        <w:t xml:space="preserve"> </w:t>
      </w:r>
      <w:r w:rsidRPr="00F45679">
        <w:rPr>
          <w:rFonts w:ascii="Palatino Linotype" w:eastAsia="Palatino Linotype" w:hAnsi="Palatino Linotype" w:cs="Palatino Linotype"/>
          <w:color w:val="000000"/>
        </w:rPr>
        <w:t xml:space="preserve">indebida, infundada </w:t>
      </w:r>
      <w:r w:rsidRPr="00F45679">
        <w:rPr>
          <w:rFonts w:ascii="Palatino Linotype" w:eastAsia="Palatino Linotype" w:hAnsi="Palatino Linotype" w:cs="Palatino Linotype"/>
          <w:color w:val="222222"/>
        </w:rPr>
        <w:t xml:space="preserve">y con falta de motivación, que si bien, fue otorgada, </w:t>
      </w:r>
      <w:r w:rsidRPr="00F45679">
        <w:rPr>
          <w:rFonts w:ascii="Palatino Linotype" w:eastAsia="Palatino Linotype" w:hAnsi="Palatino Linotype" w:cs="Palatino Linotype"/>
          <w:color w:val="000000"/>
        </w:rPr>
        <w:t>carece</w:t>
      </w:r>
      <w:r w:rsidRPr="00F45679">
        <w:rPr>
          <w:rFonts w:ascii="Palatino Linotype" w:eastAsia="Palatino Linotype" w:hAnsi="Palatino Linotype" w:cs="Palatino Linotype"/>
          <w:color w:val="222222"/>
        </w:rPr>
        <w:t xml:space="preserve"> de toda validez; toda vez que el artículo 163 de la ley de la materia señala lo siguiente:</w:t>
      </w:r>
    </w:p>
    <w:p w:rsidR="008E1546" w:rsidRPr="00F45679" w:rsidRDefault="00BA2679">
      <w:pPr>
        <w:pBdr>
          <w:top w:val="nil"/>
          <w:left w:val="nil"/>
          <w:bottom w:val="nil"/>
          <w:right w:val="nil"/>
          <w:between w:val="nil"/>
        </w:pBdr>
        <w:ind w:left="709" w:right="900"/>
        <w:jc w:val="both"/>
        <w:rPr>
          <w:rFonts w:ascii="Palatino Linotype" w:eastAsia="Palatino Linotype" w:hAnsi="Palatino Linotype" w:cs="Palatino Linotype"/>
          <w:i/>
          <w:iCs/>
          <w:color w:val="222222"/>
        </w:rPr>
      </w:pPr>
      <w:r w:rsidRPr="00F45679">
        <w:rPr>
          <w:rFonts w:ascii="Palatino Linotype" w:eastAsia="Palatino Linotype" w:hAnsi="Palatino Linotype" w:cs="Palatino Linotype"/>
          <w:b/>
          <w:bCs/>
          <w:i/>
          <w:iCs/>
          <w:color w:val="222222"/>
        </w:rPr>
        <w:t>Artículo 163. </w:t>
      </w:r>
      <w:r w:rsidRPr="00F45679">
        <w:rPr>
          <w:rFonts w:ascii="Palatino Linotype" w:eastAsia="Palatino Linotype" w:hAnsi="Palatino Linotype" w:cs="Palatino Linotype"/>
          <w:i/>
          <w:iCs/>
          <w:color w:val="222222"/>
        </w:rPr>
        <w:t>La Unidad de Transparencia deberá notificar la respuesta a la solicitud al interesado en el menor tiempo posible, que no podrá exceder de quince días hábiles, contados a partir del día siguiente a la presentación de aquélla.</w:t>
      </w:r>
    </w:p>
    <w:p w:rsidR="008E1546" w:rsidRPr="00F45679" w:rsidRDefault="008E1546">
      <w:pPr>
        <w:pBdr>
          <w:top w:val="nil"/>
          <w:left w:val="nil"/>
          <w:bottom w:val="nil"/>
          <w:right w:val="nil"/>
          <w:between w:val="nil"/>
        </w:pBdr>
        <w:ind w:left="709" w:right="900"/>
        <w:jc w:val="both"/>
        <w:rPr>
          <w:rFonts w:ascii="Palatino Linotype" w:eastAsia="Palatino Linotype" w:hAnsi="Palatino Linotype" w:cs="Palatino Linotype"/>
          <w:color w:val="222222"/>
        </w:rPr>
      </w:pPr>
    </w:p>
    <w:p w:rsidR="008E1546" w:rsidRPr="00F45679" w:rsidRDefault="00BA2679">
      <w:pPr>
        <w:pBdr>
          <w:top w:val="nil"/>
          <w:left w:val="nil"/>
          <w:bottom w:val="nil"/>
          <w:right w:val="nil"/>
          <w:between w:val="nil"/>
        </w:pBdr>
        <w:ind w:left="709" w:right="900"/>
        <w:jc w:val="both"/>
        <w:rPr>
          <w:rFonts w:ascii="Palatino Linotype" w:eastAsia="Palatino Linotype" w:hAnsi="Palatino Linotype" w:cs="Palatino Linotype"/>
          <w:i/>
          <w:iCs/>
          <w:color w:val="222222"/>
        </w:rPr>
      </w:pPr>
      <w:r w:rsidRPr="00F45679">
        <w:rPr>
          <w:rFonts w:ascii="Palatino Linotype" w:eastAsia="Palatino Linotype" w:hAnsi="Palatino Linotype" w:cs="Palatino Linotype"/>
          <w:i/>
          <w:iCs/>
          <w:color w:val="2222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F45679">
        <w:rPr>
          <w:rFonts w:ascii="Palatino Linotype" w:eastAsia="Palatino Linotype" w:hAnsi="Palatino Linotype" w:cs="Palatino Linotype"/>
          <w:i/>
          <w:iCs/>
          <w:color w:val="222222"/>
        </w:rPr>
        <w:lastRenderedPageBreak/>
        <w:t>podrán invocarse como causales de ampliación del plazo motivos que supongan negligencia o descuido del sujeto obligado en el desahogo de la solicitud.”</w:t>
      </w:r>
    </w:p>
    <w:p w:rsidR="008E1546" w:rsidRPr="00F45679" w:rsidRDefault="008E1546">
      <w:pPr>
        <w:pBdr>
          <w:top w:val="nil"/>
          <w:left w:val="nil"/>
          <w:bottom w:val="nil"/>
          <w:right w:val="nil"/>
          <w:between w:val="nil"/>
        </w:pBdr>
        <w:ind w:left="709" w:right="900"/>
        <w:jc w:val="both"/>
        <w:rPr>
          <w:rFonts w:ascii="Palatino Linotype" w:eastAsia="Palatino Linotype" w:hAnsi="Palatino Linotype" w:cs="Palatino Linotype"/>
          <w:i/>
          <w:iCs/>
          <w:color w:val="222222"/>
        </w:rPr>
      </w:pPr>
    </w:p>
    <w:p w:rsidR="008E1546" w:rsidRPr="00F45679" w:rsidRDefault="008E1546">
      <w:pPr>
        <w:pBdr>
          <w:top w:val="nil"/>
          <w:left w:val="nil"/>
          <w:bottom w:val="nil"/>
          <w:right w:val="nil"/>
          <w:between w:val="nil"/>
        </w:pBdr>
        <w:ind w:left="709" w:right="900"/>
        <w:jc w:val="both"/>
        <w:rPr>
          <w:rFonts w:ascii="Palatino Linotype" w:eastAsia="Palatino Linotype" w:hAnsi="Palatino Linotype" w:cs="Palatino Linotype"/>
          <w:i/>
          <w:iCs/>
          <w:color w:val="222222"/>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222222"/>
        </w:rPr>
      </w:pPr>
      <w:r w:rsidRPr="00F45679">
        <w:rPr>
          <w:rFonts w:ascii="Palatino Linotype" w:eastAsia="Palatino Linotype" w:hAnsi="Palatino Linotype" w:cs="Palatino Linotype"/>
          <w:color w:val="222222"/>
        </w:rPr>
        <w:t xml:space="preserve">Solo en aquellos </w:t>
      </w:r>
      <w:r w:rsidRPr="00F45679">
        <w:rPr>
          <w:rFonts w:ascii="Palatino Linotype" w:eastAsia="Palatino Linotype" w:hAnsi="Palatino Linotype" w:cs="Palatino Linotype"/>
          <w:b/>
          <w:bCs/>
          <w:color w:val="222222"/>
        </w:rPr>
        <w:t>casos excepcionales</w:t>
      </w:r>
      <w:r w:rsidRPr="00F45679">
        <w:rPr>
          <w:rFonts w:ascii="Palatino Linotype" w:eastAsia="Palatino Linotype" w:hAnsi="Palatino Linotype" w:cs="Palatino Linotype"/>
          <w:color w:val="222222"/>
        </w:rPr>
        <w:t xml:space="preserve"> el </w:t>
      </w:r>
      <w:r w:rsidRPr="00F45679">
        <w:rPr>
          <w:rFonts w:ascii="Palatino Linotype" w:eastAsia="Palatino Linotype" w:hAnsi="Palatino Linotype" w:cs="Palatino Linotype"/>
          <w:b/>
          <w:bCs/>
          <w:color w:val="222222"/>
        </w:rPr>
        <w:t xml:space="preserve">SUJETO OBLIGADO </w:t>
      </w:r>
      <w:r w:rsidRPr="00F45679">
        <w:rPr>
          <w:rFonts w:ascii="Palatino Linotype" w:eastAsia="Palatino Linotype" w:hAnsi="Palatino Linotype" w:cs="Palatino Linotype"/>
          <w:color w:val="222222"/>
        </w:rPr>
        <w:t xml:space="preserve">podrá solicitar se amplíe el </w:t>
      </w:r>
      <w:r w:rsidRPr="00F45679">
        <w:rPr>
          <w:rFonts w:ascii="Palatino Linotype" w:eastAsia="Palatino Linotype" w:hAnsi="Palatino Linotype" w:cs="Palatino Linotype"/>
        </w:rPr>
        <w:t>término</w:t>
      </w:r>
      <w:r w:rsidRPr="00F45679">
        <w:rPr>
          <w:rFonts w:ascii="Palatino Linotype" w:eastAsia="Palatino Linotype" w:hAnsi="Palatino Linotype" w:cs="Palatino Linotype"/>
          <w:color w:val="222222"/>
        </w:rPr>
        <w:t xml:space="preserve"> de quince días para proporcionar respuesta a cualquier solicitud de </w:t>
      </w:r>
      <w:r w:rsidRPr="00F45679">
        <w:rPr>
          <w:rFonts w:ascii="Palatino Linotype" w:eastAsia="Palatino Linotype" w:hAnsi="Palatino Linotype" w:cs="Palatino Linotype"/>
          <w:color w:val="000000"/>
        </w:rPr>
        <w:t>información</w:t>
      </w:r>
      <w:r w:rsidRPr="00F45679">
        <w:rPr>
          <w:rFonts w:ascii="Palatino Linotype" w:eastAsia="Palatino Linotype" w:hAnsi="Palatino Linotype" w:cs="Palatino Linotype"/>
          <w:color w:val="222222"/>
        </w:rPr>
        <w:t xml:space="preserve">, plazo que podrá ser prorrogado por otros siete días más, siempre y cuando medien razones que justifiquen la ampliación, las cuales deberán estar </w:t>
      </w:r>
      <w:r w:rsidRPr="00F45679">
        <w:rPr>
          <w:rFonts w:ascii="Palatino Linotype" w:eastAsia="Palatino Linotype" w:hAnsi="Palatino Linotype" w:cs="Palatino Linotype"/>
          <w:b/>
          <w:bCs/>
          <w:color w:val="222222"/>
          <w:u w:val="single"/>
        </w:rPr>
        <w:t>fundadas y motivadas</w:t>
      </w:r>
      <w:r w:rsidRPr="00F45679">
        <w:rPr>
          <w:rFonts w:ascii="Palatino Linotype" w:eastAsia="Palatino Linotype" w:hAnsi="Palatino Linotype" w:cs="Palatino Linotype"/>
          <w:color w:val="222222"/>
        </w:rPr>
        <w:t xml:space="preserve">,  mismas que </w:t>
      </w:r>
      <w:r w:rsidRPr="00F45679">
        <w:rPr>
          <w:rFonts w:ascii="Palatino Linotype" w:eastAsia="Palatino Linotype" w:hAnsi="Palatino Linotype" w:cs="Palatino Linotype"/>
          <w:b/>
          <w:bCs/>
          <w:color w:val="222222"/>
        </w:rPr>
        <w:t xml:space="preserve">deberán ser aprobadas por los integrantes de su Comité de Transparencia mediante la emisión de una resolución </w:t>
      </w:r>
      <w:r w:rsidRPr="00F45679">
        <w:rPr>
          <w:rFonts w:ascii="Palatino Linotype" w:eastAsia="Palatino Linotype" w:hAnsi="Palatino Linotype" w:cs="Palatino Linotype"/>
          <w:color w:val="222222"/>
        </w:rPr>
        <w:t xml:space="preserve">que deberá notificarse al solicitante. Situación que, en el caso concreto, evidentemente no ocurrió </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F45679">
        <w:rPr>
          <w:rFonts w:ascii="Palatino Linotype" w:eastAsia="Palatino Linotype" w:hAnsi="Palatino Linotype" w:cs="Palatino Linotype"/>
          <w:color w:val="000000"/>
        </w:rPr>
        <w:t xml:space="preserve">El </w:t>
      </w:r>
      <w:r w:rsidRPr="00F45679">
        <w:rPr>
          <w:rFonts w:ascii="Palatino Linotype" w:eastAsia="Palatino Linotype" w:hAnsi="Palatino Linotype" w:cs="Palatino Linotype"/>
          <w:b/>
          <w:bCs/>
          <w:color w:val="000000"/>
        </w:rPr>
        <w:t>veintisiete de mayo de dos mil veinticinco</w:t>
      </w:r>
      <w:r w:rsidRPr="00F45679">
        <w:rPr>
          <w:rFonts w:ascii="Palatino Linotype" w:eastAsia="Palatino Linotype" w:hAnsi="Palatino Linotype" w:cs="Palatino Linotype"/>
          <w:color w:val="000000"/>
        </w:rPr>
        <w:t xml:space="preserve">, 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w:t>
      </w:r>
      <w:r w:rsidR="00F45679" w:rsidRPr="00F45679">
        <w:rPr>
          <w:rFonts w:ascii="Palatino Linotype" w:eastAsia="Palatino Linotype" w:hAnsi="Palatino Linotype" w:cs="Palatino Linotype"/>
          <w:color w:val="000000"/>
        </w:rPr>
        <w:t>di</w:t>
      </w:r>
      <w:r w:rsidR="00F45679" w:rsidRPr="00F45679">
        <w:rPr>
          <w:rFonts w:ascii="Palatino Linotype" w:eastAsia="Palatino Linotype" w:hAnsi="Palatino Linotype" w:cs="Palatino Linotype"/>
        </w:rPr>
        <w:t>o</w:t>
      </w:r>
      <w:r w:rsidRPr="00F45679">
        <w:rPr>
          <w:rFonts w:ascii="Palatino Linotype" w:eastAsia="Palatino Linotype" w:hAnsi="Palatino Linotype" w:cs="Palatino Linotype"/>
          <w:color w:val="000000"/>
        </w:rPr>
        <w:t xml:space="preserve"> </w:t>
      </w:r>
      <w:r w:rsidRPr="00F45679">
        <w:rPr>
          <w:rFonts w:ascii="Palatino Linotype" w:eastAsia="Palatino Linotype" w:hAnsi="Palatino Linotype" w:cs="Palatino Linotype"/>
          <w:color w:val="222222"/>
        </w:rPr>
        <w:t>respuesta</w:t>
      </w:r>
      <w:r w:rsidRPr="00F45679">
        <w:rPr>
          <w:rFonts w:ascii="Palatino Linotype" w:eastAsia="Palatino Linotype" w:hAnsi="Palatino Linotype" w:cs="Palatino Linotype"/>
          <w:color w:val="000000"/>
        </w:rPr>
        <w:t xml:space="preserve"> a través </w:t>
      </w:r>
      <w:r w:rsidRPr="00F45679">
        <w:rPr>
          <w:rFonts w:ascii="Palatino Linotype" w:eastAsia="Palatino Linotype" w:hAnsi="Palatino Linotype" w:cs="Palatino Linotype"/>
          <w:color w:val="222222"/>
        </w:rPr>
        <w:t>de</w:t>
      </w:r>
      <w:r w:rsidRPr="00F45679">
        <w:rPr>
          <w:rFonts w:ascii="Palatino Linotype" w:eastAsia="Palatino Linotype" w:hAnsi="Palatino Linotype" w:cs="Palatino Linotype"/>
          <w:color w:val="000000"/>
        </w:rPr>
        <w:t xml:space="preserve"> dos archivos electrónicos denominados </w:t>
      </w:r>
      <w:r w:rsidRPr="00F45679">
        <w:rPr>
          <w:rFonts w:ascii="Palatino Linotype" w:eastAsia="Palatino Linotype" w:hAnsi="Palatino Linotype" w:cs="Palatino Linotype"/>
          <w:i/>
          <w:iCs/>
          <w:color w:val="000000"/>
        </w:rPr>
        <w:t xml:space="preserve">PAO_2025 (13).pdf </w:t>
      </w:r>
      <w:r w:rsidRPr="00F45679">
        <w:rPr>
          <w:rFonts w:ascii="Palatino Linotype" w:eastAsia="Palatino Linotype" w:hAnsi="Palatino Linotype" w:cs="Palatino Linotype"/>
          <w:color w:val="000000"/>
        </w:rPr>
        <w:t>y</w:t>
      </w:r>
      <w:r w:rsidRPr="00F45679">
        <w:rPr>
          <w:rFonts w:ascii="Palatino Linotype" w:eastAsia="Palatino Linotype" w:hAnsi="Palatino Linotype" w:cs="Palatino Linotype"/>
          <w:i/>
          <w:iCs/>
          <w:color w:val="000000"/>
        </w:rPr>
        <w:t xml:space="preserve"> FORMATO RESPIUESTA A SOLICITUD 00060.pdf</w:t>
      </w:r>
      <w:r w:rsidRPr="00F45679">
        <w:rPr>
          <w:rFonts w:ascii="Palatino Linotype" w:eastAsia="Palatino Linotype" w:hAnsi="Palatino Linotype" w:cs="Palatino Linotype"/>
          <w:color w:val="000000"/>
        </w:rPr>
        <w:t xml:space="preserve">, cuyo contenido corresponde el primero de ellos al Presupuesto Basado en Resultados Municipal del Ejercicio Fiscal 2025 y, el segundo a un escrito signado por el Titular de la Unidad de Transparencia en el que informa el Contrato de Operación de los Parquímetros aún está en revisión y una vez firmado por las partes, se procederá a su entrega; asimismo que con relación al requerimiento sobre los “ingresos generados y su destino” derivados de la operación de los parquímetros en el municipio, se informó que dicha operación inició formalmente el día 7 de abril de 2025, por lo que la información correspondiente aún no ha sido generada, en virtud de que se encuentra en proceso de cierre presupuestal, contable y financiero, por lo que conforme al calendario de entregas al Órgano Superior de Fiscalización del Estado de México (OSFEM), el Segundo </w:t>
      </w:r>
      <w:r w:rsidRPr="00F45679">
        <w:rPr>
          <w:rFonts w:ascii="Palatino Linotype" w:eastAsia="Palatino Linotype" w:hAnsi="Palatino Linotype" w:cs="Palatino Linotype"/>
          <w:color w:val="000000"/>
        </w:rPr>
        <w:lastRenderedPageBreak/>
        <w:t>Informe Trimestral (correspondiente a los meses de abril, mayo y junio del ejercicio fiscal 2025) deberá presentarse a más tardar el día 11 de agosto de 2025, y que una vez concluido dicho proceso, será posible contar con la información requerida y, en consecuencia, se podrá proporcionar.</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i/>
          <w:iCs/>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Inconforme con la respuesta emitida, el </w:t>
      </w:r>
      <w:r w:rsidRPr="00F45679">
        <w:rPr>
          <w:rFonts w:ascii="Palatino Linotype" w:eastAsia="Palatino Linotype" w:hAnsi="Palatino Linotype" w:cs="Palatino Linotype"/>
          <w:b/>
          <w:bCs/>
          <w:color w:val="000000"/>
        </w:rPr>
        <w:t>seis de junio de dos mil veinticinco</w:t>
      </w:r>
      <w:r w:rsidRPr="00F45679">
        <w:rPr>
          <w:rFonts w:ascii="Palatino Linotype" w:eastAsia="Palatino Linotype" w:hAnsi="Palatino Linotype" w:cs="Palatino Linotype"/>
          <w:color w:val="000000"/>
        </w:rPr>
        <w:t xml:space="preserve">, la parte </w:t>
      </w:r>
      <w:r w:rsidRPr="00F45679">
        <w:rPr>
          <w:rFonts w:ascii="Palatino Linotype" w:eastAsia="Palatino Linotype" w:hAnsi="Palatino Linotype" w:cs="Palatino Linotype"/>
          <w:b/>
          <w:bCs/>
          <w:color w:val="000000"/>
        </w:rPr>
        <w:t>RECURRENTE</w:t>
      </w:r>
      <w:r w:rsidRPr="00F45679">
        <w:rPr>
          <w:rFonts w:ascii="Palatino Linotype" w:eastAsia="Palatino Linotype" w:hAnsi="Palatino Linotype" w:cs="Palatino Linotype"/>
          <w:color w:val="000000"/>
        </w:rPr>
        <w:t xml:space="preserve"> interpuso su Recurso de Revisión, señalando como acto impugnado y razones o motivos de inconformidad, lo siguiente:</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8E1546" w:rsidRPr="00F45679" w:rsidRDefault="00BA2679" w:rsidP="00F45679">
      <w:pPr>
        <w:pStyle w:val="Prrafodelista"/>
        <w:numPr>
          <w:ilvl w:val="0"/>
          <w:numId w:val="8"/>
        </w:numPr>
        <w:pBdr>
          <w:top w:val="nil"/>
          <w:left w:val="nil"/>
          <w:bottom w:val="nil"/>
          <w:right w:val="nil"/>
          <w:between w:val="nil"/>
        </w:pBdr>
        <w:spacing w:line="360" w:lineRule="auto"/>
        <w:ind w:right="426"/>
        <w:jc w:val="both"/>
        <w:rPr>
          <w:rFonts w:ascii="Palatino Linotype" w:eastAsia="Palatino Linotype" w:hAnsi="Palatino Linotype" w:cs="Palatino Linotype"/>
          <w:b/>
          <w:bCs/>
          <w:color w:val="000000"/>
        </w:rPr>
      </w:pPr>
      <w:bookmarkStart w:id="1" w:name="_heading=h.gyz5ts5bm2a6" w:colFirst="0" w:colLast="0"/>
      <w:bookmarkEnd w:id="1"/>
      <w:r w:rsidRPr="00F45679">
        <w:rPr>
          <w:rFonts w:ascii="Palatino Linotype" w:eastAsia="Palatino Linotype" w:hAnsi="Palatino Linotype" w:cs="Palatino Linotype"/>
          <w:b/>
          <w:bCs/>
          <w:color w:val="000000"/>
        </w:rPr>
        <w:t>ACTO IMPUGNADO:</w:t>
      </w:r>
    </w:p>
    <w:p w:rsidR="008E1546" w:rsidRPr="00F45679" w:rsidRDefault="00BA2679">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“En atención al oficio de respuesta a la solicitud 00060/TEXCOCO/IP/2025, fechado el 27 de mayo de 2025, me permito manifestar lo siguiente: Principio de Legalidad (Art. 16 Constitucional): La Constitución establece que toda autoridad debe actuar con base en lo dispuesto por la ley. En ese sentido, permitir la operación activa de parquímetros sin un contrato firmado ni transparentado ante la ciudadanía contraviene el principio de legalidad. Si el contrato aún está “en revisión”, como lo menciona el oficio, entonces no existe una base jurídica firme para que dichos dispositivos estén en funcionamiento y generen ingresos. Transparencia y Rendición de Cuentas (Art. 6 Constitucional): El artículo 6° de la Constitución consagra el derecho de acceso a la información pública. La respuesta recibida señala que no se puede proporcionar información sobre los ingresos y su destino por estar “en proceso de cierre presupuestal”, sin embargo, desde el 7 de abril se están generando recursos públicos por el cobro de estacionamiento. Esto exige que se documenten los ingresos desde el primer día de operación, sin necesidad de esperar un informe trimestral. Lo contrario genera </w:t>
      </w:r>
      <w:r w:rsidRPr="00F45679">
        <w:rPr>
          <w:rFonts w:ascii="Palatino Linotype" w:eastAsia="Palatino Linotype" w:hAnsi="Palatino Linotype" w:cs="Palatino Linotype"/>
          <w:i/>
          <w:iCs/>
          <w:color w:val="000000"/>
        </w:rPr>
        <w:lastRenderedPageBreak/>
        <w:t>opacidad en el manejo de recursos públicos. Violación al Principio de Máxima Publicidad: Aunque el oficio invoca este principio, en los hechos no se garantiza, pues: No se entrega el contrato (aún no firmado). No se informa sobre ingresos recaudados. No se transparentan las condiciones con la empresa operadora. Esto vulnera el derecho ciudadano a conocer en qué condiciones está operando un servicio público concesionado y cómo se están utilizando los recursos que de ello derivan. Potencial uso indebido de recursos públicos: Operar parquímetros sin contrato firmado y sin evidencia de su correcta adjudicación abre la puerta a irregularidades y posibles responsabilidades administrativas o penales. El uso de bienes y espacios públicos requiere un sustento legal y mecanismos de control claros para evitar discrecionalidad. Conclusión: Conforme al marco constitucional y legal vigente, la operación de los parquímetros sin contrato formalmente suscrito, sin claridad sobre los ingresos generados y sin datos de transparencia accesibles, carece de sustento jurídico pleno y vulnera los derechos ciudadanos de legalidad, información y rendición de cuentas.”</w:t>
      </w:r>
    </w:p>
    <w:p w:rsidR="008E1546" w:rsidRPr="00F45679" w:rsidRDefault="008E1546">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p>
    <w:p w:rsidR="008E1546" w:rsidRPr="00F45679" w:rsidRDefault="00BA2679" w:rsidP="00F45679">
      <w:pPr>
        <w:pStyle w:val="Prrafodelista"/>
        <w:numPr>
          <w:ilvl w:val="0"/>
          <w:numId w:val="8"/>
        </w:numPr>
        <w:pBdr>
          <w:top w:val="nil"/>
          <w:left w:val="nil"/>
          <w:bottom w:val="nil"/>
          <w:right w:val="nil"/>
          <w:between w:val="nil"/>
        </w:pBdr>
        <w:spacing w:line="360" w:lineRule="auto"/>
        <w:ind w:right="426"/>
        <w:jc w:val="both"/>
        <w:rPr>
          <w:rFonts w:ascii="Palatino Linotype" w:eastAsia="Palatino Linotype" w:hAnsi="Palatino Linotype" w:cs="Palatino Linotype"/>
          <w:b/>
          <w:bCs/>
          <w:color w:val="000000"/>
        </w:rPr>
      </w:pPr>
      <w:r w:rsidRPr="00F45679">
        <w:rPr>
          <w:rFonts w:ascii="Palatino Linotype" w:eastAsia="Palatino Linotype" w:hAnsi="Palatino Linotype" w:cs="Palatino Linotype"/>
          <w:b/>
          <w:bCs/>
          <w:color w:val="000000"/>
        </w:rPr>
        <w:t>RAZONES O MOTIVOS DE LA INCONFORMIDAD</w:t>
      </w:r>
      <w:r w:rsidRPr="00F45679">
        <w:rPr>
          <w:rFonts w:ascii="Palatino Linotype" w:eastAsia="Palatino Linotype" w:hAnsi="Palatino Linotype" w:cs="Palatino Linotype"/>
          <w:b/>
          <w:bCs/>
          <w:color w:val="000000"/>
        </w:rPr>
        <w:tab/>
      </w:r>
    </w:p>
    <w:p w:rsidR="008E1546" w:rsidRPr="00F45679" w:rsidRDefault="00BA2679">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“En atención al oficio de respuesta a la solicitud 00060/TEXCOCO/IP/2025, fechado el 27 de mayo de 2025, me permito manifestar lo siguiente: Principio de Legalidad (Art. 16 Constitucional): La Constitución establece que toda autoridad debe actuar con base en lo dispuesto por la ley. En ese sentido, permitir la operación activa de parquímetros sin un contrato firmado ni transparentado ante la ciudadanía contraviene el principio de legalidad. Si el contrato aún está “en revisión”, como lo menciona el oficio, entonces no existe una base jurídica firme para que dichos dispositivos estén en funcionamiento y generen ingresos. Transparencia y Rendición de Cuentas (Art. 6 Constitucional): El artículo 6° de la </w:t>
      </w:r>
      <w:r w:rsidRPr="00F45679">
        <w:rPr>
          <w:rFonts w:ascii="Palatino Linotype" w:eastAsia="Palatino Linotype" w:hAnsi="Palatino Linotype" w:cs="Palatino Linotype"/>
          <w:i/>
          <w:iCs/>
          <w:color w:val="000000"/>
        </w:rPr>
        <w:lastRenderedPageBreak/>
        <w:t>Constitución consagra el derecho de acceso a la información pública. La respuesta recibida señala que no se puede proporcionar información sobre los ingresos y su destino por estar “en proceso de cierre presupuestal”, sin embargo, desde el 7 de abril se están generando recursos públicos por el cobro de estacionamiento. Esto exige que se documenten los ingresos desde el primer día de operación, sin necesidad de esperar un informe trimestral. Lo contrario genera opacidad en el manejo de recursos públicos. Violación al Principio de Máxima Publicidad: Aunque el oficio invoca este principio, en los hechos no se garantiza, pues: No se entrega el contrato (aún no firmado). No se informa sobre ingresos recaudados. No se transparentan las condiciones con la empresa operadora. Esto vulnera el derecho ciudadano a conocer en qué condiciones está operando un servicio público concesionado y cómo se están utilizando los recursos que de ello derivan. Potencial uso indebido de recursos públicos: Operar parquímetros sin contrato firmado y sin evidencia de su correcta adjudicación abre la puerta a irregularidades y posibles responsabilidades administrativas o penales. El uso de bienes y espacios públicos requiere un sustento legal y mecanismos de control claros para evitar discrecionalidad. Conclusión: Conforme al marco constitucional y legal vigente, la operación de los parquímetros sin contrato formalmente suscrito, sin claridad sobre los ingresos generados y sin datos de transparencia accesibles, carece de sustento jurídico pleno y vulnera los derechos ciudadanos de legalidad, información y rendición de cuentas.”</w:t>
      </w:r>
    </w:p>
    <w:p w:rsidR="008E1546" w:rsidRPr="00F45679" w:rsidRDefault="008E1546">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p>
    <w:p w:rsidR="008E1546" w:rsidRPr="00F45679" w:rsidRDefault="00BA2679">
      <w:pPr>
        <w:numPr>
          <w:ilvl w:val="0"/>
          <w:numId w:val="7"/>
        </w:numPr>
        <w:pBdr>
          <w:top w:val="nil"/>
          <w:left w:val="nil"/>
          <w:bottom w:val="nil"/>
          <w:right w:val="nil"/>
          <w:between w:val="nil"/>
        </w:pBdr>
        <w:spacing w:line="360" w:lineRule="auto"/>
        <w:ind w:left="709" w:right="426"/>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Se adjuntó el archivo denominado </w:t>
      </w:r>
      <w:r w:rsidRPr="00F45679">
        <w:rPr>
          <w:rFonts w:ascii="Palatino Linotype" w:eastAsia="Palatino Linotype" w:hAnsi="Palatino Linotype" w:cs="Palatino Linotype"/>
          <w:b/>
          <w:bCs/>
          <w:i/>
          <w:iCs/>
          <w:color w:val="000000"/>
        </w:rPr>
        <w:t>FORMATO RESPIUESTA A SOLICITUD 00060.pdf</w:t>
      </w:r>
      <w:r w:rsidRPr="00F45679">
        <w:rPr>
          <w:rFonts w:ascii="Palatino Linotype" w:eastAsia="Palatino Linotype" w:hAnsi="Palatino Linotype" w:cs="Palatino Linotype"/>
          <w:color w:val="000000"/>
        </w:rPr>
        <w:t>, que corresponde al mismo archivo de respuesta antes descrito.</w:t>
      </w:r>
    </w:p>
    <w:p w:rsidR="008E1546" w:rsidRPr="00F45679" w:rsidRDefault="008E1546">
      <w:pPr>
        <w:pBdr>
          <w:top w:val="nil"/>
          <w:left w:val="nil"/>
          <w:bottom w:val="nil"/>
          <w:right w:val="nil"/>
          <w:between w:val="nil"/>
        </w:pBdr>
        <w:spacing w:line="360" w:lineRule="auto"/>
        <w:ind w:left="1146" w:right="426"/>
        <w:jc w:val="both"/>
        <w:rPr>
          <w:rFonts w:ascii="Palatino Linotype" w:eastAsia="Palatino Linotype" w:hAnsi="Palatino Linotype" w:cs="Palatino Linotype"/>
          <w:color w:val="000000"/>
        </w:rPr>
      </w:pPr>
    </w:p>
    <w:p w:rsidR="008E1546" w:rsidRPr="00F45679" w:rsidRDefault="00F45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lastRenderedPageBreak/>
        <w:t>La Comisionada p</w:t>
      </w:r>
      <w:r w:rsidR="00BA2679" w:rsidRPr="00F45679">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BA2679" w:rsidRPr="00F45679">
        <w:rPr>
          <w:rFonts w:ascii="Palatino Linotype" w:eastAsia="Palatino Linotype" w:hAnsi="Palatino Linotype" w:cs="Palatino Linotype"/>
          <w:b/>
          <w:bCs/>
          <w:color w:val="000000"/>
        </w:rPr>
        <w:t>veintinueve de mayo dos mil veinticinco</w:t>
      </w:r>
      <w:r w:rsidR="00BA2679" w:rsidRPr="00F45679">
        <w:rPr>
          <w:rFonts w:ascii="Palatino Linotype" w:eastAsia="Palatino Linotype" w:hAnsi="Palatino Linotype" w:cs="Palatino Linotype"/>
          <w:color w:val="000000"/>
        </w:rPr>
        <w:t xml:space="preserve">, puso a disposición de las partes el expediente electrónico vía </w:t>
      </w:r>
      <w:r w:rsidR="00BA2679" w:rsidRPr="00F45679">
        <w:rPr>
          <w:rFonts w:ascii="Palatino Linotype" w:eastAsia="Palatino Linotype" w:hAnsi="Palatino Linotype" w:cs="Palatino Linotype"/>
          <w:b/>
          <w:bCs/>
          <w:color w:val="000000"/>
        </w:rPr>
        <w:t xml:space="preserve">SAIMEX </w:t>
      </w:r>
      <w:r w:rsidR="00BA2679" w:rsidRPr="00F45679">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00BA2679" w:rsidRPr="00F45679">
        <w:rPr>
          <w:rFonts w:ascii="Palatino Linotype" w:eastAsia="Palatino Linotype" w:hAnsi="Palatino Linotype" w:cs="Palatino Linotype"/>
          <w:b/>
          <w:bCs/>
          <w:color w:val="000000"/>
        </w:rPr>
        <w:t>SUJETO OBLIGADO</w:t>
      </w:r>
      <w:r w:rsidR="00BA2679" w:rsidRPr="00F45679">
        <w:rPr>
          <w:rFonts w:ascii="Palatino Linotype" w:eastAsia="Palatino Linotype" w:hAnsi="Palatino Linotype" w:cs="Palatino Linotype"/>
          <w:color w:val="000000"/>
        </w:rPr>
        <w:t xml:space="preserve"> presentará el Informe Justificado procedente.</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color w:val="000000"/>
        </w:rPr>
        <w:t xml:space="preserve">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en fecha veintiséis de junio de dos mil veinticinco, rindió informe justificado mediante un escrito signado por el Titular de la Unidad de Transparencia, a través del cual informa: “…</w:t>
      </w:r>
      <w:r w:rsidRPr="00F45679">
        <w:rPr>
          <w:rFonts w:ascii="Palatino Linotype" w:eastAsia="Palatino Linotype" w:hAnsi="Palatino Linotype" w:cs="Palatino Linotype"/>
          <w:i/>
          <w:iCs/>
          <w:color w:val="000000"/>
        </w:rPr>
        <w:t>que una vez realizada la búsqueda exhaustiva y razonable de información solicitada Contrato de Parquímetros, se desprende que la misma recae en los supuestos de “Información Reservada”; de acuerdo con lo señalado en el artículo 113, fracción VI de la Ley General de Transparencia y Acceso a la Información Pública; en concordancia con el artículo 140, fracción V apartado 1 de la Ley de Transparencia y Acceso a la Información Pública del Estado de México y Municipios, toda vez que la información solicitada recae en el supuesto de:</w:t>
      </w:r>
    </w:p>
    <w:p w:rsidR="008E1546" w:rsidRPr="00F45679" w:rsidRDefault="00BA2679">
      <w:pPr>
        <w:pBdr>
          <w:top w:val="nil"/>
          <w:left w:val="nil"/>
          <w:bottom w:val="nil"/>
          <w:right w:val="nil"/>
          <w:between w:val="nil"/>
        </w:pBdr>
        <w:spacing w:line="360" w:lineRule="auto"/>
        <w:ind w:left="502"/>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Artículo 140. El acceso a la información pública será restringido excepcionalmente, cuando por razones de interés público, ésta sea clasificada como reservada, conforme a los criterios siguientes:</w:t>
      </w:r>
    </w:p>
    <w:p w:rsidR="008E1546" w:rsidRPr="00F45679" w:rsidRDefault="00BA2679">
      <w:pPr>
        <w:pBdr>
          <w:top w:val="nil"/>
          <w:left w:val="nil"/>
          <w:bottom w:val="nil"/>
          <w:right w:val="nil"/>
          <w:between w:val="nil"/>
        </w:pBdr>
        <w:spacing w:line="360" w:lineRule="auto"/>
        <w:ind w:left="502"/>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1. Las actividades de fiscalización, verificación, inspección, comprobación y auditoría sobre el cumplimiento de las Leyes; o</w:t>
      </w:r>
    </w:p>
    <w:p w:rsidR="008E1546" w:rsidRPr="00F45679" w:rsidRDefault="00BA2679">
      <w:pPr>
        <w:spacing w:line="360" w:lineRule="auto"/>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Toda vez que se encuentra en un procedimiento Contencioso Administrativo, esta se encuentra Reservada por un periodo de 1 año. De acuerdo a la Prueba de Daño realizada por la Consejería Jurídica.</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lastRenderedPageBreak/>
        <w:t xml:space="preserve">Por su parte, el ahora </w:t>
      </w:r>
      <w:r w:rsidRPr="00F45679">
        <w:rPr>
          <w:rFonts w:ascii="Palatino Linotype" w:eastAsia="Palatino Linotype" w:hAnsi="Palatino Linotype" w:cs="Palatino Linotype"/>
          <w:b/>
          <w:bCs/>
          <w:color w:val="000000"/>
        </w:rPr>
        <w:t>RECURRENTE</w:t>
      </w:r>
      <w:r w:rsidRPr="00F45679">
        <w:rPr>
          <w:rFonts w:ascii="Palatino Linotype" w:eastAsia="Palatino Linotype" w:hAnsi="Palatino Linotype" w:cs="Palatino Linotype"/>
          <w:color w:val="000000"/>
        </w:rPr>
        <w:t xml:space="preserve"> realizó manifestaciones que a su derecho conviniera y asistiera los días treinta de mayo, dos de junio, nueve y diez de julio y cuatro de agosto de dos mil veinticinco, en donde </w:t>
      </w:r>
      <w:r w:rsidRPr="00F45679">
        <w:rPr>
          <w:rFonts w:ascii="Palatino Linotype" w:eastAsia="Palatino Linotype" w:hAnsi="Palatino Linotype" w:cs="Palatino Linotype"/>
          <w:i/>
          <w:iCs/>
          <w:color w:val="000000"/>
        </w:rPr>
        <w:t>grosso modo</w:t>
      </w:r>
      <w:r w:rsidRPr="00F45679">
        <w:rPr>
          <w:rFonts w:ascii="Palatino Linotype" w:eastAsia="Palatino Linotype" w:hAnsi="Palatino Linotype" w:cs="Palatino Linotype"/>
          <w:color w:val="000000"/>
        </w:rPr>
        <w:t xml:space="preserve"> manifiesta lo siguiente:</w:t>
      </w:r>
    </w:p>
    <w:p w:rsidR="008E1546" w:rsidRPr="00F45679" w:rsidRDefault="00BA2679">
      <w:p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En relación con la respuesta emitida el 27 de mayo de 2025 a la solicitud 00060/TEXCOCO/IP/2025, se advierten con preocupación los siguientes hechos reconocidos por la propia autoridad:</w:t>
      </w:r>
    </w:p>
    <w:p w:rsidR="008E1546" w:rsidRPr="00F45679" w:rsidRDefault="00BA2679">
      <w:pPr>
        <w:numPr>
          <w:ilvl w:val="0"/>
          <w:numId w:val="3"/>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El </w:t>
      </w:r>
      <w:r w:rsidRPr="00F45679">
        <w:rPr>
          <w:rFonts w:ascii="Palatino Linotype" w:eastAsia="Palatino Linotype" w:hAnsi="Palatino Linotype" w:cs="Palatino Linotype"/>
          <w:b/>
          <w:bCs/>
          <w:i/>
          <w:iCs/>
          <w:color w:val="000000"/>
        </w:rPr>
        <w:t>contrato de operación de los parquímetros aún no ha sido formalizado ni firmado</w:t>
      </w:r>
      <w:r w:rsidRPr="00F45679">
        <w:rPr>
          <w:rFonts w:ascii="Palatino Linotype" w:eastAsia="Palatino Linotype" w:hAnsi="Palatino Linotype" w:cs="Palatino Linotype"/>
          <w:i/>
          <w:iCs/>
          <w:color w:val="000000"/>
        </w:rPr>
        <w:t>.</w:t>
      </w:r>
    </w:p>
    <w:p w:rsidR="008E1546" w:rsidRPr="00F45679" w:rsidRDefault="00BA2679">
      <w:pPr>
        <w:numPr>
          <w:ilvl w:val="0"/>
          <w:numId w:val="3"/>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No se ha generado información financiera</w:t>
      </w:r>
      <w:r w:rsidRPr="00F45679">
        <w:rPr>
          <w:rFonts w:ascii="Palatino Linotype" w:eastAsia="Palatino Linotype" w:hAnsi="Palatino Linotype" w:cs="Palatino Linotype"/>
          <w:i/>
          <w:iCs/>
          <w:color w:val="000000"/>
        </w:rPr>
        <w:t xml:space="preserve"> sobre los ingresos recaudados ni sobre su destino.</w:t>
      </w:r>
    </w:p>
    <w:p w:rsidR="008E1546" w:rsidRPr="00F45679" w:rsidRDefault="00BA2679">
      <w:pPr>
        <w:numPr>
          <w:ilvl w:val="0"/>
          <w:numId w:val="3"/>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No se ha determinado la fuente de financiamiento, el mecanismo de adjudicación ni la empresa operadora</w:t>
      </w:r>
      <w:r w:rsidRPr="00F45679">
        <w:rPr>
          <w:rFonts w:ascii="Palatino Linotype" w:eastAsia="Palatino Linotype" w:hAnsi="Palatino Linotype" w:cs="Palatino Linotype"/>
          <w:i/>
          <w:iCs/>
          <w:color w:val="000000"/>
        </w:rPr>
        <w:t xml:space="preserve"> del sistema.</w:t>
      </w:r>
    </w:p>
    <w:p w:rsidR="008E1546" w:rsidRPr="00F45679" w:rsidRDefault="00BA2679">
      <w:p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Ante esta situación, </w:t>
      </w:r>
      <w:r w:rsidRPr="00F45679">
        <w:rPr>
          <w:rFonts w:ascii="Palatino Linotype" w:eastAsia="Palatino Linotype" w:hAnsi="Palatino Linotype" w:cs="Palatino Linotype"/>
          <w:b/>
          <w:bCs/>
          <w:i/>
          <w:iCs/>
          <w:color w:val="000000"/>
        </w:rPr>
        <w:t>manifiesto con firmeza</w:t>
      </w:r>
      <w:r w:rsidRPr="00F45679">
        <w:rPr>
          <w:rFonts w:ascii="Palatino Linotype" w:eastAsia="Palatino Linotype" w:hAnsi="Palatino Linotype" w:cs="Palatino Linotype"/>
          <w:i/>
          <w:iCs/>
          <w:color w:val="000000"/>
        </w:rPr>
        <w:t xml:space="preserve"> que la operación de los parquímetros en el municipio de Texcoco, iniciada desde el 7 de abril de 2025, </w:t>
      </w:r>
      <w:r w:rsidRPr="00F45679">
        <w:rPr>
          <w:rFonts w:ascii="Palatino Linotype" w:eastAsia="Palatino Linotype" w:hAnsi="Palatino Linotype" w:cs="Palatino Linotype"/>
          <w:b/>
          <w:bCs/>
          <w:i/>
          <w:iCs/>
          <w:color w:val="000000"/>
        </w:rPr>
        <w:t>constituye una clara transgresión al principio de legalidad</w:t>
      </w:r>
      <w:r w:rsidRPr="00F45679">
        <w:rPr>
          <w:rFonts w:ascii="Palatino Linotype" w:eastAsia="Palatino Linotype" w:hAnsi="Palatino Linotype" w:cs="Palatino Linotype"/>
          <w:i/>
          <w:iCs/>
          <w:color w:val="000000"/>
        </w:rPr>
        <w:t xml:space="preserve">, consagrado en el artículo 16 constitucional. La administración pública </w:t>
      </w:r>
      <w:r w:rsidRPr="00F45679">
        <w:rPr>
          <w:rFonts w:ascii="Palatino Linotype" w:eastAsia="Palatino Linotype" w:hAnsi="Palatino Linotype" w:cs="Palatino Linotype"/>
          <w:b/>
          <w:bCs/>
          <w:i/>
          <w:iCs/>
          <w:color w:val="000000"/>
        </w:rPr>
        <w:t>no puede realizar actos de autoridad ni generar ingresos públicos sin un marco jurídico expreso, válido y transparente.</w:t>
      </w:r>
    </w:p>
    <w:p w:rsidR="008E1546" w:rsidRPr="00F45679" w:rsidRDefault="00BA2679">
      <w:p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Asimismo, la falta de información verificable y accesible sobre los ingresos derivados de esta operación, así como el vacío legal sobre su implementación, </w:t>
      </w:r>
      <w:r w:rsidRPr="00F45679">
        <w:rPr>
          <w:rFonts w:ascii="Palatino Linotype" w:eastAsia="Palatino Linotype" w:hAnsi="Palatino Linotype" w:cs="Palatino Linotype"/>
          <w:b/>
          <w:bCs/>
          <w:i/>
          <w:iCs/>
          <w:color w:val="000000"/>
        </w:rPr>
        <w:t>viola gravemente el artículo 6º constitucional</w:t>
      </w:r>
      <w:r w:rsidRPr="00F45679">
        <w:rPr>
          <w:rFonts w:ascii="Palatino Linotype" w:eastAsia="Palatino Linotype" w:hAnsi="Palatino Linotype" w:cs="Palatino Linotype"/>
          <w:i/>
          <w:iCs/>
          <w:color w:val="000000"/>
        </w:rPr>
        <w:t>, que garantiza a todas las personas el derecho al acceso a la información pública y a la rendición de cuentas de toda actividad gubernamental que implique recursos públicos.</w:t>
      </w:r>
    </w:p>
    <w:p w:rsidR="008E1546" w:rsidRPr="00F45679" w:rsidRDefault="00BA2679">
      <w:p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La utilización de bienes de dominio público, como lo son las calles y espacios municipales, para la generación de ingresos mediante un esquema de cobro no contractualizado, </w:t>
      </w:r>
      <w:r w:rsidRPr="00F45679">
        <w:rPr>
          <w:rFonts w:ascii="Palatino Linotype" w:eastAsia="Palatino Linotype" w:hAnsi="Palatino Linotype" w:cs="Palatino Linotype"/>
          <w:b/>
          <w:bCs/>
          <w:i/>
          <w:iCs/>
          <w:color w:val="000000"/>
        </w:rPr>
        <w:t>abre la posibilidad de que existan actos de simulación, discrecionalidad, opacidad y posibles responsabilidades administrativas y penales por el uso indebido de recursos públicos.</w:t>
      </w:r>
    </w:p>
    <w:p w:rsidR="008E1546" w:rsidRPr="00F45679" w:rsidRDefault="00BA2679">
      <w:p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Por lo anterior, solicito de manera categórica e inmediata lo siguiente:</w:t>
      </w:r>
    </w:p>
    <w:p w:rsidR="008E1546" w:rsidRPr="00F45679" w:rsidRDefault="00BA2679">
      <w:pPr>
        <w:numPr>
          <w:ilvl w:val="0"/>
          <w:numId w:val="4"/>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Se suspenda de forma inmediata la operación de los parquímetros</w:t>
      </w:r>
      <w:r w:rsidRPr="00F45679">
        <w:rPr>
          <w:rFonts w:ascii="Palatino Linotype" w:eastAsia="Palatino Linotype" w:hAnsi="Palatino Linotype" w:cs="Palatino Linotype"/>
          <w:i/>
          <w:iCs/>
          <w:color w:val="000000"/>
        </w:rPr>
        <w:t>, por carecer de contrato firmado, publicado y aprobado conforme a la normatividad aplicable, y hasta que se garantice su legalidad, transparencia y justificación pública.</w:t>
      </w:r>
    </w:p>
    <w:p w:rsidR="008E1546" w:rsidRPr="00F45679" w:rsidRDefault="00BA2679">
      <w:pPr>
        <w:numPr>
          <w:ilvl w:val="0"/>
          <w:numId w:val="4"/>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Se informe de manera precisa y detallada</w:t>
      </w:r>
      <w:r w:rsidRPr="00F45679">
        <w:rPr>
          <w:rFonts w:ascii="Palatino Linotype" w:eastAsia="Palatino Linotype" w:hAnsi="Palatino Linotype" w:cs="Palatino Linotype"/>
          <w:i/>
          <w:iCs/>
          <w:color w:val="000000"/>
        </w:rPr>
        <w:t>:</w:t>
      </w:r>
    </w:p>
    <w:p w:rsidR="008E1546" w:rsidRPr="00F45679" w:rsidRDefault="00BA2679">
      <w:pPr>
        <w:numPr>
          <w:ilvl w:val="1"/>
          <w:numId w:val="4"/>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lastRenderedPageBreak/>
        <w:t>El estatus jurídico exacto del contrato respectivo.</w:t>
      </w:r>
    </w:p>
    <w:p w:rsidR="008E1546" w:rsidRPr="00F45679" w:rsidRDefault="00BA2679">
      <w:pPr>
        <w:numPr>
          <w:ilvl w:val="1"/>
          <w:numId w:val="4"/>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La autoridad o servidor público que autorizó el inicio de la operación sin contrato.</w:t>
      </w:r>
    </w:p>
    <w:p w:rsidR="008E1546" w:rsidRPr="00F45679" w:rsidRDefault="00BA2679">
      <w:pPr>
        <w:numPr>
          <w:ilvl w:val="1"/>
          <w:numId w:val="4"/>
        </w:numPr>
        <w:pBdr>
          <w:top w:val="nil"/>
          <w:left w:val="nil"/>
          <w:bottom w:val="nil"/>
          <w:right w:val="nil"/>
          <w:between w:val="nil"/>
        </w:pBdr>
        <w:ind w:left="567" w:right="425"/>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Los montos exactos de ingresos recaudados desde el 7 de abril de 2025 y la cuenta pública en la que han sido depositados.</w:t>
      </w:r>
    </w:p>
    <w:p w:rsidR="008E1546" w:rsidRPr="00F45679" w:rsidRDefault="008E1546">
      <w:pPr>
        <w:rPr>
          <w:rFonts w:ascii="Palatino Linotype" w:eastAsia="Palatino Linotype" w:hAnsi="Palatino Linotype" w:cs="Palatino Linotype"/>
          <w:color w:val="000000"/>
        </w:rPr>
      </w:pPr>
    </w:p>
    <w:p w:rsidR="008E1546" w:rsidRPr="00F45679" w:rsidRDefault="008E1546">
      <w:pPr>
        <w:rPr>
          <w:rFonts w:ascii="Palatino Linotype" w:eastAsia="Palatino Linotype" w:hAnsi="Palatino Linotype" w:cs="Palatino Linotype"/>
          <w:color w:val="000000"/>
        </w:rPr>
      </w:pPr>
    </w:p>
    <w:p w:rsidR="008E1546" w:rsidRPr="00F45679" w:rsidRDefault="00BA2679">
      <w:pPr>
        <w:ind w:left="567"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w:t>
      </w: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PETICIÓN</w:t>
      </w: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Por lo anterior, respetuosamente solicito:</w:t>
      </w: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1. Que el INFOEM revoque la clasificación de “información reservada” del contrato de parquímetros emitida por el H. Ayuntamiento de Texcoco.</w:t>
      </w: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2. Que se ordene la entrega íntegra o, en su caso, una versión pública del contrato solicitado, conforme a lo dispuesto en la ley.</w:t>
      </w: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3. Que se exhorte a la autoridad recurrida a ajustar sus prácticas de clasificación conforme a la prueba de daño debidamente motivada y fundada en los términos que exige la ley.</w:t>
      </w:r>
    </w:p>
    <w:p w:rsidR="008E1546" w:rsidRPr="00F45679" w:rsidRDefault="008E1546">
      <w:pPr>
        <w:ind w:left="567" w:right="567"/>
        <w:jc w:val="both"/>
        <w:rPr>
          <w:rFonts w:ascii="Palatino Linotype" w:eastAsia="Palatino Linotype" w:hAnsi="Palatino Linotype" w:cs="Palatino Linotype"/>
          <w:i/>
          <w:iCs/>
          <w:color w:val="333333"/>
        </w:rPr>
      </w:pPr>
    </w:p>
    <w:p w:rsidR="008E1546" w:rsidRPr="00F45679" w:rsidRDefault="008E1546">
      <w:pPr>
        <w:ind w:left="567" w:right="567"/>
        <w:jc w:val="both"/>
        <w:rPr>
          <w:rFonts w:ascii="Palatino Linotype" w:eastAsia="Palatino Linotype" w:hAnsi="Palatino Linotype" w:cs="Palatino Linotype"/>
          <w:i/>
          <w:iCs/>
          <w:color w:val="333333"/>
        </w:rPr>
      </w:pPr>
    </w:p>
    <w:p w:rsidR="008E1546" w:rsidRPr="00F45679" w:rsidRDefault="00BA2679">
      <w:pPr>
        <w:ind w:left="567" w:right="567"/>
        <w:jc w:val="both"/>
        <w:rPr>
          <w:rFonts w:ascii="Palatino Linotype" w:eastAsia="Palatino Linotype" w:hAnsi="Palatino Linotype" w:cs="Palatino Linotype"/>
          <w:i/>
          <w:iCs/>
          <w:color w:val="333333"/>
        </w:rPr>
      </w:pPr>
      <w:r w:rsidRPr="00F45679">
        <w:rPr>
          <w:rFonts w:ascii="Palatino Linotype" w:eastAsia="Palatino Linotype" w:hAnsi="Palatino Linotype" w:cs="Palatino Linotype"/>
          <w:i/>
          <w:iCs/>
          <w:color w:val="333333"/>
        </w:rPr>
        <w:t>(…)</w:t>
      </w:r>
    </w:p>
    <w:p w:rsidR="008E1546" w:rsidRPr="00F45679" w:rsidRDefault="008E1546">
      <w:pPr>
        <w:ind w:left="567" w:right="567"/>
        <w:jc w:val="both"/>
        <w:rPr>
          <w:rFonts w:ascii="Palatino Linotype" w:eastAsia="Palatino Linotype" w:hAnsi="Palatino Linotype" w:cs="Palatino Linotype"/>
          <w:i/>
          <w:iCs/>
          <w:color w:val="333333"/>
        </w:rPr>
      </w:pPr>
    </w:p>
    <w:p w:rsidR="008E1546" w:rsidRPr="00F45679" w:rsidRDefault="00BA2679">
      <w:pPr>
        <w:spacing w:before="280" w:after="280"/>
        <w:ind w:left="567" w:right="567"/>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V. CONCLUSIÓN</w:t>
      </w:r>
    </w:p>
    <w:p w:rsidR="008E1546" w:rsidRPr="00F45679" w:rsidRDefault="00BA2679">
      <w:pPr>
        <w:spacing w:before="280" w:after="280"/>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El actuar del H. Ayuntamiento de Texcoco constituye una </w:t>
      </w:r>
      <w:r w:rsidRPr="00F45679">
        <w:rPr>
          <w:rFonts w:ascii="Palatino Linotype" w:eastAsia="Palatino Linotype" w:hAnsi="Palatino Linotype" w:cs="Palatino Linotype"/>
          <w:b/>
          <w:bCs/>
          <w:i/>
          <w:iCs/>
        </w:rPr>
        <w:t>negativa infundada y desproporcionada al derecho de acceso a la información</w:t>
      </w:r>
      <w:r w:rsidRPr="00F45679">
        <w:rPr>
          <w:rFonts w:ascii="Palatino Linotype" w:eastAsia="Palatino Linotype" w:hAnsi="Palatino Linotype" w:cs="Palatino Linotype"/>
          <w:i/>
          <w:iCs/>
        </w:rPr>
        <w:t xml:space="preserve">, y </w:t>
      </w:r>
      <w:r w:rsidRPr="00F45679">
        <w:rPr>
          <w:rFonts w:ascii="Palatino Linotype" w:eastAsia="Palatino Linotype" w:hAnsi="Palatino Linotype" w:cs="Palatino Linotype"/>
          <w:b/>
          <w:bCs/>
          <w:i/>
          <w:iCs/>
        </w:rPr>
        <w:t>encubre un documento de interés público</w:t>
      </w:r>
      <w:r w:rsidRPr="00F45679">
        <w:rPr>
          <w:rFonts w:ascii="Palatino Linotype" w:eastAsia="Palatino Linotype" w:hAnsi="Palatino Linotype" w:cs="Palatino Linotype"/>
          <w:i/>
          <w:iCs/>
        </w:rPr>
        <w:t xml:space="preserve"> bajo una supuesta reserva que no cumple con los parámetros constitucionales ni legales.</w:t>
      </w:r>
    </w:p>
    <w:p w:rsidR="008E1546" w:rsidRDefault="00BA2679">
      <w:pPr>
        <w:spacing w:before="280" w:after="280"/>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Solicito atentamente que se garantice el derecho de acceso a la información conforme a derecho y se ordene la entrega del contrato solicitado.”</w:t>
      </w:r>
    </w:p>
    <w:p w:rsidR="00F45679" w:rsidRPr="00F45679" w:rsidRDefault="00F45679">
      <w:pPr>
        <w:spacing w:before="280" w:after="280"/>
        <w:ind w:left="567" w:right="567"/>
        <w:jc w:val="both"/>
        <w:rPr>
          <w:rFonts w:ascii="Palatino Linotype" w:eastAsia="Palatino Linotype" w:hAnsi="Palatino Linotype" w:cs="Palatino Linotype"/>
          <w:i/>
          <w:iCs/>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El </w:t>
      </w:r>
      <w:r w:rsidRPr="00F45679">
        <w:rPr>
          <w:rFonts w:ascii="Palatino Linotype" w:eastAsia="Palatino Linotype" w:hAnsi="Palatino Linotype" w:cs="Palatino Linotype"/>
          <w:b/>
          <w:bCs/>
          <w:color w:val="000000"/>
        </w:rPr>
        <w:t>veinte de agosto de dos mil veinticinco</w:t>
      </w:r>
      <w:r w:rsidRPr="00F45679">
        <w:rPr>
          <w:rFonts w:ascii="Palatino Linotype" w:eastAsia="Palatino Linotype" w:hAnsi="Palatino Linotype" w:cs="Palatino Linotype"/>
          <w:color w:val="000000"/>
        </w:rPr>
        <w:t xml:space="preserve">, con fundamento en el artículo 181, tercer párrafo, de la Ley de Transparencia y Acceso a la Información Pública del Estado de México </w:t>
      </w:r>
      <w:r w:rsidRPr="00F45679">
        <w:rPr>
          <w:rFonts w:ascii="Palatino Linotype" w:eastAsia="Palatino Linotype" w:hAnsi="Palatino Linotype" w:cs="Palatino Linotype"/>
          <w:color w:val="000000"/>
        </w:rPr>
        <w:lastRenderedPageBreak/>
        <w:t>y Municipios se notificó que el plazo de treinta días para resolver el Recurso de Revisión sería ampliado por un periodo de quince días hábiles adicionales.</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Seguidamente al no existir pendientes o diligencia por desahogar, mediante Acuerdo de misma fecha se decretó el cier</w:t>
      </w:r>
      <w:r w:rsidR="00F45679">
        <w:rPr>
          <w:rFonts w:ascii="Palatino Linotype" w:eastAsia="Palatino Linotype" w:hAnsi="Palatino Linotype" w:cs="Palatino Linotype"/>
          <w:color w:val="000000"/>
        </w:rPr>
        <w:t xml:space="preserve">re de instrucción, por lo que: </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pStyle w:val="Ttulo1"/>
        <w:spacing w:before="0" w:line="360" w:lineRule="auto"/>
        <w:jc w:val="center"/>
        <w:rPr>
          <w:rFonts w:ascii="Palatino Linotype" w:eastAsia="Palatino Linotype" w:hAnsi="Palatino Linotype" w:cs="Palatino Linotype"/>
          <w:b/>
          <w:bCs/>
          <w:color w:val="000000"/>
          <w:sz w:val="24"/>
          <w:szCs w:val="24"/>
        </w:rPr>
      </w:pPr>
      <w:bookmarkStart w:id="2" w:name="_heading=h.eiowht9or8uh" w:colFirst="0" w:colLast="0"/>
      <w:bookmarkEnd w:id="2"/>
      <w:r w:rsidRPr="00F45679">
        <w:rPr>
          <w:rFonts w:ascii="Palatino Linotype" w:eastAsia="Palatino Linotype" w:hAnsi="Palatino Linotype" w:cs="Palatino Linotype"/>
          <w:b/>
          <w:bCs/>
          <w:color w:val="000000"/>
          <w:sz w:val="24"/>
          <w:szCs w:val="24"/>
        </w:rPr>
        <w:t>C</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O</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N</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S</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I</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D</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E</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R</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A</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N</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D</w:t>
      </w:r>
      <w:r w:rsidR="00F45679">
        <w:rPr>
          <w:rFonts w:ascii="Palatino Linotype" w:eastAsia="Palatino Linotype" w:hAnsi="Palatino Linotype" w:cs="Palatino Linotype"/>
          <w:b/>
          <w:bCs/>
          <w:color w:val="000000"/>
          <w:sz w:val="24"/>
          <w:szCs w:val="24"/>
        </w:rPr>
        <w:t xml:space="preserve"> </w:t>
      </w:r>
      <w:r w:rsidRPr="00F45679">
        <w:rPr>
          <w:rFonts w:ascii="Palatino Linotype" w:eastAsia="Palatino Linotype" w:hAnsi="Palatino Linotype" w:cs="Palatino Linotype"/>
          <w:b/>
          <w:bCs/>
          <w:color w:val="000000"/>
          <w:sz w:val="24"/>
          <w:szCs w:val="24"/>
        </w:rPr>
        <w:t>O</w:t>
      </w:r>
      <w:r w:rsidR="00F45679">
        <w:rPr>
          <w:rFonts w:ascii="Palatino Linotype" w:eastAsia="Palatino Linotype" w:hAnsi="Palatino Linotype" w:cs="Palatino Linotype"/>
          <w:b/>
          <w:bCs/>
          <w:color w:val="000000"/>
          <w:sz w:val="24"/>
          <w:szCs w:val="24"/>
        </w:rPr>
        <w:t xml:space="preserve"> </w:t>
      </w:r>
    </w:p>
    <w:p w:rsidR="008E1546" w:rsidRPr="00F45679" w:rsidRDefault="008E1546">
      <w:pPr>
        <w:pStyle w:val="Ttulo2"/>
        <w:spacing w:before="0" w:line="360" w:lineRule="auto"/>
        <w:rPr>
          <w:rFonts w:ascii="Palatino Linotype" w:eastAsia="Palatino Linotype" w:hAnsi="Palatino Linotype" w:cs="Palatino Linotype"/>
          <w:b/>
          <w:bCs/>
          <w:color w:val="000000"/>
          <w:sz w:val="24"/>
          <w:szCs w:val="24"/>
        </w:rPr>
      </w:pPr>
      <w:bookmarkStart w:id="3" w:name="_heading=h.8ao3j031f9i" w:colFirst="0" w:colLast="0"/>
      <w:bookmarkEnd w:id="3"/>
    </w:p>
    <w:p w:rsidR="008E1546" w:rsidRPr="00F45679" w:rsidRDefault="00BA2679">
      <w:pPr>
        <w:pStyle w:val="Ttulo2"/>
        <w:spacing w:before="0" w:line="360" w:lineRule="auto"/>
        <w:rPr>
          <w:rFonts w:ascii="Palatino Linotype" w:eastAsia="Palatino Linotype" w:hAnsi="Palatino Linotype" w:cs="Palatino Linotype"/>
          <w:b/>
          <w:bCs/>
          <w:color w:val="000000"/>
          <w:sz w:val="24"/>
          <w:szCs w:val="24"/>
        </w:rPr>
      </w:pPr>
      <w:r w:rsidRPr="00F45679">
        <w:rPr>
          <w:rFonts w:ascii="Palatino Linotype" w:eastAsia="Palatino Linotype" w:hAnsi="Palatino Linotype" w:cs="Palatino Linotype"/>
          <w:b/>
          <w:bCs/>
          <w:color w:val="000000"/>
          <w:sz w:val="24"/>
          <w:szCs w:val="24"/>
        </w:rPr>
        <w:t>PRIMERO. De la competencia</w:t>
      </w: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F45679">
        <w:rPr>
          <w:rFonts w:ascii="Palatino Linotype" w:eastAsia="Palatino Linotype" w:hAnsi="Palatino Linotype" w:cs="Palatino Linotype"/>
          <w:color w:val="000000"/>
        </w:rPr>
        <w:lastRenderedPageBreak/>
        <w:t>Interior del Instituto de Transparencia, Acceso a la Información Pública y Protección de Datos Personales del Estado de México y Municipios.</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spacing w:line="360" w:lineRule="auto"/>
        <w:jc w:val="both"/>
        <w:rPr>
          <w:rFonts w:ascii="Palatino Linotype" w:eastAsia="Palatino Linotype" w:hAnsi="Palatino Linotype" w:cs="Palatino Linotype"/>
          <w:b/>
          <w:bCs/>
        </w:rPr>
      </w:pPr>
      <w:bookmarkStart w:id="4" w:name="_heading=h.eu5q0lgn5b4w" w:colFirst="0" w:colLast="0"/>
      <w:bookmarkEnd w:id="4"/>
      <w:r w:rsidRPr="00F45679">
        <w:rPr>
          <w:rFonts w:ascii="Palatino Linotype" w:eastAsia="Palatino Linotype" w:hAnsi="Palatino Linotype" w:cs="Palatino Linotype"/>
          <w:color w:val="000000"/>
        </w:rPr>
        <w:t xml:space="preserve"> </w:t>
      </w:r>
      <w:r w:rsidRPr="00F45679">
        <w:rPr>
          <w:rFonts w:ascii="Palatino Linotype" w:eastAsia="Palatino Linotype" w:hAnsi="Palatino Linotype" w:cs="Palatino Linotype"/>
          <w:b/>
          <w:bCs/>
        </w:rPr>
        <w:t>SEGUNDO. De la oportunidad y procedencia.</w:t>
      </w: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Este Órgano Garante considera que el medio de impugnación reúne los requisitos de procedencia </w:t>
      </w:r>
      <w:r w:rsidRPr="00F45679">
        <w:rPr>
          <w:rFonts w:ascii="Palatino Linotype" w:eastAsia="Palatino Linotype" w:hAnsi="Palatino Linotype" w:cs="Palatino Linotype"/>
          <w:color w:val="000000"/>
        </w:rPr>
        <w:t xml:space="preserve">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w:t>
      </w:r>
      <w:r w:rsidRPr="00F45679">
        <w:rPr>
          <w:rFonts w:ascii="Palatino Linotype" w:eastAsia="Palatino Linotype" w:hAnsi="Palatino Linotype" w:cs="Palatino Linotype"/>
          <w:b/>
          <w:bCs/>
          <w:color w:val="000000"/>
        </w:rPr>
        <w:t>LA RECURRENTE</w:t>
      </w:r>
      <w:r w:rsidRPr="00F45679">
        <w:rPr>
          <w:rFonts w:ascii="Palatino Linotype" w:eastAsia="Palatino Linotype" w:hAnsi="Palatino Linotype" w:cs="Palatino Linotype"/>
          <w:color w:val="000000"/>
        </w:rPr>
        <w:t xml:space="preserve"> ante otra instancia.</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pStyle w:val="Ttulo2"/>
        <w:spacing w:before="0" w:line="360" w:lineRule="auto"/>
        <w:rPr>
          <w:rFonts w:ascii="Palatino Linotype" w:eastAsia="Palatino Linotype" w:hAnsi="Palatino Linotype" w:cs="Palatino Linotype"/>
          <w:b/>
          <w:bCs/>
          <w:color w:val="000000"/>
          <w:sz w:val="24"/>
          <w:szCs w:val="24"/>
        </w:rPr>
      </w:pPr>
      <w:bookmarkStart w:id="5" w:name="_heading=h.rkrhps1ikqph" w:colFirst="0" w:colLast="0"/>
      <w:bookmarkEnd w:id="5"/>
      <w:r w:rsidRPr="00F45679">
        <w:rPr>
          <w:rFonts w:ascii="Palatino Linotype" w:eastAsia="Palatino Linotype" w:hAnsi="Palatino Linotype" w:cs="Palatino Linotype"/>
          <w:b/>
          <w:bCs/>
          <w:color w:val="000000"/>
          <w:sz w:val="24"/>
          <w:szCs w:val="24"/>
        </w:rPr>
        <w:t>TERCERO. Del planteamiento de la</w:t>
      </w:r>
      <w:r w:rsidRPr="00F45679">
        <w:rPr>
          <w:rFonts w:ascii="Palatino Linotype" w:eastAsia="Palatino Linotype" w:hAnsi="Palatino Linotype" w:cs="Palatino Linotype"/>
          <w:b/>
          <w:bCs/>
          <w:i/>
          <w:iCs/>
          <w:color w:val="000000"/>
          <w:sz w:val="24"/>
          <w:szCs w:val="24"/>
        </w:rPr>
        <w:t xml:space="preserve"> Litis</w:t>
      </w: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Se solicitó tener acceso, a la información que a continuación se desagrega:</w:t>
      </w:r>
    </w:p>
    <w:p w:rsidR="008E1546" w:rsidRPr="00F45679" w:rsidRDefault="00BA2679">
      <w:pPr>
        <w:numPr>
          <w:ilvl w:val="0"/>
          <w:numId w:val="2"/>
        </w:numPr>
        <w:pBdr>
          <w:top w:val="nil"/>
          <w:left w:val="nil"/>
          <w:bottom w:val="nil"/>
          <w:right w:val="nil"/>
          <w:between w:val="nil"/>
        </w:pBdr>
        <w:spacing w:line="360" w:lineRule="auto"/>
        <w:ind w:right="851"/>
        <w:jc w:val="both"/>
        <w:rPr>
          <w:rFonts w:ascii="Palatino Linotype" w:eastAsia="Palatino Linotype" w:hAnsi="Palatino Linotype" w:cs="Palatino Linotype"/>
          <w:b/>
          <w:bCs/>
          <w:color w:val="000000"/>
        </w:rPr>
      </w:pPr>
      <w:r w:rsidRPr="00F45679">
        <w:rPr>
          <w:rFonts w:ascii="Palatino Linotype" w:eastAsia="Palatino Linotype" w:hAnsi="Palatino Linotype" w:cs="Palatino Linotype"/>
          <w:b/>
          <w:bCs/>
          <w:color w:val="000000"/>
        </w:rPr>
        <w:t>Contrato o convenio celebrado entre el Ayuntamiento de Texcoco y la empresa o entidad encargada de la operación de los parquímetros en el Municipio;</w:t>
      </w:r>
    </w:p>
    <w:p w:rsidR="008E1546" w:rsidRPr="00F45679" w:rsidRDefault="00BA2679">
      <w:pPr>
        <w:numPr>
          <w:ilvl w:val="0"/>
          <w:numId w:val="2"/>
        </w:numPr>
        <w:pBdr>
          <w:top w:val="nil"/>
          <w:left w:val="nil"/>
          <w:bottom w:val="nil"/>
          <w:right w:val="nil"/>
          <w:between w:val="nil"/>
        </w:pBdr>
        <w:spacing w:line="360" w:lineRule="auto"/>
        <w:ind w:right="851"/>
        <w:jc w:val="both"/>
        <w:rPr>
          <w:rFonts w:ascii="Palatino Linotype" w:eastAsia="Palatino Linotype" w:hAnsi="Palatino Linotype" w:cs="Palatino Linotype"/>
          <w:b/>
          <w:bCs/>
          <w:color w:val="000000"/>
        </w:rPr>
      </w:pPr>
      <w:r w:rsidRPr="00F45679">
        <w:rPr>
          <w:rFonts w:ascii="Palatino Linotype" w:eastAsia="Palatino Linotype" w:hAnsi="Palatino Linotype" w:cs="Palatino Linotype"/>
          <w:b/>
          <w:bCs/>
          <w:color w:val="000000"/>
        </w:rPr>
        <w:t>Soporte documental en que conste o se advierta la vigencia del contrato, condiciones generales y particulares, monto pactado o contraprestación, responsabilidades de las partes, ingresos generados y su destino;</w:t>
      </w:r>
    </w:p>
    <w:p w:rsidR="008E1546" w:rsidRPr="00F45679" w:rsidRDefault="00BA2679">
      <w:pPr>
        <w:numPr>
          <w:ilvl w:val="0"/>
          <w:numId w:val="2"/>
        </w:numPr>
        <w:pBdr>
          <w:top w:val="nil"/>
          <w:left w:val="nil"/>
          <w:bottom w:val="nil"/>
          <w:right w:val="nil"/>
          <w:between w:val="nil"/>
        </w:pBdr>
        <w:spacing w:line="360" w:lineRule="auto"/>
        <w:ind w:right="851"/>
        <w:jc w:val="both"/>
        <w:rPr>
          <w:rFonts w:ascii="Palatino Linotype" w:eastAsia="Palatino Linotype" w:hAnsi="Palatino Linotype" w:cs="Palatino Linotype"/>
          <w:b/>
          <w:bCs/>
          <w:color w:val="000000"/>
        </w:rPr>
      </w:pPr>
      <w:r w:rsidRPr="00F45679">
        <w:rPr>
          <w:rFonts w:ascii="Palatino Linotype" w:eastAsia="Palatino Linotype" w:hAnsi="Palatino Linotype" w:cs="Palatino Linotype"/>
          <w:b/>
          <w:bCs/>
          <w:color w:val="000000"/>
        </w:rPr>
        <w:lastRenderedPageBreak/>
        <w:t>Programa de Obras Públicas Municipal vigente, del que se advierta: descripción de cada obra (nombre y objetivo). comunidad o localidad beneficiada, costo total estimado y/o ejercido, fuente de financiamiento, modalidad de adjudicación (licitación pública, invitación restringida o adjudicación directa), el nombre de la empresa, contratista o persona física encargada de la ejecución de cada obra y, las fechas de inicio y término de cada proyecto.</w:t>
      </w:r>
    </w:p>
    <w:p w:rsidR="008E1546" w:rsidRPr="00F45679" w:rsidRDefault="008E1546">
      <w:pPr>
        <w:pBdr>
          <w:top w:val="nil"/>
          <w:left w:val="nil"/>
          <w:bottom w:val="nil"/>
          <w:right w:val="nil"/>
          <w:between w:val="nil"/>
        </w:pBdr>
        <w:spacing w:line="360" w:lineRule="auto"/>
        <w:ind w:left="778" w:right="284"/>
        <w:jc w:val="both"/>
        <w:rPr>
          <w:rFonts w:ascii="Palatino Linotype" w:eastAsia="Palatino Linotype" w:hAnsi="Palatino Linotype" w:cs="Palatino Linotype"/>
          <w:b/>
          <w:bCs/>
          <w:color w:val="000000"/>
        </w:rPr>
      </w:pPr>
    </w:p>
    <w:p w:rsidR="008E1546" w:rsidRPr="00F45679" w:rsidRDefault="00BA267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En respuesta, el </w:t>
      </w:r>
      <w:r w:rsidRPr="00F45679">
        <w:rPr>
          <w:rFonts w:ascii="Palatino Linotype" w:eastAsia="Palatino Linotype" w:hAnsi="Palatino Linotype" w:cs="Palatino Linotype"/>
          <w:b/>
          <w:bCs/>
          <w:color w:val="000000"/>
        </w:rPr>
        <w:t xml:space="preserve">SUJETO OBLIGADO </w:t>
      </w:r>
      <w:r w:rsidRPr="00F45679">
        <w:rPr>
          <w:rFonts w:ascii="Palatino Linotype" w:eastAsia="Palatino Linotype" w:hAnsi="Palatino Linotype" w:cs="Palatino Linotype"/>
          <w:color w:val="000000"/>
        </w:rPr>
        <w:t xml:space="preserve">remitió los archivos ya descritos en el anterior Párrafo 2; no obstante el particular se inconformó, por la entrega de información incompleta; en dichas condiciones, la </w:t>
      </w:r>
      <w:r w:rsidRPr="00F45679">
        <w:rPr>
          <w:rFonts w:ascii="Palatino Linotype" w:eastAsia="Palatino Linotype" w:hAnsi="Palatino Linotype" w:cs="Palatino Linotype"/>
          <w:i/>
          <w:iCs/>
          <w:color w:val="000000"/>
        </w:rPr>
        <w:t>Litis</w:t>
      </w:r>
      <w:r w:rsidRPr="00F45679">
        <w:rPr>
          <w:rFonts w:ascii="Palatino Linotype" w:eastAsia="Palatino Linotype" w:hAnsi="Palatino Linotype" w:cs="Palatino Linotype"/>
          <w:color w:val="000000"/>
        </w:rPr>
        <w:t xml:space="preserve"> a resolver en el recurso de revisión se circunscribe a determinar si se actualiza la causal de procedencia prevista en el artículo 179, </w:t>
      </w:r>
      <w:r w:rsidRPr="00F45679">
        <w:rPr>
          <w:rFonts w:ascii="Palatino Linotype" w:eastAsia="Palatino Linotype" w:hAnsi="Palatino Linotype" w:cs="Palatino Linotype"/>
          <w:b/>
          <w:bCs/>
          <w:color w:val="000000"/>
        </w:rPr>
        <w:t xml:space="preserve">fracción V </w:t>
      </w:r>
      <w:r w:rsidRPr="00F45679">
        <w:rPr>
          <w:rFonts w:ascii="Palatino Linotype" w:eastAsia="Palatino Linotype" w:hAnsi="Palatino Linotype" w:cs="Palatino Linotype"/>
          <w:color w:val="000000"/>
        </w:rPr>
        <w:t xml:space="preserve">de la </w:t>
      </w:r>
      <w:r w:rsidRPr="00F45679">
        <w:rPr>
          <w:rFonts w:ascii="Palatino Linotype" w:eastAsia="Palatino Linotype" w:hAnsi="Palatino Linotype" w:cs="Palatino Linotype"/>
          <w:b/>
          <w:bCs/>
          <w:color w:val="000000"/>
        </w:rPr>
        <w:t>Ley de Transparencia y Acceso a la Información Pública del Estado de México y Municipios</w:t>
      </w:r>
      <w:r w:rsidRPr="00F45679">
        <w:rPr>
          <w:rFonts w:ascii="Palatino Linotype" w:eastAsia="Palatino Linotype" w:hAnsi="Palatino Linotype" w:cs="Palatino Linotype"/>
          <w:color w:val="000000"/>
        </w:rPr>
        <w:t xml:space="preserve">; fracción que determina las hipótesis jurídica relativa a la entrega de información incompleta; contexto del cual se dolió </w:t>
      </w:r>
      <w:r w:rsidRPr="00F45679">
        <w:rPr>
          <w:rFonts w:ascii="Palatino Linotype" w:eastAsia="Palatino Linotype" w:hAnsi="Palatino Linotype" w:cs="Palatino Linotype"/>
          <w:b/>
          <w:bCs/>
          <w:color w:val="000000"/>
        </w:rPr>
        <w:t xml:space="preserve">EL RECURRENTE </w:t>
      </w:r>
      <w:r w:rsidRPr="00F45679">
        <w:rPr>
          <w:rFonts w:ascii="Palatino Linotype" w:eastAsia="Palatino Linotype" w:hAnsi="Palatino Linotype" w:cs="Palatino Linotype"/>
          <w:color w:val="000000"/>
        </w:rPr>
        <w:t xml:space="preserve">al momento de interponer su inconformidad. </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color w:val="000000"/>
        </w:rPr>
        <w:t xml:space="preserve">De modo tal que el presente Recurso de Revisión se abocara en determinar si el </w:t>
      </w:r>
      <w:r w:rsidRPr="00F45679">
        <w:rPr>
          <w:rFonts w:ascii="Palatino Linotype" w:eastAsia="Palatino Linotype" w:hAnsi="Palatino Linotype" w:cs="Palatino Linotype"/>
          <w:b/>
          <w:bCs/>
          <w:color w:val="000000"/>
        </w:rPr>
        <w:t>SUJETO</w:t>
      </w:r>
      <w:r w:rsidRPr="00F45679">
        <w:rPr>
          <w:rFonts w:ascii="Palatino Linotype" w:eastAsia="Palatino Linotype" w:hAnsi="Palatino Linotype" w:cs="Palatino Linotype"/>
          <w:color w:val="000000"/>
        </w:rPr>
        <w:t xml:space="preserve"> </w:t>
      </w:r>
      <w:r w:rsidRPr="00F45679">
        <w:rPr>
          <w:rFonts w:ascii="Palatino Linotype" w:eastAsia="Palatino Linotype" w:hAnsi="Palatino Linotype" w:cs="Palatino Linotype"/>
          <w:b/>
          <w:bCs/>
          <w:color w:val="000000"/>
        </w:rPr>
        <w:t>OBLIGADO</w:t>
      </w:r>
      <w:r w:rsidRPr="00F45679">
        <w:rPr>
          <w:rFonts w:ascii="Palatino Linotype" w:eastAsia="Palatino Linotype" w:hAnsi="Palatino Linotype" w:cs="Palatino Linotype"/>
          <w:color w:val="000000"/>
        </w:rPr>
        <w:t xml:space="preserve"> con su respuesta ciertamente actualiza la causal de procedencia</w:t>
      </w:r>
      <w:r w:rsidRPr="00F45679">
        <w:rPr>
          <w:rFonts w:ascii="Palatino Linotype" w:eastAsia="Palatino Linotype" w:hAnsi="Palatino Linotype" w:cs="Palatino Linotype"/>
          <w:b/>
          <w:bCs/>
          <w:color w:val="000000"/>
        </w:rPr>
        <w:t xml:space="preserve"> </w:t>
      </w:r>
      <w:r w:rsidRPr="00F45679">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8E1546" w:rsidRPr="00F45679" w:rsidRDefault="00BA2679">
      <w:pPr>
        <w:pStyle w:val="Ttulo2"/>
        <w:spacing w:before="0" w:line="360" w:lineRule="auto"/>
        <w:rPr>
          <w:rFonts w:ascii="Palatino Linotype" w:eastAsia="Palatino Linotype" w:hAnsi="Palatino Linotype" w:cs="Palatino Linotype"/>
          <w:b/>
          <w:bCs/>
          <w:color w:val="000000"/>
          <w:sz w:val="24"/>
          <w:szCs w:val="24"/>
        </w:rPr>
      </w:pPr>
      <w:r w:rsidRPr="00F45679">
        <w:rPr>
          <w:rFonts w:ascii="Palatino Linotype" w:eastAsia="Palatino Linotype" w:hAnsi="Palatino Linotype" w:cs="Palatino Linotype"/>
          <w:b/>
          <w:bCs/>
          <w:color w:val="000000"/>
          <w:sz w:val="24"/>
          <w:szCs w:val="24"/>
        </w:rPr>
        <w:lastRenderedPageBreak/>
        <w:t>CUARTO. Del estudio y resolución del estudio</w:t>
      </w: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w:t>
      </w:r>
      <w:r w:rsidRPr="00F45679">
        <w:rPr>
          <w:rFonts w:ascii="Palatino Linotype" w:eastAsia="Palatino Linotype" w:hAnsi="Palatino Linotype" w:cs="Palatino Linotype"/>
          <w:color w:val="000000"/>
        </w:rPr>
        <w:t>Transparencia</w:t>
      </w:r>
      <w:r w:rsidRPr="00F45679">
        <w:rPr>
          <w:rFonts w:ascii="Palatino Linotype" w:eastAsia="Palatino Linotype" w:hAnsi="Palatino Linotype" w:cs="Palatino Linotype"/>
        </w:rPr>
        <w:t xml:space="preserve">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w:t>
      </w:r>
      <w:r w:rsidRPr="00F45679">
        <w:rPr>
          <w:rFonts w:ascii="Palatino Linotype" w:eastAsia="Palatino Linotype" w:hAnsi="Palatino Linotype" w:cs="Palatino Linotype"/>
        </w:rPr>
        <w:lastRenderedPageBreak/>
        <w:t>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8E1546" w:rsidRPr="00F45679" w:rsidRDefault="008E154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b/>
          <w:bCs/>
        </w:rPr>
      </w:pPr>
      <w:r w:rsidRPr="00F45679">
        <w:rPr>
          <w:rFonts w:ascii="Palatino Linotype" w:eastAsia="Palatino Linotype" w:hAnsi="Palatino Linotype" w:cs="Palatino Linotype"/>
        </w:rPr>
        <w:t xml:space="preserve">Acotado lo anterior y </w:t>
      </w:r>
      <w:r w:rsidRPr="00F45679">
        <w:rPr>
          <w:rFonts w:ascii="Palatino Linotype" w:eastAsia="Palatino Linotype" w:hAnsi="Palatino Linotype" w:cs="Palatino Linotype"/>
          <w:u w:val="single"/>
        </w:rPr>
        <w:t>previo al estudio de fondo</w:t>
      </w:r>
      <w:r w:rsidRPr="00F45679">
        <w:rPr>
          <w:rFonts w:ascii="Palatino Linotype" w:eastAsia="Palatino Linotype" w:hAnsi="Palatino Linotype" w:cs="Palatino Linotype"/>
        </w:rPr>
        <w:t xml:space="preserve">, es dable primeramente recordar la solicitud de información, desagregada en el apartado de </w:t>
      </w:r>
      <w:r w:rsidRPr="00F45679">
        <w:rPr>
          <w:rFonts w:ascii="Palatino Linotype" w:eastAsia="Palatino Linotype" w:hAnsi="Palatino Linotype" w:cs="Palatino Linotype"/>
          <w:i/>
          <w:iCs/>
        </w:rPr>
        <w:t>Litis</w:t>
      </w:r>
      <w:r w:rsidRPr="00F45679">
        <w:rPr>
          <w:rFonts w:ascii="Palatino Linotype" w:eastAsia="Palatino Linotype" w:hAnsi="Palatino Linotype" w:cs="Palatino Linotype"/>
        </w:rPr>
        <w:t xml:space="preserve"> de la siguiente manera: </w:t>
      </w:r>
      <w:r w:rsidRPr="00F45679">
        <w:rPr>
          <w:rFonts w:ascii="Palatino Linotype" w:eastAsia="Palatino Linotype" w:hAnsi="Palatino Linotype" w:cs="Palatino Linotype"/>
          <w:b/>
          <w:bCs/>
          <w:i/>
          <w:iCs/>
        </w:rPr>
        <w:t>Programa de Obras Públicas Municipal vigente, del que se advierta: descripción de cada obra (nombre y objetivo). comunidad o localidad beneficiada, costo total estimado y/o ejercido, fuente de financiamiento, modalidad de adjudicación (licitación pública, invitación restringida o adjudicación directa), el nombre de la empresa, contratista o persona física encargada de la ejecución de cada obra y, las fechas de inicio y término de cada proyecto.</w:t>
      </w:r>
    </w:p>
    <w:p w:rsidR="008E1546" w:rsidRPr="00F45679" w:rsidRDefault="008E1546">
      <w:pPr>
        <w:pBdr>
          <w:top w:val="nil"/>
          <w:left w:val="nil"/>
          <w:bottom w:val="nil"/>
          <w:right w:val="nil"/>
          <w:between w:val="nil"/>
        </w:pBdr>
        <w:spacing w:line="360" w:lineRule="auto"/>
        <w:ind w:left="778" w:right="851"/>
        <w:jc w:val="both"/>
        <w:rPr>
          <w:rFonts w:ascii="Palatino Linotype" w:eastAsia="Palatino Linotype" w:hAnsi="Palatino Linotype" w:cs="Palatino Linotype"/>
          <w:b/>
          <w:b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 Toda vez que dicho rubro no fue objeto de impugnación,</w:t>
      </w:r>
      <w:r w:rsidRPr="00F45679">
        <w:rPr>
          <w:rFonts w:ascii="Palatino Linotype" w:eastAsia="Palatino Linotype" w:hAnsi="Palatino Linotype" w:cs="Palatino Linotype"/>
          <w:color w:val="000000"/>
        </w:rPr>
        <w:t xml:space="preserve"> </w:t>
      </w:r>
      <w:r w:rsidRPr="00F45679">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Sirve de sustento, la tesis jurisprudencial número VI.3o.C. J/60, publicada en el </w:t>
      </w:r>
      <w:r w:rsidRPr="00F45679">
        <w:rPr>
          <w:rFonts w:ascii="Palatino Linotype" w:eastAsia="Palatino Linotype" w:hAnsi="Palatino Linotype" w:cs="Palatino Linotype"/>
          <w:color w:val="000000"/>
        </w:rPr>
        <w:t>Semanario</w:t>
      </w:r>
      <w:r w:rsidRPr="00F45679">
        <w:rPr>
          <w:rFonts w:ascii="Palatino Linotype" w:eastAsia="Palatino Linotype" w:hAnsi="Palatino Linotype" w:cs="Palatino Linotype"/>
        </w:rPr>
        <w:t xml:space="preserve"> Judicial de la Federación y su Gaceta bajo el número de registro 176,608 que a la letra dice:</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tabs>
          <w:tab w:val="left" w:pos="851"/>
        </w:tabs>
        <w:spacing w:line="360" w:lineRule="auto"/>
        <w:ind w:left="851"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lastRenderedPageBreak/>
        <w:t xml:space="preserve">“ACTOS CONSENTIDOS. SON LOS QUE NO SE IMPUGNAN MEDIANTE EL RECURSO IDÓNEO. </w:t>
      </w:r>
      <w:r w:rsidRPr="00F45679">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E1546" w:rsidRPr="00F45679" w:rsidRDefault="008E1546">
      <w:pPr>
        <w:tabs>
          <w:tab w:val="left" w:pos="851"/>
        </w:tabs>
        <w:spacing w:line="360" w:lineRule="auto"/>
        <w:ind w:left="851" w:right="616"/>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De la interpretación del Criterio antes citado, se advierte que cuando el particular impugnó la respuesta del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F45679">
        <w:rPr>
          <w:rFonts w:ascii="Palatino Linotype" w:eastAsia="Palatino Linotype" w:hAnsi="Palatino Linotype" w:cs="Palatino Linotype"/>
          <w:b/>
          <w:bCs/>
        </w:rPr>
        <w:t>EL RECURRENTE</w:t>
      </w:r>
      <w:r w:rsidRPr="00F45679">
        <w:rPr>
          <w:rFonts w:ascii="Palatino Linotype" w:eastAsia="Palatino Linotype" w:hAnsi="Palatino Linotype" w:cs="Palatino Linotype"/>
        </w:rPr>
        <w:t xml:space="preserve"> está conforme con la respuesta proporcionada por </w:t>
      </w:r>
      <w:r w:rsidRPr="00F45679">
        <w:rPr>
          <w:rFonts w:ascii="Palatino Linotype" w:eastAsia="Palatino Linotype" w:hAnsi="Palatino Linotype" w:cs="Palatino Linotype"/>
          <w:b/>
          <w:bCs/>
        </w:rPr>
        <w:t>EL SUJETO OBLIGADO,</w:t>
      </w:r>
      <w:r w:rsidRPr="00F45679">
        <w:rPr>
          <w:rFonts w:ascii="Palatino Linotype" w:eastAsia="Palatino Linotype" w:hAnsi="Palatino Linotype" w:cs="Palatino Linotype"/>
        </w:rPr>
        <w:t xml:space="preserve"> al no contravenir la misma. </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8E1546" w:rsidRPr="00F45679" w:rsidRDefault="00BA2679">
      <w:pPr>
        <w:tabs>
          <w:tab w:val="left" w:pos="7937"/>
          <w:tab w:val="left" w:pos="8222"/>
        </w:tabs>
        <w:spacing w:line="360" w:lineRule="auto"/>
        <w:ind w:left="851" w:right="90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“REVISIÓN EN AMPARO. LOS RESOLUTIVOS NO COMBATIDOS DEBEN DECLARARSE FIRMES. </w:t>
      </w:r>
      <w:r w:rsidRPr="00F45679">
        <w:rPr>
          <w:rFonts w:ascii="Palatino Linotype" w:eastAsia="Palatino Linotype" w:hAnsi="Palatino Linotype" w:cs="Palatino Linotype"/>
          <w:i/>
          <w:iC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w:t>
      </w:r>
      <w:r w:rsidRPr="00F45679">
        <w:rPr>
          <w:rFonts w:ascii="Palatino Linotype" w:eastAsia="Palatino Linotype" w:hAnsi="Palatino Linotype" w:cs="Palatino Linotype"/>
          <w:i/>
          <w:iCs/>
        </w:rPr>
        <w:lastRenderedPageBreak/>
        <w:t>parte considerativa y en los resolutivos debe confirmarse la sentencia recurrida en la parte correspondiente.”</w:t>
      </w:r>
    </w:p>
    <w:p w:rsidR="008E1546" w:rsidRPr="00F45679" w:rsidRDefault="008E1546">
      <w:pPr>
        <w:tabs>
          <w:tab w:val="left" w:pos="7937"/>
          <w:tab w:val="left" w:pos="8222"/>
        </w:tabs>
        <w:spacing w:line="360" w:lineRule="auto"/>
        <w:ind w:left="851" w:right="901"/>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En consecuencia, que los demás fundamentos remitidos en respuesta. Se consideran un acto consentido y, en consecuencia, este Órgano Resolutor no entrará al estudio de los rubros no impugnados por las razones hasta aquí expuestas. </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Por otro lado, es dable traer a contexto, las siguientes manifestaciones expuestas por la parte </w:t>
      </w:r>
      <w:r w:rsidRPr="00F45679">
        <w:rPr>
          <w:rFonts w:ascii="Palatino Linotype" w:eastAsia="Palatino Linotype" w:hAnsi="Palatino Linotype" w:cs="Palatino Linotype"/>
          <w:b/>
          <w:bCs/>
        </w:rPr>
        <w:t>RECURRENTE</w:t>
      </w:r>
      <w:r w:rsidRPr="00F45679">
        <w:rPr>
          <w:rFonts w:ascii="Palatino Linotype" w:eastAsia="Palatino Linotype" w:hAnsi="Palatino Linotype" w:cs="Palatino Linotype"/>
        </w:rPr>
        <w:t xml:space="preserve"> de manera posterior a la interposición del recurso de revisión:</w:t>
      </w:r>
    </w:p>
    <w:p w:rsidR="008E1546" w:rsidRPr="00F45679" w:rsidRDefault="00BA2679">
      <w:pPr>
        <w:pBdr>
          <w:top w:val="nil"/>
          <w:left w:val="nil"/>
          <w:bottom w:val="nil"/>
          <w:right w:val="nil"/>
          <w:between w:val="nil"/>
        </w:pBdr>
        <w:ind w:left="851"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w:t>
      </w:r>
    </w:p>
    <w:p w:rsidR="008E1546" w:rsidRPr="00F45679" w:rsidRDefault="00BA2679">
      <w:pPr>
        <w:pBdr>
          <w:top w:val="nil"/>
          <w:left w:val="nil"/>
          <w:bottom w:val="nil"/>
          <w:right w:val="nil"/>
          <w:between w:val="nil"/>
        </w:pBdr>
        <w:ind w:left="851"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Ante esta situación, </w:t>
      </w:r>
      <w:r w:rsidRPr="00F45679">
        <w:rPr>
          <w:rFonts w:ascii="Palatino Linotype" w:eastAsia="Palatino Linotype" w:hAnsi="Palatino Linotype" w:cs="Palatino Linotype"/>
          <w:b/>
          <w:bCs/>
          <w:i/>
          <w:iCs/>
          <w:color w:val="000000"/>
        </w:rPr>
        <w:t>manifiesto con firmeza</w:t>
      </w:r>
      <w:r w:rsidRPr="00F45679">
        <w:rPr>
          <w:rFonts w:ascii="Palatino Linotype" w:eastAsia="Palatino Linotype" w:hAnsi="Palatino Linotype" w:cs="Palatino Linotype"/>
          <w:i/>
          <w:iCs/>
          <w:color w:val="000000"/>
        </w:rPr>
        <w:t xml:space="preserve"> que la operación de los parquímetros en el municipio de Texcoco, iniciada desde el 7 de abril de 2025, </w:t>
      </w:r>
      <w:r w:rsidRPr="00F45679">
        <w:rPr>
          <w:rFonts w:ascii="Palatino Linotype" w:eastAsia="Palatino Linotype" w:hAnsi="Palatino Linotype" w:cs="Palatino Linotype"/>
          <w:b/>
          <w:bCs/>
          <w:i/>
          <w:iCs/>
          <w:color w:val="000000"/>
        </w:rPr>
        <w:t>constituye una clara transgresión al principio de legalidad</w:t>
      </w:r>
      <w:r w:rsidRPr="00F45679">
        <w:rPr>
          <w:rFonts w:ascii="Palatino Linotype" w:eastAsia="Palatino Linotype" w:hAnsi="Palatino Linotype" w:cs="Palatino Linotype"/>
          <w:i/>
          <w:iCs/>
          <w:color w:val="000000"/>
        </w:rPr>
        <w:t xml:space="preserve">, consagrado en el artículo 16 constitucional. La administración pública </w:t>
      </w:r>
      <w:r w:rsidRPr="00F45679">
        <w:rPr>
          <w:rFonts w:ascii="Palatino Linotype" w:eastAsia="Palatino Linotype" w:hAnsi="Palatino Linotype" w:cs="Palatino Linotype"/>
          <w:b/>
          <w:bCs/>
          <w:i/>
          <w:iCs/>
          <w:color w:val="000000"/>
        </w:rPr>
        <w:t>no puede realizar actos de autoridad ni generar ingresos públicos sin un marco jurídico expreso, válido y transparente.</w:t>
      </w:r>
    </w:p>
    <w:p w:rsidR="008E1546" w:rsidRPr="00F45679" w:rsidRDefault="00BA2679">
      <w:pPr>
        <w:pBdr>
          <w:top w:val="nil"/>
          <w:left w:val="nil"/>
          <w:bottom w:val="nil"/>
          <w:right w:val="nil"/>
          <w:between w:val="nil"/>
        </w:pBdr>
        <w:ind w:left="851"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w:t>
      </w:r>
    </w:p>
    <w:p w:rsidR="008E1546" w:rsidRPr="00F45679" w:rsidRDefault="00BA2679">
      <w:pPr>
        <w:pBdr>
          <w:top w:val="nil"/>
          <w:left w:val="nil"/>
          <w:bottom w:val="nil"/>
          <w:right w:val="nil"/>
          <w:between w:val="nil"/>
        </w:pBdr>
        <w:ind w:left="851"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Por lo anterior, solicito de manera categórica e inmediata lo siguiente:</w:t>
      </w:r>
    </w:p>
    <w:p w:rsidR="008E1546" w:rsidRPr="00F45679" w:rsidRDefault="00BA2679">
      <w:pPr>
        <w:numPr>
          <w:ilvl w:val="0"/>
          <w:numId w:val="5"/>
        </w:numPr>
        <w:pBdr>
          <w:top w:val="nil"/>
          <w:left w:val="nil"/>
          <w:bottom w:val="nil"/>
          <w:right w:val="nil"/>
          <w:between w:val="nil"/>
        </w:pBdr>
        <w:ind w:left="1134" w:right="567" w:hanging="283"/>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Se suspenda de forma inmediata la operación de los parquímetros</w:t>
      </w:r>
      <w:r w:rsidRPr="00F45679">
        <w:rPr>
          <w:rFonts w:ascii="Palatino Linotype" w:eastAsia="Palatino Linotype" w:hAnsi="Palatino Linotype" w:cs="Palatino Linotype"/>
          <w:i/>
          <w:iCs/>
          <w:color w:val="000000"/>
        </w:rPr>
        <w:t>, por carecer de contrato firmado, publicado y aprobado conforme a la normatividad aplicable, y hasta que se garantice su legalidad, transparencia y justificación pública.</w:t>
      </w:r>
    </w:p>
    <w:p w:rsidR="008E1546" w:rsidRPr="00F45679" w:rsidRDefault="00BA2679">
      <w:pPr>
        <w:numPr>
          <w:ilvl w:val="0"/>
          <w:numId w:val="5"/>
        </w:numPr>
        <w:pBdr>
          <w:top w:val="nil"/>
          <w:left w:val="nil"/>
          <w:bottom w:val="nil"/>
          <w:right w:val="nil"/>
          <w:between w:val="nil"/>
        </w:pBdr>
        <w:ind w:left="1134" w:right="567" w:hanging="283"/>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Se informe de manera precisa y detallada</w:t>
      </w:r>
      <w:r w:rsidRPr="00F45679">
        <w:rPr>
          <w:rFonts w:ascii="Palatino Linotype" w:eastAsia="Palatino Linotype" w:hAnsi="Palatino Linotype" w:cs="Palatino Linotype"/>
          <w:i/>
          <w:iCs/>
          <w:color w:val="000000"/>
        </w:rPr>
        <w:t>:</w:t>
      </w:r>
    </w:p>
    <w:p w:rsidR="008E1546" w:rsidRPr="00F45679" w:rsidRDefault="00BA2679">
      <w:pPr>
        <w:numPr>
          <w:ilvl w:val="1"/>
          <w:numId w:val="5"/>
        </w:numPr>
        <w:pBdr>
          <w:top w:val="nil"/>
          <w:left w:val="nil"/>
          <w:bottom w:val="nil"/>
          <w:right w:val="nil"/>
          <w:between w:val="nil"/>
        </w:pBdr>
        <w:ind w:left="1134" w:right="567" w:hanging="283"/>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El estatus jurídico exacto del contrato respectivo.</w:t>
      </w:r>
    </w:p>
    <w:p w:rsidR="008E1546" w:rsidRPr="00F45679" w:rsidRDefault="00BA2679">
      <w:pPr>
        <w:numPr>
          <w:ilvl w:val="1"/>
          <w:numId w:val="5"/>
        </w:numPr>
        <w:pBdr>
          <w:top w:val="nil"/>
          <w:left w:val="nil"/>
          <w:bottom w:val="nil"/>
          <w:right w:val="nil"/>
          <w:between w:val="nil"/>
        </w:pBdr>
        <w:ind w:left="1134" w:right="567" w:hanging="283"/>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La autoridad o servidor público que autorizó el inicio de la operación sin contrato.</w:t>
      </w:r>
    </w:p>
    <w:p w:rsidR="008E1546" w:rsidRPr="00F45679" w:rsidRDefault="00BA2679">
      <w:pPr>
        <w:numPr>
          <w:ilvl w:val="1"/>
          <w:numId w:val="5"/>
        </w:numPr>
        <w:pBdr>
          <w:top w:val="nil"/>
          <w:left w:val="nil"/>
          <w:bottom w:val="nil"/>
          <w:right w:val="nil"/>
          <w:between w:val="nil"/>
        </w:pBdr>
        <w:ind w:left="1134" w:right="567" w:hanging="283"/>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Los montos exactos de ingresos recaudados desde el 7 de abril de 2025 y la cuenta pública en la que han sido depositados.</w:t>
      </w:r>
    </w:p>
    <w:p w:rsidR="008E1546" w:rsidRPr="00F45679" w:rsidRDefault="00BA2679">
      <w:pPr>
        <w:pBdr>
          <w:top w:val="nil"/>
          <w:left w:val="nil"/>
          <w:bottom w:val="nil"/>
          <w:right w:val="nil"/>
          <w:between w:val="nil"/>
        </w:pBdr>
        <w:ind w:left="851"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 xml:space="preserve">De las primeras manifestaciones, se debe destacar que corresponden a manifestaciones subjetivas; es decir aquellas expresiones, sensaciones o sentimientos personales, de un individuo y que el ahora </w:t>
      </w:r>
      <w:r w:rsidRPr="00F45679">
        <w:rPr>
          <w:rFonts w:ascii="Palatino Linotype" w:eastAsia="Palatino Linotype" w:hAnsi="Palatino Linotype" w:cs="Palatino Linotype"/>
          <w:b/>
          <w:bCs/>
        </w:rPr>
        <w:t>RECURRENTE</w:t>
      </w:r>
      <w:r w:rsidRPr="00F45679">
        <w:rPr>
          <w:rFonts w:ascii="Palatino Linotype" w:eastAsia="Palatino Linotype" w:hAnsi="Palatino Linotype" w:cs="Palatino Linotype"/>
        </w:rPr>
        <w:t xml:space="preserve"> expone en ejercicio de su derecho de libre expresión, pero que resultan inatendibles vía acceso a la información pública, el cual es un derecho versa sobre documentos que generen, posean o administren los sujetos obligados en ejercicio de sus funciones de derecho público, por tanto el presente proveído se abstiene de dar observancia a ese tipo de manifestaciones.</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Por cuanto hace a las solicitudes que el particular realiza a este Instituto, así como de los nuevos requerimientos de informe que solicita, devienen inatendibles; toda vez que corresponden a nuevos requerimientos que no formaban parte de la solicitud inicial. </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Por lo que al momento de rendir manifestaciones el particular agregó nuevos puntos a su solicitud de información, lo que se aleja de la materia que dio origen a la respuesta del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A mayor abundamiento, los nuevos puntos de la solicitud son considerados “</w:t>
      </w:r>
      <w:r w:rsidRPr="00F45679">
        <w:rPr>
          <w:rFonts w:ascii="Palatino Linotype" w:eastAsia="Palatino Linotype" w:hAnsi="Palatino Linotype" w:cs="Palatino Linotype"/>
          <w:b/>
          <w:bCs/>
          <w:i/>
          <w:iCs/>
        </w:rPr>
        <w:t>plus petitio”</w:t>
      </w: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rPr>
        <w:t>y no son susceptibles de ser valorados.</w:t>
      </w:r>
    </w:p>
    <w:p w:rsidR="008E1546" w:rsidRPr="00F45679" w:rsidRDefault="008E1546">
      <w:pPr>
        <w:tabs>
          <w:tab w:val="left" w:pos="7088"/>
        </w:tabs>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w:t>
      </w:r>
    </w:p>
    <w:p w:rsidR="008E1546" w:rsidRPr="00F45679" w:rsidRDefault="008E1546">
      <w:pPr>
        <w:tabs>
          <w:tab w:val="left" w:pos="7088"/>
        </w:tabs>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Sirve de apoyo a lo anterior por analogía, la Jurisprudencia No. 29 visible a foja 19 del Apéndice al Semanario Judicial de la Federación 1917-1995, Tomo IV, Materia Común, Primera Parte, Tesis de la Suprema Corte de Justicia, que señala:</w:t>
      </w:r>
    </w:p>
    <w:p w:rsidR="008E1546" w:rsidRPr="00F45679" w:rsidRDefault="00BA2679">
      <w:pPr>
        <w:pBdr>
          <w:top w:val="nil"/>
          <w:left w:val="nil"/>
          <w:bottom w:val="nil"/>
          <w:right w:val="nil"/>
          <w:between w:val="nil"/>
        </w:pBdr>
        <w:spacing w:before="240" w:after="160"/>
        <w:ind w:left="567" w:right="567"/>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b/>
          <w:bCs/>
          <w:i/>
          <w:iCs/>
          <w:color w:val="000000"/>
        </w:rPr>
        <w:t>“AGRAVIOS EN LA REVISIÓN. DEBEN ESTAR EN RELACIÓN DIRECTA CON LOS FUNDAMENTOS Y CONSIDERACIONES DE LA SENTENCIA</w:t>
      </w:r>
    </w:p>
    <w:p w:rsidR="008E1546" w:rsidRPr="00F45679" w:rsidRDefault="00BA2679">
      <w:pPr>
        <w:pBdr>
          <w:top w:val="nil"/>
          <w:left w:val="nil"/>
          <w:bottom w:val="nil"/>
          <w:right w:val="nil"/>
          <w:between w:val="nil"/>
        </w:pBdr>
        <w:spacing w:before="240" w:after="160"/>
        <w:ind w:left="567" w:right="567"/>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i/>
          <w:iCs/>
          <w:color w:val="000000"/>
          <w:u w:val="single"/>
        </w:rPr>
        <w:t>Los agravios deben estar en relación directa e inmediata con los fundamentos contenidos en la sentencia que se recurre</w:t>
      </w:r>
      <w:r w:rsidRPr="00F45679">
        <w:rPr>
          <w:rFonts w:ascii="Palatino Linotype" w:eastAsia="Palatino Linotype" w:hAnsi="Palatino Linotype" w:cs="Palatino Linotype"/>
          <w:i/>
          <w:iCs/>
          <w:color w:val="000000"/>
        </w:rPr>
        <w:t>,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8E1546" w:rsidRPr="00F45679" w:rsidRDefault="008E1546">
      <w:pPr>
        <w:tabs>
          <w:tab w:val="left" w:pos="7088"/>
          <w:tab w:val="left" w:pos="7230"/>
        </w:tabs>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Por lo anterior, se establece que dentro del recurso de revisión presentado por la parte</w:t>
      </w:r>
      <w:r w:rsidRPr="00F45679">
        <w:rPr>
          <w:rFonts w:ascii="Palatino Linotype" w:eastAsia="Palatino Linotype" w:hAnsi="Palatino Linotype" w:cs="Palatino Linotype"/>
          <w:b/>
          <w:bCs/>
        </w:rPr>
        <w:t xml:space="preserve"> RECURRE</w:t>
      </w:r>
      <w:r w:rsidRPr="00F45679">
        <w:rPr>
          <w:rFonts w:ascii="Palatino Linotype" w:eastAsia="Palatino Linotype" w:hAnsi="Palatino Linotype" w:cs="Palatino Linotype"/>
        </w:rPr>
        <w:t>N</w:t>
      </w:r>
      <w:r w:rsidRPr="00F45679">
        <w:rPr>
          <w:rFonts w:ascii="Palatino Linotype" w:eastAsia="Palatino Linotype" w:hAnsi="Palatino Linotype" w:cs="Palatino Linotype"/>
          <w:b/>
          <w:bCs/>
        </w:rPr>
        <w:t xml:space="preserve">TE </w:t>
      </w:r>
      <w:r w:rsidRPr="00F45679">
        <w:rPr>
          <w:rFonts w:ascii="Palatino Linotype" w:eastAsia="Palatino Linotype" w:hAnsi="Palatino Linotype" w:cs="Palatino Linotype"/>
        </w:rPr>
        <w:t>no debe variar el fondo de la</w:t>
      </w:r>
      <w:r w:rsidRPr="00F45679">
        <w:rPr>
          <w:rFonts w:ascii="Palatino Linotype" w:eastAsia="Palatino Linotype" w:hAnsi="Palatino Linotype" w:cs="Palatino Linotype"/>
          <w:i/>
          <w:iCs/>
        </w:rPr>
        <w:t xml:space="preserve"> Litis,</w:t>
      </w:r>
      <w:r w:rsidRPr="00F45679">
        <w:rPr>
          <w:rFonts w:ascii="Palatino Linotype" w:eastAsia="Palatino Linotype" w:hAnsi="Palatino Linotype" w:cs="Palatino Linotype"/>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rsidR="008E1546" w:rsidRPr="00F45679" w:rsidRDefault="008E1546">
      <w:pPr>
        <w:tabs>
          <w:tab w:val="left" w:pos="7088"/>
          <w:tab w:val="left" w:pos="7230"/>
        </w:tabs>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rsidR="008E1546" w:rsidRPr="00F45679" w:rsidRDefault="00BA2679">
      <w:pPr>
        <w:pBdr>
          <w:top w:val="nil"/>
          <w:left w:val="nil"/>
          <w:bottom w:val="nil"/>
          <w:right w:val="nil"/>
          <w:between w:val="nil"/>
        </w:pBdr>
        <w:spacing w:before="240" w:after="160"/>
        <w:ind w:left="567" w:right="709"/>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b/>
          <w:bCs/>
          <w:i/>
          <w:iCs/>
          <w:color w:val="000000"/>
        </w:rPr>
        <w:t xml:space="preserve">“TRANSPARENCIA Y ACCESO A LA INFORMACIÓN PÚBLICA GUBERNAMENTAL. LOS ARTÍCULOS 1, 2 Y 6 DE LA LEY FEDERAL </w:t>
      </w:r>
      <w:r w:rsidRPr="00F45679">
        <w:rPr>
          <w:rFonts w:ascii="Palatino Linotype" w:eastAsia="Palatino Linotype" w:hAnsi="Palatino Linotype" w:cs="Palatino Linotype"/>
          <w:b/>
          <w:bCs/>
          <w:i/>
          <w:iCs/>
          <w:color w:val="000000"/>
        </w:rPr>
        <w:lastRenderedPageBreak/>
        <w:t xml:space="preserve">RELATIVA, NO DEBEN INTERPRETARSE EN EL SENTIDO DE PERMITIR AL GOBERNADO QUE A SU ARBITRIO SOLICITE COPIA DE DOCUMENTOS QUE NO OBREN EN LOS EXPEDIENTES DE LOS SUJETOS OBLIGADOS, O SEAN DISTINTOS A LOS DE SU PETICIÓN INICIAL. </w:t>
      </w:r>
    </w:p>
    <w:p w:rsidR="008E1546" w:rsidRPr="00F45679" w:rsidRDefault="00BA2679">
      <w:pPr>
        <w:pBdr>
          <w:top w:val="nil"/>
          <w:left w:val="nil"/>
          <w:bottom w:val="nil"/>
          <w:right w:val="nil"/>
          <w:between w:val="nil"/>
        </w:pBdr>
        <w:spacing w:before="240" w:after="160"/>
        <w:ind w:left="567" w:right="709"/>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F45679">
        <w:rPr>
          <w:rFonts w:ascii="Palatino Linotype" w:eastAsia="Palatino Linotype" w:hAnsi="Palatino Linotype" w:cs="Palatino Linotype"/>
          <w:i/>
          <w:iCs/>
          <w:color w:val="000000"/>
          <w:u w:val="single"/>
        </w:rPr>
        <w:t>el precepto 6 de la propia legislación prevé el principio de máxima publicidad y disponibilidad de la información en posesión de los sujetos obligados;</w:t>
      </w:r>
      <w:r w:rsidRPr="00F45679">
        <w:rPr>
          <w:rFonts w:ascii="Palatino Linotype" w:eastAsia="Palatino Linotype" w:hAnsi="Palatino Linotype" w:cs="Palatino Linotype"/>
          <w:i/>
          <w:iCs/>
          <w:color w:val="000000"/>
        </w:rPr>
        <w:t xml:space="preserve"> también lo es que ello no implica que tales numerales deban interpretarse en el sentido de permitir al gobernado que a su arbitrio solicite copia de documentos que no obren en los expedientes de los sujetos obligados, </w:t>
      </w:r>
      <w:r w:rsidRPr="00F45679">
        <w:rPr>
          <w:rFonts w:ascii="Palatino Linotype" w:eastAsia="Palatino Linotype" w:hAnsi="Palatino Linotype" w:cs="Palatino Linotype"/>
          <w:i/>
          <w:iCs/>
          <w:color w:val="000000"/>
          <w:u w:val="single"/>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rsidR="008E1546" w:rsidRPr="00F45679" w:rsidRDefault="00BA2679">
      <w:pPr>
        <w:pBdr>
          <w:top w:val="nil"/>
          <w:left w:val="nil"/>
          <w:bottom w:val="nil"/>
          <w:right w:val="nil"/>
          <w:between w:val="nil"/>
        </w:pBdr>
        <w:spacing w:before="240" w:after="160"/>
        <w:ind w:left="567" w:right="709"/>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i/>
          <w:iCs/>
          <w:color w:val="000000"/>
        </w:rPr>
        <w:t>OCTAVO TRIBUNAL COLEGIADO EN MATERIA ADMINISTRATIVA DEL PRIMER CIRCUITO.”</w:t>
      </w:r>
    </w:p>
    <w:p w:rsidR="008E1546" w:rsidRPr="00F45679" w:rsidRDefault="008E1546">
      <w:pPr>
        <w:spacing w:before="240" w:after="160"/>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De manera complementaria, el entonces Instituto Nacional de Transparencia, Acceso a la Información y Protección de Datos Personales, sostuvo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rsidR="008E1546" w:rsidRPr="00F45679" w:rsidRDefault="00BA2679">
      <w:pPr>
        <w:pBdr>
          <w:top w:val="nil"/>
          <w:left w:val="nil"/>
          <w:bottom w:val="nil"/>
          <w:right w:val="nil"/>
          <w:between w:val="nil"/>
        </w:pBdr>
        <w:spacing w:before="240" w:after="160"/>
        <w:ind w:left="567" w:right="567"/>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b/>
          <w:bCs/>
          <w:i/>
          <w:iCs/>
          <w:color w:val="000000"/>
        </w:rPr>
        <w:lastRenderedPageBreak/>
        <w:t>“ES IMPROCEDENTE AMPLIAR LAS SOLICITUDES DE ACCESO A INFORMACIÓN PÚBLICA O DATOS PERSONALES, A TRAVÉS DE LA INTERPOSICIÓN DEL RECURSO DE REVISIÓN</w:t>
      </w:r>
    </w:p>
    <w:p w:rsidR="008E1546" w:rsidRPr="00F45679" w:rsidRDefault="00BA2679">
      <w:pPr>
        <w:pBdr>
          <w:top w:val="nil"/>
          <w:left w:val="nil"/>
          <w:bottom w:val="nil"/>
          <w:right w:val="nil"/>
          <w:between w:val="nil"/>
        </w:pBdr>
        <w:spacing w:before="240" w:after="160"/>
        <w:ind w:left="567"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 xml:space="preserve">En aquellos casos en los que los recurrentes amplíen los alcances de la solicitud de información o acceso a datos personales a través de un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 </w:t>
      </w:r>
    </w:p>
    <w:p w:rsidR="008E1546" w:rsidRPr="00F45679" w:rsidRDefault="00BA2679">
      <w:pPr>
        <w:pBdr>
          <w:top w:val="nil"/>
          <w:left w:val="nil"/>
          <w:bottom w:val="nil"/>
          <w:right w:val="nil"/>
          <w:between w:val="nil"/>
        </w:pBdr>
        <w:spacing w:before="240" w:after="160"/>
        <w:ind w:left="567"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p>
    <w:p w:rsidR="008E1546" w:rsidRPr="00F45679" w:rsidRDefault="008E1546">
      <w:pPr>
        <w:pBdr>
          <w:top w:val="nil"/>
          <w:left w:val="nil"/>
          <w:bottom w:val="nil"/>
          <w:right w:val="nil"/>
          <w:between w:val="nil"/>
        </w:pBdr>
        <w:spacing w:before="240" w:after="160"/>
        <w:ind w:left="567" w:right="567"/>
        <w:jc w:val="both"/>
        <w:rPr>
          <w:rFonts w:ascii="Palatino Linotype" w:eastAsia="Palatino Linotype" w:hAnsi="Palatino Linotype" w:cs="Palatino Linotype"/>
          <w:b/>
          <w:bCs/>
          <w:i/>
          <w:i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Expuesto lo anterior, se procede al análisis de los rubros impugnados, a saber:</w:t>
      </w:r>
    </w:p>
    <w:p w:rsidR="008E1546" w:rsidRPr="00F45679" w:rsidRDefault="00BA267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El contrato;</w:t>
      </w:r>
    </w:p>
    <w:p w:rsidR="008E1546" w:rsidRPr="00F45679" w:rsidRDefault="00BA267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Los ingresos generados y su destino; y</w:t>
      </w:r>
    </w:p>
    <w:p w:rsidR="008E1546" w:rsidRPr="00F45679" w:rsidRDefault="00BA2679">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Las condiciones del contrato;</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En ese contexto es necesario primeramente señalar que con su respuesta, 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acepta expresamente que lo solicitado fue generado, poseído y administrado: tan es así que refiere que el contrato se encuentra en revisión e informa la fecha en que entraron en funciones los parquímetros, lo que se conjuga con los elementos de convicción aportados por la parte </w:t>
      </w:r>
      <w:r w:rsidRPr="00F45679">
        <w:rPr>
          <w:rFonts w:ascii="Palatino Linotype" w:eastAsia="Palatino Linotype" w:hAnsi="Palatino Linotype" w:cs="Palatino Linotype"/>
          <w:b/>
          <w:bCs/>
        </w:rPr>
        <w:t>RECURRENTE</w:t>
      </w:r>
      <w:r w:rsidRPr="00F45679">
        <w:rPr>
          <w:rFonts w:ascii="Palatino Linotype" w:eastAsia="Palatino Linotype" w:hAnsi="Palatino Linotype" w:cs="Palatino Linotype"/>
        </w:rPr>
        <w:t xml:space="preserve"> en los archivos denominados </w:t>
      </w:r>
      <w:r w:rsidRPr="00F45679">
        <w:rPr>
          <w:rFonts w:ascii="Palatino Linotype" w:eastAsia="Palatino Linotype" w:hAnsi="Palatino Linotype" w:cs="Palatino Linotype"/>
          <w:i/>
          <w:iCs/>
        </w:rPr>
        <w:lastRenderedPageBreak/>
        <w:t>FB_IMG_1748625254045.jpg</w:t>
      </w:r>
      <w:r w:rsidRPr="00F45679">
        <w:rPr>
          <w:rFonts w:ascii="Palatino Linotype" w:eastAsia="Palatino Linotype" w:hAnsi="Palatino Linotype" w:cs="Palatino Linotype"/>
        </w:rPr>
        <w:t xml:space="preserve"> y </w:t>
      </w:r>
      <w:r w:rsidRPr="00F45679">
        <w:rPr>
          <w:rFonts w:ascii="Palatino Linotype" w:eastAsia="Palatino Linotype" w:hAnsi="Palatino Linotype" w:cs="Palatino Linotype"/>
          <w:i/>
          <w:iCs/>
        </w:rPr>
        <w:t>IMG_20250529_092830538.jpg</w:t>
      </w:r>
      <w:r w:rsidRPr="00F45679">
        <w:rPr>
          <w:rFonts w:ascii="Palatino Linotype" w:eastAsia="Palatino Linotype" w:hAnsi="Palatino Linotype" w:cs="Palatino Linotype"/>
        </w:rPr>
        <w:t>, durante la etapa de Manifestaciones, cuyo contenido es el siguiente:</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spacing w:line="360" w:lineRule="auto"/>
        <w:jc w:val="center"/>
        <w:rPr>
          <w:rFonts w:ascii="Palatino Linotype" w:eastAsia="Palatino Linotype" w:hAnsi="Palatino Linotype" w:cs="Palatino Linotype"/>
        </w:rPr>
      </w:pPr>
      <w:r w:rsidRPr="00F45679">
        <w:rPr>
          <w:rFonts w:ascii="Palatino Linotype" w:eastAsia="Palatino Linotype" w:hAnsi="Palatino Linotype" w:cs="Palatino Linotype"/>
          <w:noProof/>
          <w:lang w:val="es-MX"/>
        </w:rPr>
        <w:lastRenderedPageBreak/>
        <w:drawing>
          <wp:inline distT="0" distB="0" distL="0" distR="0">
            <wp:extent cx="3610539" cy="693942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10539" cy="6939423"/>
                    </a:xfrm>
                    <a:prstGeom prst="rect">
                      <a:avLst/>
                    </a:prstGeom>
                    <a:ln/>
                  </pic:spPr>
                </pic:pic>
              </a:graphicData>
            </a:graphic>
          </wp:inline>
        </w:drawing>
      </w:r>
    </w:p>
    <w:p w:rsidR="008E1546" w:rsidRPr="00F45679" w:rsidRDefault="00BA2679">
      <w:pPr>
        <w:spacing w:line="360" w:lineRule="auto"/>
        <w:jc w:val="center"/>
        <w:rPr>
          <w:rFonts w:ascii="Palatino Linotype" w:eastAsia="Palatino Linotype" w:hAnsi="Palatino Linotype" w:cs="Palatino Linotype"/>
        </w:rPr>
      </w:pPr>
      <w:r w:rsidRPr="00F45679">
        <w:rPr>
          <w:rFonts w:ascii="Palatino Linotype" w:eastAsia="Palatino Linotype" w:hAnsi="Palatino Linotype" w:cs="Palatino Linotype"/>
          <w:noProof/>
          <w:lang w:val="es-MX"/>
        </w:rPr>
        <w:lastRenderedPageBreak/>
        <w:drawing>
          <wp:inline distT="0" distB="0" distL="0" distR="0">
            <wp:extent cx="5581015" cy="549656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581015" cy="5496560"/>
                    </a:xfrm>
                    <a:prstGeom prst="rect">
                      <a:avLst/>
                    </a:prstGeom>
                    <a:ln/>
                  </pic:spPr>
                </pic:pic>
              </a:graphicData>
            </a:graphic>
          </wp:inline>
        </w:drawing>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Por lo que tomando en consideración la fecha de interposición de la solicitud de información (veintitrés de abril de dos mil veinticinco), resulta procedente el análisis de lo solicitado al corresponder a información relacionada con acciones del Gobierno Municipal que se han materializado previo a la solicitud de información.</w:t>
      </w: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 xml:space="preserve"> Lo anterior cobra relevancia, pues 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argumenta que el contrato de operación aún se encuentra en revisión lo que resulta discordante, pues por otro lado informa de la fecha de inicio de operaciones, misma que es anterior a la fecha en que emite su respuesta; asimismo informa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lo que resulta relevante pues en todo caso se debió remitir el contrato celebrado en el estado en que se encontraba.</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Contexto similar ocurre con relación al requerimiento sobre los “ingresos generados y su destino” al que se manifiesta, que dicha operación inició formalmente el día 7 de abril de 2025, por lo que la información correspondiente aún no ha sido generada, en virtud de que se encuentra en proceso de cierre presupuestal, contable y financiero, señalando que conforme al calendario de entregas al Órgano Superior de Fiscalización del Estado de México (OSFEM), el Segundo Informe Trimestral (correspondiente a los meses de abril, mayo y junio del ejercicio fiscal 2025) deberá presentarse a más tardar el día 11 de agosto de 2025. Por lo que una vez concluido dicho proceso, será posible contar con la información requerida y, en consecuencia, se podrá proporcionar.</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Atento a lo anterior es que resulta procedente el motivo de inconformidad tocante a: </w:t>
      </w:r>
      <w:r w:rsidRPr="00F45679">
        <w:rPr>
          <w:rFonts w:ascii="Palatino Linotype" w:eastAsia="Palatino Linotype" w:hAnsi="Palatino Linotype" w:cs="Palatino Linotype"/>
          <w:i/>
          <w:iCs/>
        </w:rPr>
        <w:t xml:space="preserve">“…la respuesta recibida señala que no se puede proporcionar información sobre los ingresos y su </w:t>
      </w:r>
      <w:r w:rsidRPr="00F45679">
        <w:rPr>
          <w:rFonts w:ascii="Palatino Linotype" w:eastAsia="Palatino Linotype" w:hAnsi="Palatino Linotype" w:cs="Palatino Linotype"/>
          <w:i/>
          <w:iCs/>
        </w:rPr>
        <w:lastRenderedPageBreak/>
        <w:t>destino por estar “en proceso de cierre presupuestal”, sin embargo, desde el 7 de abril se están generando recursos públicos por el cobro de estacionamiento. Esto exige que se documenten los ingresos desde el primer día de operación, sin necesidad de esperar un informe trimestral”</w:t>
      </w:r>
      <w:r w:rsidRPr="00F45679">
        <w:rPr>
          <w:rFonts w:ascii="Palatino Linotype" w:eastAsia="Palatino Linotype" w:hAnsi="Palatino Linotype" w:cs="Palatino Linotype"/>
        </w:rPr>
        <w:t xml:space="preserve">; toda vez que ciertamente las obligaciones de fiscalización del Ayuntamiento de Texcoco no son impedimento para el cumplimiento de sus obligaciones en materia de transparencia y acceso a la información pública, pues es de explorado derecho que el acceso a la información se colma con la entrega del soporte documental que en ejercicio de sus funciones de derecho </w:t>
      </w:r>
      <w:r w:rsidR="00F45679" w:rsidRPr="00F45679">
        <w:rPr>
          <w:rFonts w:ascii="Palatino Linotype" w:eastAsia="Palatino Linotype" w:hAnsi="Palatino Linotype" w:cs="Palatino Linotype"/>
        </w:rPr>
        <w:t>público</w:t>
      </w:r>
      <w:r w:rsidRPr="00F45679">
        <w:rPr>
          <w:rFonts w:ascii="Palatino Linotype" w:eastAsia="Palatino Linotype" w:hAnsi="Palatino Linotype" w:cs="Palatino Linotype"/>
        </w:rPr>
        <w:t xml:space="preserve"> generaron los sujetos obligados: siempre y cuando sea anterior a la fecha de interposición de la solicitud de información. Por tanto, los informes que trimestralmente debe remitir el Ayuntamiento de Texcoco como entidad fiscalizable del OSFEM, no son impedimento para el cumplimiento del ejercicio del derecho de acceso al a información pública de los solicitantes.</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Por otro lado, para el uso de cajones de estacionamiento controlados por parquímetros, el Gobierno Municipal público en fecha veintidós de junio de dos mil veintidós el </w:t>
      </w:r>
      <w:r w:rsidRPr="00F45679">
        <w:rPr>
          <w:rFonts w:ascii="Palatino Linotype" w:eastAsia="Palatino Linotype" w:hAnsi="Palatino Linotype" w:cs="Palatino Linotype"/>
          <w:b/>
          <w:bCs/>
        </w:rPr>
        <w:t>Reglamento de Parquímetros para el uso de cajones de estacionamiento en la vía pública de la Ciudad de Texcoco</w:t>
      </w:r>
      <w:r w:rsidRPr="00F45679">
        <w:rPr>
          <w:rFonts w:ascii="Palatino Linotype" w:eastAsia="Palatino Linotype" w:hAnsi="Palatino Linotype" w:cs="Palatino Linotype"/>
        </w:rPr>
        <w:t xml:space="preserve"> en cuya exposición de motivos, destaca al caso concreto lo siguiente: "</w:t>
      </w:r>
      <w:r w:rsidRPr="00F45679">
        <w:rPr>
          <w:rFonts w:ascii="Palatino Linotype" w:eastAsia="Palatino Linotype" w:hAnsi="Palatino Linotype" w:cs="Palatino Linotype"/>
          <w:i/>
          <w:iCs/>
        </w:rPr>
        <w:t xml:space="preserve">Este ordenamiento jurídico, tiene por objeto regular el uso de cajones de estacionamiento en la vía pública, utilizada por vehículos de propulsión mecánica o motorizada los cuales serán controlados por parquímetros y </w:t>
      </w:r>
      <w:r w:rsidRPr="00F45679">
        <w:rPr>
          <w:rFonts w:ascii="Palatino Linotype" w:eastAsia="Palatino Linotype" w:hAnsi="Palatino Linotype" w:cs="Palatino Linotype"/>
          <w:b/>
          <w:bCs/>
          <w:i/>
          <w:iCs/>
          <w:u w:val="single"/>
        </w:rPr>
        <w:t>plataformas digitales o App</w:t>
      </w:r>
      <w:r w:rsidRPr="00F45679">
        <w:rPr>
          <w:rFonts w:ascii="Palatino Linotype" w:eastAsia="Palatino Linotype" w:hAnsi="Palatino Linotype" w:cs="Palatino Linotype"/>
          <w:i/>
          <w:iCs/>
        </w:rPr>
        <w:t xml:space="preserve"> de propulsión mecánica o motorizada en la vía pública y que serán controlados por parquímetros de servicio público...</w:t>
      </w:r>
      <w:r w:rsidRPr="00F45679">
        <w:rPr>
          <w:rFonts w:ascii="Palatino Linotype" w:eastAsia="Palatino Linotype" w:hAnsi="Palatino Linotype" w:cs="Palatino Linotype"/>
        </w:rPr>
        <w:t>" Énfasis añadido</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En esa tesitura, del Reglamento de referencia en su artículo 2, fracciones V y XVIII, artículo 3 fracción VI y articulo 4, se desprende al caso concreto lo siguiente:</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“Artículo 2.- Para efectos del presente Reglamento se entiende por:</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V. Concesionario: </w:t>
      </w:r>
      <w:r w:rsidRPr="00F45679">
        <w:rPr>
          <w:rFonts w:ascii="Palatino Linotype" w:eastAsia="Palatino Linotype" w:hAnsi="Palatino Linotype" w:cs="Palatino Linotype"/>
          <w:b/>
          <w:bCs/>
          <w:i/>
          <w:iCs/>
        </w:rPr>
        <w:t>El titular de los derechos contenidos en el contrato de prestación de servicio</w:t>
      </w:r>
      <w:r w:rsidRPr="00F45679">
        <w:rPr>
          <w:rFonts w:ascii="Palatino Linotype" w:eastAsia="Palatino Linotype" w:hAnsi="Palatino Linotype" w:cs="Palatino Linotype"/>
          <w:i/>
          <w:iCs/>
        </w:rPr>
        <w:t>;</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XVIII. App: </w:t>
      </w:r>
      <w:r w:rsidRPr="00F45679">
        <w:rPr>
          <w:rFonts w:ascii="Palatino Linotype" w:eastAsia="Palatino Linotype" w:hAnsi="Palatino Linotype" w:cs="Palatino Linotype"/>
          <w:b/>
          <w:bCs/>
          <w:i/>
          <w:iCs/>
        </w:rPr>
        <w:t>Aplicación o plataforma digital de control de estacionamiento</w:t>
      </w:r>
      <w:r w:rsidRPr="00F45679">
        <w:rPr>
          <w:rFonts w:ascii="Palatino Linotype" w:eastAsia="Palatino Linotype" w:hAnsi="Palatino Linotype" w:cs="Palatino Linotype"/>
          <w:i/>
          <w:iCs/>
        </w:rPr>
        <w:t>.</w:t>
      </w:r>
    </w:p>
    <w:p w:rsidR="008E1546" w:rsidRPr="00F45679" w:rsidRDefault="008E1546">
      <w:pPr>
        <w:spacing w:line="360" w:lineRule="auto"/>
        <w:ind w:left="567" w:right="567"/>
        <w:jc w:val="both"/>
        <w:rPr>
          <w:rFonts w:ascii="Palatino Linotype" w:eastAsia="Palatino Linotype" w:hAnsi="Palatino Linotype" w:cs="Palatino Linotype"/>
          <w:i/>
          <w:iCs/>
        </w:rPr>
      </w:pP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Artículo 3. Son autoridades competentes para la aplicación del presente Reglamento, las siguientes:</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VI. Cuando el servicio se encuentre </w:t>
      </w:r>
      <w:r w:rsidRPr="00F45679">
        <w:rPr>
          <w:rFonts w:ascii="Palatino Linotype" w:eastAsia="Palatino Linotype" w:hAnsi="Palatino Linotype" w:cs="Palatino Linotype"/>
          <w:b/>
          <w:bCs/>
          <w:i/>
          <w:iCs/>
        </w:rPr>
        <w:t>concesionado o contratado</w:t>
      </w:r>
      <w:r w:rsidRPr="00F45679">
        <w:rPr>
          <w:rFonts w:ascii="Palatino Linotype" w:eastAsia="Palatino Linotype" w:hAnsi="Palatino Linotype" w:cs="Palatino Linotype"/>
          <w:i/>
          <w:iCs/>
        </w:rPr>
        <w:t>, el concesionario o prestador del servicio tendrá la obligación de observar y aplicar en lo conducente el presente Reglamento.</w:t>
      </w:r>
    </w:p>
    <w:p w:rsidR="008E1546" w:rsidRPr="00F45679" w:rsidRDefault="00BA2679">
      <w:pPr>
        <w:spacing w:line="360" w:lineRule="auto"/>
        <w:ind w:left="567" w:right="567"/>
        <w:jc w:val="both"/>
        <w:rPr>
          <w:rFonts w:ascii="Palatino Linotype" w:eastAsia="Palatino Linotype" w:hAnsi="Palatino Linotype" w:cs="Palatino Linotype"/>
        </w:rPr>
      </w:pP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rPr>
        <w:t>Énfasis añadido</w:t>
      </w:r>
    </w:p>
    <w:p w:rsidR="008E1546" w:rsidRPr="00F45679" w:rsidRDefault="008E1546">
      <w:pPr>
        <w:spacing w:line="360" w:lineRule="auto"/>
        <w:ind w:left="567" w:right="567"/>
        <w:jc w:val="both"/>
        <w:rPr>
          <w:rFonts w:ascii="Palatino Linotype" w:eastAsia="Palatino Linotype" w:hAnsi="Palatino Linotype" w:cs="Palatino Linotype"/>
          <w:i/>
          <w:iCs/>
        </w:rPr>
      </w:pPr>
    </w:p>
    <w:p w:rsidR="008E1546" w:rsidRPr="00F45679" w:rsidRDefault="00BA2679">
      <w:pPr>
        <w:spacing w:line="360" w:lineRule="auto"/>
        <w:ind w:left="567" w:right="567"/>
        <w:jc w:val="both"/>
        <w:rPr>
          <w:rFonts w:ascii="Palatino Linotype" w:eastAsia="Palatino Linotype" w:hAnsi="Palatino Linotype" w:cs="Palatino Linotype"/>
        </w:rPr>
      </w:pPr>
      <w:r w:rsidRPr="00F45679">
        <w:rPr>
          <w:rFonts w:ascii="Palatino Linotype" w:eastAsia="Palatino Linotype" w:hAnsi="Palatino Linotype" w:cs="Palatino Linotype"/>
          <w:i/>
          <w:iCs/>
        </w:rPr>
        <w:t xml:space="preserve">Artículo 4.-El funcionamiento de parquímetros en la vía pública es un servicio público que presta el Ayuntamiento, a través de las unidades u órganos administrativos, principalmente por Tesorería y Dirección de Seguridad Publica y Movilidad, </w:t>
      </w:r>
      <w:r w:rsidRPr="00F45679">
        <w:rPr>
          <w:rFonts w:ascii="Palatino Linotype" w:eastAsia="Palatino Linotype" w:hAnsi="Palatino Linotype" w:cs="Palatino Linotype"/>
          <w:b/>
          <w:bCs/>
          <w:i/>
          <w:iCs/>
        </w:rPr>
        <w:t>mismo que podrá ser concesionado a particulares</w:t>
      </w:r>
      <w:r w:rsidRPr="00F45679">
        <w:rPr>
          <w:rFonts w:ascii="Palatino Linotype" w:eastAsia="Palatino Linotype" w:hAnsi="Palatino Linotype" w:cs="Palatino Linotype"/>
          <w:i/>
          <w:iCs/>
        </w:rPr>
        <w:t xml:space="preserve"> de conformidad con lo establecido en los artículos 86, 126 y 127 de la Ley Orgánica Municipal del Estado de México.” </w:t>
      </w:r>
      <w:r w:rsidRPr="00F45679">
        <w:rPr>
          <w:rFonts w:ascii="Palatino Linotype" w:eastAsia="Palatino Linotype" w:hAnsi="Palatino Linotype" w:cs="Palatino Linotype"/>
        </w:rPr>
        <w:t>Énfasis propio</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De los diversos en cita, se desprende que dicho servicio puede ser concesionado a particulares, conforme a la Ley Orgánica Municipal del Estado de México; es decir que aquel servicio público que originalmente es responsabilidad del Municipio, se decide otorgar temporalmente a personas físicas o morales (particulares) para que lo operen, exploten o administren, sin que el Municipio pierda la titularidad del servicio, hecho que de acuerdo a las constancias que obran en el expediente electrónico en que se actúa, ya se materializó, el cual evidentemente se otorga mediante un acto administrativo, y es este soporte documental el que se requiere -contrato- del cual dada su propia y especial naturaleza procede su entrega vía acceso a la información pública.</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En ese contexto, al haber asumido la información resultaría innecesario un estudio pormenorizado del marco de atribuciones del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que determina si puede o no generar una información, que ya refirió, cuenta con ella; sin embargo resulta necesario realizar las siguientes precisiones, en razón que si bien en la respuesta inicial no invocó una pretendida clasificación de lo solicitado, si lo hizo en un hecho posterior en calidad de informe justificado, al señalar que se encuentra en un procedimiento contencioso administrativo, por tanto resulta información reservada por un periodo de 1 año.</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Luego entonces, para determinar la improcedencia de su clasificación, es dable conocer la naturaleza jurídica y el marco normativo de lo solicitado, a lo que debemos traer a contexto lo dispuesto en la Ley de la Contratación Pública del Estado de México y Municipios, la cual tiene por objeto regular los actos relativos a la planeación, programación, presupuestación, ejecución y control de la adquisición, enajenación y arrendamiento de </w:t>
      </w:r>
      <w:r w:rsidRPr="00F45679">
        <w:rPr>
          <w:rFonts w:ascii="Palatino Linotype" w:eastAsia="Palatino Linotype" w:hAnsi="Palatino Linotype" w:cs="Palatino Linotype"/>
          <w:color w:val="000000"/>
        </w:rPr>
        <w:lastRenderedPageBreak/>
        <w:t xml:space="preserve">bienes, y la </w:t>
      </w:r>
      <w:r w:rsidRPr="00F45679">
        <w:rPr>
          <w:rFonts w:ascii="Palatino Linotype" w:eastAsia="Palatino Linotype" w:hAnsi="Palatino Linotype" w:cs="Palatino Linotype"/>
          <w:b/>
          <w:bCs/>
          <w:color w:val="000000"/>
        </w:rPr>
        <w:t>contratación de servicios de cualquier naturaleza, que realicen los Ayuntamientos del Estado</w:t>
      </w:r>
      <w:r w:rsidRPr="00F45679">
        <w:rPr>
          <w:rFonts w:ascii="Palatino Linotype" w:eastAsia="Palatino Linotype" w:hAnsi="Palatino Linotype" w:cs="Palatino Linotype"/>
          <w:color w:val="000000"/>
        </w:rPr>
        <w:t xml:space="preserve">; los cuales se </w:t>
      </w:r>
      <w:r w:rsidRPr="00F45679">
        <w:rPr>
          <w:rFonts w:ascii="Palatino Linotype" w:eastAsia="Palatino Linotype" w:hAnsi="Palatino Linotype" w:cs="Palatino Linotype"/>
        </w:rPr>
        <w:t>adjudicarán</w:t>
      </w:r>
      <w:r w:rsidRPr="00F45679">
        <w:rPr>
          <w:rFonts w:ascii="Palatino Linotype" w:eastAsia="Palatino Linotype" w:hAnsi="Palatino Linotype" w:cs="Palatino Linotype"/>
          <w:color w:val="000000"/>
        </w:rPr>
        <w:t xml:space="preserve"> a través de </w:t>
      </w:r>
      <w:r w:rsidRPr="00F45679">
        <w:rPr>
          <w:rFonts w:ascii="Palatino Linotype" w:eastAsia="Palatino Linotype" w:hAnsi="Palatino Linotype" w:cs="Palatino Linotype"/>
          <w:color w:val="000000"/>
          <w:u w:val="single"/>
        </w:rPr>
        <w:t>licitaciones públicas</w:t>
      </w:r>
      <w:r w:rsidRPr="00F45679">
        <w:rPr>
          <w:rFonts w:ascii="Palatino Linotype" w:eastAsia="Palatino Linotype" w:hAnsi="Palatino Linotype" w:cs="Palatino Linotype"/>
          <w:color w:val="000000"/>
        </w:rPr>
        <w:t>, i</w:t>
      </w:r>
      <w:r w:rsidRPr="00F45679">
        <w:rPr>
          <w:rFonts w:ascii="Palatino Linotype" w:eastAsia="Palatino Linotype" w:hAnsi="Palatino Linotype" w:cs="Palatino Linotype"/>
          <w:color w:val="000000"/>
          <w:u w:val="single"/>
        </w:rPr>
        <w:t>nvitación restringida o adjudicación directa,</w:t>
      </w:r>
      <w:r w:rsidRPr="00F45679">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r w:rsidRPr="00F45679">
        <w:rPr>
          <w:rFonts w:ascii="Palatino Linotype" w:eastAsia="Palatino Linotype" w:hAnsi="Palatino Linotype" w:cs="Palatino Linotype"/>
          <w:b/>
          <w:bCs/>
          <w:i/>
          <w:iCs/>
        </w:rPr>
        <w:t>Artículo 4.-</w:t>
      </w:r>
      <w:r w:rsidRPr="00F45679">
        <w:rPr>
          <w:rFonts w:ascii="Palatino Linotype" w:eastAsia="Palatino Linotype" w:hAnsi="Palatino Linotype" w:cs="Palatino Linotype"/>
          <w:i/>
          <w:iCs/>
        </w:rPr>
        <w:t xml:space="preserve"> Para los efectos de esta Ley, en las adquisiciones, enajenaciones, arrendamientos y servicios, quedan comprendidos: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 La adquisición de bienes muebles.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II. La adquisición de bienes inmuebles, a través de compraventa.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III. La enajenación de bienes muebles e inmuebles.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IV. El arrendamiento de bienes muebles e inmuebles.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V. La contratación de los servicios, relacionados con bienes muebles que se encuentran incorporados o adheridos a bienes inmuebles, cuya instalación o mantenimiento no implique modificación al bien inmueble.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VI. La contratación de los servicios de reconstrucción y mantenimiento de bienes muebles.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VII. La contratación de los servicios de maquila, seguros y transportación, así como de los de limpieza y vigilancia de bienes inmuebles</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VIII. La prestación de servicios profesionales, la contratación de consultorías, asesorías y estudios e investigaciones, excepto la contratación de servicios personales de personas físicas bajo el régimen de honorarios. </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En general, otros actos que impliquen la contratación de servicios de cualquier naturaleza.</w:t>
      </w:r>
    </w:p>
    <w:p w:rsidR="008E1546" w:rsidRPr="00F45679" w:rsidRDefault="008E1546">
      <w:pPr>
        <w:spacing w:line="360" w:lineRule="auto"/>
        <w:ind w:left="851" w:right="822"/>
        <w:jc w:val="both"/>
        <w:rPr>
          <w:rFonts w:ascii="Palatino Linotype" w:eastAsia="Palatino Linotype" w:hAnsi="Palatino Linotype" w:cs="Palatino Linotype"/>
          <w:b/>
          <w:bCs/>
          <w:i/>
          <w:iCs/>
          <w:u w:val="single"/>
        </w:rPr>
      </w:pPr>
    </w:p>
    <w:p w:rsidR="008E1546" w:rsidRPr="00F45679" w:rsidRDefault="00BA2679">
      <w:pPr>
        <w:spacing w:line="360" w:lineRule="auto"/>
        <w:ind w:left="851" w:right="822"/>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lastRenderedPageBreak/>
        <w:t>Artículo 26.- Las adquisiciones, arrendamientos y servicios se adjudicarán a través de licitaciones públicas, mediante convocatoria pública.</w:t>
      </w:r>
    </w:p>
    <w:p w:rsidR="008E1546" w:rsidRPr="00F45679" w:rsidRDefault="008E1546">
      <w:pPr>
        <w:spacing w:line="360" w:lineRule="auto"/>
        <w:ind w:left="851" w:right="822"/>
        <w:jc w:val="both"/>
        <w:rPr>
          <w:rFonts w:ascii="Palatino Linotype" w:eastAsia="Palatino Linotype" w:hAnsi="Palatino Linotype" w:cs="Palatino Linotype"/>
          <w:b/>
          <w:bCs/>
          <w:i/>
          <w:iCs/>
        </w:rPr>
      </w:pP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Artículo 27.- </w:t>
      </w:r>
      <w:r w:rsidRPr="00F45679">
        <w:rPr>
          <w:rFonts w:ascii="Palatino Linotype" w:eastAsia="Palatino Linotype" w:hAnsi="Palatino Linotype" w:cs="Palatino Linotype"/>
          <w:i/>
          <w:iCs/>
        </w:rPr>
        <w:t xml:space="preserve">La Secretaría, las entidades, los tribunales administrativos y los ayuntamientos podrán adjudicar adquisiciones, arrendamientos y servicios, mediante las excepciones al procedimiento de licitación que a continuación se señalan: </w:t>
      </w:r>
    </w:p>
    <w:p w:rsidR="008E1546" w:rsidRPr="00F45679" w:rsidRDefault="00BA2679">
      <w:pPr>
        <w:spacing w:line="360" w:lineRule="auto"/>
        <w:ind w:left="851" w:right="822"/>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 xml:space="preserve">I. Invitación restringida. </w:t>
      </w:r>
    </w:p>
    <w:p w:rsidR="008E1546" w:rsidRPr="00F45679" w:rsidRDefault="00BA2679">
      <w:pPr>
        <w:spacing w:line="360" w:lineRule="auto"/>
        <w:ind w:left="851" w:right="822"/>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II. Adjudicación directa.”</w:t>
      </w:r>
    </w:p>
    <w:p w:rsidR="008E1546" w:rsidRPr="00F45679" w:rsidRDefault="00BA2679">
      <w:pPr>
        <w:spacing w:line="360" w:lineRule="auto"/>
        <w:ind w:left="567" w:right="567"/>
        <w:rPr>
          <w:rFonts w:ascii="Palatino Linotype" w:eastAsia="Palatino Linotype" w:hAnsi="Palatino Linotype" w:cs="Palatino Linotype"/>
        </w:rPr>
      </w:pPr>
      <w:r w:rsidRPr="00F45679">
        <w:rPr>
          <w:rFonts w:ascii="Palatino Linotype" w:eastAsia="Palatino Linotype" w:hAnsi="Palatino Linotype" w:cs="Palatino Linotype"/>
        </w:rPr>
        <w:t xml:space="preserve">(Énfasis añadido) </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Asimismo, en las licitaciones se debe seguir el procedimiento marcado en el artículo 35 del precitado ordenamiento, que literalmente establece:</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“Artículo 35</w:t>
      </w:r>
      <w:r w:rsidRPr="00F45679">
        <w:rPr>
          <w:rFonts w:ascii="Palatino Linotype" w:eastAsia="Palatino Linotype" w:hAnsi="Palatino Linotype" w:cs="Palatino Linotype"/>
          <w:i/>
          <w:iCs/>
        </w:rPr>
        <w:t>.- En los procedimientos de licitación pública se observará lo siguiente:</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I. El acto de presentación y apertura de propuestas se llevará a cabo por el servidor público que designe la convocante, conforme al procedimiento que se establezca en el reglamento de esta Ley.</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II. El comité de adquisiciones y servicios evaluará y analizará las propuestas técnicas y económicas presentadas por los licitantes en el ámbito de las respectivas competencias de sus integrantes, y emitirá el dictamen de adjudicación.</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III. Las bases de licitación se pondrán a la venta a partir de la fecha de publicación de la convocatoria y hasta el día hábil anterior a la fecha de celebración </w:t>
      </w:r>
      <w:r w:rsidRPr="00F45679">
        <w:rPr>
          <w:rFonts w:ascii="Palatino Linotype" w:eastAsia="Palatino Linotype" w:hAnsi="Palatino Linotype" w:cs="Palatino Linotype"/>
          <w:b/>
          <w:bCs/>
          <w:i/>
          <w:iCs/>
        </w:rPr>
        <w:t xml:space="preserve">de la </w:t>
      </w:r>
      <w:r w:rsidRPr="00F45679">
        <w:rPr>
          <w:rFonts w:ascii="Palatino Linotype" w:eastAsia="Palatino Linotype" w:hAnsi="Palatino Linotype" w:cs="Palatino Linotype"/>
          <w:i/>
          <w:iCs/>
        </w:rPr>
        <w:t>junta de aclaraciones o, en su defecto, del acto de presentación y apertura de propuestas.</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V. Las modificaciones no podrán limitar el número de licitantes, sustituir o variar sustancialmente los bienes o servicios convocados originalmente, ni adicionar otros  distintos.</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VI. Las modificaciones a la convocatoria o a las bases se harán del conocimiento de los interesados hasta tres días hábiles antes de la fecha señalada para el acto de presentación y apertura de propuestas.</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VII. Se emitirá el fallo dentro de los 15 días hábiles siguientes a la publicación de la convocatoria.</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VIII. Los licitantes se podrán registrar hasta el día y la hora fijados para el acto de presentación y apertura de propuestas.</w:t>
      </w:r>
      <w:r w:rsidRPr="00F45679">
        <w:rPr>
          <w:rFonts w:ascii="Palatino Linotype" w:eastAsia="Palatino Linotype" w:hAnsi="Palatino Linotype" w:cs="Palatino Linotype"/>
          <w:b/>
          <w:bCs/>
          <w:i/>
          <w:iCs/>
        </w:rPr>
        <w:t>”</w:t>
      </w:r>
    </w:p>
    <w:p w:rsidR="008E1546" w:rsidRPr="00F45679" w:rsidRDefault="00BA2679">
      <w:pPr>
        <w:spacing w:line="360" w:lineRule="auto"/>
        <w:ind w:left="567" w:right="567"/>
        <w:rPr>
          <w:rFonts w:ascii="Palatino Linotype" w:eastAsia="Palatino Linotype" w:hAnsi="Palatino Linotype" w:cs="Palatino Linotype"/>
        </w:rPr>
      </w:pPr>
      <w:r w:rsidRPr="00F45679">
        <w:rPr>
          <w:rFonts w:ascii="Palatino Linotype" w:eastAsia="Palatino Linotype" w:hAnsi="Palatino Linotype" w:cs="Palatino Linotype"/>
        </w:rPr>
        <w:t>(Énfasis añadido)</w:t>
      </w:r>
    </w:p>
    <w:p w:rsidR="008E1546" w:rsidRPr="00F45679" w:rsidRDefault="008E1546">
      <w:pPr>
        <w:spacing w:line="360" w:lineRule="auto"/>
        <w:ind w:left="567" w:right="567"/>
        <w:jc w:val="right"/>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w:t>
      </w:r>
      <w:r w:rsidRPr="00F45679">
        <w:rPr>
          <w:rFonts w:ascii="Palatino Linotype" w:eastAsia="Palatino Linotype" w:hAnsi="Palatino Linotype" w:cs="Palatino Linotype"/>
          <w:color w:val="000000"/>
        </w:rPr>
        <w:lastRenderedPageBreak/>
        <w:t xml:space="preserve">cuando se hubiere declarado desierto un procedimiento de licitación o cuando el importe de la operación no exceda de los montos establecidos por el Presupuesto de Egresos del Gobierno del Estado de México del ejercicio correspondiente. </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En este sentido, debe decirse que los </w:t>
      </w:r>
      <w:r w:rsidRPr="00F45679">
        <w:rPr>
          <w:rFonts w:ascii="Palatino Linotype" w:eastAsia="Palatino Linotype" w:hAnsi="Palatino Linotype" w:cs="Palatino Linotype"/>
          <w:b/>
          <w:bCs/>
          <w:color w:val="000000"/>
          <w:u w:val="single"/>
        </w:rPr>
        <w:t>expedientes de las adquisiciones, arrendamientos, enajenaciones y servicios</w:t>
      </w:r>
      <w:r w:rsidRPr="00F45679">
        <w:rPr>
          <w:rFonts w:ascii="Palatino Linotype" w:eastAsia="Palatino Linotype" w:hAnsi="Palatino Linotype" w:cs="Palatino Linotype"/>
          <w:color w:val="000000"/>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“Artículo 92. </w:t>
      </w:r>
      <w:r w:rsidRPr="00F45679">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i/>
          <w:iCs/>
        </w:rPr>
        <w:t>(…)</w:t>
      </w:r>
    </w:p>
    <w:p w:rsidR="008E1546" w:rsidRPr="00F45679" w:rsidRDefault="008E1546">
      <w:pPr>
        <w:spacing w:line="360" w:lineRule="auto"/>
        <w:ind w:left="851" w:right="822"/>
        <w:jc w:val="both"/>
        <w:rPr>
          <w:rFonts w:ascii="Palatino Linotype" w:eastAsia="Palatino Linotype" w:hAnsi="Palatino Linotype" w:cs="Palatino Linotype"/>
          <w:b/>
          <w:bCs/>
          <w:i/>
          <w:iCs/>
        </w:rPr>
      </w:pP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XXIX. </w:t>
      </w:r>
      <w:r w:rsidRPr="00F45679">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w:t>
      </w:r>
      <w:r w:rsidRPr="00F45679">
        <w:rPr>
          <w:rFonts w:ascii="Palatino Linotype" w:eastAsia="Palatino Linotype" w:hAnsi="Palatino Linotype" w:cs="Palatino Linotype"/>
          <w:b/>
          <w:bCs/>
          <w:i/>
          <w:iCs/>
          <w:u w:val="single"/>
        </w:rPr>
        <w:t>incluyendo la versión pública del expediente respectivo y de los contratos</w:t>
      </w:r>
      <w:r w:rsidRPr="00F45679">
        <w:rPr>
          <w:rFonts w:ascii="Palatino Linotype" w:eastAsia="Palatino Linotype" w:hAnsi="Palatino Linotype" w:cs="Palatino Linotype"/>
          <w:i/>
          <w:iCs/>
        </w:rPr>
        <w:t> celebrados, que deberán contener, por los menos, lo siguiente:</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lastRenderedPageBreak/>
        <w:t>a) </w:t>
      </w:r>
      <w:r w:rsidRPr="00F45679">
        <w:rPr>
          <w:rFonts w:ascii="Palatino Linotype" w:eastAsia="Palatino Linotype" w:hAnsi="Palatino Linotype" w:cs="Palatino Linotype"/>
          <w:i/>
          <w:iCs/>
        </w:rPr>
        <w:t>De licitaciones públicas o procedimientos de invitación restringida: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w:t>
      </w:r>
      <w:r w:rsidRPr="00F45679">
        <w:rPr>
          <w:rFonts w:ascii="Palatino Linotype" w:eastAsia="Palatino Linotype" w:hAnsi="Palatino Linotype" w:cs="Palatino Linotype"/>
          <w:i/>
          <w:iCs/>
        </w:rPr>
        <w:t> La convocatoria o invitación emitida, así como los fundamentos legales aplicados para llevarla a cabo;</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2) </w:t>
      </w:r>
      <w:r w:rsidRPr="00F45679">
        <w:rPr>
          <w:rFonts w:ascii="Palatino Linotype" w:eastAsia="Palatino Linotype" w:hAnsi="Palatino Linotype" w:cs="Palatino Linotype"/>
          <w:i/>
          <w:iCs/>
        </w:rPr>
        <w:t>Los nombres de los participantes o invitados;</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3)</w:t>
      </w:r>
      <w:r w:rsidRPr="00F45679">
        <w:rPr>
          <w:rFonts w:ascii="Palatino Linotype" w:eastAsia="Palatino Linotype" w:hAnsi="Palatino Linotype" w:cs="Palatino Linotype"/>
          <w:i/>
          <w:iCs/>
        </w:rPr>
        <w:t> El nombre del ganador y las razones que lo justifican;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4) </w:t>
      </w:r>
      <w:r w:rsidRPr="00F45679">
        <w:rPr>
          <w:rFonts w:ascii="Palatino Linotype" w:eastAsia="Palatino Linotype" w:hAnsi="Palatino Linotype" w:cs="Palatino Linotype"/>
          <w:i/>
          <w:iCs/>
        </w:rPr>
        <w:t>El área solicitante y la responsable de su ejecución;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5) </w:t>
      </w:r>
      <w:r w:rsidRPr="00F45679">
        <w:rPr>
          <w:rFonts w:ascii="Palatino Linotype" w:eastAsia="Palatino Linotype" w:hAnsi="Palatino Linotype" w:cs="Palatino Linotype"/>
          <w:i/>
          <w:iCs/>
        </w:rPr>
        <w:t>Las convocatorias e invitaciones emitidas;</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6) Los dictámenes y fallo de adjudicación;</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u w:val="single"/>
        </w:rPr>
        <w:t>7) El contrato y, en su caso, sus anexos</w:t>
      </w:r>
      <w:r w:rsidRPr="00F45679">
        <w:rPr>
          <w:rFonts w:ascii="Palatino Linotype" w:eastAsia="Palatino Linotype" w:hAnsi="Palatino Linotype" w:cs="Palatino Linotype"/>
          <w:i/>
          <w:iCs/>
        </w:rPr>
        <w:t>;</w:t>
      </w:r>
    </w:p>
    <w:p w:rsidR="008E1546" w:rsidRPr="00F45679" w:rsidRDefault="00BA2679">
      <w:pPr>
        <w:spacing w:line="360" w:lineRule="auto"/>
        <w:ind w:left="851" w:right="82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8) Los mecanismos de vigilancia y supervisión, incluyendo en su caso, los estudios de impacto urbano y ambiental, según corresponda;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9) </w:t>
      </w:r>
      <w:r w:rsidRPr="00F45679">
        <w:rPr>
          <w:rFonts w:ascii="Palatino Linotype" w:eastAsia="Palatino Linotype" w:hAnsi="Palatino Linotype" w:cs="Palatino Linotype"/>
          <w:i/>
          <w:iCs/>
        </w:rPr>
        <w:t>La partida presupuestal, de conformidad con el clasificador por objeto del gasto, en el caso de ser aplicable;</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11) </w:t>
      </w:r>
      <w:r w:rsidRPr="00F45679">
        <w:rPr>
          <w:rFonts w:ascii="Palatino Linotype" w:eastAsia="Palatino Linotype" w:hAnsi="Palatino Linotype" w:cs="Palatino Linotype"/>
          <w:i/>
          <w:iCs/>
        </w:rPr>
        <w:t>Los convenios modificatorios que, en su caso, sean firmados, precisando el objeto y la fecha de celebración;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12) </w:t>
      </w:r>
      <w:r w:rsidRPr="00F45679">
        <w:rPr>
          <w:rFonts w:ascii="Palatino Linotype" w:eastAsia="Palatino Linotype" w:hAnsi="Palatino Linotype" w:cs="Palatino Linotype"/>
          <w:i/>
          <w:iCs/>
        </w:rPr>
        <w:t>Los informes de avance físico y financiero sobre las obras o servicios contratados;</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13) </w:t>
      </w:r>
      <w:r w:rsidRPr="00F45679">
        <w:rPr>
          <w:rFonts w:ascii="Palatino Linotype" w:eastAsia="Palatino Linotype" w:hAnsi="Palatino Linotype" w:cs="Palatino Linotype"/>
          <w:i/>
          <w:iCs/>
        </w:rPr>
        <w:t>El convenio de terminación; y</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14) </w:t>
      </w:r>
      <w:r w:rsidRPr="00F45679">
        <w:rPr>
          <w:rFonts w:ascii="Palatino Linotype" w:eastAsia="Palatino Linotype" w:hAnsi="Palatino Linotype" w:cs="Palatino Linotype"/>
          <w:i/>
          <w:iCs/>
        </w:rPr>
        <w:t>El finiquito.</w:t>
      </w:r>
    </w:p>
    <w:p w:rsidR="008E1546" w:rsidRPr="00F45679" w:rsidRDefault="00BA2679">
      <w:pPr>
        <w:spacing w:line="360" w:lineRule="auto"/>
        <w:ind w:left="851" w:right="822"/>
        <w:jc w:val="both"/>
        <w:rPr>
          <w:rFonts w:ascii="Palatino Linotype" w:eastAsia="Palatino Linotype" w:hAnsi="Palatino Linotype" w:cs="Palatino Linotype"/>
          <w:b/>
          <w:bCs/>
        </w:rPr>
      </w:pPr>
      <w:r w:rsidRPr="00F45679">
        <w:rPr>
          <w:rFonts w:ascii="Palatino Linotype" w:eastAsia="Palatino Linotype" w:hAnsi="Palatino Linotype" w:cs="Palatino Linotype"/>
          <w:b/>
          <w:bCs/>
          <w:i/>
          <w:iCs/>
        </w:rPr>
        <w:t>b) De las adjudicaciones directas:</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 </w:t>
      </w:r>
      <w:r w:rsidRPr="00F45679">
        <w:rPr>
          <w:rFonts w:ascii="Palatino Linotype" w:eastAsia="Palatino Linotype" w:hAnsi="Palatino Linotype" w:cs="Palatino Linotype"/>
          <w:i/>
          <w:iCs/>
        </w:rPr>
        <w:t>La propuesta enviada por el participante;</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2) </w:t>
      </w:r>
      <w:r w:rsidRPr="00F45679">
        <w:rPr>
          <w:rFonts w:ascii="Palatino Linotype" w:eastAsia="Palatino Linotype" w:hAnsi="Palatino Linotype" w:cs="Palatino Linotype"/>
          <w:i/>
          <w:iCs/>
        </w:rPr>
        <w:t>Los motivos y fundamentos legales aplicados para llevarla a cabo;</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lastRenderedPageBreak/>
        <w:t>3) </w:t>
      </w:r>
      <w:r w:rsidRPr="00F45679">
        <w:rPr>
          <w:rFonts w:ascii="Palatino Linotype" w:eastAsia="Palatino Linotype" w:hAnsi="Palatino Linotype" w:cs="Palatino Linotype"/>
          <w:i/>
          <w:iCs/>
        </w:rPr>
        <w:t>La autorización del ejercicio de la opción;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i/>
          <w:iCs/>
        </w:rPr>
        <w:t>4) En su caso, las cotizaciones consideradas, especificando los nombres de los proveedores y sus montos;</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5) </w:t>
      </w:r>
      <w:r w:rsidRPr="00F45679">
        <w:rPr>
          <w:rFonts w:ascii="Palatino Linotype" w:eastAsia="Palatino Linotype" w:hAnsi="Palatino Linotype" w:cs="Palatino Linotype"/>
          <w:i/>
          <w:iCs/>
        </w:rPr>
        <w:t>El nombre de la persona física o jurídica colectiva adjudicada;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6) </w:t>
      </w:r>
      <w:r w:rsidRPr="00F45679">
        <w:rPr>
          <w:rFonts w:ascii="Palatino Linotype" w:eastAsia="Palatino Linotype" w:hAnsi="Palatino Linotype" w:cs="Palatino Linotype"/>
          <w:i/>
          <w:iCs/>
        </w:rPr>
        <w:t>La unidad administrativa solicitante y la responsable de su ejecución;</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7)</w:t>
      </w:r>
      <w:r w:rsidRPr="00F45679">
        <w:rPr>
          <w:rFonts w:ascii="Palatino Linotype" w:eastAsia="Palatino Linotype" w:hAnsi="Palatino Linotype" w:cs="Palatino Linotype"/>
          <w:i/>
          <w:iCs/>
        </w:rPr>
        <w:t> El número, fecha, el monto del contrato y el plazo de entrega o de ejecución de los servicios u obra;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8) </w:t>
      </w:r>
      <w:r w:rsidRPr="00F45679">
        <w:rPr>
          <w:rFonts w:ascii="Palatino Linotype" w:eastAsia="Palatino Linotype" w:hAnsi="Palatino Linotype" w:cs="Palatino Linotype"/>
          <w:i/>
          <w:iCs/>
        </w:rPr>
        <w:t>Los mecanismos de vigilancia y supervisión, incluyendo, en su caso, los estudios de impacto urbano y ambiental, según corresponda;</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9) </w:t>
      </w:r>
      <w:r w:rsidRPr="00F45679">
        <w:rPr>
          <w:rFonts w:ascii="Palatino Linotype" w:eastAsia="Palatino Linotype" w:hAnsi="Palatino Linotype" w:cs="Palatino Linotype"/>
          <w:i/>
          <w:iCs/>
        </w:rPr>
        <w:t>Los informes de avance sobre las obras o servicios contratados;</w:t>
      </w:r>
    </w:p>
    <w:p w:rsidR="008E1546" w:rsidRPr="00F45679" w:rsidRDefault="00BA2679">
      <w:pPr>
        <w:spacing w:line="360" w:lineRule="auto"/>
        <w:ind w:left="851" w:right="822"/>
        <w:jc w:val="both"/>
        <w:rPr>
          <w:rFonts w:ascii="Palatino Linotype" w:eastAsia="Palatino Linotype" w:hAnsi="Palatino Linotype" w:cs="Palatino Linotype"/>
        </w:rPr>
      </w:pPr>
      <w:r w:rsidRPr="00F45679">
        <w:rPr>
          <w:rFonts w:ascii="Palatino Linotype" w:eastAsia="Palatino Linotype" w:hAnsi="Palatino Linotype" w:cs="Palatino Linotype"/>
          <w:b/>
          <w:bCs/>
          <w:i/>
          <w:iCs/>
        </w:rPr>
        <w:t>10) </w:t>
      </w:r>
      <w:r w:rsidRPr="00F45679">
        <w:rPr>
          <w:rFonts w:ascii="Palatino Linotype" w:eastAsia="Palatino Linotype" w:hAnsi="Palatino Linotype" w:cs="Palatino Linotype"/>
          <w:i/>
          <w:iCs/>
        </w:rPr>
        <w:t>El convenio de terminación; y</w:t>
      </w:r>
    </w:p>
    <w:p w:rsidR="008E1546" w:rsidRPr="00F45679" w:rsidRDefault="00BA2679">
      <w:pPr>
        <w:spacing w:line="360" w:lineRule="auto"/>
        <w:ind w:left="851" w:right="822"/>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11) </w:t>
      </w:r>
      <w:r w:rsidRPr="00F45679">
        <w:rPr>
          <w:rFonts w:ascii="Palatino Linotype" w:eastAsia="Palatino Linotype" w:hAnsi="Palatino Linotype" w:cs="Palatino Linotype"/>
          <w:i/>
          <w:iCs/>
        </w:rPr>
        <w:t>El finiquito.</w:t>
      </w:r>
      <w:r w:rsidRPr="00F45679">
        <w:rPr>
          <w:rFonts w:ascii="Palatino Linotype" w:eastAsia="Palatino Linotype" w:hAnsi="Palatino Linotype" w:cs="Palatino Linotype"/>
          <w:b/>
          <w:bCs/>
          <w:i/>
          <w:iCs/>
        </w:rPr>
        <w:t>”</w:t>
      </w:r>
    </w:p>
    <w:p w:rsidR="008E1546" w:rsidRPr="00F45679" w:rsidRDefault="008E1546">
      <w:pPr>
        <w:spacing w:line="360" w:lineRule="auto"/>
        <w:ind w:left="851" w:right="850"/>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En consecuencia, se determina que ciertamente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Atento a lo anterior, se localizó la siguiente Convocatoria a una licitación pública, emitida por el Comité de Adquisiciones y Servicios del Ayuntamiento de Texcoco de fecha diecinueve de enero de dos mil veintidós, para el arrendamiento de parquímetros y equipo </w:t>
      </w:r>
      <w:r w:rsidRPr="00F45679">
        <w:rPr>
          <w:rFonts w:ascii="Palatino Linotype" w:eastAsia="Palatino Linotype" w:hAnsi="Palatino Linotype" w:cs="Palatino Linotype"/>
          <w:color w:val="000000"/>
        </w:rPr>
        <w:lastRenderedPageBreak/>
        <w:t>complementario destinados a la prestación del servicio de estacionamiento en la vía pública, instalación, puesta en marcha, operación, mantenimiento y administración de parquímetros:</w:t>
      </w:r>
    </w:p>
    <w:p w:rsidR="008E1546" w:rsidRPr="00F45679" w:rsidRDefault="00BA2679">
      <w:pPr>
        <w:rPr>
          <w:rFonts w:ascii="Palatino Linotype" w:eastAsia="Palatino Linotype" w:hAnsi="Palatino Linotype" w:cs="Palatino Linotype"/>
          <w:color w:val="000000"/>
        </w:rPr>
      </w:pPr>
      <w:r w:rsidRPr="00F45679">
        <w:rPr>
          <w:rFonts w:ascii="Palatino Linotype" w:eastAsia="Palatino Linotype" w:hAnsi="Palatino Linotype" w:cs="Palatino Linotype"/>
          <w:noProof/>
          <w:color w:val="000000"/>
          <w:lang w:val="es-MX"/>
        </w:rPr>
        <w:drawing>
          <wp:inline distT="0" distB="0" distL="0" distR="0">
            <wp:extent cx="5581015" cy="360870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81015" cy="3608705"/>
                    </a:xfrm>
                    <a:prstGeom prst="rect">
                      <a:avLst/>
                    </a:prstGeom>
                    <a:ln/>
                  </pic:spPr>
                </pic:pic>
              </a:graphicData>
            </a:graphic>
          </wp:inline>
        </w:drawing>
      </w:r>
    </w:p>
    <w:p w:rsidR="008E1546" w:rsidRPr="00F45679" w:rsidRDefault="00BA2679">
      <w:pPr>
        <w:jc w:val="center"/>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Luego entonces,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desde la convocatoria hasta el fallo de </w:t>
      </w:r>
      <w:r w:rsidRPr="00F45679">
        <w:rPr>
          <w:rFonts w:ascii="Palatino Linotype" w:eastAsia="Palatino Linotype" w:hAnsi="Palatino Linotype" w:cs="Palatino Linotype"/>
          <w:color w:val="000000"/>
        </w:rPr>
        <w:lastRenderedPageBreak/>
        <w:t>adjudicación, contratos y demás información, conforme a lo dispuesto en la normatividad en la materia.</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Ahora bien, si el contrato celebrado se encuentra inmerso en un procedimiento Contencioso Administrativo, darse a conocer no entorpece las actividades de fiscalización, verificación, inspección, comprobación y auditoría sobre el cumplimiento de las Leyes, como establece 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en su informe justificado, pues se trata de un </w:t>
      </w:r>
      <w:r w:rsidRPr="00F45679">
        <w:rPr>
          <w:rFonts w:ascii="Palatino Linotype" w:eastAsia="Palatino Linotype" w:hAnsi="Palatino Linotype" w:cs="Palatino Linotype"/>
          <w:b/>
          <w:bCs/>
          <w:color w:val="000000"/>
        </w:rPr>
        <w:t>documento definitivo</w:t>
      </w:r>
      <w:r w:rsidRPr="00F45679">
        <w:rPr>
          <w:rFonts w:ascii="Palatino Linotype" w:eastAsia="Palatino Linotype" w:hAnsi="Palatino Linotype" w:cs="Palatino Linotype"/>
          <w:color w:val="000000"/>
        </w:rPr>
        <w:t xml:space="preserve"> tan es así que ya ha sido objeto de impugnación y por ello se encuentra inmerso en un procedimiento contencioso administrativo: lo que además resulta discordante con la respuesta inicial en donde se adujo que se encontraba en revisión. Por tanto, al no poder dudar este Órgano Garante de la veracidad de las respuestas emitidas por los sujetos obligados es que se ve constreñido a dar observancia al segundo pronunciamiento.</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Por lo que en relatadas circunstancias se concluye que el documento solicitado se ha celebrado y no se encuentra en revisión, tan es así que ha sido objeto de algún tipo de impugnación; no obstante al corresponder a un documento definitivo no actualiza una causal de reserva; sumado a que corresponde a información  que es de interés publico dada su propia y especial naturaleza; en virtud que permite a la ciudadanía vigilar cómo se usan los recursos públicos, cómo se toman las decisiones y si la autoridad actúa conforme a la ley, pues corresponde a una acción de gobierno que impacta a los automovilistas de dicho Municipio como lo establece la propia exposición de motivos del </w:t>
      </w:r>
      <w:r w:rsidRPr="00F45679">
        <w:rPr>
          <w:rFonts w:ascii="Palatino Linotype" w:eastAsia="Palatino Linotype" w:hAnsi="Palatino Linotype" w:cs="Palatino Linotype"/>
          <w:b/>
          <w:bCs/>
        </w:rPr>
        <w:t>Reglamento de Parquímetros para el uso de cajones de estacionamiento en la vía pública de la Ciudad de Texcoco</w:t>
      </w:r>
      <w:r w:rsidRPr="00F45679">
        <w:rPr>
          <w:rFonts w:ascii="Palatino Linotype" w:eastAsia="Palatino Linotype" w:hAnsi="Palatino Linotype" w:cs="Palatino Linotype"/>
          <w:color w:val="000000"/>
        </w:rPr>
        <w:t>, en su siguiente parte expositiva: “</w:t>
      </w:r>
      <w:r w:rsidRPr="00F45679">
        <w:rPr>
          <w:rFonts w:ascii="Palatino Linotype" w:eastAsia="Palatino Linotype" w:hAnsi="Palatino Linotype" w:cs="Palatino Linotype"/>
          <w:i/>
          <w:iCs/>
          <w:color w:val="000000"/>
        </w:rPr>
        <w:t xml:space="preserve">…es necesario e imperante reglamentar el </w:t>
      </w:r>
      <w:r w:rsidRPr="00F45679">
        <w:rPr>
          <w:rFonts w:ascii="Palatino Linotype" w:eastAsia="Palatino Linotype" w:hAnsi="Palatino Linotype" w:cs="Palatino Linotype"/>
          <w:i/>
          <w:iCs/>
          <w:color w:val="000000"/>
        </w:rPr>
        <w:lastRenderedPageBreak/>
        <w:t>estacionamiento medido en las vías locales de la Ciudad de Texcoco, que obligue a los conductores de vehículos automotores, a que utilicen dichas vías como estacionamiento para permanecer única y exclusivamente el tiempo necesario para atender los asuntos que tengan que tratar en la Ciudad, de igual forma que con la instalación de parquímetros se permitirá mejorar la fluidez vehicular y la imagen urbana en las calles y avenidas de la Ciudad de Texcoco, haciéndose un uso rotativo de los espacios en vías locales, destinados al estacionamiento y garantizando a todos los conductores de vehículos la posibilidad de encontrar un espacio para estacionarse; todo ello en beneficio de la colectividad y en concordancia con el programa de Reordenamiento de la Ciudad de Texcoco, así como para el cuidado del medio ambiente.</w:t>
      </w:r>
      <w:r w:rsidRPr="00F45679">
        <w:rPr>
          <w:rFonts w:ascii="Palatino Linotype" w:eastAsia="Palatino Linotype" w:hAnsi="Palatino Linotype" w:cs="Palatino Linotype"/>
          <w:color w:val="000000"/>
        </w:rPr>
        <w:t xml:space="preserve">”. Por tanto se concluye como procedente su entrega, no pasando desapercibido que el propio contrato contiene las condiciones (rubro requerido); pues evidentemente en el mismo se asientan las reglas o acuerdos a los que se han de someter las partes, resultando innecesario ordenar un documento diverso pues el propio contrato colma las condiciones requeridas del mismo. </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Respecto del uso y destino de los montos recaudados por el uso de parquímetros, es </w:t>
      </w:r>
      <w:r w:rsidRPr="00F45679">
        <w:rPr>
          <w:rFonts w:ascii="Palatino Linotype" w:eastAsia="Palatino Linotype" w:hAnsi="Palatino Linotype" w:cs="Palatino Linotype"/>
          <w:color w:val="000000"/>
        </w:rPr>
        <w:t>necesario</w:t>
      </w:r>
      <w:r w:rsidRPr="00F45679">
        <w:rPr>
          <w:rFonts w:ascii="Palatino Linotype" w:eastAsia="Palatino Linotype" w:hAnsi="Palatino Linotype" w:cs="Palatino Linotype"/>
        </w:rPr>
        <w:t xml:space="preserve"> traer a contexto la Ley de Transparencia y Acceso a la Información Pública del Estado de México y Municipios, la cual prevé en su artículo 23, al caso concreto lo siguiente:</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r w:rsidRPr="00F45679">
        <w:rPr>
          <w:rFonts w:ascii="Palatino Linotype" w:eastAsia="Palatino Linotype" w:hAnsi="Palatino Linotype" w:cs="Palatino Linotype"/>
          <w:b/>
          <w:bCs/>
          <w:i/>
          <w:iCs/>
        </w:rPr>
        <w:t>Artículo 23. Son sujetos obligados a transparentar y permitir el acceso a su información y proteger los datos personales que obren en su poder</w:t>
      </w:r>
      <w:r w:rsidRPr="00F45679">
        <w:rPr>
          <w:rFonts w:ascii="Palatino Linotype" w:eastAsia="Palatino Linotype" w:hAnsi="Palatino Linotype" w:cs="Palatino Linotype"/>
          <w:i/>
          <w:iCs/>
        </w:rPr>
        <w:t>:</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IV. Los ayuntamientos y las dependencias, organismos, órganos y entidades de la administración municipal;</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lastRenderedPageBreak/>
        <w:t>XI.</w:t>
      </w:r>
      <w:r w:rsidRPr="00F45679">
        <w:rPr>
          <w:rFonts w:ascii="Palatino Linotype" w:eastAsia="Palatino Linotype" w:hAnsi="Palatino Linotype" w:cs="Palatino Linotype"/>
          <w:i/>
          <w:iCs/>
        </w:rPr>
        <w:t xml:space="preserve"> Cualquier otra autoridad, entidad, órgano u organismo de los poderes estatal o municipal, que reciba recursos públicos.</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Los sujetos obligados deberán hacer pública </w:t>
      </w:r>
      <w:r w:rsidRPr="00F45679">
        <w:rPr>
          <w:rFonts w:ascii="Palatino Linotype" w:eastAsia="Palatino Linotype" w:hAnsi="Palatino Linotype" w:cs="Palatino Linotype"/>
          <w:b/>
          <w:bCs/>
          <w:i/>
          <w:iCs/>
          <w:u w:val="single"/>
        </w:rPr>
        <w:t>toda aquella información relativa a los montos</w:t>
      </w:r>
      <w:r w:rsidRPr="00F45679">
        <w:rPr>
          <w:rFonts w:ascii="Palatino Linotype" w:eastAsia="Palatino Linotype" w:hAnsi="Palatino Linotype" w:cs="Palatino Linotype"/>
          <w:i/>
          <w:iCs/>
        </w:rPr>
        <w:t xml:space="preserve"> y las personas a quienes entreguen, por cualquier motivo, recursos públicos, así como los informes que dichas personas les entreguen sobre el uso y destino de dichos recursos.</w:t>
      </w:r>
    </w:p>
    <w:p w:rsidR="008E1546" w:rsidRPr="00F45679" w:rsidRDefault="00BA2679">
      <w:pPr>
        <w:tabs>
          <w:tab w:val="left" w:pos="7655"/>
        </w:tabs>
        <w:spacing w:line="276" w:lineRule="auto"/>
        <w:ind w:left="567" w:right="616"/>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Los servidores públicos deberán transparentar sus acciones, así como garantizar y respetar el derecho de acceso a la información pública</w:t>
      </w:r>
      <w:r w:rsidRPr="00F45679">
        <w:rPr>
          <w:rFonts w:ascii="Palatino Linotype" w:eastAsia="Palatino Linotype" w:hAnsi="Palatino Linotype" w:cs="Palatino Linotype"/>
          <w:i/>
          <w:iCs/>
        </w:rPr>
        <w:t>.”</w:t>
      </w:r>
    </w:p>
    <w:p w:rsidR="008E1546" w:rsidRPr="00F45679" w:rsidRDefault="008E1546">
      <w:pPr>
        <w:tabs>
          <w:tab w:val="left" w:pos="7655"/>
        </w:tabs>
        <w:spacing w:line="276" w:lineRule="auto"/>
        <w:ind w:left="567" w:right="616"/>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8E1546" w:rsidRPr="00F45679" w:rsidRDefault="008E154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8E1546" w:rsidRPr="00F45679" w:rsidRDefault="00BA2679">
      <w:pPr>
        <w:spacing w:line="360" w:lineRule="auto"/>
        <w:ind w:left="567" w:right="567"/>
        <w:jc w:val="both"/>
        <w:rPr>
          <w:rFonts w:ascii="Palatino Linotype" w:eastAsia="Palatino Linotype" w:hAnsi="Palatino Linotype" w:cs="Palatino Linotype"/>
          <w:b/>
          <w:bCs/>
          <w:i/>
          <w:iCs/>
        </w:rPr>
      </w:pPr>
      <w:r w:rsidRPr="00F45679">
        <w:rPr>
          <w:rFonts w:ascii="Palatino Linotype" w:eastAsia="Palatino Linotype" w:hAnsi="Palatino Linotype" w:cs="Palatino Linotype"/>
          <w:i/>
          <w:iCs/>
          <w:color w:val="000000"/>
        </w:rPr>
        <w:t>“</w:t>
      </w:r>
      <w:r w:rsidRPr="00F45679">
        <w:rPr>
          <w:rFonts w:ascii="Palatino Linotype" w:eastAsia="Palatino Linotype" w:hAnsi="Palatino Linotype" w:cs="Palatino Linotype"/>
          <w:b/>
          <w:bCs/>
          <w:i/>
          <w:iCs/>
        </w:rPr>
        <w:t>Artículo 342.-</w:t>
      </w: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b/>
          <w:bCs/>
          <w:i/>
          <w:iCs/>
        </w:rPr>
        <w:t xml:space="preserve">El registro contable del efecto patrimonial y presupuestal de las operaciones financieras, se realizará conforme al sistema y a las disposiciones que se aprueben en materia </w:t>
      </w:r>
      <w:r w:rsidRPr="00F45679">
        <w:rPr>
          <w:rFonts w:ascii="Palatino Linotype" w:eastAsia="Palatino Linotype" w:hAnsi="Palatino Linotype" w:cs="Palatino Linotype"/>
          <w:i/>
          <w:iCs/>
        </w:rPr>
        <w:t xml:space="preserve">de </w:t>
      </w:r>
      <w:r w:rsidRPr="00F45679">
        <w:rPr>
          <w:rFonts w:ascii="Palatino Linotype" w:eastAsia="Palatino Linotype" w:hAnsi="Palatino Linotype" w:cs="Palatino Linotype"/>
          <w:i/>
          <w:iCs/>
          <w:color w:val="000000"/>
        </w:rPr>
        <w:t>planeación</w:t>
      </w:r>
      <w:r w:rsidRPr="00F45679">
        <w:rPr>
          <w:rFonts w:ascii="Palatino Linotype" w:eastAsia="Palatino Linotype" w:hAnsi="Palatino Linotype" w:cs="Palatino Linotype"/>
          <w:i/>
          <w:iCs/>
        </w:rPr>
        <w:t>,</w:t>
      </w:r>
      <w:r w:rsidRPr="00F45679">
        <w:rPr>
          <w:rFonts w:ascii="Palatino Linotype" w:eastAsia="Palatino Linotype" w:hAnsi="Palatino Linotype" w:cs="Palatino Linotype"/>
          <w:b/>
          <w:bCs/>
          <w:i/>
          <w:iCs/>
        </w:rPr>
        <w:t xml:space="preserve"> programación, presupuestación</w:t>
      </w:r>
      <w:r w:rsidRPr="00F45679">
        <w:rPr>
          <w:rFonts w:ascii="Palatino Linotype" w:eastAsia="Palatino Linotype" w:hAnsi="Palatino Linotype" w:cs="Palatino Linotype"/>
          <w:i/>
          <w:iCs/>
        </w:rPr>
        <w:t xml:space="preserve">, evaluación y </w:t>
      </w:r>
      <w:r w:rsidRPr="00F45679">
        <w:rPr>
          <w:rFonts w:ascii="Palatino Linotype" w:eastAsia="Palatino Linotype" w:hAnsi="Palatino Linotype" w:cs="Palatino Linotype"/>
          <w:b/>
          <w:bCs/>
          <w:i/>
          <w:iCs/>
          <w:color w:val="000000"/>
        </w:rPr>
        <w:t>contabilidad</w:t>
      </w:r>
      <w:r w:rsidRPr="00F45679">
        <w:rPr>
          <w:rFonts w:ascii="Palatino Linotype" w:eastAsia="Palatino Linotype" w:hAnsi="Palatino Linotype" w:cs="Palatino Linotype"/>
          <w:b/>
          <w:bCs/>
          <w:i/>
          <w:iCs/>
        </w:rPr>
        <w:t xml:space="preserve"> gubernamental.</w:t>
      </w:r>
      <w:r w:rsidRPr="00F45679">
        <w:rPr>
          <w:rFonts w:ascii="Palatino Linotype" w:eastAsia="Palatino Linotype" w:hAnsi="Palatino Linotype" w:cs="Palatino Linotype"/>
          <w:i/>
          <w:iCs/>
        </w:rPr>
        <w:t xml:space="preserve"> </w:t>
      </w:r>
    </w:p>
    <w:p w:rsidR="008E1546" w:rsidRPr="00F45679" w:rsidRDefault="00BA2679">
      <w:pPr>
        <w:spacing w:line="360" w:lineRule="auto"/>
        <w:ind w:left="567" w:right="567"/>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b/>
          <w:bCs/>
          <w:i/>
          <w:iCs/>
          <w:color w:val="000000"/>
        </w:rPr>
        <w:t>…</w:t>
      </w:r>
    </w:p>
    <w:p w:rsidR="008E1546" w:rsidRPr="00F45679" w:rsidRDefault="008E1546">
      <w:pPr>
        <w:spacing w:line="360" w:lineRule="auto"/>
        <w:ind w:left="567" w:right="567"/>
        <w:jc w:val="both"/>
        <w:rPr>
          <w:rFonts w:ascii="Palatino Linotype" w:eastAsia="Palatino Linotype" w:hAnsi="Palatino Linotype" w:cs="Palatino Linotype"/>
          <w:b/>
          <w:bCs/>
          <w:i/>
          <w:iCs/>
        </w:rPr>
      </w:pP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lastRenderedPageBreak/>
        <w:t>Artículo 343.-</w:t>
      </w:r>
      <w:r w:rsidRPr="00F45679">
        <w:rPr>
          <w:rFonts w:ascii="Palatino Linotype" w:eastAsia="Palatino Linotype" w:hAnsi="Palatino Linotype" w:cs="Palatino Linotype"/>
          <w:i/>
          <w:iC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El sistema de contabilidad sobre base acumulativa total se sustentará en los postulados básicos y el marco conceptual de la contabilidad gubernamental. </w:t>
      </w:r>
    </w:p>
    <w:p w:rsidR="008E1546" w:rsidRPr="00F45679" w:rsidRDefault="008E1546">
      <w:pPr>
        <w:spacing w:line="360" w:lineRule="auto"/>
        <w:ind w:left="567" w:right="567"/>
        <w:jc w:val="both"/>
        <w:rPr>
          <w:rFonts w:ascii="Palatino Linotype" w:eastAsia="Palatino Linotype" w:hAnsi="Palatino Linotype" w:cs="Palatino Linotype"/>
          <w:i/>
          <w:iCs/>
        </w:rPr>
      </w:pP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45679">
        <w:rPr>
          <w:rFonts w:ascii="Palatino Linotype" w:eastAsia="Palatino Linotype" w:hAnsi="Palatino Linotype" w:cs="Palatino Linotype"/>
          <w:i/>
          <w:iCs/>
        </w:rPr>
        <w:t xml:space="preserve">en el caso de los Municipios se hará por la Tesorería. </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Derogado. </w:t>
      </w:r>
    </w:p>
    <w:p w:rsidR="008E1546" w:rsidRPr="00F45679" w:rsidRDefault="008E1546">
      <w:pPr>
        <w:spacing w:line="360" w:lineRule="auto"/>
        <w:ind w:left="567" w:right="567"/>
        <w:jc w:val="both"/>
        <w:rPr>
          <w:rFonts w:ascii="Palatino Linotype" w:eastAsia="Palatino Linotype" w:hAnsi="Palatino Linotype" w:cs="Palatino Linotype"/>
          <w:i/>
          <w:iCs/>
        </w:rPr>
      </w:pP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45679">
        <w:rPr>
          <w:rFonts w:ascii="Palatino Linotype" w:eastAsia="Palatino Linotype" w:hAnsi="Palatino Linotype" w:cs="Palatino Linotype"/>
          <w:i/>
          <w:iCs/>
        </w:rPr>
        <w:t xml:space="preserve"> a partir del ejercicio presupuestal siguiente al que corresponda, en el caso de los municipios se hará por la Tesorería. </w:t>
      </w: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8E1546">
      <w:pPr>
        <w:spacing w:line="360" w:lineRule="auto"/>
        <w:ind w:left="567" w:right="567"/>
        <w:jc w:val="both"/>
        <w:rPr>
          <w:rFonts w:ascii="Palatino Linotype" w:eastAsia="Palatino Linotype" w:hAnsi="Palatino Linotype" w:cs="Palatino Linotype"/>
          <w:i/>
          <w:iCs/>
        </w:rPr>
      </w:pPr>
    </w:p>
    <w:p w:rsidR="008E1546" w:rsidRPr="00F45679" w:rsidRDefault="00BA2679">
      <w:pPr>
        <w:spacing w:line="360" w:lineRule="auto"/>
        <w:ind w:left="567" w:right="567"/>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lastRenderedPageBreak/>
        <w:t>Artículo 345.-</w:t>
      </w: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b/>
          <w:bCs/>
          <w:i/>
          <w:iCs/>
        </w:rPr>
        <w:t>Las Dependencias, Entidades Públicas y unidades administrativas deberán conservar la documentación contable del año en curso y la de ejercicios anteriores cuyas cuentas públicas hayan sido revisadas y fiscalizadas por la Legislatura</w:t>
      </w:r>
      <w:r w:rsidRPr="00F45679">
        <w:rPr>
          <w:rFonts w:ascii="Palatino Linotype" w:eastAsia="Palatino Linotype" w:hAnsi="Palatino Linotype" w:cs="Palatino Linotype"/>
          <w:i/>
          <w:iCs/>
        </w:rPr>
        <w:t xml:space="preserve">, la remitirán en un plazo que no excederá de seis meses al Archivo Contable Gubernamental. Tratándose de los comprobantes fiscales digitales, estos deberán estar agregados en forma electrónica en cada póliza de registro contable. </w:t>
      </w:r>
    </w:p>
    <w:p w:rsidR="008E1546" w:rsidRPr="00F45679" w:rsidRDefault="00BA2679">
      <w:pPr>
        <w:spacing w:line="360" w:lineRule="auto"/>
        <w:ind w:left="567"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rPr>
        <w:t>El plazo señalado en el párrafo anterior, empezará a contar a partir de la publicación en el Periódico Oficial, del decreto correspondiente.</w:t>
      </w:r>
      <w:r w:rsidRPr="00F45679">
        <w:rPr>
          <w:rFonts w:ascii="Palatino Linotype" w:eastAsia="Palatino Linotype" w:hAnsi="Palatino Linotype" w:cs="Palatino Linotype"/>
          <w:i/>
          <w:iCs/>
          <w:color w:val="000000"/>
        </w:rPr>
        <w:t xml:space="preserve"> “</w:t>
      </w:r>
    </w:p>
    <w:p w:rsidR="008E1546" w:rsidRPr="00F45679" w:rsidRDefault="00BA2679">
      <w:pPr>
        <w:spacing w:line="360" w:lineRule="auto"/>
        <w:ind w:left="567" w:right="567"/>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(Énfasis añadido)</w:t>
      </w:r>
    </w:p>
    <w:p w:rsidR="008E1546" w:rsidRPr="00F45679" w:rsidRDefault="008E1546">
      <w:pPr>
        <w:spacing w:line="360" w:lineRule="auto"/>
        <w:ind w:left="567" w:right="567"/>
        <w:jc w:val="right"/>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rPr>
        <w:t>De una interpretación sistemática de los artículos transcritos, se desprende primeramente que el</w:t>
      </w:r>
      <w:r w:rsidRPr="00F45679">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8E1546" w:rsidRPr="00F45679" w:rsidRDefault="008E154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Luego entonces el uso y destino de los montos recaudados por los ayuntamientos se refiere a cómo y en qué aplican los municipios los recursos públicos que obtienen, y es un aspecto central de la transparencia, la rendición de cuentas; la cual, que de acuerdo al propio </w:t>
      </w:r>
      <w:r w:rsidRPr="00F45679">
        <w:rPr>
          <w:rFonts w:ascii="Palatino Linotype" w:eastAsia="Palatino Linotype" w:hAnsi="Palatino Linotype" w:cs="Palatino Linotype"/>
          <w:b/>
          <w:bCs/>
        </w:rPr>
        <w:t>Reglamento de Parquímetros para el uso de cajones de estacionamiento en la vía pública de la Ciudad de Texcoco,</w:t>
      </w:r>
      <w:r w:rsidRPr="00F45679">
        <w:rPr>
          <w:rFonts w:ascii="Palatino Linotype" w:eastAsia="Palatino Linotype" w:hAnsi="Palatino Linotype" w:cs="Palatino Linotype"/>
        </w:rPr>
        <w:t xml:space="preserve"> </w:t>
      </w:r>
      <w:r w:rsidRPr="00F45679">
        <w:rPr>
          <w:rFonts w:ascii="Palatino Linotype" w:eastAsia="Palatino Linotype" w:hAnsi="Palatino Linotype" w:cs="Palatino Linotype"/>
          <w:b/>
          <w:u w:val="single"/>
        </w:rPr>
        <w:t>se colige</w:t>
      </w:r>
      <w:r w:rsidRPr="00F45679">
        <w:rPr>
          <w:rFonts w:ascii="Palatino Linotype" w:eastAsia="Palatino Linotype" w:hAnsi="Palatino Linotype" w:cs="Palatino Linotype"/>
        </w:rPr>
        <w:t xml:space="preserve"> </w:t>
      </w:r>
      <w:r w:rsidR="00BA19C0" w:rsidRPr="00F45679">
        <w:rPr>
          <w:rFonts w:ascii="Palatino Linotype" w:eastAsia="Palatino Linotype" w:hAnsi="Palatino Linotype" w:cs="Palatino Linotype"/>
        </w:rPr>
        <w:t>está</w:t>
      </w:r>
      <w:r w:rsidRPr="00F45679">
        <w:rPr>
          <w:rFonts w:ascii="Palatino Linotype" w:eastAsia="Palatino Linotype" w:hAnsi="Palatino Linotype" w:cs="Palatino Linotype"/>
        </w:rPr>
        <w:t xml:space="preserve"> destinado a mejorar la fluidez y la imagen urbana en las calles y avenidas de la Ciudad de Texcoco, por tanto es procedente ordenar una búsqueda </w:t>
      </w:r>
      <w:r w:rsidRPr="00F45679">
        <w:rPr>
          <w:rFonts w:ascii="Palatino Linotype" w:eastAsia="Palatino Linotype" w:hAnsi="Palatino Linotype" w:cs="Palatino Linotype"/>
        </w:rPr>
        <w:lastRenderedPageBreak/>
        <w:t xml:space="preserve">exhaustiva y razonable del soporte documental en que conste o se advierta los ingresos generados y su destino o uso. </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BA19C0" w:rsidRPr="00F45679" w:rsidRDefault="00BA19C0" w:rsidP="00BA19C0">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No pasando desapercibido que como se señaló: si bien se colige dichos recursos pueden ir destinados a lo que señala el Reglamento de Parquímetros para el uso de cajones de estacionamiento en la vía pública de la Ciudad de Texcoco, en su exposición de motivos; también lo es que no se advierte una fuente obligacional dentro del marco normativo del Ayuntamiento de la que se desprenda que deba generar, poseer o administrar un soporte documental especifico en que conste con puntualidad el uso y destino de lo </w:t>
      </w:r>
      <w:r w:rsidRPr="00F45679">
        <w:rPr>
          <w:rFonts w:ascii="Palatino Linotype" w:eastAsia="Palatino Linotype" w:hAnsi="Palatino Linotype" w:cs="Palatino Linotype"/>
        </w:rPr>
        <w:t>recaudado</w:t>
      </w:r>
      <w:r w:rsidRPr="00F45679">
        <w:rPr>
          <w:rFonts w:ascii="Palatino Linotype" w:eastAsia="Palatino Linotype" w:hAnsi="Palatino Linotype" w:cs="Palatino Linotype"/>
          <w:color w:val="000000"/>
        </w:rPr>
        <w:t xml:space="preserve"> por operación de los parquímetros; pues existe la posibilidad que el monto recaudado tenga como destino una cuenta general. En ese sentido si bien, es posible obtener informes de dicho tipo de cuentas informes de lo gastado y gestionado del dinero público ingresado, eventualmente no de manera específica del monto recaudado por los parquímetros.</w:t>
      </w:r>
    </w:p>
    <w:p w:rsidR="00BA19C0" w:rsidRPr="00F45679" w:rsidRDefault="00BA19C0" w:rsidP="00BA19C0">
      <w:pPr>
        <w:pStyle w:val="Prrafodelista"/>
        <w:rPr>
          <w:rFonts w:ascii="Palatino Linotype" w:eastAsia="Palatino Linotype" w:hAnsi="Palatino Linotype" w:cs="Palatino Linotype"/>
          <w:color w:val="000000"/>
        </w:rPr>
      </w:pPr>
    </w:p>
    <w:p w:rsidR="00BA19C0" w:rsidRPr="00F45679" w:rsidRDefault="00BA19C0" w:rsidP="00BA19C0">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En relatadas circunstancias, para el caso de que el </w:t>
      </w:r>
      <w:r w:rsidRPr="00F45679">
        <w:rPr>
          <w:rFonts w:ascii="Palatino Linotype" w:eastAsia="Palatino Linotype" w:hAnsi="Palatino Linotype" w:cs="Palatino Linotype"/>
          <w:b/>
          <w:color w:val="000000"/>
        </w:rPr>
        <w:t>SUJETO OBLIGADO</w:t>
      </w:r>
      <w:r w:rsidRPr="00F45679">
        <w:rPr>
          <w:rFonts w:ascii="Palatino Linotype" w:eastAsia="Palatino Linotype" w:hAnsi="Palatino Linotype" w:cs="Palatino Linotype"/>
          <w:color w:val="000000"/>
        </w:rPr>
        <w:t xml:space="preserve"> no hubiera generado, poseído o administrado un soporte documental que dé cuenta de lo puntualmente ordenado: bastará con que así lo haga del conocimiento del </w:t>
      </w:r>
      <w:r w:rsidRPr="00F45679">
        <w:rPr>
          <w:rFonts w:ascii="Palatino Linotype" w:eastAsia="Palatino Linotype" w:hAnsi="Palatino Linotype" w:cs="Palatino Linotype"/>
          <w:b/>
          <w:color w:val="000000"/>
        </w:rPr>
        <w:t>RECURRENTE</w:t>
      </w:r>
      <w:r w:rsidRPr="00F45679">
        <w:rPr>
          <w:rFonts w:ascii="Palatino Linotype" w:eastAsia="Palatino Linotype" w:hAnsi="Palatino Linotype" w:cs="Palatino Linotype"/>
          <w:color w:val="000000"/>
        </w:rPr>
        <w:t xml:space="preserve"> al momento de dar cumplimiento a la presente Resolución en términos del artículo 19 párrafo segundo de la Ley de la materia.</w:t>
      </w:r>
    </w:p>
    <w:p w:rsidR="00BA19C0" w:rsidRPr="00F45679" w:rsidRDefault="00BA19C0" w:rsidP="00BA19C0">
      <w:pPr>
        <w:pStyle w:val="Prrafodelista"/>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rPr>
        <w:t xml:space="preserve">Lo anterior resulta así, toda vez que como se ha hecho mención, el acceso a la información se colma con la entrega del soporte documental en que conste o se advierta lo solicitado, sin que ello implique que los sujetos obligados generen documentos </w:t>
      </w:r>
      <w:r w:rsidRPr="00F45679">
        <w:rPr>
          <w:rFonts w:ascii="Palatino Linotype" w:eastAsia="Palatino Linotype" w:hAnsi="Palatino Linotype" w:cs="Palatino Linotype"/>
          <w:i/>
          <w:iCs/>
        </w:rPr>
        <w:t xml:space="preserve">ad hoc </w:t>
      </w:r>
      <w:r w:rsidRPr="00F45679">
        <w:rPr>
          <w:rFonts w:ascii="Palatino Linotype" w:eastAsia="Palatino Linotype" w:hAnsi="Palatino Linotype" w:cs="Palatino Linotype"/>
        </w:rPr>
        <w:t xml:space="preserve">conforme a los intereses particulares de los solicitantes. Sirve como apoyo a lo anterior -por </w:t>
      </w:r>
      <w:r w:rsidRPr="00F45679">
        <w:rPr>
          <w:rFonts w:ascii="Palatino Linotype" w:eastAsia="Palatino Linotype" w:hAnsi="Palatino Linotype" w:cs="Palatino Linotype"/>
        </w:rPr>
        <w:lastRenderedPageBreak/>
        <w:t xml:space="preserve">analogía- el </w:t>
      </w:r>
      <w:r w:rsidRPr="00F45679">
        <w:rPr>
          <w:rFonts w:ascii="Palatino Linotype" w:eastAsia="Palatino Linotype" w:hAnsi="Palatino Linotype" w:cs="Palatino Linotype"/>
          <w:b/>
          <w:bCs/>
        </w:rPr>
        <w:t xml:space="preserve">Criterio 03/17 </w:t>
      </w:r>
      <w:r w:rsidRPr="00F45679">
        <w:rPr>
          <w:rFonts w:ascii="Palatino Linotype" w:eastAsia="Palatino Linotype" w:hAnsi="Palatino Linotype" w:cs="Palatino Linotype"/>
        </w:rPr>
        <w:t>en materia de acceso a la información pública, emitido por el Pleno del entonces Instituto Nacional de Transparencia, Acceso a la Información y Protección de Datos Personales (INAI), que a la letra dice:</w:t>
      </w:r>
    </w:p>
    <w:p w:rsidR="008E1546" w:rsidRPr="00F45679" w:rsidRDefault="00BA2679">
      <w:pPr>
        <w:pBdr>
          <w:top w:val="nil"/>
          <w:left w:val="nil"/>
          <w:bottom w:val="nil"/>
          <w:right w:val="nil"/>
          <w:between w:val="nil"/>
        </w:pBdr>
        <w:spacing w:line="360" w:lineRule="auto"/>
        <w:ind w:left="567" w:right="618"/>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 xml:space="preserve">“No existe obligación de elaborar documentos ad hoc para atender las solicitudes de acceso a la información. </w:t>
      </w:r>
      <w:r w:rsidRPr="00F45679">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E1546" w:rsidRPr="00F45679" w:rsidRDefault="008E1546">
      <w:pPr>
        <w:pBdr>
          <w:top w:val="nil"/>
          <w:left w:val="nil"/>
          <w:bottom w:val="nil"/>
          <w:right w:val="nil"/>
          <w:between w:val="nil"/>
        </w:pBdr>
        <w:spacing w:line="360" w:lineRule="auto"/>
        <w:ind w:left="567" w:right="618"/>
        <w:jc w:val="both"/>
        <w:rPr>
          <w:rFonts w:ascii="Palatino Linotype" w:eastAsia="Palatino Linotype" w:hAnsi="Palatino Linotype" w:cs="Palatino Linotype"/>
          <w:i/>
          <w:i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rPr>
        <w:t xml:space="preserve">No obstante, también lo es que no existe precepto legal que lo impida. </w:t>
      </w:r>
      <w:r w:rsidRPr="00F45679">
        <w:rPr>
          <w:rFonts w:ascii="Palatino Linotype" w:eastAsia="Palatino Linotype" w:hAnsi="Palatino Linotype" w:cs="Palatino Linotype"/>
          <w:color w:val="000000"/>
        </w:rPr>
        <w:t xml:space="preserve">Con la </w:t>
      </w:r>
      <w:r w:rsidRPr="00F45679">
        <w:rPr>
          <w:rFonts w:ascii="Palatino Linotype" w:eastAsia="Palatino Linotype" w:hAnsi="Palatino Linotype" w:cs="Palatino Linotype"/>
        </w:rPr>
        <w:t>determinación</w:t>
      </w:r>
      <w:r w:rsidRPr="00F45679">
        <w:rPr>
          <w:rFonts w:ascii="Palatino Linotype" w:eastAsia="Palatino Linotype" w:hAnsi="Palatino Linotype" w:cs="Palatino Linotype"/>
          <w:color w:val="000000"/>
        </w:rPr>
        <w:t xml:space="preserve"> anterior quedará por colmado el derecho de acceso a la información del ahora Recurrente; toda vez que el Derecho que tutela este Órgano Garante </w:t>
      </w:r>
      <w:r w:rsidRPr="00F45679">
        <w:rPr>
          <w:rFonts w:ascii="Palatino Linotype" w:eastAsia="Palatino Linotype" w:hAnsi="Palatino Linotype" w:cs="Palatino Linotype"/>
        </w:rPr>
        <w:t>corresponde</w:t>
      </w:r>
      <w:r w:rsidRPr="00F45679">
        <w:rPr>
          <w:rFonts w:ascii="Palatino Linotype" w:eastAsia="Palatino Linotype" w:hAnsi="Palatino Linotype" w:cs="Palatino Linotype"/>
          <w:color w:val="000000"/>
        </w:rPr>
        <w:t xml:space="preserve"> a la  </w:t>
      </w:r>
      <w:r w:rsidRPr="00F45679">
        <w:rPr>
          <w:rFonts w:ascii="Palatino Linotype" w:eastAsia="Palatino Linotype" w:hAnsi="Palatino Linotype" w:cs="Palatino Linotype"/>
          <w:i/>
          <w:iCs/>
          <w:color w:val="000000"/>
        </w:rPr>
        <w:t>igualdad de oportunidades para recibir, buscar e impartir información</w:t>
      </w:r>
      <w:r w:rsidRPr="00F45679">
        <w:rPr>
          <w:rFonts w:ascii="Palatino Linotype" w:eastAsia="Palatino Linotype" w:hAnsi="Palatino Linotype" w:cs="Palatino Linotype"/>
          <w:i/>
          <w:iCs/>
          <w:color w:val="000000"/>
          <w:vertAlign w:val="superscript"/>
        </w:rPr>
        <w:footnoteReference w:id="1"/>
      </w:r>
      <w:r w:rsidRPr="00F45679">
        <w:rPr>
          <w:rFonts w:ascii="Palatino Linotype" w:eastAsia="Palatino Linotype" w:hAnsi="Palatino Linotype" w:cs="Palatino Linotype"/>
          <w:i/>
          <w:iCs/>
          <w:color w:val="000000"/>
        </w:rPr>
        <w:t xml:space="preserve"> en posesión de cualquier autoridad, entidad, órgano y organismo de los </w:t>
      </w:r>
      <w:r w:rsidRPr="00F45679">
        <w:rPr>
          <w:rFonts w:ascii="Palatino Linotype" w:eastAsia="Palatino Linotype" w:hAnsi="Palatino Linotype" w:cs="Palatino Linotype"/>
          <w:color w:val="000000"/>
        </w:rPr>
        <w:t>poderes</w:t>
      </w:r>
      <w:r w:rsidRPr="00F45679">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w:t>
      </w:r>
      <w:r w:rsidRPr="00F45679">
        <w:rPr>
          <w:rFonts w:ascii="Palatino Linotype" w:eastAsia="Palatino Linotype" w:hAnsi="Palatino Linotype" w:cs="Palatino Linotype"/>
          <w:i/>
          <w:iCs/>
          <w:color w:val="000000"/>
        </w:rPr>
        <w:lastRenderedPageBreak/>
        <w:t>sindicato que reciba y ejerza recursos públicos o realice actos de autoridad en el ámbito federal, estatal y municipal</w:t>
      </w:r>
      <w:r w:rsidRPr="00F45679">
        <w:rPr>
          <w:rFonts w:ascii="Palatino Linotype" w:eastAsia="Palatino Linotype" w:hAnsi="Palatino Linotype" w:cs="Palatino Linotype"/>
          <w:color w:val="000000"/>
          <w:vertAlign w:val="superscript"/>
        </w:rPr>
        <w:footnoteReference w:id="2"/>
      </w:r>
      <w:r w:rsidRPr="00F45679">
        <w:rPr>
          <w:rFonts w:ascii="Palatino Linotype" w:eastAsia="Palatino Linotype" w:hAnsi="Palatino Linotype" w:cs="Palatino Linotype"/>
          <w:i/>
          <w:iCs/>
          <w:color w:val="000000"/>
        </w:rPr>
        <w:t xml:space="preserve"> </w:t>
      </w:r>
      <w:r w:rsidRPr="00F45679">
        <w:rPr>
          <w:rFonts w:ascii="Palatino Linotype" w:eastAsia="Palatino Linotype" w:hAnsi="Palatino Linotype" w:cs="Palatino Linotype"/>
          <w:color w:val="000000"/>
        </w:rPr>
        <w:t xml:space="preserve">que se constituye como una herramienta fundamental para </w:t>
      </w:r>
      <w:r w:rsidRPr="00F45679">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F45679">
        <w:rPr>
          <w:rFonts w:ascii="Palatino Linotype" w:eastAsia="Palatino Linotype" w:hAnsi="Palatino Linotype" w:cs="Palatino Linotype"/>
          <w:i/>
          <w:iCs/>
          <w:color w:val="000000"/>
          <w:vertAlign w:val="superscript"/>
        </w:rPr>
        <w:footnoteReference w:id="3"/>
      </w:r>
      <w:r w:rsidRPr="00F45679">
        <w:rPr>
          <w:rFonts w:ascii="Palatino Linotype" w:eastAsia="Palatino Linotype" w:hAnsi="Palatino Linotype" w:cs="Palatino Linotype"/>
          <w:color w:val="000000"/>
        </w:rPr>
        <w:t>fomentando</w:t>
      </w:r>
      <w:r w:rsidRPr="00F45679">
        <w:rPr>
          <w:rFonts w:ascii="Palatino Linotype" w:eastAsia="Palatino Linotype" w:hAnsi="Palatino Linotype" w:cs="Palatino Linotype"/>
          <w:i/>
          <w:iCs/>
          <w:color w:val="000000"/>
        </w:rPr>
        <w:t xml:space="preserve"> la transparencia de las actividades estatales y</w:t>
      </w:r>
      <w:r w:rsidRPr="00F45679">
        <w:rPr>
          <w:rFonts w:ascii="Palatino Linotype" w:eastAsia="Palatino Linotype" w:hAnsi="Palatino Linotype" w:cs="Palatino Linotype"/>
          <w:color w:val="000000"/>
        </w:rPr>
        <w:t xml:space="preserve"> promoviendo</w:t>
      </w:r>
      <w:r w:rsidRPr="00F45679">
        <w:rPr>
          <w:rFonts w:ascii="Palatino Linotype" w:eastAsia="Palatino Linotype" w:hAnsi="Palatino Linotype" w:cs="Palatino Linotype"/>
          <w:i/>
          <w:iCs/>
          <w:color w:val="000000"/>
        </w:rPr>
        <w:t xml:space="preserve"> la responsabilidad de los funcionarios sobre su gestión pública</w:t>
      </w:r>
      <w:r w:rsidRPr="00F45679">
        <w:rPr>
          <w:rFonts w:ascii="Palatino Linotype" w:eastAsia="Palatino Linotype" w:hAnsi="Palatino Linotype" w:cs="Palatino Linotype"/>
          <w:i/>
          <w:iCs/>
          <w:color w:val="000000"/>
          <w:vertAlign w:val="superscript"/>
        </w:rPr>
        <w:footnoteReference w:id="4"/>
      </w:r>
      <w:r w:rsidRPr="00F45679">
        <w:rPr>
          <w:rFonts w:ascii="Palatino Linotype" w:eastAsia="Palatino Linotype" w:hAnsi="Palatino Linotype" w:cs="Palatino Linotype"/>
          <w:i/>
          <w:iCs/>
          <w:color w:val="000000"/>
        </w:rPr>
        <w:t xml:space="preserve"> </w:t>
      </w:r>
      <w:r w:rsidRPr="00F45679">
        <w:rPr>
          <w:rFonts w:ascii="Palatino Linotype" w:eastAsia="Palatino Linotype" w:hAnsi="Palatino Linotype" w:cs="Palatino Linotype"/>
          <w:color w:val="000000"/>
        </w:rPr>
        <w:t>que permite</w:t>
      </w:r>
      <w:r w:rsidRPr="00F45679">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F45679">
        <w:rPr>
          <w:rFonts w:ascii="Palatino Linotype" w:eastAsia="Palatino Linotype" w:hAnsi="Palatino Linotype" w:cs="Palatino Linotype"/>
          <w:i/>
          <w:iCs/>
          <w:color w:val="000000"/>
          <w:vertAlign w:val="superscript"/>
        </w:rPr>
        <w:footnoteReference w:id="5"/>
      </w:r>
      <w:r w:rsidRPr="00F45679">
        <w:rPr>
          <w:rFonts w:ascii="Palatino Linotype" w:eastAsia="Palatino Linotype" w:hAnsi="Palatino Linotype" w:cs="Palatino Linotype"/>
          <w:color w:val="000000"/>
        </w:rPr>
        <w:t xml:space="preserve"> ”</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8E1546" w:rsidRPr="00F45679" w:rsidRDefault="00BA2679">
      <w:pPr>
        <w:spacing w:line="360" w:lineRule="auto"/>
        <w:ind w:left="426" w:right="474"/>
        <w:jc w:val="both"/>
        <w:rPr>
          <w:rFonts w:ascii="Palatino Linotype" w:eastAsia="Palatino Linotype" w:hAnsi="Palatino Linotype" w:cs="Palatino Linotype"/>
          <w:b/>
          <w:bCs/>
          <w:i/>
          <w:iCs/>
          <w:color w:val="000000"/>
        </w:rPr>
      </w:pPr>
      <w:r w:rsidRPr="00F45679">
        <w:rPr>
          <w:rFonts w:ascii="Palatino Linotype" w:eastAsia="Palatino Linotype" w:hAnsi="Palatino Linotype" w:cs="Palatino Linotype"/>
          <w:b/>
          <w:bCs/>
          <w:i/>
          <w:iCs/>
          <w:color w:val="000000"/>
        </w:rPr>
        <w:t>“CRITERIO 0002-11</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 xml:space="preserve">INFORMACIÓN PÚBLICA, CONCEPTO DE, EN MATERIA DE TRANSPARENCIA. INTERPRETACIÓN TEMÁTICA DE LOS ARTÍCULOS 2, </w:t>
      </w:r>
      <w:r w:rsidRPr="00F45679">
        <w:rPr>
          <w:rFonts w:ascii="Palatino Linotype" w:eastAsia="Palatino Linotype" w:hAnsi="Palatino Linotype" w:cs="Palatino Linotype"/>
          <w:b/>
          <w:bCs/>
          <w:i/>
          <w:iCs/>
          <w:color w:val="000000"/>
        </w:rPr>
        <w:lastRenderedPageBreak/>
        <w:t>FRACCIÓN V, XV, Y XVI, 3, 4,11 Y 41.</w:t>
      </w:r>
      <w:r w:rsidRPr="00F45679">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En consecuencia el acceso a la información se refiere a que se cumplan cualquiera de los siguientes tres supuestos:</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8E1546" w:rsidRPr="00F45679" w:rsidRDefault="008E1546">
      <w:pPr>
        <w:spacing w:line="360" w:lineRule="auto"/>
        <w:ind w:left="567" w:right="567"/>
        <w:jc w:val="both"/>
        <w:rPr>
          <w:rFonts w:ascii="Palatino Linotype" w:eastAsia="Palatino Linotype" w:hAnsi="Palatino Linotype" w:cs="Palatino Linotype"/>
          <w:i/>
          <w:i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8E1546" w:rsidRPr="00F45679" w:rsidRDefault="00BA2679">
      <w:pPr>
        <w:spacing w:line="360" w:lineRule="auto"/>
        <w:ind w:left="426" w:right="474"/>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 xml:space="preserve">XI. Documento: </w:t>
      </w:r>
      <w:r w:rsidRPr="00F45679">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F45679">
        <w:rPr>
          <w:rFonts w:ascii="Palatino Linotype" w:eastAsia="Palatino Linotype" w:hAnsi="Palatino Linotype" w:cs="Palatino Linotype"/>
          <w:b/>
          <w:bCs/>
          <w:i/>
          <w:iCs/>
          <w:color w:val="000000"/>
        </w:rPr>
        <w:t>cualquier otro registro</w:t>
      </w:r>
      <w:r w:rsidRPr="00F45679">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w:t>
      </w:r>
      <w:r w:rsidRPr="00F45679">
        <w:rPr>
          <w:rFonts w:ascii="Palatino Linotype" w:eastAsia="Palatino Linotype" w:hAnsi="Palatino Linotype" w:cs="Palatino Linotype"/>
          <w:i/>
          <w:iCs/>
          <w:color w:val="000000"/>
        </w:rPr>
        <w:lastRenderedPageBreak/>
        <w:t>estar en cualquier medio, sea escrito, impreso, sonoro, visual, electrónico, informático u holográfico;</w:t>
      </w:r>
    </w:p>
    <w:p w:rsidR="008E1546" w:rsidRPr="00F45679" w:rsidRDefault="008E1546">
      <w:pPr>
        <w:spacing w:line="360" w:lineRule="auto"/>
        <w:ind w:left="567" w:right="567"/>
        <w:jc w:val="both"/>
        <w:rPr>
          <w:rFonts w:ascii="Palatino Linotype" w:eastAsia="Palatino Linotype" w:hAnsi="Palatino Linotype" w:cs="Palatino Linotype"/>
          <w:i/>
          <w:i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Es así que, todos los actos de autoridad que realicen los Sujetos Obligados </w:t>
      </w:r>
      <w:r w:rsidRPr="00F45679">
        <w:rPr>
          <w:rFonts w:ascii="Palatino Linotype" w:eastAsia="Palatino Linotype" w:hAnsi="Palatino Linotype" w:cs="Palatino Linotype"/>
          <w:b/>
          <w:bCs/>
          <w:color w:val="000000"/>
        </w:rPr>
        <w:t xml:space="preserve">deben </w:t>
      </w:r>
      <w:r w:rsidRPr="00F45679">
        <w:rPr>
          <w:rFonts w:ascii="Palatino Linotype" w:eastAsia="Palatino Linotype" w:hAnsi="Palatino Linotype" w:cs="Palatino Linotype"/>
          <w:color w:val="000000"/>
        </w:rPr>
        <w:t>estar</w:t>
      </w:r>
      <w:r w:rsidRPr="00F45679">
        <w:rPr>
          <w:rFonts w:ascii="Palatino Linotype" w:eastAsia="Palatino Linotype" w:hAnsi="Palatino Linotype" w:cs="Palatino Linotype"/>
          <w:b/>
          <w:bCs/>
          <w:color w:val="000000"/>
        </w:rPr>
        <w:t xml:space="preserve"> </w:t>
      </w:r>
      <w:r w:rsidRPr="00F45679">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8E1546" w:rsidRPr="00F45679" w:rsidRDefault="008E1546">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8E1546" w:rsidRPr="00F45679" w:rsidRDefault="00BA2679">
      <w:pPr>
        <w:spacing w:line="360" w:lineRule="auto"/>
        <w:ind w:left="426"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 xml:space="preserve">“Artículo 4. </w:t>
      </w:r>
      <w:r w:rsidRPr="00F45679">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8E1546" w:rsidRPr="00F45679" w:rsidRDefault="00BA2679">
      <w:pPr>
        <w:spacing w:line="360" w:lineRule="auto"/>
        <w:ind w:left="426"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Toda la información</w:t>
      </w:r>
      <w:r w:rsidRPr="00F45679">
        <w:rPr>
          <w:rFonts w:ascii="Palatino Linotype" w:eastAsia="Palatino Linotype" w:hAnsi="Palatino Linotype" w:cs="Palatino Linotype"/>
          <w:i/>
          <w:iCs/>
          <w:color w:val="000000"/>
        </w:rPr>
        <w:t xml:space="preserve"> generada, obtenida, adquirida, transformada, administrada o </w:t>
      </w:r>
      <w:r w:rsidRPr="00F45679">
        <w:rPr>
          <w:rFonts w:ascii="Palatino Linotype" w:eastAsia="Palatino Linotype" w:hAnsi="Palatino Linotype" w:cs="Palatino Linotype"/>
          <w:b/>
          <w:bCs/>
          <w:i/>
          <w:iCs/>
          <w:color w:val="000000"/>
        </w:rPr>
        <w:t>en posesión de los sujetos obligados es pública</w:t>
      </w:r>
      <w:r w:rsidRPr="00F45679">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E1546" w:rsidRPr="00F45679" w:rsidRDefault="00BA2679">
      <w:pPr>
        <w:spacing w:line="360" w:lineRule="auto"/>
        <w:ind w:left="426" w:right="567"/>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i/>
          <w:iCs/>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rsidR="008E1546" w:rsidRPr="00F45679" w:rsidRDefault="008E1546">
      <w:pPr>
        <w:spacing w:line="360" w:lineRule="auto"/>
        <w:ind w:left="567" w:right="567"/>
        <w:jc w:val="both"/>
        <w:rPr>
          <w:rFonts w:ascii="Palatino Linotype" w:eastAsia="Palatino Linotype" w:hAnsi="Palatino Linotype" w:cs="Palatino Linotype"/>
          <w:i/>
          <w:iCs/>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45679">
        <w:rPr>
          <w:rFonts w:ascii="Palatino Linotype" w:eastAsia="Palatino Linotype" w:hAnsi="Palatino Linotype" w:cs="Palatino Linotype"/>
          <w:color w:val="000000"/>
          <w:vertAlign w:val="superscript"/>
        </w:rPr>
        <w:footnoteReference w:id="6"/>
      </w:r>
      <w:r w:rsidRPr="00F4567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8E1546" w:rsidRPr="00F45679" w:rsidRDefault="00BA2679">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F45679">
        <w:rPr>
          <w:rFonts w:ascii="Palatino Linotype" w:eastAsia="Palatino Linotype" w:hAnsi="Palatino Linotype" w:cs="Palatino Linotype"/>
          <w:b/>
          <w:bCs/>
          <w:i/>
          <w:iCs/>
          <w:color w:val="000000"/>
        </w:rPr>
        <w:t>ACCESO A LA INFORMACIÓN. IMPLICACIÓN DEL PRINCIPIO DE MÁXIMA PUBLICIDAD EN EL DERECHO FUNDAMENTAL RELATIVO.</w:t>
      </w:r>
      <w:r w:rsidRPr="00F45679">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w:t>
      </w:r>
      <w:r w:rsidRPr="00F45679">
        <w:rPr>
          <w:rFonts w:ascii="Palatino Linotype" w:eastAsia="Palatino Linotype" w:hAnsi="Palatino Linotype" w:cs="Palatino Linotype"/>
          <w:i/>
          <w:iCs/>
          <w:color w:val="000000"/>
        </w:rPr>
        <w:lastRenderedPageBreak/>
        <w:t>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8E1546" w:rsidRPr="00F45679" w:rsidRDefault="008E1546">
      <w:pPr>
        <w:spacing w:line="360" w:lineRule="auto"/>
        <w:rPr>
          <w:rFonts w:ascii="Palatino Linotype" w:eastAsia="Palatino Linotype" w:hAnsi="Palatino Linotype" w:cs="Palatino Linotype"/>
        </w:rPr>
      </w:pPr>
    </w:p>
    <w:p w:rsidR="008E1546" w:rsidRPr="00F45679" w:rsidRDefault="00BA2679">
      <w:pPr>
        <w:spacing w:line="360" w:lineRule="auto"/>
        <w:ind w:right="49"/>
        <w:jc w:val="both"/>
        <w:rPr>
          <w:rFonts w:ascii="Palatino Linotype" w:eastAsia="Palatino Linotype" w:hAnsi="Palatino Linotype" w:cs="Palatino Linotype"/>
          <w:b/>
          <w:bCs/>
        </w:rPr>
      </w:pPr>
      <w:r w:rsidRPr="00F45679">
        <w:rPr>
          <w:rFonts w:ascii="Palatino Linotype" w:eastAsia="Palatino Linotype" w:hAnsi="Palatino Linotype" w:cs="Palatino Linotype"/>
          <w:b/>
          <w:bCs/>
        </w:rPr>
        <w:t>QUINTO. De la versión pública.</w:t>
      </w: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color w:val="000000"/>
        </w:rPr>
        <w:t>Para</w:t>
      </w:r>
      <w:r w:rsidRPr="00F45679">
        <w:rPr>
          <w:rFonts w:ascii="Palatino Linotype" w:eastAsia="Palatino Linotype" w:hAnsi="Palatino Linotype" w:cs="Palatino Linotype"/>
        </w:rPr>
        <w:t xml:space="preserve"> dar cumplimiento a la presente Resolución, 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deberá </w:t>
      </w:r>
      <w:r w:rsidRPr="00F45679">
        <w:rPr>
          <w:rFonts w:ascii="Palatino Linotype" w:eastAsia="Palatino Linotype" w:hAnsi="Palatino Linotype" w:cs="Palatino Linotype"/>
          <w:color w:val="000000"/>
        </w:rPr>
        <w:t>hacer</w:t>
      </w:r>
      <w:r w:rsidRPr="00F45679">
        <w:rPr>
          <w:rFonts w:ascii="Palatino Linotype" w:eastAsia="Palatino Linotype" w:hAnsi="Palatino Linotype" w:cs="Palatino Linotype"/>
        </w:rPr>
        <w:t xml:space="preserve"> la elaboración de la versión pública en términos del Considerando anterior. Por lo que, para efectos de la elaboración de la versión pública se deberá observar lo dispuesto por los artículos 3 fracciones IX, XX, XXI, XXXII y XLV; 6, 49 fracción VIII, 91, 137, 143 Fracción I, de </w:t>
      </w:r>
      <w:r w:rsidRPr="00F45679">
        <w:rPr>
          <w:rFonts w:ascii="Palatino Linotype" w:eastAsia="Palatino Linotype" w:hAnsi="Palatino Linotype" w:cs="Palatino Linotype"/>
        </w:rPr>
        <w:lastRenderedPageBreak/>
        <w:t>la Ley de Transparencia y Acceso a la Información Pública del Estado de México y Municipios vigente, que establecen:</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spacing w:line="360" w:lineRule="auto"/>
        <w:ind w:left="851" w:right="1041"/>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 xml:space="preserve"> “Artículo 3. Para los efectos de la presente Ley se entenderá por:</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IX. Datos personales:</w:t>
      </w: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b/>
          <w:bCs/>
          <w:i/>
          <w:iCs/>
        </w:rPr>
        <w:t>La información concerniente a una persona, identificada o identificable</w:t>
      </w:r>
      <w:r w:rsidRPr="00F45679">
        <w:rPr>
          <w:rFonts w:ascii="Palatino Linotype" w:eastAsia="Palatino Linotype" w:hAnsi="Palatino Linotype" w:cs="Palatino Linotype"/>
          <w:i/>
          <w:iCs/>
        </w:rPr>
        <w:t xml:space="preserve"> según lo dispuesto por la Ley de Protección de Datos Personales del Estado de México;</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XX. Información clasificada:</w:t>
      </w:r>
      <w:r w:rsidRPr="00F45679">
        <w:rPr>
          <w:rFonts w:ascii="Palatino Linotype" w:eastAsia="Palatino Linotype" w:hAnsi="Palatino Linotype" w:cs="Palatino Linotype"/>
          <w:i/>
          <w:iCs/>
        </w:rPr>
        <w:t xml:space="preserve"> Aquella considerada por la presente Ley como reservada o confidencial;</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XXXII. Protección de Datos Personales:</w:t>
      </w:r>
      <w:r w:rsidRPr="00F45679">
        <w:rPr>
          <w:rFonts w:ascii="Palatino Linotype" w:eastAsia="Palatino Linotype" w:hAnsi="Palatino Linotype" w:cs="Palatino Linotype"/>
          <w:i/>
          <w:iCs/>
        </w:rPr>
        <w:t xml:space="preserve"> Derecho humano que tutela la privacidad de datos personales en poder de los sujetos obligados y sujetos particulares;</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XLV. Versión pública</w:t>
      </w:r>
      <w:r w:rsidRPr="00F45679">
        <w:rPr>
          <w:rFonts w:ascii="Palatino Linotype" w:eastAsia="Palatino Linotype" w:hAnsi="Palatino Linotype" w:cs="Palatino Linotype"/>
          <w:i/>
          <w:iCs/>
        </w:rPr>
        <w:t>: Documento en el que se elimine, suprime o borra la información clasificada como reservada o confidencial para permitir su acceso.”</w:t>
      </w:r>
    </w:p>
    <w:p w:rsidR="008E1546" w:rsidRPr="00F45679" w:rsidRDefault="008E1546">
      <w:pPr>
        <w:spacing w:line="360" w:lineRule="auto"/>
        <w:ind w:left="851" w:right="1041"/>
        <w:jc w:val="both"/>
        <w:rPr>
          <w:rFonts w:ascii="Palatino Linotype" w:eastAsia="Palatino Linotype" w:hAnsi="Palatino Linotype" w:cs="Palatino Linotype"/>
          <w:i/>
          <w:iCs/>
        </w:rPr>
      </w:pP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“Artículo 6.</w:t>
      </w:r>
      <w:r w:rsidRPr="00F45679">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E1546" w:rsidRPr="00F45679" w:rsidRDefault="008E1546">
      <w:pPr>
        <w:spacing w:line="360" w:lineRule="auto"/>
        <w:ind w:left="851" w:right="1041"/>
        <w:jc w:val="both"/>
        <w:rPr>
          <w:rFonts w:ascii="Palatino Linotype" w:eastAsia="Palatino Linotype" w:hAnsi="Palatino Linotype" w:cs="Palatino Linotype"/>
          <w:i/>
          <w:iCs/>
        </w:rPr>
      </w:pP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lastRenderedPageBreak/>
        <w:t> </w:t>
      </w:r>
      <w:r w:rsidRPr="00F45679">
        <w:rPr>
          <w:rFonts w:ascii="Palatino Linotype" w:eastAsia="Palatino Linotype" w:hAnsi="Palatino Linotype" w:cs="Palatino Linotype"/>
          <w:b/>
          <w:bCs/>
          <w:i/>
          <w:iCs/>
        </w:rPr>
        <w:t>Artículo 49.</w:t>
      </w:r>
      <w:r w:rsidRPr="00F45679">
        <w:rPr>
          <w:rFonts w:ascii="Palatino Linotype" w:eastAsia="Palatino Linotype" w:hAnsi="Palatino Linotype" w:cs="Palatino Linotype"/>
          <w:i/>
          <w:iCs/>
        </w:rPr>
        <w:t> Los Comités de Transparencia tendrán las siguientes atribuciones:</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VIII</w:t>
      </w:r>
      <w:r w:rsidRPr="00F45679">
        <w:rPr>
          <w:rFonts w:ascii="Palatino Linotype" w:eastAsia="Palatino Linotype" w:hAnsi="Palatino Linotype" w:cs="Palatino Linotype"/>
          <w:i/>
          <w:iCs/>
        </w:rPr>
        <w:t>. Aprobar, modificar o revocar la clasificación de la información;</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Artículo 91. </w:t>
      </w:r>
      <w:r w:rsidRPr="00F45679">
        <w:rPr>
          <w:rFonts w:ascii="Palatino Linotype" w:eastAsia="Palatino Linotype" w:hAnsi="Palatino Linotype" w:cs="Palatino Linotype"/>
          <w:i/>
          <w:iCs/>
        </w:rPr>
        <w:t>El acceso a la información pública será restringido excepcionalmente, cuando ésta sea clasificada como reservada o confidencial.</w:t>
      </w:r>
    </w:p>
    <w:p w:rsidR="008E1546" w:rsidRPr="00F45679" w:rsidRDefault="008E1546">
      <w:pPr>
        <w:spacing w:line="360" w:lineRule="auto"/>
        <w:ind w:left="851" w:right="1041"/>
        <w:jc w:val="both"/>
        <w:rPr>
          <w:rFonts w:ascii="Palatino Linotype" w:eastAsia="Palatino Linotype" w:hAnsi="Palatino Linotype" w:cs="Palatino Linotype"/>
          <w:i/>
          <w:iCs/>
        </w:rPr>
      </w:pPr>
    </w:p>
    <w:p w:rsidR="008E1546" w:rsidRPr="00F45679" w:rsidRDefault="00BA2679">
      <w:pPr>
        <w:spacing w:line="360" w:lineRule="auto"/>
        <w:ind w:left="851" w:right="1041"/>
        <w:jc w:val="both"/>
        <w:rPr>
          <w:rFonts w:ascii="Palatino Linotype" w:eastAsia="Palatino Linotype" w:hAnsi="Palatino Linotype" w:cs="Palatino Linotype"/>
          <w:b/>
          <w:bCs/>
          <w:i/>
          <w:iCs/>
        </w:rPr>
      </w:pPr>
      <w:r w:rsidRPr="00F45679">
        <w:rPr>
          <w:rFonts w:ascii="Palatino Linotype" w:eastAsia="Palatino Linotype" w:hAnsi="Palatino Linotype" w:cs="Palatino Linotype"/>
          <w:b/>
          <w:bCs/>
          <w:i/>
          <w:iCs/>
        </w:rPr>
        <w:t>“Artículo 137.</w:t>
      </w:r>
      <w:r w:rsidRPr="00F45679">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E1546" w:rsidRPr="00F45679" w:rsidRDefault="008E1546">
      <w:pPr>
        <w:spacing w:line="360" w:lineRule="auto"/>
        <w:ind w:left="851" w:right="1041"/>
        <w:jc w:val="both"/>
        <w:rPr>
          <w:rFonts w:ascii="Palatino Linotype" w:eastAsia="Palatino Linotype" w:hAnsi="Palatino Linotype" w:cs="Palatino Linotype"/>
          <w:b/>
          <w:bCs/>
          <w:i/>
          <w:iCs/>
        </w:rPr>
      </w:pP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“Artículo 143</w:t>
      </w:r>
      <w:r w:rsidRPr="00F45679">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I.</w:t>
      </w:r>
      <w:r w:rsidRPr="00F45679">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8E1546" w:rsidRPr="00F45679" w:rsidRDefault="00BA2679">
      <w:pPr>
        <w:spacing w:line="360" w:lineRule="auto"/>
        <w:ind w:left="851"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8E1546" w:rsidRPr="00F45679" w:rsidRDefault="008E1546">
      <w:pPr>
        <w:spacing w:line="360" w:lineRule="auto"/>
        <w:ind w:left="993" w:right="1041"/>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“Artículo 49.</w:t>
      </w:r>
      <w:r w:rsidRPr="00F45679">
        <w:rPr>
          <w:rFonts w:ascii="Palatino Linotype" w:eastAsia="Palatino Linotype" w:hAnsi="Palatino Linotype" w:cs="Palatino Linotype"/>
          <w:i/>
          <w:iCs/>
        </w:rPr>
        <w:t xml:space="preserve"> </w:t>
      </w:r>
      <w:r w:rsidRPr="00F45679">
        <w:rPr>
          <w:rFonts w:ascii="Palatino Linotype" w:eastAsia="Palatino Linotype" w:hAnsi="Palatino Linotype" w:cs="Palatino Linotype"/>
          <w:b/>
          <w:bCs/>
          <w:i/>
          <w:iCs/>
        </w:rPr>
        <w:t>Los Comités de Transparencia</w:t>
      </w:r>
      <w:r w:rsidRPr="00F45679">
        <w:rPr>
          <w:rFonts w:ascii="Palatino Linotype" w:eastAsia="Palatino Linotype" w:hAnsi="Palatino Linotype" w:cs="Palatino Linotype"/>
          <w:i/>
          <w:iCs/>
        </w:rPr>
        <w:t xml:space="preserve"> tendrán las siguientes atribuciones:</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VIII. Aprobar, modificar o revocar la clasificación de la información</w:t>
      </w:r>
      <w:r w:rsidRPr="00F45679">
        <w:rPr>
          <w:rFonts w:ascii="Palatino Linotype" w:eastAsia="Palatino Linotype" w:hAnsi="Palatino Linotype" w:cs="Palatino Linotype"/>
          <w:i/>
          <w:iCs/>
        </w:rPr>
        <w:t>…”</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r w:rsidRPr="00F45679">
        <w:rPr>
          <w:rFonts w:ascii="Palatino Linotype" w:eastAsia="Palatino Linotype" w:hAnsi="Palatino Linotype" w:cs="Palatino Linotype"/>
          <w:b/>
          <w:bCs/>
          <w:i/>
          <w:iCs/>
        </w:rPr>
        <w:t>Artículo 53.</w:t>
      </w:r>
      <w:r w:rsidRPr="00F45679">
        <w:rPr>
          <w:rFonts w:ascii="Palatino Linotype" w:eastAsia="Palatino Linotype" w:hAnsi="Palatino Linotype" w:cs="Palatino Linotype"/>
          <w:i/>
          <w:iCs/>
        </w:rPr>
        <w:t xml:space="preserve"> Las </w:t>
      </w:r>
      <w:r w:rsidRPr="00F45679">
        <w:rPr>
          <w:rFonts w:ascii="Palatino Linotype" w:eastAsia="Palatino Linotype" w:hAnsi="Palatino Linotype" w:cs="Palatino Linotype"/>
          <w:b/>
          <w:bCs/>
          <w:i/>
          <w:iCs/>
        </w:rPr>
        <w:t>Unidades de Transparencia</w:t>
      </w:r>
      <w:r w:rsidRPr="00F45679">
        <w:rPr>
          <w:rFonts w:ascii="Palatino Linotype" w:eastAsia="Palatino Linotype" w:hAnsi="Palatino Linotype" w:cs="Palatino Linotype"/>
          <w:i/>
          <w:iCs/>
        </w:rPr>
        <w:t xml:space="preserve"> tendrán las siguientes </w:t>
      </w:r>
      <w:r w:rsidRPr="00F45679">
        <w:rPr>
          <w:rFonts w:ascii="Palatino Linotype" w:eastAsia="Palatino Linotype" w:hAnsi="Palatino Linotype" w:cs="Palatino Linotype"/>
          <w:b/>
          <w:bCs/>
          <w:i/>
          <w:iCs/>
        </w:rPr>
        <w:t>funciones</w:t>
      </w:r>
      <w:r w:rsidRPr="00F45679">
        <w:rPr>
          <w:rFonts w:ascii="Palatino Linotype" w:eastAsia="Palatino Linotype" w:hAnsi="Palatino Linotype" w:cs="Palatino Linotype"/>
          <w:i/>
          <w:iCs/>
        </w:rPr>
        <w:t>:</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lastRenderedPageBreak/>
        <w:t>X. Presentar ante el Comité, el proyecto de clasificación de información</w:t>
      </w:r>
      <w:r w:rsidRPr="00F45679">
        <w:rPr>
          <w:rFonts w:ascii="Palatino Linotype" w:eastAsia="Palatino Linotype" w:hAnsi="Palatino Linotype" w:cs="Palatino Linotype"/>
          <w:i/>
          <w:iCs/>
        </w:rPr>
        <w:t xml:space="preserve">…” </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“Artículo 59.</w:t>
      </w:r>
      <w:r w:rsidRPr="00F45679">
        <w:rPr>
          <w:rFonts w:ascii="Palatino Linotype" w:eastAsia="Palatino Linotype" w:hAnsi="Palatino Linotype" w:cs="Palatino Linotype"/>
          <w:i/>
          <w:iCs/>
        </w:rPr>
        <w:t xml:space="preserve"> Los </w:t>
      </w:r>
      <w:r w:rsidRPr="00F45679">
        <w:rPr>
          <w:rFonts w:ascii="Palatino Linotype" w:eastAsia="Palatino Linotype" w:hAnsi="Palatino Linotype" w:cs="Palatino Linotype"/>
          <w:b/>
          <w:bCs/>
          <w:i/>
          <w:iCs/>
        </w:rPr>
        <w:t>servidores públicos habilitados</w:t>
      </w:r>
      <w:r w:rsidRPr="00F45679">
        <w:rPr>
          <w:rFonts w:ascii="Palatino Linotype" w:eastAsia="Palatino Linotype" w:hAnsi="Palatino Linotype" w:cs="Palatino Linotype"/>
          <w:i/>
          <w:iCs/>
        </w:rPr>
        <w:t xml:space="preserve"> tendrán las </w:t>
      </w:r>
      <w:r w:rsidRPr="00F45679">
        <w:rPr>
          <w:rFonts w:ascii="Palatino Linotype" w:eastAsia="Palatino Linotype" w:hAnsi="Palatino Linotype" w:cs="Palatino Linotype"/>
          <w:b/>
          <w:bCs/>
          <w:i/>
          <w:iCs/>
        </w:rPr>
        <w:t>funciones</w:t>
      </w:r>
      <w:r w:rsidRPr="00F45679">
        <w:rPr>
          <w:rFonts w:ascii="Palatino Linotype" w:eastAsia="Palatino Linotype" w:hAnsi="Palatino Linotype" w:cs="Palatino Linotype"/>
          <w:i/>
          <w:iCs/>
        </w:rPr>
        <w:t xml:space="preserve"> siguientes:</w:t>
      </w:r>
    </w:p>
    <w:p w:rsidR="008E1546" w:rsidRPr="00F45679" w:rsidRDefault="00BA2679">
      <w:pPr>
        <w:spacing w:line="360" w:lineRule="auto"/>
        <w:ind w:left="992" w:right="1043"/>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V. Integrar y presentar al responsable de la Unidad de Transparencia la propuesta de clasificación de información</w:t>
      </w:r>
      <w:r w:rsidRPr="00F45679">
        <w:rPr>
          <w:rFonts w:ascii="Palatino Linotype" w:eastAsia="Palatino Linotype" w:hAnsi="Palatino Linotype" w:cs="Palatino Linotype"/>
          <w:i/>
          <w:iCs/>
        </w:rPr>
        <w:t>, la cual tendrá los fundamentos y argumentos en que se basa dicha propuesta…”</w:t>
      </w:r>
    </w:p>
    <w:p w:rsidR="008E1546" w:rsidRPr="00F45679" w:rsidRDefault="008E1546">
      <w:pPr>
        <w:spacing w:line="360" w:lineRule="auto"/>
        <w:ind w:left="992" w:right="1043"/>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8E1546" w:rsidRPr="00F45679" w:rsidRDefault="00BA2679">
      <w:pPr>
        <w:spacing w:line="360" w:lineRule="auto"/>
        <w:ind w:left="993" w:right="1041"/>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w:t>
      </w:r>
      <w:r w:rsidRPr="00F45679">
        <w:rPr>
          <w:rFonts w:ascii="Palatino Linotype" w:eastAsia="Palatino Linotype" w:hAnsi="Palatino Linotype" w:cs="Palatino Linotype"/>
          <w:b/>
          <w:bCs/>
          <w:i/>
          <w:iCs/>
        </w:rPr>
        <w:t>Artículo 149.</w:t>
      </w:r>
      <w:r w:rsidRPr="00F45679">
        <w:rPr>
          <w:rFonts w:ascii="Palatino Linotype" w:eastAsia="Palatino Linotype" w:hAnsi="Palatino Linotype" w:cs="Palatino Linotype"/>
          <w:i/>
          <w:iCs/>
        </w:rPr>
        <w:t xml:space="preserve"> El </w:t>
      </w:r>
      <w:r w:rsidRPr="00F45679">
        <w:rPr>
          <w:rFonts w:ascii="Palatino Linotype" w:eastAsia="Palatino Linotype" w:hAnsi="Palatino Linotype" w:cs="Palatino Linotype"/>
          <w:b/>
          <w:bCs/>
          <w:i/>
          <w:iCs/>
        </w:rPr>
        <w:t>acuerdo que clasifique la información como confidencial</w:t>
      </w:r>
      <w:r w:rsidRPr="00F45679">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8E1546" w:rsidRPr="00F45679" w:rsidRDefault="008E1546">
      <w:pPr>
        <w:spacing w:line="360" w:lineRule="auto"/>
        <w:ind w:left="993" w:right="1041"/>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E1546" w:rsidRPr="00F45679" w:rsidRDefault="008E1546">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Sirven de sustento a lo anterior, las tesis jurisprudenciales </w:t>
      </w:r>
      <w:r w:rsidRPr="00F45679">
        <w:rPr>
          <w:rFonts w:ascii="Palatino Linotype" w:eastAsia="Palatino Linotype" w:hAnsi="Palatino Linotype" w:cs="Palatino Linotype"/>
          <w:i/>
          <w:iCs/>
        </w:rPr>
        <w:t xml:space="preserve">P. LX/2000 </w:t>
      </w:r>
      <w:r w:rsidRPr="00F45679">
        <w:rPr>
          <w:rFonts w:ascii="Palatino Linotype" w:eastAsia="Palatino Linotype" w:hAnsi="Palatino Linotype" w:cs="Palatino Linotype"/>
        </w:rPr>
        <w:t xml:space="preserve">y </w:t>
      </w:r>
      <w:r w:rsidRPr="00F45679">
        <w:rPr>
          <w:rFonts w:ascii="Palatino Linotype" w:eastAsia="Palatino Linotype" w:hAnsi="Palatino Linotype" w:cs="Palatino Linotype"/>
          <w:i/>
          <w:iCs/>
        </w:rPr>
        <w:t>2a. XLIII/</w:t>
      </w:r>
      <w:r w:rsidRPr="00F45679">
        <w:rPr>
          <w:rFonts w:ascii="Palatino Linotype" w:eastAsia="Palatino Linotype" w:hAnsi="Palatino Linotype" w:cs="Palatino Linotype"/>
        </w:rPr>
        <w:t>2008</w:t>
      </w:r>
      <w:r w:rsidRPr="00F45679">
        <w:rPr>
          <w:rFonts w:ascii="Palatino Linotype" w:eastAsia="Palatino Linotype" w:hAnsi="Palatino Linotype" w:cs="Palatino Linotype"/>
          <w:b/>
          <w:bCs/>
        </w:rPr>
        <w:t xml:space="preserve"> </w:t>
      </w:r>
      <w:r w:rsidRPr="00F45679">
        <w:rPr>
          <w:rFonts w:ascii="Palatino Linotype" w:eastAsia="Palatino Linotype" w:hAnsi="Palatino Linotype" w:cs="Palatino Linotype"/>
        </w:rPr>
        <w:t>emitidas por el Peno y la Segunda Sala de la Suprema Corte de Justicia de la Nación, respectivamente, que son del tenor literal siguiente:</w:t>
      </w:r>
    </w:p>
    <w:p w:rsidR="008E1546" w:rsidRPr="00F45679" w:rsidRDefault="00BA2679">
      <w:pPr>
        <w:spacing w:line="360" w:lineRule="auto"/>
        <w:ind w:left="851" w:right="85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F45679">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w:t>
      </w:r>
      <w:r w:rsidRPr="00F45679">
        <w:rPr>
          <w:rFonts w:ascii="Palatino Linotype" w:eastAsia="Palatino Linotype" w:hAnsi="Palatino Linotype" w:cs="Palatino Linotype"/>
          <w:i/>
          <w:iCs/>
        </w:rPr>
        <w:lastRenderedPageBreak/>
        <w:t xml:space="preserve">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45679">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F45679">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F45679">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F45679">
        <w:rPr>
          <w:rFonts w:ascii="Palatino Linotype" w:eastAsia="Palatino Linotype" w:hAnsi="Palatino Linotype" w:cs="Palatino Linotype"/>
          <w:i/>
          <w:iCs/>
        </w:rPr>
        <w:t>.”</w:t>
      </w:r>
    </w:p>
    <w:p w:rsidR="008E1546" w:rsidRPr="00F45679" w:rsidRDefault="008E1546">
      <w:pPr>
        <w:spacing w:line="360" w:lineRule="auto"/>
        <w:ind w:left="851" w:right="851"/>
        <w:jc w:val="both"/>
        <w:rPr>
          <w:rFonts w:ascii="Palatino Linotype" w:eastAsia="Palatino Linotype" w:hAnsi="Palatino Linotype" w:cs="Palatino Linotype"/>
          <w:i/>
          <w:iCs/>
        </w:rPr>
      </w:pPr>
    </w:p>
    <w:p w:rsidR="008E1546" w:rsidRPr="00F45679" w:rsidRDefault="00BA2679">
      <w:pPr>
        <w:spacing w:line="360" w:lineRule="auto"/>
        <w:ind w:left="851" w:right="851"/>
        <w:jc w:val="both"/>
        <w:rPr>
          <w:rFonts w:ascii="Palatino Linotype" w:eastAsia="Palatino Linotype" w:hAnsi="Palatino Linotype" w:cs="Palatino Linotype"/>
          <w:i/>
          <w:iCs/>
        </w:rPr>
      </w:pPr>
      <w:r w:rsidRPr="00F45679">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F45679">
        <w:rPr>
          <w:rFonts w:ascii="Palatino Linotype" w:eastAsia="Palatino Linotype" w:hAnsi="Palatino Linotype" w:cs="Palatino Linotype"/>
          <w:i/>
          <w:iCs/>
        </w:rPr>
        <w:t xml:space="preserve">El Tribunal en Pleno de la Suprema Corte de Justicia de la Nación en la tesis P. LX/2000 de rubro: "DERECHO A LA INFORMACIÓN. SU </w:t>
      </w:r>
      <w:r w:rsidRPr="00F45679">
        <w:rPr>
          <w:rFonts w:ascii="Palatino Linotype" w:eastAsia="Palatino Linotype" w:hAnsi="Palatino Linotype" w:cs="Palatino Linotype"/>
          <w:i/>
          <w:iCs/>
        </w:rPr>
        <w:lastRenderedPageBreak/>
        <w:t xml:space="preserve">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45679">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45679">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8E1546" w:rsidRPr="00F45679" w:rsidRDefault="008E1546">
      <w:pPr>
        <w:spacing w:line="360" w:lineRule="auto"/>
        <w:ind w:left="851" w:right="851"/>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Finalmente, la entrega de documentos en su versión pública debe acompañarse necesariamente del Acuerdo del Comité de Transparencia que la sustente, en el que se expongan los fundamentos y razonamientos que llevaron al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45679">
        <w:rPr>
          <w:rFonts w:ascii="Palatino Linotype" w:eastAsia="Palatino Linotype" w:hAnsi="Palatino Linotype" w:cs="Palatino Linotype"/>
          <w:b/>
          <w:bCs/>
        </w:rPr>
        <w:t>RECURRENTE.</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w:t>
      </w:r>
      <w:r w:rsidRPr="00F45679">
        <w:rPr>
          <w:rFonts w:ascii="Palatino Linotype" w:eastAsia="Palatino Linotype" w:hAnsi="Palatino Linotype" w:cs="Palatino Linotype"/>
        </w:rPr>
        <w:lastRenderedPageBreak/>
        <w:t>los sujetos obligados clasificarán como reservada o confidencial la información que posean, desclasificarán y generarán, en su caso, versiones públicas de expedientes o documentos que contengan partes o secciones clasificadas.</w:t>
      </w:r>
    </w:p>
    <w:p w:rsidR="008E1546" w:rsidRPr="00F45679" w:rsidRDefault="008E154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“Quincuagésimo sexto</w:t>
      </w:r>
      <w:r w:rsidRPr="00F45679">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Quincuagésimo séptimo. Se considera, en principio, como información pública y no podrá omitirse de las versiones públicas la siguiente: </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8E1546" w:rsidRPr="00F45679" w:rsidRDefault="00BA2679">
      <w:pPr>
        <w:spacing w:line="360" w:lineRule="auto"/>
        <w:ind w:left="851" w:right="902"/>
        <w:jc w:val="both"/>
        <w:rPr>
          <w:rFonts w:ascii="Palatino Linotype" w:eastAsia="Palatino Linotype" w:hAnsi="Palatino Linotype" w:cs="Palatino Linotype"/>
          <w:i/>
          <w:iCs/>
        </w:rPr>
      </w:pPr>
      <w:r w:rsidRPr="00F45679">
        <w:rPr>
          <w:rFonts w:ascii="Palatino Linotype" w:eastAsia="Palatino Linotype" w:hAnsi="Palatino Linotype" w:cs="Palatino Linotype"/>
          <w:i/>
          <w:iCs/>
        </w:rPr>
        <w:lastRenderedPageBreak/>
        <w:t>Quincuagésimo octavo. Los sujetos obligados garantizarán que los sistemas o medios empleados para eliminar la información en las versiones públicas no permitan la recuperación o visualización de la misma.”</w:t>
      </w:r>
    </w:p>
    <w:p w:rsidR="008E1546" w:rsidRPr="00F45679" w:rsidRDefault="008E1546">
      <w:pPr>
        <w:spacing w:line="360" w:lineRule="auto"/>
        <w:ind w:left="851" w:right="902"/>
        <w:jc w:val="both"/>
        <w:rPr>
          <w:rFonts w:ascii="Palatino Linotype" w:eastAsia="Palatino Linotype" w:hAnsi="Palatino Linotype" w:cs="Palatino Linotype"/>
          <w:i/>
          <w:iCs/>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Por lo tanto, </w:t>
      </w:r>
      <w:r w:rsidRPr="00F45679">
        <w:rPr>
          <w:rFonts w:ascii="Palatino Linotype" w:eastAsia="Palatino Linotype" w:hAnsi="Palatino Linotype" w:cs="Palatino Linotype"/>
          <w:b/>
          <w:bCs/>
        </w:rPr>
        <w:t xml:space="preserve">la entrega de documentos en su versión pública debe acompañarse </w:t>
      </w:r>
      <w:r w:rsidRPr="00F45679">
        <w:rPr>
          <w:rFonts w:ascii="Palatino Linotype" w:eastAsia="Palatino Linotype" w:hAnsi="Palatino Linotype" w:cs="Palatino Linotype"/>
        </w:rPr>
        <w:t>necesariamente</w:t>
      </w:r>
      <w:r w:rsidRPr="00F45679">
        <w:rPr>
          <w:rFonts w:ascii="Palatino Linotype" w:eastAsia="Palatino Linotype" w:hAnsi="Palatino Linotype" w:cs="Palatino Linotype"/>
          <w:b/>
          <w:bCs/>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F45679">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E1546" w:rsidRPr="00F45679" w:rsidRDefault="008E1546">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Los </w:t>
      </w:r>
      <w:r w:rsidRPr="00F45679">
        <w:rPr>
          <w:rFonts w:ascii="Palatino Linotype" w:eastAsia="Palatino Linotype" w:hAnsi="Palatino Linotype" w:cs="Palatino Linotype"/>
        </w:rPr>
        <w:t>sujetos</w:t>
      </w:r>
      <w:r w:rsidRPr="00F45679">
        <w:rPr>
          <w:rFonts w:ascii="Palatino Linotype" w:eastAsia="Palatino Linotype" w:hAnsi="Palatino Linotype" w:cs="Palatino Linotype"/>
          <w:color w:val="000000"/>
        </w:rPr>
        <w:t xml:space="preserve"> obligados</w:t>
      </w:r>
      <w:r w:rsidRPr="00F45679">
        <w:rPr>
          <w:rFonts w:ascii="Palatino Linotype" w:eastAsia="Palatino Linotype" w:hAnsi="Palatino Linotype" w:cs="Palatino Linotype"/>
          <w:b/>
          <w:bCs/>
          <w:color w:val="000000"/>
        </w:rPr>
        <w:t xml:space="preserve"> </w:t>
      </w:r>
      <w:r w:rsidRPr="00F45679">
        <w:rPr>
          <w:rFonts w:ascii="Palatino Linotype" w:eastAsia="Palatino Linotype" w:hAnsi="Palatino Linotype" w:cs="Palatino Linotype"/>
          <w:color w:val="000000"/>
        </w:rPr>
        <w:t xml:space="preserve">serán responsables de los datos personales en su </w:t>
      </w:r>
      <w:r w:rsidRPr="00F45679">
        <w:rPr>
          <w:rFonts w:ascii="Palatino Linotype" w:eastAsia="Palatino Linotype" w:hAnsi="Palatino Linotype" w:cs="Palatino Linotype"/>
        </w:rPr>
        <w:t>posesión</w:t>
      </w:r>
      <w:r w:rsidRPr="00F45679">
        <w:rPr>
          <w:rFonts w:ascii="Palatino Linotype" w:eastAsia="Palatino Linotype" w:hAnsi="Palatino Linotype" w:cs="Palatino Linotype"/>
          <w:color w:val="000000"/>
        </w:rPr>
        <w:t xml:space="preserve"> y que, en </w:t>
      </w:r>
      <w:r w:rsidRPr="00F45679">
        <w:rPr>
          <w:rFonts w:ascii="Palatino Linotype" w:eastAsia="Palatino Linotype" w:hAnsi="Palatino Linotype" w:cs="Palatino Linotype"/>
        </w:rPr>
        <w:t>caso</w:t>
      </w:r>
      <w:r w:rsidRPr="00F45679">
        <w:rPr>
          <w:rFonts w:ascii="Palatino Linotype" w:eastAsia="Palatino Linotype" w:hAnsi="Palatino Linotype" w:cs="Palatino Linotype"/>
          <w:color w:val="000000"/>
        </w:rPr>
        <w:t xml:space="preserve"> de localizarse datos concernientes a terceros, éstos no podrán difundir, </w:t>
      </w:r>
      <w:r w:rsidRPr="00F45679">
        <w:rPr>
          <w:rFonts w:ascii="Palatino Linotype" w:eastAsia="Palatino Linotype" w:hAnsi="Palatino Linotype" w:cs="Palatino Linotype"/>
        </w:rPr>
        <w:t>distribuir</w:t>
      </w:r>
      <w:r w:rsidRPr="00F45679">
        <w:rPr>
          <w:rFonts w:ascii="Palatino Linotype" w:eastAsia="Palatino Linotype" w:hAnsi="Palatino Linotype" w:cs="Palatino Linotype"/>
          <w:color w:val="000000"/>
        </w:rPr>
        <w:t xml:space="preserve"> o comercializar los datos personales.  Cabe destacar que, para la realización de la clasificación de la información, se deben seguir una serie de pasos y procedimientos, por lo que es menester reiterar los mismos:</w:t>
      </w:r>
    </w:p>
    <w:p w:rsidR="008E1546" w:rsidRPr="00F45679" w:rsidRDefault="008E1546">
      <w:pPr>
        <w:tabs>
          <w:tab w:val="left" w:pos="284"/>
        </w:tabs>
        <w:spacing w:line="360" w:lineRule="auto"/>
        <w:ind w:right="49"/>
        <w:jc w:val="both"/>
        <w:rPr>
          <w:rFonts w:ascii="Palatino Linotype" w:eastAsia="Palatino Linotype" w:hAnsi="Palatino Linotype" w:cs="Palatino Linotype"/>
          <w:color w:val="000000"/>
        </w:rPr>
      </w:pPr>
    </w:p>
    <w:tbl>
      <w:tblPr>
        <w:tblStyle w:val="a"/>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1"/>
        <w:gridCol w:w="7227"/>
      </w:tblGrid>
      <w:tr w:rsidR="008E1546" w:rsidRPr="00F45679" w:rsidTr="00F45679">
        <w:tc>
          <w:tcPr>
            <w:tcW w:w="2691"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rPr>
                <w:rFonts w:ascii="Palatino Linotype" w:eastAsia="Palatino Linotype" w:hAnsi="Palatino Linotype" w:cs="Palatino Linotype"/>
              </w:rPr>
            </w:pPr>
            <w:r w:rsidRPr="00F45679">
              <w:rPr>
                <w:rFonts w:ascii="Palatino Linotype" w:eastAsia="Palatino Linotype" w:hAnsi="Palatino Linotype" w:cs="Palatino Linotype"/>
              </w:rPr>
              <w:t>a) Requisitos previos.</w:t>
            </w:r>
          </w:p>
        </w:tc>
        <w:tc>
          <w:tcPr>
            <w:tcW w:w="7227"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w:t>
            </w:r>
            <w:r w:rsidRPr="00F45679">
              <w:rPr>
                <w:rFonts w:ascii="Palatino Linotype" w:eastAsia="Palatino Linotype" w:hAnsi="Palatino Linotype" w:cs="Palatino Linotype"/>
                <w:color w:val="000000"/>
              </w:rPr>
              <w:lastRenderedPageBreak/>
              <w:t xml:space="preserve">que la información actualiza alguno de los supuestos de clasificación, es deber de los titulares de las áreas proponer su clasificación y no del Comité de Transparencia. </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8E1546" w:rsidRPr="00F45679" w:rsidRDefault="00BA2679">
            <w:pPr>
              <w:tabs>
                <w:tab w:val="left" w:pos="284"/>
              </w:tabs>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F4567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F4567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8E1546" w:rsidRPr="00F45679" w:rsidRDefault="008E1546">
            <w:pPr>
              <w:tabs>
                <w:tab w:val="left" w:pos="284"/>
              </w:tabs>
              <w:jc w:val="both"/>
              <w:rPr>
                <w:rFonts w:ascii="Palatino Linotype" w:eastAsia="Palatino Linotype" w:hAnsi="Palatino Linotype" w:cs="Palatino Linotype"/>
              </w:rPr>
            </w:pPr>
          </w:p>
        </w:tc>
      </w:tr>
      <w:tr w:rsidR="008E1546" w:rsidRPr="00F45679" w:rsidTr="00F45679">
        <w:tc>
          <w:tcPr>
            <w:tcW w:w="2691"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rPr>
                <w:rFonts w:ascii="Palatino Linotype" w:eastAsia="Palatino Linotype" w:hAnsi="Palatino Linotype" w:cs="Palatino Linotype"/>
              </w:rPr>
            </w:pPr>
            <w:r w:rsidRPr="00F45679">
              <w:rPr>
                <w:rFonts w:ascii="Palatino Linotype" w:eastAsia="Palatino Linotype" w:hAnsi="Palatino Linotype" w:cs="Palatino Linotype"/>
              </w:rPr>
              <w:lastRenderedPageBreak/>
              <w:t>b) Supuestos de clasificación.</w:t>
            </w:r>
          </w:p>
        </w:tc>
        <w:tc>
          <w:tcPr>
            <w:tcW w:w="7227"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E1546" w:rsidRPr="00F45679" w:rsidRDefault="00BA2679">
            <w:pPr>
              <w:tabs>
                <w:tab w:val="left" w:pos="284"/>
              </w:tabs>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El </w:t>
            </w:r>
            <w:r w:rsidRPr="00F45679">
              <w:rPr>
                <w:rFonts w:ascii="Palatino Linotype" w:eastAsia="Palatino Linotype" w:hAnsi="Palatino Linotype" w:cs="Palatino Linotype"/>
                <w:b/>
                <w:bCs/>
                <w:color w:val="000000"/>
              </w:rPr>
              <w:t>Sujeto Obligado</w:t>
            </w:r>
            <w:r w:rsidRPr="00F4567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w:t>
            </w:r>
            <w:r w:rsidRPr="00F45679">
              <w:rPr>
                <w:rFonts w:ascii="Palatino Linotype" w:eastAsia="Palatino Linotype" w:hAnsi="Palatino Linotype" w:cs="Palatino Linotype"/>
                <w:color w:val="000000"/>
              </w:rPr>
              <w:lastRenderedPageBreak/>
              <w:t>público habilitado y el titular del área que administra la información.</w:t>
            </w:r>
          </w:p>
          <w:p w:rsidR="008E1546" w:rsidRPr="00F45679" w:rsidRDefault="008E1546">
            <w:pPr>
              <w:tabs>
                <w:tab w:val="left" w:pos="284"/>
              </w:tabs>
              <w:jc w:val="both"/>
              <w:rPr>
                <w:rFonts w:ascii="Palatino Linotype" w:eastAsia="Palatino Linotype" w:hAnsi="Palatino Linotype" w:cs="Palatino Linotype"/>
              </w:rPr>
            </w:pPr>
          </w:p>
        </w:tc>
      </w:tr>
      <w:tr w:rsidR="008E1546" w:rsidRPr="00F45679" w:rsidTr="00F45679">
        <w:tc>
          <w:tcPr>
            <w:tcW w:w="2691"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rPr>
                <w:rFonts w:ascii="Palatino Linotype" w:eastAsia="Palatino Linotype" w:hAnsi="Palatino Linotype" w:cs="Palatino Linotype"/>
              </w:rPr>
            </w:pPr>
            <w:r w:rsidRPr="00F45679">
              <w:rPr>
                <w:rFonts w:ascii="Palatino Linotype" w:eastAsia="Palatino Linotype" w:hAnsi="Palatino Linotype" w:cs="Palatino Linotype"/>
              </w:rPr>
              <w:lastRenderedPageBreak/>
              <w:t>c) Formalidades para emitir el acuerdo de clasificación.</w:t>
            </w:r>
          </w:p>
        </w:tc>
        <w:tc>
          <w:tcPr>
            <w:tcW w:w="7227"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Es necesario que </w:t>
            </w:r>
            <w:r w:rsidRPr="00F45679">
              <w:rPr>
                <w:rFonts w:ascii="Palatino Linotype" w:eastAsia="Palatino Linotype" w:hAnsi="Palatino Linotype" w:cs="Palatino Linotype"/>
                <w:b/>
                <w:bCs/>
                <w:color w:val="000000"/>
                <w:u w:val="single"/>
              </w:rPr>
              <w:t>el acto reúna con los requisitos elementales</w:t>
            </w:r>
            <w:r w:rsidRPr="00F45679">
              <w:rPr>
                <w:rFonts w:ascii="Palatino Linotype" w:eastAsia="Palatino Linotype" w:hAnsi="Palatino Linotype" w:cs="Palatino Linotype"/>
                <w:color w:val="000000"/>
              </w:rPr>
              <w:t>, entre ellos, que la autoridad que va a emitir el acto de autoridad sea la legalmente facultada para ello.</w:t>
            </w:r>
          </w:p>
          <w:p w:rsidR="008E1546" w:rsidRPr="00F45679" w:rsidRDefault="00BA2679">
            <w:pPr>
              <w:tabs>
                <w:tab w:val="left" w:pos="284"/>
              </w:tabs>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E1546" w:rsidRPr="00F45679" w:rsidRDefault="008E1546">
            <w:pPr>
              <w:tabs>
                <w:tab w:val="left" w:pos="284"/>
              </w:tabs>
              <w:jc w:val="both"/>
              <w:rPr>
                <w:rFonts w:ascii="Palatino Linotype" w:eastAsia="Palatino Linotype" w:hAnsi="Palatino Linotype" w:cs="Palatino Linotype"/>
              </w:rPr>
            </w:pPr>
          </w:p>
        </w:tc>
      </w:tr>
      <w:tr w:rsidR="008E1546" w:rsidRPr="00F45679" w:rsidTr="00F45679">
        <w:tc>
          <w:tcPr>
            <w:tcW w:w="2691" w:type="dxa"/>
            <w:tcBorders>
              <w:top w:val="single" w:sz="4" w:space="0" w:color="BFBFBF"/>
              <w:left w:val="single" w:sz="4" w:space="0" w:color="BFBFBF"/>
              <w:bottom w:val="single" w:sz="4" w:space="0" w:color="BFBFBF"/>
              <w:right w:val="single" w:sz="4" w:space="0" w:color="BFBFBF"/>
            </w:tcBorders>
          </w:tcPr>
          <w:p w:rsidR="008E1546" w:rsidRPr="00F45679" w:rsidRDefault="008E1546">
            <w:pPr>
              <w:tabs>
                <w:tab w:val="left" w:pos="284"/>
              </w:tabs>
              <w:rPr>
                <w:rFonts w:ascii="Palatino Linotype" w:eastAsia="Palatino Linotype" w:hAnsi="Palatino Linotype" w:cs="Palatino Linotype"/>
              </w:rPr>
            </w:pPr>
          </w:p>
          <w:p w:rsidR="008E1546" w:rsidRPr="00F45679" w:rsidRDefault="00BA2679">
            <w:pPr>
              <w:tabs>
                <w:tab w:val="left" w:pos="284"/>
              </w:tabs>
              <w:jc w:val="both"/>
              <w:rPr>
                <w:rFonts w:ascii="Palatino Linotype" w:eastAsia="Palatino Linotype" w:hAnsi="Palatino Linotype" w:cs="Palatino Linotype"/>
              </w:rPr>
            </w:pPr>
            <w:r w:rsidRPr="00F45679">
              <w:rPr>
                <w:rFonts w:ascii="Palatino Linotype" w:eastAsia="Palatino Linotype" w:hAnsi="Palatino Linotype" w:cs="Palatino Linotype"/>
                <w:color w:val="000000"/>
              </w:rPr>
              <w:t xml:space="preserve">d) Requisitos de fondo del acuerdo de clasificación. </w:t>
            </w:r>
          </w:p>
        </w:tc>
        <w:tc>
          <w:tcPr>
            <w:tcW w:w="7227"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45679">
              <w:rPr>
                <w:rFonts w:ascii="Palatino Linotype" w:eastAsia="Palatino Linotype" w:hAnsi="Palatino Linotype" w:cs="Palatino Linotype"/>
                <w:b/>
                <w:bCs/>
                <w:color w:val="000000"/>
              </w:rPr>
              <w:t>Sujetos Obligados</w:t>
            </w:r>
            <w:r w:rsidRPr="00F45679">
              <w:rPr>
                <w:rFonts w:ascii="Palatino Linotype" w:eastAsia="Palatino Linotype" w:hAnsi="Palatino Linotype" w:cs="Palatino Linotype"/>
                <w:color w:val="000000"/>
              </w:rPr>
              <w:t xml:space="preserve">, por lo que deberán fundar y motivar debidamente la clasificación. </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De lo anterior, se desprende que para una correcta </w:t>
            </w:r>
            <w:r w:rsidRPr="00F45679">
              <w:rPr>
                <w:rFonts w:ascii="Palatino Linotype" w:eastAsia="Palatino Linotype" w:hAnsi="Palatino Linotype" w:cs="Palatino Linotype"/>
                <w:b/>
                <w:bCs/>
                <w:color w:val="000000"/>
              </w:rPr>
              <w:t>clasificación total o parcial</w:t>
            </w:r>
            <w:r w:rsidRPr="00F4567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Ahora bien, </w:t>
            </w:r>
            <w:r w:rsidRPr="00F45679">
              <w:rPr>
                <w:rFonts w:ascii="Palatino Linotype" w:eastAsia="Palatino Linotype" w:hAnsi="Palatino Linotype" w:cs="Palatino Linotype"/>
                <w:b/>
                <w:bCs/>
                <w:color w:val="000000"/>
                <w:u w:val="single"/>
              </w:rPr>
              <w:t>para cada caso además de fundar y motivar</w:t>
            </w:r>
            <w:r w:rsidRPr="00F4567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8E1546" w:rsidRPr="00F45679" w:rsidRDefault="008E1546">
            <w:pPr>
              <w:tabs>
                <w:tab w:val="left" w:pos="284"/>
              </w:tabs>
              <w:ind w:right="49"/>
              <w:jc w:val="both"/>
              <w:rPr>
                <w:rFonts w:ascii="Palatino Linotype" w:eastAsia="Palatino Linotype" w:hAnsi="Palatino Linotype" w:cs="Palatino Linotype"/>
                <w:color w:val="000000"/>
              </w:rPr>
            </w:pPr>
          </w:p>
        </w:tc>
      </w:tr>
      <w:tr w:rsidR="008E1546" w:rsidRPr="00F45679" w:rsidTr="00F45679">
        <w:tc>
          <w:tcPr>
            <w:tcW w:w="2691"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rPr>
            </w:pPr>
            <w:r w:rsidRPr="00F45679">
              <w:rPr>
                <w:rFonts w:ascii="Palatino Linotype" w:eastAsia="Palatino Linotype" w:hAnsi="Palatino Linotype" w:cs="Palatino Linotype"/>
              </w:rPr>
              <w:lastRenderedPageBreak/>
              <w:t xml:space="preserve">e) Condiciones especiales de la clasificación de la información como confidencial. </w:t>
            </w:r>
          </w:p>
        </w:tc>
        <w:tc>
          <w:tcPr>
            <w:tcW w:w="7227" w:type="dxa"/>
            <w:tcBorders>
              <w:top w:val="single" w:sz="4" w:space="0" w:color="BFBFBF"/>
              <w:left w:val="single" w:sz="4" w:space="0" w:color="BFBFBF"/>
              <w:bottom w:val="single" w:sz="4" w:space="0" w:color="BFBFBF"/>
              <w:right w:val="single" w:sz="4" w:space="0" w:color="BFBFBF"/>
            </w:tcBorders>
          </w:tcPr>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8E1546" w:rsidRPr="00F45679" w:rsidRDefault="00BA2679">
            <w:pPr>
              <w:tabs>
                <w:tab w:val="left" w:pos="284"/>
              </w:tabs>
              <w:ind w:right="49"/>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E1546" w:rsidRPr="00F45679" w:rsidRDefault="00BA2679">
            <w:pPr>
              <w:tabs>
                <w:tab w:val="left" w:pos="284"/>
              </w:tabs>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8E1546" w:rsidRPr="00F45679" w:rsidRDefault="008E1546">
            <w:pPr>
              <w:tabs>
                <w:tab w:val="left" w:pos="284"/>
              </w:tabs>
              <w:rPr>
                <w:rFonts w:ascii="Palatino Linotype" w:eastAsia="Palatino Linotype" w:hAnsi="Palatino Linotype" w:cs="Palatino Linotype"/>
              </w:rPr>
            </w:pPr>
          </w:p>
        </w:tc>
      </w:tr>
    </w:tbl>
    <w:p w:rsidR="008E1546" w:rsidRPr="00F45679" w:rsidRDefault="008E1546">
      <w:pPr>
        <w:tabs>
          <w:tab w:val="left" w:pos="284"/>
        </w:tabs>
        <w:spacing w:line="360" w:lineRule="auto"/>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rPr>
        <w:t xml:space="preserve">Si el </w:t>
      </w:r>
      <w:r w:rsidRPr="00F45679">
        <w:rPr>
          <w:rFonts w:ascii="Palatino Linotype" w:eastAsia="Palatino Linotype" w:hAnsi="Palatino Linotype" w:cs="Palatino Linotype"/>
          <w:color w:val="000000"/>
        </w:rPr>
        <w:t>servidor</w:t>
      </w:r>
      <w:r w:rsidRPr="00F45679">
        <w:rPr>
          <w:rFonts w:ascii="Palatino Linotype" w:eastAsia="Palatino Linotype" w:hAnsi="Palatino Linotype" w:cs="Palatino Linotype"/>
        </w:rPr>
        <w:t xml:space="preserve"> público incumple con estas formalidades y entrega la información </w:t>
      </w:r>
      <w:r w:rsidRPr="00F45679">
        <w:rPr>
          <w:rFonts w:ascii="Palatino Linotype" w:eastAsia="Palatino Linotype" w:hAnsi="Palatino Linotype" w:cs="Palatino Linotype"/>
          <w:color w:val="000000"/>
        </w:rPr>
        <w:t>sin</w:t>
      </w:r>
      <w:r w:rsidRPr="00F45679">
        <w:rPr>
          <w:rFonts w:ascii="Palatino Linotype" w:eastAsia="Palatino Linotype" w:hAnsi="Palatino Linotype" w:cs="Palatino Linotype"/>
        </w:rPr>
        <w:t xml:space="preserve"> </w:t>
      </w:r>
      <w:r w:rsidRPr="00F45679">
        <w:rPr>
          <w:rFonts w:ascii="Palatino Linotype" w:eastAsia="Palatino Linotype" w:hAnsi="Palatino Linotype" w:cs="Palatino Linotype"/>
          <w:color w:val="000000"/>
        </w:rPr>
        <w:t>proteger</w:t>
      </w:r>
      <w:r w:rsidRPr="00F45679">
        <w:rPr>
          <w:rFonts w:ascii="Palatino Linotype" w:eastAsia="Palatino Linotype" w:hAnsi="Palatino Linotype" w:cs="Palatino Linotype"/>
        </w:rPr>
        <w:t xml:space="preserve"> los datos personales incumple con lo que estipula las </w:t>
      </w:r>
      <w:r w:rsidRPr="00F45679">
        <w:rPr>
          <w:rFonts w:ascii="Palatino Linotype" w:eastAsia="Palatino Linotype" w:hAnsi="Palatino Linotype" w:cs="Palatino Linotype"/>
          <w:color w:val="000000"/>
        </w:rPr>
        <w:t>disposiciones</w:t>
      </w:r>
      <w:r w:rsidRPr="00F45679">
        <w:rPr>
          <w:rFonts w:ascii="Palatino Linotype" w:eastAsia="Palatino Linotype" w:hAnsi="Palatino Linotype" w:cs="Palatino Linotype"/>
        </w:rPr>
        <w:t xml:space="preserve"> legales </w:t>
      </w:r>
      <w:r w:rsidRPr="00F45679">
        <w:rPr>
          <w:rFonts w:ascii="Palatino Linotype" w:eastAsia="Palatino Linotype" w:hAnsi="Palatino Linotype" w:cs="Palatino Linotype"/>
          <w:color w:val="000000"/>
        </w:rPr>
        <w:t>establecidas</w:t>
      </w:r>
      <w:r w:rsidRPr="00F45679">
        <w:rPr>
          <w:rFonts w:ascii="Palatino Linotype" w:eastAsia="Palatino Linotype" w:hAnsi="Palatino Linotype" w:cs="Palatino Linotype"/>
        </w:rPr>
        <w:t>, asimismo que si entrega un documento testado sin el debido acuerdo de clasificación.</w:t>
      </w:r>
    </w:p>
    <w:p w:rsidR="008E1546" w:rsidRPr="00F45679" w:rsidRDefault="008E1546">
      <w:pPr>
        <w:spacing w:line="360" w:lineRule="auto"/>
        <w:jc w:val="both"/>
        <w:rPr>
          <w:rFonts w:ascii="Palatino Linotype" w:eastAsia="Palatino Linotype" w:hAnsi="Palatino Linotype" w:cs="Palatino Linotype"/>
          <w:color w:val="000000"/>
        </w:rPr>
      </w:pPr>
    </w:p>
    <w:p w:rsidR="008E1546" w:rsidRPr="00F45679" w:rsidRDefault="00BA2679">
      <w:pPr>
        <w:numPr>
          <w:ilvl w:val="0"/>
          <w:numId w:val="1"/>
        </w:numPr>
        <w:spacing w:line="360" w:lineRule="auto"/>
        <w:ind w:left="0" w:firstLine="0"/>
        <w:jc w:val="both"/>
        <w:rPr>
          <w:rFonts w:ascii="Palatino Linotype" w:eastAsia="Palatino Linotype" w:hAnsi="Palatino Linotype" w:cs="Palatino Linotype"/>
        </w:rPr>
      </w:pPr>
      <w:r w:rsidRPr="00F45679">
        <w:rPr>
          <w:rFonts w:ascii="Palatino Linotype" w:eastAsia="Palatino Linotype" w:hAnsi="Palatino Linotype" w:cs="Palatino Linotype"/>
          <w:color w:val="222222"/>
        </w:rPr>
        <w:t xml:space="preserve">Por lo </w:t>
      </w:r>
      <w:r w:rsidRPr="00F45679">
        <w:rPr>
          <w:rFonts w:ascii="Palatino Linotype" w:eastAsia="Palatino Linotype" w:hAnsi="Palatino Linotype" w:cs="Palatino Linotype"/>
        </w:rPr>
        <w:t>anteriormente</w:t>
      </w:r>
      <w:r w:rsidRPr="00F45679">
        <w:rPr>
          <w:rFonts w:ascii="Palatino Linotype" w:eastAsia="Palatino Linotype" w:hAnsi="Palatino Linotype" w:cs="Palatino Linotype"/>
          <w:color w:val="222222"/>
        </w:rPr>
        <w:t xml:space="preserve"> expuesto y fundado, este </w:t>
      </w:r>
      <w:r w:rsidRPr="00F45679">
        <w:rPr>
          <w:rFonts w:ascii="Palatino Linotype" w:eastAsia="Palatino Linotype" w:hAnsi="Palatino Linotype" w:cs="Palatino Linotype"/>
          <w:b/>
          <w:bCs/>
          <w:color w:val="222222"/>
        </w:rPr>
        <w:t>ÓRGANO GARANTE</w:t>
      </w:r>
      <w:r w:rsidRPr="00F45679">
        <w:rPr>
          <w:rFonts w:ascii="Palatino Linotype" w:eastAsia="Palatino Linotype" w:hAnsi="Palatino Linotype" w:cs="Palatino Linotype"/>
          <w:color w:val="222222"/>
        </w:rPr>
        <w:t xml:space="preserve"> emite los </w:t>
      </w:r>
      <w:r w:rsidRPr="00F45679">
        <w:rPr>
          <w:rFonts w:ascii="Palatino Linotype" w:eastAsia="Palatino Linotype" w:hAnsi="Palatino Linotype" w:cs="Palatino Linotype"/>
        </w:rPr>
        <w:t>siguientes</w:t>
      </w:r>
      <w:r w:rsidRPr="00F45679">
        <w:rPr>
          <w:rFonts w:ascii="Palatino Linotype" w:eastAsia="Palatino Linotype" w:hAnsi="Palatino Linotype" w:cs="Palatino Linotype"/>
          <w:color w:val="222222"/>
        </w:rPr>
        <w:t>:</w:t>
      </w:r>
    </w:p>
    <w:p w:rsidR="008E1546" w:rsidRPr="00F45679" w:rsidRDefault="008E1546">
      <w:pPr>
        <w:pBdr>
          <w:top w:val="nil"/>
          <w:left w:val="nil"/>
          <w:bottom w:val="nil"/>
          <w:right w:val="nil"/>
          <w:between w:val="nil"/>
        </w:pBdr>
        <w:ind w:left="720"/>
        <w:rPr>
          <w:rFonts w:ascii="Palatino Linotype" w:eastAsia="Palatino Linotype" w:hAnsi="Palatino Linotype" w:cs="Palatino Linotype"/>
          <w:color w:val="000000"/>
        </w:rPr>
      </w:pPr>
    </w:p>
    <w:p w:rsidR="008E1546" w:rsidRPr="00F45679" w:rsidRDefault="00BA2679">
      <w:pPr>
        <w:pBdr>
          <w:top w:val="nil"/>
          <w:left w:val="nil"/>
          <w:bottom w:val="nil"/>
          <w:right w:val="nil"/>
          <w:between w:val="nil"/>
        </w:pBdr>
        <w:spacing w:line="360" w:lineRule="auto"/>
        <w:jc w:val="center"/>
        <w:rPr>
          <w:rFonts w:ascii="Palatino Linotype" w:eastAsia="Palatino Linotype" w:hAnsi="Palatino Linotype" w:cs="Palatino Linotype"/>
          <w:b/>
          <w:bCs/>
        </w:rPr>
      </w:pPr>
      <w:r w:rsidRPr="00F45679">
        <w:rPr>
          <w:rFonts w:ascii="Palatino Linotype" w:eastAsia="Palatino Linotype" w:hAnsi="Palatino Linotype" w:cs="Palatino Linotype"/>
          <w:b/>
          <w:bCs/>
        </w:rPr>
        <w:t>R E S O L U T I V O S</w:t>
      </w:r>
    </w:p>
    <w:p w:rsidR="008E1546" w:rsidRPr="00F45679" w:rsidRDefault="008E1546">
      <w:pPr>
        <w:pBdr>
          <w:top w:val="nil"/>
          <w:left w:val="nil"/>
          <w:bottom w:val="nil"/>
          <w:right w:val="nil"/>
          <w:between w:val="nil"/>
        </w:pBdr>
        <w:spacing w:line="360" w:lineRule="auto"/>
        <w:jc w:val="center"/>
        <w:rPr>
          <w:rFonts w:ascii="Palatino Linotype" w:eastAsia="Palatino Linotype" w:hAnsi="Palatino Linotype" w:cs="Palatino Linotype"/>
          <w:b/>
          <w:bCs/>
        </w:rPr>
      </w:pPr>
    </w:p>
    <w:p w:rsidR="008E1546" w:rsidRPr="00F45679" w:rsidRDefault="00BA2679">
      <w:pPr>
        <w:spacing w:line="360" w:lineRule="auto"/>
        <w:jc w:val="both"/>
        <w:rPr>
          <w:rFonts w:ascii="Palatino Linotype" w:eastAsia="Palatino Linotype" w:hAnsi="Palatino Linotype" w:cs="Palatino Linotype"/>
        </w:rPr>
      </w:pPr>
      <w:r w:rsidRPr="00F45679">
        <w:rPr>
          <w:rFonts w:ascii="Palatino Linotype" w:eastAsia="Palatino Linotype" w:hAnsi="Palatino Linotype" w:cs="Palatino Linotype"/>
          <w:b/>
          <w:bCs/>
        </w:rPr>
        <w:t>PRIMERO</w:t>
      </w:r>
      <w:r w:rsidRPr="00F45679">
        <w:rPr>
          <w:rFonts w:ascii="Palatino Linotype" w:eastAsia="Palatino Linotype" w:hAnsi="Palatino Linotype" w:cs="Palatino Linotype"/>
        </w:rPr>
        <w:t xml:space="preserve">. Resultan fundadas las razones o motivos de inconformidad hechos valer en el Recurso de Revisión </w:t>
      </w:r>
      <w:r w:rsidRPr="00F45679">
        <w:rPr>
          <w:rFonts w:ascii="Palatino Linotype" w:eastAsia="Palatino Linotype" w:hAnsi="Palatino Linotype" w:cs="Palatino Linotype"/>
          <w:b/>
          <w:bCs/>
        </w:rPr>
        <w:t xml:space="preserve">06018/INFOEM/IP/RR/2025, </w:t>
      </w:r>
      <w:r w:rsidRPr="00F45679">
        <w:rPr>
          <w:rFonts w:ascii="Palatino Linotype" w:eastAsia="Palatino Linotype" w:hAnsi="Palatino Linotype" w:cs="Palatino Linotype"/>
        </w:rPr>
        <w:t xml:space="preserve">en términos de los </w:t>
      </w:r>
      <w:r w:rsidRPr="00F45679">
        <w:rPr>
          <w:rFonts w:ascii="Palatino Linotype" w:eastAsia="Palatino Linotype" w:hAnsi="Palatino Linotype" w:cs="Palatino Linotype"/>
          <w:b/>
          <w:bCs/>
        </w:rPr>
        <w:t>Considerandos</w:t>
      </w:r>
      <w:r w:rsidRPr="00F45679">
        <w:rPr>
          <w:rFonts w:ascii="Palatino Linotype" w:eastAsia="Palatino Linotype" w:hAnsi="Palatino Linotype" w:cs="Palatino Linotype"/>
        </w:rPr>
        <w:t xml:space="preserve"> </w:t>
      </w:r>
      <w:r w:rsidRPr="00F45679">
        <w:rPr>
          <w:rFonts w:ascii="Palatino Linotype" w:eastAsia="Palatino Linotype" w:hAnsi="Palatino Linotype" w:cs="Palatino Linotype"/>
          <w:b/>
          <w:bCs/>
        </w:rPr>
        <w:t>Cuarto</w:t>
      </w:r>
      <w:r w:rsidRPr="00F45679">
        <w:rPr>
          <w:rFonts w:ascii="Palatino Linotype" w:eastAsia="Palatino Linotype" w:hAnsi="Palatino Linotype" w:cs="Palatino Linotype"/>
        </w:rPr>
        <w:t xml:space="preserve"> y</w:t>
      </w:r>
      <w:r w:rsidRPr="00F45679">
        <w:rPr>
          <w:rFonts w:ascii="Palatino Linotype" w:eastAsia="Palatino Linotype" w:hAnsi="Palatino Linotype" w:cs="Palatino Linotype"/>
          <w:b/>
          <w:bCs/>
        </w:rPr>
        <w:t xml:space="preserve"> Quinto </w:t>
      </w:r>
      <w:r w:rsidRPr="00F45679">
        <w:rPr>
          <w:rFonts w:ascii="Palatino Linotype" w:eastAsia="Palatino Linotype" w:hAnsi="Palatino Linotype" w:cs="Palatino Linotype"/>
        </w:rPr>
        <w:t>de la presente Resolución.</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spacing w:line="360" w:lineRule="auto"/>
        <w:jc w:val="both"/>
        <w:rPr>
          <w:rFonts w:ascii="Palatino Linotype" w:eastAsia="Palatino Linotype" w:hAnsi="Palatino Linotype" w:cs="Palatino Linotype"/>
        </w:rPr>
      </w:pPr>
      <w:r w:rsidRPr="00F45679">
        <w:rPr>
          <w:rFonts w:ascii="Palatino Linotype" w:eastAsia="Palatino Linotype" w:hAnsi="Palatino Linotype" w:cs="Palatino Linotype"/>
          <w:b/>
          <w:bCs/>
        </w:rPr>
        <w:t xml:space="preserve">SEGUNDO. </w:t>
      </w:r>
      <w:r w:rsidRPr="00F45679">
        <w:rPr>
          <w:rFonts w:ascii="Palatino Linotype" w:eastAsia="Palatino Linotype" w:hAnsi="Palatino Linotype" w:cs="Palatino Linotype"/>
          <w:color w:val="000000"/>
        </w:rPr>
        <w:t xml:space="preserve">Se </w:t>
      </w:r>
      <w:r w:rsidRPr="00F45679">
        <w:rPr>
          <w:rFonts w:ascii="Palatino Linotype" w:eastAsia="Palatino Linotype" w:hAnsi="Palatino Linotype" w:cs="Palatino Linotype"/>
          <w:b/>
          <w:bCs/>
          <w:color w:val="000000"/>
        </w:rPr>
        <w:t xml:space="preserve">MODIFICA </w:t>
      </w:r>
      <w:r w:rsidRPr="00F45679">
        <w:rPr>
          <w:rFonts w:ascii="Palatino Linotype" w:eastAsia="Palatino Linotype" w:hAnsi="Palatino Linotype" w:cs="Palatino Linotype"/>
          <w:color w:val="000000"/>
        </w:rPr>
        <w:t xml:space="preserve">la respuesta emitida por el </w:t>
      </w:r>
      <w:r w:rsidRPr="00F45679">
        <w:rPr>
          <w:rFonts w:ascii="Palatino Linotype" w:eastAsia="Palatino Linotype" w:hAnsi="Palatino Linotype" w:cs="Palatino Linotype"/>
          <w:b/>
          <w:bCs/>
          <w:color w:val="000000"/>
        </w:rPr>
        <w:t xml:space="preserve">Ayuntamiento de Texcoco </w:t>
      </w:r>
      <w:r w:rsidRPr="00F45679">
        <w:rPr>
          <w:rFonts w:ascii="Palatino Linotype" w:eastAsia="Palatino Linotype" w:hAnsi="Palatino Linotype" w:cs="Palatino Linotype"/>
          <w:color w:val="000000"/>
        </w:rPr>
        <w:t>a la Solicitud de Información</w:t>
      </w:r>
      <w:r w:rsidRPr="00F45679">
        <w:rPr>
          <w:rFonts w:ascii="Palatino Linotype" w:eastAsia="Palatino Linotype" w:hAnsi="Palatino Linotype" w:cs="Palatino Linotype"/>
          <w:b/>
          <w:bCs/>
          <w:color w:val="000000"/>
        </w:rPr>
        <w:t xml:space="preserve"> </w:t>
      </w:r>
      <w:r w:rsidRPr="00F45679">
        <w:rPr>
          <w:rFonts w:ascii="Palatino Linotype" w:eastAsia="Palatino Linotype" w:hAnsi="Palatino Linotype" w:cs="Palatino Linotype"/>
          <w:b/>
          <w:bCs/>
        </w:rPr>
        <w:t>00060/TEXCOCO/IP/2025;</w:t>
      </w:r>
      <w:r w:rsidRPr="00F45679">
        <w:rPr>
          <w:rFonts w:ascii="Palatino Linotype" w:eastAsia="Palatino Linotype" w:hAnsi="Palatino Linotype" w:cs="Palatino Linotype"/>
        </w:rPr>
        <w:t xml:space="preserve"> por lo que</w:t>
      </w:r>
      <w:r w:rsidRPr="00F45679">
        <w:rPr>
          <w:rFonts w:ascii="Palatino Linotype" w:eastAsia="Palatino Linotype" w:hAnsi="Palatino Linotype" w:cs="Palatino Linotype"/>
          <w:color w:val="000000"/>
        </w:rPr>
        <w:t xml:space="preserve"> se </w:t>
      </w:r>
      <w:r w:rsidRPr="00F45679">
        <w:rPr>
          <w:rFonts w:ascii="Palatino Linotype" w:eastAsia="Palatino Linotype" w:hAnsi="Palatino Linotype" w:cs="Palatino Linotype"/>
          <w:b/>
          <w:bCs/>
          <w:color w:val="000000"/>
        </w:rPr>
        <w:t>ORDENA</w:t>
      </w:r>
      <w:r w:rsidRPr="00F45679">
        <w:rPr>
          <w:rFonts w:ascii="Palatino Linotype" w:eastAsia="Palatino Linotype" w:hAnsi="Palatino Linotype" w:cs="Palatino Linotype"/>
          <w:color w:val="000000"/>
        </w:rPr>
        <w:t xml:space="preserve"> entregar, previa búsqueda exhaustiva y razonable, vía Sistema de Acceso a la Información Mexiquense (</w:t>
      </w:r>
      <w:r w:rsidRPr="00F45679">
        <w:rPr>
          <w:rFonts w:ascii="Palatino Linotype" w:eastAsia="Palatino Linotype" w:hAnsi="Palatino Linotype" w:cs="Palatino Linotype"/>
          <w:b/>
          <w:bCs/>
          <w:color w:val="000000"/>
        </w:rPr>
        <w:t>SAIMEX</w:t>
      </w:r>
      <w:r w:rsidRPr="00F45679">
        <w:rPr>
          <w:rFonts w:ascii="Palatino Linotype" w:eastAsia="Palatino Linotype" w:hAnsi="Palatino Linotype" w:cs="Palatino Linotype"/>
          <w:color w:val="000000"/>
        </w:rPr>
        <w:t>), la siguiente información, en versión pública</w:t>
      </w:r>
      <w:r w:rsidRPr="00F45679">
        <w:rPr>
          <w:rFonts w:ascii="Palatino Linotype" w:eastAsia="Palatino Linotype" w:hAnsi="Palatino Linotype" w:cs="Palatino Linotype"/>
        </w:rPr>
        <w:t>:</w:t>
      </w:r>
    </w:p>
    <w:p w:rsidR="008E1546" w:rsidRPr="00F45679" w:rsidRDefault="00BA267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Contrato de concesión celebrado para la operación de parquímetros, vigente al 23 de abril de 2025;</w:t>
      </w:r>
    </w:p>
    <w:p w:rsidR="008E1546" w:rsidRPr="00F45679" w:rsidRDefault="00BA267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lastRenderedPageBreak/>
        <w:t>Soporte documental en que conste o se advierta el monto recaudado por la operación de parquímetros, del 07 al 23 de abril de 2025; y</w:t>
      </w:r>
    </w:p>
    <w:p w:rsidR="008E1546" w:rsidRPr="00F45679" w:rsidRDefault="00BA2679">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45679">
        <w:rPr>
          <w:rFonts w:ascii="Palatino Linotype" w:eastAsia="Palatino Linotype" w:hAnsi="Palatino Linotype" w:cs="Palatino Linotype"/>
          <w:color w:val="000000"/>
        </w:rPr>
        <w:t>El soporte documental en que conste o se advierta el uso o destino del monto recaudado por la operación de parquímetros, al 23 de abril de 2025.</w:t>
      </w:r>
    </w:p>
    <w:p w:rsidR="008E1546" w:rsidRPr="00F45679" w:rsidRDefault="008E1546">
      <w:pPr>
        <w:pBdr>
          <w:top w:val="nil"/>
          <w:left w:val="nil"/>
          <w:bottom w:val="nil"/>
          <w:right w:val="nil"/>
          <w:between w:val="nil"/>
        </w:pBdr>
        <w:spacing w:line="360" w:lineRule="auto"/>
        <w:ind w:left="778" w:right="284"/>
        <w:jc w:val="both"/>
        <w:rPr>
          <w:rFonts w:ascii="Palatino Linotype" w:eastAsia="Palatino Linotype" w:hAnsi="Palatino Linotype" w:cs="Palatino Linotype"/>
          <w:b/>
          <w:bCs/>
          <w:color w:val="000000"/>
        </w:rPr>
      </w:pPr>
    </w:p>
    <w:p w:rsidR="008E1546" w:rsidRPr="00F45679" w:rsidRDefault="00BA2679">
      <w:pPr>
        <w:spacing w:line="360" w:lineRule="auto"/>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2C2022" w:rsidRPr="00F45679" w:rsidRDefault="002C2022">
      <w:pPr>
        <w:spacing w:line="360" w:lineRule="auto"/>
        <w:jc w:val="both"/>
        <w:rPr>
          <w:rFonts w:ascii="Palatino Linotype" w:eastAsia="Palatino Linotype" w:hAnsi="Palatino Linotype" w:cs="Palatino Linotype"/>
        </w:rPr>
      </w:pPr>
    </w:p>
    <w:p w:rsidR="002C2022" w:rsidRPr="00F45679" w:rsidRDefault="002C2022">
      <w:pPr>
        <w:spacing w:line="360" w:lineRule="auto"/>
        <w:jc w:val="both"/>
        <w:rPr>
          <w:rFonts w:ascii="Palatino Linotype" w:eastAsia="Palatino Linotype" w:hAnsi="Palatino Linotype" w:cs="Palatino Linotype"/>
        </w:rPr>
      </w:pPr>
      <w:r w:rsidRPr="00F45679">
        <w:rPr>
          <w:rFonts w:ascii="Palatino Linotype" w:eastAsia="Palatino Linotype" w:hAnsi="Palatino Linotype" w:cs="Palatino Linotype"/>
        </w:rPr>
        <w:t xml:space="preserve">Para el caso de no haber generado, poseído o administrado lo ordenado en el </w:t>
      </w:r>
      <w:r w:rsidRPr="00F45679">
        <w:rPr>
          <w:rFonts w:ascii="Palatino Linotype" w:eastAsia="Palatino Linotype" w:hAnsi="Palatino Linotype" w:cs="Palatino Linotype"/>
          <w:b/>
        </w:rPr>
        <w:t>inciso c)</w:t>
      </w:r>
      <w:r w:rsidRPr="00F45679">
        <w:rPr>
          <w:rFonts w:ascii="Palatino Linotype" w:eastAsia="Palatino Linotype" w:hAnsi="Palatino Linotype" w:cs="Palatino Linotype"/>
        </w:rPr>
        <w:t xml:space="preserve">, en su parte relativa al </w:t>
      </w:r>
      <w:r w:rsidRPr="00F45679">
        <w:rPr>
          <w:rFonts w:ascii="Palatino Linotype" w:eastAsia="Palatino Linotype" w:hAnsi="Palatino Linotype" w:cs="Palatino Linotype"/>
          <w:color w:val="000000"/>
        </w:rPr>
        <w:t xml:space="preserve">uso o destino del monto recaudado por la operación de parquímetros, bastará con que así lo haga del conocimiento de la parte </w:t>
      </w:r>
      <w:r w:rsidRPr="00F45679">
        <w:rPr>
          <w:rFonts w:ascii="Palatino Linotype" w:eastAsia="Palatino Linotype" w:hAnsi="Palatino Linotype" w:cs="Palatino Linotype"/>
          <w:b/>
          <w:color w:val="000000"/>
        </w:rPr>
        <w:t>RECURRENTE</w:t>
      </w:r>
      <w:r w:rsidRPr="00F45679">
        <w:rPr>
          <w:rFonts w:ascii="Palatino Linotype" w:eastAsia="Palatino Linotype" w:hAnsi="Palatino Linotype" w:cs="Palatino Linotype"/>
          <w:color w:val="000000"/>
        </w:rPr>
        <w:t xml:space="preserve"> en términos del artículo 19 párrafo segundo de la </w:t>
      </w:r>
      <w:r w:rsidRPr="00F45679">
        <w:rPr>
          <w:rFonts w:ascii="Palatino Linotype" w:eastAsia="Palatino Linotype" w:hAnsi="Palatino Linotype" w:cs="Palatino Linotype"/>
        </w:rPr>
        <w:t>Ley de Transparencia y Acceso a la Información Pública del Estado de México y Municipios.</w:t>
      </w:r>
    </w:p>
    <w:p w:rsidR="008E1546" w:rsidRPr="00F45679" w:rsidRDefault="008E1546">
      <w:pPr>
        <w:spacing w:line="360" w:lineRule="auto"/>
        <w:jc w:val="both"/>
        <w:rPr>
          <w:rFonts w:ascii="Palatino Linotype" w:eastAsia="Palatino Linotype" w:hAnsi="Palatino Linotype" w:cs="Palatino Linotype"/>
        </w:rPr>
      </w:pPr>
    </w:p>
    <w:p w:rsidR="008E1546" w:rsidRPr="00F45679" w:rsidRDefault="00BA2679">
      <w:pPr>
        <w:spacing w:line="360" w:lineRule="auto"/>
        <w:ind w:right="51"/>
        <w:jc w:val="both"/>
        <w:rPr>
          <w:rFonts w:ascii="Palatino Linotype" w:eastAsia="Palatino Linotype" w:hAnsi="Palatino Linotype" w:cs="Palatino Linotype"/>
        </w:rPr>
      </w:pPr>
      <w:r w:rsidRPr="00F45679">
        <w:rPr>
          <w:rFonts w:ascii="Palatino Linotype" w:eastAsia="Palatino Linotype" w:hAnsi="Palatino Linotype" w:cs="Palatino Linotype"/>
          <w:b/>
          <w:bCs/>
        </w:rPr>
        <w:t xml:space="preserve">TERCERO. Notifíquese </w:t>
      </w:r>
      <w:r w:rsidRPr="00F4567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45679">
        <w:rPr>
          <w:rFonts w:ascii="Palatino Linotype" w:eastAsia="Palatino Linotype" w:hAnsi="Palatino Linotype" w:cs="Palatino Linotype"/>
          <w:b/>
          <w:bCs/>
        </w:rPr>
        <w:t>dé cumplimiento a lo ordenado dentro del plazo de diez días hábiles,</w:t>
      </w:r>
      <w:r w:rsidRPr="00F45679">
        <w:rPr>
          <w:rFonts w:ascii="Palatino Linotype" w:eastAsia="Palatino Linotype" w:hAnsi="Palatino Linotype" w:cs="Palatino Linotype"/>
        </w:rPr>
        <w:t xml:space="preserve"> e informe a este Instituto en un plazo de tres días hábiles siguientes sobre el cumplimiento </w:t>
      </w:r>
      <w:r w:rsidRPr="00F45679">
        <w:rPr>
          <w:rFonts w:ascii="Palatino Linotype" w:eastAsia="Palatino Linotype" w:hAnsi="Palatino Linotype" w:cs="Palatino Linotype"/>
        </w:rPr>
        <w:lastRenderedPageBreak/>
        <w:t>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E1546" w:rsidRPr="00F45679" w:rsidRDefault="008E1546">
      <w:pPr>
        <w:spacing w:line="360" w:lineRule="auto"/>
        <w:ind w:right="51"/>
        <w:jc w:val="both"/>
        <w:rPr>
          <w:rFonts w:ascii="Palatino Linotype" w:eastAsia="Palatino Linotype" w:hAnsi="Palatino Linotype" w:cs="Palatino Linotype"/>
        </w:rPr>
      </w:pPr>
    </w:p>
    <w:p w:rsidR="008E1546" w:rsidRPr="00F45679" w:rsidRDefault="00BA2679">
      <w:pPr>
        <w:spacing w:line="360" w:lineRule="auto"/>
        <w:ind w:right="51"/>
        <w:jc w:val="both"/>
        <w:rPr>
          <w:rFonts w:ascii="Palatino Linotype" w:eastAsia="Palatino Linotype" w:hAnsi="Palatino Linotype" w:cs="Palatino Linotype"/>
        </w:rPr>
      </w:pPr>
      <w:r w:rsidRPr="00F45679">
        <w:rPr>
          <w:rFonts w:ascii="Palatino Linotype" w:eastAsia="Palatino Linotype" w:hAnsi="Palatino Linotype" w:cs="Palatino Linotype"/>
          <w:b/>
          <w:bCs/>
        </w:rPr>
        <w:t xml:space="preserve">CUARTO. </w:t>
      </w:r>
      <w:r w:rsidRPr="00F4567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45679">
        <w:rPr>
          <w:rFonts w:ascii="Palatino Linotype" w:eastAsia="Palatino Linotype" w:hAnsi="Palatino Linotype" w:cs="Palatino Linotype"/>
          <w:b/>
          <w:bCs/>
        </w:rPr>
        <w:t>SUJETO OBLIGADO</w:t>
      </w:r>
      <w:r w:rsidRPr="00F45679">
        <w:rPr>
          <w:rFonts w:ascii="Palatino Linotype" w:eastAsia="Palatino Linotype" w:hAnsi="Palatino Linotype" w:cs="Palatino Linotype"/>
        </w:rPr>
        <w:t xml:space="preserve"> de manera fundada y motivada, podrá solicitar una ampliación de plazo para el cumplimiento de la presente Resolución.</w:t>
      </w:r>
    </w:p>
    <w:p w:rsidR="008E1546" w:rsidRPr="00F45679" w:rsidRDefault="008E1546">
      <w:pPr>
        <w:spacing w:line="360" w:lineRule="auto"/>
        <w:ind w:right="51"/>
        <w:jc w:val="both"/>
        <w:rPr>
          <w:rFonts w:ascii="Palatino Linotype" w:eastAsia="Palatino Linotype" w:hAnsi="Palatino Linotype" w:cs="Palatino Linotype"/>
        </w:rPr>
      </w:pPr>
    </w:p>
    <w:p w:rsidR="008E1546" w:rsidRPr="00F45679" w:rsidRDefault="00BA2679">
      <w:pPr>
        <w:tabs>
          <w:tab w:val="left" w:pos="8080"/>
        </w:tabs>
        <w:spacing w:line="360" w:lineRule="auto"/>
        <w:ind w:right="51"/>
        <w:jc w:val="both"/>
        <w:rPr>
          <w:rFonts w:ascii="Palatino Linotype" w:eastAsia="Palatino Linotype" w:hAnsi="Palatino Linotype" w:cs="Palatino Linotype"/>
        </w:rPr>
      </w:pPr>
      <w:bookmarkStart w:id="6" w:name="_heading=h.lnxbz9" w:colFirst="0" w:colLast="0"/>
      <w:bookmarkEnd w:id="6"/>
      <w:r w:rsidRPr="00F45679">
        <w:rPr>
          <w:rFonts w:ascii="Palatino Linotype" w:eastAsia="Palatino Linotype" w:hAnsi="Palatino Linotype" w:cs="Palatino Linotype"/>
          <w:b/>
          <w:bCs/>
        </w:rPr>
        <w:t xml:space="preserve">QUINTO. </w:t>
      </w:r>
      <w:r w:rsidRPr="00F45679">
        <w:rPr>
          <w:rFonts w:ascii="Palatino Linotype" w:eastAsia="Palatino Linotype" w:hAnsi="Palatino Linotype" w:cs="Palatino Linotype"/>
        </w:rPr>
        <w:t xml:space="preserve">Notifíquese al </w:t>
      </w:r>
      <w:r w:rsidRPr="00F45679">
        <w:rPr>
          <w:rFonts w:ascii="Palatino Linotype" w:eastAsia="Palatino Linotype" w:hAnsi="Palatino Linotype" w:cs="Palatino Linotype"/>
          <w:b/>
          <w:bCs/>
        </w:rPr>
        <w:t>RECURRENTE</w:t>
      </w:r>
      <w:r w:rsidRPr="00F45679">
        <w:rPr>
          <w:rFonts w:ascii="Palatino Linotype" w:eastAsia="Palatino Linotype" w:hAnsi="Palatino Linotype" w:cs="Palatino Linotype"/>
        </w:rPr>
        <w:t xml:space="preserve"> la presente Resolución, vía </w:t>
      </w:r>
      <w:r w:rsidRPr="00F45679">
        <w:rPr>
          <w:rFonts w:ascii="Palatino Linotype" w:eastAsia="Palatino Linotype" w:hAnsi="Palatino Linotype" w:cs="Palatino Linotype"/>
          <w:b/>
          <w:bCs/>
        </w:rPr>
        <w:t>SAIMEX</w:t>
      </w:r>
      <w:r w:rsidRPr="00F45679">
        <w:rPr>
          <w:rFonts w:ascii="Palatino Linotype" w:eastAsia="Palatino Linotype" w:hAnsi="Palatino Linotype" w:cs="Palatino Linotype"/>
        </w:rPr>
        <w:t>.</w:t>
      </w:r>
    </w:p>
    <w:p w:rsidR="008E1546" w:rsidRPr="00F45679" w:rsidRDefault="008E1546">
      <w:pPr>
        <w:tabs>
          <w:tab w:val="left" w:pos="8080"/>
        </w:tabs>
        <w:spacing w:line="360" w:lineRule="auto"/>
        <w:ind w:right="51"/>
        <w:jc w:val="both"/>
        <w:rPr>
          <w:rFonts w:ascii="Palatino Linotype" w:eastAsia="Palatino Linotype" w:hAnsi="Palatino Linotype" w:cs="Palatino Linotype"/>
        </w:rPr>
      </w:pPr>
    </w:p>
    <w:p w:rsidR="008E1546" w:rsidRPr="00F45679" w:rsidRDefault="00BA2679">
      <w:pPr>
        <w:shd w:val="clear" w:color="auto" w:fill="FFFFFF"/>
        <w:spacing w:line="360" w:lineRule="auto"/>
        <w:ind w:right="51"/>
        <w:jc w:val="both"/>
        <w:rPr>
          <w:rFonts w:ascii="Palatino Linotype" w:eastAsia="Palatino Linotype" w:hAnsi="Palatino Linotype" w:cs="Palatino Linotype"/>
        </w:rPr>
      </w:pPr>
      <w:r w:rsidRPr="00F45679">
        <w:rPr>
          <w:rFonts w:ascii="Palatino Linotype" w:eastAsia="Palatino Linotype" w:hAnsi="Palatino Linotype" w:cs="Palatino Linotype"/>
          <w:b/>
          <w:bCs/>
        </w:rPr>
        <w:t xml:space="preserve">SEXTO. </w:t>
      </w:r>
      <w:r w:rsidRPr="00F45679">
        <w:rPr>
          <w:rFonts w:ascii="Palatino Linotype" w:eastAsia="Palatino Linotype" w:hAnsi="Palatino Linotype" w:cs="Palatino Linotype"/>
        </w:rPr>
        <w:t>Se hace del conocimiento del</w:t>
      </w:r>
      <w:r w:rsidRPr="00F45679">
        <w:rPr>
          <w:rFonts w:ascii="Palatino Linotype" w:eastAsia="Palatino Linotype" w:hAnsi="Palatino Linotype" w:cs="Palatino Linotype"/>
          <w:b/>
          <w:bCs/>
        </w:rPr>
        <w:t xml:space="preserve"> RECURRENTE </w:t>
      </w:r>
      <w:r w:rsidRPr="00F45679">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8E1546" w:rsidRPr="00F45679" w:rsidRDefault="008E1546">
      <w:pPr>
        <w:shd w:val="clear" w:color="auto" w:fill="FFFFFF"/>
        <w:spacing w:line="360" w:lineRule="auto"/>
        <w:jc w:val="both"/>
        <w:rPr>
          <w:rFonts w:ascii="Palatino Linotype" w:eastAsia="Palatino Linotype" w:hAnsi="Palatino Linotype" w:cs="Palatino Linotype"/>
        </w:rPr>
      </w:pPr>
    </w:p>
    <w:p w:rsidR="00542518" w:rsidRPr="00F45679" w:rsidRDefault="00542518" w:rsidP="00542518">
      <w:pPr>
        <w:spacing w:before="240" w:after="240" w:line="360" w:lineRule="auto"/>
        <w:ind w:firstLine="1"/>
        <w:jc w:val="both"/>
        <w:rPr>
          <w:rFonts w:ascii="Palatino Linotype" w:hAnsi="Palatino Linotype"/>
        </w:rPr>
      </w:pPr>
      <w:bookmarkStart w:id="7" w:name="_Hlk99014733"/>
      <w:r w:rsidRPr="00F4567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F45679">
        <w:rPr>
          <w:rFonts w:ascii="Palatino Linotype" w:hAnsi="Palatino Linotype" w:cs="Palatino Linotype"/>
        </w:rPr>
        <w:lastRenderedPageBreak/>
        <w:t xml:space="preserve">GUADALUPE RAMÍREZ PEÑA; EN LA CUARTA SESIÓN ORDINARIA, CELEBRADA EL CINCO (05) DE FEBRERO DE DOS MIL VEINTISÉIS, ANTE EL SECRETARIO TÉCNICO DEL PLENO </w:t>
      </w:r>
      <w:r w:rsidRPr="00F45679">
        <w:rPr>
          <w:rFonts w:ascii="Palatino Linotype" w:hAnsi="Palatino Linotype" w:cs="Palatino Linotype"/>
          <w:color w:val="000000" w:themeColor="text1"/>
        </w:rPr>
        <w:t>ALEXIS TAPIA RAMÍREZ.</w:t>
      </w:r>
    </w:p>
    <w:bookmarkEnd w:id="7"/>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tabs>
          <w:tab w:val="left" w:pos="3374"/>
        </w:tabs>
        <w:spacing w:line="360" w:lineRule="auto"/>
        <w:rPr>
          <w:rFonts w:ascii="Palatino Linotype" w:eastAsia="Palatino Linotype" w:hAnsi="Palatino Linotype" w:cs="Palatino Linotype"/>
        </w:rPr>
      </w:pPr>
    </w:p>
    <w:p w:rsidR="008E1546" w:rsidRPr="00F45679" w:rsidRDefault="008E1546">
      <w:pPr>
        <w:spacing w:line="360" w:lineRule="auto"/>
        <w:rPr>
          <w:rFonts w:ascii="Palatino Linotype" w:eastAsia="Palatino Linotype" w:hAnsi="Palatino Linotype" w:cs="Palatino Linotype"/>
        </w:rPr>
      </w:pPr>
    </w:p>
    <w:p w:rsidR="008E1546" w:rsidRDefault="008E1546">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Default="00F45679">
      <w:pPr>
        <w:spacing w:line="360" w:lineRule="auto"/>
        <w:rPr>
          <w:rFonts w:ascii="Palatino Linotype" w:eastAsia="Palatino Linotype" w:hAnsi="Palatino Linotype" w:cs="Palatino Linotype"/>
        </w:rPr>
      </w:pPr>
    </w:p>
    <w:p w:rsidR="00F45679" w:rsidRPr="00F45679" w:rsidRDefault="00F45679">
      <w:pPr>
        <w:spacing w:line="360" w:lineRule="auto"/>
        <w:rPr>
          <w:rFonts w:ascii="Palatino Linotype" w:eastAsia="Palatino Linotype" w:hAnsi="Palatino Linotype" w:cs="Palatino Linotype"/>
        </w:rPr>
      </w:pPr>
    </w:p>
    <w:p w:rsidR="008E1546" w:rsidRPr="00F45679" w:rsidRDefault="008E1546">
      <w:pPr>
        <w:spacing w:line="360" w:lineRule="auto"/>
        <w:rPr>
          <w:rFonts w:ascii="Palatino Linotype" w:eastAsia="Palatino Linotype" w:hAnsi="Palatino Linotype" w:cs="Palatino Linotype"/>
        </w:rPr>
      </w:pPr>
    </w:p>
    <w:p w:rsidR="008E1546" w:rsidRPr="00F45679" w:rsidRDefault="008E1546">
      <w:pPr>
        <w:spacing w:line="360" w:lineRule="auto"/>
        <w:rPr>
          <w:rFonts w:ascii="Palatino Linotype" w:eastAsia="Palatino Linotype" w:hAnsi="Palatino Linotype" w:cs="Palatino Linotype"/>
        </w:rPr>
      </w:pPr>
    </w:p>
    <w:p w:rsidR="0055067C" w:rsidRPr="00F45679" w:rsidRDefault="0055067C">
      <w:pPr>
        <w:spacing w:line="360" w:lineRule="auto"/>
        <w:rPr>
          <w:rFonts w:ascii="Palatino Linotype" w:eastAsia="Palatino Linotype" w:hAnsi="Palatino Linotype" w:cs="Palatino Linotype"/>
        </w:rPr>
      </w:pPr>
    </w:p>
    <w:p w:rsidR="0055067C" w:rsidRPr="00F45679" w:rsidRDefault="0055067C">
      <w:pPr>
        <w:spacing w:line="360" w:lineRule="auto"/>
        <w:rPr>
          <w:rFonts w:ascii="Palatino Linotype" w:eastAsia="Palatino Linotype" w:hAnsi="Palatino Linotype" w:cs="Palatino Linotype"/>
        </w:rPr>
      </w:pPr>
      <w:bookmarkStart w:id="8" w:name="_GoBack"/>
      <w:bookmarkEnd w:id="8"/>
    </w:p>
    <w:sectPr w:rsidR="0055067C" w:rsidRPr="00F45679" w:rsidSect="00F45679">
      <w:headerReference w:type="even" r:id="rId11"/>
      <w:headerReference w:type="default" r:id="rId12"/>
      <w:footerReference w:type="default" r:id="rId13"/>
      <w:headerReference w:type="first" r:id="rId14"/>
      <w:footerReference w:type="first" r:id="rId15"/>
      <w:pgSz w:w="12240" w:h="15840"/>
      <w:pgMar w:top="2269" w:right="758" w:bottom="2410"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32A" w:rsidRDefault="0091432A">
      <w:r>
        <w:separator/>
      </w:r>
    </w:p>
  </w:endnote>
  <w:endnote w:type="continuationSeparator" w:id="0">
    <w:p w:rsidR="0091432A" w:rsidRDefault="0091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11B984D1-171D-4426-9D4E-235FB1C282C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C44EB02B-F231-42F5-8CDD-56138837E73C}"/>
    <w:embedBold r:id="rId3" w:fontKey="{78091B92-62B9-4A8A-97BF-A92D316062AE}"/>
    <w:embedItalic r:id="rId4" w:fontKey="{F7135CD1-AE8B-4E9E-B9B1-573DFCF60A68}"/>
    <w:embedBoldItalic r:id="rId5" w:fontKey="{0CB61D3C-F7AA-4E2F-85B0-083912884D62}"/>
  </w:font>
  <w:font w:name="Calibri">
    <w:panose1 w:val="020F0502020204030204"/>
    <w:charset w:val="00"/>
    <w:family w:val="swiss"/>
    <w:pitch w:val="variable"/>
    <w:sig w:usb0="E4002EFF" w:usb1="C200247B" w:usb2="00000009" w:usb3="00000000" w:csb0="000001FF" w:csb1="00000000"/>
    <w:embedRegular r:id="rId6" w:fontKey="{FC41A296-B644-4A91-B0A2-6ACB0CCC4C49}"/>
    <w:embedBold r:id="rId7" w:fontKey="{D00E13A6-0612-4A64-94B9-DA0060139542}"/>
    <w:embedItalic r:id="rId8" w:fontKey="{5A9B3BE7-B908-4E18-86A1-5C9DA89381BE}"/>
  </w:font>
  <w:font w:name="Calibri Light">
    <w:panose1 w:val="020F0302020204030204"/>
    <w:charset w:val="00"/>
    <w:family w:val="swiss"/>
    <w:pitch w:val="variable"/>
    <w:sig w:usb0="E4002EFF" w:usb1="C200247B" w:usb2="00000009" w:usb3="00000000" w:csb0="000001FF" w:csb1="00000000"/>
    <w:embedRegular r:id="rId9" w:fontKey="{CFFD178B-99D2-426C-80C1-D700A5F05BF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F5D6F446-EF79-484C-A758-EC9477207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46" w:rsidRPr="00F45679" w:rsidRDefault="00BA2679">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F45679">
      <w:rPr>
        <w:rFonts w:ascii="Palatino Linotype" w:eastAsia="Palatino Linotype" w:hAnsi="Palatino Linotype" w:cs="Palatino Linotype"/>
        <w:b/>
        <w:color w:val="000000"/>
        <w:sz w:val="22"/>
        <w:szCs w:val="20"/>
      </w:rPr>
      <w:t xml:space="preserve">Página </w:t>
    </w:r>
    <w:r w:rsidRPr="00F45679">
      <w:rPr>
        <w:rFonts w:ascii="Palatino Linotype" w:eastAsia="Palatino Linotype" w:hAnsi="Palatino Linotype" w:cs="Palatino Linotype"/>
        <w:b/>
        <w:color w:val="000000"/>
        <w:sz w:val="22"/>
        <w:szCs w:val="20"/>
      </w:rPr>
      <w:fldChar w:fldCharType="begin"/>
    </w:r>
    <w:r w:rsidRPr="00F45679">
      <w:rPr>
        <w:rFonts w:ascii="Palatino Linotype" w:eastAsia="Palatino Linotype" w:hAnsi="Palatino Linotype" w:cs="Palatino Linotype"/>
        <w:b/>
        <w:color w:val="000000"/>
        <w:sz w:val="22"/>
        <w:szCs w:val="20"/>
      </w:rPr>
      <w:instrText>PAGE</w:instrText>
    </w:r>
    <w:r w:rsidRPr="00F45679">
      <w:rPr>
        <w:rFonts w:ascii="Palatino Linotype" w:eastAsia="Palatino Linotype" w:hAnsi="Palatino Linotype" w:cs="Palatino Linotype"/>
        <w:b/>
        <w:color w:val="000000"/>
        <w:sz w:val="22"/>
        <w:szCs w:val="20"/>
      </w:rPr>
      <w:fldChar w:fldCharType="separate"/>
    </w:r>
    <w:r w:rsidR="00F20CB7">
      <w:rPr>
        <w:rFonts w:ascii="Palatino Linotype" w:eastAsia="Palatino Linotype" w:hAnsi="Palatino Linotype" w:cs="Palatino Linotype"/>
        <w:b/>
        <w:noProof/>
        <w:color w:val="000000"/>
        <w:sz w:val="22"/>
        <w:szCs w:val="20"/>
      </w:rPr>
      <w:t>63</w:t>
    </w:r>
    <w:r w:rsidRPr="00F45679">
      <w:rPr>
        <w:rFonts w:ascii="Palatino Linotype" w:eastAsia="Palatino Linotype" w:hAnsi="Palatino Linotype" w:cs="Palatino Linotype"/>
        <w:b/>
        <w:color w:val="000000"/>
        <w:sz w:val="22"/>
        <w:szCs w:val="20"/>
      </w:rPr>
      <w:fldChar w:fldCharType="end"/>
    </w:r>
    <w:r w:rsidRPr="00F45679">
      <w:rPr>
        <w:rFonts w:ascii="Palatino Linotype" w:eastAsia="Palatino Linotype" w:hAnsi="Palatino Linotype" w:cs="Palatino Linotype"/>
        <w:b/>
        <w:color w:val="000000"/>
        <w:sz w:val="22"/>
        <w:szCs w:val="20"/>
      </w:rPr>
      <w:t xml:space="preserve"> de </w:t>
    </w:r>
    <w:r w:rsidRPr="00F45679">
      <w:rPr>
        <w:rFonts w:ascii="Palatino Linotype" w:eastAsia="Palatino Linotype" w:hAnsi="Palatino Linotype" w:cs="Palatino Linotype"/>
        <w:b/>
        <w:color w:val="000000"/>
        <w:sz w:val="22"/>
        <w:szCs w:val="20"/>
      </w:rPr>
      <w:fldChar w:fldCharType="begin"/>
    </w:r>
    <w:r w:rsidRPr="00F45679">
      <w:rPr>
        <w:rFonts w:ascii="Palatino Linotype" w:eastAsia="Palatino Linotype" w:hAnsi="Palatino Linotype" w:cs="Palatino Linotype"/>
        <w:b/>
        <w:color w:val="000000"/>
        <w:sz w:val="22"/>
        <w:szCs w:val="20"/>
      </w:rPr>
      <w:instrText>NUMPAGES</w:instrText>
    </w:r>
    <w:r w:rsidRPr="00F45679">
      <w:rPr>
        <w:rFonts w:ascii="Palatino Linotype" w:eastAsia="Palatino Linotype" w:hAnsi="Palatino Linotype" w:cs="Palatino Linotype"/>
        <w:b/>
        <w:color w:val="000000"/>
        <w:sz w:val="22"/>
        <w:szCs w:val="20"/>
      </w:rPr>
      <w:fldChar w:fldCharType="separate"/>
    </w:r>
    <w:r w:rsidR="00F20CB7">
      <w:rPr>
        <w:rFonts w:ascii="Palatino Linotype" w:eastAsia="Palatino Linotype" w:hAnsi="Palatino Linotype" w:cs="Palatino Linotype"/>
        <w:b/>
        <w:noProof/>
        <w:color w:val="000000"/>
        <w:sz w:val="22"/>
        <w:szCs w:val="20"/>
      </w:rPr>
      <w:t>64</w:t>
    </w:r>
    <w:r w:rsidRPr="00F45679">
      <w:rPr>
        <w:rFonts w:ascii="Palatino Linotype" w:eastAsia="Palatino Linotype" w:hAnsi="Palatino Linotype" w:cs="Palatino Linotype"/>
        <w:b/>
        <w:color w:val="000000"/>
        <w:sz w:val="22"/>
        <w:szCs w:val="20"/>
      </w:rPr>
      <w:fldChar w:fldCharType="end"/>
    </w:r>
  </w:p>
  <w:p w:rsidR="008E1546" w:rsidRDefault="008E154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46" w:rsidRPr="00F45679" w:rsidRDefault="00BA267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F45679">
      <w:rPr>
        <w:rFonts w:ascii="Palatino Linotype" w:eastAsia="Palatino Linotype" w:hAnsi="Palatino Linotype" w:cs="Palatino Linotype"/>
        <w:color w:val="000000"/>
        <w:sz w:val="22"/>
        <w:szCs w:val="20"/>
      </w:rPr>
      <w:t xml:space="preserve">Página </w:t>
    </w:r>
    <w:r w:rsidRPr="00F45679">
      <w:rPr>
        <w:rFonts w:ascii="Palatino Linotype" w:eastAsia="Palatino Linotype" w:hAnsi="Palatino Linotype" w:cs="Palatino Linotype"/>
        <w:color w:val="000000"/>
        <w:sz w:val="22"/>
        <w:szCs w:val="20"/>
      </w:rPr>
      <w:fldChar w:fldCharType="begin"/>
    </w:r>
    <w:r w:rsidRPr="00F45679">
      <w:rPr>
        <w:rFonts w:ascii="Palatino Linotype" w:eastAsia="Palatino Linotype" w:hAnsi="Palatino Linotype" w:cs="Palatino Linotype"/>
        <w:color w:val="000000"/>
        <w:sz w:val="22"/>
        <w:szCs w:val="20"/>
      </w:rPr>
      <w:instrText>PAGE</w:instrText>
    </w:r>
    <w:r w:rsidRPr="00F45679">
      <w:rPr>
        <w:rFonts w:ascii="Palatino Linotype" w:eastAsia="Palatino Linotype" w:hAnsi="Palatino Linotype" w:cs="Palatino Linotype"/>
        <w:color w:val="000000"/>
        <w:sz w:val="22"/>
        <w:szCs w:val="20"/>
      </w:rPr>
      <w:fldChar w:fldCharType="separate"/>
    </w:r>
    <w:r w:rsidR="00F20CB7">
      <w:rPr>
        <w:rFonts w:ascii="Palatino Linotype" w:eastAsia="Palatino Linotype" w:hAnsi="Palatino Linotype" w:cs="Palatino Linotype"/>
        <w:noProof/>
        <w:color w:val="000000"/>
        <w:sz w:val="22"/>
        <w:szCs w:val="20"/>
      </w:rPr>
      <w:t>1</w:t>
    </w:r>
    <w:r w:rsidRPr="00F45679">
      <w:rPr>
        <w:rFonts w:ascii="Palatino Linotype" w:eastAsia="Palatino Linotype" w:hAnsi="Palatino Linotype" w:cs="Palatino Linotype"/>
        <w:color w:val="000000"/>
        <w:sz w:val="22"/>
        <w:szCs w:val="20"/>
      </w:rPr>
      <w:fldChar w:fldCharType="end"/>
    </w:r>
    <w:r w:rsidRPr="00F45679">
      <w:rPr>
        <w:rFonts w:ascii="Palatino Linotype" w:eastAsia="Palatino Linotype" w:hAnsi="Palatino Linotype" w:cs="Palatino Linotype"/>
        <w:color w:val="000000"/>
        <w:sz w:val="22"/>
        <w:szCs w:val="20"/>
      </w:rPr>
      <w:t xml:space="preserve"> de </w:t>
    </w:r>
    <w:r w:rsidRPr="00F45679">
      <w:rPr>
        <w:rFonts w:ascii="Palatino Linotype" w:eastAsia="Palatino Linotype" w:hAnsi="Palatino Linotype" w:cs="Palatino Linotype"/>
        <w:color w:val="000000"/>
        <w:sz w:val="22"/>
        <w:szCs w:val="20"/>
      </w:rPr>
      <w:fldChar w:fldCharType="begin"/>
    </w:r>
    <w:r w:rsidRPr="00F45679">
      <w:rPr>
        <w:rFonts w:ascii="Palatino Linotype" w:eastAsia="Palatino Linotype" w:hAnsi="Palatino Linotype" w:cs="Palatino Linotype"/>
        <w:color w:val="000000"/>
        <w:sz w:val="22"/>
        <w:szCs w:val="20"/>
      </w:rPr>
      <w:instrText>NUMPAGES</w:instrText>
    </w:r>
    <w:r w:rsidRPr="00F45679">
      <w:rPr>
        <w:rFonts w:ascii="Palatino Linotype" w:eastAsia="Palatino Linotype" w:hAnsi="Palatino Linotype" w:cs="Palatino Linotype"/>
        <w:color w:val="000000"/>
        <w:sz w:val="22"/>
        <w:szCs w:val="20"/>
      </w:rPr>
      <w:fldChar w:fldCharType="separate"/>
    </w:r>
    <w:r w:rsidR="00F20CB7">
      <w:rPr>
        <w:rFonts w:ascii="Palatino Linotype" w:eastAsia="Palatino Linotype" w:hAnsi="Palatino Linotype" w:cs="Palatino Linotype"/>
        <w:noProof/>
        <w:color w:val="000000"/>
        <w:sz w:val="22"/>
        <w:szCs w:val="20"/>
      </w:rPr>
      <w:t>64</w:t>
    </w:r>
    <w:r w:rsidRPr="00F45679">
      <w:rPr>
        <w:rFonts w:ascii="Palatino Linotype" w:eastAsia="Palatino Linotype" w:hAnsi="Palatino Linotype" w:cs="Palatino Linotype"/>
        <w:color w:val="000000"/>
        <w:sz w:val="22"/>
        <w:szCs w:val="20"/>
      </w:rPr>
      <w:fldChar w:fldCharType="end"/>
    </w:r>
  </w:p>
  <w:p w:rsidR="008E1546" w:rsidRDefault="008E154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32A" w:rsidRDefault="0091432A">
      <w:r>
        <w:separator/>
      </w:r>
    </w:p>
  </w:footnote>
  <w:footnote w:type="continuationSeparator" w:id="0">
    <w:p w:rsidR="0091432A" w:rsidRDefault="0091432A">
      <w:r>
        <w:continuationSeparator/>
      </w:r>
    </w:p>
  </w:footnote>
  <w:footnote w:id="1">
    <w:p w:rsidR="008E1546" w:rsidRDefault="00BA267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8E1546" w:rsidRDefault="00BA267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8E1546" w:rsidRDefault="00BA26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8E1546" w:rsidRDefault="00BA26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8E1546" w:rsidRDefault="00BA2679">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8E1546" w:rsidRDefault="00BA267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8E1546" w:rsidRDefault="00BA267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8E1546" w:rsidRDefault="00BA2679">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46" w:rsidRDefault="0091432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519" w:type="dxa"/>
      <w:tblInd w:w="3119" w:type="dxa"/>
      <w:tblLayout w:type="fixed"/>
      <w:tblLook w:val="0400" w:firstRow="0" w:lastRow="0" w:firstColumn="0" w:lastColumn="0" w:noHBand="0" w:noVBand="1"/>
    </w:tblPr>
    <w:tblGrid>
      <w:gridCol w:w="2976"/>
      <w:gridCol w:w="3543"/>
    </w:tblGrid>
    <w:tr w:rsidR="008E1546" w:rsidTr="00F45679">
      <w:trPr>
        <w:trHeight w:val="227"/>
      </w:trPr>
      <w:tc>
        <w:tcPr>
          <w:tcW w:w="2976" w:type="dxa"/>
          <w:vAlign w:val="center"/>
        </w:tcPr>
        <w:p w:rsidR="008E1546" w:rsidRPr="00F45679" w:rsidRDefault="00BA2679">
          <w:pPr>
            <w:ind w:right="34"/>
            <w:jc w:val="right"/>
            <w:rPr>
              <w:rFonts w:ascii="Palatino Linotype" w:eastAsia="Palatino Linotype" w:hAnsi="Palatino Linotype" w:cs="Palatino Linotype"/>
              <w:b/>
              <w:bCs/>
              <w:szCs w:val="22"/>
            </w:rPr>
          </w:pPr>
          <w:r w:rsidRPr="00F45679">
            <w:rPr>
              <w:rFonts w:ascii="Palatino Linotype" w:eastAsia="Palatino Linotype" w:hAnsi="Palatino Linotype" w:cs="Palatino Linotype"/>
              <w:b/>
              <w:bCs/>
              <w:szCs w:val="22"/>
            </w:rPr>
            <w:t>Recurso de Revisión:</w:t>
          </w:r>
        </w:p>
      </w:tc>
      <w:tc>
        <w:tcPr>
          <w:tcW w:w="3543" w:type="dxa"/>
          <w:vAlign w:val="center"/>
        </w:tcPr>
        <w:p w:rsidR="008E1546" w:rsidRPr="00F45679" w:rsidRDefault="00BA267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F45679">
            <w:rPr>
              <w:rFonts w:ascii="Palatino Linotype" w:eastAsia="Palatino Linotype" w:hAnsi="Palatino Linotype" w:cs="Palatino Linotype"/>
              <w:bCs/>
              <w:color w:val="000000"/>
              <w:szCs w:val="22"/>
            </w:rPr>
            <w:t>06018/INFOEM/IP/RR/2025</w:t>
          </w:r>
        </w:p>
      </w:tc>
    </w:tr>
    <w:tr w:rsidR="008E1546" w:rsidTr="00F45679">
      <w:trPr>
        <w:trHeight w:val="242"/>
      </w:trPr>
      <w:tc>
        <w:tcPr>
          <w:tcW w:w="2976" w:type="dxa"/>
          <w:vAlign w:val="center"/>
        </w:tcPr>
        <w:p w:rsidR="008E1546" w:rsidRPr="00F45679" w:rsidRDefault="00BA2679">
          <w:pPr>
            <w:ind w:right="34"/>
            <w:jc w:val="right"/>
            <w:rPr>
              <w:rFonts w:ascii="Palatino Linotype" w:eastAsia="Palatino Linotype" w:hAnsi="Palatino Linotype" w:cs="Palatino Linotype"/>
              <w:b/>
              <w:bCs/>
              <w:szCs w:val="22"/>
            </w:rPr>
          </w:pPr>
          <w:r w:rsidRPr="00F45679">
            <w:rPr>
              <w:rFonts w:ascii="Palatino Linotype" w:eastAsia="Palatino Linotype" w:hAnsi="Palatino Linotype" w:cs="Palatino Linotype"/>
              <w:b/>
              <w:bCs/>
              <w:szCs w:val="22"/>
            </w:rPr>
            <w:t>Sujeto Obligado:</w:t>
          </w:r>
        </w:p>
      </w:tc>
      <w:tc>
        <w:tcPr>
          <w:tcW w:w="3543" w:type="dxa"/>
          <w:vAlign w:val="center"/>
        </w:tcPr>
        <w:p w:rsidR="008E1546" w:rsidRPr="00F45679" w:rsidRDefault="00BA2679">
          <w:pPr>
            <w:pBdr>
              <w:top w:val="nil"/>
              <w:left w:val="nil"/>
              <w:bottom w:val="nil"/>
              <w:right w:val="nil"/>
              <w:between w:val="nil"/>
            </w:pBdr>
            <w:tabs>
              <w:tab w:val="center" w:pos="4419"/>
              <w:tab w:val="right" w:pos="8838"/>
            </w:tabs>
            <w:ind w:right="212"/>
            <w:jc w:val="both"/>
            <w:rPr>
              <w:rFonts w:ascii="Palatino Linotype" w:eastAsia="Palatino Linotype" w:hAnsi="Palatino Linotype" w:cs="Palatino Linotype"/>
              <w:bCs/>
              <w:color w:val="000000"/>
              <w:szCs w:val="22"/>
            </w:rPr>
          </w:pPr>
          <w:r w:rsidRPr="00F45679">
            <w:rPr>
              <w:rFonts w:ascii="Palatino Linotype" w:eastAsia="Palatino Linotype" w:hAnsi="Palatino Linotype" w:cs="Palatino Linotype"/>
              <w:bCs/>
              <w:color w:val="000000"/>
              <w:szCs w:val="22"/>
            </w:rPr>
            <w:t>Ayuntamiento de Texcoco</w:t>
          </w:r>
        </w:p>
      </w:tc>
    </w:tr>
    <w:tr w:rsidR="008E1546" w:rsidTr="00F45679">
      <w:trPr>
        <w:trHeight w:val="342"/>
      </w:trPr>
      <w:tc>
        <w:tcPr>
          <w:tcW w:w="2976" w:type="dxa"/>
          <w:vAlign w:val="center"/>
        </w:tcPr>
        <w:p w:rsidR="008E1546" w:rsidRPr="00F45679" w:rsidRDefault="00BA2679">
          <w:pPr>
            <w:ind w:right="34"/>
            <w:jc w:val="right"/>
            <w:rPr>
              <w:rFonts w:ascii="Palatino Linotype" w:eastAsia="Palatino Linotype" w:hAnsi="Palatino Linotype" w:cs="Palatino Linotype"/>
              <w:b/>
              <w:bCs/>
              <w:szCs w:val="22"/>
            </w:rPr>
          </w:pPr>
          <w:r w:rsidRPr="00F45679">
            <w:rPr>
              <w:rFonts w:ascii="Palatino Linotype" w:eastAsia="Palatino Linotype" w:hAnsi="Palatino Linotype" w:cs="Palatino Linotype"/>
              <w:b/>
              <w:bCs/>
              <w:szCs w:val="22"/>
            </w:rPr>
            <w:t>Comisionada Ponente:</w:t>
          </w:r>
        </w:p>
      </w:tc>
      <w:tc>
        <w:tcPr>
          <w:tcW w:w="3543" w:type="dxa"/>
          <w:vAlign w:val="center"/>
        </w:tcPr>
        <w:p w:rsidR="008E1546" w:rsidRPr="00F45679" w:rsidRDefault="00BA267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F45679">
            <w:rPr>
              <w:rFonts w:ascii="Palatino Linotype" w:eastAsia="Palatino Linotype" w:hAnsi="Palatino Linotype" w:cs="Palatino Linotype"/>
              <w:bCs/>
              <w:color w:val="000000"/>
              <w:szCs w:val="22"/>
            </w:rPr>
            <w:t>María del Rosario Mejía Ayala</w:t>
          </w:r>
        </w:p>
      </w:tc>
    </w:tr>
  </w:tbl>
  <w:p w:rsidR="008E1546" w:rsidRDefault="0091432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371" w:type="dxa"/>
      <w:tblInd w:w="2977" w:type="dxa"/>
      <w:tblLayout w:type="fixed"/>
      <w:tblLook w:val="0400" w:firstRow="0" w:lastRow="0" w:firstColumn="0" w:lastColumn="0" w:noHBand="0" w:noVBand="1"/>
    </w:tblPr>
    <w:tblGrid>
      <w:gridCol w:w="2977"/>
      <w:gridCol w:w="4394"/>
    </w:tblGrid>
    <w:tr w:rsidR="008E1546" w:rsidTr="00F45679">
      <w:trPr>
        <w:trHeight w:val="227"/>
      </w:trPr>
      <w:tc>
        <w:tcPr>
          <w:tcW w:w="2977" w:type="dxa"/>
          <w:vAlign w:val="center"/>
        </w:tcPr>
        <w:p w:rsidR="008E1546" w:rsidRPr="00F45679" w:rsidRDefault="00BA2679">
          <w:pPr>
            <w:jc w:val="right"/>
            <w:rPr>
              <w:rFonts w:ascii="Palatino Linotype" w:eastAsia="Palatino Linotype" w:hAnsi="Palatino Linotype" w:cs="Palatino Linotype"/>
              <w:b/>
              <w:bCs/>
            </w:rPr>
          </w:pPr>
          <w:r w:rsidRPr="00F45679">
            <w:rPr>
              <w:rFonts w:ascii="Palatino Linotype" w:eastAsia="Palatino Linotype" w:hAnsi="Palatino Linotype" w:cs="Palatino Linotype"/>
              <w:b/>
              <w:bCs/>
            </w:rPr>
            <w:t>Recurso de Revisión:</w:t>
          </w:r>
        </w:p>
      </w:tc>
      <w:tc>
        <w:tcPr>
          <w:tcW w:w="4394" w:type="dxa"/>
          <w:vAlign w:val="center"/>
        </w:tcPr>
        <w:p w:rsidR="008E1546" w:rsidRPr="00F45679" w:rsidRDefault="00BA2679" w:rsidP="00F4567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F45679">
            <w:rPr>
              <w:rFonts w:ascii="Palatino Linotype" w:eastAsia="Palatino Linotype" w:hAnsi="Palatino Linotype" w:cs="Palatino Linotype"/>
              <w:bCs/>
              <w:color w:val="000000"/>
            </w:rPr>
            <w:t>06018/INFOEM/IP/RR/2025</w:t>
          </w:r>
        </w:p>
      </w:tc>
    </w:tr>
    <w:tr w:rsidR="008E1546" w:rsidTr="00F45679">
      <w:trPr>
        <w:trHeight w:val="242"/>
      </w:trPr>
      <w:tc>
        <w:tcPr>
          <w:tcW w:w="2977" w:type="dxa"/>
          <w:vAlign w:val="center"/>
        </w:tcPr>
        <w:p w:rsidR="008E1546" w:rsidRPr="00F45679" w:rsidRDefault="00BA2679">
          <w:pPr>
            <w:jc w:val="right"/>
            <w:rPr>
              <w:rFonts w:ascii="Palatino Linotype" w:eastAsia="Palatino Linotype" w:hAnsi="Palatino Linotype" w:cs="Palatino Linotype"/>
              <w:b/>
              <w:bCs/>
            </w:rPr>
          </w:pPr>
          <w:r w:rsidRPr="00F45679">
            <w:rPr>
              <w:rFonts w:ascii="Palatino Linotype" w:eastAsia="Palatino Linotype" w:hAnsi="Palatino Linotype" w:cs="Palatino Linotype"/>
              <w:b/>
              <w:bCs/>
            </w:rPr>
            <w:t>Recurrente:</w:t>
          </w:r>
        </w:p>
      </w:tc>
      <w:tc>
        <w:tcPr>
          <w:tcW w:w="4394" w:type="dxa"/>
        </w:tcPr>
        <w:p w:rsidR="008E1546" w:rsidRPr="00F45679" w:rsidRDefault="00F20CB7" w:rsidP="00F45679">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XXXX</w:t>
          </w:r>
        </w:p>
      </w:tc>
    </w:tr>
    <w:tr w:rsidR="008E1546" w:rsidTr="00F45679">
      <w:trPr>
        <w:trHeight w:val="342"/>
      </w:trPr>
      <w:tc>
        <w:tcPr>
          <w:tcW w:w="2977" w:type="dxa"/>
          <w:vAlign w:val="center"/>
        </w:tcPr>
        <w:p w:rsidR="008E1546" w:rsidRPr="00F45679" w:rsidRDefault="00BA2679">
          <w:pPr>
            <w:jc w:val="right"/>
            <w:rPr>
              <w:rFonts w:ascii="Palatino Linotype" w:eastAsia="Palatino Linotype" w:hAnsi="Palatino Linotype" w:cs="Palatino Linotype"/>
              <w:b/>
              <w:bCs/>
            </w:rPr>
          </w:pPr>
          <w:r w:rsidRPr="00F45679">
            <w:rPr>
              <w:rFonts w:ascii="Palatino Linotype" w:eastAsia="Palatino Linotype" w:hAnsi="Palatino Linotype" w:cs="Palatino Linotype"/>
              <w:b/>
              <w:bCs/>
            </w:rPr>
            <w:t>Sujeto Obligado:</w:t>
          </w:r>
        </w:p>
      </w:tc>
      <w:tc>
        <w:tcPr>
          <w:tcW w:w="4394" w:type="dxa"/>
          <w:vAlign w:val="center"/>
        </w:tcPr>
        <w:p w:rsidR="008E1546" w:rsidRPr="00F45679" w:rsidRDefault="00BA2679" w:rsidP="00F4567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F45679">
            <w:rPr>
              <w:rFonts w:ascii="Palatino Linotype" w:eastAsia="Palatino Linotype" w:hAnsi="Palatino Linotype" w:cs="Palatino Linotype"/>
              <w:bCs/>
              <w:color w:val="000000"/>
            </w:rPr>
            <w:t>Ayuntamiento de Texcoco</w:t>
          </w:r>
        </w:p>
      </w:tc>
    </w:tr>
    <w:tr w:rsidR="008E1546" w:rsidTr="00F45679">
      <w:trPr>
        <w:trHeight w:val="342"/>
      </w:trPr>
      <w:tc>
        <w:tcPr>
          <w:tcW w:w="2977" w:type="dxa"/>
          <w:vAlign w:val="center"/>
        </w:tcPr>
        <w:p w:rsidR="008E1546" w:rsidRPr="00F45679" w:rsidRDefault="00BA2679">
          <w:pPr>
            <w:jc w:val="right"/>
            <w:rPr>
              <w:rFonts w:ascii="Palatino Linotype" w:eastAsia="Palatino Linotype" w:hAnsi="Palatino Linotype" w:cs="Palatino Linotype"/>
              <w:b/>
              <w:bCs/>
            </w:rPr>
          </w:pPr>
          <w:r w:rsidRPr="00F45679">
            <w:rPr>
              <w:rFonts w:ascii="Palatino Linotype" w:eastAsia="Palatino Linotype" w:hAnsi="Palatino Linotype" w:cs="Palatino Linotype"/>
              <w:b/>
              <w:bCs/>
            </w:rPr>
            <w:t>Comisionada Ponente:</w:t>
          </w:r>
        </w:p>
      </w:tc>
      <w:tc>
        <w:tcPr>
          <w:tcW w:w="4394" w:type="dxa"/>
          <w:vAlign w:val="center"/>
        </w:tcPr>
        <w:p w:rsidR="008E1546" w:rsidRPr="00F45679" w:rsidRDefault="00BA2679" w:rsidP="00F45679">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F45679">
            <w:rPr>
              <w:rFonts w:ascii="Palatino Linotype" w:eastAsia="Palatino Linotype" w:hAnsi="Palatino Linotype" w:cs="Palatino Linotype"/>
              <w:bCs/>
              <w:color w:val="000000"/>
            </w:rPr>
            <w:t>María del Rosario Mejía Ayala</w:t>
          </w:r>
        </w:p>
      </w:tc>
    </w:tr>
  </w:tbl>
  <w:p w:rsidR="008E1546" w:rsidRDefault="0091432A">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77DE5"/>
    <w:multiLevelType w:val="multilevel"/>
    <w:tmpl w:val="FEC8C5B4"/>
    <w:lvl w:ilvl="0">
      <w:start w:val="1"/>
      <w:numFmt w:val="lowerLetter"/>
      <w:lvlText w:val="%1)"/>
      <w:lvlJc w:val="left"/>
      <w:pPr>
        <w:ind w:left="1146" w:hanging="360"/>
      </w:pPr>
      <w:rPr>
        <w:b/>
        <w:bC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23702C6"/>
    <w:multiLevelType w:val="multilevel"/>
    <w:tmpl w:val="155822F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497D0122"/>
    <w:multiLevelType w:val="multilevel"/>
    <w:tmpl w:val="581C8FD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0081006"/>
    <w:multiLevelType w:val="multilevel"/>
    <w:tmpl w:val="F23EBF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3871AC9"/>
    <w:multiLevelType w:val="hybridMultilevel"/>
    <w:tmpl w:val="9F2020E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15:restartNumberingAfterBreak="0">
    <w:nsid w:val="66465D6D"/>
    <w:multiLevelType w:val="multilevel"/>
    <w:tmpl w:val="DB668E5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2A528E"/>
    <w:multiLevelType w:val="multilevel"/>
    <w:tmpl w:val="9CF01A92"/>
    <w:lvl w:ilvl="0">
      <w:start w:val="1"/>
      <w:numFmt w:val="lowerLetter"/>
      <w:lvlText w:val="%1)"/>
      <w:lvlJc w:val="left"/>
      <w:pPr>
        <w:ind w:left="778" w:hanging="360"/>
      </w:p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7" w15:restartNumberingAfterBreak="0">
    <w:nsid w:val="7B92715F"/>
    <w:multiLevelType w:val="multilevel"/>
    <w:tmpl w:val="133C3E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6"/>
  </w:num>
  <w:num w:numId="3">
    <w:abstractNumId w:val="3"/>
  </w:num>
  <w:num w:numId="4">
    <w:abstractNumId w:val="7"/>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46"/>
    <w:rsid w:val="001E4C88"/>
    <w:rsid w:val="002C2022"/>
    <w:rsid w:val="002F1445"/>
    <w:rsid w:val="00542518"/>
    <w:rsid w:val="0055067C"/>
    <w:rsid w:val="007B6080"/>
    <w:rsid w:val="008E1546"/>
    <w:rsid w:val="0091432A"/>
    <w:rsid w:val="00B60015"/>
    <w:rsid w:val="00BA19C0"/>
    <w:rsid w:val="00BA2679"/>
    <w:rsid w:val="00EB4582"/>
    <w:rsid w:val="00F20CB7"/>
    <w:rsid w:val="00F456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A377A03-1135-436E-924D-D3E1EE94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NormalWeb">
    <w:name w:val="Normal (Web)"/>
    <w:basedOn w:val="Normal"/>
    <w:uiPriority w:val="99"/>
    <w:unhideWhenUsed/>
    <w:rsid w:val="004A64CC"/>
    <w:pPr>
      <w:spacing w:before="100" w:beforeAutospacing="1" w:after="100" w:afterAutospacing="1"/>
    </w:pPr>
    <w:rPr>
      <w:rFonts w:ascii="Times New Roman" w:eastAsia="Times New Roman" w:hAnsi="Times New Roman" w:cs="Times New Roman"/>
      <w:lang w:val="es-MX"/>
    </w:rPr>
  </w:style>
  <w:style w:type="character" w:styleId="Textoennegrita">
    <w:name w:val="Strong"/>
    <w:basedOn w:val="Fuentedeprrafopredeter"/>
    <w:uiPriority w:val="22"/>
    <w:qFormat/>
    <w:rsid w:val="00F37593"/>
    <w:rPr>
      <w:b/>
      <w:b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Puo4gN2QLKcJO//jqfxPcmVmDQ==">CgMxLjAyDmguY3p6eXJieWZzbXd4Mg5oLmd5ejV0czVibTJhNjIOaC5laW93aHQ5b3I4dWgyDWguOGFvM2owMzFmOWkyDmguZXU1cTBsZ241YjR3Mg5oLnJrcmhwczFpa3FwaDIIaC5sbnhiejk4AHIhMWc3dzMwTmdSWmlxSUk0blVMU2ZwR0RmU2otdDVfaVVS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14528</Words>
  <Characters>79908</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8</cp:revision>
  <cp:lastPrinted>2026-02-09T17:27:00Z</cp:lastPrinted>
  <dcterms:created xsi:type="dcterms:W3CDTF">2026-02-03T20:48:00Z</dcterms:created>
  <dcterms:modified xsi:type="dcterms:W3CDTF">2026-02-13T19:54:00Z</dcterms:modified>
</cp:coreProperties>
</file>