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F21" w:rsidRPr="00CE1AB0"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r w:rsidRPr="00CE1AB0">
        <w:rPr>
          <w:rFonts w:ascii="Palatino Linotype" w:eastAsia="Palatino Linotype" w:hAnsi="Palatino Linotype" w:cs="Palatino Linotype"/>
          <w:color w:val="000000"/>
          <w:sz w:val="24"/>
          <w:szCs w:val="24"/>
        </w:rPr>
        <w:t>Resolución del Pleno del Instituto de Transparencia, Acceso a la Información Pública y Protección de Datos Personales del Estado de México y Municipios, con domicilio en Metepec, Estado de México, a trece de mayo de dos mil veintiséis.</w:t>
      </w:r>
    </w:p>
    <w:p w:rsidR="002D7F21" w:rsidRPr="00CE1AB0" w:rsidRDefault="002D7F21" w:rsidP="002D7F21">
      <w:pPr>
        <w:shd w:val="clear" w:color="auto" w:fill="FFFFFF"/>
        <w:spacing w:after="0" w:line="360" w:lineRule="auto"/>
        <w:jc w:val="both"/>
        <w:rPr>
          <w:rFonts w:ascii="Palatino Linotype" w:eastAsia="Palatino Linotype" w:hAnsi="Palatino Linotype" w:cs="Palatino Linotype"/>
          <w:color w:val="000000"/>
          <w:sz w:val="24"/>
          <w:szCs w:val="24"/>
        </w:rPr>
      </w:pPr>
    </w:p>
    <w:p w:rsidR="002D7F21" w:rsidRPr="00CE1AB0" w:rsidRDefault="002D7F21" w:rsidP="002D7F21">
      <w:pPr>
        <w:tabs>
          <w:tab w:val="left" w:pos="1701"/>
        </w:tabs>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b/>
          <w:sz w:val="24"/>
          <w:szCs w:val="24"/>
        </w:rPr>
        <w:t>VISTO</w:t>
      </w:r>
      <w:r w:rsidRPr="00CE1AB0">
        <w:rPr>
          <w:rFonts w:ascii="Palatino Linotype" w:eastAsia="Palatino Linotype" w:hAnsi="Palatino Linotype" w:cs="Palatino Linotype"/>
          <w:sz w:val="24"/>
          <w:szCs w:val="24"/>
        </w:rPr>
        <w:t xml:space="preserve"> el expediente electrónico del recurso de revisión con número </w:t>
      </w:r>
      <w:bookmarkStart w:id="0" w:name="_GoBack"/>
      <w:r w:rsidRPr="00CE1AB0">
        <w:rPr>
          <w:rFonts w:ascii="Palatino Linotype" w:eastAsia="Palatino Linotype" w:hAnsi="Palatino Linotype" w:cs="Palatino Linotype"/>
          <w:b/>
          <w:sz w:val="24"/>
          <w:szCs w:val="24"/>
        </w:rPr>
        <w:t>04100/INFOEM/IP/RR/2026</w:t>
      </w:r>
      <w:bookmarkEnd w:id="0"/>
      <w:r w:rsidRPr="00CE1AB0">
        <w:rPr>
          <w:rFonts w:ascii="Palatino Linotype" w:eastAsia="Palatino Linotype" w:hAnsi="Palatino Linotype" w:cs="Palatino Linotype"/>
          <w:b/>
          <w:sz w:val="24"/>
          <w:szCs w:val="24"/>
        </w:rPr>
        <w:t xml:space="preserve">, </w:t>
      </w:r>
      <w:r w:rsidRPr="00CE1AB0">
        <w:rPr>
          <w:rFonts w:ascii="Palatino Linotype" w:eastAsia="Palatino Linotype" w:hAnsi="Palatino Linotype" w:cs="Palatino Linotype"/>
          <w:color w:val="000000"/>
          <w:sz w:val="24"/>
          <w:szCs w:val="24"/>
        </w:rPr>
        <w:t>interpuesto por</w:t>
      </w:r>
      <w:r w:rsidRPr="00CE1AB0">
        <w:rPr>
          <w:rFonts w:ascii="Palatino Linotype" w:eastAsia="Palatino Linotype" w:hAnsi="Palatino Linotype" w:cs="Palatino Linotype"/>
          <w:b/>
          <w:color w:val="000000"/>
          <w:sz w:val="24"/>
          <w:szCs w:val="24"/>
        </w:rPr>
        <w:t xml:space="preserve"> “</w:t>
      </w:r>
      <w:r w:rsidR="00724025">
        <w:rPr>
          <w:rFonts w:ascii="Palatino Linotype" w:eastAsia="Palatino Linotype" w:hAnsi="Palatino Linotype" w:cs="Palatino Linotype"/>
          <w:color w:val="000000"/>
          <w:sz w:val="24"/>
          <w:szCs w:val="24"/>
        </w:rPr>
        <w:t>XXXXXXXXXXXX</w:t>
      </w:r>
      <w:r w:rsidRPr="00CE1AB0">
        <w:rPr>
          <w:rFonts w:ascii="Palatino Linotype" w:eastAsia="Palatino Linotype" w:hAnsi="Palatino Linotype" w:cs="Palatino Linotype"/>
          <w:color w:val="000000"/>
          <w:sz w:val="24"/>
          <w:szCs w:val="24"/>
        </w:rPr>
        <w:t xml:space="preserve">”, a quien en lo sucesivo se le denominara como la parte </w:t>
      </w:r>
      <w:r w:rsidRPr="00CE1AB0">
        <w:rPr>
          <w:rFonts w:ascii="Palatino Linotype" w:eastAsia="Palatino Linotype" w:hAnsi="Palatino Linotype" w:cs="Palatino Linotype"/>
          <w:b/>
          <w:color w:val="000000"/>
          <w:sz w:val="24"/>
          <w:szCs w:val="24"/>
        </w:rPr>
        <w:t>Recurrente</w:t>
      </w:r>
      <w:r w:rsidRPr="00CE1AB0">
        <w:rPr>
          <w:rFonts w:ascii="Palatino Linotype" w:eastAsia="Palatino Linotype" w:hAnsi="Palatino Linotype" w:cs="Palatino Linotype"/>
          <w:color w:val="000000"/>
          <w:sz w:val="24"/>
          <w:szCs w:val="24"/>
        </w:rPr>
        <w:t xml:space="preserve">, </w:t>
      </w:r>
      <w:r w:rsidRPr="00CE1AB0">
        <w:rPr>
          <w:rFonts w:ascii="Palatino Linotype" w:eastAsia="Palatino Linotype" w:hAnsi="Palatino Linotype" w:cs="Palatino Linotype"/>
          <w:sz w:val="24"/>
          <w:szCs w:val="24"/>
        </w:rPr>
        <w:t xml:space="preserve">en contra de la falta de respuesta del </w:t>
      </w:r>
      <w:r w:rsidRPr="00CE1AB0">
        <w:rPr>
          <w:rFonts w:ascii="Palatino Linotype" w:eastAsia="Palatino Linotype" w:hAnsi="Palatino Linotype" w:cs="Palatino Linotype"/>
          <w:b/>
          <w:color w:val="000000"/>
          <w:sz w:val="24"/>
          <w:szCs w:val="24"/>
        </w:rPr>
        <w:t>Ayuntamiento de Tepotzotlán</w:t>
      </w:r>
      <w:r w:rsidRPr="00CE1AB0">
        <w:rPr>
          <w:rFonts w:ascii="Palatino Linotype" w:eastAsia="Palatino Linotype" w:hAnsi="Palatino Linotype" w:cs="Palatino Linotype"/>
          <w:b/>
          <w:sz w:val="24"/>
          <w:szCs w:val="24"/>
        </w:rPr>
        <w:t xml:space="preserve">, </w:t>
      </w:r>
      <w:r w:rsidRPr="00CE1AB0">
        <w:rPr>
          <w:rFonts w:ascii="Palatino Linotype" w:eastAsia="Palatino Linotype" w:hAnsi="Palatino Linotype" w:cs="Palatino Linotype"/>
          <w:sz w:val="24"/>
          <w:szCs w:val="24"/>
        </w:rPr>
        <w:t>en lo subsecuente</w:t>
      </w:r>
      <w:r w:rsidRPr="00CE1AB0">
        <w:rPr>
          <w:rFonts w:ascii="Palatino Linotype" w:eastAsia="Palatino Linotype" w:hAnsi="Palatino Linotype" w:cs="Palatino Linotype"/>
          <w:b/>
          <w:sz w:val="24"/>
          <w:szCs w:val="24"/>
        </w:rPr>
        <w:t xml:space="preserve"> el Sujeto Obligado, </w:t>
      </w:r>
      <w:r w:rsidRPr="00CE1AB0">
        <w:rPr>
          <w:rFonts w:ascii="Palatino Linotype" w:eastAsia="Palatino Linotype" w:hAnsi="Palatino Linotype" w:cs="Palatino Linotype"/>
          <w:sz w:val="24"/>
          <w:szCs w:val="24"/>
        </w:rPr>
        <w:t>se procede a dictar la presente resolución.</w:t>
      </w:r>
    </w:p>
    <w:p w:rsidR="002D7F21" w:rsidRPr="00CE1AB0" w:rsidRDefault="002D7F21" w:rsidP="002D7F21">
      <w:pPr>
        <w:tabs>
          <w:tab w:val="left" w:pos="6960"/>
        </w:tabs>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center"/>
        <w:rPr>
          <w:rFonts w:ascii="Palatino Linotype" w:eastAsia="Palatino Linotype" w:hAnsi="Palatino Linotype" w:cs="Palatino Linotype"/>
          <w:b/>
          <w:sz w:val="28"/>
          <w:szCs w:val="28"/>
        </w:rPr>
      </w:pPr>
      <w:r w:rsidRPr="00CE1AB0">
        <w:rPr>
          <w:rFonts w:ascii="Palatino Linotype" w:eastAsia="Palatino Linotype" w:hAnsi="Palatino Linotype" w:cs="Palatino Linotype"/>
          <w:b/>
          <w:sz w:val="28"/>
          <w:szCs w:val="28"/>
        </w:rPr>
        <w:t>A N T E C E D E N T E S</w:t>
      </w:r>
    </w:p>
    <w:p w:rsidR="002D7F21" w:rsidRPr="00CE1AB0" w:rsidRDefault="002D7F21" w:rsidP="002D7F21">
      <w:pPr>
        <w:spacing w:after="0" w:line="360" w:lineRule="auto"/>
        <w:rPr>
          <w:rFonts w:ascii="Palatino Linotype" w:eastAsia="Palatino Linotype" w:hAnsi="Palatino Linotype" w:cs="Palatino Linotype"/>
          <w:b/>
          <w:sz w:val="24"/>
          <w:szCs w:val="24"/>
        </w:rPr>
      </w:pPr>
    </w:p>
    <w:p w:rsidR="002D7F21" w:rsidRPr="00CE1AB0" w:rsidRDefault="002D7F21" w:rsidP="002D7F21">
      <w:pPr>
        <w:spacing w:after="0" w:line="360" w:lineRule="auto"/>
        <w:jc w:val="both"/>
        <w:rPr>
          <w:rFonts w:ascii="Palatino Linotype" w:eastAsia="Palatino Linotype" w:hAnsi="Palatino Linotype" w:cs="Palatino Linotype"/>
          <w:b/>
          <w:sz w:val="28"/>
          <w:szCs w:val="24"/>
        </w:rPr>
      </w:pPr>
      <w:r w:rsidRPr="00CE1AB0">
        <w:rPr>
          <w:rFonts w:ascii="Palatino Linotype" w:eastAsia="Palatino Linotype" w:hAnsi="Palatino Linotype" w:cs="Palatino Linotype"/>
          <w:b/>
          <w:sz w:val="28"/>
          <w:szCs w:val="24"/>
        </w:rPr>
        <w:t xml:space="preserve">PRIMERO. </w:t>
      </w:r>
      <w:r w:rsidRPr="00CE1AB0">
        <w:rPr>
          <w:rFonts w:ascii="Palatino Linotype" w:eastAsia="Palatino Linotype" w:hAnsi="Palatino Linotype" w:cs="Palatino Linotype"/>
          <w:b/>
          <w:color w:val="000000"/>
          <w:sz w:val="28"/>
          <w:szCs w:val="24"/>
        </w:rPr>
        <w:t>De la solicitud de información.</w:t>
      </w:r>
    </w:p>
    <w:p w:rsidR="002D7F21" w:rsidRPr="00CE1AB0" w:rsidRDefault="002D7F21" w:rsidP="002D7F21">
      <w:pPr>
        <w:spacing w:after="0" w:line="360" w:lineRule="auto"/>
        <w:jc w:val="both"/>
        <w:rPr>
          <w:rFonts w:ascii="Palatino Linotype" w:eastAsia="Palatino Linotype" w:hAnsi="Palatino Linotype" w:cs="Palatino Linotype"/>
          <w:b/>
          <w:sz w:val="24"/>
          <w:szCs w:val="24"/>
        </w:rPr>
      </w:pPr>
      <w:r w:rsidRPr="00CE1AB0">
        <w:rPr>
          <w:rFonts w:ascii="Palatino Linotype" w:eastAsia="Palatino Linotype" w:hAnsi="Palatino Linotype" w:cs="Palatino Linotype"/>
          <w:sz w:val="24"/>
          <w:szCs w:val="24"/>
        </w:rPr>
        <w:t xml:space="preserve">En fecha </w:t>
      </w:r>
      <w:r w:rsidRPr="00CE1AB0">
        <w:rPr>
          <w:rFonts w:ascii="Palatino Linotype" w:eastAsia="Palatino Linotype" w:hAnsi="Palatino Linotype" w:cs="Palatino Linotype"/>
          <w:b/>
          <w:sz w:val="24"/>
          <w:szCs w:val="24"/>
        </w:rPr>
        <w:t>doce de marzo de dos mil veintiséis</w:t>
      </w:r>
      <w:r w:rsidRPr="00CE1AB0">
        <w:rPr>
          <w:rFonts w:ascii="Palatino Linotype" w:eastAsia="Palatino Linotype" w:hAnsi="Palatino Linotype" w:cs="Palatino Linotype"/>
          <w:sz w:val="24"/>
          <w:szCs w:val="24"/>
        </w:rPr>
        <w:t>, la parte</w:t>
      </w:r>
      <w:r w:rsidRPr="00CE1AB0">
        <w:rPr>
          <w:rFonts w:ascii="Palatino Linotype" w:eastAsia="Palatino Linotype" w:hAnsi="Palatino Linotype" w:cs="Palatino Linotype"/>
          <w:b/>
          <w:sz w:val="24"/>
          <w:szCs w:val="24"/>
        </w:rPr>
        <w:t xml:space="preserve"> Recurrente</w:t>
      </w:r>
      <w:r w:rsidRPr="00CE1AB0">
        <w:rPr>
          <w:rFonts w:ascii="Palatino Linotype" w:eastAsia="Palatino Linotype" w:hAnsi="Palatino Linotype" w:cs="Palatino Linotype"/>
          <w:sz w:val="24"/>
          <w:szCs w:val="24"/>
        </w:rPr>
        <w:t xml:space="preserve"> presentó a través del Sistema de Acceso a la Información Mexiquense (</w:t>
      </w:r>
      <w:r w:rsidRPr="00CE1AB0">
        <w:rPr>
          <w:rFonts w:ascii="Palatino Linotype" w:eastAsia="Palatino Linotype" w:hAnsi="Palatino Linotype" w:cs="Palatino Linotype"/>
          <w:b/>
          <w:sz w:val="24"/>
          <w:szCs w:val="24"/>
        </w:rPr>
        <w:t>SAIMEX)</w:t>
      </w:r>
      <w:r w:rsidRPr="00CE1AB0">
        <w:rPr>
          <w:rFonts w:ascii="Palatino Linotype" w:eastAsia="Palatino Linotype" w:hAnsi="Palatino Linotype" w:cs="Palatino Linotype"/>
          <w:sz w:val="24"/>
          <w:szCs w:val="24"/>
        </w:rPr>
        <w:t xml:space="preserve">, la solicitud de acceso a la información pública, con número de folio </w:t>
      </w:r>
      <w:r w:rsidRPr="00CE1AB0">
        <w:rPr>
          <w:rFonts w:ascii="Palatino Linotype" w:eastAsia="Palatino Linotype" w:hAnsi="Palatino Linotype" w:cs="Palatino Linotype"/>
          <w:b/>
          <w:sz w:val="24"/>
          <w:szCs w:val="24"/>
        </w:rPr>
        <w:t>00904/TEPOTZOT/IP/2026</w:t>
      </w:r>
      <w:r w:rsidRPr="00CE1AB0">
        <w:rPr>
          <w:rFonts w:ascii="Palatino Linotype" w:eastAsia="Palatino Linotype" w:hAnsi="Palatino Linotype" w:cs="Palatino Linotype"/>
          <w:sz w:val="24"/>
          <w:szCs w:val="24"/>
        </w:rPr>
        <w:t xml:space="preserve">, de lo siguiente: </w:t>
      </w:r>
    </w:p>
    <w:p w:rsidR="002D7F21" w:rsidRPr="00CE1AB0" w:rsidRDefault="002D7F21" w:rsidP="002D7F21">
      <w:pPr>
        <w:pStyle w:val="INFOEM"/>
        <w:ind w:left="426" w:right="567"/>
        <w:rPr>
          <w:lang w:val="es-ES_tradnl" w:eastAsia="es-ES"/>
        </w:rPr>
      </w:pPr>
      <w:r w:rsidRPr="00CE1AB0">
        <w:rPr>
          <w:lang w:val="es-ES_tradnl" w:eastAsia="es-ES"/>
        </w:rPr>
        <w:t>“</w:t>
      </w:r>
      <w:r w:rsidRPr="00CE1AB0">
        <w:rPr>
          <w:lang w:val="es-ES" w:eastAsia="es-ES"/>
        </w:rPr>
        <w:t>Solicito copia digital de: licencias de construcción otorgadas permisos de uso de suelo autorizaciones de fraccionamientos procedimientos de clausura inspecciones realizadas sanciones administrativas impuestas por construcciones irregulares. 2026</w:t>
      </w:r>
      <w:r w:rsidRPr="00CE1AB0">
        <w:rPr>
          <w:lang w:val="es-ES_tradnl" w:eastAsia="es-ES"/>
        </w:rPr>
        <w:t>” (Sic)</w:t>
      </w:r>
    </w:p>
    <w:p w:rsidR="002D7F21" w:rsidRPr="00CE1AB0" w:rsidRDefault="002D7F21" w:rsidP="002D7F21">
      <w:pPr>
        <w:spacing w:before="240" w:line="360" w:lineRule="auto"/>
        <w:jc w:val="both"/>
        <w:rPr>
          <w:rFonts w:ascii="Palatino Linotype" w:hAnsi="Palatino Linotype"/>
          <w:lang w:val="es-ES_tradnl"/>
        </w:rPr>
      </w:pPr>
      <w:r w:rsidRPr="00CE1AB0">
        <w:rPr>
          <w:rFonts w:ascii="Palatino Linotype" w:hAnsi="Palatino Linotype"/>
          <w:b/>
          <w:lang w:val="es-ES_tradnl"/>
        </w:rPr>
        <w:t>Modalidad de entrega:</w:t>
      </w:r>
      <w:r w:rsidRPr="00CE1AB0">
        <w:rPr>
          <w:rFonts w:ascii="Palatino Linotype" w:hAnsi="Palatino Linotype"/>
          <w:lang w:val="es-ES_tradnl"/>
        </w:rPr>
        <w:t xml:space="preserve"> A través del SAIMEX.</w:t>
      </w: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CE1AB0">
        <w:rPr>
          <w:rFonts w:ascii="Palatino Linotype" w:eastAsia="Palatino Linotype" w:hAnsi="Palatino Linotype" w:cs="Palatino Linotype"/>
          <w:b/>
          <w:color w:val="000000"/>
          <w:sz w:val="28"/>
          <w:szCs w:val="24"/>
        </w:rPr>
        <w:lastRenderedPageBreak/>
        <w:t>SEGUNDO. De la falta de respuesta del Sujeto Obligado.</w:t>
      </w: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CE1AB0">
        <w:rPr>
          <w:rFonts w:ascii="Palatino Linotype" w:eastAsia="Palatino Linotype" w:hAnsi="Palatino Linotype" w:cs="Palatino Linotype"/>
          <w:color w:val="000000"/>
          <w:sz w:val="24"/>
          <w:szCs w:val="24"/>
        </w:rPr>
        <w:t>E</w:t>
      </w:r>
      <w:r w:rsidRPr="00CE1AB0">
        <w:rPr>
          <w:rFonts w:ascii="Palatino Linotype" w:eastAsia="Palatino Linotype" w:hAnsi="Palatino Linotype" w:cs="Palatino Linotype"/>
          <w:sz w:val="24"/>
          <w:szCs w:val="24"/>
        </w:rPr>
        <w:t xml:space="preserv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no proporcionó respuesta a la solicitud de información </w:t>
      </w:r>
      <w:r w:rsidRPr="00CE1AB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CE1AB0">
        <w:rPr>
          <w:rFonts w:ascii="Palatino Linotype" w:eastAsia="Palatino Linotype" w:hAnsi="Palatino Linotype" w:cs="Palatino Linotype"/>
          <w:b/>
          <w:sz w:val="28"/>
          <w:szCs w:val="24"/>
        </w:rPr>
        <w:t xml:space="preserve">TERCERO. </w:t>
      </w:r>
      <w:r w:rsidRPr="00CE1AB0">
        <w:rPr>
          <w:rFonts w:ascii="Palatino Linotype" w:eastAsia="Palatino Linotype" w:hAnsi="Palatino Linotype" w:cs="Palatino Linotype"/>
          <w:b/>
          <w:color w:val="000000"/>
          <w:sz w:val="28"/>
          <w:szCs w:val="24"/>
        </w:rPr>
        <w:t>Del recurso de revisión.</w:t>
      </w:r>
    </w:p>
    <w:p w:rsidR="002D7F21" w:rsidRPr="00CE1AB0" w:rsidRDefault="002D7F21" w:rsidP="002D7F21">
      <w:pPr>
        <w:spacing w:after="0" w:line="360" w:lineRule="auto"/>
        <w:jc w:val="both"/>
        <w:rPr>
          <w:rFonts w:ascii="Palatino Linotype" w:eastAsia="Palatino Linotype" w:hAnsi="Palatino Linotype" w:cs="Palatino Linotype"/>
          <w:b/>
          <w:sz w:val="24"/>
          <w:szCs w:val="24"/>
        </w:rPr>
      </w:pPr>
      <w:r w:rsidRPr="00CE1AB0">
        <w:rPr>
          <w:rFonts w:ascii="Palatino Linotype" w:eastAsia="Palatino Linotype" w:hAnsi="Palatino Linotype" w:cs="Palatino Linotype"/>
          <w:sz w:val="24"/>
          <w:szCs w:val="24"/>
        </w:rPr>
        <w:t>Ante la falta de respuesta</w:t>
      </w:r>
      <w:r w:rsidRPr="00CE1AB0">
        <w:rPr>
          <w:rFonts w:ascii="Palatino Linotype" w:eastAsia="Palatino Linotype" w:hAnsi="Palatino Linotype" w:cs="Palatino Linotype"/>
          <w:b/>
          <w:sz w:val="24"/>
          <w:szCs w:val="24"/>
        </w:rPr>
        <w:t xml:space="preserve"> </w:t>
      </w:r>
      <w:r w:rsidRPr="00CE1AB0">
        <w:rPr>
          <w:rFonts w:ascii="Palatino Linotype" w:eastAsia="Palatino Linotype" w:hAnsi="Palatino Linotype" w:cs="Palatino Linotype"/>
          <w:sz w:val="24"/>
          <w:szCs w:val="24"/>
        </w:rPr>
        <w:t xml:space="preserve">del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la parte </w:t>
      </w:r>
      <w:r w:rsidRPr="00CE1AB0">
        <w:rPr>
          <w:rFonts w:ascii="Palatino Linotype" w:eastAsia="Palatino Linotype" w:hAnsi="Palatino Linotype" w:cs="Palatino Linotype"/>
          <w:b/>
          <w:sz w:val="24"/>
          <w:szCs w:val="24"/>
        </w:rPr>
        <w:t>Recurrente</w:t>
      </w:r>
      <w:r w:rsidRPr="00CE1AB0">
        <w:rPr>
          <w:rFonts w:ascii="Palatino Linotype" w:eastAsia="Palatino Linotype" w:hAnsi="Palatino Linotype" w:cs="Palatino Linotype"/>
          <w:sz w:val="24"/>
          <w:szCs w:val="24"/>
        </w:rPr>
        <w:t xml:space="preserve"> interpuso el recurso de revisión en fecha </w:t>
      </w:r>
      <w:r w:rsidRPr="00CE1AB0">
        <w:rPr>
          <w:rFonts w:ascii="Palatino Linotype" w:eastAsia="Palatino Linotype" w:hAnsi="Palatino Linotype" w:cs="Palatino Linotype"/>
          <w:b/>
          <w:sz w:val="24"/>
          <w:szCs w:val="24"/>
        </w:rPr>
        <w:t>dieciocho de abril de dos mil veintiséis</w:t>
      </w:r>
      <w:r w:rsidRPr="00CE1AB0">
        <w:rPr>
          <w:rFonts w:ascii="Palatino Linotype" w:eastAsia="Palatino Linotype" w:hAnsi="Palatino Linotype" w:cs="Palatino Linotype"/>
          <w:sz w:val="24"/>
          <w:szCs w:val="24"/>
        </w:rPr>
        <w:t>, registrado</w:t>
      </w:r>
      <w:r w:rsidRPr="00CE1AB0">
        <w:rPr>
          <w:rFonts w:ascii="Palatino Linotype" w:eastAsia="Palatino Linotype" w:hAnsi="Palatino Linotype" w:cs="Palatino Linotype"/>
          <w:b/>
          <w:sz w:val="24"/>
          <w:szCs w:val="24"/>
        </w:rPr>
        <w:t xml:space="preserve"> </w:t>
      </w:r>
      <w:r w:rsidRPr="00CE1AB0">
        <w:rPr>
          <w:rFonts w:ascii="Palatino Linotype" w:eastAsia="Palatino Linotype" w:hAnsi="Palatino Linotype" w:cs="Palatino Linotype"/>
          <w:sz w:val="24"/>
          <w:szCs w:val="24"/>
        </w:rPr>
        <w:t xml:space="preserve">en el </w:t>
      </w:r>
      <w:r w:rsidRPr="00CE1AB0">
        <w:rPr>
          <w:rFonts w:ascii="Palatino Linotype" w:eastAsia="Palatino Linotype" w:hAnsi="Palatino Linotype" w:cs="Palatino Linotype"/>
          <w:b/>
          <w:sz w:val="24"/>
          <w:szCs w:val="24"/>
        </w:rPr>
        <w:t xml:space="preserve">SAIMEX </w:t>
      </w:r>
      <w:r w:rsidRPr="00CE1AB0">
        <w:rPr>
          <w:rFonts w:ascii="Palatino Linotype" w:eastAsia="Palatino Linotype" w:hAnsi="Palatino Linotype" w:cs="Palatino Linotype"/>
          <w:sz w:val="24"/>
          <w:szCs w:val="24"/>
        </w:rPr>
        <w:t xml:space="preserve">con el número de expediente </w:t>
      </w:r>
      <w:r w:rsidRPr="00CE1AB0">
        <w:rPr>
          <w:rFonts w:ascii="Palatino Linotype" w:eastAsia="Palatino Linotype" w:hAnsi="Palatino Linotype" w:cs="Palatino Linotype"/>
          <w:b/>
          <w:sz w:val="24"/>
          <w:szCs w:val="24"/>
        </w:rPr>
        <w:t>04100/INFOEM/IP/RR/2026</w:t>
      </w:r>
      <w:r w:rsidRPr="00CE1AB0">
        <w:rPr>
          <w:rFonts w:ascii="Palatino Linotype" w:eastAsia="Palatino Linotype" w:hAnsi="Palatino Linotype" w:cs="Palatino Linotype"/>
          <w:sz w:val="24"/>
          <w:szCs w:val="24"/>
        </w:rPr>
        <w:t>, y señaló como acto impugnado y razones o motivos de inconformidad, lo siguiente:</w:t>
      </w:r>
    </w:p>
    <w:p w:rsidR="002D7F21" w:rsidRPr="00CE1AB0" w:rsidRDefault="002D7F21" w:rsidP="002D7F21">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rsidR="002D7F21" w:rsidRPr="00CE1AB0" w:rsidRDefault="002D7F21" w:rsidP="002D7F21">
      <w:pPr>
        <w:numPr>
          <w:ilvl w:val="0"/>
          <w:numId w:val="1"/>
        </w:numPr>
        <w:pBdr>
          <w:top w:val="nil"/>
          <w:left w:val="nil"/>
          <w:bottom w:val="nil"/>
          <w:right w:val="nil"/>
          <w:between w:val="nil"/>
        </w:pBdr>
        <w:spacing w:after="0" w:line="360" w:lineRule="auto"/>
        <w:jc w:val="both"/>
        <w:rPr>
          <w:i/>
        </w:rPr>
      </w:pPr>
      <w:r w:rsidRPr="00CE1AB0">
        <w:rPr>
          <w:rFonts w:ascii="Palatino Linotype" w:eastAsia="Palatino Linotype" w:hAnsi="Palatino Linotype" w:cs="Palatino Linotype"/>
          <w:b/>
          <w:i/>
          <w:color w:val="000000"/>
        </w:rPr>
        <w:t>Acto Impugnado:</w:t>
      </w:r>
    </w:p>
    <w:p w:rsidR="002D7F21" w:rsidRPr="00CE1AB0" w:rsidRDefault="002D7F21" w:rsidP="002D7F21">
      <w:pPr>
        <w:pStyle w:val="INFOEM"/>
        <w:ind w:left="720" w:right="567"/>
      </w:pPr>
      <w:r w:rsidRPr="00CE1AB0">
        <w:t xml:space="preserve">“Solicito copia digital de: licencias de construcción otorgadas permisos de uso de suelo autorizaciones de fraccionamientos procedimientos de clausura inspecciones realizadas sanciones administrativas impuestas por construcciones irregulares. 2026" (Sic) </w:t>
      </w:r>
    </w:p>
    <w:p w:rsidR="002D7F21" w:rsidRPr="00CE1AB0" w:rsidRDefault="002D7F21" w:rsidP="002D7F21">
      <w:pPr>
        <w:pBdr>
          <w:top w:val="nil"/>
          <w:left w:val="nil"/>
          <w:bottom w:val="nil"/>
          <w:right w:val="nil"/>
          <w:between w:val="nil"/>
        </w:pBdr>
        <w:spacing w:after="0" w:line="360" w:lineRule="auto"/>
        <w:ind w:left="720"/>
        <w:jc w:val="both"/>
        <w:rPr>
          <w:i/>
        </w:rPr>
      </w:pPr>
    </w:p>
    <w:p w:rsidR="002D7F21" w:rsidRPr="00CE1AB0" w:rsidRDefault="002D7F21" w:rsidP="002D7F21">
      <w:pPr>
        <w:numPr>
          <w:ilvl w:val="0"/>
          <w:numId w:val="1"/>
        </w:numPr>
        <w:pBdr>
          <w:top w:val="nil"/>
          <w:left w:val="nil"/>
          <w:bottom w:val="nil"/>
          <w:right w:val="nil"/>
          <w:between w:val="nil"/>
        </w:pBdr>
        <w:spacing w:after="0" w:line="360" w:lineRule="auto"/>
        <w:jc w:val="both"/>
        <w:rPr>
          <w:i/>
        </w:rPr>
      </w:pPr>
      <w:r w:rsidRPr="00CE1AB0">
        <w:rPr>
          <w:rFonts w:ascii="Palatino Linotype" w:eastAsia="Palatino Linotype" w:hAnsi="Palatino Linotype" w:cs="Palatino Linotype"/>
          <w:b/>
          <w:i/>
          <w:color w:val="000000"/>
        </w:rPr>
        <w:t xml:space="preserve">Razones o Motivos de Inconformidad: </w:t>
      </w:r>
    </w:p>
    <w:p w:rsidR="002D7F21" w:rsidRPr="00CE1AB0" w:rsidRDefault="002D7F21" w:rsidP="002D7F21">
      <w:pPr>
        <w:pStyle w:val="INFOEM"/>
        <w:ind w:left="709" w:right="567"/>
      </w:pPr>
      <w:r w:rsidRPr="00CE1AB0">
        <w:t xml:space="preserve">“El H. Ayuntamiento de Tepotzotlán incurrió en una omisión absoluta al no emitir respuesta dentro del plazo legal, configurándose la negativa ficta y vulnerando de manera directa mi derecho de acceso a la información. No es un hecho aislado, sino una conducta reiterada de incumplimiento en la que el Sujeto Obligado ignora sistemáticamente sus obligaciones y solo responde cuando es obligado por la autoridad, evidenciando desinterés, negligencia y una clara falta de respeto al marco legal en materia de transparencia. La ausencia total de respuesta, de búsqueda de información y de cualquier fundamento o </w:t>
      </w:r>
      <w:r w:rsidRPr="00CE1AB0">
        <w:lastRenderedPageBreak/>
        <w:t xml:space="preserve">motivación jurídica constituye una violación grave a los principios de legalidad, máxima publicidad y rendición de cuentas, generando un estado de indefensión. Por lo anterior, solicito: Se declare fundada la negativa ficta. Se ordene la entrega inmediata, completa y debidamente fundada de la información. Se impongan medidas de apremio efectivas. Se dé vista al Órgano Interno de Control para la determinación de responsabilidades administrativas. Resulta indispensable que ese Órgano Garante actúe con firmeza, ya que tolerar este tipo de conductas solo perpetúa la opacidad y el incumplimiento sistemático por parte del Ayuntamiento." (Sic) </w:t>
      </w:r>
    </w:p>
    <w:p w:rsidR="002D7F21" w:rsidRPr="00CE1AB0" w:rsidRDefault="002D7F21" w:rsidP="002D7F21">
      <w:pPr>
        <w:spacing w:after="0" w:line="360" w:lineRule="auto"/>
        <w:jc w:val="both"/>
        <w:rPr>
          <w:rFonts w:ascii="Palatino Linotype" w:eastAsia="Palatino Linotype" w:hAnsi="Palatino Linotype" w:cs="Palatino Linotype"/>
          <w:sz w:val="24"/>
          <w:szCs w:val="28"/>
        </w:rPr>
      </w:pPr>
    </w:p>
    <w:p w:rsidR="002D7F21" w:rsidRPr="00CE1AB0" w:rsidRDefault="002D7F21" w:rsidP="002D7F21">
      <w:pPr>
        <w:spacing w:before="240" w:line="360" w:lineRule="auto"/>
        <w:jc w:val="both"/>
        <w:rPr>
          <w:rFonts w:ascii="Palatino Linotype" w:hAnsi="Palatino Linotype" w:cs="Arial"/>
          <w:b/>
        </w:rPr>
      </w:pPr>
      <w:r w:rsidRPr="00CE1AB0">
        <w:rPr>
          <w:rFonts w:ascii="Palatino Linotype" w:eastAsia="Palatino Linotype" w:hAnsi="Palatino Linotype" w:cs="Palatino Linotype"/>
          <w:b/>
          <w:color w:val="000000"/>
          <w:sz w:val="28"/>
          <w:szCs w:val="24"/>
        </w:rPr>
        <w:t>CUARTO</w:t>
      </w:r>
      <w:r w:rsidRPr="00CE1AB0">
        <w:rPr>
          <w:rFonts w:ascii="Palatino Linotype" w:hAnsi="Palatino Linotype" w:cs="Arial"/>
          <w:b/>
        </w:rPr>
        <w:t xml:space="preserve">. </w:t>
      </w:r>
      <w:r w:rsidRPr="00CE1AB0">
        <w:rPr>
          <w:rFonts w:ascii="Palatino Linotype" w:hAnsi="Palatino Linotype" w:cs="Arial"/>
          <w:b/>
          <w:sz w:val="28"/>
          <w:szCs w:val="28"/>
        </w:rPr>
        <w:t>Del turno y admisión del recurso de revisión.</w:t>
      </w:r>
    </w:p>
    <w:p w:rsidR="002D7F21" w:rsidRPr="00CE1AB0" w:rsidRDefault="002D7F21" w:rsidP="002D7F21">
      <w:pPr>
        <w:spacing w:before="240" w:line="360" w:lineRule="auto"/>
        <w:jc w:val="both"/>
        <w:rPr>
          <w:rFonts w:ascii="Palatino Linotype" w:hAnsi="Palatino Linotype" w:cs="Arial"/>
          <w:sz w:val="32"/>
        </w:rPr>
      </w:pPr>
      <w:r w:rsidRPr="00CE1AB0">
        <w:rPr>
          <w:rFonts w:ascii="Palatino Linotype" w:hAnsi="Palatino Linotype"/>
          <w:sz w:val="24"/>
        </w:rPr>
        <w:t xml:space="preserve">El medio de impugnación fue turnado al Comisionado Presidente </w:t>
      </w:r>
      <w:r w:rsidRPr="00CE1AB0">
        <w:rPr>
          <w:rFonts w:ascii="Palatino Linotype" w:hAnsi="Palatino Linotype"/>
          <w:b/>
          <w:sz w:val="24"/>
        </w:rPr>
        <w:t>José Martínez Vilchis,</w:t>
      </w:r>
      <w:r w:rsidRPr="00CE1AB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CE1AB0">
        <w:rPr>
          <w:rFonts w:ascii="Palatino Linotype" w:hAnsi="Palatino Linotype"/>
          <w:b/>
          <w:sz w:val="24"/>
        </w:rPr>
        <w:t>admisión</w:t>
      </w:r>
      <w:r w:rsidRPr="00CE1AB0">
        <w:rPr>
          <w:rFonts w:ascii="Palatino Linotype" w:hAnsi="Palatino Linotype"/>
          <w:sz w:val="24"/>
        </w:rPr>
        <w:t xml:space="preserve"> en fecha </w:t>
      </w:r>
      <w:r w:rsidRPr="00CE1AB0">
        <w:rPr>
          <w:rFonts w:ascii="Palatino Linotype" w:eastAsia="Palatino Linotype" w:hAnsi="Palatino Linotype" w:cs="Palatino Linotype"/>
          <w:b/>
          <w:sz w:val="24"/>
          <w:szCs w:val="24"/>
        </w:rPr>
        <w:t>veintidós de abril de dos mil veintiséis</w:t>
      </w:r>
      <w:r w:rsidRPr="00CE1AB0">
        <w:rPr>
          <w:rFonts w:ascii="Palatino Linotype" w:hAnsi="Palatino Linotype"/>
          <w:sz w:val="24"/>
        </w:rPr>
        <w:t>, determinándose en ellos, un plazo de siete días para que las partes manifestaran lo que a su derecho corresponda en términos del numeral ya citado.</w:t>
      </w:r>
    </w:p>
    <w:p w:rsidR="002D7F21" w:rsidRPr="00CE1AB0" w:rsidRDefault="002D7F21" w:rsidP="002D7F21">
      <w:pPr>
        <w:spacing w:after="0" w:line="360" w:lineRule="auto"/>
        <w:jc w:val="both"/>
        <w:rPr>
          <w:rFonts w:ascii="Palatino Linotype" w:eastAsia="Palatino Linotype" w:hAnsi="Palatino Linotype" w:cs="Palatino Linotype"/>
          <w:sz w:val="24"/>
          <w:szCs w:val="28"/>
        </w:rPr>
      </w:pPr>
    </w:p>
    <w:p w:rsidR="002D7F21" w:rsidRPr="00CE1AB0" w:rsidRDefault="002D7F21" w:rsidP="002D7F21">
      <w:pPr>
        <w:pStyle w:val="Prrafodelista"/>
        <w:spacing w:line="360" w:lineRule="auto"/>
        <w:ind w:left="0"/>
        <w:jc w:val="both"/>
        <w:rPr>
          <w:rFonts w:ascii="Palatino Linotype" w:hAnsi="Palatino Linotype" w:cs="Arial"/>
          <w:b/>
          <w:sz w:val="28"/>
          <w:szCs w:val="28"/>
        </w:rPr>
      </w:pPr>
      <w:r w:rsidRPr="00CE1AB0">
        <w:rPr>
          <w:rFonts w:ascii="Palatino Linotype" w:hAnsi="Palatino Linotype" w:cs="Arial"/>
          <w:b/>
          <w:sz w:val="28"/>
        </w:rPr>
        <w:t>QUINTO</w:t>
      </w:r>
      <w:r w:rsidRPr="00CE1AB0">
        <w:rPr>
          <w:rFonts w:ascii="Palatino Linotype" w:hAnsi="Palatino Linotype" w:cs="Arial"/>
          <w:b/>
        </w:rPr>
        <w:t>.</w:t>
      </w:r>
      <w:r w:rsidRPr="00CE1AB0">
        <w:rPr>
          <w:rFonts w:ascii="Palatino Linotype" w:hAnsi="Palatino Linotype" w:cs="Arial"/>
          <w:b/>
          <w:sz w:val="28"/>
          <w:szCs w:val="28"/>
        </w:rPr>
        <w:t xml:space="preserve"> De la etapa de instrucción.</w:t>
      </w:r>
    </w:p>
    <w:p w:rsidR="002D7F21" w:rsidRPr="00CE1AB0" w:rsidRDefault="002D7F21" w:rsidP="002D7F21">
      <w:pPr>
        <w:spacing w:after="0" w:line="360" w:lineRule="auto"/>
        <w:jc w:val="both"/>
        <w:rPr>
          <w:rFonts w:ascii="Palatino Linotype" w:hAnsi="Palatino Linotype"/>
          <w:sz w:val="24"/>
          <w:szCs w:val="24"/>
        </w:rPr>
      </w:pPr>
      <w:r w:rsidRPr="00CE1AB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CE1AB0">
        <w:rPr>
          <w:rFonts w:ascii="Palatino Linotype" w:hAnsi="Palatino Linotype" w:cs="Arial"/>
          <w:b/>
          <w:sz w:val="24"/>
          <w:szCs w:val="24"/>
        </w:rPr>
        <w:t>,</w:t>
      </w:r>
      <w:r w:rsidRPr="00CE1AB0">
        <w:rPr>
          <w:rFonts w:ascii="Palatino Linotype" w:hAnsi="Palatino Linotype" w:cs="Arial"/>
          <w:sz w:val="24"/>
          <w:szCs w:val="24"/>
        </w:rPr>
        <w:t xml:space="preserve"> omitió rendir dentro del término de Ley, las manifestaciones que a sus intereses conviniera.</w:t>
      </w:r>
    </w:p>
    <w:p w:rsidR="002D7F21" w:rsidRPr="00CE1AB0" w:rsidRDefault="002D7F21" w:rsidP="002D7F21">
      <w:pPr>
        <w:spacing w:after="0" w:line="360" w:lineRule="auto"/>
        <w:jc w:val="both"/>
        <w:rPr>
          <w:rFonts w:ascii="Palatino Linotype" w:hAnsi="Palatino Linotype" w:cs="Arial"/>
          <w:sz w:val="24"/>
          <w:szCs w:val="24"/>
        </w:rPr>
      </w:pPr>
    </w:p>
    <w:p w:rsidR="002D7F21" w:rsidRPr="00CE1AB0" w:rsidRDefault="002D7F21" w:rsidP="002D7F21">
      <w:pPr>
        <w:spacing w:after="0" w:line="360" w:lineRule="auto"/>
        <w:jc w:val="both"/>
        <w:rPr>
          <w:rFonts w:ascii="Palatino Linotype" w:hAnsi="Palatino Linotype" w:cs="Arial"/>
          <w:sz w:val="24"/>
          <w:szCs w:val="24"/>
        </w:rPr>
      </w:pPr>
      <w:r w:rsidRPr="00CE1AB0">
        <w:rPr>
          <w:rFonts w:ascii="Palatino Linotype" w:hAnsi="Palatino Linotype" w:cs="Arial"/>
          <w:sz w:val="24"/>
          <w:szCs w:val="24"/>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2D7F21" w:rsidRPr="00CE1AB0" w:rsidRDefault="002D7F21" w:rsidP="002D7F21">
      <w:pPr>
        <w:spacing w:after="0" w:line="360" w:lineRule="auto"/>
        <w:jc w:val="both"/>
        <w:rPr>
          <w:rFonts w:ascii="Palatino Linotype" w:hAnsi="Palatino Linotype" w:cs="Arial"/>
          <w:sz w:val="24"/>
          <w:szCs w:val="28"/>
        </w:rPr>
      </w:pPr>
    </w:p>
    <w:p w:rsidR="002D7F21" w:rsidRPr="00CE1AB0" w:rsidRDefault="002D7F21" w:rsidP="002D7F21">
      <w:pPr>
        <w:spacing w:after="0" w:line="360" w:lineRule="auto"/>
        <w:jc w:val="both"/>
        <w:rPr>
          <w:rFonts w:ascii="Palatino Linotype" w:hAnsi="Palatino Linotype" w:cs="Arial"/>
          <w:b/>
          <w:sz w:val="28"/>
          <w:szCs w:val="28"/>
        </w:rPr>
      </w:pPr>
      <w:r w:rsidRPr="00CE1AB0">
        <w:rPr>
          <w:rFonts w:ascii="Palatino Linotype" w:hAnsi="Palatino Linotype" w:cs="Arial"/>
          <w:b/>
          <w:sz w:val="28"/>
          <w:szCs w:val="28"/>
        </w:rPr>
        <w:t>SEXTO. Del Cierre de Instrucción.</w:t>
      </w:r>
    </w:p>
    <w:p w:rsidR="002D7F21" w:rsidRPr="00CE1AB0" w:rsidRDefault="002D7F21" w:rsidP="002D7F21">
      <w:pPr>
        <w:spacing w:after="0" w:line="360" w:lineRule="auto"/>
        <w:jc w:val="both"/>
        <w:rPr>
          <w:rFonts w:ascii="Palatino Linotype" w:hAnsi="Palatino Linotype" w:cs="Arial"/>
          <w:b/>
          <w:sz w:val="24"/>
          <w:szCs w:val="24"/>
        </w:rPr>
      </w:pPr>
      <w:r w:rsidRPr="00CE1AB0">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Pr="00CE1AB0">
        <w:rPr>
          <w:rFonts w:ascii="Palatino Linotype" w:hAnsi="Palatino Linotype" w:cs="Arial"/>
          <w:b/>
          <w:sz w:val="24"/>
          <w:szCs w:val="24"/>
        </w:rPr>
        <w:t>seis de mayo de dos mil veintiséis</w:t>
      </w:r>
      <w:r w:rsidRPr="00CE1AB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center"/>
        <w:rPr>
          <w:rFonts w:ascii="Palatino Linotype" w:eastAsia="Palatino Linotype" w:hAnsi="Palatino Linotype" w:cs="Palatino Linotype"/>
          <w:sz w:val="24"/>
          <w:szCs w:val="24"/>
        </w:rPr>
      </w:pPr>
      <w:r w:rsidRPr="00CE1AB0">
        <w:rPr>
          <w:rFonts w:ascii="Palatino Linotype" w:eastAsia="Palatino Linotype" w:hAnsi="Palatino Linotype" w:cs="Palatino Linotype"/>
          <w:b/>
          <w:sz w:val="28"/>
          <w:szCs w:val="28"/>
        </w:rPr>
        <w:t xml:space="preserve">C O N S I D E R A N D O </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8"/>
          <w:szCs w:val="24"/>
        </w:rPr>
      </w:pPr>
      <w:r w:rsidRPr="00CE1AB0">
        <w:rPr>
          <w:rFonts w:ascii="Palatino Linotype" w:eastAsia="Palatino Linotype" w:hAnsi="Palatino Linotype" w:cs="Palatino Linotype"/>
          <w:b/>
          <w:sz w:val="28"/>
          <w:szCs w:val="24"/>
        </w:rPr>
        <w:t>PRIMERO. De la competencia</w:t>
      </w:r>
      <w:r w:rsidRPr="00CE1AB0">
        <w:rPr>
          <w:rFonts w:ascii="Palatino Linotype" w:eastAsia="Palatino Linotype" w:hAnsi="Palatino Linotype" w:cs="Palatino Linotype"/>
          <w:sz w:val="28"/>
          <w:szCs w:val="24"/>
        </w:rPr>
        <w:t>.</w:t>
      </w:r>
    </w:p>
    <w:p w:rsidR="002D7F21" w:rsidRPr="00CE1AB0" w:rsidRDefault="002D7F21" w:rsidP="002D7F21">
      <w:pPr>
        <w:spacing w:after="0" w:line="360" w:lineRule="auto"/>
        <w:jc w:val="both"/>
        <w:rPr>
          <w:rFonts w:ascii="Palatino Linotype" w:hAnsi="Palatino Linotype"/>
          <w:sz w:val="24"/>
          <w:lang w:val="es-ES"/>
        </w:rPr>
      </w:pPr>
      <w:r w:rsidRPr="00CE1AB0">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w:t>
      </w:r>
      <w:r w:rsidRPr="00CE1AB0">
        <w:rPr>
          <w:rFonts w:ascii="Palatino Linotype" w:hAnsi="Palatino Linotype"/>
          <w:sz w:val="24"/>
          <w:lang w:val="es-ES"/>
        </w:rPr>
        <w:lastRenderedPageBreak/>
        <w:t>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8"/>
          <w:szCs w:val="24"/>
        </w:rPr>
      </w:pPr>
      <w:r w:rsidRPr="00CE1AB0">
        <w:rPr>
          <w:rFonts w:ascii="Palatino Linotype" w:eastAsia="Palatino Linotype" w:hAnsi="Palatino Linotype" w:cs="Palatino Linotype"/>
          <w:b/>
          <w:sz w:val="28"/>
          <w:szCs w:val="24"/>
        </w:rPr>
        <w:t>SEGUNDO. De la Oportunidad y Procedencia del Recurso de Revisión</w:t>
      </w:r>
      <w:r w:rsidRPr="00CE1AB0">
        <w:rPr>
          <w:rFonts w:ascii="Palatino Linotype" w:eastAsia="Palatino Linotype" w:hAnsi="Palatino Linotype" w:cs="Palatino Linotype"/>
          <w:sz w:val="28"/>
          <w:szCs w:val="24"/>
        </w:rPr>
        <w:t>.</w:t>
      </w:r>
    </w:p>
    <w:p w:rsidR="002D7F21" w:rsidRPr="00CE1AB0" w:rsidRDefault="002D7F21" w:rsidP="002D7F21">
      <w:pPr>
        <w:spacing w:after="0" w:line="360" w:lineRule="auto"/>
        <w:jc w:val="both"/>
        <w:rPr>
          <w:rFonts w:ascii="Palatino Linotype" w:eastAsia="Palatino Linotype" w:hAnsi="Palatino Linotype" w:cs="Palatino Linotype"/>
          <w:b/>
          <w:sz w:val="24"/>
          <w:szCs w:val="24"/>
        </w:rPr>
      </w:pPr>
      <w:r w:rsidRPr="00CE1AB0">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CE1AB0">
        <w:rPr>
          <w:rFonts w:ascii="Palatino Linotype" w:eastAsia="Palatino Linotype" w:hAnsi="Palatino Linotype" w:cs="Palatino Linotype"/>
          <w:b/>
          <w:sz w:val="24"/>
          <w:szCs w:val="24"/>
        </w:rPr>
        <w:t>Recurrente</w:t>
      </w:r>
      <w:r w:rsidRPr="00CE1AB0">
        <w:rPr>
          <w:rFonts w:ascii="Palatino Linotype" w:eastAsia="Palatino Linotype" w:hAnsi="Palatino Linotype" w:cs="Palatino Linotype"/>
          <w:sz w:val="24"/>
          <w:szCs w:val="24"/>
        </w:rPr>
        <w:t xml:space="preserve">, por lo que, en el presente caso, al haber sido presentado el recurso de revisión vía </w:t>
      </w:r>
      <w:r w:rsidRPr="00CE1AB0">
        <w:rPr>
          <w:rFonts w:ascii="Palatino Linotype" w:eastAsia="Palatino Linotype" w:hAnsi="Palatino Linotype" w:cs="Palatino Linotype"/>
          <w:b/>
          <w:sz w:val="24"/>
          <w:szCs w:val="24"/>
        </w:rPr>
        <w:t>SAIMEX</w:t>
      </w:r>
      <w:r w:rsidRPr="00CE1AB0">
        <w:rPr>
          <w:rFonts w:ascii="Palatino Linotype" w:eastAsia="Palatino Linotype" w:hAnsi="Palatino Linotype" w:cs="Palatino Linotype"/>
          <w:sz w:val="24"/>
          <w:szCs w:val="24"/>
        </w:rPr>
        <w:t>, dicho requisito resulta innecesario.</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before="240" w:after="240" w:line="360" w:lineRule="auto"/>
        <w:jc w:val="both"/>
        <w:rPr>
          <w:rFonts w:ascii="Palatino Linotype" w:eastAsia="Palatino Linotype" w:hAnsi="Palatino Linotype" w:cs="Palatino Linotype"/>
          <w:i/>
          <w:sz w:val="24"/>
          <w:szCs w:val="24"/>
        </w:rPr>
      </w:pPr>
      <w:r w:rsidRPr="00CE1AB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hipótesis jurídica que se actualiza en este caso, aunado a que la parte </w:t>
      </w:r>
      <w:r w:rsidRPr="00CE1AB0">
        <w:rPr>
          <w:rFonts w:ascii="Palatino Linotype" w:eastAsia="Palatino Linotype" w:hAnsi="Palatino Linotype" w:cs="Palatino Linotype"/>
          <w:b/>
          <w:sz w:val="24"/>
          <w:szCs w:val="24"/>
        </w:rPr>
        <w:t>Recurrente</w:t>
      </w:r>
      <w:r w:rsidRPr="00CE1AB0">
        <w:rPr>
          <w:rFonts w:ascii="Palatino Linotype" w:eastAsia="Palatino Linotype" w:hAnsi="Palatino Linotype" w:cs="Palatino Linotype"/>
          <w:sz w:val="24"/>
          <w:szCs w:val="24"/>
        </w:rPr>
        <w:t xml:space="preserve"> combate falta de trámite por 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y expresa motivos de inconformidad en contra de dicha circunstancia.</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widowControl w:val="0"/>
        <w:spacing w:after="0" w:line="360" w:lineRule="auto"/>
        <w:jc w:val="both"/>
        <w:rPr>
          <w:rFonts w:ascii="Palatino Linotype" w:eastAsia="Palatino Linotype" w:hAnsi="Palatino Linotype" w:cs="Palatino Linotype"/>
          <w:b/>
          <w:sz w:val="28"/>
          <w:szCs w:val="28"/>
        </w:rPr>
      </w:pPr>
      <w:r w:rsidRPr="00CE1AB0">
        <w:rPr>
          <w:rFonts w:ascii="Palatino Linotype" w:eastAsia="Palatino Linotype" w:hAnsi="Palatino Linotype" w:cs="Palatino Linotype"/>
          <w:b/>
          <w:sz w:val="28"/>
          <w:szCs w:val="28"/>
        </w:rPr>
        <w:t xml:space="preserve">TERCERO. Estudio y resolución del asunto. </w:t>
      </w:r>
    </w:p>
    <w:p w:rsidR="002D7F21" w:rsidRPr="00CE1AB0" w:rsidRDefault="002D7F21" w:rsidP="002D7F21">
      <w:pPr>
        <w:spacing w:after="0" w:line="360" w:lineRule="auto"/>
        <w:jc w:val="both"/>
        <w:rPr>
          <w:rFonts w:ascii="Palatino Linotype" w:eastAsia="Palatino Linotype" w:hAnsi="Palatino Linotype" w:cs="Palatino Linotype"/>
          <w:color w:val="000000"/>
          <w:sz w:val="24"/>
          <w:szCs w:val="24"/>
        </w:rPr>
      </w:pPr>
      <w:r w:rsidRPr="00CE1AB0">
        <w:rPr>
          <w:rFonts w:ascii="Palatino Linotype" w:eastAsia="Palatino Linotype" w:hAnsi="Palatino Linotype" w:cs="Palatino Linotype"/>
          <w:sz w:val="24"/>
          <w:szCs w:val="24"/>
        </w:rPr>
        <w:t xml:space="preserve">El derecho de acceso a la información pública es un </w:t>
      </w:r>
      <w:r w:rsidRPr="00CE1AB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CE1AB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CE1AB0">
        <w:rPr>
          <w:rFonts w:ascii="Palatino Linotype" w:eastAsia="Palatino Linotype" w:hAnsi="Palatino Linotype" w:cs="Palatino Linotype"/>
          <w:b/>
          <w:color w:val="000000"/>
          <w:sz w:val="24"/>
          <w:szCs w:val="24"/>
        </w:rPr>
        <w:t xml:space="preserve"> </w:t>
      </w:r>
      <w:r w:rsidRPr="00CE1AB0">
        <w:rPr>
          <w:rFonts w:ascii="Palatino Linotype" w:eastAsia="Palatino Linotype" w:hAnsi="Palatino Linotype" w:cs="Palatino Linotype"/>
          <w:color w:val="000000"/>
          <w:sz w:val="24"/>
          <w:szCs w:val="24"/>
        </w:rPr>
        <w:t>y</w:t>
      </w:r>
      <w:r w:rsidRPr="00CE1AB0">
        <w:rPr>
          <w:rFonts w:ascii="Palatino Linotype" w:eastAsia="Palatino Linotype" w:hAnsi="Palatino Linotype" w:cs="Palatino Linotype"/>
          <w:b/>
          <w:color w:val="000000"/>
          <w:sz w:val="24"/>
          <w:szCs w:val="24"/>
        </w:rPr>
        <w:t xml:space="preserve"> </w:t>
      </w:r>
      <w:r w:rsidRPr="00CE1AB0">
        <w:rPr>
          <w:rFonts w:ascii="Palatino Linotype" w:eastAsia="Palatino Linotype" w:hAnsi="Palatino Linotype" w:cs="Palatino Linotype"/>
          <w:sz w:val="24"/>
          <w:szCs w:val="24"/>
        </w:rPr>
        <w:t>por tanto, procedente la interposición del recurso de revisión.</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En consecuencia, las razones o motivos de inconformidad hechos valer, resultan </w:t>
      </w:r>
      <w:r w:rsidRPr="00CE1AB0">
        <w:rPr>
          <w:rFonts w:ascii="Palatino Linotype" w:eastAsia="Palatino Linotype" w:hAnsi="Palatino Linotype" w:cs="Palatino Linotype"/>
          <w:b/>
          <w:sz w:val="24"/>
          <w:szCs w:val="24"/>
        </w:rPr>
        <w:t>fundadas y procedentes</w:t>
      </w:r>
      <w:r w:rsidRPr="00CE1AB0">
        <w:rPr>
          <w:rFonts w:ascii="Palatino Linotype" w:eastAsia="Palatino Linotype" w:hAnsi="Palatino Linotype" w:cs="Palatino Linotype"/>
          <w:sz w:val="24"/>
          <w:szCs w:val="24"/>
        </w:rPr>
        <w:t xml:space="preserve">, en virtud de las constancias que obran en el expediente electrónico SAIMEX, se acredita que 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fue omiso en responder la solicitud de información hecha por la parte </w:t>
      </w:r>
      <w:r w:rsidRPr="00CE1AB0">
        <w:rPr>
          <w:rFonts w:ascii="Palatino Linotype" w:eastAsia="Palatino Linotype" w:hAnsi="Palatino Linotype" w:cs="Palatino Linotype"/>
          <w:b/>
          <w:sz w:val="24"/>
          <w:szCs w:val="24"/>
        </w:rPr>
        <w:t>Recurrente</w:t>
      </w:r>
      <w:r w:rsidRPr="00CE1AB0">
        <w:rPr>
          <w:rFonts w:ascii="Palatino Linotype" w:eastAsia="Palatino Linotype" w:hAnsi="Palatino Linotype" w:cs="Palatino Linotype"/>
          <w:sz w:val="24"/>
          <w:szCs w:val="24"/>
        </w:rPr>
        <w:t xml:space="preserve">, es decir, incumplió las obligaciones que se le imponen como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rsidR="002D7F21" w:rsidRPr="00CE1AB0" w:rsidRDefault="002D7F21" w:rsidP="002D7F21">
      <w:pPr>
        <w:widowControl w:val="0"/>
        <w:tabs>
          <w:tab w:val="left" w:pos="1276"/>
        </w:tabs>
        <w:spacing w:after="0" w:line="360" w:lineRule="auto"/>
        <w:jc w:val="both"/>
        <w:rPr>
          <w:rFonts w:ascii="Palatino Linotype" w:eastAsia="Palatino Linotype" w:hAnsi="Palatino Linotype" w:cs="Palatino Linotype"/>
          <w:sz w:val="24"/>
          <w:szCs w:val="24"/>
        </w:rPr>
      </w:pPr>
    </w:p>
    <w:p w:rsidR="002D7F21" w:rsidRPr="00CE1AB0"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rsidR="002D7F21" w:rsidRPr="00CE1AB0" w:rsidRDefault="002D7F21" w:rsidP="002D7F21">
      <w:pPr>
        <w:widowControl w:val="0"/>
        <w:tabs>
          <w:tab w:val="left" w:pos="1276"/>
        </w:tabs>
        <w:spacing w:line="360" w:lineRule="auto"/>
        <w:jc w:val="both"/>
        <w:rPr>
          <w:rFonts w:ascii="Palatino Linotype" w:eastAsia="Palatino Linotype" w:hAnsi="Palatino Linotype" w:cs="Palatino Linotype"/>
          <w:sz w:val="24"/>
          <w:szCs w:val="24"/>
        </w:rPr>
      </w:pPr>
    </w:p>
    <w:p w:rsidR="002D7F21" w:rsidRPr="00CE1AB0" w:rsidRDefault="002D7F21" w:rsidP="002D7F21">
      <w:pPr>
        <w:spacing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w:t>
      </w:r>
      <w:r w:rsidRPr="00CE1AB0">
        <w:rPr>
          <w:rFonts w:ascii="Palatino Linotype" w:eastAsia="Palatino Linotype" w:hAnsi="Palatino Linotype" w:cs="Palatino Linotype"/>
          <w:sz w:val="24"/>
          <w:szCs w:val="24"/>
        </w:rPr>
        <w:lastRenderedPageBreak/>
        <w:t>omisión del Titular de la Unidad de Transparencia, como primer responsable de atender la solicitud de información, se traduce en una conducta que ha vulnerado el derecho de acceso a la información consignado a favor del particular.</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i/>
          <w:sz w:val="24"/>
          <w:szCs w:val="24"/>
        </w:rPr>
      </w:pPr>
      <w:r w:rsidRPr="00CE1AB0">
        <w:rPr>
          <w:rFonts w:ascii="Palatino Linotype" w:eastAsia="Palatino Linotype" w:hAnsi="Palatino Linotype" w:cs="Palatino Linotype"/>
          <w:sz w:val="24"/>
          <w:szCs w:val="24"/>
        </w:rPr>
        <w:t xml:space="preserve">En consecuencia, según lo dispuesto por el artículo 150 de la Ley de Transparencia y Acceso a la Información Pública del Estado de México y Municipios, el </w:t>
      </w:r>
      <w:r w:rsidRPr="00CE1AB0">
        <w:rPr>
          <w:rFonts w:ascii="Palatino Linotype" w:eastAsia="Palatino Linotype" w:hAnsi="Palatino Linotype" w:cs="Palatino Linotype"/>
          <w:i/>
          <w:sz w:val="24"/>
          <w:szCs w:val="24"/>
        </w:rPr>
        <w:t xml:space="preserve">procedimiento de acceso a la información es la garantía primaria del derecho en cuestión, </w:t>
      </w:r>
      <w:r w:rsidRPr="00CE1AB0">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a su deber de garantizar el derecho, lo que constituye una vulneración al mismo.</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Por lo que, en cumplimiento a esta resolución, el </w:t>
      </w:r>
      <w:r w:rsidRPr="00CE1AB0">
        <w:rPr>
          <w:rFonts w:ascii="Palatino Linotype" w:eastAsia="Palatino Linotype" w:hAnsi="Palatino Linotype" w:cs="Palatino Linotype"/>
          <w:b/>
          <w:sz w:val="24"/>
          <w:szCs w:val="24"/>
        </w:rPr>
        <w:t xml:space="preserve">Sujeto Obligado </w:t>
      </w:r>
      <w:r w:rsidRPr="00CE1AB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numPr>
          <w:ilvl w:val="0"/>
          <w:numId w:val="2"/>
        </w:numPr>
        <w:spacing w:after="0" w:line="360" w:lineRule="auto"/>
        <w:jc w:val="both"/>
        <w:rPr>
          <w:b/>
          <w:sz w:val="28"/>
          <w:szCs w:val="28"/>
        </w:rPr>
      </w:pPr>
      <w:r w:rsidRPr="00CE1AB0">
        <w:rPr>
          <w:rFonts w:ascii="Palatino Linotype" w:eastAsia="Palatino Linotype" w:hAnsi="Palatino Linotype" w:cs="Palatino Linotype"/>
          <w:b/>
          <w:sz w:val="28"/>
          <w:szCs w:val="28"/>
        </w:rPr>
        <w:t>De la clasificación de la información</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w:t>
      </w:r>
      <w:r w:rsidRPr="00CE1AB0">
        <w:rPr>
          <w:rFonts w:ascii="Palatino Linotype" w:eastAsia="Palatino Linotype" w:hAnsi="Palatino Linotype" w:cs="Palatino Linotype"/>
          <w:sz w:val="24"/>
          <w:szCs w:val="24"/>
        </w:rPr>
        <w:lastRenderedPageBreak/>
        <w:t xml:space="preserve">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rsidR="002D7F21" w:rsidRPr="00CE1AB0" w:rsidRDefault="002D7F21" w:rsidP="002D7F21">
      <w:pPr>
        <w:spacing w:line="360" w:lineRule="auto"/>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spacing w:line="360" w:lineRule="auto"/>
        <w:jc w:val="both"/>
        <w:rPr>
          <w:rFonts w:ascii="Palatino Linotype" w:eastAsia="Palatino Linotype" w:hAnsi="Palatino Linotype" w:cs="Palatino Linotype"/>
          <w:sz w:val="24"/>
          <w:szCs w:val="24"/>
        </w:rPr>
      </w:pPr>
      <w:bookmarkStart w:id="1" w:name="_gjdgxs" w:colFirst="0" w:colLast="0"/>
      <w:bookmarkEnd w:id="1"/>
      <w:r w:rsidRPr="00CE1AB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w:t>
      </w:r>
      <w:r w:rsidRPr="00CE1AB0">
        <w:rPr>
          <w:rFonts w:ascii="Palatino Linotype" w:eastAsia="Palatino Linotype" w:hAnsi="Palatino Linotype" w:cs="Palatino Linotype"/>
          <w:sz w:val="24"/>
          <w:szCs w:val="24"/>
        </w:rPr>
        <w:lastRenderedPageBreak/>
        <w:t>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rsidR="002D7F21" w:rsidRPr="00CE1AB0" w:rsidRDefault="002D7F21" w:rsidP="002D7F21">
      <w:pPr>
        <w:spacing w:line="360" w:lineRule="auto"/>
        <w:ind w:right="51"/>
        <w:jc w:val="both"/>
        <w:rPr>
          <w:rFonts w:ascii="Palatino Linotype" w:eastAsia="Palatino Linotype" w:hAnsi="Palatino Linotype" w:cs="Palatino Linotype"/>
          <w:sz w:val="24"/>
          <w:szCs w:val="24"/>
        </w:rPr>
      </w:pPr>
    </w:p>
    <w:p w:rsidR="002D7F21" w:rsidRPr="00CE1AB0" w:rsidRDefault="002D7F21" w:rsidP="002D7F21">
      <w:pPr>
        <w:spacing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rsidR="002D7F21" w:rsidRPr="00CE1AB0" w:rsidRDefault="002D7F21" w:rsidP="002D7F21">
      <w:pPr>
        <w:spacing w:line="360" w:lineRule="auto"/>
        <w:jc w:val="both"/>
        <w:rPr>
          <w:rFonts w:ascii="Palatino Linotype" w:eastAsia="Palatino Linotype" w:hAnsi="Palatino Linotype" w:cs="Palatino Linotype"/>
          <w:sz w:val="24"/>
          <w:szCs w:val="24"/>
        </w:rPr>
      </w:pPr>
    </w:p>
    <w:p w:rsidR="002D7F21" w:rsidRPr="00CE1AB0" w:rsidRDefault="002D7F21" w:rsidP="002D7F21">
      <w:pPr>
        <w:spacing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lastRenderedPageBreak/>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CE1AB0">
        <w:rPr>
          <w:rFonts w:ascii="Palatino Linotype" w:eastAsia="Palatino Linotype" w:hAnsi="Palatino Linotype" w:cs="Palatino Linotype"/>
          <w:i/>
          <w:sz w:val="24"/>
          <w:szCs w:val="24"/>
        </w:rPr>
        <w:t>.</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numPr>
          <w:ilvl w:val="0"/>
          <w:numId w:val="3"/>
        </w:numPr>
        <w:tabs>
          <w:tab w:val="left" w:pos="7938"/>
        </w:tabs>
        <w:spacing w:after="0" w:line="360" w:lineRule="auto"/>
        <w:ind w:left="426"/>
        <w:jc w:val="both"/>
        <w:rPr>
          <w:b/>
          <w:sz w:val="28"/>
          <w:szCs w:val="28"/>
        </w:rPr>
      </w:pPr>
      <w:r w:rsidRPr="00CE1AB0">
        <w:rPr>
          <w:rFonts w:ascii="Palatino Linotype" w:eastAsia="Palatino Linotype" w:hAnsi="Palatino Linotype" w:cs="Palatino Linotype"/>
          <w:b/>
          <w:sz w:val="28"/>
          <w:szCs w:val="28"/>
        </w:rPr>
        <w:t xml:space="preserve">De la vista a los órganos de control interno competentes </w:t>
      </w:r>
    </w:p>
    <w:p w:rsidR="002D7F21" w:rsidRPr="00CE1AB0" w:rsidRDefault="002D7F21" w:rsidP="002D7F21">
      <w:pPr>
        <w:spacing w:line="360" w:lineRule="auto"/>
        <w:ind w:right="49"/>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Como ya se mencionó el</w:t>
      </w:r>
      <w:r w:rsidRPr="00CE1AB0">
        <w:rPr>
          <w:rFonts w:ascii="Palatino Linotype" w:eastAsia="Palatino Linotype" w:hAnsi="Palatino Linotype" w:cs="Palatino Linotype"/>
          <w:b/>
          <w:sz w:val="24"/>
          <w:szCs w:val="24"/>
        </w:rPr>
        <w:t xml:space="preserve"> Sujeto Obligado</w:t>
      </w:r>
      <w:r w:rsidRPr="00CE1AB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CE1AB0">
        <w:rPr>
          <w:rFonts w:ascii="Palatino Linotype" w:eastAsia="Palatino Linotype" w:hAnsi="Palatino Linotype" w:cs="Palatino Linotype"/>
          <w:b/>
          <w:sz w:val="24"/>
          <w:szCs w:val="24"/>
        </w:rPr>
        <w:t xml:space="preserve"> </w:t>
      </w:r>
      <w:r w:rsidRPr="00CE1AB0">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w:t>
      </w:r>
      <w:r w:rsidRPr="00CE1AB0">
        <w:rPr>
          <w:rFonts w:ascii="Palatino Linotype" w:eastAsia="Palatino Linotype" w:hAnsi="Palatino Linotype" w:cs="Palatino Linotype"/>
          <w:sz w:val="24"/>
          <w:szCs w:val="24"/>
        </w:rPr>
        <w:lastRenderedPageBreak/>
        <w:t>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rsidR="002D7F21" w:rsidRPr="00CE1AB0" w:rsidRDefault="002D7F21" w:rsidP="002D7F21">
      <w:pPr>
        <w:spacing w:line="360" w:lineRule="auto"/>
        <w:ind w:right="49"/>
        <w:jc w:val="both"/>
        <w:rPr>
          <w:rFonts w:ascii="Palatino Linotype" w:eastAsia="Palatino Linotype" w:hAnsi="Palatino Linotype" w:cs="Palatino Linotype"/>
          <w:sz w:val="24"/>
          <w:szCs w:val="24"/>
        </w:rPr>
      </w:pP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 xml:space="preserve">Por lo tanto, de lo expuesto y con fundamento en la fracción IV del artículo 186, de la Ley de Transparencia y Acceso a la Información Pública del Estado de México y Municipios, se </w:t>
      </w:r>
      <w:r w:rsidRPr="00CE1AB0">
        <w:rPr>
          <w:rFonts w:ascii="Palatino Linotype" w:eastAsia="Palatino Linotype" w:hAnsi="Palatino Linotype" w:cs="Palatino Linotype"/>
          <w:b/>
          <w:sz w:val="24"/>
          <w:szCs w:val="24"/>
        </w:rPr>
        <w:t>ORDENA</w:t>
      </w:r>
      <w:r w:rsidRPr="00CE1AB0">
        <w:rPr>
          <w:rFonts w:ascii="Palatino Linotype" w:eastAsia="Palatino Linotype" w:hAnsi="Palatino Linotype" w:cs="Palatino Linotype"/>
          <w:sz w:val="24"/>
          <w:szCs w:val="24"/>
        </w:rPr>
        <w:t xml:space="preserve"> al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atienda las solicitudes de información </w:t>
      </w:r>
      <w:r w:rsidRPr="00CE1AB0">
        <w:rPr>
          <w:rFonts w:ascii="Palatino Linotype" w:eastAsia="Palatino Linotype" w:hAnsi="Palatino Linotype" w:cs="Palatino Linotype"/>
          <w:b/>
          <w:sz w:val="24"/>
          <w:szCs w:val="24"/>
        </w:rPr>
        <w:t>00904/TEPOTZOT/IP/2026,</w:t>
      </w:r>
      <w:r w:rsidRPr="00CE1AB0">
        <w:rPr>
          <w:rFonts w:ascii="Palatino Linotype" w:eastAsia="Palatino Linotype" w:hAnsi="Palatino Linotype" w:cs="Palatino Linotype"/>
          <w:sz w:val="24"/>
          <w:szCs w:val="24"/>
        </w:rPr>
        <w:t xml:space="preserve"> que han sido materia del presente fallo</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Por lo antes expuesto y fundado es de resolverse y,</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2D7F21" w:rsidP="002D7F21">
      <w:pPr>
        <w:spacing w:after="0" w:line="360" w:lineRule="auto"/>
        <w:ind w:left="426"/>
        <w:jc w:val="center"/>
        <w:rPr>
          <w:rFonts w:ascii="Palatino Linotype" w:eastAsia="Palatino Linotype" w:hAnsi="Palatino Linotype" w:cs="Palatino Linotype"/>
          <w:b/>
          <w:color w:val="000000"/>
          <w:sz w:val="28"/>
          <w:szCs w:val="28"/>
        </w:rPr>
      </w:pPr>
      <w:r w:rsidRPr="00CE1AB0">
        <w:rPr>
          <w:rFonts w:ascii="Palatino Linotype" w:eastAsia="Palatino Linotype" w:hAnsi="Palatino Linotype" w:cs="Palatino Linotype"/>
          <w:b/>
          <w:color w:val="000000"/>
          <w:sz w:val="28"/>
          <w:szCs w:val="28"/>
        </w:rPr>
        <w:t>SE    RESUELVE</w:t>
      </w:r>
    </w:p>
    <w:p w:rsidR="002D7F21" w:rsidRPr="00CE1AB0" w:rsidRDefault="002D7F21" w:rsidP="002D7F21">
      <w:pPr>
        <w:spacing w:after="0" w:line="360" w:lineRule="auto"/>
        <w:ind w:left="426"/>
        <w:jc w:val="center"/>
        <w:rPr>
          <w:rFonts w:ascii="Palatino Linotype" w:eastAsia="Palatino Linotype" w:hAnsi="Palatino Linotype" w:cs="Palatino Linotype"/>
          <w:b/>
          <w:color w:val="000000"/>
          <w:sz w:val="28"/>
          <w:szCs w:val="28"/>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b/>
          <w:sz w:val="28"/>
          <w:szCs w:val="28"/>
        </w:rPr>
        <w:t>PRIMERO.</w:t>
      </w:r>
      <w:r w:rsidRPr="00CE1AB0">
        <w:rPr>
          <w:rFonts w:ascii="Palatino Linotype" w:eastAsia="Palatino Linotype" w:hAnsi="Palatino Linotype" w:cs="Palatino Linotype"/>
          <w:sz w:val="24"/>
          <w:szCs w:val="24"/>
        </w:rPr>
        <w:t xml:space="preserve"> Resultan fundadas las razones o motivos de inconformidad hechos valer por la parte </w:t>
      </w:r>
      <w:r w:rsidRPr="00CE1AB0">
        <w:rPr>
          <w:rFonts w:ascii="Palatino Linotype" w:eastAsia="Palatino Linotype" w:hAnsi="Palatino Linotype" w:cs="Palatino Linotype"/>
          <w:b/>
          <w:sz w:val="24"/>
          <w:szCs w:val="24"/>
        </w:rPr>
        <w:t>Recurrente,</w:t>
      </w:r>
      <w:r w:rsidRPr="00CE1AB0">
        <w:rPr>
          <w:rFonts w:ascii="Palatino Linotype" w:eastAsia="Palatino Linotype" w:hAnsi="Palatino Linotype" w:cs="Palatino Linotype"/>
          <w:sz w:val="24"/>
          <w:szCs w:val="24"/>
        </w:rPr>
        <w:t xml:space="preserve"> en términos del considerando </w:t>
      </w:r>
      <w:r w:rsidRPr="00CE1AB0">
        <w:rPr>
          <w:rFonts w:ascii="Palatino Linotype" w:eastAsia="Palatino Linotype" w:hAnsi="Palatino Linotype" w:cs="Palatino Linotype"/>
          <w:b/>
          <w:sz w:val="24"/>
          <w:szCs w:val="24"/>
        </w:rPr>
        <w:t>TERCERO</w:t>
      </w:r>
      <w:r w:rsidRPr="00CE1AB0">
        <w:rPr>
          <w:rFonts w:ascii="Palatino Linotype" w:eastAsia="Palatino Linotype" w:hAnsi="Palatino Linotype" w:cs="Palatino Linotype"/>
          <w:sz w:val="24"/>
          <w:szCs w:val="24"/>
        </w:rPr>
        <w:t>, de la presente resolución.</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b/>
          <w:sz w:val="28"/>
          <w:szCs w:val="28"/>
        </w:rPr>
        <w:t>SEGUNDO.</w:t>
      </w:r>
      <w:r w:rsidRPr="00CE1AB0">
        <w:rPr>
          <w:rFonts w:ascii="Palatino Linotype" w:eastAsia="Palatino Linotype" w:hAnsi="Palatino Linotype" w:cs="Palatino Linotype"/>
          <w:sz w:val="24"/>
          <w:szCs w:val="24"/>
        </w:rPr>
        <w:t xml:space="preserve"> Se </w:t>
      </w:r>
      <w:r w:rsidRPr="00CE1AB0">
        <w:rPr>
          <w:rFonts w:ascii="Palatino Linotype" w:eastAsia="Palatino Linotype" w:hAnsi="Palatino Linotype" w:cs="Palatino Linotype"/>
          <w:b/>
          <w:sz w:val="24"/>
          <w:szCs w:val="24"/>
        </w:rPr>
        <w:t>ORDENA</w:t>
      </w:r>
      <w:r w:rsidRPr="00CE1AB0">
        <w:rPr>
          <w:rFonts w:ascii="Palatino Linotype" w:eastAsia="Palatino Linotype" w:hAnsi="Palatino Linotype" w:cs="Palatino Linotype"/>
          <w:sz w:val="24"/>
          <w:szCs w:val="24"/>
        </w:rPr>
        <w:t xml:space="preserve"> al </w:t>
      </w:r>
      <w:r w:rsidRPr="00CE1AB0">
        <w:rPr>
          <w:rFonts w:ascii="Palatino Linotype" w:eastAsia="Palatino Linotype" w:hAnsi="Palatino Linotype" w:cs="Palatino Linotype"/>
          <w:b/>
          <w:sz w:val="24"/>
          <w:szCs w:val="24"/>
        </w:rPr>
        <w:t>Sujeto Obligado</w:t>
      </w:r>
      <w:r w:rsidRPr="00CE1AB0">
        <w:rPr>
          <w:rFonts w:ascii="Palatino Linotype" w:eastAsia="Palatino Linotype" w:hAnsi="Palatino Linotype" w:cs="Palatino Linotype"/>
          <w:sz w:val="24"/>
          <w:szCs w:val="24"/>
        </w:rPr>
        <w:t xml:space="preserve"> atienda la solicitud de información </w:t>
      </w:r>
      <w:r w:rsidRPr="00CE1AB0">
        <w:rPr>
          <w:rFonts w:ascii="Palatino Linotype" w:eastAsia="Palatino Linotype" w:hAnsi="Palatino Linotype" w:cs="Palatino Linotype"/>
          <w:b/>
          <w:sz w:val="24"/>
          <w:szCs w:val="24"/>
        </w:rPr>
        <w:t>00904/TEPOTZOT/IP/2026</w:t>
      </w:r>
      <w:r w:rsidRPr="00CE1AB0">
        <w:rPr>
          <w:rFonts w:ascii="Palatino Linotype" w:eastAsia="Palatino Linotype" w:hAnsi="Palatino Linotype" w:cs="Palatino Linotype"/>
          <w:sz w:val="24"/>
          <w:szCs w:val="24"/>
        </w:rPr>
        <w:t xml:space="preserve">, vía Sistema de Acceso a la Información Mexiquense (SAIMEX), en términos del Considerando </w:t>
      </w:r>
      <w:r w:rsidRPr="00CE1AB0">
        <w:rPr>
          <w:rFonts w:ascii="Palatino Linotype" w:eastAsia="Palatino Linotype" w:hAnsi="Palatino Linotype" w:cs="Palatino Linotype"/>
          <w:b/>
          <w:sz w:val="24"/>
          <w:szCs w:val="24"/>
        </w:rPr>
        <w:t xml:space="preserve">TERCERO </w:t>
      </w:r>
      <w:r w:rsidRPr="00CE1AB0">
        <w:rPr>
          <w:rFonts w:ascii="Palatino Linotype" w:eastAsia="Palatino Linotype" w:hAnsi="Palatino Linotype" w:cs="Palatino Linotype"/>
          <w:sz w:val="24"/>
          <w:szCs w:val="24"/>
        </w:rPr>
        <w:t>de esta resolución</w:t>
      </w:r>
      <w:r w:rsidRPr="00CE1AB0">
        <w:rPr>
          <w:rFonts w:ascii="Palatino Linotype" w:eastAsia="Palatino Linotype" w:hAnsi="Palatino Linotype" w:cs="Palatino Linotype"/>
          <w:b/>
          <w:sz w:val="24"/>
          <w:szCs w:val="24"/>
        </w:rPr>
        <w:t>.</w:t>
      </w:r>
    </w:p>
    <w:p w:rsidR="002D7F21" w:rsidRPr="00CE1AB0" w:rsidRDefault="002D7F21" w:rsidP="002D7F21">
      <w:pPr>
        <w:tabs>
          <w:tab w:val="left" w:pos="8647"/>
        </w:tabs>
        <w:spacing w:after="0" w:line="360" w:lineRule="auto"/>
        <w:ind w:right="51"/>
        <w:jc w:val="both"/>
        <w:rPr>
          <w:rFonts w:ascii="Palatino Linotype" w:eastAsia="Palatino Linotype" w:hAnsi="Palatino Linotype" w:cs="Palatino Linotype"/>
          <w:sz w:val="24"/>
          <w:szCs w:val="24"/>
        </w:rPr>
      </w:pPr>
    </w:p>
    <w:p w:rsidR="002D7F21" w:rsidRPr="00CE1AB0" w:rsidRDefault="002D7F21" w:rsidP="002D7F21">
      <w:pPr>
        <w:tabs>
          <w:tab w:val="left" w:pos="8647"/>
        </w:tabs>
        <w:spacing w:after="0" w:line="360" w:lineRule="auto"/>
        <w:ind w:right="51"/>
        <w:jc w:val="both"/>
        <w:rPr>
          <w:rFonts w:ascii="Palatino Linotype" w:hAnsi="Palatino Linotype" w:cs="Arial"/>
          <w:sz w:val="24"/>
          <w:szCs w:val="24"/>
        </w:rPr>
      </w:pPr>
      <w:r w:rsidRPr="00CE1AB0">
        <w:rPr>
          <w:rFonts w:ascii="Palatino Linotype" w:hAnsi="Palatino Linotype" w:cs="Arial"/>
          <w:b/>
          <w:sz w:val="28"/>
          <w:szCs w:val="24"/>
        </w:rPr>
        <w:t>TERCERO</w:t>
      </w:r>
      <w:r w:rsidRPr="00CE1AB0">
        <w:rPr>
          <w:rFonts w:ascii="Palatino Linotype" w:hAnsi="Palatino Linotype" w:cs="Arial"/>
          <w:b/>
          <w:sz w:val="24"/>
          <w:szCs w:val="24"/>
        </w:rPr>
        <w:t>.</w:t>
      </w:r>
      <w:r w:rsidRPr="00CE1AB0">
        <w:rPr>
          <w:rFonts w:ascii="Palatino Linotype" w:hAnsi="Palatino Linotype" w:cs="Arial"/>
          <w:sz w:val="24"/>
          <w:szCs w:val="24"/>
        </w:rPr>
        <w:t xml:space="preserve"> </w:t>
      </w:r>
      <w:r w:rsidRPr="00CE1AB0">
        <w:rPr>
          <w:rFonts w:ascii="Palatino Linotype" w:hAnsi="Palatino Linotype" w:cs="Arial"/>
          <w:b/>
          <w:sz w:val="24"/>
          <w:szCs w:val="24"/>
        </w:rPr>
        <w:t>Notifíquese</w:t>
      </w:r>
      <w:r w:rsidRPr="00CE1AB0">
        <w:rPr>
          <w:rFonts w:ascii="Palatino Linotype" w:eastAsia="Times New Roman" w:hAnsi="Palatino Linotype" w:cs="Arial"/>
          <w:sz w:val="24"/>
          <w:szCs w:val="24"/>
          <w:lang w:val="es-ES" w:eastAsia="es-ES"/>
        </w:rPr>
        <w:t xml:space="preserve"> a través del SAIMEX,</w:t>
      </w:r>
      <w:r w:rsidRPr="00CE1AB0">
        <w:rPr>
          <w:rFonts w:ascii="Palatino Linotype" w:hAnsi="Palatino Linotype" w:cs="Arial"/>
          <w:b/>
          <w:i/>
          <w:sz w:val="24"/>
          <w:szCs w:val="24"/>
        </w:rPr>
        <w:t xml:space="preserve"> </w:t>
      </w:r>
      <w:r w:rsidRPr="00CE1AB0">
        <w:rPr>
          <w:rFonts w:ascii="Palatino Linotype" w:hAnsi="Palatino Linotype" w:cs="Arial"/>
          <w:sz w:val="24"/>
          <w:szCs w:val="24"/>
        </w:rPr>
        <w:t>al Titular de la Unidad de Transparencia del</w:t>
      </w:r>
      <w:r w:rsidRPr="00CE1AB0">
        <w:rPr>
          <w:rFonts w:ascii="Palatino Linotype" w:hAnsi="Palatino Linotype" w:cs="Arial"/>
          <w:b/>
          <w:sz w:val="24"/>
          <w:szCs w:val="24"/>
        </w:rPr>
        <w:t xml:space="preserve"> Sujeto Obligado</w:t>
      </w:r>
      <w:r w:rsidRPr="00CE1AB0">
        <w:rPr>
          <w:rFonts w:ascii="Palatino Linotype" w:hAnsi="Palatino Linotype" w:cs="Arial"/>
          <w:sz w:val="24"/>
          <w:szCs w:val="24"/>
        </w:rPr>
        <w:t xml:space="preserve"> la presente resolución, para que conforme al </w:t>
      </w:r>
      <w:r w:rsidRPr="00CE1AB0">
        <w:rPr>
          <w:rFonts w:ascii="Palatino Linotype" w:hAnsi="Palatino Linotype" w:cs="Arial"/>
          <w:sz w:val="24"/>
          <w:szCs w:val="24"/>
        </w:rPr>
        <w:lastRenderedPageBreak/>
        <w:t xml:space="preserve">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CE1AB0">
        <w:rPr>
          <w:rFonts w:ascii="Palatino Linotype" w:hAnsi="Palatino Linotype" w:cs="Arial"/>
          <w:b/>
          <w:sz w:val="24"/>
          <w:szCs w:val="32"/>
          <w:lang w:val="es-ES_tradnl"/>
        </w:rPr>
        <w:t>y</w:t>
      </w:r>
      <w:r w:rsidRPr="00CE1AB0">
        <w:rPr>
          <w:rFonts w:ascii="Palatino Linotype" w:hAnsi="Palatino Linotype" w:cs="Arial"/>
          <w:sz w:val="24"/>
          <w:szCs w:val="32"/>
          <w:lang w:val="es-ES_tradnl"/>
        </w:rPr>
        <w:t xml:space="preserve"> </w:t>
      </w:r>
      <w:r w:rsidRPr="00CE1AB0">
        <w:rPr>
          <w:rFonts w:ascii="Palatino Linotype" w:eastAsia="Palatino Linotype" w:hAnsi="Palatino Linotype" w:cs="Palatino Linotype"/>
          <w:b/>
          <w:color w:val="000000"/>
          <w:sz w:val="24"/>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2D7F21" w:rsidRPr="00CE1AB0" w:rsidRDefault="002D7F21" w:rsidP="002D7F21">
      <w:pPr>
        <w:tabs>
          <w:tab w:val="left" w:pos="8647"/>
        </w:tabs>
        <w:spacing w:after="0" w:line="360" w:lineRule="auto"/>
        <w:ind w:right="51"/>
        <w:jc w:val="both"/>
        <w:rPr>
          <w:rFonts w:ascii="Palatino Linotype" w:hAnsi="Palatino Linotype" w:cs="Arial"/>
          <w:sz w:val="24"/>
          <w:szCs w:val="24"/>
        </w:rPr>
      </w:pPr>
    </w:p>
    <w:p w:rsidR="002D7F21" w:rsidRPr="00CE1AB0" w:rsidRDefault="002D7F21" w:rsidP="002D7F21">
      <w:pPr>
        <w:spacing w:after="0" w:line="360" w:lineRule="auto"/>
        <w:jc w:val="both"/>
        <w:rPr>
          <w:rFonts w:ascii="Palatino Linotype" w:eastAsia="Times New Roman" w:hAnsi="Palatino Linotype" w:cs="Arial"/>
          <w:sz w:val="24"/>
          <w:szCs w:val="24"/>
          <w:lang w:val="es-ES" w:eastAsia="es-ES"/>
        </w:rPr>
      </w:pPr>
      <w:r w:rsidRPr="00CE1AB0">
        <w:rPr>
          <w:rFonts w:ascii="Palatino Linotype" w:eastAsia="Times New Roman" w:hAnsi="Palatino Linotype" w:cs="Arial"/>
          <w:b/>
          <w:sz w:val="28"/>
          <w:szCs w:val="24"/>
          <w:lang w:val="es-ES" w:eastAsia="es-ES"/>
        </w:rPr>
        <w:t>CUARTO</w:t>
      </w:r>
      <w:r w:rsidRPr="00CE1AB0">
        <w:rPr>
          <w:rFonts w:ascii="Palatino Linotype" w:eastAsia="Times New Roman" w:hAnsi="Palatino Linotype" w:cs="Arial"/>
          <w:b/>
          <w:sz w:val="24"/>
          <w:szCs w:val="24"/>
          <w:lang w:val="es-ES" w:eastAsia="es-ES"/>
        </w:rPr>
        <w:t>. Notifíquese</w:t>
      </w:r>
      <w:r w:rsidRPr="00CE1AB0">
        <w:rPr>
          <w:rFonts w:ascii="Palatino Linotype" w:eastAsia="Times New Roman" w:hAnsi="Palatino Linotype" w:cs="Arial"/>
          <w:sz w:val="24"/>
          <w:szCs w:val="24"/>
          <w:lang w:val="es-ES" w:eastAsia="es-ES"/>
        </w:rPr>
        <w:t xml:space="preserve"> </w:t>
      </w:r>
      <w:r w:rsidRPr="00CE1AB0">
        <w:rPr>
          <w:rFonts w:ascii="Palatino Linotype" w:eastAsia="Times New Roman" w:hAnsi="Palatino Linotype" w:cs="Arial"/>
          <w:b/>
          <w:sz w:val="24"/>
          <w:szCs w:val="24"/>
          <w:lang w:val="es-ES" w:eastAsia="es-ES"/>
        </w:rPr>
        <w:t>a la Recurrente</w:t>
      </w:r>
      <w:r w:rsidRPr="00CE1AB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rsidR="002D7F21" w:rsidRPr="00CE1AB0" w:rsidRDefault="002D7F21" w:rsidP="002D7F21">
      <w:pPr>
        <w:spacing w:after="0" w:line="360" w:lineRule="auto"/>
        <w:jc w:val="both"/>
        <w:rPr>
          <w:rFonts w:ascii="Palatino Linotype" w:hAnsi="Palatino Linotype"/>
          <w:sz w:val="24"/>
          <w:szCs w:val="24"/>
          <w:lang w:eastAsia="es-ES_tradnl"/>
        </w:rPr>
      </w:pPr>
    </w:p>
    <w:p w:rsidR="002D7F21" w:rsidRPr="00CE1AB0" w:rsidRDefault="002D7F21" w:rsidP="002D7F21">
      <w:pPr>
        <w:spacing w:after="0" w:line="360" w:lineRule="auto"/>
        <w:jc w:val="both"/>
        <w:rPr>
          <w:rFonts w:ascii="Palatino Linotype" w:hAnsi="Palatino Linotype" w:cs="Times New Roman"/>
          <w:sz w:val="24"/>
          <w:szCs w:val="24"/>
          <w:lang w:eastAsia="es-ES_tradnl"/>
        </w:rPr>
      </w:pPr>
      <w:r w:rsidRPr="00CE1AB0">
        <w:rPr>
          <w:rFonts w:ascii="Palatino Linotype" w:hAnsi="Palatino Linotype" w:cs="Times New Roman"/>
          <w:b/>
          <w:sz w:val="28"/>
          <w:szCs w:val="24"/>
          <w:lang w:eastAsia="es-ES_tradnl"/>
        </w:rPr>
        <w:t>QUINTO</w:t>
      </w:r>
      <w:r w:rsidRPr="00CE1AB0">
        <w:rPr>
          <w:rFonts w:ascii="Palatino Linotype" w:hAnsi="Palatino Linotype" w:cs="Times New Roman"/>
          <w:b/>
          <w:sz w:val="24"/>
          <w:szCs w:val="24"/>
          <w:lang w:eastAsia="es-ES_tradnl"/>
        </w:rPr>
        <w:t>.</w:t>
      </w:r>
      <w:r w:rsidRPr="00CE1AB0">
        <w:rPr>
          <w:rFonts w:ascii="Palatino Linotype" w:hAnsi="Palatino Linotype" w:cs="Times New Roman"/>
          <w:sz w:val="24"/>
          <w:szCs w:val="24"/>
          <w:lang w:eastAsia="es-ES_tradnl"/>
        </w:rPr>
        <w:t xml:space="preserve"> </w:t>
      </w:r>
      <w:r w:rsidRPr="00CE1AB0">
        <w:rPr>
          <w:rFonts w:ascii="Palatino Linotype" w:hAnsi="Palatino Linotype" w:cs="Times New Roman"/>
          <w:b/>
          <w:sz w:val="24"/>
          <w:szCs w:val="24"/>
          <w:lang w:eastAsia="es-ES_tradnl"/>
        </w:rPr>
        <w:t>Notifíquese</w:t>
      </w:r>
      <w:r w:rsidRPr="00CE1AB0">
        <w:rPr>
          <w:rFonts w:ascii="Palatino Linotype" w:hAnsi="Palatino Linotype" w:cs="Times New Roman"/>
          <w:sz w:val="24"/>
          <w:szCs w:val="24"/>
          <w:lang w:eastAsia="es-ES_tradnl"/>
        </w:rPr>
        <w:t xml:space="preserve"> al </w:t>
      </w:r>
      <w:r w:rsidRPr="00CE1AB0">
        <w:rPr>
          <w:rFonts w:ascii="Palatino Linotype" w:hAnsi="Palatino Linotype" w:cs="Times New Roman"/>
          <w:b/>
          <w:sz w:val="24"/>
          <w:szCs w:val="24"/>
          <w:lang w:eastAsia="es-ES_tradnl"/>
        </w:rPr>
        <w:t>Recurrente</w:t>
      </w:r>
      <w:r w:rsidRPr="00CE1AB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CE1AB0">
        <w:rPr>
          <w:rFonts w:ascii="Palatino Linotype" w:hAnsi="Palatino Linotype" w:cs="Times New Roman"/>
          <w:b/>
          <w:sz w:val="24"/>
          <w:szCs w:val="24"/>
          <w:lang w:eastAsia="es-ES_tradnl"/>
        </w:rPr>
        <w:t>Sujeto Obligado</w:t>
      </w:r>
      <w:r w:rsidRPr="00CE1AB0">
        <w:rPr>
          <w:rFonts w:ascii="Palatino Linotype" w:hAnsi="Palatino Linotype" w:cs="Times New Roman"/>
          <w:sz w:val="24"/>
          <w:szCs w:val="24"/>
          <w:lang w:eastAsia="es-ES_tradnl"/>
        </w:rPr>
        <w:t>, en cumplimiento a esta Resolución.</w:t>
      </w:r>
    </w:p>
    <w:p w:rsidR="002D7F21" w:rsidRPr="00CE1AB0" w:rsidRDefault="002D7F21" w:rsidP="002D7F21">
      <w:pPr>
        <w:spacing w:after="0" w:line="360" w:lineRule="auto"/>
        <w:jc w:val="both"/>
        <w:rPr>
          <w:rFonts w:ascii="Palatino Linotype" w:hAnsi="Palatino Linotype" w:cs="Times New Roman"/>
          <w:sz w:val="24"/>
          <w:szCs w:val="24"/>
          <w:lang w:eastAsia="es-ES_tradnl"/>
        </w:rPr>
      </w:pPr>
    </w:p>
    <w:p w:rsidR="002D7F21" w:rsidRPr="00CE1AB0" w:rsidRDefault="002D7F21" w:rsidP="002D7F21">
      <w:pPr>
        <w:spacing w:after="0" w:line="360" w:lineRule="auto"/>
        <w:jc w:val="both"/>
        <w:rPr>
          <w:rFonts w:ascii="Palatino Linotype" w:hAnsi="Palatino Linotype"/>
          <w:sz w:val="24"/>
          <w:szCs w:val="24"/>
          <w:lang w:eastAsia="es-ES_tradnl"/>
        </w:rPr>
      </w:pPr>
      <w:r w:rsidRPr="00CE1AB0">
        <w:rPr>
          <w:rFonts w:ascii="Palatino Linotype" w:hAnsi="Palatino Linotype" w:cs="Times New Roman"/>
          <w:b/>
          <w:sz w:val="28"/>
          <w:szCs w:val="24"/>
          <w:lang w:eastAsia="es-ES_tradnl"/>
        </w:rPr>
        <w:t>SEXTO</w:t>
      </w:r>
      <w:r w:rsidRPr="00CE1AB0">
        <w:rPr>
          <w:rFonts w:ascii="Palatino Linotype" w:hAnsi="Palatino Linotype" w:cs="Times New Roman"/>
          <w:b/>
          <w:sz w:val="24"/>
          <w:szCs w:val="24"/>
          <w:lang w:eastAsia="es-ES_tradnl"/>
        </w:rPr>
        <w:t xml:space="preserve">. - </w:t>
      </w:r>
      <w:r w:rsidRPr="00CE1AB0">
        <w:rPr>
          <w:rFonts w:ascii="Palatino Linotype" w:hAnsi="Palatino Linotype"/>
          <w:b/>
          <w:sz w:val="24"/>
          <w:szCs w:val="24"/>
          <w:lang w:eastAsia="es-ES_tradnl"/>
        </w:rPr>
        <w:t xml:space="preserve">Gírese </w:t>
      </w:r>
      <w:r w:rsidRPr="00CE1AB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w:t>
      </w:r>
      <w:r w:rsidRPr="00CE1AB0">
        <w:rPr>
          <w:rFonts w:ascii="Palatino Linotype" w:hAnsi="Palatino Linotype"/>
          <w:sz w:val="24"/>
          <w:szCs w:val="24"/>
          <w:lang w:eastAsia="es-ES_tradnl"/>
        </w:rPr>
        <w:lastRenderedPageBreak/>
        <w:t xml:space="preserve">fin de que de conformidad con el artículo 190 de la Ley de Transparencia y Acceso a la Información Pública del Estado de México y Municipios se determine lo conducente, en términos de lo señalado en el Considerando </w:t>
      </w:r>
      <w:r w:rsidRPr="00CE1AB0">
        <w:rPr>
          <w:rFonts w:ascii="Palatino Linotype" w:hAnsi="Palatino Linotype"/>
          <w:b/>
          <w:bCs/>
          <w:sz w:val="24"/>
          <w:szCs w:val="24"/>
          <w:lang w:eastAsia="es-ES_tradnl"/>
        </w:rPr>
        <w:t>TERCERO</w:t>
      </w:r>
      <w:r w:rsidRPr="00CE1AB0">
        <w:rPr>
          <w:rFonts w:ascii="Palatino Linotype" w:hAnsi="Palatino Linotype"/>
          <w:sz w:val="24"/>
          <w:szCs w:val="24"/>
          <w:lang w:eastAsia="es-ES_tradnl"/>
        </w:rPr>
        <w:t xml:space="preserve"> de la presente resolución.</w:t>
      </w:r>
    </w:p>
    <w:p w:rsidR="002D7F21" w:rsidRPr="00CE1AB0" w:rsidRDefault="002D7F21" w:rsidP="002D7F21">
      <w:pPr>
        <w:spacing w:after="0" w:line="360" w:lineRule="auto"/>
        <w:jc w:val="both"/>
        <w:rPr>
          <w:rFonts w:ascii="Palatino Linotype" w:eastAsia="Palatino Linotype" w:hAnsi="Palatino Linotype" w:cs="Palatino Linotype"/>
          <w:sz w:val="24"/>
          <w:szCs w:val="24"/>
        </w:rPr>
      </w:pPr>
    </w:p>
    <w:p w:rsidR="002D7F21" w:rsidRPr="00CE1AB0" w:rsidRDefault="00CE1AB0" w:rsidP="002D7F21">
      <w:pPr>
        <w:spacing w:after="0" w:line="360" w:lineRule="auto"/>
        <w:jc w:val="both"/>
        <w:rPr>
          <w:rFonts w:ascii="Palatino Linotype" w:eastAsia="Palatino Linotype" w:hAnsi="Palatino Linotype" w:cs="Palatino Linotype"/>
          <w:sz w:val="24"/>
          <w:szCs w:val="24"/>
        </w:rPr>
      </w:pPr>
      <w:r w:rsidRPr="00CE1AB0">
        <w:rPr>
          <w:rFonts w:ascii="Palatino Linotype" w:eastAsia="Palatino Linotype" w:hAnsi="Palatino Linotype" w:cs="Palatino Linotype"/>
          <w:sz w:val="24"/>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DE MAYO DE DOS MIL VEINTISÉIS, ANTE EL SECRETARIO TÉCNICO DEL PLENO, ALEXIS TAPIA RAMÍREZ</w:t>
      </w:r>
      <w:r w:rsidR="002D7F21" w:rsidRPr="00CE1AB0">
        <w:rPr>
          <w:rFonts w:ascii="Palatino Linotype" w:eastAsia="Palatino Linotype" w:hAnsi="Palatino Linotype" w:cs="Palatino Linotype"/>
          <w:sz w:val="24"/>
          <w:szCs w:val="24"/>
        </w:rPr>
        <w:t>. ----------------------------------------------------------------------------------------------------------------------------------------------------------------------------------------------------------------------------------------------------------------------------------------------------------------------------------------------------------------------------------------------------------------------------------------------------------------------------------------------------------------------------------------------------------------------</w:t>
      </w:r>
      <w:r w:rsidR="00234324" w:rsidRPr="00CE1AB0">
        <w:rPr>
          <w:rFonts w:ascii="Palatino Linotype" w:eastAsia="Palatino Linotype" w:hAnsi="Palatino Linotype" w:cs="Palatino Linotype"/>
          <w:sz w:val="24"/>
          <w:szCs w:val="24"/>
        </w:rPr>
        <w:t>--------------------------------------------------------------------------------------------------------------------------------------------------------------------------------------------------------------------------------------------------------------------</w:t>
      </w:r>
    </w:p>
    <w:p w:rsidR="002D7F21" w:rsidRPr="00472819" w:rsidRDefault="002D7F21" w:rsidP="002D7F21">
      <w:pPr>
        <w:spacing w:after="0" w:line="360" w:lineRule="auto"/>
        <w:jc w:val="both"/>
        <w:rPr>
          <w:rFonts w:ascii="Palatino Linotype" w:eastAsia="Palatino Linotype" w:hAnsi="Palatino Linotype" w:cs="Palatino Linotype"/>
          <w:sz w:val="14"/>
          <w:szCs w:val="20"/>
        </w:rPr>
      </w:pPr>
      <w:r w:rsidRPr="00CE1AB0">
        <w:rPr>
          <w:rFonts w:ascii="Palatino Linotype" w:eastAsia="Palatino Linotype" w:hAnsi="Palatino Linotype" w:cs="Palatino Linotype"/>
          <w:sz w:val="14"/>
          <w:szCs w:val="20"/>
        </w:rPr>
        <w:t>JMV/CCR/LMST</w:t>
      </w: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line="360" w:lineRule="auto"/>
        <w:jc w:val="both"/>
        <w:rPr>
          <w:rFonts w:ascii="Palatino Linotype" w:eastAsia="Palatino Linotype" w:hAnsi="Palatino Linotype" w:cs="Palatino Linotype"/>
          <w:sz w:val="24"/>
          <w:szCs w:val="24"/>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rPr>
          <w:rFonts w:ascii="Palatino Linotype" w:eastAsia="Palatino Linotype" w:hAnsi="Palatino Linotype" w:cs="Palatino Linotype"/>
        </w:rPr>
      </w:pPr>
    </w:p>
    <w:p w:rsidR="002D7F21" w:rsidRDefault="002D7F21" w:rsidP="002D7F21">
      <w:pPr>
        <w:spacing w:after="0"/>
      </w:pPr>
    </w:p>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2D7F21" w:rsidRDefault="002D7F21" w:rsidP="002D7F21"/>
    <w:p w:rsidR="001F7D4D" w:rsidRDefault="001F7D4D"/>
    <w:sectPr w:rsidR="001F7D4D">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67B4" w:rsidRDefault="000D67B4" w:rsidP="002D7F21">
      <w:pPr>
        <w:spacing w:after="0" w:line="240" w:lineRule="auto"/>
      </w:pPr>
      <w:r>
        <w:separator/>
      </w:r>
    </w:p>
  </w:endnote>
  <w:endnote w:type="continuationSeparator" w:id="0">
    <w:p w:rsidR="000D67B4" w:rsidRDefault="000D67B4" w:rsidP="002D7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24025">
      <w:rPr>
        <w:rFonts w:ascii="Palatino Linotype" w:eastAsia="Palatino Linotype" w:hAnsi="Palatino Linotype" w:cs="Palatino Linotype"/>
        <w:noProof/>
        <w:color w:val="000000"/>
        <w:sz w:val="20"/>
        <w:szCs w:val="20"/>
      </w:rPr>
      <w:t>13</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24025">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0D67B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724025">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724025">
      <w:rPr>
        <w:rFonts w:ascii="Palatino Linotype" w:eastAsia="Palatino Linotype" w:hAnsi="Palatino Linotype" w:cs="Palatino Linotype"/>
        <w:noProof/>
        <w:color w:val="000000"/>
        <w:sz w:val="20"/>
        <w:szCs w:val="20"/>
      </w:rPr>
      <w:t>16</w:t>
    </w:r>
    <w:r>
      <w:rPr>
        <w:rFonts w:ascii="Palatino Linotype" w:eastAsia="Palatino Linotype" w:hAnsi="Palatino Linotype" w:cs="Palatino Linotype"/>
        <w:color w:val="000000"/>
        <w:sz w:val="20"/>
        <w:szCs w:val="20"/>
      </w:rPr>
      <w:fldChar w:fldCharType="end"/>
    </w:r>
  </w:p>
  <w:p w:rsidR="001A237F" w:rsidRDefault="000D67B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67B4" w:rsidRDefault="000D67B4" w:rsidP="002D7F21">
      <w:pPr>
        <w:spacing w:after="0" w:line="240" w:lineRule="auto"/>
      </w:pPr>
      <w:r>
        <w:separator/>
      </w:r>
    </w:p>
  </w:footnote>
  <w:footnote w:type="continuationSeparator" w:id="0">
    <w:p w:rsidR="000D67B4" w:rsidRDefault="000D67B4" w:rsidP="002D7F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0D67B4">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1A237F">
      <w:trPr>
        <w:trHeight w:val="227"/>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7D2495EB" wp14:editId="7F984996">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rsidR="001A237F" w:rsidRDefault="002D7F21" w:rsidP="002D7F21">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4100</w:t>
          </w:r>
          <w:r w:rsidRPr="0028688B">
            <w:rPr>
              <w:rFonts w:ascii="Palatino Linotype" w:eastAsia="Palatino Linotype" w:hAnsi="Palatino Linotype" w:cs="Palatino Linotype"/>
              <w:b/>
              <w:sz w:val="24"/>
              <w:szCs w:val="24"/>
            </w:rPr>
            <w:t>/INFOEM/IP/RR/2026</w:t>
          </w:r>
        </w:p>
      </w:tc>
    </w:tr>
    <w:tr w:rsidR="001A237F">
      <w:trPr>
        <w:trHeight w:val="242"/>
      </w:trPr>
      <w:tc>
        <w:tcPr>
          <w:tcW w:w="5246"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sz w:val="24"/>
              <w:szCs w:val="24"/>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246"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0D67B4">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237F" w:rsidRDefault="002D7F21">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104BEB04" wp14:editId="4B83C51B">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1A237F">
      <w:trPr>
        <w:trHeight w:val="227"/>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rsidR="001A237F" w:rsidRDefault="002D7F21" w:rsidP="002D7F21">
          <w:pPr>
            <w:spacing w:after="120" w:line="256" w:lineRule="auto"/>
            <w:ind w:left="-486" w:right="214" w:firstLine="1585"/>
            <w:jc w:val="right"/>
            <w:rPr>
              <w:rFonts w:ascii="Palatino Linotype" w:eastAsia="Palatino Linotype" w:hAnsi="Palatino Linotype" w:cs="Palatino Linotype"/>
              <w:b/>
            </w:rPr>
          </w:pPr>
          <w:r w:rsidRPr="0028688B">
            <w:rPr>
              <w:rFonts w:ascii="Palatino Linotype" w:eastAsia="Palatino Linotype" w:hAnsi="Palatino Linotype" w:cs="Palatino Linotype"/>
              <w:b/>
              <w:sz w:val="24"/>
              <w:szCs w:val="24"/>
            </w:rPr>
            <w:t>0</w:t>
          </w:r>
          <w:r>
            <w:rPr>
              <w:rFonts w:ascii="Palatino Linotype" w:eastAsia="Palatino Linotype" w:hAnsi="Palatino Linotype" w:cs="Palatino Linotype"/>
              <w:b/>
              <w:sz w:val="24"/>
              <w:szCs w:val="24"/>
            </w:rPr>
            <w:t>4100</w:t>
          </w:r>
          <w:r w:rsidRPr="0028688B">
            <w:rPr>
              <w:rFonts w:ascii="Palatino Linotype" w:eastAsia="Palatino Linotype" w:hAnsi="Palatino Linotype" w:cs="Palatino Linotype"/>
              <w:b/>
              <w:sz w:val="24"/>
              <w:szCs w:val="24"/>
            </w:rPr>
            <w:t>/INFOEM/IP/RR/2026</w:t>
          </w:r>
        </w:p>
      </w:tc>
    </w:tr>
    <w:tr w:rsidR="001A237F">
      <w:trPr>
        <w:trHeight w:val="242"/>
      </w:trPr>
      <w:tc>
        <w:tcPr>
          <w:tcW w:w="5104" w:type="dxa"/>
        </w:tcPr>
        <w:p w:rsidR="001A237F" w:rsidRDefault="002D7F21">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rsidR="001A237F" w:rsidRDefault="002D7F21">
          <w:pPr>
            <w:spacing w:after="120" w:line="256" w:lineRule="auto"/>
            <w:ind w:left="-486" w:right="214" w:firstLine="284"/>
            <w:jc w:val="right"/>
            <w:rPr>
              <w:rFonts w:ascii="Palatino Linotype" w:eastAsia="Palatino Linotype" w:hAnsi="Palatino Linotype" w:cs="Palatino Linotype"/>
              <w:b/>
            </w:rPr>
          </w:pPr>
          <w:r w:rsidRPr="00187C25">
            <w:rPr>
              <w:rFonts w:ascii="Palatino Linotype" w:eastAsia="Palatino Linotype" w:hAnsi="Palatino Linotype" w:cs="Palatino Linotype"/>
              <w:b/>
              <w:color w:val="000000"/>
              <w:sz w:val="24"/>
              <w:szCs w:val="24"/>
            </w:rPr>
            <w:t>Ayuntamiento de Tepotzotlán</w:t>
          </w:r>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rsidR="001A237F" w:rsidRDefault="00724025">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w:t>
          </w:r>
          <w:r w:rsidR="002D7F21">
            <w:rPr>
              <w:rFonts w:ascii="Palatino Linotype" w:eastAsia="Palatino Linotype" w:hAnsi="Palatino Linotype" w:cs="Palatino Linotype"/>
              <w:b/>
            </w:rPr>
            <w:t xml:space="preserve"> </w:t>
          </w:r>
        </w:p>
      </w:tc>
    </w:tr>
    <w:tr w:rsidR="001A237F">
      <w:trPr>
        <w:trHeight w:val="342"/>
      </w:trPr>
      <w:tc>
        <w:tcPr>
          <w:tcW w:w="5104" w:type="dxa"/>
        </w:tcPr>
        <w:p w:rsidR="001A237F" w:rsidRDefault="002D7F21">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rsidR="001A237F" w:rsidRDefault="002D7F21">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rsidR="001A237F" w:rsidRDefault="000D67B4">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7F21"/>
    <w:rsid w:val="000D67B4"/>
    <w:rsid w:val="001F7D4D"/>
    <w:rsid w:val="00234324"/>
    <w:rsid w:val="002D7F21"/>
    <w:rsid w:val="00724025"/>
    <w:rsid w:val="00CE1AB0"/>
    <w:rsid w:val="00D95F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E9A07B-962F-42E0-A03C-5A33A9CA5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7F21"/>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2D7F21"/>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2D7F21"/>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2D7F2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2D7F2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D7F21"/>
    <w:rPr>
      <w:rFonts w:ascii="Calibri" w:eastAsia="Calibri" w:hAnsi="Calibri" w:cs="Calibri"/>
      <w:lang w:eastAsia="es-MX"/>
    </w:rPr>
  </w:style>
  <w:style w:type="paragraph" w:styleId="Piedepgina">
    <w:name w:val="footer"/>
    <w:basedOn w:val="Normal"/>
    <w:link w:val="PiedepginaCar"/>
    <w:uiPriority w:val="99"/>
    <w:unhideWhenUsed/>
    <w:rsid w:val="002D7F2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D7F21"/>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16</Pages>
  <Words>3533</Words>
  <Characters>19432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4</cp:revision>
  <cp:lastPrinted>2026-05-14T18:14:00Z</cp:lastPrinted>
  <dcterms:created xsi:type="dcterms:W3CDTF">2026-04-30T21:42:00Z</dcterms:created>
  <dcterms:modified xsi:type="dcterms:W3CDTF">2026-05-19T16:50:00Z</dcterms:modified>
</cp:coreProperties>
</file>