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55C" w:rsidRDefault="00AE255C">
      <w:pPr>
        <w:widowControl w:val="0"/>
        <w:pBdr>
          <w:top w:val="nil"/>
          <w:left w:val="nil"/>
          <w:bottom w:val="nil"/>
          <w:right w:val="nil"/>
          <w:between w:val="nil"/>
        </w:pBdr>
        <w:spacing w:after="0" w:line="276" w:lineRule="auto"/>
        <w:jc w:val="left"/>
      </w:pPr>
    </w:p>
    <w:p w:rsidR="00AE255C" w:rsidRDefault="00AE255C">
      <w:pPr>
        <w:tabs>
          <w:tab w:val="left" w:pos="8931"/>
        </w:tabs>
        <w:spacing w:after="0" w:line="360" w:lineRule="auto"/>
      </w:pPr>
    </w:p>
    <w:p w:rsidR="00AE255C" w:rsidRDefault="00FC025C">
      <w:pPr>
        <w:keepNext/>
        <w:keepLines/>
        <w:pBdr>
          <w:top w:val="nil"/>
          <w:left w:val="nil"/>
          <w:bottom w:val="nil"/>
          <w:right w:val="nil"/>
          <w:between w:val="nil"/>
        </w:pBdr>
        <w:spacing w:after="0" w:line="360" w:lineRule="auto"/>
        <w:jc w:val="center"/>
        <w:rPr>
          <w:color w:val="000000"/>
        </w:rPr>
      </w:pPr>
      <w:r>
        <w:rPr>
          <w:color w:val="000000"/>
        </w:rPr>
        <w:t>RESOLUCIÓN DEL RECURSO DE REVISIÓN 09916/INFOEM/IP/RR/2025</w:t>
      </w:r>
    </w:p>
    <w:p w:rsidR="00AE255C" w:rsidRDefault="00AE255C">
      <w:pPr>
        <w:spacing w:after="0" w:line="360" w:lineRule="auto"/>
      </w:pPr>
    </w:p>
    <w:sdt>
      <w:sdtPr>
        <w:rPr>
          <w:rFonts w:ascii="Palatino Linotype" w:eastAsia="Palatino Linotype" w:hAnsi="Palatino Linotype" w:cs="Palatino Linotype"/>
          <w:color w:val="auto"/>
          <w:sz w:val="22"/>
          <w:szCs w:val="22"/>
          <w:lang w:val="es-ES"/>
        </w:rPr>
        <w:id w:val="1550263953"/>
        <w:docPartObj>
          <w:docPartGallery w:val="Table of Contents"/>
          <w:docPartUnique/>
        </w:docPartObj>
      </w:sdtPr>
      <w:sdtEndPr>
        <w:rPr>
          <w:b/>
          <w:bCs/>
        </w:rPr>
      </w:sdtEndPr>
      <w:sdtContent>
        <w:p w:rsidR="003B29F2" w:rsidRDefault="003B29F2">
          <w:pPr>
            <w:pStyle w:val="TtulodeTDC"/>
          </w:pPr>
        </w:p>
        <w:p w:rsidR="005B412A" w:rsidRDefault="003B29F2">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0596972" w:history="1">
            <w:r w:rsidR="005B412A" w:rsidRPr="008038C3">
              <w:rPr>
                <w:rStyle w:val="Hipervnculo"/>
                <w:noProof/>
              </w:rPr>
              <w:t>A N T E C E D E N T E S</w:t>
            </w:r>
            <w:r w:rsidR="005B412A">
              <w:rPr>
                <w:noProof/>
                <w:webHidden/>
              </w:rPr>
              <w:tab/>
            </w:r>
            <w:r w:rsidR="005B412A">
              <w:rPr>
                <w:noProof/>
                <w:webHidden/>
              </w:rPr>
              <w:fldChar w:fldCharType="begin"/>
            </w:r>
            <w:r w:rsidR="005B412A">
              <w:rPr>
                <w:noProof/>
                <w:webHidden/>
              </w:rPr>
              <w:instrText xml:space="preserve"> PAGEREF _Toc220596972 \h </w:instrText>
            </w:r>
            <w:r w:rsidR="005B412A">
              <w:rPr>
                <w:noProof/>
                <w:webHidden/>
              </w:rPr>
            </w:r>
            <w:r w:rsidR="005B412A">
              <w:rPr>
                <w:noProof/>
                <w:webHidden/>
              </w:rPr>
              <w:fldChar w:fldCharType="separate"/>
            </w:r>
            <w:r w:rsidR="0047040A">
              <w:rPr>
                <w:noProof/>
                <w:webHidden/>
              </w:rPr>
              <w:t>2</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73" w:history="1">
            <w:r w:rsidR="005B412A" w:rsidRPr="008038C3">
              <w:rPr>
                <w:rStyle w:val="Hipervnculo"/>
                <w:noProof/>
              </w:rPr>
              <w:t>I. Presentación de la solicitud de información</w:t>
            </w:r>
            <w:r w:rsidR="005B412A">
              <w:rPr>
                <w:noProof/>
                <w:webHidden/>
              </w:rPr>
              <w:tab/>
            </w:r>
            <w:r w:rsidR="005B412A">
              <w:rPr>
                <w:noProof/>
                <w:webHidden/>
              </w:rPr>
              <w:fldChar w:fldCharType="begin"/>
            </w:r>
            <w:r w:rsidR="005B412A">
              <w:rPr>
                <w:noProof/>
                <w:webHidden/>
              </w:rPr>
              <w:instrText xml:space="preserve"> PAGEREF _Toc220596973 \h </w:instrText>
            </w:r>
            <w:r w:rsidR="005B412A">
              <w:rPr>
                <w:noProof/>
                <w:webHidden/>
              </w:rPr>
            </w:r>
            <w:r w:rsidR="005B412A">
              <w:rPr>
                <w:noProof/>
                <w:webHidden/>
              </w:rPr>
              <w:fldChar w:fldCharType="separate"/>
            </w:r>
            <w:r w:rsidR="0047040A">
              <w:rPr>
                <w:noProof/>
                <w:webHidden/>
              </w:rPr>
              <w:t>2</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74" w:history="1">
            <w:r w:rsidR="005B412A" w:rsidRPr="008038C3">
              <w:rPr>
                <w:rStyle w:val="Hipervnculo"/>
                <w:noProof/>
              </w:rPr>
              <w:t>II. Respuesta del Sujeto Obligado</w:t>
            </w:r>
            <w:r w:rsidR="005B412A">
              <w:rPr>
                <w:noProof/>
                <w:webHidden/>
              </w:rPr>
              <w:tab/>
            </w:r>
            <w:r w:rsidR="005B412A">
              <w:rPr>
                <w:noProof/>
                <w:webHidden/>
              </w:rPr>
              <w:fldChar w:fldCharType="begin"/>
            </w:r>
            <w:r w:rsidR="005B412A">
              <w:rPr>
                <w:noProof/>
                <w:webHidden/>
              </w:rPr>
              <w:instrText xml:space="preserve"> PAGEREF _Toc220596974 \h </w:instrText>
            </w:r>
            <w:r w:rsidR="005B412A">
              <w:rPr>
                <w:noProof/>
                <w:webHidden/>
              </w:rPr>
            </w:r>
            <w:r w:rsidR="005B412A">
              <w:rPr>
                <w:noProof/>
                <w:webHidden/>
              </w:rPr>
              <w:fldChar w:fldCharType="separate"/>
            </w:r>
            <w:r w:rsidR="0047040A">
              <w:rPr>
                <w:noProof/>
                <w:webHidden/>
              </w:rPr>
              <w:t>3</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75" w:history="1">
            <w:r w:rsidR="005B412A" w:rsidRPr="008038C3">
              <w:rPr>
                <w:rStyle w:val="Hipervnculo"/>
                <w:noProof/>
              </w:rPr>
              <w:t>III. Interposición del Recurso de Revisión</w:t>
            </w:r>
            <w:r w:rsidR="005B412A">
              <w:rPr>
                <w:noProof/>
                <w:webHidden/>
              </w:rPr>
              <w:tab/>
            </w:r>
            <w:r w:rsidR="005B412A">
              <w:rPr>
                <w:noProof/>
                <w:webHidden/>
              </w:rPr>
              <w:fldChar w:fldCharType="begin"/>
            </w:r>
            <w:r w:rsidR="005B412A">
              <w:rPr>
                <w:noProof/>
                <w:webHidden/>
              </w:rPr>
              <w:instrText xml:space="preserve"> PAGEREF _Toc220596975 \h </w:instrText>
            </w:r>
            <w:r w:rsidR="005B412A">
              <w:rPr>
                <w:noProof/>
                <w:webHidden/>
              </w:rPr>
            </w:r>
            <w:r w:rsidR="005B412A">
              <w:rPr>
                <w:noProof/>
                <w:webHidden/>
              </w:rPr>
              <w:fldChar w:fldCharType="separate"/>
            </w:r>
            <w:r w:rsidR="0047040A">
              <w:rPr>
                <w:noProof/>
                <w:webHidden/>
              </w:rPr>
              <w:t>3</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76" w:history="1">
            <w:r w:rsidR="005B412A" w:rsidRPr="008038C3">
              <w:rPr>
                <w:rStyle w:val="Hipervnculo"/>
                <w:noProof/>
              </w:rPr>
              <w:t>IV. Trámite del Recurso de Revisión ante este Instituto</w:t>
            </w:r>
            <w:r w:rsidR="005B412A">
              <w:rPr>
                <w:noProof/>
                <w:webHidden/>
              </w:rPr>
              <w:tab/>
            </w:r>
            <w:r w:rsidR="005B412A">
              <w:rPr>
                <w:noProof/>
                <w:webHidden/>
              </w:rPr>
              <w:fldChar w:fldCharType="begin"/>
            </w:r>
            <w:r w:rsidR="005B412A">
              <w:rPr>
                <w:noProof/>
                <w:webHidden/>
              </w:rPr>
              <w:instrText xml:space="preserve"> PAGEREF _Toc220596976 \h </w:instrText>
            </w:r>
            <w:r w:rsidR="005B412A">
              <w:rPr>
                <w:noProof/>
                <w:webHidden/>
              </w:rPr>
            </w:r>
            <w:r w:rsidR="005B412A">
              <w:rPr>
                <w:noProof/>
                <w:webHidden/>
              </w:rPr>
              <w:fldChar w:fldCharType="separate"/>
            </w:r>
            <w:r w:rsidR="0047040A">
              <w:rPr>
                <w:noProof/>
                <w:webHidden/>
              </w:rPr>
              <w:t>4</w:t>
            </w:r>
            <w:r w:rsidR="005B412A">
              <w:rPr>
                <w:noProof/>
                <w:webHidden/>
              </w:rPr>
              <w:fldChar w:fldCharType="end"/>
            </w:r>
          </w:hyperlink>
        </w:p>
        <w:p w:rsidR="005B412A" w:rsidRDefault="00623AA3">
          <w:pPr>
            <w:pStyle w:val="TDC1"/>
            <w:tabs>
              <w:tab w:val="right" w:leader="dot" w:pos="8921"/>
            </w:tabs>
            <w:rPr>
              <w:rFonts w:asciiTheme="minorHAnsi" w:eastAsiaTheme="minorEastAsia" w:hAnsiTheme="minorHAnsi" w:cstheme="minorBidi"/>
              <w:noProof/>
            </w:rPr>
          </w:pPr>
          <w:hyperlink w:anchor="_Toc220596977" w:history="1">
            <w:r w:rsidR="005B412A" w:rsidRPr="008038C3">
              <w:rPr>
                <w:rStyle w:val="Hipervnculo"/>
                <w:noProof/>
              </w:rPr>
              <w:t>C O N S I D E R A N D O S</w:t>
            </w:r>
            <w:r w:rsidR="005B412A">
              <w:rPr>
                <w:noProof/>
                <w:webHidden/>
              </w:rPr>
              <w:tab/>
            </w:r>
            <w:r w:rsidR="005B412A">
              <w:rPr>
                <w:noProof/>
                <w:webHidden/>
              </w:rPr>
              <w:fldChar w:fldCharType="begin"/>
            </w:r>
            <w:r w:rsidR="005B412A">
              <w:rPr>
                <w:noProof/>
                <w:webHidden/>
              </w:rPr>
              <w:instrText xml:space="preserve"> PAGEREF _Toc220596977 \h </w:instrText>
            </w:r>
            <w:r w:rsidR="005B412A">
              <w:rPr>
                <w:noProof/>
                <w:webHidden/>
              </w:rPr>
            </w:r>
            <w:r w:rsidR="005B412A">
              <w:rPr>
                <w:noProof/>
                <w:webHidden/>
              </w:rPr>
              <w:fldChar w:fldCharType="separate"/>
            </w:r>
            <w:r w:rsidR="0047040A">
              <w:rPr>
                <w:noProof/>
                <w:webHidden/>
              </w:rPr>
              <w:t>6</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78" w:history="1">
            <w:r w:rsidR="005B412A" w:rsidRPr="008038C3">
              <w:rPr>
                <w:rStyle w:val="Hipervnculo"/>
                <w:noProof/>
              </w:rPr>
              <w:t>PRIMERO. Competencia</w:t>
            </w:r>
            <w:r w:rsidR="005B412A">
              <w:rPr>
                <w:noProof/>
                <w:webHidden/>
              </w:rPr>
              <w:tab/>
            </w:r>
            <w:r w:rsidR="005B412A">
              <w:rPr>
                <w:noProof/>
                <w:webHidden/>
              </w:rPr>
              <w:fldChar w:fldCharType="begin"/>
            </w:r>
            <w:r w:rsidR="005B412A">
              <w:rPr>
                <w:noProof/>
                <w:webHidden/>
              </w:rPr>
              <w:instrText xml:space="preserve"> PAGEREF _Toc220596978 \h </w:instrText>
            </w:r>
            <w:r w:rsidR="005B412A">
              <w:rPr>
                <w:noProof/>
                <w:webHidden/>
              </w:rPr>
            </w:r>
            <w:r w:rsidR="005B412A">
              <w:rPr>
                <w:noProof/>
                <w:webHidden/>
              </w:rPr>
              <w:fldChar w:fldCharType="separate"/>
            </w:r>
            <w:r w:rsidR="0047040A">
              <w:rPr>
                <w:noProof/>
                <w:webHidden/>
              </w:rPr>
              <w:t>6</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79" w:history="1">
            <w:r w:rsidR="005B412A" w:rsidRPr="008038C3">
              <w:rPr>
                <w:rStyle w:val="Hipervnculo"/>
                <w:noProof/>
              </w:rPr>
              <w:t>SEGUNDO. Causales de improcedencia y sobreseimiento</w:t>
            </w:r>
            <w:r w:rsidR="005B412A">
              <w:rPr>
                <w:noProof/>
                <w:webHidden/>
              </w:rPr>
              <w:tab/>
            </w:r>
            <w:r w:rsidR="005B412A">
              <w:rPr>
                <w:noProof/>
                <w:webHidden/>
              </w:rPr>
              <w:fldChar w:fldCharType="begin"/>
            </w:r>
            <w:r w:rsidR="005B412A">
              <w:rPr>
                <w:noProof/>
                <w:webHidden/>
              </w:rPr>
              <w:instrText xml:space="preserve"> PAGEREF _Toc220596979 \h </w:instrText>
            </w:r>
            <w:r w:rsidR="005B412A">
              <w:rPr>
                <w:noProof/>
                <w:webHidden/>
              </w:rPr>
            </w:r>
            <w:r w:rsidR="005B412A">
              <w:rPr>
                <w:noProof/>
                <w:webHidden/>
              </w:rPr>
              <w:fldChar w:fldCharType="separate"/>
            </w:r>
            <w:r w:rsidR="0047040A">
              <w:rPr>
                <w:noProof/>
                <w:webHidden/>
              </w:rPr>
              <w:t>6</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80" w:history="1">
            <w:r w:rsidR="005B412A" w:rsidRPr="008038C3">
              <w:rPr>
                <w:rStyle w:val="Hipervnculo"/>
                <w:noProof/>
              </w:rPr>
              <w:t>TERCERO. Causales de sobreseimiento</w:t>
            </w:r>
            <w:r w:rsidR="005B412A">
              <w:rPr>
                <w:noProof/>
                <w:webHidden/>
              </w:rPr>
              <w:tab/>
            </w:r>
            <w:r w:rsidR="005B412A">
              <w:rPr>
                <w:noProof/>
                <w:webHidden/>
              </w:rPr>
              <w:fldChar w:fldCharType="begin"/>
            </w:r>
            <w:r w:rsidR="005B412A">
              <w:rPr>
                <w:noProof/>
                <w:webHidden/>
              </w:rPr>
              <w:instrText xml:space="preserve"> PAGEREF _Toc220596980 \h </w:instrText>
            </w:r>
            <w:r w:rsidR="005B412A">
              <w:rPr>
                <w:noProof/>
                <w:webHidden/>
              </w:rPr>
            </w:r>
            <w:r w:rsidR="005B412A">
              <w:rPr>
                <w:noProof/>
                <w:webHidden/>
              </w:rPr>
              <w:fldChar w:fldCharType="separate"/>
            </w:r>
            <w:r w:rsidR="0047040A">
              <w:rPr>
                <w:noProof/>
                <w:webHidden/>
              </w:rPr>
              <w:t>7</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81" w:history="1">
            <w:r w:rsidR="005B412A" w:rsidRPr="008038C3">
              <w:rPr>
                <w:rStyle w:val="Hipervnculo"/>
                <w:noProof/>
              </w:rPr>
              <w:t>CUARTO. Decisión</w:t>
            </w:r>
            <w:r w:rsidR="005B412A">
              <w:rPr>
                <w:noProof/>
                <w:webHidden/>
              </w:rPr>
              <w:tab/>
            </w:r>
            <w:r w:rsidR="005B412A">
              <w:rPr>
                <w:noProof/>
                <w:webHidden/>
              </w:rPr>
              <w:fldChar w:fldCharType="begin"/>
            </w:r>
            <w:r w:rsidR="005B412A">
              <w:rPr>
                <w:noProof/>
                <w:webHidden/>
              </w:rPr>
              <w:instrText xml:space="preserve"> PAGEREF _Toc220596981 \h </w:instrText>
            </w:r>
            <w:r w:rsidR="005B412A">
              <w:rPr>
                <w:noProof/>
                <w:webHidden/>
              </w:rPr>
            </w:r>
            <w:r w:rsidR="005B412A">
              <w:rPr>
                <w:noProof/>
                <w:webHidden/>
              </w:rPr>
              <w:fldChar w:fldCharType="separate"/>
            </w:r>
            <w:r w:rsidR="0047040A">
              <w:rPr>
                <w:noProof/>
                <w:webHidden/>
              </w:rPr>
              <w:t>27</w:t>
            </w:r>
            <w:r w:rsidR="005B412A">
              <w:rPr>
                <w:noProof/>
                <w:webHidden/>
              </w:rPr>
              <w:fldChar w:fldCharType="end"/>
            </w:r>
          </w:hyperlink>
        </w:p>
        <w:p w:rsidR="005B412A" w:rsidRDefault="00623AA3">
          <w:pPr>
            <w:pStyle w:val="TDC2"/>
            <w:tabs>
              <w:tab w:val="right" w:leader="dot" w:pos="8921"/>
            </w:tabs>
            <w:rPr>
              <w:rFonts w:asciiTheme="minorHAnsi" w:eastAsiaTheme="minorEastAsia" w:hAnsiTheme="minorHAnsi" w:cstheme="minorBidi"/>
              <w:noProof/>
            </w:rPr>
          </w:pPr>
          <w:hyperlink w:anchor="_Toc220596982" w:history="1">
            <w:r w:rsidR="005B412A" w:rsidRPr="008038C3">
              <w:rPr>
                <w:rStyle w:val="Hipervnculo"/>
                <w:noProof/>
              </w:rPr>
              <w:t>QUINTO. Vista la Dirección General de Protección de Datos Personales</w:t>
            </w:r>
            <w:r w:rsidR="005B412A">
              <w:rPr>
                <w:noProof/>
                <w:webHidden/>
              </w:rPr>
              <w:tab/>
            </w:r>
            <w:r w:rsidR="005B412A">
              <w:rPr>
                <w:noProof/>
                <w:webHidden/>
              </w:rPr>
              <w:fldChar w:fldCharType="begin"/>
            </w:r>
            <w:r w:rsidR="005B412A">
              <w:rPr>
                <w:noProof/>
                <w:webHidden/>
              </w:rPr>
              <w:instrText xml:space="preserve"> PAGEREF _Toc220596982 \h </w:instrText>
            </w:r>
            <w:r w:rsidR="005B412A">
              <w:rPr>
                <w:noProof/>
                <w:webHidden/>
              </w:rPr>
            </w:r>
            <w:r w:rsidR="005B412A">
              <w:rPr>
                <w:noProof/>
                <w:webHidden/>
              </w:rPr>
              <w:fldChar w:fldCharType="separate"/>
            </w:r>
            <w:r w:rsidR="0047040A">
              <w:rPr>
                <w:noProof/>
                <w:webHidden/>
              </w:rPr>
              <w:t>28</w:t>
            </w:r>
            <w:r w:rsidR="005B412A">
              <w:rPr>
                <w:noProof/>
                <w:webHidden/>
              </w:rPr>
              <w:fldChar w:fldCharType="end"/>
            </w:r>
          </w:hyperlink>
        </w:p>
        <w:p w:rsidR="005B412A" w:rsidRDefault="00623AA3">
          <w:pPr>
            <w:pStyle w:val="TDC1"/>
            <w:tabs>
              <w:tab w:val="right" w:leader="dot" w:pos="8921"/>
            </w:tabs>
            <w:rPr>
              <w:rFonts w:asciiTheme="minorHAnsi" w:eastAsiaTheme="minorEastAsia" w:hAnsiTheme="minorHAnsi" w:cstheme="minorBidi"/>
              <w:noProof/>
            </w:rPr>
          </w:pPr>
          <w:hyperlink w:anchor="_Toc220596983" w:history="1">
            <w:r w:rsidR="005B412A" w:rsidRPr="008038C3">
              <w:rPr>
                <w:rStyle w:val="Hipervnculo"/>
                <w:noProof/>
              </w:rPr>
              <w:t>R E S U E L V E</w:t>
            </w:r>
            <w:r w:rsidR="005B412A">
              <w:rPr>
                <w:noProof/>
                <w:webHidden/>
              </w:rPr>
              <w:tab/>
            </w:r>
            <w:r w:rsidR="005B412A">
              <w:rPr>
                <w:noProof/>
                <w:webHidden/>
              </w:rPr>
              <w:fldChar w:fldCharType="begin"/>
            </w:r>
            <w:r w:rsidR="005B412A">
              <w:rPr>
                <w:noProof/>
                <w:webHidden/>
              </w:rPr>
              <w:instrText xml:space="preserve"> PAGEREF _Toc220596983 \h </w:instrText>
            </w:r>
            <w:r w:rsidR="005B412A">
              <w:rPr>
                <w:noProof/>
                <w:webHidden/>
              </w:rPr>
            </w:r>
            <w:r w:rsidR="005B412A">
              <w:rPr>
                <w:noProof/>
                <w:webHidden/>
              </w:rPr>
              <w:fldChar w:fldCharType="separate"/>
            </w:r>
            <w:r w:rsidR="0047040A">
              <w:rPr>
                <w:noProof/>
                <w:webHidden/>
              </w:rPr>
              <w:t>29</w:t>
            </w:r>
            <w:r w:rsidR="005B412A">
              <w:rPr>
                <w:noProof/>
                <w:webHidden/>
              </w:rPr>
              <w:fldChar w:fldCharType="end"/>
            </w:r>
          </w:hyperlink>
        </w:p>
        <w:p w:rsidR="003B29F2" w:rsidRDefault="003B29F2">
          <w:r>
            <w:rPr>
              <w:b/>
              <w:bCs/>
              <w:lang w:val="es-ES"/>
            </w:rPr>
            <w:fldChar w:fldCharType="end"/>
          </w:r>
        </w:p>
      </w:sdtContent>
    </w:sdt>
    <w:p w:rsidR="00AE255C" w:rsidRDefault="00AE255C">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3B29F2" w:rsidRDefault="003B29F2">
      <w:pPr>
        <w:tabs>
          <w:tab w:val="left" w:pos="8931"/>
        </w:tabs>
        <w:spacing w:after="0" w:line="360" w:lineRule="auto"/>
      </w:pPr>
    </w:p>
    <w:p w:rsidR="00AE255C" w:rsidRDefault="00AE255C">
      <w:pPr>
        <w:tabs>
          <w:tab w:val="left" w:pos="8931"/>
        </w:tabs>
        <w:spacing w:after="0" w:line="360" w:lineRule="auto"/>
      </w:pPr>
    </w:p>
    <w:p w:rsidR="00AE255C" w:rsidRDefault="00FC025C">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rsidR="00AE255C" w:rsidRDefault="00AE255C">
      <w:pPr>
        <w:spacing w:after="0" w:line="360" w:lineRule="auto"/>
        <w:rPr>
          <w:b/>
          <w:bCs/>
        </w:rPr>
      </w:pPr>
    </w:p>
    <w:p w:rsidR="00AE255C" w:rsidRDefault="00FC025C">
      <w:pPr>
        <w:spacing w:after="0" w:line="360" w:lineRule="auto"/>
        <w:rPr>
          <w:color w:val="0D0D0D"/>
        </w:rPr>
      </w:pPr>
      <w:r>
        <w:rPr>
          <w:b/>
          <w:bCs/>
        </w:rPr>
        <w:t xml:space="preserve">VISTO </w:t>
      </w:r>
      <w:r>
        <w:t xml:space="preserve">el expediente electrónico conformado con motivo del Recurso de Revisión </w:t>
      </w:r>
      <w:r w:rsidRPr="00AF74FE">
        <w:rPr>
          <w:b/>
        </w:rPr>
        <w:t>09916/INFOEM/IP/RR/2025</w:t>
      </w:r>
      <w:r>
        <w:t xml:space="preserve">, interpuesto por, quien será la persona </w:t>
      </w:r>
      <w:r>
        <w:rPr>
          <w:color w:val="0D0D0D"/>
        </w:rPr>
        <w:t xml:space="preserve">Recurrente o Particular, en contra de la respuesta del Sujeto Obligado, </w:t>
      </w:r>
      <w:bookmarkStart w:id="0" w:name="_GoBack"/>
      <w:r w:rsidRPr="00AF74FE">
        <w:rPr>
          <w:b/>
        </w:rPr>
        <w:t>Ayuntamiento de Zinacantepec</w:t>
      </w:r>
      <w:bookmarkEnd w:id="0"/>
      <w:r>
        <w:t>,</w:t>
      </w:r>
      <w:r>
        <w:rPr>
          <w:color w:val="0D0D0D"/>
        </w:rPr>
        <w:t xml:space="preserve"> a la solicitud de acceso a la información pública </w:t>
      </w:r>
      <w:r>
        <w:t>00575/ZINACANT/IP/2025</w:t>
      </w:r>
      <w:r>
        <w:rPr>
          <w:color w:val="000000"/>
        </w:rPr>
        <w:t xml:space="preserve">, </w:t>
      </w:r>
      <w:r>
        <w:rPr>
          <w:color w:val="0D0D0D"/>
        </w:rPr>
        <w:t>se emite la presente Resolución, con base en los Antecedentes y Considerandos que se exponen a continuación:</w:t>
      </w:r>
    </w:p>
    <w:p w:rsidR="00AE255C" w:rsidRDefault="00AE255C">
      <w:pPr>
        <w:spacing w:after="0" w:line="360" w:lineRule="auto"/>
        <w:rPr>
          <w:b/>
          <w:bCs/>
        </w:rPr>
      </w:pPr>
    </w:p>
    <w:p w:rsidR="00AE255C" w:rsidRDefault="00FC025C">
      <w:pPr>
        <w:pStyle w:val="Ttulo1"/>
        <w:spacing w:before="0" w:after="0" w:line="360" w:lineRule="auto"/>
        <w:jc w:val="center"/>
        <w:rPr>
          <w:sz w:val="22"/>
          <w:szCs w:val="22"/>
        </w:rPr>
      </w:pPr>
      <w:bookmarkStart w:id="1" w:name="_heading=h.ug09vo4zhra7" w:colFirst="0" w:colLast="0"/>
      <w:bookmarkStart w:id="2" w:name="_Toc220596972"/>
      <w:bookmarkEnd w:id="1"/>
      <w:r>
        <w:rPr>
          <w:sz w:val="22"/>
          <w:szCs w:val="22"/>
        </w:rPr>
        <w:t>A N T E C E D E N T E S</w:t>
      </w:r>
      <w:bookmarkEnd w:id="2"/>
    </w:p>
    <w:p w:rsidR="00AE255C" w:rsidRDefault="00AE255C">
      <w:pPr>
        <w:spacing w:after="0" w:line="360" w:lineRule="auto"/>
        <w:jc w:val="center"/>
        <w:rPr>
          <w:b/>
          <w:bCs/>
        </w:rPr>
      </w:pPr>
    </w:p>
    <w:p w:rsidR="00AE255C" w:rsidRDefault="00FC025C">
      <w:pPr>
        <w:pStyle w:val="Ttulo2"/>
        <w:spacing w:before="0" w:after="0" w:line="360" w:lineRule="auto"/>
        <w:rPr>
          <w:sz w:val="22"/>
          <w:szCs w:val="22"/>
        </w:rPr>
      </w:pPr>
      <w:bookmarkStart w:id="3" w:name="_heading=h.s6uo3joixsfu" w:colFirst="0" w:colLast="0"/>
      <w:bookmarkStart w:id="4" w:name="_Toc220596973"/>
      <w:bookmarkEnd w:id="3"/>
      <w:r>
        <w:rPr>
          <w:sz w:val="22"/>
          <w:szCs w:val="22"/>
        </w:rPr>
        <w:t>I. Presentación de la solicitud de información</w:t>
      </w:r>
      <w:bookmarkEnd w:id="4"/>
    </w:p>
    <w:p w:rsidR="00AE255C" w:rsidRDefault="00AE255C">
      <w:pPr>
        <w:tabs>
          <w:tab w:val="left" w:pos="567"/>
        </w:tabs>
        <w:spacing w:after="0" w:line="360" w:lineRule="auto"/>
      </w:pPr>
    </w:p>
    <w:p w:rsidR="00AE255C" w:rsidRDefault="00FC025C">
      <w:pPr>
        <w:spacing w:after="0" w:line="360" w:lineRule="auto"/>
      </w:pPr>
      <w:r>
        <w:t>El diecisiete de julio de dos mil veinticinco, el Particular presentó una solicitud de acceso a la información pública, a través del Sistema de Acceso a la Información Mexiquense (SAIMEX), ante el Ayuntamiento de Zinacantepec</w:t>
      </w:r>
      <w:r>
        <w:rPr>
          <w:color w:val="000000"/>
        </w:rPr>
        <w:t>,</w:t>
      </w:r>
      <w:r>
        <w:t xml:space="preserve"> en los siguientes términos: </w:t>
      </w:r>
    </w:p>
    <w:p w:rsidR="00AE255C" w:rsidRDefault="00AE255C">
      <w:pPr>
        <w:spacing w:after="0" w:line="360" w:lineRule="auto"/>
      </w:pPr>
    </w:p>
    <w:p w:rsidR="00AE255C" w:rsidRDefault="00FC025C">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AE255C" w:rsidRDefault="00FC025C">
      <w:pPr>
        <w:tabs>
          <w:tab w:val="left" w:pos="4667"/>
        </w:tabs>
        <w:spacing w:after="0" w:line="360" w:lineRule="auto"/>
        <w:ind w:left="567" w:right="567"/>
        <w:rPr>
          <w:i/>
          <w:iCs/>
          <w:sz w:val="20"/>
          <w:szCs w:val="20"/>
        </w:rPr>
      </w:pPr>
      <w:r>
        <w:rPr>
          <w:i/>
          <w:iCs/>
          <w:sz w:val="20"/>
          <w:szCs w:val="20"/>
        </w:rPr>
        <w:t>SOLICITO LAS MULTAS DE TRANSITO DEL MES DE JUNIO 2025” (Sic.)</w:t>
      </w:r>
    </w:p>
    <w:p w:rsidR="00AE255C" w:rsidRDefault="00AE255C">
      <w:pPr>
        <w:tabs>
          <w:tab w:val="left" w:pos="4667"/>
        </w:tabs>
        <w:spacing w:after="0" w:line="360" w:lineRule="auto"/>
        <w:ind w:left="567" w:right="567"/>
        <w:rPr>
          <w:b/>
          <w:bCs/>
          <w:i/>
          <w:iCs/>
          <w:sz w:val="20"/>
          <w:szCs w:val="20"/>
        </w:rPr>
      </w:pPr>
    </w:p>
    <w:p w:rsidR="00AE255C" w:rsidRDefault="00FC025C">
      <w:pPr>
        <w:tabs>
          <w:tab w:val="left" w:pos="4667"/>
        </w:tabs>
        <w:spacing w:after="0" w:line="360" w:lineRule="auto"/>
        <w:ind w:left="567" w:right="567"/>
        <w:rPr>
          <w:b/>
          <w:bCs/>
          <w:i/>
          <w:iCs/>
          <w:sz w:val="20"/>
          <w:szCs w:val="20"/>
        </w:rPr>
      </w:pPr>
      <w:r>
        <w:rPr>
          <w:b/>
          <w:bCs/>
          <w:i/>
          <w:iCs/>
          <w:sz w:val="20"/>
          <w:szCs w:val="20"/>
        </w:rPr>
        <w:t>“MODALIDAD DE ENTREGA</w:t>
      </w:r>
    </w:p>
    <w:p w:rsidR="00AE255C" w:rsidRDefault="00FC025C">
      <w:pPr>
        <w:tabs>
          <w:tab w:val="left" w:pos="4667"/>
        </w:tabs>
        <w:spacing w:after="0" w:line="360" w:lineRule="auto"/>
        <w:ind w:left="567" w:right="567"/>
        <w:rPr>
          <w:b/>
          <w:bCs/>
          <w:i/>
          <w:iCs/>
          <w:sz w:val="20"/>
          <w:szCs w:val="20"/>
        </w:rPr>
      </w:pPr>
      <w:r>
        <w:rPr>
          <w:i/>
          <w:iCs/>
          <w:sz w:val="20"/>
          <w:szCs w:val="20"/>
        </w:rPr>
        <w:t>A través del SAIMEX”</w:t>
      </w:r>
    </w:p>
    <w:p w:rsidR="00AE255C" w:rsidRDefault="00AE255C">
      <w:pPr>
        <w:spacing w:after="0" w:line="360" w:lineRule="auto"/>
        <w:ind w:right="567"/>
        <w:rPr>
          <w:i/>
          <w:iCs/>
          <w:sz w:val="20"/>
          <w:szCs w:val="20"/>
        </w:rPr>
      </w:pPr>
    </w:p>
    <w:p w:rsidR="00AE255C" w:rsidRDefault="00AE255C">
      <w:pPr>
        <w:spacing w:after="0" w:line="360" w:lineRule="auto"/>
        <w:ind w:right="567"/>
        <w:rPr>
          <w:i/>
          <w:iCs/>
          <w:sz w:val="20"/>
          <w:szCs w:val="20"/>
        </w:rPr>
      </w:pPr>
    </w:p>
    <w:p w:rsidR="00AE255C" w:rsidRDefault="00AE255C">
      <w:pPr>
        <w:spacing w:after="0" w:line="360" w:lineRule="auto"/>
        <w:ind w:right="567"/>
        <w:rPr>
          <w:i/>
          <w:iCs/>
          <w:sz w:val="20"/>
          <w:szCs w:val="20"/>
        </w:rPr>
      </w:pPr>
    </w:p>
    <w:p w:rsidR="00AE255C" w:rsidRDefault="00AE255C">
      <w:pPr>
        <w:spacing w:after="0" w:line="360" w:lineRule="auto"/>
        <w:ind w:right="567"/>
        <w:rPr>
          <w:i/>
          <w:iCs/>
          <w:sz w:val="20"/>
          <w:szCs w:val="20"/>
        </w:rPr>
      </w:pPr>
    </w:p>
    <w:p w:rsidR="00AE255C" w:rsidRDefault="00FC025C">
      <w:pPr>
        <w:pStyle w:val="Ttulo2"/>
        <w:spacing w:before="0" w:after="0" w:line="360" w:lineRule="auto"/>
        <w:rPr>
          <w:sz w:val="22"/>
          <w:szCs w:val="22"/>
        </w:rPr>
      </w:pPr>
      <w:bookmarkStart w:id="5" w:name="_heading=h.gouxh8lh3kxr" w:colFirst="0" w:colLast="0"/>
      <w:bookmarkStart w:id="6" w:name="_Toc220596974"/>
      <w:bookmarkEnd w:id="5"/>
      <w:r>
        <w:rPr>
          <w:sz w:val="22"/>
          <w:szCs w:val="22"/>
        </w:rPr>
        <w:t>II. Respuesta del Sujeto Obligado</w:t>
      </w:r>
      <w:bookmarkEnd w:id="6"/>
    </w:p>
    <w:p w:rsidR="00AE255C" w:rsidRDefault="00AE255C">
      <w:pPr>
        <w:spacing w:after="0" w:line="360" w:lineRule="auto"/>
        <w:rPr>
          <w:b/>
          <w:bCs/>
        </w:rPr>
      </w:pPr>
    </w:p>
    <w:p w:rsidR="00AE255C" w:rsidRDefault="00FC025C">
      <w:pPr>
        <w:spacing w:after="0" w:line="360" w:lineRule="auto"/>
      </w:pPr>
      <w:r>
        <w:t>El quince de octubre de dos mil veinticinco, el Sujeto Obligado notificó, a través del Sistema de Acceso a la Información Mexiquense (SAIMEX), la respuesta a la solicitud de acceso a la información pública, donde mencionó lo siguiente:</w:t>
      </w:r>
    </w:p>
    <w:p w:rsidR="00AE255C" w:rsidRDefault="00AE255C">
      <w:pPr>
        <w:spacing w:after="0" w:line="360" w:lineRule="auto"/>
      </w:pPr>
    </w:p>
    <w:p w:rsidR="00AE255C" w:rsidRDefault="00FC025C">
      <w:pPr>
        <w:numPr>
          <w:ilvl w:val="0"/>
          <w:numId w:val="7"/>
        </w:numPr>
        <w:pBdr>
          <w:top w:val="nil"/>
          <w:left w:val="nil"/>
          <w:bottom w:val="nil"/>
          <w:right w:val="nil"/>
          <w:between w:val="nil"/>
        </w:pBdr>
        <w:spacing w:after="0" w:line="360" w:lineRule="auto"/>
        <w:rPr>
          <w:color w:val="000000"/>
        </w:rPr>
      </w:pPr>
      <w:r>
        <w:rPr>
          <w:color w:val="000000"/>
        </w:rPr>
        <w:t>Oficio número ZIN/</w:t>
      </w:r>
      <w:proofErr w:type="spellStart"/>
      <w:r>
        <w:rPr>
          <w:color w:val="000000"/>
        </w:rPr>
        <w:t>DSPyT</w:t>
      </w:r>
      <w:proofErr w:type="spellEnd"/>
      <w:r>
        <w:rPr>
          <w:color w:val="000000"/>
        </w:rPr>
        <w:t xml:space="preserve">/1408/2025,  de fecha cuatro de agosto de dos mil veinticinco, suscrito por el Director de Seguridad y Transito y dirigido al Titular de la Unidad de Transparencia donde </w:t>
      </w:r>
      <w:r>
        <w:rPr>
          <w:b/>
          <w:bCs/>
          <w:color w:val="000000"/>
          <w:u w:val="single"/>
        </w:rPr>
        <w:t xml:space="preserve">refiere adjuntar lo solicitado  de conformidad con las Multas de Tránsito del mes de Junio de dos mil veinticinco y anexa un Cuadro de Clasificación de las mismas donde se clasifica como confidencial la Nombre de personas no servidoras públicas, Características del Vehículo y Nombre de Agentes de tránsito, como dato personal de conformidad con el </w:t>
      </w:r>
      <w:proofErr w:type="spellStart"/>
      <w:r>
        <w:rPr>
          <w:b/>
          <w:bCs/>
          <w:color w:val="000000"/>
          <w:u w:val="single"/>
        </w:rPr>
        <w:t>articulo</w:t>
      </w:r>
      <w:proofErr w:type="spellEnd"/>
      <w:r>
        <w:rPr>
          <w:b/>
          <w:bCs/>
          <w:color w:val="000000"/>
          <w:u w:val="single"/>
        </w:rPr>
        <w:t xml:space="preserve"> 143 fracción I</w:t>
      </w:r>
      <w:r>
        <w:rPr>
          <w:color w:val="000000"/>
        </w:rPr>
        <w:t xml:space="preserve"> de la Ley de Transparencia y Acceso a la Información </w:t>
      </w:r>
      <w:proofErr w:type="spellStart"/>
      <w:r>
        <w:rPr>
          <w:color w:val="000000"/>
        </w:rPr>
        <w:t>Publica</w:t>
      </w:r>
      <w:proofErr w:type="spellEnd"/>
      <w:r>
        <w:rPr>
          <w:color w:val="000000"/>
        </w:rPr>
        <w:t xml:space="preserve"> del Estado de México y Municipios.</w:t>
      </w:r>
    </w:p>
    <w:p w:rsidR="00AE255C" w:rsidRDefault="00AE255C">
      <w:pPr>
        <w:pBdr>
          <w:top w:val="nil"/>
          <w:left w:val="nil"/>
          <w:bottom w:val="nil"/>
          <w:right w:val="nil"/>
          <w:between w:val="nil"/>
        </w:pBdr>
        <w:spacing w:after="0" w:line="360" w:lineRule="auto"/>
        <w:ind w:left="720"/>
        <w:rPr>
          <w:rFonts w:ascii="Calibri" w:eastAsia="Calibri" w:hAnsi="Calibri" w:cs="Calibri"/>
          <w:color w:val="000000"/>
          <w:sz w:val="28"/>
          <w:szCs w:val="28"/>
        </w:rPr>
      </w:pPr>
    </w:p>
    <w:p w:rsidR="00AE255C" w:rsidRDefault="00FC025C">
      <w:pPr>
        <w:numPr>
          <w:ilvl w:val="0"/>
          <w:numId w:val="7"/>
        </w:numPr>
        <w:pBdr>
          <w:top w:val="nil"/>
          <w:left w:val="nil"/>
          <w:bottom w:val="nil"/>
          <w:right w:val="nil"/>
          <w:between w:val="nil"/>
        </w:pBdr>
        <w:spacing w:after="0" w:line="360" w:lineRule="auto"/>
        <w:rPr>
          <w:color w:val="000000"/>
        </w:rPr>
      </w:pPr>
      <w:r>
        <w:rPr>
          <w:color w:val="000000"/>
        </w:rPr>
        <w:t xml:space="preserve">Digitaliza en Versión Publica las Multas de Tránsito del mes de </w:t>
      </w:r>
      <w:proofErr w:type="gramStart"/>
      <w:r>
        <w:rPr>
          <w:color w:val="000000"/>
        </w:rPr>
        <w:t>Junio</w:t>
      </w:r>
      <w:proofErr w:type="gramEnd"/>
      <w:r>
        <w:rPr>
          <w:color w:val="000000"/>
        </w:rPr>
        <w:t xml:space="preserve"> correspondiente a dos mil veinticinco.</w:t>
      </w:r>
    </w:p>
    <w:p w:rsidR="00AE255C" w:rsidRDefault="00AE255C">
      <w:pPr>
        <w:spacing w:after="0" w:line="360" w:lineRule="auto"/>
      </w:pPr>
    </w:p>
    <w:p w:rsidR="00AE255C" w:rsidRDefault="00FC025C">
      <w:pPr>
        <w:pStyle w:val="Ttulo2"/>
        <w:spacing w:before="0" w:after="0" w:line="360" w:lineRule="auto"/>
        <w:rPr>
          <w:sz w:val="22"/>
          <w:szCs w:val="22"/>
        </w:rPr>
      </w:pPr>
      <w:bookmarkStart w:id="7" w:name="_heading=h.cuz93lrpu20o" w:colFirst="0" w:colLast="0"/>
      <w:bookmarkStart w:id="8" w:name="_Toc220596975"/>
      <w:bookmarkEnd w:id="7"/>
      <w:r>
        <w:rPr>
          <w:sz w:val="22"/>
          <w:szCs w:val="22"/>
        </w:rPr>
        <w:t>III. Interposición del Recurso de Revisión</w:t>
      </w:r>
      <w:bookmarkEnd w:id="8"/>
    </w:p>
    <w:p w:rsidR="00AE255C" w:rsidRDefault="00AE255C">
      <w:pPr>
        <w:spacing w:after="0" w:line="360" w:lineRule="auto"/>
        <w:rPr>
          <w:b/>
          <w:bCs/>
        </w:rPr>
      </w:pPr>
    </w:p>
    <w:p w:rsidR="00AE255C" w:rsidRDefault="00FC025C">
      <w:pPr>
        <w:spacing w:after="0" w:line="360" w:lineRule="auto"/>
      </w:pPr>
      <w:r>
        <w:t>El veintidós de agosto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AE255C" w:rsidRDefault="00FC025C">
      <w:pPr>
        <w:spacing w:after="0" w:line="360" w:lineRule="auto"/>
        <w:ind w:left="567" w:right="567"/>
        <w:rPr>
          <w:i/>
          <w:iCs/>
          <w:sz w:val="20"/>
          <w:szCs w:val="20"/>
        </w:rPr>
      </w:pPr>
      <w:r>
        <w:rPr>
          <w:b/>
          <w:bCs/>
          <w:i/>
          <w:iCs/>
          <w:sz w:val="20"/>
          <w:szCs w:val="20"/>
        </w:rPr>
        <w:t>‘’ACTO IMPUGNADO</w:t>
      </w:r>
    </w:p>
    <w:p w:rsidR="00AE255C" w:rsidRDefault="00FC025C">
      <w:pPr>
        <w:spacing w:after="0" w:line="360" w:lineRule="auto"/>
        <w:ind w:left="567" w:right="567"/>
        <w:rPr>
          <w:i/>
          <w:iCs/>
          <w:sz w:val="20"/>
          <w:szCs w:val="20"/>
        </w:rPr>
      </w:pPr>
      <w:r>
        <w:rPr>
          <w:i/>
          <w:iCs/>
          <w:sz w:val="20"/>
          <w:szCs w:val="20"/>
        </w:rPr>
        <w:lastRenderedPageBreak/>
        <w:t>NO ENTREGA INFORMACION” (Sic.)</w:t>
      </w:r>
    </w:p>
    <w:p w:rsidR="00AE255C" w:rsidRDefault="00AE255C">
      <w:pPr>
        <w:spacing w:after="0" w:line="360" w:lineRule="auto"/>
        <w:ind w:left="567" w:right="567"/>
        <w:rPr>
          <w:i/>
          <w:iCs/>
          <w:sz w:val="20"/>
          <w:szCs w:val="20"/>
        </w:rPr>
      </w:pPr>
    </w:p>
    <w:p w:rsidR="00AE255C" w:rsidRDefault="00FC025C">
      <w:pPr>
        <w:spacing w:after="0" w:line="360" w:lineRule="auto"/>
        <w:ind w:left="567" w:right="567"/>
        <w:rPr>
          <w:b/>
          <w:bCs/>
          <w:i/>
          <w:iCs/>
          <w:sz w:val="20"/>
          <w:szCs w:val="20"/>
        </w:rPr>
      </w:pPr>
      <w:r>
        <w:rPr>
          <w:b/>
          <w:bCs/>
          <w:i/>
          <w:iCs/>
          <w:sz w:val="20"/>
          <w:szCs w:val="20"/>
        </w:rPr>
        <w:t>‘’RAZONES O MOTIVOS DE LA INCONFORMIDAD</w:t>
      </w:r>
    </w:p>
    <w:p w:rsidR="00AE255C" w:rsidRDefault="00FC025C">
      <w:pPr>
        <w:spacing w:after="0" w:line="360" w:lineRule="auto"/>
        <w:ind w:left="567" w:right="567"/>
        <w:rPr>
          <w:i/>
          <w:iCs/>
          <w:sz w:val="20"/>
          <w:szCs w:val="20"/>
        </w:rPr>
      </w:pPr>
      <w:r>
        <w:rPr>
          <w:i/>
          <w:iCs/>
          <w:sz w:val="20"/>
          <w:szCs w:val="20"/>
        </w:rPr>
        <w:t>NO ENTREGA INFORMACION, NO ADJUNTA EL ACTA DE COMITE QUE AVALE LA VERSION PUBLICA.” (Sic.)</w:t>
      </w:r>
    </w:p>
    <w:p w:rsidR="00AE255C" w:rsidRDefault="00AE255C">
      <w:pPr>
        <w:spacing w:after="0" w:line="360" w:lineRule="auto"/>
        <w:ind w:right="567"/>
      </w:pPr>
    </w:p>
    <w:p w:rsidR="00AE255C" w:rsidRDefault="00FC025C">
      <w:pPr>
        <w:pStyle w:val="Ttulo2"/>
        <w:spacing w:before="0" w:after="0" w:line="360" w:lineRule="auto"/>
        <w:rPr>
          <w:sz w:val="22"/>
          <w:szCs w:val="22"/>
        </w:rPr>
      </w:pPr>
      <w:bookmarkStart w:id="9" w:name="_heading=h.58buno3pwqb1" w:colFirst="0" w:colLast="0"/>
      <w:bookmarkStart w:id="10" w:name="_Toc220596976"/>
      <w:bookmarkEnd w:id="9"/>
      <w:r>
        <w:rPr>
          <w:sz w:val="22"/>
          <w:szCs w:val="22"/>
        </w:rPr>
        <w:t>IV. Trámite del Recurso de Revisión ante este Instituto</w:t>
      </w:r>
      <w:bookmarkEnd w:id="10"/>
    </w:p>
    <w:p w:rsidR="00AE255C" w:rsidRDefault="00AE255C">
      <w:pPr>
        <w:spacing w:after="0" w:line="360" w:lineRule="auto"/>
        <w:rPr>
          <w:b/>
          <w:bCs/>
        </w:rPr>
      </w:pPr>
    </w:p>
    <w:p w:rsidR="00AE255C" w:rsidRDefault="00FC025C">
      <w:pPr>
        <w:spacing w:after="0" w:line="360" w:lineRule="auto"/>
      </w:pPr>
      <w:r>
        <w:rPr>
          <w:b/>
          <w:bCs/>
        </w:rPr>
        <w:t>a) Turno del Medio de Impugnación.</w:t>
      </w:r>
      <w:r>
        <w:t xml:space="preserve"> El veintidós de agosto de dos mil veinticinco, el Sistema de Acceso a la Información Mexiquense (SAIMEX), asignó el número de expediente </w:t>
      </w:r>
      <w:r>
        <w:rPr>
          <w:b/>
          <w:bCs/>
        </w:rPr>
        <w:t>09916/INFOEM/IP/RR/2025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AE255C" w:rsidRDefault="00AE255C">
      <w:pPr>
        <w:spacing w:after="0" w:line="360" w:lineRule="auto"/>
        <w:rPr>
          <w:b/>
          <w:bCs/>
        </w:rPr>
      </w:pPr>
    </w:p>
    <w:p w:rsidR="00AE255C" w:rsidRDefault="00FC025C">
      <w:pPr>
        <w:spacing w:after="0" w:line="360" w:lineRule="auto"/>
      </w:pPr>
      <w:r>
        <w:rPr>
          <w:b/>
          <w:bCs/>
        </w:rPr>
        <w:t xml:space="preserve">b) Admisión del Recurso de Revisión. </w:t>
      </w:r>
      <w:r>
        <w:t>El veintisiete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AE255C" w:rsidRDefault="00AE255C">
      <w:pPr>
        <w:spacing w:after="0" w:line="360" w:lineRule="auto"/>
      </w:pPr>
    </w:p>
    <w:p w:rsidR="00AE255C" w:rsidRDefault="00FC025C">
      <w:pPr>
        <w:spacing w:after="0" w:line="360" w:lineRule="auto"/>
      </w:pPr>
      <w:r>
        <w:rPr>
          <w:b/>
          <w:bCs/>
        </w:rPr>
        <w:t xml:space="preserve">c) Informe Justificado. </w:t>
      </w:r>
      <w:r>
        <w:t>El tres de septiembre de dos mil veinticinco, se recibió, a través del Sistema de Acceso a la Información Mexiquense (SAIMEX), el Informe Justificado del Sujeto Obligado, donde ratifica su respuesta inicial y solicita se sobresea el recurso, aunado a que refiere lo siguiente:</w:t>
      </w:r>
    </w:p>
    <w:p w:rsidR="00AE255C" w:rsidRDefault="00AE255C">
      <w:pPr>
        <w:spacing w:after="0" w:line="360" w:lineRule="auto"/>
      </w:pPr>
    </w:p>
    <w:p w:rsidR="00AE255C" w:rsidRDefault="00FC025C">
      <w:pPr>
        <w:spacing w:after="0" w:line="360" w:lineRule="auto"/>
        <w:ind w:left="720"/>
        <w:rPr>
          <w:i/>
          <w:iCs/>
          <w:sz w:val="20"/>
          <w:szCs w:val="20"/>
        </w:rPr>
      </w:pPr>
      <w:r>
        <w:rPr>
          <w:i/>
          <w:iCs/>
          <w:sz w:val="20"/>
          <w:szCs w:val="20"/>
        </w:rPr>
        <w:t>“…Por otra parte, se informa que la versión pública de la información remitida fue aprobada mediante acuerdo: CT/S13/EXT/AC13/2025 de la Décima Tercera Sesión Extraordinaria del Comité de Transparencia. …”</w:t>
      </w:r>
    </w:p>
    <w:p w:rsidR="00AE255C" w:rsidRDefault="00AE255C">
      <w:pPr>
        <w:spacing w:after="0" w:line="360" w:lineRule="auto"/>
        <w:rPr>
          <w:highlight w:val="yellow"/>
        </w:rPr>
      </w:pPr>
    </w:p>
    <w:p w:rsidR="00AE255C" w:rsidRDefault="00FC025C">
      <w:pPr>
        <w:spacing w:after="0" w:line="360" w:lineRule="auto"/>
        <w:rPr>
          <w:i/>
          <w:iCs/>
          <w:sz w:val="20"/>
          <w:szCs w:val="20"/>
        </w:rPr>
      </w:pPr>
      <w:r>
        <w:t>El Sujeto Obligado adjuntó el Acta de la Décima Tercera Sesión Extraordinaria del Comité de Transparencia de Zinacantepec</w:t>
      </w:r>
    </w:p>
    <w:p w:rsidR="00AE255C" w:rsidRDefault="00AE255C">
      <w:pPr>
        <w:spacing w:after="0" w:line="360" w:lineRule="auto"/>
      </w:pPr>
    </w:p>
    <w:p w:rsidR="00AE255C" w:rsidRDefault="00FC025C">
      <w:pPr>
        <w:spacing w:after="0" w:line="360" w:lineRule="auto"/>
      </w:pPr>
      <w:r>
        <w:rPr>
          <w:b/>
          <w:bCs/>
        </w:rPr>
        <w:t>d) Vista del Informe Justificado.</w:t>
      </w:r>
      <w:r>
        <w:t xml:space="preserve"> El veintiuno de enero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rsidR="00AE255C" w:rsidRDefault="00AE255C">
      <w:pPr>
        <w:spacing w:after="0" w:line="360" w:lineRule="auto"/>
      </w:pPr>
    </w:p>
    <w:p w:rsidR="00AE255C" w:rsidRDefault="00FC025C">
      <w:pPr>
        <w:spacing w:after="0" w:line="360" w:lineRule="auto"/>
      </w:pPr>
      <w:r>
        <w:rPr>
          <w:b/>
          <w:bCs/>
        </w:rPr>
        <w:t>e) Ampliación de plazo para resolver.</w:t>
      </w:r>
      <w:r>
        <w:t xml:space="preserve"> El veintiséis de enero de dos mil veintiséis, el Comisionado Ponente, con fundamento en lo dispuesto por el artículo 181, párrafo tercero, de la Ley de Transparencia y Acceso a la Información Pública del Estado de México y Municipios, acordó ampliar por un </w:t>
      </w:r>
      <w:r>
        <w:rPr>
          <w:b/>
          <w:bCs/>
        </w:rPr>
        <w:t>periodo razonable</w:t>
      </w:r>
      <w:r>
        <w:t>, el plazo para resolver el Recurso de Revisión que nos ocupa; acto que fue notificado a las partes el mismo día, mediante el Sistema de Acceso a la Información Mexiquense (SAIMEX).</w:t>
      </w:r>
    </w:p>
    <w:p w:rsidR="00AE255C" w:rsidRDefault="00AE255C">
      <w:pPr>
        <w:spacing w:after="0" w:line="360" w:lineRule="auto"/>
        <w:rPr>
          <w:b/>
          <w:bCs/>
          <w:color w:val="000000"/>
        </w:rPr>
      </w:pPr>
      <w:bookmarkStart w:id="11" w:name="_heading=h.lnsh1zrmt5kd" w:colFirst="0" w:colLast="0"/>
      <w:bookmarkEnd w:id="11"/>
    </w:p>
    <w:p w:rsidR="00AE255C" w:rsidRDefault="00FC025C">
      <w:pPr>
        <w:spacing w:after="0" w:line="360" w:lineRule="auto"/>
      </w:pPr>
      <w:r>
        <w:rPr>
          <w:b/>
          <w:bCs/>
        </w:rPr>
        <w:t>f) Cierre de instrucción.</w:t>
      </w:r>
      <w:r>
        <w:t xml:space="preserve"> El veintinueve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AE255C" w:rsidRDefault="00AE255C">
      <w:pPr>
        <w:spacing w:after="0" w:line="360" w:lineRule="auto"/>
        <w:rPr>
          <w:b/>
          <w:bCs/>
        </w:rPr>
      </w:pPr>
    </w:p>
    <w:p w:rsidR="00AE255C" w:rsidRDefault="00FC025C">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AE255C" w:rsidRDefault="00AE255C">
      <w:pPr>
        <w:spacing w:after="0" w:line="360" w:lineRule="auto"/>
        <w:rPr>
          <w:color w:val="000000"/>
        </w:rPr>
      </w:pPr>
    </w:p>
    <w:p w:rsidR="00AE255C" w:rsidRDefault="00FC025C">
      <w:pPr>
        <w:pStyle w:val="Ttulo1"/>
        <w:spacing w:before="0" w:after="0" w:line="360" w:lineRule="auto"/>
        <w:jc w:val="center"/>
        <w:rPr>
          <w:sz w:val="22"/>
          <w:szCs w:val="22"/>
        </w:rPr>
      </w:pPr>
      <w:bookmarkStart w:id="12" w:name="_heading=h.ucg5u14yebrp" w:colFirst="0" w:colLast="0"/>
      <w:bookmarkStart w:id="13" w:name="_Toc220596977"/>
      <w:bookmarkEnd w:id="12"/>
      <w:r>
        <w:rPr>
          <w:sz w:val="22"/>
          <w:szCs w:val="22"/>
        </w:rPr>
        <w:t>C O N S I D E R A N D O S</w:t>
      </w:r>
      <w:bookmarkEnd w:id="13"/>
    </w:p>
    <w:p w:rsidR="00AE255C" w:rsidRDefault="00AE255C">
      <w:pPr>
        <w:spacing w:after="0" w:line="360" w:lineRule="auto"/>
        <w:jc w:val="center"/>
        <w:rPr>
          <w:b/>
          <w:bCs/>
          <w:color w:val="000000"/>
        </w:rPr>
      </w:pPr>
    </w:p>
    <w:p w:rsidR="00AE255C" w:rsidRDefault="00FC025C">
      <w:pPr>
        <w:pStyle w:val="Ttulo2"/>
        <w:spacing w:before="0" w:after="0" w:line="360" w:lineRule="auto"/>
        <w:rPr>
          <w:sz w:val="22"/>
          <w:szCs w:val="22"/>
        </w:rPr>
      </w:pPr>
      <w:bookmarkStart w:id="14" w:name="_heading=h.ldyaoyhk0gv3" w:colFirst="0" w:colLast="0"/>
      <w:bookmarkStart w:id="15" w:name="_Toc220596978"/>
      <w:bookmarkEnd w:id="14"/>
      <w:r>
        <w:rPr>
          <w:sz w:val="22"/>
          <w:szCs w:val="22"/>
        </w:rPr>
        <w:t>PRIMERO. Competencia</w:t>
      </w:r>
      <w:bookmarkEnd w:id="15"/>
    </w:p>
    <w:p w:rsidR="00AE255C" w:rsidRDefault="00AE255C">
      <w:pPr>
        <w:spacing w:after="0" w:line="360" w:lineRule="auto"/>
      </w:pPr>
      <w:bookmarkStart w:id="16" w:name="_heading=h.30j0zll" w:colFirst="0" w:colLast="0"/>
      <w:bookmarkEnd w:id="16"/>
    </w:p>
    <w:p w:rsidR="00AE255C" w:rsidRDefault="00FC025C">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AE255C" w:rsidRDefault="00AE255C">
      <w:pPr>
        <w:spacing w:after="0" w:line="360" w:lineRule="auto"/>
      </w:pPr>
    </w:p>
    <w:p w:rsidR="00AE255C" w:rsidRDefault="00FC025C">
      <w:pPr>
        <w:pStyle w:val="Ttulo2"/>
        <w:spacing w:before="0" w:after="0" w:line="360" w:lineRule="auto"/>
        <w:rPr>
          <w:sz w:val="22"/>
          <w:szCs w:val="22"/>
        </w:rPr>
      </w:pPr>
      <w:bookmarkStart w:id="17" w:name="_heading=h.a5wh2qs60txg" w:colFirst="0" w:colLast="0"/>
      <w:bookmarkStart w:id="18" w:name="_Toc220596979"/>
      <w:bookmarkEnd w:id="17"/>
      <w:r>
        <w:rPr>
          <w:sz w:val="22"/>
          <w:szCs w:val="22"/>
        </w:rPr>
        <w:t>SEGUNDO. Causales de improcedencia y sobreseimiento</w:t>
      </w:r>
      <w:bookmarkEnd w:id="18"/>
    </w:p>
    <w:p w:rsidR="00AE255C" w:rsidRDefault="00AE255C">
      <w:pPr>
        <w:spacing w:after="0" w:line="360" w:lineRule="auto"/>
        <w:rPr>
          <w:color w:val="000000"/>
        </w:rPr>
      </w:pPr>
    </w:p>
    <w:p w:rsidR="00AE255C" w:rsidRDefault="00FC025C">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AE255C" w:rsidRDefault="00AE255C">
      <w:pPr>
        <w:spacing w:after="0" w:line="360" w:lineRule="auto"/>
        <w:rPr>
          <w:color w:val="000000"/>
        </w:rPr>
      </w:pPr>
    </w:p>
    <w:p w:rsidR="00AE255C" w:rsidRDefault="00FC025C">
      <w:pPr>
        <w:spacing w:after="0" w:line="360" w:lineRule="auto"/>
        <w:rPr>
          <w:b/>
          <w:bCs/>
        </w:rPr>
      </w:pPr>
      <w:r>
        <w:rPr>
          <w:b/>
          <w:bCs/>
        </w:rPr>
        <w:lastRenderedPageBreak/>
        <w:t>Causales de improcedencia</w:t>
      </w:r>
    </w:p>
    <w:p w:rsidR="00AE255C" w:rsidRDefault="00AE255C">
      <w:pPr>
        <w:spacing w:after="0" w:line="360" w:lineRule="auto"/>
        <w:rPr>
          <w:b/>
          <w:bCs/>
        </w:rPr>
      </w:pPr>
    </w:p>
    <w:p w:rsidR="00AE255C" w:rsidRDefault="00FC025C">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AE255C" w:rsidRDefault="00AE255C">
      <w:pPr>
        <w:spacing w:after="0" w:line="360" w:lineRule="auto"/>
        <w:rPr>
          <w:color w:val="000000"/>
        </w:rPr>
      </w:pPr>
    </w:p>
    <w:p w:rsidR="00AE255C" w:rsidRDefault="00FC025C">
      <w:pPr>
        <w:spacing w:after="0" w:line="360" w:lineRule="auto"/>
      </w:pPr>
      <w:r>
        <w:t>Por lo cual, se actualiza la causal de procedencia del Recurso de Revisión señalada en el artículo 179, fracción II, de la Ley en cita, pues la persona Recurrente se inconformó de la clasificación de la información.</w:t>
      </w:r>
    </w:p>
    <w:p w:rsidR="00AE255C" w:rsidRPr="003B29F2" w:rsidRDefault="00AE255C" w:rsidP="003B29F2">
      <w:pPr>
        <w:pStyle w:val="Ttulo2"/>
        <w:spacing w:before="0" w:after="0" w:line="360" w:lineRule="auto"/>
        <w:jc w:val="left"/>
        <w:rPr>
          <w:color w:val="000000"/>
          <w:sz w:val="22"/>
          <w:szCs w:val="22"/>
        </w:rPr>
      </w:pPr>
    </w:p>
    <w:p w:rsidR="00AE255C" w:rsidRPr="003B29F2" w:rsidRDefault="00FC025C" w:rsidP="003B29F2">
      <w:pPr>
        <w:pStyle w:val="Ttulo2"/>
        <w:spacing w:before="0" w:after="0" w:line="360" w:lineRule="auto"/>
        <w:jc w:val="left"/>
        <w:rPr>
          <w:color w:val="000000"/>
          <w:sz w:val="22"/>
          <w:szCs w:val="22"/>
        </w:rPr>
      </w:pPr>
      <w:bookmarkStart w:id="19" w:name="_Toc220596980"/>
      <w:r w:rsidRPr="003B29F2">
        <w:rPr>
          <w:color w:val="000000"/>
          <w:sz w:val="22"/>
          <w:szCs w:val="22"/>
        </w:rPr>
        <w:t>TERCERO. Causales de sobreseimiento</w:t>
      </w:r>
      <w:bookmarkEnd w:id="19"/>
    </w:p>
    <w:p w:rsidR="00AE255C" w:rsidRDefault="00AE255C">
      <w:pPr>
        <w:spacing w:after="0" w:line="360" w:lineRule="auto"/>
        <w:rPr>
          <w:color w:val="0D0D0D"/>
        </w:rPr>
      </w:pPr>
    </w:p>
    <w:p w:rsidR="00AE255C" w:rsidRDefault="00FC025C">
      <w:pPr>
        <w:spacing w:after="0" w:line="360" w:lineRule="auto"/>
        <w:rPr>
          <w:color w:val="0D0D0D"/>
        </w:rPr>
      </w:pPr>
      <w:r>
        <w:rPr>
          <w:color w:val="0D0D0D"/>
        </w:rPr>
        <w:t>Por ser de previo y especial pronunciamiento, este Instituto analiza si se actualiza alguna causal de sobreseimiento.</w:t>
      </w:r>
    </w:p>
    <w:p w:rsidR="00AE255C" w:rsidRDefault="00AE255C">
      <w:pPr>
        <w:spacing w:after="0" w:line="360" w:lineRule="auto"/>
        <w:rPr>
          <w:color w:val="0D0D0D"/>
        </w:rPr>
      </w:pPr>
    </w:p>
    <w:p w:rsidR="00AE255C" w:rsidRDefault="00FC025C">
      <w:pPr>
        <w:spacing w:after="0" w:line="360" w:lineRule="auto"/>
        <w:rPr>
          <w:color w:val="000000"/>
        </w:rPr>
      </w:pPr>
      <w:r>
        <w:rPr>
          <w:color w:val="000000"/>
        </w:rPr>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b/>
          <w:bCs/>
          <w:color w:val="000000"/>
        </w:rPr>
        <w:t>que no se actualizan los supuestos de sobreseimiento previstos en las fracciones I, II, III y IV</w:t>
      </w:r>
      <w:r>
        <w:rPr>
          <w:color w:val="000000"/>
        </w:rPr>
        <w:t>, del artículo en comento, lo anterior, en virtud de que no hay constancias en el expediente en que se actúa, de que la persona Recurrente se haya desistido del recurso, haya fallecido, se haya actualizado alguna causal de improcedencia, o bien, el Sujeto Obligado haya modificado su respuesta.</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No obstante, por lo que hace a la fracción V, del artículo 192, de la Ley de la materia, se estima procedente entrar al estudio de dicha causal de sobreseimiento, para lo cual, es necesario precisar que el Particular requirió, todas las multas de tránsito del mes de junio de dos mil veinticinco.</w:t>
      </w:r>
    </w:p>
    <w:p w:rsidR="00AE255C" w:rsidRDefault="00AE255C">
      <w:pPr>
        <w:spacing w:after="0" w:line="360" w:lineRule="auto"/>
        <w:rPr>
          <w:color w:val="FF0000"/>
        </w:rPr>
      </w:pPr>
    </w:p>
    <w:p w:rsidR="00AE255C" w:rsidRDefault="00FC025C">
      <w:pPr>
        <w:spacing w:after="0" w:line="360" w:lineRule="auto"/>
        <w:rPr>
          <w:color w:val="FF0000"/>
        </w:rPr>
      </w:pPr>
      <w:bookmarkStart w:id="20" w:name="_heading=h.smcu4hkp9hja" w:colFirst="0" w:colLast="0"/>
      <w:bookmarkEnd w:id="20"/>
      <w:r>
        <w:rPr>
          <w:color w:val="000000"/>
        </w:rPr>
        <w:t>En respuesta, el Sujeto Obligado, a través de la Dirección de Seguridad Publica y Transito, adjunto en versión publica las multas del primero al treinta de junio de dos mil veinticinco; ante dicha circunstancia, el Particular se inconformó de la entrega de información incompleta, al señalar que no adjuntaron el acta por medio del cual se aprueba dicha versión pública, lo cual actualiza la causal de procedencia prevista en la fracción V, del artículo 179 de la Ley de Transparencia y Acceso a la Información Pública del Estado de México y Municipios, al aplicar la suplencia de la queja a favor de la Solicitante, en términos de los diversos 13 y, penúltimo párrafo, del 181 del ordenamiento señalado. Así, las cosas, una vez admitido y notificado el Recurso de Revisión a las partes, el Sujeto Obligado rindió Informe Justificado mediante el cual mencionó que se ratificaba la respuesta inicial, y al mismo tiempo adjuntando el acta de la décima tercera sesión extraordinaria por medio del acuerdo CT/S13/EXT/AC13/2025 donde se aprueba la clasificación de los datos contenidos en las multas correspondientes a junio dos mil veinticinco.</w:t>
      </w:r>
    </w:p>
    <w:p w:rsidR="00AE255C" w:rsidRDefault="00AE255C">
      <w:pPr>
        <w:spacing w:after="0" w:line="360" w:lineRule="auto"/>
        <w:ind w:right="567"/>
        <w:rPr>
          <w:color w:val="FF0000"/>
          <w:sz w:val="20"/>
          <w:szCs w:val="20"/>
        </w:rPr>
      </w:pPr>
    </w:p>
    <w:p w:rsidR="00AE255C" w:rsidRDefault="00FC025C">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el escrito </w:t>
      </w:r>
      <w:proofErr w:type="spellStart"/>
      <w:r>
        <w:rPr>
          <w:color w:val="000000"/>
        </w:rPr>
        <w:t>recursal</w:t>
      </w:r>
      <w:proofErr w:type="spellEnd"/>
      <w:r>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AE255C" w:rsidRDefault="00AE255C">
      <w:pPr>
        <w:tabs>
          <w:tab w:val="left" w:pos="4962"/>
        </w:tabs>
        <w:spacing w:after="0" w:line="360" w:lineRule="auto"/>
        <w:rPr>
          <w:color w:val="FF0000"/>
        </w:rPr>
      </w:pPr>
    </w:p>
    <w:p w:rsidR="00AE255C" w:rsidRDefault="00FC025C">
      <w:pPr>
        <w:spacing w:after="0" w:line="360" w:lineRule="auto"/>
        <w:rPr>
          <w:color w:val="000000"/>
        </w:rPr>
      </w:pPr>
      <w:r>
        <w:rPr>
          <w:color w:val="000000"/>
        </w:rPr>
        <w:t xml:space="preserve">Expuesto lo anterior, se procede al análisis del agravio hecho valer por la persona Recurrente, por lo que, en principio es necesario contextualizar la solicitud de información; para lo cual, cabe traer a colación el Bando Municipal de Zinacantepec dos mil veinticinco, en su artículo 21 donde refiere que para </w:t>
      </w:r>
      <w:r>
        <w:t>el despacho de los asuntos municipales, el Ayuntamiento se auxiliará de dependencias, organismos públicos descentralizados, desconcentrados y autónomos de la administración pública municipal, necesarios para el desarrollo de sus actividades, siendo los siguientes</w:t>
      </w:r>
      <w:r>
        <w:rPr>
          <w:color w:val="000000"/>
        </w:rPr>
        <w:t>:</w:t>
      </w:r>
    </w:p>
    <w:p w:rsidR="00AE255C" w:rsidRDefault="00AE255C">
      <w:pPr>
        <w:spacing w:after="0" w:line="360" w:lineRule="auto"/>
        <w:rPr>
          <w:color w:val="000000"/>
        </w:rPr>
      </w:pP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Secretaría del Ayuntamiento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Tesorería Municipal.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Órgano Interno de Control Municipal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Dirección de Administración.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Dirección de Obras Públicas.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Dirección de Desarrollo Metropolitano y Movilidad.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Dirección de Desarrollo Territorial y Urbano.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Dirección de Desarrollo Económico. </w:t>
      </w:r>
    </w:p>
    <w:p w:rsidR="00AE255C" w:rsidRDefault="00FC025C">
      <w:pPr>
        <w:numPr>
          <w:ilvl w:val="0"/>
          <w:numId w:val="2"/>
        </w:numPr>
        <w:pBdr>
          <w:top w:val="nil"/>
          <w:left w:val="nil"/>
          <w:bottom w:val="nil"/>
          <w:right w:val="nil"/>
          <w:between w:val="nil"/>
        </w:pBdr>
        <w:spacing w:after="0" w:line="360" w:lineRule="auto"/>
        <w:rPr>
          <w:color w:val="000000"/>
        </w:rPr>
      </w:pPr>
      <w:r>
        <w:rPr>
          <w:color w:val="000000"/>
        </w:rPr>
        <w:t xml:space="preserve">Dirección de Desarrollo Social. </w:t>
      </w:r>
    </w:p>
    <w:p w:rsidR="00AE255C" w:rsidRDefault="00FC025C">
      <w:pPr>
        <w:numPr>
          <w:ilvl w:val="0"/>
          <w:numId w:val="2"/>
        </w:numPr>
        <w:pBdr>
          <w:top w:val="nil"/>
          <w:left w:val="nil"/>
          <w:bottom w:val="nil"/>
          <w:right w:val="nil"/>
          <w:between w:val="nil"/>
        </w:pBdr>
        <w:spacing w:after="0" w:line="360" w:lineRule="auto"/>
        <w:rPr>
          <w:b/>
          <w:bCs/>
          <w:color w:val="000000"/>
          <w:u w:val="single"/>
        </w:rPr>
      </w:pPr>
      <w:r>
        <w:rPr>
          <w:b/>
          <w:bCs/>
          <w:color w:val="000000"/>
          <w:u w:val="single"/>
        </w:rPr>
        <w:t>Dirección de Seguridad Pública y Tránsito.</w:t>
      </w:r>
    </w:p>
    <w:p w:rsidR="00AE255C" w:rsidRDefault="00AE255C">
      <w:pPr>
        <w:spacing w:after="0" w:line="360" w:lineRule="auto"/>
        <w:ind w:left="360"/>
        <w:rPr>
          <w:b/>
          <w:bCs/>
          <w:color w:val="000000"/>
          <w:u w:val="single"/>
        </w:rPr>
      </w:pPr>
    </w:p>
    <w:p w:rsidR="00AE255C" w:rsidRDefault="00FC025C">
      <w:pPr>
        <w:spacing w:after="0" w:line="360" w:lineRule="auto"/>
      </w:pPr>
      <w:r>
        <w:lastRenderedPageBreak/>
        <w:t>Bajo ese contexto, dentro del mismo ordenamiento en comento refiere en su artículo 162 que las autoridades de tránsito municipal están facultadas para regular y planear el tránsito de peatones y vehículos en las vías públicas del municipio con el objeto de garantizar al máximo la seguridad de las personas, el medio ambiente y el orden público.</w:t>
      </w:r>
    </w:p>
    <w:p w:rsidR="00AE255C" w:rsidRDefault="00AE255C">
      <w:pPr>
        <w:spacing w:after="0" w:line="360" w:lineRule="auto"/>
      </w:pPr>
    </w:p>
    <w:p w:rsidR="00AE255C" w:rsidRDefault="00FC025C">
      <w:pPr>
        <w:spacing w:after="0" w:line="360" w:lineRule="auto"/>
      </w:pPr>
      <w:r>
        <w:rPr>
          <w:color w:val="000000"/>
        </w:rPr>
        <w:t xml:space="preserve">Siguiendo el mismo orden de ideas, los capítulos III y VI en relación con el numeral 1.1 y el artículo 68 del Manual de Organización de la Dirección de Seguridad Pública y Tránsito, donde refiere que dicha dirección se encargara de </w:t>
      </w:r>
      <w:r>
        <w:t xml:space="preserve">encargada de brindar el servicio de seguridad pública y tránsito vial a los habitantes del Municipio, a efecto de proporcionar la paz, la tranquilidad y el orden público, así como respetar las garantías individuales de los gobernados y prevenir la comisión de infracciones y delitos., </w:t>
      </w:r>
    </w:p>
    <w:p w:rsidR="00AE255C" w:rsidRDefault="00AE255C">
      <w:pPr>
        <w:spacing w:after="0" w:line="360" w:lineRule="auto"/>
      </w:pPr>
    </w:p>
    <w:p w:rsidR="00AE255C" w:rsidRDefault="00FC025C">
      <w:pPr>
        <w:spacing w:after="0" w:line="360" w:lineRule="auto"/>
        <w:rPr>
          <w:color w:val="000000"/>
        </w:rPr>
      </w:pPr>
      <w:r>
        <w:rPr>
          <w:color w:val="000000"/>
        </w:rPr>
        <w:t>De tal circunstancia se logra vislumbrar que la pretensión de la persona Recurrente es obtener las multas de tránsito realizadas en el mes de junio de dos mil veinticinco.</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Ante dicha circunstancia, es necesario precisar que de las constancias que obran en el expediente electrónico, se logra advertir que el Sujeto Obligado turnó la solicitud de información a la</w:t>
      </w:r>
      <w:r>
        <w:rPr>
          <w:b/>
          <w:bCs/>
          <w:color w:val="000000"/>
        </w:rPr>
        <w:t xml:space="preserve"> Dirección de Seguridad y Transito</w:t>
      </w:r>
      <w:r>
        <w:rPr>
          <w:color w:val="000000"/>
        </w:rPr>
        <w:t xml:space="preserve"> por lo que, resulta necesario</w:t>
      </w:r>
      <w:r>
        <w:rPr>
          <w:b/>
          <w:bCs/>
          <w:color w:val="000000"/>
        </w:rPr>
        <w:t xml:space="preserve"> </w:t>
      </w:r>
      <w:r>
        <w:rPr>
          <w:color w:val="000000"/>
        </w:rPr>
        <w:t xml:space="preserve">hacer referencia </w:t>
      </w:r>
      <w:r>
        <w:rPr>
          <w:b/>
          <w:bCs/>
          <w:color w:val="000000"/>
        </w:rPr>
        <w:t>al procedimiento de búsqueda que deben seguir los Sujetos Obligados para localizar la información</w:t>
      </w:r>
      <w:r>
        <w:rPr>
          <w:color w:val="000000"/>
        </w:rPr>
        <w:t>, el cual se encuentra previsto en el artículo 162</w:t>
      </w:r>
      <w:r>
        <w:rPr>
          <w:b/>
          <w:bCs/>
          <w:color w:val="000000"/>
        </w:rPr>
        <w:t xml:space="preserve"> </w:t>
      </w:r>
      <w:r>
        <w:rPr>
          <w:color w:val="000000"/>
        </w:rPr>
        <w:t>de la Ley de Transparencia y Acceso a la Información Pública del Estado de México y</w:t>
      </w:r>
      <w:r>
        <w:rPr>
          <w:b/>
          <w:bCs/>
          <w:color w:val="000000"/>
        </w:rPr>
        <w:t xml:space="preserve"> </w:t>
      </w:r>
      <w:r>
        <w:rPr>
          <w:color w:val="000000"/>
        </w:rPr>
        <w:t>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AE255C" w:rsidRDefault="00FC025C">
      <w:pPr>
        <w:spacing w:after="0" w:line="360" w:lineRule="auto"/>
        <w:rPr>
          <w:color w:val="000000"/>
        </w:rPr>
      </w:pPr>
      <w:r>
        <w:rPr>
          <w:color w:val="000000"/>
        </w:rPr>
        <w:t xml:space="preserve"> </w:t>
      </w:r>
    </w:p>
    <w:p w:rsidR="00AE255C" w:rsidRDefault="00FC025C">
      <w:pPr>
        <w:spacing w:after="0" w:line="360" w:lineRule="auto"/>
        <w:rPr>
          <w:color w:val="000000"/>
        </w:rPr>
      </w:pPr>
      <w:r>
        <w:rPr>
          <w:color w:val="000000"/>
        </w:rPr>
        <w:lastRenderedPageBreak/>
        <w:t>Conforme a lo analizado, se logra colegir que el Sujeto Obligado cumplió con el procedimiento de búsqueda previamente referido, toda vez que turnó el requerimiento informativo al área competente para conocer de lo solicitado.</w:t>
      </w:r>
    </w:p>
    <w:p w:rsidR="00AE255C" w:rsidRDefault="00AE255C">
      <w:pPr>
        <w:spacing w:after="0" w:line="360" w:lineRule="auto"/>
        <w:rPr>
          <w:color w:val="000000"/>
        </w:rPr>
      </w:pPr>
    </w:p>
    <w:p w:rsidR="00AE255C" w:rsidRDefault="00FC025C">
      <w:pPr>
        <w:spacing w:after="0" w:line="360" w:lineRule="auto"/>
        <w:rPr>
          <w:i/>
          <w:iCs/>
          <w:color w:val="000000"/>
        </w:rPr>
      </w:pPr>
      <w:r>
        <w:rPr>
          <w:color w:val="000000"/>
        </w:rPr>
        <w:t>Establecido lo anterior, se procede analizar la respuesta entregada, por medio de la cual el Sujeto Obligado, a través de la Dirección de Seguridad Pública y Tránsito adjunto en versión publica, las multas de tránsito correspondientes al mes de junio de dos mil veinticinco, pero omitió remitir el acta por medio del cual se aprueba dicha clasificación, tal como se muestra a continuación:</w:t>
      </w:r>
    </w:p>
    <w:p w:rsidR="00AE255C" w:rsidRDefault="00AE255C">
      <w:pPr>
        <w:spacing w:after="0" w:line="360" w:lineRule="auto"/>
        <w:rPr>
          <w:color w:val="000000"/>
        </w:rPr>
      </w:pPr>
    </w:p>
    <w:p w:rsidR="00AE255C" w:rsidRDefault="00FC025C">
      <w:pPr>
        <w:spacing w:after="0" w:line="360" w:lineRule="auto"/>
        <w:jc w:val="center"/>
        <w:rPr>
          <w:i/>
          <w:iCs/>
          <w:color w:val="000000"/>
        </w:rPr>
      </w:pPr>
      <w:r>
        <w:rPr>
          <w:i/>
          <w:iCs/>
          <w:noProof/>
          <w:color w:val="000000"/>
        </w:rPr>
        <w:drawing>
          <wp:inline distT="0" distB="0" distL="0" distR="0">
            <wp:extent cx="4306400" cy="7049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1584"/>
                    <a:stretch>
                      <a:fillRect/>
                    </a:stretch>
                  </pic:blipFill>
                  <pic:spPr>
                    <a:xfrm>
                      <a:off x="0" y="0"/>
                      <a:ext cx="4306400" cy="704944"/>
                    </a:xfrm>
                    <a:prstGeom prst="rect">
                      <a:avLst/>
                    </a:prstGeom>
                    <a:ln/>
                  </pic:spPr>
                </pic:pic>
              </a:graphicData>
            </a:graphic>
          </wp:inline>
        </w:drawing>
      </w:r>
    </w:p>
    <w:p w:rsidR="00AE255C" w:rsidRDefault="00AE255C">
      <w:pPr>
        <w:spacing w:after="0" w:line="360" w:lineRule="auto"/>
        <w:rPr>
          <w:i/>
          <w:iCs/>
          <w:color w:val="000000"/>
        </w:rPr>
      </w:pPr>
    </w:p>
    <w:p w:rsidR="00AE255C" w:rsidRDefault="00FC025C">
      <w:pPr>
        <w:spacing w:after="0" w:line="360" w:lineRule="auto"/>
        <w:rPr>
          <w:color w:val="000000"/>
        </w:rPr>
      </w:pPr>
      <w:r>
        <w:t xml:space="preserve">En ese contexto, de la revisión de los documentos proporcionados, se logra vislumbrar que son aquellos emitidos por la unidad </w:t>
      </w:r>
      <w:proofErr w:type="spellStart"/>
      <w:r>
        <w:t>adminsitrativa</w:t>
      </w:r>
      <w:proofErr w:type="spellEnd"/>
      <w:r>
        <w:t xml:space="preserve"> competente, durante el mes solicitado y que contienen la información peticionada, pues mediante la Boleta de Infracción de Tránsito Municipal, se </w:t>
      </w:r>
      <w:proofErr w:type="spellStart"/>
      <w:r>
        <w:t>imposieron</w:t>
      </w:r>
      <w:proofErr w:type="spellEnd"/>
      <w:r>
        <w:t xml:space="preserve"> determinadas multas, establecidas en UMAS, por lo que, es claro que </w:t>
      </w:r>
      <w:proofErr w:type="spellStart"/>
      <w:r>
        <w:t>proprocionó</w:t>
      </w:r>
      <w:proofErr w:type="spellEnd"/>
      <w:r>
        <w:t xml:space="preserve"> los documentos que obraban en sus archivos y daban cuenta de lo peticionado; </w:t>
      </w:r>
      <w:r>
        <w:rPr>
          <w:color w:val="000000"/>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lastRenderedPageBreak/>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rsidR="00AE255C" w:rsidRDefault="00AE255C">
      <w:pPr>
        <w:spacing w:after="0" w:line="360" w:lineRule="auto"/>
        <w:rPr>
          <w:color w:val="000000"/>
        </w:rPr>
      </w:pPr>
    </w:p>
    <w:p w:rsidR="00AE255C" w:rsidRDefault="00FC025C">
      <w:pPr>
        <w:spacing w:after="0" w:line="360" w:lineRule="auto"/>
      </w:pPr>
      <w:r>
        <w:rPr>
          <w:color w:val="000000"/>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documentos mediante los cuales se impusieron multas de tránsito. </w:t>
      </w:r>
      <w:r>
        <w:t>Ahora bien, de la revisión de las boletas se logra vislumbrar que contiene los siguientes datos:</w:t>
      </w:r>
    </w:p>
    <w:p w:rsidR="00AE255C" w:rsidRDefault="00AE255C">
      <w:pPr>
        <w:spacing w:after="0" w:line="360" w:lineRule="auto"/>
        <w:rPr>
          <w:color w:val="000000"/>
        </w:rPr>
      </w:pPr>
    </w:p>
    <w:p w:rsidR="00AE255C" w:rsidRDefault="00FC025C">
      <w:pPr>
        <w:numPr>
          <w:ilvl w:val="0"/>
          <w:numId w:val="7"/>
        </w:numPr>
        <w:pBdr>
          <w:top w:val="nil"/>
          <w:left w:val="nil"/>
          <w:bottom w:val="nil"/>
          <w:right w:val="nil"/>
          <w:between w:val="nil"/>
        </w:pBdr>
        <w:spacing w:after="0" w:line="360" w:lineRule="auto"/>
        <w:rPr>
          <w:rFonts w:ascii="Calibri" w:eastAsia="Calibri" w:hAnsi="Calibri" w:cs="Calibri"/>
          <w:color w:val="000000"/>
        </w:rPr>
      </w:pPr>
      <w:r>
        <w:rPr>
          <w:color w:val="000000"/>
        </w:rPr>
        <w:t xml:space="preserve">Características del vehículo particular (marca, modelo, </w:t>
      </w:r>
      <w:proofErr w:type="spellStart"/>
      <w:r>
        <w:rPr>
          <w:color w:val="000000"/>
        </w:rPr>
        <w:t>submarca</w:t>
      </w:r>
      <w:proofErr w:type="spellEnd"/>
      <w:r>
        <w:rPr>
          <w:color w:val="000000"/>
        </w:rPr>
        <w:t>, tipo, color, entidad que expide, placas de circulación);</w:t>
      </w:r>
    </w:p>
    <w:p w:rsidR="00AE255C" w:rsidRDefault="00FC025C">
      <w:pPr>
        <w:numPr>
          <w:ilvl w:val="0"/>
          <w:numId w:val="7"/>
        </w:numPr>
        <w:pBdr>
          <w:top w:val="nil"/>
          <w:left w:val="nil"/>
          <w:bottom w:val="nil"/>
          <w:right w:val="nil"/>
          <w:between w:val="nil"/>
        </w:pBdr>
        <w:spacing w:after="0" w:line="360" w:lineRule="auto"/>
        <w:rPr>
          <w:rFonts w:ascii="Calibri" w:eastAsia="Calibri" w:hAnsi="Calibri" w:cs="Calibri"/>
          <w:color w:val="000000"/>
        </w:rPr>
      </w:pPr>
      <w:r>
        <w:rPr>
          <w:color w:val="000000"/>
        </w:rPr>
        <w:t>Datos de la persona física Infractora (Nombre, domicilio particular, firma);</w:t>
      </w:r>
    </w:p>
    <w:p w:rsidR="00AE255C" w:rsidRDefault="00FC025C">
      <w:pPr>
        <w:numPr>
          <w:ilvl w:val="0"/>
          <w:numId w:val="7"/>
        </w:numPr>
        <w:pBdr>
          <w:top w:val="nil"/>
          <w:left w:val="nil"/>
          <w:bottom w:val="nil"/>
          <w:right w:val="nil"/>
          <w:between w:val="nil"/>
        </w:pBdr>
        <w:spacing w:after="0" w:line="360" w:lineRule="auto"/>
        <w:rPr>
          <w:rFonts w:ascii="Calibri" w:eastAsia="Calibri" w:hAnsi="Calibri" w:cs="Calibri"/>
          <w:color w:val="000000"/>
        </w:rPr>
      </w:pPr>
      <w:r>
        <w:rPr>
          <w:color w:val="000000"/>
        </w:rPr>
        <w:t>Datos de la licencia de Conducir, y</w:t>
      </w:r>
    </w:p>
    <w:p w:rsidR="00AE255C" w:rsidRDefault="00FC025C">
      <w:pPr>
        <w:numPr>
          <w:ilvl w:val="0"/>
          <w:numId w:val="7"/>
        </w:numPr>
        <w:pBdr>
          <w:top w:val="nil"/>
          <w:left w:val="nil"/>
          <w:bottom w:val="nil"/>
          <w:right w:val="nil"/>
          <w:between w:val="nil"/>
        </w:pBdr>
        <w:spacing w:after="0" w:line="360" w:lineRule="auto"/>
        <w:rPr>
          <w:rFonts w:ascii="Calibri" w:eastAsia="Calibri" w:hAnsi="Calibri" w:cs="Calibri"/>
          <w:color w:val="000000"/>
        </w:rPr>
      </w:pPr>
      <w:r>
        <w:rPr>
          <w:color w:val="000000"/>
        </w:rPr>
        <w:t>Elementos Operativos (Nombre de elementos, firma y número de empleado).</w:t>
      </w:r>
    </w:p>
    <w:p w:rsidR="00AE255C" w:rsidRDefault="00AE255C">
      <w:pPr>
        <w:spacing w:after="0" w:line="360" w:lineRule="auto"/>
        <w:rPr>
          <w:color w:val="000000"/>
        </w:rPr>
      </w:pPr>
    </w:p>
    <w:p w:rsidR="00AE255C" w:rsidRDefault="00FC025C">
      <w:pPr>
        <w:spacing w:after="0" w:line="360" w:lineRule="auto"/>
        <w:ind w:right="-28"/>
        <w:rPr>
          <w:color w:val="000000"/>
        </w:rPr>
      </w:pPr>
      <w:r>
        <w:rPr>
          <w:color w:val="000000"/>
        </w:rPr>
        <w:t>De lo anterior, resulta procedente analizar si dichos datos son públicos o privados; para los primeros tres en principio, cabe mencionar que el artículo 143, fracción I, de la Ley previamente citada, establece que la información privada y los datos personales, concernientes a una persona física o jurídica colectiva identificada o identificable son confidenciales.</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rsidR="00AE255C" w:rsidRDefault="00AE255C">
      <w:pPr>
        <w:spacing w:after="0" w:line="360" w:lineRule="auto"/>
        <w:rPr>
          <w:color w:val="000000"/>
        </w:rPr>
      </w:pPr>
    </w:p>
    <w:p w:rsidR="00AE255C" w:rsidRDefault="00FC025C">
      <w:pPr>
        <w:numPr>
          <w:ilvl w:val="0"/>
          <w:numId w:val="3"/>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rsidR="00AE255C" w:rsidRDefault="00FC025C">
      <w:pPr>
        <w:numPr>
          <w:ilvl w:val="0"/>
          <w:numId w:val="3"/>
        </w:numPr>
        <w:spacing w:after="0" w:line="360" w:lineRule="auto"/>
        <w:rPr>
          <w:color w:val="000000"/>
        </w:rPr>
      </w:pPr>
      <w:r>
        <w:rPr>
          <w:color w:val="000000"/>
        </w:rPr>
        <w:t xml:space="preserve">Para la difusión de los datos, se requiera el consentimiento del titular. </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Además, en el artículo 5° de dicho ordenamiento jurídico, establece que es la Ley aplicable para todo tratamiento de datos personales.</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AE255C" w:rsidRDefault="00AE255C">
      <w:pPr>
        <w:spacing w:after="0" w:line="360" w:lineRule="auto"/>
        <w:rPr>
          <w:i/>
          <w:iCs/>
          <w:color w:val="000000"/>
        </w:rPr>
      </w:pPr>
    </w:p>
    <w:p w:rsidR="00AE255C" w:rsidRDefault="00FC025C">
      <w:pPr>
        <w:numPr>
          <w:ilvl w:val="0"/>
          <w:numId w:val="4"/>
        </w:numPr>
        <w:pBdr>
          <w:top w:val="nil"/>
          <w:left w:val="nil"/>
          <w:bottom w:val="nil"/>
          <w:right w:val="nil"/>
          <w:between w:val="nil"/>
        </w:pBdr>
        <w:spacing w:after="0" w:line="360" w:lineRule="auto"/>
        <w:rPr>
          <w:b/>
          <w:bCs/>
          <w:color w:val="000000"/>
        </w:rPr>
      </w:pPr>
      <w:r>
        <w:rPr>
          <w:b/>
          <w:bCs/>
          <w:color w:val="000000"/>
        </w:rPr>
        <w:t xml:space="preserve">Características del Vehículo (marca, modelo, </w:t>
      </w:r>
      <w:proofErr w:type="spellStart"/>
      <w:r>
        <w:rPr>
          <w:b/>
          <w:bCs/>
          <w:color w:val="000000"/>
        </w:rPr>
        <w:t>submarca</w:t>
      </w:r>
      <w:proofErr w:type="spellEnd"/>
      <w:r>
        <w:rPr>
          <w:b/>
          <w:bCs/>
          <w:color w:val="000000"/>
        </w:rPr>
        <w:t>, tipo, color, entidad que expide, placas de circulación)</w:t>
      </w:r>
    </w:p>
    <w:p w:rsidR="00AE255C" w:rsidRDefault="00AE255C">
      <w:pPr>
        <w:spacing w:after="0" w:line="360" w:lineRule="auto"/>
        <w:rPr>
          <w:color w:val="000000"/>
        </w:rPr>
      </w:pPr>
    </w:p>
    <w:p w:rsidR="00AE255C" w:rsidRDefault="00FC025C">
      <w:pPr>
        <w:spacing w:after="0" w:line="360" w:lineRule="auto"/>
      </w:pPr>
      <w:r>
        <w:t xml:space="preserve">Al respecto, es necesario señalar que los datos en análisis corresponden aquellos que dan cuenta de las características específicas de los vehículos que </w:t>
      </w:r>
      <w:proofErr w:type="spellStart"/>
      <w:r>
        <w:t>pertenencen</w:t>
      </w:r>
      <w:proofErr w:type="spellEnd"/>
      <w:r>
        <w:t xml:space="preserve"> a particulares, los cuales darían cuenta del patrimonio, dado que vincula a una persona física, con un bien mueble y da cuenta de las particulares de este, como las marca, modelo, tipo, entre otros.</w:t>
      </w:r>
    </w:p>
    <w:p w:rsidR="00AE255C" w:rsidRDefault="00AE255C">
      <w:pPr>
        <w:spacing w:after="0" w:line="360" w:lineRule="auto"/>
      </w:pPr>
    </w:p>
    <w:p w:rsidR="00AE255C" w:rsidRDefault="00FC025C">
      <w:pPr>
        <w:spacing w:after="0" w:line="360" w:lineRule="auto"/>
      </w:pPr>
      <w:r>
        <w:t xml:space="preserve">Lo anterior, guarda relevancia, pues conforme al Trigésimo Octavo, numeral 6, y Cuadragésimo, fracción I, de los Lineamientos generales de clasificación y desclasificación de la información, así como para la elaboración de versiones públicas, los datos patrimoniales de las personas físicas, son clasificados como confidenciales, entre los cuales destacan la </w:t>
      </w:r>
      <w:r>
        <w:lastRenderedPageBreak/>
        <w:t>información de los bienes muebles con las que cuentan, por lo que, en el presente caso, se considera que dichos datos actualiza la causal de clasificación, establecida en el artículo 143, fracción I, de la Ley de Transparencia y Acceso a la Información Pública del Estado de México y Municipios.</w:t>
      </w:r>
    </w:p>
    <w:p w:rsidR="00AE255C" w:rsidRDefault="00AE255C">
      <w:pPr>
        <w:spacing w:after="0" w:line="360" w:lineRule="auto"/>
        <w:rPr>
          <w:color w:val="000000"/>
        </w:rPr>
      </w:pPr>
    </w:p>
    <w:p w:rsidR="00AE255C" w:rsidRDefault="00FC025C">
      <w:pPr>
        <w:numPr>
          <w:ilvl w:val="0"/>
          <w:numId w:val="4"/>
        </w:numPr>
        <w:pBdr>
          <w:top w:val="nil"/>
          <w:left w:val="nil"/>
          <w:bottom w:val="nil"/>
          <w:right w:val="nil"/>
          <w:between w:val="nil"/>
        </w:pBdr>
        <w:spacing w:after="0" w:line="360" w:lineRule="auto"/>
        <w:rPr>
          <w:b/>
          <w:bCs/>
          <w:color w:val="000000"/>
        </w:rPr>
      </w:pPr>
      <w:r>
        <w:rPr>
          <w:b/>
          <w:bCs/>
          <w:color w:val="000000"/>
        </w:rPr>
        <w:t>Nombre de la Persona Infractora.</w:t>
      </w:r>
    </w:p>
    <w:p w:rsidR="00AE255C" w:rsidRDefault="00AE255C">
      <w:pPr>
        <w:spacing w:after="0" w:line="360" w:lineRule="auto"/>
        <w:rPr>
          <w:color w:val="000000"/>
        </w:rPr>
      </w:pPr>
    </w:p>
    <w:p w:rsidR="00AE255C" w:rsidRDefault="00FC025C">
      <w:pPr>
        <w:spacing w:after="0" w:line="360" w:lineRule="auto"/>
        <w:rPr>
          <w:b/>
          <w:bCs/>
          <w:color w:val="000000"/>
        </w:rPr>
      </w:pPr>
      <w:r>
        <w:rPr>
          <w:color w:val="000000"/>
        </w:rPr>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Pr>
          <w:i/>
          <w:iCs/>
          <w:color w:val="000000"/>
        </w:rPr>
        <w:t>per se</w:t>
      </w:r>
      <w:r>
        <w:rPr>
          <w:color w:val="000000"/>
        </w:rPr>
        <w:t xml:space="preserve"> es un elemento que hace a una persona física identificada o identificable, por lo que, </w:t>
      </w:r>
      <w:r>
        <w:rPr>
          <w:b/>
          <w:bCs/>
          <w:color w:val="000000"/>
        </w:rPr>
        <w:t>se considera un dato personal.</w:t>
      </w:r>
    </w:p>
    <w:p w:rsidR="00AE255C" w:rsidRDefault="00AE255C">
      <w:pPr>
        <w:spacing w:after="0" w:line="360" w:lineRule="auto"/>
        <w:rPr>
          <w:b/>
          <w:bCs/>
          <w:color w:val="000000"/>
        </w:rPr>
      </w:pPr>
    </w:p>
    <w:p w:rsidR="00AE255C" w:rsidRDefault="00FC025C">
      <w:pPr>
        <w:spacing w:after="0" w:line="360" w:lineRule="auto"/>
        <w:ind w:right="-93"/>
        <w:rPr>
          <w:color w:val="000000"/>
        </w:rPr>
      </w:pPr>
      <w:r>
        <w:rPr>
          <w:color w:val="000000"/>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AE255C" w:rsidRDefault="00AE255C">
      <w:pPr>
        <w:spacing w:after="0" w:line="360" w:lineRule="auto"/>
        <w:ind w:right="-93"/>
        <w:rPr>
          <w:color w:val="000000"/>
        </w:rPr>
      </w:pPr>
    </w:p>
    <w:p w:rsidR="00AE255C" w:rsidRDefault="00FC025C">
      <w:pPr>
        <w:spacing w:after="0" w:line="360" w:lineRule="auto"/>
        <w:ind w:left="567" w:right="567"/>
        <w:rPr>
          <w:i/>
          <w:iCs/>
          <w:color w:val="000000"/>
          <w:sz w:val="20"/>
          <w:szCs w:val="20"/>
        </w:rPr>
      </w:pPr>
      <w:r>
        <w:rPr>
          <w:i/>
          <w:iCs/>
          <w:color w:val="000000"/>
          <w:sz w:val="20"/>
          <w:szCs w:val="20"/>
        </w:rPr>
        <w:t>“</w:t>
      </w:r>
      <w:r>
        <w:rPr>
          <w:b/>
          <w:bCs/>
          <w:i/>
          <w:iCs/>
          <w:color w:val="000000"/>
          <w:sz w:val="20"/>
          <w:szCs w:val="20"/>
        </w:rPr>
        <w:t xml:space="preserve">DERECHO A LA VIDA PRIVADA. SU CONTENIDO GENERAL Y LA IMPORTANCIA DE NO DESCONTEXTUALIZAR LAS REFERENCIAS A LA MISMA. </w:t>
      </w:r>
      <w:r>
        <w:rPr>
          <w:i/>
          <w:iCs/>
          <w:color w:val="000000"/>
          <w:sz w:val="20"/>
          <w:szCs w:val="2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w:t>
      </w:r>
      <w:r>
        <w:rPr>
          <w:i/>
          <w:iCs/>
          <w:color w:val="000000"/>
          <w:sz w:val="20"/>
          <w:szCs w:val="20"/>
        </w:rPr>
        <w:lastRenderedPageBreak/>
        <w:t xml:space="preserve">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Pr>
          <w:b/>
          <w:bCs/>
          <w:i/>
          <w:iCs/>
          <w:color w:val="000000"/>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Pr>
          <w:i/>
          <w:iCs/>
          <w:color w:val="000000"/>
          <w:sz w:val="20"/>
          <w:szCs w:val="2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Pr>
          <w:b/>
          <w:bCs/>
          <w:i/>
          <w:iCs/>
          <w:color w:val="000000"/>
          <w:sz w:val="20"/>
          <w:szCs w:val="20"/>
        </w:rPr>
        <w:t>En un sentido amplio, entonces, la protección constitucional de la vida privada implica poder conducir parte de la vida de uno protegido de la mirada y las injerencias de los demás</w:t>
      </w:r>
      <w:r>
        <w:rPr>
          <w:i/>
          <w:iCs/>
          <w:color w:val="000000"/>
          <w:sz w:val="20"/>
          <w:szCs w:val="20"/>
        </w:rPr>
        <w:t xml:space="preserve">, y guarda conexiones de variado tipo con pretensiones más concretas que los textos constitucionales actuales reconocen a veces como derechos conexos: el derecho de poder tomar libremente ciertas decisiones atinentes al propio plan </w:t>
      </w:r>
      <w:r>
        <w:rPr>
          <w:i/>
          <w:iCs/>
          <w:color w:val="000000"/>
          <w:sz w:val="20"/>
          <w:szCs w:val="20"/>
        </w:rPr>
        <w:lastRenderedPageBreak/>
        <w:t>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AE255C" w:rsidRDefault="00AE255C">
      <w:pPr>
        <w:spacing w:after="0" w:line="360" w:lineRule="auto"/>
        <w:ind w:right="-93"/>
        <w:rPr>
          <w:color w:val="000000"/>
          <w:sz w:val="20"/>
          <w:szCs w:val="20"/>
        </w:rPr>
      </w:pPr>
    </w:p>
    <w:p w:rsidR="00AE255C" w:rsidRDefault="00FC025C">
      <w:pPr>
        <w:spacing w:after="0" w:line="360" w:lineRule="auto"/>
        <w:ind w:right="-93"/>
        <w:rPr>
          <w:b/>
          <w:bCs/>
          <w:color w:val="000000"/>
        </w:rPr>
      </w:pPr>
      <w:r>
        <w:rPr>
          <w:color w:val="000000"/>
        </w:rPr>
        <w:t xml:space="preserve">De conformidad con lo señalado, se colige que </w:t>
      </w:r>
      <w:r>
        <w:rPr>
          <w:b/>
          <w:bCs/>
          <w:color w:val="000000"/>
        </w:rPr>
        <w:t>las actividades que realicen los particulares, dentro del ámbito privado, o dentro de la esfera particular, es información que debe protegerse.</w:t>
      </w:r>
    </w:p>
    <w:p w:rsidR="00AE255C" w:rsidRDefault="00AE255C">
      <w:pPr>
        <w:spacing w:after="0" w:line="360" w:lineRule="auto"/>
        <w:ind w:right="-93"/>
        <w:rPr>
          <w:color w:val="000000"/>
        </w:rPr>
      </w:pPr>
    </w:p>
    <w:p w:rsidR="00AE255C" w:rsidRDefault="00FC025C">
      <w:pPr>
        <w:spacing w:after="0" w:line="360" w:lineRule="auto"/>
        <w:ind w:right="-93"/>
        <w:rPr>
          <w:color w:val="000000"/>
        </w:rPr>
      </w:pPr>
      <w:r>
        <w:rPr>
          <w:color w:val="000000"/>
        </w:rP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rsidR="00AE255C" w:rsidRDefault="00AE255C">
      <w:pPr>
        <w:spacing w:after="0" w:line="360" w:lineRule="auto"/>
        <w:rPr>
          <w:color w:val="000000"/>
        </w:rPr>
      </w:pPr>
    </w:p>
    <w:p w:rsidR="00AE255C" w:rsidRDefault="00FC025C">
      <w:pPr>
        <w:numPr>
          <w:ilvl w:val="0"/>
          <w:numId w:val="4"/>
        </w:numPr>
        <w:pBdr>
          <w:top w:val="nil"/>
          <w:left w:val="nil"/>
          <w:bottom w:val="nil"/>
          <w:right w:val="nil"/>
          <w:between w:val="nil"/>
        </w:pBdr>
        <w:tabs>
          <w:tab w:val="center" w:pos="4522"/>
        </w:tabs>
        <w:spacing w:after="0" w:line="360" w:lineRule="auto"/>
        <w:rPr>
          <w:rFonts w:ascii="Calibri" w:eastAsia="Calibri" w:hAnsi="Calibri" w:cs="Calibri"/>
          <w:color w:val="000000"/>
        </w:rPr>
      </w:pPr>
      <w:r>
        <w:rPr>
          <w:b/>
          <w:bCs/>
          <w:color w:val="000000"/>
        </w:rPr>
        <w:t>Domicilio Particular de la Persona Infractora.</w:t>
      </w:r>
    </w:p>
    <w:p w:rsidR="00AE255C" w:rsidRDefault="00AE255C">
      <w:pPr>
        <w:tabs>
          <w:tab w:val="center" w:pos="4522"/>
        </w:tabs>
        <w:spacing w:after="0" w:line="360" w:lineRule="auto"/>
        <w:rPr>
          <w:color w:val="000000"/>
        </w:rPr>
      </w:pPr>
    </w:p>
    <w:p w:rsidR="00AE255C" w:rsidRDefault="00FC025C">
      <w:pPr>
        <w:spacing w:after="0" w:line="360" w:lineRule="auto"/>
      </w:pPr>
      <w: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AE255C" w:rsidRDefault="00AE255C">
      <w:pPr>
        <w:spacing w:after="0" w:line="360" w:lineRule="auto"/>
      </w:pPr>
    </w:p>
    <w:p w:rsidR="00AE255C" w:rsidRDefault="00FC025C">
      <w:pPr>
        <w:spacing w:after="0" w:line="360" w:lineRule="auto"/>
      </w:pPr>
      <w:r>
        <w:t>De la misma manera, lo establece el artículo 29 del Código Civil Federal, al precisar que el domicilio de personas físicas, es el lugar donde residen habitualmente, el lugar del centro principal de sus negocios, donde residan o el lugar donde se encuentren.</w:t>
      </w:r>
    </w:p>
    <w:p w:rsidR="00AE255C" w:rsidRDefault="00AE255C">
      <w:pPr>
        <w:spacing w:after="0" w:line="360" w:lineRule="auto"/>
      </w:pPr>
    </w:p>
    <w:p w:rsidR="00AE255C" w:rsidRDefault="00FC025C">
      <w:pPr>
        <w:spacing w:after="0" w:line="360" w:lineRule="auto"/>
      </w:pPr>
      <w:r>
        <w:lastRenderedPageBreak/>
        <w:t xml:space="preserve">En ese contexto, la dirección o domicilio es el lugar en donde reside habitualmente una persona física o moral,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o morales identificadas y su difusión podría afectar la esfera privada de las mismas. </w:t>
      </w:r>
    </w:p>
    <w:p w:rsidR="00AE255C" w:rsidRDefault="00AE255C">
      <w:pPr>
        <w:spacing w:after="0" w:line="360" w:lineRule="auto"/>
      </w:pPr>
    </w:p>
    <w:p w:rsidR="00AE255C" w:rsidRDefault="00FC025C">
      <w:pPr>
        <w:spacing w:after="0" w:line="360" w:lineRule="auto"/>
      </w:pPr>
      <w:r>
        <w:t>Por lo tanto, se actualiza la clasificación del domicilio, de conformidad con la fracción I, del artículo 143 de la Ley de Transparencia y Acceso a la Información Pública del Estado de México y Municipios.</w:t>
      </w:r>
    </w:p>
    <w:p w:rsidR="00AE255C" w:rsidRDefault="00AE255C">
      <w:pPr>
        <w:spacing w:after="0" w:line="360" w:lineRule="auto"/>
        <w:rPr>
          <w:i/>
          <w:iCs/>
          <w:color w:val="000000"/>
        </w:rPr>
      </w:pPr>
    </w:p>
    <w:p w:rsidR="00AE255C" w:rsidRDefault="00FC025C">
      <w:pPr>
        <w:numPr>
          <w:ilvl w:val="0"/>
          <w:numId w:val="4"/>
        </w:numPr>
        <w:pBdr>
          <w:top w:val="nil"/>
          <w:left w:val="nil"/>
          <w:bottom w:val="nil"/>
          <w:right w:val="nil"/>
          <w:between w:val="nil"/>
        </w:pBdr>
        <w:spacing w:after="0" w:line="360" w:lineRule="auto"/>
        <w:rPr>
          <w:i/>
          <w:iCs/>
          <w:color w:val="000000"/>
        </w:rPr>
      </w:pPr>
      <w:r>
        <w:rPr>
          <w:b/>
          <w:bCs/>
          <w:color w:val="000000"/>
        </w:rPr>
        <w:t>Firma de la Persona Infractora</w:t>
      </w:r>
    </w:p>
    <w:p w:rsidR="00AE255C" w:rsidRDefault="00AE255C">
      <w:pPr>
        <w:spacing w:after="0" w:line="360" w:lineRule="auto"/>
        <w:rPr>
          <w:i/>
          <w:iCs/>
          <w:color w:val="000000"/>
        </w:rPr>
      </w:pPr>
    </w:p>
    <w:p w:rsidR="00AE255C" w:rsidRDefault="00FC025C">
      <w:pPr>
        <w:spacing w:after="0" w:line="360" w:lineRule="auto"/>
      </w:pPr>
      <w:r>
        <w:t xml:space="preserve">En principio, cabe señalar que la firma corresponde de aquellas personas físicas que autorizaron el uso de imagen pública a una autoridad, por lo que, no se trata de empleados o servidores públicos de este, </w:t>
      </w:r>
      <w:r>
        <w:rPr>
          <w:b/>
          <w:bCs/>
        </w:rPr>
        <w:t>sino de particulares.</w:t>
      </w:r>
    </w:p>
    <w:p w:rsidR="00AE255C" w:rsidRDefault="00FC025C">
      <w:pPr>
        <w:spacing w:after="0" w:line="360" w:lineRule="auto"/>
      </w:pPr>
      <w:r>
        <w:t xml:space="preserve"> </w:t>
      </w:r>
    </w:p>
    <w:p w:rsidR="00AE255C" w:rsidRDefault="00FC025C">
      <w:pPr>
        <w:spacing w:after="0" w:line="360" w:lineRule="auto"/>
      </w:pPr>
      <w: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w:t>
      </w:r>
      <w:r>
        <w:rPr>
          <w:b/>
          <w:bCs/>
        </w:rPr>
        <w:t>, ya que también haría identificable a los individuos en cuestión.</w:t>
      </w:r>
    </w:p>
    <w:p w:rsidR="00AE255C" w:rsidRDefault="00FC025C">
      <w:pPr>
        <w:spacing w:after="0" w:line="360" w:lineRule="auto"/>
      </w:pPr>
      <w:r>
        <w:t xml:space="preserve"> </w:t>
      </w:r>
    </w:p>
    <w:p w:rsidR="00AE255C" w:rsidRDefault="00FC025C">
      <w:pPr>
        <w:spacing w:after="0" w:line="360" w:lineRule="auto"/>
      </w:pPr>
      <w:r>
        <w:t xml:space="preserve">Además, aún y cuando se encuentra asentada en un documento público, elaborado en ejercicio de las facultades con las que cuenta el sujeto obligado, pues con este acredita la autorización para realizar cierta acción, lo cierto es que es un dato que exterioriza su voluntad y aceptación de esta; por lo que, se actualiza la causal de clasificación establecida en el </w:t>
      </w:r>
      <w:r>
        <w:lastRenderedPageBreak/>
        <w:t>artículo 143, fracción I, de la Ley de Transparencia y Acceso a la Información Pública del Estado de México y Municipios.</w:t>
      </w:r>
    </w:p>
    <w:p w:rsidR="00AE255C" w:rsidRDefault="00AE255C">
      <w:pPr>
        <w:spacing w:after="0" w:line="360" w:lineRule="auto"/>
        <w:rPr>
          <w:i/>
          <w:iCs/>
          <w:color w:val="000000"/>
        </w:rPr>
      </w:pPr>
    </w:p>
    <w:p w:rsidR="00AE255C" w:rsidRDefault="00FC025C">
      <w:pPr>
        <w:numPr>
          <w:ilvl w:val="0"/>
          <w:numId w:val="4"/>
        </w:numPr>
        <w:pBdr>
          <w:top w:val="nil"/>
          <w:left w:val="nil"/>
          <w:bottom w:val="nil"/>
          <w:right w:val="nil"/>
          <w:between w:val="nil"/>
        </w:pBdr>
        <w:spacing w:after="0" w:line="360" w:lineRule="auto"/>
        <w:rPr>
          <w:b/>
          <w:bCs/>
          <w:color w:val="000000"/>
        </w:rPr>
      </w:pPr>
      <w:r>
        <w:rPr>
          <w:b/>
          <w:bCs/>
          <w:color w:val="000000"/>
        </w:rPr>
        <w:t xml:space="preserve">Datos de la licencia de Conducir </w:t>
      </w:r>
    </w:p>
    <w:p w:rsidR="00AE255C" w:rsidRDefault="00AE255C">
      <w:pPr>
        <w:spacing w:after="0" w:line="360" w:lineRule="auto"/>
        <w:rPr>
          <w:color w:val="000000"/>
        </w:rPr>
      </w:pPr>
    </w:p>
    <w:p w:rsidR="00AE255C" w:rsidRDefault="00FC025C">
      <w:pPr>
        <w:spacing w:after="0" w:line="360" w:lineRule="auto"/>
      </w:pPr>
      <w:r>
        <w:t xml:space="preserve">La licencia de conducir es un certificado oficial que acredita a la persona que lo porta y a quien identifica las habilidades para manejar el vehículo para el cual se tramitó, entre los elementos que integran las licencias de conducir, se encuentran nombre, edad, sexo, huella digital, fecha de vigencia, estado que la emitió, grupo sanguíneo y fotografía, datos que hacen identificado e identificable a una persona, por lo que, se actualiza la hipótesis prevista en la fracción I, del artículo 143 de la Ley de Transparencia y Acceso a la Información Pública del Estado de México. </w:t>
      </w:r>
    </w:p>
    <w:p w:rsidR="00AE255C" w:rsidRDefault="00AE255C">
      <w:pPr>
        <w:spacing w:line="360" w:lineRule="auto"/>
        <w:rPr>
          <w:color w:val="000000"/>
        </w:rPr>
      </w:pPr>
    </w:p>
    <w:p w:rsidR="00AE255C" w:rsidRDefault="00FC025C">
      <w:pPr>
        <w:spacing w:after="0" w:line="360" w:lineRule="auto"/>
      </w:pPr>
      <w:r>
        <w:t>Ahora bien, respecto al nombre, firma y número de empleado de los elementos operativos (agentes de tránsito), es necesario analizar si actualizan alguna causal de clasificación;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00AE255C" w:rsidRDefault="00AE255C">
      <w:pPr>
        <w:tabs>
          <w:tab w:val="left" w:pos="4962"/>
        </w:tabs>
        <w:spacing w:after="0" w:line="360" w:lineRule="auto"/>
        <w:ind w:left="567" w:right="567"/>
        <w:rPr>
          <w:i/>
          <w:iCs/>
        </w:rPr>
      </w:pPr>
    </w:p>
    <w:p w:rsidR="00AE255C" w:rsidRDefault="00FC025C">
      <w:pPr>
        <w:tabs>
          <w:tab w:val="left" w:pos="4962"/>
        </w:tabs>
        <w:spacing w:after="0" w:line="360" w:lineRule="auto"/>
        <w:ind w:left="567" w:right="567"/>
        <w:rPr>
          <w:i/>
          <w:iCs/>
          <w:sz w:val="20"/>
          <w:szCs w:val="20"/>
        </w:rPr>
      </w:pPr>
      <w:r>
        <w:rPr>
          <w:i/>
          <w:iCs/>
          <w:sz w:val="20"/>
          <w:szCs w:val="20"/>
        </w:rPr>
        <w:t xml:space="preserve"> “</w:t>
      </w:r>
      <w:r>
        <w:rPr>
          <w:b/>
          <w:bCs/>
          <w:i/>
          <w:iCs/>
          <w:sz w:val="20"/>
          <w:szCs w:val="20"/>
        </w:rPr>
        <w:t>Artículo 140.</w:t>
      </w:r>
      <w:r>
        <w:rPr>
          <w:i/>
          <w:iCs/>
          <w:sz w:val="20"/>
          <w:szCs w:val="20"/>
        </w:rPr>
        <w:t xml:space="preserve"> El acceso a la información pública será restringido excepcionalmente, cuando por razones de interés público, ésta sea clasificada como reservada, conforme a los criterios siguientes: </w:t>
      </w:r>
    </w:p>
    <w:p w:rsidR="00AE255C" w:rsidRDefault="00FC025C">
      <w:pPr>
        <w:tabs>
          <w:tab w:val="left" w:pos="4962"/>
        </w:tabs>
        <w:spacing w:after="0" w:line="360" w:lineRule="auto"/>
        <w:ind w:left="567" w:right="567"/>
        <w:rPr>
          <w:i/>
          <w:iCs/>
          <w:sz w:val="20"/>
          <w:szCs w:val="20"/>
        </w:rPr>
      </w:pPr>
      <w:r>
        <w:rPr>
          <w:i/>
          <w:iCs/>
          <w:sz w:val="20"/>
          <w:szCs w:val="20"/>
        </w:rPr>
        <w:t>…</w:t>
      </w:r>
    </w:p>
    <w:p w:rsidR="00AE255C" w:rsidRDefault="00FC025C">
      <w:pPr>
        <w:tabs>
          <w:tab w:val="left" w:pos="4962"/>
        </w:tabs>
        <w:spacing w:after="0" w:line="360" w:lineRule="auto"/>
        <w:ind w:left="567" w:right="567"/>
        <w:rPr>
          <w:i/>
          <w:iCs/>
          <w:sz w:val="20"/>
          <w:szCs w:val="20"/>
        </w:rPr>
      </w:pPr>
      <w:r>
        <w:rPr>
          <w:i/>
          <w:iCs/>
          <w:sz w:val="20"/>
          <w:szCs w:val="20"/>
        </w:rPr>
        <w:t>IV. Ponga en riesgo la vida, la seguridad o la salud de una persona física;</w:t>
      </w:r>
    </w:p>
    <w:p w:rsidR="00AE255C" w:rsidRDefault="00FC025C">
      <w:pPr>
        <w:tabs>
          <w:tab w:val="left" w:pos="4962"/>
        </w:tabs>
        <w:spacing w:after="0" w:line="360" w:lineRule="auto"/>
        <w:ind w:left="567" w:right="567"/>
        <w:rPr>
          <w:i/>
          <w:iCs/>
          <w:sz w:val="20"/>
          <w:szCs w:val="20"/>
        </w:rPr>
      </w:pPr>
      <w:r>
        <w:rPr>
          <w:i/>
          <w:iCs/>
          <w:sz w:val="20"/>
          <w:szCs w:val="20"/>
        </w:rPr>
        <w:t xml:space="preserve">…” </w:t>
      </w:r>
    </w:p>
    <w:p w:rsidR="00AE255C" w:rsidRDefault="00AE255C">
      <w:pPr>
        <w:spacing w:after="0" w:line="360" w:lineRule="auto"/>
      </w:pPr>
    </w:p>
    <w:p w:rsidR="00AE255C" w:rsidRDefault="00FC025C">
      <w:pPr>
        <w:spacing w:after="0" w:line="360" w:lineRule="auto"/>
      </w:pPr>
      <w:r>
        <w:lastRenderedPageBreak/>
        <w:t>Del precepto legal anteriormente citado se desprende que como información reservada podrá clasificarse aquella cuya publicación pueda poner en riesgo la vida, seguridad o salud de una persona física; para acreditar lo anterior, los Lineamientos Generales, establecen lo siguiente:</w:t>
      </w:r>
    </w:p>
    <w:p w:rsidR="00AE255C" w:rsidRDefault="00AE255C">
      <w:pPr>
        <w:spacing w:after="0" w:line="360" w:lineRule="auto"/>
      </w:pPr>
    </w:p>
    <w:p w:rsidR="00AE255C" w:rsidRDefault="00FC025C">
      <w:pPr>
        <w:spacing w:after="0" w:line="360" w:lineRule="auto"/>
        <w:ind w:left="567" w:right="567"/>
        <w:rPr>
          <w:i/>
          <w:iCs/>
          <w:sz w:val="20"/>
          <w:szCs w:val="20"/>
        </w:rPr>
      </w:pPr>
      <w:r>
        <w:rPr>
          <w:b/>
          <w:bCs/>
          <w:i/>
          <w:iCs/>
          <w:sz w:val="20"/>
          <w:szCs w:val="20"/>
        </w:rPr>
        <w:t xml:space="preserve">“Vigésimo tercero. </w:t>
      </w:r>
      <w:r>
        <w:rPr>
          <w:i/>
          <w:iCs/>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rsidR="00AE255C" w:rsidRDefault="00AE255C">
      <w:pPr>
        <w:spacing w:after="0" w:line="360" w:lineRule="auto"/>
        <w:ind w:left="567" w:right="567"/>
        <w:rPr>
          <w:i/>
          <w:iCs/>
        </w:rPr>
      </w:pPr>
    </w:p>
    <w:p w:rsidR="00AE255C" w:rsidRDefault="00FC025C">
      <w:pPr>
        <w:spacing w:after="0" w:line="360" w:lineRule="auto"/>
        <w:rPr>
          <w:b/>
          <w:bCs/>
        </w:rPr>
      </w:pPr>
      <w: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rsidR="00AE255C" w:rsidRDefault="00AE255C">
      <w:pPr>
        <w:spacing w:after="0" w:line="360" w:lineRule="auto"/>
      </w:pPr>
    </w:p>
    <w:p w:rsidR="00AE255C" w:rsidRDefault="00FC025C">
      <w:pPr>
        <w:spacing w:after="0" w:line="360" w:lineRule="auto"/>
      </w:pPr>
      <w:r>
        <w:t>Además, el artículo 81, fracción III, de la Ley de Seguridad del Estado de México, establece lo siguiente:</w:t>
      </w:r>
    </w:p>
    <w:p w:rsidR="00AE255C" w:rsidRDefault="00AE255C">
      <w:pPr>
        <w:spacing w:after="0" w:line="360" w:lineRule="auto"/>
      </w:pPr>
    </w:p>
    <w:p w:rsidR="00AE255C" w:rsidRDefault="00FC025C">
      <w:pPr>
        <w:spacing w:after="0" w:line="360" w:lineRule="auto"/>
        <w:ind w:left="567" w:right="567"/>
        <w:rPr>
          <w:i/>
          <w:iCs/>
          <w:sz w:val="20"/>
          <w:szCs w:val="20"/>
        </w:rPr>
      </w:pPr>
      <w:r>
        <w:rPr>
          <w:b/>
          <w:bCs/>
          <w:i/>
          <w:iCs/>
          <w:sz w:val="20"/>
          <w:szCs w:val="20"/>
        </w:rPr>
        <w:t>“Artículo 81.-</w:t>
      </w:r>
      <w:r>
        <w:rPr>
          <w:i/>
          <w:iCs/>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AE255C" w:rsidRDefault="00FC025C">
      <w:pPr>
        <w:spacing w:after="0" w:line="360" w:lineRule="auto"/>
        <w:ind w:left="567" w:right="567"/>
        <w:rPr>
          <w:i/>
          <w:iCs/>
          <w:sz w:val="20"/>
          <w:szCs w:val="20"/>
        </w:rPr>
      </w:pPr>
      <w:r>
        <w:rPr>
          <w:i/>
          <w:iCs/>
          <w:sz w:val="20"/>
          <w:szCs w:val="20"/>
        </w:rPr>
        <w:t>…</w:t>
      </w:r>
    </w:p>
    <w:p w:rsidR="00AE255C" w:rsidRDefault="00FC025C">
      <w:pPr>
        <w:spacing w:after="0" w:line="360" w:lineRule="auto"/>
        <w:ind w:left="567" w:right="567"/>
        <w:rPr>
          <w:i/>
          <w:iCs/>
          <w:sz w:val="20"/>
          <w:szCs w:val="20"/>
        </w:rPr>
      </w:pPr>
      <w:r>
        <w:rPr>
          <w:i/>
          <w:iCs/>
          <w:sz w:val="20"/>
          <w:szCs w:val="20"/>
        </w:rPr>
        <w:t>III. La relativa a los servidores públicos integrantes de las instituciones de seguridad pública, cuya revelación pueda poner en riesgo su vida e integridad física con motivo de sus funciones;</w:t>
      </w:r>
    </w:p>
    <w:p w:rsidR="00AE255C" w:rsidRDefault="00FC025C">
      <w:pPr>
        <w:spacing w:after="0" w:line="360" w:lineRule="auto"/>
        <w:ind w:left="567" w:right="567"/>
        <w:rPr>
          <w:i/>
          <w:iCs/>
          <w:sz w:val="20"/>
          <w:szCs w:val="20"/>
        </w:rPr>
      </w:pPr>
      <w:r>
        <w:rPr>
          <w:i/>
          <w:iCs/>
          <w:sz w:val="20"/>
          <w:szCs w:val="20"/>
        </w:rPr>
        <w:t>…”</w:t>
      </w:r>
    </w:p>
    <w:p w:rsidR="00AE255C" w:rsidRDefault="00AE255C">
      <w:pPr>
        <w:spacing w:after="0" w:line="360" w:lineRule="auto"/>
      </w:pPr>
    </w:p>
    <w:p w:rsidR="00AE255C" w:rsidRDefault="00FC025C">
      <w:pPr>
        <w:spacing w:after="0" w:line="360" w:lineRule="auto"/>
      </w:pPr>
      <w:r>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00AE255C" w:rsidRDefault="00AE255C">
      <w:pPr>
        <w:spacing w:after="0" w:line="360" w:lineRule="auto"/>
        <w:rPr>
          <w:color w:val="000000"/>
        </w:rPr>
      </w:pPr>
    </w:p>
    <w:p w:rsidR="00AE255C" w:rsidRDefault="00FC025C">
      <w:pPr>
        <w:spacing w:after="0" w:line="360" w:lineRule="auto"/>
      </w:pPr>
      <w:r>
        <w:t>En ese contexto, es de señalar que los datos de servidores públicos, entre los que se encuentran el nombre y otros datos de identificación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00AE255C" w:rsidRDefault="00AE255C">
      <w:pPr>
        <w:spacing w:after="0" w:line="360" w:lineRule="auto"/>
      </w:pPr>
    </w:p>
    <w:p w:rsidR="00AE255C" w:rsidRDefault="00FC025C">
      <w:pPr>
        <w:spacing w:after="0" w:line="360" w:lineRule="auto"/>
      </w:pPr>
      <w:r>
        <w:t xml:space="preserve">No obstante, resulta necesario traer a colación por analogía, el </w:t>
      </w:r>
      <w:r>
        <w:rPr>
          <w:color w:val="000000"/>
        </w:rPr>
        <w:t xml:space="preserve">Criterio de interpretación, con número de registro SO/006/2009, de la Primera Época, </w:t>
      </w:r>
      <w:r>
        <w:t>emitido por el entonces Instituto Federal de Acceso a la Información y Protección de Datos ahora Instituto Nacional de Transparencia, Acceso a la Información y Protección de Datos Personales, que establece lo siguiente:</w:t>
      </w:r>
    </w:p>
    <w:p w:rsidR="00AE255C" w:rsidRDefault="00AE255C">
      <w:pPr>
        <w:spacing w:after="0" w:line="360" w:lineRule="auto"/>
        <w:rPr>
          <w:i/>
          <w:iCs/>
        </w:rPr>
      </w:pPr>
    </w:p>
    <w:p w:rsidR="00AE255C" w:rsidRDefault="00FC025C">
      <w:pPr>
        <w:tabs>
          <w:tab w:val="left" w:pos="4962"/>
        </w:tabs>
        <w:spacing w:after="0" w:line="360" w:lineRule="auto"/>
        <w:ind w:left="567" w:right="567"/>
        <w:rPr>
          <w:i/>
          <w:iCs/>
        </w:rPr>
      </w:pPr>
      <w:r>
        <w:rPr>
          <w:b/>
          <w:bCs/>
          <w:i/>
          <w:iCs/>
        </w:rPr>
        <w:t>“Nombres de servidores públicos dedicados a actividades en materia de seguridad, por excepción pueden considerarse información reservada.</w:t>
      </w:r>
      <w:r>
        <w:rPr>
          <w:i/>
          <w:iC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w:t>
      </w:r>
      <w:r>
        <w:rPr>
          <w:i/>
          <w:iCs/>
        </w:rPr>
        <w:lastRenderedPageBreak/>
        <w:t>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AE255C" w:rsidRDefault="00AE255C">
      <w:pPr>
        <w:spacing w:after="0" w:line="360" w:lineRule="auto"/>
      </w:pPr>
    </w:p>
    <w:p w:rsidR="00AE255C" w:rsidRDefault="00FC025C">
      <w:pPr>
        <w:spacing w:after="0" w:line="360" w:lineRule="auto"/>
      </w:pPr>
      <w: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AE255C" w:rsidRDefault="00AE255C">
      <w:pPr>
        <w:spacing w:after="0" w:line="360" w:lineRule="auto"/>
      </w:pPr>
    </w:p>
    <w:p w:rsidR="00AE255C" w:rsidRDefault="00FC025C">
      <w:pPr>
        <w:spacing w:after="0" w:line="360" w:lineRule="auto"/>
      </w:pPr>
      <w:r>
        <w:t xml:space="preserve">En ese orden de ideas, si bien por regla general los nombres, firma y número de empleado de los trabajadores gubernamentales son información pública, existe una excepción relativa a </w:t>
      </w:r>
      <w:r>
        <w:rPr>
          <w:b/>
          <w:bCs/>
        </w:rPr>
        <w:t>aquellos que realicen actividades operativas en materia de seguridad.</w:t>
      </w:r>
    </w:p>
    <w:p w:rsidR="00AE255C" w:rsidRDefault="00AE255C">
      <w:pPr>
        <w:spacing w:after="0" w:line="360" w:lineRule="auto"/>
      </w:pPr>
    </w:p>
    <w:p w:rsidR="00AE255C" w:rsidRDefault="00FC025C">
      <w:pPr>
        <w:spacing w:after="0" w:line="360" w:lineRule="auto"/>
      </w:pPr>
      <w: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lastRenderedPageBreak/>
        <w:t>para adolescentes, de las instancias encargadas de aplicar las infracción administrativas, y de las demás autoridades de las instancias encargadas de aplicar las infracciones administrativas.</w:t>
      </w:r>
    </w:p>
    <w:p w:rsidR="00AE255C" w:rsidRDefault="00AE255C">
      <w:pPr>
        <w:spacing w:after="0" w:line="360" w:lineRule="auto"/>
      </w:pPr>
    </w:p>
    <w:p w:rsidR="00AE255C" w:rsidRDefault="00FC025C">
      <w:pPr>
        <w:spacing w:after="0" w:line="360" w:lineRule="auto"/>
      </w:pPr>
      <w:r>
        <w:t>En ese contexto, el artículo 6°, fracciones XI y XII de dicho ordenamiento jurídico, establece los siguientes conceptos:</w:t>
      </w:r>
    </w:p>
    <w:p w:rsidR="00AE255C" w:rsidRDefault="00AE255C">
      <w:pPr>
        <w:spacing w:after="0" w:line="360" w:lineRule="auto"/>
      </w:pPr>
    </w:p>
    <w:p w:rsidR="00AE255C" w:rsidRDefault="00FC025C">
      <w:pPr>
        <w:numPr>
          <w:ilvl w:val="0"/>
          <w:numId w:val="5"/>
        </w:numPr>
        <w:spacing w:after="0" w:line="360" w:lineRule="auto"/>
        <w:rPr>
          <w:b/>
          <w:bCs/>
        </w:rPr>
      </w:pPr>
      <w:r>
        <w:rPr>
          <w:b/>
          <w:bCs/>
        </w:rPr>
        <w:t xml:space="preserve">Instituciones Policiales: </w:t>
      </w:r>
      <w:r>
        <w:t xml:space="preserve">Son los cuerpos de policía, de vigilancia y custodia de los establecimientos penitenciarios, detención preventiva, centros de arraigo y en general, </w:t>
      </w:r>
      <w:r>
        <w:rPr>
          <w:b/>
          <w:bCs/>
        </w:rPr>
        <w:t>todas las dependencias encargadas de la seguridad pública a nivel</w:t>
      </w:r>
      <w:r>
        <w:t xml:space="preserve"> estatal y </w:t>
      </w:r>
      <w:r>
        <w:rPr>
          <w:b/>
          <w:bCs/>
        </w:rPr>
        <w:t>municipal.</w:t>
      </w:r>
    </w:p>
    <w:p w:rsidR="00AE255C" w:rsidRDefault="00AE255C">
      <w:pPr>
        <w:spacing w:after="0" w:line="360" w:lineRule="auto"/>
        <w:ind w:left="720"/>
      </w:pPr>
    </w:p>
    <w:p w:rsidR="00AE255C" w:rsidRDefault="00FC025C">
      <w:pPr>
        <w:numPr>
          <w:ilvl w:val="0"/>
          <w:numId w:val="5"/>
        </w:numPr>
        <w:spacing w:after="0" w:line="360" w:lineRule="auto"/>
        <w:rPr>
          <w:b/>
          <w:bCs/>
        </w:rPr>
      </w:pPr>
      <w:r>
        <w:rPr>
          <w:b/>
          <w:bCs/>
        </w:rPr>
        <w:t xml:space="preserve">Instituciones de Seguridad Pública: </w:t>
      </w:r>
      <w:r>
        <w:t xml:space="preserve">Instituciones Policiales, Procuración de Justicia, Sistema Penitenciario y </w:t>
      </w:r>
      <w:r>
        <w:rPr>
          <w:b/>
          <w:bCs/>
        </w:rPr>
        <w:t xml:space="preserve">dependencias encargadas de la seguridad pública a nivel </w:t>
      </w:r>
      <w:r>
        <w:t xml:space="preserve">estatal y </w:t>
      </w:r>
      <w:r>
        <w:rPr>
          <w:b/>
          <w:bCs/>
        </w:rPr>
        <w:t>municipal.</w:t>
      </w:r>
    </w:p>
    <w:p w:rsidR="00AE255C" w:rsidRDefault="00FC025C">
      <w:pPr>
        <w:spacing w:after="0" w:line="360" w:lineRule="auto"/>
      </w:pPr>
      <w:r>
        <w:t>Conforme a lo anterior, se puede deducir que la</w:t>
      </w:r>
      <w:r>
        <w:rPr>
          <w:color w:val="000000"/>
        </w:rPr>
        <w:t xml:space="preserve"> Dirección Seguridad Pública y Tránsito</w:t>
      </w:r>
      <w:r>
        <w:t>, es una institución de seguridad pública, pues tiene como atribución principal, la prevención de delitos y proteger a las personas, sus propiedades, posesiones y derechos.</w:t>
      </w:r>
    </w:p>
    <w:p w:rsidR="00AE255C" w:rsidRDefault="00AE255C">
      <w:pPr>
        <w:spacing w:after="0" w:line="360" w:lineRule="auto"/>
      </w:pPr>
    </w:p>
    <w:p w:rsidR="00AE255C" w:rsidRDefault="00FC025C">
      <w:pPr>
        <w:tabs>
          <w:tab w:val="left" w:pos="4962"/>
        </w:tabs>
        <w:spacing w:after="0" w:line="360" w:lineRule="auto"/>
        <w:ind w:right="-28"/>
      </w:pPr>
      <w:r>
        <w:t xml:space="preserve">Además, el Instructivo de llenado del Formato “Personal de Seguridad Pública”, del Secretariado Ejecutivo del Sistema Nacional de Seguridad Pública (consultado el quince de junio de dos mil veintitrés, en la liga electrónica </w:t>
      </w:r>
      <w:hyperlink r:id="rId10">
        <w:r>
          <w:rPr>
            <w:color w:val="0563C1"/>
            <w:u w:val="single"/>
          </w:rPr>
          <w:t>http://secretariadoejecutivo.gob.mx/work/models/SecretariadoEjecutivo/Resource/328/1/images/instructivo_final_edo_fuerza(1).pdf</w:t>
        </w:r>
      </w:hyperlink>
      <w:r>
        <w:t xml:space="preserve">), establece que los elementos operativos de seguridad pública, son aquellos que desempeñan funciones de campo (policiacas, </w:t>
      </w:r>
      <w:r>
        <w:lastRenderedPageBreak/>
        <w:t xml:space="preserve">especializadas o equivalentes y que no </w:t>
      </w:r>
      <w:r>
        <w:rPr>
          <w:b/>
          <w:bCs/>
        </w:rPr>
        <w:t>desempeña funciones de mando</w:t>
      </w:r>
      <w:r>
        <w:t xml:space="preserve">), entre los cuales, se encuentra </w:t>
      </w:r>
      <w:r>
        <w:rPr>
          <w:b/>
          <w:bCs/>
        </w:rPr>
        <w:t>la Policía Municipal</w:t>
      </w:r>
      <w:r>
        <w:t>.</w:t>
      </w:r>
    </w:p>
    <w:p w:rsidR="00AE255C" w:rsidRDefault="00AE255C">
      <w:pPr>
        <w:tabs>
          <w:tab w:val="left" w:pos="4962"/>
        </w:tabs>
        <w:spacing w:after="0" w:line="360" w:lineRule="auto"/>
        <w:ind w:right="-28"/>
      </w:pPr>
    </w:p>
    <w:p w:rsidR="00AE255C" w:rsidRDefault="00FC025C">
      <w:pPr>
        <w:tabs>
          <w:tab w:val="left" w:pos="4962"/>
        </w:tabs>
        <w:spacing w:after="0" w:line="360" w:lineRule="auto"/>
        <w:ind w:right="-28"/>
      </w:pPr>
      <w:r>
        <w:t>Además, se advierte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00AE255C" w:rsidRDefault="00AE255C">
      <w:pPr>
        <w:spacing w:after="0" w:line="360" w:lineRule="auto"/>
      </w:pPr>
    </w:p>
    <w:p w:rsidR="00AE255C" w:rsidRDefault="00FC025C">
      <w:pPr>
        <w:spacing w:after="0" w:line="360" w:lineRule="auto"/>
      </w:pPr>
      <w:r>
        <w:t>Así, dar a conocer el nombre, firma y número de empleado de las personas, vinculado con el hecho que son agentes de tránsito,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AE255C" w:rsidRDefault="00AE255C">
      <w:pPr>
        <w:spacing w:after="0" w:line="360" w:lineRule="auto"/>
      </w:pPr>
    </w:p>
    <w:p w:rsidR="00AE255C" w:rsidRDefault="00FC025C">
      <w:pPr>
        <w:spacing w:after="0" w:line="360" w:lineRule="auto"/>
      </w:pPr>
      <w:r>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rsidR="00AE255C" w:rsidRDefault="00AE255C">
      <w:pPr>
        <w:spacing w:after="0" w:line="360" w:lineRule="auto"/>
      </w:pPr>
    </w:p>
    <w:p w:rsidR="00AE255C" w:rsidRDefault="00FC025C">
      <w:pPr>
        <w:spacing w:after="0" w:line="360" w:lineRule="auto"/>
      </w:pPr>
      <w:r>
        <w:lastRenderedPageBreak/>
        <w:t>De tal situación, se considera que dar a conocer el nombre de los elementos operativos,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AE255C" w:rsidRDefault="00AE255C">
      <w:pPr>
        <w:spacing w:after="0" w:line="360" w:lineRule="auto"/>
      </w:pPr>
    </w:p>
    <w:p w:rsidR="00AE255C" w:rsidRDefault="00FC025C">
      <w:pPr>
        <w:spacing w:after="0" w:line="360" w:lineRule="auto"/>
      </w:pPr>
      <w: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rsidR="00AE255C" w:rsidRDefault="00AE255C">
      <w:pPr>
        <w:spacing w:after="0" w:line="360" w:lineRule="auto"/>
      </w:pPr>
    </w:p>
    <w:p w:rsidR="00AE255C" w:rsidRDefault="00FC025C">
      <w:pPr>
        <w:spacing w:after="0" w:line="360" w:lineRule="auto"/>
        <w:rPr>
          <w:b/>
          <w:bCs/>
        </w:rPr>
      </w:pPr>
      <w:r>
        <w:t xml:space="preserve">Por tales consideraciones, </w:t>
      </w:r>
      <w:r>
        <w:rPr>
          <w:b/>
          <w:bCs/>
        </w:rPr>
        <w:t xml:space="preserve">resulta procedente la reserva del nombre de los elementos operativos adscritos a la </w:t>
      </w:r>
      <w:r>
        <w:rPr>
          <w:b/>
          <w:bCs/>
          <w:color w:val="000000"/>
        </w:rPr>
        <w:t>Dirección de Seguridad Pública y Tránsito</w:t>
      </w:r>
      <w:r>
        <w:rPr>
          <w:b/>
          <w:bCs/>
        </w:rPr>
        <w:t xml:space="preserve">, en términos del artículo 140, fracción IV, de </w:t>
      </w:r>
      <w:proofErr w:type="spellStart"/>
      <w:r>
        <w:rPr>
          <w:b/>
          <w:bCs/>
        </w:rPr>
        <w:t>de</w:t>
      </w:r>
      <w:proofErr w:type="spellEnd"/>
      <w:r>
        <w:rPr>
          <w:b/>
          <w:bCs/>
        </w:rPr>
        <w:t xml:space="preserve"> la Ley de Transparencia y Acceso a la Información Pública del Estado de México y Municipios.</w:t>
      </w:r>
    </w:p>
    <w:p w:rsidR="00AE255C" w:rsidRDefault="00AE255C">
      <w:pPr>
        <w:spacing w:after="0" w:line="360" w:lineRule="auto"/>
        <w:rPr>
          <w:b/>
          <w:bCs/>
        </w:rPr>
      </w:pPr>
    </w:p>
    <w:p w:rsidR="00AE255C" w:rsidRDefault="00FC025C">
      <w:pPr>
        <w:tabs>
          <w:tab w:val="left" w:pos="4962"/>
        </w:tabs>
        <w:spacing w:after="0" w:line="360" w:lineRule="auto"/>
      </w:pPr>
      <w: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AE255C" w:rsidRDefault="00AE255C">
      <w:pPr>
        <w:tabs>
          <w:tab w:val="left" w:pos="4962"/>
        </w:tabs>
        <w:spacing w:after="0" w:line="360" w:lineRule="auto"/>
      </w:pPr>
    </w:p>
    <w:p w:rsidR="00AE255C" w:rsidRDefault="00FC025C">
      <w:pPr>
        <w:numPr>
          <w:ilvl w:val="0"/>
          <w:numId w:val="6"/>
        </w:numPr>
        <w:tabs>
          <w:tab w:val="left" w:pos="4962"/>
        </w:tabs>
        <w:spacing w:after="0" w:line="360" w:lineRule="auto"/>
        <w:ind w:left="709" w:hanging="436"/>
      </w:pPr>
      <w:r>
        <w:t>La divulgación de la información representa un riesgo real, demostrable e identificable de perjuicio significativo al interés público o a la seguridad nacional.</w:t>
      </w:r>
    </w:p>
    <w:p w:rsidR="00AE255C" w:rsidRDefault="00AE255C">
      <w:pPr>
        <w:tabs>
          <w:tab w:val="left" w:pos="4962"/>
        </w:tabs>
        <w:spacing w:after="0" w:line="360" w:lineRule="auto"/>
        <w:ind w:left="709"/>
      </w:pPr>
    </w:p>
    <w:p w:rsidR="00AE255C" w:rsidRDefault="00FC025C">
      <w:pPr>
        <w:numPr>
          <w:ilvl w:val="0"/>
          <w:numId w:val="6"/>
        </w:numPr>
        <w:tabs>
          <w:tab w:val="left" w:pos="4962"/>
        </w:tabs>
        <w:spacing w:after="0" w:line="360" w:lineRule="auto"/>
        <w:ind w:left="709" w:hanging="436"/>
      </w:pPr>
      <w:r>
        <w:lastRenderedPageBreak/>
        <w:t>El riesgo de perjuicio supera el interés público general de que se difunda.</w:t>
      </w:r>
    </w:p>
    <w:p w:rsidR="00AE255C" w:rsidRDefault="00AE255C">
      <w:pPr>
        <w:spacing w:after="0" w:line="360" w:lineRule="auto"/>
        <w:ind w:left="720"/>
        <w:rPr>
          <w:rFonts w:ascii="Century Gothic" w:eastAsia="Century Gothic" w:hAnsi="Century Gothic" w:cs="Century Gothic"/>
        </w:rPr>
      </w:pPr>
    </w:p>
    <w:p w:rsidR="00AE255C" w:rsidRDefault="00FC025C">
      <w:pPr>
        <w:numPr>
          <w:ilvl w:val="0"/>
          <w:numId w:val="6"/>
        </w:numPr>
        <w:tabs>
          <w:tab w:val="left" w:pos="4962"/>
        </w:tabs>
        <w:spacing w:after="0" w:line="360" w:lineRule="auto"/>
        <w:ind w:left="709" w:hanging="436"/>
      </w:pPr>
      <w:r>
        <w:t>Que la limitación se adecua al principio de proporcionalidad y representa el medio menos restrictivo disponible para evitar el perjuicio.</w:t>
      </w:r>
    </w:p>
    <w:p w:rsidR="00AE255C" w:rsidRDefault="00AE255C">
      <w:pPr>
        <w:spacing w:after="0" w:line="360" w:lineRule="auto"/>
      </w:pPr>
    </w:p>
    <w:p w:rsidR="00AE255C" w:rsidRDefault="00FC025C">
      <w:pPr>
        <w:spacing w:after="0" w:line="360" w:lineRule="auto"/>
      </w:pPr>
      <w: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00AE255C" w:rsidRDefault="00FC025C">
      <w:pPr>
        <w:tabs>
          <w:tab w:val="left" w:pos="3962"/>
        </w:tabs>
        <w:spacing w:after="0" w:line="360" w:lineRule="auto"/>
      </w:pPr>
      <w:r>
        <w:t>En ese contexto, toda vez que resultó procedente la clasificación de los datos testados, debe traerse a colación lo dispuesto en el artículo 168 de la Ley de Transparencia y Acceso a la Información Pública del Estado de México y Municipios, que precisa que</w:t>
      </w:r>
      <w:r>
        <w:rPr>
          <w:rFonts w:ascii="Arial" w:eastAsia="Arial" w:hAnsi="Arial" w:cs="Arial"/>
          <w:sz w:val="24"/>
          <w:szCs w:val="24"/>
        </w:rPr>
        <w:t xml:space="preserve"> </w:t>
      </w:r>
      <w: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rsidR="00AE255C" w:rsidRDefault="00AE255C">
      <w:pPr>
        <w:tabs>
          <w:tab w:val="left" w:pos="3962"/>
        </w:tabs>
        <w:spacing w:after="0" w:line="360" w:lineRule="auto"/>
      </w:pPr>
    </w:p>
    <w:p w:rsidR="00AE255C" w:rsidRDefault="00FC025C">
      <w:pPr>
        <w:numPr>
          <w:ilvl w:val="0"/>
          <w:numId w:val="1"/>
        </w:numPr>
        <w:tabs>
          <w:tab w:val="left" w:pos="3962"/>
        </w:tabs>
        <w:spacing w:after="0" w:line="360" w:lineRule="auto"/>
      </w:pPr>
      <w:r>
        <w:t>Confirmar la clasificación;</w:t>
      </w:r>
    </w:p>
    <w:p w:rsidR="00AE255C" w:rsidRDefault="00FC025C">
      <w:pPr>
        <w:numPr>
          <w:ilvl w:val="0"/>
          <w:numId w:val="1"/>
        </w:numPr>
        <w:tabs>
          <w:tab w:val="left" w:pos="3962"/>
        </w:tabs>
        <w:spacing w:after="0" w:line="360" w:lineRule="auto"/>
      </w:pPr>
      <w:r>
        <w:t>Modificar la clasificación y, otorgar total o parcialmente el acceso a la información, o</w:t>
      </w:r>
    </w:p>
    <w:p w:rsidR="00AE255C" w:rsidRDefault="00FC025C">
      <w:pPr>
        <w:numPr>
          <w:ilvl w:val="0"/>
          <w:numId w:val="1"/>
        </w:numPr>
        <w:tabs>
          <w:tab w:val="left" w:pos="3962"/>
        </w:tabs>
        <w:spacing w:after="0" w:line="360" w:lineRule="auto"/>
      </w:pPr>
      <w:r>
        <w:t>Revocar la clasificación y conceder el acceso a la información.</w:t>
      </w:r>
    </w:p>
    <w:p w:rsidR="00AE255C" w:rsidRDefault="00AE255C">
      <w:pPr>
        <w:tabs>
          <w:tab w:val="left" w:pos="3962"/>
        </w:tabs>
        <w:spacing w:after="0" w:line="360" w:lineRule="auto"/>
      </w:pPr>
    </w:p>
    <w:p w:rsidR="00AE255C" w:rsidRDefault="00FC025C">
      <w:pPr>
        <w:spacing w:after="0" w:line="360" w:lineRule="auto"/>
      </w:pPr>
      <w:r>
        <w:lastRenderedPageBreak/>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w:t>
      </w:r>
    </w:p>
    <w:p w:rsidR="00AE255C" w:rsidRDefault="00AE255C">
      <w:pPr>
        <w:spacing w:after="0" w:line="360" w:lineRule="auto"/>
      </w:pPr>
    </w:p>
    <w:p w:rsidR="00AE255C" w:rsidRDefault="00FC025C">
      <w:pPr>
        <w:spacing w:after="0" w:line="360" w:lineRule="auto"/>
      </w:pPr>
      <w:r>
        <w:t xml:space="preserve">Sobre dicha situación, el Sujeto Obligado, en respuesta </w:t>
      </w:r>
      <w:r>
        <w:rPr>
          <w:color w:val="000000"/>
        </w:rPr>
        <w:t xml:space="preserve">omitió entregar el acuerdo que respalde la versión pública; no obstante, durante la sustanciación del Medio de Impugnación, el Sujeto Obligado proporcionó el Acta de la Décima Tercera Sesión </w:t>
      </w:r>
      <w:proofErr w:type="spellStart"/>
      <w:r>
        <w:rPr>
          <w:color w:val="000000"/>
        </w:rPr>
        <w:t>Extraoridnaria</w:t>
      </w:r>
      <w:proofErr w:type="spellEnd"/>
      <w:r>
        <w:rPr>
          <w:color w:val="000000"/>
        </w:rPr>
        <w:t xml:space="preserve"> del Comité de Transparencia, de cuya revisión, se logra vislumbrar que de manera fundada y motivada </w:t>
      </w:r>
      <w:r>
        <w:t xml:space="preserve">se acredita la clasificación de los datos analizados previamente; por lo que, cumplió con lo establecido en el artículo 168 de la Ley de la materia. </w:t>
      </w:r>
    </w:p>
    <w:p w:rsidR="00AE255C" w:rsidRDefault="00AE255C">
      <w:pPr>
        <w:spacing w:after="0" w:line="360" w:lineRule="auto"/>
      </w:pPr>
    </w:p>
    <w:p w:rsidR="00AE255C" w:rsidRDefault="00FC025C">
      <w:pPr>
        <w:spacing w:after="0" w:line="360" w:lineRule="auto"/>
      </w:pPr>
      <w:r>
        <w:t xml:space="preserve">Ahora bien, de la revisión de las boletas, se logra vislumbrar que en algunas dejó visibles datos confidenciales, a saber, los datos de vehículos particulares, por lo que, al ser documentos que tiene la persona Solicitante, resultaría </w:t>
      </w:r>
      <w:proofErr w:type="spellStart"/>
      <w:r>
        <w:t>inutil</w:t>
      </w:r>
      <w:proofErr w:type="spellEnd"/>
      <w:r>
        <w:t xml:space="preserve"> ordenar al Sujeto Obligado, la </w:t>
      </w:r>
    </w:p>
    <w:p w:rsidR="00AE255C" w:rsidRDefault="00FC025C">
      <w:pPr>
        <w:spacing w:after="0" w:line="360" w:lineRule="auto"/>
      </w:pPr>
      <w:proofErr w:type="gramStart"/>
      <w:r>
        <w:t>entrega</w:t>
      </w:r>
      <w:proofErr w:type="gramEnd"/>
      <w:r>
        <w:t xml:space="preserve"> de la información en versión pública elaborada de manera correcta, pues la vulneración de datos ya se dio; por lo que, </w:t>
      </w:r>
      <w:r>
        <w:rPr>
          <w:b/>
          <w:bCs/>
        </w:rPr>
        <w:t>se considera que la impugnación que se dirime ha quedado sin materia.</w:t>
      </w:r>
    </w:p>
    <w:p w:rsidR="00AE255C" w:rsidRDefault="00AE255C">
      <w:pPr>
        <w:spacing w:after="0" w:line="360" w:lineRule="auto"/>
      </w:pPr>
    </w:p>
    <w:p w:rsidR="00AE255C" w:rsidRPr="003B29F2" w:rsidRDefault="00FC025C" w:rsidP="003B29F2">
      <w:pPr>
        <w:pStyle w:val="Ttulo2"/>
        <w:spacing w:before="0" w:after="0" w:line="360" w:lineRule="auto"/>
        <w:rPr>
          <w:color w:val="000000"/>
          <w:sz w:val="22"/>
          <w:szCs w:val="22"/>
        </w:rPr>
      </w:pPr>
      <w:bookmarkStart w:id="21" w:name="_heading=h.92f73jrcdn6b" w:colFirst="0" w:colLast="0"/>
      <w:bookmarkStart w:id="22" w:name="_Toc220596981"/>
      <w:bookmarkEnd w:id="21"/>
      <w:r w:rsidRPr="003B29F2">
        <w:rPr>
          <w:color w:val="000000"/>
          <w:sz w:val="22"/>
          <w:szCs w:val="22"/>
        </w:rPr>
        <w:t>CUARTO. Decisión</w:t>
      </w:r>
      <w:bookmarkEnd w:id="22"/>
    </w:p>
    <w:p w:rsidR="00AE255C" w:rsidRDefault="00AE255C">
      <w:pPr>
        <w:spacing w:after="0" w:line="360" w:lineRule="auto"/>
        <w:ind w:right="-28"/>
        <w:rPr>
          <w:b/>
          <w:bCs/>
          <w:color w:val="000000"/>
        </w:rPr>
      </w:pPr>
    </w:p>
    <w:p w:rsidR="00AE255C" w:rsidRDefault="00FC025C">
      <w:pPr>
        <w:spacing w:after="0" w:line="360" w:lineRule="auto"/>
        <w:ind w:right="-28"/>
        <w:rPr>
          <w:color w:val="000000"/>
        </w:rPr>
      </w:pPr>
      <w:r>
        <w:rPr>
          <w:color w:val="000000"/>
        </w:rPr>
        <w:t xml:space="preserve">Con fundamento en lo dispuesto en el artículo 186, fracción I de la Ley de Transparencia y Acceso a la Información Pública del Estado de México y Municipios, se considera procedente </w:t>
      </w:r>
      <w:r>
        <w:rPr>
          <w:b/>
          <w:bCs/>
          <w:color w:val="000000"/>
        </w:rPr>
        <w:t xml:space="preserve">SOBRESEER </w:t>
      </w:r>
      <w:r>
        <w:rPr>
          <w:color w:val="000000"/>
        </w:rPr>
        <w:t>el Recurso de Revisión 09916/INFOEM/IP/RR/2025, en virtud de que se actualiza la hipótesis normativa prevista en la fracción V, del artículo 192, del citado ordenamiento legal.</w:t>
      </w:r>
    </w:p>
    <w:p w:rsidR="00AE255C" w:rsidRDefault="00AE255C">
      <w:pPr>
        <w:spacing w:after="0" w:line="360" w:lineRule="auto"/>
        <w:ind w:right="-28"/>
        <w:rPr>
          <w:color w:val="000000"/>
        </w:rPr>
      </w:pPr>
    </w:p>
    <w:p w:rsidR="00AE255C" w:rsidRPr="003B29F2" w:rsidRDefault="00FC025C" w:rsidP="003B29F2">
      <w:pPr>
        <w:pStyle w:val="Ttulo2"/>
        <w:spacing w:before="0" w:after="0" w:line="360" w:lineRule="auto"/>
        <w:jc w:val="left"/>
        <w:rPr>
          <w:color w:val="000000"/>
          <w:sz w:val="22"/>
          <w:szCs w:val="22"/>
        </w:rPr>
      </w:pPr>
      <w:bookmarkStart w:id="23" w:name="_Toc220596982"/>
      <w:r w:rsidRPr="003B29F2">
        <w:rPr>
          <w:color w:val="000000"/>
          <w:sz w:val="22"/>
          <w:szCs w:val="22"/>
        </w:rPr>
        <w:lastRenderedPageBreak/>
        <w:t>QUINTO. Vista la Dirección General de Protección de Datos Personales</w:t>
      </w:r>
      <w:bookmarkEnd w:id="23"/>
    </w:p>
    <w:p w:rsidR="00AE255C" w:rsidRDefault="00AE255C">
      <w:pPr>
        <w:spacing w:after="0" w:line="360" w:lineRule="auto"/>
        <w:ind w:right="-93"/>
        <w:rPr>
          <w:color w:val="000000"/>
        </w:rPr>
      </w:pPr>
    </w:p>
    <w:p w:rsidR="00AE255C" w:rsidRDefault="00FC025C">
      <w:pPr>
        <w:spacing w:after="0" w:line="360" w:lineRule="auto"/>
        <w:ind w:right="-93"/>
        <w:rPr>
          <w:color w:val="000000"/>
        </w:rPr>
      </w:pPr>
      <w:r>
        <w:rPr>
          <w:color w:val="000000"/>
        </w:rPr>
        <w:t>Ahora bien, toda vez que el Sujeto Obligado remitió las boletas de infracción donde dejó visibles los datos del vehículo particular que lo hace identificable como lo es la matricula, modelo y nombre,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rsidR="00AE255C" w:rsidRDefault="00AE255C">
      <w:pPr>
        <w:spacing w:after="0" w:line="360" w:lineRule="auto"/>
        <w:ind w:right="-93"/>
        <w:rPr>
          <w:color w:val="000000"/>
        </w:rPr>
      </w:pPr>
    </w:p>
    <w:p w:rsidR="00AE255C" w:rsidRDefault="00FC025C">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posible vulneración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AE255C" w:rsidRDefault="00AE255C">
      <w:pPr>
        <w:spacing w:after="0" w:line="360" w:lineRule="auto"/>
        <w:ind w:right="-28"/>
        <w:rPr>
          <w:color w:val="000000"/>
        </w:rPr>
      </w:pPr>
    </w:p>
    <w:p w:rsidR="00AE255C" w:rsidRDefault="00FC025C">
      <w:pPr>
        <w:spacing w:after="0" w:line="360" w:lineRule="auto"/>
        <w:ind w:right="-28"/>
        <w:rPr>
          <w:b/>
          <w:bCs/>
          <w:color w:val="000000"/>
        </w:rPr>
      </w:pPr>
      <w:r>
        <w:rPr>
          <w:b/>
          <w:bCs/>
          <w:color w:val="000000"/>
        </w:rPr>
        <w:t>Términos de la Resolución para conocimiento del Particular</w:t>
      </w:r>
    </w:p>
    <w:p w:rsidR="00AE255C" w:rsidRDefault="00AE255C">
      <w:pPr>
        <w:spacing w:after="0" w:line="360" w:lineRule="auto"/>
        <w:ind w:right="-28"/>
        <w:rPr>
          <w:b/>
          <w:bCs/>
          <w:color w:val="FF0000"/>
        </w:rPr>
      </w:pPr>
    </w:p>
    <w:p w:rsidR="00AE255C" w:rsidRDefault="00FC025C">
      <w:pPr>
        <w:spacing w:after="0" w:line="360" w:lineRule="auto"/>
        <w:ind w:right="-28"/>
        <w:rPr>
          <w:color w:val="000000"/>
        </w:rPr>
      </w:pPr>
      <w:r>
        <w:rPr>
          <w:color w:val="000000"/>
        </w:rPr>
        <w:t>Se le hace del conocimiento del Particular, que, si bien en un principio se le daba la razón, pues el Sujeto Obligado a través de su respuesta no remitió la información completa, lo cierto es que, durante la sustanciación del Medio de Impugnación, remitió la información faltante.</w:t>
      </w:r>
    </w:p>
    <w:p w:rsidR="00AE255C" w:rsidRDefault="00AE255C">
      <w:pPr>
        <w:spacing w:after="0" w:line="360" w:lineRule="auto"/>
        <w:ind w:right="-28"/>
        <w:rPr>
          <w:color w:val="000000"/>
        </w:rPr>
      </w:pPr>
    </w:p>
    <w:p w:rsidR="00AE255C" w:rsidRDefault="00FC025C">
      <w:pPr>
        <w:spacing w:after="0" w:line="360" w:lineRule="auto"/>
        <w:ind w:right="-28"/>
        <w:rPr>
          <w:color w:val="000000"/>
        </w:rPr>
      </w:pPr>
      <w:r>
        <w:rPr>
          <w:color w:val="000000"/>
        </w:rPr>
        <w:t xml:space="preserve">Finalmente, se le informa que la labor de este Instituto de Transparencia, Acceso a la Información Pública y Protección de Datos Personales del Estado de México y Municipios, es </w:t>
      </w:r>
      <w:r>
        <w:rPr>
          <w:color w:val="000000"/>
        </w:rPr>
        <w:lastRenderedPageBreak/>
        <w:t>apoyar a la población a acceder a la información pública y garantizar la protección de los datos personales.</w:t>
      </w:r>
    </w:p>
    <w:p w:rsidR="00AE255C" w:rsidRDefault="00AE255C">
      <w:pPr>
        <w:spacing w:after="0" w:line="360" w:lineRule="auto"/>
        <w:rPr>
          <w:color w:val="000000"/>
        </w:rPr>
      </w:pPr>
    </w:p>
    <w:p w:rsidR="00AE255C" w:rsidRDefault="00FC025C">
      <w:pPr>
        <w:spacing w:after="0" w:line="360" w:lineRule="auto"/>
        <w:rPr>
          <w:color w:val="000000"/>
        </w:rPr>
      </w:pPr>
      <w:r>
        <w:rPr>
          <w:color w:val="000000"/>
        </w:rPr>
        <w:t>Por lo expuesto y fundado, este Pleno:</w:t>
      </w:r>
    </w:p>
    <w:p w:rsidR="00AE255C" w:rsidRDefault="00AE255C">
      <w:pPr>
        <w:spacing w:after="0" w:line="360" w:lineRule="auto"/>
        <w:rPr>
          <w:color w:val="000000"/>
        </w:rPr>
      </w:pPr>
    </w:p>
    <w:p w:rsidR="00AE255C" w:rsidRPr="003B29F2" w:rsidRDefault="00FC025C" w:rsidP="003B29F2">
      <w:pPr>
        <w:pStyle w:val="Ttulo1"/>
        <w:spacing w:before="0" w:after="0" w:line="360" w:lineRule="auto"/>
        <w:jc w:val="center"/>
        <w:rPr>
          <w:color w:val="000000"/>
          <w:sz w:val="22"/>
          <w:szCs w:val="22"/>
        </w:rPr>
      </w:pPr>
      <w:bookmarkStart w:id="24" w:name="_heading=h.1xnonyktymmd" w:colFirst="0" w:colLast="0"/>
      <w:bookmarkStart w:id="25" w:name="_Toc220596983"/>
      <w:bookmarkEnd w:id="24"/>
      <w:r w:rsidRPr="003B29F2">
        <w:rPr>
          <w:color w:val="000000"/>
          <w:sz w:val="22"/>
          <w:szCs w:val="22"/>
        </w:rPr>
        <w:t>R E S U E L V E</w:t>
      </w:r>
      <w:bookmarkEnd w:id="25"/>
    </w:p>
    <w:p w:rsidR="00AE255C" w:rsidRDefault="00AE255C">
      <w:pPr>
        <w:spacing w:after="0" w:line="360" w:lineRule="auto"/>
        <w:rPr>
          <w:b/>
          <w:bCs/>
          <w:color w:val="FF0000"/>
        </w:rPr>
      </w:pPr>
    </w:p>
    <w:p w:rsidR="00AE255C" w:rsidRDefault="00FC025C">
      <w:pPr>
        <w:spacing w:after="0" w:line="360" w:lineRule="auto"/>
        <w:rPr>
          <w:b/>
          <w:bCs/>
        </w:rPr>
      </w:pPr>
      <w:r>
        <w:rPr>
          <w:b/>
          <w:bCs/>
          <w:color w:val="000000"/>
        </w:rPr>
        <w:t xml:space="preserve">PRIMERO. </w:t>
      </w:r>
      <w:r>
        <w:rPr>
          <w:color w:val="000000"/>
        </w:rPr>
        <w:t xml:space="preserve">Se </w:t>
      </w:r>
      <w:r>
        <w:rPr>
          <w:b/>
          <w:bCs/>
          <w:color w:val="000000"/>
        </w:rPr>
        <w:t xml:space="preserve">SOBRESEE </w:t>
      </w:r>
      <w:r>
        <w:rPr>
          <w:color w:val="000000"/>
        </w:rPr>
        <w:t>el Recurso de Revisión con número</w:t>
      </w:r>
      <w:r>
        <w:rPr>
          <w:b/>
          <w:bCs/>
          <w:color w:val="000000"/>
        </w:rPr>
        <w:t xml:space="preserve"> </w:t>
      </w:r>
      <w:r>
        <w:rPr>
          <w:color w:val="000000"/>
        </w:rPr>
        <w:t xml:space="preserve">09916/INFOEM/IP/RR/2025, </w:t>
      </w:r>
      <w:r>
        <w:t xml:space="preserve">en términos del artículo 192, fracción V, por quedar sin materia, de conformidad con los Considerandos TERCERO y CUARTO de la presente Resolución.    </w:t>
      </w:r>
    </w:p>
    <w:p w:rsidR="00AE255C" w:rsidRDefault="00AE255C">
      <w:pPr>
        <w:spacing w:after="0" w:line="360" w:lineRule="auto"/>
        <w:rPr>
          <w:b/>
          <w:bCs/>
          <w:i/>
          <w:iCs/>
          <w:color w:val="000000"/>
        </w:rPr>
      </w:pPr>
    </w:p>
    <w:p w:rsidR="00AE255C" w:rsidRDefault="00FC025C">
      <w:pPr>
        <w:spacing w:after="0" w:line="360" w:lineRule="auto"/>
        <w:rPr>
          <w:b/>
          <w:bCs/>
          <w:color w:val="000000"/>
        </w:rPr>
      </w:pPr>
      <w:r>
        <w:rPr>
          <w:b/>
          <w:bCs/>
          <w:color w:val="000000"/>
        </w:rPr>
        <w:t xml:space="preserve">SEGUNDO. NOTIFÍQUESE POR SAIMEX </w:t>
      </w:r>
      <w:r>
        <w:rPr>
          <w:color w:val="000000"/>
        </w:rPr>
        <w:t>la presente Resolución al Titular de la Unidad de Transparencia del Sujeto Obligado.</w:t>
      </w:r>
    </w:p>
    <w:p w:rsidR="00AE255C" w:rsidRDefault="00AE255C">
      <w:pPr>
        <w:spacing w:after="0" w:line="360" w:lineRule="auto"/>
        <w:rPr>
          <w:b/>
          <w:bCs/>
          <w:i/>
          <w:iCs/>
          <w:color w:val="FF0000"/>
        </w:rPr>
      </w:pPr>
    </w:p>
    <w:p w:rsidR="00AE255C" w:rsidRDefault="00FC025C">
      <w:pPr>
        <w:spacing w:after="0" w:line="360" w:lineRule="auto"/>
        <w:rPr>
          <w:b/>
          <w:bCs/>
          <w:color w:val="000000"/>
        </w:rPr>
      </w:pPr>
      <w:r>
        <w:rPr>
          <w:b/>
          <w:bCs/>
          <w:color w:val="000000"/>
        </w:rPr>
        <w:t xml:space="preserve">TERCERO. NOTIFÍQUESE 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AE255C" w:rsidRDefault="00AE255C">
      <w:pPr>
        <w:spacing w:after="0" w:line="360" w:lineRule="auto"/>
        <w:rPr>
          <w:b/>
          <w:bCs/>
          <w:color w:val="FF0000"/>
        </w:rPr>
      </w:pPr>
    </w:p>
    <w:p w:rsidR="00AE255C" w:rsidRDefault="00FC025C">
      <w:pPr>
        <w:spacing w:after="0" w:line="360" w:lineRule="auto"/>
      </w:pPr>
      <w:r>
        <w:rPr>
          <w:b/>
          <w:bCs/>
        </w:rPr>
        <w:t xml:space="preserve">CUARTO. </w:t>
      </w:r>
      <w:r>
        <w:t xml:space="preserve">Gírese oficio a la Dirección General de Protección de Datos Personales de este Instituto, con fundamento en lo dispuesto en el artículo 24, fracciones XI, XII y XIII del Reglamento Interior del Instituto de Transparencia, Acceso a la Información Pública y Protección de Datos Personales del Estado de México y Municipios, en términos de lo dispuesto en el Considerando </w:t>
      </w:r>
      <w:r>
        <w:rPr>
          <w:b/>
          <w:bCs/>
        </w:rPr>
        <w:t>QUINTO</w:t>
      </w:r>
      <w:r>
        <w:t xml:space="preserve"> de la presente Resolución.</w:t>
      </w:r>
    </w:p>
    <w:p w:rsidR="00AE255C" w:rsidRDefault="00AE255C">
      <w:pPr>
        <w:spacing w:after="0" w:line="360" w:lineRule="auto"/>
        <w:rPr>
          <w:b/>
          <w:bCs/>
          <w:color w:val="FF0000"/>
        </w:rPr>
      </w:pPr>
    </w:p>
    <w:p w:rsidR="00AE255C" w:rsidRDefault="00FC025C">
      <w:pPr>
        <w:spacing w:after="0" w:line="360" w:lineRule="auto"/>
        <w:rPr>
          <w:b/>
          <w:bCs/>
          <w:color w:val="000000"/>
        </w:rPr>
      </w:pPr>
      <w:r>
        <w:rPr>
          <w:color w:val="000000"/>
        </w:rPr>
        <w:t>ASÍ LO RESUELVE, POR </w:t>
      </w:r>
      <w:r>
        <w:rPr>
          <w:b/>
          <w:bCs/>
          <w:color w:val="000000"/>
        </w:rPr>
        <w:t>UNANIMIDAD</w:t>
      </w:r>
      <w:r>
        <w:rPr>
          <w:color w:val="000000"/>
        </w:rPr>
        <w:t xml:space="preserve"> DE VOTOS EL PLENO DEL INSTITUTO DE TRANSPARENCIA, ACCESO A LA INFORMACIÓN PÚBLICA Y PROTECCIÓN DE </w:t>
      </w:r>
      <w:r>
        <w:rPr>
          <w:color w:val="000000"/>
        </w:rPr>
        <w:lastRenderedPageBreak/>
        <w:t>DATOS PERSONALES DEL ESTADO DE MÉXICO Y MUNICIPIOS, CONFORMADO POR LOS COMISIONADOS JOSÉ MARTÍNEZ VILCHIS, MARÍA DEL ROSARIO MEJÍA AYALA</w:t>
      </w:r>
      <w:r>
        <w:t xml:space="preserve"> (AUSENCIA JUSTIFICADA), </w:t>
      </w:r>
      <w:r>
        <w:rPr>
          <w:color w:val="000000"/>
        </w:rPr>
        <w:t xml:space="preserve"> SHARON CRISTINA MORALES MARTÍNEZ, LUIS GUSTAVO PARRA NORIEGA Y GUADALUPE RAMÍREZ PEÑA, EN LA TERCERA SESIÓN ORDINARIA, CELEBRADA EL VEINTIOCHO DE ENERO DE DOS MIL </w:t>
      </w:r>
      <w:r>
        <w:t>VEINTISÉIS</w:t>
      </w:r>
      <w:r>
        <w:rPr>
          <w:color w:val="000000"/>
        </w:rPr>
        <w:t>, ANTE EL SECRETARIO TÉCNICO DEL PLENO, ALEXIS TAPIA RAMÍREZ.</w:t>
      </w: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spacing w:after="0" w:line="360" w:lineRule="auto"/>
        <w:rPr>
          <w:b/>
          <w:bCs/>
          <w:color w:val="000000"/>
        </w:rPr>
      </w:pPr>
    </w:p>
    <w:p w:rsidR="00AE255C" w:rsidRDefault="00AE255C">
      <w:pPr>
        <w:tabs>
          <w:tab w:val="right" w:pos="8931"/>
        </w:tabs>
        <w:spacing w:after="0" w:line="360" w:lineRule="auto"/>
      </w:pPr>
    </w:p>
    <w:p w:rsidR="00AE255C" w:rsidRDefault="00AE255C">
      <w:pPr>
        <w:tabs>
          <w:tab w:val="right" w:pos="8931"/>
        </w:tabs>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p w:rsidR="00AE255C" w:rsidRDefault="00AE255C">
      <w:pPr>
        <w:spacing w:after="0" w:line="360" w:lineRule="auto"/>
      </w:pPr>
    </w:p>
    <w:sectPr w:rsidR="00AE255C">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AA3" w:rsidRDefault="00623AA3">
      <w:pPr>
        <w:spacing w:after="0" w:line="240" w:lineRule="auto"/>
      </w:pPr>
      <w:r>
        <w:separator/>
      </w:r>
    </w:p>
  </w:endnote>
  <w:endnote w:type="continuationSeparator" w:id="0">
    <w:p w:rsidR="00623AA3" w:rsidRDefault="00623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E0F4315D-E68F-4ABB-A7FB-984DB9538C4F}"/>
    <w:embedBold r:id="rId2" w:fontKey="{7CB70991-F32E-4D73-8C15-236A5D978EB2}"/>
    <w:embedItalic r:id="rId3" w:fontKey="{F0797DBE-3812-4ACA-961D-B2E73CFDD348}"/>
    <w:embedBoldItalic r:id="rId4" w:fontKey="{DA858AC6-C2C6-4116-87A1-BDEEB643B568}"/>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EA3F06B1-066E-4F51-8718-20F2B6C6128B}"/>
  </w:font>
  <w:font w:name="Calibri">
    <w:panose1 w:val="020F0502020204030204"/>
    <w:charset w:val="00"/>
    <w:family w:val="swiss"/>
    <w:pitch w:val="variable"/>
    <w:sig w:usb0="E4002EFF" w:usb1="C200247B" w:usb2="00000009" w:usb3="00000000" w:csb0="000001FF" w:csb1="00000000"/>
    <w:embedRegular r:id="rId6" w:fontKey="{1D7981F2-B41A-460B-8880-40EABCB780BD}"/>
  </w:font>
  <w:font w:name="Calibri Light">
    <w:panose1 w:val="020F0302020204030204"/>
    <w:charset w:val="00"/>
    <w:family w:val="swiss"/>
    <w:pitch w:val="variable"/>
    <w:sig w:usb0="E4002EFF" w:usb1="C200247B" w:usb2="00000009" w:usb3="00000000" w:csb0="000001FF" w:csb1="00000000"/>
    <w:embedRegular r:id="rId7" w:fontKey="{49F5BE19-D79C-41F2-86FB-2E1B438768F2}"/>
  </w:font>
  <w:font w:name="Georgia">
    <w:panose1 w:val="02040502050405020303"/>
    <w:charset w:val="00"/>
    <w:family w:val="roman"/>
    <w:pitch w:val="variable"/>
    <w:sig w:usb0="00000287" w:usb1="00000000" w:usb2="00000000" w:usb3="00000000" w:csb0="0000009F" w:csb1="00000000"/>
    <w:embedItalic r:id="rId8" w:fontKey="{78F1D610-2D02-40AB-95B4-AB50B5BDCAEB}"/>
  </w:font>
  <w:font w:name="Century Gothic">
    <w:panose1 w:val="020B0502020202020204"/>
    <w:charset w:val="00"/>
    <w:family w:val="swiss"/>
    <w:pitch w:val="variable"/>
    <w:sig w:usb0="00000287" w:usb1="00000000" w:usb2="00000000" w:usb3="00000000" w:csb0="0000009F" w:csb1="00000000"/>
    <w:embedRegular r:id="rId9" w:fontKey="{65E60D54-DB6E-4804-8812-4ECE43D726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5C" w:rsidRDefault="00FC02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47040A">
      <w:rPr>
        <w:b/>
        <w:bCs/>
        <w:color w:val="000000"/>
        <w:sz w:val="24"/>
        <w:szCs w:val="24"/>
      </w:rPr>
      <w:fldChar w:fldCharType="separate"/>
    </w:r>
    <w:r w:rsidR="0047040A">
      <w:rPr>
        <w:b/>
        <w:bCs/>
        <w:noProof/>
        <w:color w:val="000000"/>
        <w:sz w:val="24"/>
        <w:szCs w:val="24"/>
      </w:rPr>
      <w:t>31</w:t>
    </w:r>
    <w:r>
      <w:rPr>
        <w:b/>
        <w:bCs/>
        <w:color w:val="000000"/>
        <w:sz w:val="24"/>
        <w:szCs w:val="24"/>
      </w:rPr>
      <w:fldChar w:fldCharType="end"/>
    </w:r>
  </w:p>
  <w:p w:rsidR="00AE255C" w:rsidRDefault="00AE255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5C" w:rsidRDefault="00FC02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7040A">
      <w:rPr>
        <w:b/>
        <w:bCs/>
        <w:noProof/>
        <w:color w:val="000000"/>
        <w:sz w:val="24"/>
        <w:szCs w:val="24"/>
      </w:rPr>
      <w:t>30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7040A">
      <w:rPr>
        <w:b/>
        <w:bCs/>
        <w:noProof/>
        <w:color w:val="000000"/>
        <w:sz w:val="24"/>
        <w:szCs w:val="24"/>
      </w:rPr>
      <w:t>31</w:t>
    </w:r>
    <w:r>
      <w:rPr>
        <w:b/>
        <w:bCs/>
        <w:color w:val="000000"/>
        <w:sz w:val="24"/>
        <w:szCs w:val="24"/>
      </w:rPr>
      <w:fldChar w:fldCharType="end"/>
    </w:r>
  </w:p>
  <w:p w:rsidR="00AE255C" w:rsidRDefault="00AE255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5C" w:rsidRDefault="00FC02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7040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7040A">
      <w:rPr>
        <w:b/>
        <w:bCs/>
        <w:noProof/>
        <w:color w:val="000000"/>
        <w:sz w:val="24"/>
        <w:szCs w:val="24"/>
      </w:rPr>
      <w:t>31</w:t>
    </w:r>
    <w:r>
      <w:rPr>
        <w:b/>
        <w:bCs/>
        <w:color w:val="000000"/>
        <w:sz w:val="24"/>
        <w:szCs w:val="24"/>
      </w:rPr>
      <w:fldChar w:fldCharType="end"/>
    </w:r>
  </w:p>
  <w:p w:rsidR="00AE255C" w:rsidRDefault="00AE25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AA3" w:rsidRDefault="00623AA3">
      <w:pPr>
        <w:spacing w:after="0" w:line="240" w:lineRule="auto"/>
      </w:pPr>
      <w:r>
        <w:separator/>
      </w:r>
    </w:p>
  </w:footnote>
  <w:footnote w:type="continuationSeparator" w:id="0">
    <w:p w:rsidR="00623AA3" w:rsidRDefault="00623A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5C" w:rsidRDefault="00AE255C">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E255C">
      <w:trPr>
        <w:trHeight w:val="132"/>
      </w:trPr>
      <w:tc>
        <w:tcPr>
          <w:tcW w:w="0" w:type="auto"/>
        </w:tcPr>
        <w:p w:rsidR="00AE255C" w:rsidRDefault="00FC025C">
          <w:pPr>
            <w:tabs>
              <w:tab w:val="right" w:pos="8838"/>
            </w:tabs>
            <w:ind w:right="-105"/>
            <w:rPr>
              <w:b/>
              <w:bCs/>
            </w:rPr>
          </w:pPr>
          <w:r>
            <w:rPr>
              <w:b/>
              <w:bCs/>
            </w:rPr>
            <w:t>Recurso de Revisión:</w:t>
          </w:r>
        </w:p>
      </w:tc>
      <w:tc>
        <w:tcPr>
          <w:tcW w:w="0" w:type="auto"/>
        </w:tcPr>
        <w:p w:rsidR="00AE255C" w:rsidRDefault="00FC025C">
          <w:pPr>
            <w:tabs>
              <w:tab w:val="right" w:pos="8838"/>
            </w:tabs>
            <w:ind w:left="-28" w:right="-32"/>
          </w:pPr>
          <w:r>
            <w:t>03846/INFOEM/IP/RR/2020</w:t>
          </w:r>
        </w:p>
      </w:tc>
    </w:tr>
    <w:tr w:rsidR="00AE255C">
      <w:trPr>
        <w:trHeight w:val="261"/>
      </w:trPr>
      <w:tc>
        <w:tcPr>
          <w:tcW w:w="0" w:type="auto"/>
        </w:tcPr>
        <w:p w:rsidR="00AE255C" w:rsidRDefault="00FC025C">
          <w:pPr>
            <w:tabs>
              <w:tab w:val="right" w:pos="8838"/>
            </w:tabs>
            <w:ind w:right="-105"/>
            <w:rPr>
              <w:b/>
              <w:bCs/>
            </w:rPr>
          </w:pPr>
          <w:r>
            <w:rPr>
              <w:b/>
              <w:bCs/>
            </w:rPr>
            <w:t>Sujeto Obligado:</w:t>
          </w:r>
        </w:p>
      </w:tc>
      <w:tc>
        <w:tcPr>
          <w:tcW w:w="0" w:type="auto"/>
        </w:tcPr>
        <w:p w:rsidR="00AE255C" w:rsidRDefault="00FC025C">
          <w:pPr>
            <w:tabs>
              <w:tab w:val="right" w:pos="8838"/>
            </w:tabs>
            <w:ind w:right="-32"/>
          </w:pPr>
          <w:r>
            <w:t xml:space="preserve">Ayuntamiento de </w:t>
          </w:r>
          <w:proofErr w:type="spellStart"/>
          <w:r>
            <w:t>Temascalcingo</w:t>
          </w:r>
          <w:proofErr w:type="spellEnd"/>
        </w:p>
      </w:tc>
    </w:tr>
    <w:tr w:rsidR="00AE255C">
      <w:trPr>
        <w:trHeight w:val="261"/>
      </w:trPr>
      <w:tc>
        <w:tcPr>
          <w:tcW w:w="0" w:type="auto"/>
        </w:tcPr>
        <w:p w:rsidR="00AE255C" w:rsidRDefault="00FC025C">
          <w:pPr>
            <w:tabs>
              <w:tab w:val="right" w:pos="8838"/>
            </w:tabs>
            <w:ind w:right="-105"/>
            <w:rPr>
              <w:b/>
              <w:bCs/>
            </w:rPr>
          </w:pPr>
          <w:r>
            <w:rPr>
              <w:b/>
              <w:bCs/>
            </w:rPr>
            <w:t>Comisionado Ponente:</w:t>
          </w:r>
        </w:p>
      </w:tc>
      <w:tc>
        <w:tcPr>
          <w:tcW w:w="0" w:type="auto"/>
        </w:tcPr>
        <w:p w:rsidR="00AE255C" w:rsidRDefault="00FC025C">
          <w:pPr>
            <w:tabs>
              <w:tab w:val="right" w:pos="8838"/>
            </w:tabs>
            <w:ind w:right="-32"/>
            <w:rPr>
              <w:b/>
              <w:bCs/>
            </w:rPr>
          </w:pPr>
          <w:r>
            <w:t>Luis Gustavo Parra Noriega</w:t>
          </w:r>
        </w:p>
      </w:tc>
    </w:tr>
  </w:tbl>
  <w:p w:rsidR="00AE255C" w:rsidRDefault="00623AA3">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5C" w:rsidRDefault="00623AA3">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E255C">
      <w:trPr>
        <w:trHeight w:val="138"/>
      </w:trPr>
      <w:tc>
        <w:tcPr>
          <w:tcW w:w="2693" w:type="dxa"/>
          <w:vAlign w:val="center"/>
        </w:tcPr>
        <w:p w:rsidR="00AE255C" w:rsidRDefault="00AE255C">
          <w:pPr>
            <w:tabs>
              <w:tab w:val="right" w:pos="8838"/>
            </w:tabs>
            <w:ind w:left="-108" w:right="-105"/>
            <w:jc w:val="left"/>
            <w:rPr>
              <w:b/>
              <w:bCs/>
            </w:rPr>
          </w:pPr>
        </w:p>
        <w:p w:rsidR="00AE255C" w:rsidRDefault="00FC025C">
          <w:pPr>
            <w:tabs>
              <w:tab w:val="right" w:pos="8838"/>
            </w:tabs>
            <w:ind w:left="-108" w:right="-105"/>
            <w:jc w:val="left"/>
            <w:rPr>
              <w:b/>
              <w:bCs/>
            </w:rPr>
          </w:pPr>
          <w:r>
            <w:rPr>
              <w:b/>
              <w:bCs/>
            </w:rPr>
            <w:t>Recurso de Revisión:</w:t>
          </w:r>
        </w:p>
      </w:tc>
      <w:tc>
        <w:tcPr>
          <w:tcW w:w="3969" w:type="dxa"/>
        </w:tcPr>
        <w:p w:rsidR="00AE255C" w:rsidRDefault="00AE255C">
          <w:pPr>
            <w:tabs>
              <w:tab w:val="right" w:pos="8838"/>
            </w:tabs>
            <w:ind w:right="57"/>
          </w:pPr>
        </w:p>
        <w:p w:rsidR="00AE255C" w:rsidRDefault="00FC025C">
          <w:pPr>
            <w:tabs>
              <w:tab w:val="right" w:pos="8838"/>
            </w:tabs>
            <w:ind w:right="57"/>
          </w:pPr>
          <w:r>
            <w:t>09916/INFOEM/IP/RR/2025</w:t>
          </w:r>
        </w:p>
      </w:tc>
    </w:tr>
    <w:tr w:rsidR="00AE255C">
      <w:trPr>
        <w:trHeight w:val="273"/>
      </w:trPr>
      <w:tc>
        <w:tcPr>
          <w:tcW w:w="2693" w:type="dxa"/>
        </w:tcPr>
        <w:p w:rsidR="00AE255C" w:rsidRDefault="00FC025C">
          <w:pPr>
            <w:tabs>
              <w:tab w:val="right" w:pos="8838"/>
            </w:tabs>
            <w:ind w:left="-108" w:right="-105"/>
            <w:rPr>
              <w:b/>
              <w:bCs/>
            </w:rPr>
          </w:pPr>
          <w:r>
            <w:rPr>
              <w:b/>
              <w:bCs/>
            </w:rPr>
            <w:t>Sujeto Obligado:</w:t>
          </w:r>
        </w:p>
      </w:tc>
      <w:tc>
        <w:tcPr>
          <w:tcW w:w="3969" w:type="dxa"/>
        </w:tcPr>
        <w:p w:rsidR="00AE255C" w:rsidRDefault="00FC025C">
          <w:pPr>
            <w:tabs>
              <w:tab w:val="right" w:pos="8838"/>
            </w:tabs>
            <w:ind w:right="180"/>
          </w:pPr>
          <w:r>
            <w:t>Ayuntamiento de Zinacantepec</w:t>
          </w:r>
        </w:p>
      </w:tc>
    </w:tr>
    <w:tr w:rsidR="00AE255C">
      <w:trPr>
        <w:trHeight w:val="273"/>
      </w:trPr>
      <w:tc>
        <w:tcPr>
          <w:tcW w:w="2693" w:type="dxa"/>
        </w:tcPr>
        <w:p w:rsidR="00AE255C" w:rsidRDefault="00FC025C">
          <w:pPr>
            <w:tabs>
              <w:tab w:val="right" w:pos="8838"/>
            </w:tabs>
            <w:ind w:left="-108" w:right="-105"/>
            <w:rPr>
              <w:b/>
              <w:bCs/>
            </w:rPr>
          </w:pPr>
          <w:r>
            <w:rPr>
              <w:b/>
              <w:bCs/>
            </w:rPr>
            <w:t>Comisionado Ponente:</w:t>
          </w:r>
        </w:p>
      </w:tc>
      <w:tc>
        <w:tcPr>
          <w:tcW w:w="3969" w:type="dxa"/>
        </w:tcPr>
        <w:p w:rsidR="00AE255C" w:rsidRDefault="00FC025C">
          <w:pPr>
            <w:tabs>
              <w:tab w:val="right" w:pos="8838"/>
            </w:tabs>
            <w:ind w:right="-170"/>
          </w:pPr>
          <w:r>
            <w:t>Luis Gustavo Parra Noriega</w:t>
          </w:r>
        </w:p>
        <w:p w:rsidR="00AE255C" w:rsidRDefault="00AE255C">
          <w:pPr>
            <w:tabs>
              <w:tab w:val="right" w:pos="8838"/>
            </w:tabs>
            <w:ind w:right="-170"/>
            <w:rPr>
              <w:b/>
              <w:bCs/>
            </w:rPr>
          </w:pPr>
        </w:p>
      </w:tc>
    </w:tr>
  </w:tbl>
  <w:p w:rsidR="00AE255C" w:rsidRDefault="00AE255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55C" w:rsidRDefault="00AE255C">
    <w:pPr>
      <w:widowControl w:val="0"/>
      <w:pBdr>
        <w:top w:val="nil"/>
        <w:left w:val="nil"/>
        <w:bottom w:val="nil"/>
        <w:right w:val="nil"/>
        <w:between w:val="nil"/>
      </w:pBdr>
      <w:spacing w:after="0" w:line="276" w:lineRule="auto"/>
      <w:jc w:val="left"/>
      <w:rPr>
        <w:color w:val="000000"/>
      </w:rPr>
    </w:pPr>
  </w:p>
  <w:tbl>
    <w:tblPr>
      <w:tblStyle w:val="a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E255C">
      <w:trPr>
        <w:trHeight w:val="132"/>
      </w:trPr>
      <w:tc>
        <w:tcPr>
          <w:tcW w:w="2551" w:type="dxa"/>
        </w:tcPr>
        <w:p w:rsidR="00AE255C" w:rsidRDefault="00FC025C">
          <w:pPr>
            <w:tabs>
              <w:tab w:val="right" w:pos="8838"/>
            </w:tabs>
            <w:ind w:right="-105"/>
            <w:rPr>
              <w:b/>
              <w:bCs/>
            </w:rPr>
          </w:pPr>
          <w:r>
            <w:rPr>
              <w:b/>
              <w:bCs/>
            </w:rPr>
            <w:t>Recurso de Revisión:</w:t>
          </w:r>
        </w:p>
      </w:tc>
      <w:tc>
        <w:tcPr>
          <w:tcW w:w="4253" w:type="dxa"/>
        </w:tcPr>
        <w:p w:rsidR="00AE255C" w:rsidRDefault="00FC025C">
          <w:r>
            <w:t>09916/INFOEM/IP/RR/2025</w:t>
          </w:r>
        </w:p>
      </w:tc>
    </w:tr>
    <w:tr w:rsidR="00AE255C">
      <w:trPr>
        <w:trHeight w:val="132"/>
      </w:trPr>
      <w:tc>
        <w:tcPr>
          <w:tcW w:w="2551" w:type="dxa"/>
        </w:tcPr>
        <w:p w:rsidR="00AE255C" w:rsidRDefault="00FC025C">
          <w:pPr>
            <w:tabs>
              <w:tab w:val="left" w:pos="1875"/>
            </w:tabs>
            <w:ind w:right="-105"/>
            <w:rPr>
              <w:b/>
              <w:bCs/>
            </w:rPr>
          </w:pPr>
          <w:r>
            <w:rPr>
              <w:b/>
              <w:bCs/>
            </w:rPr>
            <w:t>Recurrente:</w:t>
          </w:r>
          <w:r>
            <w:rPr>
              <w:b/>
              <w:bCs/>
            </w:rPr>
            <w:tab/>
          </w:r>
        </w:p>
      </w:tc>
      <w:tc>
        <w:tcPr>
          <w:tcW w:w="4253" w:type="dxa"/>
        </w:tcPr>
        <w:p w:rsidR="00AE255C" w:rsidRDefault="00AE255C">
          <w:pPr>
            <w:tabs>
              <w:tab w:val="right" w:pos="8838"/>
            </w:tabs>
            <w:ind w:right="-250"/>
          </w:pPr>
        </w:p>
      </w:tc>
    </w:tr>
    <w:tr w:rsidR="00AE255C">
      <w:trPr>
        <w:trHeight w:val="261"/>
      </w:trPr>
      <w:tc>
        <w:tcPr>
          <w:tcW w:w="2551" w:type="dxa"/>
        </w:tcPr>
        <w:p w:rsidR="00AE255C" w:rsidRDefault="00FC025C">
          <w:pPr>
            <w:tabs>
              <w:tab w:val="right" w:pos="8838"/>
            </w:tabs>
            <w:ind w:right="-105"/>
            <w:rPr>
              <w:b/>
              <w:bCs/>
            </w:rPr>
          </w:pPr>
          <w:r>
            <w:rPr>
              <w:b/>
              <w:bCs/>
            </w:rPr>
            <w:t>Sujeto Obligado:</w:t>
          </w:r>
        </w:p>
      </w:tc>
      <w:tc>
        <w:tcPr>
          <w:tcW w:w="4253" w:type="dxa"/>
        </w:tcPr>
        <w:p w:rsidR="00AE255C" w:rsidRDefault="00FC025C">
          <w:pPr>
            <w:ind w:right="459"/>
          </w:pPr>
          <w:r>
            <w:t>Ayuntamiento de Zinacantepec</w:t>
          </w:r>
        </w:p>
      </w:tc>
    </w:tr>
    <w:tr w:rsidR="00AE255C">
      <w:trPr>
        <w:trHeight w:val="261"/>
      </w:trPr>
      <w:tc>
        <w:tcPr>
          <w:tcW w:w="2551" w:type="dxa"/>
        </w:tcPr>
        <w:p w:rsidR="00AE255C" w:rsidRDefault="00FC025C">
          <w:pPr>
            <w:tabs>
              <w:tab w:val="right" w:pos="8838"/>
            </w:tabs>
            <w:ind w:right="-105"/>
            <w:rPr>
              <w:b/>
              <w:bCs/>
            </w:rPr>
          </w:pPr>
          <w:r>
            <w:rPr>
              <w:b/>
              <w:bCs/>
            </w:rPr>
            <w:t>Comisionado Ponente:</w:t>
          </w:r>
        </w:p>
      </w:tc>
      <w:tc>
        <w:tcPr>
          <w:tcW w:w="4253" w:type="dxa"/>
        </w:tcPr>
        <w:p w:rsidR="00AE255C" w:rsidRDefault="00FC025C">
          <w:pPr>
            <w:tabs>
              <w:tab w:val="right" w:pos="8838"/>
            </w:tabs>
            <w:ind w:right="-32"/>
            <w:rPr>
              <w:b/>
              <w:bCs/>
            </w:rPr>
          </w:pPr>
          <w:r>
            <w:t>Luis Gustavo Parra Noriega</w:t>
          </w:r>
        </w:p>
      </w:tc>
    </w:tr>
  </w:tbl>
  <w:p w:rsidR="00AE255C" w:rsidRDefault="00623AA3">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87AC8"/>
    <w:multiLevelType w:val="multilevel"/>
    <w:tmpl w:val="1F0C794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AD404D"/>
    <w:multiLevelType w:val="multilevel"/>
    <w:tmpl w:val="3B7EC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F043E8"/>
    <w:multiLevelType w:val="multilevel"/>
    <w:tmpl w:val="C95442AE"/>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B64C13"/>
    <w:multiLevelType w:val="multilevel"/>
    <w:tmpl w:val="54801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3E1234"/>
    <w:multiLevelType w:val="multilevel"/>
    <w:tmpl w:val="244AA2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EB7CE9"/>
    <w:multiLevelType w:val="multilevel"/>
    <w:tmpl w:val="A9C0D39E"/>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C20F0F"/>
    <w:multiLevelType w:val="multilevel"/>
    <w:tmpl w:val="E126EA78"/>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55C"/>
    <w:rsid w:val="00070578"/>
    <w:rsid w:val="003B29F2"/>
    <w:rsid w:val="0047040A"/>
    <w:rsid w:val="005B412A"/>
    <w:rsid w:val="00623AA3"/>
    <w:rsid w:val="00AE255C"/>
    <w:rsid w:val="00AF74FE"/>
    <w:rsid w:val="00FC02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551F30D-8263-4CE9-BC31-9F93C89F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E66685"/>
    <w:rPr>
      <w:rFonts w:ascii="Palatino Linotype" w:eastAsia="Palatino Linotype" w:hAnsi="Palatino Linotype" w:cs="Palatino Linotype"/>
      <w:b/>
      <w:color w:val="000000" w:themeColor="text1"/>
      <w:sz w:val="48"/>
      <w:szCs w:val="48"/>
      <w:lang w:eastAsia="es-MX"/>
    </w:rPr>
  </w:style>
  <w:style w:type="character" w:customStyle="1" w:styleId="Ttulo2Car">
    <w:name w:val="Título 2 Car"/>
    <w:basedOn w:val="Fuentedeprrafopredeter"/>
    <w:uiPriority w:val="9"/>
    <w:rsid w:val="00E66685"/>
    <w:rPr>
      <w:rFonts w:ascii="Palatino Linotype" w:eastAsia="Palatino Linotype" w:hAnsi="Palatino Linotype" w:cs="Palatino Linotype"/>
      <w:b/>
      <w:color w:val="000000" w:themeColor="text1"/>
      <w:sz w:val="36"/>
      <w:szCs w:val="36"/>
      <w:lang w:eastAsia="es-MX"/>
    </w:rPr>
  </w:style>
  <w:style w:type="table" w:customStyle="1" w:styleId="3">
    <w:name w:val="3"/>
    <w:basedOn w:val="Tablanormal"/>
    <w:rsid w:val="00E66685"/>
    <w:pPr>
      <w:spacing w:after="0" w:line="240" w:lineRule="auto"/>
    </w:pPr>
    <w:tblPr>
      <w:tblStyleRowBandSize w:val="1"/>
      <w:tblStyleColBandSize w:val="1"/>
      <w:tblInd w:w="0" w:type="nil"/>
    </w:tblPr>
  </w:style>
  <w:style w:type="table" w:customStyle="1" w:styleId="2">
    <w:name w:val="2"/>
    <w:basedOn w:val="Tablanormal"/>
    <w:rsid w:val="00E66685"/>
    <w:pPr>
      <w:spacing w:after="0" w:line="240" w:lineRule="auto"/>
    </w:pPr>
    <w:tblPr>
      <w:tblStyleRowBandSize w:val="1"/>
      <w:tblStyleColBandSize w:val="1"/>
      <w:tblInd w:w="0" w:type="nil"/>
    </w:tblPr>
  </w:style>
  <w:style w:type="table" w:customStyle="1" w:styleId="1">
    <w:name w:val="1"/>
    <w:basedOn w:val="Tablanormal"/>
    <w:rsid w:val="00E66685"/>
    <w:pPr>
      <w:spacing w:after="0" w:line="240" w:lineRule="auto"/>
    </w:pPr>
    <w:tblPr>
      <w:tblStyleRowBandSize w:val="1"/>
      <w:tblStyleColBandSize w:val="1"/>
      <w:tblInd w:w="0" w:type="nil"/>
    </w:tblPr>
  </w:style>
  <w:style w:type="character" w:styleId="Hipervnculo">
    <w:name w:val="Hyperlink"/>
    <w:aliases w:val="Hipervínculo1,Hipervínculo11,Hipervínculo12,Hipervínculo13,Hipervínculo14,Hipervínculo15"/>
    <w:basedOn w:val="Fuentedeprrafopredeter"/>
    <w:uiPriority w:val="99"/>
    <w:unhideWhenUsed/>
    <w:qFormat/>
    <w:rsid w:val="00E66685"/>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E6668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6685"/>
    <w:pPr>
      <w:spacing w:after="0" w:line="240" w:lineRule="auto"/>
      <w:ind w:left="720"/>
      <w:contextualSpacing/>
    </w:pPr>
    <w:rPr>
      <w:rFonts w:asciiTheme="minorHAnsi" w:eastAsia="Times New Roman" w:hAnsiTheme="minorHAnsi" w:cs="Times New Roman"/>
      <w:szCs w:val="24"/>
      <w:lang w:eastAsia="es-ES"/>
    </w:rPr>
  </w:style>
  <w:style w:type="paragraph" w:styleId="TtulodeTDC">
    <w:name w:val="TOC Heading"/>
    <w:next w:val="Normal"/>
    <w:uiPriority w:val="39"/>
    <w:unhideWhenUsed/>
    <w:qFormat/>
    <w:rsid w:val="00E66685"/>
    <w:pPr>
      <w:spacing w:before="240" w:after="0" w:line="259" w:lineRule="auto"/>
      <w:jc w:val="left"/>
    </w:pPr>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E66685"/>
    <w:pPr>
      <w:spacing w:after="100"/>
    </w:pPr>
  </w:style>
  <w:style w:type="paragraph" w:styleId="TDC2">
    <w:name w:val="toc 2"/>
    <w:basedOn w:val="Normal"/>
    <w:next w:val="Normal"/>
    <w:autoRedefine/>
    <w:uiPriority w:val="39"/>
    <w:unhideWhenUsed/>
    <w:rsid w:val="00E66685"/>
    <w:pPr>
      <w:spacing w:after="100"/>
      <w:ind w:left="220"/>
    </w:pPr>
  </w:style>
  <w:style w:type="character" w:styleId="Textoennegrita">
    <w:name w:val="Strong"/>
    <w:basedOn w:val="Fuentedeprrafopredeter"/>
    <w:uiPriority w:val="22"/>
    <w:qFormat/>
    <w:rsid w:val="007C414C"/>
    <w:rPr>
      <w:b/>
      <w:b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ecretariadoejecutivo.gob.mx/work/models/SecretariadoEjecutivo/Resource/328/1/images/instructivo_final_edo_fuerza(1).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GuCQpmiKbIR6zSroYwK63XHTXQ==">CgMxLjAyDmgudWcwOXZvNHpocmE3Mg5oLnM2dW8zam9peHNmdTIOaC5nb3V4aDhsaDNreHIyDmguY3V6OTNscnB1MjBvMg5oLjU4YnVubzNwd3FiMTIOaC5sbnNoMXpybXQ1a2QyDmgudWNnNXUxNHllYnJwMg5oLmxkeWFveWhrMGd2MzIJaC4zMGowemxsMg5oLmE1d2gycXM2MHR4ZzIOaC5zbWN1NGhrcDloamEyDmguOTJmNzNqcmNkbjZiMg5oLjF4bm9ueWt0eW1tZDgAciExMFZLdkZjbU42Z0hfV3cyMXNJUlVnQ29lazlBcDFMRV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1ECBF1-A72C-4159-93D2-BCF019597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7762</Words>
  <Characters>42691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2026-01-30T16:36:00Z</cp:lastPrinted>
  <dcterms:created xsi:type="dcterms:W3CDTF">2026-01-30T16:35:00Z</dcterms:created>
  <dcterms:modified xsi:type="dcterms:W3CDTF">2026-01-30T16:36:00Z</dcterms:modified>
</cp:coreProperties>
</file>