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67E93839" w:rsidR="00566EB9" w:rsidRPr="00DD1A7B"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D1A7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D1A7B">
        <w:rPr>
          <w:rFonts w:ascii="Palatino Linotype" w:eastAsia="Palatino Linotype" w:hAnsi="Palatino Linotype" w:cs="Palatino Linotype"/>
          <w:b/>
          <w:sz w:val="22"/>
          <w:szCs w:val="22"/>
        </w:rPr>
        <w:t xml:space="preserve">a </w:t>
      </w:r>
      <w:r w:rsidR="001C252D" w:rsidRPr="00DD1A7B">
        <w:rPr>
          <w:rFonts w:ascii="Palatino Linotype" w:eastAsia="Palatino Linotype" w:hAnsi="Palatino Linotype" w:cs="Palatino Linotype"/>
          <w:b/>
          <w:sz w:val="22"/>
          <w:szCs w:val="22"/>
        </w:rPr>
        <w:t>dieciocho</w:t>
      </w:r>
      <w:r w:rsidR="0067755B" w:rsidRPr="00DD1A7B">
        <w:rPr>
          <w:rFonts w:ascii="Palatino Linotype" w:eastAsia="Palatino Linotype" w:hAnsi="Palatino Linotype" w:cs="Palatino Linotype"/>
          <w:b/>
          <w:sz w:val="22"/>
          <w:szCs w:val="22"/>
        </w:rPr>
        <w:t xml:space="preserve"> de febrero</w:t>
      </w:r>
      <w:r w:rsidR="002E02CC" w:rsidRPr="00DD1A7B">
        <w:rPr>
          <w:rFonts w:ascii="Palatino Linotype" w:eastAsia="Palatino Linotype" w:hAnsi="Palatino Linotype" w:cs="Palatino Linotype"/>
          <w:b/>
          <w:sz w:val="22"/>
          <w:szCs w:val="22"/>
        </w:rPr>
        <w:t xml:space="preserve"> de dos mil veintiséis.</w:t>
      </w:r>
      <w:r w:rsidRPr="00DD1A7B">
        <w:rPr>
          <w:rFonts w:ascii="Palatino Linotype" w:eastAsia="Palatino Linotype" w:hAnsi="Palatino Linotype" w:cs="Palatino Linotype"/>
          <w:sz w:val="22"/>
          <w:szCs w:val="22"/>
        </w:rPr>
        <w:t xml:space="preserve"> </w:t>
      </w:r>
    </w:p>
    <w:p w14:paraId="74DCE31D" w14:textId="09C99E2B" w:rsidR="00566EB9" w:rsidRPr="00DD1A7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D1A7B">
        <w:rPr>
          <w:rFonts w:ascii="Palatino Linotype" w:eastAsia="Palatino Linotype" w:hAnsi="Palatino Linotype" w:cs="Palatino Linotype"/>
          <w:b/>
          <w:sz w:val="22"/>
          <w:szCs w:val="22"/>
        </w:rPr>
        <w:t>Visto</w:t>
      </w:r>
      <w:r w:rsidRPr="00DD1A7B">
        <w:rPr>
          <w:rFonts w:ascii="Palatino Linotype" w:eastAsia="Palatino Linotype" w:hAnsi="Palatino Linotype" w:cs="Palatino Linotype"/>
          <w:sz w:val="22"/>
          <w:szCs w:val="22"/>
        </w:rPr>
        <w:t xml:space="preserve"> el expediente formado con motivo del recurso de revisión </w:t>
      </w:r>
      <w:r w:rsidRPr="00DD1A7B">
        <w:rPr>
          <w:rFonts w:ascii="Palatino Linotype" w:eastAsia="Palatino Linotype" w:hAnsi="Palatino Linotype" w:cs="Palatino Linotype"/>
          <w:b/>
          <w:sz w:val="22"/>
          <w:szCs w:val="22"/>
        </w:rPr>
        <w:t>0</w:t>
      </w:r>
      <w:r w:rsidR="001C252D" w:rsidRPr="00DD1A7B">
        <w:rPr>
          <w:rFonts w:ascii="Palatino Linotype" w:eastAsia="Palatino Linotype" w:hAnsi="Palatino Linotype" w:cs="Palatino Linotype"/>
          <w:b/>
          <w:sz w:val="22"/>
          <w:szCs w:val="22"/>
        </w:rPr>
        <w:t>8364</w:t>
      </w:r>
      <w:r w:rsidRPr="00DD1A7B">
        <w:rPr>
          <w:rFonts w:ascii="Palatino Linotype" w:eastAsia="Palatino Linotype" w:hAnsi="Palatino Linotype" w:cs="Palatino Linotype"/>
          <w:b/>
          <w:sz w:val="22"/>
          <w:szCs w:val="22"/>
        </w:rPr>
        <w:t>/INFOEM/IP/RR/2025</w:t>
      </w:r>
      <w:r w:rsidRPr="00DD1A7B">
        <w:rPr>
          <w:rFonts w:ascii="Palatino Linotype" w:eastAsia="Palatino Linotype" w:hAnsi="Palatino Linotype" w:cs="Palatino Linotype"/>
          <w:sz w:val="22"/>
          <w:szCs w:val="22"/>
        </w:rPr>
        <w:t>, interpuesto por</w:t>
      </w:r>
      <w:r w:rsidR="003F0A9C" w:rsidRPr="00DD1A7B">
        <w:t xml:space="preserve"> </w:t>
      </w:r>
      <w:r w:rsidR="005F2CFB" w:rsidRPr="005F2CFB">
        <w:rPr>
          <w:rFonts w:ascii="Palatino Linotype" w:eastAsia="Palatino Linotype" w:hAnsi="Palatino Linotype" w:cs="Palatino Linotype"/>
          <w:b/>
          <w:sz w:val="22"/>
          <w:szCs w:val="22"/>
        </w:rPr>
        <w:t>XXXXX XX XXXXXX XXXXXXX XXXXXX</w:t>
      </w:r>
      <w:r w:rsidRPr="005F2CFB">
        <w:rPr>
          <w:rFonts w:ascii="Palatino Linotype" w:eastAsia="Palatino Linotype" w:hAnsi="Palatino Linotype" w:cs="Palatino Linotype"/>
          <w:b/>
          <w:sz w:val="22"/>
          <w:szCs w:val="22"/>
        </w:rPr>
        <w:t>,</w:t>
      </w:r>
      <w:bookmarkStart w:id="2" w:name="_GoBack"/>
      <w:bookmarkEnd w:id="2"/>
      <w:r w:rsidRPr="00DD1A7B">
        <w:rPr>
          <w:rFonts w:ascii="Palatino Linotype" w:eastAsia="Palatino Linotype" w:hAnsi="Palatino Linotype" w:cs="Palatino Linotype"/>
          <w:sz w:val="22"/>
          <w:szCs w:val="22"/>
        </w:rPr>
        <w:t xml:space="preserve"> en lo sucesivo</w:t>
      </w:r>
      <w:r w:rsidRPr="00DD1A7B">
        <w:rPr>
          <w:rFonts w:ascii="Palatino Linotype" w:eastAsia="Palatino Linotype" w:hAnsi="Palatino Linotype" w:cs="Palatino Linotype"/>
          <w:b/>
          <w:sz w:val="22"/>
          <w:szCs w:val="22"/>
        </w:rPr>
        <w:t xml:space="preserve"> la parte</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Recurrente,</w:t>
      </w:r>
      <w:r w:rsidRPr="00DD1A7B">
        <w:rPr>
          <w:rFonts w:ascii="Palatino Linotype" w:eastAsia="Palatino Linotype" w:hAnsi="Palatino Linotype" w:cs="Palatino Linotype"/>
          <w:sz w:val="22"/>
          <w:szCs w:val="22"/>
        </w:rPr>
        <w:t xml:space="preserve"> en contra de la respuesta a su solicitud por parte del</w:t>
      </w:r>
      <w:r w:rsidR="005D49DE" w:rsidRPr="00DD1A7B">
        <w:rPr>
          <w:rFonts w:ascii="Palatino Linotype" w:eastAsia="Palatino Linotype" w:hAnsi="Palatino Linotype" w:cs="Palatino Linotype"/>
          <w:sz w:val="22"/>
          <w:szCs w:val="22"/>
        </w:rPr>
        <w:t xml:space="preserve"> </w:t>
      </w:r>
      <w:r w:rsidR="0067755B" w:rsidRPr="00DD1A7B">
        <w:rPr>
          <w:rFonts w:ascii="Palatino Linotype" w:eastAsia="Palatino Linotype" w:hAnsi="Palatino Linotype" w:cs="Palatino Linotype"/>
          <w:b/>
          <w:sz w:val="22"/>
          <w:szCs w:val="22"/>
        </w:rPr>
        <w:t>Ayuntamiento de Ecatepec de Morelos</w:t>
      </w:r>
      <w:r w:rsidR="00C30DDF" w:rsidRPr="00DD1A7B">
        <w:rPr>
          <w:rFonts w:ascii="Palatino Linotype" w:eastAsia="Palatino Linotype" w:hAnsi="Palatino Linotype" w:cs="Palatino Linotype"/>
          <w:b/>
          <w:bCs/>
          <w:sz w:val="22"/>
          <w:szCs w:val="22"/>
        </w:rPr>
        <w:t>,</w:t>
      </w:r>
      <w:r w:rsidRPr="00DD1A7B">
        <w:rPr>
          <w:rFonts w:ascii="Palatino Linotype" w:eastAsia="Palatino Linotype" w:hAnsi="Palatino Linotype" w:cs="Palatino Linotype"/>
          <w:b/>
          <w:sz w:val="22"/>
          <w:szCs w:val="22"/>
        </w:rPr>
        <w:t xml:space="preserve"> </w:t>
      </w:r>
      <w:r w:rsidRPr="00DD1A7B">
        <w:rPr>
          <w:rFonts w:ascii="Palatino Linotype" w:eastAsia="Palatino Linotype" w:hAnsi="Palatino Linotype" w:cs="Palatino Linotype"/>
          <w:sz w:val="22"/>
          <w:szCs w:val="22"/>
        </w:rPr>
        <w:t xml:space="preserve">en lo sucesivo el </w:t>
      </w:r>
      <w:r w:rsidRPr="00DD1A7B">
        <w:rPr>
          <w:rFonts w:ascii="Palatino Linotype" w:eastAsia="Palatino Linotype" w:hAnsi="Palatino Linotype" w:cs="Palatino Linotype"/>
          <w:b/>
          <w:sz w:val="22"/>
          <w:szCs w:val="22"/>
        </w:rPr>
        <w:t xml:space="preserve">Sujeto Obligado, </w:t>
      </w:r>
      <w:r w:rsidRPr="00DD1A7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DD1A7B" w:rsidRDefault="00D41CCE">
      <w:pPr>
        <w:spacing w:before="240" w:after="240" w:line="360" w:lineRule="auto"/>
        <w:jc w:val="center"/>
        <w:rPr>
          <w:rFonts w:ascii="Palatino Linotype" w:eastAsia="Palatino Linotype" w:hAnsi="Palatino Linotype" w:cs="Palatino Linotype"/>
          <w:b/>
          <w:sz w:val="22"/>
          <w:szCs w:val="22"/>
        </w:rPr>
      </w:pPr>
      <w:r w:rsidRPr="00DD1A7B">
        <w:rPr>
          <w:rFonts w:ascii="Palatino Linotype" w:eastAsia="Palatino Linotype" w:hAnsi="Palatino Linotype" w:cs="Palatino Linotype"/>
          <w:b/>
          <w:sz w:val="22"/>
          <w:szCs w:val="22"/>
        </w:rPr>
        <w:t>I. A N T E C E D E N T E S</w:t>
      </w:r>
    </w:p>
    <w:p w14:paraId="336C0FED" w14:textId="13C4232B" w:rsidR="00566EB9" w:rsidRPr="00DD1A7B" w:rsidRDefault="00D41CCE">
      <w:pPr>
        <w:spacing w:before="240" w:after="240"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1. Solicitud de acceso a la información.</w:t>
      </w:r>
      <w:r w:rsidRPr="00DD1A7B">
        <w:rPr>
          <w:rFonts w:ascii="Palatino Linotype" w:eastAsia="Palatino Linotype" w:hAnsi="Palatino Linotype" w:cs="Palatino Linotype"/>
          <w:sz w:val="22"/>
          <w:szCs w:val="22"/>
        </w:rPr>
        <w:t xml:space="preserve"> El</w:t>
      </w:r>
      <w:r w:rsidR="00B253BE" w:rsidRPr="00DD1A7B">
        <w:rPr>
          <w:rFonts w:ascii="Palatino Linotype" w:eastAsia="Palatino Linotype" w:hAnsi="Palatino Linotype" w:cs="Palatino Linotype"/>
          <w:sz w:val="22"/>
          <w:szCs w:val="22"/>
        </w:rPr>
        <w:t xml:space="preserve"> </w:t>
      </w:r>
      <w:r w:rsidR="001C252D" w:rsidRPr="00DD1A7B">
        <w:rPr>
          <w:rFonts w:ascii="Palatino Linotype" w:eastAsia="Palatino Linotype" w:hAnsi="Palatino Linotype" w:cs="Palatino Linotype"/>
          <w:b/>
          <w:sz w:val="22"/>
          <w:szCs w:val="22"/>
        </w:rPr>
        <w:t>nueve de junio</w:t>
      </w:r>
      <w:r w:rsidR="00B253BE" w:rsidRPr="00DD1A7B">
        <w:rPr>
          <w:rFonts w:ascii="Palatino Linotype" w:eastAsia="Palatino Linotype" w:hAnsi="Palatino Linotype" w:cs="Palatino Linotype"/>
          <w:b/>
          <w:sz w:val="22"/>
          <w:szCs w:val="22"/>
        </w:rPr>
        <w:t xml:space="preserve"> de dos mil veinticinco</w:t>
      </w:r>
      <w:r w:rsidRPr="00DD1A7B">
        <w:rPr>
          <w:rFonts w:ascii="Palatino Linotype" w:eastAsia="Palatino Linotype" w:hAnsi="Palatino Linotype" w:cs="Palatino Linotype"/>
          <w:b/>
          <w:sz w:val="22"/>
          <w:szCs w:val="22"/>
        </w:rPr>
        <w:t>,</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la parte</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 xml:space="preserve">Recurrente </w:t>
      </w:r>
      <w:r w:rsidRPr="00DD1A7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D1A7B">
        <w:rPr>
          <w:rFonts w:ascii="Palatino Linotype" w:eastAsia="Palatino Linotype" w:hAnsi="Palatino Linotype" w:cs="Palatino Linotype"/>
          <w:b/>
          <w:sz w:val="22"/>
          <w:szCs w:val="22"/>
        </w:rPr>
        <w:t>Sujeto Obligado</w:t>
      </w:r>
      <w:r w:rsidRPr="00DD1A7B">
        <w:rPr>
          <w:rFonts w:ascii="Palatino Linotype" w:eastAsia="Palatino Linotype" w:hAnsi="Palatino Linotype" w:cs="Palatino Linotype"/>
          <w:sz w:val="22"/>
          <w:szCs w:val="22"/>
        </w:rPr>
        <w:t xml:space="preserve">, la solicitud de acceso a la información pública a la que se le asignó el </w:t>
      </w:r>
      <w:r w:rsidR="005D6FD9" w:rsidRPr="00DD1A7B">
        <w:rPr>
          <w:rFonts w:ascii="Palatino Linotype" w:eastAsia="Palatino Linotype" w:hAnsi="Palatino Linotype" w:cs="Palatino Linotype"/>
          <w:sz w:val="22"/>
          <w:szCs w:val="22"/>
        </w:rPr>
        <w:t>número</w:t>
      </w:r>
      <w:r w:rsidR="001226FF" w:rsidRPr="00DD1A7B">
        <w:rPr>
          <w:rFonts w:ascii="Palatino Linotype" w:eastAsia="Palatino Linotype" w:hAnsi="Palatino Linotype" w:cs="Palatino Linotype"/>
          <w:sz w:val="22"/>
          <w:szCs w:val="22"/>
        </w:rPr>
        <w:t xml:space="preserve"> </w:t>
      </w:r>
      <w:r w:rsidR="0067755B" w:rsidRPr="00DD1A7B">
        <w:rPr>
          <w:rFonts w:ascii="Palatino Linotype" w:eastAsia="Palatino Linotype" w:hAnsi="Palatino Linotype" w:cs="Palatino Linotype"/>
          <w:b/>
          <w:bCs/>
          <w:sz w:val="22"/>
          <w:szCs w:val="22"/>
        </w:rPr>
        <w:t>00</w:t>
      </w:r>
      <w:r w:rsidR="001C252D" w:rsidRPr="00DD1A7B">
        <w:rPr>
          <w:rFonts w:ascii="Palatino Linotype" w:eastAsia="Palatino Linotype" w:hAnsi="Palatino Linotype" w:cs="Palatino Linotype"/>
          <w:b/>
          <w:bCs/>
          <w:sz w:val="22"/>
          <w:szCs w:val="22"/>
        </w:rPr>
        <w:t>489</w:t>
      </w:r>
      <w:r w:rsidR="0067755B" w:rsidRPr="00DD1A7B">
        <w:rPr>
          <w:rFonts w:ascii="Palatino Linotype" w:eastAsia="Palatino Linotype" w:hAnsi="Palatino Linotype" w:cs="Palatino Linotype"/>
          <w:b/>
          <w:bCs/>
          <w:sz w:val="22"/>
          <w:szCs w:val="22"/>
        </w:rPr>
        <w:t>/ECATEPEC/IP/2025</w:t>
      </w:r>
      <w:r w:rsidR="00B253BE" w:rsidRPr="00DD1A7B">
        <w:rPr>
          <w:rFonts w:ascii="Palatino Linotype" w:eastAsia="Palatino Linotype" w:hAnsi="Palatino Linotype" w:cs="Palatino Linotype"/>
          <w:b/>
          <w:sz w:val="22"/>
          <w:szCs w:val="22"/>
        </w:rPr>
        <w:t>;</w:t>
      </w:r>
      <w:r w:rsidR="009E4671"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sz w:val="22"/>
          <w:szCs w:val="22"/>
        </w:rPr>
        <w:t xml:space="preserve">mediante la cual requirió la información siguiente: </w:t>
      </w:r>
    </w:p>
    <w:p w14:paraId="53ABC3AC" w14:textId="6CFDD1FC" w:rsidR="00566EB9" w:rsidRPr="00DD1A7B" w:rsidRDefault="008C4074" w:rsidP="008C4074">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DD1A7B">
        <w:rPr>
          <w:rFonts w:ascii="Palatino Linotype" w:eastAsia="Palatino Linotype" w:hAnsi="Palatino Linotype" w:cs="Palatino Linotype"/>
          <w:i/>
          <w:sz w:val="22"/>
          <w:szCs w:val="22"/>
        </w:rPr>
        <w:t>“</w:t>
      </w:r>
      <w:r w:rsidR="001C252D" w:rsidRPr="00DD1A7B">
        <w:rPr>
          <w:rFonts w:ascii="Palatino Linotype" w:eastAsia="Palatino Linotype" w:hAnsi="Palatino Linotype" w:cs="Palatino Linotype"/>
          <w:i/>
          <w:sz w:val="22"/>
          <w:szCs w:val="22"/>
        </w:rPr>
        <w:t>Con el objeto de que se me entregue una respuesta con TRANSPARENCIA, estimare que la respuesta sea suscrita por la H. Presidenta Municipal de Ecatepec de Morelos, con todo respeto agradeceré, se me indique el número de Valoraciones de Riesgo y/o Dictámenes de Riesgo realizados por la Dirección de Medio Ambiente y Ecología en el año 2024, relacionados con la poda, derribo y/o trasplante de un árbol.</w:t>
      </w:r>
      <w:r w:rsidR="00C30DDF" w:rsidRPr="00DD1A7B">
        <w:rPr>
          <w:rFonts w:ascii="Palatino Linotype" w:eastAsia="Palatino Linotype" w:hAnsi="Palatino Linotype" w:cs="Palatino Linotype"/>
          <w:i/>
          <w:sz w:val="22"/>
          <w:szCs w:val="22"/>
        </w:rPr>
        <w:t>”</w:t>
      </w:r>
      <w:r w:rsidR="00D41CCE" w:rsidRPr="00DD1A7B">
        <w:rPr>
          <w:rFonts w:ascii="Palatino Linotype" w:eastAsia="Palatino Linotype" w:hAnsi="Palatino Linotype" w:cs="Palatino Linotype"/>
          <w:i/>
          <w:sz w:val="22"/>
          <w:szCs w:val="22"/>
        </w:rPr>
        <w:t xml:space="preserve"> (Sic) </w:t>
      </w:r>
    </w:p>
    <w:p w14:paraId="7F7E8FBF" w14:textId="77777777" w:rsidR="00566EB9" w:rsidRPr="00DD1A7B" w:rsidRDefault="00D41CCE">
      <w:pPr>
        <w:spacing w:before="240" w:after="240"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Modalidad de Entrega:</w:t>
      </w:r>
      <w:r w:rsidRPr="00DD1A7B">
        <w:rPr>
          <w:rFonts w:ascii="Palatino Linotype" w:eastAsia="Palatino Linotype" w:hAnsi="Palatino Linotype" w:cs="Palatino Linotype"/>
          <w:sz w:val="22"/>
          <w:szCs w:val="22"/>
        </w:rPr>
        <w:t xml:space="preserve"> a través del Sistema de Acceso a la Información Mexiquense (SAIMEX).</w:t>
      </w:r>
    </w:p>
    <w:p w14:paraId="3E6E7B68" w14:textId="77777777" w:rsidR="001C252D" w:rsidRPr="00DD1A7B" w:rsidRDefault="001C252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p>
    <w:p w14:paraId="501F4CB0" w14:textId="6039BDB7" w:rsidR="001C252D" w:rsidRPr="00DD1A7B" w:rsidRDefault="001C252D" w:rsidP="001C252D">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lastRenderedPageBreak/>
        <w:t>2.</w:t>
      </w:r>
      <w:r w:rsidRPr="00DD1A7B">
        <w:t xml:space="preserve"> </w:t>
      </w:r>
      <w:r w:rsidRPr="00DD1A7B">
        <w:rPr>
          <w:rFonts w:ascii="Palatino Linotype" w:eastAsia="Palatino Linotype" w:hAnsi="Palatino Linotype" w:cs="Palatino Linotype"/>
          <w:b/>
          <w:sz w:val="22"/>
          <w:szCs w:val="22"/>
        </w:rPr>
        <w:t xml:space="preserve">Prórroga. </w:t>
      </w:r>
      <w:r w:rsidRPr="00DD1A7B">
        <w:rPr>
          <w:rFonts w:ascii="Palatino Linotype" w:eastAsia="Palatino Linotype" w:hAnsi="Palatino Linotype" w:cs="Palatino Linotype"/>
          <w:sz w:val="22"/>
          <w:szCs w:val="22"/>
        </w:rPr>
        <w:t xml:space="preserve">El </w:t>
      </w:r>
      <w:r w:rsidRPr="00DD1A7B">
        <w:rPr>
          <w:rFonts w:ascii="Palatino Linotype" w:eastAsia="Palatino Linotype" w:hAnsi="Palatino Linotype" w:cs="Palatino Linotype"/>
          <w:b/>
          <w:sz w:val="22"/>
          <w:szCs w:val="22"/>
        </w:rPr>
        <w:t xml:space="preserve">treinta de junio de dos mil veinticinco, </w:t>
      </w:r>
      <w:r w:rsidRPr="00DD1A7B">
        <w:rPr>
          <w:rFonts w:ascii="Palatino Linotype" w:eastAsia="Palatino Linotype" w:hAnsi="Palatino Linotype" w:cs="Palatino Linotype"/>
          <w:sz w:val="22"/>
          <w:szCs w:val="22"/>
        </w:rPr>
        <w:t xml:space="preserve">el </w:t>
      </w:r>
      <w:r w:rsidRPr="00DD1A7B">
        <w:rPr>
          <w:rFonts w:ascii="Palatino Linotype" w:eastAsia="Palatino Linotype" w:hAnsi="Palatino Linotype" w:cs="Palatino Linotype"/>
          <w:b/>
          <w:sz w:val="22"/>
          <w:szCs w:val="22"/>
        </w:rPr>
        <w:t xml:space="preserve">Sujeto Obligado </w:t>
      </w:r>
      <w:r w:rsidRPr="00DD1A7B">
        <w:rPr>
          <w:rFonts w:ascii="Palatino Linotype" w:eastAsia="Palatino Linotype" w:hAnsi="Palatino Linotype" w:cs="Palatino Linotype"/>
          <w:sz w:val="22"/>
          <w:szCs w:val="22"/>
        </w:rPr>
        <w:t xml:space="preserve">informó que el plazo de quince días hábiles para atender las solicitudes de mérito fue prorrogado por siete días más en virtud de las siguientes razones: </w:t>
      </w:r>
    </w:p>
    <w:p w14:paraId="6650905F" w14:textId="77777777" w:rsidR="001C252D" w:rsidRPr="00DD1A7B" w:rsidRDefault="001C252D" w:rsidP="001C252D">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sz w:val="22"/>
          <w:szCs w:val="22"/>
        </w:rPr>
      </w:pPr>
    </w:p>
    <w:p w14:paraId="5BCDD15B" w14:textId="46893A5F" w:rsidR="001C252D" w:rsidRPr="00DD1A7B" w:rsidRDefault="001C252D" w:rsidP="001C252D">
      <w:pPr>
        <w:spacing w:line="276" w:lineRule="auto"/>
        <w:ind w:left="567" w:right="560"/>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“se anexa prorroga” (Sic)</w:t>
      </w:r>
    </w:p>
    <w:p w14:paraId="01E56C99" w14:textId="77777777" w:rsidR="001C252D" w:rsidRPr="00DD1A7B" w:rsidRDefault="001C252D" w:rsidP="001C252D">
      <w:pPr>
        <w:spacing w:line="360" w:lineRule="auto"/>
        <w:ind w:right="49"/>
        <w:jc w:val="both"/>
        <w:rPr>
          <w:rFonts w:ascii="Palatino Linotype" w:eastAsia="Palatino Linotype" w:hAnsi="Palatino Linotype" w:cs="Palatino Linotype"/>
          <w:sz w:val="22"/>
          <w:szCs w:val="22"/>
        </w:rPr>
      </w:pPr>
    </w:p>
    <w:p w14:paraId="5983E992" w14:textId="16F1C3F5" w:rsidR="001C252D" w:rsidRPr="00DD1A7B" w:rsidRDefault="001C252D" w:rsidP="001C252D">
      <w:pPr>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Adjunto a lo anterior, el </w:t>
      </w:r>
      <w:r w:rsidRPr="00DD1A7B">
        <w:rPr>
          <w:rFonts w:ascii="Palatino Linotype" w:eastAsia="Palatino Linotype" w:hAnsi="Palatino Linotype" w:cs="Palatino Linotype"/>
          <w:b/>
          <w:sz w:val="22"/>
          <w:szCs w:val="22"/>
        </w:rPr>
        <w:t xml:space="preserve">Sujeto Obligado </w:t>
      </w:r>
      <w:r w:rsidRPr="00DD1A7B">
        <w:rPr>
          <w:rFonts w:ascii="Palatino Linotype" w:eastAsia="Palatino Linotype" w:hAnsi="Palatino Linotype" w:cs="Palatino Linotype"/>
          <w:sz w:val="22"/>
          <w:szCs w:val="22"/>
        </w:rPr>
        <w:t xml:space="preserve">hizo entrega de un oficio del treinta de junio de dos mil veinticinco, a través del cual </w:t>
      </w:r>
      <w:r w:rsidR="003F6F5E" w:rsidRPr="00DD1A7B">
        <w:rPr>
          <w:rFonts w:ascii="Palatino Linotype" w:eastAsia="Palatino Linotype" w:hAnsi="Palatino Linotype" w:cs="Palatino Linotype"/>
          <w:sz w:val="22"/>
          <w:szCs w:val="22"/>
        </w:rPr>
        <w:t>el Titular de la Unidad de Transparencia informa a la persona solicitante que la ampliación del plazo para dar respuesta a la solicitud se aprobó mediante Acta del Comité de Transparencia.</w:t>
      </w:r>
    </w:p>
    <w:p w14:paraId="34A46487" w14:textId="77777777" w:rsidR="001C252D" w:rsidRPr="00DD1A7B" w:rsidRDefault="001C252D" w:rsidP="001C252D">
      <w:pPr>
        <w:spacing w:line="360" w:lineRule="auto"/>
        <w:ind w:right="49"/>
        <w:jc w:val="both"/>
        <w:rPr>
          <w:rFonts w:ascii="Palatino Linotype" w:eastAsia="Palatino Linotype" w:hAnsi="Palatino Linotype" w:cs="Palatino Linotype"/>
          <w:sz w:val="22"/>
          <w:szCs w:val="22"/>
        </w:rPr>
      </w:pPr>
    </w:p>
    <w:p w14:paraId="2F8118B4" w14:textId="7C66FB6F" w:rsidR="001C252D" w:rsidRPr="00DD1A7B" w:rsidRDefault="001C252D" w:rsidP="001C252D">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sz w:val="22"/>
          <w:szCs w:val="22"/>
        </w:rPr>
        <w:t xml:space="preserve">De esta manera, como refiere el </w:t>
      </w:r>
      <w:r w:rsidRPr="00DD1A7B">
        <w:rPr>
          <w:rFonts w:ascii="Palatino Linotype" w:eastAsia="Palatino Linotype" w:hAnsi="Palatino Linotype" w:cs="Palatino Linotype"/>
          <w:b/>
          <w:sz w:val="22"/>
          <w:szCs w:val="22"/>
        </w:rPr>
        <w:t>Sujeto Obligado</w:t>
      </w:r>
      <w:r w:rsidRPr="00DD1A7B">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003F6F5E" w:rsidRPr="00DD1A7B">
        <w:rPr>
          <w:rFonts w:ascii="Palatino Linotype" w:eastAsia="Palatino Linotype" w:hAnsi="Palatino Linotype" w:cs="Palatino Linotype"/>
          <w:b/>
          <w:sz w:val="22"/>
          <w:szCs w:val="22"/>
        </w:rPr>
        <w:t>NO</w:t>
      </w:r>
      <w:r w:rsidRPr="00DD1A7B">
        <w:rPr>
          <w:rFonts w:ascii="Palatino Linotype" w:eastAsia="Palatino Linotype" w:hAnsi="Palatino Linotype" w:cs="Palatino Linotype"/>
          <w:b/>
          <w:sz w:val="22"/>
          <w:szCs w:val="22"/>
        </w:rPr>
        <w:t xml:space="preserve"> se observaron las formalidades que establece la Ley de la materia</w:t>
      </w:r>
      <w:r w:rsidRPr="00DD1A7B">
        <w:rPr>
          <w:rFonts w:ascii="Palatino Linotype" w:eastAsia="Palatino Linotype" w:hAnsi="Palatino Linotype" w:cs="Palatino Linotype"/>
          <w:sz w:val="22"/>
          <w:szCs w:val="22"/>
        </w:rPr>
        <w:t xml:space="preserve">, pues se </w:t>
      </w:r>
      <w:r w:rsidR="003F6F5E" w:rsidRPr="00DD1A7B">
        <w:rPr>
          <w:rFonts w:ascii="Palatino Linotype" w:eastAsia="Palatino Linotype" w:hAnsi="Palatino Linotype" w:cs="Palatino Linotype"/>
          <w:sz w:val="22"/>
          <w:szCs w:val="22"/>
        </w:rPr>
        <w:t>omitió adjuntar</w:t>
      </w:r>
      <w:r w:rsidRPr="00DD1A7B">
        <w:rPr>
          <w:rFonts w:ascii="Palatino Linotype" w:eastAsia="Palatino Linotype" w:hAnsi="Palatino Linotype" w:cs="Palatino Linotype"/>
          <w:sz w:val="22"/>
          <w:szCs w:val="22"/>
        </w:rPr>
        <w:t xml:space="preserve"> el Acta que contiene el Acuerdo del Comité de Transparencia de dicho ente público, mediante el cual se aprobara la ampliación del plazo para dar atención a la solicitud de información.</w:t>
      </w:r>
    </w:p>
    <w:p w14:paraId="355D92AA" w14:textId="7CBD50AE" w:rsidR="00566EB9" w:rsidRPr="00DD1A7B" w:rsidRDefault="001C252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b/>
          <w:sz w:val="22"/>
          <w:szCs w:val="22"/>
        </w:rPr>
        <w:t>3</w:t>
      </w:r>
      <w:r w:rsidR="00D41CCE" w:rsidRPr="00DD1A7B">
        <w:rPr>
          <w:rFonts w:ascii="Palatino Linotype" w:eastAsia="Palatino Linotype" w:hAnsi="Palatino Linotype" w:cs="Palatino Linotype"/>
          <w:b/>
          <w:sz w:val="22"/>
          <w:szCs w:val="22"/>
        </w:rPr>
        <w:t>.</w:t>
      </w:r>
      <w:r w:rsidR="00D41CCE" w:rsidRPr="00DD1A7B">
        <w:t xml:space="preserve"> </w:t>
      </w:r>
      <w:r w:rsidR="0096349E" w:rsidRPr="00DD1A7B">
        <w:rPr>
          <w:rFonts w:ascii="Palatino Linotype" w:eastAsia="Palatino Linotype" w:hAnsi="Palatino Linotype" w:cs="Palatino Linotype"/>
          <w:b/>
          <w:sz w:val="22"/>
          <w:szCs w:val="22"/>
        </w:rPr>
        <w:t>Respuesta</w:t>
      </w:r>
      <w:r w:rsidR="00D41CCE" w:rsidRPr="00DD1A7B">
        <w:rPr>
          <w:rFonts w:ascii="Palatino Linotype" w:eastAsia="Palatino Linotype" w:hAnsi="Palatino Linotype" w:cs="Palatino Linotype"/>
          <w:b/>
          <w:sz w:val="22"/>
          <w:szCs w:val="22"/>
        </w:rPr>
        <w:t xml:space="preserve">. </w:t>
      </w:r>
      <w:r w:rsidR="00D41CCE" w:rsidRPr="00DD1A7B">
        <w:rPr>
          <w:rFonts w:ascii="Palatino Linotype" w:eastAsia="Palatino Linotype" w:hAnsi="Palatino Linotype" w:cs="Palatino Linotype"/>
          <w:sz w:val="22"/>
          <w:szCs w:val="22"/>
        </w:rPr>
        <w:t xml:space="preserve">El </w:t>
      </w:r>
      <w:r w:rsidR="003F6F5E" w:rsidRPr="00DD1A7B">
        <w:rPr>
          <w:rFonts w:ascii="Palatino Linotype" w:eastAsia="Palatino Linotype" w:hAnsi="Palatino Linotype" w:cs="Palatino Linotype"/>
          <w:b/>
          <w:sz w:val="22"/>
          <w:szCs w:val="22"/>
        </w:rPr>
        <w:t>nueve de julio</w:t>
      </w:r>
      <w:r w:rsidR="005D6FD9" w:rsidRPr="00DD1A7B">
        <w:rPr>
          <w:rFonts w:ascii="Palatino Linotype" w:eastAsia="Palatino Linotype" w:hAnsi="Palatino Linotype" w:cs="Palatino Linotype"/>
          <w:b/>
          <w:sz w:val="22"/>
          <w:szCs w:val="22"/>
        </w:rPr>
        <w:t xml:space="preserve"> </w:t>
      </w:r>
      <w:r w:rsidR="0096349E" w:rsidRPr="00DD1A7B">
        <w:rPr>
          <w:rFonts w:ascii="Palatino Linotype" w:eastAsia="Palatino Linotype" w:hAnsi="Palatino Linotype" w:cs="Palatino Linotype"/>
          <w:b/>
          <w:sz w:val="22"/>
          <w:szCs w:val="22"/>
        </w:rPr>
        <w:t xml:space="preserve">de </w:t>
      </w:r>
      <w:r w:rsidR="00D41CCE" w:rsidRPr="00DD1A7B">
        <w:rPr>
          <w:rFonts w:ascii="Palatino Linotype" w:eastAsia="Palatino Linotype" w:hAnsi="Palatino Linotype" w:cs="Palatino Linotype"/>
          <w:b/>
          <w:sz w:val="22"/>
          <w:szCs w:val="22"/>
        </w:rPr>
        <w:t>dos mil veinticinco</w:t>
      </w:r>
      <w:r w:rsidR="00D41CCE" w:rsidRPr="00DD1A7B">
        <w:rPr>
          <w:rFonts w:ascii="Palatino Linotype" w:eastAsia="Palatino Linotype" w:hAnsi="Palatino Linotype" w:cs="Palatino Linotype"/>
          <w:sz w:val="22"/>
          <w:szCs w:val="22"/>
        </w:rPr>
        <w:t xml:space="preserve">, el </w:t>
      </w:r>
      <w:r w:rsidR="00D41CCE" w:rsidRPr="00DD1A7B">
        <w:rPr>
          <w:rFonts w:ascii="Palatino Linotype" w:eastAsia="Palatino Linotype" w:hAnsi="Palatino Linotype" w:cs="Palatino Linotype"/>
          <w:b/>
          <w:sz w:val="22"/>
          <w:szCs w:val="22"/>
        </w:rPr>
        <w:t xml:space="preserve">Sujeto Obligado </w:t>
      </w:r>
      <w:r w:rsidR="00D41CCE" w:rsidRPr="00DD1A7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8D58DAB" w:rsidR="00566EB9" w:rsidRPr="00DD1A7B" w:rsidRDefault="00D41CCE">
      <w:pPr>
        <w:spacing w:before="240" w:after="240"/>
        <w:ind w:left="567" w:right="902"/>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lastRenderedPageBreak/>
        <w:t>“</w:t>
      </w:r>
      <w:r w:rsidR="003F6F5E" w:rsidRPr="00DD1A7B">
        <w:rPr>
          <w:rFonts w:ascii="Palatino Linotype" w:eastAsia="Palatino Linotype" w:hAnsi="Palatino Linotype" w:cs="Palatino Linotype"/>
          <w:i/>
          <w:sz w:val="22"/>
          <w:szCs w:val="22"/>
        </w:rPr>
        <w:t xml:space="preserve">Hago de su conocimiento que </w:t>
      </w:r>
      <w:r w:rsidR="003F6F5E" w:rsidRPr="00DD1A7B">
        <w:rPr>
          <w:rFonts w:ascii="Palatino Linotype" w:eastAsia="Palatino Linotype" w:hAnsi="Palatino Linotype" w:cs="Palatino Linotype"/>
          <w:b/>
          <w:i/>
          <w:sz w:val="22"/>
          <w:szCs w:val="22"/>
        </w:rPr>
        <w:t>la actual titular de la Dirección de Medio Ambiente y Ecología en lo que concierne a la Subdirección de Conservación y Restauración Ecológica y Jefatura de Manejo de Arbolado Urbano, al momento de recibir la dependencia, la administración saliente no hizo entrega de ningún expediente del año 2024 y anteriores; por lo tanto, el servidor público actual se ve imposibilitado a emitir una respuesta referente al seguimiento a su petición</w:t>
      </w:r>
      <w:r w:rsidR="003F6F5E" w:rsidRPr="00DD1A7B">
        <w:rPr>
          <w:rFonts w:ascii="Palatino Linotype" w:eastAsia="Palatino Linotype" w:hAnsi="Palatino Linotype" w:cs="Palatino Linotype"/>
          <w:i/>
          <w:sz w:val="22"/>
          <w:szCs w:val="22"/>
        </w:rPr>
        <w:t>; cabe señalar que dicha situación se informó en su momento al Mtro. Carlos Ríos Saucedo, Contralor Interno Municipal del H. Ayuntamiento de Ecatepec de Morelos, de acuerdo al número de oficio DMAYEC/ECA/241/2025 de fecha 31 de marzo del presente.</w:t>
      </w:r>
      <w:r w:rsidRPr="00DD1A7B">
        <w:rPr>
          <w:rFonts w:ascii="Palatino Linotype" w:eastAsia="Palatino Linotype" w:hAnsi="Palatino Linotype" w:cs="Palatino Linotype"/>
          <w:i/>
          <w:sz w:val="22"/>
          <w:szCs w:val="22"/>
        </w:rPr>
        <w:t>” (Sic)</w:t>
      </w:r>
    </w:p>
    <w:p w14:paraId="11758A54" w14:textId="5E07B7F0" w:rsidR="00566EB9" w:rsidRPr="00DD1A7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Adjunto a la respuesta, el </w:t>
      </w:r>
      <w:r w:rsidRPr="00DD1A7B">
        <w:rPr>
          <w:rFonts w:ascii="Palatino Linotype" w:eastAsia="Palatino Linotype" w:hAnsi="Palatino Linotype" w:cs="Palatino Linotype"/>
          <w:b/>
          <w:sz w:val="22"/>
          <w:szCs w:val="22"/>
        </w:rPr>
        <w:t xml:space="preserve">Sujeto Obligado </w:t>
      </w:r>
      <w:r w:rsidRPr="00DD1A7B">
        <w:rPr>
          <w:rFonts w:ascii="Palatino Linotype" w:eastAsia="Palatino Linotype" w:hAnsi="Palatino Linotype" w:cs="Palatino Linotype"/>
          <w:sz w:val="22"/>
          <w:szCs w:val="22"/>
        </w:rPr>
        <w:t xml:space="preserve">hizo entrega </w:t>
      </w:r>
      <w:r w:rsidR="006C0C4B" w:rsidRPr="00DD1A7B">
        <w:rPr>
          <w:rFonts w:ascii="Palatino Linotype" w:eastAsia="Palatino Linotype" w:hAnsi="Palatino Linotype" w:cs="Palatino Linotype"/>
          <w:sz w:val="22"/>
          <w:szCs w:val="22"/>
        </w:rPr>
        <w:t xml:space="preserve">de </w:t>
      </w:r>
      <w:r w:rsidRPr="00DD1A7B">
        <w:rPr>
          <w:rFonts w:ascii="Palatino Linotype" w:eastAsia="Palatino Linotype" w:hAnsi="Palatino Linotype" w:cs="Palatino Linotype"/>
          <w:sz w:val="22"/>
          <w:szCs w:val="22"/>
        </w:rPr>
        <w:t>la siguiente información:</w:t>
      </w:r>
    </w:p>
    <w:p w14:paraId="654860C0" w14:textId="77777777" w:rsidR="00CD0D49" w:rsidRPr="00DD1A7B"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525632E" w14:textId="4C31D738" w:rsidR="00827AC0" w:rsidRPr="00DD1A7B" w:rsidRDefault="00975927" w:rsidP="00827AC0">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bCs/>
          <w:sz w:val="22"/>
          <w:szCs w:val="22"/>
          <w:lang w:val="es-ES_tradnl"/>
        </w:rPr>
      </w:pPr>
      <w:r w:rsidRPr="00DD1A7B">
        <w:rPr>
          <w:rFonts w:ascii="Palatino Linotype" w:eastAsia="Palatino Linotype" w:hAnsi="Palatino Linotype" w:cs="Palatino Linotype"/>
          <w:sz w:val="22"/>
          <w:szCs w:val="22"/>
        </w:rPr>
        <w:t xml:space="preserve">Oficio </w:t>
      </w:r>
      <w:r w:rsidR="003F6F5E" w:rsidRPr="00DD1A7B">
        <w:rPr>
          <w:rFonts w:ascii="Palatino Linotype" w:eastAsia="Palatino Linotype" w:hAnsi="Palatino Linotype" w:cs="Palatino Linotype"/>
          <w:bCs/>
          <w:sz w:val="22"/>
          <w:szCs w:val="22"/>
          <w:lang w:val="es-ES_tradnl"/>
        </w:rPr>
        <w:t xml:space="preserve">del 3 de marzo de 2025, por medio del cual la actual Directora de Medio Ambiente y Ecología manifiesta al Contralor Interno Municipal las irregularidades </w:t>
      </w:r>
      <w:r w:rsidR="00827AC0" w:rsidRPr="00DD1A7B">
        <w:rPr>
          <w:rFonts w:ascii="Palatino Linotype" w:eastAsia="Palatino Linotype" w:hAnsi="Palatino Linotype" w:cs="Palatino Linotype"/>
          <w:bCs/>
          <w:sz w:val="22"/>
          <w:szCs w:val="22"/>
          <w:lang w:val="es-ES_tradnl"/>
        </w:rPr>
        <w:t xml:space="preserve">advertidas </w:t>
      </w:r>
      <w:r w:rsidR="003F6F5E" w:rsidRPr="00DD1A7B">
        <w:rPr>
          <w:rFonts w:ascii="Palatino Linotype" w:eastAsia="Palatino Linotype" w:hAnsi="Palatino Linotype" w:cs="Palatino Linotype"/>
          <w:bCs/>
          <w:sz w:val="22"/>
          <w:szCs w:val="22"/>
          <w:lang w:val="es-ES_tradnl"/>
        </w:rPr>
        <w:t xml:space="preserve">del proceso de revisión de información del acta y anexos relacionados con la entrega recepción de la anterior </w:t>
      </w:r>
      <w:r w:rsidR="00827AC0" w:rsidRPr="00DD1A7B">
        <w:rPr>
          <w:rFonts w:ascii="Palatino Linotype" w:eastAsia="Palatino Linotype" w:hAnsi="Palatino Linotype" w:cs="Palatino Linotype"/>
          <w:bCs/>
          <w:sz w:val="22"/>
          <w:szCs w:val="22"/>
          <w:lang w:val="es-ES_tradnl"/>
        </w:rPr>
        <w:t>titular de dicha D</w:t>
      </w:r>
      <w:r w:rsidR="003F6F5E" w:rsidRPr="00DD1A7B">
        <w:rPr>
          <w:rFonts w:ascii="Palatino Linotype" w:eastAsia="Palatino Linotype" w:hAnsi="Palatino Linotype" w:cs="Palatino Linotype"/>
          <w:bCs/>
          <w:sz w:val="22"/>
          <w:szCs w:val="22"/>
          <w:lang w:val="es-ES_tradnl"/>
        </w:rPr>
        <w:t xml:space="preserve">irección, la </w:t>
      </w:r>
      <w:r w:rsidR="003F6F5E" w:rsidRPr="00DD1A7B">
        <w:rPr>
          <w:rFonts w:ascii="Palatino Linotype" w:eastAsia="Palatino Linotype" w:hAnsi="Palatino Linotype" w:cs="Palatino Linotype"/>
          <w:sz w:val="22"/>
          <w:szCs w:val="22"/>
          <w:lang w:val="es-ES_tradnl"/>
        </w:rPr>
        <w:t xml:space="preserve">Biol. </w:t>
      </w:r>
      <w:r w:rsidR="00827AC0" w:rsidRPr="00DD1A7B">
        <w:rPr>
          <w:rFonts w:ascii="Palatino Linotype" w:eastAsia="Palatino Linotype" w:hAnsi="Palatino Linotype" w:cs="Palatino Linotype"/>
          <w:sz w:val="22"/>
          <w:szCs w:val="22"/>
          <w:lang w:val="es-ES_tradnl"/>
        </w:rPr>
        <w:t xml:space="preserve">Katy Elizabeth Domínguez Flores, como lo fue la </w:t>
      </w:r>
      <w:r w:rsidR="00827AC0" w:rsidRPr="00DD1A7B">
        <w:rPr>
          <w:rFonts w:ascii="Palatino Linotype" w:eastAsia="Palatino Linotype" w:hAnsi="Palatino Linotype" w:cs="Palatino Linotype"/>
          <w:bCs/>
          <w:sz w:val="22"/>
          <w:szCs w:val="22"/>
          <w:lang w:val="es-ES_tradnl"/>
        </w:rPr>
        <w:t>falta de entrega de determinada información.</w:t>
      </w:r>
    </w:p>
    <w:p w14:paraId="2F3745B4" w14:textId="77777777" w:rsidR="003F6F5E" w:rsidRPr="00DD1A7B" w:rsidRDefault="003F6F5E" w:rsidP="003F6F5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26C2E0B" w:rsidR="00566EB9" w:rsidRPr="00DD1A7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b/>
          <w:sz w:val="22"/>
          <w:szCs w:val="22"/>
        </w:rPr>
        <w:t xml:space="preserve">3. Interposición del recurso de revisión. </w:t>
      </w:r>
      <w:r w:rsidRPr="00DD1A7B">
        <w:rPr>
          <w:rFonts w:ascii="Palatino Linotype" w:eastAsia="Palatino Linotype" w:hAnsi="Palatino Linotype" w:cs="Palatino Linotype"/>
          <w:sz w:val="22"/>
          <w:szCs w:val="22"/>
        </w:rPr>
        <w:t xml:space="preserve">Inconforme con los términos de la respuesta emitida por parte del </w:t>
      </w:r>
      <w:r w:rsidRPr="00DD1A7B">
        <w:rPr>
          <w:rFonts w:ascii="Palatino Linotype" w:eastAsia="Palatino Linotype" w:hAnsi="Palatino Linotype" w:cs="Palatino Linotype"/>
          <w:b/>
          <w:sz w:val="22"/>
          <w:szCs w:val="22"/>
        </w:rPr>
        <w:t>Sujeto Obligado</w:t>
      </w:r>
      <w:r w:rsidRPr="00DD1A7B">
        <w:rPr>
          <w:rFonts w:ascii="Palatino Linotype" w:eastAsia="Palatino Linotype" w:hAnsi="Palatino Linotype" w:cs="Palatino Linotype"/>
          <w:sz w:val="22"/>
          <w:szCs w:val="22"/>
        </w:rPr>
        <w:t>, el</w:t>
      </w:r>
      <w:r w:rsidRPr="00DD1A7B">
        <w:rPr>
          <w:rFonts w:ascii="Palatino Linotype" w:eastAsia="Palatino Linotype" w:hAnsi="Palatino Linotype" w:cs="Palatino Linotype"/>
          <w:b/>
          <w:sz w:val="22"/>
          <w:szCs w:val="22"/>
        </w:rPr>
        <w:t xml:space="preserve"> </w:t>
      </w:r>
      <w:r w:rsidR="00E3409C" w:rsidRPr="00DD1A7B">
        <w:rPr>
          <w:rFonts w:ascii="Palatino Linotype" w:eastAsia="Palatino Linotype" w:hAnsi="Palatino Linotype" w:cs="Palatino Linotype"/>
          <w:b/>
          <w:sz w:val="22"/>
          <w:szCs w:val="22"/>
        </w:rPr>
        <w:t xml:space="preserve">nueve de </w:t>
      </w:r>
      <w:r w:rsidR="00827AC0" w:rsidRPr="00DD1A7B">
        <w:rPr>
          <w:rFonts w:ascii="Palatino Linotype" w:eastAsia="Palatino Linotype" w:hAnsi="Palatino Linotype" w:cs="Palatino Linotype"/>
          <w:b/>
          <w:sz w:val="22"/>
          <w:szCs w:val="22"/>
        </w:rPr>
        <w:t>julio</w:t>
      </w:r>
      <w:r w:rsidR="00E3409C" w:rsidRPr="00DD1A7B">
        <w:rPr>
          <w:rFonts w:ascii="Palatino Linotype" w:eastAsia="Palatino Linotype" w:hAnsi="Palatino Linotype" w:cs="Palatino Linotype"/>
          <w:b/>
          <w:sz w:val="22"/>
          <w:szCs w:val="22"/>
        </w:rPr>
        <w:t xml:space="preserve"> de dos mil veinticinco,</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la parte</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Recurrente</w:t>
      </w:r>
      <w:r w:rsidRPr="00DD1A7B">
        <w:rPr>
          <w:rFonts w:ascii="Palatino Linotype" w:eastAsia="Palatino Linotype" w:hAnsi="Palatino Linotype" w:cs="Palatino Linotype"/>
          <w:sz w:val="22"/>
          <w:szCs w:val="22"/>
        </w:rPr>
        <w:t xml:space="preserve"> interpuso el recurso de revisión a través de </w:t>
      </w:r>
      <w:r w:rsidR="00315AC1" w:rsidRPr="00DD1A7B">
        <w:rPr>
          <w:rFonts w:ascii="Palatino Linotype" w:eastAsia="Palatino Linotype" w:hAnsi="Palatino Linotype" w:cs="Palatino Linotype"/>
          <w:b/>
          <w:sz w:val="22"/>
          <w:szCs w:val="22"/>
        </w:rPr>
        <w:t>SAIMEX</w:t>
      </w:r>
      <w:r w:rsidR="00AA72A1" w:rsidRPr="00DD1A7B">
        <w:rPr>
          <w:rFonts w:ascii="Palatino Linotype" w:eastAsia="Palatino Linotype" w:hAnsi="Palatino Linotype" w:cs="Palatino Linotype"/>
          <w:b/>
          <w:sz w:val="22"/>
          <w:szCs w:val="22"/>
        </w:rPr>
        <w:t>,</w:t>
      </w:r>
      <w:r w:rsidRPr="00DD1A7B">
        <w:rPr>
          <w:rFonts w:ascii="Palatino Linotype" w:eastAsia="Palatino Linotype" w:hAnsi="Palatino Linotype" w:cs="Palatino Linotype"/>
          <w:b/>
          <w:sz w:val="22"/>
          <w:szCs w:val="22"/>
        </w:rPr>
        <w:t xml:space="preserve"> </w:t>
      </w:r>
      <w:r w:rsidRPr="00DD1A7B">
        <w:rPr>
          <w:rFonts w:ascii="Palatino Linotype" w:eastAsia="Palatino Linotype" w:hAnsi="Palatino Linotype" w:cs="Palatino Linotype"/>
          <w:sz w:val="22"/>
          <w:szCs w:val="22"/>
        </w:rPr>
        <w:t>en donde se manifestó de la siguiente manera:</w:t>
      </w:r>
    </w:p>
    <w:p w14:paraId="4C715CE2" w14:textId="03C00E6C" w:rsidR="00566EB9" w:rsidRPr="00DD1A7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b/>
          <w:sz w:val="22"/>
          <w:szCs w:val="22"/>
        </w:rPr>
        <w:t xml:space="preserve">a) Acto impugnado: </w:t>
      </w:r>
      <w:r w:rsidRPr="00DD1A7B">
        <w:rPr>
          <w:rFonts w:ascii="Palatino Linotype" w:eastAsia="Palatino Linotype" w:hAnsi="Palatino Linotype" w:cs="Palatino Linotype"/>
          <w:i/>
          <w:sz w:val="22"/>
          <w:szCs w:val="22"/>
        </w:rPr>
        <w:t>“</w:t>
      </w:r>
      <w:r w:rsidR="00827AC0" w:rsidRPr="00DD1A7B">
        <w:rPr>
          <w:rFonts w:ascii="Palatino Linotype" w:eastAsia="Palatino Linotype" w:hAnsi="Palatino Linotype" w:cs="Palatino Linotype"/>
          <w:i/>
          <w:sz w:val="22"/>
          <w:szCs w:val="22"/>
        </w:rPr>
        <w:t>Con el objeto de que se me entregue una respuesta con TRANSPARENCIA, estimare que la respuesta sea suscrita por la H. Presidenta Municipal de Ecatepec de Morelos, con todo respeto agradeceré, se me indique el número de Valoraciones de Riesgo y/o Dictámenes de Riesgo realizados por la Dirección de Medio Ambiente y Ecología en el año 2024, relacionados con la poda, derribo y/o trasplante de un árbol.</w:t>
      </w:r>
      <w:r w:rsidRPr="00DD1A7B">
        <w:rPr>
          <w:rFonts w:ascii="Palatino Linotype" w:eastAsia="Palatino Linotype" w:hAnsi="Palatino Linotype" w:cs="Palatino Linotype"/>
          <w:i/>
          <w:sz w:val="22"/>
          <w:szCs w:val="22"/>
        </w:rPr>
        <w:t>” (Sic)</w:t>
      </w:r>
    </w:p>
    <w:p w14:paraId="340518C7" w14:textId="35EB49FE" w:rsidR="00566EB9" w:rsidRPr="00DD1A7B"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DD1A7B">
        <w:rPr>
          <w:rFonts w:ascii="Palatino Linotype" w:eastAsia="Palatino Linotype" w:hAnsi="Palatino Linotype" w:cs="Palatino Linotype"/>
          <w:b/>
          <w:sz w:val="22"/>
          <w:szCs w:val="22"/>
        </w:rPr>
        <w:t>b) Razones o motivos de inconformidad</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i/>
          <w:sz w:val="22"/>
          <w:szCs w:val="22"/>
        </w:rPr>
        <w:t>“</w:t>
      </w:r>
      <w:r w:rsidR="00827AC0" w:rsidRPr="00DD1A7B">
        <w:rPr>
          <w:rFonts w:ascii="Palatino Linotype" w:eastAsia="Palatino Linotype" w:hAnsi="Palatino Linotype" w:cs="Palatino Linotype"/>
          <w:i/>
          <w:sz w:val="22"/>
          <w:szCs w:val="22"/>
        </w:rPr>
        <w:t>H. Presidenta Municipal de Ecatepec de Morelos, es una falta de respeto que primero se autorice una PRORROGA, y después exista una falta de respuesta a una solicitud de acceso a la información. Solicito con todo respeto se emita una respuesta con su rúbrica.</w:t>
      </w:r>
      <w:r w:rsidRPr="00DD1A7B">
        <w:rPr>
          <w:rFonts w:ascii="Palatino Linotype" w:eastAsia="Palatino Linotype" w:hAnsi="Palatino Linotype" w:cs="Palatino Linotype"/>
          <w:i/>
          <w:sz w:val="22"/>
          <w:szCs w:val="22"/>
        </w:rPr>
        <w:t>” (Sic)</w:t>
      </w:r>
    </w:p>
    <w:p w14:paraId="3F101E06" w14:textId="77777777" w:rsidR="00790EBB" w:rsidRPr="00DD1A7B" w:rsidRDefault="00790EBB">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DD1A7B" w:rsidRDefault="00D41CCE">
      <w:pPr>
        <w:spacing w:line="360" w:lineRule="auto"/>
        <w:ind w:right="51"/>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 xml:space="preserve">4. Turno. </w:t>
      </w:r>
      <w:r w:rsidRPr="00DD1A7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D1A7B">
        <w:rPr>
          <w:rFonts w:ascii="Palatino Linotype" w:eastAsia="Palatino Linotype" w:hAnsi="Palatino Linotype" w:cs="Palatino Linotype"/>
          <w:b/>
          <w:sz w:val="22"/>
          <w:szCs w:val="22"/>
        </w:rPr>
        <w:t xml:space="preserve">Guadalupe Ramírez Peña, </w:t>
      </w:r>
      <w:r w:rsidRPr="00DD1A7B">
        <w:rPr>
          <w:rFonts w:ascii="Palatino Linotype" w:eastAsia="Palatino Linotype" w:hAnsi="Palatino Linotype" w:cs="Palatino Linotype"/>
          <w:sz w:val="22"/>
          <w:szCs w:val="22"/>
        </w:rPr>
        <w:t xml:space="preserve">a efecto de que analizara sobre su admisión o su </w:t>
      </w:r>
      <w:proofErr w:type="spellStart"/>
      <w:r w:rsidRPr="00DD1A7B">
        <w:rPr>
          <w:rFonts w:ascii="Palatino Linotype" w:eastAsia="Palatino Linotype" w:hAnsi="Palatino Linotype" w:cs="Palatino Linotype"/>
          <w:sz w:val="22"/>
          <w:szCs w:val="22"/>
        </w:rPr>
        <w:t>desechamiento</w:t>
      </w:r>
      <w:proofErr w:type="spellEnd"/>
      <w:r w:rsidRPr="00DD1A7B">
        <w:rPr>
          <w:rFonts w:ascii="Palatino Linotype" w:eastAsia="Palatino Linotype" w:hAnsi="Palatino Linotype" w:cs="Palatino Linotype"/>
          <w:sz w:val="22"/>
          <w:szCs w:val="22"/>
        </w:rPr>
        <w:t>.</w:t>
      </w:r>
    </w:p>
    <w:p w14:paraId="5E938918" w14:textId="77777777" w:rsidR="00566EB9" w:rsidRPr="00DD1A7B" w:rsidRDefault="00566EB9">
      <w:pPr>
        <w:spacing w:line="360" w:lineRule="auto"/>
        <w:ind w:right="51"/>
        <w:jc w:val="both"/>
        <w:rPr>
          <w:rFonts w:ascii="Palatino Linotype" w:eastAsia="Palatino Linotype" w:hAnsi="Palatino Linotype" w:cs="Palatino Linotype"/>
          <w:sz w:val="22"/>
          <w:szCs w:val="22"/>
        </w:rPr>
      </w:pPr>
    </w:p>
    <w:p w14:paraId="5CFF4378" w14:textId="25EBC873" w:rsidR="00566EB9" w:rsidRPr="00DD1A7B" w:rsidRDefault="00D41CC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5. Admisión del Recurso de revisión.</w:t>
      </w:r>
      <w:r w:rsidRPr="00DD1A7B">
        <w:rPr>
          <w:rFonts w:ascii="Palatino Linotype" w:eastAsia="Palatino Linotype" w:hAnsi="Palatino Linotype" w:cs="Palatino Linotype"/>
          <w:sz w:val="22"/>
          <w:szCs w:val="22"/>
        </w:rPr>
        <w:t xml:space="preserve"> El </w:t>
      </w:r>
      <w:r w:rsidR="00827AC0" w:rsidRPr="00DD1A7B">
        <w:rPr>
          <w:rFonts w:ascii="Palatino Linotype" w:eastAsia="Palatino Linotype" w:hAnsi="Palatino Linotype" w:cs="Palatino Linotype"/>
          <w:b/>
          <w:sz w:val="22"/>
          <w:szCs w:val="22"/>
        </w:rPr>
        <w:t>catorce de julio</w:t>
      </w:r>
      <w:r w:rsidRPr="00DD1A7B">
        <w:rPr>
          <w:rFonts w:ascii="Palatino Linotype" w:eastAsia="Palatino Linotype" w:hAnsi="Palatino Linotype" w:cs="Palatino Linotype"/>
          <w:b/>
          <w:sz w:val="22"/>
          <w:szCs w:val="22"/>
        </w:rPr>
        <w:t xml:space="preserve"> de dos mil veinticinco, </w:t>
      </w:r>
      <w:r w:rsidRPr="00DD1A7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D1A7B">
        <w:rPr>
          <w:rFonts w:ascii="Palatino Linotype" w:eastAsia="Palatino Linotype" w:hAnsi="Palatino Linotype" w:cs="Palatino Linotype"/>
          <w:b/>
          <w:sz w:val="22"/>
          <w:szCs w:val="22"/>
        </w:rPr>
        <w:t xml:space="preserve">Sujeto Obligado </w:t>
      </w:r>
      <w:r w:rsidRPr="00DD1A7B">
        <w:rPr>
          <w:rFonts w:ascii="Palatino Linotype" w:eastAsia="Palatino Linotype" w:hAnsi="Palatino Linotype" w:cs="Palatino Linotype"/>
          <w:sz w:val="22"/>
          <w:szCs w:val="22"/>
        </w:rPr>
        <w:t>presentara su informe justificado.</w:t>
      </w:r>
    </w:p>
    <w:p w14:paraId="47CC460F" w14:textId="77777777" w:rsidR="00566EB9" w:rsidRPr="00DD1A7B" w:rsidRDefault="00566EB9">
      <w:pPr>
        <w:spacing w:line="360" w:lineRule="auto"/>
        <w:jc w:val="both"/>
        <w:rPr>
          <w:rFonts w:ascii="Palatino Linotype" w:eastAsia="Palatino Linotype" w:hAnsi="Palatino Linotype" w:cs="Palatino Linotype"/>
          <w:sz w:val="22"/>
          <w:szCs w:val="22"/>
        </w:rPr>
      </w:pPr>
    </w:p>
    <w:p w14:paraId="6C37E592" w14:textId="5CBBD40E" w:rsidR="00920524" w:rsidRPr="00DD1A7B" w:rsidRDefault="00D41CC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DD1A7B">
        <w:rPr>
          <w:rFonts w:ascii="Palatino Linotype" w:eastAsia="Palatino Linotype" w:hAnsi="Palatino Linotype" w:cs="Palatino Linotype"/>
          <w:b/>
          <w:sz w:val="22"/>
          <w:szCs w:val="22"/>
        </w:rPr>
        <w:t>6. Manifestaciones</w:t>
      </w:r>
      <w:r w:rsidRPr="00DD1A7B">
        <w:rPr>
          <w:rFonts w:ascii="Palatino Linotype" w:eastAsia="Palatino Linotype" w:hAnsi="Palatino Linotype" w:cs="Palatino Linotype"/>
          <w:sz w:val="22"/>
          <w:szCs w:val="22"/>
        </w:rPr>
        <w:t xml:space="preserve">. De las constancias que integran el expediente en que se actúa se advierte que </w:t>
      </w:r>
      <w:r w:rsidR="00920524" w:rsidRPr="00DD1A7B">
        <w:rPr>
          <w:rFonts w:ascii="Palatino Linotype" w:eastAsia="Palatino Linotype" w:hAnsi="Palatino Linotype" w:cs="Palatino Linotype"/>
          <w:sz w:val="22"/>
          <w:szCs w:val="22"/>
        </w:rPr>
        <w:t xml:space="preserve">la parte </w:t>
      </w:r>
      <w:r w:rsidR="00920524" w:rsidRPr="00DD1A7B">
        <w:rPr>
          <w:rFonts w:ascii="Palatino Linotype" w:eastAsia="Palatino Linotype" w:hAnsi="Palatino Linotype" w:cs="Palatino Linotype"/>
          <w:b/>
          <w:sz w:val="22"/>
          <w:szCs w:val="22"/>
        </w:rPr>
        <w:t xml:space="preserve">Recurrente </w:t>
      </w:r>
      <w:r w:rsidR="00920524" w:rsidRPr="00DD1A7B">
        <w:rPr>
          <w:rFonts w:ascii="Palatino Linotype" w:eastAsia="Palatino Linotype" w:hAnsi="Palatino Linotype" w:cs="Palatino Linotype"/>
          <w:sz w:val="22"/>
          <w:szCs w:val="22"/>
        </w:rPr>
        <w:t>en fecha veintiuno de julio de dos mil veinticinco rindió alegatos reiterando sus motivos de inconformidad en los siguientes términos: “</w:t>
      </w:r>
      <w:r w:rsidR="00920524" w:rsidRPr="00DD1A7B">
        <w:rPr>
          <w:rFonts w:ascii="Palatino Linotype" w:eastAsia="Palatino Linotype" w:hAnsi="Palatino Linotype" w:cs="Palatino Linotype"/>
          <w:b/>
          <w:i/>
          <w:sz w:val="22"/>
          <w:szCs w:val="22"/>
        </w:rPr>
        <w:t>H. Presidenta Municipal de Ecatepec de Morelos, es una falta de respeto que primero se autorice una PRORROGA, y después exista una falta de respuesta a una solicitud de acceso a la información. Solicito con todo respeto se emita una respuesta con su rúbrica.</w:t>
      </w:r>
      <w:r w:rsidR="00920524" w:rsidRPr="00DD1A7B">
        <w:rPr>
          <w:rFonts w:ascii="Palatino Linotype" w:eastAsia="Palatino Linotype" w:hAnsi="Palatino Linotype" w:cs="Palatino Linotype"/>
          <w:sz w:val="22"/>
          <w:szCs w:val="22"/>
        </w:rPr>
        <w:t>”.</w:t>
      </w:r>
    </w:p>
    <w:p w14:paraId="2CC3071C" w14:textId="77777777" w:rsidR="00920524" w:rsidRPr="00DD1A7B" w:rsidRDefault="00920524"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0F497D6" w14:textId="5AF53C3C" w:rsidR="00920524" w:rsidRPr="00DD1A7B" w:rsidRDefault="00920524"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Asimismo, la parte </w:t>
      </w:r>
      <w:r w:rsidRPr="00DD1A7B">
        <w:rPr>
          <w:rFonts w:ascii="Palatino Linotype" w:eastAsia="Palatino Linotype" w:hAnsi="Palatino Linotype" w:cs="Palatino Linotype"/>
          <w:b/>
          <w:sz w:val="22"/>
          <w:szCs w:val="22"/>
        </w:rPr>
        <w:t xml:space="preserve">Recurrente </w:t>
      </w:r>
      <w:r w:rsidRPr="00DD1A7B">
        <w:rPr>
          <w:rFonts w:ascii="Palatino Linotype" w:eastAsia="Palatino Linotype" w:hAnsi="Palatino Linotype" w:cs="Palatino Linotype"/>
          <w:sz w:val="22"/>
          <w:szCs w:val="22"/>
        </w:rPr>
        <w:t>adjuntó a sus manifestaciones el acuerdo de admisión del presente medio de defensa.</w:t>
      </w:r>
    </w:p>
    <w:p w14:paraId="38E55FD3" w14:textId="77777777" w:rsidR="00920524" w:rsidRPr="00DD1A7B" w:rsidRDefault="00920524"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A883C5" w14:textId="55B88A04" w:rsidR="00566EB9" w:rsidRPr="00DD1A7B" w:rsidRDefault="00920524"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Por su parte, </w:t>
      </w:r>
      <w:r w:rsidR="00A968BE" w:rsidRPr="00DD1A7B">
        <w:rPr>
          <w:rFonts w:ascii="Palatino Linotype" w:eastAsia="Palatino Linotype" w:hAnsi="Palatino Linotype" w:cs="Palatino Linotype"/>
          <w:sz w:val="22"/>
          <w:szCs w:val="22"/>
        </w:rPr>
        <w:t xml:space="preserve">el </w:t>
      </w:r>
      <w:r w:rsidR="00A968BE" w:rsidRPr="00DD1A7B">
        <w:rPr>
          <w:rFonts w:ascii="Palatino Linotype" w:eastAsia="Palatino Linotype" w:hAnsi="Palatino Linotype" w:cs="Palatino Linotype"/>
          <w:b/>
          <w:sz w:val="22"/>
          <w:szCs w:val="22"/>
        </w:rPr>
        <w:t xml:space="preserve">Sujeto Obligado </w:t>
      </w:r>
      <w:r w:rsidR="00A968BE" w:rsidRPr="00DD1A7B">
        <w:rPr>
          <w:rFonts w:ascii="Palatino Linotype" w:eastAsia="Palatino Linotype" w:hAnsi="Palatino Linotype" w:cs="Palatino Linotype"/>
          <w:sz w:val="22"/>
          <w:szCs w:val="22"/>
        </w:rPr>
        <w:t xml:space="preserve">rindió su informe justificado </w:t>
      </w:r>
      <w:r w:rsidR="00F2020F" w:rsidRPr="00DD1A7B">
        <w:rPr>
          <w:rFonts w:ascii="Palatino Linotype" w:eastAsia="Palatino Linotype" w:hAnsi="Palatino Linotype" w:cs="Palatino Linotype"/>
          <w:sz w:val="22"/>
          <w:szCs w:val="22"/>
        </w:rPr>
        <w:t>en fechas veinticuatro y treinta de julio de dos mil veinticinco, a través de la siguiente información:</w:t>
      </w:r>
    </w:p>
    <w:p w14:paraId="033E72BB" w14:textId="77777777" w:rsidR="00F2020F" w:rsidRPr="00DD1A7B" w:rsidRDefault="00F2020F"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C41015" w14:textId="60AF5167" w:rsidR="00F2020F" w:rsidRPr="00DD1A7B" w:rsidRDefault="00F2020F" w:rsidP="00F2020F">
      <w:pPr>
        <w:pStyle w:val="Prrafodelista"/>
        <w:numPr>
          <w:ilvl w:val="0"/>
          <w:numId w:val="27"/>
        </w:numPr>
        <w:pBdr>
          <w:top w:val="nil"/>
          <w:left w:val="nil"/>
          <w:bottom w:val="nil"/>
          <w:right w:val="nil"/>
          <w:between w:val="nil"/>
        </w:pBdr>
        <w:tabs>
          <w:tab w:val="left" w:pos="426"/>
        </w:tabs>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Oficio del veinticuatro de julio de dos mil veinticinco, a través del cual el Titular de la Unidad de Transparencia refiere que con la finalidad de atender los motivos de inconformidad remite copia del Acta de la Vigésima Primera Sesión Extraordinaria celebrada el 23 de julio de 2025, mediante el cual se aprobó la inexistencia de la información requerida por el recurrente.</w:t>
      </w:r>
    </w:p>
    <w:p w14:paraId="5FF63E65" w14:textId="77777777" w:rsidR="00F2020F" w:rsidRPr="00DD1A7B" w:rsidRDefault="00F2020F" w:rsidP="00F2020F">
      <w:pPr>
        <w:pStyle w:val="Prrafodelista"/>
        <w:pBdr>
          <w:top w:val="nil"/>
          <w:left w:val="nil"/>
          <w:bottom w:val="nil"/>
          <w:right w:val="nil"/>
          <w:between w:val="nil"/>
        </w:pBdr>
        <w:tabs>
          <w:tab w:val="left" w:pos="426"/>
        </w:tabs>
        <w:ind w:left="360" w:right="49"/>
        <w:jc w:val="both"/>
        <w:rPr>
          <w:rFonts w:ascii="Palatino Linotype" w:eastAsia="Palatino Linotype" w:hAnsi="Palatino Linotype" w:cs="Palatino Linotype"/>
          <w:sz w:val="22"/>
          <w:szCs w:val="22"/>
        </w:rPr>
      </w:pPr>
    </w:p>
    <w:p w14:paraId="6429C187" w14:textId="0161EA25" w:rsidR="00F2020F" w:rsidRPr="00DD1A7B" w:rsidRDefault="00F2020F" w:rsidP="00F2020F">
      <w:pPr>
        <w:pStyle w:val="Prrafodelista"/>
        <w:numPr>
          <w:ilvl w:val="0"/>
          <w:numId w:val="27"/>
        </w:numPr>
        <w:pBdr>
          <w:top w:val="nil"/>
          <w:left w:val="nil"/>
          <w:bottom w:val="nil"/>
          <w:right w:val="nil"/>
          <w:between w:val="nil"/>
        </w:pBdr>
        <w:tabs>
          <w:tab w:val="left" w:pos="426"/>
        </w:tabs>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Acta de la Vigésima Primera Sesión Extraordinaria celebrada el 23 de julio de 2025, a través de la cual bajo el punto </w:t>
      </w:r>
      <w:r w:rsidR="006E10B8" w:rsidRPr="00DD1A7B">
        <w:rPr>
          <w:rFonts w:ascii="Palatino Linotype" w:eastAsia="Palatino Linotype" w:hAnsi="Palatino Linotype" w:cs="Palatino Linotype"/>
          <w:sz w:val="22"/>
          <w:szCs w:val="22"/>
        </w:rPr>
        <w:t>cinco del orden del día, se emitió acuerdo de declaratoria de inexistencia de la información relacionada con el recurso de revisión que nos ocupa.</w:t>
      </w:r>
    </w:p>
    <w:p w14:paraId="29CB6ACE" w14:textId="77777777" w:rsidR="00CE3862" w:rsidRPr="00DD1A7B" w:rsidRDefault="00CE3862"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CD320E" w14:textId="67E0DCBA" w:rsidR="00CE3862" w:rsidRPr="00DD1A7B" w:rsidRDefault="00A968B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noProof/>
          <w:sz w:val="22"/>
          <w:szCs w:val="22"/>
        </w:rPr>
        <w:t xml:space="preserve">Documentos los anteriores que fueron puestos a la vista de la parte </w:t>
      </w:r>
      <w:r w:rsidRPr="00DD1A7B">
        <w:rPr>
          <w:rFonts w:ascii="Palatino Linotype" w:eastAsia="Palatino Linotype" w:hAnsi="Palatino Linotype" w:cs="Palatino Linotype"/>
          <w:b/>
          <w:noProof/>
          <w:sz w:val="22"/>
          <w:szCs w:val="22"/>
        </w:rPr>
        <w:t xml:space="preserve">Recurrente </w:t>
      </w:r>
      <w:r w:rsidRPr="00DD1A7B">
        <w:rPr>
          <w:rFonts w:ascii="Palatino Linotype" w:eastAsia="Palatino Linotype" w:hAnsi="Palatino Linotype" w:cs="Palatino Linotype"/>
          <w:noProof/>
          <w:sz w:val="22"/>
          <w:szCs w:val="22"/>
        </w:rPr>
        <w:t xml:space="preserve"> a fin de que hiciera valer </w:t>
      </w:r>
      <w:r w:rsidR="00A957A4" w:rsidRPr="00DD1A7B">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6C250D84" w14:textId="7D277B4B" w:rsidR="00326383" w:rsidRPr="00DD1A7B"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41781EE" w:rsidR="00962787" w:rsidRPr="00DD1A7B"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7</w:t>
      </w:r>
      <w:r w:rsidR="00D41CCE" w:rsidRPr="00DD1A7B">
        <w:rPr>
          <w:rFonts w:ascii="Palatino Linotype" w:eastAsia="Palatino Linotype" w:hAnsi="Palatino Linotype" w:cs="Palatino Linotype"/>
          <w:b/>
          <w:sz w:val="22"/>
          <w:szCs w:val="22"/>
        </w:rPr>
        <w:t xml:space="preserve">. </w:t>
      </w:r>
      <w:r w:rsidR="00962787" w:rsidRPr="00DD1A7B">
        <w:rPr>
          <w:rFonts w:ascii="Palatino Linotype" w:eastAsia="Palatino Linotype" w:hAnsi="Palatino Linotype" w:cs="Palatino Linotype"/>
          <w:b/>
          <w:sz w:val="22"/>
          <w:szCs w:val="22"/>
        </w:rPr>
        <w:t>Ampliación del término para resolver</w:t>
      </w:r>
      <w:r w:rsidR="00962787" w:rsidRPr="00DD1A7B">
        <w:rPr>
          <w:rFonts w:ascii="Palatino Linotype" w:eastAsia="Palatino Linotype" w:hAnsi="Palatino Linotype" w:cs="Palatino Linotype"/>
          <w:sz w:val="22"/>
          <w:szCs w:val="22"/>
        </w:rPr>
        <w:t xml:space="preserve">. Mediante acuerdo del </w:t>
      </w:r>
      <w:r w:rsidR="004719A3" w:rsidRPr="00DD1A7B">
        <w:rPr>
          <w:rFonts w:ascii="Palatino Linotype" w:eastAsia="Palatino Linotype" w:hAnsi="Palatino Linotype" w:cs="Palatino Linotype"/>
          <w:b/>
          <w:sz w:val="22"/>
          <w:szCs w:val="22"/>
        </w:rPr>
        <w:t>once</w:t>
      </w:r>
      <w:r w:rsidR="00A957A4" w:rsidRPr="00DD1A7B">
        <w:rPr>
          <w:rFonts w:ascii="Palatino Linotype" w:eastAsia="Palatino Linotype" w:hAnsi="Palatino Linotype" w:cs="Palatino Linotype"/>
          <w:b/>
          <w:sz w:val="22"/>
          <w:szCs w:val="22"/>
        </w:rPr>
        <w:t xml:space="preserve"> de febrero</w:t>
      </w:r>
      <w:r w:rsidR="00962787" w:rsidRPr="00DD1A7B">
        <w:rPr>
          <w:rFonts w:ascii="Palatino Linotype" w:eastAsia="Palatino Linotype" w:hAnsi="Palatino Linotype" w:cs="Palatino Linotype"/>
          <w:b/>
          <w:sz w:val="22"/>
          <w:szCs w:val="22"/>
        </w:rPr>
        <w:t xml:space="preserve"> de dos mil </w:t>
      </w:r>
      <w:r w:rsidR="00A957A4" w:rsidRPr="00DD1A7B">
        <w:rPr>
          <w:rFonts w:ascii="Palatino Linotype" w:eastAsia="Palatino Linotype" w:hAnsi="Palatino Linotype" w:cs="Palatino Linotype"/>
          <w:b/>
          <w:sz w:val="22"/>
          <w:szCs w:val="22"/>
        </w:rPr>
        <w:t>veintiséis</w:t>
      </w:r>
      <w:r w:rsidR="00962787" w:rsidRPr="00DD1A7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DD1A7B"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DD1A7B" w:rsidRDefault="003477DE" w:rsidP="003477DE">
      <w:pPr>
        <w:spacing w:line="360" w:lineRule="auto"/>
        <w:jc w:val="both"/>
        <w:rPr>
          <w:rFonts w:ascii="Palatino Linotype" w:eastAsia="Palatino Linotype" w:hAnsi="Palatino Linotype" w:cs="Palatino Linotype"/>
          <w:strike/>
          <w:sz w:val="22"/>
          <w:szCs w:val="22"/>
        </w:rPr>
      </w:pPr>
      <w:r w:rsidRPr="00DD1A7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DD1A7B"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Complejidad del Asunto:</w:t>
      </w:r>
      <w:r w:rsidRPr="00DD1A7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DD1A7B"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DD1A7B"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Actividad Procesal del interesado.</w:t>
      </w:r>
      <w:r w:rsidRPr="00DD1A7B">
        <w:rPr>
          <w:rFonts w:ascii="Palatino Linotype" w:eastAsia="Palatino Linotype" w:hAnsi="Palatino Linotype" w:cs="Palatino Linotype"/>
          <w:sz w:val="22"/>
          <w:szCs w:val="22"/>
        </w:rPr>
        <w:t xml:space="preserve"> Acciones u omisiones del interesado.</w:t>
      </w:r>
    </w:p>
    <w:p w14:paraId="6E4C0468" w14:textId="77777777" w:rsidR="003477DE" w:rsidRPr="00DD1A7B"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DD1A7B"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Conducta de la Autoridad:</w:t>
      </w:r>
      <w:r w:rsidRPr="00DD1A7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DD1A7B"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DD1A7B"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 xml:space="preserve">La afectación generada en la situación jurídica de la persona involucrada en el proceso: </w:t>
      </w:r>
      <w:r w:rsidRPr="00DD1A7B">
        <w:rPr>
          <w:rFonts w:ascii="Palatino Linotype" w:eastAsia="Palatino Linotype" w:hAnsi="Palatino Linotype" w:cs="Palatino Linotype"/>
          <w:sz w:val="22"/>
          <w:szCs w:val="22"/>
        </w:rPr>
        <w:t>Violación a sus derechos humanos.</w:t>
      </w:r>
    </w:p>
    <w:p w14:paraId="2878173F"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DD1A7B" w:rsidRDefault="003477DE" w:rsidP="003477DE">
      <w:pPr>
        <w:spacing w:line="360" w:lineRule="auto"/>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D1A7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D1A7B">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DD1A7B" w:rsidRDefault="003477DE" w:rsidP="003477DE">
      <w:pPr>
        <w:spacing w:line="360" w:lineRule="auto"/>
        <w:ind w:left="567" w:right="616"/>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i/>
          <w:sz w:val="22"/>
          <w:szCs w:val="22"/>
        </w:rPr>
        <w:t>“PLAZO RAZONABLE PARA RESOLVER. DIMENSIÓN Y EFECTOS DE ESTE CONCEPTO CUANDO SE ADUCE EXCESIVA CARGA DE TRABAJO.”</w:t>
      </w:r>
      <w:r w:rsidRPr="00DD1A7B">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DD1A7B"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DD1A7B" w:rsidRDefault="003477DE" w:rsidP="003477DE">
      <w:pPr>
        <w:spacing w:line="360" w:lineRule="auto"/>
        <w:ind w:left="567" w:right="616"/>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DD1A7B">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DD1A7B"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DD1A7B" w:rsidRDefault="003477DE" w:rsidP="003477D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DD1A7B" w:rsidRDefault="003477DE" w:rsidP="00962787">
      <w:pPr>
        <w:spacing w:line="360" w:lineRule="auto"/>
        <w:jc w:val="both"/>
        <w:rPr>
          <w:rFonts w:ascii="Palatino Linotype" w:eastAsia="Palatino Linotype" w:hAnsi="Palatino Linotype" w:cs="Palatino Linotype"/>
          <w:sz w:val="22"/>
          <w:szCs w:val="22"/>
        </w:rPr>
      </w:pPr>
    </w:p>
    <w:p w14:paraId="59855FF2" w14:textId="17FFE042" w:rsidR="00D90F2D" w:rsidRPr="00DD1A7B"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 xml:space="preserve">8. Cierre de instrucción. </w:t>
      </w:r>
      <w:r w:rsidRPr="00DD1A7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719A3" w:rsidRPr="00DD1A7B">
        <w:rPr>
          <w:rFonts w:ascii="Palatino Linotype" w:eastAsia="Palatino Linotype" w:hAnsi="Palatino Linotype" w:cs="Palatino Linotype"/>
          <w:b/>
          <w:sz w:val="22"/>
          <w:szCs w:val="22"/>
        </w:rPr>
        <w:t>diecisiete</w:t>
      </w:r>
      <w:r w:rsidR="00A957A4" w:rsidRPr="00DD1A7B">
        <w:rPr>
          <w:rFonts w:ascii="Palatino Linotype" w:eastAsia="Palatino Linotype" w:hAnsi="Palatino Linotype" w:cs="Palatino Linotype"/>
          <w:b/>
          <w:sz w:val="22"/>
          <w:szCs w:val="22"/>
        </w:rPr>
        <w:t xml:space="preserve"> de febrero de dos mil </w:t>
      </w:r>
      <w:r w:rsidR="004719A3" w:rsidRPr="00DD1A7B">
        <w:rPr>
          <w:rFonts w:ascii="Palatino Linotype" w:eastAsia="Palatino Linotype" w:hAnsi="Palatino Linotype" w:cs="Palatino Linotype"/>
          <w:b/>
          <w:sz w:val="22"/>
          <w:szCs w:val="22"/>
        </w:rPr>
        <w:t>veintiséis</w:t>
      </w:r>
      <w:r w:rsidRPr="00DD1A7B">
        <w:rPr>
          <w:rFonts w:ascii="Palatino Linotype" w:eastAsia="Palatino Linotype" w:hAnsi="Palatino Linotype" w:cs="Palatino Linotype"/>
          <w:b/>
          <w:sz w:val="22"/>
          <w:szCs w:val="22"/>
        </w:rPr>
        <w:t>,</w:t>
      </w:r>
      <w:r w:rsidRPr="00DD1A7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DD1A7B"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DD1A7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DD1A7B" w:rsidRDefault="00D41CCE">
      <w:pPr>
        <w:widowControl w:val="0"/>
        <w:spacing w:before="240" w:after="240" w:line="360" w:lineRule="auto"/>
        <w:jc w:val="center"/>
        <w:rPr>
          <w:rFonts w:ascii="Palatino Linotype" w:eastAsia="Palatino Linotype" w:hAnsi="Palatino Linotype" w:cs="Palatino Linotype"/>
          <w:b/>
          <w:sz w:val="22"/>
          <w:szCs w:val="22"/>
        </w:rPr>
      </w:pPr>
      <w:r w:rsidRPr="00DD1A7B">
        <w:rPr>
          <w:rFonts w:ascii="Palatino Linotype" w:eastAsia="Palatino Linotype" w:hAnsi="Palatino Linotype" w:cs="Palatino Linotype"/>
          <w:b/>
          <w:sz w:val="22"/>
          <w:szCs w:val="22"/>
        </w:rPr>
        <w:t>II. C O N S I D E R A N D O S</w:t>
      </w:r>
    </w:p>
    <w:p w14:paraId="26BE9313" w14:textId="77777777" w:rsidR="00CE3862" w:rsidRPr="00DD1A7B" w:rsidRDefault="00CE3862" w:rsidP="00CE3862">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sz w:val="22"/>
          <w:szCs w:val="22"/>
        </w:rPr>
        <w:t>Primero. Competencia.</w:t>
      </w:r>
      <w:r w:rsidRPr="00DD1A7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DD1A7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DD1A7B"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DD1A7B">
        <w:rPr>
          <w:rFonts w:ascii="Palatino Linotype" w:eastAsia="Palatino Linotype" w:hAnsi="Palatino Linotype" w:cs="Palatino Linotype"/>
          <w:b/>
          <w:sz w:val="22"/>
          <w:szCs w:val="22"/>
        </w:rPr>
        <w:t xml:space="preserve">Segundo. Oportunidad y </w:t>
      </w:r>
      <w:proofErr w:type="spellStart"/>
      <w:r w:rsidRPr="00DD1A7B">
        <w:rPr>
          <w:rFonts w:ascii="Palatino Linotype" w:eastAsia="Palatino Linotype" w:hAnsi="Palatino Linotype" w:cs="Palatino Linotype"/>
          <w:b/>
          <w:sz w:val="22"/>
          <w:szCs w:val="22"/>
        </w:rPr>
        <w:t>Procedibilidad</w:t>
      </w:r>
      <w:proofErr w:type="spellEnd"/>
      <w:r w:rsidRPr="00DD1A7B">
        <w:rPr>
          <w:rFonts w:ascii="Palatino Linotype" w:eastAsia="Palatino Linotype" w:hAnsi="Palatino Linotype" w:cs="Palatino Linotype"/>
          <w:b/>
          <w:sz w:val="22"/>
          <w:szCs w:val="22"/>
        </w:rPr>
        <w:t xml:space="preserve"> del Recurso de Revisión</w:t>
      </w:r>
      <w:r w:rsidRPr="00DD1A7B">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DD1A7B">
        <w:rPr>
          <w:rFonts w:ascii="Palatino Linotype" w:eastAsia="Palatino Linotype" w:hAnsi="Palatino Linotype" w:cs="Palatino Linotype"/>
          <w:sz w:val="22"/>
          <w:szCs w:val="22"/>
        </w:rPr>
        <w:t>procedibilidad</w:t>
      </w:r>
      <w:proofErr w:type="spellEnd"/>
      <w:r w:rsidRPr="00DD1A7B">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7C665AE4" w14:textId="77777777" w:rsidR="00566EB9" w:rsidRPr="00DD1A7B" w:rsidRDefault="00566EB9">
      <w:pPr>
        <w:spacing w:line="360" w:lineRule="auto"/>
        <w:jc w:val="both"/>
        <w:rPr>
          <w:rFonts w:ascii="Palatino Linotype" w:eastAsia="Palatino Linotype" w:hAnsi="Palatino Linotype" w:cs="Palatino Linotype"/>
          <w:sz w:val="22"/>
          <w:szCs w:val="22"/>
        </w:rPr>
      </w:pPr>
    </w:p>
    <w:p w14:paraId="482B13A3" w14:textId="20F788FB" w:rsidR="00A957A4" w:rsidRPr="00DD1A7B" w:rsidRDefault="00A957A4" w:rsidP="00A957A4">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D1A7B">
        <w:rPr>
          <w:rFonts w:ascii="Palatino Linotype" w:eastAsia="Palatino Linotype" w:hAnsi="Palatino Linotype" w:cs="Palatino Linotype"/>
          <w:b/>
          <w:sz w:val="22"/>
          <w:szCs w:val="22"/>
        </w:rPr>
        <w:t xml:space="preserve">Sujeto Obligado </w:t>
      </w:r>
      <w:r w:rsidRPr="00DD1A7B">
        <w:rPr>
          <w:rFonts w:ascii="Palatino Linotype" w:eastAsia="Palatino Linotype" w:hAnsi="Palatino Linotype" w:cs="Palatino Linotype"/>
          <w:sz w:val="22"/>
          <w:szCs w:val="22"/>
        </w:rPr>
        <w:t>remitió la respuesta a la solicitud de información el</w:t>
      </w:r>
      <w:r w:rsidRPr="00DD1A7B">
        <w:t xml:space="preserve"> </w:t>
      </w:r>
      <w:r w:rsidR="004719A3" w:rsidRPr="00DD1A7B">
        <w:rPr>
          <w:rFonts w:ascii="Palatino Linotype" w:eastAsia="Palatino Linotype" w:hAnsi="Palatino Linotype" w:cs="Palatino Linotype"/>
          <w:b/>
          <w:sz w:val="22"/>
          <w:szCs w:val="22"/>
        </w:rPr>
        <w:t>nueve de julio de dos mil veinticinco</w:t>
      </w:r>
      <w:r w:rsidRPr="00DD1A7B">
        <w:rPr>
          <w:rFonts w:ascii="Palatino Linotype" w:eastAsia="Palatino Linotype" w:hAnsi="Palatino Linotype" w:cs="Palatino Linotype"/>
          <w:b/>
          <w:sz w:val="22"/>
          <w:szCs w:val="22"/>
        </w:rPr>
        <w:t xml:space="preserve">, </w:t>
      </w:r>
      <w:r w:rsidRPr="00DD1A7B">
        <w:rPr>
          <w:rFonts w:ascii="Palatino Linotype" w:eastAsia="Palatino Linotype" w:hAnsi="Palatino Linotype" w:cs="Palatino Linotype"/>
          <w:sz w:val="22"/>
          <w:szCs w:val="22"/>
        </w:rPr>
        <w:t xml:space="preserve">mientras que el recurso de revisión interpuesto por </w:t>
      </w:r>
      <w:r w:rsidRPr="00DD1A7B">
        <w:rPr>
          <w:rFonts w:ascii="Palatino Linotype" w:eastAsia="Palatino Linotype" w:hAnsi="Palatino Linotype" w:cs="Palatino Linotype"/>
          <w:b/>
          <w:sz w:val="22"/>
          <w:szCs w:val="22"/>
        </w:rPr>
        <w:t>la parte</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Recurrente</w:t>
      </w:r>
      <w:r w:rsidRPr="00DD1A7B">
        <w:rPr>
          <w:rFonts w:ascii="Palatino Linotype" w:eastAsia="Palatino Linotype" w:hAnsi="Palatino Linotype" w:cs="Palatino Linotype"/>
          <w:sz w:val="22"/>
          <w:szCs w:val="22"/>
        </w:rPr>
        <w:t xml:space="preserve">, se tuvo por presentado el </w:t>
      </w:r>
      <w:r w:rsidR="004719A3" w:rsidRPr="00DD1A7B">
        <w:rPr>
          <w:rFonts w:ascii="Palatino Linotype" w:eastAsia="Palatino Linotype" w:hAnsi="Palatino Linotype" w:cs="Palatino Linotype"/>
          <w:b/>
          <w:sz w:val="22"/>
          <w:szCs w:val="22"/>
        </w:rPr>
        <w:t>nueve de julio de dos mil veinticinco</w:t>
      </w:r>
      <w:r w:rsidRPr="00DD1A7B">
        <w:rPr>
          <w:rFonts w:ascii="Palatino Linotype" w:eastAsia="Palatino Linotype" w:hAnsi="Palatino Linotype" w:cs="Palatino Linotype"/>
          <w:sz w:val="22"/>
          <w:szCs w:val="22"/>
        </w:rPr>
        <w:t xml:space="preserve"> esto es, el mismo día </w:t>
      </w:r>
      <w:r w:rsidRPr="00DD1A7B">
        <w:rPr>
          <w:rFonts w:ascii="Palatino Linotype" w:eastAsia="Palatino Linotype" w:hAnsi="Palatino Linotype" w:cs="Palatino Linotype"/>
          <w:b/>
          <w:sz w:val="22"/>
          <w:szCs w:val="22"/>
        </w:rPr>
        <w:t>en que se tuvo conocimiento de la respuesta impugnada</w:t>
      </w:r>
      <w:r w:rsidRPr="00DD1A7B">
        <w:rPr>
          <w:rFonts w:ascii="Palatino Linotype" w:eastAsia="Palatino Linotype" w:hAnsi="Palatino Linotype" w:cs="Palatino Linotype"/>
          <w:sz w:val="22"/>
          <w:szCs w:val="22"/>
        </w:rPr>
        <w:t xml:space="preserve">. </w:t>
      </w:r>
    </w:p>
    <w:p w14:paraId="379D1D6C" w14:textId="77777777" w:rsidR="00A957A4" w:rsidRPr="00DD1A7B" w:rsidRDefault="00A957A4" w:rsidP="00A957A4">
      <w:pPr>
        <w:spacing w:line="360" w:lineRule="auto"/>
        <w:jc w:val="both"/>
        <w:rPr>
          <w:rFonts w:ascii="Palatino Linotype" w:eastAsia="Palatino Linotype" w:hAnsi="Palatino Linotype" w:cs="Palatino Linotype"/>
          <w:sz w:val="22"/>
          <w:szCs w:val="22"/>
        </w:rPr>
      </w:pPr>
    </w:p>
    <w:p w14:paraId="217E7D78" w14:textId="77777777" w:rsidR="00A957A4" w:rsidRPr="00DD1A7B" w:rsidRDefault="00A957A4" w:rsidP="00A957A4">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0CA03824" w14:textId="77777777" w:rsidR="00A957A4" w:rsidRPr="00DD1A7B" w:rsidRDefault="00A957A4" w:rsidP="00A957A4">
      <w:pPr>
        <w:spacing w:line="360" w:lineRule="auto"/>
        <w:jc w:val="both"/>
        <w:rPr>
          <w:rFonts w:ascii="Palatino Linotype" w:eastAsia="Palatino Linotype" w:hAnsi="Palatino Linotype" w:cs="Palatino Linotype"/>
          <w:sz w:val="22"/>
          <w:szCs w:val="22"/>
        </w:rPr>
      </w:pPr>
    </w:p>
    <w:p w14:paraId="799684DB" w14:textId="77777777" w:rsidR="00A957A4" w:rsidRPr="00DD1A7B" w:rsidRDefault="00A957A4" w:rsidP="00A957A4">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E73C636" w14:textId="77777777" w:rsidR="00A957A4" w:rsidRPr="00DD1A7B" w:rsidRDefault="00A957A4" w:rsidP="00A957A4">
      <w:pPr>
        <w:spacing w:line="360" w:lineRule="auto"/>
        <w:jc w:val="both"/>
        <w:rPr>
          <w:rFonts w:ascii="Palatino Linotype" w:eastAsia="Palatino Linotype" w:hAnsi="Palatino Linotype" w:cs="Palatino Linotype"/>
          <w:sz w:val="22"/>
          <w:szCs w:val="22"/>
        </w:rPr>
      </w:pPr>
    </w:p>
    <w:p w14:paraId="5A87DACF" w14:textId="77777777" w:rsidR="00A957A4" w:rsidRPr="00DD1A7B" w:rsidRDefault="00A957A4" w:rsidP="00A957A4">
      <w:pPr>
        <w:spacing w:line="276" w:lineRule="auto"/>
        <w:ind w:left="567" w:right="616"/>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D1A7B">
        <w:rPr>
          <w:rFonts w:ascii="Palatino Linotype" w:eastAsia="Palatino Linotype" w:hAnsi="Palatino Linotype" w:cs="Palatino Linotype"/>
          <w:i/>
          <w:sz w:val="22"/>
          <w:szCs w:val="22"/>
        </w:rPr>
        <w:t>.</w:t>
      </w:r>
    </w:p>
    <w:p w14:paraId="28E22532" w14:textId="77777777" w:rsidR="00A957A4" w:rsidRPr="00DD1A7B" w:rsidRDefault="00A957A4" w:rsidP="00A957A4">
      <w:pPr>
        <w:spacing w:line="276" w:lineRule="auto"/>
        <w:ind w:left="567" w:right="616"/>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881407C" w14:textId="77777777" w:rsidR="00944282" w:rsidRPr="00DD1A7B"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7A7B97C6" w:rsidR="00566EB9" w:rsidRPr="00DD1A7B" w:rsidRDefault="00D41CCE">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D1A7B">
        <w:rPr>
          <w:rFonts w:ascii="Palatino Linotype" w:eastAsia="Palatino Linotype" w:hAnsi="Palatino Linotype" w:cs="Palatino Linotype"/>
          <w:b/>
          <w:sz w:val="22"/>
          <w:szCs w:val="22"/>
        </w:rPr>
        <w:t>la parte</w:t>
      </w:r>
      <w:r w:rsidRPr="00DD1A7B">
        <w:rPr>
          <w:rFonts w:ascii="Palatino Linotype" w:eastAsia="Palatino Linotype" w:hAnsi="Palatino Linotype" w:cs="Palatino Linotype"/>
          <w:sz w:val="22"/>
          <w:szCs w:val="22"/>
        </w:rPr>
        <w:t xml:space="preserve"> </w:t>
      </w:r>
      <w:r w:rsidRPr="00DD1A7B">
        <w:rPr>
          <w:rFonts w:ascii="Palatino Linotype" w:eastAsia="Palatino Linotype" w:hAnsi="Palatino Linotype" w:cs="Palatino Linotype"/>
          <w:b/>
          <w:sz w:val="22"/>
          <w:szCs w:val="22"/>
        </w:rPr>
        <w:t>Recurrente</w:t>
      </w:r>
      <w:r w:rsidRPr="00DD1A7B">
        <w:rPr>
          <w:rFonts w:ascii="Palatino Linotype" w:eastAsia="Palatino Linotype" w:hAnsi="Palatino Linotype" w:cs="Palatino Linotype"/>
          <w:sz w:val="22"/>
          <w:szCs w:val="22"/>
        </w:rPr>
        <w:t xml:space="preserve"> en sus motivos de inconformidad, de acuerdo </w:t>
      </w:r>
      <w:r w:rsidR="007F1130" w:rsidRPr="00DD1A7B">
        <w:rPr>
          <w:rFonts w:ascii="Palatino Linotype" w:eastAsia="Palatino Linotype" w:hAnsi="Palatino Linotype" w:cs="Palatino Linotype"/>
          <w:sz w:val="22"/>
          <w:szCs w:val="22"/>
        </w:rPr>
        <w:t xml:space="preserve">al artículo 179, </w:t>
      </w:r>
      <w:r w:rsidR="00366B0E" w:rsidRPr="00DD1A7B">
        <w:rPr>
          <w:rFonts w:ascii="Palatino Linotype" w:eastAsia="Palatino Linotype" w:hAnsi="Palatino Linotype" w:cs="Palatino Linotype"/>
          <w:sz w:val="22"/>
          <w:szCs w:val="22"/>
        </w:rPr>
        <w:t>fracción I</w:t>
      </w:r>
      <w:r w:rsidRPr="00DD1A7B">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DD1A7B"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DD1A7B" w:rsidRDefault="00D41CCE">
      <w:pPr>
        <w:ind w:left="567" w:right="902"/>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w:t>
      </w:r>
      <w:r w:rsidRPr="00DD1A7B">
        <w:rPr>
          <w:rFonts w:ascii="Palatino Linotype" w:eastAsia="Palatino Linotype" w:hAnsi="Palatino Linotype" w:cs="Palatino Linotype"/>
          <w:b/>
          <w:i/>
          <w:sz w:val="22"/>
          <w:szCs w:val="22"/>
        </w:rPr>
        <w:t>Artículo 179.</w:t>
      </w:r>
      <w:r w:rsidRPr="00DD1A7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08DAD407" w:rsidR="00566EB9" w:rsidRPr="00DD1A7B" w:rsidRDefault="00B06F4A" w:rsidP="00A5656A">
      <w:pPr>
        <w:ind w:left="567" w:right="902"/>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I. La negativa a la información solicitada;</w:t>
      </w:r>
      <w:r w:rsidRPr="00DD1A7B">
        <w:rPr>
          <w:rFonts w:ascii="Palatino Linotype" w:eastAsia="Palatino Linotype" w:hAnsi="Palatino Linotype" w:cs="Palatino Linotype"/>
          <w:i/>
          <w:sz w:val="22"/>
          <w:szCs w:val="22"/>
        </w:rPr>
        <w:t xml:space="preserve"> </w:t>
      </w:r>
      <w:r w:rsidR="004D04CE" w:rsidRPr="00DD1A7B">
        <w:rPr>
          <w:rFonts w:ascii="Palatino Linotype" w:eastAsia="Palatino Linotype" w:hAnsi="Palatino Linotype" w:cs="Palatino Linotype"/>
          <w:b/>
          <w:i/>
          <w:sz w:val="22"/>
          <w:szCs w:val="22"/>
        </w:rPr>
        <w:cr/>
      </w:r>
      <w:r w:rsidR="00366B0E" w:rsidRPr="00DD1A7B">
        <w:rPr>
          <w:rFonts w:ascii="Palatino Linotype" w:eastAsia="Palatino Linotype" w:hAnsi="Palatino Linotype" w:cs="Palatino Linotype"/>
          <w:i/>
          <w:sz w:val="22"/>
          <w:szCs w:val="22"/>
        </w:rPr>
        <w:t xml:space="preserve"> </w:t>
      </w:r>
      <w:r w:rsidR="00D41CCE" w:rsidRPr="00DD1A7B">
        <w:rPr>
          <w:rFonts w:ascii="Palatino Linotype" w:eastAsia="Palatino Linotype" w:hAnsi="Palatino Linotype" w:cs="Palatino Linotype"/>
          <w:i/>
          <w:sz w:val="22"/>
          <w:szCs w:val="22"/>
        </w:rPr>
        <w:t>[…]”</w:t>
      </w:r>
    </w:p>
    <w:p w14:paraId="4D715A18" w14:textId="77777777" w:rsidR="00566EB9" w:rsidRPr="00DD1A7B" w:rsidRDefault="00566EB9">
      <w:pPr>
        <w:ind w:left="567"/>
        <w:rPr>
          <w:rFonts w:ascii="Palatino Linotype" w:eastAsia="Palatino Linotype" w:hAnsi="Palatino Linotype" w:cs="Palatino Linotype"/>
          <w:b/>
          <w:i/>
          <w:sz w:val="22"/>
          <w:szCs w:val="22"/>
        </w:rPr>
      </w:pPr>
    </w:p>
    <w:p w14:paraId="109A199F" w14:textId="77777777" w:rsidR="00566EB9" w:rsidRPr="00DD1A7B" w:rsidRDefault="00D41CCE">
      <w:pPr>
        <w:ind w:left="567" w:right="900"/>
        <w:jc w:val="right"/>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 xml:space="preserve"> </w:t>
      </w:r>
      <w:r w:rsidRPr="00DD1A7B">
        <w:rPr>
          <w:rFonts w:ascii="Palatino Linotype" w:eastAsia="Palatino Linotype" w:hAnsi="Palatino Linotype" w:cs="Palatino Linotype"/>
          <w:i/>
          <w:sz w:val="22"/>
          <w:szCs w:val="22"/>
        </w:rPr>
        <w:t>(Énfasis añadido)</w:t>
      </w:r>
    </w:p>
    <w:p w14:paraId="7E7E4929" w14:textId="77777777" w:rsidR="00527C07" w:rsidRPr="00DD1A7B" w:rsidRDefault="00527C07">
      <w:pPr>
        <w:ind w:left="567" w:right="900"/>
        <w:jc w:val="right"/>
        <w:rPr>
          <w:rFonts w:ascii="Palatino Linotype" w:eastAsia="Palatino Linotype" w:hAnsi="Palatino Linotype" w:cs="Palatino Linotype"/>
          <w:b/>
          <w:i/>
          <w:sz w:val="22"/>
          <w:szCs w:val="22"/>
        </w:rPr>
      </w:pPr>
    </w:p>
    <w:p w14:paraId="40762F34" w14:textId="77777777" w:rsidR="00042268" w:rsidRPr="00DD1A7B" w:rsidRDefault="00042268" w:rsidP="00042268">
      <w:pPr>
        <w:spacing w:line="360" w:lineRule="auto"/>
        <w:jc w:val="both"/>
        <w:rPr>
          <w:rFonts w:ascii="Palatino Linotype" w:eastAsia="Palatino Linotype" w:hAnsi="Palatino Linotype" w:cs="Palatino Linotype"/>
          <w:sz w:val="22"/>
        </w:rPr>
      </w:pPr>
      <w:r w:rsidRPr="00DD1A7B">
        <w:rPr>
          <w:rFonts w:ascii="Palatino Linotype" w:eastAsia="Palatino Linotype" w:hAnsi="Palatino Linotype" w:cs="Palatino Linotype"/>
          <w:b/>
          <w:sz w:val="22"/>
        </w:rPr>
        <w:t xml:space="preserve">Tercero. Análisis de las causales de sobreseimiento. </w:t>
      </w:r>
      <w:r w:rsidRPr="00DD1A7B">
        <w:rPr>
          <w:rFonts w:ascii="Palatino Linotype" w:eastAsia="Palatino Linotype" w:hAnsi="Palatino Linotype" w:cs="Palatino Linotype"/>
          <w:sz w:val="22"/>
        </w:rPr>
        <w:t xml:space="preserve">Es menester resaltar que en el procedimiento de acceso a la información pública y de los medios de impugnación de la materia, se advierten diversos supuestos de </w:t>
      </w:r>
      <w:proofErr w:type="spellStart"/>
      <w:r w:rsidRPr="00DD1A7B">
        <w:rPr>
          <w:rFonts w:ascii="Palatino Linotype" w:eastAsia="Palatino Linotype" w:hAnsi="Palatino Linotype" w:cs="Palatino Linotype"/>
          <w:sz w:val="22"/>
        </w:rPr>
        <w:t>procedibilidad</w:t>
      </w:r>
      <w:proofErr w:type="spellEnd"/>
      <w:r w:rsidRPr="00DD1A7B">
        <w:rPr>
          <w:rFonts w:ascii="Palatino Linotype" w:eastAsia="Palatino Linotype" w:hAnsi="Palatino Linotype" w:cs="Palatino Linotype"/>
          <w:sz w:val="22"/>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FDA5D3" w14:textId="77777777" w:rsidR="00042268" w:rsidRPr="00DD1A7B" w:rsidRDefault="00042268" w:rsidP="00042268">
      <w:pPr>
        <w:spacing w:line="360" w:lineRule="auto"/>
        <w:jc w:val="both"/>
        <w:rPr>
          <w:rFonts w:ascii="Palatino Linotype" w:eastAsia="Palatino Linotype" w:hAnsi="Palatino Linotype" w:cs="Palatino Linotype"/>
          <w:sz w:val="22"/>
        </w:rPr>
      </w:pPr>
    </w:p>
    <w:p w14:paraId="6DCF5183" w14:textId="77777777" w:rsidR="00042268" w:rsidRPr="00DD1A7B" w:rsidRDefault="00042268" w:rsidP="00042268">
      <w:pPr>
        <w:spacing w:line="360" w:lineRule="auto"/>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356CC2D" w14:textId="77777777" w:rsidR="00566EB9" w:rsidRPr="00DD1A7B"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E5C25A4" w14:textId="6CBC1D80" w:rsidR="0093081E" w:rsidRPr="00DD1A7B" w:rsidRDefault="00C501F7" w:rsidP="004D04C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DD1A7B">
        <w:rPr>
          <w:rFonts w:ascii="Palatino Linotype" w:eastAsia="Palatino Linotype" w:hAnsi="Palatino Linotype" w:cs="Palatino Linotype"/>
          <w:sz w:val="22"/>
          <w:szCs w:val="22"/>
        </w:rPr>
        <w:t>C</w:t>
      </w:r>
      <w:r w:rsidR="00D41CCE" w:rsidRPr="00DD1A7B">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DD1A7B">
        <w:rPr>
          <w:rFonts w:ascii="Palatino Linotype" w:eastAsia="Palatino Linotype" w:hAnsi="Palatino Linotype" w:cs="Palatino Linotype"/>
          <w:b/>
          <w:sz w:val="22"/>
          <w:szCs w:val="22"/>
        </w:rPr>
        <w:t>Sujeto Obligado</w:t>
      </w:r>
      <w:r w:rsidR="00B06F4A" w:rsidRPr="00DD1A7B">
        <w:rPr>
          <w:rFonts w:ascii="Palatino Linotype" w:eastAsia="Palatino Linotype" w:hAnsi="Palatino Linotype" w:cs="Palatino Linotype"/>
          <w:b/>
          <w:sz w:val="22"/>
          <w:szCs w:val="22"/>
        </w:rPr>
        <w:t xml:space="preserve">, </w:t>
      </w:r>
      <w:r w:rsidR="00B06F4A" w:rsidRPr="00DD1A7B">
        <w:rPr>
          <w:rFonts w:ascii="Palatino Linotype" w:eastAsia="Palatino Linotype" w:hAnsi="Palatino Linotype" w:cs="Palatino Linotype"/>
          <w:sz w:val="22"/>
          <w:szCs w:val="22"/>
        </w:rPr>
        <w:t>medularmente lo siguiente:</w:t>
      </w:r>
    </w:p>
    <w:p w14:paraId="46019526" w14:textId="77777777" w:rsidR="00B06F4A" w:rsidRPr="00DD1A7B" w:rsidRDefault="00B06F4A" w:rsidP="004D04C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5C39AD0" w14:textId="03EB83CD" w:rsidR="00B06F4A" w:rsidRPr="00DD1A7B" w:rsidRDefault="00B06F4A" w:rsidP="00B06F4A">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b/>
          <w:sz w:val="22"/>
          <w:szCs w:val="22"/>
        </w:rPr>
        <w:t>El número de Valoraciones de Riesgo y/o Dictámenes de Riesgo realizados por la Dirección de Medio Ambiente y Ecología relacionados con la poda</w:t>
      </w:r>
      <w:r w:rsidR="004719A3" w:rsidRPr="00DD1A7B">
        <w:rPr>
          <w:rFonts w:ascii="Palatino Linotype" w:eastAsia="Palatino Linotype" w:hAnsi="Palatino Linotype" w:cs="Palatino Linotype"/>
          <w:b/>
          <w:sz w:val="22"/>
          <w:szCs w:val="22"/>
        </w:rPr>
        <w:t>, derribo y/o trasplante de árboles, en el ejercicio 2024.</w:t>
      </w:r>
    </w:p>
    <w:p w14:paraId="77993F80" w14:textId="77777777" w:rsidR="0093081E" w:rsidRPr="00DD1A7B" w:rsidRDefault="0093081E" w:rsidP="00B06F4A">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1DC84939" w14:textId="77777777" w:rsidR="002D6036" w:rsidRPr="00DD1A7B" w:rsidRDefault="002D03D2" w:rsidP="002D603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E</w:t>
      </w:r>
      <w:r w:rsidR="005D2BC9" w:rsidRPr="00DD1A7B">
        <w:rPr>
          <w:rFonts w:ascii="Palatino Linotype" w:eastAsia="Palatino Linotype" w:hAnsi="Palatino Linotype" w:cs="Palatino Linotype"/>
          <w:sz w:val="22"/>
          <w:szCs w:val="22"/>
        </w:rPr>
        <w:t xml:space="preserve">n respuesta </w:t>
      </w:r>
      <w:r w:rsidR="005D2BC9" w:rsidRPr="00DD1A7B">
        <w:rPr>
          <w:rFonts w:ascii="Palatino Linotype" w:eastAsia="Palatino Linotype" w:hAnsi="Palatino Linotype" w:cs="Palatino Linotype"/>
          <w:b/>
          <w:sz w:val="22"/>
          <w:szCs w:val="22"/>
        </w:rPr>
        <w:t xml:space="preserve">el Sujeto Obligado </w:t>
      </w:r>
      <w:r w:rsidR="0093081E" w:rsidRPr="00DD1A7B">
        <w:rPr>
          <w:rFonts w:ascii="Palatino Linotype" w:eastAsia="Palatino Linotype" w:hAnsi="Palatino Linotype" w:cs="Palatino Linotype"/>
          <w:sz w:val="22"/>
          <w:szCs w:val="22"/>
        </w:rPr>
        <w:t>se pronunció por conducto de</w:t>
      </w:r>
      <w:r w:rsidR="004D04CE" w:rsidRPr="00DD1A7B">
        <w:rPr>
          <w:rFonts w:ascii="Palatino Linotype" w:eastAsia="Palatino Linotype" w:hAnsi="Palatino Linotype" w:cs="Palatino Linotype"/>
          <w:sz w:val="22"/>
          <w:szCs w:val="22"/>
        </w:rPr>
        <w:t xml:space="preserve"> la </w:t>
      </w:r>
      <w:r w:rsidR="00B06F4A" w:rsidRPr="00DD1A7B">
        <w:rPr>
          <w:rFonts w:ascii="Palatino Linotype" w:eastAsia="Palatino Linotype" w:hAnsi="Palatino Linotype" w:cs="Palatino Linotype"/>
          <w:sz w:val="22"/>
          <w:szCs w:val="22"/>
        </w:rPr>
        <w:t xml:space="preserve">Directora de Medio Ambiente y Ecología quien </w:t>
      </w:r>
      <w:r w:rsidR="002D6036" w:rsidRPr="00DD1A7B">
        <w:rPr>
          <w:rFonts w:ascii="Palatino Linotype" w:eastAsia="Palatino Linotype" w:hAnsi="Palatino Linotype" w:cs="Palatino Linotype"/>
          <w:sz w:val="22"/>
          <w:szCs w:val="22"/>
        </w:rPr>
        <w:t>indicó que en lo que concierne a la Subdirección de Conservación y Restauración Ecológica y Jefatura de Manejo de Arbolado Urbano, al momento de recibir la dependencia, la administración saliente no hizo entrega de ningún expediente del año 2024 y anteriores; y, por lo tanto, dicha Dirección se ve imposibilitada en emitir una respuesta referente al seguimiento a la petición de la persona solicitante.</w:t>
      </w:r>
    </w:p>
    <w:p w14:paraId="53A68B65" w14:textId="77777777" w:rsidR="002D6036" w:rsidRPr="00DD1A7B" w:rsidRDefault="002D6036" w:rsidP="002D603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7C540A" w14:textId="373E8DAA" w:rsidR="002D6036" w:rsidRPr="00DD1A7B" w:rsidRDefault="002D6036" w:rsidP="002D603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Asimismo, la Directora de Medio Ambiente y Ecología hizo entrega de un oficio a través del cual hizo del conocimiento del </w:t>
      </w:r>
      <w:r w:rsidRPr="00DD1A7B">
        <w:rPr>
          <w:rFonts w:ascii="Palatino Linotype" w:eastAsia="Palatino Linotype" w:hAnsi="Palatino Linotype" w:cs="Palatino Linotype"/>
          <w:bCs/>
          <w:sz w:val="22"/>
          <w:szCs w:val="22"/>
          <w:lang w:val="es-ES_tradnl"/>
        </w:rPr>
        <w:t xml:space="preserve">Contralor Interno Municipal las irregularidades advertidas del proceso de revisión de información del acta y anexos relacionados con la entrega recepción de la anterior titular de dicha Dirección, la </w:t>
      </w:r>
      <w:r w:rsidRPr="00DD1A7B">
        <w:rPr>
          <w:rFonts w:ascii="Palatino Linotype" w:eastAsia="Palatino Linotype" w:hAnsi="Palatino Linotype" w:cs="Palatino Linotype"/>
          <w:sz w:val="22"/>
          <w:szCs w:val="22"/>
          <w:lang w:val="es-ES_tradnl"/>
        </w:rPr>
        <w:t xml:space="preserve">Biol. Katy Elizabeth Domínguez Flores, como lo fue la </w:t>
      </w:r>
      <w:r w:rsidRPr="00DD1A7B">
        <w:rPr>
          <w:rFonts w:ascii="Palatino Linotype" w:eastAsia="Palatino Linotype" w:hAnsi="Palatino Linotype" w:cs="Palatino Linotype"/>
          <w:bCs/>
          <w:sz w:val="22"/>
          <w:szCs w:val="22"/>
          <w:lang w:val="es-ES_tradnl"/>
        </w:rPr>
        <w:t>falta de entrega de determinada información.</w:t>
      </w:r>
    </w:p>
    <w:p w14:paraId="7D1E7600" w14:textId="65AB12F3" w:rsidR="002D6036" w:rsidRPr="00DD1A7B" w:rsidRDefault="002D6036"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591E88B9" w:rsidR="00566EB9" w:rsidRPr="00DD1A7B" w:rsidRDefault="00D41CCE">
      <w:pPr>
        <w:spacing w:line="360" w:lineRule="auto"/>
        <w:ind w:right="49"/>
        <w:jc w:val="both"/>
        <w:rPr>
          <w:rFonts w:ascii="Palatino Linotype" w:eastAsia="Palatino Linotype" w:hAnsi="Palatino Linotype" w:cs="Palatino Linotype"/>
          <w:b/>
          <w:sz w:val="22"/>
          <w:szCs w:val="22"/>
        </w:rPr>
      </w:pPr>
      <w:r w:rsidRPr="00DD1A7B">
        <w:rPr>
          <w:rFonts w:ascii="Palatino Linotype" w:eastAsia="Palatino Linotype" w:hAnsi="Palatino Linotype" w:cs="Palatino Linotype"/>
          <w:sz w:val="22"/>
          <w:szCs w:val="22"/>
        </w:rPr>
        <w:t xml:space="preserve">Inconforme con la respuesta, la parte </w:t>
      </w:r>
      <w:r w:rsidRPr="00DD1A7B">
        <w:rPr>
          <w:rFonts w:ascii="Palatino Linotype" w:eastAsia="Palatino Linotype" w:hAnsi="Palatino Linotype" w:cs="Palatino Linotype"/>
          <w:b/>
          <w:sz w:val="22"/>
          <w:szCs w:val="22"/>
        </w:rPr>
        <w:t xml:space="preserve">Recurrente </w:t>
      </w:r>
      <w:r w:rsidRPr="00DD1A7B">
        <w:rPr>
          <w:rFonts w:ascii="Palatino Linotype" w:eastAsia="Palatino Linotype" w:hAnsi="Palatino Linotype" w:cs="Palatino Linotype"/>
          <w:sz w:val="22"/>
          <w:szCs w:val="22"/>
        </w:rPr>
        <w:t xml:space="preserve">promovió el presente recurso de revisión en el que a manera de motivos de inconformidad </w:t>
      </w:r>
      <w:r w:rsidRPr="00DD1A7B">
        <w:rPr>
          <w:rFonts w:ascii="Palatino Linotype" w:eastAsia="Palatino Linotype" w:hAnsi="Palatino Linotype" w:cs="Palatino Linotype"/>
          <w:b/>
          <w:sz w:val="22"/>
          <w:szCs w:val="22"/>
        </w:rPr>
        <w:t xml:space="preserve">se adolece medularmente de </w:t>
      </w:r>
      <w:r w:rsidR="00CC3F4A" w:rsidRPr="00DD1A7B">
        <w:rPr>
          <w:rFonts w:ascii="Palatino Linotype" w:eastAsia="Palatino Linotype" w:hAnsi="Palatino Linotype" w:cs="Palatino Linotype"/>
          <w:b/>
          <w:sz w:val="22"/>
          <w:szCs w:val="22"/>
        </w:rPr>
        <w:t xml:space="preserve">la </w:t>
      </w:r>
      <w:r w:rsidR="00B06F4A" w:rsidRPr="00DD1A7B">
        <w:rPr>
          <w:rFonts w:ascii="Palatino Linotype" w:eastAsia="Palatino Linotype" w:hAnsi="Palatino Linotype" w:cs="Palatino Linotype"/>
          <w:b/>
          <w:sz w:val="22"/>
          <w:szCs w:val="22"/>
        </w:rPr>
        <w:t>negativa a la entrega de la información.</w:t>
      </w:r>
    </w:p>
    <w:p w14:paraId="666CD6A1" w14:textId="77777777" w:rsidR="006F7A2A" w:rsidRPr="00DD1A7B" w:rsidRDefault="006F7A2A">
      <w:pPr>
        <w:spacing w:line="360" w:lineRule="auto"/>
        <w:ind w:right="49"/>
        <w:jc w:val="both"/>
        <w:rPr>
          <w:rFonts w:ascii="Palatino Linotype" w:eastAsia="Palatino Linotype" w:hAnsi="Palatino Linotype" w:cs="Palatino Linotype"/>
          <w:sz w:val="22"/>
          <w:szCs w:val="22"/>
        </w:rPr>
      </w:pPr>
    </w:p>
    <w:p w14:paraId="489ED808" w14:textId="77777777" w:rsidR="002D6036" w:rsidRPr="00DD1A7B" w:rsidRDefault="00D41CCE" w:rsidP="002D6036">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Admitido el presente recurso de revisión, en términos del artículo 185 fracción II</w:t>
      </w:r>
      <w:r w:rsidRPr="00DD1A7B">
        <w:rPr>
          <w:rFonts w:ascii="Palatino Linotype" w:eastAsia="Palatino Linotype" w:hAnsi="Palatino Linotype" w:cs="Palatino Linotype"/>
          <w:sz w:val="22"/>
          <w:szCs w:val="22"/>
          <w:vertAlign w:val="superscript"/>
        </w:rPr>
        <w:footnoteReference w:id="1"/>
      </w:r>
      <w:r w:rsidRPr="00DD1A7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50DBE25" w14:textId="77777777" w:rsidR="002D6036" w:rsidRPr="00DD1A7B" w:rsidRDefault="002D6036" w:rsidP="002D6036">
      <w:pPr>
        <w:spacing w:line="360" w:lineRule="auto"/>
        <w:jc w:val="both"/>
        <w:rPr>
          <w:rFonts w:ascii="Palatino Linotype" w:eastAsia="Palatino Linotype" w:hAnsi="Palatino Linotype" w:cs="Palatino Linotype"/>
          <w:sz w:val="22"/>
          <w:szCs w:val="22"/>
        </w:rPr>
      </w:pPr>
    </w:p>
    <w:p w14:paraId="424DDB29" w14:textId="37F7A6F1" w:rsidR="002D6036" w:rsidRPr="00DD1A7B" w:rsidRDefault="00190E87" w:rsidP="002D6036">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De las constancias que integran el expediente en que se actúa se advierte que </w:t>
      </w:r>
      <w:r w:rsidR="00B06F4A" w:rsidRPr="00DD1A7B">
        <w:rPr>
          <w:rFonts w:ascii="Palatino Linotype" w:eastAsia="Palatino Linotype" w:hAnsi="Palatino Linotype" w:cs="Palatino Linotype"/>
          <w:sz w:val="22"/>
          <w:szCs w:val="22"/>
        </w:rPr>
        <w:t xml:space="preserve">el </w:t>
      </w:r>
      <w:r w:rsidR="00B06F4A" w:rsidRPr="00DD1A7B">
        <w:rPr>
          <w:rFonts w:ascii="Palatino Linotype" w:eastAsia="Palatino Linotype" w:hAnsi="Palatino Linotype" w:cs="Palatino Linotype"/>
          <w:b/>
          <w:sz w:val="22"/>
          <w:szCs w:val="22"/>
        </w:rPr>
        <w:t xml:space="preserve">Sujeto Obligado </w:t>
      </w:r>
      <w:r w:rsidR="002D6036" w:rsidRPr="00DD1A7B">
        <w:rPr>
          <w:rFonts w:ascii="Palatino Linotype" w:eastAsia="Palatino Linotype" w:hAnsi="Palatino Linotype" w:cs="Palatino Linotype"/>
          <w:sz w:val="22"/>
          <w:szCs w:val="22"/>
        </w:rPr>
        <w:t>por conducto del Titular de la Unidad de Transparencia rindió su informe justificado, refiriendo que con la finalidad de atender los motivos de inconformidad remitía copia del Acta de la Vigésima Primera Sesión Extraordinaria celebrada el 23 de julio de 2025, mediante la cual se aprobó la inexistencia de la información requerida por el recurrente.</w:t>
      </w:r>
    </w:p>
    <w:p w14:paraId="0386A397" w14:textId="171957E6" w:rsidR="00331E90" w:rsidRPr="00DD1A7B" w:rsidRDefault="00331E90" w:rsidP="00B7233F">
      <w:pPr>
        <w:spacing w:line="360" w:lineRule="auto"/>
        <w:jc w:val="both"/>
        <w:rPr>
          <w:rFonts w:ascii="Palatino Linotype" w:eastAsia="Palatino Linotype" w:hAnsi="Palatino Linotype" w:cs="Palatino Linotype"/>
          <w:sz w:val="22"/>
          <w:szCs w:val="22"/>
        </w:rPr>
      </w:pPr>
    </w:p>
    <w:p w14:paraId="32CC33EF" w14:textId="75B67E67" w:rsidR="002D6036" w:rsidRPr="00DD1A7B" w:rsidRDefault="002D6036" w:rsidP="00B7233F">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Al informe justificado se adjuntó el Acta de la Vigésima Primera Sesión Extraordinaria celebrada el 23 de julio de 2025, a través de la cual bajo el punto cinco del orden del día, se emitió acuerdo de declaratoria de inexistencia de la información relacionada con el recurso de revisión que nos ocupa.</w:t>
      </w:r>
    </w:p>
    <w:p w14:paraId="62E5115A" w14:textId="77777777" w:rsidR="00B06F4A" w:rsidRPr="00DD1A7B" w:rsidRDefault="00B06F4A" w:rsidP="00B7233F">
      <w:pPr>
        <w:spacing w:line="360" w:lineRule="auto"/>
        <w:jc w:val="both"/>
        <w:rPr>
          <w:rFonts w:ascii="Palatino Linotype" w:eastAsia="Palatino Linotype" w:hAnsi="Palatino Linotype" w:cs="Palatino Linotype"/>
          <w:sz w:val="22"/>
          <w:szCs w:val="22"/>
        </w:rPr>
      </w:pPr>
    </w:p>
    <w:p w14:paraId="08D78B1B" w14:textId="2FE819DE" w:rsidR="00B06F4A" w:rsidRPr="00DD1A7B" w:rsidRDefault="00B06F4A" w:rsidP="00B7233F">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Por su lado, la parte </w:t>
      </w:r>
      <w:r w:rsidRPr="00DD1A7B">
        <w:rPr>
          <w:rFonts w:ascii="Palatino Linotype" w:eastAsia="Palatino Linotype" w:hAnsi="Palatino Linotype" w:cs="Palatino Linotype"/>
          <w:b/>
          <w:sz w:val="22"/>
          <w:szCs w:val="22"/>
        </w:rPr>
        <w:t xml:space="preserve">Recurrente </w:t>
      </w:r>
      <w:r w:rsidR="002D6036" w:rsidRPr="00DD1A7B">
        <w:rPr>
          <w:rFonts w:ascii="Palatino Linotype" w:eastAsia="Palatino Linotype" w:hAnsi="Palatino Linotype" w:cs="Palatino Linotype"/>
          <w:sz w:val="22"/>
          <w:szCs w:val="22"/>
        </w:rPr>
        <w:t>rindió manifestaciones ratificando sus motivos de inconformidad.</w:t>
      </w:r>
    </w:p>
    <w:p w14:paraId="037018DF" w14:textId="77777777" w:rsidR="00B06F4A" w:rsidRPr="00DD1A7B" w:rsidRDefault="00B06F4A" w:rsidP="00B7233F">
      <w:pPr>
        <w:spacing w:line="360" w:lineRule="auto"/>
        <w:jc w:val="both"/>
        <w:rPr>
          <w:rFonts w:ascii="Palatino Linotype" w:eastAsia="Palatino Linotype" w:hAnsi="Palatino Linotype" w:cs="Palatino Linotype"/>
          <w:sz w:val="22"/>
          <w:szCs w:val="22"/>
        </w:rPr>
      </w:pPr>
    </w:p>
    <w:p w14:paraId="44844AAD" w14:textId="2EF83CCB" w:rsidR="003505C0" w:rsidRPr="00DD1A7B" w:rsidRDefault="00A47D43" w:rsidP="003505C0">
      <w:pPr>
        <w:spacing w:line="360" w:lineRule="auto"/>
        <w:jc w:val="both"/>
        <w:rPr>
          <w:rFonts w:ascii="Palatino Linotype" w:eastAsia="Palatino Linotype" w:hAnsi="Palatino Linotype" w:cs="Palatino Linotype"/>
          <w:sz w:val="22"/>
          <w:szCs w:val="22"/>
          <w:lang w:val="es-ES_tradnl"/>
        </w:rPr>
      </w:pPr>
      <w:r w:rsidRPr="00DD1A7B">
        <w:rPr>
          <w:rFonts w:ascii="Palatino Linotype" w:eastAsia="Palatino Linotype" w:hAnsi="Palatino Linotype" w:cs="Palatino Linotype"/>
          <w:sz w:val="22"/>
          <w:szCs w:val="22"/>
        </w:rPr>
        <w:t xml:space="preserve">Una vez establecidas las posturas de las partes, </w:t>
      </w:r>
      <w:r w:rsidR="003505C0" w:rsidRPr="00DD1A7B">
        <w:rPr>
          <w:rFonts w:ascii="Palatino Linotype" w:eastAsia="Palatino Linotype" w:hAnsi="Palatino Linotype" w:cs="Palatino Linotype"/>
          <w:sz w:val="22"/>
          <w:szCs w:val="22"/>
        </w:rPr>
        <w:t xml:space="preserve">se procede al análisis de la información requerida y para ello conviene traer a contexto el contenido de </w:t>
      </w:r>
      <w:r w:rsidR="003505C0" w:rsidRPr="00DD1A7B">
        <w:rPr>
          <w:rFonts w:ascii="Palatino Linotype" w:eastAsia="Palatino Linotype" w:hAnsi="Palatino Linotype" w:cs="Palatino Linotype"/>
          <w:sz w:val="22"/>
          <w:szCs w:val="22"/>
          <w:lang w:val="es-ES_tradnl"/>
        </w:rPr>
        <w:t>los artículos 59 y 60 del Bando Municipal del Sujeto Obligado, a saber:</w:t>
      </w:r>
    </w:p>
    <w:p w14:paraId="2231B74D" w14:textId="77777777" w:rsidR="003505C0" w:rsidRPr="00DD1A7B" w:rsidRDefault="003505C0" w:rsidP="003505C0">
      <w:pPr>
        <w:spacing w:line="360" w:lineRule="auto"/>
        <w:jc w:val="both"/>
        <w:rPr>
          <w:rFonts w:ascii="Palatino Linotype" w:eastAsia="Palatino Linotype" w:hAnsi="Palatino Linotype" w:cs="Palatino Linotype"/>
          <w:sz w:val="22"/>
          <w:szCs w:val="22"/>
          <w:lang w:val="es-ES_tradnl"/>
        </w:rPr>
      </w:pPr>
    </w:p>
    <w:p w14:paraId="6851C063" w14:textId="77777777" w:rsidR="003505C0" w:rsidRPr="00DD1A7B" w:rsidRDefault="003505C0" w:rsidP="003505C0">
      <w:pPr>
        <w:spacing w:line="360" w:lineRule="auto"/>
        <w:ind w:left="567" w:right="616"/>
        <w:jc w:val="center"/>
        <w:rPr>
          <w:rFonts w:ascii="Palatino Linotype" w:eastAsia="Palatino Linotype" w:hAnsi="Palatino Linotype" w:cs="Palatino Linotype"/>
          <w:b/>
          <w:i/>
          <w:sz w:val="22"/>
          <w:szCs w:val="22"/>
          <w:lang w:val="es-ES_tradnl"/>
        </w:rPr>
      </w:pPr>
      <w:r w:rsidRPr="00DD1A7B">
        <w:rPr>
          <w:rFonts w:ascii="Palatino Linotype" w:eastAsia="Palatino Linotype" w:hAnsi="Palatino Linotype" w:cs="Palatino Linotype"/>
          <w:b/>
          <w:i/>
          <w:sz w:val="22"/>
          <w:szCs w:val="22"/>
          <w:lang w:val="es-ES_tradnl"/>
        </w:rPr>
        <w:t>De la Dirección de Medio Ambiente y Ecología</w:t>
      </w:r>
    </w:p>
    <w:p w14:paraId="234E97BE"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b/>
          <w:i/>
          <w:sz w:val="22"/>
          <w:szCs w:val="22"/>
          <w:lang w:val="es-ES_tradnl"/>
        </w:rPr>
        <w:t>Artículo 59.</w:t>
      </w:r>
      <w:r w:rsidRPr="00DD1A7B">
        <w:rPr>
          <w:rFonts w:ascii="Palatino Linotype" w:eastAsia="Palatino Linotype" w:hAnsi="Palatino Linotype" w:cs="Palatino Linotype"/>
          <w:i/>
          <w:sz w:val="22"/>
          <w:szCs w:val="22"/>
          <w:lang w:val="es-ES_tradnl"/>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14:paraId="19201E94"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p>
    <w:p w14:paraId="0041E358"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i/>
          <w:sz w:val="22"/>
          <w:szCs w:val="22"/>
          <w:lang w:val="es-ES_tradnl"/>
        </w:rPr>
        <w:t xml:space="preserve">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7ABB56B2"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p>
    <w:p w14:paraId="7FF9DF8D"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i/>
          <w:sz w:val="22"/>
          <w:szCs w:val="22"/>
          <w:lang w:val="es-ES_tradnl"/>
        </w:rPr>
        <w:t>…</w:t>
      </w:r>
    </w:p>
    <w:p w14:paraId="30021A3C"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b/>
          <w:i/>
          <w:sz w:val="22"/>
          <w:szCs w:val="22"/>
          <w:lang w:val="es-ES_tradnl"/>
        </w:rPr>
        <w:t>Artículo 60</w:t>
      </w:r>
      <w:r w:rsidRPr="00DD1A7B">
        <w:rPr>
          <w:rFonts w:ascii="Palatino Linotype" w:eastAsia="Palatino Linotype" w:hAnsi="Palatino Linotype" w:cs="Palatino Linotype"/>
          <w:i/>
          <w:sz w:val="22"/>
          <w:szCs w:val="22"/>
          <w:lang w:val="es-ES_tradnl"/>
        </w:rPr>
        <w:t>. La Dirección de Medio Ambiente y Ecología tendrá las siguientes atribuciones:</w:t>
      </w:r>
    </w:p>
    <w:p w14:paraId="5BB54CEE"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sz w:val="22"/>
          <w:szCs w:val="22"/>
          <w:lang w:val="es-ES_tradnl"/>
        </w:rPr>
        <w:tab/>
      </w:r>
      <w:r w:rsidRPr="00DD1A7B">
        <w:rPr>
          <w:rFonts w:ascii="Palatino Linotype" w:eastAsia="Palatino Linotype" w:hAnsi="Palatino Linotype" w:cs="Palatino Linotype"/>
          <w:i/>
          <w:sz w:val="22"/>
          <w:szCs w:val="22"/>
          <w:lang w:val="es-ES_tradnl"/>
        </w:rPr>
        <w:t>….</w:t>
      </w:r>
    </w:p>
    <w:p w14:paraId="1CEF1386" w14:textId="2B46DD03" w:rsidR="00795D5F" w:rsidRPr="00DD1A7B" w:rsidRDefault="00795D5F" w:rsidP="003505C0">
      <w:pPr>
        <w:spacing w:line="360" w:lineRule="auto"/>
        <w:ind w:left="567"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I. Recibir, integrar, evaluar y, en su caso, expedir las autorizaciones, licencias, permisos y/o registros de carácter municipal, así como aquellos que son atribución de la Secretaría del Medio Ambiente del Gobierno del Estado de México y que, por los instrumentos legales, le hayan sido legalmente delegados al Municipio;</w:t>
      </w:r>
    </w:p>
    <w:p w14:paraId="75D7F589" w14:textId="1703E740" w:rsidR="00795D5F" w:rsidRPr="00DD1A7B" w:rsidRDefault="00795D5F"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i/>
          <w:sz w:val="22"/>
          <w:szCs w:val="22"/>
        </w:rPr>
        <w:t>…</w:t>
      </w:r>
    </w:p>
    <w:p w14:paraId="55553E32"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i/>
          <w:sz w:val="22"/>
          <w:szCs w:val="22"/>
          <w:lang w:val="es-ES_tradnl"/>
        </w:rPr>
        <w:t xml:space="preserve">VI. Analizar y justificar técnicamente los dictámenes de riesgo emitidos por la Dirección de Protección Civil y Bomberos </w:t>
      </w:r>
      <w:r w:rsidRPr="00DD1A7B">
        <w:rPr>
          <w:rFonts w:ascii="Palatino Linotype" w:eastAsia="Palatino Linotype" w:hAnsi="Palatino Linotype" w:cs="Palatino Linotype"/>
          <w:i/>
          <w:sz w:val="22"/>
          <w:szCs w:val="22"/>
          <w:u w:val="single"/>
          <w:lang w:val="es-ES_tradnl"/>
        </w:rPr>
        <w:t>para la ejecución de trabajos en árboles</w:t>
      </w:r>
      <w:r w:rsidRPr="00DD1A7B">
        <w:rPr>
          <w:rFonts w:ascii="Palatino Linotype" w:eastAsia="Palatino Linotype" w:hAnsi="Palatino Linotype" w:cs="Palatino Linotype"/>
          <w:i/>
          <w:sz w:val="22"/>
          <w:szCs w:val="22"/>
          <w:lang w:val="es-ES_tradnl"/>
        </w:rPr>
        <w:t xml:space="preserve"> que, por la magnitud del riesgo, se ejecuten sin previa autorización; asimismo, determinará en las autorizaciones que emita si se requiere la intervención de la Dirección de Protección Civil y Bomberos derivado del riesgo;</w:t>
      </w:r>
    </w:p>
    <w:p w14:paraId="423FE80B"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i/>
          <w:sz w:val="22"/>
          <w:szCs w:val="22"/>
          <w:lang w:val="es-ES_tradnl"/>
        </w:rPr>
        <w:t>…</w:t>
      </w:r>
    </w:p>
    <w:p w14:paraId="28B5CCB5" w14:textId="77777777"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i/>
          <w:sz w:val="22"/>
          <w:szCs w:val="22"/>
          <w:lang w:val="es-ES_tradnl"/>
        </w:rPr>
        <w:t>VIII. Realizar visitas de inspección con el objeto de constatar el cumplimiento del Código para la Biodiversidad del Estado de México y demás ordenamientos aplicables;</w:t>
      </w:r>
    </w:p>
    <w:p w14:paraId="04410E5E" w14:textId="77777777" w:rsidR="003505C0" w:rsidRPr="00DD1A7B" w:rsidRDefault="003505C0" w:rsidP="003505C0">
      <w:pPr>
        <w:spacing w:line="360" w:lineRule="auto"/>
        <w:jc w:val="both"/>
        <w:rPr>
          <w:rFonts w:ascii="Palatino Linotype" w:eastAsia="Palatino Linotype" w:hAnsi="Palatino Linotype" w:cs="Palatino Linotype"/>
          <w:sz w:val="22"/>
          <w:szCs w:val="22"/>
        </w:rPr>
      </w:pPr>
    </w:p>
    <w:p w14:paraId="3DFD5059" w14:textId="58B422BE" w:rsidR="003505C0" w:rsidRPr="00DD1A7B" w:rsidRDefault="003505C0" w:rsidP="003505C0">
      <w:pPr>
        <w:spacing w:line="360" w:lineRule="auto"/>
        <w:jc w:val="both"/>
        <w:rPr>
          <w:rFonts w:ascii="Palatino Linotype" w:eastAsia="Palatino Linotype" w:hAnsi="Palatino Linotype" w:cs="Palatino Linotype"/>
          <w:sz w:val="22"/>
          <w:szCs w:val="22"/>
          <w:lang w:val="es-ES_tradnl"/>
        </w:rPr>
      </w:pPr>
      <w:r w:rsidRPr="00DD1A7B">
        <w:rPr>
          <w:rFonts w:ascii="Palatino Linotype" w:eastAsia="Palatino Linotype" w:hAnsi="Palatino Linotype" w:cs="Palatino Linotype"/>
          <w:sz w:val="22"/>
          <w:szCs w:val="22"/>
          <w:lang w:val="es-ES_tradnl"/>
        </w:rPr>
        <w:t xml:space="preserve">De lo anterior se advierte que </w:t>
      </w:r>
      <w:r w:rsidRPr="00DD1A7B">
        <w:rPr>
          <w:rFonts w:ascii="Palatino Linotype" w:eastAsia="Palatino Linotype" w:hAnsi="Palatino Linotype" w:cs="Palatino Linotype"/>
          <w:b/>
          <w:sz w:val="22"/>
          <w:szCs w:val="22"/>
          <w:lang w:val="es-ES_tradnl"/>
        </w:rPr>
        <w:t>le corresponde a la Dirección de Medio Ambiente y Ecología</w:t>
      </w:r>
      <w:r w:rsidRPr="00DD1A7B">
        <w:rPr>
          <w:rFonts w:ascii="Palatino Linotype" w:eastAsia="Palatino Linotype" w:hAnsi="Palatino Linotype" w:cs="Palatino Linotype"/>
          <w:sz w:val="22"/>
          <w:szCs w:val="22"/>
          <w:lang w:val="es-ES_tradnl"/>
        </w:rPr>
        <w:t xml:space="preserve"> </w:t>
      </w:r>
      <w:r w:rsidR="00795D5F" w:rsidRPr="00DD1A7B">
        <w:rPr>
          <w:rFonts w:ascii="Palatino Linotype" w:eastAsia="Palatino Linotype" w:hAnsi="Palatino Linotype" w:cs="Palatino Linotype"/>
          <w:sz w:val="22"/>
          <w:szCs w:val="22"/>
          <w:lang w:val="es-ES_tradnl"/>
        </w:rPr>
        <w:t xml:space="preserve">recibir, integrar, evaluar y, en su caso, expedir las autorizaciones, licencias, permisos y/o registros de carácter municipal; llevar </w:t>
      </w:r>
      <w:r w:rsidRPr="00DD1A7B">
        <w:rPr>
          <w:rFonts w:ascii="Palatino Linotype" w:eastAsia="Palatino Linotype" w:hAnsi="Palatino Linotype" w:cs="Palatino Linotype"/>
          <w:sz w:val="22"/>
          <w:szCs w:val="22"/>
          <w:lang w:val="es-ES_tradnl"/>
        </w:rPr>
        <w:t xml:space="preserve">la formulación, conducción y evaluación de la política ambiental municipal </w:t>
      </w:r>
      <w:r w:rsidRPr="00DD1A7B">
        <w:rPr>
          <w:rFonts w:ascii="Palatino Linotype" w:eastAsia="Palatino Linotype" w:hAnsi="Palatino Linotype" w:cs="Palatino Linotype"/>
          <w:b/>
          <w:sz w:val="22"/>
          <w:szCs w:val="22"/>
          <w:lang w:val="es-ES_tradnl"/>
        </w:rPr>
        <w:t>así como</w:t>
      </w:r>
      <w:r w:rsidRPr="00DD1A7B">
        <w:rPr>
          <w:rFonts w:ascii="Palatino Linotype" w:eastAsia="Palatino Linotype" w:hAnsi="Palatino Linotype" w:cs="Palatino Linotype"/>
          <w:sz w:val="22"/>
          <w:szCs w:val="22"/>
          <w:lang w:val="es-ES_tradnl"/>
        </w:rPr>
        <w:t xml:space="preserve"> </w:t>
      </w:r>
      <w:r w:rsidRPr="00DD1A7B">
        <w:rPr>
          <w:rFonts w:ascii="Palatino Linotype" w:eastAsia="Palatino Linotype" w:hAnsi="Palatino Linotype" w:cs="Palatino Linotype"/>
          <w:b/>
          <w:sz w:val="22"/>
          <w:szCs w:val="22"/>
          <w:lang w:val="es-ES_tradnl"/>
        </w:rPr>
        <w:t>analizar y justificar técnicamente los dictámenes de riesgo emitidos por la Dirección de Protección Civil y Bomberos</w:t>
      </w:r>
      <w:r w:rsidRPr="00DD1A7B">
        <w:rPr>
          <w:rFonts w:ascii="Palatino Linotype" w:eastAsia="Palatino Linotype" w:hAnsi="Palatino Linotype" w:cs="Palatino Linotype"/>
          <w:sz w:val="22"/>
          <w:szCs w:val="22"/>
          <w:lang w:val="es-ES_tradnl"/>
        </w:rPr>
        <w:t xml:space="preserve"> para la ejecución de trabajos en árboles que, por la magnitud del riesgo, se ejecuten sin previa autorización.</w:t>
      </w:r>
    </w:p>
    <w:p w14:paraId="4ED0DEB9" w14:textId="77777777" w:rsidR="003505C0" w:rsidRPr="00DD1A7B" w:rsidRDefault="003505C0" w:rsidP="003505C0">
      <w:pPr>
        <w:spacing w:line="360" w:lineRule="auto"/>
        <w:jc w:val="both"/>
        <w:rPr>
          <w:rFonts w:ascii="Palatino Linotype" w:eastAsia="Palatino Linotype" w:hAnsi="Palatino Linotype" w:cs="Palatino Linotype"/>
          <w:sz w:val="22"/>
          <w:szCs w:val="22"/>
        </w:rPr>
      </w:pPr>
    </w:p>
    <w:p w14:paraId="617B0602" w14:textId="7A38DDCD" w:rsidR="003505C0" w:rsidRPr="00DD1A7B" w:rsidRDefault="003505C0" w:rsidP="003505C0">
      <w:pPr>
        <w:spacing w:line="360" w:lineRule="auto"/>
        <w:jc w:val="both"/>
        <w:rPr>
          <w:rFonts w:ascii="Palatino Linotype" w:eastAsia="Palatino Linotype" w:hAnsi="Palatino Linotype" w:cs="Palatino Linotype"/>
          <w:sz w:val="22"/>
          <w:szCs w:val="22"/>
          <w:lang w:val="es-ES_tradnl"/>
        </w:rPr>
      </w:pPr>
      <w:r w:rsidRPr="00DD1A7B">
        <w:rPr>
          <w:rFonts w:ascii="Palatino Linotype" w:eastAsia="Palatino Linotype" w:hAnsi="Palatino Linotype" w:cs="Palatino Linotype"/>
          <w:sz w:val="22"/>
          <w:szCs w:val="22"/>
        </w:rPr>
        <w:t xml:space="preserve">Consecuentemente, </w:t>
      </w:r>
      <w:r w:rsidRPr="00DD1A7B">
        <w:rPr>
          <w:rFonts w:ascii="Palatino Linotype" w:eastAsia="Palatino Linotype" w:hAnsi="Palatino Linotype" w:cs="Palatino Linotype"/>
          <w:sz w:val="22"/>
          <w:szCs w:val="22"/>
          <w:lang w:val="es-ES_tradnl"/>
        </w:rPr>
        <w:t xml:space="preserve">se </w:t>
      </w:r>
      <w:r w:rsidR="00097DB7" w:rsidRPr="00DD1A7B">
        <w:rPr>
          <w:rFonts w:ascii="Palatino Linotype" w:eastAsia="Palatino Linotype" w:hAnsi="Palatino Linotype" w:cs="Palatino Linotype"/>
          <w:sz w:val="22"/>
          <w:szCs w:val="22"/>
          <w:lang w:val="es-ES_tradnl"/>
        </w:rPr>
        <w:t>establece</w:t>
      </w:r>
      <w:r w:rsidRPr="00DD1A7B">
        <w:rPr>
          <w:rFonts w:ascii="Palatino Linotype" w:eastAsia="Palatino Linotype" w:hAnsi="Palatino Linotype" w:cs="Palatino Linotype"/>
          <w:sz w:val="22"/>
          <w:szCs w:val="22"/>
          <w:lang w:val="es-ES_tradnl"/>
        </w:rPr>
        <w:t xml:space="preserve"> que, para el derribo de árboles en áreas públicas</w:t>
      </w:r>
      <w:r w:rsidR="00097DB7" w:rsidRPr="00DD1A7B">
        <w:rPr>
          <w:rFonts w:ascii="Palatino Linotype" w:eastAsia="Palatino Linotype" w:hAnsi="Palatino Linotype" w:cs="Palatino Linotype"/>
          <w:sz w:val="22"/>
          <w:szCs w:val="22"/>
          <w:lang w:val="es-ES_tradnl"/>
        </w:rPr>
        <w:t>, esto</w:t>
      </w:r>
      <w:r w:rsidRPr="00DD1A7B">
        <w:rPr>
          <w:rFonts w:ascii="Palatino Linotype" w:eastAsia="Palatino Linotype" w:hAnsi="Palatino Linotype" w:cs="Palatino Linotype"/>
          <w:sz w:val="22"/>
          <w:szCs w:val="22"/>
          <w:lang w:val="es-ES_tradnl"/>
        </w:rPr>
        <w:t xml:space="preserve"> se realizara previa </w:t>
      </w:r>
      <w:r w:rsidRPr="00DD1A7B">
        <w:rPr>
          <w:rFonts w:ascii="Palatino Linotype" w:eastAsia="Palatino Linotype" w:hAnsi="Palatino Linotype" w:cs="Palatino Linotype"/>
          <w:b/>
          <w:sz w:val="22"/>
          <w:szCs w:val="22"/>
          <w:lang w:val="es-ES_tradnl"/>
        </w:rPr>
        <w:t xml:space="preserve">evaluación técnica </w:t>
      </w:r>
      <w:r w:rsidR="00097DB7" w:rsidRPr="00DD1A7B">
        <w:rPr>
          <w:rFonts w:ascii="Palatino Linotype" w:eastAsia="Palatino Linotype" w:hAnsi="Palatino Linotype" w:cs="Palatino Linotype"/>
          <w:b/>
          <w:sz w:val="22"/>
          <w:szCs w:val="22"/>
          <w:lang w:val="es-ES_tradnl"/>
        </w:rPr>
        <w:t xml:space="preserve">emitida por </w:t>
      </w:r>
      <w:r w:rsidRPr="00DD1A7B">
        <w:rPr>
          <w:rFonts w:ascii="Palatino Linotype" w:eastAsia="Palatino Linotype" w:hAnsi="Palatino Linotype" w:cs="Palatino Linotype"/>
          <w:b/>
          <w:sz w:val="22"/>
          <w:szCs w:val="22"/>
          <w:lang w:val="es-ES_tradnl"/>
        </w:rPr>
        <w:t>la Dirección de Medio Ambiente y Ecología</w:t>
      </w:r>
      <w:r w:rsidR="00097DB7" w:rsidRPr="00DD1A7B">
        <w:rPr>
          <w:rFonts w:ascii="Palatino Linotype" w:eastAsia="Palatino Linotype" w:hAnsi="Palatino Linotype" w:cs="Palatino Linotype"/>
          <w:sz w:val="22"/>
          <w:szCs w:val="22"/>
          <w:lang w:val="es-ES_tradnl"/>
        </w:rPr>
        <w:t>;</w:t>
      </w:r>
      <w:r w:rsidRPr="00DD1A7B">
        <w:rPr>
          <w:rFonts w:ascii="Palatino Linotype" w:eastAsia="Palatino Linotype" w:hAnsi="Palatino Linotype" w:cs="Palatino Linotype"/>
          <w:sz w:val="22"/>
          <w:szCs w:val="22"/>
          <w:lang w:val="es-ES_tradnl"/>
        </w:rPr>
        <w:t xml:space="preserve"> y</w:t>
      </w:r>
      <w:r w:rsidR="00097DB7" w:rsidRPr="00DD1A7B">
        <w:rPr>
          <w:rFonts w:ascii="Palatino Linotype" w:eastAsia="Palatino Linotype" w:hAnsi="Palatino Linotype" w:cs="Palatino Linotype"/>
          <w:sz w:val="22"/>
          <w:szCs w:val="22"/>
          <w:lang w:val="es-ES_tradnl"/>
        </w:rPr>
        <w:t>,</w:t>
      </w:r>
      <w:r w:rsidRPr="00DD1A7B">
        <w:rPr>
          <w:rFonts w:ascii="Palatino Linotype" w:eastAsia="Palatino Linotype" w:hAnsi="Palatino Linotype" w:cs="Palatino Linotype"/>
          <w:sz w:val="22"/>
          <w:szCs w:val="22"/>
          <w:lang w:val="es-ES_tradnl"/>
        </w:rPr>
        <w:t xml:space="preserve"> cuando sea necesario </w:t>
      </w:r>
      <w:r w:rsidR="00097DB7" w:rsidRPr="00DD1A7B">
        <w:rPr>
          <w:rFonts w:ascii="Palatino Linotype" w:eastAsia="Palatino Linotype" w:hAnsi="Palatino Linotype" w:cs="Palatino Linotype"/>
          <w:b/>
          <w:sz w:val="22"/>
          <w:szCs w:val="22"/>
          <w:lang w:val="es-ES_tradnl"/>
        </w:rPr>
        <w:t>el</w:t>
      </w:r>
      <w:r w:rsidRPr="00DD1A7B">
        <w:rPr>
          <w:rFonts w:ascii="Palatino Linotype" w:eastAsia="Palatino Linotype" w:hAnsi="Palatino Linotype" w:cs="Palatino Linotype"/>
          <w:b/>
          <w:sz w:val="22"/>
          <w:szCs w:val="22"/>
          <w:lang w:val="es-ES_tradnl"/>
        </w:rPr>
        <w:t xml:space="preserve"> dictamen de riesgo por parte de la Dirección de Protección Civil y Bomberos</w:t>
      </w:r>
      <w:r w:rsidRPr="00DD1A7B">
        <w:rPr>
          <w:rFonts w:ascii="Palatino Linotype" w:eastAsia="Palatino Linotype" w:hAnsi="Palatino Linotype" w:cs="Palatino Linotype"/>
          <w:sz w:val="22"/>
          <w:szCs w:val="22"/>
          <w:lang w:val="es-ES_tradnl"/>
        </w:rPr>
        <w:t>,</w:t>
      </w:r>
      <w:r w:rsidR="00097DB7" w:rsidRPr="00DD1A7B">
        <w:rPr>
          <w:rFonts w:ascii="Palatino Linotype" w:eastAsia="Palatino Linotype" w:hAnsi="Palatino Linotype" w:cs="Palatino Linotype"/>
          <w:sz w:val="22"/>
          <w:szCs w:val="22"/>
          <w:lang w:val="es-ES_tradnl"/>
        </w:rPr>
        <w:t xml:space="preserve"> será también requerida dicha evaluación técnica</w:t>
      </w:r>
      <w:r w:rsidRPr="00DD1A7B">
        <w:rPr>
          <w:rFonts w:ascii="Palatino Linotype" w:eastAsia="Palatino Linotype" w:hAnsi="Palatino Linotype" w:cs="Palatino Linotype"/>
          <w:sz w:val="22"/>
          <w:szCs w:val="22"/>
          <w:lang w:val="es-ES_tradnl"/>
        </w:rPr>
        <w:t>:</w:t>
      </w:r>
    </w:p>
    <w:p w14:paraId="210BCF2D" w14:textId="77777777" w:rsidR="003505C0" w:rsidRPr="00DD1A7B" w:rsidRDefault="003505C0" w:rsidP="003505C0">
      <w:pPr>
        <w:spacing w:line="360" w:lineRule="auto"/>
        <w:jc w:val="both"/>
        <w:rPr>
          <w:rFonts w:ascii="Palatino Linotype" w:eastAsia="Palatino Linotype" w:hAnsi="Palatino Linotype" w:cs="Palatino Linotype"/>
          <w:sz w:val="22"/>
          <w:szCs w:val="22"/>
        </w:rPr>
      </w:pPr>
    </w:p>
    <w:p w14:paraId="47A254CA" w14:textId="70CDD77D" w:rsidR="003505C0" w:rsidRPr="00DD1A7B"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DD1A7B">
        <w:rPr>
          <w:rFonts w:ascii="Palatino Linotype" w:eastAsia="Palatino Linotype" w:hAnsi="Palatino Linotype" w:cs="Palatino Linotype"/>
          <w:b/>
          <w:i/>
          <w:sz w:val="22"/>
          <w:szCs w:val="22"/>
          <w:lang w:val="es-ES_tradnl"/>
        </w:rPr>
        <w:t>“Artículo 86</w:t>
      </w:r>
      <w:r w:rsidRPr="00DD1A7B">
        <w:rPr>
          <w:rFonts w:ascii="Palatino Linotype" w:eastAsia="Palatino Linotype" w:hAnsi="Palatino Linotype" w:cs="Palatino Linotype"/>
          <w:i/>
          <w:sz w:val="22"/>
          <w:szCs w:val="22"/>
          <w:lang w:val="es-ES_tradnl"/>
        </w:rPr>
        <w:t xml:space="preserve">. El derribo de árboles en áreas públicas como parques, jardines, plazas cívicas, camellones, glorietas, fuentes, monumentos y panteones municipales </w:t>
      </w:r>
      <w:r w:rsidRPr="00DD1A7B">
        <w:rPr>
          <w:rFonts w:ascii="Palatino Linotype" w:eastAsia="Palatino Linotype" w:hAnsi="Palatino Linotype" w:cs="Palatino Linotype"/>
          <w:i/>
          <w:sz w:val="22"/>
          <w:szCs w:val="22"/>
          <w:u w:val="single"/>
          <w:lang w:val="es-ES_tradnl"/>
        </w:rPr>
        <w:t>se realizará previa evaluación técnica de la Dirección de Medio Ambiente y Ecología</w:t>
      </w:r>
      <w:r w:rsidRPr="00DD1A7B">
        <w:rPr>
          <w:rFonts w:ascii="Palatino Linotype" w:eastAsia="Palatino Linotype" w:hAnsi="Palatino Linotype" w:cs="Palatino Linotype"/>
          <w:i/>
          <w:sz w:val="22"/>
          <w:szCs w:val="22"/>
          <w:lang w:val="es-ES_tradnl"/>
        </w:rPr>
        <w:t xml:space="preserve">; asimismo, </w:t>
      </w:r>
      <w:r w:rsidRPr="00DD1A7B">
        <w:rPr>
          <w:rFonts w:ascii="Palatino Linotype" w:eastAsia="Palatino Linotype" w:hAnsi="Palatino Linotype" w:cs="Palatino Linotype"/>
          <w:b/>
          <w:i/>
          <w:sz w:val="22"/>
          <w:szCs w:val="22"/>
          <w:lang w:val="es-ES_tradnl"/>
        </w:rPr>
        <w:t>cuando sea necesario el dictamen de riesgo</w:t>
      </w:r>
      <w:r w:rsidRPr="00DD1A7B">
        <w:rPr>
          <w:rFonts w:ascii="Palatino Linotype" w:eastAsia="Palatino Linotype" w:hAnsi="Palatino Linotype" w:cs="Palatino Linotype"/>
          <w:i/>
          <w:sz w:val="22"/>
          <w:szCs w:val="22"/>
          <w:lang w:val="es-ES_tradnl"/>
        </w:rPr>
        <w:t>, se requerirá evaluación técnica por parte de la Dirección de Protección Civil y Bomberos”</w:t>
      </w:r>
    </w:p>
    <w:p w14:paraId="399BAFF6" w14:textId="77777777" w:rsidR="003505C0" w:rsidRPr="00DD1A7B" w:rsidRDefault="003505C0" w:rsidP="003505C0">
      <w:pPr>
        <w:spacing w:line="360" w:lineRule="auto"/>
        <w:jc w:val="both"/>
        <w:rPr>
          <w:rFonts w:ascii="Palatino Linotype" w:eastAsia="Palatino Linotype" w:hAnsi="Palatino Linotype" w:cs="Palatino Linotype"/>
          <w:sz w:val="22"/>
          <w:szCs w:val="22"/>
        </w:rPr>
      </w:pPr>
    </w:p>
    <w:p w14:paraId="24BA3D65" w14:textId="79E3D55D" w:rsidR="003505C0" w:rsidRPr="00DD1A7B" w:rsidRDefault="003505C0" w:rsidP="003505C0">
      <w:pPr>
        <w:spacing w:line="360" w:lineRule="auto"/>
        <w:jc w:val="both"/>
        <w:rPr>
          <w:rFonts w:ascii="Palatino Linotype" w:eastAsia="Palatino Linotype" w:hAnsi="Palatino Linotype" w:cs="Palatino Linotype"/>
          <w:sz w:val="22"/>
          <w:szCs w:val="22"/>
          <w:lang w:val="es-ES"/>
        </w:rPr>
      </w:pPr>
      <w:r w:rsidRPr="00DD1A7B">
        <w:rPr>
          <w:rFonts w:ascii="Palatino Linotype" w:eastAsia="Palatino Linotype" w:hAnsi="Palatino Linotype" w:cs="Palatino Linotype"/>
          <w:sz w:val="22"/>
          <w:szCs w:val="22"/>
        </w:rPr>
        <w:t xml:space="preserve">En ese contexto, </w:t>
      </w:r>
      <w:r w:rsidR="00097DB7" w:rsidRPr="00DD1A7B">
        <w:rPr>
          <w:rFonts w:ascii="Palatino Linotype" w:eastAsia="Palatino Linotype" w:hAnsi="Palatino Linotype" w:cs="Palatino Linotype"/>
          <w:sz w:val="22"/>
          <w:szCs w:val="22"/>
        </w:rPr>
        <w:t>se tiene que le</w:t>
      </w:r>
      <w:r w:rsidRPr="00DD1A7B">
        <w:rPr>
          <w:rFonts w:ascii="Palatino Linotype" w:eastAsia="Palatino Linotype" w:hAnsi="Palatino Linotype" w:cs="Palatino Linotype"/>
          <w:sz w:val="22"/>
          <w:szCs w:val="22"/>
        </w:rPr>
        <w:t xml:space="preserve"> corresponde a la Dirección de Protección Civil y Bomberos </w:t>
      </w:r>
      <w:r w:rsidRPr="00DD1A7B">
        <w:rPr>
          <w:rFonts w:ascii="Palatino Linotype" w:eastAsia="Palatino Linotype" w:hAnsi="Palatino Linotype" w:cs="Palatino Linotype"/>
          <w:sz w:val="22"/>
          <w:szCs w:val="22"/>
          <w:lang w:val="es-ES_tradnl"/>
        </w:rPr>
        <w:t>las bases de coordinación entre los distintos órdenes de gobierno en materia de gestión integral de riesgos y protección civil, así como con los sectores privado y social</w:t>
      </w:r>
      <w:r w:rsidRPr="00DD1A7B">
        <w:rPr>
          <w:rFonts w:ascii="Palatino Linotype" w:eastAsia="Palatino Linotype" w:hAnsi="Palatino Linotype" w:cs="Palatino Linotype"/>
          <w:sz w:val="22"/>
          <w:szCs w:val="22"/>
          <w:lang w:val="es-ES"/>
        </w:rPr>
        <w:t xml:space="preserve"> entendiendo como </w:t>
      </w:r>
      <w:r w:rsidR="00016D4B" w:rsidRPr="00DD1A7B">
        <w:rPr>
          <w:rFonts w:ascii="Palatino Linotype" w:eastAsia="Palatino Linotype" w:hAnsi="Palatino Linotype" w:cs="Palatino Linotype"/>
          <w:sz w:val="22"/>
          <w:szCs w:val="22"/>
          <w:u w:val="single"/>
          <w:lang w:val="es-ES_tradnl"/>
        </w:rPr>
        <w:t>dictamen</w:t>
      </w:r>
      <w:r w:rsidRPr="00DD1A7B">
        <w:rPr>
          <w:rFonts w:ascii="Palatino Linotype" w:eastAsia="Palatino Linotype" w:hAnsi="Palatino Linotype" w:cs="Palatino Linotype"/>
          <w:sz w:val="22"/>
          <w:szCs w:val="22"/>
          <w:u w:val="single"/>
          <w:lang w:val="es-ES_tradnl"/>
        </w:rPr>
        <w:t xml:space="preserve"> de riesgo,</w:t>
      </w:r>
      <w:r w:rsidRPr="00DD1A7B">
        <w:rPr>
          <w:rFonts w:ascii="Palatino Linotype" w:eastAsia="Palatino Linotype" w:hAnsi="Palatino Linotype" w:cs="Palatino Linotype"/>
          <w:sz w:val="22"/>
          <w:szCs w:val="22"/>
          <w:lang w:val="es-ES_tradnl"/>
        </w:rPr>
        <w:t xml:space="preserve"> </w:t>
      </w:r>
      <w:r w:rsidRPr="00DD1A7B">
        <w:rPr>
          <w:rFonts w:ascii="Palatino Linotype" w:eastAsia="Palatino Linotype" w:hAnsi="Palatino Linotype" w:cs="Palatino Linotype"/>
          <w:sz w:val="22"/>
          <w:szCs w:val="22"/>
          <w:u w:val="single"/>
          <w:lang w:val="es-ES_tradnl"/>
        </w:rPr>
        <w:t>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14:paraId="17D21B0B" w14:textId="77777777" w:rsidR="003505C0" w:rsidRPr="00DD1A7B" w:rsidRDefault="003505C0" w:rsidP="003505C0">
      <w:pPr>
        <w:spacing w:line="360" w:lineRule="auto"/>
        <w:jc w:val="both"/>
        <w:rPr>
          <w:rFonts w:ascii="Palatino Linotype" w:eastAsia="Palatino Linotype" w:hAnsi="Palatino Linotype" w:cs="Palatino Linotype"/>
          <w:sz w:val="22"/>
          <w:szCs w:val="22"/>
          <w:lang w:val="es-ES"/>
        </w:rPr>
      </w:pPr>
    </w:p>
    <w:p w14:paraId="7289D3E6" w14:textId="04D07EEE" w:rsidR="00097DB7" w:rsidRPr="00DD1A7B" w:rsidRDefault="00097DB7"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En consecuencia, para el derribo, </w:t>
      </w:r>
      <w:r w:rsidR="003505C0" w:rsidRPr="00DD1A7B">
        <w:rPr>
          <w:rFonts w:ascii="Palatino Linotype" w:eastAsia="Palatino Linotype" w:hAnsi="Palatino Linotype" w:cs="Palatino Linotype"/>
          <w:sz w:val="22"/>
          <w:szCs w:val="22"/>
        </w:rPr>
        <w:t xml:space="preserve">poda </w:t>
      </w:r>
      <w:r w:rsidRPr="00DD1A7B">
        <w:rPr>
          <w:rFonts w:ascii="Palatino Linotype" w:eastAsia="Palatino Linotype" w:hAnsi="Palatino Linotype" w:cs="Palatino Linotype"/>
          <w:sz w:val="22"/>
          <w:szCs w:val="22"/>
        </w:rPr>
        <w:t xml:space="preserve">o trasplante </w:t>
      </w:r>
      <w:r w:rsidR="003505C0" w:rsidRPr="00DD1A7B">
        <w:rPr>
          <w:rFonts w:ascii="Palatino Linotype" w:eastAsia="Palatino Linotype" w:hAnsi="Palatino Linotype" w:cs="Palatino Linotype"/>
          <w:sz w:val="22"/>
          <w:szCs w:val="22"/>
        </w:rPr>
        <w:t>de un árbol</w:t>
      </w:r>
      <w:r w:rsidR="00016D4B" w:rsidRPr="00DD1A7B">
        <w:rPr>
          <w:rFonts w:ascii="Palatino Linotype" w:eastAsia="Palatino Linotype" w:hAnsi="Palatino Linotype" w:cs="Palatino Linotype"/>
          <w:sz w:val="22"/>
          <w:szCs w:val="22"/>
        </w:rPr>
        <w:t>, este s</w:t>
      </w:r>
      <w:r w:rsidRPr="00DD1A7B">
        <w:rPr>
          <w:rFonts w:ascii="Palatino Linotype" w:eastAsia="Palatino Linotype" w:hAnsi="Palatino Linotype" w:cs="Palatino Linotype"/>
          <w:sz w:val="22"/>
          <w:szCs w:val="22"/>
        </w:rPr>
        <w:t xml:space="preserve">e debe realizar </w:t>
      </w:r>
      <w:r w:rsidR="003505C0" w:rsidRPr="00DD1A7B">
        <w:rPr>
          <w:rFonts w:ascii="Palatino Linotype" w:eastAsia="Palatino Linotype" w:hAnsi="Palatino Linotype" w:cs="Palatino Linotype"/>
          <w:sz w:val="22"/>
          <w:szCs w:val="22"/>
        </w:rPr>
        <w:t>mediante dos procesos</w:t>
      </w:r>
      <w:r w:rsidRPr="00DD1A7B">
        <w:rPr>
          <w:rFonts w:ascii="Palatino Linotype" w:eastAsia="Palatino Linotype" w:hAnsi="Palatino Linotype" w:cs="Palatino Linotype"/>
          <w:sz w:val="22"/>
          <w:szCs w:val="22"/>
        </w:rPr>
        <w:t>;</w:t>
      </w:r>
      <w:r w:rsidR="003505C0" w:rsidRPr="00DD1A7B">
        <w:rPr>
          <w:rFonts w:ascii="Palatino Linotype" w:eastAsia="Palatino Linotype" w:hAnsi="Palatino Linotype" w:cs="Palatino Linotype"/>
          <w:sz w:val="22"/>
          <w:szCs w:val="22"/>
        </w:rPr>
        <w:t xml:space="preserve"> el primero</w:t>
      </w:r>
      <w:r w:rsidRPr="00DD1A7B">
        <w:rPr>
          <w:rFonts w:ascii="Palatino Linotype" w:eastAsia="Palatino Linotype" w:hAnsi="Palatino Linotype" w:cs="Palatino Linotype"/>
          <w:sz w:val="22"/>
          <w:szCs w:val="22"/>
        </w:rPr>
        <w:t xml:space="preserve">, </w:t>
      </w:r>
      <w:r w:rsidR="003505C0" w:rsidRPr="00DD1A7B">
        <w:rPr>
          <w:rFonts w:ascii="Palatino Linotype" w:eastAsia="Palatino Linotype" w:hAnsi="Palatino Linotype" w:cs="Palatino Linotype"/>
          <w:sz w:val="22"/>
          <w:szCs w:val="22"/>
        </w:rPr>
        <w:t xml:space="preserve">mediante la previa evaluación técnica de la </w:t>
      </w:r>
      <w:r w:rsidR="003505C0" w:rsidRPr="00DD1A7B">
        <w:rPr>
          <w:rFonts w:ascii="Palatino Linotype" w:eastAsia="Palatino Linotype" w:hAnsi="Palatino Linotype" w:cs="Palatino Linotype"/>
          <w:sz w:val="22"/>
          <w:szCs w:val="22"/>
          <w:lang w:val="es-ES_tradnl"/>
        </w:rPr>
        <w:t>Dirección de Medio Ambiente y Ecología</w:t>
      </w:r>
      <w:r w:rsidRPr="00DD1A7B">
        <w:rPr>
          <w:rFonts w:ascii="Palatino Linotype" w:eastAsia="Palatino Linotype" w:hAnsi="Palatino Linotype" w:cs="Palatino Linotype"/>
          <w:sz w:val="22"/>
          <w:szCs w:val="22"/>
          <w:lang w:val="es-ES_tradnl"/>
        </w:rPr>
        <w:t>;</w:t>
      </w:r>
      <w:r w:rsidR="003505C0" w:rsidRPr="00DD1A7B">
        <w:rPr>
          <w:rFonts w:ascii="Palatino Linotype" w:eastAsia="Palatino Linotype" w:hAnsi="Palatino Linotype" w:cs="Palatino Linotype"/>
          <w:sz w:val="22"/>
          <w:szCs w:val="22"/>
          <w:lang w:val="es-ES_tradnl"/>
        </w:rPr>
        <w:t xml:space="preserve"> </w:t>
      </w:r>
      <w:r w:rsidR="003505C0" w:rsidRPr="00DD1A7B">
        <w:rPr>
          <w:rFonts w:ascii="Palatino Linotype" w:eastAsia="Palatino Linotype" w:hAnsi="Palatino Linotype" w:cs="Palatino Linotype"/>
          <w:sz w:val="22"/>
          <w:szCs w:val="22"/>
        </w:rPr>
        <w:t>y</w:t>
      </w:r>
      <w:r w:rsidRPr="00DD1A7B">
        <w:rPr>
          <w:rFonts w:ascii="Palatino Linotype" w:eastAsia="Palatino Linotype" w:hAnsi="Palatino Linotype" w:cs="Palatino Linotype"/>
          <w:sz w:val="22"/>
          <w:szCs w:val="22"/>
        </w:rPr>
        <w:t>,</w:t>
      </w:r>
      <w:r w:rsidR="003505C0" w:rsidRPr="00DD1A7B">
        <w:rPr>
          <w:rFonts w:ascii="Palatino Linotype" w:eastAsia="Palatino Linotype" w:hAnsi="Palatino Linotype" w:cs="Palatino Linotype"/>
          <w:sz w:val="22"/>
          <w:szCs w:val="22"/>
        </w:rPr>
        <w:t xml:space="preserve"> el segundo</w:t>
      </w:r>
      <w:r w:rsidRPr="00DD1A7B">
        <w:rPr>
          <w:rFonts w:ascii="Palatino Linotype" w:eastAsia="Palatino Linotype" w:hAnsi="Palatino Linotype" w:cs="Palatino Linotype"/>
          <w:sz w:val="22"/>
          <w:szCs w:val="22"/>
        </w:rPr>
        <w:t>,</w:t>
      </w:r>
      <w:r w:rsidR="003505C0" w:rsidRPr="00DD1A7B">
        <w:rPr>
          <w:rFonts w:ascii="Palatino Linotype" w:eastAsia="Palatino Linotype" w:hAnsi="Palatino Linotype" w:cs="Palatino Linotype"/>
          <w:sz w:val="22"/>
          <w:szCs w:val="22"/>
        </w:rPr>
        <w:t xml:space="preserve"> mediante un dictamen de riesgo realizado por la</w:t>
      </w:r>
      <w:r w:rsidR="00CC2930" w:rsidRPr="00DD1A7B">
        <w:rPr>
          <w:rFonts w:ascii="Palatino Linotype" w:eastAsia="Palatino Linotype" w:hAnsi="Palatino Linotype" w:cs="Palatino Linotype"/>
          <w:sz w:val="22"/>
          <w:szCs w:val="22"/>
        </w:rPr>
        <w:t xml:space="preserve"> Dirección de Protección Civil y Bomberos</w:t>
      </w:r>
      <w:r w:rsidR="003505C0" w:rsidRPr="00DD1A7B">
        <w:rPr>
          <w:rFonts w:ascii="Palatino Linotype" w:eastAsia="Palatino Linotype" w:hAnsi="Palatino Linotype" w:cs="Palatino Linotype"/>
          <w:sz w:val="22"/>
          <w:szCs w:val="22"/>
        </w:rPr>
        <w:t xml:space="preserve">. </w:t>
      </w:r>
    </w:p>
    <w:p w14:paraId="21779C97" w14:textId="77777777" w:rsidR="00097DB7" w:rsidRPr="00DD1A7B" w:rsidRDefault="00097DB7" w:rsidP="003505C0">
      <w:pPr>
        <w:spacing w:line="360" w:lineRule="auto"/>
        <w:jc w:val="both"/>
        <w:rPr>
          <w:rFonts w:ascii="Palatino Linotype" w:eastAsia="Palatino Linotype" w:hAnsi="Palatino Linotype" w:cs="Palatino Linotype"/>
          <w:sz w:val="22"/>
          <w:szCs w:val="22"/>
        </w:rPr>
      </w:pPr>
    </w:p>
    <w:p w14:paraId="7AAB84F0" w14:textId="77777777" w:rsidR="00E32D55" w:rsidRPr="00DD1A7B" w:rsidRDefault="00097DB7"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De esta manera, </w:t>
      </w:r>
      <w:r w:rsidR="00E32D55" w:rsidRPr="00DD1A7B">
        <w:rPr>
          <w:rFonts w:ascii="Palatino Linotype" w:eastAsia="Palatino Linotype" w:hAnsi="Palatino Linotype" w:cs="Palatino Linotype"/>
          <w:sz w:val="22"/>
          <w:szCs w:val="22"/>
        </w:rPr>
        <w:t>de lo antes expuesto se arriba a las siguientes conclusiones:</w:t>
      </w:r>
    </w:p>
    <w:p w14:paraId="2C5DDC48" w14:textId="77777777" w:rsidR="00E32D55" w:rsidRPr="00DD1A7B" w:rsidRDefault="00E32D55" w:rsidP="003505C0">
      <w:pPr>
        <w:spacing w:line="360" w:lineRule="auto"/>
        <w:jc w:val="both"/>
        <w:rPr>
          <w:rFonts w:ascii="Palatino Linotype" w:eastAsia="Palatino Linotype" w:hAnsi="Palatino Linotype" w:cs="Palatino Linotype"/>
          <w:sz w:val="22"/>
          <w:szCs w:val="22"/>
        </w:rPr>
      </w:pPr>
    </w:p>
    <w:p w14:paraId="720F88B4" w14:textId="1F3BC6A1" w:rsidR="00A062D9" w:rsidRPr="00DD1A7B" w:rsidRDefault="00A062D9" w:rsidP="003505C0">
      <w:pPr>
        <w:pStyle w:val="Prrafodelista"/>
        <w:numPr>
          <w:ilvl w:val="0"/>
          <w:numId w:val="27"/>
        </w:numPr>
        <w:spacing w:line="360" w:lineRule="auto"/>
        <w:jc w:val="both"/>
        <w:rPr>
          <w:rFonts w:ascii="Palatino Linotype" w:eastAsia="Palatino Linotype" w:hAnsi="Palatino Linotype" w:cs="Palatino Linotype"/>
          <w:sz w:val="22"/>
          <w:szCs w:val="22"/>
          <w:lang w:val="es-ES_tradnl"/>
        </w:rPr>
      </w:pPr>
      <w:r w:rsidRPr="00DD1A7B">
        <w:rPr>
          <w:rFonts w:ascii="Palatino Linotype" w:eastAsia="Palatino Linotype" w:hAnsi="Palatino Linotype" w:cs="Palatino Linotype"/>
          <w:sz w:val="22"/>
          <w:szCs w:val="22"/>
        </w:rPr>
        <w:t>Que, l</w:t>
      </w:r>
      <w:r w:rsidR="00097DB7" w:rsidRPr="00DD1A7B">
        <w:rPr>
          <w:rFonts w:ascii="Palatino Linotype" w:eastAsia="Palatino Linotype" w:hAnsi="Palatino Linotype" w:cs="Palatino Linotype"/>
          <w:sz w:val="22"/>
          <w:szCs w:val="22"/>
        </w:rPr>
        <w:t xml:space="preserve">a valoración o dictamen de riesgo para el derribo, poda o trasplante de un árbol, </w:t>
      </w:r>
      <w:r w:rsidR="00CC2930" w:rsidRPr="00DD1A7B">
        <w:rPr>
          <w:rFonts w:ascii="Palatino Linotype" w:eastAsia="Palatino Linotype" w:hAnsi="Palatino Linotype" w:cs="Palatino Linotype"/>
          <w:sz w:val="22"/>
          <w:szCs w:val="22"/>
        </w:rPr>
        <w:t>es una documental emitida</w:t>
      </w:r>
      <w:r w:rsidR="00097DB7" w:rsidRPr="00DD1A7B">
        <w:rPr>
          <w:rFonts w:ascii="Palatino Linotype" w:eastAsia="Palatino Linotype" w:hAnsi="Palatino Linotype" w:cs="Palatino Linotype"/>
          <w:sz w:val="22"/>
          <w:szCs w:val="22"/>
        </w:rPr>
        <w:t xml:space="preserve"> por la Dirección de Protección Civil y Bomberos </w:t>
      </w:r>
      <w:r w:rsidR="00E32D55" w:rsidRPr="00DD1A7B">
        <w:rPr>
          <w:rFonts w:ascii="Palatino Linotype" w:eastAsia="Palatino Linotype" w:hAnsi="Palatino Linotype" w:cs="Palatino Linotype"/>
          <w:sz w:val="22"/>
          <w:szCs w:val="22"/>
        </w:rPr>
        <w:t xml:space="preserve"> más no así p</w:t>
      </w:r>
      <w:r w:rsidR="00CC2930" w:rsidRPr="00DD1A7B">
        <w:rPr>
          <w:rFonts w:ascii="Palatino Linotype" w:eastAsia="Palatino Linotype" w:hAnsi="Palatino Linotype" w:cs="Palatino Linotype"/>
          <w:sz w:val="22"/>
          <w:szCs w:val="22"/>
        </w:rPr>
        <w:t xml:space="preserve">or la </w:t>
      </w:r>
      <w:r w:rsidR="00CC2930" w:rsidRPr="00DD1A7B">
        <w:rPr>
          <w:rFonts w:ascii="Palatino Linotype" w:eastAsia="Palatino Linotype" w:hAnsi="Palatino Linotype" w:cs="Palatino Linotype"/>
          <w:sz w:val="22"/>
          <w:szCs w:val="22"/>
          <w:lang w:val="es-ES_tradnl"/>
        </w:rPr>
        <w:t>Dirección de Medio Ambiente y Ecología, ya que esta última únicamen</w:t>
      </w:r>
      <w:r w:rsidR="00E32D55" w:rsidRPr="00DD1A7B">
        <w:rPr>
          <w:rFonts w:ascii="Palatino Linotype" w:eastAsia="Palatino Linotype" w:hAnsi="Palatino Linotype" w:cs="Palatino Linotype"/>
          <w:sz w:val="22"/>
          <w:szCs w:val="22"/>
          <w:lang w:val="es-ES_tradnl"/>
        </w:rPr>
        <w:t>te emite una evaluación técnica.</w:t>
      </w:r>
    </w:p>
    <w:p w14:paraId="012870E3" w14:textId="77777777" w:rsidR="00A062D9" w:rsidRPr="00DD1A7B" w:rsidRDefault="00A062D9" w:rsidP="00A062D9">
      <w:pPr>
        <w:pStyle w:val="Prrafodelista"/>
        <w:spacing w:line="360" w:lineRule="auto"/>
        <w:ind w:left="360"/>
        <w:jc w:val="both"/>
        <w:rPr>
          <w:rFonts w:ascii="Palatino Linotype" w:eastAsia="Palatino Linotype" w:hAnsi="Palatino Linotype" w:cs="Palatino Linotype"/>
          <w:sz w:val="22"/>
          <w:szCs w:val="22"/>
          <w:lang w:val="es-ES_tradnl"/>
        </w:rPr>
      </w:pPr>
    </w:p>
    <w:p w14:paraId="2EFA301A" w14:textId="4EB7EDBE" w:rsidR="00E32D55" w:rsidRPr="00DD1A7B" w:rsidRDefault="00A062D9" w:rsidP="00A062D9">
      <w:pPr>
        <w:pStyle w:val="Prrafodelista"/>
        <w:numPr>
          <w:ilvl w:val="0"/>
          <w:numId w:val="27"/>
        </w:numPr>
        <w:spacing w:line="360" w:lineRule="auto"/>
        <w:jc w:val="both"/>
        <w:rPr>
          <w:rFonts w:ascii="Palatino Linotype" w:eastAsia="Palatino Linotype" w:hAnsi="Palatino Linotype" w:cs="Palatino Linotype"/>
          <w:sz w:val="22"/>
          <w:szCs w:val="22"/>
          <w:lang w:val="es-ES_tradnl"/>
        </w:rPr>
      </w:pPr>
      <w:r w:rsidRPr="00DD1A7B">
        <w:rPr>
          <w:rFonts w:ascii="Palatino Linotype" w:eastAsia="Palatino Linotype" w:hAnsi="Palatino Linotype" w:cs="Palatino Linotype"/>
          <w:sz w:val="22"/>
          <w:szCs w:val="22"/>
          <w:lang w:val="es-ES_tradnl"/>
        </w:rPr>
        <w:t>Q</w:t>
      </w:r>
      <w:r w:rsidR="00E32D55" w:rsidRPr="00DD1A7B">
        <w:rPr>
          <w:rFonts w:ascii="Palatino Linotype" w:eastAsia="Palatino Linotype" w:hAnsi="Palatino Linotype" w:cs="Palatino Linotype"/>
          <w:sz w:val="22"/>
          <w:szCs w:val="22"/>
          <w:lang w:val="es-ES_tradnl"/>
        </w:rPr>
        <w:t xml:space="preserve">ue, si bien </w:t>
      </w:r>
      <w:r w:rsidR="00E32D55" w:rsidRPr="00DD1A7B">
        <w:rPr>
          <w:rFonts w:ascii="Palatino Linotype" w:eastAsia="Palatino Linotype" w:hAnsi="Palatino Linotype" w:cs="Palatino Linotype"/>
          <w:sz w:val="22"/>
          <w:szCs w:val="22"/>
          <w:lang w:val="es-MX"/>
        </w:rPr>
        <w:t xml:space="preserve">la </w:t>
      </w:r>
      <w:r w:rsidR="00E32D55" w:rsidRPr="00DD1A7B">
        <w:rPr>
          <w:rFonts w:ascii="Palatino Linotype" w:eastAsia="Palatino Linotype" w:hAnsi="Palatino Linotype" w:cs="Palatino Linotype"/>
          <w:sz w:val="22"/>
          <w:szCs w:val="22"/>
          <w:lang w:val="es-ES_tradnl"/>
        </w:rPr>
        <w:t xml:space="preserve">Dirección de Medio Ambiente y Ecología no genera las valoraciones o dictámenes de riesgo para el derribo, poda o trasplante de árboles, si puede tener conocimiento de </w:t>
      </w:r>
      <w:r w:rsidRPr="00DD1A7B">
        <w:rPr>
          <w:rFonts w:ascii="Palatino Linotype" w:eastAsia="Palatino Linotype" w:hAnsi="Palatino Linotype" w:cs="Palatino Linotype"/>
          <w:sz w:val="22"/>
          <w:szCs w:val="22"/>
          <w:lang w:val="es-ES_tradnl"/>
        </w:rPr>
        <w:t>ellas</w:t>
      </w:r>
      <w:r w:rsidR="00E32D55" w:rsidRPr="00DD1A7B">
        <w:rPr>
          <w:rFonts w:ascii="Palatino Linotype" w:eastAsia="Palatino Linotype" w:hAnsi="Palatino Linotype" w:cs="Palatino Linotype"/>
          <w:sz w:val="22"/>
          <w:szCs w:val="22"/>
        </w:rPr>
        <w:t xml:space="preserve">, ya que </w:t>
      </w:r>
      <w:r w:rsidRPr="00DD1A7B">
        <w:rPr>
          <w:rFonts w:ascii="Palatino Linotype" w:eastAsia="Palatino Linotype" w:hAnsi="Palatino Linotype" w:cs="Palatino Linotype"/>
          <w:sz w:val="22"/>
          <w:szCs w:val="22"/>
        </w:rPr>
        <w:t>conforme el artículo 60 del Bando Municipal del ente obligado, se encarga de analizar y justificar técnicamente los dictámenes de riesgo emitidos por la Dirección de Protección Civil y Bomberos.</w:t>
      </w:r>
    </w:p>
    <w:p w14:paraId="7BF63EE0" w14:textId="77777777" w:rsidR="000E7152" w:rsidRPr="00DD1A7B" w:rsidRDefault="000E7152" w:rsidP="000E7152">
      <w:pPr>
        <w:pStyle w:val="Prrafodelista"/>
        <w:rPr>
          <w:rFonts w:ascii="Palatino Linotype" w:eastAsia="Palatino Linotype" w:hAnsi="Palatino Linotype" w:cs="Palatino Linotype"/>
          <w:sz w:val="22"/>
          <w:szCs w:val="22"/>
          <w:lang w:val="es-ES_tradnl"/>
        </w:rPr>
      </w:pPr>
    </w:p>
    <w:p w14:paraId="11A5C1D8" w14:textId="7733C253" w:rsidR="00795D5F" w:rsidRPr="00DD1A7B" w:rsidRDefault="00795D5F" w:rsidP="00C86374">
      <w:pPr>
        <w:pStyle w:val="Prrafodelista"/>
        <w:numPr>
          <w:ilvl w:val="0"/>
          <w:numId w:val="27"/>
        </w:numPr>
        <w:spacing w:line="360" w:lineRule="auto"/>
        <w:jc w:val="both"/>
        <w:rPr>
          <w:rFonts w:ascii="Palatino Linotype" w:eastAsia="Palatino Linotype" w:hAnsi="Palatino Linotype" w:cs="Palatino Linotype"/>
          <w:sz w:val="22"/>
          <w:szCs w:val="22"/>
          <w:lang w:val="es-ES_tradnl"/>
        </w:rPr>
      </w:pPr>
      <w:r w:rsidRPr="00DD1A7B">
        <w:rPr>
          <w:rFonts w:ascii="Palatino Linotype" w:eastAsia="Palatino Linotype" w:hAnsi="Palatino Linotype" w:cs="Palatino Linotype"/>
          <w:sz w:val="22"/>
          <w:szCs w:val="22"/>
          <w:lang w:val="es-ES_tradnl"/>
        </w:rPr>
        <w:t>Máxime que la Dirección de Medio Ambiente y Ecología, al ser quien autoriza o emite los permisos correspondientes a la poda o derribo de árboles</w:t>
      </w:r>
      <w:r w:rsidR="00C86374" w:rsidRPr="00DD1A7B">
        <w:rPr>
          <w:rFonts w:ascii="Palatino Linotype" w:eastAsia="Palatino Linotype" w:hAnsi="Palatino Linotype" w:cs="Palatino Linotype"/>
          <w:sz w:val="22"/>
          <w:szCs w:val="22"/>
          <w:lang w:val="es-ES_tradnl"/>
        </w:rPr>
        <w:t xml:space="preserve"> conforme su cédula de trámites y servicios (consultable en el siguiente enlace: https://ecatepec.gob.mx/wp-content/uploads/2025/10/PODA-Y-O-DERRIBO-DE-ARBOLES.pdf)</w:t>
      </w:r>
      <w:r w:rsidRPr="00DD1A7B">
        <w:rPr>
          <w:rFonts w:ascii="Palatino Linotype" w:eastAsia="Palatino Linotype" w:hAnsi="Palatino Linotype" w:cs="Palatino Linotype"/>
          <w:sz w:val="22"/>
          <w:szCs w:val="22"/>
          <w:lang w:val="es-ES_tradnl"/>
        </w:rPr>
        <w:t xml:space="preserve">, tiene </w:t>
      </w:r>
      <w:r w:rsidR="00C86374" w:rsidRPr="00DD1A7B">
        <w:rPr>
          <w:rFonts w:ascii="Palatino Linotype" w:eastAsia="Palatino Linotype" w:hAnsi="Palatino Linotype" w:cs="Palatino Linotype"/>
          <w:sz w:val="22"/>
          <w:szCs w:val="22"/>
          <w:lang w:val="es-ES_tradnl"/>
        </w:rPr>
        <w:t xml:space="preserve">pleno </w:t>
      </w:r>
      <w:r w:rsidRPr="00DD1A7B">
        <w:rPr>
          <w:rFonts w:ascii="Palatino Linotype" w:eastAsia="Palatino Linotype" w:hAnsi="Palatino Linotype" w:cs="Palatino Linotype"/>
          <w:sz w:val="22"/>
          <w:szCs w:val="22"/>
          <w:lang w:val="es-ES_tradnl"/>
        </w:rPr>
        <w:t xml:space="preserve">conocimiento de las valoraciones o dictámenes de riesgo emitidos por la Dirección de Protección Civil y Bomberos al obrar esta información dentro de los expedientes </w:t>
      </w:r>
      <w:proofErr w:type="spellStart"/>
      <w:r w:rsidRPr="00DD1A7B">
        <w:rPr>
          <w:rFonts w:ascii="Palatino Linotype" w:eastAsia="Palatino Linotype" w:hAnsi="Palatino Linotype" w:cs="Palatino Linotype"/>
          <w:sz w:val="22"/>
          <w:szCs w:val="22"/>
          <w:lang w:val="es-ES_tradnl"/>
        </w:rPr>
        <w:t>aperturados</w:t>
      </w:r>
      <w:proofErr w:type="spellEnd"/>
      <w:r w:rsidRPr="00DD1A7B">
        <w:rPr>
          <w:rFonts w:ascii="Palatino Linotype" w:eastAsia="Palatino Linotype" w:hAnsi="Palatino Linotype" w:cs="Palatino Linotype"/>
          <w:sz w:val="22"/>
          <w:szCs w:val="22"/>
          <w:lang w:val="es-ES_tradnl"/>
        </w:rPr>
        <w:t xml:space="preserve"> con motivo de las solicitudes de este tipo de permisos.</w:t>
      </w:r>
    </w:p>
    <w:p w14:paraId="48760D7E" w14:textId="77777777" w:rsidR="00097DB7" w:rsidRPr="00DD1A7B" w:rsidRDefault="00097DB7" w:rsidP="003505C0">
      <w:pPr>
        <w:spacing w:line="360" w:lineRule="auto"/>
        <w:jc w:val="both"/>
        <w:rPr>
          <w:rFonts w:ascii="Palatino Linotype" w:eastAsia="Palatino Linotype" w:hAnsi="Palatino Linotype" w:cs="Palatino Linotype"/>
          <w:sz w:val="22"/>
          <w:szCs w:val="22"/>
        </w:rPr>
      </w:pPr>
    </w:p>
    <w:p w14:paraId="6AB99011" w14:textId="77777777" w:rsidR="00DF7070" w:rsidRPr="00DD1A7B" w:rsidRDefault="00A062D9" w:rsidP="003505C0">
      <w:pPr>
        <w:spacing w:line="360" w:lineRule="auto"/>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sz w:val="22"/>
          <w:szCs w:val="22"/>
        </w:rPr>
        <w:t xml:space="preserve">Expuesto lo anterior, </w:t>
      </w:r>
      <w:r w:rsidR="00CC2930" w:rsidRPr="00DD1A7B">
        <w:rPr>
          <w:rFonts w:ascii="Palatino Linotype" w:eastAsia="Palatino Linotype" w:hAnsi="Palatino Linotype" w:cs="Palatino Linotype"/>
          <w:sz w:val="22"/>
          <w:szCs w:val="22"/>
        </w:rPr>
        <w:t>en el caso es de recordar que la persona solicitante requirió</w:t>
      </w:r>
      <w:r w:rsidR="00CC2930" w:rsidRPr="00DD1A7B">
        <w:rPr>
          <w:rFonts w:ascii="Palatino Linotype" w:eastAsia="Palatino Linotype" w:hAnsi="Palatino Linotype" w:cs="Palatino Linotype"/>
          <w:b/>
          <w:sz w:val="22"/>
          <w:szCs w:val="22"/>
          <w:u w:val="single"/>
        </w:rPr>
        <w:t xml:space="preserve"> </w:t>
      </w:r>
      <w:r w:rsidR="00CC2930" w:rsidRPr="00DD1A7B">
        <w:rPr>
          <w:rFonts w:ascii="Palatino Linotype" w:eastAsia="Palatino Linotype" w:hAnsi="Palatino Linotype" w:cs="Palatino Linotype"/>
          <w:b/>
          <w:i/>
          <w:sz w:val="22"/>
          <w:szCs w:val="22"/>
          <w:u w:val="single"/>
        </w:rPr>
        <w:t>el número de Valoraciones de Riesgo y/o Dictámenes de Riesgo realizados por la Dirección de Medio Ambiente y Ecología</w:t>
      </w:r>
      <w:r w:rsidR="00CC2930" w:rsidRPr="00DD1A7B">
        <w:rPr>
          <w:rFonts w:ascii="Palatino Linotype" w:eastAsia="Palatino Linotype" w:hAnsi="Palatino Linotype" w:cs="Palatino Linotype"/>
          <w:i/>
          <w:sz w:val="22"/>
          <w:szCs w:val="22"/>
        </w:rPr>
        <w:t xml:space="preserve"> en el año 202</w:t>
      </w:r>
      <w:r w:rsidR="00016D4B" w:rsidRPr="00DD1A7B">
        <w:rPr>
          <w:rFonts w:ascii="Palatino Linotype" w:eastAsia="Palatino Linotype" w:hAnsi="Palatino Linotype" w:cs="Palatino Linotype"/>
          <w:i/>
          <w:sz w:val="22"/>
          <w:szCs w:val="22"/>
        </w:rPr>
        <w:t xml:space="preserve">4, </w:t>
      </w:r>
      <w:r w:rsidR="00CC2930" w:rsidRPr="00DD1A7B">
        <w:rPr>
          <w:rFonts w:ascii="Palatino Linotype" w:eastAsia="Palatino Linotype" w:hAnsi="Palatino Linotype" w:cs="Palatino Linotype"/>
          <w:i/>
          <w:sz w:val="22"/>
          <w:szCs w:val="22"/>
        </w:rPr>
        <w:t xml:space="preserve">relacionados con la poda, derribo y/o trasplante de un </w:t>
      </w:r>
      <w:proofErr w:type="spellStart"/>
      <w:r w:rsidR="00016D4B" w:rsidRPr="00DD1A7B">
        <w:rPr>
          <w:rFonts w:ascii="Palatino Linotype" w:eastAsia="Palatino Linotype" w:hAnsi="Palatino Linotype" w:cs="Palatino Linotype"/>
          <w:i/>
          <w:sz w:val="22"/>
          <w:szCs w:val="22"/>
        </w:rPr>
        <w:t>arboles</w:t>
      </w:r>
      <w:proofErr w:type="spellEnd"/>
      <w:r w:rsidR="00DF7070" w:rsidRPr="00DD1A7B">
        <w:rPr>
          <w:rFonts w:ascii="Palatino Linotype" w:eastAsia="Palatino Linotype" w:hAnsi="Palatino Linotype" w:cs="Palatino Linotype"/>
          <w:i/>
          <w:sz w:val="22"/>
          <w:szCs w:val="22"/>
        </w:rPr>
        <w:t>.</w:t>
      </w:r>
    </w:p>
    <w:p w14:paraId="748F0054" w14:textId="77777777" w:rsidR="00DF7070" w:rsidRPr="00DD1A7B" w:rsidRDefault="00DF7070" w:rsidP="003505C0">
      <w:pPr>
        <w:spacing w:line="360" w:lineRule="auto"/>
        <w:jc w:val="both"/>
        <w:rPr>
          <w:rFonts w:ascii="Palatino Linotype" w:eastAsia="Palatino Linotype" w:hAnsi="Palatino Linotype" w:cs="Palatino Linotype"/>
          <w:i/>
          <w:sz w:val="22"/>
          <w:szCs w:val="22"/>
        </w:rPr>
      </w:pPr>
    </w:p>
    <w:p w14:paraId="2D0C8ABB" w14:textId="677E60F3" w:rsidR="00DF7070" w:rsidRPr="00DD1A7B" w:rsidRDefault="00DF7070"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Sin embargo, conforme lo expuesto las valoraciones o </w:t>
      </w:r>
      <w:r w:rsidRPr="00DD1A7B">
        <w:rPr>
          <w:rFonts w:ascii="Palatino Linotype" w:eastAsia="Palatino Linotype" w:hAnsi="Palatino Linotype" w:cs="Palatino Linotype"/>
          <w:sz w:val="22"/>
          <w:szCs w:val="22"/>
          <w:lang w:val="es-ES_tradnl"/>
        </w:rPr>
        <w:t xml:space="preserve">dictámenes de riesgo </w:t>
      </w:r>
      <w:r w:rsidR="001F4D4F" w:rsidRPr="00DD1A7B">
        <w:rPr>
          <w:rFonts w:ascii="Palatino Linotype" w:eastAsia="Palatino Linotype" w:hAnsi="Palatino Linotype" w:cs="Palatino Linotype"/>
          <w:sz w:val="22"/>
          <w:szCs w:val="22"/>
          <w:lang w:val="es-ES_tradnl"/>
        </w:rPr>
        <w:t xml:space="preserve">de los que se requiere la cantidad generada en 2024, </w:t>
      </w:r>
      <w:r w:rsidRPr="00DD1A7B">
        <w:rPr>
          <w:rFonts w:ascii="Palatino Linotype" w:eastAsia="Palatino Linotype" w:hAnsi="Palatino Linotype" w:cs="Palatino Linotype"/>
          <w:sz w:val="22"/>
          <w:szCs w:val="22"/>
          <w:lang w:val="es-ES_tradnl"/>
        </w:rPr>
        <w:t xml:space="preserve"> </w:t>
      </w:r>
      <w:r w:rsidR="001F4D4F" w:rsidRPr="00DD1A7B">
        <w:rPr>
          <w:rFonts w:ascii="Palatino Linotype" w:eastAsia="Palatino Linotype" w:hAnsi="Palatino Linotype" w:cs="Palatino Linotype"/>
          <w:sz w:val="22"/>
          <w:szCs w:val="22"/>
          <w:lang w:val="es-ES_tradnl"/>
        </w:rPr>
        <w:t xml:space="preserve">son emitidos </w:t>
      </w:r>
      <w:r w:rsidRPr="00DD1A7B">
        <w:rPr>
          <w:rFonts w:ascii="Palatino Linotype" w:eastAsia="Palatino Linotype" w:hAnsi="Palatino Linotype" w:cs="Palatino Linotype"/>
          <w:sz w:val="22"/>
          <w:szCs w:val="22"/>
          <w:lang w:val="es-ES_tradnl"/>
        </w:rPr>
        <w:t xml:space="preserve">por la </w:t>
      </w:r>
      <w:r w:rsidRPr="00DD1A7B">
        <w:rPr>
          <w:rFonts w:ascii="Palatino Linotype" w:eastAsia="Palatino Linotype" w:hAnsi="Palatino Linotype" w:cs="Palatino Linotype"/>
          <w:sz w:val="22"/>
          <w:szCs w:val="22"/>
        </w:rPr>
        <w:t>Dirección de Protección Civil y Bomberos; por lo que, atendiendo que los particulares no son expertos en la materia, se deberá tener que el requerimiento versa en</w:t>
      </w:r>
      <w:r w:rsidR="001F4D4F" w:rsidRPr="00DD1A7B">
        <w:rPr>
          <w:rFonts w:ascii="Palatino Linotype" w:eastAsia="Palatino Linotype" w:hAnsi="Palatino Linotype" w:cs="Palatino Linotype"/>
          <w:sz w:val="22"/>
          <w:szCs w:val="22"/>
        </w:rPr>
        <w:t>:</w:t>
      </w:r>
      <w:r w:rsidR="001F4D4F" w:rsidRPr="00DD1A7B">
        <w:rPr>
          <w:rFonts w:ascii="Palatino Linotype" w:eastAsia="Palatino Linotype" w:hAnsi="Palatino Linotype" w:cs="Palatino Linotype"/>
          <w:b/>
          <w:sz w:val="22"/>
          <w:szCs w:val="22"/>
          <w:u w:val="single"/>
        </w:rPr>
        <w:t xml:space="preserve"> el número de valoraciones o dictámenes de riesgo </w:t>
      </w:r>
      <w:r w:rsidR="001F4D4F" w:rsidRPr="00DD1A7B">
        <w:rPr>
          <w:rFonts w:ascii="Palatino Linotype" w:eastAsia="Palatino Linotype" w:hAnsi="Palatino Linotype" w:cs="Palatino Linotype"/>
          <w:b/>
          <w:sz w:val="22"/>
          <w:szCs w:val="22"/>
          <w:u w:val="single"/>
          <w:lang w:val="es-ES_tradnl"/>
        </w:rPr>
        <w:t xml:space="preserve">para el derribo, poda o trasplante de árboles </w:t>
      </w:r>
      <w:r w:rsidR="001F4D4F" w:rsidRPr="00DD1A7B">
        <w:rPr>
          <w:rFonts w:ascii="Palatino Linotype" w:eastAsia="Palatino Linotype" w:hAnsi="Palatino Linotype" w:cs="Palatino Linotype"/>
          <w:b/>
          <w:sz w:val="22"/>
          <w:szCs w:val="22"/>
          <w:u w:val="single"/>
        </w:rPr>
        <w:t>en el ejercicio 2024.</w:t>
      </w:r>
    </w:p>
    <w:p w14:paraId="5532F748" w14:textId="77777777" w:rsidR="00DF7070" w:rsidRPr="00DD1A7B" w:rsidRDefault="00DF7070" w:rsidP="003505C0">
      <w:pPr>
        <w:spacing w:line="360" w:lineRule="auto"/>
        <w:jc w:val="both"/>
        <w:rPr>
          <w:rFonts w:ascii="Palatino Linotype" w:eastAsia="Palatino Linotype" w:hAnsi="Palatino Linotype" w:cs="Palatino Linotype"/>
          <w:sz w:val="22"/>
          <w:szCs w:val="22"/>
        </w:rPr>
      </w:pPr>
    </w:p>
    <w:p w14:paraId="36B8B4BC" w14:textId="228BACBA" w:rsidR="00A062D9" w:rsidRPr="00DD1A7B" w:rsidRDefault="001F4D4F"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R</w:t>
      </w:r>
      <w:r w:rsidR="00CC2930" w:rsidRPr="00DD1A7B">
        <w:rPr>
          <w:rFonts w:ascii="Palatino Linotype" w:eastAsia="Palatino Linotype" w:hAnsi="Palatino Linotype" w:cs="Palatino Linotype"/>
          <w:sz w:val="22"/>
          <w:szCs w:val="22"/>
        </w:rPr>
        <w:t xml:space="preserve">equerimiento </w:t>
      </w:r>
      <w:r w:rsidRPr="00DD1A7B">
        <w:rPr>
          <w:rFonts w:ascii="Palatino Linotype" w:eastAsia="Palatino Linotype" w:hAnsi="Palatino Linotype" w:cs="Palatino Linotype"/>
          <w:sz w:val="22"/>
          <w:szCs w:val="22"/>
        </w:rPr>
        <w:t xml:space="preserve">el anterior, </w:t>
      </w:r>
      <w:r w:rsidR="00A062D9" w:rsidRPr="00DD1A7B">
        <w:rPr>
          <w:rFonts w:ascii="Palatino Linotype" w:eastAsia="Palatino Linotype" w:hAnsi="Palatino Linotype" w:cs="Palatino Linotype"/>
          <w:sz w:val="22"/>
          <w:szCs w:val="22"/>
        </w:rPr>
        <w:t>que en términos generales corresponde a información estadística cuya naturaleza es pública.</w:t>
      </w:r>
    </w:p>
    <w:p w14:paraId="2DFAA715" w14:textId="77777777" w:rsidR="00A062D9" w:rsidRPr="00DD1A7B" w:rsidRDefault="00A062D9" w:rsidP="003505C0">
      <w:pPr>
        <w:spacing w:line="360" w:lineRule="auto"/>
        <w:jc w:val="both"/>
        <w:rPr>
          <w:rFonts w:ascii="Palatino Linotype" w:eastAsia="Palatino Linotype" w:hAnsi="Palatino Linotype" w:cs="Palatino Linotype"/>
          <w:sz w:val="22"/>
          <w:szCs w:val="22"/>
        </w:rPr>
      </w:pPr>
    </w:p>
    <w:p w14:paraId="20DDCD97" w14:textId="77777777" w:rsidR="00A062D9" w:rsidRPr="00DD1A7B" w:rsidRDefault="00A062D9" w:rsidP="00A062D9">
      <w:pPr>
        <w:pStyle w:val="NormalWeb"/>
        <w:spacing w:before="0" w:beforeAutospacing="0" w:after="0" w:afterAutospacing="0" w:line="360" w:lineRule="auto"/>
        <w:ind w:right="51"/>
        <w:jc w:val="both"/>
        <w:rPr>
          <w:rFonts w:ascii="Palatino Linotype" w:hAnsi="Palatino Linotype"/>
          <w:sz w:val="22"/>
          <w:szCs w:val="22"/>
        </w:rPr>
      </w:pPr>
      <w:r w:rsidRPr="00DD1A7B">
        <w:rPr>
          <w:rFonts w:ascii="Palatino Linotype" w:hAnsi="Palatino Linotype"/>
          <w:sz w:val="22"/>
          <w:szCs w:val="22"/>
        </w:rPr>
        <w:t>Sirve de apoyo a lo anterior, el Criterio orientador con clave de control SO/008/2023, emitido por el entonces Instituto Nacional de Transparencia y Acceso a la Información y Protección de Datos Personales, INAI, de rubro y texto siguientes:</w:t>
      </w:r>
    </w:p>
    <w:p w14:paraId="7824EBE6" w14:textId="77777777" w:rsidR="00A062D9" w:rsidRPr="00DD1A7B" w:rsidRDefault="00A062D9" w:rsidP="00A062D9">
      <w:pPr>
        <w:pStyle w:val="NormalWeb"/>
        <w:spacing w:before="0" w:beforeAutospacing="0" w:after="0" w:afterAutospacing="0" w:line="360" w:lineRule="auto"/>
        <w:ind w:right="51"/>
        <w:jc w:val="both"/>
        <w:rPr>
          <w:sz w:val="22"/>
          <w:szCs w:val="22"/>
        </w:rPr>
      </w:pPr>
    </w:p>
    <w:p w14:paraId="3B7AD2C9" w14:textId="77777777" w:rsidR="00A062D9" w:rsidRPr="00DD1A7B" w:rsidRDefault="00A062D9" w:rsidP="00A062D9">
      <w:pPr>
        <w:pStyle w:val="NormalWeb"/>
        <w:spacing w:before="0" w:beforeAutospacing="0" w:after="0" w:afterAutospacing="0" w:line="276" w:lineRule="auto"/>
        <w:ind w:left="851" w:right="900"/>
        <w:jc w:val="both"/>
        <w:rPr>
          <w:rFonts w:ascii="Palatino Linotype" w:hAnsi="Palatino Linotype"/>
          <w:i/>
          <w:iCs/>
          <w:sz w:val="22"/>
          <w:szCs w:val="22"/>
        </w:rPr>
      </w:pPr>
      <w:r w:rsidRPr="00DD1A7B">
        <w:rPr>
          <w:rFonts w:ascii="Palatino Linotype" w:hAnsi="Palatino Linotype"/>
          <w:i/>
          <w:iCs/>
          <w:sz w:val="22"/>
          <w:szCs w:val="22"/>
        </w:rPr>
        <w:t>“</w:t>
      </w:r>
      <w:r w:rsidRPr="00DD1A7B">
        <w:rPr>
          <w:rFonts w:ascii="Palatino Linotype" w:hAnsi="Palatino Linotype"/>
          <w:b/>
          <w:bCs/>
          <w:i/>
          <w:iCs/>
          <w:sz w:val="22"/>
          <w:szCs w:val="22"/>
        </w:rPr>
        <w:t xml:space="preserve">Ejercicio del derecho de Acceso a la Información Pública. La información estadística es de naturaleza pública, independientemente de la materia con la que se encuentre vinculada. </w:t>
      </w:r>
      <w:r w:rsidRPr="00DD1A7B">
        <w:rPr>
          <w:rFonts w:ascii="Palatino Linotype" w:hAnsi="Palatino Linotype"/>
          <w:i/>
          <w:iCs/>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DD1A7B">
        <w:rPr>
          <w:rFonts w:ascii="Palatino Linotype" w:hAnsi="Palatino Linotype"/>
          <w:b/>
          <w:bCs/>
          <w:i/>
          <w:iCs/>
          <w:sz w:val="22"/>
          <w:szCs w:val="22"/>
        </w:rPr>
        <w:t>los sujetos obligados deberán poner a disposición del público, entre otra, la relativa a la que con base en la información estadística</w:t>
      </w:r>
      <w:r w:rsidRPr="00DD1A7B">
        <w:rPr>
          <w:rFonts w:ascii="Palatino Linotype" w:hAnsi="Palatino Linotype"/>
          <w:i/>
          <w:iCs/>
          <w:sz w:val="22"/>
          <w:szCs w:val="22"/>
        </w:rPr>
        <w:t xml:space="preserve">, responda a las preguntas hechas con más frecuencia por el público, por lo que es posible afirmar que la información estadística es de naturaleza pública, </w:t>
      </w:r>
      <w:r w:rsidRPr="00DD1A7B">
        <w:rPr>
          <w:rFonts w:ascii="Palatino Linotype" w:hAnsi="Palatino Linotype"/>
          <w:b/>
          <w:bCs/>
          <w:i/>
          <w:iCs/>
          <w:sz w:val="22"/>
          <w:szCs w:val="22"/>
        </w:rPr>
        <w:t>siempre y cuando los datos estadísticos no se encuentren individualizados o personalizados a casos o situaciones específicas,</w:t>
      </w:r>
      <w:r w:rsidRPr="00DD1A7B">
        <w:rPr>
          <w:rFonts w:ascii="Palatino Linotype" w:hAnsi="Palatino Linotype"/>
          <w:i/>
          <w:iCs/>
          <w:sz w:val="22"/>
          <w:szCs w:val="22"/>
        </w:rPr>
        <w:t xml:space="preserve"> que pudieran llegar a justificar su clasificación.”</w:t>
      </w:r>
    </w:p>
    <w:p w14:paraId="7BCDCA7B" w14:textId="77777777" w:rsidR="00A062D9" w:rsidRPr="00DD1A7B" w:rsidRDefault="00A062D9" w:rsidP="003505C0">
      <w:pPr>
        <w:spacing w:line="360" w:lineRule="auto"/>
        <w:jc w:val="both"/>
        <w:rPr>
          <w:rFonts w:ascii="Palatino Linotype" w:eastAsia="Palatino Linotype" w:hAnsi="Palatino Linotype" w:cs="Palatino Linotype"/>
          <w:sz w:val="22"/>
          <w:szCs w:val="22"/>
        </w:rPr>
      </w:pPr>
    </w:p>
    <w:p w14:paraId="5792CADD" w14:textId="2BE4F7C7" w:rsidR="00CC2930" w:rsidRPr="00DD1A7B" w:rsidRDefault="00A062D9"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No obstante, del análisis a la respuesta se desprende que</w:t>
      </w:r>
      <w:r w:rsidR="00CC2930" w:rsidRPr="00DD1A7B">
        <w:rPr>
          <w:rFonts w:ascii="Palatino Linotype" w:eastAsia="Palatino Linotype" w:hAnsi="Palatino Linotype" w:cs="Palatino Linotype"/>
          <w:sz w:val="22"/>
          <w:szCs w:val="22"/>
        </w:rPr>
        <w:t xml:space="preserve"> la </w:t>
      </w:r>
      <w:r w:rsidR="00016D4B" w:rsidRPr="00DD1A7B">
        <w:rPr>
          <w:rFonts w:ascii="Palatino Linotype" w:eastAsia="Palatino Linotype" w:hAnsi="Palatino Linotype" w:cs="Palatino Linotype"/>
          <w:sz w:val="22"/>
          <w:szCs w:val="22"/>
        </w:rPr>
        <w:t xml:space="preserve">actual </w:t>
      </w:r>
      <w:r w:rsidR="00CC2930" w:rsidRPr="00DD1A7B">
        <w:rPr>
          <w:rFonts w:ascii="Palatino Linotype" w:eastAsia="Palatino Linotype" w:hAnsi="Palatino Linotype" w:cs="Palatino Linotype"/>
          <w:sz w:val="22"/>
          <w:szCs w:val="22"/>
        </w:rPr>
        <w:t>Direct</w:t>
      </w:r>
      <w:r w:rsidR="00317A26" w:rsidRPr="00DD1A7B">
        <w:rPr>
          <w:rFonts w:ascii="Palatino Linotype" w:eastAsia="Palatino Linotype" w:hAnsi="Palatino Linotype" w:cs="Palatino Linotype"/>
          <w:sz w:val="22"/>
          <w:szCs w:val="22"/>
        </w:rPr>
        <w:t>ora de Medio Ambiente y Ecología,</w:t>
      </w:r>
      <w:r w:rsidR="00CC2930" w:rsidRPr="00DD1A7B">
        <w:rPr>
          <w:rFonts w:ascii="Palatino Linotype" w:eastAsia="Palatino Linotype" w:hAnsi="Palatino Linotype" w:cs="Palatino Linotype"/>
          <w:sz w:val="22"/>
          <w:szCs w:val="22"/>
        </w:rPr>
        <w:t xml:space="preserve"> indic</w:t>
      </w:r>
      <w:r w:rsidRPr="00DD1A7B">
        <w:rPr>
          <w:rFonts w:ascii="Palatino Linotype" w:eastAsia="Palatino Linotype" w:hAnsi="Palatino Linotype" w:cs="Palatino Linotype"/>
          <w:sz w:val="22"/>
          <w:szCs w:val="22"/>
        </w:rPr>
        <w:t>ó</w:t>
      </w:r>
      <w:r w:rsidR="00CC2930" w:rsidRPr="00DD1A7B">
        <w:rPr>
          <w:rFonts w:ascii="Palatino Linotype" w:eastAsia="Palatino Linotype" w:hAnsi="Palatino Linotype" w:cs="Palatino Linotype"/>
          <w:sz w:val="22"/>
          <w:szCs w:val="22"/>
        </w:rPr>
        <w:t xml:space="preserve"> </w:t>
      </w:r>
      <w:r w:rsidR="00016D4B" w:rsidRPr="00DD1A7B">
        <w:rPr>
          <w:rFonts w:ascii="Palatino Linotype" w:eastAsia="Palatino Linotype" w:hAnsi="Palatino Linotype" w:cs="Palatino Linotype"/>
          <w:sz w:val="22"/>
          <w:szCs w:val="22"/>
        </w:rPr>
        <w:t xml:space="preserve">medularmente que al momento de recibir la dependencia, la administración saliente no hizo entrega de ningún expediente del año 2024 y anteriores; y, por lo tanto, dicha Dirección se ve imposibilitada en emitir una respuesta, y para efecto de sustentar su dicho adjuntó de un oficio a través del cual dicha servidora pública hizo del conocimiento del </w:t>
      </w:r>
      <w:r w:rsidR="00016D4B" w:rsidRPr="00DD1A7B">
        <w:rPr>
          <w:rFonts w:ascii="Palatino Linotype" w:eastAsia="Palatino Linotype" w:hAnsi="Palatino Linotype" w:cs="Palatino Linotype"/>
          <w:bCs/>
          <w:sz w:val="22"/>
          <w:szCs w:val="22"/>
          <w:lang w:val="es-ES_tradnl"/>
        </w:rPr>
        <w:t xml:space="preserve">Contralor Interno Municipal las irregularidades advertidas del proceso </w:t>
      </w:r>
      <w:r w:rsidR="00795D5F" w:rsidRPr="00DD1A7B">
        <w:rPr>
          <w:rFonts w:ascii="Palatino Linotype" w:eastAsia="Palatino Linotype" w:hAnsi="Palatino Linotype" w:cs="Palatino Linotype"/>
          <w:bCs/>
          <w:sz w:val="22"/>
          <w:szCs w:val="22"/>
          <w:lang w:val="es-ES_tradnl"/>
        </w:rPr>
        <w:t>de</w:t>
      </w:r>
      <w:r w:rsidR="00016D4B" w:rsidRPr="00DD1A7B">
        <w:rPr>
          <w:rFonts w:ascii="Palatino Linotype" w:eastAsia="Palatino Linotype" w:hAnsi="Palatino Linotype" w:cs="Palatino Linotype"/>
          <w:bCs/>
          <w:sz w:val="22"/>
          <w:szCs w:val="22"/>
          <w:lang w:val="es-ES_tradnl"/>
        </w:rPr>
        <w:t xml:space="preserve"> entrega recepción de la anterior titular de dicha Dirección, </w:t>
      </w:r>
      <w:r w:rsidR="00016D4B" w:rsidRPr="00DD1A7B">
        <w:rPr>
          <w:rFonts w:ascii="Palatino Linotype" w:eastAsia="Palatino Linotype" w:hAnsi="Palatino Linotype" w:cs="Palatino Linotype"/>
          <w:sz w:val="22"/>
          <w:szCs w:val="22"/>
          <w:lang w:val="es-ES_tradnl"/>
        </w:rPr>
        <w:t xml:space="preserve">como lo fue la </w:t>
      </w:r>
      <w:r w:rsidR="00016D4B" w:rsidRPr="00DD1A7B">
        <w:rPr>
          <w:rFonts w:ascii="Palatino Linotype" w:eastAsia="Palatino Linotype" w:hAnsi="Palatino Linotype" w:cs="Palatino Linotype"/>
          <w:bCs/>
          <w:sz w:val="22"/>
          <w:szCs w:val="22"/>
          <w:lang w:val="es-ES_tradnl"/>
        </w:rPr>
        <w:t>falta de entrega de determinada información.</w:t>
      </w:r>
    </w:p>
    <w:p w14:paraId="357D7819" w14:textId="77777777" w:rsidR="00CC2930" w:rsidRPr="00DD1A7B" w:rsidRDefault="00CC2930" w:rsidP="003505C0">
      <w:pPr>
        <w:spacing w:line="360" w:lineRule="auto"/>
        <w:jc w:val="both"/>
        <w:rPr>
          <w:rFonts w:ascii="Palatino Linotype" w:eastAsia="Palatino Linotype" w:hAnsi="Palatino Linotype" w:cs="Palatino Linotype"/>
          <w:sz w:val="22"/>
          <w:szCs w:val="22"/>
        </w:rPr>
      </w:pPr>
    </w:p>
    <w:p w14:paraId="2529E73C" w14:textId="5B1AF22C" w:rsidR="00016D4B" w:rsidRPr="00DD1A7B" w:rsidRDefault="00A062D9"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Situación la anterior que fue ratificada mediante informe justificado, adjuntando para tal efecto el Acta de la Vigésima Primera Sesión Extraordinaria celebrada el 23 de julio de 2025, a través de la cual bajo el punto cinco del orden del día, se emitió la declaratoria de inexistencia de la información relacionada con el recurso de revisión que nos ocupa, bajo los siguientes argumentos:</w:t>
      </w:r>
    </w:p>
    <w:p w14:paraId="5398AEB4" w14:textId="77777777" w:rsidR="00016D4B" w:rsidRPr="00DD1A7B" w:rsidRDefault="00016D4B" w:rsidP="003505C0">
      <w:pPr>
        <w:spacing w:line="360" w:lineRule="auto"/>
        <w:jc w:val="both"/>
        <w:rPr>
          <w:rFonts w:ascii="Palatino Linotype" w:eastAsia="Palatino Linotype" w:hAnsi="Palatino Linotype" w:cs="Palatino Linotype"/>
          <w:sz w:val="22"/>
          <w:szCs w:val="22"/>
        </w:rPr>
      </w:pPr>
    </w:p>
    <w:p w14:paraId="23731B4A" w14:textId="2135F510" w:rsidR="00016D4B" w:rsidRPr="00DD1A7B" w:rsidRDefault="00A062D9" w:rsidP="003505C0">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noProof/>
          <w:sz w:val="22"/>
          <w:szCs w:val="22"/>
        </w:rPr>
        <w:drawing>
          <wp:inline distT="0" distB="0" distL="0" distR="0" wp14:anchorId="2E0738C9" wp14:editId="639A2993">
            <wp:extent cx="5612130" cy="1743075"/>
            <wp:effectExtent l="19050" t="19050" r="2667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1107"/>
                    <a:stretch/>
                  </pic:blipFill>
                  <pic:spPr bwMode="auto">
                    <a:xfrm>
                      <a:off x="0" y="0"/>
                      <a:ext cx="5612130" cy="17430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1EAAEF1" w14:textId="77777777" w:rsidR="00016D4B" w:rsidRPr="00DD1A7B" w:rsidRDefault="00016D4B" w:rsidP="003505C0">
      <w:pPr>
        <w:spacing w:line="360" w:lineRule="auto"/>
        <w:jc w:val="both"/>
        <w:rPr>
          <w:rFonts w:ascii="Palatino Linotype" w:eastAsia="Palatino Linotype" w:hAnsi="Palatino Linotype" w:cs="Palatino Linotype"/>
          <w:sz w:val="22"/>
          <w:szCs w:val="22"/>
        </w:rPr>
      </w:pPr>
    </w:p>
    <w:p w14:paraId="2C39D3A8" w14:textId="58DC4A86" w:rsidR="00795D5F" w:rsidRPr="00DD1A7B" w:rsidRDefault="00795D5F" w:rsidP="000E7152">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Conforme lo anterior, se desprende que el área competente, esto es la Dirección de Medio Ambiente y Ecología, no negó su competencia para conocer de lo requerido, sino que derivado del acto entrega recepción de la anterior Titular de dicha dependencia, se señaló una imposibilidad en proporcionar lo requerido ya que los expedientes del ejercicio 2024, donde podría obrar lo peticionado no le fueron entregados; procedimiento a la emisión de la declaratoria de inexistencia por parte del Comité de Transparencia.</w:t>
      </w:r>
    </w:p>
    <w:p w14:paraId="4179930C" w14:textId="77777777" w:rsidR="00795D5F" w:rsidRPr="00DD1A7B" w:rsidRDefault="00795D5F" w:rsidP="000E7152">
      <w:pPr>
        <w:spacing w:line="360" w:lineRule="auto"/>
        <w:jc w:val="both"/>
        <w:rPr>
          <w:rFonts w:ascii="Palatino Linotype" w:eastAsia="Palatino Linotype" w:hAnsi="Palatino Linotype" w:cs="Palatino Linotype"/>
          <w:sz w:val="22"/>
          <w:szCs w:val="22"/>
        </w:rPr>
      </w:pPr>
    </w:p>
    <w:p w14:paraId="4E46308C" w14:textId="3D0E04C5" w:rsidR="000E7152" w:rsidRPr="00DD1A7B" w:rsidRDefault="000E7152" w:rsidP="000E7152">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En tal caso, debe precisarse que la declaratoria formal de la inexistencia debe realizarse en términos de lo que señala el artículo 19, tercer párrafo, 49, fracciones II y XIII; 169 y 170 de la Ley de Transparencia y Acceso a la Información Pública del Estado de México y Municipios, que disponen lo siguiente:</w:t>
      </w:r>
    </w:p>
    <w:p w14:paraId="75C14E36" w14:textId="77777777" w:rsidR="000E7152" w:rsidRPr="00DD1A7B" w:rsidRDefault="000E7152" w:rsidP="000E7152">
      <w:pPr>
        <w:ind w:left="851" w:right="902"/>
        <w:jc w:val="both"/>
        <w:rPr>
          <w:rFonts w:ascii="Palatino Linotype" w:eastAsia="Palatino Linotype" w:hAnsi="Palatino Linotype" w:cs="Palatino Linotype"/>
          <w:i/>
          <w:sz w:val="22"/>
          <w:szCs w:val="22"/>
        </w:rPr>
      </w:pPr>
    </w:p>
    <w:p w14:paraId="13E26847"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w:t>
      </w:r>
      <w:r w:rsidRPr="00DD1A7B">
        <w:rPr>
          <w:rFonts w:ascii="Palatino Linotype" w:eastAsia="Palatino Linotype" w:hAnsi="Palatino Linotype" w:cs="Palatino Linotype"/>
          <w:b/>
          <w:i/>
          <w:sz w:val="22"/>
          <w:szCs w:val="22"/>
        </w:rPr>
        <w:t>Artículo 19.</w:t>
      </w:r>
      <w:r w:rsidRPr="00DD1A7B">
        <w:rPr>
          <w:rFonts w:ascii="Palatino Linotype" w:eastAsia="Palatino Linotype" w:hAnsi="Palatino Linotype" w:cs="Palatino Linotype"/>
          <w:i/>
          <w:sz w:val="22"/>
          <w:szCs w:val="22"/>
        </w:rPr>
        <w:t xml:space="preserve"> (…)</w:t>
      </w:r>
    </w:p>
    <w:p w14:paraId="6FC72C9A"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DD1A7B">
        <w:rPr>
          <w:rFonts w:ascii="Palatino Linotype" w:eastAsia="Palatino Linotype" w:hAnsi="Palatino Linotype" w:cs="Palatino Linotype"/>
          <w:i/>
          <w:sz w:val="22"/>
          <w:szCs w:val="22"/>
        </w:rPr>
        <w:t>, debidamente fundado y motivado, en el que detalle las razones del por qué no obra en sus archivos.”</w:t>
      </w:r>
    </w:p>
    <w:p w14:paraId="470714B8"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w:t>
      </w:r>
      <w:r w:rsidRPr="00DD1A7B">
        <w:rPr>
          <w:rFonts w:ascii="Palatino Linotype" w:eastAsia="Palatino Linotype" w:hAnsi="Palatino Linotype" w:cs="Palatino Linotype"/>
          <w:b/>
          <w:i/>
          <w:sz w:val="22"/>
          <w:szCs w:val="22"/>
        </w:rPr>
        <w:t>Artículo 49.</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Los Comités de Transparencia</w:t>
      </w:r>
      <w:r w:rsidRPr="00DD1A7B">
        <w:rPr>
          <w:rFonts w:ascii="Palatino Linotype" w:eastAsia="Palatino Linotype" w:hAnsi="Palatino Linotype" w:cs="Palatino Linotype"/>
          <w:i/>
          <w:sz w:val="22"/>
          <w:szCs w:val="22"/>
        </w:rPr>
        <w:t xml:space="preserve"> tendrán las siguientes </w:t>
      </w:r>
      <w:r w:rsidRPr="00DD1A7B">
        <w:rPr>
          <w:rFonts w:ascii="Palatino Linotype" w:eastAsia="Palatino Linotype" w:hAnsi="Palatino Linotype" w:cs="Palatino Linotype"/>
          <w:b/>
          <w:i/>
          <w:sz w:val="22"/>
          <w:szCs w:val="22"/>
        </w:rPr>
        <w:t>atribuciones</w:t>
      </w:r>
      <w:r w:rsidRPr="00DD1A7B">
        <w:rPr>
          <w:rFonts w:ascii="Palatino Linotype" w:eastAsia="Palatino Linotype" w:hAnsi="Palatino Linotype" w:cs="Palatino Linotype"/>
          <w:i/>
          <w:sz w:val="22"/>
          <w:szCs w:val="22"/>
        </w:rPr>
        <w:t>:</w:t>
      </w:r>
    </w:p>
    <w:p w14:paraId="75B2AB96"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II.</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Confirmar, modificar o revocar las determinaciones que en materia de</w:t>
      </w:r>
      <w:r w:rsidRPr="00DD1A7B">
        <w:rPr>
          <w:rFonts w:ascii="Palatino Linotype" w:eastAsia="Palatino Linotype" w:hAnsi="Palatino Linotype" w:cs="Palatino Linotype"/>
          <w:i/>
          <w:sz w:val="22"/>
          <w:szCs w:val="22"/>
        </w:rPr>
        <w:t xml:space="preserve"> ampliación del plazo de respuesta, clasificación de la información y </w:t>
      </w:r>
      <w:r w:rsidRPr="00DD1A7B">
        <w:rPr>
          <w:rFonts w:ascii="Palatino Linotype" w:eastAsia="Palatino Linotype" w:hAnsi="Palatino Linotype" w:cs="Palatino Linotype"/>
          <w:b/>
          <w:i/>
          <w:sz w:val="22"/>
          <w:szCs w:val="22"/>
        </w:rPr>
        <w:t>declaración de inexistencia</w:t>
      </w:r>
      <w:r w:rsidRPr="00DD1A7B">
        <w:rPr>
          <w:rFonts w:ascii="Palatino Linotype" w:eastAsia="Palatino Linotype" w:hAnsi="Palatino Linotype" w:cs="Palatino Linotype"/>
          <w:i/>
          <w:sz w:val="22"/>
          <w:szCs w:val="22"/>
        </w:rPr>
        <w:t xml:space="preserve"> o de incompetencia realicen los titulares de las áreas de los sujetos obligados;</w:t>
      </w:r>
    </w:p>
    <w:p w14:paraId="626D840A"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XIII.</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Dictaminar las declaratorias de inexistencia de la información</w:t>
      </w:r>
      <w:r w:rsidRPr="00DD1A7B">
        <w:rPr>
          <w:rFonts w:ascii="Palatino Linotype" w:eastAsia="Palatino Linotype" w:hAnsi="Palatino Linotype" w:cs="Palatino Linotype"/>
          <w:i/>
          <w:sz w:val="22"/>
          <w:szCs w:val="22"/>
        </w:rPr>
        <w:t xml:space="preserve"> que les remitan las unidades administrativas y resolver en consecuencia…”</w:t>
      </w:r>
    </w:p>
    <w:p w14:paraId="1E6F58DD"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w:t>
      </w:r>
      <w:r w:rsidRPr="00DD1A7B">
        <w:rPr>
          <w:rFonts w:ascii="Palatino Linotype" w:eastAsia="Palatino Linotype" w:hAnsi="Palatino Linotype" w:cs="Palatino Linotype"/>
          <w:b/>
          <w:i/>
          <w:sz w:val="22"/>
          <w:szCs w:val="22"/>
        </w:rPr>
        <w:t>Artículo 169</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Cuando la información no se encuentre en los archivos del sujeto obligado, el Comité de Transparencia</w:t>
      </w:r>
      <w:r w:rsidRPr="00DD1A7B">
        <w:rPr>
          <w:rFonts w:ascii="Palatino Linotype" w:eastAsia="Palatino Linotype" w:hAnsi="Palatino Linotype" w:cs="Palatino Linotype"/>
          <w:i/>
          <w:sz w:val="22"/>
          <w:szCs w:val="22"/>
        </w:rPr>
        <w:t xml:space="preserve">: </w:t>
      </w:r>
    </w:p>
    <w:p w14:paraId="30B0D8F9"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I.</w:t>
      </w:r>
      <w:r w:rsidRPr="00DD1A7B">
        <w:rPr>
          <w:rFonts w:ascii="Palatino Linotype" w:eastAsia="Palatino Linotype" w:hAnsi="Palatino Linotype" w:cs="Palatino Linotype"/>
          <w:i/>
          <w:sz w:val="22"/>
          <w:szCs w:val="22"/>
        </w:rPr>
        <w:t xml:space="preserve"> Analizará el caso y tomará las medidas necesarias para localizar la información; </w:t>
      </w:r>
    </w:p>
    <w:p w14:paraId="0B809543"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II.</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Expedirá una resolución que confirme la inexistencia del documento</w:t>
      </w:r>
      <w:r w:rsidRPr="00DD1A7B">
        <w:rPr>
          <w:rFonts w:ascii="Palatino Linotype" w:eastAsia="Palatino Linotype" w:hAnsi="Palatino Linotype" w:cs="Palatino Linotype"/>
          <w:i/>
          <w:sz w:val="22"/>
          <w:szCs w:val="22"/>
        </w:rPr>
        <w:t xml:space="preserve">; </w:t>
      </w:r>
    </w:p>
    <w:p w14:paraId="5EEAE5C8"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III</w:t>
      </w:r>
      <w:r w:rsidRPr="00DD1A7B">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47E1D91"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b/>
          <w:i/>
          <w:sz w:val="22"/>
          <w:szCs w:val="22"/>
        </w:rPr>
        <w:t xml:space="preserve">IV. </w:t>
      </w:r>
      <w:r w:rsidRPr="00DD1A7B">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254143CE"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53D300B0"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0CE4B62"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r w:rsidRPr="00DD1A7B">
        <w:rPr>
          <w:rFonts w:ascii="Palatino Linotype" w:eastAsia="Palatino Linotype" w:hAnsi="Palatino Linotype" w:cs="Palatino Linotype"/>
          <w:i/>
          <w:sz w:val="22"/>
          <w:szCs w:val="22"/>
        </w:rPr>
        <w:t>“</w:t>
      </w:r>
      <w:r w:rsidRPr="00DD1A7B">
        <w:rPr>
          <w:rFonts w:ascii="Palatino Linotype" w:eastAsia="Palatino Linotype" w:hAnsi="Palatino Linotype" w:cs="Palatino Linotype"/>
          <w:b/>
          <w:i/>
          <w:sz w:val="22"/>
          <w:szCs w:val="22"/>
        </w:rPr>
        <w:t>Artículo 170.</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DD1A7B">
        <w:rPr>
          <w:rFonts w:ascii="Palatino Linotype" w:eastAsia="Palatino Linotype" w:hAnsi="Palatino Linotype" w:cs="Palatino Linotype"/>
          <w:i/>
          <w:sz w:val="22"/>
          <w:szCs w:val="22"/>
        </w:rPr>
        <w:t xml:space="preserve"> </w:t>
      </w:r>
      <w:r w:rsidRPr="00DD1A7B">
        <w:rPr>
          <w:rFonts w:ascii="Palatino Linotype" w:eastAsia="Palatino Linotype" w:hAnsi="Palatino Linotype" w:cs="Palatino Linotype"/>
          <w:b/>
          <w:i/>
          <w:sz w:val="22"/>
          <w:szCs w:val="22"/>
        </w:rPr>
        <w:t>que permitan al solicitante tener la certeza de que se utilizó un criterio de búsqueda exhaustivo</w:t>
      </w:r>
      <w:r w:rsidRPr="00DD1A7B">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652EDA92" w14:textId="77777777" w:rsidR="000E7152" w:rsidRPr="00DD1A7B" w:rsidRDefault="000E7152" w:rsidP="000E7152">
      <w:pPr>
        <w:spacing w:line="276" w:lineRule="auto"/>
        <w:ind w:left="851" w:right="616"/>
        <w:jc w:val="both"/>
        <w:rPr>
          <w:rFonts w:ascii="Palatino Linotype" w:eastAsia="Palatino Linotype" w:hAnsi="Palatino Linotype" w:cs="Palatino Linotype"/>
          <w:i/>
          <w:sz w:val="22"/>
          <w:szCs w:val="22"/>
        </w:rPr>
      </w:pPr>
    </w:p>
    <w:p w14:paraId="5184096D" w14:textId="54527C9E" w:rsidR="000E7152" w:rsidRPr="00DD1A7B" w:rsidRDefault="000E7152" w:rsidP="000E7152">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De lo anterior, se aprecia que, para la emisión del Acuerdo de Inexistencia este debe dar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 o bien, por alguna circunstancia no obran en los archivos del ente obligado.</w:t>
      </w:r>
    </w:p>
    <w:p w14:paraId="1623E44D" w14:textId="77777777" w:rsidR="00795D5F" w:rsidRPr="00DD1A7B" w:rsidRDefault="00795D5F" w:rsidP="000E7152">
      <w:pPr>
        <w:spacing w:line="360" w:lineRule="auto"/>
        <w:jc w:val="both"/>
        <w:rPr>
          <w:rFonts w:ascii="Palatino Linotype" w:eastAsia="Palatino Linotype" w:hAnsi="Palatino Linotype" w:cs="Palatino Linotype"/>
          <w:sz w:val="22"/>
          <w:szCs w:val="22"/>
        </w:rPr>
      </w:pPr>
    </w:p>
    <w:p w14:paraId="3B426B80" w14:textId="5D4E7D02" w:rsidR="00795D5F" w:rsidRPr="00DD1A7B" w:rsidRDefault="00795D5F" w:rsidP="00795D5F">
      <w:pPr>
        <w:spacing w:line="360" w:lineRule="auto"/>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Por tanto, resulta necesario analizar el contenido del acuerdo que contiene la declaratoria de inexistencia remitido en informe justificado, a fin de establecer si el Comité de Transparencia cumplió cabalmente con las formalidades exigidas por la Ley General de Transparencia y Acceso a la Información Pública,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7E22CF0F" w14:textId="77777777" w:rsidR="00795D5F" w:rsidRPr="00DD1A7B" w:rsidRDefault="00795D5F" w:rsidP="00795D5F">
      <w:pPr>
        <w:spacing w:line="360" w:lineRule="auto"/>
        <w:jc w:val="both"/>
        <w:rPr>
          <w:rFonts w:ascii="Palatino Linotype" w:eastAsia="Palatino Linotype" w:hAnsi="Palatino Linotype" w:cs="Palatino Linotype"/>
          <w:sz w:val="22"/>
        </w:rPr>
      </w:pPr>
    </w:p>
    <w:p w14:paraId="186E702F"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r w:rsidRPr="00DD1A7B">
        <w:rPr>
          <w:rFonts w:ascii="Palatino Linotype" w:eastAsia="Palatino Linotype" w:hAnsi="Palatino Linotype" w:cs="Palatino Linotype"/>
          <w:i/>
          <w:sz w:val="22"/>
        </w:rPr>
        <w:t>“</w:t>
      </w:r>
      <w:r w:rsidRPr="00DD1A7B">
        <w:rPr>
          <w:rFonts w:ascii="Palatino Linotype" w:eastAsia="Palatino Linotype" w:hAnsi="Palatino Linotype" w:cs="Palatino Linotype"/>
          <w:b/>
          <w:i/>
          <w:sz w:val="22"/>
        </w:rPr>
        <w:t>CRITERIO 0003-11 INEXISTENCIA, CONCEPTO DE, EN MATERIA DE TRANSPARENCIA</w:t>
      </w:r>
      <w:r w:rsidRPr="00DD1A7B">
        <w:rPr>
          <w:rFonts w:ascii="Palatino Linotype" w:eastAsia="Palatino Linotype" w:hAnsi="Palatino Linotype" w:cs="Palatino Linotype"/>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 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r w:rsidRPr="00DD1A7B">
        <w:rPr>
          <w:rFonts w:ascii="Palatino Linotype" w:eastAsia="Palatino Linotype" w:hAnsi="Palatino Linotype" w:cs="Palatino Linotype"/>
          <w:i/>
          <w:sz w:val="22"/>
        </w:rPr>
        <w:br/>
        <w:t xml:space="preserve">b) En los casos en que por las atribuciones conferidas al Sujeto Obligado éste debió generar, administrar o poseer la información, pero en incumplimiento a la normatividad respectiva no llevó a cabo ninguna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 </w:t>
      </w:r>
    </w:p>
    <w:p w14:paraId="5FD266C1"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p>
    <w:p w14:paraId="25BCF659"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r w:rsidRPr="00DD1A7B">
        <w:rPr>
          <w:rFonts w:ascii="Palatino Linotype" w:eastAsia="Palatino Linotype" w:hAnsi="Palatino Linotype" w:cs="Palatino Linotype"/>
          <w:i/>
          <w:sz w:val="22"/>
        </w:rPr>
        <w:t xml:space="preserve">CRITERIO 0004-11 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D436DF3"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r w:rsidRPr="00DD1A7B">
        <w:rPr>
          <w:rFonts w:ascii="Palatino Linotype" w:eastAsia="Palatino Linotype" w:hAnsi="Palatino Linotype" w:cs="Palatino Linotype"/>
          <w:i/>
          <w:sz w:val="22"/>
        </w:rPr>
        <w:t>Bajo el entendido de que dicha búsqueda exhaustiva permitirá dos determinaciones:</w:t>
      </w:r>
    </w:p>
    <w:p w14:paraId="7EDDF743"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r w:rsidRPr="00DD1A7B">
        <w:rPr>
          <w:rFonts w:ascii="Palatino Linotype" w:eastAsia="Palatino Linotype" w:hAnsi="Palatino Linotype" w:cs="Palatino Linotype"/>
          <w:i/>
          <w:sz w:val="22"/>
        </w:rPr>
        <w:t xml:space="preserve"> 1ª) Que se localice la documentación que contenga la información solicitada y de ser así la información pueda entregarse al solicitante en la forma en que se encuentra disponible, o 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463CC70"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p>
    <w:p w14:paraId="23A6AB59" w14:textId="77777777" w:rsidR="00795D5F" w:rsidRPr="00DD1A7B" w:rsidRDefault="00795D5F" w:rsidP="00795D5F">
      <w:pPr>
        <w:spacing w:line="276" w:lineRule="auto"/>
        <w:ind w:left="851" w:right="560"/>
        <w:jc w:val="both"/>
        <w:rPr>
          <w:rFonts w:ascii="Palatino Linotype" w:eastAsia="Palatino Linotype" w:hAnsi="Palatino Linotype" w:cs="Palatino Linotype"/>
          <w:i/>
          <w:sz w:val="22"/>
        </w:rPr>
      </w:pPr>
      <w:r w:rsidRPr="00DD1A7B">
        <w:rPr>
          <w:rFonts w:ascii="Palatino Linotype" w:eastAsia="Palatino Linotype" w:hAnsi="Palatino Linotype" w:cs="Palatino Linotype"/>
          <w:i/>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w:t>
      </w:r>
    </w:p>
    <w:p w14:paraId="4C0833D2" w14:textId="77777777" w:rsidR="00795D5F" w:rsidRPr="00DD1A7B" w:rsidRDefault="00795D5F" w:rsidP="00795D5F">
      <w:pPr>
        <w:ind w:left="567" w:right="560"/>
        <w:jc w:val="both"/>
        <w:rPr>
          <w:rFonts w:ascii="Palatino Linotype" w:eastAsia="Palatino Linotype" w:hAnsi="Palatino Linotype" w:cs="Palatino Linotype"/>
          <w:i/>
          <w:sz w:val="22"/>
        </w:rPr>
      </w:pPr>
    </w:p>
    <w:p w14:paraId="71B8EBDC" w14:textId="5044B5E6" w:rsidR="00795D5F" w:rsidRPr="00DD1A7B" w:rsidRDefault="00795D5F" w:rsidP="00795D5F">
      <w:pP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 xml:space="preserve">En consecuencia, </w:t>
      </w:r>
      <w:r w:rsidR="00C86374" w:rsidRPr="00DD1A7B">
        <w:rPr>
          <w:rFonts w:ascii="Palatino Linotype" w:eastAsia="Palatino Linotype" w:hAnsi="Palatino Linotype" w:cs="Palatino Linotype"/>
          <w:sz w:val="22"/>
        </w:rPr>
        <w:t xml:space="preserve">se insiste que </w:t>
      </w:r>
      <w:r w:rsidRPr="00DD1A7B">
        <w:rPr>
          <w:rFonts w:ascii="Palatino Linotype" w:eastAsia="Palatino Linotype" w:hAnsi="Palatino Linotype" w:cs="Palatino Linotype"/>
          <w:sz w:val="22"/>
        </w:rPr>
        <w:t xml:space="preserve">el Comité de Transparencia debe emitir el correspondiente Acuerdo de Inexistencia de la Información y notificarlo al </w:t>
      </w:r>
      <w:r w:rsidRPr="00DD1A7B">
        <w:rPr>
          <w:rFonts w:ascii="Palatino Linotype" w:eastAsia="Palatino Linotype" w:hAnsi="Palatino Linotype" w:cs="Palatino Linotype"/>
          <w:b/>
          <w:sz w:val="22"/>
        </w:rPr>
        <w:t>Recurrente</w:t>
      </w:r>
      <w:r w:rsidRPr="00DD1A7B">
        <w:rPr>
          <w:rFonts w:ascii="Palatino Linotype" w:eastAsia="Palatino Linotype" w:hAnsi="Palatino Linotype" w:cs="Palatino Linotype"/>
          <w:sz w:val="22"/>
        </w:rPr>
        <w:t xml:space="preserve">, </w:t>
      </w:r>
      <w:r w:rsidR="00C86374" w:rsidRPr="00DD1A7B">
        <w:rPr>
          <w:rFonts w:ascii="Palatino Linotype" w:eastAsia="Palatino Linotype" w:hAnsi="Palatino Linotype" w:cs="Palatino Linotype"/>
          <w:sz w:val="22"/>
        </w:rPr>
        <w:t>debiendo</w:t>
      </w:r>
      <w:r w:rsidRPr="00DD1A7B">
        <w:rPr>
          <w:rFonts w:ascii="Palatino Linotype" w:eastAsia="Palatino Linotype" w:hAnsi="Palatino Linotype" w:cs="Palatino Linotype"/>
          <w:sz w:val="22"/>
        </w:rPr>
        <w:t xml:space="preserve">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14:paraId="5E3D3854" w14:textId="77777777" w:rsidR="00795D5F" w:rsidRPr="00DD1A7B" w:rsidRDefault="00795D5F" w:rsidP="00795D5F">
      <w:pPr>
        <w:spacing w:line="360" w:lineRule="auto"/>
        <w:ind w:right="-7"/>
        <w:jc w:val="both"/>
        <w:rPr>
          <w:rFonts w:ascii="Palatino Linotype" w:eastAsia="Palatino Linotype" w:hAnsi="Palatino Linotype" w:cs="Palatino Linotype"/>
          <w:sz w:val="22"/>
        </w:rPr>
      </w:pPr>
    </w:p>
    <w:p w14:paraId="6DA6CD73" w14:textId="77777777" w:rsidR="00795D5F" w:rsidRPr="00DD1A7B" w:rsidRDefault="00795D5F" w:rsidP="00795D5F">
      <w:pP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 xml:space="preserve">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 además de cumplir con distintos criterios de forma. </w:t>
      </w:r>
    </w:p>
    <w:p w14:paraId="332493F0" w14:textId="77777777" w:rsidR="00795D5F" w:rsidRPr="00DD1A7B" w:rsidRDefault="00795D5F" w:rsidP="00795D5F">
      <w:pPr>
        <w:spacing w:line="360" w:lineRule="auto"/>
        <w:ind w:right="-7"/>
        <w:jc w:val="both"/>
        <w:rPr>
          <w:rFonts w:ascii="Palatino Linotype" w:eastAsia="Palatino Linotype" w:hAnsi="Palatino Linotype" w:cs="Palatino Linotype"/>
          <w:sz w:val="22"/>
        </w:rPr>
      </w:pPr>
    </w:p>
    <w:p w14:paraId="1D4C2C0A" w14:textId="77777777" w:rsidR="00795D5F" w:rsidRPr="00DD1A7B" w:rsidRDefault="00795D5F" w:rsidP="00795D5F">
      <w:pP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En ese contexto, de conformidad con los criterios orientadores 12/10 y 04/19,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E424AE9" w14:textId="77777777" w:rsidR="00795D5F" w:rsidRPr="00DD1A7B" w:rsidRDefault="00795D5F" w:rsidP="00795D5F">
      <w:pPr>
        <w:spacing w:line="360" w:lineRule="auto"/>
        <w:ind w:right="-7"/>
        <w:jc w:val="both"/>
        <w:rPr>
          <w:rFonts w:ascii="Palatino Linotype" w:eastAsia="Palatino Linotype" w:hAnsi="Palatino Linotype" w:cs="Palatino Linotype"/>
          <w:sz w:val="22"/>
        </w:rPr>
      </w:pPr>
    </w:p>
    <w:p w14:paraId="204086DE" w14:textId="77777777" w:rsidR="00795D5F" w:rsidRPr="00DD1A7B" w:rsidRDefault="00795D5F" w:rsidP="00795D5F">
      <w:pPr>
        <w:numPr>
          <w:ilvl w:val="0"/>
          <w:numId w:val="48"/>
        </w:numPr>
        <w:pBdr>
          <w:top w:val="nil"/>
          <w:left w:val="nil"/>
          <w:bottom w:val="nil"/>
          <w:right w:val="nil"/>
          <w:between w:val="nil"/>
        </w:pBd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 xml:space="preserve">Motivación por las que se buscó la información, en determinadas unidades administrativas;  </w:t>
      </w:r>
    </w:p>
    <w:p w14:paraId="6682AB4B" w14:textId="77777777" w:rsidR="00795D5F" w:rsidRPr="00DD1A7B" w:rsidRDefault="00795D5F" w:rsidP="00795D5F">
      <w:pPr>
        <w:numPr>
          <w:ilvl w:val="0"/>
          <w:numId w:val="48"/>
        </w:numPr>
        <w:pBdr>
          <w:top w:val="nil"/>
          <w:left w:val="nil"/>
          <w:bottom w:val="nil"/>
          <w:right w:val="nil"/>
          <w:between w:val="nil"/>
        </w:pBd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 xml:space="preserve">Los criterios de búsqueda utilizados, y </w:t>
      </w:r>
    </w:p>
    <w:p w14:paraId="3DF24260" w14:textId="77777777" w:rsidR="00795D5F" w:rsidRPr="00DD1A7B" w:rsidRDefault="00795D5F" w:rsidP="00795D5F">
      <w:pPr>
        <w:numPr>
          <w:ilvl w:val="0"/>
          <w:numId w:val="48"/>
        </w:numPr>
        <w:pBdr>
          <w:top w:val="nil"/>
          <w:left w:val="nil"/>
          <w:bottom w:val="nil"/>
          <w:right w:val="nil"/>
          <w:between w:val="nil"/>
        </w:pBd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Las circunstancias que fueron tomadas en cuenta.</w:t>
      </w:r>
    </w:p>
    <w:p w14:paraId="11E92675" w14:textId="77777777" w:rsidR="00795D5F" w:rsidRPr="00DD1A7B" w:rsidRDefault="00795D5F" w:rsidP="00795D5F">
      <w:pPr>
        <w:ind w:right="560"/>
        <w:jc w:val="both"/>
        <w:rPr>
          <w:rFonts w:ascii="Palatino Linotype" w:eastAsia="Palatino Linotype" w:hAnsi="Palatino Linotype" w:cs="Palatino Linotype"/>
          <w:i/>
          <w:sz w:val="22"/>
        </w:rPr>
      </w:pPr>
    </w:p>
    <w:p w14:paraId="7F282998" w14:textId="77777777" w:rsidR="00795D5F" w:rsidRPr="00DD1A7B" w:rsidRDefault="00795D5F" w:rsidP="00795D5F">
      <w:pPr>
        <w:ind w:right="560"/>
        <w:jc w:val="both"/>
        <w:rPr>
          <w:rFonts w:ascii="Palatino Linotype" w:eastAsia="Palatino Linotype" w:hAnsi="Palatino Linotype" w:cs="Palatino Linotype"/>
          <w:sz w:val="22"/>
        </w:rPr>
      </w:pPr>
    </w:p>
    <w:p w14:paraId="42D0987E" w14:textId="78CC8D72" w:rsidR="00795D5F" w:rsidRPr="00DD1A7B" w:rsidRDefault="00795D5F" w:rsidP="00795D5F">
      <w:pPr>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 xml:space="preserve">En ese sentido, del análisis al Acuerdo enviado por el </w:t>
      </w:r>
      <w:r w:rsidRPr="00DD1A7B">
        <w:rPr>
          <w:rFonts w:ascii="Palatino Linotype" w:eastAsia="Palatino Linotype" w:hAnsi="Palatino Linotype" w:cs="Palatino Linotype"/>
          <w:b/>
          <w:sz w:val="22"/>
        </w:rPr>
        <w:t>Sujeto Obligado</w:t>
      </w:r>
      <w:r w:rsidR="00C86374" w:rsidRPr="00DD1A7B">
        <w:rPr>
          <w:rFonts w:ascii="Palatino Linotype" w:eastAsia="Palatino Linotype" w:hAnsi="Palatino Linotype" w:cs="Palatino Linotype"/>
          <w:b/>
          <w:sz w:val="22"/>
        </w:rPr>
        <w:t xml:space="preserve"> </w:t>
      </w:r>
      <w:r w:rsidR="00C86374" w:rsidRPr="00DD1A7B">
        <w:rPr>
          <w:rFonts w:ascii="Palatino Linotype" w:eastAsia="Palatino Linotype" w:hAnsi="Palatino Linotype" w:cs="Palatino Linotype"/>
          <w:sz w:val="22"/>
        </w:rPr>
        <w:t>y la documentación remitida en respuesta</w:t>
      </w:r>
      <w:r w:rsidRPr="00DD1A7B">
        <w:rPr>
          <w:rFonts w:ascii="Palatino Linotype" w:eastAsia="Palatino Linotype" w:hAnsi="Palatino Linotype" w:cs="Palatino Linotype"/>
          <w:sz w:val="22"/>
        </w:rPr>
        <w:t xml:space="preserve">, </w:t>
      </w:r>
      <w:r w:rsidR="00C86374" w:rsidRPr="00DD1A7B">
        <w:rPr>
          <w:rFonts w:ascii="Palatino Linotype" w:eastAsia="Palatino Linotype" w:hAnsi="Palatino Linotype" w:cs="Palatino Linotype"/>
          <w:sz w:val="22"/>
        </w:rPr>
        <w:t>se advierte lo siguiente</w:t>
      </w:r>
      <w:r w:rsidRPr="00DD1A7B">
        <w:rPr>
          <w:rFonts w:ascii="Palatino Linotype" w:eastAsia="Palatino Linotype" w:hAnsi="Palatino Linotype" w:cs="Palatino Linotype"/>
          <w:sz w:val="22"/>
        </w:rPr>
        <w:t xml:space="preserve">: </w:t>
      </w:r>
    </w:p>
    <w:tbl>
      <w:tblPr>
        <w:tblW w:w="850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4"/>
        <w:gridCol w:w="1297"/>
        <w:gridCol w:w="5464"/>
      </w:tblGrid>
      <w:tr w:rsidR="00F763CE" w:rsidRPr="00DD1A7B" w14:paraId="60F2373E" w14:textId="77777777" w:rsidTr="00795D5F">
        <w:tc>
          <w:tcPr>
            <w:tcW w:w="1744" w:type="dxa"/>
            <w:tcBorders>
              <w:top w:val="nil"/>
              <w:left w:val="nil"/>
            </w:tcBorders>
          </w:tcPr>
          <w:p w14:paraId="066482A1" w14:textId="77777777" w:rsidR="00795D5F" w:rsidRPr="00DD1A7B" w:rsidRDefault="00795D5F" w:rsidP="00795D5F">
            <w:pPr>
              <w:pBdr>
                <w:top w:val="nil"/>
                <w:left w:val="nil"/>
                <w:bottom w:val="nil"/>
                <w:right w:val="nil"/>
                <w:between w:val="nil"/>
              </w:pBdr>
              <w:ind w:left="47"/>
              <w:jc w:val="both"/>
              <w:rPr>
                <w:rFonts w:ascii="Palatino Linotype" w:eastAsia="Palatino Linotype" w:hAnsi="Palatino Linotype" w:cs="Palatino Linotype"/>
                <w:b/>
                <w:sz w:val="20"/>
              </w:rPr>
            </w:pPr>
          </w:p>
        </w:tc>
        <w:tc>
          <w:tcPr>
            <w:tcW w:w="1297" w:type="dxa"/>
            <w:tcBorders>
              <w:bottom w:val="single" w:sz="4" w:space="0" w:color="000000"/>
            </w:tcBorders>
            <w:shd w:val="clear" w:color="auto" w:fill="DBE5F1"/>
            <w:vAlign w:val="bottom"/>
          </w:tcPr>
          <w:p w14:paraId="58F40DAA" w14:textId="77777777" w:rsidR="00795D5F" w:rsidRPr="00DD1A7B" w:rsidRDefault="00795D5F" w:rsidP="00795D5F">
            <w:pPr>
              <w:pBdr>
                <w:top w:val="nil"/>
                <w:left w:val="nil"/>
                <w:bottom w:val="nil"/>
                <w:right w:val="nil"/>
                <w:between w:val="nil"/>
              </w:pBdr>
              <w:ind w:left="47"/>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Cumplió:</w:t>
            </w:r>
          </w:p>
        </w:tc>
        <w:tc>
          <w:tcPr>
            <w:tcW w:w="5464" w:type="dxa"/>
            <w:tcBorders>
              <w:bottom w:val="single" w:sz="4" w:space="0" w:color="000000"/>
            </w:tcBorders>
            <w:shd w:val="clear" w:color="auto" w:fill="DBE5F1"/>
            <w:vAlign w:val="bottom"/>
          </w:tcPr>
          <w:p w14:paraId="25BD0EEC" w14:textId="77777777" w:rsidR="00795D5F" w:rsidRPr="00DD1A7B" w:rsidRDefault="00795D5F" w:rsidP="00795D5F">
            <w:pPr>
              <w:pBdr>
                <w:top w:val="nil"/>
                <w:left w:val="nil"/>
                <w:bottom w:val="nil"/>
                <w:right w:val="nil"/>
                <w:between w:val="nil"/>
              </w:pBdr>
              <w:ind w:left="47"/>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Contenido</w:t>
            </w:r>
          </w:p>
        </w:tc>
      </w:tr>
      <w:tr w:rsidR="00F763CE" w:rsidRPr="00DD1A7B" w14:paraId="633277C7" w14:textId="77777777" w:rsidTr="00795D5F">
        <w:trPr>
          <w:trHeight w:val="1862"/>
        </w:trPr>
        <w:tc>
          <w:tcPr>
            <w:tcW w:w="1744" w:type="dxa"/>
            <w:vAlign w:val="center"/>
          </w:tcPr>
          <w:p w14:paraId="5485D7F9" w14:textId="77777777" w:rsidR="00795D5F" w:rsidRPr="00DD1A7B" w:rsidRDefault="00795D5F" w:rsidP="00795D5F">
            <w:pPr>
              <w:jc w:val="both"/>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Referencia de la información solicitada.</w:t>
            </w:r>
          </w:p>
        </w:tc>
        <w:tc>
          <w:tcPr>
            <w:tcW w:w="1297" w:type="dxa"/>
            <w:vAlign w:val="center"/>
          </w:tcPr>
          <w:p w14:paraId="2DBB5D93" w14:textId="77777777" w:rsidR="00795D5F" w:rsidRPr="00DD1A7B" w:rsidRDefault="00795D5F" w:rsidP="00795D5F">
            <w:pPr>
              <w:ind w:left="47"/>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 xml:space="preserve">Si </w:t>
            </w:r>
          </w:p>
        </w:tc>
        <w:tc>
          <w:tcPr>
            <w:tcW w:w="5464" w:type="dxa"/>
            <w:vAlign w:val="center"/>
          </w:tcPr>
          <w:p w14:paraId="08019C62" w14:textId="1D9C4AD6" w:rsidR="00795D5F" w:rsidRPr="00DD1A7B" w:rsidRDefault="00C86374" w:rsidP="00795D5F">
            <w:pPr>
              <w:jc w:val="both"/>
              <w:rPr>
                <w:rFonts w:ascii="Palatino Linotype" w:eastAsia="Palatino Linotype" w:hAnsi="Palatino Linotype" w:cs="Palatino Linotype"/>
                <w:b/>
                <w:sz w:val="20"/>
              </w:rPr>
            </w:pPr>
            <w:r w:rsidRPr="00DD1A7B">
              <w:rPr>
                <w:rFonts w:ascii="Palatino Linotype" w:eastAsia="Palatino Linotype" w:hAnsi="Palatino Linotype" w:cs="Palatino Linotype"/>
                <w:b/>
                <w:noProof/>
                <w:sz w:val="20"/>
              </w:rPr>
              <w:drawing>
                <wp:inline distT="0" distB="0" distL="0" distR="0" wp14:anchorId="0FEFBADA" wp14:editId="7ADFFF21">
                  <wp:extent cx="3332480" cy="34671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2480" cy="346710"/>
                          </a:xfrm>
                          <a:prstGeom prst="rect">
                            <a:avLst/>
                          </a:prstGeom>
                        </pic:spPr>
                      </pic:pic>
                    </a:graphicData>
                  </a:graphic>
                </wp:inline>
              </w:drawing>
            </w:r>
          </w:p>
          <w:p w14:paraId="7E4B8F31" w14:textId="1F32F24B" w:rsidR="00C86374" w:rsidRPr="00DD1A7B" w:rsidRDefault="00C86374" w:rsidP="00795D5F">
            <w:pPr>
              <w:jc w:val="both"/>
              <w:rPr>
                <w:rFonts w:ascii="Palatino Linotype" w:eastAsia="Palatino Linotype" w:hAnsi="Palatino Linotype" w:cs="Palatino Linotype"/>
                <w:sz w:val="20"/>
              </w:rPr>
            </w:pPr>
            <w:r w:rsidRPr="00DD1A7B">
              <w:rPr>
                <w:rFonts w:ascii="Palatino Linotype" w:eastAsia="Palatino Linotype" w:hAnsi="Palatino Linotype" w:cs="Palatino Linotype"/>
                <w:noProof/>
                <w:sz w:val="20"/>
              </w:rPr>
              <w:drawing>
                <wp:inline distT="0" distB="0" distL="0" distR="0" wp14:anchorId="0085E0B8" wp14:editId="2B0AB289">
                  <wp:extent cx="3332480" cy="356870"/>
                  <wp:effectExtent l="0" t="0" r="127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32480" cy="356870"/>
                          </a:xfrm>
                          <a:prstGeom prst="rect">
                            <a:avLst/>
                          </a:prstGeom>
                        </pic:spPr>
                      </pic:pic>
                    </a:graphicData>
                  </a:graphic>
                </wp:inline>
              </w:drawing>
            </w:r>
          </w:p>
          <w:p w14:paraId="40D9161F" w14:textId="66699C87" w:rsidR="00795D5F" w:rsidRPr="00DD1A7B" w:rsidRDefault="00795D5F" w:rsidP="00C86374">
            <w:pPr>
              <w:jc w:val="both"/>
              <w:rPr>
                <w:rFonts w:ascii="Palatino Linotype" w:eastAsia="Palatino Linotype" w:hAnsi="Palatino Linotype" w:cs="Palatino Linotype"/>
                <w:b/>
                <w:sz w:val="20"/>
              </w:rPr>
            </w:pPr>
            <w:r w:rsidRPr="00DD1A7B">
              <w:rPr>
                <w:rFonts w:ascii="Palatino Linotype" w:eastAsia="Palatino Linotype" w:hAnsi="Palatino Linotype" w:cs="Palatino Linotype"/>
                <w:sz w:val="20"/>
              </w:rPr>
              <w:t xml:space="preserve">La solicitud de información </w:t>
            </w:r>
            <w:r w:rsidR="00C86374" w:rsidRPr="00DD1A7B">
              <w:rPr>
                <w:rFonts w:ascii="Palatino Linotype" w:eastAsia="Palatino Linotype" w:hAnsi="Palatino Linotype" w:cs="Palatino Linotype"/>
                <w:sz w:val="20"/>
              </w:rPr>
              <w:t>corresponde a la que</w:t>
            </w:r>
            <w:r w:rsidRPr="00DD1A7B">
              <w:rPr>
                <w:rFonts w:ascii="Palatino Linotype" w:eastAsia="Palatino Linotype" w:hAnsi="Palatino Linotype" w:cs="Palatino Linotype"/>
                <w:sz w:val="20"/>
              </w:rPr>
              <w:t xml:space="preserve"> nos ocupa</w:t>
            </w:r>
            <w:r w:rsidR="00C86374" w:rsidRPr="00DD1A7B">
              <w:rPr>
                <w:rFonts w:ascii="Palatino Linotype" w:eastAsia="Palatino Linotype" w:hAnsi="Palatino Linotype" w:cs="Palatino Linotype"/>
                <w:sz w:val="20"/>
              </w:rPr>
              <w:t>.</w:t>
            </w:r>
          </w:p>
        </w:tc>
      </w:tr>
      <w:tr w:rsidR="00F763CE" w:rsidRPr="00DD1A7B" w14:paraId="36862BBA" w14:textId="77777777" w:rsidTr="00795D5F">
        <w:tc>
          <w:tcPr>
            <w:tcW w:w="1744" w:type="dxa"/>
            <w:vAlign w:val="center"/>
          </w:tcPr>
          <w:p w14:paraId="222A094D" w14:textId="77777777" w:rsidR="00795D5F" w:rsidRPr="00DD1A7B" w:rsidRDefault="00795D5F" w:rsidP="00795D5F">
            <w:pPr>
              <w:tabs>
                <w:tab w:val="left" w:pos="317"/>
              </w:tabs>
              <w:jc w:val="both"/>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Fundamento Legal.</w:t>
            </w:r>
          </w:p>
        </w:tc>
        <w:tc>
          <w:tcPr>
            <w:tcW w:w="1297" w:type="dxa"/>
            <w:vAlign w:val="center"/>
          </w:tcPr>
          <w:p w14:paraId="41B39A0D" w14:textId="77777777" w:rsidR="00795D5F" w:rsidRPr="00DD1A7B" w:rsidRDefault="00795D5F" w:rsidP="00795D5F">
            <w:pPr>
              <w:ind w:left="47"/>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Si</w:t>
            </w:r>
          </w:p>
        </w:tc>
        <w:tc>
          <w:tcPr>
            <w:tcW w:w="5464" w:type="dxa"/>
          </w:tcPr>
          <w:p w14:paraId="2229BEB7" w14:textId="14D2867F" w:rsidR="00795D5F" w:rsidRPr="00DD1A7B" w:rsidRDefault="00C86374" w:rsidP="00795D5F">
            <w:pPr>
              <w:ind w:left="-31"/>
              <w:jc w:val="center"/>
              <w:rPr>
                <w:rFonts w:ascii="Palatino Linotype" w:hAnsi="Palatino Linotype"/>
                <w:sz w:val="20"/>
              </w:rPr>
            </w:pPr>
            <w:r w:rsidRPr="00DD1A7B">
              <w:rPr>
                <w:rFonts w:ascii="Palatino Linotype" w:hAnsi="Palatino Linotype"/>
                <w:noProof/>
                <w:sz w:val="20"/>
              </w:rPr>
              <w:drawing>
                <wp:inline distT="0" distB="0" distL="0" distR="0" wp14:anchorId="6B7E6291" wp14:editId="6A9849DD">
                  <wp:extent cx="3332480" cy="61468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2480" cy="614680"/>
                          </a:xfrm>
                          <a:prstGeom prst="rect">
                            <a:avLst/>
                          </a:prstGeom>
                        </pic:spPr>
                      </pic:pic>
                    </a:graphicData>
                  </a:graphic>
                </wp:inline>
              </w:drawing>
            </w:r>
          </w:p>
        </w:tc>
      </w:tr>
      <w:tr w:rsidR="00F763CE" w:rsidRPr="00DD1A7B" w14:paraId="552A86A6" w14:textId="77777777" w:rsidTr="00795D5F">
        <w:tc>
          <w:tcPr>
            <w:tcW w:w="1744" w:type="dxa"/>
            <w:vAlign w:val="center"/>
          </w:tcPr>
          <w:p w14:paraId="54484FB7" w14:textId="4F1C1A93" w:rsidR="00795D5F" w:rsidRPr="00DD1A7B" w:rsidRDefault="00042268" w:rsidP="00795D5F">
            <w:pPr>
              <w:jc w:val="both"/>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Co</w:t>
            </w:r>
            <w:r w:rsidR="00795D5F" w:rsidRPr="00DD1A7B">
              <w:rPr>
                <w:rFonts w:ascii="Palatino Linotype" w:eastAsia="Palatino Linotype" w:hAnsi="Palatino Linotype" w:cs="Palatino Linotype"/>
                <w:b/>
                <w:sz w:val="20"/>
              </w:rPr>
              <w:t>nexión entre los fundamentos y motivos que dieron origen a la inexistencia de la información.</w:t>
            </w:r>
          </w:p>
          <w:p w14:paraId="752714D1" w14:textId="77777777" w:rsidR="00795D5F" w:rsidRPr="00DD1A7B" w:rsidRDefault="00795D5F" w:rsidP="00795D5F">
            <w:pPr>
              <w:jc w:val="both"/>
              <w:rPr>
                <w:rFonts w:ascii="Palatino Linotype" w:eastAsia="Palatino Linotype" w:hAnsi="Palatino Linotype" w:cs="Palatino Linotype"/>
                <w:b/>
                <w:sz w:val="20"/>
              </w:rPr>
            </w:pPr>
          </w:p>
          <w:p w14:paraId="775680FF" w14:textId="6B9EBB68" w:rsidR="00795D5F" w:rsidRPr="00DD1A7B" w:rsidRDefault="00795D5F" w:rsidP="00795D5F">
            <w:pPr>
              <w:jc w:val="both"/>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Motivación por las que se buscó la información, criterios de búsqueda utilizados y circunstancias que fueron tomadas en cuenta.</w:t>
            </w:r>
          </w:p>
        </w:tc>
        <w:tc>
          <w:tcPr>
            <w:tcW w:w="1297" w:type="dxa"/>
            <w:vAlign w:val="center"/>
          </w:tcPr>
          <w:p w14:paraId="4C9FA634" w14:textId="7DEAEC10" w:rsidR="00795D5F" w:rsidRPr="00DD1A7B" w:rsidRDefault="00C86374" w:rsidP="00795D5F">
            <w:pPr>
              <w:pBdr>
                <w:top w:val="nil"/>
                <w:left w:val="nil"/>
                <w:bottom w:val="nil"/>
                <w:right w:val="nil"/>
                <w:between w:val="nil"/>
              </w:pBdr>
              <w:ind w:left="29" w:firstLine="18"/>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Si</w:t>
            </w:r>
          </w:p>
        </w:tc>
        <w:tc>
          <w:tcPr>
            <w:tcW w:w="5464" w:type="dxa"/>
            <w:vAlign w:val="center"/>
          </w:tcPr>
          <w:p w14:paraId="0700250E" w14:textId="0CF17599" w:rsidR="00795D5F" w:rsidRPr="00DD1A7B" w:rsidRDefault="00C86374" w:rsidP="00795D5F">
            <w:pPr>
              <w:pBdr>
                <w:top w:val="nil"/>
                <w:left w:val="nil"/>
                <w:bottom w:val="nil"/>
                <w:right w:val="nil"/>
                <w:between w:val="nil"/>
              </w:pBdr>
              <w:ind w:left="29" w:firstLine="18"/>
              <w:jc w:val="both"/>
              <w:rPr>
                <w:rFonts w:ascii="Palatino Linotype" w:eastAsia="Palatino Linotype" w:hAnsi="Palatino Linotype" w:cs="Palatino Linotype"/>
                <w:sz w:val="20"/>
              </w:rPr>
            </w:pPr>
            <w:r w:rsidRPr="00DD1A7B">
              <w:rPr>
                <w:rFonts w:ascii="Palatino Linotype" w:eastAsia="Palatino Linotype" w:hAnsi="Palatino Linotype" w:cs="Palatino Linotype"/>
                <w:noProof/>
                <w:sz w:val="20"/>
              </w:rPr>
              <w:drawing>
                <wp:inline distT="0" distB="0" distL="0" distR="0" wp14:anchorId="26392C7A" wp14:editId="11781D9D">
                  <wp:extent cx="3332480" cy="142875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2480" cy="1428750"/>
                          </a:xfrm>
                          <a:prstGeom prst="rect">
                            <a:avLst/>
                          </a:prstGeom>
                        </pic:spPr>
                      </pic:pic>
                    </a:graphicData>
                  </a:graphic>
                </wp:inline>
              </w:drawing>
            </w:r>
          </w:p>
          <w:p w14:paraId="4814C815" w14:textId="77777777" w:rsidR="00C86374" w:rsidRPr="00DD1A7B" w:rsidRDefault="00C86374" w:rsidP="00795D5F">
            <w:pPr>
              <w:pBdr>
                <w:top w:val="nil"/>
                <w:left w:val="nil"/>
                <w:bottom w:val="nil"/>
                <w:right w:val="nil"/>
                <w:between w:val="nil"/>
              </w:pBdr>
              <w:ind w:left="29" w:firstLine="18"/>
              <w:jc w:val="both"/>
              <w:rPr>
                <w:rFonts w:ascii="Palatino Linotype" w:eastAsia="Palatino Linotype" w:hAnsi="Palatino Linotype" w:cs="Palatino Linotype"/>
                <w:sz w:val="20"/>
              </w:rPr>
            </w:pPr>
          </w:p>
          <w:p w14:paraId="533E8EDB" w14:textId="144402A6" w:rsidR="00C86374" w:rsidRPr="00DD1A7B" w:rsidRDefault="00C86374" w:rsidP="00C86374">
            <w:pPr>
              <w:pBdr>
                <w:top w:val="nil"/>
                <w:left w:val="nil"/>
                <w:bottom w:val="nil"/>
                <w:right w:val="nil"/>
                <w:between w:val="nil"/>
              </w:pBdr>
              <w:ind w:left="29" w:firstLine="18"/>
              <w:jc w:val="both"/>
              <w:rPr>
                <w:rFonts w:ascii="Palatino Linotype" w:eastAsia="Palatino Linotype" w:hAnsi="Palatino Linotype" w:cs="Palatino Linotype"/>
                <w:sz w:val="20"/>
              </w:rPr>
            </w:pPr>
            <w:r w:rsidRPr="00DD1A7B">
              <w:rPr>
                <w:rFonts w:ascii="Palatino Linotype" w:eastAsia="Palatino Linotype" w:hAnsi="Palatino Linotype" w:cs="Palatino Linotype"/>
                <w:sz w:val="20"/>
              </w:rPr>
              <w:t>Asimismo,</w:t>
            </w:r>
            <w:r w:rsidR="00042268" w:rsidRPr="00DD1A7B">
              <w:rPr>
                <w:rFonts w:ascii="Palatino Linotype" w:eastAsia="Palatino Linotype" w:hAnsi="Palatino Linotype" w:cs="Palatino Linotype"/>
                <w:sz w:val="20"/>
              </w:rPr>
              <w:t xml:space="preserve"> para robustecer los motivos que dieron origen a la inexistencia de la información, </w:t>
            </w:r>
            <w:r w:rsidRPr="00DD1A7B">
              <w:rPr>
                <w:rFonts w:ascii="Palatino Linotype" w:eastAsia="Palatino Linotype" w:hAnsi="Palatino Linotype" w:cs="Palatino Linotype"/>
                <w:sz w:val="20"/>
              </w:rPr>
              <w:t>se adjuntó un oficio a través del cual la actual Directora de Medio Ambiente y Ecología hizo del conocimiento del Contralor Interno Municipal las irregularidades advertidas del proceso de revisión de información del acta y anexos relacionados con la entrega recepción de la anterior titular de dicha Dirección, la Biol. Katy Elizabeth Domínguez Flores, como lo fue la falta de ent</w:t>
            </w:r>
            <w:r w:rsidR="00042268" w:rsidRPr="00DD1A7B">
              <w:rPr>
                <w:rFonts w:ascii="Palatino Linotype" w:eastAsia="Palatino Linotype" w:hAnsi="Palatino Linotype" w:cs="Palatino Linotype"/>
                <w:sz w:val="20"/>
              </w:rPr>
              <w:t>rega de determinada información que incluye aquella donde pudiera obrar lo peticionado.</w:t>
            </w:r>
          </w:p>
          <w:p w14:paraId="76FE010F" w14:textId="77777777" w:rsidR="00C86374" w:rsidRPr="00DD1A7B" w:rsidRDefault="00C86374" w:rsidP="00795D5F">
            <w:pPr>
              <w:pBdr>
                <w:top w:val="nil"/>
                <w:left w:val="nil"/>
                <w:bottom w:val="nil"/>
                <w:right w:val="nil"/>
                <w:between w:val="nil"/>
              </w:pBdr>
              <w:ind w:left="29" w:firstLine="18"/>
              <w:jc w:val="both"/>
              <w:rPr>
                <w:rFonts w:ascii="Palatino Linotype" w:eastAsia="Palatino Linotype" w:hAnsi="Palatino Linotype" w:cs="Palatino Linotype"/>
                <w:sz w:val="20"/>
              </w:rPr>
            </w:pPr>
          </w:p>
          <w:p w14:paraId="2B9A2FDA" w14:textId="2260E6D0" w:rsidR="00795D5F" w:rsidRPr="00DD1A7B" w:rsidRDefault="00795D5F" w:rsidP="00795D5F">
            <w:pPr>
              <w:pBdr>
                <w:top w:val="nil"/>
                <w:left w:val="nil"/>
                <w:bottom w:val="nil"/>
                <w:right w:val="nil"/>
                <w:between w:val="nil"/>
              </w:pBdr>
              <w:ind w:left="29" w:firstLine="18"/>
              <w:jc w:val="both"/>
              <w:rPr>
                <w:rFonts w:ascii="Palatino Linotype" w:eastAsia="Palatino Linotype" w:hAnsi="Palatino Linotype" w:cs="Palatino Linotype"/>
                <w:sz w:val="20"/>
              </w:rPr>
            </w:pPr>
          </w:p>
        </w:tc>
      </w:tr>
      <w:tr w:rsidR="00F763CE" w:rsidRPr="00DD1A7B" w14:paraId="2722DF71" w14:textId="77777777" w:rsidTr="00795D5F">
        <w:tc>
          <w:tcPr>
            <w:tcW w:w="1744" w:type="dxa"/>
            <w:vAlign w:val="center"/>
          </w:tcPr>
          <w:p w14:paraId="5B7C80F2" w14:textId="77777777" w:rsidR="00795D5F" w:rsidRPr="00DD1A7B" w:rsidRDefault="00795D5F" w:rsidP="00795D5F">
            <w:pPr>
              <w:tabs>
                <w:tab w:val="left" w:pos="317"/>
              </w:tabs>
              <w:jc w:val="both"/>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Notificación al órgano interno de control o equivalente del sujeto obligado quien, en su caso, deberá iniciar el procedimiento de responsabilidad administrativa que corresponda.</w:t>
            </w:r>
          </w:p>
        </w:tc>
        <w:tc>
          <w:tcPr>
            <w:tcW w:w="1297" w:type="dxa"/>
            <w:vAlign w:val="center"/>
          </w:tcPr>
          <w:p w14:paraId="526B9A4E" w14:textId="74037059" w:rsidR="00795D5F" w:rsidRPr="00DD1A7B" w:rsidRDefault="00042268" w:rsidP="00795D5F">
            <w:pPr>
              <w:pBdr>
                <w:top w:val="nil"/>
                <w:left w:val="nil"/>
                <w:bottom w:val="nil"/>
                <w:right w:val="nil"/>
                <w:between w:val="nil"/>
              </w:pBdr>
              <w:ind w:left="29" w:firstLine="18"/>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Si</w:t>
            </w:r>
          </w:p>
        </w:tc>
        <w:tc>
          <w:tcPr>
            <w:tcW w:w="5464" w:type="dxa"/>
            <w:vAlign w:val="center"/>
          </w:tcPr>
          <w:p w14:paraId="050B8CBD" w14:textId="38C2DFC0" w:rsidR="00795D5F" w:rsidRPr="00DD1A7B" w:rsidRDefault="00042268" w:rsidP="00795D5F">
            <w:pPr>
              <w:pBdr>
                <w:top w:val="nil"/>
                <w:left w:val="nil"/>
                <w:bottom w:val="nil"/>
                <w:right w:val="nil"/>
                <w:between w:val="nil"/>
              </w:pBdr>
              <w:ind w:left="29" w:firstLine="18"/>
              <w:jc w:val="both"/>
              <w:rPr>
                <w:rFonts w:ascii="Palatino Linotype" w:eastAsia="Palatino Linotype" w:hAnsi="Palatino Linotype" w:cs="Palatino Linotype"/>
                <w:sz w:val="20"/>
              </w:rPr>
            </w:pPr>
            <w:r w:rsidRPr="00DD1A7B">
              <w:rPr>
                <w:rFonts w:ascii="Palatino Linotype" w:eastAsia="Palatino Linotype" w:hAnsi="Palatino Linotype" w:cs="Palatino Linotype"/>
                <w:noProof/>
                <w:sz w:val="20"/>
              </w:rPr>
              <w:drawing>
                <wp:inline distT="0" distB="0" distL="0" distR="0" wp14:anchorId="270EA969" wp14:editId="18E2AFB5">
                  <wp:extent cx="3332480" cy="419100"/>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2480" cy="419100"/>
                          </a:xfrm>
                          <a:prstGeom prst="rect">
                            <a:avLst/>
                          </a:prstGeom>
                        </pic:spPr>
                      </pic:pic>
                    </a:graphicData>
                  </a:graphic>
                </wp:inline>
              </w:drawing>
            </w:r>
          </w:p>
        </w:tc>
      </w:tr>
      <w:tr w:rsidR="00F763CE" w:rsidRPr="00DD1A7B" w14:paraId="4C0F98DC" w14:textId="77777777" w:rsidTr="00795D5F">
        <w:trPr>
          <w:trHeight w:val="3517"/>
        </w:trPr>
        <w:tc>
          <w:tcPr>
            <w:tcW w:w="1744" w:type="dxa"/>
            <w:vAlign w:val="center"/>
          </w:tcPr>
          <w:p w14:paraId="7FE2AF0A" w14:textId="77777777" w:rsidR="00795D5F" w:rsidRPr="00DD1A7B" w:rsidRDefault="00795D5F" w:rsidP="00795D5F">
            <w:pPr>
              <w:tabs>
                <w:tab w:val="left" w:pos="317"/>
              </w:tabs>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Autoridades competentes.</w:t>
            </w:r>
          </w:p>
        </w:tc>
        <w:tc>
          <w:tcPr>
            <w:tcW w:w="1297" w:type="dxa"/>
            <w:vAlign w:val="center"/>
          </w:tcPr>
          <w:p w14:paraId="36620D4B" w14:textId="77777777" w:rsidR="00795D5F" w:rsidRPr="00DD1A7B" w:rsidRDefault="00795D5F" w:rsidP="00795D5F">
            <w:pPr>
              <w:pBdr>
                <w:top w:val="nil"/>
                <w:left w:val="nil"/>
                <w:bottom w:val="nil"/>
                <w:right w:val="nil"/>
                <w:between w:val="nil"/>
              </w:pBdr>
              <w:ind w:left="29" w:firstLine="18"/>
              <w:jc w:val="center"/>
              <w:rPr>
                <w:rFonts w:ascii="Palatino Linotype" w:eastAsia="Palatino Linotype" w:hAnsi="Palatino Linotype" w:cs="Palatino Linotype"/>
                <w:b/>
                <w:sz w:val="20"/>
              </w:rPr>
            </w:pPr>
            <w:r w:rsidRPr="00DD1A7B">
              <w:rPr>
                <w:rFonts w:ascii="Palatino Linotype" w:eastAsia="Palatino Linotype" w:hAnsi="Palatino Linotype" w:cs="Palatino Linotype"/>
                <w:b/>
                <w:sz w:val="20"/>
              </w:rPr>
              <w:t>Sí</w:t>
            </w:r>
          </w:p>
        </w:tc>
        <w:tc>
          <w:tcPr>
            <w:tcW w:w="5464" w:type="dxa"/>
          </w:tcPr>
          <w:p w14:paraId="6AA4B70F" w14:textId="2AB47CB5" w:rsidR="00795D5F" w:rsidRPr="00DD1A7B" w:rsidRDefault="00042268" w:rsidP="00795D5F">
            <w:pPr>
              <w:jc w:val="center"/>
              <w:rPr>
                <w:rFonts w:ascii="Palatino Linotype" w:hAnsi="Palatino Linotype"/>
                <w:sz w:val="20"/>
              </w:rPr>
            </w:pPr>
            <w:r w:rsidRPr="00DD1A7B">
              <w:rPr>
                <w:rFonts w:ascii="Palatino Linotype" w:hAnsi="Palatino Linotype"/>
                <w:noProof/>
                <w:sz w:val="20"/>
              </w:rPr>
              <w:drawing>
                <wp:inline distT="0" distB="0" distL="0" distR="0" wp14:anchorId="692103DE" wp14:editId="329E4CDE">
                  <wp:extent cx="3332480" cy="1512570"/>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32480" cy="1512570"/>
                          </a:xfrm>
                          <a:prstGeom prst="rect">
                            <a:avLst/>
                          </a:prstGeom>
                        </pic:spPr>
                      </pic:pic>
                    </a:graphicData>
                  </a:graphic>
                </wp:inline>
              </w:drawing>
            </w:r>
          </w:p>
        </w:tc>
      </w:tr>
    </w:tbl>
    <w:p w14:paraId="0D6804AB" w14:textId="77777777" w:rsidR="00795D5F" w:rsidRPr="00DD1A7B" w:rsidRDefault="00795D5F" w:rsidP="00795D5F">
      <w:pPr>
        <w:tabs>
          <w:tab w:val="left" w:pos="2940"/>
        </w:tabs>
        <w:spacing w:line="360" w:lineRule="auto"/>
        <w:ind w:right="-7"/>
        <w:jc w:val="both"/>
        <w:rPr>
          <w:rFonts w:ascii="Palatino Linotype" w:eastAsia="Palatino Linotype" w:hAnsi="Palatino Linotype" w:cs="Palatino Linotype"/>
        </w:rPr>
      </w:pPr>
      <w:r w:rsidRPr="00DD1A7B">
        <w:rPr>
          <w:rFonts w:ascii="Palatino Linotype" w:eastAsia="Palatino Linotype" w:hAnsi="Palatino Linotype" w:cs="Palatino Linotype"/>
        </w:rPr>
        <w:tab/>
      </w:r>
    </w:p>
    <w:p w14:paraId="4E373B27" w14:textId="01274732" w:rsidR="00042268" w:rsidRPr="00DD1A7B" w:rsidRDefault="00795D5F" w:rsidP="00795D5F">
      <w:pPr>
        <w:tabs>
          <w:tab w:val="left" w:pos="8222"/>
        </w:tabs>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 xml:space="preserve">En este sentido, se colige que el acuerdo de inexistencia remitido cuenta con los elementos mínimos previstos por la normatividad para motivar y fundamentar la inexistencia de la información, </w:t>
      </w:r>
      <w:r w:rsidR="00042268" w:rsidRPr="00DD1A7B">
        <w:rPr>
          <w:rFonts w:ascii="Palatino Linotype" w:eastAsia="Palatino Linotype" w:hAnsi="Palatino Linotype" w:cs="Palatino Linotype"/>
          <w:sz w:val="22"/>
        </w:rPr>
        <w:t xml:space="preserve">así como </w:t>
      </w:r>
      <w:r w:rsidR="00CC18CA" w:rsidRPr="00DD1A7B">
        <w:rPr>
          <w:rFonts w:ascii="Palatino Linotype" w:eastAsia="Palatino Linotype" w:hAnsi="Palatino Linotype" w:cs="Palatino Linotype"/>
          <w:sz w:val="22"/>
        </w:rPr>
        <w:t>también</w:t>
      </w:r>
      <w:r w:rsidR="00042268" w:rsidRPr="00DD1A7B">
        <w:rPr>
          <w:rFonts w:ascii="Palatino Linotype" w:eastAsia="Palatino Linotype" w:hAnsi="Palatino Linotype" w:cs="Palatino Linotype"/>
          <w:sz w:val="22"/>
        </w:rPr>
        <w:t xml:space="preserve"> cuenta con los </w:t>
      </w:r>
      <w:r w:rsidRPr="00DD1A7B">
        <w:rPr>
          <w:rFonts w:ascii="Palatino Linotype" w:eastAsia="Palatino Linotype" w:hAnsi="Palatino Linotype" w:cs="Palatino Linotype"/>
          <w:sz w:val="22"/>
        </w:rPr>
        <w:t>elementos formales como –la motivación por las que se buscó la información, criterios de búsqueda utilizados y la notificación al órgano interno de</w:t>
      </w:r>
      <w:r w:rsidR="00042268" w:rsidRPr="00DD1A7B">
        <w:rPr>
          <w:rFonts w:ascii="Palatino Linotype" w:eastAsia="Palatino Linotype" w:hAnsi="Palatino Linotype" w:cs="Palatino Linotype"/>
          <w:sz w:val="22"/>
        </w:rPr>
        <w:t xml:space="preserve"> control del sujeto obligado -.</w:t>
      </w:r>
    </w:p>
    <w:p w14:paraId="6B80C349" w14:textId="77777777" w:rsidR="00042268" w:rsidRPr="00DD1A7B" w:rsidRDefault="00042268" w:rsidP="00795D5F">
      <w:pPr>
        <w:tabs>
          <w:tab w:val="left" w:pos="8222"/>
        </w:tabs>
        <w:spacing w:line="360" w:lineRule="auto"/>
        <w:ind w:right="-7"/>
        <w:jc w:val="both"/>
        <w:rPr>
          <w:rFonts w:ascii="Palatino Linotype" w:eastAsia="Palatino Linotype" w:hAnsi="Palatino Linotype" w:cs="Palatino Linotype"/>
          <w:sz w:val="22"/>
        </w:rPr>
      </w:pPr>
    </w:p>
    <w:p w14:paraId="6A87D84E" w14:textId="121CC118" w:rsidR="00795D5F" w:rsidRPr="00DD1A7B" w:rsidRDefault="00042268" w:rsidP="00795D5F">
      <w:pPr>
        <w:tabs>
          <w:tab w:val="left" w:pos="8222"/>
        </w:tabs>
        <w:spacing w:line="360" w:lineRule="auto"/>
        <w:ind w:right="-7"/>
        <w:jc w:val="both"/>
        <w:rPr>
          <w:rFonts w:ascii="Palatino Linotype" w:eastAsia="Palatino Linotype" w:hAnsi="Palatino Linotype" w:cs="Palatino Linotype"/>
          <w:sz w:val="22"/>
        </w:rPr>
      </w:pPr>
      <w:r w:rsidRPr="00DD1A7B">
        <w:rPr>
          <w:rFonts w:ascii="Palatino Linotype" w:eastAsia="Palatino Linotype" w:hAnsi="Palatino Linotype" w:cs="Palatino Linotype"/>
          <w:sz w:val="22"/>
        </w:rPr>
        <w:t>P</w:t>
      </w:r>
      <w:r w:rsidR="00795D5F" w:rsidRPr="00DD1A7B">
        <w:rPr>
          <w:rFonts w:ascii="Palatino Linotype" w:eastAsia="Palatino Linotype" w:hAnsi="Palatino Linotype" w:cs="Palatino Linotype"/>
          <w:sz w:val="22"/>
        </w:rPr>
        <w:t xml:space="preserve">or ello, se advierte que el acuerdo remitido </w:t>
      </w:r>
      <w:r w:rsidRPr="00DD1A7B">
        <w:rPr>
          <w:rFonts w:ascii="Palatino Linotype" w:eastAsia="Palatino Linotype" w:hAnsi="Palatino Linotype" w:cs="Palatino Linotype"/>
          <w:sz w:val="22"/>
        </w:rPr>
        <w:t xml:space="preserve">vía informe justificado </w:t>
      </w:r>
      <w:r w:rsidR="00795D5F" w:rsidRPr="00DD1A7B">
        <w:rPr>
          <w:rFonts w:ascii="Palatino Linotype" w:eastAsia="Palatino Linotype" w:hAnsi="Palatino Linotype" w:cs="Palatino Linotype"/>
          <w:sz w:val="22"/>
        </w:rPr>
        <w:t xml:space="preserve">se encuentra debidamente fundado y motivado, en términos de la Ley de Transparencia y Acceso a la Información Pública del Estado de México y Municipios. </w:t>
      </w:r>
    </w:p>
    <w:p w14:paraId="78820D69" w14:textId="77777777" w:rsidR="00795D5F" w:rsidRPr="00DD1A7B" w:rsidRDefault="00795D5F" w:rsidP="00795D5F">
      <w:pPr>
        <w:spacing w:line="360" w:lineRule="auto"/>
        <w:ind w:right="-93"/>
        <w:jc w:val="both"/>
        <w:rPr>
          <w:rFonts w:ascii="Palatino Linotype" w:eastAsia="Palatino Linotype" w:hAnsi="Palatino Linotype" w:cs="Palatino Linotype"/>
          <w:sz w:val="22"/>
        </w:rPr>
      </w:pPr>
    </w:p>
    <w:p w14:paraId="3DBBB245" w14:textId="36205656" w:rsidR="00042268" w:rsidRPr="00DD1A7B" w:rsidRDefault="00042268" w:rsidP="00042268">
      <w:pPr>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De esta manera, atendiendo que vía informe justificado el Sujeto Obligado, a través de su unidad administrativa competente, remitió el acuerdo por el cual el Comité de Transparencia declara la inexistencia de la información requerida en la solicitud de información, se considera que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64B2DF19" w14:textId="77777777" w:rsidR="00042268" w:rsidRPr="00DD1A7B" w:rsidRDefault="00042268" w:rsidP="00042268">
      <w:pPr>
        <w:spacing w:line="360" w:lineRule="auto"/>
        <w:ind w:right="49"/>
        <w:jc w:val="both"/>
        <w:rPr>
          <w:rFonts w:ascii="Palatino Linotype" w:eastAsia="Palatino Linotype" w:hAnsi="Palatino Linotype" w:cs="Palatino Linotype"/>
          <w:sz w:val="22"/>
          <w:szCs w:val="22"/>
        </w:rPr>
      </w:pPr>
    </w:p>
    <w:p w14:paraId="3D25C0B6" w14:textId="77777777" w:rsidR="00042268" w:rsidRPr="00DD1A7B" w:rsidRDefault="00042268" w:rsidP="00042268">
      <w:pPr>
        <w:spacing w:line="360" w:lineRule="auto"/>
        <w:ind w:right="900" w:firstLine="567"/>
        <w:jc w:val="both"/>
        <w:rPr>
          <w:rFonts w:ascii="Calibri" w:eastAsia="Calibri" w:hAnsi="Calibri" w:cs="Calibri"/>
          <w:sz w:val="22"/>
          <w:szCs w:val="22"/>
        </w:rPr>
      </w:pPr>
      <w:r w:rsidRPr="00DD1A7B">
        <w:rPr>
          <w:rFonts w:ascii="Palatino Linotype" w:eastAsia="Palatino Linotype" w:hAnsi="Palatino Linotype" w:cs="Palatino Linotype"/>
          <w:sz w:val="22"/>
          <w:szCs w:val="22"/>
        </w:rPr>
        <w:t>a) Cuando el sujeto obligado modifique el acto impugnado y;</w:t>
      </w:r>
    </w:p>
    <w:p w14:paraId="6C5EDEE8" w14:textId="77777777" w:rsidR="00042268" w:rsidRPr="00DD1A7B" w:rsidRDefault="00042268" w:rsidP="00042268">
      <w:pPr>
        <w:spacing w:line="360" w:lineRule="auto"/>
        <w:ind w:right="900" w:firstLine="567"/>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b) Cuando el sujeto obligado revoque el acto impugnado.</w:t>
      </w:r>
    </w:p>
    <w:p w14:paraId="0E9A4D7D" w14:textId="77777777" w:rsidR="00042268" w:rsidRPr="00DD1A7B" w:rsidRDefault="00042268" w:rsidP="00042268">
      <w:pPr>
        <w:spacing w:line="360" w:lineRule="auto"/>
        <w:ind w:right="900" w:firstLine="567"/>
        <w:jc w:val="both"/>
        <w:rPr>
          <w:rFonts w:ascii="Calibri" w:eastAsia="Calibri" w:hAnsi="Calibri" w:cs="Calibri"/>
          <w:sz w:val="22"/>
          <w:szCs w:val="22"/>
        </w:rPr>
      </w:pPr>
    </w:p>
    <w:p w14:paraId="509B7AC4"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Quedando en ambos casos el acto combatido sin materia o sin efectos.</w:t>
      </w:r>
    </w:p>
    <w:p w14:paraId="77C1A08B" w14:textId="77777777" w:rsidR="00042268" w:rsidRPr="00DD1A7B" w:rsidRDefault="00042268" w:rsidP="00042268">
      <w:pPr>
        <w:spacing w:line="360" w:lineRule="auto"/>
        <w:jc w:val="both"/>
        <w:rPr>
          <w:rFonts w:ascii="Calibri" w:eastAsia="Calibri" w:hAnsi="Calibri" w:cs="Calibri"/>
          <w:sz w:val="22"/>
          <w:szCs w:val="22"/>
        </w:rPr>
      </w:pPr>
    </w:p>
    <w:p w14:paraId="5A38F18D"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Como se observa de lo anterior, un acto impugnado es </w:t>
      </w:r>
      <w:r w:rsidRPr="00DD1A7B">
        <w:rPr>
          <w:rFonts w:ascii="Palatino Linotype" w:eastAsia="Palatino Linotype" w:hAnsi="Palatino Linotype" w:cs="Palatino Linotype"/>
          <w:b/>
          <w:sz w:val="22"/>
          <w:szCs w:val="22"/>
        </w:rPr>
        <w:t>modificado</w:t>
      </w:r>
      <w:r w:rsidRPr="00DD1A7B">
        <w:rPr>
          <w:rFonts w:ascii="Palatino Linotype" w:eastAsia="Palatino Linotype" w:hAnsi="Palatino Linotype" w:cs="Palatino Linotype"/>
          <w:sz w:val="22"/>
          <w:szCs w:val="22"/>
        </w:rPr>
        <w:t xml:space="preserve"> en aquellos casos en los que el sujeto obligado </w:t>
      </w:r>
      <w:r w:rsidRPr="00DD1A7B">
        <w:rPr>
          <w:rFonts w:ascii="Palatino Linotype" w:eastAsia="Palatino Linotype" w:hAnsi="Palatino Linotype" w:cs="Palatino Linotype"/>
          <w:b/>
          <w:sz w:val="22"/>
          <w:szCs w:val="22"/>
          <w:u w:val="single"/>
        </w:rPr>
        <w:t>subsana las deficiencias que hubiera tenido en primer momento</w:t>
      </w:r>
      <w:r w:rsidRPr="00DD1A7B">
        <w:rPr>
          <w:rFonts w:ascii="Palatino Linotype" w:eastAsia="Palatino Linotype" w:hAnsi="Palatino Linotype" w:cs="Palatino Linotype"/>
          <w:b/>
          <w:sz w:val="22"/>
          <w:szCs w:val="22"/>
        </w:rPr>
        <w:t>,</w:t>
      </w:r>
      <w:r w:rsidRPr="00DD1A7B">
        <w:rPr>
          <w:rFonts w:ascii="Palatino Linotype" w:eastAsia="Palatino Linotype" w:hAnsi="Palatino Linotype" w:cs="Palatino Linotype"/>
          <w:sz w:val="22"/>
          <w:szCs w:val="22"/>
        </w:rPr>
        <w:t xml:space="preserve"> quedando satisfecho el derecho subjetivo accionado por la parte recurrente. </w:t>
      </w:r>
    </w:p>
    <w:p w14:paraId="119CEAE6"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p>
    <w:p w14:paraId="55978E34"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Por lo que hace a la</w:t>
      </w:r>
      <w:r w:rsidRPr="00DD1A7B">
        <w:rPr>
          <w:rFonts w:ascii="Palatino Linotype" w:eastAsia="Palatino Linotype" w:hAnsi="Palatino Linotype" w:cs="Palatino Linotype"/>
          <w:b/>
          <w:sz w:val="22"/>
          <w:szCs w:val="22"/>
        </w:rPr>
        <w:t xml:space="preserve"> revocación</w:t>
      </w:r>
      <w:r w:rsidRPr="00DD1A7B">
        <w:rPr>
          <w:rFonts w:ascii="Palatino Linotype" w:eastAsia="Palatino Linotype" w:hAnsi="Palatino Linotype" w:cs="Palatino Linotype"/>
          <w:sz w:val="22"/>
          <w:szCs w:val="22"/>
        </w:rPr>
        <w:t>, esta se actualiza cuando el sujeto obligado</w:t>
      </w:r>
      <w:r w:rsidRPr="00DD1A7B">
        <w:rPr>
          <w:rFonts w:ascii="Palatino Linotype" w:eastAsia="Palatino Linotype" w:hAnsi="Palatino Linotype" w:cs="Palatino Linotype"/>
          <w:b/>
          <w:sz w:val="22"/>
          <w:szCs w:val="22"/>
        </w:rPr>
        <w:t xml:space="preserve"> </w:t>
      </w:r>
      <w:r w:rsidRPr="00DD1A7B">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323754E1"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p>
    <w:p w14:paraId="0FC01C79"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En ese tenor, un acto impugnado queda sin efectos, cuando aun existiendo jurídicamente ya no genera ninguna consecuencia legal.</w:t>
      </w:r>
    </w:p>
    <w:p w14:paraId="5811148A" w14:textId="77777777" w:rsidR="00042268" w:rsidRPr="00DD1A7B" w:rsidRDefault="00042268" w:rsidP="00042268">
      <w:pPr>
        <w:spacing w:line="360" w:lineRule="auto"/>
        <w:jc w:val="both"/>
        <w:rPr>
          <w:rFonts w:ascii="Palatino Linotype" w:eastAsia="Palatino Linotype" w:hAnsi="Palatino Linotype" w:cs="Palatino Linotype"/>
          <w:sz w:val="22"/>
          <w:szCs w:val="22"/>
        </w:rPr>
      </w:pPr>
    </w:p>
    <w:p w14:paraId="224DD005" w14:textId="357DBD27" w:rsidR="00042268" w:rsidRPr="00DD1A7B" w:rsidRDefault="00042268" w:rsidP="00042268">
      <w:pPr>
        <w:spacing w:line="360" w:lineRule="auto"/>
        <w:ind w:right="49"/>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En tanto, en el presente caso, toda vez que, el Sujeto Obligado mediante informe justificado, a través de su unidad administrativa, colmó el derecho de acceso a la información del particular; pues con la entrega de la declaratoria formal de inexistencia, se deja sin materia el presente recurso de revisión, actualizándose entonces la causal prevista en la fracción III del artículo 192 de la Ley de la Materia vigente en la Entidad. </w:t>
      </w:r>
    </w:p>
    <w:p w14:paraId="31D8B463" w14:textId="77777777" w:rsidR="00773EA5" w:rsidRPr="00DD1A7B" w:rsidRDefault="00773EA5" w:rsidP="00042268">
      <w:pPr>
        <w:spacing w:line="360" w:lineRule="auto"/>
        <w:ind w:right="49"/>
        <w:jc w:val="both"/>
        <w:rPr>
          <w:rFonts w:ascii="Palatino Linotype" w:eastAsia="Palatino Linotype" w:hAnsi="Palatino Linotype" w:cs="Palatino Linotype"/>
          <w:sz w:val="22"/>
          <w:szCs w:val="22"/>
        </w:rPr>
      </w:pPr>
    </w:p>
    <w:p w14:paraId="1B810C4A" w14:textId="135EAB27" w:rsidR="00795D5F" w:rsidRPr="00DD1A7B" w:rsidRDefault="00773EA5" w:rsidP="00773EA5">
      <w:pPr>
        <w:spacing w:line="360" w:lineRule="auto"/>
        <w:ind w:right="49"/>
        <w:jc w:val="center"/>
        <w:rPr>
          <w:rFonts w:ascii="Palatino Linotype" w:eastAsia="Palatino Linotype" w:hAnsi="Palatino Linotype" w:cs="Palatino Linotype"/>
          <w:b/>
        </w:rPr>
      </w:pPr>
      <w:r w:rsidRPr="00DD1A7B">
        <w:rPr>
          <w:rFonts w:ascii="Palatino Linotype" w:eastAsia="Palatino Linotype" w:hAnsi="Palatino Linotype" w:cs="Palatino Linotype"/>
          <w:b/>
        </w:rPr>
        <w:t>III.</w:t>
      </w:r>
      <w:r w:rsidRPr="00DD1A7B">
        <w:rPr>
          <w:rFonts w:ascii="Palatino Linotype" w:eastAsia="Palatino Linotype" w:hAnsi="Palatino Linotype" w:cs="Palatino Linotype"/>
          <w:b/>
        </w:rPr>
        <w:tab/>
        <w:t>R E S U E L V E:</w:t>
      </w:r>
    </w:p>
    <w:p w14:paraId="0E2153B8" w14:textId="77777777" w:rsidR="00773EA5" w:rsidRPr="00DD1A7B" w:rsidRDefault="00773EA5" w:rsidP="00795D5F">
      <w:pPr>
        <w:spacing w:line="360" w:lineRule="auto"/>
        <w:jc w:val="both"/>
        <w:rPr>
          <w:rFonts w:ascii="Palatino Linotype" w:eastAsia="Palatino Linotype" w:hAnsi="Palatino Linotype" w:cs="Palatino Linotype"/>
          <w:sz w:val="22"/>
        </w:rPr>
      </w:pPr>
    </w:p>
    <w:p w14:paraId="3A67AB02" w14:textId="56B49F76" w:rsidR="00042268" w:rsidRPr="00DD1A7B" w:rsidRDefault="00042268" w:rsidP="00042268">
      <w:pPr>
        <w:spacing w:line="360" w:lineRule="auto"/>
        <w:jc w:val="both"/>
        <w:rPr>
          <w:rFonts w:ascii="Palatino Linotype" w:eastAsia="Palatino Linotype" w:hAnsi="Palatino Linotype" w:cs="Palatino Linotype"/>
          <w:sz w:val="22"/>
        </w:rPr>
      </w:pPr>
      <w:r w:rsidRPr="00DD1A7B">
        <w:rPr>
          <w:rFonts w:ascii="Palatino Linotype" w:eastAsia="Palatino Linotype" w:hAnsi="Palatino Linotype" w:cs="Palatino Linotype"/>
          <w:b/>
          <w:sz w:val="22"/>
        </w:rPr>
        <w:t xml:space="preserve">PRIMERO. </w:t>
      </w:r>
      <w:r w:rsidRPr="00DD1A7B">
        <w:rPr>
          <w:rFonts w:ascii="Palatino Linotype" w:eastAsia="Palatino Linotype" w:hAnsi="Palatino Linotype" w:cs="Palatino Linotype"/>
          <w:sz w:val="22"/>
        </w:rPr>
        <w:t xml:space="preserve">Se </w:t>
      </w:r>
      <w:r w:rsidRPr="00DD1A7B">
        <w:rPr>
          <w:rFonts w:ascii="Palatino Linotype" w:eastAsia="Palatino Linotype" w:hAnsi="Palatino Linotype" w:cs="Palatino Linotype"/>
          <w:b/>
          <w:sz w:val="22"/>
        </w:rPr>
        <w:t xml:space="preserve">SOBRESEE </w:t>
      </w:r>
      <w:r w:rsidRPr="00DD1A7B">
        <w:rPr>
          <w:rFonts w:ascii="Palatino Linotype" w:eastAsia="Palatino Linotype" w:hAnsi="Palatino Linotype" w:cs="Palatino Linotype"/>
          <w:sz w:val="22"/>
        </w:rPr>
        <w:t>el Recurso de Revisión número</w:t>
      </w:r>
      <w:r w:rsidRPr="00DD1A7B">
        <w:rPr>
          <w:rFonts w:ascii="Palatino Linotype" w:eastAsia="Palatino Linotype" w:hAnsi="Palatino Linotype" w:cs="Palatino Linotype"/>
          <w:b/>
          <w:sz w:val="22"/>
        </w:rPr>
        <w:t xml:space="preserve"> </w:t>
      </w:r>
      <w:r w:rsidR="00773EA5" w:rsidRPr="00DD1A7B">
        <w:rPr>
          <w:rFonts w:ascii="Palatino Linotype" w:eastAsia="Palatino Linotype" w:hAnsi="Palatino Linotype" w:cs="Palatino Linotype"/>
          <w:b/>
          <w:sz w:val="22"/>
        </w:rPr>
        <w:t>08364</w:t>
      </w:r>
      <w:r w:rsidRPr="00DD1A7B">
        <w:rPr>
          <w:rFonts w:ascii="Palatino Linotype" w:eastAsia="Palatino Linotype" w:hAnsi="Palatino Linotype" w:cs="Palatino Linotype"/>
          <w:b/>
          <w:sz w:val="22"/>
        </w:rPr>
        <w:t>/INFOEM/IP/RR/2025</w:t>
      </w:r>
      <w:r w:rsidRPr="00DD1A7B">
        <w:rPr>
          <w:rFonts w:ascii="Palatino Linotype" w:eastAsia="Palatino Linotype" w:hAnsi="Palatino Linotype" w:cs="Palatino Linotype"/>
          <w:sz w:val="22"/>
        </w:rPr>
        <w:t xml:space="preserve">, porque el </w:t>
      </w:r>
      <w:r w:rsidRPr="00DD1A7B">
        <w:rPr>
          <w:rFonts w:ascii="Palatino Linotype" w:eastAsia="Palatino Linotype" w:hAnsi="Palatino Linotype" w:cs="Palatino Linotype"/>
          <w:b/>
          <w:sz w:val="22"/>
        </w:rPr>
        <w:t xml:space="preserve">SUJETO OBLIGADO </w:t>
      </w:r>
      <w:r w:rsidRPr="00DD1A7B">
        <w:rPr>
          <w:rFonts w:ascii="Palatino Linotype" w:eastAsia="Palatino Linotype" w:hAnsi="Palatino Linotype" w:cs="Palatino Linotype"/>
          <w:sz w:val="22"/>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DD1A7B">
        <w:rPr>
          <w:rFonts w:ascii="Palatino Linotype" w:eastAsia="Palatino Linotype" w:hAnsi="Palatino Linotype" w:cs="Palatino Linotype"/>
          <w:b/>
          <w:sz w:val="22"/>
        </w:rPr>
        <w:t>Considerando Tercero</w:t>
      </w:r>
      <w:r w:rsidRPr="00DD1A7B">
        <w:rPr>
          <w:rFonts w:ascii="Palatino Linotype" w:eastAsia="Palatino Linotype" w:hAnsi="Palatino Linotype" w:cs="Palatino Linotype"/>
          <w:sz w:val="22"/>
        </w:rPr>
        <w:t xml:space="preserve"> de la presente resolución.</w:t>
      </w:r>
    </w:p>
    <w:p w14:paraId="361847F7" w14:textId="77777777" w:rsidR="00042268" w:rsidRPr="00DD1A7B" w:rsidRDefault="00042268" w:rsidP="00042268">
      <w:pPr>
        <w:spacing w:line="360" w:lineRule="auto"/>
        <w:jc w:val="both"/>
        <w:rPr>
          <w:rFonts w:ascii="Palatino Linotype" w:eastAsia="Palatino Linotype" w:hAnsi="Palatino Linotype" w:cs="Palatino Linotype"/>
          <w:sz w:val="22"/>
        </w:rPr>
      </w:pPr>
    </w:p>
    <w:p w14:paraId="5C8D9935" w14:textId="77777777" w:rsidR="00042268" w:rsidRPr="00DD1A7B" w:rsidRDefault="00042268" w:rsidP="00042268">
      <w:pPr>
        <w:spacing w:line="360" w:lineRule="auto"/>
        <w:jc w:val="both"/>
        <w:rPr>
          <w:rFonts w:ascii="Palatino Linotype" w:eastAsia="Palatino Linotype" w:hAnsi="Palatino Linotype" w:cs="Palatino Linotype"/>
          <w:b/>
          <w:sz w:val="22"/>
        </w:rPr>
      </w:pPr>
      <w:r w:rsidRPr="00DD1A7B">
        <w:rPr>
          <w:rFonts w:ascii="Palatino Linotype" w:eastAsia="Palatino Linotype" w:hAnsi="Palatino Linotype" w:cs="Palatino Linotype"/>
          <w:b/>
          <w:sz w:val="22"/>
        </w:rPr>
        <w:t xml:space="preserve">SEGUNDO. Notifíquese </w:t>
      </w:r>
      <w:r w:rsidRPr="00DD1A7B">
        <w:rPr>
          <w:rFonts w:ascii="Palatino Linotype" w:eastAsia="Palatino Linotype" w:hAnsi="Palatino Linotype" w:cs="Palatino Linotype"/>
          <w:b/>
          <w:bCs/>
          <w:sz w:val="22"/>
        </w:rPr>
        <w:t>a través del Sistema de Acceso a la Información Mexiquense</w:t>
      </w:r>
      <w:r w:rsidRPr="00DD1A7B">
        <w:rPr>
          <w:rFonts w:ascii="Palatino Linotype" w:eastAsia="Palatino Linotype" w:hAnsi="Palatino Linotype" w:cs="Palatino Linotype"/>
          <w:sz w:val="22"/>
        </w:rPr>
        <w:t xml:space="preserve"> </w:t>
      </w:r>
      <w:r w:rsidRPr="00DD1A7B">
        <w:rPr>
          <w:rFonts w:ascii="Palatino Linotype" w:eastAsia="Palatino Linotype" w:hAnsi="Palatino Linotype" w:cs="Palatino Linotype"/>
          <w:b/>
          <w:sz w:val="22"/>
        </w:rPr>
        <w:t xml:space="preserve">(SAIMEX) </w:t>
      </w:r>
      <w:r w:rsidRPr="00DD1A7B">
        <w:rPr>
          <w:rFonts w:ascii="Palatino Linotype" w:eastAsia="Palatino Linotype" w:hAnsi="Palatino Linotype" w:cs="Palatino Linotype"/>
          <w:sz w:val="22"/>
        </w:rPr>
        <w:t>la presente resolución a la Titular de la Unidad de Transparencia del</w:t>
      </w:r>
      <w:r w:rsidRPr="00DD1A7B">
        <w:rPr>
          <w:rFonts w:ascii="Palatino Linotype" w:eastAsia="Palatino Linotype" w:hAnsi="Palatino Linotype" w:cs="Palatino Linotype"/>
          <w:b/>
          <w:sz w:val="22"/>
        </w:rPr>
        <w:t xml:space="preserve"> SUJETO OBLIGADO. </w:t>
      </w:r>
    </w:p>
    <w:p w14:paraId="3F3B7539" w14:textId="77777777" w:rsidR="00042268" w:rsidRPr="00DD1A7B" w:rsidRDefault="00042268" w:rsidP="00042268">
      <w:pPr>
        <w:spacing w:line="360" w:lineRule="auto"/>
        <w:jc w:val="both"/>
        <w:rPr>
          <w:rFonts w:ascii="Palatino Linotype" w:eastAsia="Palatino Linotype" w:hAnsi="Palatino Linotype" w:cs="Palatino Linotype"/>
          <w:b/>
          <w:sz w:val="22"/>
        </w:rPr>
      </w:pPr>
    </w:p>
    <w:p w14:paraId="670CE5EB" w14:textId="77777777" w:rsidR="00042268" w:rsidRPr="00DD1A7B" w:rsidRDefault="00042268" w:rsidP="00042268">
      <w:pPr>
        <w:spacing w:line="360" w:lineRule="auto"/>
        <w:jc w:val="both"/>
        <w:rPr>
          <w:rFonts w:ascii="Palatino Linotype" w:eastAsia="Palatino Linotype" w:hAnsi="Palatino Linotype" w:cs="Palatino Linotype"/>
          <w:sz w:val="22"/>
        </w:rPr>
      </w:pPr>
      <w:r w:rsidRPr="00DD1A7B">
        <w:rPr>
          <w:rFonts w:ascii="Palatino Linotype" w:eastAsia="Palatino Linotype" w:hAnsi="Palatino Linotype" w:cs="Palatino Linotype"/>
          <w:b/>
          <w:sz w:val="22"/>
        </w:rPr>
        <w:t xml:space="preserve">TERCERO. Notifíquese a través </w:t>
      </w:r>
      <w:r w:rsidRPr="00DD1A7B">
        <w:rPr>
          <w:rFonts w:ascii="Palatino Linotype" w:eastAsia="Palatino Linotype" w:hAnsi="Palatino Linotype" w:cs="Palatino Linotype"/>
          <w:b/>
          <w:bCs/>
          <w:sz w:val="22"/>
        </w:rPr>
        <w:t xml:space="preserve">del Sistema de Acceso a la Información Mexiquense (SAIMEX) </w:t>
      </w:r>
      <w:r w:rsidRPr="00DD1A7B">
        <w:rPr>
          <w:rFonts w:ascii="Palatino Linotype" w:eastAsia="Palatino Linotype" w:hAnsi="Palatino Linotype" w:cs="Palatino Linotype"/>
          <w:sz w:val="22"/>
        </w:rPr>
        <w:t xml:space="preserve">a la parte </w:t>
      </w:r>
      <w:r w:rsidRPr="00DD1A7B">
        <w:rPr>
          <w:rFonts w:ascii="Palatino Linotype" w:eastAsia="Palatino Linotype" w:hAnsi="Palatino Linotype" w:cs="Palatino Linotype"/>
          <w:b/>
          <w:sz w:val="22"/>
        </w:rPr>
        <w:t>RECURRENTE,</w:t>
      </w:r>
      <w:r w:rsidRPr="00DD1A7B">
        <w:rPr>
          <w:rFonts w:ascii="Palatino Linotype" w:eastAsia="Palatino Linotype" w:hAnsi="Palatino Linotype" w:cs="Palatino Linotype"/>
          <w:sz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12B08A0" w14:textId="77777777" w:rsidR="00822D7A" w:rsidRPr="00DD1A7B" w:rsidRDefault="00822D7A" w:rsidP="00E46813">
      <w:pPr>
        <w:spacing w:line="360" w:lineRule="auto"/>
        <w:jc w:val="both"/>
        <w:rPr>
          <w:rFonts w:ascii="Palatino Linotype" w:eastAsia="Palatino Linotype" w:hAnsi="Palatino Linotype" w:cs="Palatino Linotype"/>
          <w:sz w:val="22"/>
          <w:szCs w:val="22"/>
        </w:rPr>
      </w:pPr>
    </w:p>
    <w:p w14:paraId="0D8C7B7F" w14:textId="5F1A4AD1" w:rsidR="00E46813" w:rsidRPr="00F763CE" w:rsidRDefault="00E46813" w:rsidP="00E46813">
      <w:pPr>
        <w:spacing w:line="360" w:lineRule="auto"/>
        <w:jc w:val="both"/>
        <w:rPr>
          <w:rFonts w:ascii="Palatino Linotype" w:eastAsia="Palatino Linotype" w:hAnsi="Palatino Linotype" w:cs="Palatino Linotype"/>
          <w:sz w:val="22"/>
          <w:szCs w:val="22"/>
        </w:rPr>
      </w:pPr>
      <w:r w:rsidRPr="00DD1A7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22D7A" w:rsidRPr="00DD1A7B">
        <w:rPr>
          <w:rFonts w:ascii="Palatino Linotype" w:eastAsia="Palatino Linotype" w:hAnsi="Palatino Linotype" w:cs="Palatino Linotype"/>
          <w:sz w:val="22"/>
          <w:szCs w:val="22"/>
        </w:rPr>
        <w:t>SEXTA</w:t>
      </w:r>
      <w:r w:rsidRPr="00DD1A7B">
        <w:rPr>
          <w:rFonts w:ascii="Palatino Linotype" w:eastAsia="Palatino Linotype" w:hAnsi="Palatino Linotype" w:cs="Palatino Linotype"/>
          <w:sz w:val="22"/>
          <w:szCs w:val="22"/>
        </w:rPr>
        <w:t xml:space="preserve"> SESIÓN ORDINARIA, CELEBRADA EL </w:t>
      </w:r>
      <w:r w:rsidR="00822D7A" w:rsidRPr="00DD1A7B">
        <w:rPr>
          <w:rFonts w:ascii="Palatino Linotype" w:eastAsia="Palatino Linotype" w:hAnsi="Palatino Linotype" w:cs="Palatino Linotype"/>
          <w:sz w:val="22"/>
          <w:szCs w:val="22"/>
        </w:rPr>
        <w:t>DIECIOCHO</w:t>
      </w:r>
      <w:r w:rsidR="00910D56" w:rsidRPr="00DD1A7B">
        <w:rPr>
          <w:rFonts w:ascii="Palatino Linotype" w:eastAsia="Palatino Linotype" w:hAnsi="Palatino Linotype" w:cs="Palatino Linotype"/>
          <w:sz w:val="22"/>
          <w:szCs w:val="22"/>
        </w:rPr>
        <w:t xml:space="preserve"> DE FEBRERO</w:t>
      </w:r>
      <w:r w:rsidR="00FF104A" w:rsidRPr="00DD1A7B">
        <w:rPr>
          <w:rFonts w:ascii="Palatino Linotype" w:eastAsia="Palatino Linotype" w:hAnsi="Palatino Linotype" w:cs="Palatino Linotype"/>
          <w:sz w:val="22"/>
          <w:szCs w:val="22"/>
        </w:rPr>
        <w:t xml:space="preserve"> DE DOS MIL VEINTISEIS</w:t>
      </w:r>
      <w:r w:rsidRPr="00DD1A7B">
        <w:rPr>
          <w:rFonts w:ascii="Palatino Linotype" w:eastAsia="Palatino Linotype" w:hAnsi="Palatino Linotype" w:cs="Palatino Linotype"/>
          <w:sz w:val="22"/>
          <w:szCs w:val="22"/>
        </w:rPr>
        <w:t>, ANTE EL SECRETARIO TÉCNICO DEL PLENO ALEXIS TAPIA RAMÍREZ.</w:t>
      </w:r>
      <w:r w:rsidRPr="00F763CE">
        <w:rPr>
          <w:rFonts w:ascii="Palatino Linotype" w:eastAsia="Palatino Linotype" w:hAnsi="Palatino Linotype" w:cs="Palatino Linotype"/>
          <w:sz w:val="22"/>
          <w:szCs w:val="22"/>
        </w:rPr>
        <w:t xml:space="preserve"> </w:t>
      </w:r>
    </w:p>
    <w:p w14:paraId="71B96CD4" w14:textId="3D32F32B" w:rsidR="00566EB9" w:rsidRPr="00F763CE"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F763CE" w:rsidRDefault="00566EB9">
      <w:pPr>
        <w:rPr>
          <w:rFonts w:ascii="Palatino Linotype" w:eastAsia="Palatino Linotype" w:hAnsi="Palatino Linotype" w:cs="Palatino Linotype"/>
          <w:sz w:val="22"/>
          <w:szCs w:val="22"/>
        </w:rPr>
      </w:pPr>
      <w:bookmarkStart w:id="9" w:name="_heading=h.17dp8vu" w:colFirst="0" w:colLast="0"/>
      <w:bookmarkEnd w:id="9"/>
    </w:p>
    <w:p w14:paraId="136F50F6"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F763CE" w:rsidRDefault="00566EB9">
      <w:pPr>
        <w:spacing w:line="360" w:lineRule="auto"/>
        <w:jc w:val="both"/>
        <w:rPr>
          <w:rFonts w:ascii="Palatino Linotype" w:eastAsia="Palatino Linotype" w:hAnsi="Palatino Linotype" w:cs="Palatino Linotype"/>
          <w:sz w:val="22"/>
          <w:szCs w:val="22"/>
        </w:rPr>
      </w:pPr>
      <w:bookmarkStart w:id="10" w:name="_heading=h.1t3h5sf" w:colFirst="0" w:colLast="0"/>
      <w:bookmarkEnd w:id="10"/>
    </w:p>
    <w:p w14:paraId="20B4F970"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F763CE" w:rsidRDefault="00566EB9">
      <w:pPr>
        <w:spacing w:line="360" w:lineRule="auto"/>
        <w:jc w:val="both"/>
        <w:rPr>
          <w:rFonts w:ascii="Palatino Linotype" w:eastAsia="Palatino Linotype" w:hAnsi="Palatino Linotype" w:cs="Palatino Linotype"/>
          <w:sz w:val="22"/>
          <w:szCs w:val="22"/>
        </w:rPr>
      </w:pPr>
    </w:p>
    <w:p w14:paraId="1A365A84" w14:textId="77777777" w:rsidR="00016D4B" w:rsidRPr="00F763CE" w:rsidRDefault="00016D4B">
      <w:pPr>
        <w:spacing w:line="360" w:lineRule="auto"/>
        <w:jc w:val="both"/>
        <w:rPr>
          <w:rFonts w:ascii="Palatino Linotype" w:eastAsia="Palatino Linotype" w:hAnsi="Palatino Linotype" w:cs="Palatino Linotype"/>
          <w:sz w:val="22"/>
          <w:szCs w:val="22"/>
        </w:rPr>
      </w:pPr>
    </w:p>
    <w:sectPr w:rsidR="00016D4B" w:rsidRPr="00F763CE">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8505F" w14:textId="77777777" w:rsidR="00245B9B" w:rsidRDefault="00245B9B">
      <w:r>
        <w:separator/>
      </w:r>
    </w:p>
  </w:endnote>
  <w:endnote w:type="continuationSeparator" w:id="0">
    <w:p w14:paraId="6D4991B0" w14:textId="77777777" w:rsidR="00245B9B" w:rsidRDefault="0024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0921FF49" w:rsidR="00795D5F" w:rsidRDefault="00795D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F2CF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F2CFB">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5EA14AB" w14:textId="77777777" w:rsidR="00795D5F" w:rsidRDefault="00795D5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52DDEE67" w:rsidR="00795D5F" w:rsidRDefault="00795D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F2CF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F2CFB">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8844A60" w14:textId="77777777" w:rsidR="00795D5F" w:rsidRDefault="00795D5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2F6B" w14:textId="77777777" w:rsidR="00245B9B" w:rsidRDefault="00245B9B">
      <w:r>
        <w:separator/>
      </w:r>
    </w:p>
  </w:footnote>
  <w:footnote w:type="continuationSeparator" w:id="0">
    <w:p w14:paraId="67A28691" w14:textId="77777777" w:rsidR="00245B9B" w:rsidRDefault="00245B9B">
      <w:r>
        <w:continuationSeparator/>
      </w:r>
    </w:p>
  </w:footnote>
  <w:footnote w:id="1">
    <w:p w14:paraId="22B13FC6" w14:textId="77777777" w:rsidR="00795D5F" w:rsidRDefault="00795D5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795D5F" w:rsidRDefault="00795D5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795D5F" w:rsidRDefault="00795D5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795D5F" w14:paraId="7556AAA7" w14:textId="77777777">
      <w:tc>
        <w:tcPr>
          <w:tcW w:w="2489" w:type="dxa"/>
          <w:shd w:val="clear" w:color="auto" w:fill="auto"/>
        </w:tcPr>
        <w:p w14:paraId="456E930D" w14:textId="77777777" w:rsidR="00795D5F" w:rsidRDefault="00795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8225F63" w:rsidR="00795D5F" w:rsidRDefault="00795D5F" w:rsidP="001C252D">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8364</w:t>
          </w:r>
          <w:r w:rsidRPr="00AD0BFE">
            <w:rPr>
              <w:rFonts w:ascii="Palatino Linotype" w:eastAsia="Palatino Linotype" w:hAnsi="Palatino Linotype" w:cs="Palatino Linotype"/>
              <w:b/>
              <w:color w:val="000000" w:themeColor="text1"/>
              <w:sz w:val="22"/>
              <w:szCs w:val="22"/>
            </w:rPr>
            <w:t>/INFOEM/IP/RR/2025</w:t>
          </w:r>
        </w:p>
      </w:tc>
    </w:tr>
    <w:tr w:rsidR="00795D5F" w14:paraId="625B5BC5" w14:textId="77777777">
      <w:trPr>
        <w:trHeight w:val="228"/>
      </w:trPr>
      <w:tc>
        <w:tcPr>
          <w:tcW w:w="2489" w:type="dxa"/>
          <w:shd w:val="clear" w:color="auto" w:fill="auto"/>
          <w:vAlign w:val="center"/>
        </w:tcPr>
        <w:p w14:paraId="18DDCAF9" w14:textId="77777777" w:rsidR="00795D5F" w:rsidRDefault="00795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8C3BCD7" w:rsidR="00795D5F" w:rsidRDefault="00795D5F" w:rsidP="008279BF">
          <w:pPr>
            <w:ind w:left="-45" w:right="1586"/>
            <w:jc w:val="both"/>
            <w:rPr>
              <w:rFonts w:ascii="Palatino Linotype" w:eastAsia="Palatino Linotype" w:hAnsi="Palatino Linotype" w:cs="Palatino Linotype"/>
              <w:b/>
              <w:sz w:val="22"/>
              <w:szCs w:val="22"/>
            </w:rPr>
          </w:pPr>
          <w:r w:rsidRPr="0067755B">
            <w:rPr>
              <w:rFonts w:ascii="Palatino Linotype" w:eastAsia="Palatino Linotype" w:hAnsi="Palatino Linotype" w:cs="Palatino Linotype"/>
              <w:b/>
              <w:bCs/>
              <w:sz w:val="22"/>
              <w:szCs w:val="22"/>
            </w:rPr>
            <w:t>Ayuntamiento de Ecatepec de Morelos</w:t>
          </w:r>
        </w:p>
      </w:tc>
    </w:tr>
    <w:tr w:rsidR="00795D5F" w14:paraId="5A94D834" w14:textId="77777777">
      <w:tc>
        <w:tcPr>
          <w:tcW w:w="2489" w:type="dxa"/>
          <w:shd w:val="clear" w:color="auto" w:fill="auto"/>
          <w:vAlign w:val="center"/>
        </w:tcPr>
        <w:p w14:paraId="65DC8F86" w14:textId="77777777" w:rsidR="00795D5F" w:rsidRDefault="00795D5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795D5F" w:rsidRDefault="00795D5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795D5F" w:rsidRDefault="00795D5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795D5F" w:rsidRDefault="00795D5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795D5F" w14:paraId="626C0E2F" w14:textId="77777777">
      <w:tc>
        <w:tcPr>
          <w:tcW w:w="2551" w:type="dxa"/>
          <w:shd w:val="clear" w:color="auto" w:fill="auto"/>
          <w:vAlign w:val="center"/>
        </w:tcPr>
        <w:p w14:paraId="588E5159" w14:textId="77777777" w:rsidR="00795D5F" w:rsidRDefault="00795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49FBA159" w:rsidR="00795D5F" w:rsidRDefault="00795D5F" w:rsidP="001C252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08364/INFOEM/IP/RR/2025</w:t>
          </w:r>
        </w:p>
      </w:tc>
    </w:tr>
    <w:tr w:rsidR="00795D5F" w14:paraId="600191AD" w14:textId="77777777">
      <w:trPr>
        <w:trHeight w:val="130"/>
      </w:trPr>
      <w:tc>
        <w:tcPr>
          <w:tcW w:w="2551" w:type="dxa"/>
          <w:shd w:val="clear" w:color="auto" w:fill="auto"/>
          <w:vAlign w:val="center"/>
        </w:tcPr>
        <w:p w14:paraId="66691596" w14:textId="77777777" w:rsidR="00795D5F" w:rsidRDefault="00795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59DADE2" w:rsidR="00795D5F" w:rsidRDefault="005F2CFB" w:rsidP="005F2CFB">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 XXXXXX XXXXXXX XXXXXX </w:t>
          </w:r>
        </w:p>
      </w:tc>
    </w:tr>
    <w:tr w:rsidR="00795D5F" w14:paraId="68112254" w14:textId="77777777">
      <w:trPr>
        <w:trHeight w:val="228"/>
      </w:trPr>
      <w:tc>
        <w:tcPr>
          <w:tcW w:w="2551" w:type="dxa"/>
          <w:shd w:val="clear" w:color="auto" w:fill="auto"/>
          <w:vAlign w:val="center"/>
        </w:tcPr>
        <w:p w14:paraId="373E7A5B" w14:textId="77777777" w:rsidR="00795D5F" w:rsidRDefault="00795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80AA22C" w:rsidR="00795D5F" w:rsidRDefault="00795D5F" w:rsidP="009E4671">
          <w:pPr>
            <w:ind w:left="-45" w:right="1586"/>
            <w:jc w:val="both"/>
            <w:rPr>
              <w:rFonts w:ascii="Palatino Linotype" w:eastAsia="Palatino Linotype" w:hAnsi="Palatino Linotype" w:cs="Palatino Linotype"/>
              <w:b/>
              <w:sz w:val="22"/>
              <w:szCs w:val="22"/>
            </w:rPr>
          </w:pPr>
          <w:r w:rsidRPr="0067755B">
            <w:rPr>
              <w:rFonts w:ascii="Palatino Linotype" w:eastAsia="Palatino Linotype" w:hAnsi="Palatino Linotype" w:cs="Palatino Linotype"/>
              <w:b/>
              <w:bCs/>
              <w:sz w:val="22"/>
              <w:szCs w:val="22"/>
            </w:rPr>
            <w:t>Ayuntamiento de Ecatepec de Morelos</w:t>
          </w:r>
        </w:p>
      </w:tc>
    </w:tr>
    <w:tr w:rsidR="00795D5F" w14:paraId="38DC658C" w14:textId="77777777">
      <w:tc>
        <w:tcPr>
          <w:tcW w:w="2551" w:type="dxa"/>
          <w:shd w:val="clear" w:color="auto" w:fill="auto"/>
          <w:vAlign w:val="center"/>
        </w:tcPr>
        <w:p w14:paraId="745EE03B" w14:textId="77777777" w:rsidR="00795D5F" w:rsidRDefault="00795D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795D5F" w:rsidRDefault="00795D5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795D5F" w:rsidRDefault="00795D5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795D5F" w:rsidRDefault="00795D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E3"/>
    <w:multiLevelType w:val="hybridMultilevel"/>
    <w:tmpl w:val="F8DA54E0"/>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7B2C8A"/>
    <w:multiLevelType w:val="hybridMultilevel"/>
    <w:tmpl w:val="D148781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542AB"/>
    <w:multiLevelType w:val="hybridMultilevel"/>
    <w:tmpl w:val="9D764E2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BB71DF8"/>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934EA7"/>
    <w:multiLevelType w:val="hybridMultilevel"/>
    <w:tmpl w:val="1F987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273E95"/>
    <w:multiLevelType w:val="multilevel"/>
    <w:tmpl w:val="2124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3"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0536F44"/>
    <w:multiLevelType w:val="multilevel"/>
    <w:tmpl w:val="8034C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7432956"/>
    <w:multiLevelType w:val="multilevel"/>
    <w:tmpl w:val="94BA4950"/>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Symbol" w:hAnsi="Symbol"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4E8E631A"/>
    <w:multiLevelType w:val="multilevel"/>
    <w:tmpl w:val="50125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0520E93"/>
    <w:multiLevelType w:val="multilevel"/>
    <w:tmpl w:val="A0B856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8"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8B369E"/>
    <w:multiLevelType w:val="hybridMultilevel"/>
    <w:tmpl w:val="1512996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6C2A6884"/>
    <w:multiLevelType w:val="multilevel"/>
    <w:tmpl w:val="9E7691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C36226E"/>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C32B8B"/>
    <w:multiLevelType w:val="hybridMultilevel"/>
    <w:tmpl w:val="431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46"/>
  </w:num>
  <w:num w:numId="4">
    <w:abstractNumId w:val="44"/>
  </w:num>
  <w:num w:numId="5">
    <w:abstractNumId w:val="25"/>
  </w:num>
  <w:num w:numId="6">
    <w:abstractNumId w:val="5"/>
  </w:num>
  <w:num w:numId="7">
    <w:abstractNumId w:val="27"/>
  </w:num>
  <w:num w:numId="8">
    <w:abstractNumId w:val="13"/>
  </w:num>
  <w:num w:numId="9">
    <w:abstractNumId w:val="26"/>
  </w:num>
  <w:num w:numId="10">
    <w:abstractNumId w:val="32"/>
  </w:num>
  <w:num w:numId="11">
    <w:abstractNumId w:val="16"/>
  </w:num>
  <w:num w:numId="12">
    <w:abstractNumId w:val="31"/>
  </w:num>
  <w:num w:numId="13">
    <w:abstractNumId w:val="21"/>
  </w:num>
  <w:num w:numId="14">
    <w:abstractNumId w:val="24"/>
  </w:num>
  <w:num w:numId="15">
    <w:abstractNumId w:val="39"/>
  </w:num>
  <w:num w:numId="16">
    <w:abstractNumId w:val="30"/>
  </w:num>
  <w:num w:numId="17">
    <w:abstractNumId w:val="8"/>
  </w:num>
  <w:num w:numId="18">
    <w:abstractNumId w:val="9"/>
  </w:num>
  <w:num w:numId="19">
    <w:abstractNumId w:val="11"/>
  </w:num>
  <w:num w:numId="20">
    <w:abstractNumId w:val="19"/>
  </w:num>
  <w:num w:numId="21">
    <w:abstractNumId w:val="14"/>
  </w:num>
  <w:num w:numId="22">
    <w:abstractNumId w:val="45"/>
  </w:num>
  <w:num w:numId="23">
    <w:abstractNumId w:val="22"/>
  </w:num>
  <w:num w:numId="24">
    <w:abstractNumId w:val="38"/>
  </w:num>
  <w:num w:numId="25">
    <w:abstractNumId w:val="28"/>
  </w:num>
  <w:num w:numId="26">
    <w:abstractNumId w:val="43"/>
  </w:num>
  <w:num w:numId="27">
    <w:abstractNumId w:val="34"/>
  </w:num>
  <w:num w:numId="28">
    <w:abstractNumId w:val="17"/>
  </w:num>
  <w:num w:numId="29">
    <w:abstractNumId w:val="10"/>
  </w:num>
  <w:num w:numId="30">
    <w:abstractNumId w:val="33"/>
  </w:num>
  <w:num w:numId="31">
    <w:abstractNumId w:val="4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4"/>
  </w:num>
  <w:num w:numId="36">
    <w:abstractNumId w:val="41"/>
  </w:num>
  <w:num w:numId="37">
    <w:abstractNumId w:val="20"/>
  </w:num>
  <w:num w:numId="38">
    <w:abstractNumId w:val="7"/>
  </w:num>
  <w:num w:numId="39">
    <w:abstractNumId w:val="35"/>
  </w:num>
  <w:num w:numId="40">
    <w:abstractNumId w:val="23"/>
  </w:num>
  <w:num w:numId="41">
    <w:abstractNumId w:val="3"/>
  </w:num>
  <w:num w:numId="42">
    <w:abstractNumId w:val="0"/>
  </w:num>
  <w:num w:numId="43">
    <w:abstractNumId w:val="40"/>
  </w:num>
  <w:num w:numId="44">
    <w:abstractNumId w:val="37"/>
  </w:num>
  <w:num w:numId="45">
    <w:abstractNumId w:val="6"/>
  </w:num>
  <w:num w:numId="46">
    <w:abstractNumId w:val="2"/>
  </w:num>
  <w:num w:numId="47">
    <w:abstractNumId w:val="47"/>
  </w:num>
  <w:num w:numId="48">
    <w:abstractNumId w:val="29"/>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AC"/>
    <w:rsid w:val="0001513E"/>
    <w:rsid w:val="00016D4B"/>
    <w:rsid w:val="00024AF6"/>
    <w:rsid w:val="0002687C"/>
    <w:rsid w:val="00030053"/>
    <w:rsid w:val="00031214"/>
    <w:rsid w:val="00036313"/>
    <w:rsid w:val="00042268"/>
    <w:rsid w:val="00045AA6"/>
    <w:rsid w:val="0005005A"/>
    <w:rsid w:val="0005165A"/>
    <w:rsid w:val="0008100A"/>
    <w:rsid w:val="00083AB3"/>
    <w:rsid w:val="00086FD5"/>
    <w:rsid w:val="00097DB7"/>
    <w:rsid w:val="000A2FD6"/>
    <w:rsid w:val="000A3BFD"/>
    <w:rsid w:val="000A7763"/>
    <w:rsid w:val="000B0012"/>
    <w:rsid w:val="000C4823"/>
    <w:rsid w:val="000D7A87"/>
    <w:rsid w:val="000E5E7B"/>
    <w:rsid w:val="000E7152"/>
    <w:rsid w:val="000F6EFA"/>
    <w:rsid w:val="001015A6"/>
    <w:rsid w:val="00102B0F"/>
    <w:rsid w:val="00112776"/>
    <w:rsid w:val="00113B92"/>
    <w:rsid w:val="0011437B"/>
    <w:rsid w:val="00117BD3"/>
    <w:rsid w:val="0012216B"/>
    <w:rsid w:val="001226FF"/>
    <w:rsid w:val="00123659"/>
    <w:rsid w:val="00124DCE"/>
    <w:rsid w:val="00131C5B"/>
    <w:rsid w:val="001454E9"/>
    <w:rsid w:val="001528AE"/>
    <w:rsid w:val="0016332F"/>
    <w:rsid w:val="00164B97"/>
    <w:rsid w:val="0016688D"/>
    <w:rsid w:val="00167752"/>
    <w:rsid w:val="00172519"/>
    <w:rsid w:val="00190E87"/>
    <w:rsid w:val="001B4F9C"/>
    <w:rsid w:val="001B55EA"/>
    <w:rsid w:val="001B7703"/>
    <w:rsid w:val="001C252D"/>
    <w:rsid w:val="001C2F8A"/>
    <w:rsid w:val="001C3928"/>
    <w:rsid w:val="001E0B78"/>
    <w:rsid w:val="001E141A"/>
    <w:rsid w:val="001E1B7C"/>
    <w:rsid w:val="001E5BE2"/>
    <w:rsid w:val="001F4D4F"/>
    <w:rsid w:val="001F5948"/>
    <w:rsid w:val="002033C3"/>
    <w:rsid w:val="00207F9D"/>
    <w:rsid w:val="0021100A"/>
    <w:rsid w:val="002129EF"/>
    <w:rsid w:val="002133D6"/>
    <w:rsid w:val="002272D8"/>
    <w:rsid w:val="00232509"/>
    <w:rsid w:val="0023481C"/>
    <w:rsid w:val="00235555"/>
    <w:rsid w:val="002425BC"/>
    <w:rsid w:val="00243D88"/>
    <w:rsid w:val="0024432B"/>
    <w:rsid w:val="00245B9B"/>
    <w:rsid w:val="002500B2"/>
    <w:rsid w:val="00251B80"/>
    <w:rsid w:val="00254724"/>
    <w:rsid w:val="00271266"/>
    <w:rsid w:val="0028208A"/>
    <w:rsid w:val="0028295D"/>
    <w:rsid w:val="002840DC"/>
    <w:rsid w:val="002B03D6"/>
    <w:rsid w:val="002B2287"/>
    <w:rsid w:val="002B5182"/>
    <w:rsid w:val="002B6843"/>
    <w:rsid w:val="002D03D2"/>
    <w:rsid w:val="002D13B6"/>
    <w:rsid w:val="002D6036"/>
    <w:rsid w:val="002E02CC"/>
    <w:rsid w:val="002E6A40"/>
    <w:rsid w:val="00315A9F"/>
    <w:rsid w:val="00315AC1"/>
    <w:rsid w:val="0031792E"/>
    <w:rsid w:val="00317A26"/>
    <w:rsid w:val="0032148E"/>
    <w:rsid w:val="003234D3"/>
    <w:rsid w:val="00326383"/>
    <w:rsid w:val="00326509"/>
    <w:rsid w:val="00331E90"/>
    <w:rsid w:val="00333A75"/>
    <w:rsid w:val="00337C02"/>
    <w:rsid w:val="003477DE"/>
    <w:rsid w:val="003505C0"/>
    <w:rsid w:val="003525EB"/>
    <w:rsid w:val="00352E0E"/>
    <w:rsid w:val="00354BAE"/>
    <w:rsid w:val="00365DC1"/>
    <w:rsid w:val="00366B0E"/>
    <w:rsid w:val="00371A65"/>
    <w:rsid w:val="00375373"/>
    <w:rsid w:val="00375A51"/>
    <w:rsid w:val="00386B51"/>
    <w:rsid w:val="00390D4B"/>
    <w:rsid w:val="003911E0"/>
    <w:rsid w:val="00392E66"/>
    <w:rsid w:val="00395B88"/>
    <w:rsid w:val="00395E7A"/>
    <w:rsid w:val="003C3BA5"/>
    <w:rsid w:val="003C3D32"/>
    <w:rsid w:val="003C6BE6"/>
    <w:rsid w:val="003C77E9"/>
    <w:rsid w:val="003D640F"/>
    <w:rsid w:val="003E6F40"/>
    <w:rsid w:val="003F0A9C"/>
    <w:rsid w:val="003F126A"/>
    <w:rsid w:val="003F6F5E"/>
    <w:rsid w:val="003F70DC"/>
    <w:rsid w:val="00405D29"/>
    <w:rsid w:val="00415225"/>
    <w:rsid w:val="00417D71"/>
    <w:rsid w:val="00432A40"/>
    <w:rsid w:val="0044354A"/>
    <w:rsid w:val="00450912"/>
    <w:rsid w:val="004719A3"/>
    <w:rsid w:val="0049022B"/>
    <w:rsid w:val="004A3976"/>
    <w:rsid w:val="004A3E71"/>
    <w:rsid w:val="004A5568"/>
    <w:rsid w:val="004B63F5"/>
    <w:rsid w:val="004B6E8D"/>
    <w:rsid w:val="004C0BC8"/>
    <w:rsid w:val="004C4DBA"/>
    <w:rsid w:val="004C74A9"/>
    <w:rsid w:val="004D04CE"/>
    <w:rsid w:val="004D706F"/>
    <w:rsid w:val="004E1B00"/>
    <w:rsid w:val="004E6B75"/>
    <w:rsid w:val="004F5310"/>
    <w:rsid w:val="00512474"/>
    <w:rsid w:val="00527C07"/>
    <w:rsid w:val="0053297C"/>
    <w:rsid w:val="00534223"/>
    <w:rsid w:val="00536E29"/>
    <w:rsid w:val="00546763"/>
    <w:rsid w:val="00551C8B"/>
    <w:rsid w:val="0056015E"/>
    <w:rsid w:val="00563CA3"/>
    <w:rsid w:val="00566025"/>
    <w:rsid w:val="005663DE"/>
    <w:rsid w:val="00566EB9"/>
    <w:rsid w:val="005676DB"/>
    <w:rsid w:val="00573E0B"/>
    <w:rsid w:val="00590C08"/>
    <w:rsid w:val="005A2975"/>
    <w:rsid w:val="005B6A93"/>
    <w:rsid w:val="005B7414"/>
    <w:rsid w:val="005C5D8F"/>
    <w:rsid w:val="005C6922"/>
    <w:rsid w:val="005D2BC9"/>
    <w:rsid w:val="005D49DE"/>
    <w:rsid w:val="005D6FD9"/>
    <w:rsid w:val="005D7212"/>
    <w:rsid w:val="005D733D"/>
    <w:rsid w:val="005E5293"/>
    <w:rsid w:val="005E5CA3"/>
    <w:rsid w:val="005F2CFB"/>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5AE4"/>
    <w:rsid w:val="0067075F"/>
    <w:rsid w:val="00672A19"/>
    <w:rsid w:val="006771CB"/>
    <w:rsid w:val="0067755B"/>
    <w:rsid w:val="00683D27"/>
    <w:rsid w:val="006910D6"/>
    <w:rsid w:val="0069230B"/>
    <w:rsid w:val="006A03C7"/>
    <w:rsid w:val="006A6A26"/>
    <w:rsid w:val="006B5FF8"/>
    <w:rsid w:val="006C0C4B"/>
    <w:rsid w:val="006C2BCC"/>
    <w:rsid w:val="006D06C4"/>
    <w:rsid w:val="006D463F"/>
    <w:rsid w:val="006D4B8E"/>
    <w:rsid w:val="006E10B8"/>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73EA5"/>
    <w:rsid w:val="00790EBB"/>
    <w:rsid w:val="00795D5F"/>
    <w:rsid w:val="00796322"/>
    <w:rsid w:val="007A2EB2"/>
    <w:rsid w:val="007B451C"/>
    <w:rsid w:val="007C42F7"/>
    <w:rsid w:val="007D1010"/>
    <w:rsid w:val="007E23D2"/>
    <w:rsid w:val="007E628C"/>
    <w:rsid w:val="007F1130"/>
    <w:rsid w:val="007F60A0"/>
    <w:rsid w:val="00802826"/>
    <w:rsid w:val="00803341"/>
    <w:rsid w:val="00820873"/>
    <w:rsid w:val="00820E6B"/>
    <w:rsid w:val="008218D8"/>
    <w:rsid w:val="00822D7A"/>
    <w:rsid w:val="00824BA5"/>
    <w:rsid w:val="0082575D"/>
    <w:rsid w:val="008268AF"/>
    <w:rsid w:val="008279BF"/>
    <w:rsid w:val="00827AC0"/>
    <w:rsid w:val="00835868"/>
    <w:rsid w:val="0083720C"/>
    <w:rsid w:val="0084450D"/>
    <w:rsid w:val="00845E7C"/>
    <w:rsid w:val="008504EC"/>
    <w:rsid w:val="00851CF1"/>
    <w:rsid w:val="00855AB9"/>
    <w:rsid w:val="00863EFE"/>
    <w:rsid w:val="00865D38"/>
    <w:rsid w:val="008740C3"/>
    <w:rsid w:val="008757F2"/>
    <w:rsid w:val="008759A0"/>
    <w:rsid w:val="008823E6"/>
    <w:rsid w:val="00882BEE"/>
    <w:rsid w:val="00892371"/>
    <w:rsid w:val="00897647"/>
    <w:rsid w:val="008B099C"/>
    <w:rsid w:val="008B3920"/>
    <w:rsid w:val="008C4074"/>
    <w:rsid w:val="008C4D5B"/>
    <w:rsid w:val="008C542E"/>
    <w:rsid w:val="008D206E"/>
    <w:rsid w:val="008D54FB"/>
    <w:rsid w:val="008E40E3"/>
    <w:rsid w:val="008F3BE3"/>
    <w:rsid w:val="00910D56"/>
    <w:rsid w:val="009136E3"/>
    <w:rsid w:val="009143AF"/>
    <w:rsid w:val="00920524"/>
    <w:rsid w:val="00921882"/>
    <w:rsid w:val="00924809"/>
    <w:rsid w:val="00924E17"/>
    <w:rsid w:val="0092541D"/>
    <w:rsid w:val="0093081E"/>
    <w:rsid w:val="00932A0B"/>
    <w:rsid w:val="00944282"/>
    <w:rsid w:val="00945284"/>
    <w:rsid w:val="00945AD9"/>
    <w:rsid w:val="00946911"/>
    <w:rsid w:val="00947CDB"/>
    <w:rsid w:val="00957EFF"/>
    <w:rsid w:val="00960EB2"/>
    <w:rsid w:val="0096110A"/>
    <w:rsid w:val="00962787"/>
    <w:rsid w:val="0096349E"/>
    <w:rsid w:val="00975927"/>
    <w:rsid w:val="00983228"/>
    <w:rsid w:val="0098416C"/>
    <w:rsid w:val="009878C8"/>
    <w:rsid w:val="009938E3"/>
    <w:rsid w:val="009A087F"/>
    <w:rsid w:val="009B206F"/>
    <w:rsid w:val="009B2156"/>
    <w:rsid w:val="009C5EA5"/>
    <w:rsid w:val="009D48FB"/>
    <w:rsid w:val="009D6C2F"/>
    <w:rsid w:val="009E4671"/>
    <w:rsid w:val="009E5819"/>
    <w:rsid w:val="009F0A60"/>
    <w:rsid w:val="009F0B5F"/>
    <w:rsid w:val="009F43E4"/>
    <w:rsid w:val="009F69D4"/>
    <w:rsid w:val="009F6A7A"/>
    <w:rsid w:val="009F75C9"/>
    <w:rsid w:val="00A02F20"/>
    <w:rsid w:val="00A062D9"/>
    <w:rsid w:val="00A0679C"/>
    <w:rsid w:val="00A107AD"/>
    <w:rsid w:val="00A2626A"/>
    <w:rsid w:val="00A26EA7"/>
    <w:rsid w:val="00A45362"/>
    <w:rsid w:val="00A47D43"/>
    <w:rsid w:val="00A5656A"/>
    <w:rsid w:val="00A57E85"/>
    <w:rsid w:val="00A64138"/>
    <w:rsid w:val="00A648A9"/>
    <w:rsid w:val="00A65C1E"/>
    <w:rsid w:val="00A7414A"/>
    <w:rsid w:val="00A76DB3"/>
    <w:rsid w:val="00A80C4E"/>
    <w:rsid w:val="00A84BDD"/>
    <w:rsid w:val="00A957A4"/>
    <w:rsid w:val="00A968BE"/>
    <w:rsid w:val="00A97EE0"/>
    <w:rsid w:val="00AA58D2"/>
    <w:rsid w:val="00AA72A1"/>
    <w:rsid w:val="00AB549A"/>
    <w:rsid w:val="00AB6BFB"/>
    <w:rsid w:val="00AC0390"/>
    <w:rsid w:val="00AC0B07"/>
    <w:rsid w:val="00AC7527"/>
    <w:rsid w:val="00AD0BFE"/>
    <w:rsid w:val="00AE3979"/>
    <w:rsid w:val="00AE4B3A"/>
    <w:rsid w:val="00AF5C65"/>
    <w:rsid w:val="00B018E9"/>
    <w:rsid w:val="00B06031"/>
    <w:rsid w:val="00B06F4A"/>
    <w:rsid w:val="00B20F68"/>
    <w:rsid w:val="00B253BE"/>
    <w:rsid w:val="00B36420"/>
    <w:rsid w:val="00B44821"/>
    <w:rsid w:val="00B54965"/>
    <w:rsid w:val="00B60ED0"/>
    <w:rsid w:val="00B703F6"/>
    <w:rsid w:val="00B7138F"/>
    <w:rsid w:val="00B7233F"/>
    <w:rsid w:val="00B73893"/>
    <w:rsid w:val="00B87C9A"/>
    <w:rsid w:val="00B90A60"/>
    <w:rsid w:val="00B91B04"/>
    <w:rsid w:val="00BA6B91"/>
    <w:rsid w:val="00BA6CBC"/>
    <w:rsid w:val="00BB0D0D"/>
    <w:rsid w:val="00BC0D1A"/>
    <w:rsid w:val="00BC37C5"/>
    <w:rsid w:val="00BD0CA9"/>
    <w:rsid w:val="00BD277A"/>
    <w:rsid w:val="00BE044C"/>
    <w:rsid w:val="00BF7ABA"/>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374"/>
    <w:rsid w:val="00C86837"/>
    <w:rsid w:val="00C97375"/>
    <w:rsid w:val="00CA72CB"/>
    <w:rsid w:val="00CB2CB6"/>
    <w:rsid w:val="00CC18CA"/>
    <w:rsid w:val="00CC2930"/>
    <w:rsid w:val="00CC3F4A"/>
    <w:rsid w:val="00CD0D49"/>
    <w:rsid w:val="00CD118F"/>
    <w:rsid w:val="00CE150D"/>
    <w:rsid w:val="00CE24FC"/>
    <w:rsid w:val="00CE3862"/>
    <w:rsid w:val="00CF3D24"/>
    <w:rsid w:val="00CF6D16"/>
    <w:rsid w:val="00CF7C9E"/>
    <w:rsid w:val="00CF7F82"/>
    <w:rsid w:val="00D01C02"/>
    <w:rsid w:val="00D2404A"/>
    <w:rsid w:val="00D340AD"/>
    <w:rsid w:val="00D34850"/>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A3DE8"/>
    <w:rsid w:val="00DA59BA"/>
    <w:rsid w:val="00DB2665"/>
    <w:rsid w:val="00DB61F5"/>
    <w:rsid w:val="00DB7E9A"/>
    <w:rsid w:val="00DC52FD"/>
    <w:rsid w:val="00DD1A7B"/>
    <w:rsid w:val="00DD1B1D"/>
    <w:rsid w:val="00DD485C"/>
    <w:rsid w:val="00DE7719"/>
    <w:rsid w:val="00DF27C3"/>
    <w:rsid w:val="00DF610F"/>
    <w:rsid w:val="00DF6AE8"/>
    <w:rsid w:val="00DF7070"/>
    <w:rsid w:val="00E05AA4"/>
    <w:rsid w:val="00E14A71"/>
    <w:rsid w:val="00E32D55"/>
    <w:rsid w:val="00E3409C"/>
    <w:rsid w:val="00E42C18"/>
    <w:rsid w:val="00E46813"/>
    <w:rsid w:val="00E65C37"/>
    <w:rsid w:val="00E663D1"/>
    <w:rsid w:val="00E67A6B"/>
    <w:rsid w:val="00E712CE"/>
    <w:rsid w:val="00E712F5"/>
    <w:rsid w:val="00E763EF"/>
    <w:rsid w:val="00EB04D8"/>
    <w:rsid w:val="00EB4FD6"/>
    <w:rsid w:val="00EC141E"/>
    <w:rsid w:val="00EC1A3E"/>
    <w:rsid w:val="00EC36DD"/>
    <w:rsid w:val="00ED3457"/>
    <w:rsid w:val="00EE219C"/>
    <w:rsid w:val="00EE2908"/>
    <w:rsid w:val="00EE2D4F"/>
    <w:rsid w:val="00F03947"/>
    <w:rsid w:val="00F06EB8"/>
    <w:rsid w:val="00F12541"/>
    <w:rsid w:val="00F1280C"/>
    <w:rsid w:val="00F2020F"/>
    <w:rsid w:val="00F2073F"/>
    <w:rsid w:val="00F25D48"/>
    <w:rsid w:val="00F2601E"/>
    <w:rsid w:val="00F34A92"/>
    <w:rsid w:val="00F41E34"/>
    <w:rsid w:val="00F569BD"/>
    <w:rsid w:val="00F6279D"/>
    <w:rsid w:val="00F67B91"/>
    <w:rsid w:val="00F745FF"/>
    <w:rsid w:val="00F75C7A"/>
    <w:rsid w:val="00F763CE"/>
    <w:rsid w:val="00F823D1"/>
    <w:rsid w:val="00F832DD"/>
    <w:rsid w:val="00F84A44"/>
    <w:rsid w:val="00F91365"/>
    <w:rsid w:val="00F96D0C"/>
    <w:rsid w:val="00FA172C"/>
    <w:rsid w:val="00FA5277"/>
    <w:rsid w:val="00FB13C1"/>
    <w:rsid w:val="00FB1B38"/>
    <w:rsid w:val="00FB7F00"/>
    <w:rsid w:val="00FC2052"/>
    <w:rsid w:val="00FC73D6"/>
    <w:rsid w:val="00FD01DB"/>
    <w:rsid w:val="00FD093A"/>
    <w:rsid w:val="00FD572F"/>
    <w:rsid w:val="00FD58A8"/>
    <w:rsid w:val="00FF1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5214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7078</Words>
  <Characters>38932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2026-02-20T19:21:00Z</cp:lastPrinted>
  <dcterms:created xsi:type="dcterms:W3CDTF">2026-04-06T20:29:00Z</dcterms:created>
  <dcterms:modified xsi:type="dcterms:W3CDTF">2026-04-06T20:29:00Z</dcterms:modified>
</cp:coreProperties>
</file>