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3523" w:rsidRPr="00900A5E" w:rsidRDefault="006B3523" w:rsidP="006B3523">
      <w:pPr>
        <w:spacing w:line="360" w:lineRule="auto"/>
        <w:jc w:val="both"/>
        <w:rPr>
          <w:rFonts w:ascii="Palatino Linotype" w:eastAsia="Palatino Linotype" w:hAnsi="Palatino Linotype" w:cs="Palatino Linotype"/>
          <w:sz w:val="24"/>
          <w:szCs w:val="24"/>
        </w:rPr>
      </w:pPr>
      <w:bookmarkStart w:id="0" w:name="_heading=h.lszr0b2gghl5" w:colFirst="0" w:colLast="0"/>
      <w:bookmarkStart w:id="1" w:name="_GoBack"/>
      <w:bookmarkEnd w:id="0"/>
      <w:bookmarkEnd w:id="1"/>
      <w:r w:rsidRPr="00900A5E">
        <w:rPr>
          <w:rFonts w:ascii="Palatino Linotype" w:eastAsia="Palatino Linotype" w:hAnsi="Palatino Linotype" w:cs="Palatino Linotype"/>
          <w:sz w:val="24"/>
          <w:szCs w:val="24"/>
        </w:rPr>
        <w:t xml:space="preserve">Resolución del Pleno del Instituto de Transparencia, Acceso a la Información Pública y Protección de Datos Personales del Estado de México y Municipios, con domicilio en Metepec, Estado de México; de </w:t>
      </w:r>
      <w:r w:rsidR="00C064D8" w:rsidRPr="00900A5E">
        <w:rPr>
          <w:rFonts w:ascii="Palatino Linotype" w:eastAsia="Palatino Linotype" w:hAnsi="Palatino Linotype" w:cs="Palatino Linotype"/>
          <w:b/>
          <w:bCs/>
          <w:sz w:val="24"/>
          <w:szCs w:val="24"/>
        </w:rPr>
        <w:t>cinco</w:t>
      </w:r>
      <w:r w:rsidR="00900A5E">
        <w:rPr>
          <w:rFonts w:ascii="Palatino Linotype" w:eastAsia="Palatino Linotype" w:hAnsi="Palatino Linotype" w:cs="Palatino Linotype"/>
          <w:b/>
          <w:bCs/>
          <w:sz w:val="24"/>
          <w:szCs w:val="24"/>
        </w:rPr>
        <w:t xml:space="preserve"> (05)</w:t>
      </w:r>
      <w:r w:rsidRPr="00900A5E">
        <w:rPr>
          <w:rFonts w:ascii="Palatino Linotype" w:eastAsia="Palatino Linotype" w:hAnsi="Palatino Linotype" w:cs="Palatino Linotype"/>
          <w:b/>
          <w:bCs/>
          <w:sz w:val="24"/>
          <w:szCs w:val="24"/>
        </w:rPr>
        <w:t xml:space="preserve"> de marzo de dos mil veintiséis.</w:t>
      </w:r>
    </w:p>
    <w:p w:rsidR="006B3523" w:rsidRPr="00900A5E" w:rsidRDefault="006B3523" w:rsidP="006B3523">
      <w:pPr>
        <w:spacing w:line="360" w:lineRule="auto"/>
        <w:jc w:val="both"/>
        <w:rPr>
          <w:rFonts w:ascii="Palatino Linotype" w:eastAsia="Palatino Linotype" w:hAnsi="Palatino Linotype" w:cs="Palatino Linotype"/>
          <w:sz w:val="24"/>
          <w:szCs w:val="24"/>
        </w:rPr>
      </w:pPr>
    </w:p>
    <w:p w:rsidR="006B3523" w:rsidRPr="00900A5E" w:rsidRDefault="006B3523" w:rsidP="006B3523">
      <w:pPr>
        <w:spacing w:line="360" w:lineRule="auto"/>
        <w:jc w:val="both"/>
        <w:rPr>
          <w:rFonts w:ascii="Palatino Linotype" w:eastAsia="Palatino Linotype" w:hAnsi="Palatino Linotype" w:cs="Palatino Linotype"/>
          <w:b/>
          <w:bCs/>
          <w:sz w:val="24"/>
          <w:szCs w:val="24"/>
        </w:rPr>
      </w:pPr>
      <w:r w:rsidRPr="00900A5E">
        <w:rPr>
          <w:rFonts w:ascii="Palatino Linotype" w:eastAsia="Palatino Linotype" w:hAnsi="Palatino Linotype" w:cs="Palatino Linotype"/>
          <w:b/>
          <w:bCs/>
          <w:sz w:val="24"/>
          <w:szCs w:val="24"/>
        </w:rPr>
        <w:t>VISTO</w:t>
      </w:r>
      <w:r w:rsidRPr="00900A5E">
        <w:rPr>
          <w:rFonts w:ascii="Palatino Linotype" w:eastAsia="Palatino Linotype" w:hAnsi="Palatino Linotype" w:cs="Palatino Linotype"/>
          <w:sz w:val="24"/>
          <w:szCs w:val="24"/>
        </w:rPr>
        <w:t xml:space="preserve"> el expediente electrónico formado con motivo del recurso de revisión</w:t>
      </w:r>
      <w:r w:rsidRPr="00900A5E">
        <w:rPr>
          <w:rFonts w:ascii="Palatino Linotype" w:eastAsia="Palatino Linotype" w:hAnsi="Palatino Linotype" w:cs="Palatino Linotype"/>
          <w:b/>
          <w:bCs/>
          <w:sz w:val="24"/>
          <w:szCs w:val="24"/>
        </w:rPr>
        <w:t xml:space="preserve">     09723/INFOEM/IP/RR/2025, </w:t>
      </w:r>
      <w:r w:rsidRPr="00900A5E">
        <w:rPr>
          <w:rFonts w:ascii="Palatino Linotype" w:eastAsia="Palatino Linotype" w:hAnsi="Palatino Linotype" w:cs="Palatino Linotype"/>
          <w:sz w:val="24"/>
          <w:szCs w:val="24"/>
        </w:rPr>
        <w:t>promovido por</w:t>
      </w:r>
      <w:r w:rsidRPr="00900A5E">
        <w:rPr>
          <w:rFonts w:ascii="Palatino Linotype" w:eastAsia="Palatino Linotype" w:hAnsi="Palatino Linotype" w:cs="Palatino Linotype"/>
          <w:b/>
          <w:bCs/>
          <w:color w:val="FF0000"/>
          <w:sz w:val="24"/>
          <w:szCs w:val="24"/>
        </w:rPr>
        <w:t xml:space="preserve"> </w:t>
      </w:r>
      <w:r w:rsidRPr="00900A5E">
        <w:rPr>
          <w:rFonts w:ascii="Palatino Linotype" w:eastAsia="Palatino Linotype" w:hAnsi="Palatino Linotype" w:cs="Palatino Linotype"/>
          <w:b/>
          <w:bCs/>
          <w:sz w:val="24"/>
          <w:szCs w:val="24"/>
        </w:rPr>
        <w:t xml:space="preserve">una persona que no proporcionó datos de identificación </w:t>
      </w:r>
      <w:r w:rsidRPr="00900A5E">
        <w:rPr>
          <w:rFonts w:ascii="Palatino Linotype" w:eastAsia="Palatino Linotype" w:hAnsi="Palatino Linotype" w:cs="Palatino Linotype"/>
          <w:sz w:val="24"/>
          <w:szCs w:val="24"/>
        </w:rPr>
        <w:t xml:space="preserve">y a quien en lo sucesivo se identificará como </w:t>
      </w:r>
      <w:r w:rsidRPr="00900A5E">
        <w:rPr>
          <w:rFonts w:ascii="Palatino Linotype" w:eastAsia="Palatino Linotype" w:hAnsi="Palatino Linotype" w:cs="Palatino Linotype"/>
          <w:b/>
          <w:bCs/>
          <w:sz w:val="24"/>
          <w:szCs w:val="24"/>
        </w:rPr>
        <w:t>EL RECURRENTE</w:t>
      </w:r>
      <w:r w:rsidRPr="00900A5E">
        <w:rPr>
          <w:rFonts w:ascii="Palatino Linotype" w:eastAsia="Palatino Linotype" w:hAnsi="Palatino Linotype" w:cs="Palatino Linotype"/>
          <w:sz w:val="24"/>
          <w:szCs w:val="24"/>
        </w:rPr>
        <w:t xml:space="preserve">, en contra de la respuesta del </w:t>
      </w:r>
      <w:r w:rsidRPr="00900A5E">
        <w:rPr>
          <w:rFonts w:ascii="Palatino Linotype" w:eastAsia="Palatino Linotype" w:hAnsi="Palatino Linotype" w:cs="Palatino Linotype"/>
          <w:b/>
          <w:bCs/>
          <w:sz w:val="24"/>
          <w:szCs w:val="24"/>
        </w:rPr>
        <w:t xml:space="preserve">Ayuntamiento de Toluca, </w:t>
      </w:r>
      <w:r w:rsidRPr="00900A5E">
        <w:rPr>
          <w:rFonts w:ascii="Palatino Linotype" w:eastAsia="Palatino Linotype" w:hAnsi="Palatino Linotype" w:cs="Palatino Linotype"/>
          <w:sz w:val="24"/>
          <w:szCs w:val="24"/>
        </w:rPr>
        <w:t xml:space="preserve">en </w:t>
      </w:r>
      <w:r w:rsidR="00900A5E">
        <w:rPr>
          <w:rFonts w:ascii="Palatino Linotype" w:eastAsia="Palatino Linotype" w:hAnsi="Palatino Linotype" w:cs="Palatino Linotype"/>
          <w:sz w:val="24"/>
          <w:szCs w:val="24"/>
        </w:rPr>
        <w:t>adelante</w:t>
      </w:r>
      <w:r w:rsidRPr="00900A5E">
        <w:rPr>
          <w:rFonts w:ascii="Palatino Linotype" w:eastAsia="Palatino Linotype" w:hAnsi="Palatino Linotype" w:cs="Palatino Linotype"/>
          <w:sz w:val="24"/>
          <w:szCs w:val="24"/>
        </w:rPr>
        <w:t xml:space="preserve"> el</w:t>
      </w:r>
      <w:r w:rsidRPr="00900A5E">
        <w:rPr>
          <w:rFonts w:ascii="Palatino Linotype" w:eastAsia="Palatino Linotype" w:hAnsi="Palatino Linotype" w:cs="Palatino Linotype"/>
          <w:b/>
          <w:bCs/>
          <w:sz w:val="24"/>
          <w:szCs w:val="24"/>
        </w:rPr>
        <w:t xml:space="preserve"> SUJETO OBLIGADO</w:t>
      </w:r>
      <w:r w:rsidRPr="00900A5E">
        <w:rPr>
          <w:rFonts w:ascii="Palatino Linotype" w:eastAsia="Palatino Linotype" w:hAnsi="Palatino Linotype" w:cs="Palatino Linotype"/>
          <w:sz w:val="24"/>
          <w:szCs w:val="24"/>
        </w:rPr>
        <w:t>, por lo que se procede a dictar la presente resolución, con base en los siguientes:</w:t>
      </w:r>
    </w:p>
    <w:p w:rsidR="006B3523" w:rsidRPr="00900A5E" w:rsidRDefault="006B3523" w:rsidP="006B3523">
      <w:pPr>
        <w:spacing w:line="360" w:lineRule="auto"/>
        <w:jc w:val="both"/>
        <w:rPr>
          <w:rFonts w:ascii="Palatino Linotype" w:eastAsia="Palatino Linotype" w:hAnsi="Palatino Linotype" w:cs="Palatino Linotype"/>
          <w:b/>
          <w:bCs/>
          <w:sz w:val="24"/>
          <w:szCs w:val="24"/>
        </w:rPr>
      </w:pPr>
    </w:p>
    <w:p w:rsidR="006B3523" w:rsidRDefault="006B3523" w:rsidP="006B3523">
      <w:pPr>
        <w:keepNext/>
        <w:keepLines/>
        <w:spacing w:line="360" w:lineRule="auto"/>
        <w:jc w:val="center"/>
        <w:rPr>
          <w:rFonts w:ascii="Palatino Linotype" w:eastAsia="Palatino Linotype" w:hAnsi="Palatino Linotype" w:cs="Palatino Linotype"/>
          <w:b/>
          <w:bCs/>
          <w:sz w:val="24"/>
          <w:szCs w:val="24"/>
        </w:rPr>
      </w:pPr>
      <w:bookmarkStart w:id="2" w:name="_heading=h.gjdgxs" w:colFirst="0" w:colLast="0"/>
      <w:bookmarkEnd w:id="2"/>
      <w:r w:rsidRPr="00900A5E">
        <w:rPr>
          <w:rFonts w:ascii="Palatino Linotype" w:eastAsia="Palatino Linotype" w:hAnsi="Palatino Linotype" w:cs="Palatino Linotype"/>
          <w:b/>
          <w:bCs/>
          <w:sz w:val="24"/>
          <w:szCs w:val="24"/>
        </w:rPr>
        <w:t>A</w:t>
      </w:r>
      <w:r w:rsidR="00900A5E">
        <w:rPr>
          <w:rFonts w:ascii="Palatino Linotype" w:eastAsia="Palatino Linotype" w:hAnsi="Palatino Linotype" w:cs="Palatino Linotype"/>
          <w:b/>
          <w:bCs/>
          <w:sz w:val="24"/>
          <w:szCs w:val="24"/>
        </w:rPr>
        <w:t xml:space="preserve"> </w:t>
      </w:r>
      <w:r w:rsidRPr="00900A5E">
        <w:rPr>
          <w:rFonts w:ascii="Palatino Linotype" w:eastAsia="Palatino Linotype" w:hAnsi="Palatino Linotype" w:cs="Palatino Linotype"/>
          <w:b/>
          <w:bCs/>
          <w:sz w:val="24"/>
          <w:szCs w:val="24"/>
        </w:rPr>
        <w:t>N</w:t>
      </w:r>
      <w:r w:rsidR="00900A5E">
        <w:rPr>
          <w:rFonts w:ascii="Palatino Linotype" w:eastAsia="Palatino Linotype" w:hAnsi="Palatino Linotype" w:cs="Palatino Linotype"/>
          <w:b/>
          <w:bCs/>
          <w:sz w:val="24"/>
          <w:szCs w:val="24"/>
        </w:rPr>
        <w:t xml:space="preserve"> </w:t>
      </w:r>
      <w:r w:rsidRPr="00900A5E">
        <w:rPr>
          <w:rFonts w:ascii="Palatino Linotype" w:eastAsia="Palatino Linotype" w:hAnsi="Palatino Linotype" w:cs="Palatino Linotype"/>
          <w:b/>
          <w:bCs/>
          <w:sz w:val="24"/>
          <w:szCs w:val="24"/>
        </w:rPr>
        <w:t>T</w:t>
      </w:r>
      <w:r w:rsidR="00900A5E">
        <w:rPr>
          <w:rFonts w:ascii="Palatino Linotype" w:eastAsia="Palatino Linotype" w:hAnsi="Palatino Linotype" w:cs="Palatino Linotype"/>
          <w:b/>
          <w:bCs/>
          <w:sz w:val="24"/>
          <w:szCs w:val="24"/>
        </w:rPr>
        <w:t xml:space="preserve"> </w:t>
      </w:r>
      <w:r w:rsidRPr="00900A5E">
        <w:rPr>
          <w:rFonts w:ascii="Palatino Linotype" w:eastAsia="Palatino Linotype" w:hAnsi="Palatino Linotype" w:cs="Palatino Linotype"/>
          <w:b/>
          <w:bCs/>
          <w:sz w:val="24"/>
          <w:szCs w:val="24"/>
        </w:rPr>
        <w:t>E</w:t>
      </w:r>
      <w:r w:rsidR="00900A5E">
        <w:rPr>
          <w:rFonts w:ascii="Palatino Linotype" w:eastAsia="Palatino Linotype" w:hAnsi="Palatino Linotype" w:cs="Palatino Linotype"/>
          <w:b/>
          <w:bCs/>
          <w:sz w:val="24"/>
          <w:szCs w:val="24"/>
        </w:rPr>
        <w:t xml:space="preserve"> </w:t>
      </w:r>
      <w:r w:rsidRPr="00900A5E">
        <w:rPr>
          <w:rFonts w:ascii="Palatino Linotype" w:eastAsia="Palatino Linotype" w:hAnsi="Palatino Linotype" w:cs="Palatino Linotype"/>
          <w:b/>
          <w:bCs/>
          <w:sz w:val="24"/>
          <w:szCs w:val="24"/>
        </w:rPr>
        <w:t>C</w:t>
      </w:r>
      <w:r w:rsidR="00900A5E">
        <w:rPr>
          <w:rFonts w:ascii="Palatino Linotype" w:eastAsia="Palatino Linotype" w:hAnsi="Palatino Linotype" w:cs="Palatino Linotype"/>
          <w:b/>
          <w:bCs/>
          <w:sz w:val="24"/>
          <w:szCs w:val="24"/>
        </w:rPr>
        <w:t xml:space="preserve"> </w:t>
      </w:r>
      <w:r w:rsidRPr="00900A5E">
        <w:rPr>
          <w:rFonts w:ascii="Palatino Linotype" w:eastAsia="Palatino Linotype" w:hAnsi="Palatino Linotype" w:cs="Palatino Linotype"/>
          <w:b/>
          <w:bCs/>
          <w:sz w:val="24"/>
          <w:szCs w:val="24"/>
        </w:rPr>
        <w:t>E</w:t>
      </w:r>
      <w:r w:rsidR="00900A5E">
        <w:rPr>
          <w:rFonts w:ascii="Palatino Linotype" w:eastAsia="Palatino Linotype" w:hAnsi="Palatino Linotype" w:cs="Palatino Linotype"/>
          <w:b/>
          <w:bCs/>
          <w:sz w:val="24"/>
          <w:szCs w:val="24"/>
        </w:rPr>
        <w:t xml:space="preserve"> </w:t>
      </w:r>
      <w:r w:rsidRPr="00900A5E">
        <w:rPr>
          <w:rFonts w:ascii="Palatino Linotype" w:eastAsia="Palatino Linotype" w:hAnsi="Palatino Linotype" w:cs="Palatino Linotype"/>
          <w:b/>
          <w:bCs/>
          <w:sz w:val="24"/>
          <w:szCs w:val="24"/>
        </w:rPr>
        <w:t>D</w:t>
      </w:r>
      <w:r w:rsidR="00900A5E">
        <w:rPr>
          <w:rFonts w:ascii="Palatino Linotype" w:eastAsia="Palatino Linotype" w:hAnsi="Palatino Linotype" w:cs="Palatino Linotype"/>
          <w:b/>
          <w:bCs/>
          <w:sz w:val="24"/>
          <w:szCs w:val="24"/>
        </w:rPr>
        <w:t xml:space="preserve"> </w:t>
      </w:r>
      <w:r w:rsidRPr="00900A5E">
        <w:rPr>
          <w:rFonts w:ascii="Palatino Linotype" w:eastAsia="Palatino Linotype" w:hAnsi="Palatino Linotype" w:cs="Palatino Linotype"/>
          <w:b/>
          <w:bCs/>
          <w:sz w:val="24"/>
          <w:szCs w:val="24"/>
        </w:rPr>
        <w:t>E</w:t>
      </w:r>
      <w:r w:rsidR="00900A5E">
        <w:rPr>
          <w:rFonts w:ascii="Palatino Linotype" w:eastAsia="Palatino Linotype" w:hAnsi="Palatino Linotype" w:cs="Palatino Linotype"/>
          <w:b/>
          <w:bCs/>
          <w:sz w:val="24"/>
          <w:szCs w:val="24"/>
        </w:rPr>
        <w:t xml:space="preserve"> </w:t>
      </w:r>
      <w:r w:rsidRPr="00900A5E">
        <w:rPr>
          <w:rFonts w:ascii="Palatino Linotype" w:eastAsia="Palatino Linotype" w:hAnsi="Palatino Linotype" w:cs="Palatino Linotype"/>
          <w:b/>
          <w:bCs/>
          <w:sz w:val="24"/>
          <w:szCs w:val="24"/>
        </w:rPr>
        <w:t>N</w:t>
      </w:r>
      <w:r w:rsidR="00900A5E">
        <w:rPr>
          <w:rFonts w:ascii="Palatino Linotype" w:eastAsia="Palatino Linotype" w:hAnsi="Palatino Linotype" w:cs="Palatino Linotype"/>
          <w:b/>
          <w:bCs/>
          <w:sz w:val="24"/>
          <w:szCs w:val="24"/>
        </w:rPr>
        <w:t xml:space="preserve"> </w:t>
      </w:r>
      <w:r w:rsidRPr="00900A5E">
        <w:rPr>
          <w:rFonts w:ascii="Palatino Linotype" w:eastAsia="Palatino Linotype" w:hAnsi="Palatino Linotype" w:cs="Palatino Linotype"/>
          <w:b/>
          <w:bCs/>
          <w:sz w:val="24"/>
          <w:szCs w:val="24"/>
        </w:rPr>
        <w:t>T</w:t>
      </w:r>
      <w:r w:rsidR="00900A5E">
        <w:rPr>
          <w:rFonts w:ascii="Palatino Linotype" w:eastAsia="Palatino Linotype" w:hAnsi="Palatino Linotype" w:cs="Palatino Linotype"/>
          <w:b/>
          <w:bCs/>
          <w:sz w:val="24"/>
          <w:szCs w:val="24"/>
        </w:rPr>
        <w:t xml:space="preserve"> </w:t>
      </w:r>
      <w:r w:rsidRPr="00900A5E">
        <w:rPr>
          <w:rFonts w:ascii="Palatino Linotype" w:eastAsia="Palatino Linotype" w:hAnsi="Palatino Linotype" w:cs="Palatino Linotype"/>
          <w:b/>
          <w:bCs/>
          <w:sz w:val="24"/>
          <w:szCs w:val="24"/>
        </w:rPr>
        <w:t>E</w:t>
      </w:r>
      <w:r w:rsidR="00900A5E">
        <w:rPr>
          <w:rFonts w:ascii="Palatino Linotype" w:eastAsia="Palatino Linotype" w:hAnsi="Palatino Linotype" w:cs="Palatino Linotype"/>
          <w:b/>
          <w:bCs/>
          <w:sz w:val="24"/>
          <w:szCs w:val="24"/>
        </w:rPr>
        <w:t xml:space="preserve"> </w:t>
      </w:r>
      <w:r w:rsidRPr="00900A5E">
        <w:rPr>
          <w:rFonts w:ascii="Palatino Linotype" w:eastAsia="Palatino Linotype" w:hAnsi="Palatino Linotype" w:cs="Palatino Linotype"/>
          <w:b/>
          <w:bCs/>
          <w:sz w:val="24"/>
          <w:szCs w:val="24"/>
        </w:rPr>
        <w:t>S</w:t>
      </w:r>
    </w:p>
    <w:p w:rsidR="00900A5E" w:rsidRPr="00900A5E" w:rsidRDefault="00900A5E" w:rsidP="006B3523">
      <w:pPr>
        <w:keepNext/>
        <w:keepLines/>
        <w:spacing w:line="360" w:lineRule="auto"/>
        <w:jc w:val="center"/>
        <w:rPr>
          <w:rFonts w:ascii="Palatino Linotype" w:eastAsia="Palatino Linotype" w:hAnsi="Palatino Linotype" w:cs="Palatino Linotype"/>
          <w:b/>
          <w:bCs/>
          <w:sz w:val="24"/>
          <w:szCs w:val="24"/>
        </w:rPr>
      </w:pPr>
    </w:p>
    <w:p w:rsidR="006B3523" w:rsidRPr="00900A5E" w:rsidRDefault="006B3523" w:rsidP="006B3523">
      <w:pPr>
        <w:numPr>
          <w:ilvl w:val="0"/>
          <w:numId w:val="3"/>
        </w:numPr>
        <w:spacing w:line="360" w:lineRule="auto"/>
        <w:ind w:left="0" w:firstLine="0"/>
        <w:jc w:val="both"/>
        <w:rPr>
          <w:rFonts w:ascii="Palatino Linotype" w:eastAsia="Palatino Linotype" w:hAnsi="Palatino Linotype" w:cs="Palatino Linotype"/>
          <w:sz w:val="24"/>
          <w:szCs w:val="24"/>
        </w:rPr>
      </w:pPr>
      <w:r w:rsidRPr="00900A5E">
        <w:rPr>
          <w:rFonts w:ascii="Palatino Linotype" w:eastAsia="Palatino Linotype" w:hAnsi="Palatino Linotype" w:cs="Palatino Linotype"/>
          <w:sz w:val="24"/>
          <w:szCs w:val="24"/>
        </w:rPr>
        <w:t xml:space="preserve">El </w:t>
      </w:r>
      <w:r w:rsidRPr="00900A5E">
        <w:rPr>
          <w:rFonts w:ascii="Palatino Linotype" w:eastAsia="Palatino Linotype" w:hAnsi="Palatino Linotype" w:cs="Palatino Linotype"/>
          <w:b/>
          <w:bCs/>
          <w:sz w:val="24"/>
          <w:szCs w:val="24"/>
        </w:rPr>
        <w:t>diez de julio de dos mil veinticinco</w:t>
      </w:r>
      <w:r w:rsidRPr="00900A5E">
        <w:rPr>
          <w:rFonts w:ascii="Palatino Linotype" w:eastAsia="Palatino Linotype" w:hAnsi="Palatino Linotype" w:cs="Palatino Linotype"/>
          <w:sz w:val="24"/>
          <w:szCs w:val="24"/>
        </w:rPr>
        <w:t xml:space="preserve">, </w:t>
      </w:r>
      <w:r w:rsidRPr="00900A5E">
        <w:rPr>
          <w:rFonts w:ascii="Palatino Linotype" w:eastAsia="Palatino Linotype" w:hAnsi="Palatino Linotype" w:cs="Palatino Linotype"/>
          <w:b/>
          <w:bCs/>
          <w:sz w:val="24"/>
          <w:szCs w:val="24"/>
        </w:rPr>
        <w:t>EL RECURRENTE,</w:t>
      </w:r>
      <w:r w:rsidRPr="00900A5E">
        <w:rPr>
          <w:rFonts w:ascii="Palatino Linotype" w:eastAsia="Palatino Linotype" w:hAnsi="Palatino Linotype" w:cs="Palatino Linotype"/>
          <w:sz w:val="24"/>
          <w:szCs w:val="24"/>
        </w:rPr>
        <w:t xml:space="preserve"> ante el </w:t>
      </w:r>
      <w:r w:rsidRPr="00900A5E">
        <w:rPr>
          <w:rFonts w:ascii="Palatino Linotype" w:eastAsia="Palatino Linotype" w:hAnsi="Palatino Linotype" w:cs="Palatino Linotype"/>
          <w:b/>
          <w:bCs/>
          <w:sz w:val="24"/>
          <w:szCs w:val="24"/>
        </w:rPr>
        <w:t>SUJETO OBLIGADO</w:t>
      </w:r>
      <w:r w:rsidRPr="00900A5E">
        <w:rPr>
          <w:rFonts w:ascii="Palatino Linotype" w:eastAsia="Palatino Linotype" w:hAnsi="Palatino Linotype" w:cs="Palatino Linotype"/>
          <w:sz w:val="24"/>
          <w:szCs w:val="24"/>
        </w:rPr>
        <w:t xml:space="preserve"> vía Sistema de Acceso a la Información Mexiquense (</w:t>
      </w:r>
      <w:r w:rsidRPr="00900A5E">
        <w:rPr>
          <w:rFonts w:ascii="Palatino Linotype" w:eastAsia="Palatino Linotype" w:hAnsi="Palatino Linotype" w:cs="Palatino Linotype"/>
          <w:b/>
          <w:bCs/>
          <w:sz w:val="24"/>
          <w:szCs w:val="24"/>
        </w:rPr>
        <w:t>SAIMEX)</w:t>
      </w:r>
      <w:r w:rsidRPr="00900A5E">
        <w:rPr>
          <w:rFonts w:ascii="Palatino Linotype" w:eastAsia="Palatino Linotype" w:hAnsi="Palatino Linotype" w:cs="Palatino Linotype"/>
          <w:sz w:val="24"/>
          <w:szCs w:val="24"/>
        </w:rPr>
        <w:t>,presentó la solicitud de información registrada con el número</w:t>
      </w:r>
      <w:r w:rsidRPr="00900A5E">
        <w:rPr>
          <w:rFonts w:ascii="Palatino Linotype" w:eastAsia="Palatino Linotype" w:hAnsi="Palatino Linotype" w:cs="Palatino Linotype"/>
          <w:b/>
          <w:bCs/>
          <w:sz w:val="24"/>
          <w:szCs w:val="24"/>
        </w:rPr>
        <w:t xml:space="preserve"> 03925/TOLUCA/IP/2025, </w:t>
      </w:r>
      <w:r w:rsidR="00900A5E">
        <w:rPr>
          <w:rFonts w:ascii="Palatino Linotype" w:eastAsia="Palatino Linotype" w:hAnsi="Palatino Linotype" w:cs="Palatino Linotype"/>
          <w:sz w:val="24"/>
          <w:szCs w:val="24"/>
        </w:rPr>
        <w:t xml:space="preserve">en la que se </w:t>
      </w:r>
      <w:r w:rsidRPr="00900A5E">
        <w:rPr>
          <w:rFonts w:ascii="Palatino Linotype" w:eastAsia="Palatino Linotype" w:hAnsi="Palatino Linotype" w:cs="Palatino Linotype"/>
          <w:sz w:val="24"/>
          <w:szCs w:val="24"/>
        </w:rPr>
        <w:t>solicitó lo siguiente:</w:t>
      </w:r>
    </w:p>
    <w:p w:rsidR="006B3523" w:rsidRPr="00900A5E" w:rsidRDefault="006B3523" w:rsidP="006B3523">
      <w:pPr>
        <w:pBdr>
          <w:top w:val="nil"/>
          <w:left w:val="nil"/>
          <w:bottom w:val="nil"/>
          <w:right w:val="nil"/>
          <w:between w:val="nil"/>
        </w:pBdr>
        <w:spacing w:line="360" w:lineRule="auto"/>
        <w:ind w:left="1069" w:right="567"/>
        <w:jc w:val="both"/>
        <w:rPr>
          <w:rFonts w:ascii="Palatino Linotype" w:eastAsia="Palatino Linotype" w:hAnsi="Palatino Linotype" w:cs="Palatino Linotype"/>
          <w:i/>
          <w:iCs/>
          <w:color w:val="000000"/>
          <w:sz w:val="24"/>
          <w:szCs w:val="24"/>
        </w:rPr>
      </w:pPr>
    </w:p>
    <w:p w:rsidR="006B3523" w:rsidRPr="00900A5E" w:rsidRDefault="006B3523" w:rsidP="006B3523">
      <w:pPr>
        <w:pBdr>
          <w:top w:val="nil"/>
          <w:left w:val="nil"/>
          <w:bottom w:val="nil"/>
          <w:right w:val="nil"/>
          <w:between w:val="nil"/>
        </w:pBdr>
        <w:ind w:left="567" w:right="567"/>
        <w:jc w:val="both"/>
        <w:rPr>
          <w:rFonts w:ascii="Palatino Linotype" w:eastAsia="Palatino Linotype" w:hAnsi="Palatino Linotype" w:cs="Palatino Linotype"/>
          <w:i/>
          <w:iCs/>
          <w:color w:val="000000"/>
          <w:sz w:val="24"/>
          <w:szCs w:val="24"/>
        </w:rPr>
      </w:pPr>
      <w:r w:rsidRPr="00900A5E">
        <w:rPr>
          <w:rFonts w:ascii="Palatino Linotype" w:eastAsia="Palatino Linotype" w:hAnsi="Palatino Linotype" w:cs="Palatino Linotype"/>
          <w:i/>
          <w:iCs/>
          <w:color w:val="000000"/>
          <w:sz w:val="24"/>
          <w:szCs w:val="24"/>
        </w:rPr>
        <w:t xml:space="preserve">“Solicito se indique el monto total ejercido para la adquisición o renta de adornos navideños (árboles, nacimientos, luces, piñatas) en el marco de las fiestas decembrinas de 2024. Asimismo solicito copia simple, en su versión pública de todo contrato, factura y fotografía que dé cuenta de dichas compras/rentas (Sic) </w:t>
      </w:r>
    </w:p>
    <w:p w:rsidR="006B3523" w:rsidRDefault="006B3523" w:rsidP="006B3523">
      <w:pPr>
        <w:pBdr>
          <w:top w:val="nil"/>
          <w:left w:val="nil"/>
          <w:bottom w:val="nil"/>
          <w:right w:val="nil"/>
          <w:between w:val="nil"/>
        </w:pBdr>
        <w:ind w:left="567" w:right="567"/>
        <w:jc w:val="both"/>
        <w:rPr>
          <w:rFonts w:ascii="Palatino Linotype" w:eastAsia="Palatino Linotype" w:hAnsi="Palatino Linotype" w:cs="Palatino Linotype"/>
          <w:i/>
          <w:iCs/>
          <w:color w:val="000000"/>
          <w:sz w:val="24"/>
          <w:szCs w:val="24"/>
        </w:rPr>
      </w:pPr>
    </w:p>
    <w:p w:rsidR="00900A5E" w:rsidRDefault="00900A5E" w:rsidP="006B3523">
      <w:pPr>
        <w:pBdr>
          <w:top w:val="nil"/>
          <w:left w:val="nil"/>
          <w:bottom w:val="nil"/>
          <w:right w:val="nil"/>
          <w:between w:val="nil"/>
        </w:pBdr>
        <w:ind w:left="567" w:right="567"/>
        <w:jc w:val="both"/>
        <w:rPr>
          <w:rFonts w:ascii="Palatino Linotype" w:eastAsia="Palatino Linotype" w:hAnsi="Palatino Linotype" w:cs="Palatino Linotype"/>
          <w:i/>
          <w:iCs/>
          <w:color w:val="000000"/>
          <w:sz w:val="24"/>
          <w:szCs w:val="24"/>
        </w:rPr>
      </w:pPr>
    </w:p>
    <w:p w:rsidR="00900A5E" w:rsidRPr="00900A5E" w:rsidRDefault="00900A5E" w:rsidP="00900A5E">
      <w:pPr>
        <w:pBdr>
          <w:top w:val="nil"/>
          <w:left w:val="nil"/>
          <w:bottom w:val="nil"/>
          <w:right w:val="nil"/>
          <w:between w:val="nil"/>
        </w:pBdr>
        <w:ind w:right="567"/>
        <w:jc w:val="both"/>
        <w:rPr>
          <w:rFonts w:ascii="Palatino Linotype" w:eastAsia="Palatino Linotype" w:hAnsi="Palatino Linotype" w:cs="Palatino Linotype"/>
          <w:i/>
          <w:iCs/>
          <w:color w:val="000000"/>
          <w:sz w:val="24"/>
          <w:szCs w:val="24"/>
        </w:rPr>
      </w:pPr>
    </w:p>
    <w:p w:rsidR="006B3523" w:rsidRPr="00900A5E" w:rsidRDefault="006B3523" w:rsidP="00900A5E">
      <w:pPr>
        <w:numPr>
          <w:ilvl w:val="0"/>
          <w:numId w:val="4"/>
        </w:numPr>
        <w:spacing w:line="360" w:lineRule="auto"/>
        <w:ind w:left="426" w:right="567"/>
        <w:jc w:val="both"/>
        <w:rPr>
          <w:rFonts w:ascii="Palatino Linotype" w:eastAsia="Palatino Linotype" w:hAnsi="Palatino Linotype" w:cs="Palatino Linotype"/>
          <w:sz w:val="24"/>
          <w:szCs w:val="24"/>
        </w:rPr>
      </w:pPr>
      <w:r w:rsidRPr="00900A5E">
        <w:rPr>
          <w:rFonts w:ascii="Palatino Linotype" w:eastAsia="Palatino Linotype" w:hAnsi="Palatino Linotype" w:cs="Palatino Linotype"/>
          <w:sz w:val="24"/>
          <w:szCs w:val="24"/>
        </w:rPr>
        <w:t xml:space="preserve">Modalidad de entrega: </w:t>
      </w:r>
      <w:r w:rsidRPr="00900A5E">
        <w:rPr>
          <w:rFonts w:ascii="Palatino Linotype" w:eastAsia="Palatino Linotype" w:hAnsi="Palatino Linotype" w:cs="Palatino Linotype"/>
          <w:b/>
          <w:bCs/>
          <w:sz w:val="24"/>
          <w:szCs w:val="24"/>
        </w:rPr>
        <w:t>Vía SAIMEX.</w:t>
      </w:r>
    </w:p>
    <w:p w:rsidR="006B3523" w:rsidRPr="00900A5E" w:rsidRDefault="006B3523" w:rsidP="006B3523">
      <w:pPr>
        <w:spacing w:line="360" w:lineRule="auto"/>
        <w:ind w:left="1146" w:right="567"/>
        <w:jc w:val="both"/>
        <w:rPr>
          <w:rFonts w:ascii="Palatino Linotype" w:eastAsia="Palatino Linotype" w:hAnsi="Palatino Linotype" w:cs="Palatino Linotype"/>
          <w:sz w:val="24"/>
          <w:szCs w:val="24"/>
        </w:rPr>
      </w:pPr>
    </w:p>
    <w:p w:rsidR="006B3523" w:rsidRPr="00900A5E" w:rsidRDefault="006B3523" w:rsidP="006B3523">
      <w:pPr>
        <w:numPr>
          <w:ilvl w:val="0"/>
          <w:numId w:val="3"/>
        </w:numPr>
        <w:spacing w:line="360" w:lineRule="auto"/>
        <w:ind w:left="0" w:firstLine="0"/>
        <w:jc w:val="both"/>
        <w:rPr>
          <w:rFonts w:ascii="Palatino Linotype" w:eastAsia="Palatino Linotype" w:hAnsi="Palatino Linotype" w:cs="Palatino Linotype"/>
          <w:i/>
          <w:iCs/>
          <w:sz w:val="24"/>
          <w:szCs w:val="24"/>
        </w:rPr>
      </w:pPr>
      <w:r w:rsidRPr="00900A5E">
        <w:rPr>
          <w:rFonts w:ascii="Palatino Linotype" w:eastAsia="Palatino Linotype" w:hAnsi="Palatino Linotype" w:cs="Palatino Linotype"/>
          <w:sz w:val="24"/>
          <w:szCs w:val="24"/>
        </w:rPr>
        <w:lastRenderedPageBreak/>
        <w:t xml:space="preserve">El </w:t>
      </w:r>
      <w:r w:rsidRPr="00900A5E">
        <w:rPr>
          <w:rFonts w:ascii="Palatino Linotype" w:eastAsia="Palatino Linotype" w:hAnsi="Palatino Linotype" w:cs="Palatino Linotype"/>
          <w:b/>
          <w:bCs/>
          <w:sz w:val="24"/>
          <w:szCs w:val="24"/>
        </w:rPr>
        <w:t xml:space="preserve">trece de agosto de dos mil veinticinco, </w:t>
      </w:r>
      <w:r w:rsidRPr="00900A5E">
        <w:rPr>
          <w:rFonts w:ascii="Palatino Linotype" w:eastAsia="Palatino Linotype" w:hAnsi="Palatino Linotype" w:cs="Palatino Linotype"/>
          <w:sz w:val="24"/>
          <w:szCs w:val="24"/>
        </w:rPr>
        <w:t xml:space="preserve">el </w:t>
      </w:r>
      <w:r w:rsidRPr="00900A5E">
        <w:rPr>
          <w:rFonts w:ascii="Palatino Linotype" w:eastAsia="Palatino Linotype" w:hAnsi="Palatino Linotype" w:cs="Palatino Linotype"/>
          <w:b/>
          <w:bCs/>
          <w:sz w:val="24"/>
          <w:szCs w:val="24"/>
        </w:rPr>
        <w:t>SUJETO O</w:t>
      </w:r>
      <w:r w:rsidRPr="00900A5E">
        <w:rPr>
          <w:rFonts w:ascii="Palatino Linotype" w:eastAsia="Palatino Linotype" w:hAnsi="Palatino Linotype" w:cs="Palatino Linotype"/>
          <w:sz w:val="24"/>
          <w:szCs w:val="24"/>
        </w:rPr>
        <w:t>B</w:t>
      </w:r>
      <w:r w:rsidRPr="00900A5E">
        <w:rPr>
          <w:rFonts w:ascii="Palatino Linotype" w:eastAsia="Palatino Linotype" w:hAnsi="Palatino Linotype" w:cs="Palatino Linotype"/>
          <w:b/>
          <w:bCs/>
          <w:sz w:val="24"/>
          <w:szCs w:val="24"/>
        </w:rPr>
        <w:t xml:space="preserve">LIGADO </w:t>
      </w:r>
      <w:r w:rsidRPr="00900A5E">
        <w:rPr>
          <w:rFonts w:ascii="Palatino Linotype" w:eastAsia="Palatino Linotype" w:hAnsi="Palatino Linotype" w:cs="Palatino Linotype"/>
          <w:sz w:val="24"/>
          <w:szCs w:val="24"/>
        </w:rPr>
        <w:t xml:space="preserve">dio </w:t>
      </w:r>
      <w:r w:rsidRPr="00900A5E">
        <w:rPr>
          <w:rFonts w:ascii="Palatino Linotype" w:eastAsia="Palatino Linotype" w:hAnsi="Palatino Linotype" w:cs="Palatino Linotype"/>
          <w:b/>
          <w:bCs/>
          <w:sz w:val="24"/>
          <w:szCs w:val="24"/>
        </w:rPr>
        <w:t>RESPUESTA</w:t>
      </w:r>
      <w:r w:rsidRPr="00900A5E">
        <w:rPr>
          <w:rFonts w:ascii="Palatino Linotype" w:eastAsia="Palatino Linotype" w:hAnsi="Palatino Linotype" w:cs="Palatino Linotype"/>
          <w:sz w:val="24"/>
          <w:szCs w:val="24"/>
        </w:rPr>
        <w:t xml:space="preserve"> a través de los archivos siguientes:</w:t>
      </w:r>
    </w:p>
    <w:p w:rsidR="006B3523" w:rsidRPr="00900A5E" w:rsidRDefault="006B3523" w:rsidP="006B3523">
      <w:pPr>
        <w:pStyle w:val="Prrafodelista"/>
        <w:numPr>
          <w:ilvl w:val="0"/>
          <w:numId w:val="15"/>
        </w:numPr>
        <w:spacing w:after="160" w:line="259" w:lineRule="auto"/>
        <w:jc w:val="both"/>
        <w:rPr>
          <w:rFonts w:ascii="Palatino Linotype" w:eastAsiaTheme="minorHAnsi" w:hAnsi="Palatino Linotype" w:cstheme="minorBidi"/>
          <w:sz w:val="24"/>
          <w:szCs w:val="24"/>
          <w:lang w:eastAsia="en-US"/>
        </w:rPr>
      </w:pPr>
      <w:r w:rsidRPr="00900A5E">
        <w:rPr>
          <w:rFonts w:ascii="Palatino Linotype" w:eastAsiaTheme="minorHAnsi" w:hAnsi="Palatino Linotype" w:cstheme="minorBidi"/>
          <w:b/>
          <w:sz w:val="24"/>
          <w:szCs w:val="24"/>
          <w:lang w:eastAsia="en-US"/>
        </w:rPr>
        <w:t>3925.pdf:</w:t>
      </w:r>
    </w:p>
    <w:p w:rsidR="006B3523" w:rsidRPr="00900A5E" w:rsidRDefault="006B3523" w:rsidP="006B3523">
      <w:pPr>
        <w:pStyle w:val="Prrafodelista"/>
        <w:spacing w:after="160" w:line="259" w:lineRule="auto"/>
        <w:jc w:val="both"/>
        <w:rPr>
          <w:rFonts w:ascii="Palatino Linotype" w:eastAsiaTheme="minorHAnsi" w:hAnsi="Palatino Linotype" w:cstheme="minorBidi"/>
          <w:sz w:val="24"/>
          <w:szCs w:val="24"/>
          <w:lang w:eastAsia="en-US"/>
        </w:rPr>
      </w:pPr>
      <w:r w:rsidRPr="00900A5E">
        <w:rPr>
          <w:rFonts w:ascii="Palatino Linotype" w:eastAsiaTheme="minorHAnsi" w:hAnsi="Palatino Linotype" w:cstheme="minorBidi"/>
          <w:sz w:val="24"/>
          <w:szCs w:val="24"/>
          <w:lang w:eastAsia="en-US"/>
        </w:rPr>
        <w:t>Oficio firmado por el Tesorero Municipal, por el que informo que se adjunta el estado analítico del ejercicio del presupuesto de egresos clasificación por objeto del gasto (octubre-diciembre del ejercicio fiscal 2024).</w:t>
      </w:r>
    </w:p>
    <w:p w:rsidR="006B3523" w:rsidRPr="00900A5E" w:rsidRDefault="006B3523" w:rsidP="006B3523">
      <w:pPr>
        <w:pStyle w:val="Prrafodelista"/>
        <w:numPr>
          <w:ilvl w:val="0"/>
          <w:numId w:val="15"/>
        </w:numPr>
        <w:spacing w:after="160" w:line="259" w:lineRule="auto"/>
        <w:jc w:val="both"/>
        <w:rPr>
          <w:rFonts w:ascii="Palatino Linotype" w:eastAsiaTheme="minorHAnsi" w:hAnsi="Palatino Linotype" w:cstheme="minorBidi"/>
          <w:sz w:val="24"/>
          <w:szCs w:val="24"/>
          <w:lang w:eastAsia="en-US"/>
        </w:rPr>
      </w:pPr>
      <w:r w:rsidRPr="00900A5E">
        <w:rPr>
          <w:rFonts w:ascii="Palatino Linotype" w:eastAsiaTheme="minorHAnsi" w:hAnsi="Palatino Linotype" w:cstheme="minorBidi"/>
          <w:b/>
          <w:sz w:val="24"/>
          <w:szCs w:val="24"/>
          <w:lang w:eastAsia="en-US"/>
        </w:rPr>
        <w:t xml:space="preserve">Estado-Analitico-del-Ejercicio-por-Clasificacion-por-Objeto-del-Gasto.pdf: </w:t>
      </w:r>
    </w:p>
    <w:p w:rsidR="006B3523" w:rsidRPr="00900A5E" w:rsidRDefault="006B3523" w:rsidP="006B3523">
      <w:pPr>
        <w:pStyle w:val="Prrafodelista"/>
        <w:rPr>
          <w:rFonts w:ascii="Palatino Linotype" w:eastAsiaTheme="minorHAnsi" w:hAnsi="Palatino Linotype" w:cstheme="minorBidi"/>
          <w:sz w:val="24"/>
          <w:szCs w:val="24"/>
          <w:lang w:eastAsia="en-US"/>
        </w:rPr>
      </w:pPr>
    </w:p>
    <w:p w:rsidR="006B3523" w:rsidRPr="00900A5E" w:rsidRDefault="006B3523" w:rsidP="006B3523">
      <w:pPr>
        <w:pStyle w:val="Prrafodelista"/>
        <w:spacing w:after="160" w:line="259" w:lineRule="auto"/>
        <w:jc w:val="both"/>
        <w:rPr>
          <w:rFonts w:ascii="Palatino Linotype" w:eastAsiaTheme="minorHAnsi" w:hAnsi="Palatino Linotype" w:cstheme="minorBidi"/>
          <w:sz w:val="24"/>
          <w:szCs w:val="24"/>
          <w:lang w:eastAsia="en-US"/>
        </w:rPr>
      </w:pPr>
      <w:r w:rsidRPr="00900A5E">
        <w:rPr>
          <w:rFonts w:ascii="Palatino Linotype" w:eastAsiaTheme="minorHAnsi" w:hAnsi="Palatino Linotype" w:cstheme="minorBidi"/>
          <w:sz w:val="24"/>
          <w:szCs w:val="24"/>
          <w:lang w:eastAsia="en-US"/>
        </w:rPr>
        <w:t>Estado analítico del ejercicio del presupuesto de egresos clasificación por objeto del gasto (capitulo y concepto) del uno de enero al treinta de septiembre de dos mil veinticuatro.</w:t>
      </w:r>
    </w:p>
    <w:p w:rsidR="006B3523" w:rsidRPr="00900A5E" w:rsidRDefault="006B3523" w:rsidP="006B3523">
      <w:pPr>
        <w:pStyle w:val="Prrafodelista"/>
        <w:rPr>
          <w:rFonts w:ascii="Palatino Linotype" w:eastAsiaTheme="minorHAnsi" w:hAnsi="Palatino Linotype" w:cstheme="minorBidi"/>
          <w:sz w:val="24"/>
          <w:szCs w:val="24"/>
          <w:lang w:eastAsia="en-US"/>
        </w:rPr>
      </w:pPr>
    </w:p>
    <w:p w:rsidR="006B3523" w:rsidRPr="00900A5E" w:rsidRDefault="006B3523" w:rsidP="006B3523">
      <w:pPr>
        <w:pStyle w:val="Prrafodelista"/>
        <w:numPr>
          <w:ilvl w:val="0"/>
          <w:numId w:val="15"/>
        </w:numPr>
        <w:spacing w:after="160" w:line="259" w:lineRule="auto"/>
        <w:jc w:val="both"/>
        <w:rPr>
          <w:rFonts w:ascii="Palatino Linotype" w:eastAsiaTheme="minorHAnsi" w:hAnsi="Palatino Linotype" w:cstheme="minorBidi"/>
          <w:i/>
          <w:sz w:val="24"/>
          <w:szCs w:val="24"/>
          <w:lang w:eastAsia="en-US"/>
        </w:rPr>
      </w:pPr>
      <w:r w:rsidRPr="00900A5E">
        <w:rPr>
          <w:rFonts w:ascii="Palatino Linotype" w:eastAsiaTheme="minorHAnsi" w:hAnsi="Palatino Linotype" w:cstheme="minorBidi"/>
          <w:b/>
          <w:sz w:val="24"/>
          <w:szCs w:val="24"/>
          <w:lang w:eastAsia="en-US"/>
        </w:rPr>
        <w:t xml:space="preserve">NOTIF. CIUDADANO S. 3925.pdf: </w:t>
      </w:r>
    </w:p>
    <w:p w:rsidR="006B3523" w:rsidRPr="00900A5E" w:rsidRDefault="006B3523" w:rsidP="006B3523">
      <w:pPr>
        <w:pStyle w:val="Prrafodelista"/>
        <w:spacing w:after="160" w:line="259" w:lineRule="auto"/>
        <w:jc w:val="both"/>
        <w:rPr>
          <w:rFonts w:ascii="Palatino Linotype" w:eastAsiaTheme="minorHAnsi" w:hAnsi="Palatino Linotype" w:cstheme="minorBidi"/>
          <w:i/>
          <w:sz w:val="24"/>
          <w:szCs w:val="24"/>
          <w:lang w:eastAsia="en-US"/>
        </w:rPr>
      </w:pPr>
      <w:r w:rsidRPr="00900A5E">
        <w:rPr>
          <w:rFonts w:ascii="Palatino Linotype" w:eastAsiaTheme="minorHAnsi" w:hAnsi="Palatino Linotype" w:cstheme="minorBidi"/>
          <w:sz w:val="24"/>
          <w:szCs w:val="24"/>
          <w:lang w:eastAsia="en-US"/>
        </w:rPr>
        <w:t>Oficio firmado por la Tesorera Municipal, por el que informo: “</w:t>
      </w:r>
      <w:r w:rsidRPr="00900A5E">
        <w:rPr>
          <w:rFonts w:ascii="Palatino Linotype" w:eastAsiaTheme="minorHAnsi" w:hAnsi="Palatino Linotype" w:cstheme="minorBidi"/>
          <w:i/>
          <w:sz w:val="24"/>
          <w:szCs w:val="24"/>
          <w:lang w:eastAsia="en-US"/>
        </w:rPr>
        <w:t>hago de su conocimiento que la Dirección de Recursos Materiales, después de haber realizado una búsqueda exhaustiva y razonable en los archivos que obran en la Dirección y sus Departamentos, informa que no se localizó la información solicitada;…”</w:t>
      </w:r>
    </w:p>
    <w:p w:rsidR="006B3523" w:rsidRPr="00900A5E" w:rsidRDefault="006B3523" w:rsidP="006B3523">
      <w:pPr>
        <w:pStyle w:val="Prrafodelista"/>
        <w:spacing w:after="160" w:line="259" w:lineRule="auto"/>
        <w:jc w:val="both"/>
        <w:rPr>
          <w:rFonts w:ascii="Palatino Linotype" w:eastAsiaTheme="minorHAnsi" w:hAnsi="Palatino Linotype" w:cstheme="minorBidi"/>
          <w:i/>
          <w:sz w:val="24"/>
          <w:szCs w:val="24"/>
          <w:lang w:eastAsia="en-US"/>
        </w:rPr>
      </w:pPr>
    </w:p>
    <w:p w:rsidR="006B3523" w:rsidRPr="00900A5E" w:rsidRDefault="006B3523" w:rsidP="006B3523">
      <w:pPr>
        <w:pStyle w:val="Prrafodelista"/>
        <w:spacing w:after="160" w:line="259" w:lineRule="auto"/>
        <w:jc w:val="both"/>
        <w:rPr>
          <w:rFonts w:ascii="Palatino Linotype" w:eastAsiaTheme="minorHAnsi" w:hAnsi="Palatino Linotype" w:cstheme="minorBidi"/>
          <w:i/>
          <w:sz w:val="24"/>
          <w:szCs w:val="24"/>
          <w:lang w:eastAsia="en-US"/>
        </w:rPr>
      </w:pPr>
      <w:r w:rsidRPr="00900A5E">
        <w:rPr>
          <w:rFonts w:ascii="Palatino Linotype" w:eastAsiaTheme="minorHAnsi" w:hAnsi="Palatino Linotype" w:cstheme="minorBidi"/>
          <w:sz w:val="24"/>
          <w:szCs w:val="24"/>
          <w:lang w:eastAsia="en-US"/>
        </w:rPr>
        <w:t xml:space="preserve">Oficio de la Directora de Recursos Materiales, por el que informo: </w:t>
      </w:r>
      <w:r w:rsidRPr="00900A5E">
        <w:rPr>
          <w:rFonts w:ascii="Palatino Linotype" w:eastAsiaTheme="minorHAnsi" w:hAnsi="Palatino Linotype" w:cstheme="minorBidi"/>
          <w:i/>
          <w:sz w:val="24"/>
          <w:szCs w:val="24"/>
          <w:lang w:eastAsia="en-US"/>
        </w:rPr>
        <w:t>“me permito hacer de su conocimiento que con la finalidad de verificar la existencia de requerimientos, respecto a la información solicitada, se realizó una búsqueda exhaustiva y razonable en los archivos físicos y electrónicos que obran en esta Dirección y sus Departamentos, no se localizó registro de "contrato de compras /rentas de adornos navideños en el marco de las fiestas decembrinas de 2024"</w:t>
      </w:r>
    </w:p>
    <w:p w:rsidR="006B3523" w:rsidRPr="00900A5E" w:rsidRDefault="006B3523" w:rsidP="006B3523">
      <w:pPr>
        <w:spacing w:line="360" w:lineRule="auto"/>
        <w:jc w:val="both"/>
        <w:rPr>
          <w:rFonts w:ascii="Palatino Linotype" w:eastAsia="Palatino Linotype" w:hAnsi="Palatino Linotype" w:cs="Palatino Linotype"/>
          <w:sz w:val="24"/>
          <w:szCs w:val="24"/>
        </w:rPr>
      </w:pPr>
    </w:p>
    <w:p w:rsidR="006B3523" w:rsidRPr="00900A5E" w:rsidRDefault="006B3523" w:rsidP="006B3523">
      <w:pPr>
        <w:numPr>
          <w:ilvl w:val="0"/>
          <w:numId w:val="3"/>
        </w:numPr>
        <w:spacing w:line="360" w:lineRule="auto"/>
        <w:ind w:left="0" w:firstLine="0"/>
        <w:jc w:val="both"/>
        <w:rPr>
          <w:rFonts w:ascii="Palatino Linotype" w:eastAsia="Palatino Linotype" w:hAnsi="Palatino Linotype" w:cs="Palatino Linotype"/>
          <w:sz w:val="24"/>
          <w:szCs w:val="24"/>
        </w:rPr>
      </w:pPr>
      <w:r w:rsidRPr="00900A5E">
        <w:rPr>
          <w:rFonts w:ascii="Palatino Linotype" w:eastAsia="Palatino Linotype" w:hAnsi="Palatino Linotype" w:cs="Palatino Linotype"/>
          <w:sz w:val="24"/>
          <w:szCs w:val="24"/>
        </w:rPr>
        <w:t xml:space="preserve">Inconforme con lo anterior, el </w:t>
      </w:r>
      <w:r w:rsidRPr="00900A5E">
        <w:rPr>
          <w:rFonts w:ascii="Palatino Linotype" w:eastAsia="Palatino Linotype" w:hAnsi="Palatino Linotype" w:cs="Palatino Linotype"/>
          <w:b/>
          <w:bCs/>
          <w:sz w:val="24"/>
          <w:szCs w:val="24"/>
        </w:rPr>
        <w:t>diecinueve de agosto de dos mil veinticinco</w:t>
      </w:r>
      <w:r w:rsidRPr="00900A5E">
        <w:rPr>
          <w:rFonts w:ascii="Palatino Linotype" w:eastAsia="Palatino Linotype" w:hAnsi="Palatino Linotype" w:cs="Palatino Linotype"/>
          <w:sz w:val="24"/>
          <w:szCs w:val="24"/>
        </w:rPr>
        <w:t xml:space="preserve">,  el </w:t>
      </w:r>
      <w:r w:rsidRPr="00900A5E">
        <w:rPr>
          <w:rFonts w:ascii="Palatino Linotype" w:eastAsia="Palatino Linotype" w:hAnsi="Palatino Linotype" w:cs="Palatino Linotype"/>
          <w:b/>
          <w:bCs/>
          <w:sz w:val="24"/>
          <w:szCs w:val="24"/>
        </w:rPr>
        <w:t xml:space="preserve">SUJETO OBLIGADO </w:t>
      </w:r>
      <w:r w:rsidRPr="00900A5E">
        <w:rPr>
          <w:rFonts w:ascii="Palatino Linotype" w:eastAsia="Palatino Linotype" w:hAnsi="Palatino Linotype" w:cs="Palatino Linotype"/>
          <w:sz w:val="24"/>
          <w:szCs w:val="24"/>
        </w:rPr>
        <w:t xml:space="preserve">interpuso recurso de revisión, arguyendo como </w:t>
      </w:r>
    </w:p>
    <w:p w:rsidR="006B3523" w:rsidRPr="00900A5E" w:rsidRDefault="006B3523" w:rsidP="006B3523">
      <w:pPr>
        <w:spacing w:line="360" w:lineRule="auto"/>
        <w:jc w:val="both"/>
        <w:rPr>
          <w:rFonts w:ascii="Palatino Linotype" w:eastAsia="Palatino Linotype" w:hAnsi="Palatino Linotype" w:cs="Palatino Linotype"/>
          <w:sz w:val="24"/>
          <w:szCs w:val="24"/>
        </w:rPr>
      </w:pPr>
    </w:p>
    <w:p w:rsidR="006B3523" w:rsidRPr="00900A5E" w:rsidRDefault="00900A5E" w:rsidP="00900A5E">
      <w:pPr>
        <w:pStyle w:val="Prrafodelista"/>
        <w:numPr>
          <w:ilvl w:val="0"/>
          <w:numId w:val="18"/>
        </w:numPr>
        <w:pBdr>
          <w:top w:val="nil"/>
          <w:left w:val="nil"/>
          <w:bottom w:val="nil"/>
          <w:right w:val="nil"/>
          <w:between w:val="nil"/>
        </w:pBdr>
        <w:ind w:left="426" w:right="539"/>
        <w:jc w:val="both"/>
        <w:rPr>
          <w:rFonts w:ascii="Palatino Linotype" w:eastAsia="Palatino Linotype" w:hAnsi="Palatino Linotype" w:cs="Palatino Linotype"/>
          <w:i/>
          <w:iCs/>
          <w:color w:val="000000"/>
          <w:sz w:val="24"/>
          <w:szCs w:val="24"/>
        </w:rPr>
      </w:pPr>
      <w:r w:rsidRPr="00900A5E">
        <w:rPr>
          <w:rFonts w:ascii="Palatino Linotype" w:eastAsia="Palatino Linotype" w:hAnsi="Palatino Linotype" w:cs="Palatino Linotype"/>
          <w:b/>
          <w:bCs/>
          <w:color w:val="000000"/>
          <w:sz w:val="24"/>
          <w:szCs w:val="24"/>
        </w:rPr>
        <w:t>ACTO IMPUGNADO</w:t>
      </w:r>
      <w:r w:rsidRPr="00900A5E">
        <w:rPr>
          <w:rFonts w:ascii="Palatino Linotype" w:eastAsia="Palatino Linotype" w:hAnsi="Palatino Linotype" w:cs="Palatino Linotype"/>
          <w:b/>
          <w:bCs/>
          <w:i/>
          <w:iCs/>
          <w:color w:val="000000"/>
          <w:sz w:val="24"/>
          <w:szCs w:val="24"/>
        </w:rPr>
        <w:t>:</w:t>
      </w:r>
      <w:r w:rsidRPr="00900A5E">
        <w:rPr>
          <w:rFonts w:ascii="Palatino Linotype" w:eastAsia="Palatino Linotype" w:hAnsi="Palatino Linotype" w:cs="Palatino Linotype"/>
          <w:color w:val="000000"/>
          <w:sz w:val="24"/>
          <w:szCs w:val="24"/>
        </w:rPr>
        <w:t xml:space="preserve"> </w:t>
      </w:r>
      <w:r w:rsidR="006B3523" w:rsidRPr="00900A5E">
        <w:rPr>
          <w:rFonts w:ascii="Palatino Linotype" w:eastAsia="Palatino Linotype" w:hAnsi="Palatino Linotype" w:cs="Palatino Linotype"/>
          <w:i/>
          <w:iCs/>
          <w:color w:val="000000"/>
          <w:sz w:val="24"/>
          <w:szCs w:val="24"/>
        </w:rPr>
        <w:t>“La opacidad a todo en ese municipio no entrega la información solicitada se pide se entregue conforme a la ley se entregue la información” (sic)</w:t>
      </w:r>
    </w:p>
    <w:p w:rsidR="006B3523" w:rsidRPr="00900A5E" w:rsidRDefault="00900A5E" w:rsidP="00900A5E">
      <w:pPr>
        <w:numPr>
          <w:ilvl w:val="0"/>
          <w:numId w:val="19"/>
        </w:numPr>
        <w:pBdr>
          <w:top w:val="nil"/>
          <w:left w:val="nil"/>
          <w:bottom w:val="nil"/>
          <w:right w:val="nil"/>
          <w:between w:val="nil"/>
        </w:pBdr>
        <w:ind w:right="539"/>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b/>
          <w:bCs/>
          <w:color w:val="000000"/>
          <w:sz w:val="24"/>
          <w:szCs w:val="24"/>
        </w:rPr>
        <w:lastRenderedPageBreak/>
        <w:t>RAZONES O MOTIVOS DE INCONFORMIDAD</w:t>
      </w:r>
      <w:r w:rsidR="006B3523" w:rsidRPr="00900A5E">
        <w:rPr>
          <w:rFonts w:ascii="Palatino Linotype" w:eastAsia="Palatino Linotype" w:hAnsi="Palatino Linotype" w:cs="Palatino Linotype"/>
          <w:b/>
          <w:bCs/>
          <w:color w:val="000000"/>
          <w:sz w:val="24"/>
          <w:szCs w:val="24"/>
        </w:rPr>
        <w:t>: “</w:t>
      </w:r>
      <w:r w:rsidR="006B3523" w:rsidRPr="00900A5E">
        <w:rPr>
          <w:rFonts w:ascii="Palatino Linotype" w:eastAsia="Palatino Linotype" w:hAnsi="Palatino Linotype" w:cs="Palatino Linotype"/>
          <w:i/>
          <w:iCs/>
          <w:color w:val="000000"/>
          <w:sz w:val="24"/>
          <w:szCs w:val="24"/>
        </w:rPr>
        <w:t>La opacidad a todo en ese municipio no entrega la información solicitada se pide se entregue conforme a la ley se entregue la información “(Sic)</w:t>
      </w:r>
    </w:p>
    <w:p w:rsidR="006B3523" w:rsidRPr="00900A5E" w:rsidRDefault="006B3523" w:rsidP="006B3523">
      <w:pPr>
        <w:pBdr>
          <w:top w:val="nil"/>
          <w:left w:val="nil"/>
          <w:bottom w:val="nil"/>
          <w:right w:val="nil"/>
          <w:between w:val="nil"/>
        </w:pBdr>
        <w:ind w:left="720"/>
        <w:rPr>
          <w:rFonts w:ascii="Palatino Linotype" w:eastAsia="Palatino Linotype" w:hAnsi="Palatino Linotype" w:cs="Palatino Linotype"/>
          <w:color w:val="000000"/>
          <w:sz w:val="24"/>
          <w:szCs w:val="24"/>
        </w:rPr>
      </w:pPr>
    </w:p>
    <w:p w:rsidR="006B3523" w:rsidRPr="00900A5E" w:rsidRDefault="006B3523" w:rsidP="006B3523">
      <w:pPr>
        <w:pBdr>
          <w:top w:val="nil"/>
          <w:left w:val="nil"/>
          <w:bottom w:val="nil"/>
          <w:right w:val="nil"/>
          <w:between w:val="nil"/>
        </w:pBdr>
        <w:ind w:left="720" w:right="539" w:hanging="360"/>
        <w:jc w:val="both"/>
        <w:rPr>
          <w:rFonts w:ascii="Palatino Linotype" w:eastAsia="Palatino Linotype" w:hAnsi="Palatino Linotype" w:cs="Palatino Linotype"/>
          <w:color w:val="000000"/>
          <w:sz w:val="24"/>
          <w:szCs w:val="24"/>
        </w:rPr>
      </w:pPr>
    </w:p>
    <w:p w:rsidR="006B3523" w:rsidRPr="00900A5E" w:rsidRDefault="006B3523" w:rsidP="006B3523">
      <w:pPr>
        <w:numPr>
          <w:ilvl w:val="0"/>
          <w:numId w:val="3"/>
        </w:numPr>
        <w:spacing w:line="360" w:lineRule="auto"/>
        <w:ind w:left="0" w:firstLine="0"/>
        <w:jc w:val="both"/>
        <w:rPr>
          <w:rFonts w:ascii="Palatino Linotype" w:eastAsia="Palatino Linotype" w:hAnsi="Palatino Linotype" w:cs="Palatino Linotype"/>
          <w:sz w:val="24"/>
          <w:szCs w:val="24"/>
        </w:rPr>
      </w:pPr>
      <w:r w:rsidRPr="00900A5E">
        <w:rPr>
          <w:rFonts w:ascii="Palatino Linotype" w:eastAsia="Palatino Linotype" w:hAnsi="Palatino Linotype" w:cs="Palatino Linotype"/>
          <w:sz w:val="24"/>
          <w:szCs w:val="24"/>
        </w:rPr>
        <w:t xml:space="preserve">Se registró el recurso de revisión bajo el número de expediente al rubro indicado, asimismo con fundamento en lo dispuesto por el artículo 185 fracción I de la </w:t>
      </w:r>
      <w:r w:rsidRPr="00900A5E">
        <w:rPr>
          <w:rFonts w:ascii="Palatino Linotype" w:eastAsia="Palatino Linotype" w:hAnsi="Palatino Linotype" w:cs="Palatino Linotype"/>
          <w:b/>
          <w:bCs/>
          <w:sz w:val="24"/>
          <w:szCs w:val="24"/>
        </w:rPr>
        <w:t xml:space="preserve">Ley de Transparencia y Acceso a la Información Pública del Estado de México y Municipios </w:t>
      </w:r>
      <w:r w:rsidRPr="00900A5E">
        <w:rPr>
          <w:rFonts w:ascii="Palatino Linotype" w:eastAsia="Palatino Linotype" w:hAnsi="Palatino Linotype" w:cs="Palatino Linotype"/>
          <w:sz w:val="24"/>
          <w:szCs w:val="24"/>
        </w:rPr>
        <w:t xml:space="preserve">se turnó a la </w:t>
      </w:r>
      <w:r w:rsidRPr="00900A5E">
        <w:rPr>
          <w:rFonts w:ascii="Palatino Linotype" w:eastAsia="Palatino Linotype" w:hAnsi="Palatino Linotype" w:cs="Palatino Linotype"/>
          <w:b/>
          <w:bCs/>
          <w:sz w:val="24"/>
          <w:szCs w:val="24"/>
        </w:rPr>
        <w:t xml:space="preserve">Comisionada María del Rosario Mejía Ayala, </w:t>
      </w:r>
      <w:r w:rsidR="00900A5E">
        <w:rPr>
          <w:rFonts w:ascii="Palatino Linotype" w:eastAsia="Palatino Linotype" w:hAnsi="Palatino Linotype" w:cs="Palatino Linotype"/>
          <w:sz w:val="24"/>
          <w:szCs w:val="24"/>
        </w:rPr>
        <w:t>para</w:t>
      </w:r>
      <w:r w:rsidRPr="00900A5E">
        <w:rPr>
          <w:rFonts w:ascii="Palatino Linotype" w:eastAsia="Palatino Linotype" w:hAnsi="Palatino Linotype" w:cs="Palatino Linotype"/>
          <w:sz w:val="24"/>
          <w:szCs w:val="24"/>
        </w:rPr>
        <w:t xml:space="preserve"> su análisis. </w:t>
      </w:r>
    </w:p>
    <w:p w:rsidR="006B3523" w:rsidRPr="00900A5E" w:rsidRDefault="006B3523" w:rsidP="006B3523">
      <w:pPr>
        <w:spacing w:line="360" w:lineRule="auto"/>
        <w:jc w:val="both"/>
        <w:rPr>
          <w:rFonts w:ascii="Palatino Linotype" w:eastAsia="Palatino Linotype" w:hAnsi="Palatino Linotype" w:cs="Palatino Linotype"/>
          <w:sz w:val="24"/>
          <w:szCs w:val="24"/>
        </w:rPr>
      </w:pPr>
    </w:p>
    <w:p w:rsidR="006B3523" w:rsidRPr="00900A5E" w:rsidRDefault="00900A5E" w:rsidP="006B3523">
      <w:pPr>
        <w:numPr>
          <w:ilvl w:val="0"/>
          <w:numId w:val="3"/>
        </w:numPr>
        <w:spacing w:line="360" w:lineRule="auto"/>
        <w:ind w:left="0" w:firstLine="0"/>
        <w:jc w:val="both"/>
        <w:rPr>
          <w:rFonts w:ascii="Palatino Linotype" w:eastAsia="Palatino Linotype" w:hAnsi="Palatino Linotype" w:cs="Palatino Linotype"/>
          <w:i/>
          <w:iCs/>
          <w:sz w:val="24"/>
          <w:szCs w:val="24"/>
        </w:rPr>
      </w:pPr>
      <w:r>
        <w:rPr>
          <w:rFonts w:ascii="Palatino Linotype" w:eastAsia="Palatino Linotype" w:hAnsi="Palatino Linotype" w:cs="Palatino Linotype"/>
          <w:sz w:val="24"/>
          <w:szCs w:val="24"/>
        </w:rPr>
        <w:t>La Comisionada p</w:t>
      </w:r>
      <w:r w:rsidR="006B3523" w:rsidRPr="00900A5E">
        <w:rPr>
          <w:rFonts w:ascii="Palatino Linotype" w:eastAsia="Palatino Linotype" w:hAnsi="Palatino Linotype" w:cs="Palatino Linotype"/>
          <w:sz w:val="24"/>
          <w:szCs w:val="24"/>
        </w:rPr>
        <w:t xml:space="preserve">onente con fundamento en lo dispuesto por el artículo 18 fracción II de la ley de la materia, a través del acuerdo de admisión notificado el </w:t>
      </w:r>
      <w:r w:rsidR="006B3523" w:rsidRPr="00900A5E">
        <w:rPr>
          <w:rFonts w:ascii="Palatino Linotype" w:eastAsia="Palatino Linotype" w:hAnsi="Palatino Linotype" w:cs="Palatino Linotype"/>
          <w:b/>
          <w:bCs/>
          <w:sz w:val="24"/>
          <w:szCs w:val="24"/>
        </w:rPr>
        <w:t>veintiuno de agosto de dos mil veinticinco,</w:t>
      </w:r>
      <w:r w:rsidR="006B3523" w:rsidRPr="00900A5E">
        <w:rPr>
          <w:rFonts w:ascii="Palatino Linotype" w:eastAsia="Palatino Linotype" w:hAnsi="Palatino Linotype" w:cs="Palatino Linotype"/>
          <w:sz w:val="24"/>
          <w:szCs w:val="24"/>
        </w:rPr>
        <w:t xml:space="preserve"> se puso a disposición de las partes el expediente electrónico vía </w:t>
      </w:r>
      <w:r w:rsidR="006B3523" w:rsidRPr="00900A5E">
        <w:rPr>
          <w:rFonts w:ascii="Palatino Linotype" w:eastAsia="Palatino Linotype" w:hAnsi="Palatino Linotype" w:cs="Palatino Linotype"/>
          <w:b/>
          <w:bCs/>
          <w:sz w:val="24"/>
          <w:szCs w:val="24"/>
        </w:rPr>
        <w:t xml:space="preserve">SAIMEX </w:t>
      </w:r>
      <w:r w:rsidR="006B3523" w:rsidRPr="00900A5E">
        <w:rPr>
          <w:rFonts w:ascii="Palatino Linotype" w:eastAsia="Palatino Linotype" w:hAnsi="Palatino Linotype" w:cs="Palatino Linotype"/>
          <w:sz w:val="24"/>
          <w:szCs w:val="24"/>
        </w:rPr>
        <w:t xml:space="preserve">a efecto de que en un plazo máximo de siete días manifestaran lo que a derecho convinieran, ofrecieran pruebas y alegatos según corresponda al caso concreto, de esta forma para que el </w:t>
      </w:r>
      <w:r w:rsidR="006B3523" w:rsidRPr="00900A5E">
        <w:rPr>
          <w:rFonts w:ascii="Palatino Linotype" w:eastAsia="Palatino Linotype" w:hAnsi="Palatino Linotype" w:cs="Palatino Linotype"/>
          <w:b/>
          <w:bCs/>
          <w:sz w:val="24"/>
          <w:szCs w:val="24"/>
        </w:rPr>
        <w:t>SUJETO OBLIGADO</w:t>
      </w:r>
      <w:r w:rsidR="006B3523" w:rsidRPr="00900A5E">
        <w:rPr>
          <w:rFonts w:ascii="Palatino Linotype" w:eastAsia="Palatino Linotype" w:hAnsi="Palatino Linotype" w:cs="Palatino Linotype"/>
          <w:sz w:val="24"/>
          <w:szCs w:val="24"/>
        </w:rPr>
        <w:t xml:space="preserve"> presentara el informe justificado procedente. </w:t>
      </w:r>
    </w:p>
    <w:p w:rsidR="006B3523" w:rsidRPr="00900A5E" w:rsidRDefault="006B3523" w:rsidP="006B3523">
      <w:pPr>
        <w:pBdr>
          <w:top w:val="nil"/>
          <w:left w:val="nil"/>
          <w:bottom w:val="nil"/>
          <w:right w:val="nil"/>
          <w:between w:val="nil"/>
        </w:pBdr>
        <w:ind w:left="720"/>
        <w:rPr>
          <w:rFonts w:ascii="Palatino Linotype" w:eastAsia="Palatino Linotype" w:hAnsi="Palatino Linotype" w:cs="Palatino Linotype"/>
          <w:i/>
          <w:iCs/>
          <w:color w:val="000000"/>
          <w:sz w:val="24"/>
          <w:szCs w:val="24"/>
        </w:rPr>
      </w:pPr>
    </w:p>
    <w:p w:rsidR="006B3523" w:rsidRPr="00900A5E" w:rsidRDefault="006B3523" w:rsidP="006B3523">
      <w:pPr>
        <w:numPr>
          <w:ilvl w:val="0"/>
          <w:numId w:val="3"/>
        </w:numPr>
        <w:spacing w:line="360" w:lineRule="auto"/>
        <w:ind w:left="0" w:firstLine="0"/>
        <w:jc w:val="both"/>
        <w:rPr>
          <w:rFonts w:ascii="Palatino Linotype" w:eastAsia="Palatino Linotype" w:hAnsi="Palatino Linotype" w:cs="Palatino Linotype"/>
          <w:i/>
          <w:iCs/>
          <w:sz w:val="24"/>
          <w:szCs w:val="24"/>
        </w:rPr>
      </w:pPr>
      <w:r w:rsidRPr="00900A5E">
        <w:rPr>
          <w:rFonts w:ascii="Palatino Linotype" w:eastAsia="Palatino Linotype" w:hAnsi="Palatino Linotype" w:cs="Palatino Linotype"/>
          <w:sz w:val="24"/>
          <w:szCs w:val="24"/>
        </w:rPr>
        <w:t xml:space="preserve">De las constancias que obran en el expediente electrónico SAIMEX, se advierte que el </w:t>
      </w:r>
      <w:r w:rsidRPr="00900A5E">
        <w:rPr>
          <w:rFonts w:ascii="Palatino Linotype" w:eastAsia="Palatino Linotype" w:hAnsi="Palatino Linotype" w:cs="Palatino Linotype"/>
          <w:b/>
          <w:bCs/>
          <w:sz w:val="24"/>
          <w:szCs w:val="24"/>
        </w:rPr>
        <w:t>PARTICULAR,</w:t>
      </w:r>
      <w:r w:rsidRPr="00900A5E">
        <w:rPr>
          <w:rFonts w:ascii="Palatino Linotype" w:eastAsia="Palatino Linotype" w:hAnsi="Palatino Linotype" w:cs="Palatino Linotype"/>
          <w:sz w:val="24"/>
          <w:szCs w:val="24"/>
        </w:rPr>
        <w:t xml:space="preserve"> no realizó manifestación alguna.</w:t>
      </w:r>
    </w:p>
    <w:p w:rsidR="006B3523" w:rsidRPr="00900A5E" w:rsidRDefault="006B3523" w:rsidP="006B3523">
      <w:pPr>
        <w:spacing w:line="360" w:lineRule="auto"/>
        <w:jc w:val="both"/>
        <w:rPr>
          <w:rFonts w:ascii="Palatino Linotype" w:eastAsia="Palatino Linotype" w:hAnsi="Palatino Linotype" w:cs="Palatino Linotype"/>
          <w:i/>
          <w:iCs/>
          <w:sz w:val="24"/>
          <w:szCs w:val="24"/>
        </w:rPr>
      </w:pPr>
    </w:p>
    <w:p w:rsidR="006B3523" w:rsidRPr="00900A5E" w:rsidRDefault="006B3523" w:rsidP="006B3523">
      <w:pPr>
        <w:numPr>
          <w:ilvl w:val="0"/>
          <w:numId w:val="3"/>
        </w:numPr>
        <w:spacing w:line="360" w:lineRule="auto"/>
        <w:ind w:left="0" w:firstLine="0"/>
        <w:jc w:val="both"/>
        <w:rPr>
          <w:rFonts w:ascii="Palatino Linotype" w:eastAsia="Palatino Linotype" w:hAnsi="Palatino Linotype" w:cs="Palatino Linotype"/>
          <w:color w:val="FF0000"/>
          <w:sz w:val="24"/>
          <w:szCs w:val="24"/>
        </w:rPr>
      </w:pPr>
      <w:r w:rsidRPr="00900A5E">
        <w:rPr>
          <w:rFonts w:ascii="Palatino Linotype" w:eastAsia="Palatino Linotype" w:hAnsi="Palatino Linotype" w:cs="Palatino Linotype"/>
          <w:sz w:val="24"/>
          <w:szCs w:val="24"/>
        </w:rPr>
        <w:t xml:space="preserve">El </w:t>
      </w:r>
      <w:r w:rsidRPr="00900A5E">
        <w:rPr>
          <w:rFonts w:ascii="Palatino Linotype" w:eastAsia="Palatino Linotype" w:hAnsi="Palatino Linotype" w:cs="Palatino Linotype"/>
          <w:b/>
          <w:bCs/>
          <w:sz w:val="24"/>
          <w:szCs w:val="24"/>
        </w:rPr>
        <w:t xml:space="preserve">SUJETO OBLIGADO, </w:t>
      </w:r>
      <w:r w:rsidRPr="00900A5E">
        <w:rPr>
          <w:rFonts w:ascii="Palatino Linotype" w:eastAsia="Palatino Linotype" w:hAnsi="Palatino Linotype" w:cs="Palatino Linotype"/>
          <w:sz w:val="24"/>
          <w:szCs w:val="24"/>
        </w:rPr>
        <w:t xml:space="preserve">el </w:t>
      </w:r>
      <w:r w:rsidRPr="00900A5E">
        <w:rPr>
          <w:rFonts w:ascii="Palatino Linotype" w:eastAsia="Palatino Linotype" w:hAnsi="Palatino Linotype" w:cs="Palatino Linotype"/>
          <w:b/>
          <w:sz w:val="24"/>
          <w:szCs w:val="24"/>
        </w:rPr>
        <w:t>primero de septiembre de dos mil veinticinco</w:t>
      </w:r>
      <w:r w:rsidRPr="00900A5E">
        <w:rPr>
          <w:rFonts w:ascii="Palatino Linotype" w:eastAsia="Palatino Linotype" w:hAnsi="Palatino Linotype" w:cs="Palatino Linotype"/>
          <w:sz w:val="24"/>
          <w:szCs w:val="24"/>
        </w:rPr>
        <w:t>, rindió el Informe Justificado a través de los archivos siguientes:</w:t>
      </w:r>
    </w:p>
    <w:p w:rsidR="006B3523" w:rsidRPr="00900A5E" w:rsidRDefault="006B3523" w:rsidP="006B3523">
      <w:pPr>
        <w:pStyle w:val="Prrafodelista"/>
        <w:numPr>
          <w:ilvl w:val="0"/>
          <w:numId w:val="15"/>
        </w:numPr>
        <w:ind w:right="680"/>
        <w:jc w:val="both"/>
        <w:rPr>
          <w:rFonts w:ascii="Palatino Linotype" w:hAnsi="Palatino Linotype"/>
          <w:sz w:val="24"/>
          <w:szCs w:val="24"/>
        </w:rPr>
      </w:pPr>
      <w:r w:rsidRPr="00900A5E">
        <w:rPr>
          <w:rFonts w:ascii="Palatino Linotype" w:hAnsi="Palatino Linotype"/>
          <w:b/>
          <w:sz w:val="24"/>
          <w:szCs w:val="24"/>
        </w:rPr>
        <w:t xml:space="preserve">ANEXOS 09723-2025.pdf: </w:t>
      </w:r>
      <w:r w:rsidRPr="00900A5E">
        <w:rPr>
          <w:rFonts w:ascii="Palatino Linotype" w:hAnsi="Palatino Linotype"/>
          <w:sz w:val="24"/>
          <w:szCs w:val="24"/>
        </w:rPr>
        <w:t>Oficios firmados por el Tesorero Municipal y la Directora General de Administración, por el que ratificaron sus respuestas primigenias.</w:t>
      </w:r>
    </w:p>
    <w:p w:rsidR="000B51D0" w:rsidRPr="00900A5E" w:rsidRDefault="000B51D0" w:rsidP="000B51D0">
      <w:pPr>
        <w:pStyle w:val="Prrafodelista"/>
        <w:ind w:right="680"/>
        <w:jc w:val="both"/>
        <w:rPr>
          <w:rFonts w:ascii="Palatino Linotype" w:hAnsi="Palatino Linotype"/>
          <w:sz w:val="24"/>
          <w:szCs w:val="24"/>
        </w:rPr>
      </w:pPr>
    </w:p>
    <w:p w:rsidR="006B3523" w:rsidRPr="00900A5E" w:rsidRDefault="006B3523" w:rsidP="006B3523">
      <w:pPr>
        <w:pStyle w:val="Prrafodelista"/>
        <w:numPr>
          <w:ilvl w:val="0"/>
          <w:numId w:val="15"/>
        </w:numPr>
        <w:ind w:right="680"/>
        <w:jc w:val="both"/>
        <w:rPr>
          <w:rFonts w:ascii="Palatino Linotype" w:hAnsi="Palatino Linotype"/>
          <w:sz w:val="24"/>
          <w:szCs w:val="24"/>
        </w:rPr>
      </w:pPr>
      <w:r w:rsidRPr="00900A5E">
        <w:rPr>
          <w:rFonts w:ascii="Palatino Linotype" w:hAnsi="Palatino Linotype"/>
          <w:b/>
          <w:sz w:val="24"/>
          <w:szCs w:val="24"/>
        </w:rPr>
        <w:lastRenderedPageBreak/>
        <w:t xml:space="preserve">Ratificación 09723.pdf: </w:t>
      </w:r>
      <w:r w:rsidRPr="00900A5E">
        <w:rPr>
          <w:rFonts w:ascii="Palatino Linotype" w:hAnsi="Palatino Linotype"/>
          <w:sz w:val="24"/>
          <w:szCs w:val="24"/>
        </w:rPr>
        <w:t>Oficio firmado por el Titular de la Unidad de Transparencias, por el que informo que, el Tesorero Municipal y la Directora General de Administración, ratifican sus respuestas primigenias.</w:t>
      </w:r>
    </w:p>
    <w:p w:rsidR="006B3523" w:rsidRPr="00900A5E" w:rsidRDefault="006B3523" w:rsidP="006B3523">
      <w:pPr>
        <w:ind w:right="680"/>
        <w:jc w:val="both"/>
        <w:rPr>
          <w:rFonts w:ascii="Palatino Linotype" w:hAnsi="Palatino Linotype"/>
          <w:sz w:val="24"/>
          <w:szCs w:val="24"/>
        </w:rPr>
      </w:pPr>
    </w:p>
    <w:p w:rsidR="006B3523" w:rsidRPr="00900A5E" w:rsidRDefault="006B3523" w:rsidP="006B3523">
      <w:pPr>
        <w:pStyle w:val="Prrafodelista"/>
        <w:numPr>
          <w:ilvl w:val="0"/>
          <w:numId w:val="15"/>
        </w:numPr>
        <w:ind w:right="680"/>
        <w:jc w:val="both"/>
        <w:rPr>
          <w:rFonts w:ascii="Palatino Linotype" w:hAnsi="Palatino Linotype"/>
          <w:sz w:val="24"/>
          <w:szCs w:val="24"/>
        </w:rPr>
      </w:pPr>
      <w:r w:rsidRPr="00900A5E">
        <w:rPr>
          <w:rFonts w:ascii="Palatino Linotype" w:hAnsi="Palatino Linotype"/>
          <w:b/>
          <w:sz w:val="24"/>
          <w:szCs w:val="24"/>
        </w:rPr>
        <w:t xml:space="preserve">ANEXOS 09723-2025.pdf: </w:t>
      </w:r>
      <w:r w:rsidRPr="00900A5E">
        <w:rPr>
          <w:rFonts w:ascii="Palatino Linotype" w:hAnsi="Palatino Linotype"/>
          <w:sz w:val="24"/>
          <w:szCs w:val="24"/>
        </w:rPr>
        <w:t>Oficios firmados por el Tesorero Municipal y la Directora General de Administración, por el que ratificaron sus respuestas primigenias.</w:t>
      </w:r>
    </w:p>
    <w:p w:rsidR="006B3523" w:rsidRPr="00900A5E" w:rsidRDefault="006B3523" w:rsidP="006B3523">
      <w:pPr>
        <w:ind w:right="680"/>
        <w:jc w:val="both"/>
        <w:rPr>
          <w:rFonts w:ascii="Palatino Linotype" w:hAnsi="Palatino Linotype"/>
          <w:b/>
          <w:sz w:val="24"/>
          <w:szCs w:val="24"/>
        </w:rPr>
      </w:pPr>
    </w:p>
    <w:p w:rsidR="006B3523" w:rsidRPr="00900A5E" w:rsidRDefault="006B3523" w:rsidP="006B3523">
      <w:pPr>
        <w:pStyle w:val="Prrafodelista"/>
        <w:numPr>
          <w:ilvl w:val="0"/>
          <w:numId w:val="15"/>
        </w:numPr>
        <w:ind w:right="680"/>
        <w:jc w:val="both"/>
        <w:rPr>
          <w:rFonts w:ascii="Palatino Linotype" w:hAnsi="Palatino Linotype"/>
          <w:b/>
          <w:sz w:val="24"/>
          <w:szCs w:val="24"/>
        </w:rPr>
      </w:pPr>
      <w:r w:rsidRPr="00900A5E">
        <w:rPr>
          <w:rFonts w:ascii="Palatino Linotype" w:hAnsi="Palatino Linotype"/>
          <w:b/>
          <w:sz w:val="24"/>
          <w:szCs w:val="24"/>
        </w:rPr>
        <w:t xml:space="preserve">Ratificación 09723.pdf: </w:t>
      </w:r>
      <w:r w:rsidRPr="00900A5E">
        <w:rPr>
          <w:rFonts w:ascii="Palatino Linotype" w:hAnsi="Palatino Linotype"/>
          <w:sz w:val="24"/>
          <w:szCs w:val="24"/>
        </w:rPr>
        <w:t>Oficio firmado por el Titular de la Unidad de Transparencias, por el que informo que, el Tesorero Municipal y la Directora General de Administración, ratifican sus respuestas primigenias.</w:t>
      </w:r>
    </w:p>
    <w:p w:rsidR="006B3523" w:rsidRPr="00900A5E" w:rsidRDefault="006B3523" w:rsidP="006B3523">
      <w:pPr>
        <w:jc w:val="both"/>
        <w:rPr>
          <w:rFonts w:ascii="Palatino Linotype" w:eastAsia="Palatino Linotype" w:hAnsi="Palatino Linotype" w:cs="Palatino Linotype"/>
          <w:sz w:val="24"/>
          <w:szCs w:val="24"/>
        </w:rPr>
      </w:pPr>
    </w:p>
    <w:p w:rsidR="006B3523" w:rsidRPr="00900A5E" w:rsidRDefault="006B3523" w:rsidP="006B3523">
      <w:pPr>
        <w:jc w:val="both"/>
        <w:rPr>
          <w:rFonts w:ascii="Palatino Linotype" w:eastAsia="Palatino Linotype" w:hAnsi="Palatino Linotype" w:cs="Palatino Linotype"/>
          <w:sz w:val="24"/>
          <w:szCs w:val="24"/>
        </w:rPr>
      </w:pPr>
    </w:p>
    <w:p w:rsidR="006B3523" w:rsidRPr="00900A5E" w:rsidRDefault="006B3523" w:rsidP="006B3523">
      <w:pPr>
        <w:numPr>
          <w:ilvl w:val="0"/>
          <w:numId w:val="3"/>
        </w:numPr>
        <w:tabs>
          <w:tab w:val="left" w:pos="426"/>
        </w:tabs>
        <w:spacing w:line="360" w:lineRule="auto"/>
        <w:ind w:left="0" w:firstLine="0"/>
        <w:jc w:val="both"/>
        <w:rPr>
          <w:rFonts w:ascii="Palatino Linotype" w:eastAsia="Palatino Linotype" w:hAnsi="Palatino Linotype" w:cs="Palatino Linotype"/>
          <w:b/>
          <w:bCs/>
          <w:sz w:val="24"/>
          <w:szCs w:val="24"/>
          <w:u w:val="single"/>
        </w:rPr>
      </w:pPr>
      <w:r w:rsidRPr="00900A5E">
        <w:rPr>
          <w:rFonts w:ascii="Palatino Linotype" w:eastAsia="Palatino Linotype" w:hAnsi="Palatino Linotype" w:cs="Palatino Linotype"/>
          <w:sz w:val="24"/>
          <w:szCs w:val="24"/>
        </w:rPr>
        <w:t xml:space="preserve">El </w:t>
      </w:r>
      <w:r w:rsidRPr="00900A5E">
        <w:rPr>
          <w:rFonts w:ascii="Palatino Linotype" w:eastAsia="Palatino Linotype" w:hAnsi="Palatino Linotype" w:cs="Palatino Linotype"/>
          <w:b/>
          <w:bCs/>
          <w:sz w:val="24"/>
          <w:szCs w:val="24"/>
        </w:rPr>
        <w:t xml:space="preserve">veintisiete de enero de dos mil veintiséis, </w:t>
      </w:r>
      <w:r w:rsidRPr="00900A5E">
        <w:rPr>
          <w:rFonts w:ascii="Palatino Linotype" w:eastAsia="Palatino Linotype" w:hAnsi="Palatino Linotype" w:cs="Palatino Linotype"/>
          <w:sz w:val="24"/>
          <w:szCs w:val="24"/>
        </w:rPr>
        <w:t>se notificó el acuerdo por el que se amplió el plazo para resolver el recurso de revisión que nos ocupa.</w:t>
      </w:r>
    </w:p>
    <w:p w:rsidR="00900A5E" w:rsidRPr="00900A5E" w:rsidRDefault="00900A5E" w:rsidP="00900A5E">
      <w:pPr>
        <w:tabs>
          <w:tab w:val="left" w:pos="426"/>
        </w:tabs>
        <w:spacing w:line="360" w:lineRule="auto"/>
        <w:jc w:val="both"/>
        <w:rPr>
          <w:rFonts w:ascii="Palatino Linotype" w:eastAsia="Palatino Linotype" w:hAnsi="Palatino Linotype" w:cs="Palatino Linotype"/>
          <w:b/>
          <w:bCs/>
          <w:sz w:val="24"/>
          <w:szCs w:val="24"/>
          <w:u w:val="single"/>
        </w:rPr>
      </w:pPr>
    </w:p>
    <w:p w:rsidR="006B3523" w:rsidRPr="00900A5E" w:rsidRDefault="006B3523" w:rsidP="006B3523">
      <w:pPr>
        <w:numPr>
          <w:ilvl w:val="0"/>
          <w:numId w:val="3"/>
        </w:numPr>
        <w:tabs>
          <w:tab w:val="left" w:pos="426"/>
        </w:tabs>
        <w:spacing w:line="360" w:lineRule="auto"/>
        <w:ind w:left="0" w:firstLine="0"/>
        <w:jc w:val="both"/>
        <w:rPr>
          <w:rFonts w:ascii="Palatino Linotype" w:eastAsia="Palatino Linotype" w:hAnsi="Palatino Linotype" w:cs="Palatino Linotype"/>
          <w:b/>
          <w:bCs/>
          <w:sz w:val="24"/>
          <w:szCs w:val="24"/>
          <w:u w:val="single"/>
        </w:rPr>
      </w:pPr>
      <w:r w:rsidRPr="00900A5E">
        <w:rPr>
          <w:rFonts w:ascii="Palatino Linotype" w:eastAsia="Palatino Linotype" w:hAnsi="Palatino Linotype" w:cs="Palatino Linotype"/>
          <w:sz w:val="24"/>
          <w:szCs w:val="24"/>
        </w:rPr>
        <w:t>El</w:t>
      </w:r>
      <w:r w:rsidRPr="00900A5E">
        <w:rPr>
          <w:rFonts w:ascii="Palatino Linotype" w:eastAsia="Palatino Linotype" w:hAnsi="Palatino Linotype" w:cs="Palatino Linotype"/>
          <w:b/>
          <w:bCs/>
          <w:sz w:val="24"/>
          <w:szCs w:val="24"/>
        </w:rPr>
        <w:t xml:space="preserve"> dos de marzo de dos mil veintiséis</w:t>
      </w:r>
      <w:r w:rsidRPr="00900A5E">
        <w:rPr>
          <w:rFonts w:ascii="Palatino Linotype" w:eastAsia="Palatino Linotype" w:hAnsi="Palatino Linotype" w:cs="Palatino Linotype"/>
          <w:sz w:val="24"/>
          <w:szCs w:val="24"/>
        </w:rPr>
        <w:t xml:space="preserve">, la Comisionada Ponente decretó el cierre de instrucción y al no existir diligencias por realizar y se turnó el expediente a resolución correspondiente, por lo que no habiendo más que hacer constar, y </w:t>
      </w:r>
      <w:r w:rsidR="00900A5E">
        <w:rPr>
          <w:rFonts w:ascii="Palatino Linotype" w:eastAsia="Palatino Linotype" w:hAnsi="Palatino Linotype" w:cs="Palatino Linotype"/>
          <w:sz w:val="24"/>
          <w:szCs w:val="24"/>
        </w:rPr>
        <w:t xml:space="preserve"> </w:t>
      </w:r>
    </w:p>
    <w:p w:rsidR="00900A5E" w:rsidRPr="00900A5E" w:rsidRDefault="00900A5E" w:rsidP="00900A5E">
      <w:pPr>
        <w:tabs>
          <w:tab w:val="left" w:pos="426"/>
        </w:tabs>
        <w:spacing w:line="360" w:lineRule="auto"/>
        <w:jc w:val="both"/>
        <w:rPr>
          <w:rFonts w:ascii="Palatino Linotype" w:eastAsia="Palatino Linotype" w:hAnsi="Palatino Linotype" w:cs="Palatino Linotype"/>
          <w:b/>
          <w:bCs/>
          <w:sz w:val="24"/>
          <w:szCs w:val="24"/>
          <w:u w:val="single"/>
        </w:rPr>
      </w:pPr>
    </w:p>
    <w:p w:rsidR="006B3523" w:rsidRPr="00900A5E" w:rsidRDefault="006B3523" w:rsidP="006B3523">
      <w:pPr>
        <w:keepNext/>
        <w:keepLines/>
        <w:spacing w:line="360" w:lineRule="auto"/>
        <w:jc w:val="center"/>
        <w:rPr>
          <w:rFonts w:ascii="Palatino Linotype" w:eastAsia="Palatino Linotype" w:hAnsi="Palatino Linotype" w:cs="Palatino Linotype"/>
          <w:b/>
          <w:bCs/>
          <w:sz w:val="24"/>
          <w:szCs w:val="24"/>
        </w:rPr>
      </w:pPr>
      <w:bookmarkStart w:id="3" w:name="_heading=h.30j0zll" w:colFirst="0" w:colLast="0"/>
      <w:bookmarkEnd w:id="3"/>
      <w:r w:rsidRPr="00900A5E">
        <w:rPr>
          <w:rFonts w:ascii="Palatino Linotype" w:eastAsia="Palatino Linotype" w:hAnsi="Palatino Linotype" w:cs="Palatino Linotype"/>
          <w:b/>
          <w:bCs/>
          <w:sz w:val="24"/>
          <w:szCs w:val="24"/>
        </w:rPr>
        <w:t>C</w:t>
      </w:r>
      <w:r w:rsidR="00900A5E">
        <w:rPr>
          <w:rFonts w:ascii="Palatino Linotype" w:eastAsia="Palatino Linotype" w:hAnsi="Palatino Linotype" w:cs="Palatino Linotype"/>
          <w:b/>
          <w:bCs/>
          <w:sz w:val="24"/>
          <w:szCs w:val="24"/>
        </w:rPr>
        <w:t xml:space="preserve"> </w:t>
      </w:r>
      <w:r w:rsidRPr="00900A5E">
        <w:rPr>
          <w:rFonts w:ascii="Palatino Linotype" w:eastAsia="Palatino Linotype" w:hAnsi="Palatino Linotype" w:cs="Palatino Linotype"/>
          <w:b/>
          <w:bCs/>
          <w:sz w:val="24"/>
          <w:szCs w:val="24"/>
        </w:rPr>
        <w:t>O</w:t>
      </w:r>
      <w:r w:rsidR="00900A5E">
        <w:rPr>
          <w:rFonts w:ascii="Palatino Linotype" w:eastAsia="Palatino Linotype" w:hAnsi="Palatino Linotype" w:cs="Palatino Linotype"/>
          <w:b/>
          <w:bCs/>
          <w:sz w:val="24"/>
          <w:szCs w:val="24"/>
        </w:rPr>
        <w:t xml:space="preserve"> </w:t>
      </w:r>
      <w:r w:rsidRPr="00900A5E">
        <w:rPr>
          <w:rFonts w:ascii="Palatino Linotype" w:eastAsia="Palatino Linotype" w:hAnsi="Palatino Linotype" w:cs="Palatino Linotype"/>
          <w:b/>
          <w:bCs/>
          <w:sz w:val="24"/>
          <w:szCs w:val="24"/>
        </w:rPr>
        <w:t>N</w:t>
      </w:r>
      <w:r w:rsidR="00900A5E">
        <w:rPr>
          <w:rFonts w:ascii="Palatino Linotype" w:eastAsia="Palatino Linotype" w:hAnsi="Palatino Linotype" w:cs="Palatino Linotype"/>
          <w:b/>
          <w:bCs/>
          <w:sz w:val="24"/>
          <w:szCs w:val="24"/>
        </w:rPr>
        <w:t xml:space="preserve"> </w:t>
      </w:r>
      <w:r w:rsidRPr="00900A5E">
        <w:rPr>
          <w:rFonts w:ascii="Palatino Linotype" w:eastAsia="Palatino Linotype" w:hAnsi="Palatino Linotype" w:cs="Palatino Linotype"/>
          <w:b/>
          <w:bCs/>
          <w:sz w:val="24"/>
          <w:szCs w:val="24"/>
        </w:rPr>
        <w:t>S</w:t>
      </w:r>
      <w:r w:rsidR="00900A5E">
        <w:rPr>
          <w:rFonts w:ascii="Palatino Linotype" w:eastAsia="Palatino Linotype" w:hAnsi="Palatino Linotype" w:cs="Palatino Linotype"/>
          <w:b/>
          <w:bCs/>
          <w:sz w:val="24"/>
          <w:szCs w:val="24"/>
        </w:rPr>
        <w:t xml:space="preserve"> </w:t>
      </w:r>
      <w:r w:rsidRPr="00900A5E">
        <w:rPr>
          <w:rFonts w:ascii="Palatino Linotype" w:eastAsia="Palatino Linotype" w:hAnsi="Palatino Linotype" w:cs="Palatino Linotype"/>
          <w:b/>
          <w:bCs/>
          <w:sz w:val="24"/>
          <w:szCs w:val="24"/>
        </w:rPr>
        <w:t>I</w:t>
      </w:r>
      <w:r w:rsidR="00900A5E">
        <w:rPr>
          <w:rFonts w:ascii="Palatino Linotype" w:eastAsia="Palatino Linotype" w:hAnsi="Palatino Linotype" w:cs="Palatino Linotype"/>
          <w:b/>
          <w:bCs/>
          <w:sz w:val="24"/>
          <w:szCs w:val="24"/>
        </w:rPr>
        <w:t xml:space="preserve"> </w:t>
      </w:r>
      <w:r w:rsidRPr="00900A5E">
        <w:rPr>
          <w:rFonts w:ascii="Palatino Linotype" w:eastAsia="Palatino Linotype" w:hAnsi="Palatino Linotype" w:cs="Palatino Linotype"/>
          <w:b/>
          <w:bCs/>
          <w:sz w:val="24"/>
          <w:szCs w:val="24"/>
        </w:rPr>
        <w:t>D</w:t>
      </w:r>
      <w:r w:rsidR="00900A5E">
        <w:rPr>
          <w:rFonts w:ascii="Palatino Linotype" w:eastAsia="Palatino Linotype" w:hAnsi="Palatino Linotype" w:cs="Palatino Linotype"/>
          <w:b/>
          <w:bCs/>
          <w:sz w:val="24"/>
          <w:szCs w:val="24"/>
        </w:rPr>
        <w:t xml:space="preserve"> </w:t>
      </w:r>
      <w:r w:rsidRPr="00900A5E">
        <w:rPr>
          <w:rFonts w:ascii="Palatino Linotype" w:eastAsia="Palatino Linotype" w:hAnsi="Palatino Linotype" w:cs="Palatino Linotype"/>
          <w:b/>
          <w:bCs/>
          <w:sz w:val="24"/>
          <w:szCs w:val="24"/>
        </w:rPr>
        <w:t>E</w:t>
      </w:r>
      <w:r w:rsidR="00900A5E">
        <w:rPr>
          <w:rFonts w:ascii="Palatino Linotype" w:eastAsia="Palatino Linotype" w:hAnsi="Palatino Linotype" w:cs="Palatino Linotype"/>
          <w:b/>
          <w:bCs/>
          <w:sz w:val="24"/>
          <w:szCs w:val="24"/>
        </w:rPr>
        <w:t xml:space="preserve"> </w:t>
      </w:r>
      <w:r w:rsidRPr="00900A5E">
        <w:rPr>
          <w:rFonts w:ascii="Palatino Linotype" w:eastAsia="Palatino Linotype" w:hAnsi="Palatino Linotype" w:cs="Palatino Linotype"/>
          <w:b/>
          <w:bCs/>
          <w:sz w:val="24"/>
          <w:szCs w:val="24"/>
        </w:rPr>
        <w:t>R</w:t>
      </w:r>
      <w:r w:rsidR="00900A5E">
        <w:rPr>
          <w:rFonts w:ascii="Palatino Linotype" w:eastAsia="Palatino Linotype" w:hAnsi="Palatino Linotype" w:cs="Palatino Linotype"/>
          <w:b/>
          <w:bCs/>
          <w:sz w:val="24"/>
          <w:szCs w:val="24"/>
        </w:rPr>
        <w:t xml:space="preserve"> </w:t>
      </w:r>
      <w:r w:rsidRPr="00900A5E">
        <w:rPr>
          <w:rFonts w:ascii="Palatino Linotype" w:eastAsia="Palatino Linotype" w:hAnsi="Palatino Linotype" w:cs="Palatino Linotype"/>
          <w:b/>
          <w:bCs/>
          <w:sz w:val="24"/>
          <w:szCs w:val="24"/>
        </w:rPr>
        <w:t>A</w:t>
      </w:r>
      <w:r w:rsidR="00900A5E">
        <w:rPr>
          <w:rFonts w:ascii="Palatino Linotype" w:eastAsia="Palatino Linotype" w:hAnsi="Palatino Linotype" w:cs="Palatino Linotype"/>
          <w:b/>
          <w:bCs/>
          <w:sz w:val="24"/>
          <w:szCs w:val="24"/>
        </w:rPr>
        <w:t xml:space="preserve"> </w:t>
      </w:r>
      <w:r w:rsidRPr="00900A5E">
        <w:rPr>
          <w:rFonts w:ascii="Palatino Linotype" w:eastAsia="Palatino Linotype" w:hAnsi="Palatino Linotype" w:cs="Palatino Linotype"/>
          <w:b/>
          <w:bCs/>
          <w:sz w:val="24"/>
          <w:szCs w:val="24"/>
        </w:rPr>
        <w:t>N</w:t>
      </w:r>
      <w:r w:rsidR="00900A5E">
        <w:rPr>
          <w:rFonts w:ascii="Palatino Linotype" w:eastAsia="Palatino Linotype" w:hAnsi="Palatino Linotype" w:cs="Palatino Linotype"/>
          <w:b/>
          <w:bCs/>
          <w:sz w:val="24"/>
          <w:szCs w:val="24"/>
        </w:rPr>
        <w:t xml:space="preserve"> </w:t>
      </w:r>
      <w:r w:rsidRPr="00900A5E">
        <w:rPr>
          <w:rFonts w:ascii="Palatino Linotype" w:eastAsia="Palatino Linotype" w:hAnsi="Palatino Linotype" w:cs="Palatino Linotype"/>
          <w:b/>
          <w:bCs/>
          <w:sz w:val="24"/>
          <w:szCs w:val="24"/>
        </w:rPr>
        <w:t>D</w:t>
      </w:r>
      <w:r w:rsidR="00900A5E">
        <w:rPr>
          <w:rFonts w:ascii="Palatino Linotype" w:eastAsia="Palatino Linotype" w:hAnsi="Palatino Linotype" w:cs="Palatino Linotype"/>
          <w:b/>
          <w:bCs/>
          <w:sz w:val="24"/>
          <w:szCs w:val="24"/>
        </w:rPr>
        <w:t xml:space="preserve"> </w:t>
      </w:r>
      <w:r w:rsidRPr="00900A5E">
        <w:rPr>
          <w:rFonts w:ascii="Palatino Linotype" w:eastAsia="Palatino Linotype" w:hAnsi="Palatino Linotype" w:cs="Palatino Linotype"/>
          <w:b/>
          <w:bCs/>
          <w:sz w:val="24"/>
          <w:szCs w:val="24"/>
        </w:rPr>
        <w:t xml:space="preserve">O </w:t>
      </w:r>
    </w:p>
    <w:p w:rsidR="006B3523" w:rsidRPr="00900A5E" w:rsidRDefault="006B3523" w:rsidP="006B3523">
      <w:pPr>
        <w:keepNext/>
        <w:keepLines/>
        <w:spacing w:line="360" w:lineRule="auto"/>
        <w:jc w:val="center"/>
        <w:rPr>
          <w:rFonts w:ascii="Palatino Linotype" w:eastAsia="Palatino Linotype" w:hAnsi="Palatino Linotype" w:cs="Palatino Linotype"/>
          <w:sz w:val="24"/>
          <w:szCs w:val="24"/>
        </w:rPr>
      </w:pPr>
    </w:p>
    <w:p w:rsidR="006B3523" w:rsidRPr="00900A5E" w:rsidRDefault="006B3523" w:rsidP="006B3523">
      <w:pPr>
        <w:keepNext/>
        <w:keepLines/>
        <w:spacing w:line="360" w:lineRule="auto"/>
        <w:rPr>
          <w:rFonts w:ascii="Palatino Linotype" w:eastAsia="Palatino Linotype" w:hAnsi="Palatino Linotype" w:cs="Palatino Linotype"/>
          <w:b/>
          <w:bCs/>
          <w:sz w:val="24"/>
          <w:szCs w:val="24"/>
        </w:rPr>
      </w:pPr>
      <w:bookmarkStart w:id="4" w:name="_heading=h.1fob9te" w:colFirst="0" w:colLast="0"/>
      <w:bookmarkEnd w:id="4"/>
      <w:r w:rsidRPr="00900A5E">
        <w:rPr>
          <w:rFonts w:ascii="Palatino Linotype" w:eastAsia="Palatino Linotype" w:hAnsi="Palatino Linotype" w:cs="Palatino Linotype"/>
          <w:b/>
          <w:bCs/>
          <w:sz w:val="24"/>
          <w:szCs w:val="24"/>
        </w:rPr>
        <w:t>PRIMERO. De la competencia</w:t>
      </w:r>
    </w:p>
    <w:p w:rsidR="006B3523" w:rsidRPr="00900A5E" w:rsidRDefault="006B3523" w:rsidP="006B3523">
      <w:pPr>
        <w:numPr>
          <w:ilvl w:val="0"/>
          <w:numId w:val="3"/>
        </w:numPr>
        <w:tabs>
          <w:tab w:val="left" w:pos="426"/>
        </w:tabs>
        <w:spacing w:line="360" w:lineRule="auto"/>
        <w:ind w:left="0" w:firstLine="0"/>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trigésimo, trigésimo primero y trigésimo segundo, fracciones IV y V, de la Constitución Política del Estado </w:t>
      </w:r>
      <w:r w:rsidRPr="00900A5E">
        <w:rPr>
          <w:rFonts w:ascii="Palatino Linotype" w:eastAsia="Palatino Linotype" w:hAnsi="Palatino Linotype" w:cs="Palatino Linotype"/>
          <w:color w:val="000000"/>
          <w:sz w:val="24"/>
          <w:szCs w:val="24"/>
        </w:rPr>
        <w:lastRenderedPageBreak/>
        <w:t>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6B3523" w:rsidRPr="00900A5E" w:rsidRDefault="006B3523" w:rsidP="006B3523">
      <w:pPr>
        <w:tabs>
          <w:tab w:val="left" w:pos="426"/>
        </w:tabs>
        <w:spacing w:line="360" w:lineRule="auto"/>
        <w:jc w:val="both"/>
        <w:rPr>
          <w:rFonts w:ascii="Palatino Linotype" w:eastAsia="Palatino Linotype" w:hAnsi="Palatino Linotype" w:cs="Palatino Linotype"/>
          <w:color w:val="000000"/>
          <w:sz w:val="24"/>
          <w:szCs w:val="24"/>
        </w:rPr>
      </w:pPr>
    </w:p>
    <w:p w:rsidR="006B3523" w:rsidRPr="00900A5E" w:rsidRDefault="006B3523" w:rsidP="006B3523">
      <w:pPr>
        <w:keepNext/>
        <w:keepLines/>
        <w:spacing w:line="360" w:lineRule="auto"/>
        <w:rPr>
          <w:rFonts w:ascii="Palatino Linotype" w:eastAsia="Palatino Linotype" w:hAnsi="Palatino Linotype" w:cs="Palatino Linotype"/>
          <w:b/>
          <w:bCs/>
          <w:sz w:val="24"/>
          <w:szCs w:val="24"/>
        </w:rPr>
      </w:pPr>
      <w:bookmarkStart w:id="5" w:name="_heading=h.3znysh7" w:colFirst="0" w:colLast="0"/>
      <w:bookmarkEnd w:id="5"/>
      <w:r w:rsidRPr="00900A5E">
        <w:rPr>
          <w:rFonts w:ascii="Palatino Linotype" w:eastAsia="Palatino Linotype" w:hAnsi="Palatino Linotype" w:cs="Palatino Linotype"/>
          <w:b/>
          <w:bCs/>
          <w:sz w:val="24"/>
          <w:szCs w:val="24"/>
        </w:rPr>
        <w:t>SEGUNDO. De la oportunidad y procedencia.</w:t>
      </w:r>
    </w:p>
    <w:p w:rsidR="006B3523" w:rsidRPr="00900A5E" w:rsidRDefault="006B3523" w:rsidP="006B3523">
      <w:pPr>
        <w:numPr>
          <w:ilvl w:val="0"/>
          <w:numId w:val="3"/>
        </w:numPr>
        <w:spacing w:line="360" w:lineRule="auto"/>
        <w:ind w:left="0" w:right="48" w:firstLine="0"/>
        <w:jc w:val="both"/>
        <w:rPr>
          <w:rFonts w:ascii="Palatino Linotype" w:eastAsia="Palatino Linotype" w:hAnsi="Palatino Linotype" w:cs="Palatino Linotype"/>
          <w:sz w:val="24"/>
          <w:szCs w:val="24"/>
        </w:rPr>
      </w:pPr>
      <w:r w:rsidRPr="00900A5E">
        <w:rPr>
          <w:rFonts w:ascii="Palatino Linotype" w:eastAsia="Palatino Linotype" w:hAnsi="Palatino Linotype" w:cs="Palatino Linotype"/>
          <w:sz w:val="24"/>
          <w:szCs w:val="24"/>
        </w:rPr>
        <w:t xml:space="preserve">El medio de impugnación fue presentado a través del </w:t>
      </w:r>
      <w:r w:rsidRPr="00900A5E">
        <w:rPr>
          <w:rFonts w:ascii="Palatino Linotype" w:eastAsia="Palatino Linotype" w:hAnsi="Palatino Linotype" w:cs="Palatino Linotype"/>
          <w:b/>
          <w:bCs/>
          <w:sz w:val="24"/>
          <w:szCs w:val="24"/>
        </w:rPr>
        <w:t>SAIMEX,</w:t>
      </w:r>
      <w:r w:rsidRPr="00900A5E">
        <w:rPr>
          <w:rFonts w:ascii="Palatino Linotype" w:eastAsia="Palatino Linotype" w:hAnsi="Palatino Linotype" w:cs="Palatino Linotype"/>
          <w:sz w:val="24"/>
          <w:szCs w:val="24"/>
        </w:rPr>
        <w:t xml:space="preserve"> en el formato previamente aprobado para tal efecto y dentro del plazo legal de quince días hábiles otorgados; para el caso en particular es de señalar que el </w:t>
      </w:r>
      <w:r w:rsidRPr="00900A5E">
        <w:rPr>
          <w:rFonts w:ascii="Palatino Linotype" w:eastAsia="Palatino Linotype" w:hAnsi="Palatino Linotype" w:cs="Palatino Linotype"/>
          <w:b/>
          <w:bCs/>
          <w:sz w:val="24"/>
          <w:szCs w:val="24"/>
        </w:rPr>
        <w:t>SUJETO OBLIGADO</w:t>
      </w:r>
      <w:r w:rsidRPr="00900A5E">
        <w:rPr>
          <w:rFonts w:ascii="Palatino Linotype" w:eastAsia="Palatino Linotype" w:hAnsi="Palatino Linotype" w:cs="Palatino Linotype"/>
          <w:sz w:val="24"/>
          <w:szCs w:val="24"/>
        </w:rPr>
        <w:t xml:space="preserve"> entregó respuesta el </w:t>
      </w:r>
      <w:r w:rsidRPr="00900A5E">
        <w:rPr>
          <w:rFonts w:ascii="Palatino Linotype" w:eastAsia="Palatino Linotype" w:hAnsi="Palatino Linotype" w:cs="Palatino Linotype"/>
          <w:b/>
          <w:bCs/>
          <w:sz w:val="24"/>
          <w:szCs w:val="24"/>
        </w:rPr>
        <w:t>trece de agosto de dos mil veinticinco</w:t>
      </w:r>
      <w:r w:rsidRPr="00900A5E">
        <w:rPr>
          <w:rFonts w:ascii="Palatino Linotype" w:eastAsia="Palatino Linotype" w:hAnsi="Palatino Linotype" w:cs="Palatino Linotype"/>
          <w:sz w:val="24"/>
          <w:szCs w:val="24"/>
        </w:rPr>
        <w:t xml:space="preserve">, de tal forma que el plazo para interponer el recurso transcurrió del </w:t>
      </w:r>
      <w:r w:rsidRPr="00900A5E">
        <w:rPr>
          <w:rFonts w:ascii="Palatino Linotype" w:eastAsia="Palatino Linotype" w:hAnsi="Palatino Linotype" w:cs="Palatino Linotype"/>
          <w:b/>
          <w:bCs/>
          <w:sz w:val="24"/>
          <w:szCs w:val="24"/>
        </w:rPr>
        <w:t xml:space="preserve">catorce de agosto al tres de septiembre de dos mil veinticinco, </w:t>
      </w:r>
      <w:r w:rsidRPr="00900A5E">
        <w:rPr>
          <w:rFonts w:ascii="Palatino Linotype" w:eastAsia="Palatino Linotype" w:hAnsi="Palatino Linotype" w:cs="Palatino Linotype"/>
          <w:sz w:val="24"/>
          <w:szCs w:val="24"/>
        </w:rPr>
        <w:t xml:space="preserve">en consecuencia, si el </w:t>
      </w:r>
      <w:r w:rsidRPr="00900A5E">
        <w:rPr>
          <w:rFonts w:ascii="Palatino Linotype" w:eastAsia="Palatino Linotype" w:hAnsi="Palatino Linotype" w:cs="Palatino Linotype"/>
          <w:b/>
          <w:bCs/>
          <w:sz w:val="24"/>
          <w:szCs w:val="24"/>
        </w:rPr>
        <w:t>PARTICULAR</w:t>
      </w:r>
      <w:r w:rsidRPr="00900A5E">
        <w:rPr>
          <w:rFonts w:ascii="Palatino Linotype" w:eastAsia="Palatino Linotype" w:hAnsi="Palatino Linotype" w:cs="Palatino Linotype"/>
          <w:sz w:val="24"/>
          <w:szCs w:val="24"/>
        </w:rPr>
        <w:t xml:space="preserve"> presentó su inconformidad el </w:t>
      </w:r>
      <w:r w:rsidRPr="00900A5E">
        <w:rPr>
          <w:rFonts w:ascii="Palatino Linotype" w:eastAsia="Palatino Linotype" w:hAnsi="Palatino Linotype" w:cs="Palatino Linotype"/>
          <w:b/>
          <w:bCs/>
          <w:sz w:val="24"/>
          <w:szCs w:val="24"/>
        </w:rPr>
        <w:t>diecinueve de agosto de dos mil veinticinco</w:t>
      </w:r>
      <w:r w:rsidRPr="00900A5E">
        <w:rPr>
          <w:rFonts w:ascii="Palatino Linotype" w:eastAsia="Palatino Linotype" w:hAnsi="Palatino Linotype" w:cs="Palatino Linotype"/>
          <w:sz w:val="24"/>
          <w:szCs w:val="24"/>
        </w:rPr>
        <w:t xml:space="preserve">, este  se encuentra dentro de los márgenes temporales previstos en el artículo 178 de la </w:t>
      </w:r>
      <w:r w:rsidRPr="00900A5E">
        <w:rPr>
          <w:rFonts w:ascii="Palatino Linotype" w:eastAsia="Palatino Linotype" w:hAnsi="Palatino Linotype" w:cs="Palatino Linotype"/>
          <w:b/>
          <w:bCs/>
          <w:sz w:val="24"/>
          <w:szCs w:val="24"/>
        </w:rPr>
        <w:t xml:space="preserve">Ley de Transparencia y Acceso a la Información Pública del Estado de México y Municipios </w:t>
      </w:r>
      <w:r w:rsidRPr="00900A5E">
        <w:rPr>
          <w:rFonts w:ascii="Palatino Linotype" w:eastAsia="Palatino Linotype" w:hAnsi="Palatino Linotype" w:cs="Palatino Linotype"/>
          <w:sz w:val="24"/>
          <w:szCs w:val="24"/>
        </w:rPr>
        <w:t xml:space="preserve">vigente. </w:t>
      </w:r>
    </w:p>
    <w:p w:rsidR="006B3523" w:rsidRPr="00900A5E" w:rsidRDefault="006B3523" w:rsidP="006B3523">
      <w:pPr>
        <w:spacing w:line="360" w:lineRule="auto"/>
        <w:ind w:right="49"/>
        <w:jc w:val="both"/>
        <w:rPr>
          <w:rFonts w:ascii="Palatino Linotype" w:eastAsia="Palatino Linotype" w:hAnsi="Palatino Linotype" w:cs="Palatino Linotype"/>
          <w:sz w:val="24"/>
          <w:szCs w:val="24"/>
        </w:rPr>
      </w:pPr>
      <w:bookmarkStart w:id="6" w:name="_heading=h.2et92p0" w:colFirst="0" w:colLast="0"/>
      <w:bookmarkEnd w:id="6"/>
    </w:p>
    <w:p w:rsidR="006B3523" w:rsidRPr="00900A5E" w:rsidRDefault="006B3523" w:rsidP="006B3523">
      <w:pPr>
        <w:pStyle w:val="Ttulo2"/>
        <w:rPr>
          <w:rFonts w:ascii="Palatino Linotype" w:eastAsia="Palatino Linotype" w:hAnsi="Palatino Linotype" w:cs="Palatino Linotype"/>
          <w:b/>
          <w:bCs/>
          <w:i/>
          <w:iCs/>
          <w:color w:val="000000"/>
          <w:sz w:val="24"/>
          <w:szCs w:val="24"/>
        </w:rPr>
      </w:pPr>
      <w:r w:rsidRPr="00900A5E">
        <w:rPr>
          <w:rFonts w:ascii="Palatino Linotype" w:eastAsia="Palatino Linotype" w:hAnsi="Palatino Linotype" w:cs="Palatino Linotype"/>
          <w:b/>
          <w:bCs/>
          <w:color w:val="000000"/>
          <w:sz w:val="24"/>
          <w:szCs w:val="24"/>
        </w:rPr>
        <w:t xml:space="preserve">TERCERO. Del planteamiento de la </w:t>
      </w:r>
      <w:r w:rsidRPr="00900A5E">
        <w:rPr>
          <w:rFonts w:ascii="Palatino Linotype" w:eastAsia="Palatino Linotype" w:hAnsi="Palatino Linotype" w:cs="Palatino Linotype"/>
          <w:b/>
          <w:bCs/>
          <w:i/>
          <w:iCs/>
          <w:color w:val="000000"/>
          <w:sz w:val="24"/>
          <w:szCs w:val="24"/>
        </w:rPr>
        <w:t>Litis.</w:t>
      </w:r>
    </w:p>
    <w:p w:rsidR="006B3523" w:rsidRPr="00900A5E" w:rsidRDefault="006B3523" w:rsidP="006B3523">
      <w:pPr>
        <w:numPr>
          <w:ilvl w:val="0"/>
          <w:numId w:val="3"/>
        </w:numPr>
        <w:spacing w:line="360" w:lineRule="auto"/>
        <w:ind w:left="0" w:right="49" w:firstLine="0"/>
        <w:jc w:val="both"/>
        <w:rPr>
          <w:rFonts w:ascii="Palatino Linotype" w:eastAsia="Palatino Linotype" w:hAnsi="Palatino Linotype" w:cs="Palatino Linotype"/>
          <w:sz w:val="24"/>
          <w:szCs w:val="24"/>
        </w:rPr>
      </w:pPr>
      <w:r w:rsidRPr="00900A5E">
        <w:rPr>
          <w:rFonts w:ascii="Palatino Linotype" w:eastAsia="Palatino Linotype" w:hAnsi="Palatino Linotype" w:cs="Palatino Linotype"/>
          <w:sz w:val="24"/>
          <w:szCs w:val="24"/>
        </w:rPr>
        <w:t>Se solicitó la información que a continuación se desagrega:</w:t>
      </w:r>
    </w:p>
    <w:p w:rsidR="006B3523" w:rsidRPr="00900A5E" w:rsidRDefault="006B3523" w:rsidP="006B3523">
      <w:pPr>
        <w:pStyle w:val="Prrafodelista"/>
        <w:numPr>
          <w:ilvl w:val="0"/>
          <w:numId w:val="16"/>
        </w:numPr>
        <w:pBdr>
          <w:top w:val="nil"/>
          <w:left w:val="nil"/>
          <w:bottom w:val="nil"/>
          <w:right w:val="nil"/>
          <w:between w:val="nil"/>
        </w:pBdr>
        <w:spacing w:line="276" w:lineRule="auto"/>
        <w:ind w:left="1134" w:right="680"/>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t>Monto total ejercido para la adquisición o renta de adornos navideños (árboles, nacimientos, luces, piñatas) en el marco de las fiestas decembrinas de 2024.</w:t>
      </w:r>
    </w:p>
    <w:p w:rsidR="006B3523" w:rsidRPr="00900A5E" w:rsidRDefault="006B3523" w:rsidP="006B3523">
      <w:pPr>
        <w:pStyle w:val="Prrafodelista"/>
        <w:numPr>
          <w:ilvl w:val="0"/>
          <w:numId w:val="16"/>
        </w:numPr>
        <w:pBdr>
          <w:top w:val="nil"/>
          <w:left w:val="nil"/>
          <w:bottom w:val="nil"/>
          <w:right w:val="nil"/>
          <w:between w:val="nil"/>
        </w:pBdr>
        <w:spacing w:line="276" w:lineRule="auto"/>
        <w:ind w:left="1134" w:right="680"/>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t xml:space="preserve"> </w:t>
      </w:r>
      <w:r w:rsidR="000B51D0" w:rsidRPr="00900A5E">
        <w:rPr>
          <w:rFonts w:ascii="Palatino Linotype" w:eastAsia="Palatino Linotype" w:hAnsi="Palatino Linotype" w:cs="Palatino Linotype"/>
          <w:color w:val="000000"/>
          <w:sz w:val="24"/>
          <w:szCs w:val="24"/>
        </w:rPr>
        <w:t>C</w:t>
      </w:r>
      <w:r w:rsidRPr="00900A5E">
        <w:rPr>
          <w:rFonts w:ascii="Palatino Linotype" w:eastAsia="Palatino Linotype" w:hAnsi="Palatino Linotype" w:cs="Palatino Linotype"/>
          <w:color w:val="000000"/>
          <w:sz w:val="24"/>
          <w:szCs w:val="24"/>
        </w:rPr>
        <w:t>opia simple, en su versión pública de todo contrato, factura y fotografía que dé cuenta de dichas compras/rentas</w:t>
      </w:r>
    </w:p>
    <w:p w:rsidR="006B3523" w:rsidRPr="00900A5E" w:rsidRDefault="006B3523" w:rsidP="006B3523">
      <w:pPr>
        <w:pStyle w:val="Prrafodelista"/>
        <w:pBdr>
          <w:top w:val="nil"/>
          <w:left w:val="nil"/>
          <w:bottom w:val="nil"/>
          <w:right w:val="nil"/>
          <w:between w:val="nil"/>
        </w:pBdr>
        <w:spacing w:line="276" w:lineRule="auto"/>
        <w:ind w:left="1440" w:right="680"/>
        <w:jc w:val="both"/>
        <w:rPr>
          <w:rFonts w:ascii="Palatino Linotype" w:eastAsia="Palatino Linotype" w:hAnsi="Palatino Linotype" w:cs="Palatino Linotype"/>
          <w:color w:val="000000"/>
          <w:sz w:val="24"/>
          <w:szCs w:val="24"/>
        </w:rPr>
      </w:pPr>
    </w:p>
    <w:p w:rsidR="006B3523" w:rsidRPr="00900A5E" w:rsidRDefault="006B3523" w:rsidP="006B3523">
      <w:pPr>
        <w:numPr>
          <w:ilvl w:val="0"/>
          <w:numId w:val="3"/>
        </w:numPr>
        <w:spacing w:line="360" w:lineRule="auto"/>
        <w:ind w:left="0" w:right="49" w:firstLine="0"/>
        <w:jc w:val="both"/>
        <w:rPr>
          <w:rFonts w:ascii="Palatino Linotype" w:eastAsia="Palatino Linotype" w:hAnsi="Palatino Linotype" w:cs="Palatino Linotype"/>
          <w:i/>
          <w:iCs/>
          <w:sz w:val="24"/>
          <w:szCs w:val="24"/>
        </w:rPr>
      </w:pPr>
      <w:r w:rsidRPr="00900A5E">
        <w:rPr>
          <w:rFonts w:ascii="Palatino Linotype" w:eastAsia="Palatino Linotype" w:hAnsi="Palatino Linotype" w:cs="Palatino Linotype"/>
          <w:sz w:val="24"/>
          <w:szCs w:val="24"/>
        </w:rPr>
        <w:lastRenderedPageBreak/>
        <w:t xml:space="preserve">El </w:t>
      </w:r>
      <w:r w:rsidRPr="00900A5E">
        <w:rPr>
          <w:rFonts w:ascii="Palatino Linotype" w:eastAsia="Palatino Linotype" w:hAnsi="Palatino Linotype" w:cs="Palatino Linotype"/>
          <w:b/>
          <w:bCs/>
          <w:sz w:val="24"/>
          <w:szCs w:val="24"/>
        </w:rPr>
        <w:t xml:space="preserve">SUJETO OBLIGADO, </w:t>
      </w:r>
      <w:r w:rsidRPr="00900A5E">
        <w:rPr>
          <w:rFonts w:ascii="Palatino Linotype" w:eastAsia="Palatino Linotype" w:hAnsi="Palatino Linotype" w:cs="Palatino Linotype"/>
          <w:sz w:val="24"/>
          <w:szCs w:val="24"/>
        </w:rPr>
        <w:t xml:space="preserve">dio respuesta como quedó referido en el numeral 2 de la presente resolución. </w:t>
      </w:r>
    </w:p>
    <w:p w:rsidR="006B3523" w:rsidRPr="00900A5E" w:rsidRDefault="006B3523" w:rsidP="006B3523">
      <w:pPr>
        <w:spacing w:line="360" w:lineRule="auto"/>
        <w:ind w:right="49"/>
        <w:jc w:val="both"/>
        <w:rPr>
          <w:rFonts w:ascii="Palatino Linotype" w:eastAsia="Palatino Linotype" w:hAnsi="Palatino Linotype" w:cs="Palatino Linotype"/>
          <w:sz w:val="24"/>
          <w:szCs w:val="24"/>
        </w:rPr>
      </w:pPr>
    </w:p>
    <w:p w:rsidR="006B3523" w:rsidRPr="00900A5E" w:rsidRDefault="006B3523" w:rsidP="006B3523">
      <w:pPr>
        <w:numPr>
          <w:ilvl w:val="0"/>
          <w:numId w:val="3"/>
        </w:numPr>
        <w:spacing w:line="360" w:lineRule="auto"/>
        <w:ind w:left="0" w:right="49" w:firstLine="0"/>
        <w:jc w:val="both"/>
        <w:rPr>
          <w:rFonts w:ascii="Palatino Linotype" w:eastAsia="Palatino Linotype" w:hAnsi="Palatino Linotype" w:cs="Palatino Linotype"/>
          <w:i/>
          <w:iCs/>
          <w:sz w:val="24"/>
          <w:szCs w:val="24"/>
        </w:rPr>
      </w:pPr>
      <w:r w:rsidRPr="00900A5E">
        <w:rPr>
          <w:rFonts w:ascii="Palatino Linotype" w:eastAsia="Palatino Linotype" w:hAnsi="Palatino Linotype" w:cs="Palatino Linotype"/>
          <w:sz w:val="24"/>
          <w:szCs w:val="24"/>
        </w:rPr>
        <w:t xml:space="preserve">Inconforme con lo anterior, el ahora </w:t>
      </w:r>
      <w:r w:rsidRPr="00900A5E">
        <w:rPr>
          <w:rFonts w:ascii="Palatino Linotype" w:eastAsia="Palatino Linotype" w:hAnsi="Palatino Linotype" w:cs="Palatino Linotype"/>
          <w:b/>
          <w:bCs/>
          <w:sz w:val="24"/>
          <w:szCs w:val="24"/>
        </w:rPr>
        <w:t xml:space="preserve">RECURRENTE </w:t>
      </w:r>
      <w:r w:rsidRPr="00900A5E">
        <w:rPr>
          <w:rFonts w:ascii="Palatino Linotype" w:eastAsia="Palatino Linotype" w:hAnsi="Palatino Linotype" w:cs="Palatino Linotype"/>
          <w:sz w:val="24"/>
          <w:szCs w:val="24"/>
        </w:rPr>
        <w:t>interpuso Recurso de Revisió</w:t>
      </w:r>
      <w:r w:rsidR="000B51D0" w:rsidRPr="00900A5E">
        <w:rPr>
          <w:rFonts w:ascii="Palatino Linotype" w:eastAsia="Palatino Linotype" w:hAnsi="Palatino Linotype" w:cs="Palatino Linotype"/>
          <w:sz w:val="24"/>
          <w:szCs w:val="24"/>
        </w:rPr>
        <w:t>n arguyendo medularmente</w:t>
      </w:r>
      <w:r w:rsidRPr="00900A5E">
        <w:rPr>
          <w:rFonts w:ascii="Palatino Linotype" w:eastAsia="Palatino Linotype" w:hAnsi="Palatino Linotype" w:cs="Palatino Linotype"/>
          <w:sz w:val="24"/>
          <w:szCs w:val="24"/>
        </w:rPr>
        <w:t xml:space="preserve"> la negativa de la entrega de la información.</w:t>
      </w:r>
    </w:p>
    <w:p w:rsidR="006B3523" w:rsidRPr="00900A5E" w:rsidRDefault="006B3523" w:rsidP="006B3523">
      <w:pPr>
        <w:spacing w:line="360" w:lineRule="auto"/>
        <w:ind w:right="49"/>
        <w:jc w:val="both"/>
        <w:rPr>
          <w:rFonts w:ascii="Palatino Linotype" w:eastAsia="Palatino Linotype" w:hAnsi="Palatino Linotype" w:cs="Palatino Linotype"/>
          <w:i/>
          <w:iCs/>
          <w:sz w:val="24"/>
          <w:szCs w:val="24"/>
        </w:rPr>
      </w:pPr>
    </w:p>
    <w:p w:rsidR="006B3523" w:rsidRPr="00900A5E" w:rsidRDefault="006B3523" w:rsidP="006B3523">
      <w:pPr>
        <w:numPr>
          <w:ilvl w:val="0"/>
          <w:numId w:val="3"/>
        </w:numPr>
        <w:spacing w:line="360" w:lineRule="auto"/>
        <w:ind w:left="0" w:right="49" w:firstLine="0"/>
        <w:jc w:val="both"/>
        <w:rPr>
          <w:rFonts w:ascii="Palatino Linotype" w:eastAsia="Palatino Linotype" w:hAnsi="Palatino Linotype" w:cs="Palatino Linotype"/>
          <w:sz w:val="24"/>
          <w:szCs w:val="24"/>
        </w:rPr>
      </w:pPr>
      <w:r w:rsidRPr="00900A5E">
        <w:rPr>
          <w:rFonts w:ascii="Palatino Linotype" w:eastAsia="Palatino Linotype" w:hAnsi="Palatino Linotype" w:cs="Palatino Linotype"/>
          <w:sz w:val="24"/>
          <w:szCs w:val="24"/>
        </w:rPr>
        <w:t xml:space="preserve">En dichas condiciones, la </w:t>
      </w:r>
      <w:r w:rsidRPr="00900A5E">
        <w:rPr>
          <w:rFonts w:ascii="Palatino Linotype" w:eastAsia="Palatino Linotype" w:hAnsi="Palatino Linotype" w:cs="Palatino Linotype"/>
          <w:i/>
          <w:iCs/>
          <w:sz w:val="24"/>
          <w:szCs w:val="24"/>
        </w:rPr>
        <w:t>Litis</w:t>
      </w:r>
      <w:r w:rsidRPr="00900A5E">
        <w:rPr>
          <w:rFonts w:ascii="Palatino Linotype" w:eastAsia="Palatino Linotype" w:hAnsi="Palatino Linotype" w:cs="Palatino Linotype"/>
          <w:sz w:val="24"/>
          <w:szCs w:val="24"/>
        </w:rPr>
        <w:t xml:space="preserve"> a resolver en este recurso se circunscribe a determinar si se actualiza la causal de procedencia prevista en el artículo 179, fracción</w:t>
      </w:r>
      <w:r w:rsidRPr="00900A5E">
        <w:rPr>
          <w:rFonts w:ascii="Palatino Linotype" w:eastAsia="Palatino Linotype" w:hAnsi="Palatino Linotype" w:cs="Palatino Linotype"/>
          <w:b/>
          <w:bCs/>
          <w:sz w:val="24"/>
          <w:szCs w:val="24"/>
        </w:rPr>
        <w:t xml:space="preserve"> I </w:t>
      </w:r>
      <w:r w:rsidRPr="00900A5E">
        <w:rPr>
          <w:rFonts w:ascii="Palatino Linotype" w:eastAsia="Palatino Linotype" w:hAnsi="Palatino Linotype" w:cs="Palatino Linotype"/>
          <w:sz w:val="24"/>
          <w:szCs w:val="24"/>
        </w:rPr>
        <w:t xml:space="preserve">de la </w:t>
      </w:r>
      <w:r w:rsidRPr="00900A5E">
        <w:rPr>
          <w:rFonts w:ascii="Palatino Linotype" w:eastAsia="Palatino Linotype" w:hAnsi="Palatino Linotype" w:cs="Palatino Linotype"/>
          <w:b/>
          <w:bCs/>
          <w:sz w:val="24"/>
          <w:szCs w:val="24"/>
        </w:rPr>
        <w:t>Ley de Transparencia y Acceso a la Información Pública del Estado de México y Municipios</w:t>
      </w:r>
      <w:r w:rsidRPr="00900A5E">
        <w:rPr>
          <w:rFonts w:ascii="Palatino Linotype" w:eastAsia="Palatino Linotype" w:hAnsi="Palatino Linotype" w:cs="Palatino Linotype"/>
          <w:sz w:val="24"/>
          <w:szCs w:val="24"/>
        </w:rPr>
        <w:t xml:space="preserve">; </w:t>
      </w:r>
      <w:r w:rsidRPr="00900A5E">
        <w:rPr>
          <w:rFonts w:ascii="Palatino Linotype" w:eastAsia="Palatino Linotype" w:hAnsi="Palatino Linotype" w:cs="Palatino Linotype"/>
          <w:color w:val="000000"/>
          <w:sz w:val="24"/>
          <w:szCs w:val="24"/>
        </w:rPr>
        <w:t xml:space="preserve">fracción que determina las hipótesis jurídica relativa a la negativa a la información solicitada; </w:t>
      </w:r>
      <w:r w:rsidRPr="00900A5E">
        <w:rPr>
          <w:rFonts w:ascii="Palatino Linotype" w:eastAsia="Palatino Linotype" w:hAnsi="Palatino Linotype" w:cs="Palatino Linotype"/>
          <w:sz w:val="24"/>
          <w:szCs w:val="24"/>
        </w:rPr>
        <w:t xml:space="preserve">contexto del cual se dolió </w:t>
      </w:r>
      <w:r w:rsidRPr="00900A5E">
        <w:rPr>
          <w:rFonts w:ascii="Palatino Linotype" w:eastAsia="Palatino Linotype" w:hAnsi="Palatino Linotype" w:cs="Palatino Linotype"/>
          <w:b/>
          <w:bCs/>
          <w:sz w:val="24"/>
          <w:szCs w:val="24"/>
        </w:rPr>
        <w:t xml:space="preserve">EL RECURRENTE </w:t>
      </w:r>
      <w:r w:rsidRPr="00900A5E">
        <w:rPr>
          <w:rFonts w:ascii="Palatino Linotype" w:eastAsia="Palatino Linotype" w:hAnsi="Palatino Linotype" w:cs="Palatino Linotype"/>
          <w:sz w:val="24"/>
          <w:szCs w:val="24"/>
        </w:rPr>
        <w:t>al momento de interponer su inconformidad.</w:t>
      </w:r>
    </w:p>
    <w:p w:rsidR="006B3523" w:rsidRPr="00900A5E" w:rsidRDefault="006B3523" w:rsidP="006B3523">
      <w:pPr>
        <w:spacing w:line="360" w:lineRule="auto"/>
        <w:ind w:right="49"/>
        <w:jc w:val="both"/>
        <w:rPr>
          <w:rFonts w:ascii="Palatino Linotype" w:eastAsia="Palatino Linotype" w:hAnsi="Palatino Linotype" w:cs="Palatino Linotype"/>
          <w:sz w:val="24"/>
          <w:szCs w:val="24"/>
        </w:rPr>
      </w:pPr>
    </w:p>
    <w:p w:rsidR="006B3523" w:rsidRPr="00900A5E" w:rsidRDefault="006B3523" w:rsidP="006B3523">
      <w:pPr>
        <w:numPr>
          <w:ilvl w:val="0"/>
          <w:numId w:val="3"/>
        </w:numPr>
        <w:spacing w:line="360" w:lineRule="auto"/>
        <w:ind w:left="0" w:right="49" w:firstLine="0"/>
        <w:jc w:val="both"/>
        <w:rPr>
          <w:rFonts w:ascii="Palatino Linotype" w:eastAsia="Palatino Linotype" w:hAnsi="Palatino Linotype" w:cs="Palatino Linotype"/>
          <w:sz w:val="24"/>
          <w:szCs w:val="24"/>
        </w:rPr>
      </w:pPr>
      <w:r w:rsidRPr="00900A5E">
        <w:rPr>
          <w:rFonts w:ascii="Palatino Linotype" w:eastAsia="Palatino Linotype" w:hAnsi="Palatino Linotype" w:cs="Palatino Linotype"/>
          <w:color w:val="000000"/>
          <w:sz w:val="24"/>
          <w:szCs w:val="24"/>
        </w:rPr>
        <w:t xml:space="preserve"> De modo tal que, el presente recurso de revisión se abocara en determinar si el </w:t>
      </w:r>
      <w:r w:rsidRPr="00900A5E">
        <w:rPr>
          <w:rFonts w:ascii="Palatino Linotype" w:eastAsia="Palatino Linotype" w:hAnsi="Palatino Linotype" w:cs="Palatino Linotype"/>
          <w:b/>
          <w:bCs/>
          <w:color w:val="000000"/>
          <w:sz w:val="24"/>
          <w:szCs w:val="24"/>
        </w:rPr>
        <w:t>SUJETO</w:t>
      </w:r>
      <w:r w:rsidRPr="00900A5E">
        <w:rPr>
          <w:rFonts w:ascii="Palatino Linotype" w:eastAsia="Palatino Linotype" w:hAnsi="Palatino Linotype" w:cs="Palatino Linotype"/>
          <w:color w:val="000000"/>
          <w:sz w:val="24"/>
          <w:szCs w:val="24"/>
        </w:rPr>
        <w:t xml:space="preserve"> </w:t>
      </w:r>
      <w:r w:rsidRPr="00900A5E">
        <w:rPr>
          <w:rFonts w:ascii="Palatino Linotype" w:eastAsia="Palatino Linotype" w:hAnsi="Palatino Linotype" w:cs="Palatino Linotype"/>
          <w:b/>
          <w:bCs/>
          <w:color w:val="000000"/>
          <w:sz w:val="24"/>
          <w:szCs w:val="24"/>
        </w:rPr>
        <w:t>OBLIGADO</w:t>
      </w:r>
      <w:r w:rsidRPr="00900A5E">
        <w:rPr>
          <w:rFonts w:ascii="Palatino Linotype" w:eastAsia="Palatino Linotype" w:hAnsi="Palatino Linotype" w:cs="Palatino Linotype"/>
          <w:color w:val="000000"/>
          <w:sz w:val="24"/>
          <w:szCs w:val="24"/>
        </w:rPr>
        <w:t xml:space="preserve"> con su respuesta ciertamente actualiza la causal de procedencia</w:t>
      </w:r>
      <w:r w:rsidRPr="00900A5E">
        <w:rPr>
          <w:rFonts w:ascii="Palatino Linotype" w:eastAsia="Palatino Linotype" w:hAnsi="Palatino Linotype" w:cs="Palatino Linotype"/>
          <w:b/>
          <w:bCs/>
          <w:color w:val="000000"/>
          <w:sz w:val="24"/>
          <w:szCs w:val="24"/>
        </w:rPr>
        <w:t xml:space="preserve"> </w:t>
      </w:r>
      <w:r w:rsidR="009A0CB9" w:rsidRPr="00900A5E">
        <w:rPr>
          <w:rFonts w:ascii="Palatino Linotype" w:eastAsia="Palatino Linotype" w:hAnsi="Palatino Linotype" w:cs="Palatino Linotype"/>
          <w:color w:val="000000"/>
          <w:sz w:val="24"/>
          <w:szCs w:val="24"/>
        </w:rPr>
        <w:t>antes señalada, a</w:t>
      </w:r>
      <w:r w:rsidRPr="00900A5E">
        <w:rPr>
          <w:rFonts w:ascii="Palatino Linotype" w:eastAsia="Palatino Linotype" w:hAnsi="Palatino Linotype" w:cs="Palatino Linotype"/>
          <w:color w:val="000000"/>
          <w:sz w:val="24"/>
          <w:szCs w:val="24"/>
        </w:rPr>
        <w:t>sí como comprobar si la respuesta emitida resulta congruente e integral en términos del artículo 11 de la ley de la materia.</w:t>
      </w:r>
    </w:p>
    <w:p w:rsidR="006B3523" w:rsidRPr="00900A5E" w:rsidRDefault="006B3523" w:rsidP="006B3523">
      <w:pPr>
        <w:pBdr>
          <w:top w:val="nil"/>
          <w:left w:val="nil"/>
          <w:bottom w:val="nil"/>
          <w:right w:val="nil"/>
          <w:between w:val="nil"/>
        </w:pBdr>
        <w:ind w:left="720"/>
        <w:rPr>
          <w:rFonts w:ascii="Palatino Linotype" w:eastAsia="Palatino Linotype" w:hAnsi="Palatino Linotype" w:cs="Palatino Linotype"/>
          <w:color w:val="000000"/>
          <w:sz w:val="24"/>
          <w:szCs w:val="24"/>
        </w:rPr>
      </w:pPr>
    </w:p>
    <w:p w:rsidR="006B3523" w:rsidRPr="00900A5E" w:rsidRDefault="006B3523" w:rsidP="006B3523">
      <w:pPr>
        <w:pStyle w:val="Ttulo2"/>
        <w:rPr>
          <w:rFonts w:ascii="Palatino Linotype" w:eastAsia="Palatino Linotype" w:hAnsi="Palatino Linotype" w:cs="Palatino Linotype"/>
          <w:b/>
          <w:bCs/>
          <w:color w:val="000000"/>
          <w:sz w:val="24"/>
          <w:szCs w:val="24"/>
        </w:rPr>
      </w:pPr>
      <w:bookmarkStart w:id="7" w:name="_heading=h.3dy6vkm" w:colFirst="0" w:colLast="0"/>
      <w:bookmarkEnd w:id="7"/>
      <w:r w:rsidRPr="00900A5E">
        <w:rPr>
          <w:rFonts w:ascii="Palatino Linotype" w:eastAsia="Palatino Linotype" w:hAnsi="Palatino Linotype" w:cs="Palatino Linotype"/>
          <w:b/>
          <w:bCs/>
          <w:color w:val="000000"/>
          <w:sz w:val="24"/>
          <w:szCs w:val="24"/>
        </w:rPr>
        <w:t>CUARTO. Del estudio y resolución del asunto.</w:t>
      </w:r>
    </w:p>
    <w:p w:rsidR="006B3523" w:rsidRPr="00900A5E" w:rsidRDefault="006B3523" w:rsidP="006B3523">
      <w:pPr>
        <w:numPr>
          <w:ilvl w:val="0"/>
          <w:numId w:val="3"/>
        </w:numPr>
        <w:spacing w:line="360" w:lineRule="auto"/>
        <w:ind w:left="0" w:right="49" w:firstLine="0"/>
        <w:jc w:val="both"/>
        <w:rPr>
          <w:rFonts w:ascii="Palatino Linotype" w:eastAsia="Palatino Linotype" w:hAnsi="Palatino Linotype" w:cs="Palatino Linotype"/>
          <w:sz w:val="24"/>
          <w:szCs w:val="24"/>
        </w:rPr>
      </w:pPr>
      <w:bookmarkStart w:id="8" w:name="_heading=h.kp6czspe9ppb" w:colFirst="0" w:colLast="0"/>
      <w:bookmarkEnd w:id="8"/>
      <w:r w:rsidRPr="00900A5E">
        <w:rPr>
          <w:rFonts w:ascii="Palatino Linotype" w:eastAsia="Palatino Linotype" w:hAnsi="Palatino Linotype" w:cs="Palatino Linotype"/>
          <w:sz w:val="24"/>
          <w:szCs w:val="24"/>
        </w:rPr>
        <w:t xml:space="preserve">Dicho lo anterior, este Órgano Resolutor se avocara a realizar el estudio en conjunto de todas las constancias que obran en el SAIMEX, con la finalidad de poder determinar si los motivos de inconformidad hechos valer por el ahora </w:t>
      </w:r>
      <w:r w:rsidRPr="00900A5E">
        <w:rPr>
          <w:rFonts w:ascii="Palatino Linotype" w:eastAsia="Palatino Linotype" w:hAnsi="Palatino Linotype" w:cs="Palatino Linotype"/>
          <w:b/>
          <w:bCs/>
          <w:sz w:val="24"/>
          <w:szCs w:val="24"/>
        </w:rPr>
        <w:t xml:space="preserve">RECURRENTE, </w:t>
      </w:r>
      <w:r w:rsidRPr="00900A5E">
        <w:rPr>
          <w:rFonts w:ascii="Palatino Linotype" w:eastAsia="Palatino Linotype" w:hAnsi="Palatino Linotype" w:cs="Palatino Linotype"/>
          <w:sz w:val="24"/>
          <w:szCs w:val="24"/>
        </w:rPr>
        <w:t>resultan fundados.</w:t>
      </w:r>
    </w:p>
    <w:p w:rsidR="006B3523" w:rsidRPr="00900A5E" w:rsidRDefault="006B3523" w:rsidP="006B3523">
      <w:pPr>
        <w:spacing w:line="360" w:lineRule="auto"/>
        <w:ind w:right="49"/>
        <w:jc w:val="both"/>
        <w:rPr>
          <w:rFonts w:ascii="Palatino Linotype" w:eastAsia="Palatino Linotype" w:hAnsi="Palatino Linotype" w:cs="Palatino Linotype"/>
          <w:sz w:val="24"/>
          <w:szCs w:val="24"/>
        </w:rPr>
      </w:pPr>
    </w:p>
    <w:p w:rsidR="006B3523" w:rsidRDefault="006B3523" w:rsidP="00961FC0">
      <w:pPr>
        <w:numPr>
          <w:ilvl w:val="0"/>
          <w:numId w:val="3"/>
        </w:numPr>
        <w:spacing w:line="360" w:lineRule="auto"/>
        <w:ind w:left="0" w:right="49" w:firstLine="0"/>
        <w:jc w:val="both"/>
        <w:rPr>
          <w:rFonts w:ascii="Palatino Linotype" w:eastAsia="Palatino Linotype" w:hAnsi="Palatino Linotype" w:cs="Palatino Linotype"/>
          <w:sz w:val="24"/>
          <w:szCs w:val="24"/>
        </w:rPr>
      </w:pPr>
      <w:r w:rsidRPr="00900A5E">
        <w:rPr>
          <w:rFonts w:ascii="Palatino Linotype" w:eastAsia="Palatino Linotype" w:hAnsi="Palatino Linotype" w:cs="Palatino Linotype"/>
          <w:sz w:val="24"/>
          <w:szCs w:val="24"/>
        </w:rPr>
        <w:t xml:space="preserve">Ahora bien, se advierte que la naturaleza de la información radica en un soporte documental que compruebe el </w:t>
      </w:r>
      <w:r w:rsidR="009A0CB9" w:rsidRPr="00900A5E">
        <w:rPr>
          <w:rFonts w:ascii="Palatino Linotype" w:eastAsia="Palatino Linotype" w:hAnsi="Palatino Linotype" w:cs="Palatino Linotype"/>
          <w:sz w:val="24"/>
          <w:szCs w:val="24"/>
        </w:rPr>
        <w:t xml:space="preserve">monto ejercido para la adquisición o renta de adornos navideños </w:t>
      </w:r>
      <w:r w:rsidR="009A0CB9" w:rsidRPr="00900A5E">
        <w:rPr>
          <w:rFonts w:ascii="Palatino Linotype" w:eastAsia="Palatino Linotype" w:hAnsi="Palatino Linotype" w:cs="Palatino Linotype"/>
          <w:sz w:val="24"/>
          <w:szCs w:val="24"/>
        </w:rPr>
        <w:lastRenderedPageBreak/>
        <w:t>(árboles, nacimientos, luces, piñatas) en el marco de las fiestas decembrinas de 2024, de lo anterior, se requiere del contrato, factura y fotografía que dé cuenta de dichas compras/rentas.</w:t>
      </w:r>
    </w:p>
    <w:p w:rsidR="00900A5E" w:rsidRPr="00900A5E" w:rsidRDefault="00900A5E" w:rsidP="00900A5E">
      <w:pPr>
        <w:spacing w:line="360" w:lineRule="auto"/>
        <w:ind w:right="49"/>
        <w:jc w:val="both"/>
        <w:rPr>
          <w:rFonts w:ascii="Palatino Linotype" w:eastAsia="Palatino Linotype" w:hAnsi="Palatino Linotype" w:cs="Palatino Linotype"/>
          <w:sz w:val="24"/>
          <w:szCs w:val="24"/>
        </w:rPr>
      </w:pPr>
    </w:p>
    <w:p w:rsidR="00A01D64" w:rsidRPr="00900A5E" w:rsidRDefault="009A0CB9" w:rsidP="00A01D64">
      <w:pPr>
        <w:numPr>
          <w:ilvl w:val="0"/>
          <w:numId w:val="3"/>
        </w:numPr>
        <w:spacing w:line="360" w:lineRule="auto"/>
        <w:ind w:left="0" w:right="49" w:firstLine="0"/>
        <w:jc w:val="both"/>
        <w:rPr>
          <w:rFonts w:ascii="Palatino Linotype" w:eastAsia="Palatino Linotype" w:hAnsi="Palatino Linotype" w:cs="Palatino Linotype"/>
          <w:sz w:val="24"/>
          <w:szCs w:val="24"/>
        </w:rPr>
      </w:pPr>
      <w:r w:rsidRPr="00900A5E">
        <w:rPr>
          <w:rFonts w:ascii="Palatino Linotype" w:eastAsia="Palatino Linotype" w:hAnsi="Palatino Linotype" w:cs="Palatino Linotype"/>
          <w:sz w:val="24"/>
          <w:szCs w:val="24"/>
        </w:rPr>
        <w:t xml:space="preserve">Atento a lo anterior, este </w:t>
      </w:r>
      <w:r w:rsidR="00A01D64" w:rsidRPr="00900A5E">
        <w:rPr>
          <w:rFonts w:ascii="Palatino Linotype" w:eastAsia="Palatino Linotype" w:hAnsi="Palatino Linotype" w:cs="Palatino Linotype"/>
          <w:sz w:val="24"/>
          <w:szCs w:val="24"/>
        </w:rPr>
        <w:t>Órgano</w:t>
      </w:r>
      <w:r w:rsidRPr="00900A5E">
        <w:rPr>
          <w:rFonts w:ascii="Palatino Linotype" w:eastAsia="Palatino Linotype" w:hAnsi="Palatino Linotype" w:cs="Palatino Linotype"/>
          <w:sz w:val="24"/>
          <w:szCs w:val="24"/>
        </w:rPr>
        <w:t xml:space="preserve"> Resolutor, advierte la existencia de la información solicitada, ya que </w:t>
      </w:r>
      <w:r w:rsidR="00A01D64" w:rsidRPr="00900A5E">
        <w:rPr>
          <w:rFonts w:ascii="Palatino Linotype" w:eastAsia="Palatino Linotype" w:hAnsi="Palatino Linotype" w:cs="Palatino Linotype"/>
          <w:sz w:val="24"/>
          <w:szCs w:val="24"/>
        </w:rPr>
        <w:t>se localizó la información del mes de diciembre de dos mil veinticuatro, como se muestra a continuación:</w:t>
      </w:r>
    </w:p>
    <w:p w:rsidR="00A01D64" w:rsidRPr="00900A5E" w:rsidRDefault="00A01D64" w:rsidP="00C441F0">
      <w:pPr>
        <w:spacing w:line="360" w:lineRule="auto"/>
        <w:ind w:right="49"/>
        <w:jc w:val="center"/>
        <w:rPr>
          <w:rFonts w:ascii="Palatino Linotype" w:eastAsia="Palatino Linotype" w:hAnsi="Palatino Linotype" w:cs="Palatino Linotype"/>
          <w:sz w:val="24"/>
          <w:szCs w:val="24"/>
        </w:rPr>
      </w:pPr>
      <w:r w:rsidRPr="00900A5E">
        <w:rPr>
          <w:rFonts w:ascii="Palatino Linotype" w:eastAsia="Palatino Linotype" w:hAnsi="Palatino Linotype" w:cs="Palatino Linotype"/>
          <w:noProof/>
          <w:sz w:val="24"/>
          <w:szCs w:val="24"/>
        </w:rPr>
        <w:drawing>
          <wp:inline distT="0" distB="0" distL="0" distR="0" wp14:anchorId="52230E8B" wp14:editId="026F64E6">
            <wp:extent cx="4015222" cy="4536000"/>
            <wp:effectExtent l="152400" t="152400" r="366395" b="3600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015222" cy="4536000"/>
                    </a:xfrm>
                    <a:prstGeom prst="rect">
                      <a:avLst/>
                    </a:prstGeom>
                    <a:ln>
                      <a:noFill/>
                    </a:ln>
                    <a:effectLst>
                      <a:outerShdw blurRad="292100" dist="139700" dir="2700000" algn="tl" rotWithShape="0">
                        <a:srgbClr val="333333">
                          <a:alpha val="65000"/>
                        </a:srgbClr>
                      </a:outerShdw>
                    </a:effectLst>
                  </pic:spPr>
                </pic:pic>
              </a:graphicData>
            </a:graphic>
          </wp:inline>
        </w:drawing>
      </w:r>
    </w:p>
    <w:p w:rsidR="00A01D64" w:rsidRPr="00900A5E" w:rsidRDefault="00A01D64" w:rsidP="00C441F0">
      <w:pPr>
        <w:spacing w:line="360" w:lineRule="auto"/>
        <w:ind w:right="49"/>
        <w:jc w:val="center"/>
        <w:rPr>
          <w:rFonts w:ascii="Palatino Linotype" w:eastAsia="Palatino Linotype" w:hAnsi="Palatino Linotype" w:cs="Palatino Linotype"/>
          <w:sz w:val="24"/>
          <w:szCs w:val="24"/>
        </w:rPr>
      </w:pPr>
      <w:r w:rsidRPr="00900A5E">
        <w:rPr>
          <w:rFonts w:ascii="Palatino Linotype" w:eastAsia="Palatino Linotype" w:hAnsi="Palatino Linotype" w:cs="Palatino Linotype"/>
          <w:noProof/>
          <w:sz w:val="24"/>
          <w:szCs w:val="24"/>
        </w:rPr>
        <w:lastRenderedPageBreak/>
        <w:drawing>
          <wp:inline distT="0" distB="0" distL="0" distR="0" wp14:anchorId="7A3B5D82" wp14:editId="27FD1447">
            <wp:extent cx="4448796" cy="7163800"/>
            <wp:effectExtent l="152400" t="152400" r="371475" b="36131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48796" cy="7163800"/>
                    </a:xfrm>
                    <a:prstGeom prst="rect">
                      <a:avLst/>
                    </a:prstGeom>
                    <a:ln>
                      <a:noFill/>
                    </a:ln>
                    <a:effectLst>
                      <a:outerShdw blurRad="292100" dist="139700" dir="2700000" algn="tl" rotWithShape="0">
                        <a:srgbClr val="333333">
                          <a:alpha val="65000"/>
                        </a:srgbClr>
                      </a:outerShdw>
                    </a:effectLst>
                  </pic:spPr>
                </pic:pic>
              </a:graphicData>
            </a:graphic>
          </wp:inline>
        </w:drawing>
      </w:r>
    </w:p>
    <w:p w:rsidR="00A01D64" w:rsidRPr="00900A5E" w:rsidRDefault="00A01D64" w:rsidP="00C441F0">
      <w:pPr>
        <w:spacing w:line="360" w:lineRule="auto"/>
        <w:ind w:right="49"/>
        <w:jc w:val="center"/>
        <w:rPr>
          <w:rFonts w:ascii="Palatino Linotype" w:eastAsia="Palatino Linotype" w:hAnsi="Palatino Linotype" w:cs="Palatino Linotype"/>
          <w:sz w:val="24"/>
          <w:szCs w:val="24"/>
        </w:rPr>
      </w:pPr>
      <w:r w:rsidRPr="00900A5E">
        <w:rPr>
          <w:rFonts w:ascii="Palatino Linotype" w:eastAsia="Palatino Linotype" w:hAnsi="Palatino Linotype" w:cs="Palatino Linotype"/>
          <w:noProof/>
          <w:sz w:val="24"/>
          <w:szCs w:val="24"/>
        </w:rPr>
        <w:lastRenderedPageBreak/>
        <w:drawing>
          <wp:inline distT="0" distB="0" distL="0" distR="0" wp14:anchorId="10817015" wp14:editId="1DE52B3B">
            <wp:extent cx="5742940" cy="4489450"/>
            <wp:effectExtent l="152400" t="152400" r="353060" b="36830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42940" cy="4489450"/>
                    </a:xfrm>
                    <a:prstGeom prst="rect">
                      <a:avLst/>
                    </a:prstGeom>
                    <a:ln>
                      <a:noFill/>
                    </a:ln>
                    <a:effectLst>
                      <a:outerShdw blurRad="292100" dist="139700" dir="2700000" algn="tl" rotWithShape="0">
                        <a:srgbClr val="333333">
                          <a:alpha val="65000"/>
                        </a:srgbClr>
                      </a:outerShdw>
                    </a:effectLst>
                  </pic:spPr>
                </pic:pic>
              </a:graphicData>
            </a:graphic>
          </wp:inline>
        </w:drawing>
      </w:r>
    </w:p>
    <w:p w:rsidR="00A01D64" w:rsidRPr="00900A5E" w:rsidRDefault="00A01D64" w:rsidP="00C441F0">
      <w:pPr>
        <w:spacing w:line="360" w:lineRule="auto"/>
        <w:ind w:right="49"/>
        <w:jc w:val="center"/>
        <w:rPr>
          <w:rFonts w:ascii="Palatino Linotype" w:eastAsia="Palatino Linotype" w:hAnsi="Palatino Linotype" w:cs="Palatino Linotype"/>
          <w:sz w:val="24"/>
          <w:szCs w:val="24"/>
        </w:rPr>
      </w:pPr>
      <w:r w:rsidRPr="00900A5E">
        <w:rPr>
          <w:rFonts w:ascii="Palatino Linotype" w:eastAsia="Palatino Linotype" w:hAnsi="Palatino Linotype" w:cs="Palatino Linotype"/>
          <w:noProof/>
          <w:sz w:val="24"/>
          <w:szCs w:val="24"/>
        </w:rPr>
        <w:lastRenderedPageBreak/>
        <w:drawing>
          <wp:inline distT="0" distB="0" distL="0" distR="0" wp14:anchorId="340C8DAB" wp14:editId="0171ABED">
            <wp:extent cx="4534533" cy="7430537"/>
            <wp:effectExtent l="152400" t="152400" r="361950" b="36131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34533" cy="7430537"/>
                    </a:xfrm>
                    <a:prstGeom prst="rect">
                      <a:avLst/>
                    </a:prstGeom>
                    <a:ln>
                      <a:noFill/>
                    </a:ln>
                    <a:effectLst>
                      <a:outerShdw blurRad="292100" dist="139700" dir="2700000" algn="tl" rotWithShape="0">
                        <a:srgbClr val="333333">
                          <a:alpha val="65000"/>
                        </a:srgbClr>
                      </a:outerShdw>
                    </a:effectLst>
                  </pic:spPr>
                </pic:pic>
              </a:graphicData>
            </a:graphic>
          </wp:inline>
        </w:drawing>
      </w:r>
    </w:p>
    <w:p w:rsidR="00C441F0" w:rsidRPr="00900A5E" w:rsidRDefault="00C441F0" w:rsidP="00C441F0">
      <w:pPr>
        <w:numPr>
          <w:ilvl w:val="0"/>
          <w:numId w:val="3"/>
        </w:numPr>
        <w:spacing w:line="360" w:lineRule="auto"/>
        <w:ind w:left="0" w:right="49" w:firstLine="0"/>
        <w:jc w:val="both"/>
        <w:rPr>
          <w:rFonts w:ascii="Palatino Linotype" w:eastAsia="Palatino Linotype" w:hAnsi="Palatino Linotype" w:cs="Palatino Linotype"/>
          <w:sz w:val="24"/>
          <w:szCs w:val="24"/>
        </w:rPr>
      </w:pPr>
      <w:r w:rsidRPr="00900A5E">
        <w:rPr>
          <w:rFonts w:ascii="Palatino Linotype" w:eastAsia="Palatino Linotype" w:hAnsi="Palatino Linotype" w:cs="Palatino Linotype"/>
          <w:sz w:val="24"/>
          <w:szCs w:val="24"/>
        </w:rPr>
        <w:lastRenderedPageBreak/>
        <w:t>De lo anterior, se observa que existe la información solicitad</w:t>
      </w:r>
      <w:r w:rsidR="000B51D0" w:rsidRPr="00900A5E">
        <w:rPr>
          <w:rFonts w:ascii="Palatino Linotype" w:eastAsia="Palatino Linotype" w:hAnsi="Palatino Linotype" w:cs="Palatino Linotype"/>
          <w:sz w:val="24"/>
          <w:szCs w:val="24"/>
        </w:rPr>
        <w:t>a</w:t>
      </w:r>
      <w:r w:rsidRPr="00900A5E">
        <w:rPr>
          <w:rFonts w:ascii="Palatino Linotype" w:eastAsia="Palatino Linotype" w:hAnsi="Palatino Linotype" w:cs="Palatino Linotype"/>
          <w:sz w:val="24"/>
          <w:szCs w:val="24"/>
        </w:rPr>
        <w:t xml:space="preserve"> por el </w:t>
      </w:r>
      <w:r w:rsidRPr="00900A5E">
        <w:rPr>
          <w:rFonts w:ascii="Palatino Linotype" w:eastAsia="Palatino Linotype" w:hAnsi="Palatino Linotype" w:cs="Palatino Linotype"/>
          <w:b/>
          <w:sz w:val="24"/>
          <w:szCs w:val="24"/>
        </w:rPr>
        <w:t>PARTICULAR,</w:t>
      </w:r>
      <w:r w:rsidRPr="00900A5E">
        <w:rPr>
          <w:rFonts w:ascii="Palatino Linotype" w:eastAsia="Palatino Linotype" w:hAnsi="Palatino Linotype" w:cs="Palatino Linotype"/>
          <w:sz w:val="24"/>
          <w:szCs w:val="24"/>
        </w:rPr>
        <w:t xml:space="preserve"> por lo que, se colige que hay hechos notorios de la información solicitada por el </w:t>
      </w:r>
      <w:r w:rsidRPr="00900A5E">
        <w:rPr>
          <w:rFonts w:ascii="Palatino Linotype" w:eastAsia="Palatino Linotype" w:hAnsi="Palatino Linotype" w:cs="Palatino Linotype"/>
          <w:b/>
          <w:sz w:val="24"/>
          <w:szCs w:val="24"/>
        </w:rPr>
        <w:t xml:space="preserve">RECURRENTE, </w:t>
      </w:r>
      <w:r w:rsidRPr="00900A5E">
        <w:rPr>
          <w:rFonts w:ascii="Palatino Linotype" w:eastAsia="Palatino Linotype" w:hAnsi="Palatino Linotype" w:cs="Palatino Linotype"/>
          <w:sz w:val="24"/>
          <w:szCs w:val="24"/>
        </w:rPr>
        <w:t>situación por la cual es aplicable lo siguiente.</w:t>
      </w:r>
    </w:p>
    <w:p w:rsidR="00C441F0" w:rsidRPr="00900A5E" w:rsidRDefault="00C441F0" w:rsidP="00C441F0">
      <w:pPr>
        <w:pBdr>
          <w:top w:val="nil"/>
          <w:left w:val="nil"/>
          <w:bottom w:val="nil"/>
          <w:right w:val="nil"/>
          <w:between w:val="nil"/>
        </w:pBdr>
        <w:ind w:left="1134" w:right="900"/>
        <w:jc w:val="both"/>
        <w:rPr>
          <w:rFonts w:ascii="Palatino Linotype" w:eastAsia="Palatino Linotype" w:hAnsi="Palatino Linotype" w:cs="Palatino Linotype"/>
          <w:b/>
          <w:i/>
          <w:sz w:val="24"/>
          <w:szCs w:val="24"/>
        </w:rPr>
      </w:pPr>
      <w:r w:rsidRPr="00900A5E">
        <w:rPr>
          <w:rFonts w:ascii="Palatino Linotype" w:eastAsia="Palatino Linotype" w:hAnsi="Palatino Linotype" w:cs="Palatino Linotype"/>
          <w:sz w:val="24"/>
          <w:szCs w:val="24"/>
        </w:rPr>
        <w:t>”</w:t>
      </w:r>
      <w:r w:rsidRPr="00900A5E">
        <w:rPr>
          <w:rFonts w:ascii="Palatino Linotype" w:eastAsia="Palatino Linotype" w:hAnsi="Palatino Linotype" w:cs="Palatino Linotype"/>
          <w:b/>
          <w:i/>
          <w:sz w:val="24"/>
          <w:szCs w:val="24"/>
        </w:rPr>
        <w:t>HECHOS NOTORIOS. CONCEPTOS GENERAL Y JURÍDICO</w:t>
      </w:r>
    </w:p>
    <w:p w:rsidR="00C441F0" w:rsidRPr="00900A5E" w:rsidRDefault="00C441F0" w:rsidP="00C441F0">
      <w:pPr>
        <w:ind w:left="1134" w:right="90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 xml:space="preserve">Conforme al artículo </w:t>
      </w:r>
      <w:hyperlink r:id="rId11">
        <w:r w:rsidRPr="00900A5E">
          <w:rPr>
            <w:rFonts w:ascii="Palatino Linotype" w:eastAsia="Palatino Linotype" w:hAnsi="Palatino Linotype" w:cs="Palatino Linotype"/>
            <w:i/>
            <w:sz w:val="24"/>
            <w:szCs w:val="24"/>
          </w:rPr>
          <w:t>88 del Código Federal de Procedimientos Civiles</w:t>
        </w:r>
      </w:hyperlink>
      <w:r w:rsidRPr="00900A5E">
        <w:rPr>
          <w:rFonts w:ascii="Palatino Linotype" w:eastAsia="Palatino Linotype" w:hAnsi="Palatino Linotype" w:cs="Palatino Linotype"/>
          <w:i/>
          <w:sz w:val="24"/>
          <w:szCs w:val="24"/>
        </w:rPr>
        <w:t xml:space="preserve"> los tribunales pueden invocar hechos notorios aunque no hayan sido alegados ni probados por las partes. Por hechos notorios deben entenderse, en general, aquellos que por el conocimiento humano se consideran ciertos e indiscutibles, ya sea que pertenezcan a la historia, a la ciencia, a la naturaleza, a las vicisitudes de la vida pública actual o a circunstancias comúnmente conocidas en un determinado lugar, de modo que toda persona de ese medio esté en condiciones de saberlo; y desde el punto de vista jurídico, hecho notorio es cualquier acontecimiento de dominio público conocido por todos o casi todos los miembros de un círculo social en el momento en que va a pronunciarse la decisión judicial, respecto del cual no hay duda ni discusión; de manera que al ser notorio la ley exime de su prueba, por ser del conocimiento público en el medio social donde ocurrió o donde se tramita el procedimiento.</w:t>
      </w:r>
    </w:p>
    <w:p w:rsidR="00C441F0" w:rsidRPr="00900A5E" w:rsidRDefault="00C441F0" w:rsidP="00C441F0">
      <w:pPr>
        <w:ind w:left="1134" w:right="90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Controversia constitucional 24/2005. Cámara de Diputados del Congreso de la Unión. 9 de marzo de 2006. Once votos. Ponente: José Ramón Cossío Díaz. Secretarios: Raúl Manuel Mejía Garza y Laura Patricia Rojas Zamudio.</w:t>
      </w:r>
    </w:p>
    <w:p w:rsidR="00C441F0" w:rsidRPr="00900A5E" w:rsidRDefault="00C441F0" w:rsidP="00C441F0">
      <w:pPr>
        <w:ind w:left="1134" w:right="90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El Tribunal Pleno, el dieciséis de mayo en curso, aprobó, con el número 74/2006, la tesis jurisprudencial que antecede. México, Distrito Federal, a dieciséis de mayo de dos mil seis.</w:t>
      </w:r>
    </w:p>
    <w:p w:rsidR="00C441F0" w:rsidRPr="00900A5E" w:rsidRDefault="00C441F0" w:rsidP="00C441F0">
      <w:pPr>
        <w:ind w:left="1134" w:right="90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Nota: Esta tesis fue objeto de la denuncia relativa a la contradicción de tesis 91/2014, desechada por notoriamente improcedente, mediante acuerdo de 24 de marzo de 2014.”</w:t>
      </w:r>
    </w:p>
    <w:p w:rsidR="00C441F0" w:rsidRPr="00900A5E" w:rsidRDefault="00C441F0" w:rsidP="00C441F0">
      <w:pPr>
        <w:ind w:left="1134" w:right="900"/>
        <w:jc w:val="both"/>
        <w:rPr>
          <w:rFonts w:ascii="Palatino Linotype" w:eastAsia="Palatino Linotype" w:hAnsi="Palatino Linotype" w:cs="Palatino Linotype"/>
          <w:i/>
          <w:sz w:val="24"/>
          <w:szCs w:val="24"/>
        </w:rPr>
      </w:pPr>
    </w:p>
    <w:p w:rsidR="00C441F0" w:rsidRPr="00900A5E" w:rsidRDefault="00C441F0" w:rsidP="00C441F0">
      <w:pPr>
        <w:ind w:left="1134" w:right="90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b/>
          <w:i/>
          <w:sz w:val="24"/>
          <w:szCs w:val="24"/>
        </w:rPr>
        <w:t>PÁGINAS WEB O ELECTRÓNICAS. SU CONTENIDO ES UN HECHO NOTORIO Y SUSCEPTIBLE DE SER VALORADO EN UNA DECISIÓN JUDICIAL.</w:t>
      </w:r>
      <w:r w:rsidRPr="00900A5E">
        <w:rPr>
          <w:rFonts w:ascii="Palatino Linotype" w:eastAsia="Palatino Linotype" w:hAnsi="Palatino Linotype" w:cs="Palatino Linotype"/>
          <w:i/>
          <w:sz w:val="24"/>
          <w:szCs w:val="24"/>
        </w:rPr>
        <w:t xml:space="preserve"> Los datos publicados en documentos o páginas situados en redes informáticas constituyen un hecho notorio por formar parte del conocimiento público a través de tales medios al momento en que se dicta una resolución judicial, de conformidad con el artículo 88 del Código Federal de Procedimientos Civiles. El acceso al uso de Internet para buscar información sobre la existencia de personas </w:t>
      </w:r>
      <w:r w:rsidRPr="00900A5E">
        <w:rPr>
          <w:rFonts w:ascii="Palatino Linotype" w:eastAsia="Palatino Linotype" w:hAnsi="Palatino Linotype" w:cs="Palatino Linotype"/>
          <w:i/>
          <w:sz w:val="24"/>
          <w:szCs w:val="24"/>
        </w:rPr>
        <w:lastRenderedPageBreak/>
        <w:t xml:space="preserve">morales, establecimientos mercantiles, domicilios y en general cualquier dato publicado en redes informáticas, forma parte de la cultura normal de sectores específicos de la sociedad dependiendo del tipo de información de que se trate. De ahí que, si bien no es posible afirmar que esa información se encuentra al alcance de todos los sectores de la sociedad, lo cierto es que sí es posible determinar si por el tipo de datos un hecho forma parte de la cultura normal de un sector de la sociedad y pueda ser considerado como notorio por el juzgador y, consecuentemente, valorado en una decisión judicial, por tratarse de un dato u opinión común indiscutible, no por el número de personas que conocen ese hecho, sino por la notoriedad, accesibilidad, aceptación e imparcialidad de este conocimiento. Por tanto, el contenido de una página de Internet que refleja hechos propios de una de las partes en cualquier juicio, puede ser tomado como prueba plena, a menos que haya una en contrario que no fue creada por orden del interesado, ya que se le reputará autor y podrá perjudicarle lo que ofrezca en sus términos. </w:t>
      </w:r>
    </w:p>
    <w:p w:rsidR="00C441F0" w:rsidRPr="00900A5E" w:rsidRDefault="00C441F0" w:rsidP="00C441F0">
      <w:pPr>
        <w:ind w:left="1134" w:right="90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TERCER TRIBUNAL COLEGIADO EN MATERIA CIVIL DEL PRIMER CIRCUITO. Amparo en revisión 365/2012. Mardygras, S.A. de C.V. 7 de diciembre de 2012. Unanimidad de votos. Ponente: Neófito López Ramos. Secretaria: Ana Lilia Osorno Arroyo.</w:t>
      </w:r>
    </w:p>
    <w:p w:rsidR="00C441F0" w:rsidRPr="00900A5E" w:rsidRDefault="00C441F0" w:rsidP="00C441F0">
      <w:pPr>
        <w:ind w:right="900"/>
        <w:jc w:val="both"/>
        <w:rPr>
          <w:rFonts w:ascii="Palatino Linotype" w:eastAsia="Palatino Linotype" w:hAnsi="Palatino Linotype" w:cs="Palatino Linotype"/>
          <w:i/>
          <w:sz w:val="24"/>
          <w:szCs w:val="24"/>
        </w:rPr>
      </w:pPr>
    </w:p>
    <w:p w:rsidR="00C441F0" w:rsidRPr="00900A5E" w:rsidRDefault="00C441F0" w:rsidP="00C441F0">
      <w:pPr>
        <w:rPr>
          <w:sz w:val="24"/>
          <w:szCs w:val="24"/>
        </w:rPr>
      </w:pPr>
    </w:p>
    <w:p w:rsidR="00C441F0" w:rsidRPr="00900A5E" w:rsidRDefault="00C441F0" w:rsidP="006B3523">
      <w:pPr>
        <w:numPr>
          <w:ilvl w:val="0"/>
          <w:numId w:val="3"/>
        </w:numPr>
        <w:spacing w:line="360" w:lineRule="auto"/>
        <w:ind w:left="0" w:right="49" w:firstLine="0"/>
        <w:jc w:val="both"/>
        <w:rPr>
          <w:rFonts w:ascii="Palatino Linotype" w:eastAsia="Palatino Linotype" w:hAnsi="Palatino Linotype" w:cs="Palatino Linotype"/>
          <w:sz w:val="24"/>
          <w:szCs w:val="24"/>
        </w:rPr>
      </w:pPr>
      <w:r w:rsidRPr="00900A5E">
        <w:rPr>
          <w:rFonts w:ascii="Palatino Linotype" w:eastAsia="Palatino Linotype" w:hAnsi="Palatino Linotype" w:cs="Palatino Linotype"/>
          <w:sz w:val="24"/>
          <w:szCs w:val="24"/>
        </w:rPr>
        <w:t>Precisado lo anterior, dada la naturaleza de la información, se advierte que las áreas encargadas de generar, poseer y</w:t>
      </w:r>
      <w:r w:rsidR="000C052D" w:rsidRPr="00900A5E">
        <w:rPr>
          <w:rFonts w:ascii="Palatino Linotype" w:eastAsia="Palatino Linotype" w:hAnsi="Palatino Linotype" w:cs="Palatino Linotype"/>
          <w:sz w:val="24"/>
          <w:szCs w:val="24"/>
        </w:rPr>
        <w:t>/</w:t>
      </w:r>
      <w:r w:rsidRPr="00900A5E">
        <w:rPr>
          <w:rFonts w:ascii="Palatino Linotype" w:eastAsia="Palatino Linotype" w:hAnsi="Palatino Linotype" w:cs="Palatino Linotype"/>
          <w:sz w:val="24"/>
          <w:szCs w:val="24"/>
        </w:rPr>
        <w:t>o administrar la información solicitada, son el Tesorero Municipal y la Dirección de Administración, de acuerdo a lo siguiente:</w:t>
      </w:r>
    </w:p>
    <w:p w:rsidR="00C441F0" w:rsidRPr="00900A5E" w:rsidRDefault="000C052D" w:rsidP="00961FC0">
      <w:pPr>
        <w:ind w:left="709" w:right="68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b/>
          <w:i/>
          <w:sz w:val="24"/>
          <w:szCs w:val="24"/>
        </w:rPr>
        <w:t>Artículo 90.</w:t>
      </w:r>
      <w:r w:rsidRPr="00900A5E">
        <w:rPr>
          <w:rFonts w:ascii="Palatino Linotype" w:eastAsia="Palatino Linotype" w:hAnsi="Palatino Linotype" w:cs="Palatino Linotype"/>
          <w:i/>
          <w:sz w:val="24"/>
          <w:szCs w:val="24"/>
        </w:rPr>
        <w:t xml:space="preserve"> Para la consulta, estudio, planeación, gestión y ejecución en los diferentes ámbitos de aplicación de la Administración Pública Municipal, la o el Presidente Municipal se regirá por la Constitución Política de los Estados Unidos Mexicanos, la Constitución Política del Estado Libre y Soberano de México, la Ley Orgánica Municipal, el presente Bando y demás disposiciones aplicables, y se auxiliará de las siguientes:</w:t>
      </w:r>
    </w:p>
    <w:p w:rsidR="00961FC0" w:rsidRPr="00900A5E" w:rsidRDefault="00961FC0" w:rsidP="00961FC0">
      <w:pPr>
        <w:ind w:left="709" w:right="680"/>
        <w:jc w:val="both"/>
        <w:rPr>
          <w:rFonts w:ascii="Palatino Linotype" w:eastAsia="Palatino Linotype" w:hAnsi="Palatino Linotype" w:cs="Palatino Linotype"/>
          <w:i/>
          <w:sz w:val="24"/>
          <w:szCs w:val="24"/>
        </w:rPr>
      </w:pPr>
    </w:p>
    <w:p w:rsidR="00961FC0" w:rsidRPr="00900A5E" w:rsidRDefault="00961FC0" w:rsidP="00961FC0">
      <w:pPr>
        <w:ind w:left="709" w:right="680"/>
        <w:jc w:val="both"/>
        <w:rPr>
          <w:rFonts w:ascii="Palatino Linotype" w:eastAsia="Palatino Linotype" w:hAnsi="Palatino Linotype" w:cs="Palatino Linotype"/>
          <w:i/>
          <w:sz w:val="24"/>
          <w:szCs w:val="24"/>
        </w:rPr>
      </w:pPr>
    </w:p>
    <w:p w:rsidR="00961FC0" w:rsidRPr="00900A5E" w:rsidRDefault="00961FC0" w:rsidP="00961FC0">
      <w:pPr>
        <w:ind w:left="709" w:right="68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 xml:space="preserve">I. DEPENDENCIAS: </w:t>
      </w:r>
    </w:p>
    <w:p w:rsidR="00961FC0" w:rsidRPr="00900A5E" w:rsidRDefault="00961FC0" w:rsidP="00961FC0">
      <w:pPr>
        <w:ind w:left="709" w:right="68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w:t>
      </w:r>
    </w:p>
    <w:p w:rsidR="00961FC0" w:rsidRPr="00900A5E" w:rsidRDefault="00961FC0" w:rsidP="00961FC0">
      <w:pPr>
        <w:ind w:left="709" w:right="680"/>
        <w:jc w:val="both"/>
        <w:rPr>
          <w:rFonts w:ascii="Palatino Linotype" w:eastAsia="Palatino Linotype" w:hAnsi="Palatino Linotype" w:cs="Palatino Linotype"/>
          <w:b/>
          <w:i/>
          <w:sz w:val="24"/>
          <w:szCs w:val="24"/>
        </w:rPr>
      </w:pPr>
      <w:r w:rsidRPr="00900A5E">
        <w:rPr>
          <w:rFonts w:ascii="Palatino Linotype" w:eastAsia="Palatino Linotype" w:hAnsi="Palatino Linotype" w:cs="Palatino Linotype"/>
          <w:b/>
          <w:i/>
          <w:sz w:val="24"/>
          <w:szCs w:val="24"/>
        </w:rPr>
        <w:t xml:space="preserve"> 2.Tesorería Municipal;</w:t>
      </w:r>
    </w:p>
    <w:p w:rsidR="00961FC0" w:rsidRPr="00900A5E" w:rsidRDefault="00961FC0" w:rsidP="00961FC0">
      <w:pPr>
        <w:ind w:left="709" w:right="68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lastRenderedPageBreak/>
        <w:t>…</w:t>
      </w:r>
    </w:p>
    <w:p w:rsidR="00961FC0" w:rsidRPr="00900A5E" w:rsidRDefault="00961FC0" w:rsidP="00961FC0">
      <w:pPr>
        <w:ind w:left="709" w:right="680"/>
        <w:jc w:val="both"/>
        <w:rPr>
          <w:rFonts w:ascii="Palatino Linotype" w:eastAsia="Palatino Linotype" w:hAnsi="Palatino Linotype" w:cs="Palatino Linotype"/>
          <w:b/>
          <w:i/>
          <w:sz w:val="24"/>
          <w:szCs w:val="24"/>
        </w:rPr>
      </w:pPr>
      <w:r w:rsidRPr="00900A5E">
        <w:rPr>
          <w:rFonts w:ascii="Palatino Linotype" w:eastAsia="Palatino Linotype" w:hAnsi="Palatino Linotype" w:cs="Palatino Linotype"/>
          <w:b/>
          <w:i/>
          <w:sz w:val="24"/>
          <w:szCs w:val="24"/>
        </w:rPr>
        <w:t xml:space="preserve"> 6.Dirección General de Administración;</w:t>
      </w:r>
    </w:p>
    <w:p w:rsidR="00961FC0" w:rsidRPr="00900A5E" w:rsidRDefault="00961FC0" w:rsidP="00961FC0">
      <w:pPr>
        <w:ind w:left="709" w:right="68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w:t>
      </w:r>
    </w:p>
    <w:p w:rsidR="00961FC0" w:rsidRPr="00900A5E" w:rsidRDefault="00961FC0" w:rsidP="00961FC0">
      <w:pPr>
        <w:ind w:left="709" w:right="680"/>
        <w:jc w:val="both"/>
        <w:rPr>
          <w:rFonts w:ascii="Palatino Linotype" w:eastAsia="Palatino Linotype" w:hAnsi="Palatino Linotype" w:cs="Palatino Linotype"/>
          <w:i/>
          <w:sz w:val="24"/>
          <w:szCs w:val="24"/>
        </w:rPr>
      </w:pPr>
    </w:p>
    <w:p w:rsidR="00961FC0" w:rsidRPr="00900A5E" w:rsidRDefault="00961FC0" w:rsidP="00961FC0">
      <w:pPr>
        <w:ind w:left="709" w:right="68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Artículo 92. La administración pública municipal será centralizada, descentralizada y autónoma. Para el ejercicio del poder público municipal, las personas titulares de las Direcciones Generales, los Organismos Descentralizados y el Órgano Autónomo tendrán las atribuciones y facultades que le otorguen las disposiciones legales aplicables a su campo de actuación y las que este Bando y el Código Reglamentario les confiera.</w:t>
      </w:r>
    </w:p>
    <w:p w:rsidR="00961FC0" w:rsidRPr="00900A5E" w:rsidRDefault="00961FC0" w:rsidP="00961FC0">
      <w:pPr>
        <w:ind w:left="709" w:right="680"/>
        <w:jc w:val="both"/>
        <w:rPr>
          <w:rFonts w:ascii="Palatino Linotype" w:eastAsia="Palatino Linotype" w:hAnsi="Palatino Linotype" w:cs="Palatino Linotype"/>
          <w:i/>
          <w:sz w:val="24"/>
          <w:szCs w:val="24"/>
        </w:rPr>
      </w:pPr>
    </w:p>
    <w:p w:rsidR="00961FC0" w:rsidRPr="00900A5E" w:rsidRDefault="00961FC0" w:rsidP="00961FC0">
      <w:pPr>
        <w:ind w:left="709" w:right="68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w:t>
      </w:r>
    </w:p>
    <w:p w:rsidR="00961FC0" w:rsidRPr="00900A5E" w:rsidRDefault="00961FC0" w:rsidP="00961FC0">
      <w:pPr>
        <w:ind w:left="709" w:right="680"/>
        <w:jc w:val="both"/>
        <w:rPr>
          <w:rFonts w:ascii="Palatino Linotype" w:eastAsia="Palatino Linotype" w:hAnsi="Palatino Linotype" w:cs="Palatino Linotype"/>
          <w:i/>
          <w:sz w:val="24"/>
          <w:szCs w:val="24"/>
        </w:rPr>
      </w:pPr>
    </w:p>
    <w:p w:rsidR="00961FC0" w:rsidRPr="00900A5E" w:rsidRDefault="00961FC0" w:rsidP="00961FC0">
      <w:pPr>
        <w:ind w:left="709" w:right="68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 xml:space="preserve">II. La persona titular de la </w:t>
      </w:r>
      <w:r w:rsidRPr="00900A5E">
        <w:rPr>
          <w:rFonts w:ascii="Palatino Linotype" w:eastAsia="Palatino Linotype" w:hAnsi="Palatino Linotype" w:cs="Palatino Linotype"/>
          <w:i/>
          <w:sz w:val="24"/>
          <w:szCs w:val="24"/>
          <w:u w:val="single"/>
        </w:rPr>
        <w:t>Tesorería Municipal</w:t>
      </w:r>
      <w:r w:rsidRPr="00900A5E">
        <w:rPr>
          <w:rFonts w:ascii="Palatino Linotype" w:eastAsia="Palatino Linotype" w:hAnsi="Palatino Linotype" w:cs="Palatino Linotype"/>
          <w:i/>
          <w:sz w:val="24"/>
          <w:szCs w:val="24"/>
        </w:rPr>
        <w:t xml:space="preserve"> es responsable de la </w:t>
      </w:r>
      <w:r w:rsidRPr="00900A5E">
        <w:rPr>
          <w:rFonts w:ascii="Palatino Linotype" w:eastAsia="Palatino Linotype" w:hAnsi="Palatino Linotype" w:cs="Palatino Linotype"/>
          <w:i/>
          <w:sz w:val="24"/>
          <w:szCs w:val="24"/>
          <w:u w:val="single"/>
        </w:rPr>
        <w:t>administración y control de los recursos financieros del municipio</w:t>
      </w:r>
      <w:r w:rsidRPr="00900A5E">
        <w:rPr>
          <w:rFonts w:ascii="Palatino Linotype" w:eastAsia="Palatino Linotype" w:hAnsi="Palatino Linotype" w:cs="Palatino Linotype"/>
          <w:i/>
          <w:sz w:val="24"/>
          <w:szCs w:val="24"/>
        </w:rPr>
        <w:t>, asegurando el cumplimiento de las disposiciones fiscales y presupuestales. Sus funciones incluyen la recaudación, fiscalización y administración de ingresos municipales, así como la elaboración y supervisión de los informes financieros y la cuenta pública. Además, coordina la aplicación de políticas de racionalidad y austeridad presupuestal, otorga suficiencia presupuestaria a las dependencias municipales, y gestiona la nómina del personal, garantizando su pago oportuno.</w:t>
      </w:r>
    </w:p>
    <w:p w:rsidR="00961FC0" w:rsidRPr="00900A5E" w:rsidRDefault="00961FC0" w:rsidP="00961FC0">
      <w:pPr>
        <w:ind w:left="709" w:right="680"/>
        <w:jc w:val="both"/>
        <w:rPr>
          <w:rFonts w:ascii="Palatino Linotype" w:eastAsia="Palatino Linotype" w:hAnsi="Palatino Linotype" w:cs="Palatino Linotype"/>
          <w:i/>
          <w:sz w:val="24"/>
          <w:szCs w:val="24"/>
        </w:rPr>
      </w:pPr>
    </w:p>
    <w:p w:rsidR="00961FC0" w:rsidRPr="00900A5E" w:rsidRDefault="00961FC0" w:rsidP="00961FC0">
      <w:pPr>
        <w:ind w:left="709" w:right="68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w:t>
      </w:r>
    </w:p>
    <w:p w:rsidR="003C7052" w:rsidRPr="00900A5E" w:rsidRDefault="003C7052" w:rsidP="00961FC0">
      <w:pPr>
        <w:ind w:left="709" w:right="680"/>
        <w:jc w:val="both"/>
        <w:rPr>
          <w:rFonts w:ascii="Palatino Linotype" w:eastAsia="Palatino Linotype" w:hAnsi="Palatino Linotype" w:cs="Palatino Linotype"/>
          <w:i/>
          <w:sz w:val="24"/>
          <w:szCs w:val="24"/>
        </w:rPr>
      </w:pPr>
    </w:p>
    <w:p w:rsidR="003C7052" w:rsidRPr="00900A5E" w:rsidRDefault="003C7052" w:rsidP="00961FC0">
      <w:pPr>
        <w:ind w:left="709" w:right="680"/>
        <w:jc w:val="both"/>
        <w:rPr>
          <w:rFonts w:ascii="Palatino Linotype" w:eastAsia="Palatino Linotype" w:hAnsi="Palatino Linotype" w:cs="Palatino Linotype"/>
          <w:i/>
          <w:sz w:val="24"/>
          <w:szCs w:val="24"/>
        </w:rPr>
      </w:pPr>
    </w:p>
    <w:p w:rsidR="003C7052" w:rsidRPr="00900A5E" w:rsidRDefault="003C7052" w:rsidP="003C7052">
      <w:pPr>
        <w:ind w:left="709" w:right="68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 xml:space="preserve">VI. </w:t>
      </w:r>
      <w:r w:rsidRPr="00900A5E">
        <w:rPr>
          <w:rFonts w:ascii="Palatino Linotype" w:eastAsia="Palatino Linotype" w:hAnsi="Palatino Linotype" w:cs="Palatino Linotype"/>
          <w:i/>
          <w:sz w:val="24"/>
          <w:szCs w:val="24"/>
          <w:u w:val="single"/>
        </w:rPr>
        <w:t>La persona titular de la Dirección General de Administración</w:t>
      </w:r>
      <w:r w:rsidRPr="00900A5E">
        <w:rPr>
          <w:rFonts w:ascii="Palatino Linotype" w:eastAsia="Palatino Linotype" w:hAnsi="Palatino Linotype" w:cs="Palatino Linotype"/>
          <w:i/>
          <w:sz w:val="24"/>
          <w:szCs w:val="24"/>
        </w:rPr>
        <w:t xml:space="preserve"> es responsable de la gestión integral del capital humano del Ayuntamiento, coordinando el reclutamiento, contratación, capacitación y desarrollo del personal, así como la aplicación de las disposiciones laborales y sindicales. Supervisará la elaboración y distribución de la nómina, garantizando su apego a la normatividad y el presupuesto autorizado. Dirigirá los </w:t>
      </w:r>
      <w:r w:rsidRPr="00900A5E">
        <w:rPr>
          <w:rFonts w:ascii="Palatino Linotype" w:eastAsia="Palatino Linotype" w:hAnsi="Palatino Linotype" w:cs="Palatino Linotype"/>
          <w:i/>
          <w:sz w:val="24"/>
          <w:szCs w:val="24"/>
          <w:u w:val="single"/>
        </w:rPr>
        <w:t>procesos de adquisición</w:t>
      </w:r>
      <w:r w:rsidRPr="00900A5E">
        <w:rPr>
          <w:rFonts w:ascii="Palatino Linotype" w:eastAsia="Palatino Linotype" w:hAnsi="Palatino Linotype" w:cs="Palatino Linotype"/>
          <w:i/>
          <w:sz w:val="24"/>
          <w:szCs w:val="24"/>
        </w:rPr>
        <w:t xml:space="preserve">, arrendamiento y </w:t>
      </w:r>
      <w:r w:rsidRPr="00900A5E">
        <w:rPr>
          <w:rFonts w:ascii="Palatino Linotype" w:eastAsia="Palatino Linotype" w:hAnsi="Palatino Linotype" w:cs="Palatino Linotype"/>
          <w:i/>
          <w:sz w:val="24"/>
          <w:szCs w:val="24"/>
          <w:u w:val="single"/>
        </w:rPr>
        <w:t>contratación de servicios</w:t>
      </w:r>
      <w:r w:rsidRPr="00900A5E">
        <w:rPr>
          <w:rFonts w:ascii="Palatino Linotype" w:eastAsia="Palatino Linotype" w:hAnsi="Palatino Linotype" w:cs="Palatino Linotype"/>
          <w:i/>
          <w:sz w:val="24"/>
          <w:szCs w:val="24"/>
        </w:rPr>
        <w:t>, asegurando la eficiencia y transparencia en el uso de los recursos públicos. Administrará el parque vehicular, los bienes municipales y la logística de eventos públicos e implementará políticas de gobierno digital y normativas para el uso de tecnologías de la información, promoviendo la eficiencia operativa de la administración pública municipal</w:t>
      </w:r>
    </w:p>
    <w:p w:rsidR="003C7052" w:rsidRPr="00900A5E" w:rsidRDefault="003C7052" w:rsidP="00961FC0">
      <w:pPr>
        <w:ind w:left="709" w:right="680"/>
        <w:jc w:val="both"/>
        <w:rPr>
          <w:rFonts w:ascii="Palatino Linotype" w:eastAsia="Palatino Linotype" w:hAnsi="Palatino Linotype" w:cs="Palatino Linotype"/>
          <w:i/>
          <w:sz w:val="24"/>
          <w:szCs w:val="24"/>
        </w:rPr>
      </w:pPr>
    </w:p>
    <w:p w:rsidR="00961FC0" w:rsidRPr="00900A5E" w:rsidRDefault="00961FC0" w:rsidP="00961FC0">
      <w:pPr>
        <w:ind w:left="709" w:right="680"/>
        <w:jc w:val="both"/>
        <w:rPr>
          <w:rFonts w:ascii="Palatino Linotype" w:eastAsia="Palatino Linotype" w:hAnsi="Palatino Linotype"/>
          <w:b/>
          <w:sz w:val="24"/>
          <w:szCs w:val="24"/>
        </w:rPr>
      </w:pPr>
      <w:r w:rsidRPr="00900A5E">
        <w:rPr>
          <w:rFonts w:ascii="Palatino Linotype" w:eastAsia="Palatino Linotype" w:hAnsi="Palatino Linotype"/>
          <w:b/>
          <w:sz w:val="24"/>
          <w:szCs w:val="24"/>
        </w:rPr>
        <w:lastRenderedPageBreak/>
        <w:t>MANUAL DE ORGANIZACIÓN DE LA DIRECCIÓN GENERAL DE ADMINISTRACIÓN</w:t>
      </w:r>
    </w:p>
    <w:p w:rsidR="00961FC0" w:rsidRPr="00900A5E" w:rsidRDefault="00961FC0" w:rsidP="00961FC0">
      <w:pPr>
        <w:ind w:left="709" w:right="680"/>
        <w:jc w:val="both"/>
        <w:rPr>
          <w:rFonts w:ascii="Palatino Linotype" w:eastAsia="Palatino Linotype" w:hAnsi="Palatino Linotype"/>
          <w:b/>
          <w:sz w:val="24"/>
          <w:szCs w:val="24"/>
        </w:rPr>
      </w:pPr>
    </w:p>
    <w:p w:rsidR="00961FC0" w:rsidRPr="00900A5E" w:rsidRDefault="00961FC0" w:rsidP="00961FC0">
      <w:pPr>
        <w:ind w:left="709" w:right="68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b/>
          <w:i/>
          <w:sz w:val="24"/>
          <w:szCs w:val="24"/>
        </w:rPr>
        <w:t>Objetivo:</w:t>
      </w:r>
      <w:r w:rsidRPr="00900A5E">
        <w:rPr>
          <w:rFonts w:ascii="Palatino Linotype" w:eastAsia="Palatino Linotype" w:hAnsi="Palatino Linotype" w:cs="Palatino Linotype"/>
          <w:i/>
          <w:sz w:val="24"/>
          <w:szCs w:val="24"/>
        </w:rPr>
        <w:t xml:space="preserve"> Definir, establecer, difundir y aplicar la normatividad para la administración de personal, </w:t>
      </w:r>
      <w:r w:rsidRPr="00900A5E">
        <w:rPr>
          <w:rFonts w:ascii="Palatino Linotype" w:eastAsia="Palatino Linotype" w:hAnsi="Palatino Linotype" w:cs="Palatino Linotype"/>
          <w:i/>
          <w:sz w:val="24"/>
          <w:szCs w:val="24"/>
          <w:u w:val="single"/>
        </w:rPr>
        <w:t>adquisición,</w:t>
      </w:r>
      <w:r w:rsidRPr="00900A5E">
        <w:rPr>
          <w:rFonts w:ascii="Palatino Linotype" w:eastAsia="Palatino Linotype" w:hAnsi="Palatino Linotype" w:cs="Palatino Linotype"/>
          <w:i/>
          <w:sz w:val="24"/>
          <w:szCs w:val="24"/>
        </w:rPr>
        <w:t xml:space="preserve"> uso y mantenimiento de bienes, contratación y prestación de servicios, de la tecnología de la información y comunicaciones que requieran las diferentes dependencias y órganos que integran la administración pública municipal, para la ejecución de sus funciones, privilegiando las mejores condiciones de oportunidad, precio, calidad y financiamiento, en un esquema de transparencia, a fin de optimizar los recursos humanos, materiales, técnicos y tecnológicos, así como el adecuado control del parque vehicular y de bienes muebles e inmuebles.</w:t>
      </w:r>
    </w:p>
    <w:p w:rsidR="00961FC0" w:rsidRPr="00900A5E" w:rsidRDefault="00961FC0" w:rsidP="00961FC0">
      <w:pPr>
        <w:ind w:left="709" w:right="680"/>
        <w:jc w:val="both"/>
        <w:rPr>
          <w:rFonts w:ascii="Palatino Linotype" w:eastAsia="Palatino Linotype" w:hAnsi="Palatino Linotype" w:cs="Palatino Linotype"/>
          <w:i/>
          <w:sz w:val="24"/>
          <w:szCs w:val="24"/>
        </w:rPr>
      </w:pPr>
    </w:p>
    <w:p w:rsidR="00961FC0" w:rsidRPr="00900A5E" w:rsidRDefault="00961FC0" w:rsidP="00961FC0">
      <w:pPr>
        <w:ind w:left="709" w:right="680"/>
        <w:jc w:val="both"/>
        <w:rPr>
          <w:rFonts w:ascii="Palatino Linotype" w:eastAsia="Palatino Linotype" w:hAnsi="Palatino Linotype" w:cs="Palatino Linotype"/>
          <w:i/>
          <w:sz w:val="24"/>
          <w:szCs w:val="24"/>
        </w:rPr>
      </w:pPr>
    </w:p>
    <w:p w:rsidR="00961FC0" w:rsidRPr="00900A5E" w:rsidRDefault="00961FC0" w:rsidP="00961FC0">
      <w:pPr>
        <w:ind w:left="709" w:right="680"/>
        <w:jc w:val="both"/>
        <w:rPr>
          <w:rFonts w:ascii="Palatino Linotype" w:eastAsia="Palatino Linotype" w:hAnsi="Palatino Linotype" w:cs="Palatino Linotype"/>
          <w:b/>
          <w:i/>
          <w:sz w:val="24"/>
          <w:szCs w:val="24"/>
        </w:rPr>
      </w:pPr>
      <w:r w:rsidRPr="00900A5E">
        <w:rPr>
          <w:rFonts w:ascii="Palatino Linotype" w:eastAsia="Palatino Linotype" w:hAnsi="Palatino Linotype" w:cs="Palatino Linotype"/>
          <w:b/>
          <w:i/>
          <w:sz w:val="24"/>
          <w:szCs w:val="24"/>
        </w:rPr>
        <w:t xml:space="preserve">206011001 Departamento de Adquisiciones </w:t>
      </w:r>
    </w:p>
    <w:p w:rsidR="00961FC0" w:rsidRPr="00900A5E" w:rsidRDefault="00961FC0" w:rsidP="00961FC0">
      <w:pPr>
        <w:ind w:left="709" w:right="680"/>
        <w:jc w:val="both"/>
        <w:rPr>
          <w:rFonts w:ascii="Palatino Linotype" w:eastAsia="Palatino Linotype" w:hAnsi="Palatino Linotype" w:cs="Palatino Linotype"/>
          <w:b/>
          <w:i/>
          <w:sz w:val="24"/>
          <w:szCs w:val="24"/>
        </w:rPr>
      </w:pPr>
    </w:p>
    <w:p w:rsidR="00961FC0" w:rsidRPr="00900A5E" w:rsidRDefault="00961FC0" w:rsidP="00961FC0">
      <w:pPr>
        <w:ind w:left="709" w:right="68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b/>
          <w:i/>
          <w:sz w:val="24"/>
          <w:szCs w:val="24"/>
        </w:rPr>
        <w:t>Objetivo</w:t>
      </w:r>
      <w:r w:rsidRPr="00900A5E">
        <w:rPr>
          <w:rFonts w:ascii="Palatino Linotype" w:eastAsia="Palatino Linotype" w:hAnsi="Palatino Linotype" w:cs="Palatino Linotype"/>
          <w:i/>
          <w:sz w:val="24"/>
          <w:szCs w:val="24"/>
        </w:rPr>
        <w:t xml:space="preserve"> Analizar, integrar y proponer a la Dirección de Recursos Materiales los procedimientos a realizar, de acuerdo al monto económico y la naturaleza de los bienes y/o servicios, para proceder a las adjudicaciones, a fin de asegurar las mejores condiciones de precio, calidad, financiamiento, oportunidad y otras circunstancias pertinentes a favor de la administración pública municipal.</w:t>
      </w:r>
    </w:p>
    <w:p w:rsidR="00961FC0" w:rsidRPr="00900A5E" w:rsidRDefault="00961FC0" w:rsidP="00961FC0">
      <w:pPr>
        <w:ind w:left="709" w:right="680"/>
        <w:jc w:val="both"/>
        <w:rPr>
          <w:rFonts w:ascii="Palatino Linotype" w:eastAsia="Palatino Linotype" w:hAnsi="Palatino Linotype" w:cs="Palatino Linotype"/>
          <w:i/>
          <w:sz w:val="24"/>
          <w:szCs w:val="24"/>
        </w:rPr>
      </w:pPr>
    </w:p>
    <w:p w:rsidR="00961FC0" w:rsidRPr="00900A5E" w:rsidRDefault="00961FC0" w:rsidP="00961FC0">
      <w:pPr>
        <w:ind w:left="709" w:right="680"/>
        <w:jc w:val="both"/>
        <w:rPr>
          <w:rFonts w:ascii="Palatino Linotype" w:eastAsia="Palatino Linotype" w:hAnsi="Palatino Linotype" w:cs="Palatino Linotype"/>
          <w:b/>
          <w:i/>
          <w:sz w:val="24"/>
          <w:szCs w:val="24"/>
        </w:rPr>
      </w:pPr>
      <w:r w:rsidRPr="00900A5E">
        <w:rPr>
          <w:rFonts w:ascii="Palatino Linotype" w:eastAsia="Palatino Linotype" w:hAnsi="Palatino Linotype" w:cs="Palatino Linotype"/>
          <w:b/>
          <w:i/>
          <w:sz w:val="24"/>
          <w:szCs w:val="24"/>
        </w:rPr>
        <w:t xml:space="preserve">206011002 Departamento de Contratos </w:t>
      </w:r>
    </w:p>
    <w:p w:rsidR="00961FC0" w:rsidRPr="00900A5E" w:rsidRDefault="00961FC0" w:rsidP="00961FC0">
      <w:pPr>
        <w:ind w:left="709" w:right="68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b/>
          <w:i/>
          <w:sz w:val="24"/>
          <w:szCs w:val="24"/>
        </w:rPr>
        <w:t>Objetivo Coordinar, formalizar e integrar</w:t>
      </w:r>
      <w:r w:rsidRPr="00900A5E">
        <w:rPr>
          <w:rFonts w:ascii="Palatino Linotype" w:eastAsia="Palatino Linotype" w:hAnsi="Palatino Linotype" w:cs="Palatino Linotype"/>
          <w:i/>
          <w:sz w:val="24"/>
          <w:szCs w:val="24"/>
        </w:rPr>
        <w:t xml:space="preserve"> los contratos por la adquisición de bienes, prestación de servicios, enajenación, arrendamientos, comodatos y donaciones que celebra el Ayuntamiento de Toluca, para el óptimo desempeño de las actividades de las unidades administrativas.</w:t>
      </w:r>
    </w:p>
    <w:p w:rsidR="00961FC0" w:rsidRPr="00900A5E" w:rsidRDefault="00961FC0" w:rsidP="00961FC0">
      <w:pPr>
        <w:ind w:left="709" w:right="680"/>
        <w:jc w:val="both"/>
        <w:rPr>
          <w:rFonts w:ascii="Palatino Linotype" w:eastAsia="Palatino Linotype" w:hAnsi="Palatino Linotype" w:cs="Palatino Linotype"/>
          <w:i/>
          <w:sz w:val="24"/>
          <w:szCs w:val="24"/>
        </w:rPr>
      </w:pPr>
    </w:p>
    <w:p w:rsidR="00961FC0" w:rsidRPr="00900A5E" w:rsidRDefault="00961FC0" w:rsidP="00961FC0">
      <w:pPr>
        <w:ind w:left="709" w:right="680"/>
        <w:jc w:val="both"/>
        <w:rPr>
          <w:rFonts w:ascii="Palatino Linotype" w:eastAsia="Palatino Linotype" w:hAnsi="Palatino Linotype" w:cs="Palatino Linotype"/>
          <w:i/>
          <w:sz w:val="24"/>
          <w:szCs w:val="24"/>
        </w:rPr>
      </w:pPr>
    </w:p>
    <w:p w:rsidR="00961FC0" w:rsidRPr="00900A5E" w:rsidRDefault="00961FC0" w:rsidP="00961FC0">
      <w:pPr>
        <w:ind w:left="709" w:right="680"/>
        <w:jc w:val="both"/>
        <w:rPr>
          <w:rFonts w:ascii="Palatino Linotype" w:eastAsia="Palatino Linotype" w:hAnsi="Palatino Linotype" w:cs="Palatino Linotype"/>
          <w:b/>
          <w:i/>
          <w:sz w:val="24"/>
          <w:szCs w:val="24"/>
        </w:rPr>
      </w:pPr>
      <w:r w:rsidRPr="00900A5E">
        <w:rPr>
          <w:rFonts w:ascii="Palatino Linotype" w:eastAsia="Palatino Linotype" w:hAnsi="Palatino Linotype" w:cs="Palatino Linotype"/>
          <w:b/>
          <w:i/>
          <w:sz w:val="24"/>
          <w:szCs w:val="24"/>
        </w:rPr>
        <w:t xml:space="preserve">Funciones: </w:t>
      </w:r>
    </w:p>
    <w:p w:rsidR="00961FC0" w:rsidRPr="00900A5E" w:rsidRDefault="00961FC0" w:rsidP="00961FC0">
      <w:pPr>
        <w:ind w:left="709" w:right="68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b/>
          <w:i/>
          <w:sz w:val="24"/>
          <w:szCs w:val="24"/>
        </w:rPr>
        <w:t>1</w:t>
      </w:r>
      <w:r w:rsidRPr="00900A5E">
        <w:rPr>
          <w:rFonts w:ascii="Palatino Linotype" w:eastAsia="Palatino Linotype" w:hAnsi="Palatino Linotype" w:cs="Palatino Linotype"/>
          <w:i/>
          <w:sz w:val="24"/>
          <w:szCs w:val="24"/>
        </w:rPr>
        <w:t>. Elaborar y revisar los contratos de adquisición de bienes, prestación de servicios, enajenación, arrendamientos, comodatos y donaciones, de conformidad con las disposiciones legales aplicables, que deriven de cualquiera de los procedimientos establecidos;</w:t>
      </w:r>
    </w:p>
    <w:p w:rsidR="00961FC0" w:rsidRPr="00900A5E" w:rsidRDefault="00961FC0" w:rsidP="00961FC0">
      <w:pPr>
        <w:ind w:left="709" w:right="68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w:t>
      </w:r>
    </w:p>
    <w:p w:rsidR="00C441F0" w:rsidRPr="00900A5E" w:rsidRDefault="00C441F0" w:rsidP="00C441F0">
      <w:pPr>
        <w:spacing w:line="360" w:lineRule="auto"/>
        <w:ind w:right="49"/>
        <w:jc w:val="both"/>
        <w:rPr>
          <w:rFonts w:ascii="Palatino Linotype" w:eastAsia="Palatino Linotype" w:hAnsi="Palatino Linotype" w:cs="Palatino Linotype"/>
          <w:sz w:val="24"/>
          <w:szCs w:val="24"/>
        </w:rPr>
      </w:pPr>
    </w:p>
    <w:p w:rsidR="006B3523" w:rsidRPr="00900A5E" w:rsidRDefault="003C7052" w:rsidP="003C7052">
      <w:pPr>
        <w:numPr>
          <w:ilvl w:val="0"/>
          <w:numId w:val="3"/>
        </w:numPr>
        <w:spacing w:line="360" w:lineRule="auto"/>
        <w:ind w:left="0" w:right="49" w:firstLine="0"/>
        <w:jc w:val="both"/>
        <w:rPr>
          <w:rFonts w:ascii="Palatino Linotype" w:eastAsia="Palatino Linotype" w:hAnsi="Palatino Linotype" w:cs="Palatino Linotype"/>
          <w:sz w:val="24"/>
          <w:szCs w:val="24"/>
        </w:rPr>
      </w:pPr>
      <w:r w:rsidRPr="00900A5E">
        <w:rPr>
          <w:rFonts w:ascii="Palatino Linotype" w:eastAsia="Palatino Linotype" w:hAnsi="Palatino Linotype" w:cs="Palatino Linotype"/>
          <w:sz w:val="24"/>
          <w:szCs w:val="24"/>
        </w:rPr>
        <w:lastRenderedPageBreak/>
        <w:t xml:space="preserve">Precisada la fuente obligacional, </w:t>
      </w:r>
      <w:r w:rsidR="00C441F0" w:rsidRPr="00900A5E">
        <w:rPr>
          <w:rFonts w:ascii="Palatino Linotype" w:eastAsia="Palatino Linotype" w:hAnsi="Palatino Linotype" w:cs="Palatino Linotype"/>
          <w:sz w:val="24"/>
          <w:szCs w:val="24"/>
        </w:rPr>
        <w:t xml:space="preserve">relativo a las respuestas, </w:t>
      </w:r>
      <w:r w:rsidR="006B3523" w:rsidRPr="00900A5E">
        <w:rPr>
          <w:rFonts w:ascii="Palatino Linotype" w:eastAsia="Palatino Linotype" w:hAnsi="Palatino Linotype" w:cs="Palatino Linotype"/>
          <w:sz w:val="24"/>
          <w:szCs w:val="24"/>
        </w:rPr>
        <w:t xml:space="preserve">el </w:t>
      </w:r>
      <w:r w:rsidR="006B3523" w:rsidRPr="00900A5E">
        <w:rPr>
          <w:rFonts w:ascii="Palatino Linotype" w:eastAsia="Palatino Linotype" w:hAnsi="Palatino Linotype" w:cs="Palatino Linotype"/>
          <w:b/>
          <w:sz w:val="24"/>
          <w:szCs w:val="24"/>
        </w:rPr>
        <w:t>SUJETO OBLIGADO,</w:t>
      </w:r>
      <w:r w:rsidR="006B3523" w:rsidRPr="00900A5E">
        <w:rPr>
          <w:rFonts w:ascii="Palatino Linotype" w:eastAsia="Palatino Linotype" w:hAnsi="Palatino Linotype" w:cs="Palatino Linotype"/>
          <w:sz w:val="24"/>
          <w:szCs w:val="24"/>
        </w:rPr>
        <w:t xml:space="preserve"> dio respuesta </w:t>
      </w:r>
      <w:r w:rsidR="00C441F0" w:rsidRPr="00900A5E">
        <w:rPr>
          <w:rFonts w:ascii="Palatino Linotype" w:eastAsia="Palatino Linotype" w:hAnsi="Palatino Linotype" w:cs="Palatino Linotype"/>
          <w:sz w:val="24"/>
          <w:szCs w:val="24"/>
        </w:rPr>
        <w:t>a través de la Directora de Recursos Materiales y del Tesorero Municipal; informando la primera que no se generó, poseyó y/o administró la información solicitad</w:t>
      </w:r>
      <w:r w:rsidRPr="00900A5E">
        <w:rPr>
          <w:rFonts w:ascii="Palatino Linotype" w:eastAsia="Palatino Linotype" w:hAnsi="Palatino Linotype" w:cs="Palatino Linotype"/>
          <w:sz w:val="24"/>
          <w:szCs w:val="24"/>
        </w:rPr>
        <w:t>a y el segundo de ellos, informó</w:t>
      </w:r>
      <w:r w:rsidR="00C441F0" w:rsidRPr="00900A5E">
        <w:rPr>
          <w:rFonts w:ascii="Palatino Linotype" w:eastAsia="Palatino Linotype" w:hAnsi="Palatino Linotype" w:cs="Palatino Linotype"/>
          <w:sz w:val="24"/>
          <w:szCs w:val="24"/>
        </w:rPr>
        <w:t xml:space="preserve"> que </w:t>
      </w:r>
      <w:r w:rsidR="006B3523" w:rsidRPr="00900A5E">
        <w:rPr>
          <w:rFonts w:ascii="Palatino Linotype" w:eastAsia="Palatino Linotype" w:hAnsi="Palatino Linotype" w:cs="Palatino Linotype"/>
          <w:sz w:val="24"/>
          <w:szCs w:val="24"/>
        </w:rPr>
        <w:t xml:space="preserve">no se cuenta con registro por el concepto solicitado, sin embargo, remitió el estado analítico del ejercicio del </w:t>
      </w:r>
      <w:r w:rsidR="009A0CB9" w:rsidRPr="00900A5E">
        <w:rPr>
          <w:rFonts w:ascii="Palatino Linotype" w:eastAsia="Palatino Linotype" w:hAnsi="Palatino Linotype" w:cs="Palatino Linotype"/>
          <w:sz w:val="24"/>
          <w:szCs w:val="24"/>
        </w:rPr>
        <w:t>estado analítico del ejercicio del presupuesto de egresos clasificación por objeto del gasto (octubre-diciembre del ejercicio fiscal 2024).</w:t>
      </w:r>
    </w:p>
    <w:p w:rsidR="006B3523" w:rsidRPr="00900A5E" w:rsidRDefault="006B3523" w:rsidP="006B3523">
      <w:pPr>
        <w:spacing w:line="360" w:lineRule="auto"/>
        <w:ind w:right="49"/>
        <w:jc w:val="both"/>
        <w:rPr>
          <w:rFonts w:ascii="Palatino Linotype" w:eastAsia="Palatino Linotype" w:hAnsi="Palatino Linotype" w:cs="Palatino Linotype"/>
          <w:sz w:val="24"/>
          <w:szCs w:val="24"/>
        </w:rPr>
      </w:pPr>
    </w:p>
    <w:p w:rsidR="009A0CB9" w:rsidRPr="00900A5E" w:rsidRDefault="003C7052" w:rsidP="009A0CB9">
      <w:pPr>
        <w:numPr>
          <w:ilvl w:val="0"/>
          <w:numId w:val="3"/>
        </w:numPr>
        <w:spacing w:line="360" w:lineRule="auto"/>
        <w:ind w:left="0" w:right="49" w:firstLine="0"/>
        <w:jc w:val="both"/>
        <w:rPr>
          <w:rFonts w:ascii="Palatino Linotype" w:eastAsia="Palatino Linotype" w:hAnsi="Palatino Linotype" w:cs="Palatino Linotype"/>
          <w:sz w:val="24"/>
          <w:szCs w:val="24"/>
        </w:rPr>
      </w:pPr>
      <w:r w:rsidRPr="00900A5E">
        <w:rPr>
          <w:rFonts w:ascii="Palatino Linotype" w:eastAsia="Palatino Linotype" w:hAnsi="Palatino Linotype" w:cs="Palatino Linotype"/>
          <w:sz w:val="24"/>
          <w:szCs w:val="24"/>
        </w:rPr>
        <w:t>No obstante de que se advierte que se pronunciaron los servidores públicos habilitados para tal efecto,</w:t>
      </w:r>
      <w:r w:rsidR="006B3523" w:rsidRPr="00900A5E">
        <w:rPr>
          <w:rFonts w:ascii="Palatino Linotype" w:eastAsia="Palatino Linotype" w:hAnsi="Palatino Linotype" w:cs="Palatino Linotype"/>
          <w:sz w:val="24"/>
          <w:szCs w:val="24"/>
        </w:rPr>
        <w:t xml:space="preserve"> este Órgano Resolutor, advierte que el estado analítico remitido en respuesta no da cuenta de lo solicitado, ya que</w:t>
      </w:r>
      <w:r w:rsidR="009A0CB9" w:rsidRPr="00900A5E">
        <w:rPr>
          <w:rFonts w:ascii="Palatino Linotype" w:eastAsia="Palatino Linotype" w:hAnsi="Palatino Linotype" w:cs="Palatino Linotype"/>
          <w:sz w:val="24"/>
          <w:szCs w:val="24"/>
        </w:rPr>
        <w:t xml:space="preserve"> el </w:t>
      </w:r>
      <w:r w:rsidR="009A0CB9" w:rsidRPr="00900A5E">
        <w:rPr>
          <w:rFonts w:ascii="Palatino Linotype" w:eastAsia="Palatino Linotype" w:hAnsi="Palatino Linotype" w:cs="Palatino Linotype"/>
          <w:b/>
          <w:sz w:val="24"/>
          <w:szCs w:val="24"/>
        </w:rPr>
        <w:t xml:space="preserve">PARTICULAR, </w:t>
      </w:r>
      <w:r w:rsidR="009A0CB9" w:rsidRPr="00900A5E">
        <w:rPr>
          <w:rFonts w:ascii="Palatino Linotype" w:eastAsia="Palatino Linotype" w:hAnsi="Palatino Linotype" w:cs="Palatino Linotype"/>
          <w:sz w:val="24"/>
          <w:szCs w:val="24"/>
        </w:rPr>
        <w:t xml:space="preserve">fue claro en solicitar </w:t>
      </w:r>
      <w:r w:rsidR="006B3523" w:rsidRPr="00900A5E">
        <w:rPr>
          <w:rFonts w:ascii="Palatino Linotype" w:eastAsia="Palatino Linotype" w:hAnsi="Palatino Linotype" w:cs="Palatino Linotype"/>
          <w:sz w:val="24"/>
          <w:szCs w:val="24"/>
        </w:rPr>
        <w:t xml:space="preserve"> </w:t>
      </w:r>
      <w:r w:rsidR="009A0CB9" w:rsidRPr="00900A5E">
        <w:rPr>
          <w:rFonts w:ascii="Palatino Linotype" w:eastAsia="Palatino Linotype" w:hAnsi="Palatino Linotype" w:cs="Palatino Linotype"/>
          <w:sz w:val="24"/>
          <w:szCs w:val="24"/>
        </w:rPr>
        <w:t>contrato, factura y fotografía que dé cuenta de dichas compras/rentas, de los adornos navideños (árboles, nacimientos, luces, piñatas) en el marco de las fiestas decembrinas del año dos mil veinticuatro.</w:t>
      </w:r>
    </w:p>
    <w:p w:rsidR="009A0CB9" w:rsidRPr="00900A5E" w:rsidRDefault="009A0CB9" w:rsidP="009A0CB9">
      <w:pPr>
        <w:spacing w:line="360" w:lineRule="auto"/>
        <w:ind w:right="49"/>
        <w:jc w:val="both"/>
        <w:rPr>
          <w:rFonts w:ascii="Palatino Linotype" w:eastAsia="Palatino Linotype" w:hAnsi="Palatino Linotype" w:cs="Palatino Linotype"/>
          <w:sz w:val="24"/>
          <w:szCs w:val="24"/>
        </w:rPr>
      </w:pPr>
    </w:p>
    <w:p w:rsidR="009A0CB9" w:rsidRPr="00900A5E" w:rsidRDefault="009A0CB9" w:rsidP="006B3523">
      <w:pPr>
        <w:numPr>
          <w:ilvl w:val="0"/>
          <w:numId w:val="3"/>
        </w:numPr>
        <w:spacing w:line="360" w:lineRule="auto"/>
        <w:ind w:left="0" w:right="49" w:firstLine="0"/>
        <w:jc w:val="both"/>
        <w:rPr>
          <w:rFonts w:ascii="Palatino Linotype" w:eastAsia="Palatino Linotype" w:hAnsi="Palatino Linotype" w:cs="Palatino Linotype"/>
          <w:sz w:val="24"/>
          <w:szCs w:val="24"/>
        </w:rPr>
      </w:pPr>
      <w:r w:rsidRPr="00900A5E">
        <w:rPr>
          <w:rFonts w:ascii="Palatino Linotype" w:eastAsia="Palatino Linotype" w:hAnsi="Palatino Linotype" w:cs="Palatino Linotype"/>
          <w:sz w:val="24"/>
          <w:szCs w:val="24"/>
        </w:rPr>
        <w:t>En</w:t>
      </w:r>
      <w:r w:rsidR="003C7052" w:rsidRPr="00900A5E">
        <w:rPr>
          <w:rFonts w:ascii="Palatino Linotype" w:eastAsia="Palatino Linotype" w:hAnsi="Palatino Linotype" w:cs="Palatino Linotype"/>
          <w:sz w:val="24"/>
          <w:szCs w:val="24"/>
        </w:rPr>
        <w:t xml:space="preserve"> ese orden de ideas y derivado de que se informó que no se cuenta con la información solicitada por parte de la Directora de Recursos Materiales que forma parte de la Dirección General de Administración y del Tesorero Municipal, se arriba a la conclusión de no tener por colmada la solicitud de información que nos ocupa, ya que, atento a la existencia de la información  solicitada, el </w:t>
      </w:r>
      <w:r w:rsidR="003C7052" w:rsidRPr="00900A5E">
        <w:rPr>
          <w:rFonts w:ascii="Palatino Linotype" w:eastAsia="Palatino Linotype" w:hAnsi="Palatino Linotype" w:cs="Palatino Linotype"/>
          <w:b/>
          <w:sz w:val="24"/>
          <w:szCs w:val="24"/>
        </w:rPr>
        <w:t xml:space="preserve">SUJETO OBLIGADO, </w:t>
      </w:r>
      <w:r w:rsidR="003C7052" w:rsidRPr="00900A5E">
        <w:rPr>
          <w:rFonts w:ascii="Palatino Linotype" w:eastAsia="Palatino Linotype" w:hAnsi="Palatino Linotype" w:cs="Palatino Linotype"/>
          <w:sz w:val="24"/>
          <w:szCs w:val="24"/>
        </w:rPr>
        <w:t>debe contar con la misma; lo anterior, en atención al deber de documentar al que se encuentran constreñidos los Sujetos Obligados.</w:t>
      </w:r>
    </w:p>
    <w:p w:rsidR="003C7052" w:rsidRPr="00900A5E" w:rsidRDefault="003C7052" w:rsidP="003C7052">
      <w:pPr>
        <w:spacing w:line="360" w:lineRule="auto"/>
        <w:ind w:right="49"/>
        <w:jc w:val="both"/>
        <w:rPr>
          <w:rFonts w:ascii="Palatino Linotype" w:eastAsia="Palatino Linotype" w:hAnsi="Palatino Linotype" w:cs="Palatino Linotype"/>
          <w:sz w:val="24"/>
          <w:szCs w:val="24"/>
        </w:rPr>
      </w:pPr>
    </w:p>
    <w:p w:rsidR="003C7052" w:rsidRPr="00900A5E" w:rsidRDefault="003C7052" w:rsidP="003C7052">
      <w:pPr>
        <w:numPr>
          <w:ilvl w:val="0"/>
          <w:numId w:val="3"/>
        </w:numPr>
        <w:spacing w:line="360" w:lineRule="auto"/>
        <w:ind w:left="0" w:right="49" w:firstLine="0"/>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t xml:space="preserve">Al respecto de lo anterior, resulta necesario referir que, el artículo 6° apartado A fracción I, de la Constitución Política de los Estados Unidos Mexicanos, artículo 5 fracción I de la Constitución Política del Estado Libre y Soberano de México y el artículo 18 de la Ley de </w:t>
      </w:r>
      <w:r w:rsidRPr="00900A5E">
        <w:rPr>
          <w:rFonts w:ascii="Palatino Linotype" w:eastAsia="Palatino Linotype" w:hAnsi="Palatino Linotype" w:cs="Palatino Linotype"/>
          <w:color w:val="000000"/>
          <w:sz w:val="24"/>
          <w:szCs w:val="24"/>
        </w:rPr>
        <w:lastRenderedPageBreak/>
        <w:t>Transparencia y Acceso a la Información Pública del Estado de México y Municipios, guardan una estrecha relación, puesto que los ordenamientos citados concurren refiriendo que los Sujetos Obligados deberán documentar todo acto que se derive del ejercicio de sus facultades, competencias o funciones, considerando desde su origen la eventual publicidad y reutilización de la información que generen, posean o administren.</w:t>
      </w:r>
    </w:p>
    <w:p w:rsidR="003C7052" w:rsidRPr="00900A5E" w:rsidRDefault="003C7052" w:rsidP="003C7052">
      <w:pPr>
        <w:spacing w:line="360" w:lineRule="auto"/>
        <w:ind w:right="49"/>
        <w:jc w:val="both"/>
        <w:rPr>
          <w:rFonts w:ascii="Palatino Linotype" w:eastAsia="Palatino Linotype" w:hAnsi="Palatino Linotype" w:cs="Palatino Linotype"/>
          <w:color w:val="000000"/>
          <w:sz w:val="24"/>
          <w:szCs w:val="24"/>
        </w:rPr>
      </w:pPr>
    </w:p>
    <w:p w:rsidR="003C7052" w:rsidRPr="00900A5E" w:rsidRDefault="003C7052" w:rsidP="003C7052">
      <w:pPr>
        <w:numPr>
          <w:ilvl w:val="0"/>
          <w:numId w:val="3"/>
        </w:numPr>
        <w:spacing w:line="360" w:lineRule="auto"/>
        <w:ind w:left="0" w:right="49" w:firstLine="0"/>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t>Además, debemos tomar en cuenta los artículos 4 y 12, de la Ley de Transparencia y Acceso a la Información Pública del Estado de México y Municipios, los cuales establecen lo siguiente:</w:t>
      </w:r>
    </w:p>
    <w:p w:rsidR="003C7052" w:rsidRPr="00900A5E" w:rsidRDefault="003C7052" w:rsidP="003C7052">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sz w:val="24"/>
          <w:szCs w:val="24"/>
        </w:rPr>
      </w:pPr>
      <w:r w:rsidRPr="00900A5E">
        <w:rPr>
          <w:rFonts w:ascii="Palatino Linotype" w:eastAsia="Palatino Linotype" w:hAnsi="Palatino Linotype" w:cs="Palatino Linotype"/>
          <w:b/>
          <w:i/>
          <w:color w:val="000000"/>
          <w:sz w:val="24"/>
          <w:szCs w:val="24"/>
        </w:rPr>
        <w:t>Artículo 4.</w:t>
      </w:r>
      <w:r w:rsidRPr="00900A5E">
        <w:rPr>
          <w:rFonts w:ascii="Palatino Linotype" w:eastAsia="Palatino Linotype" w:hAnsi="Palatino Linotype" w:cs="Palatino Linotype"/>
          <w:i/>
          <w:color w:val="000000"/>
          <w:sz w:val="24"/>
          <w:szCs w:val="24"/>
        </w:rPr>
        <w:t xml:space="preserve"> El derecho humano de acceso a la información pública es la prerrogativa de las personas para buscar, difundir, investigar, recabar, recibir y solicitar información pública, sin necesidad de acreditar personalidad ni interés jurídico.</w:t>
      </w:r>
    </w:p>
    <w:p w:rsidR="003C7052" w:rsidRPr="00900A5E" w:rsidRDefault="003C7052" w:rsidP="003C7052">
      <w:pPr>
        <w:spacing w:line="360" w:lineRule="auto"/>
        <w:ind w:left="567" w:right="49"/>
        <w:jc w:val="both"/>
        <w:rPr>
          <w:rFonts w:ascii="Palatino Linotype" w:eastAsia="Palatino Linotype" w:hAnsi="Palatino Linotype" w:cs="Palatino Linotype"/>
          <w:i/>
          <w:color w:val="000000"/>
          <w:sz w:val="24"/>
          <w:szCs w:val="24"/>
        </w:rPr>
      </w:pPr>
    </w:p>
    <w:p w:rsidR="003C7052" w:rsidRPr="00900A5E" w:rsidRDefault="003C7052" w:rsidP="003C7052">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sz w:val="24"/>
          <w:szCs w:val="24"/>
        </w:rPr>
      </w:pPr>
      <w:r w:rsidRPr="00900A5E">
        <w:rPr>
          <w:rFonts w:ascii="Palatino Linotype" w:eastAsia="Palatino Linotype" w:hAnsi="Palatino Linotype" w:cs="Palatino Linotype"/>
          <w:i/>
          <w:color w:val="000000"/>
          <w:sz w:val="24"/>
          <w:szCs w:val="24"/>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3C7052" w:rsidRPr="00900A5E" w:rsidRDefault="003C7052" w:rsidP="003C7052">
      <w:pPr>
        <w:spacing w:line="360" w:lineRule="auto"/>
        <w:ind w:left="567" w:right="49"/>
        <w:jc w:val="both"/>
        <w:rPr>
          <w:rFonts w:ascii="Palatino Linotype" w:eastAsia="Palatino Linotype" w:hAnsi="Palatino Linotype" w:cs="Palatino Linotype"/>
          <w:i/>
          <w:color w:val="000000"/>
          <w:sz w:val="24"/>
          <w:szCs w:val="24"/>
        </w:rPr>
      </w:pPr>
    </w:p>
    <w:p w:rsidR="003C7052" w:rsidRPr="00900A5E" w:rsidRDefault="003C7052" w:rsidP="003C7052">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sz w:val="24"/>
          <w:szCs w:val="24"/>
        </w:rPr>
      </w:pPr>
      <w:r w:rsidRPr="00900A5E">
        <w:rPr>
          <w:rFonts w:ascii="Palatino Linotype" w:eastAsia="Palatino Linotype" w:hAnsi="Palatino Linotype" w:cs="Palatino Linotype"/>
          <w:i/>
          <w:color w:val="000000"/>
          <w:sz w:val="24"/>
          <w:szCs w:val="24"/>
        </w:rPr>
        <w:lastRenderedPageBreak/>
        <w:t>Los sujetos obligados deben poner en práctica, políticas y programas de acceso a la información que se apeguen a criterios de publicidad, veracidad, oportunidad, precisión y suficiencia en beneficio de los solicitantes.</w:t>
      </w:r>
    </w:p>
    <w:p w:rsidR="003C7052" w:rsidRPr="00900A5E" w:rsidRDefault="003C7052" w:rsidP="003C7052">
      <w:pPr>
        <w:spacing w:line="360" w:lineRule="auto"/>
        <w:ind w:left="567" w:right="49"/>
        <w:jc w:val="both"/>
        <w:rPr>
          <w:rFonts w:ascii="Palatino Linotype" w:eastAsia="Palatino Linotype" w:hAnsi="Palatino Linotype" w:cs="Palatino Linotype"/>
          <w:i/>
          <w:color w:val="000000"/>
          <w:sz w:val="24"/>
          <w:szCs w:val="24"/>
        </w:rPr>
      </w:pPr>
    </w:p>
    <w:p w:rsidR="003C7052" w:rsidRPr="00900A5E" w:rsidRDefault="003C7052" w:rsidP="003C7052">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sz w:val="24"/>
          <w:szCs w:val="24"/>
        </w:rPr>
      </w:pPr>
      <w:r w:rsidRPr="00900A5E">
        <w:rPr>
          <w:rFonts w:ascii="Palatino Linotype" w:eastAsia="Palatino Linotype" w:hAnsi="Palatino Linotype" w:cs="Palatino Linotype"/>
          <w:b/>
          <w:i/>
          <w:color w:val="000000"/>
          <w:sz w:val="24"/>
          <w:szCs w:val="24"/>
        </w:rPr>
        <w:t>Artículo 12.</w:t>
      </w:r>
      <w:r w:rsidRPr="00900A5E">
        <w:rPr>
          <w:rFonts w:ascii="Palatino Linotype" w:eastAsia="Palatino Linotype" w:hAnsi="Palatino Linotype" w:cs="Palatino Linotype"/>
          <w:i/>
          <w:color w:val="000000"/>
          <w:sz w:val="24"/>
          <w:szCs w:val="24"/>
        </w:rPr>
        <w:t xml:space="preserve"> Quienes generen, recopilen, administren, manejen, procesen, archiven o conserven información pública serán responsables de la misma en los términos de las disposiciones jurídicas aplicables. </w:t>
      </w:r>
    </w:p>
    <w:p w:rsidR="003C7052" w:rsidRPr="00900A5E" w:rsidRDefault="003C7052" w:rsidP="003C7052">
      <w:pPr>
        <w:spacing w:line="360" w:lineRule="auto"/>
        <w:ind w:left="567" w:right="49"/>
        <w:jc w:val="both"/>
        <w:rPr>
          <w:rFonts w:ascii="Palatino Linotype" w:eastAsia="Palatino Linotype" w:hAnsi="Palatino Linotype" w:cs="Palatino Linotype"/>
          <w:i/>
          <w:color w:val="000000"/>
          <w:sz w:val="24"/>
          <w:szCs w:val="24"/>
        </w:rPr>
      </w:pPr>
    </w:p>
    <w:p w:rsidR="003C7052" w:rsidRPr="00900A5E" w:rsidRDefault="003C7052" w:rsidP="003C7052">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sz w:val="24"/>
          <w:szCs w:val="24"/>
        </w:rPr>
      </w:pPr>
      <w:r w:rsidRPr="00900A5E">
        <w:rPr>
          <w:rFonts w:ascii="Palatino Linotype" w:eastAsia="Palatino Linotype" w:hAnsi="Palatino Linotype" w:cs="Palatino Linotype"/>
          <w:i/>
          <w:color w:val="000000"/>
          <w:sz w:val="24"/>
          <w:szCs w:val="24"/>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3C7052" w:rsidRPr="00900A5E" w:rsidRDefault="003C7052" w:rsidP="003C7052">
      <w:pPr>
        <w:spacing w:line="360" w:lineRule="auto"/>
        <w:ind w:right="49"/>
        <w:jc w:val="both"/>
        <w:rPr>
          <w:rFonts w:ascii="Palatino Linotype" w:eastAsia="Palatino Linotype" w:hAnsi="Palatino Linotype" w:cs="Palatino Linotype"/>
          <w:color w:val="000000"/>
          <w:sz w:val="24"/>
          <w:szCs w:val="24"/>
        </w:rPr>
      </w:pPr>
    </w:p>
    <w:p w:rsidR="003C7052" w:rsidRPr="00900A5E" w:rsidRDefault="003C7052" w:rsidP="003C7052">
      <w:pPr>
        <w:numPr>
          <w:ilvl w:val="0"/>
          <w:numId w:val="3"/>
        </w:numPr>
        <w:spacing w:line="360" w:lineRule="auto"/>
        <w:ind w:left="0" w:right="49" w:firstLine="0"/>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3C7052" w:rsidRPr="00900A5E" w:rsidRDefault="003C7052" w:rsidP="003C7052">
      <w:pPr>
        <w:spacing w:line="360" w:lineRule="auto"/>
        <w:ind w:right="49"/>
        <w:jc w:val="both"/>
        <w:rPr>
          <w:rFonts w:ascii="Palatino Linotype" w:eastAsia="Palatino Linotype" w:hAnsi="Palatino Linotype" w:cs="Palatino Linotype"/>
          <w:color w:val="000000"/>
          <w:sz w:val="24"/>
          <w:szCs w:val="24"/>
        </w:rPr>
      </w:pPr>
    </w:p>
    <w:p w:rsidR="003C7052" w:rsidRPr="00900A5E" w:rsidRDefault="003C7052" w:rsidP="003C7052">
      <w:pPr>
        <w:numPr>
          <w:ilvl w:val="0"/>
          <w:numId w:val="3"/>
        </w:numPr>
        <w:spacing w:line="360" w:lineRule="auto"/>
        <w:ind w:left="0" w:right="49" w:firstLine="0"/>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lastRenderedPageBreak/>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3C7052" w:rsidRDefault="003C7052" w:rsidP="003C7052">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sz w:val="24"/>
          <w:szCs w:val="24"/>
        </w:rPr>
      </w:pPr>
      <w:r w:rsidRPr="00900A5E">
        <w:rPr>
          <w:rFonts w:ascii="Palatino Linotype" w:eastAsia="Palatino Linotype" w:hAnsi="Palatino Linotype" w:cs="Palatino Linotype"/>
          <w:b/>
          <w:i/>
          <w:color w:val="000000"/>
          <w:sz w:val="24"/>
          <w:szCs w:val="24"/>
        </w:rPr>
        <w:t>ACCESO A LA INFORMACIÓN. IMPLICACIÓN DEL PRINCIPIO DE MÁXIMA PUBLICIDAD EN EL DERECHO FUNDAMENTAL RELATIVO.</w:t>
      </w:r>
      <w:r w:rsidRPr="00900A5E">
        <w:rPr>
          <w:rFonts w:ascii="Palatino Linotype" w:eastAsia="Palatino Linotype" w:hAnsi="Palatino Linotype" w:cs="Palatino Linotype"/>
          <w:i/>
          <w:color w:val="000000"/>
          <w:sz w:val="24"/>
          <w:szCs w:val="24"/>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w:t>
      </w:r>
      <w:r w:rsidRPr="00900A5E">
        <w:rPr>
          <w:rFonts w:ascii="Palatino Linotype" w:eastAsia="Palatino Linotype" w:hAnsi="Palatino Linotype" w:cs="Palatino Linotype"/>
          <w:i/>
          <w:color w:val="000000"/>
          <w:sz w:val="24"/>
          <w:szCs w:val="24"/>
        </w:rPr>
        <w:lastRenderedPageBreak/>
        <w:t xml:space="preserve">determinadas circunstancias, se podrá clasificar como confidencial o reservada, esto es, considerarla con una calidad diversa. </w:t>
      </w:r>
    </w:p>
    <w:p w:rsidR="00900A5E" w:rsidRPr="00900A5E" w:rsidRDefault="00900A5E" w:rsidP="003C7052">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sz w:val="24"/>
          <w:szCs w:val="24"/>
        </w:rPr>
      </w:pPr>
    </w:p>
    <w:p w:rsidR="003C7052" w:rsidRPr="00900A5E" w:rsidRDefault="003C7052" w:rsidP="003C7052">
      <w:pPr>
        <w:numPr>
          <w:ilvl w:val="0"/>
          <w:numId w:val="3"/>
        </w:numPr>
        <w:spacing w:line="360" w:lineRule="auto"/>
        <w:ind w:left="0" w:right="49" w:firstLine="0"/>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t xml:space="preserve">Como se ha señalado, los Sujetos Obligados deberán proporcionar toda la información que se encuentre en su posesión bajo los estándares más altos de transparencia y máxima publicidad. </w:t>
      </w:r>
    </w:p>
    <w:p w:rsidR="003C7052" w:rsidRPr="00900A5E" w:rsidRDefault="003C7052" w:rsidP="003C7052">
      <w:pPr>
        <w:spacing w:line="360" w:lineRule="auto"/>
        <w:ind w:right="49"/>
        <w:jc w:val="both"/>
        <w:rPr>
          <w:rFonts w:ascii="Palatino Linotype" w:eastAsia="Palatino Linotype" w:hAnsi="Palatino Linotype" w:cs="Palatino Linotype"/>
          <w:color w:val="000000"/>
          <w:sz w:val="24"/>
          <w:szCs w:val="24"/>
        </w:rPr>
      </w:pPr>
    </w:p>
    <w:p w:rsidR="003C7052" w:rsidRPr="00900A5E" w:rsidRDefault="003C7052" w:rsidP="003C7052">
      <w:pPr>
        <w:numPr>
          <w:ilvl w:val="0"/>
          <w:numId w:val="3"/>
        </w:numPr>
        <w:spacing w:line="360" w:lineRule="auto"/>
        <w:ind w:left="0" w:right="49" w:firstLine="0"/>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t>Es pertinente enfatizar lo que respecto al derecho de acceso a la información pública, refiere el artículo 6° de la Constitución Política de los Estados Unidos Mexicanos, que en su parte conducente señala:</w:t>
      </w:r>
    </w:p>
    <w:p w:rsidR="003C7052" w:rsidRPr="00900A5E" w:rsidRDefault="003C7052" w:rsidP="003C7052">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sz w:val="24"/>
          <w:szCs w:val="24"/>
        </w:rPr>
      </w:pPr>
      <w:r w:rsidRPr="00900A5E">
        <w:rPr>
          <w:rFonts w:ascii="Palatino Linotype" w:eastAsia="Palatino Linotype" w:hAnsi="Palatino Linotype" w:cs="Palatino Linotype"/>
          <w:b/>
          <w:i/>
          <w:color w:val="000000"/>
          <w:sz w:val="24"/>
          <w:szCs w:val="24"/>
        </w:rPr>
        <w:t>“Artículo 6o.</w:t>
      </w:r>
      <w:r w:rsidRPr="00900A5E">
        <w:rPr>
          <w:rFonts w:ascii="Palatino Linotype" w:eastAsia="Palatino Linotype" w:hAnsi="Palatino Linotype" w:cs="Palatino Linotype"/>
          <w:i/>
          <w:color w:val="000000"/>
          <w:sz w:val="24"/>
          <w:szCs w:val="24"/>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rsidR="003C7052" w:rsidRPr="00900A5E" w:rsidRDefault="003C7052" w:rsidP="003C7052">
      <w:pPr>
        <w:spacing w:line="360" w:lineRule="auto"/>
        <w:ind w:left="567" w:right="49"/>
        <w:jc w:val="both"/>
        <w:rPr>
          <w:rFonts w:ascii="Palatino Linotype" w:eastAsia="Palatino Linotype" w:hAnsi="Palatino Linotype" w:cs="Palatino Linotype"/>
          <w:i/>
          <w:color w:val="000000"/>
          <w:sz w:val="24"/>
          <w:szCs w:val="24"/>
        </w:rPr>
      </w:pPr>
    </w:p>
    <w:p w:rsidR="003C7052" w:rsidRPr="00900A5E" w:rsidRDefault="003C7052" w:rsidP="003C7052">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sz w:val="24"/>
          <w:szCs w:val="24"/>
        </w:rPr>
      </w:pPr>
      <w:r w:rsidRPr="00900A5E">
        <w:rPr>
          <w:rFonts w:ascii="Palatino Linotype" w:eastAsia="Palatino Linotype" w:hAnsi="Palatino Linotype" w:cs="Palatino Linotype"/>
          <w:i/>
          <w:color w:val="000000"/>
          <w:sz w:val="24"/>
          <w:szCs w:val="24"/>
        </w:rPr>
        <w:t>Toda persona tiene derecho al libre acceso a información plural y oportuna, así como a buscar, recibir y difundir información e ideas de toda índole por cualquier medio de expresión.</w:t>
      </w:r>
    </w:p>
    <w:p w:rsidR="003C7052" w:rsidRPr="00900A5E" w:rsidRDefault="003C7052" w:rsidP="003C7052">
      <w:pPr>
        <w:spacing w:line="360" w:lineRule="auto"/>
        <w:ind w:left="567" w:right="49"/>
        <w:jc w:val="both"/>
        <w:rPr>
          <w:rFonts w:ascii="Palatino Linotype" w:eastAsia="Palatino Linotype" w:hAnsi="Palatino Linotype" w:cs="Palatino Linotype"/>
          <w:i/>
          <w:color w:val="000000"/>
          <w:sz w:val="24"/>
          <w:szCs w:val="24"/>
        </w:rPr>
      </w:pPr>
    </w:p>
    <w:p w:rsidR="003C7052" w:rsidRPr="00900A5E" w:rsidRDefault="003C7052" w:rsidP="003C7052">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sz w:val="24"/>
          <w:szCs w:val="24"/>
        </w:rPr>
      </w:pPr>
      <w:r w:rsidRPr="00900A5E">
        <w:rPr>
          <w:rFonts w:ascii="Palatino Linotype" w:eastAsia="Palatino Linotype" w:hAnsi="Palatino Linotype" w:cs="Palatino Linotype"/>
          <w:i/>
          <w:color w:val="000000"/>
          <w:sz w:val="24"/>
          <w:szCs w:val="24"/>
        </w:rPr>
        <w:t>Para efectos de lo dispuesto en el presente artículo se observará lo siguiente:</w:t>
      </w:r>
    </w:p>
    <w:p w:rsidR="003C7052" w:rsidRPr="00900A5E" w:rsidRDefault="003C7052" w:rsidP="003C7052">
      <w:pPr>
        <w:spacing w:line="360" w:lineRule="auto"/>
        <w:ind w:left="567" w:right="49"/>
        <w:jc w:val="both"/>
        <w:rPr>
          <w:rFonts w:ascii="Palatino Linotype" w:eastAsia="Palatino Linotype" w:hAnsi="Palatino Linotype" w:cs="Palatino Linotype"/>
          <w:i/>
          <w:color w:val="000000"/>
          <w:sz w:val="24"/>
          <w:szCs w:val="24"/>
        </w:rPr>
      </w:pPr>
    </w:p>
    <w:p w:rsidR="003C7052" w:rsidRPr="00900A5E" w:rsidRDefault="003C7052" w:rsidP="003C7052">
      <w:pPr>
        <w:numPr>
          <w:ilvl w:val="4"/>
          <w:numId w:val="10"/>
        </w:numPr>
        <w:pBdr>
          <w:top w:val="nil"/>
          <w:left w:val="nil"/>
          <w:bottom w:val="nil"/>
          <w:right w:val="nil"/>
          <w:between w:val="nil"/>
        </w:pBdr>
        <w:spacing w:line="360" w:lineRule="auto"/>
        <w:ind w:left="567" w:right="49" w:firstLine="0"/>
        <w:jc w:val="both"/>
        <w:rPr>
          <w:rFonts w:ascii="Palatino Linotype" w:eastAsia="Palatino Linotype" w:hAnsi="Palatino Linotype" w:cs="Palatino Linotype"/>
          <w:i/>
          <w:color w:val="000000"/>
          <w:sz w:val="24"/>
          <w:szCs w:val="24"/>
        </w:rPr>
      </w:pPr>
      <w:r w:rsidRPr="00900A5E">
        <w:rPr>
          <w:rFonts w:ascii="Palatino Linotype" w:eastAsia="Palatino Linotype" w:hAnsi="Palatino Linotype" w:cs="Palatino Linotype"/>
          <w:i/>
          <w:color w:val="000000"/>
          <w:sz w:val="24"/>
          <w:szCs w:val="24"/>
        </w:rPr>
        <w:t>Para el ejercicio del derecho de acceso a la información, la Federación, los Estados y el Distrito Federal, en el ámbito de sus respectivas competencias, se regirán por los siguientes principios y bases:</w:t>
      </w:r>
    </w:p>
    <w:p w:rsidR="003C7052" w:rsidRPr="00900A5E" w:rsidRDefault="003C7052" w:rsidP="003C7052">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sz w:val="24"/>
          <w:szCs w:val="24"/>
        </w:rPr>
      </w:pPr>
      <w:r w:rsidRPr="00900A5E">
        <w:rPr>
          <w:rFonts w:ascii="Palatino Linotype" w:eastAsia="Palatino Linotype" w:hAnsi="Palatino Linotype" w:cs="Palatino Linotype"/>
          <w:i/>
          <w:color w:val="000000"/>
          <w:sz w:val="24"/>
          <w:szCs w:val="24"/>
        </w:rPr>
        <w:lastRenderedPageBreak/>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3C7052" w:rsidRPr="00900A5E" w:rsidRDefault="003C7052" w:rsidP="003C7052">
      <w:pPr>
        <w:spacing w:line="360" w:lineRule="auto"/>
        <w:ind w:left="567" w:right="49"/>
        <w:jc w:val="both"/>
        <w:rPr>
          <w:rFonts w:ascii="Palatino Linotype" w:eastAsia="Palatino Linotype" w:hAnsi="Palatino Linotype" w:cs="Palatino Linotype"/>
          <w:i/>
          <w:color w:val="000000"/>
          <w:sz w:val="24"/>
          <w:szCs w:val="24"/>
        </w:rPr>
      </w:pPr>
    </w:p>
    <w:p w:rsidR="003C7052" w:rsidRPr="00900A5E" w:rsidRDefault="003C7052" w:rsidP="003C7052">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sz w:val="24"/>
          <w:szCs w:val="24"/>
        </w:rPr>
      </w:pPr>
      <w:r w:rsidRPr="00900A5E">
        <w:rPr>
          <w:rFonts w:ascii="Palatino Linotype" w:eastAsia="Palatino Linotype" w:hAnsi="Palatino Linotype" w:cs="Palatino Linotype"/>
          <w:i/>
          <w:color w:val="000000"/>
          <w:sz w:val="24"/>
          <w:szCs w:val="24"/>
        </w:rPr>
        <w:t>La información que se refiere a la vida privada y los datos personales será protegida en los términos y con las excepciones que fijen las leyes.</w:t>
      </w:r>
    </w:p>
    <w:p w:rsidR="003C7052" w:rsidRPr="00900A5E" w:rsidRDefault="003C7052" w:rsidP="003C7052">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sz w:val="24"/>
          <w:szCs w:val="24"/>
        </w:rPr>
      </w:pPr>
      <w:r w:rsidRPr="00900A5E">
        <w:rPr>
          <w:rFonts w:ascii="Palatino Linotype" w:eastAsia="Palatino Linotype" w:hAnsi="Palatino Linotype" w:cs="Palatino Linotype"/>
          <w:i/>
          <w:color w:val="000000"/>
          <w:sz w:val="24"/>
          <w:szCs w:val="24"/>
        </w:rPr>
        <w:t>Toda persona, sin necesidad de acreditar interés alguno o justificar su utilización, tendrá acceso gratuito a la información pública, a sus datos personales o a la rectificación de éstos.</w:t>
      </w:r>
    </w:p>
    <w:p w:rsidR="003C7052" w:rsidRPr="00900A5E" w:rsidRDefault="003C7052" w:rsidP="003C7052">
      <w:pPr>
        <w:spacing w:line="360" w:lineRule="auto"/>
        <w:ind w:left="567" w:right="49"/>
        <w:jc w:val="both"/>
        <w:rPr>
          <w:rFonts w:ascii="Palatino Linotype" w:eastAsia="Palatino Linotype" w:hAnsi="Palatino Linotype" w:cs="Palatino Linotype"/>
          <w:i/>
          <w:color w:val="000000"/>
          <w:sz w:val="24"/>
          <w:szCs w:val="24"/>
        </w:rPr>
      </w:pPr>
    </w:p>
    <w:p w:rsidR="003C7052" w:rsidRPr="00900A5E" w:rsidRDefault="003C7052" w:rsidP="003C7052">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sz w:val="24"/>
          <w:szCs w:val="24"/>
        </w:rPr>
      </w:pPr>
      <w:r w:rsidRPr="00900A5E">
        <w:rPr>
          <w:rFonts w:ascii="Palatino Linotype" w:eastAsia="Palatino Linotype" w:hAnsi="Palatino Linotype" w:cs="Palatino Linotype"/>
          <w:i/>
          <w:color w:val="000000"/>
          <w:sz w:val="24"/>
          <w:szCs w:val="24"/>
        </w:rPr>
        <w:t>Se establecerán mecanismos de acceso a la información y procedimientos de revisión expeditos que se sustanciarán ante los organismos autónomos especializados e imparciales que establece esta Constitución.</w:t>
      </w:r>
    </w:p>
    <w:p w:rsidR="003C7052" w:rsidRPr="00900A5E" w:rsidRDefault="003C7052" w:rsidP="003C7052">
      <w:pPr>
        <w:spacing w:line="360" w:lineRule="auto"/>
        <w:ind w:left="567" w:right="49"/>
        <w:jc w:val="both"/>
        <w:rPr>
          <w:rFonts w:ascii="Palatino Linotype" w:eastAsia="Palatino Linotype" w:hAnsi="Palatino Linotype" w:cs="Palatino Linotype"/>
          <w:i/>
          <w:color w:val="000000"/>
          <w:sz w:val="24"/>
          <w:szCs w:val="24"/>
        </w:rPr>
      </w:pPr>
    </w:p>
    <w:p w:rsidR="003C7052" w:rsidRPr="00900A5E" w:rsidRDefault="003C7052" w:rsidP="003C7052">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sz w:val="24"/>
          <w:szCs w:val="24"/>
        </w:rPr>
      </w:pPr>
      <w:r w:rsidRPr="00900A5E">
        <w:rPr>
          <w:rFonts w:ascii="Palatino Linotype" w:eastAsia="Palatino Linotype" w:hAnsi="Palatino Linotype" w:cs="Palatino Linotype"/>
          <w:i/>
          <w:color w:val="000000"/>
          <w:sz w:val="24"/>
          <w:szCs w:val="24"/>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rsidR="003C7052" w:rsidRPr="00900A5E" w:rsidRDefault="003C7052" w:rsidP="003C7052">
      <w:pPr>
        <w:spacing w:line="360" w:lineRule="auto"/>
        <w:ind w:left="567" w:right="49"/>
        <w:jc w:val="both"/>
        <w:rPr>
          <w:rFonts w:ascii="Palatino Linotype" w:eastAsia="Palatino Linotype" w:hAnsi="Palatino Linotype" w:cs="Palatino Linotype"/>
          <w:i/>
          <w:color w:val="000000"/>
          <w:sz w:val="24"/>
          <w:szCs w:val="24"/>
        </w:rPr>
      </w:pPr>
    </w:p>
    <w:p w:rsidR="003C7052" w:rsidRPr="00900A5E" w:rsidRDefault="003C7052" w:rsidP="003C7052">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sz w:val="24"/>
          <w:szCs w:val="24"/>
        </w:rPr>
      </w:pPr>
      <w:r w:rsidRPr="00900A5E">
        <w:rPr>
          <w:rFonts w:ascii="Palatino Linotype" w:eastAsia="Palatino Linotype" w:hAnsi="Palatino Linotype" w:cs="Palatino Linotype"/>
          <w:i/>
          <w:color w:val="000000"/>
          <w:sz w:val="24"/>
          <w:szCs w:val="24"/>
        </w:rPr>
        <w:t>Las leyes determinarán la manera en que los sujetos obligados deberán hacer pública la información relativa a los recursos públicos que entreguen a personas físicas o morales.</w:t>
      </w:r>
    </w:p>
    <w:p w:rsidR="003C7052" w:rsidRPr="00900A5E" w:rsidRDefault="003C7052" w:rsidP="003C7052">
      <w:pPr>
        <w:spacing w:line="360" w:lineRule="auto"/>
        <w:ind w:left="567" w:right="49"/>
        <w:jc w:val="both"/>
        <w:rPr>
          <w:rFonts w:ascii="Palatino Linotype" w:eastAsia="Palatino Linotype" w:hAnsi="Palatino Linotype" w:cs="Palatino Linotype"/>
          <w:i/>
          <w:color w:val="000000"/>
          <w:sz w:val="24"/>
          <w:szCs w:val="24"/>
        </w:rPr>
      </w:pPr>
    </w:p>
    <w:p w:rsidR="003C7052" w:rsidRPr="00900A5E" w:rsidRDefault="003C7052" w:rsidP="003C7052">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sz w:val="24"/>
          <w:szCs w:val="24"/>
        </w:rPr>
      </w:pPr>
      <w:r w:rsidRPr="00900A5E">
        <w:rPr>
          <w:rFonts w:ascii="Palatino Linotype" w:eastAsia="Palatino Linotype" w:hAnsi="Palatino Linotype" w:cs="Palatino Linotype"/>
          <w:i/>
          <w:color w:val="000000"/>
          <w:sz w:val="24"/>
          <w:szCs w:val="24"/>
        </w:rPr>
        <w:t>La inobservancia a las disposiciones en materia de acceso a la información pública será sancionada en los términos que dispongan las leyes.</w:t>
      </w:r>
    </w:p>
    <w:p w:rsidR="003C7052" w:rsidRPr="00900A5E" w:rsidRDefault="003C7052" w:rsidP="003C7052">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sz w:val="24"/>
          <w:szCs w:val="24"/>
        </w:rPr>
      </w:pPr>
      <w:r w:rsidRPr="00900A5E">
        <w:rPr>
          <w:rFonts w:ascii="Palatino Linotype" w:eastAsia="Palatino Linotype" w:hAnsi="Palatino Linotype" w:cs="Palatino Linotype"/>
          <w:i/>
          <w:color w:val="000000"/>
          <w:sz w:val="24"/>
          <w:szCs w:val="24"/>
        </w:rPr>
        <w:t>Federación contará con un organismo autónomo, especializado, imparcial, colegiado, con personalidad jurídica y patrimonio propio, con plena autonomía técnica, de gestión, capacidad para decidir sobre el ejercicio de su presupuesto y determinar su organización interna, responsable de garantizar el cumplimiento del derecho de acceso a la información pública y a la protección de datos personales en posesión de los sujetos obligados en los términos que establezca la ley.</w:t>
      </w:r>
    </w:p>
    <w:p w:rsidR="003C7052" w:rsidRPr="00900A5E" w:rsidRDefault="003C7052" w:rsidP="003C7052">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sz w:val="24"/>
          <w:szCs w:val="24"/>
        </w:rPr>
      </w:pPr>
      <w:r w:rsidRPr="00900A5E">
        <w:rPr>
          <w:rFonts w:ascii="Palatino Linotype" w:eastAsia="Palatino Linotype" w:hAnsi="Palatino Linotype" w:cs="Palatino Linotype"/>
          <w:i/>
          <w:color w:val="000000"/>
          <w:sz w:val="24"/>
          <w:szCs w:val="24"/>
        </w:rPr>
        <w:t>…</w:t>
      </w:r>
    </w:p>
    <w:p w:rsidR="003C7052" w:rsidRPr="00900A5E" w:rsidRDefault="003C7052" w:rsidP="003C7052">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sz w:val="24"/>
          <w:szCs w:val="24"/>
        </w:rPr>
      </w:pPr>
      <w:r w:rsidRPr="00900A5E">
        <w:rPr>
          <w:rFonts w:ascii="Palatino Linotype" w:eastAsia="Palatino Linotype" w:hAnsi="Palatino Linotype" w:cs="Palatino Linotype"/>
          <w:i/>
          <w:color w:val="000000"/>
          <w:sz w:val="24"/>
          <w:szCs w:val="24"/>
        </w:rPr>
        <w:t>La ley establecerá aquella información que se considere reservada o confidencial.”</w:t>
      </w:r>
    </w:p>
    <w:p w:rsidR="003C7052" w:rsidRPr="00900A5E" w:rsidRDefault="003C7052" w:rsidP="003C7052">
      <w:pPr>
        <w:spacing w:line="360" w:lineRule="auto"/>
        <w:ind w:right="49"/>
        <w:jc w:val="both"/>
        <w:rPr>
          <w:rFonts w:ascii="Palatino Linotype" w:eastAsia="Palatino Linotype" w:hAnsi="Palatino Linotype" w:cs="Palatino Linotype"/>
          <w:color w:val="000000"/>
          <w:sz w:val="24"/>
          <w:szCs w:val="24"/>
        </w:rPr>
      </w:pPr>
    </w:p>
    <w:p w:rsidR="003C7052" w:rsidRPr="00900A5E" w:rsidRDefault="003C7052" w:rsidP="003C7052">
      <w:pPr>
        <w:numPr>
          <w:ilvl w:val="0"/>
          <w:numId w:val="3"/>
        </w:numPr>
        <w:spacing w:line="360" w:lineRule="auto"/>
        <w:ind w:left="0" w:right="49" w:firstLine="0"/>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t>Por su parte, la Constitución Política del Estado Libre y Soberano de México, en su artículo 5°, dispone en su parte conducente, lo siguiente:</w:t>
      </w:r>
    </w:p>
    <w:p w:rsidR="003C7052" w:rsidRPr="00900A5E" w:rsidRDefault="003C7052" w:rsidP="003C7052">
      <w:pPr>
        <w:pBdr>
          <w:top w:val="nil"/>
          <w:left w:val="nil"/>
          <w:bottom w:val="nil"/>
          <w:right w:val="nil"/>
          <w:between w:val="nil"/>
        </w:pBdr>
        <w:spacing w:line="360" w:lineRule="auto"/>
        <w:ind w:left="567" w:right="49"/>
        <w:jc w:val="both"/>
        <w:rPr>
          <w:rFonts w:ascii="Palatino Linotype" w:eastAsia="Palatino Linotype" w:hAnsi="Palatino Linotype" w:cs="Palatino Linotype"/>
          <w:b/>
          <w:i/>
          <w:color w:val="000000"/>
          <w:sz w:val="24"/>
          <w:szCs w:val="24"/>
        </w:rPr>
      </w:pPr>
      <w:r w:rsidRPr="00900A5E">
        <w:rPr>
          <w:rFonts w:ascii="Palatino Linotype" w:eastAsia="Palatino Linotype" w:hAnsi="Palatino Linotype" w:cs="Palatino Linotype"/>
          <w:b/>
          <w:i/>
          <w:color w:val="000000"/>
          <w:sz w:val="24"/>
          <w:szCs w:val="24"/>
        </w:rPr>
        <w:t xml:space="preserve">“Artículo 5. … </w:t>
      </w:r>
    </w:p>
    <w:p w:rsidR="003C7052" w:rsidRPr="00900A5E" w:rsidRDefault="003C7052" w:rsidP="003C7052">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sz w:val="24"/>
          <w:szCs w:val="24"/>
        </w:rPr>
      </w:pPr>
      <w:r w:rsidRPr="00900A5E">
        <w:rPr>
          <w:rFonts w:ascii="Palatino Linotype" w:eastAsia="Palatino Linotype" w:hAnsi="Palatino Linotype" w:cs="Palatino Linotype"/>
          <w:b/>
          <w:i/>
          <w:color w:val="000000"/>
          <w:sz w:val="24"/>
          <w:szCs w:val="24"/>
        </w:rPr>
        <w:t>El derecho a la información será garantizado por el Estado</w:t>
      </w:r>
      <w:r w:rsidRPr="00900A5E">
        <w:rPr>
          <w:rFonts w:ascii="Palatino Linotype" w:eastAsia="Palatino Linotype" w:hAnsi="Palatino Linotype" w:cs="Palatino Linotype"/>
          <w:i/>
          <w:color w:val="000000"/>
          <w:sz w:val="24"/>
          <w:szCs w:val="24"/>
        </w:rPr>
        <w:t xml:space="preserve">. La ley establecerá las previsiones que permitan asegurar la protección, el respeto y la difusión de este derecho. </w:t>
      </w:r>
    </w:p>
    <w:p w:rsidR="003C7052" w:rsidRPr="00900A5E" w:rsidRDefault="003C7052" w:rsidP="003C7052">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sz w:val="24"/>
          <w:szCs w:val="24"/>
        </w:rPr>
      </w:pPr>
      <w:r w:rsidRPr="00900A5E">
        <w:rPr>
          <w:rFonts w:ascii="Palatino Linotype" w:eastAsia="Palatino Linotype" w:hAnsi="Palatino Linotype" w:cs="Palatino Linotype"/>
          <w:i/>
          <w:color w:val="000000"/>
          <w:sz w:val="24"/>
          <w:szCs w:val="24"/>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rsidR="003C7052" w:rsidRPr="00900A5E" w:rsidRDefault="003C7052" w:rsidP="003C7052">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sz w:val="24"/>
          <w:szCs w:val="24"/>
        </w:rPr>
      </w:pPr>
      <w:r w:rsidRPr="00900A5E">
        <w:rPr>
          <w:rFonts w:ascii="Palatino Linotype" w:eastAsia="Palatino Linotype" w:hAnsi="Palatino Linotype" w:cs="Palatino Linotype"/>
          <w:i/>
          <w:color w:val="000000"/>
          <w:sz w:val="24"/>
          <w:szCs w:val="24"/>
        </w:rPr>
        <w:lastRenderedPageBreak/>
        <w:t>Este derecho se regirá por los principios y bases siguientes:</w:t>
      </w:r>
    </w:p>
    <w:p w:rsidR="003C7052" w:rsidRPr="00900A5E" w:rsidRDefault="003C7052" w:rsidP="003C7052">
      <w:pPr>
        <w:spacing w:line="360" w:lineRule="auto"/>
        <w:ind w:left="567" w:right="49"/>
        <w:jc w:val="both"/>
        <w:rPr>
          <w:rFonts w:ascii="Palatino Linotype" w:eastAsia="Palatino Linotype" w:hAnsi="Palatino Linotype" w:cs="Palatino Linotype"/>
          <w:i/>
          <w:color w:val="000000"/>
          <w:sz w:val="24"/>
          <w:szCs w:val="24"/>
        </w:rPr>
      </w:pPr>
    </w:p>
    <w:p w:rsidR="003C7052" w:rsidRPr="00900A5E" w:rsidRDefault="003C7052" w:rsidP="003C7052">
      <w:pPr>
        <w:numPr>
          <w:ilvl w:val="3"/>
          <w:numId w:val="10"/>
        </w:numPr>
        <w:pBdr>
          <w:top w:val="nil"/>
          <w:left w:val="nil"/>
          <w:bottom w:val="nil"/>
          <w:right w:val="nil"/>
          <w:between w:val="nil"/>
        </w:pBdr>
        <w:spacing w:line="360" w:lineRule="auto"/>
        <w:ind w:left="567" w:right="49" w:firstLine="0"/>
        <w:jc w:val="both"/>
        <w:rPr>
          <w:rFonts w:ascii="Palatino Linotype" w:eastAsia="Palatino Linotype" w:hAnsi="Palatino Linotype" w:cs="Palatino Linotype"/>
          <w:i/>
          <w:color w:val="000000"/>
          <w:sz w:val="24"/>
          <w:szCs w:val="24"/>
        </w:rPr>
      </w:pPr>
      <w:r w:rsidRPr="00900A5E">
        <w:rPr>
          <w:rFonts w:ascii="Palatino Linotype" w:eastAsia="Palatino Linotype" w:hAnsi="Palatino Linotype" w:cs="Palatino Linotype"/>
          <w:b/>
          <w:i/>
          <w:color w:val="000000"/>
          <w:sz w:val="24"/>
          <w:szCs w:val="24"/>
        </w:rPr>
        <w:t>Toda la información en posesión de cualquier autoridad</w:t>
      </w:r>
      <w:r w:rsidRPr="00900A5E">
        <w:rPr>
          <w:rFonts w:ascii="Palatino Linotype" w:eastAsia="Palatino Linotype" w:hAnsi="Palatino Linotype" w:cs="Palatino Linotype"/>
          <w:i/>
          <w:color w:val="000000"/>
          <w:sz w:val="24"/>
          <w:szCs w:val="24"/>
        </w:rPr>
        <w:t xml:space="preserve">, entidad, órgano y organismos de los Poderes Ejecutivo, Legislativo y Judicial, órganos autónomos, partidos políticos, fideicomisos y fondos públicos estatales y municipales, </w:t>
      </w:r>
      <w:r w:rsidRPr="00900A5E">
        <w:rPr>
          <w:rFonts w:ascii="Palatino Linotype" w:eastAsia="Palatino Linotype" w:hAnsi="Palatino Linotype" w:cs="Palatino Linotype"/>
          <w:b/>
          <w:i/>
          <w:color w:val="000000"/>
          <w:sz w:val="24"/>
          <w:szCs w:val="24"/>
        </w:rPr>
        <w:t>así como del gobierno y de la administración pública municipal y sus organismos descentralizados</w:t>
      </w:r>
      <w:r w:rsidRPr="00900A5E">
        <w:rPr>
          <w:rFonts w:ascii="Palatino Linotype" w:eastAsia="Palatino Linotype" w:hAnsi="Palatino Linotype" w:cs="Palatino Linotype"/>
          <w:i/>
          <w:color w:val="000000"/>
          <w:sz w:val="24"/>
          <w:szCs w:val="24"/>
        </w:rPr>
        <w:t xml:space="preserve">, asimismo de cualquier persona física, jurídica colectiva o sindicato que reciba y ejerza recursos públicos o realice actos de autoridad en el ámbito estatal y municipal, </w:t>
      </w:r>
      <w:r w:rsidRPr="00900A5E">
        <w:rPr>
          <w:rFonts w:ascii="Palatino Linotype" w:eastAsia="Palatino Linotype" w:hAnsi="Palatino Linotype" w:cs="Palatino Linotype"/>
          <w:b/>
          <w:i/>
          <w:color w:val="000000"/>
          <w:sz w:val="24"/>
          <w:szCs w:val="24"/>
        </w:rPr>
        <w:t>es pública</w:t>
      </w:r>
      <w:r w:rsidRPr="00900A5E">
        <w:rPr>
          <w:rFonts w:ascii="Palatino Linotype" w:eastAsia="Palatino Linotype" w:hAnsi="Palatino Linotype" w:cs="Palatino Linotype"/>
          <w:i/>
          <w:color w:val="000000"/>
          <w:sz w:val="24"/>
          <w:szCs w:val="24"/>
        </w:rPr>
        <w:t xml:space="preserve">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3C7052" w:rsidRPr="00900A5E" w:rsidRDefault="003C7052" w:rsidP="003C7052">
      <w:pPr>
        <w:numPr>
          <w:ilvl w:val="3"/>
          <w:numId w:val="10"/>
        </w:numPr>
        <w:pBdr>
          <w:top w:val="nil"/>
          <w:left w:val="nil"/>
          <w:bottom w:val="nil"/>
          <w:right w:val="nil"/>
          <w:between w:val="nil"/>
        </w:pBdr>
        <w:spacing w:line="360" w:lineRule="auto"/>
        <w:ind w:left="567" w:right="49" w:firstLine="0"/>
        <w:jc w:val="both"/>
        <w:rPr>
          <w:rFonts w:ascii="Palatino Linotype" w:eastAsia="Palatino Linotype" w:hAnsi="Palatino Linotype" w:cs="Palatino Linotype"/>
          <w:i/>
          <w:color w:val="000000"/>
          <w:sz w:val="24"/>
          <w:szCs w:val="24"/>
        </w:rPr>
      </w:pPr>
      <w:r w:rsidRPr="00900A5E">
        <w:rPr>
          <w:rFonts w:ascii="Palatino Linotype" w:eastAsia="Palatino Linotype" w:hAnsi="Palatino Linotype" w:cs="Palatino Linotype"/>
          <w:i/>
          <w:color w:val="000000"/>
          <w:sz w:val="24"/>
          <w:szCs w:val="24"/>
        </w:rPr>
        <w:t>La información referente a la intimidad de la vida privada y la imagen de las personas será protegida a través de un marco jurídico rígido de tratamiento y manejo de datos personales, con las excepciones que establezca la ley reglamentaria.</w:t>
      </w:r>
    </w:p>
    <w:p w:rsidR="003C7052" w:rsidRPr="00900A5E" w:rsidRDefault="003C7052" w:rsidP="003C7052">
      <w:pPr>
        <w:numPr>
          <w:ilvl w:val="3"/>
          <w:numId w:val="10"/>
        </w:numPr>
        <w:pBdr>
          <w:top w:val="nil"/>
          <w:left w:val="nil"/>
          <w:bottom w:val="nil"/>
          <w:right w:val="nil"/>
          <w:between w:val="nil"/>
        </w:pBdr>
        <w:spacing w:line="360" w:lineRule="auto"/>
        <w:ind w:left="567" w:right="49" w:firstLine="0"/>
        <w:jc w:val="both"/>
        <w:rPr>
          <w:rFonts w:ascii="Palatino Linotype" w:eastAsia="Palatino Linotype" w:hAnsi="Palatino Linotype" w:cs="Palatino Linotype"/>
          <w:i/>
          <w:color w:val="000000"/>
          <w:sz w:val="24"/>
          <w:szCs w:val="24"/>
        </w:rPr>
      </w:pPr>
      <w:r w:rsidRPr="00900A5E">
        <w:rPr>
          <w:rFonts w:ascii="Palatino Linotype" w:eastAsia="Palatino Linotype" w:hAnsi="Palatino Linotype" w:cs="Palatino Linotype"/>
          <w:i/>
          <w:color w:val="000000"/>
          <w:sz w:val="24"/>
          <w:szCs w:val="24"/>
        </w:rPr>
        <w:t>Toda persona, sin necesidad de acreditar interés alguno o justificar su utilización, tendrá acceso gratuito a la información pública, a sus datos personales o a la rectificación de éstos.</w:t>
      </w:r>
    </w:p>
    <w:p w:rsidR="003C7052" w:rsidRPr="00900A5E" w:rsidRDefault="003C7052" w:rsidP="003C7052">
      <w:pPr>
        <w:numPr>
          <w:ilvl w:val="3"/>
          <w:numId w:val="10"/>
        </w:numPr>
        <w:pBdr>
          <w:top w:val="nil"/>
          <w:left w:val="nil"/>
          <w:bottom w:val="nil"/>
          <w:right w:val="nil"/>
          <w:between w:val="nil"/>
        </w:pBdr>
        <w:spacing w:line="360" w:lineRule="auto"/>
        <w:ind w:left="567" w:right="49" w:firstLine="0"/>
        <w:jc w:val="both"/>
        <w:rPr>
          <w:rFonts w:ascii="Palatino Linotype" w:eastAsia="Palatino Linotype" w:hAnsi="Palatino Linotype" w:cs="Palatino Linotype"/>
          <w:i/>
          <w:color w:val="000000"/>
          <w:sz w:val="24"/>
          <w:szCs w:val="24"/>
        </w:rPr>
      </w:pPr>
      <w:r w:rsidRPr="00900A5E">
        <w:rPr>
          <w:rFonts w:ascii="Palatino Linotype" w:eastAsia="Palatino Linotype" w:hAnsi="Palatino Linotype" w:cs="Palatino Linotype"/>
          <w:i/>
          <w:color w:val="000000"/>
          <w:sz w:val="24"/>
          <w:szCs w:val="24"/>
        </w:rPr>
        <w:t>Se establecerán mecanismos de acceso a la información y procedimientos de revisión expeditos que se sustanciarán ante el organismo autónomo especializado e imparcial que establece esta Constitución.</w:t>
      </w:r>
    </w:p>
    <w:p w:rsidR="003C7052" w:rsidRPr="00900A5E" w:rsidRDefault="003C7052" w:rsidP="003C7052">
      <w:pPr>
        <w:numPr>
          <w:ilvl w:val="3"/>
          <w:numId w:val="10"/>
        </w:numPr>
        <w:pBdr>
          <w:top w:val="nil"/>
          <w:left w:val="nil"/>
          <w:bottom w:val="nil"/>
          <w:right w:val="nil"/>
          <w:between w:val="nil"/>
        </w:pBdr>
        <w:spacing w:line="360" w:lineRule="auto"/>
        <w:ind w:left="567" w:right="49" w:firstLine="0"/>
        <w:jc w:val="both"/>
        <w:rPr>
          <w:rFonts w:ascii="Palatino Linotype" w:eastAsia="Palatino Linotype" w:hAnsi="Palatino Linotype" w:cs="Palatino Linotype"/>
          <w:i/>
          <w:color w:val="000000"/>
          <w:sz w:val="24"/>
          <w:szCs w:val="24"/>
        </w:rPr>
      </w:pPr>
      <w:r w:rsidRPr="00900A5E">
        <w:rPr>
          <w:rFonts w:ascii="Palatino Linotype" w:eastAsia="Palatino Linotype" w:hAnsi="Palatino Linotype" w:cs="Palatino Linotype"/>
          <w:i/>
          <w:color w:val="000000"/>
          <w:sz w:val="24"/>
          <w:szCs w:val="24"/>
        </w:rPr>
        <w:lastRenderedPageBreak/>
        <w:t>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rsidR="003C7052" w:rsidRPr="00900A5E" w:rsidRDefault="003C7052" w:rsidP="003C7052">
      <w:pPr>
        <w:numPr>
          <w:ilvl w:val="3"/>
          <w:numId w:val="10"/>
        </w:numPr>
        <w:pBdr>
          <w:top w:val="nil"/>
          <w:left w:val="nil"/>
          <w:bottom w:val="nil"/>
          <w:right w:val="nil"/>
          <w:between w:val="nil"/>
        </w:pBdr>
        <w:spacing w:line="360" w:lineRule="auto"/>
        <w:ind w:left="567" w:right="49" w:firstLine="0"/>
        <w:jc w:val="both"/>
        <w:rPr>
          <w:rFonts w:ascii="Palatino Linotype" w:eastAsia="Palatino Linotype" w:hAnsi="Palatino Linotype" w:cs="Palatino Linotype"/>
          <w:i/>
          <w:color w:val="000000"/>
          <w:sz w:val="24"/>
          <w:szCs w:val="24"/>
        </w:rPr>
      </w:pPr>
      <w:r w:rsidRPr="00900A5E">
        <w:rPr>
          <w:rFonts w:ascii="Palatino Linotype" w:eastAsia="Palatino Linotype" w:hAnsi="Palatino Linotype" w:cs="Palatino Linotype"/>
          <w:b/>
          <w:i/>
          <w:color w:val="000000"/>
          <w:sz w:val="24"/>
          <w:szCs w:val="24"/>
        </w:rPr>
        <w:t>Los sujetos obligados deberán preservar sus documentos en archivos administrativos actualizados y publicarán, a través de los medios electrónicos disponibles, la información completa y actualizada sobre el ejercicio de los recursos públicos</w:t>
      </w:r>
      <w:r w:rsidRPr="00900A5E">
        <w:rPr>
          <w:rFonts w:ascii="Palatino Linotype" w:eastAsia="Palatino Linotype" w:hAnsi="Palatino Linotype" w:cs="Palatino Linotype"/>
          <w:i/>
          <w:color w:val="000000"/>
          <w:sz w:val="24"/>
          <w:szCs w:val="24"/>
        </w:rPr>
        <w:t xml:space="preserve"> y los indicadores que permitan rendir cuenta del cumplimiento de sus objetivos y los resultados obtenidos.</w:t>
      </w:r>
    </w:p>
    <w:p w:rsidR="003C7052" w:rsidRDefault="003C7052" w:rsidP="003C7052">
      <w:pPr>
        <w:numPr>
          <w:ilvl w:val="3"/>
          <w:numId w:val="10"/>
        </w:numPr>
        <w:pBdr>
          <w:top w:val="nil"/>
          <w:left w:val="nil"/>
          <w:bottom w:val="nil"/>
          <w:right w:val="nil"/>
          <w:between w:val="nil"/>
        </w:pBdr>
        <w:spacing w:line="360" w:lineRule="auto"/>
        <w:ind w:left="567" w:right="49" w:firstLine="0"/>
        <w:jc w:val="both"/>
        <w:rPr>
          <w:rFonts w:ascii="Palatino Linotype" w:eastAsia="Palatino Linotype" w:hAnsi="Palatino Linotype" w:cs="Palatino Linotype"/>
          <w:i/>
          <w:color w:val="000000"/>
          <w:sz w:val="24"/>
          <w:szCs w:val="24"/>
        </w:rPr>
      </w:pPr>
      <w:r w:rsidRPr="00900A5E">
        <w:rPr>
          <w:rFonts w:ascii="Palatino Linotype" w:eastAsia="Palatino Linotype" w:hAnsi="Palatino Linotype" w:cs="Palatino Linotype"/>
          <w:i/>
          <w:color w:val="000000"/>
          <w:sz w:val="24"/>
          <w:szCs w:val="24"/>
        </w:rPr>
        <w:t>La ley reglamentaria, determinará la manera en que los sujetos obligados deberán hacer pública la información relativa a los recursos públicos que entreguen a personas físicas o jurídicas colectivas.”</w:t>
      </w:r>
    </w:p>
    <w:p w:rsidR="00900A5E" w:rsidRPr="00900A5E" w:rsidRDefault="00900A5E" w:rsidP="00900A5E">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sz w:val="24"/>
          <w:szCs w:val="24"/>
        </w:rPr>
      </w:pPr>
    </w:p>
    <w:p w:rsidR="003C7052" w:rsidRPr="00900A5E" w:rsidRDefault="003C7052" w:rsidP="003C7052">
      <w:pPr>
        <w:numPr>
          <w:ilvl w:val="0"/>
          <w:numId w:val="3"/>
        </w:numPr>
        <w:spacing w:line="360" w:lineRule="auto"/>
        <w:ind w:left="0" w:right="49" w:firstLine="0"/>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t>Adicional, tenemos que la Ley de Transparencia y Acceso a la Información Pública del Estado de México y Municipios, prevé en su artículo 23 fracción I, lo siguiente:</w:t>
      </w:r>
    </w:p>
    <w:p w:rsidR="003C7052" w:rsidRPr="00900A5E" w:rsidRDefault="003C7052" w:rsidP="003C7052">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sz w:val="24"/>
          <w:szCs w:val="24"/>
        </w:rPr>
      </w:pPr>
      <w:r w:rsidRPr="00900A5E">
        <w:rPr>
          <w:rFonts w:ascii="Palatino Linotype" w:eastAsia="Palatino Linotype" w:hAnsi="Palatino Linotype" w:cs="Palatino Linotype"/>
          <w:b/>
          <w:i/>
          <w:color w:val="000000"/>
          <w:sz w:val="24"/>
          <w:szCs w:val="24"/>
        </w:rPr>
        <w:t>“Artículo 23.</w:t>
      </w:r>
      <w:r w:rsidRPr="00900A5E">
        <w:rPr>
          <w:rFonts w:ascii="Palatino Linotype" w:eastAsia="Palatino Linotype" w:hAnsi="Palatino Linotype" w:cs="Palatino Linotype"/>
          <w:i/>
          <w:color w:val="000000"/>
          <w:sz w:val="24"/>
          <w:szCs w:val="24"/>
        </w:rPr>
        <w:t xml:space="preserve"> Son sujetos obligados a transparentar y permitir el acceso a su información y proteger los datos personales que obren en su poder:</w:t>
      </w:r>
    </w:p>
    <w:p w:rsidR="003C7052" w:rsidRPr="00900A5E" w:rsidRDefault="003C7052" w:rsidP="003C7052">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sz w:val="24"/>
          <w:szCs w:val="24"/>
        </w:rPr>
      </w:pPr>
      <w:r w:rsidRPr="00900A5E">
        <w:rPr>
          <w:rFonts w:ascii="Palatino Linotype" w:eastAsia="Palatino Linotype" w:hAnsi="Palatino Linotype" w:cs="Palatino Linotype"/>
          <w:i/>
          <w:color w:val="000000"/>
          <w:sz w:val="24"/>
          <w:szCs w:val="24"/>
        </w:rPr>
        <w:t>…</w:t>
      </w:r>
    </w:p>
    <w:p w:rsidR="003C7052" w:rsidRPr="00900A5E" w:rsidRDefault="003C7052" w:rsidP="003C7052">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sz w:val="24"/>
          <w:szCs w:val="24"/>
        </w:rPr>
      </w:pPr>
      <w:r w:rsidRPr="00900A5E">
        <w:rPr>
          <w:rFonts w:ascii="Palatino Linotype" w:eastAsia="Palatino Linotype" w:hAnsi="Palatino Linotype" w:cs="Palatino Linotype"/>
          <w:i/>
          <w:color w:val="000000"/>
          <w:sz w:val="24"/>
          <w:szCs w:val="24"/>
        </w:rPr>
        <w:t xml:space="preserve">I. El Poder Ejecutivo del Estado de México, las dependencias, organismos auxiliares, órganos, entidades, fideicomisos y fondos públicos, así como la Fiscalía General de Justicia del Estado de México; </w:t>
      </w:r>
    </w:p>
    <w:p w:rsidR="003C7052" w:rsidRPr="00900A5E" w:rsidRDefault="003C7052" w:rsidP="003C7052">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sz w:val="24"/>
          <w:szCs w:val="24"/>
        </w:rPr>
      </w:pPr>
      <w:r w:rsidRPr="00900A5E">
        <w:rPr>
          <w:rFonts w:ascii="Palatino Linotype" w:eastAsia="Palatino Linotype" w:hAnsi="Palatino Linotype" w:cs="Palatino Linotype"/>
          <w:i/>
          <w:color w:val="000000"/>
          <w:sz w:val="24"/>
          <w:szCs w:val="24"/>
        </w:rPr>
        <w:t>…</w:t>
      </w:r>
    </w:p>
    <w:p w:rsidR="003C7052" w:rsidRPr="00900A5E" w:rsidRDefault="003C7052" w:rsidP="003C7052">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sz w:val="24"/>
          <w:szCs w:val="24"/>
        </w:rPr>
      </w:pPr>
      <w:r w:rsidRPr="00900A5E">
        <w:rPr>
          <w:rFonts w:ascii="Palatino Linotype" w:eastAsia="Palatino Linotype" w:hAnsi="Palatino Linotype" w:cs="Palatino Linotype"/>
          <w:i/>
          <w:color w:val="000000"/>
          <w:sz w:val="24"/>
          <w:szCs w:val="24"/>
        </w:rPr>
        <w:lastRenderedPageBreak/>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rsidR="003C7052" w:rsidRPr="00900A5E" w:rsidRDefault="003C7052" w:rsidP="003C7052">
      <w:pPr>
        <w:spacing w:line="360" w:lineRule="auto"/>
        <w:ind w:left="567" w:right="49"/>
        <w:jc w:val="both"/>
        <w:rPr>
          <w:rFonts w:ascii="Palatino Linotype" w:eastAsia="Palatino Linotype" w:hAnsi="Palatino Linotype" w:cs="Palatino Linotype"/>
          <w:i/>
          <w:color w:val="000000"/>
          <w:sz w:val="24"/>
          <w:szCs w:val="24"/>
        </w:rPr>
      </w:pPr>
    </w:p>
    <w:p w:rsidR="003C7052" w:rsidRPr="00900A5E" w:rsidRDefault="003C7052" w:rsidP="003C7052">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sz w:val="24"/>
          <w:szCs w:val="24"/>
        </w:rPr>
      </w:pPr>
      <w:r w:rsidRPr="00900A5E">
        <w:rPr>
          <w:rFonts w:ascii="Palatino Linotype" w:eastAsia="Palatino Linotype" w:hAnsi="Palatino Linotype" w:cs="Palatino Linotype"/>
          <w:i/>
          <w:color w:val="000000"/>
          <w:sz w:val="24"/>
          <w:szCs w:val="24"/>
        </w:rPr>
        <w:t>Los servidores públicos deberán transparentar sus acciones así como garantizar y respetar el derecho de acceso a la información pública.”</w:t>
      </w:r>
    </w:p>
    <w:p w:rsidR="003C7052" w:rsidRPr="00900A5E" w:rsidRDefault="003C7052" w:rsidP="003C7052">
      <w:pPr>
        <w:spacing w:line="360" w:lineRule="auto"/>
        <w:ind w:right="49"/>
        <w:jc w:val="both"/>
        <w:rPr>
          <w:rFonts w:ascii="Palatino Linotype" w:eastAsia="Palatino Linotype" w:hAnsi="Palatino Linotype" w:cs="Palatino Linotype"/>
          <w:color w:val="000000"/>
          <w:sz w:val="24"/>
          <w:szCs w:val="24"/>
        </w:rPr>
      </w:pPr>
    </w:p>
    <w:p w:rsidR="003C7052" w:rsidRPr="00900A5E" w:rsidRDefault="003C7052" w:rsidP="003C7052">
      <w:pPr>
        <w:numPr>
          <w:ilvl w:val="0"/>
          <w:numId w:val="3"/>
        </w:numPr>
        <w:spacing w:line="360" w:lineRule="auto"/>
        <w:ind w:left="0" w:right="49" w:firstLine="0"/>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rsidR="003C7052" w:rsidRPr="00900A5E" w:rsidRDefault="003C7052" w:rsidP="003C7052">
      <w:pPr>
        <w:spacing w:line="360" w:lineRule="auto"/>
        <w:ind w:right="49"/>
        <w:jc w:val="both"/>
        <w:rPr>
          <w:rFonts w:ascii="Palatino Linotype" w:eastAsia="Palatino Linotype" w:hAnsi="Palatino Linotype" w:cs="Palatino Linotype"/>
          <w:color w:val="000000"/>
          <w:sz w:val="24"/>
          <w:szCs w:val="24"/>
        </w:rPr>
      </w:pPr>
    </w:p>
    <w:p w:rsidR="006B3523" w:rsidRPr="00900A5E" w:rsidRDefault="003C7052" w:rsidP="003C7052">
      <w:pPr>
        <w:numPr>
          <w:ilvl w:val="0"/>
          <w:numId w:val="3"/>
        </w:numPr>
        <w:spacing w:line="360" w:lineRule="auto"/>
        <w:ind w:left="0" w:right="49" w:firstLine="0"/>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t xml:space="preserve">Por lo anterior, es de referir que, el </w:t>
      </w:r>
      <w:r w:rsidRPr="00900A5E">
        <w:rPr>
          <w:rFonts w:ascii="Palatino Linotype" w:eastAsia="Palatino Linotype" w:hAnsi="Palatino Linotype" w:cs="Palatino Linotype"/>
          <w:b/>
          <w:color w:val="000000"/>
          <w:sz w:val="24"/>
          <w:szCs w:val="24"/>
        </w:rPr>
        <w:t>Ayuntamiento de Toluca</w:t>
      </w:r>
      <w:r w:rsidRPr="00900A5E">
        <w:rPr>
          <w:rFonts w:ascii="Palatino Linotype" w:eastAsia="Palatino Linotype" w:hAnsi="Palatino Linotype" w:cs="Palatino Linotype"/>
          <w:color w:val="000000"/>
          <w:sz w:val="24"/>
          <w:szCs w:val="24"/>
        </w:rPr>
        <w:t>, al ser un Sujeto Obligado comprendido por la Legislación Local en materia de Transparencia, se encuentra obligado a hacer pública toda aquella información que genere, administre o posea.</w:t>
      </w:r>
    </w:p>
    <w:p w:rsidR="003C7052" w:rsidRPr="00900A5E" w:rsidRDefault="003C7052" w:rsidP="003C7052">
      <w:pPr>
        <w:spacing w:line="360" w:lineRule="auto"/>
        <w:ind w:right="49"/>
        <w:jc w:val="both"/>
        <w:rPr>
          <w:rFonts w:ascii="Palatino Linotype" w:eastAsia="Palatino Linotype" w:hAnsi="Palatino Linotype" w:cs="Palatino Linotype"/>
          <w:color w:val="000000"/>
          <w:sz w:val="24"/>
          <w:szCs w:val="24"/>
        </w:rPr>
      </w:pPr>
    </w:p>
    <w:p w:rsidR="003C7052" w:rsidRPr="00900A5E" w:rsidRDefault="003C7052" w:rsidP="006B3523">
      <w:pPr>
        <w:numPr>
          <w:ilvl w:val="0"/>
          <w:numId w:val="3"/>
        </w:numPr>
        <w:spacing w:line="360" w:lineRule="auto"/>
        <w:ind w:left="0" w:right="49" w:firstLine="0"/>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t xml:space="preserve">Es por lo anterior, que resulta dable </w:t>
      </w:r>
      <w:r w:rsidRPr="00900A5E">
        <w:rPr>
          <w:rFonts w:ascii="Palatino Linotype" w:eastAsia="Palatino Linotype" w:hAnsi="Palatino Linotype" w:cs="Palatino Linotype"/>
          <w:b/>
          <w:color w:val="000000"/>
          <w:sz w:val="24"/>
          <w:szCs w:val="24"/>
        </w:rPr>
        <w:t xml:space="preserve">REVOCAR, </w:t>
      </w:r>
      <w:r w:rsidRPr="00900A5E">
        <w:rPr>
          <w:rFonts w:ascii="Palatino Linotype" w:eastAsia="Palatino Linotype" w:hAnsi="Palatino Linotype" w:cs="Palatino Linotype"/>
          <w:color w:val="000000"/>
          <w:sz w:val="24"/>
          <w:szCs w:val="24"/>
        </w:rPr>
        <w:t xml:space="preserve">la respuesta </w:t>
      </w:r>
      <w:r w:rsidR="000B51D0" w:rsidRPr="00900A5E">
        <w:rPr>
          <w:rFonts w:ascii="Palatino Linotype" w:eastAsia="Palatino Linotype" w:hAnsi="Palatino Linotype" w:cs="Palatino Linotype"/>
          <w:color w:val="000000"/>
          <w:sz w:val="24"/>
          <w:szCs w:val="24"/>
        </w:rPr>
        <w:t>proporcionada</w:t>
      </w:r>
      <w:r w:rsidRPr="00900A5E">
        <w:rPr>
          <w:rFonts w:ascii="Palatino Linotype" w:eastAsia="Palatino Linotype" w:hAnsi="Palatino Linotype" w:cs="Palatino Linotype"/>
          <w:color w:val="000000"/>
          <w:sz w:val="24"/>
          <w:szCs w:val="24"/>
        </w:rPr>
        <w:t xml:space="preserve"> por el </w:t>
      </w:r>
      <w:r w:rsidRPr="00900A5E">
        <w:rPr>
          <w:rFonts w:ascii="Palatino Linotype" w:eastAsia="Palatino Linotype" w:hAnsi="Palatino Linotype" w:cs="Palatino Linotype"/>
          <w:b/>
          <w:color w:val="000000"/>
          <w:sz w:val="24"/>
          <w:szCs w:val="24"/>
        </w:rPr>
        <w:t xml:space="preserve">SUJETO OBLIGADO, </w:t>
      </w:r>
      <w:r w:rsidRPr="00900A5E">
        <w:rPr>
          <w:rFonts w:ascii="Palatino Linotype" w:eastAsia="Palatino Linotype" w:hAnsi="Palatino Linotype" w:cs="Palatino Linotype"/>
          <w:color w:val="000000"/>
          <w:sz w:val="24"/>
          <w:szCs w:val="24"/>
        </w:rPr>
        <w:t>y haga entrega del sopor</w:t>
      </w:r>
      <w:r w:rsidR="000B51D0" w:rsidRPr="00900A5E">
        <w:rPr>
          <w:rFonts w:ascii="Palatino Linotype" w:eastAsia="Palatino Linotype" w:hAnsi="Palatino Linotype" w:cs="Palatino Linotype"/>
          <w:color w:val="000000"/>
          <w:sz w:val="24"/>
          <w:szCs w:val="24"/>
        </w:rPr>
        <w:t>te documental en donde conste el monto total ejercido para la adquisición o renta de adornos navideños (árboles, nacimientos, luces, piñatas) en el marco de las fiestas decembrinas del año dos mil veinticuatro, incluyendo contrato, factura y fotografía que dé cuenta de dichas compras/rentas.</w:t>
      </w:r>
    </w:p>
    <w:p w:rsidR="000B51D0" w:rsidRPr="00900A5E" w:rsidRDefault="000B51D0" w:rsidP="000B51D0">
      <w:pPr>
        <w:spacing w:line="360" w:lineRule="auto"/>
        <w:ind w:right="49"/>
        <w:jc w:val="both"/>
        <w:rPr>
          <w:rFonts w:ascii="Palatino Linotype" w:eastAsia="Palatino Linotype" w:hAnsi="Palatino Linotype" w:cs="Palatino Linotype"/>
          <w:color w:val="000000"/>
          <w:sz w:val="24"/>
          <w:szCs w:val="24"/>
        </w:rPr>
      </w:pPr>
    </w:p>
    <w:p w:rsidR="006B3523" w:rsidRPr="00900A5E" w:rsidRDefault="006B3523" w:rsidP="006B3523">
      <w:pPr>
        <w:numPr>
          <w:ilvl w:val="0"/>
          <w:numId w:val="3"/>
        </w:numPr>
        <w:spacing w:line="360" w:lineRule="auto"/>
        <w:ind w:left="0" w:right="49" w:firstLine="0"/>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lastRenderedPageBreak/>
        <w:t>En ese tenor y en atención a la información de la cual se ordena su entrega, se refiere que d</w:t>
      </w:r>
      <w:r w:rsidRPr="00900A5E">
        <w:rPr>
          <w:rFonts w:ascii="Palatino Linotype" w:eastAsia="Palatino Linotype" w:hAnsi="Palatino Linotype" w:cs="Palatino Linotype"/>
          <w:sz w:val="24"/>
          <w:szCs w:val="24"/>
        </w:rPr>
        <w:t xml:space="preserve">e conformidad con lo que establecen los artículos 26 y 27 de la Ley de Contratación Pública del Estado de México y Municipios, las adquisiciones, arrendamientos y servicios se adjudicarán a través de licitaciones públicas mediante convocatoria pública o bien, a través de las excepciones a dicho procedimiento, como se observa a continuación: </w:t>
      </w:r>
    </w:p>
    <w:p w:rsidR="006B3523" w:rsidRPr="00900A5E" w:rsidRDefault="006B3523" w:rsidP="006B3523">
      <w:pPr>
        <w:spacing w:line="276" w:lineRule="auto"/>
        <w:ind w:left="567" w:right="560"/>
        <w:jc w:val="center"/>
        <w:rPr>
          <w:rFonts w:ascii="Palatino Linotype" w:eastAsia="Palatino Linotype" w:hAnsi="Palatino Linotype" w:cs="Palatino Linotype"/>
          <w:b/>
          <w:i/>
          <w:sz w:val="24"/>
          <w:szCs w:val="24"/>
        </w:rPr>
      </w:pPr>
      <w:r w:rsidRPr="00900A5E">
        <w:rPr>
          <w:rFonts w:ascii="Palatino Linotype" w:eastAsia="Palatino Linotype" w:hAnsi="Palatino Linotype" w:cs="Palatino Linotype"/>
          <w:b/>
          <w:i/>
          <w:sz w:val="24"/>
          <w:szCs w:val="24"/>
        </w:rPr>
        <w:t>LEY DE CONTRATACIÓN PÚBLICA DEL ESTADO DE MÉXICO Y MUNICIPIO</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b/>
          <w:i/>
          <w:sz w:val="24"/>
          <w:szCs w:val="24"/>
        </w:rPr>
        <w:t>Artículo 26.-</w:t>
      </w:r>
      <w:r w:rsidRPr="00900A5E">
        <w:rPr>
          <w:rFonts w:ascii="Palatino Linotype" w:eastAsia="Palatino Linotype" w:hAnsi="Palatino Linotype" w:cs="Palatino Linotype"/>
          <w:i/>
          <w:sz w:val="24"/>
          <w:szCs w:val="24"/>
        </w:rPr>
        <w:t xml:space="preserve"> Las adquisiciones, arrendamientos y servicios se adjudicarán a través de licitaciones públicas, mediante convocatoria pública. </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b/>
          <w:i/>
          <w:sz w:val="24"/>
          <w:szCs w:val="24"/>
        </w:rPr>
        <w:t>Artículo 27.-</w:t>
      </w:r>
      <w:r w:rsidRPr="00900A5E">
        <w:rPr>
          <w:rFonts w:ascii="Palatino Linotype" w:eastAsia="Palatino Linotype" w:hAnsi="Palatino Linotype" w:cs="Palatino Linotype"/>
          <w:i/>
          <w:sz w:val="24"/>
          <w:szCs w:val="24"/>
        </w:rPr>
        <w:t xml:space="preserve"> La Secretaría, las entidades, los tribunales administrativos y los ayuntamientos podrán adjudicar adquisiciones, arrendamientos y servicios, mediante las excepciones al procedimiento de licitación que a continuación se señalan: I. Invitación restringida. II. Adjudicación directa.</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p>
    <w:p w:rsidR="006B3523" w:rsidRPr="00900A5E" w:rsidRDefault="006B3523" w:rsidP="00900A5E">
      <w:pPr>
        <w:pStyle w:val="Prrafodelista"/>
        <w:numPr>
          <w:ilvl w:val="0"/>
          <w:numId w:val="3"/>
        </w:numPr>
        <w:spacing w:line="360" w:lineRule="auto"/>
        <w:ind w:left="0" w:right="49" w:firstLine="0"/>
        <w:jc w:val="both"/>
        <w:rPr>
          <w:rFonts w:ascii="Palatino Linotype" w:eastAsia="Palatino Linotype" w:hAnsi="Palatino Linotype" w:cs="Palatino Linotype"/>
          <w:sz w:val="24"/>
          <w:szCs w:val="24"/>
        </w:rPr>
      </w:pPr>
      <w:r w:rsidRPr="00900A5E">
        <w:rPr>
          <w:rFonts w:ascii="Palatino Linotype" w:eastAsia="Palatino Linotype" w:hAnsi="Palatino Linotype" w:cs="Palatino Linotype"/>
          <w:sz w:val="24"/>
          <w:szCs w:val="24"/>
        </w:rPr>
        <w:t xml:space="preserve">Respecto al procedimiento de </w:t>
      </w:r>
      <w:r w:rsidRPr="00900A5E">
        <w:rPr>
          <w:rFonts w:ascii="Palatino Linotype" w:eastAsia="Palatino Linotype" w:hAnsi="Palatino Linotype" w:cs="Palatino Linotype"/>
          <w:b/>
          <w:sz w:val="24"/>
          <w:szCs w:val="24"/>
        </w:rPr>
        <w:t>licitación pública</w:t>
      </w:r>
      <w:r w:rsidRPr="00900A5E">
        <w:rPr>
          <w:rFonts w:ascii="Palatino Linotype" w:eastAsia="Palatino Linotype" w:hAnsi="Palatino Linotype" w:cs="Palatino Linotype"/>
          <w:sz w:val="24"/>
          <w:szCs w:val="24"/>
        </w:rPr>
        <w:t>, es de mencionar que de acuerdo con el Banco Interamericano de Desarrollo, la licitación es un procedimiento formal y competitivo de adquisiciones, mediante el cual se solicitan, reciben y evalúan ofertas para la adquisición de bienes, obras o servicios y se adjudica el contrato correspondiente al licitador que ofrezca la propuesta más ventajosa. (Desarrollo, 1995)</w:t>
      </w:r>
    </w:p>
    <w:p w:rsidR="006B3523" w:rsidRPr="00900A5E" w:rsidRDefault="006B3523" w:rsidP="006B3523">
      <w:pPr>
        <w:spacing w:line="360" w:lineRule="auto"/>
        <w:ind w:right="49"/>
        <w:jc w:val="both"/>
        <w:rPr>
          <w:rFonts w:ascii="Palatino Linotype" w:eastAsia="Palatino Linotype" w:hAnsi="Palatino Linotype" w:cs="Palatino Linotype"/>
          <w:sz w:val="24"/>
          <w:szCs w:val="24"/>
        </w:rPr>
      </w:pPr>
    </w:p>
    <w:p w:rsidR="006B3523" w:rsidRPr="00900A5E" w:rsidRDefault="006B3523" w:rsidP="00900A5E">
      <w:pPr>
        <w:pStyle w:val="Prrafodelista"/>
        <w:numPr>
          <w:ilvl w:val="0"/>
          <w:numId w:val="3"/>
        </w:numPr>
        <w:spacing w:line="360" w:lineRule="auto"/>
        <w:ind w:left="0" w:right="49" w:firstLine="0"/>
        <w:jc w:val="both"/>
        <w:rPr>
          <w:rFonts w:ascii="Palatino Linotype" w:eastAsia="Palatino Linotype" w:hAnsi="Palatino Linotype" w:cs="Palatino Linotype"/>
          <w:sz w:val="24"/>
          <w:szCs w:val="24"/>
        </w:rPr>
      </w:pPr>
      <w:r w:rsidRPr="00900A5E">
        <w:rPr>
          <w:rFonts w:ascii="Palatino Linotype" w:eastAsia="Palatino Linotype" w:hAnsi="Palatino Linotype" w:cs="Palatino Linotype"/>
          <w:sz w:val="24"/>
          <w:szCs w:val="24"/>
        </w:rPr>
        <w:t xml:space="preserve">En cuando hace a la </w:t>
      </w:r>
      <w:r w:rsidRPr="00900A5E">
        <w:rPr>
          <w:rFonts w:ascii="Palatino Linotype" w:eastAsia="Palatino Linotype" w:hAnsi="Palatino Linotype" w:cs="Palatino Linotype"/>
          <w:b/>
          <w:sz w:val="24"/>
          <w:szCs w:val="24"/>
        </w:rPr>
        <w:t>adjudicación directa</w:t>
      </w:r>
      <w:r w:rsidRPr="00900A5E">
        <w:rPr>
          <w:rFonts w:ascii="Palatino Linotype" w:eastAsia="Palatino Linotype" w:hAnsi="Palatino Linotype" w:cs="Palatino Linotype"/>
          <w:sz w:val="24"/>
          <w:szCs w:val="24"/>
        </w:rPr>
        <w:t xml:space="preserve">, la Secretaría de la Función Pública, (consultable en </w:t>
      </w:r>
      <w:hyperlink r:id="rId12">
        <w:r w:rsidRPr="00900A5E">
          <w:rPr>
            <w:rFonts w:ascii="Palatino Linotype" w:eastAsia="Palatino Linotype" w:hAnsi="Palatino Linotype" w:cs="Palatino Linotype"/>
            <w:sz w:val="24"/>
            <w:szCs w:val="24"/>
            <w:u w:val="single"/>
          </w:rPr>
          <w:t>https://www.gob.mx/sfp/acciones-y-programas/1-3-3-adjudicacion-directa</w:t>
        </w:r>
      </w:hyperlink>
      <w:r w:rsidRPr="00900A5E">
        <w:rPr>
          <w:rFonts w:ascii="Palatino Linotype" w:eastAsia="Palatino Linotype" w:hAnsi="Palatino Linotype" w:cs="Palatino Linotype"/>
          <w:sz w:val="24"/>
          <w:szCs w:val="24"/>
        </w:rPr>
        <w:t xml:space="preserve">), establece que es un procedimiento que se realiza sin puesta en concurrencia y por ende, sin que exista competencia, adjudicándose el contrato a un proveedor que ha sido preseleccionado para tales efectos por la dependencia o entidad. </w:t>
      </w:r>
    </w:p>
    <w:p w:rsidR="006B3523" w:rsidRPr="00900A5E" w:rsidRDefault="006B3523" w:rsidP="00900A5E">
      <w:pPr>
        <w:pStyle w:val="Prrafodelista"/>
        <w:numPr>
          <w:ilvl w:val="0"/>
          <w:numId w:val="3"/>
        </w:numPr>
        <w:spacing w:line="360" w:lineRule="auto"/>
        <w:ind w:left="0" w:right="49" w:firstLine="0"/>
        <w:jc w:val="both"/>
        <w:rPr>
          <w:rFonts w:ascii="Palatino Linotype" w:eastAsia="Palatino Linotype" w:hAnsi="Palatino Linotype" w:cs="Palatino Linotype"/>
          <w:sz w:val="24"/>
          <w:szCs w:val="24"/>
        </w:rPr>
      </w:pPr>
      <w:r w:rsidRPr="00900A5E">
        <w:rPr>
          <w:rFonts w:ascii="Palatino Linotype" w:eastAsia="Palatino Linotype" w:hAnsi="Palatino Linotype" w:cs="Palatino Linotype"/>
          <w:sz w:val="24"/>
          <w:szCs w:val="24"/>
        </w:rPr>
        <w:lastRenderedPageBreak/>
        <w:t xml:space="preserve">Por último, respecto a la </w:t>
      </w:r>
      <w:r w:rsidRPr="00900A5E">
        <w:rPr>
          <w:rFonts w:ascii="Palatino Linotype" w:eastAsia="Palatino Linotype" w:hAnsi="Palatino Linotype" w:cs="Palatino Linotype"/>
          <w:b/>
          <w:sz w:val="24"/>
          <w:szCs w:val="24"/>
        </w:rPr>
        <w:t>invitación restringida a cuando menos tres proveedores</w:t>
      </w:r>
      <w:r w:rsidRPr="00900A5E">
        <w:rPr>
          <w:rFonts w:ascii="Palatino Linotype" w:eastAsia="Palatino Linotype" w:hAnsi="Palatino Linotype" w:cs="Palatino Linotype"/>
          <w:sz w:val="24"/>
          <w:szCs w:val="24"/>
        </w:rPr>
        <w:t xml:space="preserve">, la Secretaría de la Contraloría (consultable en </w:t>
      </w:r>
      <w:hyperlink r:id="rId13" w:anchor=":~:text=Es%20un%20procedimiento%20administrativo%2C%20de,tres%20oferentes%20a%20presentar%20propuestas%2C">
        <w:r w:rsidRPr="00900A5E">
          <w:rPr>
            <w:rFonts w:ascii="Palatino Linotype" w:eastAsia="Palatino Linotype" w:hAnsi="Palatino Linotype" w:cs="Palatino Linotype"/>
            <w:sz w:val="24"/>
            <w:szCs w:val="24"/>
            <w:u w:val="single"/>
          </w:rPr>
          <w:t>http://www.contraloriadf.gob.mx/contraloria/cursos/ADQUISICIONES/paginas/32.php#:~:text=Es%20un%20procedimiento%20administrativo%2C%20de,tres%20oferentes%20a%20presentar%20propuestas%2C</w:t>
        </w:r>
      </w:hyperlink>
      <w:r w:rsidRPr="00900A5E">
        <w:rPr>
          <w:rFonts w:ascii="Palatino Linotype" w:eastAsia="Palatino Linotype" w:hAnsi="Palatino Linotype" w:cs="Palatino Linotype"/>
          <w:sz w:val="24"/>
          <w:szCs w:val="24"/>
        </w:rPr>
        <w:t>) precisa que es un procedimiento de excepción a la licitación pública que permite a las dependencias, unidades administrativas, órganos desconcentrados y entidades, en forma discrecional, realizar un procedimiento para adquirir, arrendar o contratar, invitando a por lo menos tres oferentes a presentar propuestas.</w:t>
      </w:r>
    </w:p>
    <w:p w:rsidR="006B3523" w:rsidRPr="00900A5E" w:rsidRDefault="006B3523" w:rsidP="006B3523">
      <w:pPr>
        <w:spacing w:line="360" w:lineRule="auto"/>
        <w:ind w:right="49"/>
        <w:jc w:val="both"/>
        <w:rPr>
          <w:rFonts w:ascii="Palatino Linotype" w:eastAsia="Palatino Linotype" w:hAnsi="Palatino Linotype" w:cs="Palatino Linotype"/>
          <w:sz w:val="24"/>
          <w:szCs w:val="24"/>
        </w:rPr>
      </w:pPr>
    </w:p>
    <w:p w:rsidR="006B3523" w:rsidRPr="00900A5E" w:rsidRDefault="006B3523" w:rsidP="00900A5E">
      <w:pPr>
        <w:pStyle w:val="Prrafodelista"/>
        <w:numPr>
          <w:ilvl w:val="0"/>
          <w:numId w:val="3"/>
        </w:numPr>
        <w:spacing w:line="360" w:lineRule="auto"/>
        <w:ind w:left="0" w:right="49" w:firstLine="0"/>
        <w:jc w:val="both"/>
        <w:rPr>
          <w:rFonts w:ascii="Palatino Linotype" w:eastAsia="Palatino Linotype" w:hAnsi="Palatino Linotype" w:cs="Palatino Linotype"/>
          <w:sz w:val="24"/>
          <w:szCs w:val="24"/>
        </w:rPr>
      </w:pPr>
      <w:r w:rsidRPr="00900A5E">
        <w:rPr>
          <w:rFonts w:ascii="Palatino Linotype" w:eastAsia="Palatino Linotype" w:hAnsi="Palatino Linotype" w:cs="Palatino Linotype"/>
          <w:sz w:val="24"/>
          <w:szCs w:val="24"/>
        </w:rPr>
        <w:t xml:space="preserve">Ahora bien, es de precisar que la Ley Orgánica Municipal del Estado de México en su artículo 31 señala que son atribuciones de los ayuntamientos, las siguientes: </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b/>
          <w:i/>
          <w:sz w:val="24"/>
          <w:szCs w:val="24"/>
        </w:rPr>
        <w:t>Artículo 31.-</w:t>
      </w:r>
      <w:r w:rsidRPr="00900A5E">
        <w:rPr>
          <w:rFonts w:ascii="Palatino Linotype" w:eastAsia="Palatino Linotype" w:hAnsi="Palatino Linotype" w:cs="Palatino Linotype"/>
          <w:i/>
          <w:sz w:val="24"/>
          <w:szCs w:val="24"/>
        </w:rPr>
        <w:t xml:space="preserve"> Son atribuciones de los ayuntamientos:</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VII. Convenir, contratar o concesionar, en términos de ley, la ejecución de obras y la prestación de servicios públicos, con el Estado, con otros municipios de la entidad o con particulares, recabando, cuando proceda, la autorización de la Legislatura del Estado;</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w:t>
      </w:r>
    </w:p>
    <w:p w:rsidR="006B3523" w:rsidRPr="00900A5E" w:rsidRDefault="006B3523" w:rsidP="006B3523">
      <w:pPr>
        <w:spacing w:line="360" w:lineRule="auto"/>
        <w:ind w:right="49"/>
        <w:jc w:val="both"/>
        <w:rPr>
          <w:rFonts w:ascii="Palatino Linotype" w:eastAsia="Palatino Linotype" w:hAnsi="Palatino Linotype" w:cs="Palatino Linotype"/>
          <w:sz w:val="24"/>
          <w:szCs w:val="24"/>
        </w:rPr>
      </w:pPr>
    </w:p>
    <w:p w:rsidR="006B3523" w:rsidRPr="00900A5E" w:rsidRDefault="006B3523" w:rsidP="00900A5E">
      <w:pPr>
        <w:pStyle w:val="Prrafodelista"/>
        <w:numPr>
          <w:ilvl w:val="0"/>
          <w:numId w:val="3"/>
        </w:numPr>
        <w:spacing w:line="360" w:lineRule="auto"/>
        <w:ind w:left="0" w:right="49" w:firstLine="0"/>
        <w:jc w:val="both"/>
        <w:rPr>
          <w:rFonts w:ascii="Palatino Linotype" w:eastAsia="Palatino Linotype" w:hAnsi="Palatino Linotype" w:cs="Palatino Linotype"/>
          <w:sz w:val="24"/>
          <w:szCs w:val="24"/>
        </w:rPr>
      </w:pPr>
      <w:r w:rsidRPr="00900A5E">
        <w:rPr>
          <w:rFonts w:ascii="Palatino Linotype" w:eastAsia="Palatino Linotype" w:hAnsi="Palatino Linotype" w:cs="Palatino Linotype"/>
          <w:sz w:val="24"/>
          <w:szCs w:val="24"/>
        </w:rPr>
        <w:t xml:space="preserve">En ese sentido, de acuerdo con lo que establece el artículo 54 del Bando Municipal de Coacalco de Berriozábal, corresponde a la Dirección de Administración planear, establecer y difundir entre las Dependencias las políticas y procedimientos necesarios para el control eficiente de los recursos materiales, tecnológicos, de servicios generales y capital humano, como se observa a continuación: </w:t>
      </w:r>
    </w:p>
    <w:p w:rsidR="006B3523" w:rsidRPr="00900A5E" w:rsidRDefault="006B3523" w:rsidP="006B3523">
      <w:pPr>
        <w:spacing w:line="360" w:lineRule="auto"/>
        <w:ind w:right="49"/>
        <w:jc w:val="both"/>
        <w:rPr>
          <w:rFonts w:ascii="Palatino Linotype" w:eastAsia="Palatino Linotype" w:hAnsi="Palatino Linotype" w:cs="Palatino Linotype"/>
          <w:sz w:val="24"/>
          <w:szCs w:val="24"/>
        </w:rPr>
      </w:pP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b/>
          <w:i/>
          <w:sz w:val="24"/>
          <w:szCs w:val="24"/>
        </w:rPr>
        <w:lastRenderedPageBreak/>
        <w:t>Artículo 54.</w:t>
      </w:r>
      <w:r w:rsidRPr="00900A5E">
        <w:rPr>
          <w:rFonts w:ascii="Palatino Linotype" w:eastAsia="Palatino Linotype" w:hAnsi="Palatino Linotype" w:cs="Palatino Linotype"/>
          <w:i/>
          <w:sz w:val="24"/>
          <w:szCs w:val="24"/>
        </w:rPr>
        <w:t xml:space="preserve"> Corresponde a la Dirección de Administración planear, establecer y difundir entre las Dependencias de la Administración Pública Municipal, las políticas y procedimientos necesarios para el control eficiente de los recursos materiales, tecnológicos, de servicios generales y capital humano que se proporcionan a las Dependencias y Unidades Administrativas en todas sus modalidades; asignará el personal que las áreas requieran, facilitará los programas y cursos correspondientes para la certificación, profesionalización y capacitación de los servidores públicos, para el debido cumplimiento de sus funciones y atribuciones y, satisfacer las sociedades generales que constituyen el objeto de los servicios y funciones públicas; todas aquellas que contienen superior jerárquico, las leyes y demás disposiciones jurídicas aplicables.</w:t>
      </w:r>
    </w:p>
    <w:p w:rsidR="006B3523" w:rsidRPr="00900A5E" w:rsidRDefault="006B3523" w:rsidP="006B3523">
      <w:pPr>
        <w:spacing w:line="360" w:lineRule="auto"/>
        <w:ind w:right="49"/>
        <w:jc w:val="both"/>
        <w:rPr>
          <w:rFonts w:ascii="Palatino Linotype" w:eastAsia="Palatino Linotype" w:hAnsi="Palatino Linotype" w:cs="Palatino Linotype"/>
          <w:sz w:val="24"/>
          <w:szCs w:val="24"/>
        </w:rPr>
      </w:pPr>
    </w:p>
    <w:p w:rsidR="006B3523" w:rsidRPr="00900A5E" w:rsidRDefault="006B3523" w:rsidP="00900A5E">
      <w:pPr>
        <w:pStyle w:val="Prrafodelista"/>
        <w:numPr>
          <w:ilvl w:val="0"/>
          <w:numId w:val="3"/>
        </w:numPr>
        <w:spacing w:line="360" w:lineRule="auto"/>
        <w:ind w:left="0" w:right="49" w:firstLine="0"/>
        <w:jc w:val="both"/>
        <w:rPr>
          <w:rFonts w:ascii="Palatino Linotype" w:eastAsia="Palatino Linotype" w:hAnsi="Palatino Linotype" w:cs="Palatino Linotype"/>
          <w:sz w:val="24"/>
          <w:szCs w:val="24"/>
        </w:rPr>
      </w:pPr>
      <w:r w:rsidRPr="00900A5E">
        <w:rPr>
          <w:rFonts w:ascii="Palatino Linotype" w:eastAsia="Palatino Linotype" w:hAnsi="Palatino Linotype" w:cs="Palatino Linotype"/>
          <w:sz w:val="24"/>
          <w:szCs w:val="24"/>
        </w:rPr>
        <w:t xml:space="preserve">Por otra parte, el Reglamento Interno de la Administración Pública Municipal de Coacalco de Berriozábal, precisa que la Dirección de Administración, tendrá las siguientes atribuciones y se auxiliará de diversas unidades administrativas que son: </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b/>
          <w:i/>
          <w:sz w:val="24"/>
          <w:szCs w:val="24"/>
        </w:rPr>
        <w:t>Artículo 52.</w:t>
      </w:r>
      <w:r w:rsidRPr="00900A5E">
        <w:rPr>
          <w:rFonts w:ascii="Palatino Linotype" w:eastAsia="Palatino Linotype" w:hAnsi="Palatino Linotype" w:cs="Palatino Linotype"/>
          <w:i/>
          <w:sz w:val="24"/>
          <w:szCs w:val="24"/>
        </w:rPr>
        <w:t xml:space="preserve"> La Dirección de Administración tendrá las atribuciones siguientes: </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 xml:space="preserve">XVII. Realizar la adquisición de bienes y la contratación de servicios, a través de los procedimientos de adjudicación establecidos en las disposiciones legales aplicables y vigentes. </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XX. Mantener actualizado el catálogo de proveedores y prestadores de servicios;</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 xml:space="preserve">XXI. Informar a la Secretaría del Ayuntamiento la adquisición de bienes de activo fijo. </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 xml:space="preserve">XXIV. Suscribir contratos de adquisiciones de bienes muebles y servicios; </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 xml:space="preserve">XXVIII. Formar parte del comité de adquisiciones de bienes y servicios del Ayuntamiento; </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b/>
          <w:i/>
          <w:sz w:val="24"/>
          <w:szCs w:val="24"/>
        </w:rPr>
        <w:t>Artículo 53.</w:t>
      </w:r>
      <w:r w:rsidRPr="00900A5E">
        <w:rPr>
          <w:rFonts w:ascii="Palatino Linotype" w:eastAsia="Palatino Linotype" w:hAnsi="Palatino Linotype" w:cs="Palatino Linotype"/>
          <w:i/>
          <w:sz w:val="24"/>
          <w:szCs w:val="24"/>
        </w:rPr>
        <w:t xml:space="preserve"> Para el despacho de los asuntos de su competencia, la Dirección de Administración se auxiliará de las siguientes unidades administrativas: </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 xml:space="preserve">I. Enlace Administrativo. </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lastRenderedPageBreak/>
        <w:t xml:space="preserve">1. Subdirección de Capital Humano. </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 xml:space="preserve">I. Coordinación de Capital Humano y Relaciones Laborales. </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 xml:space="preserve">II. Coordinación de Capacitación, Profesionalización y Capital Humano. </w:t>
      </w:r>
    </w:p>
    <w:p w:rsidR="006B3523" w:rsidRPr="00900A5E" w:rsidRDefault="006B3523" w:rsidP="006B3523">
      <w:pPr>
        <w:spacing w:line="276" w:lineRule="auto"/>
        <w:ind w:left="567" w:right="560"/>
        <w:jc w:val="both"/>
        <w:rPr>
          <w:rFonts w:ascii="Palatino Linotype" w:eastAsia="Palatino Linotype" w:hAnsi="Palatino Linotype" w:cs="Palatino Linotype"/>
          <w:b/>
          <w:i/>
          <w:sz w:val="24"/>
          <w:szCs w:val="24"/>
        </w:rPr>
      </w:pPr>
      <w:r w:rsidRPr="00900A5E">
        <w:rPr>
          <w:rFonts w:ascii="Palatino Linotype" w:eastAsia="Palatino Linotype" w:hAnsi="Palatino Linotype" w:cs="Palatino Linotype"/>
          <w:b/>
          <w:i/>
          <w:sz w:val="24"/>
          <w:szCs w:val="24"/>
        </w:rPr>
        <w:t xml:space="preserve">2. Subdirección de Adquisiciones y Recursos Materiales. </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 xml:space="preserve">I. Coordinación de Control de Taller Vehicular y Combustible. </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 xml:space="preserve">II. Coordinación de Servicios Generales y Almacén. </w:t>
      </w:r>
    </w:p>
    <w:p w:rsidR="006B3523" w:rsidRPr="00900A5E" w:rsidRDefault="006B3523" w:rsidP="006B3523">
      <w:pPr>
        <w:spacing w:line="276" w:lineRule="auto"/>
        <w:ind w:left="567" w:right="560"/>
        <w:jc w:val="both"/>
        <w:rPr>
          <w:rFonts w:ascii="Palatino Linotype" w:eastAsia="Palatino Linotype" w:hAnsi="Palatino Linotype" w:cs="Palatino Linotype"/>
          <w:b/>
          <w:i/>
          <w:sz w:val="24"/>
          <w:szCs w:val="24"/>
        </w:rPr>
      </w:pPr>
      <w:r w:rsidRPr="00900A5E">
        <w:rPr>
          <w:rFonts w:ascii="Palatino Linotype" w:eastAsia="Palatino Linotype" w:hAnsi="Palatino Linotype" w:cs="Palatino Linotype"/>
          <w:b/>
          <w:i/>
          <w:sz w:val="24"/>
          <w:szCs w:val="24"/>
        </w:rPr>
        <w:t xml:space="preserve">III. Coordinación de Contratos y Licitaciones. </w:t>
      </w:r>
    </w:p>
    <w:p w:rsidR="006B3523" w:rsidRPr="00900A5E" w:rsidRDefault="006B3523" w:rsidP="006B3523">
      <w:pPr>
        <w:spacing w:line="360" w:lineRule="auto"/>
        <w:ind w:right="49"/>
        <w:jc w:val="both"/>
        <w:rPr>
          <w:rFonts w:ascii="Palatino Linotype" w:eastAsia="Palatino Linotype" w:hAnsi="Palatino Linotype" w:cs="Palatino Linotype"/>
          <w:sz w:val="24"/>
          <w:szCs w:val="24"/>
        </w:rPr>
      </w:pPr>
    </w:p>
    <w:p w:rsidR="006B3523" w:rsidRPr="00900A5E" w:rsidRDefault="006B3523" w:rsidP="00900A5E">
      <w:pPr>
        <w:pStyle w:val="Prrafodelista"/>
        <w:numPr>
          <w:ilvl w:val="0"/>
          <w:numId w:val="3"/>
        </w:numPr>
        <w:spacing w:line="360" w:lineRule="auto"/>
        <w:ind w:left="0" w:right="49" w:firstLine="0"/>
        <w:jc w:val="both"/>
        <w:rPr>
          <w:rFonts w:ascii="Palatino Linotype" w:eastAsia="Palatino Linotype" w:hAnsi="Palatino Linotype" w:cs="Palatino Linotype"/>
          <w:sz w:val="24"/>
          <w:szCs w:val="24"/>
        </w:rPr>
      </w:pPr>
      <w:r w:rsidRPr="00900A5E">
        <w:rPr>
          <w:rFonts w:ascii="Palatino Linotype" w:eastAsia="Palatino Linotype" w:hAnsi="Palatino Linotype" w:cs="Palatino Linotype"/>
          <w:sz w:val="24"/>
          <w:szCs w:val="24"/>
        </w:rPr>
        <w:t xml:space="preserve">Por otro lado, en lo que respecta a nuestra materia, la Ley de Transparencia y Acceso a la Información Pública del Estado de México y Municipios, precisa en su artículo 92, fracción XXIX que la información relacionada con dichos procedimientos, incluyendo la versión pública del expediente respectivo y de los contratos celebrados, debe ser puesta a disposición de los particulares de manera actualizada y permanente, tal como se observa a continuación: </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b/>
          <w:i/>
          <w:sz w:val="24"/>
          <w:szCs w:val="24"/>
        </w:rPr>
        <w:t>Artículo 92.</w:t>
      </w:r>
      <w:r w:rsidRPr="00900A5E">
        <w:rPr>
          <w:rFonts w:ascii="Palatino Linotype" w:eastAsia="Palatino Linotype" w:hAnsi="Palatino Linotype" w:cs="Palatino Linotype"/>
          <w:i/>
          <w:sz w:val="24"/>
          <w:szCs w:val="24"/>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b/>
          <w:i/>
          <w:sz w:val="24"/>
          <w:szCs w:val="24"/>
        </w:rPr>
        <w:t>XXIX.</w:t>
      </w:r>
      <w:r w:rsidRPr="00900A5E">
        <w:rPr>
          <w:rFonts w:ascii="Palatino Linotype" w:eastAsia="Palatino Linotype" w:hAnsi="Palatino Linotype" w:cs="Palatino Linotype"/>
          <w:i/>
          <w:sz w:val="24"/>
          <w:szCs w:val="24"/>
        </w:rPr>
        <w:t xml:space="preserve"> La información sobre los procesos y resultados sobre procedimientos de adjudicación directa, invitación restringida y licitación de cualquier naturaleza, incluyendo la versión pública del expediente respectivo y de los contratos celebrados, que deberán contener, por los menos, lo siguiente: </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p>
    <w:p w:rsidR="006B3523" w:rsidRPr="00900A5E" w:rsidRDefault="006B3523" w:rsidP="006B3523">
      <w:pPr>
        <w:spacing w:line="276" w:lineRule="auto"/>
        <w:ind w:left="567" w:right="560"/>
        <w:jc w:val="both"/>
        <w:rPr>
          <w:rFonts w:ascii="Palatino Linotype" w:eastAsia="Palatino Linotype" w:hAnsi="Palatino Linotype" w:cs="Palatino Linotype"/>
          <w:b/>
          <w:i/>
          <w:sz w:val="24"/>
          <w:szCs w:val="24"/>
        </w:rPr>
      </w:pPr>
      <w:r w:rsidRPr="00900A5E">
        <w:rPr>
          <w:rFonts w:ascii="Palatino Linotype" w:eastAsia="Palatino Linotype" w:hAnsi="Palatino Linotype" w:cs="Palatino Linotype"/>
          <w:b/>
          <w:i/>
          <w:sz w:val="24"/>
          <w:szCs w:val="24"/>
        </w:rPr>
        <w:t xml:space="preserve">a) De licitaciones públicas o procedimientos de invitación restringida: </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 xml:space="preserve">1) La convocatoria o invitación emitida, así como los fundamentos legales aplicados para llevarla a cabo; </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 xml:space="preserve">2) Los nombres de los participantes o invitados; </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lastRenderedPageBreak/>
        <w:t xml:space="preserve">3) El nombre del ganador y las razones que lo justifican; </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 xml:space="preserve">4) El área solicitante y la responsable de su ejecución; </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5) Las convocatorias e invitaciones emitidas;</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 xml:space="preserve">6) Los dictámenes y fallo de adjudicación; </w:t>
      </w:r>
    </w:p>
    <w:p w:rsidR="006B3523" w:rsidRPr="00900A5E" w:rsidRDefault="006B3523" w:rsidP="006B3523">
      <w:pPr>
        <w:spacing w:line="276" w:lineRule="auto"/>
        <w:ind w:left="567" w:right="560"/>
        <w:jc w:val="both"/>
        <w:rPr>
          <w:rFonts w:ascii="Palatino Linotype" w:eastAsia="Palatino Linotype" w:hAnsi="Palatino Linotype" w:cs="Palatino Linotype"/>
          <w:b/>
          <w:i/>
          <w:sz w:val="24"/>
          <w:szCs w:val="24"/>
        </w:rPr>
      </w:pPr>
      <w:r w:rsidRPr="00900A5E">
        <w:rPr>
          <w:rFonts w:ascii="Palatino Linotype" w:eastAsia="Palatino Linotype" w:hAnsi="Palatino Linotype" w:cs="Palatino Linotype"/>
          <w:b/>
          <w:i/>
          <w:sz w:val="24"/>
          <w:szCs w:val="24"/>
        </w:rPr>
        <w:t xml:space="preserve">7) El contrato y, en su caso, sus anexos; </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 xml:space="preserve">8) Los mecanismos de vigilancia y supervisión, incluyendo en su caso, los estudios de impacto urbano y ambiental, según corresponda; </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 xml:space="preserve">9) La partida presupuestal, de conformidad con el clasificador por objeto del gasto, en el caso de ser aplicable; </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 xml:space="preserve">10) Origen de los recursos especificando si son federales, estatales o municipales, así como el tipo de fondo de participación o aportación respectiva; </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 xml:space="preserve">11) Los convenios modificatorios que, en su caso, sean firmados, precisando el objeto y la fecha de celebración; </w:t>
      </w:r>
    </w:p>
    <w:p w:rsidR="006B3523" w:rsidRPr="00900A5E" w:rsidRDefault="006B3523" w:rsidP="006B3523">
      <w:pPr>
        <w:spacing w:line="276" w:lineRule="auto"/>
        <w:ind w:left="567" w:right="560"/>
        <w:jc w:val="both"/>
        <w:rPr>
          <w:rFonts w:ascii="Palatino Linotype" w:eastAsia="Palatino Linotype" w:hAnsi="Palatino Linotype" w:cs="Palatino Linotype"/>
          <w:b/>
          <w:i/>
          <w:sz w:val="24"/>
          <w:szCs w:val="24"/>
          <w:u w:val="single"/>
        </w:rPr>
      </w:pPr>
      <w:r w:rsidRPr="00900A5E">
        <w:rPr>
          <w:rFonts w:ascii="Palatino Linotype" w:eastAsia="Palatino Linotype" w:hAnsi="Palatino Linotype" w:cs="Palatino Linotype"/>
          <w:b/>
          <w:i/>
          <w:sz w:val="24"/>
          <w:szCs w:val="24"/>
          <w:u w:val="single"/>
        </w:rPr>
        <w:t xml:space="preserve">12) Los informes de avance físico y financiero sobre las obras o servicios contratados; </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 xml:space="preserve">13) El convenio de terminación; y </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 xml:space="preserve">14) El finiquito. </w:t>
      </w:r>
    </w:p>
    <w:p w:rsidR="006B3523" w:rsidRPr="00900A5E" w:rsidRDefault="006B3523" w:rsidP="006B3523">
      <w:pPr>
        <w:spacing w:line="276" w:lineRule="auto"/>
        <w:ind w:left="567" w:right="560"/>
        <w:jc w:val="both"/>
        <w:rPr>
          <w:rFonts w:ascii="Palatino Linotype" w:eastAsia="Palatino Linotype" w:hAnsi="Palatino Linotype" w:cs="Palatino Linotype"/>
          <w:b/>
          <w:i/>
          <w:sz w:val="24"/>
          <w:szCs w:val="24"/>
        </w:rPr>
      </w:pPr>
    </w:p>
    <w:p w:rsidR="006B3523" w:rsidRPr="00900A5E" w:rsidRDefault="006B3523" w:rsidP="006B3523">
      <w:pPr>
        <w:spacing w:line="276" w:lineRule="auto"/>
        <w:ind w:left="567" w:right="560"/>
        <w:jc w:val="both"/>
        <w:rPr>
          <w:rFonts w:ascii="Palatino Linotype" w:eastAsia="Palatino Linotype" w:hAnsi="Palatino Linotype" w:cs="Palatino Linotype"/>
          <w:b/>
          <w:i/>
          <w:sz w:val="24"/>
          <w:szCs w:val="24"/>
        </w:rPr>
      </w:pPr>
      <w:r w:rsidRPr="00900A5E">
        <w:rPr>
          <w:rFonts w:ascii="Palatino Linotype" w:eastAsia="Palatino Linotype" w:hAnsi="Palatino Linotype" w:cs="Palatino Linotype"/>
          <w:b/>
          <w:i/>
          <w:sz w:val="24"/>
          <w:szCs w:val="24"/>
        </w:rPr>
        <w:t xml:space="preserve">b) De las adjudicaciones directas: </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 xml:space="preserve">1) La propuesta enviada por el participante; </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 xml:space="preserve">2) Los motivos y fundamentos legales aplicados para llevarla a cabo; </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 xml:space="preserve">3) La autorización del ejercicio de la opción; </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 xml:space="preserve">4) En su caso, las cotizaciones consideradas, especificando los nombres de los proveedores y sus montos; </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 xml:space="preserve">5) El nombre de la persona física o jurídica colectiva adjudicada; </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 xml:space="preserve">6) La unidad administrativa solicitante y la responsable de su ejecución; </w:t>
      </w:r>
    </w:p>
    <w:p w:rsidR="006B3523" w:rsidRPr="00900A5E" w:rsidRDefault="006B3523" w:rsidP="006B3523">
      <w:pPr>
        <w:spacing w:line="276" w:lineRule="auto"/>
        <w:ind w:left="567" w:right="560"/>
        <w:jc w:val="both"/>
        <w:rPr>
          <w:rFonts w:ascii="Palatino Linotype" w:eastAsia="Palatino Linotype" w:hAnsi="Palatino Linotype" w:cs="Palatino Linotype"/>
          <w:b/>
          <w:i/>
          <w:sz w:val="24"/>
          <w:szCs w:val="24"/>
        </w:rPr>
      </w:pPr>
      <w:r w:rsidRPr="00900A5E">
        <w:rPr>
          <w:rFonts w:ascii="Palatino Linotype" w:eastAsia="Palatino Linotype" w:hAnsi="Palatino Linotype" w:cs="Palatino Linotype"/>
          <w:b/>
          <w:i/>
          <w:sz w:val="24"/>
          <w:szCs w:val="24"/>
        </w:rPr>
        <w:t xml:space="preserve">7) El número, fecha, el monto del contrato y el plazo de entrega o de ejecución de los servicios u obra; </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 xml:space="preserve">8) Los mecanismos de vigilancia y supervisión, incluyendo, en su caso, los estudios de impacto urbano y ambiental, según corresponda; </w:t>
      </w:r>
    </w:p>
    <w:p w:rsidR="006B3523" w:rsidRPr="00900A5E" w:rsidRDefault="006B3523" w:rsidP="006B3523">
      <w:pPr>
        <w:spacing w:line="276" w:lineRule="auto"/>
        <w:ind w:left="567" w:right="560"/>
        <w:jc w:val="both"/>
        <w:rPr>
          <w:rFonts w:ascii="Palatino Linotype" w:eastAsia="Palatino Linotype" w:hAnsi="Palatino Linotype" w:cs="Palatino Linotype"/>
          <w:b/>
          <w:i/>
          <w:sz w:val="24"/>
          <w:szCs w:val="24"/>
        </w:rPr>
      </w:pPr>
      <w:r w:rsidRPr="00900A5E">
        <w:rPr>
          <w:rFonts w:ascii="Palatino Linotype" w:eastAsia="Palatino Linotype" w:hAnsi="Palatino Linotype" w:cs="Palatino Linotype"/>
          <w:b/>
          <w:i/>
          <w:sz w:val="24"/>
          <w:szCs w:val="24"/>
        </w:rPr>
        <w:lastRenderedPageBreak/>
        <w:t xml:space="preserve">9) Los informes de avance sobre las obras o servicios contratados; </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 xml:space="preserve">10) El convenio de terminación; y </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11) El finiquito.</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r w:rsidRPr="00900A5E">
        <w:rPr>
          <w:rFonts w:ascii="Palatino Linotype" w:eastAsia="Palatino Linotype" w:hAnsi="Palatino Linotype" w:cs="Palatino Linotype"/>
          <w:i/>
          <w:sz w:val="24"/>
          <w:szCs w:val="24"/>
        </w:rPr>
        <w:t>…</w:t>
      </w:r>
    </w:p>
    <w:p w:rsidR="006B3523" w:rsidRPr="00900A5E" w:rsidRDefault="006B3523" w:rsidP="00900A5E">
      <w:pPr>
        <w:spacing w:line="276" w:lineRule="auto"/>
        <w:ind w:left="567" w:right="560"/>
        <w:rPr>
          <w:rFonts w:ascii="Palatino Linotype" w:eastAsia="Palatino Linotype" w:hAnsi="Palatino Linotype" w:cs="Palatino Linotype"/>
          <w:i/>
          <w:sz w:val="24"/>
          <w:szCs w:val="24"/>
        </w:rPr>
      </w:pPr>
      <w:r w:rsidRPr="00900A5E">
        <w:rPr>
          <w:rFonts w:ascii="Palatino Linotype" w:eastAsia="Palatino Linotype" w:hAnsi="Palatino Linotype" w:cs="Palatino Linotype"/>
          <w:b/>
          <w:i/>
          <w:sz w:val="24"/>
          <w:szCs w:val="24"/>
        </w:rPr>
        <w:t>XXXVI. Padrón de proveedores y contratistas;</w:t>
      </w:r>
      <w:r w:rsidRPr="00900A5E">
        <w:rPr>
          <w:rFonts w:ascii="Palatino Linotype" w:eastAsia="Palatino Linotype" w:hAnsi="Palatino Linotype" w:cs="Palatino Linotype"/>
          <w:b/>
          <w:i/>
          <w:sz w:val="24"/>
          <w:szCs w:val="24"/>
        </w:rPr>
        <w:br/>
      </w:r>
      <w:r w:rsidRPr="00900A5E">
        <w:rPr>
          <w:rFonts w:ascii="Palatino Linotype" w:eastAsia="Palatino Linotype" w:hAnsi="Palatino Linotype" w:cs="Palatino Linotype"/>
          <w:i/>
          <w:sz w:val="24"/>
          <w:szCs w:val="24"/>
        </w:rPr>
        <w:t>…</w:t>
      </w:r>
    </w:p>
    <w:p w:rsidR="006B3523" w:rsidRPr="00900A5E" w:rsidRDefault="006B3523" w:rsidP="006B3523">
      <w:pPr>
        <w:spacing w:line="276" w:lineRule="auto"/>
        <w:ind w:left="567" w:right="560"/>
        <w:jc w:val="both"/>
        <w:rPr>
          <w:rFonts w:ascii="Palatino Linotype" w:eastAsia="Palatino Linotype" w:hAnsi="Palatino Linotype" w:cs="Palatino Linotype"/>
          <w:i/>
          <w:sz w:val="24"/>
          <w:szCs w:val="24"/>
        </w:rPr>
      </w:pPr>
    </w:p>
    <w:p w:rsidR="006B3523" w:rsidRPr="00900A5E" w:rsidRDefault="006B3523" w:rsidP="00900A5E">
      <w:pPr>
        <w:pStyle w:val="Prrafodelista"/>
        <w:numPr>
          <w:ilvl w:val="0"/>
          <w:numId w:val="3"/>
        </w:numPr>
        <w:spacing w:line="360" w:lineRule="auto"/>
        <w:ind w:left="0" w:right="49" w:firstLine="0"/>
        <w:jc w:val="both"/>
        <w:rPr>
          <w:rFonts w:ascii="Palatino Linotype" w:eastAsia="Palatino Linotype" w:hAnsi="Palatino Linotype" w:cs="Palatino Linotype"/>
          <w:sz w:val="24"/>
          <w:szCs w:val="24"/>
        </w:rPr>
      </w:pPr>
      <w:r w:rsidRPr="00900A5E">
        <w:rPr>
          <w:rFonts w:ascii="Palatino Linotype" w:eastAsia="Palatino Linotype" w:hAnsi="Palatino Linotype" w:cs="Palatino Linotype"/>
          <w:sz w:val="24"/>
          <w:szCs w:val="24"/>
        </w:rPr>
        <w:t xml:space="preserve">De lo anterior, se advierte que el Sujete Obligado es competente para conocer, generar y administrar la información solicitada, toda vez que esta forma parte de las atribuciones que tiene encomendadas, además de son obligaciones de transparencia, previstas en la Ley en la materia. </w:t>
      </w:r>
    </w:p>
    <w:p w:rsidR="006B3523" w:rsidRPr="00900A5E" w:rsidRDefault="006B3523" w:rsidP="006B3523">
      <w:pPr>
        <w:spacing w:line="360" w:lineRule="auto"/>
        <w:ind w:right="49"/>
        <w:jc w:val="both"/>
        <w:rPr>
          <w:rFonts w:ascii="Palatino Linotype" w:eastAsia="Palatino Linotype" w:hAnsi="Palatino Linotype" w:cs="Palatino Linotype"/>
          <w:sz w:val="24"/>
          <w:szCs w:val="24"/>
        </w:rPr>
      </w:pPr>
    </w:p>
    <w:p w:rsidR="006B3523" w:rsidRPr="00900A5E" w:rsidRDefault="006B3523" w:rsidP="006B3523">
      <w:pPr>
        <w:numPr>
          <w:ilvl w:val="0"/>
          <w:numId w:val="3"/>
        </w:numPr>
        <w:spacing w:line="360" w:lineRule="auto"/>
        <w:ind w:left="0" w:right="49" w:firstLine="0"/>
        <w:jc w:val="both"/>
        <w:rPr>
          <w:rFonts w:ascii="Palatino Linotype" w:eastAsia="Palatino Linotype" w:hAnsi="Palatino Linotype" w:cs="Palatino Linotype"/>
          <w:sz w:val="24"/>
          <w:szCs w:val="24"/>
        </w:rPr>
      </w:pPr>
      <w:r w:rsidRPr="00900A5E">
        <w:rPr>
          <w:rFonts w:ascii="Palatino Linotype" w:eastAsia="Palatino Linotype" w:hAnsi="Palatino Linotype" w:cs="Palatino Linotype"/>
          <w:color w:val="000000"/>
          <w:sz w:val="24"/>
          <w:szCs w:val="24"/>
        </w:rPr>
        <w:t>Asimismo, se infiere que dentro de la información que se ordena entregar pueden existir datos susceptibles de clasificarse, mismos que de manera enunciativa más no limitativa se refieren a continuación:</w:t>
      </w:r>
    </w:p>
    <w:p w:rsidR="006B3523" w:rsidRPr="00900A5E" w:rsidRDefault="006B3523" w:rsidP="006B3523">
      <w:pPr>
        <w:spacing w:line="360" w:lineRule="auto"/>
        <w:ind w:right="49"/>
        <w:jc w:val="both"/>
        <w:rPr>
          <w:rFonts w:ascii="Palatino Linotype" w:hAnsi="Palatino Linotype" w:cs="Arial"/>
          <w:sz w:val="24"/>
          <w:szCs w:val="24"/>
        </w:rPr>
      </w:pPr>
    </w:p>
    <w:p w:rsidR="006B3523" w:rsidRPr="00900A5E" w:rsidRDefault="006B3523" w:rsidP="006B3523">
      <w:pPr>
        <w:numPr>
          <w:ilvl w:val="0"/>
          <w:numId w:val="11"/>
        </w:numPr>
        <w:spacing w:line="360" w:lineRule="auto"/>
        <w:ind w:left="720"/>
        <w:contextualSpacing/>
        <w:jc w:val="both"/>
        <w:rPr>
          <w:rFonts w:ascii="Palatino Linotype" w:hAnsi="Palatino Linotype" w:cs="Tahoma"/>
          <w:b/>
          <w:bCs/>
          <w:sz w:val="24"/>
          <w:szCs w:val="24"/>
        </w:rPr>
      </w:pPr>
      <w:r w:rsidRPr="00900A5E">
        <w:rPr>
          <w:rFonts w:ascii="Palatino Linotype" w:hAnsi="Palatino Linotype" w:cs="Tahoma"/>
          <w:b/>
          <w:bCs/>
          <w:sz w:val="24"/>
          <w:szCs w:val="24"/>
        </w:rPr>
        <w:t>Nombre de personas físicas contratistas.</w:t>
      </w:r>
    </w:p>
    <w:p w:rsidR="006B3523" w:rsidRPr="00900A5E" w:rsidRDefault="006B3523" w:rsidP="00900A5E">
      <w:pPr>
        <w:pStyle w:val="Prrafodelista"/>
        <w:numPr>
          <w:ilvl w:val="0"/>
          <w:numId w:val="3"/>
        </w:numPr>
        <w:spacing w:line="360" w:lineRule="auto"/>
        <w:ind w:left="0" w:right="-93" w:firstLine="0"/>
        <w:jc w:val="both"/>
        <w:rPr>
          <w:rFonts w:ascii="Palatino Linotype" w:hAnsi="Palatino Linotype" w:cs="Tahoma"/>
          <w:bCs/>
          <w:sz w:val="24"/>
          <w:szCs w:val="24"/>
          <w:lang w:val="es-ES_tradnl"/>
        </w:rPr>
      </w:pPr>
      <w:r w:rsidRPr="00900A5E">
        <w:rPr>
          <w:rFonts w:ascii="Palatino Linotype" w:hAnsi="Palatino Linotype" w:cs="Tahoma"/>
          <w:bCs/>
          <w:sz w:val="24"/>
          <w:szCs w:val="24"/>
        </w:rPr>
        <w:t xml:space="preserve">Al respecto, cabe precisar que el nombre se integra </w:t>
      </w:r>
      <w:r w:rsidRPr="00900A5E">
        <w:rPr>
          <w:rFonts w:ascii="Palatino Linotype" w:hAnsi="Palatino Linotype" w:cs="Tahoma"/>
          <w:bCs/>
          <w:sz w:val="24"/>
          <w:szCs w:val="24"/>
          <w:lang w:val="es-ES_tradnl"/>
        </w:rPr>
        <w:t xml:space="preserve">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900A5E">
        <w:rPr>
          <w:rFonts w:ascii="Palatino Linotype" w:hAnsi="Palatino Linotype" w:cs="Tahoma"/>
          <w:bCs/>
          <w:i/>
          <w:sz w:val="24"/>
          <w:szCs w:val="24"/>
          <w:lang w:val="es-ES_tradnl"/>
        </w:rPr>
        <w:t>per se</w:t>
      </w:r>
      <w:r w:rsidRPr="00900A5E">
        <w:rPr>
          <w:rFonts w:ascii="Palatino Linotype" w:hAnsi="Palatino Linotype" w:cs="Tahoma"/>
          <w:bCs/>
          <w:sz w:val="24"/>
          <w:szCs w:val="24"/>
          <w:lang w:val="es-ES_tradnl"/>
        </w:rPr>
        <w:t xml:space="preserve"> es un elemento que hace a una persona física identificada o identificable.</w:t>
      </w:r>
    </w:p>
    <w:p w:rsidR="006B3523" w:rsidRPr="00900A5E" w:rsidRDefault="006B3523" w:rsidP="006B3523">
      <w:pPr>
        <w:spacing w:line="360" w:lineRule="auto"/>
        <w:ind w:right="-93"/>
        <w:jc w:val="both"/>
        <w:rPr>
          <w:rFonts w:ascii="Palatino Linotype" w:hAnsi="Palatino Linotype" w:cs="Tahoma"/>
          <w:bCs/>
          <w:sz w:val="24"/>
          <w:szCs w:val="24"/>
          <w:lang w:val="es-ES_tradnl"/>
        </w:rPr>
      </w:pPr>
    </w:p>
    <w:p w:rsidR="006B3523" w:rsidRPr="00900A5E" w:rsidRDefault="006B3523" w:rsidP="00900A5E">
      <w:pPr>
        <w:pStyle w:val="Prrafodelista"/>
        <w:numPr>
          <w:ilvl w:val="0"/>
          <w:numId w:val="3"/>
        </w:numPr>
        <w:spacing w:line="360" w:lineRule="auto"/>
        <w:ind w:left="0" w:right="-93" w:firstLine="0"/>
        <w:jc w:val="both"/>
        <w:rPr>
          <w:rFonts w:ascii="Palatino Linotype" w:hAnsi="Palatino Linotype" w:cs="Tahoma"/>
          <w:bCs/>
          <w:sz w:val="24"/>
          <w:szCs w:val="24"/>
          <w:lang w:val="es-ES_tradnl"/>
        </w:rPr>
      </w:pPr>
      <w:r w:rsidRPr="00900A5E">
        <w:rPr>
          <w:rFonts w:ascii="Palatino Linotype" w:hAnsi="Palatino Linotype" w:cs="Tahoma"/>
          <w:bCs/>
          <w:sz w:val="24"/>
          <w:szCs w:val="24"/>
          <w:lang w:val="es-ES_tradnl"/>
        </w:rPr>
        <w:t xml:space="preserve">En ese contexto, es importante mencionar que si bien es cierto que el nombre de una persona es atributo de la personalidad, de conformidad con la legislación civil, al tratarse de un </w:t>
      </w:r>
      <w:r w:rsidRPr="00900A5E">
        <w:rPr>
          <w:rFonts w:ascii="Palatino Linotype" w:hAnsi="Palatino Linotype" w:cs="Tahoma"/>
          <w:bCs/>
          <w:sz w:val="24"/>
          <w:szCs w:val="24"/>
          <w:lang w:val="es-ES_tradnl"/>
        </w:rPr>
        <w:lastRenderedPageBreak/>
        <w:t xml:space="preserve">dato personal hace identificable a su titular, además la Ley de Transparencia y Acceso a la Información Pública del Estado de México y Municipios ha establecido un régimen de excepción tratándose de </w:t>
      </w:r>
      <w:r w:rsidRPr="00900A5E">
        <w:rPr>
          <w:rFonts w:ascii="Palatino Linotype" w:hAnsi="Palatino Linotype" w:cs="Tahoma"/>
          <w:b/>
          <w:bCs/>
          <w:sz w:val="24"/>
          <w:szCs w:val="24"/>
          <w:lang w:val="es-ES_tradnl"/>
        </w:rPr>
        <w:t>los nombres de aquellos que reciben recursos públicos (contratistas),</w:t>
      </w:r>
      <w:r w:rsidRPr="00900A5E">
        <w:rPr>
          <w:rFonts w:ascii="Palatino Linotype" w:hAnsi="Palatino Linotype" w:cs="Tahoma"/>
          <w:bCs/>
          <w:sz w:val="24"/>
          <w:szCs w:val="24"/>
          <w:lang w:val="es-ES_tradnl"/>
        </w:rPr>
        <w:t xml:space="preserve"> ya que la difusión de dicho dato constituye una obligación de transparencia por parte de los sujetos obligados.</w:t>
      </w:r>
    </w:p>
    <w:p w:rsidR="006B3523" w:rsidRPr="00900A5E" w:rsidRDefault="006B3523" w:rsidP="006B3523">
      <w:pPr>
        <w:spacing w:line="360" w:lineRule="auto"/>
        <w:ind w:right="-93"/>
        <w:jc w:val="both"/>
        <w:rPr>
          <w:rFonts w:ascii="Palatino Linotype" w:hAnsi="Palatino Linotype" w:cs="Tahoma"/>
          <w:bCs/>
          <w:sz w:val="24"/>
          <w:szCs w:val="24"/>
          <w:lang w:val="es-ES_tradnl"/>
        </w:rPr>
      </w:pPr>
    </w:p>
    <w:p w:rsidR="006B3523" w:rsidRPr="00900A5E" w:rsidRDefault="006B3523" w:rsidP="00900A5E">
      <w:pPr>
        <w:pStyle w:val="Prrafodelista"/>
        <w:numPr>
          <w:ilvl w:val="0"/>
          <w:numId w:val="3"/>
        </w:numPr>
        <w:spacing w:line="360" w:lineRule="auto"/>
        <w:ind w:left="0" w:right="-93" w:firstLine="0"/>
        <w:jc w:val="both"/>
        <w:rPr>
          <w:rFonts w:ascii="Palatino Linotype" w:hAnsi="Palatino Linotype" w:cs="Tahoma"/>
          <w:b/>
          <w:bCs/>
          <w:sz w:val="24"/>
          <w:szCs w:val="24"/>
          <w:lang w:val="es-ES_tradnl"/>
        </w:rPr>
      </w:pPr>
      <w:r w:rsidRPr="00900A5E">
        <w:rPr>
          <w:rFonts w:ascii="Palatino Linotype" w:hAnsi="Palatino Linotype" w:cs="Tahoma"/>
          <w:bCs/>
          <w:sz w:val="24"/>
          <w:szCs w:val="24"/>
          <w:lang w:val="es-ES_tradnl"/>
        </w:rPr>
        <w:t xml:space="preserve">Toma sustento con el artículo 92, fracciones XXXI, de la Ley de la materia, el cual establece que los sujetos obligados tienen la obligación de poner a disposición del público y mantener actualizada de acuerdo con sus facultades, atribuciones, funciones u objeto social, según corresponda el </w:t>
      </w:r>
      <w:r w:rsidRPr="00900A5E">
        <w:rPr>
          <w:rFonts w:ascii="Palatino Linotype" w:hAnsi="Palatino Linotype" w:cs="Tahoma"/>
          <w:b/>
          <w:bCs/>
          <w:sz w:val="24"/>
          <w:szCs w:val="24"/>
          <w:lang w:val="es-ES_tradnl"/>
        </w:rPr>
        <w:t>Padrón de proveedores y contratistas.</w:t>
      </w:r>
    </w:p>
    <w:p w:rsidR="006B3523" w:rsidRPr="00900A5E" w:rsidRDefault="006B3523" w:rsidP="006B3523">
      <w:pPr>
        <w:spacing w:line="360" w:lineRule="auto"/>
        <w:ind w:right="-93"/>
        <w:jc w:val="both"/>
        <w:rPr>
          <w:rFonts w:ascii="Palatino Linotype" w:hAnsi="Palatino Linotype" w:cs="Tahoma"/>
          <w:b/>
          <w:bCs/>
          <w:sz w:val="24"/>
          <w:szCs w:val="24"/>
          <w:lang w:val="es-ES_tradnl"/>
        </w:rPr>
      </w:pPr>
    </w:p>
    <w:p w:rsidR="006B3523" w:rsidRPr="00900A5E" w:rsidRDefault="006B3523" w:rsidP="00900A5E">
      <w:pPr>
        <w:pStyle w:val="Prrafodelista"/>
        <w:numPr>
          <w:ilvl w:val="0"/>
          <w:numId w:val="3"/>
        </w:numPr>
        <w:spacing w:line="360" w:lineRule="auto"/>
        <w:ind w:left="0" w:right="-93" w:firstLine="0"/>
        <w:jc w:val="both"/>
        <w:rPr>
          <w:rFonts w:ascii="Palatino Linotype" w:hAnsi="Palatino Linotype" w:cs="Tahoma"/>
          <w:bCs/>
          <w:sz w:val="24"/>
          <w:szCs w:val="24"/>
          <w:lang w:val="es-ES_tradnl"/>
        </w:rPr>
      </w:pPr>
      <w:r w:rsidRPr="00900A5E">
        <w:rPr>
          <w:rFonts w:ascii="Palatino Linotype" w:hAnsi="Palatino Linotype" w:cs="Tahoma"/>
          <w:bCs/>
          <w:sz w:val="24"/>
          <w:szCs w:val="24"/>
          <w:lang w:val="es-ES_tradnl"/>
        </w:rPr>
        <w:t>Además, se robustece con los formatos de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tal como se muestran a continuación:</w:t>
      </w:r>
    </w:p>
    <w:p w:rsidR="006B3523" w:rsidRPr="00900A5E" w:rsidRDefault="006B3523" w:rsidP="006B3523">
      <w:pPr>
        <w:spacing w:line="360" w:lineRule="auto"/>
        <w:ind w:right="-93"/>
        <w:jc w:val="both"/>
        <w:rPr>
          <w:rFonts w:ascii="Palatino Linotype" w:hAnsi="Palatino Linotype" w:cs="Tahoma"/>
          <w:bCs/>
          <w:sz w:val="24"/>
          <w:szCs w:val="24"/>
          <w:lang w:val="es-ES_tradnl"/>
        </w:rPr>
      </w:pPr>
    </w:p>
    <w:p w:rsidR="006B3523" w:rsidRPr="00900A5E" w:rsidRDefault="006B3523" w:rsidP="006B3523">
      <w:pPr>
        <w:ind w:right="-93"/>
        <w:jc w:val="both"/>
        <w:rPr>
          <w:rFonts w:ascii="Palatino Linotype" w:hAnsi="Palatino Linotype" w:cs="Tahoma"/>
          <w:b/>
          <w:bCs/>
          <w:sz w:val="24"/>
          <w:szCs w:val="24"/>
          <w:lang w:val="es-ES_tradnl"/>
        </w:rPr>
      </w:pPr>
      <w:r w:rsidRPr="00900A5E">
        <w:rPr>
          <w:rFonts w:ascii="Palatino Linotype" w:hAnsi="Palatino Linotype"/>
          <w:noProof/>
          <w:sz w:val="24"/>
          <w:szCs w:val="24"/>
        </w:rPr>
        <w:drawing>
          <wp:inline distT="0" distB="0" distL="0" distR="0" wp14:anchorId="2E9CB962" wp14:editId="4D80AB7C">
            <wp:extent cx="5743575" cy="752475"/>
            <wp:effectExtent l="0" t="0" r="9525" b="9525"/>
            <wp:docPr id="115905814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4">
                      <a:extLst>
                        <a:ext uri="{28A0092B-C50C-407E-A947-70E740481C1C}">
                          <a14:useLocalDpi xmlns:a14="http://schemas.microsoft.com/office/drawing/2010/main" val="0"/>
                        </a:ext>
                      </a:extLst>
                    </a:blip>
                    <a:srcRect b="84505"/>
                    <a:stretch>
                      <a:fillRect/>
                    </a:stretch>
                  </pic:blipFill>
                  <pic:spPr bwMode="auto">
                    <a:xfrm>
                      <a:off x="0" y="0"/>
                      <a:ext cx="5743575" cy="752475"/>
                    </a:xfrm>
                    <a:prstGeom prst="rect">
                      <a:avLst/>
                    </a:prstGeom>
                    <a:noFill/>
                    <a:ln>
                      <a:noFill/>
                    </a:ln>
                  </pic:spPr>
                </pic:pic>
              </a:graphicData>
            </a:graphic>
          </wp:inline>
        </w:drawing>
      </w:r>
    </w:p>
    <w:p w:rsidR="006B3523" w:rsidRPr="00900A5E" w:rsidRDefault="006B3523" w:rsidP="006B3523">
      <w:pPr>
        <w:spacing w:line="360" w:lineRule="auto"/>
        <w:ind w:right="-93"/>
        <w:jc w:val="both"/>
        <w:rPr>
          <w:rFonts w:ascii="Palatino Linotype" w:hAnsi="Palatino Linotype" w:cs="Tahoma"/>
          <w:b/>
          <w:bCs/>
          <w:sz w:val="24"/>
          <w:szCs w:val="24"/>
          <w:lang w:val="es-ES_tradnl"/>
        </w:rPr>
      </w:pPr>
      <w:r w:rsidRPr="00900A5E">
        <w:rPr>
          <w:rFonts w:ascii="Palatino Linotype" w:hAnsi="Palatino Linotype"/>
          <w:noProof/>
          <w:sz w:val="24"/>
          <w:szCs w:val="24"/>
        </w:rPr>
        <w:drawing>
          <wp:inline distT="0" distB="0" distL="0" distR="0" wp14:anchorId="5C3F8771" wp14:editId="0C3BDA43">
            <wp:extent cx="5743575" cy="495300"/>
            <wp:effectExtent l="0" t="0" r="9525" b="0"/>
            <wp:docPr id="34599672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t="89838" b="-38"/>
                    <a:stretch>
                      <a:fillRect/>
                    </a:stretch>
                  </pic:blipFill>
                  <pic:spPr bwMode="auto">
                    <a:xfrm>
                      <a:off x="0" y="0"/>
                      <a:ext cx="5743575" cy="495300"/>
                    </a:xfrm>
                    <a:prstGeom prst="rect">
                      <a:avLst/>
                    </a:prstGeom>
                    <a:noFill/>
                    <a:ln>
                      <a:noFill/>
                    </a:ln>
                  </pic:spPr>
                </pic:pic>
              </a:graphicData>
            </a:graphic>
          </wp:inline>
        </w:drawing>
      </w:r>
    </w:p>
    <w:p w:rsidR="006B3523" w:rsidRPr="00900A5E" w:rsidRDefault="006B3523" w:rsidP="006B3523">
      <w:pPr>
        <w:spacing w:line="360" w:lineRule="auto"/>
        <w:ind w:right="-93"/>
        <w:jc w:val="both"/>
        <w:rPr>
          <w:rFonts w:ascii="Palatino Linotype" w:hAnsi="Palatino Linotype" w:cs="Tahoma"/>
          <w:b/>
          <w:bCs/>
          <w:sz w:val="24"/>
          <w:szCs w:val="24"/>
          <w:lang w:val="es-ES_tradnl"/>
        </w:rPr>
      </w:pPr>
    </w:p>
    <w:p w:rsidR="006B3523" w:rsidRPr="00900A5E" w:rsidRDefault="006B3523" w:rsidP="00900A5E">
      <w:pPr>
        <w:pStyle w:val="Prrafodelista"/>
        <w:numPr>
          <w:ilvl w:val="0"/>
          <w:numId w:val="3"/>
        </w:numPr>
        <w:spacing w:line="360" w:lineRule="auto"/>
        <w:ind w:left="0" w:right="-93" w:firstLine="0"/>
        <w:jc w:val="both"/>
        <w:rPr>
          <w:rFonts w:ascii="Palatino Linotype" w:hAnsi="Palatino Linotype" w:cs="Tahoma"/>
          <w:b/>
          <w:bCs/>
          <w:sz w:val="24"/>
          <w:szCs w:val="24"/>
          <w:lang w:val="es-ES_tradnl"/>
        </w:rPr>
      </w:pPr>
      <w:r w:rsidRPr="00900A5E">
        <w:rPr>
          <w:rFonts w:ascii="Palatino Linotype" w:hAnsi="Palatino Linotype" w:cs="Tahoma"/>
          <w:bCs/>
          <w:sz w:val="24"/>
          <w:szCs w:val="24"/>
          <w:lang w:val="es-ES_tradnl"/>
        </w:rPr>
        <w:lastRenderedPageBreak/>
        <w:t xml:space="preserve">Por lo tanto, la Ley de Transparencia y Acceso a la Información Pública del Estado de México y Municipios, considera que </w:t>
      </w:r>
      <w:r w:rsidRPr="00900A5E">
        <w:rPr>
          <w:rFonts w:ascii="Palatino Linotype" w:hAnsi="Palatino Linotype" w:cs="Tahoma"/>
          <w:b/>
          <w:bCs/>
          <w:sz w:val="24"/>
          <w:szCs w:val="24"/>
          <w:lang w:val="es-ES_tradnl"/>
        </w:rPr>
        <w:t xml:space="preserve">los datos de aquellas personas que recibieron recursos públicos, por regla general, </w:t>
      </w:r>
      <w:r w:rsidRPr="00900A5E">
        <w:rPr>
          <w:rFonts w:ascii="Palatino Linotype" w:hAnsi="Palatino Linotype" w:cs="Tahoma"/>
          <w:bCs/>
          <w:sz w:val="24"/>
          <w:szCs w:val="24"/>
          <w:lang w:val="es-ES_tradnl"/>
        </w:rPr>
        <w:t xml:space="preserve">son de naturaleza pública, ya que su publicidad orienta a cumplir los objetivos que persigue la Ley; toda vez, </w:t>
      </w:r>
      <w:r w:rsidRPr="00900A5E">
        <w:rPr>
          <w:rFonts w:ascii="Palatino Linotype" w:hAnsi="Palatino Linotype" w:cs="Tahoma"/>
          <w:b/>
          <w:bCs/>
          <w:sz w:val="24"/>
          <w:szCs w:val="24"/>
          <w:lang w:val="es-ES_tradnl"/>
        </w:rPr>
        <w:t>que ayuda a transparentar a quienes se les han otorgado recursos públicos, así como, porque razones se les otorgaron dichos montos.</w:t>
      </w:r>
    </w:p>
    <w:p w:rsidR="006B3523" w:rsidRPr="00900A5E" w:rsidRDefault="006B3523" w:rsidP="006B3523">
      <w:pPr>
        <w:spacing w:line="360" w:lineRule="auto"/>
        <w:jc w:val="both"/>
        <w:rPr>
          <w:rFonts w:ascii="Palatino Linotype" w:hAnsi="Palatino Linotype" w:cs="Tahoma"/>
          <w:b/>
          <w:bCs/>
          <w:sz w:val="24"/>
          <w:szCs w:val="24"/>
        </w:rPr>
      </w:pPr>
    </w:p>
    <w:p w:rsidR="006B3523" w:rsidRPr="00900A5E" w:rsidRDefault="006B3523" w:rsidP="00900A5E">
      <w:pPr>
        <w:pStyle w:val="Prrafodelista"/>
        <w:numPr>
          <w:ilvl w:val="0"/>
          <w:numId w:val="3"/>
        </w:numPr>
        <w:spacing w:line="360" w:lineRule="auto"/>
        <w:ind w:left="0" w:firstLine="0"/>
        <w:jc w:val="both"/>
        <w:rPr>
          <w:rFonts w:ascii="Palatino Linotype" w:hAnsi="Palatino Linotype" w:cs="Tahoma"/>
          <w:bCs/>
          <w:sz w:val="24"/>
          <w:szCs w:val="24"/>
        </w:rPr>
      </w:pPr>
      <w:r w:rsidRPr="00900A5E">
        <w:rPr>
          <w:rFonts w:ascii="Palatino Linotype" w:hAnsi="Palatino Linotype" w:cs="Tahoma"/>
          <w:bCs/>
          <w:sz w:val="24"/>
          <w:szCs w:val="24"/>
        </w:rPr>
        <w:t>Por lo que, se considera que no procede la clasificación del nombre de los contratistas, en términos del artículo 143, fracción I de la Ley de Transparencia y Acceso a la Información Pública del Estado de México y Municipios.</w:t>
      </w:r>
    </w:p>
    <w:p w:rsidR="006B3523" w:rsidRPr="00900A5E" w:rsidRDefault="006B3523" w:rsidP="006B3523">
      <w:pPr>
        <w:spacing w:line="360" w:lineRule="auto"/>
        <w:jc w:val="both"/>
        <w:rPr>
          <w:rFonts w:ascii="Palatino Linotype" w:hAnsi="Palatino Linotype" w:cs="Tahoma"/>
          <w:b/>
          <w:bCs/>
          <w:sz w:val="24"/>
          <w:szCs w:val="24"/>
        </w:rPr>
      </w:pPr>
    </w:p>
    <w:p w:rsidR="006B3523" w:rsidRPr="00900A5E" w:rsidRDefault="006B3523" w:rsidP="006B3523">
      <w:pPr>
        <w:numPr>
          <w:ilvl w:val="0"/>
          <w:numId w:val="11"/>
        </w:numPr>
        <w:spacing w:line="360" w:lineRule="auto"/>
        <w:ind w:left="720"/>
        <w:contextualSpacing/>
        <w:jc w:val="both"/>
        <w:rPr>
          <w:rFonts w:ascii="Palatino Linotype" w:hAnsi="Palatino Linotype" w:cs="Tahoma"/>
          <w:b/>
          <w:bCs/>
          <w:sz w:val="24"/>
          <w:szCs w:val="24"/>
        </w:rPr>
      </w:pPr>
      <w:r w:rsidRPr="00900A5E">
        <w:rPr>
          <w:rFonts w:ascii="Palatino Linotype" w:hAnsi="Palatino Linotype" w:cs="Tahoma"/>
          <w:b/>
          <w:bCs/>
          <w:sz w:val="24"/>
          <w:szCs w:val="24"/>
        </w:rPr>
        <w:t>Denominación o razón Social de contratistas personas morales.</w:t>
      </w:r>
    </w:p>
    <w:p w:rsidR="006B3523" w:rsidRPr="00A424F7" w:rsidRDefault="006B3523" w:rsidP="00A424F7">
      <w:pPr>
        <w:pStyle w:val="Prrafodelista"/>
        <w:numPr>
          <w:ilvl w:val="0"/>
          <w:numId w:val="3"/>
        </w:numPr>
        <w:spacing w:line="360" w:lineRule="auto"/>
        <w:ind w:left="0" w:firstLine="0"/>
        <w:jc w:val="both"/>
        <w:rPr>
          <w:rFonts w:ascii="Palatino Linotype" w:hAnsi="Palatino Linotype" w:cs="Tahoma"/>
          <w:bCs/>
          <w:sz w:val="24"/>
          <w:szCs w:val="24"/>
        </w:rPr>
      </w:pPr>
      <w:r w:rsidRPr="00A424F7">
        <w:rPr>
          <w:rFonts w:ascii="Palatino Linotype" w:hAnsi="Palatino Linotype" w:cs="Tahoma"/>
          <w:bCs/>
          <w:sz w:val="24"/>
          <w:szCs w:val="24"/>
        </w:rPr>
        <w:t xml:space="preserve">Al respecto, se considera que la denominación o razón social de una persona moral, es pública, pues dichos datos se encuentran inscritos en el Registro Público del Comercio; lo anterior, toma sustento en el </w:t>
      </w:r>
      <w:r w:rsidRPr="00A424F7">
        <w:rPr>
          <w:rFonts w:ascii="Palatino Linotype" w:hAnsi="Palatino Linotype" w:cs="Tahoma"/>
          <w:bCs/>
          <w:sz w:val="24"/>
          <w:szCs w:val="24"/>
          <w:lang w:val="es-ES"/>
        </w:rPr>
        <w:t xml:space="preserve">Criterio de Interpretación, de la Segunda Época, con número de registro </w:t>
      </w:r>
      <w:r w:rsidRPr="00A424F7">
        <w:rPr>
          <w:rFonts w:ascii="Palatino Linotype" w:hAnsi="Palatino Linotype" w:cs="Tahoma"/>
          <w:bCs/>
          <w:sz w:val="24"/>
          <w:szCs w:val="24"/>
        </w:rPr>
        <w:t>SO/008/2019, emitido por el Instituto Nacional de Transparencia, Acceso a la Información y Protección de Datos Personales, que precisa lo siguiente:</w:t>
      </w:r>
    </w:p>
    <w:p w:rsidR="006B3523" w:rsidRPr="00900A5E" w:rsidRDefault="006B3523" w:rsidP="006B3523">
      <w:pPr>
        <w:spacing w:line="360" w:lineRule="auto"/>
        <w:ind w:left="567" w:right="567"/>
        <w:jc w:val="both"/>
        <w:rPr>
          <w:rFonts w:ascii="Palatino Linotype" w:hAnsi="Palatino Linotype" w:cs="Tahoma"/>
          <w:bCs/>
          <w:i/>
          <w:sz w:val="24"/>
          <w:szCs w:val="24"/>
        </w:rPr>
      </w:pPr>
      <w:r w:rsidRPr="00900A5E">
        <w:rPr>
          <w:rFonts w:ascii="Palatino Linotype" w:hAnsi="Palatino Linotype" w:cs="Tahoma"/>
          <w:b/>
          <w:bCs/>
          <w:i/>
          <w:sz w:val="24"/>
          <w:szCs w:val="24"/>
        </w:rPr>
        <w:t xml:space="preserve">“Razón social y RFC de personas morales. </w:t>
      </w:r>
      <w:r w:rsidRPr="00900A5E">
        <w:rPr>
          <w:rFonts w:ascii="Palatino Linotype" w:hAnsi="Palatino Linotype" w:cs="Tahoma"/>
          <w:i/>
          <w:sz w:val="24"/>
          <w:szCs w:val="24"/>
        </w:rPr>
        <w:t>La denominación o razón social de personas morales es pública, por encontrarse inscritas en el Registro Público de Comercio; asimismo, su Registro Federal de Contribuyentes (RFC), en principio, también es público, ya que no se refiere a hechos o actos de carácter económico, contable, jurídico o administrativo que sean útiles o representen una ventaja a sus competidores.”</w:t>
      </w:r>
    </w:p>
    <w:p w:rsidR="006B3523" w:rsidRPr="00900A5E" w:rsidRDefault="006B3523" w:rsidP="006B3523">
      <w:pPr>
        <w:spacing w:line="360" w:lineRule="auto"/>
        <w:jc w:val="both"/>
        <w:rPr>
          <w:rFonts w:ascii="Palatino Linotype" w:hAnsi="Palatino Linotype" w:cs="Tahoma"/>
          <w:b/>
          <w:bCs/>
          <w:sz w:val="24"/>
          <w:szCs w:val="24"/>
        </w:rPr>
      </w:pPr>
    </w:p>
    <w:p w:rsidR="006B3523" w:rsidRPr="00A424F7" w:rsidRDefault="006B3523" w:rsidP="00A424F7">
      <w:pPr>
        <w:pStyle w:val="Prrafodelista"/>
        <w:numPr>
          <w:ilvl w:val="0"/>
          <w:numId w:val="3"/>
        </w:numPr>
        <w:spacing w:line="360" w:lineRule="auto"/>
        <w:ind w:left="0" w:firstLine="0"/>
        <w:jc w:val="both"/>
        <w:rPr>
          <w:rFonts w:ascii="Palatino Linotype" w:hAnsi="Palatino Linotype" w:cs="Tahoma"/>
          <w:bCs/>
          <w:sz w:val="24"/>
          <w:szCs w:val="24"/>
          <w:lang w:val="es-ES_tradnl"/>
        </w:rPr>
      </w:pPr>
      <w:r w:rsidRPr="00A424F7">
        <w:rPr>
          <w:rFonts w:ascii="Palatino Linotype" w:hAnsi="Palatino Linotype" w:cs="Tahoma"/>
          <w:bCs/>
          <w:sz w:val="24"/>
          <w:szCs w:val="24"/>
        </w:rPr>
        <w:lastRenderedPageBreak/>
        <w:t xml:space="preserve">Lo anterior, se robustece con el hecho de que el Ente Recurrido tiene como obligación común de transparencia, poner a disposición del público el padrón de contratistas y contratistas, que como se advirtió en párrafos anteriores debe incluir la denominación o razón social del proveedor o contratista, de conformidad con los </w:t>
      </w:r>
      <w:r w:rsidRPr="00A424F7">
        <w:rPr>
          <w:rFonts w:ascii="Palatino Linotype" w:hAnsi="Palatino Linotype" w:cs="Tahoma"/>
          <w:bCs/>
          <w:sz w:val="24"/>
          <w:szCs w:val="24"/>
          <w:lang w:val="es-ES_tradnl"/>
        </w:rPr>
        <w:t>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w:t>
      </w:r>
    </w:p>
    <w:p w:rsidR="006B3523" w:rsidRPr="00900A5E" w:rsidRDefault="006B3523" w:rsidP="006B3523">
      <w:pPr>
        <w:spacing w:line="360" w:lineRule="auto"/>
        <w:jc w:val="both"/>
        <w:rPr>
          <w:rFonts w:ascii="Palatino Linotype" w:hAnsi="Palatino Linotype" w:cs="Tahoma"/>
          <w:bCs/>
          <w:sz w:val="24"/>
          <w:szCs w:val="24"/>
          <w:lang w:val="es-ES_tradnl"/>
        </w:rPr>
      </w:pPr>
    </w:p>
    <w:p w:rsidR="006B3523" w:rsidRPr="00A424F7" w:rsidRDefault="006B3523" w:rsidP="00A424F7">
      <w:pPr>
        <w:pStyle w:val="Prrafodelista"/>
        <w:numPr>
          <w:ilvl w:val="0"/>
          <w:numId w:val="3"/>
        </w:numPr>
        <w:spacing w:line="360" w:lineRule="auto"/>
        <w:ind w:left="0" w:firstLine="0"/>
        <w:jc w:val="both"/>
        <w:rPr>
          <w:rFonts w:ascii="Palatino Linotype" w:hAnsi="Palatino Linotype" w:cs="Tahoma"/>
          <w:bCs/>
          <w:sz w:val="24"/>
          <w:szCs w:val="24"/>
        </w:rPr>
      </w:pPr>
      <w:r w:rsidRPr="00A424F7">
        <w:rPr>
          <w:rFonts w:ascii="Palatino Linotype" w:hAnsi="Palatino Linotype" w:cs="Tahoma"/>
          <w:bCs/>
          <w:sz w:val="24"/>
          <w:szCs w:val="24"/>
          <w:lang w:val="es-ES_tradnl"/>
        </w:rPr>
        <w:t>Por lo tanto, no procede la clasificación de la denominación o razón social de los contratistas personas morales, en términos del artículo 143, fracción I de la Ley de Transparencia y Acceso a la Información Pública del Estado de México y Municipios.</w:t>
      </w:r>
    </w:p>
    <w:p w:rsidR="006B3523" w:rsidRPr="00900A5E" w:rsidRDefault="006B3523" w:rsidP="006B3523">
      <w:pPr>
        <w:spacing w:line="360" w:lineRule="auto"/>
        <w:jc w:val="both"/>
        <w:rPr>
          <w:rFonts w:ascii="Palatino Linotype" w:hAnsi="Palatino Linotype"/>
          <w:b/>
          <w:color w:val="000000"/>
          <w:sz w:val="24"/>
          <w:szCs w:val="24"/>
        </w:rPr>
      </w:pPr>
    </w:p>
    <w:p w:rsidR="006B3523" w:rsidRPr="00900A5E" w:rsidRDefault="006B3523" w:rsidP="006B3523">
      <w:pPr>
        <w:numPr>
          <w:ilvl w:val="0"/>
          <w:numId w:val="13"/>
        </w:numPr>
        <w:pBdr>
          <w:top w:val="nil"/>
          <w:left w:val="nil"/>
          <w:bottom w:val="nil"/>
          <w:right w:val="nil"/>
          <w:between w:val="nil"/>
        </w:pBdr>
        <w:spacing w:line="360" w:lineRule="auto"/>
        <w:jc w:val="both"/>
        <w:rPr>
          <w:rFonts w:ascii="Palatino Linotype" w:hAnsi="Palatino Linotype"/>
          <w:b/>
          <w:color w:val="000000"/>
          <w:sz w:val="24"/>
          <w:szCs w:val="24"/>
        </w:rPr>
      </w:pPr>
      <w:r w:rsidRPr="00900A5E">
        <w:rPr>
          <w:rFonts w:ascii="Palatino Linotype" w:hAnsi="Palatino Linotype"/>
          <w:b/>
          <w:color w:val="000000"/>
          <w:sz w:val="24"/>
          <w:szCs w:val="24"/>
        </w:rPr>
        <w:t>Registro Federal de Contribuyentes de contratista</w:t>
      </w:r>
    </w:p>
    <w:p w:rsidR="006B3523" w:rsidRPr="00900A5E" w:rsidRDefault="006B3523" w:rsidP="006B3523">
      <w:pPr>
        <w:spacing w:line="360" w:lineRule="auto"/>
        <w:jc w:val="both"/>
        <w:rPr>
          <w:rFonts w:ascii="Palatino Linotype" w:hAnsi="Palatino Linotype"/>
          <w:b/>
          <w:color w:val="000000"/>
          <w:sz w:val="24"/>
          <w:szCs w:val="24"/>
        </w:rPr>
      </w:pPr>
      <w:r w:rsidRPr="00900A5E">
        <w:rPr>
          <w:rFonts w:ascii="Palatino Linotype" w:hAnsi="Palatino Linotype"/>
          <w:b/>
          <w:color w:val="000000"/>
          <w:sz w:val="24"/>
          <w:szCs w:val="24"/>
        </w:rPr>
        <w:t>Persona física</w:t>
      </w:r>
    </w:p>
    <w:p w:rsidR="006B3523" w:rsidRPr="00A424F7" w:rsidRDefault="006B3523" w:rsidP="00A424F7">
      <w:pPr>
        <w:pStyle w:val="Prrafodelista"/>
        <w:numPr>
          <w:ilvl w:val="0"/>
          <w:numId w:val="3"/>
        </w:numPr>
        <w:spacing w:line="360" w:lineRule="auto"/>
        <w:ind w:left="0" w:firstLine="0"/>
        <w:jc w:val="both"/>
        <w:rPr>
          <w:rFonts w:ascii="Palatino Linotype" w:hAnsi="Palatino Linotype"/>
          <w:color w:val="000000"/>
          <w:sz w:val="24"/>
          <w:szCs w:val="24"/>
        </w:rPr>
      </w:pPr>
      <w:r w:rsidRPr="00A424F7">
        <w:rPr>
          <w:rFonts w:ascii="Palatino Linotype" w:hAnsi="Palatino Linotype"/>
          <w:color w:val="000000"/>
          <w:sz w:val="24"/>
          <w:szCs w:val="24"/>
        </w:rPr>
        <w:t>Al respecto, es necesario precisar que el proveedor de cualquier Sujeto Obligado de la Ley de la materia, que sea una persona física, debe cumplir con los requisitos establecidos en los artículos 29 y 32 del Reglamento de la Ley de Contratación Pública del Estado de México y Municipios; es decir, para que los individuos puedan participar en actos de adquisición o de contratación de servicios que requieran las dependencias, organismos auxiliares y tribunales administrativos, así como los Gobiernos Municipales, deberán presentar, entre otras cosas, la cédula de identificación fiscal (Registro Federal de Contribuyentes); por lo que la entrega de dicho dato permite verificar cumplimiento de esta disposición legal.</w:t>
      </w:r>
    </w:p>
    <w:p w:rsidR="006B3523" w:rsidRPr="00A424F7" w:rsidRDefault="006B3523" w:rsidP="00A424F7">
      <w:pPr>
        <w:pStyle w:val="Prrafodelista"/>
        <w:numPr>
          <w:ilvl w:val="0"/>
          <w:numId w:val="3"/>
        </w:numPr>
        <w:spacing w:line="360" w:lineRule="auto"/>
        <w:ind w:left="0" w:firstLine="0"/>
        <w:jc w:val="both"/>
        <w:rPr>
          <w:rFonts w:ascii="Palatino Linotype" w:hAnsi="Palatino Linotype"/>
          <w:color w:val="000000"/>
          <w:sz w:val="24"/>
          <w:szCs w:val="24"/>
        </w:rPr>
      </w:pPr>
      <w:r w:rsidRPr="00A424F7">
        <w:rPr>
          <w:rFonts w:ascii="Palatino Linotype" w:hAnsi="Palatino Linotype"/>
          <w:color w:val="000000"/>
          <w:sz w:val="24"/>
          <w:szCs w:val="24"/>
        </w:rPr>
        <w:lastRenderedPageBreak/>
        <w:t>Por lo tanto, en el presente caso, si bien el Registro Federal de Contribuyentes de personas físicas es un dato personal, también lo es, que corresponde a un requisito indispensable para ser proveedor y poder llevar a cabo actividades comerciales con la Entidad, ya que, sin este, no se pueden realizar dichas acciones, por lo que su entrega es un elemento adicional que respalda la legalidad de los procesos adquisitivos.</w:t>
      </w:r>
    </w:p>
    <w:p w:rsidR="006B3523" w:rsidRPr="00900A5E" w:rsidRDefault="006B3523" w:rsidP="006B3523">
      <w:pPr>
        <w:spacing w:line="360" w:lineRule="auto"/>
        <w:jc w:val="both"/>
        <w:rPr>
          <w:rFonts w:ascii="Palatino Linotype" w:hAnsi="Palatino Linotype"/>
          <w:color w:val="000000"/>
          <w:sz w:val="24"/>
          <w:szCs w:val="24"/>
        </w:rPr>
      </w:pPr>
    </w:p>
    <w:p w:rsidR="006B3523" w:rsidRPr="00A424F7" w:rsidRDefault="006B3523" w:rsidP="00A424F7">
      <w:pPr>
        <w:pStyle w:val="Prrafodelista"/>
        <w:numPr>
          <w:ilvl w:val="0"/>
          <w:numId w:val="3"/>
        </w:numPr>
        <w:spacing w:line="360" w:lineRule="auto"/>
        <w:ind w:left="0" w:firstLine="0"/>
        <w:jc w:val="both"/>
        <w:rPr>
          <w:rFonts w:ascii="Palatino Linotype" w:hAnsi="Palatino Linotype"/>
          <w:color w:val="000000"/>
          <w:sz w:val="24"/>
          <w:szCs w:val="24"/>
        </w:rPr>
      </w:pPr>
      <w:r w:rsidRPr="00A424F7">
        <w:rPr>
          <w:rFonts w:ascii="Palatino Linotype" w:hAnsi="Palatino Linotype"/>
          <w:color w:val="000000"/>
          <w:sz w:val="24"/>
          <w:szCs w:val="24"/>
        </w:rPr>
        <w:t>En ese contexto, entregar el Registro Federal de Contribuyentes aún de personas físicas cuando son contratistas de instituciones públicas, propiciaría la rendición de cuentas, al permitir verificar que se cumplió con uno de los requisitos necesarios conforme a la normatividad aplicable en materia de contrataciones, lo cual, transparenta el correcto ejercicio de recursos públicos por parte de los sujetos obligados, lo que es acorde con el principio de máxima publicidad.</w:t>
      </w:r>
    </w:p>
    <w:p w:rsidR="006B3523" w:rsidRPr="00900A5E" w:rsidRDefault="006B3523" w:rsidP="006B3523">
      <w:pPr>
        <w:spacing w:line="360" w:lineRule="auto"/>
        <w:jc w:val="both"/>
        <w:rPr>
          <w:rFonts w:ascii="Palatino Linotype" w:hAnsi="Palatino Linotype"/>
          <w:color w:val="000000"/>
          <w:sz w:val="24"/>
          <w:szCs w:val="24"/>
        </w:rPr>
      </w:pPr>
    </w:p>
    <w:p w:rsidR="006B3523" w:rsidRPr="00A424F7" w:rsidRDefault="006B3523" w:rsidP="00A424F7">
      <w:pPr>
        <w:pStyle w:val="Prrafodelista"/>
        <w:numPr>
          <w:ilvl w:val="0"/>
          <w:numId w:val="3"/>
        </w:numPr>
        <w:spacing w:line="360" w:lineRule="auto"/>
        <w:ind w:left="0" w:firstLine="0"/>
        <w:jc w:val="both"/>
        <w:rPr>
          <w:rFonts w:ascii="Palatino Linotype" w:hAnsi="Palatino Linotype"/>
          <w:color w:val="000000"/>
          <w:sz w:val="24"/>
          <w:szCs w:val="24"/>
        </w:rPr>
      </w:pPr>
      <w:r w:rsidRPr="00A424F7">
        <w:rPr>
          <w:rFonts w:ascii="Palatino Linotype" w:hAnsi="Palatino Linotype"/>
          <w:color w:val="000000"/>
          <w:sz w:val="24"/>
          <w:szCs w:val="24"/>
        </w:rPr>
        <w:t>Lo anterior, se robustece con el Criterio Orientador, de la Segunda Época, con número de registro SO/004/2021, emitido por el entonces Instituto Nacional de Transparencia, Acceso a la Información y Protección de Datos Personales, vigente a la fecha de la solicitud, en el cual se señala lo siguiente:</w:t>
      </w:r>
    </w:p>
    <w:p w:rsidR="006B3523" w:rsidRPr="00900A5E" w:rsidRDefault="006B3523" w:rsidP="006B3523">
      <w:pPr>
        <w:tabs>
          <w:tab w:val="center" w:pos="4522"/>
        </w:tabs>
        <w:spacing w:line="360" w:lineRule="auto"/>
        <w:ind w:left="567" w:right="567"/>
        <w:jc w:val="both"/>
        <w:rPr>
          <w:rFonts w:ascii="Palatino Linotype" w:hAnsi="Palatino Linotype"/>
          <w:i/>
          <w:color w:val="000000"/>
          <w:sz w:val="24"/>
          <w:szCs w:val="24"/>
        </w:rPr>
      </w:pPr>
      <w:r w:rsidRPr="00900A5E">
        <w:rPr>
          <w:rFonts w:ascii="Palatino Linotype" w:hAnsi="Palatino Linotype"/>
          <w:b/>
          <w:i/>
          <w:color w:val="000000"/>
          <w:sz w:val="24"/>
          <w:szCs w:val="24"/>
        </w:rPr>
        <w:t xml:space="preserve">“Registro Federal de Contribuyentes (RFC) de personas físicas contratistas o contratistas. </w:t>
      </w:r>
      <w:r w:rsidRPr="00900A5E">
        <w:rPr>
          <w:rFonts w:ascii="Palatino Linotype" w:hAnsi="Palatino Linotype"/>
          <w:i/>
          <w:color w:val="000000"/>
          <w:sz w:val="24"/>
          <w:szCs w:val="24"/>
        </w:rPr>
        <w:t>El RFC de contratistas o contratistas de sujetos obligados debe ser público, ya que al tratarse de personas relacionadas con contrataciones públicas, su difusión favorece la transparencia con la que deben administrarse los recursos públicos, en términos del artículo 134 de la Constitución Política de los Estados Unidos Mexicanos. “</w:t>
      </w:r>
    </w:p>
    <w:p w:rsidR="006B3523" w:rsidRPr="00900A5E" w:rsidRDefault="006B3523" w:rsidP="006B3523">
      <w:pPr>
        <w:tabs>
          <w:tab w:val="center" w:pos="4522"/>
        </w:tabs>
        <w:spacing w:line="360" w:lineRule="auto"/>
        <w:jc w:val="both"/>
        <w:rPr>
          <w:rFonts w:ascii="Palatino Linotype" w:hAnsi="Palatino Linotype"/>
          <w:color w:val="000000"/>
          <w:sz w:val="24"/>
          <w:szCs w:val="24"/>
        </w:rPr>
      </w:pPr>
    </w:p>
    <w:p w:rsidR="006B3523" w:rsidRPr="00A424F7" w:rsidRDefault="006B3523" w:rsidP="00A424F7">
      <w:pPr>
        <w:pStyle w:val="Prrafodelista"/>
        <w:numPr>
          <w:ilvl w:val="0"/>
          <w:numId w:val="3"/>
        </w:numPr>
        <w:spacing w:line="360" w:lineRule="auto"/>
        <w:ind w:left="0" w:firstLine="0"/>
        <w:jc w:val="both"/>
        <w:rPr>
          <w:rFonts w:ascii="Palatino Linotype" w:hAnsi="Palatino Linotype"/>
          <w:b/>
          <w:color w:val="000000"/>
          <w:sz w:val="24"/>
          <w:szCs w:val="24"/>
          <w:u w:val="single"/>
        </w:rPr>
      </w:pPr>
      <w:r w:rsidRPr="00A424F7">
        <w:rPr>
          <w:rFonts w:ascii="Palatino Linotype" w:hAnsi="Palatino Linotype"/>
          <w:color w:val="000000"/>
          <w:sz w:val="24"/>
          <w:szCs w:val="24"/>
        </w:rPr>
        <w:lastRenderedPageBreak/>
        <w:t>En conclusión, toda vez, que el Registro Federal de Contribuyentes de contratistas o contratistas, es un requisito indispensable, para poder participar en adquisiciones públicas y contracción de servicios y que abona a la transparencia con la que deben administrarse los recursos públicos, no actualiza la causal de clasificación prevista en el artículo 143, fracción I de la Ley de Transparencia y Acceso a la Información Pública del Estado de México y Municipios.</w:t>
      </w:r>
    </w:p>
    <w:p w:rsidR="006B3523" w:rsidRPr="00900A5E" w:rsidRDefault="006B3523" w:rsidP="006B3523">
      <w:pPr>
        <w:tabs>
          <w:tab w:val="center" w:pos="4522"/>
        </w:tabs>
        <w:spacing w:line="360" w:lineRule="auto"/>
        <w:jc w:val="both"/>
        <w:rPr>
          <w:rFonts w:ascii="Palatino Linotype" w:hAnsi="Palatino Linotype"/>
          <w:b/>
          <w:color w:val="000000"/>
          <w:sz w:val="24"/>
          <w:szCs w:val="24"/>
        </w:rPr>
      </w:pPr>
    </w:p>
    <w:p w:rsidR="006B3523" w:rsidRPr="00900A5E" w:rsidRDefault="006B3523" w:rsidP="006B3523">
      <w:pPr>
        <w:tabs>
          <w:tab w:val="center" w:pos="4522"/>
        </w:tabs>
        <w:spacing w:line="360" w:lineRule="auto"/>
        <w:jc w:val="both"/>
        <w:rPr>
          <w:rFonts w:ascii="Palatino Linotype" w:hAnsi="Palatino Linotype"/>
          <w:b/>
          <w:color w:val="000000"/>
          <w:sz w:val="24"/>
          <w:szCs w:val="24"/>
        </w:rPr>
      </w:pPr>
      <w:r w:rsidRPr="00900A5E">
        <w:rPr>
          <w:rFonts w:ascii="Palatino Linotype" w:hAnsi="Palatino Linotype"/>
          <w:b/>
          <w:color w:val="000000"/>
          <w:sz w:val="24"/>
          <w:szCs w:val="24"/>
        </w:rPr>
        <w:t>Persona Moral</w:t>
      </w:r>
    </w:p>
    <w:p w:rsidR="006B3523" w:rsidRPr="00A424F7" w:rsidRDefault="006B3523" w:rsidP="00A424F7">
      <w:pPr>
        <w:pStyle w:val="Prrafodelista"/>
        <w:numPr>
          <w:ilvl w:val="0"/>
          <w:numId w:val="3"/>
        </w:numPr>
        <w:spacing w:line="360" w:lineRule="auto"/>
        <w:ind w:left="0" w:firstLine="0"/>
        <w:jc w:val="both"/>
        <w:rPr>
          <w:rFonts w:ascii="Palatino Linotype" w:hAnsi="Palatino Linotype"/>
          <w:color w:val="000000"/>
          <w:sz w:val="24"/>
          <w:szCs w:val="24"/>
        </w:rPr>
      </w:pPr>
      <w:r w:rsidRPr="00A424F7">
        <w:rPr>
          <w:rFonts w:ascii="Palatino Linotype" w:hAnsi="Palatino Linotype"/>
          <w:color w:val="000000"/>
          <w:sz w:val="24"/>
          <w:szCs w:val="24"/>
        </w:rPr>
        <w:t>Al respecto, el Registro Federal de Contribuyentes, inicia con un preinscripción por Internet y se concluye en cualquier Administración Desconcentrada de Servicios al Contribuyente, en donde aquellas personas que realicen el trámite tendrán que entregar ciertos documentos, que para las personas jurídico colectivas, serán, entre otros, la copia certificada del documento constitutivo debidamente protocolizado, comprobante de domicilio, identificación personal, número de folio asignado que se le proporcionó al realizar el envío de su preinscripción y copia certificada del poder notarial con el que se acredite la personalidad del representante legal, o carta poder firmada ante dos testigos y ratificadas las firmas ante las autoridades fiscales o ante notario o fedatario público. Derivado del trámite se obtiene, entre otros, la cédula de identificación fiscal o constancia de registro.</w:t>
      </w:r>
    </w:p>
    <w:p w:rsidR="006B3523" w:rsidRPr="00900A5E" w:rsidRDefault="006B3523" w:rsidP="006B3523">
      <w:pPr>
        <w:tabs>
          <w:tab w:val="center" w:pos="4522"/>
        </w:tabs>
        <w:spacing w:line="360" w:lineRule="auto"/>
        <w:jc w:val="both"/>
        <w:rPr>
          <w:rFonts w:ascii="Palatino Linotype" w:hAnsi="Palatino Linotype"/>
          <w:color w:val="000000"/>
          <w:sz w:val="24"/>
          <w:szCs w:val="24"/>
        </w:rPr>
      </w:pPr>
    </w:p>
    <w:p w:rsidR="006B3523" w:rsidRPr="00A424F7" w:rsidRDefault="006B3523" w:rsidP="00A424F7">
      <w:pPr>
        <w:pStyle w:val="Prrafodelista"/>
        <w:numPr>
          <w:ilvl w:val="0"/>
          <w:numId w:val="3"/>
        </w:numPr>
        <w:spacing w:line="360" w:lineRule="auto"/>
        <w:ind w:left="0" w:firstLine="0"/>
        <w:jc w:val="both"/>
        <w:rPr>
          <w:rFonts w:ascii="Palatino Linotype" w:hAnsi="Palatino Linotype"/>
          <w:color w:val="000000"/>
          <w:sz w:val="24"/>
          <w:szCs w:val="24"/>
        </w:rPr>
      </w:pPr>
      <w:r w:rsidRPr="00A424F7">
        <w:rPr>
          <w:rFonts w:ascii="Palatino Linotype" w:hAnsi="Palatino Linotype"/>
          <w:color w:val="000000"/>
          <w:sz w:val="24"/>
          <w:szCs w:val="24"/>
        </w:rPr>
        <w:t>Por ende, la información correspondiente al Registro Federal de Contribuyentes de una persona moral da cuenta del cumplimiento o no en sus obligaciones fiscales; por tanto, no se actualiza su clasificación como confidencial.</w:t>
      </w:r>
    </w:p>
    <w:p w:rsidR="006B3523" w:rsidRPr="00900A5E" w:rsidRDefault="006B3523" w:rsidP="006B3523">
      <w:pPr>
        <w:tabs>
          <w:tab w:val="center" w:pos="4522"/>
        </w:tabs>
        <w:spacing w:line="360" w:lineRule="auto"/>
        <w:jc w:val="both"/>
        <w:rPr>
          <w:rFonts w:ascii="Palatino Linotype" w:hAnsi="Palatino Linotype"/>
          <w:color w:val="000000"/>
          <w:sz w:val="24"/>
          <w:szCs w:val="24"/>
        </w:rPr>
      </w:pPr>
    </w:p>
    <w:p w:rsidR="006B3523" w:rsidRPr="00A424F7" w:rsidRDefault="006B3523" w:rsidP="00A424F7">
      <w:pPr>
        <w:pStyle w:val="Prrafodelista"/>
        <w:numPr>
          <w:ilvl w:val="0"/>
          <w:numId w:val="3"/>
        </w:numPr>
        <w:spacing w:line="360" w:lineRule="auto"/>
        <w:ind w:left="0" w:firstLine="0"/>
        <w:jc w:val="both"/>
        <w:rPr>
          <w:rFonts w:ascii="Palatino Linotype" w:hAnsi="Palatino Linotype"/>
          <w:color w:val="000000"/>
          <w:sz w:val="24"/>
          <w:szCs w:val="24"/>
        </w:rPr>
      </w:pPr>
      <w:r w:rsidRPr="00A424F7">
        <w:rPr>
          <w:rFonts w:ascii="Palatino Linotype" w:hAnsi="Palatino Linotype"/>
          <w:color w:val="000000"/>
          <w:sz w:val="24"/>
          <w:szCs w:val="24"/>
        </w:rPr>
        <w:lastRenderedPageBreak/>
        <w:t>Además, resulta aplicable por analogía el Criterio Orientador, de la Segunda Época, con número de registro SO/008/2019, emitido por el entonces Instituto Nacional de Transparencia, Acceso a la Información y Protección de Datos Personales, vigente a la fecha de la solicitud, que precisa que el Registro Federal de Contribuyentes de personas morales, es público, al no referir a hechos o actos de carácter económico, contable, jurídico o administrativo que sean útiles o representen una ventaja a sus competidores.</w:t>
      </w:r>
    </w:p>
    <w:p w:rsidR="006B3523" w:rsidRPr="00900A5E" w:rsidRDefault="006B3523" w:rsidP="006B3523">
      <w:pPr>
        <w:tabs>
          <w:tab w:val="center" w:pos="4522"/>
        </w:tabs>
        <w:spacing w:line="360" w:lineRule="auto"/>
        <w:jc w:val="both"/>
        <w:rPr>
          <w:rFonts w:ascii="Palatino Linotype" w:hAnsi="Palatino Linotype"/>
          <w:color w:val="000000"/>
          <w:sz w:val="24"/>
          <w:szCs w:val="24"/>
        </w:rPr>
      </w:pPr>
    </w:p>
    <w:p w:rsidR="006B3523" w:rsidRPr="00A424F7" w:rsidRDefault="006B3523" w:rsidP="00A424F7">
      <w:pPr>
        <w:pStyle w:val="Prrafodelista"/>
        <w:numPr>
          <w:ilvl w:val="0"/>
          <w:numId w:val="3"/>
        </w:numPr>
        <w:spacing w:line="360" w:lineRule="auto"/>
        <w:ind w:left="0" w:firstLine="0"/>
        <w:jc w:val="both"/>
        <w:rPr>
          <w:rFonts w:ascii="Palatino Linotype" w:hAnsi="Palatino Linotype"/>
          <w:color w:val="000000"/>
          <w:sz w:val="24"/>
          <w:szCs w:val="24"/>
        </w:rPr>
      </w:pPr>
      <w:r w:rsidRPr="00A424F7">
        <w:rPr>
          <w:rFonts w:ascii="Palatino Linotype" w:hAnsi="Palatino Linotype"/>
          <w:color w:val="000000"/>
          <w:sz w:val="24"/>
          <w:szCs w:val="24"/>
        </w:rPr>
        <w:t>De tales circunstancias, el Registro Federal de Contribuyentes de personas morales, no actualizan la causal de clasificación, prevista en el artículo 143, fracción I de la Ley de Transparencia y Acceso a la Información Pública del Estado de México y Municipios, al ser de naturaleza pública.</w:t>
      </w:r>
    </w:p>
    <w:p w:rsidR="006B3523" w:rsidRPr="00900A5E" w:rsidRDefault="006B3523" w:rsidP="006B3523">
      <w:pPr>
        <w:spacing w:line="360" w:lineRule="auto"/>
        <w:jc w:val="both"/>
        <w:rPr>
          <w:rFonts w:ascii="Palatino Linotype" w:hAnsi="Palatino Linotype"/>
          <w:b/>
          <w:color w:val="000000"/>
          <w:sz w:val="24"/>
          <w:szCs w:val="24"/>
        </w:rPr>
      </w:pPr>
    </w:p>
    <w:p w:rsidR="006B3523" w:rsidRPr="00900A5E" w:rsidRDefault="006B3523" w:rsidP="006B3523">
      <w:pPr>
        <w:numPr>
          <w:ilvl w:val="0"/>
          <w:numId w:val="13"/>
        </w:numPr>
        <w:pBdr>
          <w:top w:val="nil"/>
          <w:left w:val="nil"/>
          <w:bottom w:val="nil"/>
          <w:right w:val="nil"/>
          <w:between w:val="nil"/>
        </w:pBdr>
        <w:spacing w:line="360" w:lineRule="auto"/>
        <w:jc w:val="both"/>
        <w:rPr>
          <w:rFonts w:ascii="Palatino Linotype" w:hAnsi="Palatino Linotype"/>
          <w:b/>
          <w:color w:val="000000"/>
          <w:sz w:val="24"/>
          <w:szCs w:val="24"/>
        </w:rPr>
      </w:pPr>
      <w:r w:rsidRPr="00900A5E">
        <w:rPr>
          <w:rFonts w:ascii="Palatino Linotype" w:hAnsi="Palatino Linotype"/>
          <w:b/>
          <w:color w:val="000000"/>
          <w:sz w:val="24"/>
          <w:szCs w:val="24"/>
        </w:rPr>
        <w:t>Domicilio Fiscal o legal para recibir y oír notificaciones (contratista persona física o moral).</w:t>
      </w:r>
    </w:p>
    <w:p w:rsidR="006B3523" w:rsidRPr="00A424F7" w:rsidRDefault="006B3523" w:rsidP="00A424F7">
      <w:pPr>
        <w:pStyle w:val="Prrafodelista"/>
        <w:numPr>
          <w:ilvl w:val="0"/>
          <w:numId w:val="3"/>
        </w:numPr>
        <w:spacing w:line="360" w:lineRule="auto"/>
        <w:ind w:left="0" w:firstLine="0"/>
        <w:jc w:val="both"/>
        <w:rPr>
          <w:rFonts w:ascii="Palatino Linotype" w:hAnsi="Palatino Linotype"/>
          <w:color w:val="000000"/>
          <w:sz w:val="24"/>
          <w:szCs w:val="24"/>
        </w:rPr>
      </w:pPr>
      <w:r w:rsidRPr="00A424F7">
        <w:rPr>
          <w:rFonts w:ascii="Palatino Linotype" w:hAnsi="Palatino Linotype"/>
          <w:color w:val="000000"/>
          <w:sz w:val="24"/>
          <w:szCs w:val="24"/>
        </w:rPr>
        <w:t>De acuerdo a lo señalado en los artículos 2.17 y 2.21 del Código Civil del Estado de México, el domicilio de una persona física, es el lugar donde reside, en donde tiene el principal asiente de negocios, o en su caso, el dónde se halle; mientras, que el de personas jurídicas colectivas, es aquel donde se halle establecida su administración o ejerza sus actividades.</w:t>
      </w:r>
    </w:p>
    <w:p w:rsidR="006B3523" w:rsidRPr="00900A5E" w:rsidRDefault="006B3523" w:rsidP="006B3523">
      <w:pPr>
        <w:tabs>
          <w:tab w:val="center" w:pos="4522"/>
        </w:tabs>
        <w:spacing w:line="360" w:lineRule="auto"/>
        <w:jc w:val="both"/>
        <w:rPr>
          <w:rFonts w:ascii="Palatino Linotype" w:hAnsi="Palatino Linotype"/>
          <w:color w:val="000000"/>
          <w:sz w:val="24"/>
          <w:szCs w:val="24"/>
        </w:rPr>
      </w:pPr>
    </w:p>
    <w:p w:rsidR="006B3523" w:rsidRPr="00A424F7" w:rsidRDefault="006B3523" w:rsidP="00A424F7">
      <w:pPr>
        <w:pStyle w:val="Prrafodelista"/>
        <w:numPr>
          <w:ilvl w:val="0"/>
          <w:numId w:val="3"/>
        </w:numPr>
        <w:spacing w:line="360" w:lineRule="auto"/>
        <w:ind w:left="0" w:firstLine="0"/>
        <w:jc w:val="both"/>
        <w:rPr>
          <w:rFonts w:ascii="Palatino Linotype" w:hAnsi="Palatino Linotype"/>
          <w:color w:val="000000"/>
          <w:sz w:val="24"/>
          <w:szCs w:val="24"/>
        </w:rPr>
      </w:pPr>
      <w:r w:rsidRPr="00A424F7">
        <w:rPr>
          <w:rFonts w:ascii="Palatino Linotype" w:hAnsi="Palatino Linotype"/>
          <w:color w:val="000000"/>
          <w:sz w:val="24"/>
          <w:szCs w:val="24"/>
        </w:rPr>
        <w:t>De la misma manera, lo establece los diversos 29 y 33 del Código Civil Federal, al precisar que el domicilio de personas físicas</w:t>
      </w:r>
      <w:r w:rsidRPr="00A424F7">
        <w:rPr>
          <w:rFonts w:ascii="Palatino Linotype" w:hAnsi="Palatino Linotype"/>
          <w:b/>
          <w:color w:val="000000"/>
          <w:sz w:val="24"/>
          <w:szCs w:val="24"/>
        </w:rPr>
        <w:t xml:space="preserve">, es el lugar donde residen habitualmente, el lugar del centro principal de sus negocios, donde residan o el lugar donde se encuentren; </w:t>
      </w:r>
      <w:r w:rsidRPr="00A424F7">
        <w:rPr>
          <w:rFonts w:ascii="Palatino Linotype" w:hAnsi="Palatino Linotype"/>
          <w:color w:val="000000"/>
          <w:sz w:val="24"/>
          <w:szCs w:val="24"/>
        </w:rPr>
        <w:t>mientras que, de las personas morales, aquel donde se halle su administración.</w:t>
      </w:r>
    </w:p>
    <w:p w:rsidR="006B3523" w:rsidRPr="00A424F7" w:rsidRDefault="006B3523" w:rsidP="00A424F7">
      <w:pPr>
        <w:pStyle w:val="Prrafodelista"/>
        <w:numPr>
          <w:ilvl w:val="0"/>
          <w:numId w:val="3"/>
        </w:numPr>
        <w:spacing w:line="360" w:lineRule="auto"/>
        <w:ind w:left="0" w:firstLine="0"/>
        <w:jc w:val="both"/>
        <w:rPr>
          <w:rFonts w:ascii="Palatino Linotype" w:hAnsi="Palatino Linotype"/>
          <w:color w:val="000000"/>
          <w:sz w:val="24"/>
          <w:szCs w:val="24"/>
        </w:rPr>
      </w:pPr>
      <w:r w:rsidRPr="00A424F7">
        <w:rPr>
          <w:rFonts w:ascii="Palatino Linotype" w:hAnsi="Palatino Linotype"/>
          <w:color w:val="000000"/>
          <w:sz w:val="24"/>
          <w:szCs w:val="24"/>
        </w:rPr>
        <w:lastRenderedPageBreak/>
        <w:t>Además, respecto al domicilio fiscal, resulta necesario traer el artículo 10 del Código Fiscal de la Federación, que establece que, tratándose de personas físicas, corresponderá dicho dato:</w:t>
      </w:r>
    </w:p>
    <w:p w:rsidR="006B3523" w:rsidRPr="00900A5E" w:rsidRDefault="006B3523" w:rsidP="006B3523">
      <w:pPr>
        <w:numPr>
          <w:ilvl w:val="0"/>
          <w:numId w:val="14"/>
        </w:numPr>
        <w:pBdr>
          <w:top w:val="nil"/>
          <w:left w:val="nil"/>
          <w:bottom w:val="nil"/>
          <w:right w:val="nil"/>
          <w:between w:val="nil"/>
        </w:pBdr>
        <w:tabs>
          <w:tab w:val="center" w:pos="4522"/>
        </w:tabs>
        <w:spacing w:line="360" w:lineRule="auto"/>
        <w:jc w:val="both"/>
        <w:rPr>
          <w:rFonts w:ascii="Palatino Linotype" w:hAnsi="Palatino Linotype"/>
          <w:color w:val="000000"/>
          <w:sz w:val="24"/>
          <w:szCs w:val="24"/>
        </w:rPr>
      </w:pPr>
      <w:r w:rsidRPr="00900A5E">
        <w:rPr>
          <w:rFonts w:ascii="Palatino Linotype" w:hAnsi="Palatino Linotype"/>
          <w:color w:val="000000"/>
          <w:sz w:val="24"/>
          <w:szCs w:val="24"/>
        </w:rPr>
        <w:t>El lugar donde realizan actividades empresariales, el local, en que se encuentre el principal asiente de sus negocios, y</w:t>
      </w:r>
    </w:p>
    <w:p w:rsidR="006B3523" w:rsidRPr="00900A5E" w:rsidRDefault="006B3523" w:rsidP="006B3523">
      <w:pPr>
        <w:numPr>
          <w:ilvl w:val="0"/>
          <w:numId w:val="14"/>
        </w:numPr>
        <w:pBdr>
          <w:top w:val="nil"/>
          <w:left w:val="nil"/>
          <w:bottom w:val="nil"/>
          <w:right w:val="nil"/>
          <w:between w:val="nil"/>
        </w:pBdr>
        <w:tabs>
          <w:tab w:val="center" w:pos="4522"/>
        </w:tabs>
        <w:spacing w:line="360" w:lineRule="auto"/>
        <w:jc w:val="both"/>
        <w:rPr>
          <w:rFonts w:ascii="Palatino Linotype" w:hAnsi="Palatino Linotype"/>
          <w:color w:val="000000"/>
          <w:sz w:val="24"/>
          <w:szCs w:val="24"/>
        </w:rPr>
      </w:pPr>
      <w:r w:rsidRPr="00900A5E">
        <w:rPr>
          <w:rFonts w:ascii="Palatino Linotype" w:hAnsi="Palatino Linotype"/>
          <w:color w:val="000000"/>
          <w:sz w:val="24"/>
          <w:szCs w:val="24"/>
        </w:rPr>
        <w:t>La casa habitación, cuando no cuenta con un local o lugar donde realice las acciones previamente señaladas.</w:t>
      </w:r>
    </w:p>
    <w:p w:rsidR="006B3523" w:rsidRPr="00900A5E" w:rsidRDefault="006B3523" w:rsidP="006B3523">
      <w:pPr>
        <w:tabs>
          <w:tab w:val="center" w:pos="4522"/>
        </w:tabs>
        <w:spacing w:line="360" w:lineRule="auto"/>
        <w:jc w:val="both"/>
        <w:rPr>
          <w:rFonts w:ascii="Palatino Linotype" w:hAnsi="Palatino Linotype"/>
          <w:color w:val="000000"/>
          <w:sz w:val="24"/>
          <w:szCs w:val="24"/>
        </w:rPr>
      </w:pPr>
    </w:p>
    <w:p w:rsidR="006B3523" w:rsidRPr="00A424F7" w:rsidRDefault="006B3523" w:rsidP="00A424F7">
      <w:pPr>
        <w:pStyle w:val="Prrafodelista"/>
        <w:numPr>
          <w:ilvl w:val="0"/>
          <w:numId w:val="3"/>
        </w:numPr>
        <w:spacing w:line="360" w:lineRule="auto"/>
        <w:ind w:left="0" w:firstLine="0"/>
        <w:jc w:val="both"/>
        <w:rPr>
          <w:rFonts w:ascii="Palatino Linotype" w:hAnsi="Palatino Linotype"/>
          <w:color w:val="000000"/>
          <w:sz w:val="24"/>
          <w:szCs w:val="24"/>
        </w:rPr>
      </w:pPr>
      <w:r w:rsidRPr="00A424F7">
        <w:rPr>
          <w:rFonts w:ascii="Palatino Linotype" w:hAnsi="Palatino Linotype"/>
          <w:color w:val="000000"/>
          <w:sz w:val="24"/>
          <w:szCs w:val="24"/>
        </w:rPr>
        <w:t>Mientras que, en el caso de personas morales, el domicilio fiscal, corresponderá al local donde se encuentra la administración principal del negocio. Como se logra observar, el domicilio fiscal de los contratistas personas físicas, se encuentra en dos supuestos, por lo que, se procede a su análisis.</w:t>
      </w:r>
    </w:p>
    <w:p w:rsidR="006B3523" w:rsidRPr="00900A5E" w:rsidRDefault="006B3523" w:rsidP="006B3523">
      <w:pPr>
        <w:tabs>
          <w:tab w:val="center" w:pos="4522"/>
        </w:tabs>
        <w:spacing w:line="360" w:lineRule="auto"/>
        <w:jc w:val="both"/>
        <w:rPr>
          <w:rFonts w:ascii="Palatino Linotype" w:hAnsi="Palatino Linotype"/>
          <w:color w:val="000000"/>
          <w:sz w:val="24"/>
          <w:szCs w:val="24"/>
        </w:rPr>
      </w:pPr>
    </w:p>
    <w:p w:rsidR="006B3523" w:rsidRPr="00A424F7" w:rsidRDefault="006B3523" w:rsidP="00A424F7">
      <w:pPr>
        <w:pStyle w:val="Prrafodelista"/>
        <w:numPr>
          <w:ilvl w:val="0"/>
          <w:numId w:val="3"/>
        </w:numPr>
        <w:spacing w:line="360" w:lineRule="auto"/>
        <w:ind w:left="0" w:firstLine="0"/>
        <w:jc w:val="both"/>
        <w:rPr>
          <w:rFonts w:ascii="Palatino Linotype" w:hAnsi="Palatino Linotype"/>
          <w:color w:val="000000"/>
          <w:sz w:val="24"/>
          <w:szCs w:val="24"/>
        </w:rPr>
      </w:pPr>
      <w:r w:rsidRPr="00A424F7">
        <w:rPr>
          <w:rFonts w:ascii="Palatino Linotype" w:hAnsi="Palatino Linotype"/>
          <w:color w:val="000000"/>
          <w:sz w:val="24"/>
          <w:szCs w:val="24"/>
        </w:rPr>
        <w:t>Si bien es cierto que el primero, corresponde al lugar en donde reside habitualmente una persona en comento y, permite hacerlo identificable y ubicable, propiciando que pueda ser molestado en su casa, de este modo, los datos que permiten a cualquier individuo con esfuerzos mínimos identificar el lugar de residencia constituye un dato personal y, por ende, susceptible de clasificarse como confidencial, ya que incide directamente en la vida privada del individuo identificado, no debe dejarse de lado que, aquellas personas que deciden tener relaciones comerciales con las instituciones públicas, tienen una expectativa de privacidad menor, respecto del resto de las personas, en razón de obtener el beneficio de vender sus productos o servicios y recibir por ellos dinero del erario, situación que debe ser transparentada.</w:t>
      </w:r>
    </w:p>
    <w:p w:rsidR="006B3523" w:rsidRPr="00900A5E" w:rsidRDefault="006B3523" w:rsidP="006B3523">
      <w:pPr>
        <w:tabs>
          <w:tab w:val="center" w:pos="4522"/>
        </w:tabs>
        <w:spacing w:line="360" w:lineRule="auto"/>
        <w:jc w:val="both"/>
        <w:rPr>
          <w:rFonts w:ascii="Palatino Linotype" w:hAnsi="Palatino Linotype"/>
          <w:color w:val="000000"/>
          <w:sz w:val="24"/>
          <w:szCs w:val="24"/>
        </w:rPr>
      </w:pPr>
    </w:p>
    <w:p w:rsidR="006B3523" w:rsidRPr="00A424F7" w:rsidRDefault="006B3523" w:rsidP="00A424F7">
      <w:pPr>
        <w:pStyle w:val="Prrafodelista"/>
        <w:numPr>
          <w:ilvl w:val="0"/>
          <w:numId w:val="3"/>
        </w:numPr>
        <w:spacing w:line="360" w:lineRule="auto"/>
        <w:ind w:left="0" w:firstLine="0"/>
        <w:jc w:val="both"/>
        <w:rPr>
          <w:rFonts w:ascii="Palatino Linotype" w:hAnsi="Palatino Linotype"/>
          <w:color w:val="000000"/>
          <w:sz w:val="24"/>
          <w:szCs w:val="24"/>
        </w:rPr>
      </w:pPr>
      <w:r w:rsidRPr="00A424F7">
        <w:rPr>
          <w:rFonts w:ascii="Palatino Linotype" w:hAnsi="Palatino Linotype"/>
          <w:color w:val="000000"/>
          <w:sz w:val="24"/>
          <w:szCs w:val="24"/>
        </w:rPr>
        <w:lastRenderedPageBreak/>
        <w:t>Como se logra observar, es obligación de transparencia proporcionar el domicilio fiscal de los contratistas, por lo que, se considera que, en el caso, de que dicho dato, corresponda a un local o lugar donde realice sus actividades empresariales, se debe entregar.</w:t>
      </w:r>
    </w:p>
    <w:p w:rsidR="006B3523" w:rsidRPr="00900A5E" w:rsidRDefault="006B3523" w:rsidP="006B3523">
      <w:pPr>
        <w:tabs>
          <w:tab w:val="center" w:pos="4522"/>
        </w:tabs>
        <w:spacing w:line="360" w:lineRule="auto"/>
        <w:jc w:val="both"/>
        <w:rPr>
          <w:rFonts w:ascii="Palatino Linotype" w:hAnsi="Palatino Linotype"/>
          <w:color w:val="000000"/>
          <w:sz w:val="24"/>
          <w:szCs w:val="24"/>
        </w:rPr>
      </w:pPr>
    </w:p>
    <w:p w:rsidR="006B3523" w:rsidRPr="00A424F7" w:rsidRDefault="006B3523" w:rsidP="00A424F7">
      <w:pPr>
        <w:pStyle w:val="Prrafodelista"/>
        <w:numPr>
          <w:ilvl w:val="0"/>
          <w:numId w:val="3"/>
        </w:numPr>
        <w:spacing w:line="360" w:lineRule="auto"/>
        <w:ind w:left="0" w:firstLine="0"/>
        <w:jc w:val="both"/>
        <w:rPr>
          <w:rFonts w:ascii="Palatino Linotype" w:hAnsi="Palatino Linotype"/>
          <w:color w:val="000000"/>
          <w:sz w:val="24"/>
          <w:szCs w:val="24"/>
        </w:rPr>
      </w:pPr>
      <w:r w:rsidRPr="00A424F7">
        <w:rPr>
          <w:rFonts w:ascii="Palatino Linotype" w:hAnsi="Palatino Linotype"/>
          <w:color w:val="000000"/>
          <w:sz w:val="24"/>
          <w:szCs w:val="24"/>
        </w:rPr>
        <w:t>De tal suerte que, tratándose de contratistas (personas físicas o jurídico-colectivas), el domicilio fiscal, no actualiza la causal de clasificación, establecida en el artículo 143, fracción I de la Ley de Transparencia y Acceso a la Información Pública del Estado de México y Municipios.</w:t>
      </w:r>
    </w:p>
    <w:p w:rsidR="006B3523" w:rsidRPr="00900A5E" w:rsidRDefault="006B3523" w:rsidP="006B3523">
      <w:pPr>
        <w:tabs>
          <w:tab w:val="center" w:pos="4522"/>
        </w:tabs>
        <w:spacing w:line="360" w:lineRule="auto"/>
        <w:jc w:val="both"/>
        <w:rPr>
          <w:rFonts w:ascii="Palatino Linotype" w:hAnsi="Palatino Linotype"/>
          <w:color w:val="000000"/>
          <w:sz w:val="24"/>
          <w:szCs w:val="24"/>
        </w:rPr>
      </w:pPr>
    </w:p>
    <w:p w:rsidR="006B3523" w:rsidRPr="00900A5E" w:rsidRDefault="006B3523" w:rsidP="006B3523">
      <w:pPr>
        <w:numPr>
          <w:ilvl w:val="0"/>
          <w:numId w:val="12"/>
        </w:numPr>
        <w:pBdr>
          <w:top w:val="nil"/>
          <w:left w:val="nil"/>
          <w:bottom w:val="nil"/>
          <w:right w:val="nil"/>
          <w:between w:val="nil"/>
        </w:pBdr>
        <w:tabs>
          <w:tab w:val="center" w:pos="4522"/>
        </w:tabs>
        <w:spacing w:line="360" w:lineRule="auto"/>
        <w:jc w:val="both"/>
        <w:rPr>
          <w:rFonts w:ascii="Palatino Linotype" w:hAnsi="Palatino Linotype"/>
          <w:b/>
          <w:color w:val="000000"/>
          <w:sz w:val="24"/>
          <w:szCs w:val="24"/>
        </w:rPr>
      </w:pPr>
      <w:r w:rsidRPr="00900A5E">
        <w:rPr>
          <w:rFonts w:ascii="Palatino Linotype" w:hAnsi="Palatino Linotype"/>
          <w:b/>
          <w:color w:val="000000"/>
          <w:sz w:val="24"/>
          <w:szCs w:val="24"/>
        </w:rPr>
        <w:t>Cuenta bancaria y CLABE interbancaria de contratista</w:t>
      </w:r>
    </w:p>
    <w:p w:rsidR="006B3523" w:rsidRPr="00A424F7" w:rsidRDefault="006B3523" w:rsidP="00A424F7">
      <w:pPr>
        <w:pStyle w:val="Prrafodelista"/>
        <w:numPr>
          <w:ilvl w:val="0"/>
          <w:numId w:val="3"/>
        </w:numPr>
        <w:spacing w:line="360" w:lineRule="auto"/>
        <w:ind w:left="0" w:firstLine="0"/>
        <w:jc w:val="both"/>
        <w:rPr>
          <w:rFonts w:ascii="Palatino Linotype" w:hAnsi="Palatino Linotype"/>
          <w:color w:val="000000"/>
          <w:sz w:val="24"/>
          <w:szCs w:val="24"/>
        </w:rPr>
      </w:pPr>
      <w:r w:rsidRPr="00A424F7">
        <w:rPr>
          <w:rFonts w:ascii="Palatino Linotype" w:hAnsi="Palatino Linotype"/>
          <w:color w:val="000000"/>
          <w:sz w:val="24"/>
          <w:szCs w:val="24"/>
        </w:rPr>
        <w:t>Al respecto, se estima que dichos datos se relacionan con hechos y actos de carácter económico, pues los mismos darían cuenta, de la relación que tiene una institución financiero con un particular, ya sea persona física o moral; además, que con dicha información se podría obtener los recursos enviados a las órdenes de cargo, pago o a las transferencias electrónicas de fondos interbancarios, entre otros movimientos que sean utilizados exclusivamente en la cuenta señalada por el cliente y, por lo tanto, los datos bancarios corresponden a información que se encuentra relacionada con el patrimonio de la persona titular de la cuenta.</w:t>
      </w:r>
    </w:p>
    <w:p w:rsidR="006B3523" w:rsidRPr="00900A5E" w:rsidRDefault="006B3523" w:rsidP="006B3523">
      <w:pPr>
        <w:tabs>
          <w:tab w:val="center" w:pos="4522"/>
        </w:tabs>
        <w:spacing w:line="360" w:lineRule="auto"/>
        <w:jc w:val="both"/>
        <w:rPr>
          <w:rFonts w:ascii="Palatino Linotype" w:hAnsi="Palatino Linotype"/>
          <w:color w:val="000000"/>
          <w:sz w:val="24"/>
          <w:szCs w:val="24"/>
        </w:rPr>
      </w:pPr>
      <w:r w:rsidRPr="00900A5E">
        <w:rPr>
          <w:rFonts w:ascii="Palatino Linotype" w:hAnsi="Palatino Linotype"/>
          <w:color w:val="000000"/>
          <w:sz w:val="24"/>
          <w:szCs w:val="24"/>
        </w:rPr>
        <w:t> </w:t>
      </w:r>
    </w:p>
    <w:p w:rsidR="006B3523" w:rsidRPr="00A424F7" w:rsidRDefault="006B3523" w:rsidP="00A424F7">
      <w:pPr>
        <w:pStyle w:val="Prrafodelista"/>
        <w:numPr>
          <w:ilvl w:val="0"/>
          <w:numId w:val="3"/>
        </w:numPr>
        <w:spacing w:line="360" w:lineRule="auto"/>
        <w:ind w:left="0" w:firstLine="0"/>
        <w:jc w:val="both"/>
        <w:rPr>
          <w:rFonts w:ascii="Palatino Linotype" w:hAnsi="Palatino Linotype"/>
          <w:color w:val="000000"/>
          <w:sz w:val="24"/>
          <w:szCs w:val="24"/>
        </w:rPr>
      </w:pPr>
      <w:r w:rsidRPr="00A424F7">
        <w:rPr>
          <w:rFonts w:ascii="Palatino Linotype" w:hAnsi="Palatino Linotype"/>
          <w:color w:val="000000"/>
          <w:sz w:val="24"/>
          <w:szCs w:val="24"/>
        </w:rPr>
        <w:t>A mayor abundamiento, resulta necesario traer a colación el Criterio Orientador, de la Segunda Época, con número de registro SO/010/2017, emitido por el entonces Instituto Nacional de Transparencia, Acceso a la Información y Protección de Datos Personales, mismo que establece lo siguiente:</w:t>
      </w:r>
    </w:p>
    <w:p w:rsidR="006B3523" w:rsidRPr="00900A5E" w:rsidRDefault="006B3523" w:rsidP="006B3523">
      <w:pPr>
        <w:tabs>
          <w:tab w:val="center" w:pos="4522"/>
        </w:tabs>
        <w:spacing w:line="360" w:lineRule="auto"/>
        <w:jc w:val="both"/>
        <w:rPr>
          <w:rFonts w:ascii="Palatino Linotype" w:hAnsi="Palatino Linotype"/>
          <w:color w:val="000000"/>
          <w:sz w:val="24"/>
          <w:szCs w:val="24"/>
        </w:rPr>
      </w:pPr>
      <w:r w:rsidRPr="00900A5E">
        <w:rPr>
          <w:rFonts w:ascii="Palatino Linotype" w:hAnsi="Palatino Linotype"/>
          <w:color w:val="000000"/>
          <w:sz w:val="24"/>
          <w:szCs w:val="24"/>
        </w:rPr>
        <w:t> </w:t>
      </w:r>
    </w:p>
    <w:p w:rsidR="006B3523" w:rsidRPr="00900A5E" w:rsidRDefault="006B3523" w:rsidP="006B3523">
      <w:pPr>
        <w:tabs>
          <w:tab w:val="center" w:pos="4522"/>
        </w:tabs>
        <w:spacing w:line="360" w:lineRule="auto"/>
        <w:ind w:left="567" w:right="567"/>
        <w:jc w:val="both"/>
        <w:rPr>
          <w:rFonts w:ascii="Palatino Linotype" w:hAnsi="Palatino Linotype"/>
          <w:i/>
          <w:color w:val="000000"/>
          <w:sz w:val="24"/>
          <w:szCs w:val="24"/>
        </w:rPr>
      </w:pPr>
      <w:r w:rsidRPr="00900A5E">
        <w:rPr>
          <w:rFonts w:ascii="Palatino Linotype" w:hAnsi="Palatino Linotype"/>
          <w:i/>
          <w:color w:val="000000"/>
          <w:sz w:val="24"/>
          <w:szCs w:val="24"/>
        </w:rPr>
        <w:lastRenderedPageBreak/>
        <w:t>“</w:t>
      </w:r>
      <w:r w:rsidRPr="00900A5E">
        <w:rPr>
          <w:rFonts w:ascii="Palatino Linotype" w:hAnsi="Palatino Linotype"/>
          <w:b/>
          <w:i/>
          <w:color w:val="000000"/>
          <w:sz w:val="24"/>
          <w:szCs w:val="24"/>
        </w:rPr>
        <w:t>Cuentas bancarias y/o CLABE interbancaria de personas físicas y morales privadas.</w:t>
      </w:r>
      <w:r w:rsidRPr="00900A5E">
        <w:rPr>
          <w:rFonts w:ascii="Palatino Linotype" w:hAnsi="Palatino Linotype"/>
          <w:i/>
          <w:color w:val="000000"/>
          <w:sz w:val="24"/>
          <w:szCs w:val="24"/>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rsidR="006B3523" w:rsidRPr="00900A5E" w:rsidRDefault="006B3523" w:rsidP="006B3523">
      <w:pPr>
        <w:tabs>
          <w:tab w:val="center" w:pos="4522"/>
        </w:tabs>
        <w:spacing w:line="360" w:lineRule="auto"/>
        <w:jc w:val="both"/>
        <w:rPr>
          <w:rFonts w:ascii="Palatino Linotype" w:hAnsi="Palatino Linotype"/>
          <w:color w:val="000000"/>
          <w:sz w:val="24"/>
          <w:szCs w:val="24"/>
        </w:rPr>
      </w:pPr>
      <w:r w:rsidRPr="00900A5E">
        <w:rPr>
          <w:rFonts w:ascii="Palatino Linotype" w:hAnsi="Palatino Linotype"/>
          <w:color w:val="000000"/>
          <w:sz w:val="24"/>
          <w:szCs w:val="24"/>
        </w:rPr>
        <w:t> </w:t>
      </w:r>
    </w:p>
    <w:p w:rsidR="006B3523" w:rsidRPr="00A424F7" w:rsidRDefault="006B3523" w:rsidP="00A424F7">
      <w:pPr>
        <w:pStyle w:val="Prrafodelista"/>
        <w:numPr>
          <w:ilvl w:val="0"/>
          <w:numId w:val="3"/>
        </w:numPr>
        <w:spacing w:line="360" w:lineRule="auto"/>
        <w:ind w:left="0" w:firstLine="0"/>
        <w:jc w:val="both"/>
        <w:rPr>
          <w:rFonts w:ascii="Palatino Linotype" w:hAnsi="Palatino Linotype"/>
          <w:color w:val="000000"/>
          <w:sz w:val="24"/>
          <w:szCs w:val="24"/>
        </w:rPr>
      </w:pPr>
      <w:r w:rsidRPr="00A424F7">
        <w:rPr>
          <w:rFonts w:ascii="Palatino Linotype" w:hAnsi="Palatino Linotype"/>
          <w:color w:val="000000"/>
          <w:sz w:val="24"/>
          <w:szCs w:val="24"/>
        </w:rPr>
        <w:t xml:space="preserve">Por lo cual, se puede colegir que dichos datos no guardan relación con el servicio público ni con los recursos públicos, pues sólo corresponde a información, que le atañe a la institución financiera y al cliente; por lo que este número constituye información confidencial al pertenecer exclusivamente al ámbito de la vida privada del proveedor y procede su eliminación de conformidad con el artículo 143, fracción I, de la Ley de Transparencia y Acceso a la Información Pública del Estado de México y Municipios.  </w:t>
      </w:r>
    </w:p>
    <w:p w:rsidR="006B3523" w:rsidRPr="00900A5E" w:rsidRDefault="006B3523" w:rsidP="006B3523">
      <w:pPr>
        <w:tabs>
          <w:tab w:val="center" w:pos="4522"/>
        </w:tabs>
        <w:spacing w:line="360" w:lineRule="auto"/>
        <w:jc w:val="both"/>
        <w:rPr>
          <w:rFonts w:ascii="Palatino Linotype" w:hAnsi="Palatino Linotype"/>
          <w:color w:val="000000"/>
          <w:sz w:val="24"/>
          <w:szCs w:val="24"/>
        </w:rPr>
      </w:pPr>
    </w:p>
    <w:p w:rsidR="006B3523" w:rsidRPr="00900A5E" w:rsidRDefault="006B3523" w:rsidP="006B3523">
      <w:pPr>
        <w:numPr>
          <w:ilvl w:val="0"/>
          <w:numId w:val="12"/>
        </w:numPr>
        <w:pBdr>
          <w:top w:val="nil"/>
          <w:left w:val="nil"/>
          <w:bottom w:val="nil"/>
          <w:right w:val="nil"/>
          <w:between w:val="nil"/>
        </w:pBdr>
        <w:tabs>
          <w:tab w:val="center" w:pos="4522"/>
        </w:tabs>
        <w:spacing w:line="360" w:lineRule="auto"/>
        <w:jc w:val="both"/>
        <w:rPr>
          <w:rFonts w:ascii="Palatino Linotype" w:hAnsi="Palatino Linotype"/>
          <w:b/>
          <w:color w:val="000000"/>
          <w:sz w:val="24"/>
          <w:szCs w:val="24"/>
        </w:rPr>
      </w:pPr>
      <w:r w:rsidRPr="00900A5E">
        <w:rPr>
          <w:rFonts w:ascii="Palatino Linotype" w:hAnsi="Palatino Linotype"/>
          <w:b/>
          <w:color w:val="000000"/>
          <w:sz w:val="24"/>
          <w:szCs w:val="24"/>
        </w:rPr>
        <w:t>Nombre de institución bancaria</w:t>
      </w:r>
    </w:p>
    <w:p w:rsidR="006B3523" w:rsidRPr="00A424F7" w:rsidRDefault="006B3523" w:rsidP="00A424F7">
      <w:pPr>
        <w:pStyle w:val="Prrafodelista"/>
        <w:numPr>
          <w:ilvl w:val="0"/>
          <w:numId w:val="3"/>
        </w:numPr>
        <w:spacing w:line="360" w:lineRule="auto"/>
        <w:ind w:left="0" w:firstLine="0"/>
        <w:jc w:val="both"/>
        <w:rPr>
          <w:rFonts w:ascii="Palatino Linotype" w:hAnsi="Palatino Linotype"/>
          <w:color w:val="000000"/>
          <w:sz w:val="24"/>
          <w:szCs w:val="24"/>
        </w:rPr>
      </w:pPr>
      <w:r w:rsidRPr="00A424F7">
        <w:rPr>
          <w:rFonts w:ascii="Palatino Linotype" w:hAnsi="Palatino Linotype"/>
          <w:color w:val="000000"/>
          <w:sz w:val="24"/>
          <w:szCs w:val="24"/>
        </w:rPr>
        <w:t xml:space="preserve">En principio, es necesario señalar que conforme al artículo 2°, fracción IV  de la Ley de Protección y Defensa al Usuario de Servicios Financieros, establece que una institución financiera, se le denomina a las sociedades controladoras, instituciones de crédito, sociedades financieras de objeto múltiple, sociedades de información crediticia, casas de bolsa, especialistas bursátiles,  fondos de inversión, almacenes generales de depósito, uniones de crédito, casas de cambio, instituciones de seguros, sociedades mutualistas de seguros, instituciones de fianzas, </w:t>
      </w:r>
      <w:r w:rsidRPr="00A424F7">
        <w:rPr>
          <w:rFonts w:ascii="Palatino Linotype" w:hAnsi="Palatino Linotype"/>
          <w:color w:val="000000"/>
          <w:sz w:val="24"/>
          <w:szCs w:val="24"/>
        </w:rPr>
        <w:lastRenderedPageBreak/>
        <w:t>administradoras de fondos para el retiro, PENSIONISSSTE, empresas operadoras de la base de datos nacional del sistema de ahorro para el retiro, Instituto del Fondo Nacional para el Consumo de los Trabajadores, sociedades cooperativas de ahorro y préstamo, sociedades financieras populares, sociedades financieras comunitarias, y cualquiera otra sociedad que requiera de la autorización de la Secretaría de Hacienda y Crédito Público o de cualesquiera de las Comisiones Nacionales para constituirse y funcionar como tales y ofrecer un producto o servicio financiero a los usuarios. </w:t>
      </w:r>
    </w:p>
    <w:p w:rsidR="006B3523" w:rsidRPr="00900A5E" w:rsidRDefault="006B3523" w:rsidP="006B3523">
      <w:pPr>
        <w:tabs>
          <w:tab w:val="center" w:pos="4522"/>
        </w:tabs>
        <w:spacing w:line="360" w:lineRule="auto"/>
        <w:jc w:val="both"/>
        <w:rPr>
          <w:rFonts w:ascii="Palatino Linotype" w:hAnsi="Palatino Linotype"/>
          <w:color w:val="000000"/>
          <w:sz w:val="24"/>
          <w:szCs w:val="24"/>
        </w:rPr>
      </w:pPr>
    </w:p>
    <w:p w:rsidR="006B3523" w:rsidRPr="00A424F7" w:rsidRDefault="006B3523" w:rsidP="00A424F7">
      <w:pPr>
        <w:pStyle w:val="Prrafodelista"/>
        <w:numPr>
          <w:ilvl w:val="0"/>
          <w:numId w:val="3"/>
        </w:numPr>
        <w:spacing w:line="360" w:lineRule="auto"/>
        <w:ind w:left="0" w:firstLine="0"/>
        <w:jc w:val="both"/>
        <w:rPr>
          <w:rFonts w:ascii="Palatino Linotype" w:hAnsi="Palatino Linotype"/>
          <w:color w:val="000000"/>
          <w:sz w:val="24"/>
          <w:szCs w:val="24"/>
        </w:rPr>
      </w:pPr>
      <w:r w:rsidRPr="00A424F7">
        <w:rPr>
          <w:rFonts w:ascii="Palatino Linotype" w:hAnsi="Palatino Linotype"/>
          <w:color w:val="000000"/>
          <w:sz w:val="24"/>
          <w:szCs w:val="24"/>
        </w:rPr>
        <w:t xml:space="preserve">En ese orden de ideas, en el portal de la Comisión Nacional para la Protección y Defensa de los Usuarios de Servicios Financieros (consultadas el dieciocho de enero de dos mil veintitrés), en </w:t>
      </w:r>
      <w:hyperlink r:id="rId15">
        <w:r w:rsidRPr="00A424F7">
          <w:rPr>
            <w:rFonts w:ascii="Palatino Linotype" w:hAnsi="Palatino Linotype"/>
            <w:color w:val="0000FF"/>
            <w:sz w:val="24"/>
            <w:szCs w:val="24"/>
            <w:u w:val="single"/>
          </w:rPr>
          <w:t>https://www.condusef.gob.mx/Revista/index.php/usuario-inteligente/condusef-responde/777-la-condusef-te-puede-ayudar</w:t>
        </w:r>
      </w:hyperlink>
      <w:r w:rsidRPr="00A424F7">
        <w:rPr>
          <w:rFonts w:ascii="Palatino Linotype" w:hAnsi="Palatino Linotype"/>
          <w:color w:val="000000"/>
          <w:sz w:val="24"/>
          <w:szCs w:val="24"/>
        </w:rPr>
        <w:t>), se establece que los bancos son instituciones financieras; conforme a lo anterior, se puede advertir que las instituciones bancarias, son personas morales.</w:t>
      </w:r>
    </w:p>
    <w:p w:rsidR="006B3523" w:rsidRPr="00900A5E" w:rsidRDefault="006B3523" w:rsidP="006B3523">
      <w:pPr>
        <w:tabs>
          <w:tab w:val="center" w:pos="4522"/>
        </w:tabs>
        <w:spacing w:line="360" w:lineRule="auto"/>
        <w:jc w:val="both"/>
        <w:rPr>
          <w:rFonts w:ascii="Palatino Linotype" w:hAnsi="Palatino Linotype"/>
          <w:color w:val="000000"/>
          <w:sz w:val="24"/>
          <w:szCs w:val="24"/>
        </w:rPr>
      </w:pPr>
    </w:p>
    <w:p w:rsidR="006B3523" w:rsidRPr="00A424F7" w:rsidRDefault="006B3523" w:rsidP="00A424F7">
      <w:pPr>
        <w:pStyle w:val="Prrafodelista"/>
        <w:numPr>
          <w:ilvl w:val="0"/>
          <w:numId w:val="3"/>
        </w:numPr>
        <w:spacing w:line="360" w:lineRule="auto"/>
        <w:ind w:left="0" w:firstLine="0"/>
        <w:jc w:val="both"/>
        <w:rPr>
          <w:rFonts w:ascii="Palatino Linotype" w:hAnsi="Palatino Linotype"/>
          <w:color w:val="000000"/>
          <w:sz w:val="24"/>
          <w:szCs w:val="24"/>
        </w:rPr>
      </w:pPr>
      <w:r w:rsidRPr="00A424F7">
        <w:rPr>
          <w:rFonts w:ascii="Palatino Linotype" w:hAnsi="Palatino Linotype"/>
          <w:color w:val="000000"/>
          <w:sz w:val="24"/>
          <w:szCs w:val="24"/>
        </w:rPr>
        <w:t>En ese orden de ideas, se considera que la denominación o razón social de una persona moral, es pública, pues dichos datos se encuentran inscritos en el Registro Público del Comercio; lo anterior, toma sustento en el Criterio Orientador, de la Segunda Época, con número de registro SO/008/2019, emitido por el entonces Instituto Nacional de Transparencia, Acceso a la Información y Protección de Datos Personales, previamente referido.</w:t>
      </w:r>
    </w:p>
    <w:p w:rsidR="006B3523" w:rsidRPr="00900A5E" w:rsidRDefault="006B3523" w:rsidP="006B3523">
      <w:pPr>
        <w:tabs>
          <w:tab w:val="center" w:pos="4522"/>
        </w:tabs>
        <w:spacing w:line="360" w:lineRule="auto"/>
        <w:jc w:val="both"/>
        <w:rPr>
          <w:rFonts w:ascii="Palatino Linotype" w:hAnsi="Palatino Linotype"/>
          <w:color w:val="000000"/>
          <w:sz w:val="24"/>
          <w:szCs w:val="24"/>
        </w:rPr>
      </w:pPr>
    </w:p>
    <w:p w:rsidR="006B3523" w:rsidRPr="00A424F7" w:rsidRDefault="006B3523" w:rsidP="00A424F7">
      <w:pPr>
        <w:pStyle w:val="Prrafodelista"/>
        <w:numPr>
          <w:ilvl w:val="0"/>
          <w:numId w:val="3"/>
        </w:numPr>
        <w:spacing w:line="360" w:lineRule="auto"/>
        <w:ind w:left="0" w:firstLine="0"/>
        <w:jc w:val="both"/>
        <w:rPr>
          <w:rFonts w:ascii="Palatino Linotype" w:hAnsi="Palatino Linotype"/>
          <w:color w:val="000000"/>
          <w:sz w:val="24"/>
          <w:szCs w:val="24"/>
        </w:rPr>
      </w:pPr>
      <w:r w:rsidRPr="00A424F7">
        <w:rPr>
          <w:rFonts w:ascii="Palatino Linotype" w:hAnsi="Palatino Linotype"/>
          <w:color w:val="000000"/>
          <w:sz w:val="24"/>
          <w:szCs w:val="24"/>
        </w:rPr>
        <w:t xml:space="preserve">Lo anterior, se robustece con el hecho de que existe el Sistema de Registro de Prestadores de Servicios Financieros (consultadas el dieciocho de enero de dos mil veintitrés), a las trece </w:t>
      </w:r>
      <w:r w:rsidRPr="00A424F7">
        <w:rPr>
          <w:rFonts w:ascii="Palatino Linotype" w:hAnsi="Palatino Linotype"/>
          <w:color w:val="000000"/>
          <w:sz w:val="24"/>
          <w:szCs w:val="24"/>
        </w:rPr>
        <w:lastRenderedPageBreak/>
        <w:t xml:space="preserve">horas, en la liga </w:t>
      </w:r>
      <w:hyperlink r:id="rId16">
        <w:r w:rsidRPr="00A424F7">
          <w:rPr>
            <w:rFonts w:ascii="Palatino Linotype" w:hAnsi="Palatino Linotype"/>
            <w:color w:val="0000FF"/>
            <w:sz w:val="24"/>
            <w:szCs w:val="24"/>
            <w:u w:val="single"/>
          </w:rPr>
          <w:t>https://webapps.condusef.gob.mx/SIPRES/jsp/pub/index.jsp</w:t>
        </w:r>
      </w:hyperlink>
      <w:r w:rsidRPr="00A424F7">
        <w:rPr>
          <w:rFonts w:ascii="Palatino Linotype" w:hAnsi="Palatino Linotype"/>
          <w:color w:val="000000"/>
          <w:sz w:val="24"/>
          <w:szCs w:val="24"/>
        </w:rPr>
        <w:t xml:space="preserve">), que es un registro de </w:t>
      </w:r>
      <w:r w:rsidRPr="00A424F7">
        <w:rPr>
          <w:rFonts w:ascii="Palatino Linotype" w:hAnsi="Palatino Linotype"/>
          <w:b/>
          <w:color w:val="000000"/>
          <w:sz w:val="24"/>
          <w:szCs w:val="24"/>
        </w:rPr>
        <w:t xml:space="preserve">carácter público, </w:t>
      </w:r>
      <w:r w:rsidRPr="00A424F7">
        <w:rPr>
          <w:rFonts w:ascii="Palatino Linotype" w:hAnsi="Palatino Linotype"/>
          <w:color w:val="000000"/>
          <w:sz w:val="24"/>
          <w:szCs w:val="24"/>
        </w:rPr>
        <w:t>cuyo objetivo principal, consiste en proporcionar información corporativa y general de las instituciones financieras</w:t>
      </w:r>
      <w:r w:rsidRPr="00A424F7">
        <w:rPr>
          <w:rFonts w:ascii="Palatino Linotype" w:hAnsi="Palatino Linotype"/>
          <w:b/>
          <w:color w:val="000000"/>
          <w:sz w:val="24"/>
          <w:szCs w:val="24"/>
        </w:rPr>
        <w:t xml:space="preserve">; además, que permite conocer al público general, información de dichos entes, </w:t>
      </w:r>
      <w:r w:rsidRPr="00A424F7">
        <w:rPr>
          <w:rFonts w:ascii="Palatino Linotype" w:hAnsi="Palatino Linotype"/>
          <w:color w:val="000000"/>
          <w:sz w:val="24"/>
          <w:szCs w:val="24"/>
        </w:rPr>
        <w:t xml:space="preserve">se muestra un ejemplo a continuación: </w:t>
      </w:r>
    </w:p>
    <w:p w:rsidR="006B3523" w:rsidRPr="00900A5E" w:rsidRDefault="006B3523" w:rsidP="006B3523">
      <w:pPr>
        <w:tabs>
          <w:tab w:val="center" w:pos="4522"/>
        </w:tabs>
        <w:spacing w:line="360" w:lineRule="auto"/>
        <w:jc w:val="both"/>
        <w:rPr>
          <w:rFonts w:ascii="Palatino Linotype" w:hAnsi="Palatino Linotype"/>
          <w:color w:val="000000"/>
          <w:sz w:val="24"/>
          <w:szCs w:val="24"/>
        </w:rPr>
      </w:pPr>
    </w:p>
    <w:p w:rsidR="006B3523" w:rsidRPr="00900A5E" w:rsidRDefault="006B3523" w:rsidP="006B3523">
      <w:pPr>
        <w:tabs>
          <w:tab w:val="center" w:pos="4522"/>
        </w:tabs>
        <w:spacing w:line="360" w:lineRule="auto"/>
        <w:jc w:val="center"/>
        <w:rPr>
          <w:rFonts w:ascii="Palatino Linotype" w:hAnsi="Palatino Linotype"/>
          <w:color w:val="000000"/>
          <w:sz w:val="24"/>
          <w:szCs w:val="24"/>
        </w:rPr>
      </w:pPr>
      <w:r w:rsidRPr="00900A5E">
        <w:rPr>
          <w:rFonts w:ascii="Palatino Linotype" w:hAnsi="Palatino Linotype"/>
          <w:noProof/>
          <w:color w:val="000000"/>
          <w:sz w:val="24"/>
          <w:szCs w:val="24"/>
        </w:rPr>
        <w:drawing>
          <wp:inline distT="0" distB="0" distL="0" distR="0" wp14:anchorId="6F30F881" wp14:editId="44BA6799">
            <wp:extent cx="4777740" cy="2476500"/>
            <wp:effectExtent l="0" t="0" r="0" b="0"/>
            <wp:docPr id="1432513720" name="image1.png" descr="Imagen que contiene Escala de tiem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magen que contiene Escala de tiempo&#10;&#10;Descripción generada automáticamente"/>
                    <pic:cNvPicPr preferRelativeResize="0"/>
                  </pic:nvPicPr>
                  <pic:blipFill>
                    <a:blip r:embed="rId17"/>
                    <a:srcRect t="2" b="379"/>
                    <a:stretch>
                      <a:fillRect/>
                    </a:stretch>
                  </pic:blipFill>
                  <pic:spPr>
                    <a:xfrm>
                      <a:off x="0" y="0"/>
                      <a:ext cx="4777740" cy="2476500"/>
                    </a:xfrm>
                    <a:prstGeom prst="rect">
                      <a:avLst/>
                    </a:prstGeom>
                    <a:ln/>
                  </pic:spPr>
                </pic:pic>
              </a:graphicData>
            </a:graphic>
          </wp:inline>
        </w:drawing>
      </w:r>
    </w:p>
    <w:p w:rsidR="006B3523" w:rsidRPr="00900A5E" w:rsidRDefault="006B3523" w:rsidP="006B3523">
      <w:pPr>
        <w:tabs>
          <w:tab w:val="center" w:pos="4522"/>
        </w:tabs>
        <w:spacing w:line="360" w:lineRule="auto"/>
        <w:jc w:val="both"/>
        <w:rPr>
          <w:rFonts w:ascii="Palatino Linotype" w:hAnsi="Palatino Linotype"/>
          <w:color w:val="000000"/>
          <w:sz w:val="24"/>
          <w:szCs w:val="24"/>
        </w:rPr>
      </w:pPr>
    </w:p>
    <w:p w:rsidR="006B3523" w:rsidRPr="00A424F7" w:rsidRDefault="006B3523" w:rsidP="00A424F7">
      <w:pPr>
        <w:pStyle w:val="Prrafodelista"/>
        <w:numPr>
          <w:ilvl w:val="0"/>
          <w:numId w:val="3"/>
        </w:numPr>
        <w:spacing w:line="360" w:lineRule="auto"/>
        <w:ind w:left="0" w:firstLine="0"/>
        <w:jc w:val="both"/>
        <w:rPr>
          <w:rFonts w:ascii="Palatino Linotype" w:hAnsi="Palatino Linotype"/>
          <w:color w:val="000000"/>
          <w:sz w:val="24"/>
          <w:szCs w:val="24"/>
        </w:rPr>
      </w:pPr>
      <w:r w:rsidRPr="00A424F7">
        <w:rPr>
          <w:rFonts w:ascii="Palatino Linotype" w:hAnsi="Palatino Linotype"/>
          <w:color w:val="000000"/>
          <w:sz w:val="24"/>
          <w:szCs w:val="24"/>
        </w:rPr>
        <w:t>Conforme a lo anterior, se logra vislumbrar que el nombre de las instituciones bancarias en primera instancia es de naturaleza pública; sin embargo, en el presente caso, se relacionada con el hecho de que corresponde al banco en el cual un proveedor o contratista decidió recibir el pago de sus servicios; es decir, daría cuenta de la decisión voluntaria de recibir el pago de sus servicios en una determinada institución; lo cual se relaciona con la cuenta y clave interbancaria, mismos que son confidenciales.</w:t>
      </w:r>
    </w:p>
    <w:p w:rsidR="006B3523" w:rsidRPr="00900A5E" w:rsidRDefault="006B3523" w:rsidP="006B3523">
      <w:pPr>
        <w:tabs>
          <w:tab w:val="center" w:pos="4522"/>
        </w:tabs>
        <w:spacing w:line="360" w:lineRule="auto"/>
        <w:jc w:val="both"/>
        <w:rPr>
          <w:rFonts w:ascii="Palatino Linotype" w:hAnsi="Palatino Linotype"/>
          <w:color w:val="000000"/>
          <w:sz w:val="24"/>
          <w:szCs w:val="24"/>
        </w:rPr>
      </w:pPr>
    </w:p>
    <w:p w:rsidR="006B3523" w:rsidRPr="00A424F7" w:rsidRDefault="006B3523" w:rsidP="00A424F7">
      <w:pPr>
        <w:pStyle w:val="Prrafodelista"/>
        <w:numPr>
          <w:ilvl w:val="0"/>
          <w:numId w:val="3"/>
        </w:numPr>
        <w:spacing w:line="360" w:lineRule="auto"/>
        <w:ind w:left="0" w:firstLine="0"/>
        <w:jc w:val="both"/>
        <w:rPr>
          <w:rFonts w:ascii="Palatino Linotype" w:hAnsi="Palatino Linotype"/>
          <w:color w:val="000000"/>
          <w:sz w:val="24"/>
          <w:szCs w:val="24"/>
        </w:rPr>
      </w:pPr>
      <w:r w:rsidRPr="00A424F7">
        <w:rPr>
          <w:rFonts w:ascii="Palatino Linotype" w:hAnsi="Palatino Linotype"/>
          <w:color w:val="000000"/>
          <w:sz w:val="24"/>
          <w:szCs w:val="24"/>
        </w:rPr>
        <w:t xml:space="preserve">Además, revelaría el lugar en donde el proveedor recibió los recursos por prestar sus servicios, lo cual únicamente está relacionado a su vida íntima o privada de la persona moral; </w:t>
      </w:r>
      <w:r w:rsidRPr="00A424F7">
        <w:rPr>
          <w:rFonts w:ascii="Palatino Linotype" w:hAnsi="Palatino Linotype"/>
          <w:color w:val="000000"/>
          <w:sz w:val="24"/>
          <w:szCs w:val="24"/>
        </w:rPr>
        <w:lastRenderedPageBreak/>
        <w:t>por lo que, este Instituto considera que el nombre de la institución bancaria, actualiza la causal de clasificación prevista en el artículo 143, fracción I, de la Ley de Transparencia y Acceso a la Información Pública del Estado de México y Municipios.</w:t>
      </w:r>
    </w:p>
    <w:p w:rsidR="006B3523" w:rsidRPr="00900A5E" w:rsidRDefault="006B3523" w:rsidP="006B3523">
      <w:pPr>
        <w:tabs>
          <w:tab w:val="center" w:pos="4522"/>
        </w:tabs>
        <w:spacing w:line="360" w:lineRule="auto"/>
        <w:jc w:val="both"/>
        <w:rPr>
          <w:rFonts w:ascii="Palatino Linotype" w:hAnsi="Palatino Linotype"/>
          <w:color w:val="000000"/>
          <w:sz w:val="24"/>
          <w:szCs w:val="24"/>
        </w:rPr>
      </w:pPr>
    </w:p>
    <w:p w:rsidR="006B3523" w:rsidRPr="00A424F7" w:rsidRDefault="006B3523" w:rsidP="00A424F7">
      <w:pPr>
        <w:pStyle w:val="Prrafodelista"/>
        <w:numPr>
          <w:ilvl w:val="0"/>
          <w:numId w:val="3"/>
        </w:numPr>
        <w:spacing w:line="360" w:lineRule="auto"/>
        <w:ind w:left="0" w:firstLine="0"/>
        <w:jc w:val="both"/>
        <w:rPr>
          <w:rFonts w:ascii="Palatino Linotype" w:hAnsi="Palatino Linotype"/>
          <w:color w:val="000000"/>
          <w:sz w:val="24"/>
          <w:szCs w:val="24"/>
        </w:rPr>
      </w:pPr>
      <w:r w:rsidRPr="00A424F7">
        <w:rPr>
          <w:rFonts w:ascii="Palatino Linotype" w:hAnsi="Palatino Linotype"/>
          <w:color w:val="000000"/>
          <w:sz w:val="24"/>
          <w:szCs w:val="24"/>
        </w:rPr>
        <w:t xml:space="preserve">Finalmente, el Sujeto Obligado, deberá elaborar la versión pública respectiva, tomando en consideración los datos analizados; al respecto, conforme al artículo 3°, fracción XLV, relacionado con el 137, ambos de la Ley de Transparencia y Acceso a la Información Pública del Estado de México y Municipios, cuando un documento contenga información pública y confidencial, la Unidad de Transparencia para efectos de atender al requerimiento informativo, deberá elaborar una versión pública en la que se testen las partes o secciones clasificadas, indicando su contenido de manera genérica y fundando y motivando su clasificación. </w:t>
      </w:r>
    </w:p>
    <w:p w:rsidR="006B3523" w:rsidRPr="00900A5E" w:rsidRDefault="006B3523" w:rsidP="006B3523">
      <w:pPr>
        <w:spacing w:line="360" w:lineRule="auto"/>
        <w:jc w:val="both"/>
        <w:rPr>
          <w:rFonts w:ascii="Palatino Linotype" w:hAnsi="Palatino Linotype"/>
          <w:color w:val="000000"/>
          <w:sz w:val="24"/>
          <w:szCs w:val="24"/>
        </w:rPr>
      </w:pPr>
    </w:p>
    <w:p w:rsidR="006B3523" w:rsidRPr="00A424F7" w:rsidRDefault="006B3523" w:rsidP="00A424F7">
      <w:pPr>
        <w:pStyle w:val="Prrafodelista"/>
        <w:numPr>
          <w:ilvl w:val="0"/>
          <w:numId w:val="3"/>
        </w:numPr>
        <w:spacing w:line="360" w:lineRule="auto"/>
        <w:ind w:left="0" w:firstLine="0"/>
        <w:jc w:val="both"/>
        <w:rPr>
          <w:rFonts w:ascii="Palatino Linotype" w:hAnsi="Palatino Linotype"/>
          <w:color w:val="000000"/>
          <w:sz w:val="24"/>
          <w:szCs w:val="24"/>
        </w:rPr>
      </w:pPr>
      <w:r w:rsidRPr="00A424F7">
        <w:rPr>
          <w:rFonts w:ascii="Palatino Linotype" w:hAnsi="Palatino Linotype"/>
          <w:color w:val="000000"/>
          <w:sz w:val="24"/>
          <w:szCs w:val="24"/>
        </w:rPr>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rsidR="006B3523" w:rsidRPr="00900A5E" w:rsidRDefault="006B3523" w:rsidP="006B3523">
      <w:pPr>
        <w:spacing w:line="360" w:lineRule="auto"/>
        <w:ind w:right="49"/>
        <w:jc w:val="both"/>
        <w:rPr>
          <w:rFonts w:ascii="Palatino Linotype" w:eastAsia="Palatino Linotype" w:hAnsi="Palatino Linotype" w:cs="Palatino Linotype"/>
          <w:sz w:val="24"/>
          <w:szCs w:val="24"/>
        </w:rPr>
      </w:pPr>
    </w:p>
    <w:p w:rsidR="006B3523" w:rsidRPr="00900A5E" w:rsidRDefault="006B3523" w:rsidP="00813E7B">
      <w:pPr>
        <w:pStyle w:val="Prrafodelista"/>
        <w:spacing w:line="360" w:lineRule="auto"/>
        <w:ind w:left="0"/>
        <w:rPr>
          <w:rFonts w:ascii="Palatino Linotype" w:eastAsia="Calibri" w:hAnsi="Palatino Linotype" w:cs="Arial"/>
          <w:b/>
          <w:sz w:val="24"/>
          <w:szCs w:val="24"/>
          <w:lang w:eastAsia="en-US"/>
        </w:rPr>
      </w:pPr>
      <w:r w:rsidRPr="00900A5E">
        <w:rPr>
          <w:rFonts w:ascii="Palatino Linotype" w:eastAsia="Calibri" w:hAnsi="Palatino Linotype" w:cs="Arial"/>
          <w:b/>
          <w:sz w:val="24"/>
          <w:szCs w:val="24"/>
          <w:lang w:eastAsia="en-US"/>
        </w:rPr>
        <w:t>FACTURAS</w:t>
      </w:r>
    </w:p>
    <w:p w:rsidR="006B3523" w:rsidRPr="00900A5E" w:rsidRDefault="006B3523" w:rsidP="00813E7B">
      <w:pPr>
        <w:pStyle w:val="Prrafodelista"/>
        <w:numPr>
          <w:ilvl w:val="0"/>
          <w:numId w:val="3"/>
        </w:numPr>
        <w:spacing w:line="360" w:lineRule="auto"/>
        <w:ind w:left="0" w:firstLine="0"/>
        <w:jc w:val="both"/>
        <w:rPr>
          <w:rFonts w:ascii="Palatino Linotype" w:eastAsia="Calibri" w:hAnsi="Palatino Linotype" w:cs="Arial"/>
          <w:sz w:val="24"/>
          <w:szCs w:val="24"/>
          <w:lang w:eastAsia="en-US"/>
        </w:rPr>
      </w:pPr>
      <w:r w:rsidRPr="00900A5E">
        <w:rPr>
          <w:rFonts w:ascii="Palatino Linotype" w:eastAsia="Calibri" w:hAnsi="Palatino Linotype" w:cs="Arial"/>
          <w:sz w:val="24"/>
          <w:szCs w:val="24"/>
          <w:lang w:eastAsia="en-US"/>
        </w:rPr>
        <w:t>Respecto de las facturas</w:t>
      </w:r>
      <w:r w:rsidRPr="00900A5E">
        <w:rPr>
          <w:rFonts w:ascii="Palatino Linotype" w:hAnsi="Palatino Linotype"/>
          <w:sz w:val="24"/>
          <w:szCs w:val="24"/>
        </w:rPr>
        <w:t xml:space="preserve"> resulta oportuno traer a contexto, la información publicada por la Secretaría de Hacienda y Crédito Público, referente al Servicio de Administración Tributaria (SAT), en donde se advierte los requisitos que deben reunir las facturas emitidas, consultable en la dirección electrónica </w:t>
      </w:r>
      <w:hyperlink r:id="rId18" w:history="1">
        <w:r w:rsidRPr="00900A5E">
          <w:rPr>
            <w:rStyle w:val="Hipervnculo"/>
            <w:rFonts w:ascii="Palatino Linotype" w:eastAsia="Calibri" w:hAnsi="Palatino Linotype"/>
            <w:sz w:val="24"/>
            <w:szCs w:val="24"/>
          </w:rPr>
          <w:t>http://omawww.sat.gob.mx/factura/Paginas/solicita_requisitos.htm</w:t>
        </w:r>
      </w:hyperlink>
      <w:r w:rsidRPr="00900A5E">
        <w:rPr>
          <w:rFonts w:ascii="Palatino Linotype" w:hAnsi="Palatino Linotype"/>
          <w:sz w:val="24"/>
          <w:szCs w:val="24"/>
        </w:rPr>
        <w:t>, de conformidad con lo siguiente:</w:t>
      </w:r>
    </w:p>
    <w:p w:rsidR="006B3523" w:rsidRPr="00900A5E" w:rsidRDefault="006B3523" w:rsidP="006B3523">
      <w:pPr>
        <w:pStyle w:val="Prrafodelista"/>
        <w:autoSpaceDE w:val="0"/>
        <w:autoSpaceDN w:val="0"/>
        <w:adjustRightInd w:val="0"/>
        <w:jc w:val="both"/>
        <w:rPr>
          <w:rFonts w:ascii="Palatino Linotype" w:hAnsi="Palatino Linotype"/>
          <w:i/>
          <w:sz w:val="24"/>
          <w:szCs w:val="24"/>
        </w:rPr>
      </w:pPr>
      <w:r w:rsidRPr="00900A5E">
        <w:rPr>
          <w:rFonts w:ascii="Palatino Linotype" w:hAnsi="Palatino Linotype"/>
          <w:b/>
          <w:i/>
          <w:sz w:val="24"/>
          <w:szCs w:val="24"/>
        </w:rPr>
        <w:lastRenderedPageBreak/>
        <w:t>Requisitos que deben reunir las facturas que recibas</w:t>
      </w:r>
      <w:r w:rsidRPr="00900A5E">
        <w:rPr>
          <w:rFonts w:ascii="Palatino Linotype" w:hAnsi="Palatino Linotype"/>
          <w:i/>
          <w:sz w:val="24"/>
          <w:szCs w:val="24"/>
        </w:rPr>
        <w:t>:</w:t>
      </w:r>
    </w:p>
    <w:p w:rsidR="006B3523" w:rsidRPr="00900A5E" w:rsidRDefault="006B3523" w:rsidP="006B3523">
      <w:pPr>
        <w:pStyle w:val="Prrafodelista"/>
        <w:autoSpaceDE w:val="0"/>
        <w:autoSpaceDN w:val="0"/>
        <w:adjustRightInd w:val="0"/>
        <w:jc w:val="both"/>
        <w:rPr>
          <w:rFonts w:ascii="Palatino Linotype" w:hAnsi="Palatino Linotype"/>
          <w:i/>
          <w:sz w:val="24"/>
          <w:szCs w:val="24"/>
        </w:rPr>
      </w:pPr>
      <w:r w:rsidRPr="00900A5E">
        <w:rPr>
          <w:rFonts w:ascii="Palatino Linotype" w:hAnsi="Palatino Linotype"/>
          <w:i/>
          <w:sz w:val="24"/>
          <w:szCs w:val="24"/>
        </w:rPr>
        <w:t>  Clave del Registro Federal de Contribuyentes de quien los expida.</w:t>
      </w:r>
    </w:p>
    <w:p w:rsidR="006B3523" w:rsidRPr="00900A5E" w:rsidRDefault="006B3523" w:rsidP="006B3523">
      <w:pPr>
        <w:pStyle w:val="Prrafodelista"/>
        <w:autoSpaceDE w:val="0"/>
        <w:autoSpaceDN w:val="0"/>
        <w:adjustRightInd w:val="0"/>
        <w:jc w:val="both"/>
        <w:rPr>
          <w:rFonts w:ascii="Palatino Linotype" w:hAnsi="Palatino Linotype"/>
          <w:i/>
          <w:sz w:val="24"/>
          <w:szCs w:val="24"/>
        </w:rPr>
      </w:pPr>
      <w:r w:rsidRPr="00900A5E">
        <w:rPr>
          <w:rFonts w:ascii="Palatino Linotype" w:hAnsi="Palatino Linotype"/>
          <w:i/>
          <w:sz w:val="24"/>
          <w:szCs w:val="24"/>
        </w:rPr>
        <w:t>  Régimen Fiscal en que tributen conforme a la Ley del ISR.</w:t>
      </w:r>
    </w:p>
    <w:p w:rsidR="006B3523" w:rsidRPr="00900A5E" w:rsidRDefault="006B3523" w:rsidP="006B3523">
      <w:pPr>
        <w:pStyle w:val="Prrafodelista"/>
        <w:autoSpaceDE w:val="0"/>
        <w:autoSpaceDN w:val="0"/>
        <w:adjustRightInd w:val="0"/>
        <w:jc w:val="both"/>
        <w:rPr>
          <w:rFonts w:ascii="Palatino Linotype" w:hAnsi="Palatino Linotype"/>
          <w:i/>
          <w:sz w:val="24"/>
          <w:szCs w:val="24"/>
        </w:rPr>
      </w:pPr>
      <w:r w:rsidRPr="00900A5E">
        <w:rPr>
          <w:rFonts w:ascii="Palatino Linotype" w:hAnsi="Palatino Linotype"/>
          <w:i/>
          <w:sz w:val="24"/>
          <w:szCs w:val="24"/>
        </w:rPr>
        <w:t>  Sí se tiene más de un local o establecimiento, se deberá señalar el domicilio del local o establecimiento en el que se expidan las Facturas.</w:t>
      </w:r>
    </w:p>
    <w:p w:rsidR="006B3523" w:rsidRPr="00900A5E" w:rsidRDefault="006B3523" w:rsidP="006B3523">
      <w:pPr>
        <w:pStyle w:val="Prrafodelista"/>
        <w:autoSpaceDE w:val="0"/>
        <w:autoSpaceDN w:val="0"/>
        <w:adjustRightInd w:val="0"/>
        <w:jc w:val="both"/>
        <w:rPr>
          <w:rFonts w:ascii="Palatino Linotype" w:hAnsi="Palatino Linotype"/>
          <w:i/>
          <w:sz w:val="24"/>
          <w:szCs w:val="24"/>
        </w:rPr>
      </w:pPr>
      <w:r w:rsidRPr="00900A5E">
        <w:rPr>
          <w:rFonts w:ascii="Palatino Linotype" w:hAnsi="Palatino Linotype"/>
          <w:i/>
          <w:sz w:val="24"/>
          <w:szCs w:val="24"/>
        </w:rPr>
        <w:t>  Contener el número de folio asignado por el SAT y el sello digital del SAT.</w:t>
      </w:r>
    </w:p>
    <w:p w:rsidR="006B3523" w:rsidRPr="00900A5E" w:rsidRDefault="006B3523" w:rsidP="006B3523">
      <w:pPr>
        <w:pStyle w:val="Prrafodelista"/>
        <w:autoSpaceDE w:val="0"/>
        <w:autoSpaceDN w:val="0"/>
        <w:adjustRightInd w:val="0"/>
        <w:jc w:val="both"/>
        <w:rPr>
          <w:rFonts w:ascii="Palatino Linotype" w:hAnsi="Palatino Linotype"/>
          <w:i/>
          <w:sz w:val="24"/>
          <w:szCs w:val="24"/>
        </w:rPr>
      </w:pPr>
      <w:r w:rsidRPr="00900A5E">
        <w:rPr>
          <w:rFonts w:ascii="Palatino Linotype" w:hAnsi="Palatino Linotype"/>
          <w:i/>
          <w:sz w:val="24"/>
          <w:szCs w:val="24"/>
        </w:rPr>
        <w:t>  Sello digital del contribuyente que lo expide.</w:t>
      </w:r>
    </w:p>
    <w:p w:rsidR="006B3523" w:rsidRPr="00900A5E" w:rsidRDefault="006B3523" w:rsidP="006B3523">
      <w:pPr>
        <w:pStyle w:val="Prrafodelista"/>
        <w:autoSpaceDE w:val="0"/>
        <w:autoSpaceDN w:val="0"/>
        <w:adjustRightInd w:val="0"/>
        <w:jc w:val="both"/>
        <w:rPr>
          <w:rFonts w:ascii="Palatino Linotype" w:hAnsi="Palatino Linotype"/>
          <w:i/>
          <w:sz w:val="24"/>
          <w:szCs w:val="24"/>
        </w:rPr>
      </w:pPr>
      <w:r w:rsidRPr="00900A5E">
        <w:rPr>
          <w:rFonts w:ascii="Palatino Linotype" w:hAnsi="Palatino Linotype"/>
          <w:i/>
          <w:sz w:val="24"/>
          <w:szCs w:val="24"/>
        </w:rPr>
        <w:t>  Lugar y fecha de expedición.</w:t>
      </w:r>
    </w:p>
    <w:p w:rsidR="006B3523" w:rsidRPr="00900A5E" w:rsidRDefault="006B3523" w:rsidP="006B3523">
      <w:pPr>
        <w:pStyle w:val="Prrafodelista"/>
        <w:autoSpaceDE w:val="0"/>
        <w:autoSpaceDN w:val="0"/>
        <w:adjustRightInd w:val="0"/>
        <w:jc w:val="both"/>
        <w:rPr>
          <w:rFonts w:ascii="Palatino Linotype" w:hAnsi="Palatino Linotype"/>
          <w:i/>
          <w:sz w:val="24"/>
          <w:szCs w:val="24"/>
        </w:rPr>
      </w:pPr>
      <w:r w:rsidRPr="00900A5E">
        <w:rPr>
          <w:rFonts w:ascii="Palatino Linotype" w:hAnsi="Palatino Linotype"/>
          <w:i/>
          <w:sz w:val="24"/>
          <w:szCs w:val="24"/>
        </w:rPr>
        <w:t>  Clave del Registro Federal de Contribuyentes de la persona a favor de quien se expida.</w:t>
      </w:r>
    </w:p>
    <w:p w:rsidR="006B3523" w:rsidRPr="00900A5E" w:rsidRDefault="006B3523" w:rsidP="006B3523">
      <w:pPr>
        <w:pStyle w:val="Prrafodelista"/>
        <w:autoSpaceDE w:val="0"/>
        <w:autoSpaceDN w:val="0"/>
        <w:adjustRightInd w:val="0"/>
        <w:jc w:val="both"/>
        <w:rPr>
          <w:rFonts w:ascii="Palatino Linotype" w:hAnsi="Palatino Linotype"/>
          <w:i/>
          <w:sz w:val="24"/>
          <w:szCs w:val="24"/>
          <w:u w:val="single"/>
        </w:rPr>
      </w:pPr>
      <w:r w:rsidRPr="00900A5E">
        <w:rPr>
          <w:rFonts w:ascii="Palatino Linotype" w:hAnsi="Palatino Linotype"/>
          <w:i/>
          <w:sz w:val="24"/>
          <w:szCs w:val="24"/>
          <w:u w:val="single"/>
        </w:rPr>
        <w:t>  Cantidad, unidad de medida y clase de los bienes, mercancías o descripción del servicio o del uso o goce que amparen.</w:t>
      </w:r>
    </w:p>
    <w:p w:rsidR="006B3523" w:rsidRPr="00900A5E" w:rsidRDefault="006B3523" w:rsidP="006B3523">
      <w:pPr>
        <w:pStyle w:val="Prrafodelista"/>
        <w:autoSpaceDE w:val="0"/>
        <w:autoSpaceDN w:val="0"/>
        <w:adjustRightInd w:val="0"/>
        <w:jc w:val="both"/>
        <w:rPr>
          <w:rFonts w:ascii="Palatino Linotype" w:hAnsi="Palatino Linotype"/>
          <w:i/>
          <w:sz w:val="24"/>
          <w:szCs w:val="24"/>
          <w:u w:val="single"/>
        </w:rPr>
      </w:pPr>
      <w:r w:rsidRPr="00900A5E">
        <w:rPr>
          <w:rFonts w:ascii="Palatino Linotype" w:hAnsi="Palatino Linotype"/>
          <w:i/>
          <w:sz w:val="24"/>
          <w:szCs w:val="24"/>
          <w:u w:val="single"/>
        </w:rPr>
        <w:t>  Valor unitario consignado en número.</w:t>
      </w:r>
    </w:p>
    <w:p w:rsidR="006B3523" w:rsidRPr="00900A5E" w:rsidRDefault="006B3523" w:rsidP="006B3523">
      <w:pPr>
        <w:pStyle w:val="Prrafodelista"/>
        <w:autoSpaceDE w:val="0"/>
        <w:autoSpaceDN w:val="0"/>
        <w:adjustRightInd w:val="0"/>
        <w:jc w:val="both"/>
        <w:rPr>
          <w:rFonts w:ascii="Palatino Linotype" w:hAnsi="Palatino Linotype"/>
          <w:i/>
          <w:sz w:val="24"/>
          <w:szCs w:val="24"/>
          <w:u w:val="single"/>
        </w:rPr>
      </w:pPr>
      <w:r w:rsidRPr="00900A5E">
        <w:rPr>
          <w:rFonts w:ascii="Palatino Linotype" w:hAnsi="Palatino Linotype"/>
          <w:i/>
          <w:sz w:val="24"/>
          <w:szCs w:val="24"/>
          <w:u w:val="single"/>
        </w:rPr>
        <w:t>  Importe total señalado en número o en letra.</w:t>
      </w:r>
    </w:p>
    <w:p w:rsidR="006B3523" w:rsidRPr="00900A5E" w:rsidRDefault="006B3523" w:rsidP="006B3523">
      <w:pPr>
        <w:pStyle w:val="Prrafodelista"/>
        <w:autoSpaceDE w:val="0"/>
        <w:autoSpaceDN w:val="0"/>
        <w:adjustRightInd w:val="0"/>
        <w:jc w:val="both"/>
        <w:rPr>
          <w:rFonts w:ascii="Palatino Linotype" w:hAnsi="Palatino Linotype"/>
          <w:i/>
          <w:sz w:val="24"/>
          <w:szCs w:val="24"/>
        </w:rPr>
      </w:pPr>
      <w:r w:rsidRPr="00900A5E">
        <w:rPr>
          <w:rFonts w:ascii="Palatino Linotype" w:hAnsi="Palatino Linotype"/>
          <w:i/>
          <w:sz w:val="24"/>
          <w:szCs w:val="24"/>
        </w:rPr>
        <w:t>  Señalamiento expreso cuando la prestación se pague en una sola exhibición o en parcialidades.</w:t>
      </w:r>
    </w:p>
    <w:p w:rsidR="006B3523" w:rsidRPr="00900A5E" w:rsidRDefault="006B3523" w:rsidP="006B3523">
      <w:pPr>
        <w:pStyle w:val="Prrafodelista"/>
        <w:autoSpaceDE w:val="0"/>
        <w:autoSpaceDN w:val="0"/>
        <w:adjustRightInd w:val="0"/>
        <w:jc w:val="both"/>
        <w:rPr>
          <w:rFonts w:ascii="Palatino Linotype" w:hAnsi="Palatino Linotype"/>
          <w:i/>
          <w:sz w:val="24"/>
          <w:szCs w:val="24"/>
        </w:rPr>
      </w:pPr>
      <w:r w:rsidRPr="00900A5E">
        <w:rPr>
          <w:rFonts w:ascii="Palatino Linotype" w:hAnsi="Palatino Linotype"/>
          <w:i/>
          <w:sz w:val="24"/>
          <w:szCs w:val="24"/>
        </w:rPr>
        <w:t>  Cuando proceda, se indicará el monto de los impuestos trasladados, desglosados por tasa de impuesto y, en su caso, el monto de los impuestos retenidos.</w:t>
      </w:r>
    </w:p>
    <w:p w:rsidR="006B3523" w:rsidRPr="00900A5E" w:rsidRDefault="006B3523" w:rsidP="006B3523">
      <w:pPr>
        <w:pStyle w:val="Prrafodelista"/>
        <w:autoSpaceDE w:val="0"/>
        <w:autoSpaceDN w:val="0"/>
        <w:adjustRightInd w:val="0"/>
        <w:jc w:val="both"/>
        <w:rPr>
          <w:rFonts w:ascii="Palatino Linotype" w:hAnsi="Palatino Linotype"/>
          <w:i/>
          <w:sz w:val="24"/>
          <w:szCs w:val="24"/>
        </w:rPr>
      </w:pPr>
      <w:r w:rsidRPr="00900A5E">
        <w:rPr>
          <w:rFonts w:ascii="Palatino Linotype" w:hAnsi="Palatino Linotype"/>
          <w:i/>
          <w:sz w:val="24"/>
          <w:szCs w:val="24"/>
        </w:rPr>
        <w:t>  Forma en que se realizó el pago (efectivo, transferencia electrónica de fondos, cheque nominativos o tarjeta de débito, de crédito, de servicio o la denominada monedero electrónico que autorice el Servicio de Administración Tributaria).</w:t>
      </w:r>
    </w:p>
    <w:p w:rsidR="006B3523" w:rsidRPr="00900A5E" w:rsidRDefault="006B3523" w:rsidP="006B3523">
      <w:pPr>
        <w:pStyle w:val="Prrafodelista"/>
        <w:autoSpaceDE w:val="0"/>
        <w:autoSpaceDN w:val="0"/>
        <w:adjustRightInd w:val="0"/>
        <w:jc w:val="both"/>
        <w:rPr>
          <w:rFonts w:ascii="Palatino Linotype" w:hAnsi="Palatino Linotype"/>
          <w:i/>
          <w:sz w:val="24"/>
          <w:szCs w:val="24"/>
        </w:rPr>
      </w:pPr>
      <w:r w:rsidRPr="00900A5E">
        <w:rPr>
          <w:rFonts w:ascii="Palatino Linotype" w:hAnsi="Palatino Linotype"/>
          <w:i/>
          <w:sz w:val="24"/>
          <w:szCs w:val="24"/>
        </w:rPr>
        <w:t>  Número y fecha del documento aduanero, tratándose de ventas de primera mano de mercancías de importación.</w:t>
      </w:r>
    </w:p>
    <w:p w:rsidR="006B3523" w:rsidRPr="00900A5E" w:rsidRDefault="006B3523" w:rsidP="006B3523">
      <w:pPr>
        <w:pStyle w:val="Prrafodelista"/>
        <w:autoSpaceDE w:val="0"/>
        <w:autoSpaceDN w:val="0"/>
        <w:adjustRightInd w:val="0"/>
        <w:rPr>
          <w:rFonts w:ascii="Palatino Linotype" w:hAnsi="Palatino Linotype"/>
          <w:i/>
          <w:sz w:val="24"/>
          <w:szCs w:val="24"/>
        </w:rPr>
      </w:pPr>
      <w:r w:rsidRPr="00900A5E">
        <w:rPr>
          <w:rFonts w:ascii="Palatino Linotype" w:hAnsi="Palatino Linotype"/>
          <w:i/>
          <w:sz w:val="24"/>
          <w:szCs w:val="24"/>
        </w:rPr>
        <w:br/>
      </w:r>
      <w:r w:rsidRPr="00900A5E">
        <w:rPr>
          <w:rFonts w:ascii="Palatino Linotype" w:hAnsi="Palatino Linotype"/>
          <w:b/>
          <w:i/>
          <w:sz w:val="24"/>
          <w:szCs w:val="24"/>
        </w:rPr>
        <w:t>Además, debe contener los siguientes datos:</w:t>
      </w:r>
      <w:r w:rsidRPr="00900A5E">
        <w:rPr>
          <w:rFonts w:ascii="Palatino Linotype" w:hAnsi="Palatino Linotype"/>
          <w:b/>
          <w:i/>
          <w:sz w:val="24"/>
          <w:szCs w:val="24"/>
        </w:rPr>
        <w:br/>
      </w:r>
      <w:r w:rsidRPr="00900A5E">
        <w:rPr>
          <w:rFonts w:ascii="Palatino Linotype" w:hAnsi="Palatino Linotype"/>
          <w:bCs/>
          <w:i/>
          <w:sz w:val="24"/>
          <w:szCs w:val="24"/>
        </w:rPr>
        <w:t>a)</w:t>
      </w:r>
      <w:r w:rsidRPr="00900A5E">
        <w:rPr>
          <w:rFonts w:ascii="Palatino Linotype" w:hAnsi="Palatino Linotype"/>
          <w:i/>
          <w:sz w:val="24"/>
          <w:szCs w:val="24"/>
        </w:rPr>
        <w:t> Fecha y hora de certificación.</w:t>
      </w:r>
      <w:r w:rsidRPr="00900A5E">
        <w:rPr>
          <w:rFonts w:ascii="Palatino Linotype" w:hAnsi="Palatino Linotype"/>
          <w:i/>
          <w:sz w:val="24"/>
          <w:szCs w:val="24"/>
        </w:rPr>
        <w:br/>
      </w:r>
      <w:r w:rsidRPr="00900A5E">
        <w:rPr>
          <w:rFonts w:ascii="Palatino Linotype" w:hAnsi="Palatino Linotype"/>
          <w:bCs/>
          <w:i/>
          <w:sz w:val="24"/>
          <w:szCs w:val="24"/>
        </w:rPr>
        <w:t>b)</w:t>
      </w:r>
      <w:r w:rsidRPr="00900A5E">
        <w:rPr>
          <w:rFonts w:ascii="Palatino Linotype" w:hAnsi="Palatino Linotype"/>
          <w:i/>
          <w:sz w:val="24"/>
          <w:szCs w:val="24"/>
        </w:rPr>
        <w:t> Número de serie del certificado digital del SAT con el que se realizó el sellado.</w:t>
      </w:r>
    </w:p>
    <w:p w:rsidR="006B3523" w:rsidRPr="00900A5E" w:rsidRDefault="006B3523" w:rsidP="006B3523">
      <w:pPr>
        <w:autoSpaceDE w:val="0"/>
        <w:autoSpaceDN w:val="0"/>
        <w:adjustRightInd w:val="0"/>
        <w:rPr>
          <w:rFonts w:ascii="Palatino Linotype" w:hAnsi="Palatino Linotype"/>
          <w:i/>
          <w:sz w:val="24"/>
          <w:szCs w:val="24"/>
        </w:rPr>
      </w:pPr>
    </w:p>
    <w:p w:rsidR="006B3523" w:rsidRPr="00900A5E" w:rsidRDefault="006B3523" w:rsidP="006B3523">
      <w:pPr>
        <w:spacing w:line="360" w:lineRule="auto"/>
        <w:ind w:right="49"/>
        <w:jc w:val="both"/>
        <w:rPr>
          <w:rFonts w:ascii="Palatino Linotype" w:eastAsia="Palatino Linotype" w:hAnsi="Palatino Linotype" w:cs="Palatino Linotype"/>
          <w:color w:val="000000"/>
          <w:sz w:val="24"/>
          <w:szCs w:val="24"/>
        </w:rPr>
      </w:pPr>
    </w:p>
    <w:p w:rsidR="000B51D0" w:rsidRPr="00900A5E" w:rsidRDefault="006B3523" w:rsidP="000B51D0">
      <w:pPr>
        <w:numPr>
          <w:ilvl w:val="0"/>
          <w:numId w:val="3"/>
        </w:numPr>
        <w:spacing w:line="360" w:lineRule="auto"/>
        <w:ind w:left="0" w:right="49" w:firstLine="0"/>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t>Es por lo anterior, se arriba a la conclusión de no tenerse por colmada en su totali</w:t>
      </w:r>
      <w:r w:rsidR="000B51D0" w:rsidRPr="00900A5E">
        <w:rPr>
          <w:rFonts w:ascii="Palatino Linotype" w:eastAsia="Palatino Linotype" w:hAnsi="Palatino Linotype" w:cs="Palatino Linotype"/>
          <w:color w:val="000000"/>
          <w:sz w:val="24"/>
          <w:szCs w:val="24"/>
        </w:rPr>
        <w:t xml:space="preserve">dad la solicitud de información </w:t>
      </w:r>
      <w:r w:rsidR="000B51D0" w:rsidRPr="00900A5E">
        <w:rPr>
          <w:rFonts w:ascii="Palatino Linotype" w:eastAsia="Palatino Linotype" w:hAnsi="Palatino Linotype" w:cs="Palatino Linotype"/>
          <w:b/>
          <w:bCs/>
          <w:color w:val="000000"/>
          <w:sz w:val="24"/>
          <w:szCs w:val="24"/>
        </w:rPr>
        <w:t>03925/TOLUCA/IP/2025</w:t>
      </w:r>
      <w:r w:rsidRPr="00900A5E">
        <w:rPr>
          <w:rFonts w:ascii="Palatino Linotype" w:eastAsia="Palatino Linotype" w:hAnsi="Palatino Linotype" w:cs="Palatino Linotype"/>
          <w:b/>
          <w:bCs/>
          <w:color w:val="000000"/>
          <w:sz w:val="24"/>
          <w:szCs w:val="24"/>
        </w:rPr>
        <w:t xml:space="preserve">, </w:t>
      </w:r>
      <w:r w:rsidRPr="00900A5E">
        <w:rPr>
          <w:rFonts w:ascii="Palatino Linotype" w:eastAsia="Palatino Linotype" w:hAnsi="Palatino Linotype" w:cs="Palatino Linotype"/>
          <w:color w:val="000000"/>
          <w:sz w:val="24"/>
          <w:szCs w:val="24"/>
        </w:rPr>
        <w:t xml:space="preserve">resultando dable </w:t>
      </w:r>
      <w:r w:rsidR="000B51D0" w:rsidRPr="00900A5E">
        <w:rPr>
          <w:rFonts w:ascii="Palatino Linotype" w:eastAsia="Palatino Linotype" w:hAnsi="Palatino Linotype" w:cs="Palatino Linotype"/>
          <w:color w:val="000000"/>
          <w:sz w:val="24"/>
          <w:szCs w:val="24"/>
        </w:rPr>
        <w:t xml:space="preserve">ordenar al </w:t>
      </w:r>
      <w:r w:rsidR="000B51D0" w:rsidRPr="00900A5E">
        <w:rPr>
          <w:rFonts w:ascii="Palatino Linotype" w:eastAsia="Palatino Linotype" w:hAnsi="Palatino Linotype" w:cs="Palatino Linotype"/>
          <w:b/>
          <w:color w:val="000000"/>
          <w:sz w:val="24"/>
          <w:szCs w:val="24"/>
        </w:rPr>
        <w:t xml:space="preserve">SUJETO OBLIGADO, </w:t>
      </w:r>
      <w:r w:rsidR="000B51D0" w:rsidRPr="00900A5E">
        <w:rPr>
          <w:rFonts w:ascii="Palatino Linotype" w:eastAsia="Palatino Linotype" w:hAnsi="Palatino Linotype" w:cs="Palatino Linotype"/>
          <w:color w:val="000000"/>
          <w:sz w:val="24"/>
          <w:szCs w:val="24"/>
        </w:rPr>
        <w:t xml:space="preserve"> a efecto de que realice una búsqueda exhaustiva y razonable y haga entrega del</w:t>
      </w:r>
      <w:r w:rsidRPr="00900A5E">
        <w:rPr>
          <w:rFonts w:ascii="Palatino Linotype" w:eastAsia="Palatino Linotype" w:hAnsi="Palatino Linotype" w:cs="Palatino Linotype"/>
          <w:color w:val="000000"/>
          <w:sz w:val="24"/>
          <w:szCs w:val="24"/>
        </w:rPr>
        <w:t xml:space="preserve"> soporte documental </w:t>
      </w:r>
      <w:r w:rsidR="000B51D0" w:rsidRPr="00900A5E">
        <w:rPr>
          <w:rFonts w:ascii="Palatino Linotype" w:eastAsia="Palatino Linotype" w:hAnsi="Palatino Linotype" w:cs="Palatino Linotype"/>
          <w:color w:val="000000"/>
          <w:sz w:val="24"/>
          <w:szCs w:val="24"/>
        </w:rPr>
        <w:t xml:space="preserve">que dé cuenta del monto total ejercido para la adquisición o renta de adornos navideños (árboles, nacimientos, luces, piñatas) en el marco de las fiestas decembrinas </w:t>
      </w:r>
      <w:r w:rsidR="000B51D0" w:rsidRPr="00900A5E">
        <w:rPr>
          <w:rFonts w:ascii="Palatino Linotype" w:eastAsia="Palatino Linotype" w:hAnsi="Palatino Linotype" w:cs="Palatino Linotype"/>
          <w:color w:val="000000"/>
          <w:sz w:val="24"/>
          <w:szCs w:val="24"/>
        </w:rPr>
        <w:lastRenderedPageBreak/>
        <w:t>del año dos mil veinticuatro, incluyendo contrato, factura y fotografía que dé cuenta de dichas compras/rentas</w:t>
      </w:r>
    </w:p>
    <w:p w:rsidR="006B3523" w:rsidRPr="00900A5E" w:rsidRDefault="006B3523" w:rsidP="000B51D0">
      <w:pPr>
        <w:spacing w:line="360" w:lineRule="auto"/>
        <w:ind w:right="49"/>
        <w:jc w:val="both"/>
        <w:rPr>
          <w:rFonts w:ascii="Palatino Linotype" w:eastAsia="Palatino Linotype" w:hAnsi="Palatino Linotype" w:cs="Palatino Linotype"/>
          <w:color w:val="000000"/>
          <w:sz w:val="24"/>
          <w:szCs w:val="24"/>
        </w:rPr>
      </w:pPr>
    </w:p>
    <w:p w:rsidR="006B3523" w:rsidRPr="00900A5E" w:rsidRDefault="006B3523" w:rsidP="006B352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b/>
          <w:bCs/>
          <w:color w:val="000000"/>
          <w:sz w:val="24"/>
          <w:szCs w:val="24"/>
        </w:rPr>
        <w:t>QUINTO. De la versión pública.</w:t>
      </w:r>
    </w:p>
    <w:p w:rsidR="006B3523" w:rsidRPr="00900A5E" w:rsidRDefault="006B3523" w:rsidP="006B3523">
      <w:pPr>
        <w:numPr>
          <w:ilvl w:val="0"/>
          <w:numId w:val="7"/>
        </w:numPr>
        <w:pBdr>
          <w:top w:val="nil"/>
          <w:left w:val="nil"/>
          <w:bottom w:val="nil"/>
          <w:right w:val="nil"/>
          <w:between w:val="nil"/>
        </w:pBdr>
        <w:tabs>
          <w:tab w:val="left" w:pos="851"/>
        </w:tabs>
        <w:spacing w:after="160" w:line="360" w:lineRule="auto"/>
        <w:ind w:right="333"/>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b/>
          <w:bCs/>
          <w:color w:val="000000"/>
          <w:sz w:val="24"/>
          <w:szCs w:val="24"/>
        </w:rPr>
        <w:t xml:space="preserve">Nociones generales. </w:t>
      </w:r>
    </w:p>
    <w:p w:rsidR="006B3523" w:rsidRPr="00900A5E" w:rsidRDefault="006B3523" w:rsidP="006B3523">
      <w:pPr>
        <w:numPr>
          <w:ilvl w:val="0"/>
          <w:numId w:val="3"/>
        </w:numPr>
        <w:spacing w:line="360" w:lineRule="auto"/>
        <w:ind w:left="0" w:right="113" w:firstLine="0"/>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t>Debe destacarse que, debido a la naturaleza de la información solicitada</w:t>
      </w:r>
      <w:r w:rsidRPr="00900A5E">
        <w:rPr>
          <w:rFonts w:ascii="Palatino Linotype" w:eastAsia="Palatino Linotype" w:hAnsi="Palatino Linotype" w:cs="Palatino Linotype"/>
          <w:b/>
          <w:bCs/>
          <w:color w:val="000000"/>
          <w:sz w:val="24"/>
          <w:szCs w:val="24"/>
        </w:rPr>
        <w:t xml:space="preserve">, </w:t>
      </w:r>
      <w:r w:rsidRPr="00900A5E">
        <w:rPr>
          <w:rFonts w:ascii="Palatino Linotype" w:eastAsia="Palatino Linotype" w:hAnsi="Palatino Linotype" w:cs="Palatino Linotype"/>
          <w:color w:val="000000"/>
          <w:sz w:val="24"/>
          <w:szCs w:val="24"/>
        </w:rPr>
        <w:t xml:space="preserve">eventualmente pudiera obrar datos personales susceptibles de protegerse, el </w:t>
      </w:r>
      <w:r w:rsidRPr="00900A5E">
        <w:rPr>
          <w:rFonts w:ascii="Palatino Linotype" w:eastAsia="Palatino Linotype" w:hAnsi="Palatino Linotype" w:cs="Palatino Linotype"/>
          <w:b/>
          <w:bCs/>
          <w:color w:val="000000"/>
          <w:sz w:val="24"/>
          <w:szCs w:val="24"/>
        </w:rPr>
        <w:t xml:space="preserve">SUJETO OBLIGADO </w:t>
      </w:r>
      <w:r w:rsidRPr="00900A5E">
        <w:rPr>
          <w:rFonts w:ascii="Palatino Linotype" w:eastAsia="Palatino Linotype" w:hAnsi="Palatino Linotype" w:cs="Palatino Linotype"/>
          <w:color w:val="000000"/>
          <w:sz w:val="24"/>
          <w:szCs w:val="24"/>
        </w:rPr>
        <w:t xml:space="preserve">deberá de hacer la adecuada versión pública, protegiendo los datos que no son susceptibles de ser proporcionados. </w:t>
      </w:r>
    </w:p>
    <w:p w:rsidR="006B3523" w:rsidRPr="00900A5E" w:rsidRDefault="006B3523" w:rsidP="006B3523">
      <w:pPr>
        <w:pBdr>
          <w:top w:val="nil"/>
          <w:left w:val="nil"/>
          <w:bottom w:val="nil"/>
          <w:right w:val="nil"/>
          <w:between w:val="nil"/>
        </w:pBdr>
        <w:spacing w:line="360" w:lineRule="auto"/>
        <w:ind w:right="113"/>
        <w:jc w:val="both"/>
        <w:rPr>
          <w:rFonts w:ascii="Palatino Linotype" w:eastAsia="Palatino Linotype" w:hAnsi="Palatino Linotype" w:cs="Palatino Linotype"/>
          <w:color w:val="000000"/>
          <w:sz w:val="24"/>
          <w:szCs w:val="24"/>
        </w:rPr>
      </w:pPr>
    </w:p>
    <w:p w:rsidR="006B3523" w:rsidRPr="00900A5E" w:rsidRDefault="006B3523" w:rsidP="006B3523">
      <w:pPr>
        <w:numPr>
          <w:ilvl w:val="0"/>
          <w:numId w:val="3"/>
        </w:numPr>
        <w:spacing w:line="360" w:lineRule="auto"/>
        <w:ind w:left="0" w:right="113" w:firstLine="0"/>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t>No pasa desapercibido para este Órgano Garante que los Sujetos Obligados 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6B3523" w:rsidRPr="00900A5E" w:rsidRDefault="006B3523" w:rsidP="006B352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p>
    <w:tbl>
      <w:tblPr>
        <w:tblW w:w="10017"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9"/>
        <w:gridCol w:w="7208"/>
      </w:tblGrid>
      <w:tr w:rsidR="006B3523" w:rsidRPr="00900A5E" w:rsidTr="00813E7B">
        <w:tc>
          <w:tcPr>
            <w:tcW w:w="2809" w:type="dxa"/>
          </w:tcPr>
          <w:p w:rsidR="006B3523" w:rsidRPr="00900A5E" w:rsidRDefault="006B3523" w:rsidP="006B352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t>a) Requisitos previos.</w:t>
            </w:r>
          </w:p>
        </w:tc>
        <w:tc>
          <w:tcPr>
            <w:tcW w:w="7208" w:type="dxa"/>
          </w:tcPr>
          <w:p w:rsidR="006B3523" w:rsidRPr="00900A5E" w:rsidRDefault="006B3523" w:rsidP="006B352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t xml:space="preserve">Los artículos 100 y 122 de la Ley Estatal y de la Ley General, vigente al momento de interponer la solicitud de información, respectivamente, señalan que si los Sujetos Obligados determinan que la información actualiza alguno de los supuestos de clasificación, es deber de los titulares de las áreas proponer su clasificación y no del Comité de Transparencia. </w:t>
            </w:r>
          </w:p>
          <w:p w:rsidR="006B3523" w:rsidRPr="00900A5E" w:rsidRDefault="006B3523" w:rsidP="006B352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lastRenderedPageBreak/>
              <w:t>Al hacerlo tienen que precisar de qué información se trata, señalando el supuesto de clasificación (confidencialidad o reserva).</w:t>
            </w:r>
          </w:p>
          <w:p w:rsidR="006B3523" w:rsidRPr="00900A5E" w:rsidRDefault="006B3523" w:rsidP="006B352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t>Además, se debe señalar el procedimiento, de los tres que establecen los artículos 132 y 106 de la Ley Estatal y General vigente al momento de interponer la solicitud de información, respectivamente.</w:t>
            </w:r>
          </w:p>
          <w:p w:rsidR="006B3523" w:rsidRPr="00900A5E" w:rsidRDefault="006B3523" w:rsidP="006B352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p>
          <w:p w:rsidR="006B3523" w:rsidRPr="00900A5E" w:rsidRDefault="006B3523" w:rsidP="006B352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t xml:space="preserve">El último de estos requisitos previos consiste en que no se pueden emitir acuerdos de carácter general ni particular, esto es, </w:t>
            </w:r>
            <w:r w:rsidRPr="00900A5E">
              <w:rPr>
                <w:rFonts w:ascii="Palatino Linotype" w:eastAsia="Palatino Linotype" w:hAnsi="Palatino Linotype" w:cs="Palatino Linotype"/>
                <w:color w:val="000000"/>
                <w:sz w:val="24"/>
                <w:szCs w:val="24"/>
                <w:u w:val="single"/>
              </w:rPr>
              <w:t>no se puede hacer un acuerdo para clasificar de manera general todos los documentos de un expediente o área, sin</w:t>
            </w:r>
            <w:r w:rsidRPr="00900A5E">
              <w:rPr>
                <w:rFonts w:ascii="Palatino Linotype" w:eastAsia="Palatino Linotype" w:hAnsi="Palatino Linotype" w:cs="Palatino Linotype"/>
                <w:color w:val="000000"/>
                <w:sz w:val="24"/>
                <w:szCs w:val="24"/>
              </w:rPr>
              <w:t xml:space="preserve"> individualizar su análisis y tampoco se puede hacer un acuerdo por cada dato que se vaya a clasificar dentro de un documento con diez datos, por ejemplo, susceptibles de ser clasificados.</w:t>
            </w:r>
          </w:p>
        </w:tc>
      </w:tr>
      <w:tr w:rsidR="006B3523" w:rsidRPr="00900A5E" w:rsidTr="00813E7B">
        <w:tc>
          <w:tcPr>
            <w:tcW w:w="2809" w:type="dxa"/>
          </w:tcPr>
          <w:p w:rsidR="006B3523" w:rsidRPr="00900A5E" w:rsidRDefault="006B3523" w:rsidP="006B352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lastRenderedPageBreak/>
              <w:t>b) Supuestos de clasificación.</w:t>
            </w:r>
          </w:p>
        </w:tc>
        <w:tc>
          <w:tcPr>
            <w:tcW w:w="7208" w:type="dxa"/>
          </w:tcPr>
          <w:p w:rsidR="006B3523" w:rsidRPr="00900A5E" w:rsidRDefault="006B3523" w:rsidP="006B352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t>Las disposiciones constitucionales y legales en la materia establecen los dos supuestos generales para clasificar la información: por reserva y por confidencialidad.</w:t>
            </w:r>
          </w:p>
          <w:p w:rsidR="006B3523" w:rsidRPr="00900A5E" w:rsidRDefault="006B3523" w:rsidP="006B352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t xml:space="preserve">Los artículos 116 y 143 de la Ley Estatal y de la Ley General, vigente al momento de interponer la solicitud de información, respectivamente, señalan los supuestos para que la información pueda ser clasificada como confidencial. Mientras que los artículos 105 y 130 de la Ley Estatal y de la Ley General, vigente </w:t>
            </w:r>
            <w:r w:rsidRPr="00900A5E">
              <w:rPr>
                <w:rFonts w:ascii="Palatino Linotype" w:eastAsia="Palatino Linotype" w:hAnsi="Palatino Linotype" w:cs="Palatino Linotype"/>
                <w:color w:val="000000"/>
                <w:sz w:val="24"/>
                <w:szCs w:val="24"/>
              </w:rPr>
              <w:lastRenderedPageBreak/>
              <w:t>al momento de interponer la solicitud de información,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6B3523" w:rsidRPr="00900A5E" w:rsidRDefault="006B3523" w:rsidP="006B352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t xml:space="preserve">El </w:t>
            </w:r>
            <w:r w:rsidRPr="00900A5E">
              <w:rPr>
                <w:rFonts w:ascii="Palatino Linotype" w:eastAsia="Palatino Linotype" w:hAnsi="Palatino Linotype" w:cs="Palatino Linotype"/>
                <w:b/>
                <w:bCs/>
                <w:color w:val="000000"/>
                <w:sz w:val="24"/>
                <w:szCs w:val="24"/>
              </w:rPr>
              <w:t>Sujeto Obligado</w:t>
            </w:r>
            <w:r w:rsidRPr="00900A5E">
              <w:rPr>
                <w:rFonts w:ascii="Palatino Linotype" w:eastAsia="Palatino Linotype" w:hAnsi="Palatino Linotype" w:cs="Palatino Linotype"/>
                <w:color w:val="000000"/>
                <w:sz w:val="24"/>
                <w:szCs w:val="24"/>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6B3523" w:rsidRPr="00900A5E" w:rsidTr="00813E7B">
        <w:tc>
          <w:tcPr>
            <w:tcW w:w="2809" w:type="dxa"/>
          </w:tcPr>
          <w:p w:rsidR="006B3523" w:rsidRPr="00900A5E" w:rsidRDefault="006B3523" w:rsidP="006B352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lastRenderedPageBreak/>
              <w:t>c) Formalidades para emitir el acuerdo de clasificación.</w:t>
            </w:r>
          </w:p>
        </w:tc>
        <w:tc>
          <w:tcPr>
            <w:tcW w:w="7208" w:type="dxa"/>
          </w:tcPr>
          <w:p w:rsidR="006B3523" w:rsidRPr="00900A5E" w:rsidRDefault="006B3523" w:rsidP="006B352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t xml:space="preserve">El Comité de Transparencia, según lo dispuesto en los artículos cuenta con las facultades para aprobar, modificar o revocar la clasificación de la información que haya propuesto. </w:t>
            </w:r>
          </w:p>
          <w:p w:rsidR="006B3523" w:rsidRPr="00900A5E" w:rsidRDefault="006B3523" w:rsidP="006B352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t xml:space="preserve">Es necesario que </w:t>
            </w:r>
            <w:r w:rsidRPr="00900A5E">
              <w:rPr>
                <w:rFonts w:ascii="Palatino Linotype" w:eastAsia="Palatino Linotype" w:hAnsi="Palatino Linotype" w:cs="Palatino Linotype"/>
                <w:b/>
                <w:bCs/>
                <w:color w:val="000000"/>
                <w:sz w:val="24"/>
                <w:szCs w:val="24"/>
                <w:u w:val="single"/>
              </w:rPr>
              <w:t>el acto reúna con los requisitos elementales</w:t>
            </w:r>
            <w:r w:rsidRPr="00900A5E">
              <w:rPr>
                <w:rFonts w:ascii="Palatino Linotype" w:eastAsia="Palatino Linotype" w:hAnsi="Palatino Linotype" w:cs="Palatino Linotype"/>
                <w:color w:val="000000"/>
                <w:sz w:val="24"/>
                <w:szCs w:val="24"/>
              </w:rPr>
              <w:t>, entre ellos, que la autoridad que va a emitir el acto de autoridad sea la legalmente facultada para ello.</w:t>
            </w:r>
          </w:p>
          <w:p w:rsidR="006B3523" w:rsidRPr="00900A5E" w:rsidRDefault="006B3523" w:rsidP="006B352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t xml:space="preserve">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w:t>
            </w:r>
            <w:r w:rsidRPr="00900A5E">
              <w:rPr>
                <w:rFonts w:ascii="Palatino Linotype" w:eastAsia="Palatino Linotype" w:hAnsi="Palatino Linotype" w:cs="Palatino Linotype"/>
                <w:color w:val="000000"/>
                <w:sz w:val="24"/>
                <w:szCs w:val="24"/>
              </w:rPr>
              <w:lastRenderedPageBreak/>
              <w:t>agenda de los asuntos a tratar en las sesiones, se insiste, a partir de las decisiones adoptadas previamente por los titulares de áreas y que son sujetas a control, en primera instancia, por el Comité de Transparencia.</w:t>
            </w:r>
          </w:p>
        </w:tc>
      </w:tr>
      <w:tr w:rsidR="006B3523" w:rsidRPr="00900A5E" w:rsidTr="00813E7B">
        <w:tc>
          <w:tcPr>
            <w:tcW w:w="2809" w:type="dxa"/>
          </w:tcPr>
          <w:p w:rsidR="006B3523" w:rsidRPr="00900A5E" w:rsidRDefault="006B3523" w:rsidP="006B352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p>
          <w:p w:rsidR="006B3523" w:rsidRPr="00900A5E" w:rsidRDefault="006B3523" w:rsidP="006B352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t xml:space="preserve">d) Requisitos de fondo del acuerdo de clasificación. </w:t>
            </w:r>
          </w:p>
        </w:tc>
        <w:tc>
          <w:tcPr>
            <w:tcW w:w="7208" w:type="dxa"/>
          </w:tcPr>
          <w:p w:rsidR="006B3523" w:rsidRPr="00900A5E" w:rsidRDefault="006B3523" w:rsidP="006B352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900A5E">
              <w:rPr>
                <w:rFonts w:ascii="Palatino Linotype" w:eastAsia="Palatino Linotype" w:hAnsi="Palatino Linotype" w:cs="Palatino Linotype"/>
                <w:b/>
                <w:bCs/>
                <w:color w:val="000000"/>
                <w:sz w:val="24"/>
                <w:szCs w:val="24"/>
              </w:rPr>
              <w:t>Sujetos Obligados</w:t>
            </w:r>
            <w:r w:rsidRPr="00900A5E">
              <w:rPr>
                <w:rFonts w:ascii="Palatino Linotype" w:eastAsia="Palatino Linotype" w:hAnsi="Palatino Linotype" w:cs="Palatino Linotype"/>
                <w:color w:val="000000"/>
                <w:sz w:val="24"/>
                <w:szCs w:val="24"/>
              </w:rPr>
              <w:t xml:space="preserve">, por lo que deberán fundar y motivar debidamente la clasificación. </w:t>
            </w:r>
          </w:p>
          <w:p w:rsidR="006B3523" w:rsidRPr="00900A5E" w:rsidRDefault="006B3523" w:rsidP="006B352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t xml:space="preserve">De lo anterior, se desprende que para una correcta </w:t>
            </w:r>
            <w:r w:rsidRPr="00900A5E">
              <w:rPr>
                <w:rFonts w:ascii="Palatino Linotype" w:eastAsia="Palatino Linotype" w:hAnsi="Palatino Linotype" w:cs="Palatino Linotype"/>
                <w:b/>
                <w:bCs/>
                <w:color w:val="000000"/>
                <w:sz w:val="24"/>
                <w:szCs w:val="24"/>
              </w:rPr>
              <w:t>clasificación total o parcial</w:t>
            </w:r>
            <w:r w:rsidRPr="00900A5E">
              <w:rPr>
                <w:rFonts w:ascii="Palatino Linotype" w:eastAsia="Palatino Linotype" w:hAnsi="Palatino Linotype" w:cs="Palatino Linotype"/>
                <w:color w:val="000000"/>
                <w:sz w:val="24"/>
                <w:szCs w:val="24"/>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6B3523" w:rsidRPr="00900A5E" w:rsidRDefault="006B3523" w:rsidP="006B352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t xml:space="preserve">Así, en un acto de autoridad se cumple con la debida fundamentación cuando se cita el precepto legal aplicable al caso concreto y la debida motivación cuando se expresan las razones, motivos o circunstancias que tomó en cuenta la </w:t>
            </w:r>
            <w:r w:rsidRPr="00900A5E">
              <w:rPr>
                <w:rFonts w:ascii="Palatino Linotype" w:eastAsia="Palatino Linotype" w:hAnsi="Palatino Linotype" w:cs="Palatino Linotype"/>
                <w:color w:val="000000"/>
                <w:sz w:val="24"/>
                <w:szCs w:val="24"/>
              </w:rPr>
              <w:lastRenderedPageBreak/>
              <w:t>autoridad para adecuar el hecho a los fundamentos de derecho. De este modo, la persona que se sienta afectada pueda impugnar la decisión, permitiéndole una real y auténtica defensa.</w:t>
            </w:r>
          </w:p>
          <w:p w:rsidR="006B3523" w:rsidRPr="00900A5E" w:rsidRDefault="006B3523" w:rsidP="006B352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t>En ese mismo sentido, el numeral trigésimo tercero fracción V de los Lineamientos Generales, precisa que para motivar la clasificación se deben acreditar las circunstancias de tiempo, modo y lugar.</w:t>
            </w:r>
          </w:p>
          <w:p w:rsidR="006B3523" w:rsidRPr="00900A5E" w:rsidRDefault="006B3523" w:rsidP="006B352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t xml:space="preserve">Ahora bien, </w:t>
            </w:r>
            <w:r w:rsidRPr="00900A5E">
              <w:rPr>
                <w:rFonts w:ascii="Palatino Linotype" w:eastAsia="Palatino Linotype" w:hAnsi="Palatino Linotype" w:cs="Palatino Linotype"/>
                <w:b/>
                <w:bCs/>
                <w:color w:val="000000"/>
                <w:sz w:val="24"/>
                <w:szCs w:val="24"/>
                <w:u w:val="single"/>
              </w:rPr>
              <w:t>para cada caso además de fundar y motivar</w:t>
            </w:r>
            <w:r w:rsidRPr="00900A5E">
              <w:rPr>
                <w:rFonts w:ascii="Palatino Linotype" w:eastAsia="Palatino Linotype" w:hAnsi="Palatino Linotype" w:cs="Palatino Linotype"/>
                <w:color w:val="000000"/>
                <w:sz w:val="24"/>
                <w:szCs w:val="24"/>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6B3523" w:rsidRPr="00900A5E" w:rsidTr="00813E7B">
        <w:tc>
          <w:tcPr>
            <w:tcW w:w="2809" w:type="dxa"/>
          </w:tcPr>
          <w:p w:rsidR="006B3523" w:rsidRPr="00900A5E" w:rsidRDefault="006B3523" w:rsidP="006B352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lastRenderedPageBreak/>
              <w:t xml:space="preserve">e) Condiciones especiales de la clasificación de la información como confidencial. </w:t>
            </w:r>
          </w:p>
        </w:tc>
        <w:tc>
          <w:tcPr>
            <w:tcW w:w="7208" w:type="dxa"/>
          </w:tcPr>
          <w:p w:rsidR="006B3523" w:rsidRPr="00900A5E" w:rsidRDefault="006B3523" w:rsidP="006B352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t xml:space="preserve">Los artículos 148 y 120 de la Ley Estatal y de la Ley General vigente al momento de interponer la solicitud de información, respectivamente, establecen que aun tratándose de datos personales, se podrán proporcionar, incluso sin solicitar el consentimiento de su titular. </w:t>
            </w:r>
          </w:p>
          <w:p w:rsidR="006B3523" w:rsidRPr="00900A5E" w:rsidRDefault="006B3523" w:rsidP="006B352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t xml:space="preserve">En el caso de lo señalado en la fracción IV, será el Instituto quien deba aplicar la prueba de interés público, considerando </w:t>
            </w:r>
            <w:r w:rsidRPr="00900A5E">
              <w:rPr>
                <w:rFonts w:ascii="Palatino Linotype" w:eastAsia="Palatino Linotype" w:hAnsi="Palatino Linotype" w:cs="Palatino Linotype"/>
                <w:color w:val="000000"/>
                <w:sz w:val="24"/>
                <w:szCs w:val="24"/>
              </w:rPr>
              <w:lastRenderedPageBreak/>
              <w:t xml:space="preserve">también que como recientemente ha discutido la Suprema Corte de Justicia de la Nación, los servidores públicos nos encontramos sujetos a un régimen menor de protección. </w:t>
            </w:r>
          </w:p>
          <w:p w:rsidR="006B3523" w:rsidRPr="00900A5E" w:rsidRDefault="006B3523" w:rsidP="006B352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color w:val="000000"/>
                <w:sz w:val="24"/>
                <w:szCs w:val="24"/>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6B3523" w:rsidRPr="00900A5E" w:rsidRDefault="006B3523" w:rsidP="006B3523">
      <w:pPr>
        <w:spacing w:line="360" w:lineRule="auto"/>
        <w:ind w:right="49"/>
        <w:jc w:val="both"/>
        <w:rPr>
          <w:rFonts w:ascii="Palatino Linotype" w:eastAsia="Palatino Linotype" w:hAnsi="Palatino Linotype" w:cs="Palatino Linotype"/>
          <w:color w:val="000000"/>
          <w:sz w:val="24"/>
          <w:szCs w:val="24"/>
        </w:rPr>
      </w:pPr>
      <w:bookmarkStart w:id="9" w:name="_heading=h.4d34og8" w:colFirst="0" w:colLast="0"/>
      <w:bookmarkEnd w:id="9"/>
    </w:p>
    <w:p w:rsidR="006B3523" w:rsidRPr="00900A5E" w:rsidRDefault="006B3523" w:rsidP="006B3523">
      <w:pPr>
        <w:numPr>
          <w:ilvl w:val="0"/>
          <w:numId w:val="3"/>
        </w:numPr>
        <w:spacing w:line="360" w:lineRule="auto"/>
        <w:ind w:left="0" w:right="49" w:firstLine="0"/>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sz w:val="24"/>
          <w:szCs w:val="24"/>
        </w:rPr>
        <w:t>Por lo anteriormente expuesto, este Órgano Garante considera parcialmente fundadas las razones o motivos de inconformidad que plantea el</w:t>
      </w:r>
      <w:r w:rsidRPr="00900A5E">
        <w:rPr>
          <w:rFonts w:ascii="Palatino Linotype" w:eastAsia="Palatino Linotype" w:hAnsi="Palatino Linotype" w:cs="Palatino Linotype"/>
          <w:b/>
          <w:bCs/>
          <w:sz w:val="24"/>
          <w:szCs w:val="24"/>
        </w:rPr>
        <w:t xml:space="preserve"> RECURRENTE</w:t>
      </w:r>
      <w:r w:rsidRPr="00900A5E">
        <w:rPr>
          <w:rFonts w:ascii="Palatino Linotype" w:eastAsia="Palatino Linotype" w:hAnsi="Palatino Linotype" w:cs="Palatino Linotype"/>
          <w:sz w:val="24"/>
          <w:szCs w:val="24"/>
        </w:rPr>
        <w:t xml:space="preserve">, determinando </w:t>
      </w:r>
      <w:r w:rsidRPr="00900A5E">
        <w:rPr>
          <w:rFonts w:ascii="Palatino Linotype" w:eastAsia="Palatino Linotype" w:hAnsi="Palatino Linotype" w:cs="Palatino Linotype"/>
          <w:b/>
          <w:bCs/>
          <w:smallCaps/>
          <w:sz w:val="24"/>
          <w:szCs w:val="24"/>
        </w:rPr>
        <w:t xml:space="preserve">REVOCAR  </w:t>
      </w:r>
      <w:r w:rsidRPr="00900A5E">
        <w:rPr>
          <w:rFonts w:ascii="Palatino Linotype" w:eastAsia="Palatino Linotype" w:hAnsi="Palatino Linotype" w:cs="Palatino Linotype"/>
          <w:sz w:val="24"/>
          <w:szCs w:val="24"/>
        </w:rPr>
        <w:t xml:space="preserve">la respuesta del </w:t>
      </w:r>
      <w:r w:rsidRPr="00900A5E">
        <w:rPr>
          <w:rFonts w:ascii="Palatino Linotype" w:eastAsia="Palatino Linotype" w:hAnsi="Palatino Linotype" w:cs="Palatino Linotype"/>
          <w:b/>
          <w:bCs/>
          <w:sz w:val="24"/>
          <w:szCs w:val="24"/>
        </w:rPr>
        <w:t>SUJETO OBLIGADO</w:t>
      </w:r>
      <w:r w:rsidRPr="00900A5E">
        <w:rPr>
          <w:rFonts w:ascii="Palatino Linotype" w:eastAsia="Palatino Linotype" w:hAnsi="Palatino Linotype" w:cs="Palatino Linotype"/>
          <w:sz w:val="24"/>
          <w:szCs w:val="24"/>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900A5E">
        <w:rPr>
          <w:rFonts w:ascii="Palatino Linotype" w:eastAsia="Palatino Linotype" w:hAnsi="Palatino Linotype" w:cs="Palatino Linotype"/>
          <w:color w:val="000000"/>
          <w:sz w:val="24"/>
          <w:szCs w:val="24"/>
        </w:rPr>
        <w:t xml:space="preserve">este </w:t>
      </w:r>
      <w:r w:rsidRPr="00900A5E">
        <w:rPr>
          <w:rFonts w:ascii="Palatino Linotype" w:eastAsia="Palatino Linotype" w:hAnsi="Palatino Linotype" w:cs="Palatino Linotype"/>
          <w:b/>
          <w:bCs/>
          <w:color w:val="000000"/>
          <w:sz w:val="24"/>
          <w:szCs w:val="24"/>
        </w:rPr>
        <w:t>ÓRGANO GARANTE</w:t>
      </w:r>
      <w:r w:rsidRPr="00900A5E">
        <w:rPr>
          <w:rFonts w:ascii="Palatino Linotype" w:eastAsia="Palatino Linotype" w:hAnsi="Palatino Linotype" w:cs="Palatino Linotype"/>
          <w:color w:val="000000"/>
          <w:sz w:val="24"/>
          <w:szCs w:val="24"/>
        </w:rPr>
        <w:t xml:space="preserve"> emite los siguientes.</w:t>
      </w:r>
    </w:p>
    <w:p w:rsidR="006B3523" w:rsidRPr="00900A5E" w:rsidRDefault="006B3523" w:rsidP="006B3523">
      <w:pPr>
        <w:spacing w:line="360" w:lineRule="auto"/>
        <w:ind w:right="113"/>
        <w:jc w:val="both"/>
        <w:rPr>
          <w:rFonts w:ascii="Palatino Linotype" w:eastAsia="Palatino Linotype" w:hAnsi="Palatino Linotype" w:cs="Palatino Linotype"/>
          <w:i/>
          <w:iCs/>
          <w:color w:val="000000"/>
          <w:sz w:val="24"/>
          <w:szCs w:val="24"/>
        </w:rPr>
      </w:pPr>
    </w:p>
    <w:p w:rsidR="006B3523" w:rsidRPr="00900A5E" w:rsidRDefault="006B3523" w:rsidP="006B3523">
      <w:pPr>
        <w:pBdr>
          <w:top w:val="nil"/>
          <w:left w:val="nil"/>
          <w:bottom w:val="nil"/>
          <w:right w:val="nil"/>
          <w:between w:val="nil"/>
        </w:pBdr>
        <w:ind w:left="720" w:right="113"/>
        <w:rPr>
          <w:rFonts w:ascii="Palatino Linotype" w:eastAsia="Palatino Linotype" w:hAnsi="Palatino Linotype" w:cs="Palatino Linotype"/>
          <w:color w:val="000000"/>
          <w:sz w:val="24"/>
          <w:szCs w:val="24"/>
        </w:rPr>
      </w:pPr>
    </w:p>
    <w:p w:rsidR="006B3523" w:rsidRPr="00900A5E" w:rsidRDefault="006B3523" w:rsidP="006B3523">
      <w:pPr>
        <w:pStyle w:val="Ttulo1"/>
        <w:spacing w:before="0" w:line="360" w:lineRule="auto"/>
        <w:ind w:right="113"/>
        <w:jc w:val="center"/>
        <w:rPr>
          <w:rFonts w:ascii="Palatino Linotype" w:eastAsia="Palatino Linotype" w:hAnsi="Palatino Linotype" w:cs="Palatino Linotype"/>
          <w:b/>
          <w:bCs/>
          <w:color w:val="000000"/>
          <w:sz w:val="24"/>
          <w:szCs w:val="24"/>
        </w:rPr>
      </w:pPr>
      <w:r w:rsidRPr="00900A5E">
        <w:rPr>
          <w:rFonts w:ascii="Palatino Linotype" w:eastAsia="Palatino Linotype" w:hAnsi="Palatino Linotype" w:cs="Palatino Linotype"/>
          <w:b/>
          <w:bCs/>
          <w:color w:val="000000"/>
          <w:sz w:val="24"/>
          <w:szCs w:val="24"/>
        </w:rPr>
        <w:t>R E S O L U T I V O S</w:t>
      </w:r>
    </w:p>
    <w:p w:rsidR="006B3523" w:rsidRPr="00900A5E" w:rsidRDefault="006B3523" w:rsidP="006B3523">
      <w:pPr>
        <w:spacing w:line="360" w:lineRule="auto"/>
        <w:ind w:right="113"/>
        <w:rPr>
          <w:rFonts w:ascii="Palatino Linotype" w:eastAsia="Palatino Linotype" w:hAnsi="Palatino Linotype" w:cs="Palatino Linotype"/>
          <w:sz w:val="24"/>
          <w:szCs w:val="24"/>
        </w:rPr>
      </w:pPr>
    </w:p>
    <w:p w:rsidR="006B3523" w:rsidRPr="00900A5E" w:rsidRDefault="006B3523" w:rsidP="006B3523">
      <w:pPr>
        <w:spacing w:line="360" w:lineRule="auto"/>
        <w:ind w:right="113"/>
        <w:jc w:val="both"/>
        <w:rPr>
          <w:rFonts w:ascii="Palatino Linotype" w:eastAsia="Palatino Linotype" w:hAnsi="Palatino Linotype" w:cs="Palatino Linotype"/>
          <w:sz w:val="24"/>
          <w:szCs w:val="24"/>
        </w:rPr>
      </w:pPr>
      <w:r w:rsidRPr="00900A5E">
        <w:rPr>
          <w:rFonts w:ascii="Palatino Linotype" w:eastAsia="Palatino Linotype" w:hAnsi="Palatino Linotype" w:cs="Palatino Linotype"/>
          <w:b/>
          <w:bCs/>
          <w:sz w:val="24"/>
          <w:szCs w:val="24"/>
        </w:rPr>
        <w:t>PRIMERO</w:t>
      </w:r>
      <w:r w:rsidRPr="00900A5E">
        <w:rPr>
          <w:rFonts w:ascii="Palatino Linotype" w:eastAsia="Palatino Linotype" w:hAnsi="Palatino Linotype" w:cs="Palatino Linotype"/>
          <w:sz w:val="24"/>
          <w:szCs w:val="24"/>
        </w:rPr>
        <w:t>. Resultan fundadas las</w:t>
      </w:r>
      <w:r w:rsidRPr="00900A5E">
        <w:rPr>
          <w:rFonts w:ascii="Palatino Linotype" w:eastAsia="Palatino Linotype" w:hAnsi="Palatino Linotype" w:cs="Palatino Linotype"/>
          <w:b/>
          <w:bCs/>
          <w:sz w:val="24"/>
          <w:szCs w:val="24"/>
        </w:rPr>
        <w:t xml:space="preserve"> </w:t>
      </w:r>
      <w:r w:rsidRPr="00900A5E">
        <w:rPr>
          <w:rFonts w:ascii="Palatino Linotype" w:eastAsia="Palatino Linotype" w:hAnsi="Palatino Linotype" w:cs="Palatino Linotype"/>
          <w:sz w:val="24"/>
          <w:szCs w:val="24"/>
        </w:rPr>
        <w:t>razones o motivos de inconformidad hechos valer en el Recurso de Revisión</w:t>
      </w:r>
      <w:r w:rsidR="000B51D0" w:rsidRPr="00900A5E">
        <w:rPr>
          <w:rFonts w:ascii="Palatino Linotype" w:eastAsia="Palatino Linotype" w:hAnsi="Palatino Linotype" w:cs="Palatino Linotype"/>
          <w:b/>
          <w:bCs/>
          <w:sz w:val="24"/>
          <w:szCs w:val="24"/>
        </w:rPr>
        <w:t xml:space="preserve"> 09723/INFOEM/IP/RR/2025</w:t>
      </w:r>
      <w:r w:rsidRPr="00900A5E">
        <w:rPr>
          <w:rFonts w:ascii="Palatino Linotype" w:eastAsia="Palatino Linotype" w:hAnsi="Palatino Linotype" w:cs="Palatino Linotype"/>
          <w:b/>
          <w:bCs/>
          <w:sz w:val="24"/>
          <w:szCs w:val="24"/>
        </w:rPr>
        <w:t xml:space="preserve">, </w:t>
      </w:r>
      <w:r w:rsidRPr="00900A5E">
        <w:rPr>
          <w:rFonts w:ascii="Palatino Linotype" w:eastAsia="Palatino Linotype" w:hAnsi="Palatino Linotype" w:cs="Palatino Linotype"/>
          <w:sz w:val="24"/>
          <w:szCs w:val="24"/>
        </w:rPr>
        <w:t xml:space="preserve">en términos del </w:t>
      </w:r>
      <w:r w:rsidRPr="00900A5E">
        <w:rPr>
          <w:rFonts w:ascii="Palatino Linotype" w:eastAsia="Palatino Linotype" w:hAnsi="Palatino Linotype" w:cs="Palatino Linotype"/>
          <w:b/>
          <w:bCs/>
          <w:sz w:val="24"/>
          <w:szCs w:val="24"/>
        </w:rPr>
        <w:t xml:space="preserve">Considerando Cuarto y Quinto </w:t>
      </w:r>
      <w:r w:rsidRPr="00900A5E">
        <w:rPr>
          <w:rFonts w:ascii="Palatino Linotype" w:eastAsia="Palatino Linotype" w:hAnsi="Palatino Linotype" w:cs="Palatino Linotype"/>
          <w:sz w:val="24"/>
          <w:szCs w:val="24"/>
        </w:rPr>
        <w:t>de la presente resolución.</w:t>
      </w:r>
    </w:p>
    <w:p w:rsidR="006B3523" w:rsidRPr="00900A5E" w:rsidRDefault="006B3523" w:rsidP="006B3523">
      <w:pPr>
        <w:spacing w:line="360" w:lineRule="auto"/>
        <w:ind w:right="113"/>
        <w:jc w:val="both"/>
        <w:rPr>
          <w:rFonts w:ascii="Palatino Linotype" w:eastAsia="Palatino Linotype" w:hAnsi="Palatino Linotype" w:cs="Palatino Linotype"/>
          <w:color w:val="000000"/>
          <w:sz w:val="24"/>
          <w:szCs w:val="24"/>
        </w:rPr>
      </w:pPr>
      <w:r w:rsidRPr="00900A5E">
        <w:rPr>
          <w:rFonts w:ascii="Palatino Linotype" w:eastAsia="Palatino Linotype" w:hAnsi="Palatino Linotype" w:cs="Palatino Linotype"/>
          <w:b/>
          <w:bCs/>
          <w:sz w:val="24"/>
          <w:szCs w:val="24"/>
        </w:rPr>
        <w:lastRenderedPageBreak/>
        <w:t>SEGUNDO.</w:t>
      </w:r>
      <w:r w:rsidRPr="00900A5E">
        <w:rPr>
          <w:rFonts w:ascii="Palatino Linotype" w:eastAsia="Palatino Linotype" w:hAnsi="Palatino Linotype" w:cs="Palatino Linotype"/>
          <w:color w:val="2E75B5"/>
          <w:sz w:val="24"/>
          <w:szCs w:val="24"/>
        </w:rPr>
        <w:t xml:space="preserve"> </w:t>
      </w:r>
      <w:r w:rsidRPr="00900A5E">
        <w:rPr>
          <w:rFonts w:ascii="Palatino Linotype" w:eastAsia="Palatino Linotype" w:hAnsi="Palatino Linotype" w:cs="Palatino Linotype"/>
          <w:color w:val="000000"/>
          <w:sz w:val="24"/>
          <w:szCs w:val="24"/>
        </w:rPr>
        <w:t xml:space="preserve">Se </w:t>
      </w:r>
      <w:r w:rsidRPr="00900A5E">
        <w:rPr>
          <w:rFonts w:ascii="Palatino Linotype" w:eastAsia="Palatino Linotype" w:hAnsi="Palatino Linotype" w:cs="Palatino Linotype"/>
          <w:b/>
          <w:bCs/>
          <w:color w:val="000000"/>
          <w:sz w:val="24"/>
          <w:szCs w:val="24"/>
        </w:rPr>
        <w:t xml:space="preserve">REVOCA </w:t>
      </w:r>
      <w:r w:rsidRPr="00900A5E">
        <w:rPr>
          <w:rFonts w:ascii="Palatino Linotype" w:eastAsia="Palatino Linotype" w:hAnsi="Palatino Linotype" w:cs="Palatino Linotype"/>
          <w:color w:val="000000"/>
          <w:sz w:val="24"/>
          <w:szCs w:val="24"/>
        </w:rPr>
        <w:t xml:space="preserve">la respuesta emitida por el </w:t>
      </w:r>
      <w:r w:rsidRPr="00900A5E">
        <w:rPr>
          <w:rFonts w:ascii="Palatino Linotype" w:eastAsia="Palatino Linotype" w:hAnsi="Palatino Linotype" w:cs="Palatino Linotype"/>
          <w:b/>
          <w:bCs/>
          <w:color w:val="000000"/>
          <w:sz w:val="24"/>
          <w:szCs w:val="24"/>
        </w:rPr>
        <w:t xml:space="preserve">Ayuntamiento de Toluca </w:t>
      </w:r>
      <w:r w:rsidRPr="00900A5E">
        <w:rPr>
          <w:rFonts w:ascii="Palatino Linotype" w:eastAsia="Palatino Linotype" w:hAnsi="Palatino Linotype" w:cs="Palatino Linotype"/>
          <w:color w:val="000000"/>
          <w:sz w:val="24"/>
          <w:szCs w:val="24"/>
        </w:rPr>
        <w:t xml:space="preserve">y se </w:t>
      </w:r>
      <w:r w:rsidRPr="00900A5E">
        <w:rPr>
          <w:rFonts w:ascii="Palatino Linotype" w:eastAsia="Palatino Linotype" w:hAnsi="Palatino Linotype" w:cs="Palatino Linotype"/>
          <w:b/>
          <w:bCs/>
          <w:color w:val="000000"/>
          <w:sz w:val="24"/>
          <w:szCs w:val="24"/>
        </w:rPr>
        <w:t>ORDENA</w:t>
      </w:r>
      <w:r w:rsidRPr="00900A5E">
        <w:rPr>
          <w:rFonts w:ascii="Palatino Linotype" w:eastAsia="Palatino Linotype" w:hAnsi="Palatino Linotype" w:cs="Palatino Linotype"/>
          <w:color w:val="000000"/>
          <w:sz w:val="24"/>
          <w:szCs w:val="24"/>
        </w:rPr>
        <w:t xml:space="preserve"> entregar vía Sistema de Acceso a la Información Mexiquense </w:t>
      </w:r>
      <w:r w:rsidRPr="00900A5E">
        <w:rPr>
          <w:rFonts w:ascii="Palatino Linotype" w:eastAsia="Palatino Linotype" w:hAnsi="Palatino Linotype" w:cs="Palatino Linotype"/>
          <w:b/>
          <w:bCs/>
          <w:color w:val="000000"/>
          <w:sz w:val="24"/>
          <w:szCs w:val="24"/>
        </w:rPr>
        <w:t xml:space="preserve">(SAIMEX), </w:t>
      </w:r>
      <w:r w:rsidRPr="00900A5E">
        <w:rPr>
          <w:rFonts w:ascii="Palatino Linotype" w:eastAsia="Palatino Linotype" w:hAnsi="Palatino Linotype" w:cs="Palatino Linotype"/>
          <w:color w:val="000000"/>
          <w:sz w:val="24"/>
          <w:szCs w:val="24"/>
        </w:rPr>
        <w:t>previa búsqueda exhaustiva y razonable, de ser procedente en versión pública, lo siguiente:</w:t>
      </w:r>
    </w:p>
    <w:p w:rsidR="006B3523" w:rsidRPr="00900A5E" w:rsidRDefault="006B3523" w:rsidP="006B3523">
      <w:pPr>
        <w:spacing w:line="360" w:lineRule="auto"/>
        <w:ind w:right="113"/>
        <w:jc w:val="both"/>
        <w:rPr>
          <w:rFonts w:ascii="Palatino Linotype" w:eastAsia="Palatino Linotype" w:hAnsi="Palatino Linotype" w:cs="Palatino Linotype"/>
          <w:color w:val="000000"/>
          <w:sz w:val="24"/>
          <w:szCs w:val="24"/>
        </w:rPr>
      </w:pPr>
    </w:p>
    <w:p w:rsidR="006B3523" w:rsidRPr="00900A5E" w:rsidRDefault="006B3523" w:rsidP="006B3523">
      <w:pPr>
        <w:pStyle w:val="Prrafodelista"/>
        <w:numPr>
          <w:ilvl w:val="0"/>
          <w:numId w:val="9"/>
        </w:numPr>
        <w:pBdr>
          <w:top w:val="nil"/>
          <w:left w:val="nil"/>
          <w:bottom w:val="nil"/>
          <w:right w:val="nil"/>
          <w:between w:val="nil"/>
        </w:pBdr>
        <w:ind w:left="1276" w:right="964"/>
        <w:jc w:val="both"/>
        <w:rPr>
          <w:rFonts w:ascii="Palatino Linotype" w:eastAsia="Palatino Linotype" w:hAnsi="Palatino Linotype" w:cs="Palatino Linotype"/>
          <w:b/>
          <w:color w:val="000000"/>
          <w:sz w:val="24"/>
          <w:szCs w:val="24"/>
        </w:rPr>
      </w:pPr>
      <w:bookmarkStart w:id="10" w:name="_heading=h.crdv98bd31c8" w:colFirst="0" w:colLast="0"/>
      <w:bookmarkEnd w:id="10"/>
      <w:r w:rsidRPr="00900A5E">
        <w:rPr>
          <w:rFonts w:ascii="Palatino Linotype" w:eastAsia="Palatino Linotype" w:hAnsi="Palatino Linotype" w:cs="Palatino Linotype"/>
          <w:b/>
          <w:color w:val="000000"/>
          <w:sz w:val="24"/>
          <w:szCs w:val="24"/>
        </w:rPr>
        <w:t xml:space="preserve">el soporte documental que dé cuenta </w:t>
      </w:r>
      <w:r w:rsidR="000B51D0" w:rsidRPr="00900A5E">
        <w:rPr>
          <w:rFonts w:ascii="Palatino Linotype" w:eastAsia="Palatino Linotype" w:hAnsi="Palatino Linotype" w:cs="Palatino Linotype"/>
          <w:b/>
          <w:color w:val="000000"/>
          <w:sz w:val="24"/>
          <w:szCs w:val="24"/>
        </w:rPr>
        <w:t>monto total ejercido para la adquisición o renta de adornos navideños (árboles, nacimientos, luces, piñatas) en el marco de las fiestas decembrinas del año dos mil veinticuatro, incluyendo contrato, factura y fotografía que dé cuenta de dichas compras/rentas.</w:t>
      </w:r>
    </w:p>
    <w:p w:rsidR="006B3523" w:rsidRPr="00900A5E" w:rsidRDefault="006B3523" w:rsidP="006B3523">
      <w:pPr>
        <w:pStyle w:val="Prrafodelista"/>
        <w:pBdr>
          <w:top w:val="nil"/>
          <w:left w:val="nil"/>
          <w:bottom w:val="nil"/>
          <w:right w:val="nil"/>
          <w:between w:val="nil"/>
        </w:pBdr>
        <w:spacing w:line="360" w:lineRule="auto"/>
        <w:ind w:right="113"/>
        <w:jc w:val="both"/>
        <w:rPr>
          <w:rFonts w:ascii="Palatino Linotype" w:eastAsia="Palatino Linotype" w:hAnsi="Palatino Linotype" w:cs="Palatino Linotype"/>
          <w:b/>
          <w:color w:val="000000"/>
          <w:sz w:val="24"/>
          <w:szCs w:val="24"/>
        </w:rPr>
      </w:pPr>
    </w:p>
    <w:p w:rsidR="006B3523" w:rsidRPr="00900A5E" w:rsidRDefault="006B3523" w:rsidP="006B3523">
      <w:pPr>
        <w:spacing w:line="360" w:lineRule="auto"/>
        <w:ind w:right="113"/>
        <w:jc w:val="both"/>
        <w:rPr>
          <w:rFonts w:ascii="Palatino Linotype" w:eastAsia="Palatino Linotype" w:hAnsi="Palatino Linotype" w:cs="Palatino Linotype"/>
          <w:b/>
          <w:bCs/>
          <w:sz w:val="24"/>
          <w:szCs w:val="24"/>
        </w:rPr>
      </w:pPr>
      <w:r w:rsidRPr="00900A5E">
        <w:rPr>
          <w:rFonts w:ascii="Palatino Linotype" w:eastAsia="Palatino Linotype" w:hAnsi="Palatino Linotype" w:cs="Palatino Linotype"/>
          <w:sz w:val="24"/>
          <w:szCs w:val="24"/>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900A5E">
        <w:rPr>
          <w:rFonts w:ascii="Palatino Linotype" w:eastAsia="Palatino Linotype" w:hAnsi="Palatino Linotype" w:cs="Palatino Linotype"/>
          <w:b/>
          <w:bCs/>
          <w:sz w:val="24"/>
          <w:szCs w:val="24"/>
        </w:rPr>
        <w:t>RECURRENTE.</w:t>
      </w:r>
    </w:p>
    <w:p w:rsidR="00E02C89" w:rsidRPr="00900A5E" w:rsidRDefault="00E02C89" w:rsidP="006B3523">
      <w:pPr>
        <w:spacing w:line="360" w:lineRule="auto"/>
        <w:ind w:right="113"/>
        <w:jc w:val="both"/>
        <w:rPr>
          <w:rFonts w:ascii="Palatino Linotype" w:eastAsia="Palatino Linotype" w:hAnsi="Palatino Linotype" w:cs="Palatino Linotype"/>
          <w:b/>
          <w:bCs/>
          <w:sz w:val="24"/>
          <w:szCs w:val="24"/>
        </w:rPr>
      </w:pPr>
    </w:p>
    <w:p w:rsidR="00E02C89" w:rsidRPr="00900A5E" w:rsidRDefault="00E02C89" w:rsidP="00E02C89">
      <w:pPr>
        <w:spacing w:line="360" w:lineRule="auto"/>
        <w:jc w:val="both"/>
        <w:rPr>
          <w:rFonts w:ascii="Palatino Linotype" w:eastAsia="Palatino Linotype" w:hAnsi="Palatino Linotype" w:cs="Palatino Linotype"/>
          <w:sz w:val="24"/>
          <w:szCs w:val="24"/>
        </w:rPr>
      </w:pPr>
      <w:r w:rsidRPr="00900A5E">
        <w:rPr>
          <w:rFonts w:ascii="Palatino Linotype" w:eastAsia="Palatino Linotype" w:hAnsi="Palatino Linotype" w:cs="Palatino Linotype"/>
          <w:sz w:val="24"/>
          <w:szCs w:val="24"/>
        </w:rPr>
        <w:t>Para el caso de que la información que se ordena entregar relativa a las</w:t>
      </w:r>
      <w:r w:rsidRPr="00900A5E">
        <w:rPr>
          <w:rFonts w:ascii="Palatino Linotype" w:eastAsia="Palatino Linotype" w:hAnsi="Palatino Linotype" w:cs="Palatino Linotype"/>
          <w:b/>
          <w:sz w:val="24"/>
          <w:szCs w:val="24"/>
        </w:rPr>
        <w:t xml:space="preserve"> fotografías que den cuenta de las compras/rentas</w:t>
      </w:r>
      <w:r w:rsidRPr="00900A5E">
        <w:rPr>
          <w:rFonts w:ascii="Palatino Linotype" w:eastAsia="Palatino Linotype" w:hAnsi="Palatino Linotype" w:cs="Palatino Linotype"/>
          <w:sz w:val="24"/>
          <w:szCs w:val="24"/>
        </w:rPr>
        <w:t>, no haya sido generada, poseída o administrada por no existir fuente laboral para ello, bastará que, de forma clara y precisa, se haga del conocimiento del Particular.</w:t>
      </w:r>
    </w:p>
    <w:p w:rsidR="006B3523" w:rsidRPr="00900A5E" w:rsidRDefault="006B3523" w:rsidP="006B3523">
      <w:pPr>
        <w:tabs>
          <w:tab w:val="left" w:pos="2947"/>
        </w:tabs>
        <w:spacing w:line="360" w:lineRule="auto"/>
        <w:ind w:right="113"/>
        <w:jc w:val="both"/>
        <w:rPr>
          <w:rFonts w:ascii="Palatino Linotype" w:eastAsia="Palatino Linotype" w:hAnsi="Palatino Linotype" w:cs="Palatino Linotype"/>
          <w:sz w:val="24"/>
          <w:szCs w:val="24"/>
        </w:rPr>
      </w:pPr>
    </w:p>
    <w:p w:rsidR="006B3523" w:rsidRPr="00900A5E" w:rsidRDefault="006B3523" w:rsidP="006B3523">
      <w:pPr>
        <w:tabs>
          <w:tab w:val="left" w:pos="8080"/>
        </w:tabs>
        <w:spacing w:line="360" w:lineRule="auto"/>
        <w:ind w:right="113"/>
        <w:jc w:val="both"/>
        <w:rPr>
          <w:rFonts w:ascii="Palatino Linotype" w:eastAsia="Palatino Linotype" w:hAnsi="Palatino Linotype" w:cs="Palatino Linotype"/>
          <w:color w:val="222222"/>
          <w:sz w:val="24"/>
          <w:szCs w:val="24"/>
        </w:rPr>
      </w:pPr>
      <w:r w:rsidRPr="00900A5E">
        <w:rPr>
          <w:rFonts w:ascii="Palatino Linotype" w:eastAsia="Palatino Linotype" w:hAnsi="Palatino Linotype" w:cs="Palatino Linotype"/>
          <w:b/>
          <w:bCs/>
          <w:sz w:val="24"/>
          <w:szCs w:val="24"/>
        </w:rPr>
        <w:t xml:space="preserve">TERCERO. </w:t>
      </w:r>
      <w:r w:rsidRPr="00900A5E">
        <w:rPr>
          <w:rFonts w:ascii="Palatino Linotype" w:eastAsia="Palatino Linotype" w:hAnsi="Palatino Linotype" w:cs="Palatino Linotype"/>
          <w:b/>
          <w:bCs/>
          <w:color w:val="222222"/>
          <w:sz w:val="24"/>
          <w:szCs w:val="24"/>
        </w:rPr>
        <w:t xml:space="preserve">NOTIFÍQUESE </w:t>
      </w:r>
      <w:r w:rsidRPr="00900A5E">
        <w:rPr>
          <w:rFonts w:ascii="Palatino Linotype" w:eastAsia="Palatino Linotype" w:hAnsi="Palatino Linotype" w:cs="Palatino Linotype"/>
          <w:color w:val="222222"/>
          <w:sz w:val="24"/>
          <w:szCs w:val="24"/>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900A5E">
        <w:rPr>
          <w:rFonts w:ascii="Palatino Linotype" w:eastAsia="Palatino Linotype" w:hAnsi="Palatino Linotype" w:cs="Palatino Linotype"/>
          <w:b/>
          <w:bCs/>
          <w:color w:val="222222"/>
          <w:sz w:val="24"/>
          <w:szCs w:val="24"/>
        </w:rPr>
        <w:t xml:space="preserve">dé cumplimiento a lo ordenado dentro del plazo de diez días </w:t>
      </w:r>
      <w:r w:rsidRPr="00900A5E">
        <w:rPr>
          <w:rFonts w:ascii="Palatino Linotype" w:eastAsia="Palatino Linotype" w:hAnsi="Palatino Linotype" w:cs="Palatino Linotype"/>
          <w:b/>
          <w:bCs/>
          <w:color w:val="222222"/>
          <w:sz w:val="24"/>
          <w:szCs w:val="24"/>
        </w:rPr>
        <w:lastRenderedPageBreak/>
        <w:t xml:space="preserve">hábiles, </w:t>
      </w:r>
      <w:r w:rsidRPr="00900A5E">
        <w:rPr>
          <w:rFonts w:ascii="Palatino Linotype" w:eastAsia="Palatino Linotype" w:hAnsi="Palatino Linotype" w:cs="Palatino Linotype"/>
          <w:color w:val="222222"/>
          <w:sz w:val="24"/>
          <w:szCs w:val="24"/>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6B3523" w:rsidRPr="00900A5E" w:rsidRDefault="006B3523" w:rsidP="006B3523">
      <w:pPr>
        <w:spacing w:line="360" w:lineRule="auto"/>
        <w:ind w:right="113"/>
        <w:jc w:val="both"/>
        <w:rPr>
          <w:rFonts w:ascii="Palatino Linotype" w:eastAsia="Palatino Linotype" w:hAnsi="Palatino Linotype" w:cs="Palatino Linotype"/>
          <w:sz w:val="24"/>
          <w:szCs w:val="24"/>
        </w:rPr>
      </w:pPr>
    </w:p>
    <w:p w:rsidR="006B3523" w:rsidRPr="00900A5E" w:rsidRDefault="006B3523" w:rsidP="006B3523">
      <w:pPr>
        <w:spacing w:line="360" w:lineRule="auto"/>
        <w:ind w:right="113"/>
        <w:jc w:val="both"/>
        <w:rPr>
          <w:rFonts w:ascii="Palatino Linotype" w:eastAsia="Palatino Linotype" w:hAnsi="Palatino Linotype" w:cs="Palatino Linotype"/>
          <w:sz w:val="24"/>
          <w:szCs w:val="24"/>
        </w:rPr>
      </w:pPr>
      <w:r w:rsidRPr="00900A5E">
        <w:rPr>
          <w:rFonts w:ascii="Palatino Linotype" w:eastAsia="Palatino Linotype" w:hAnsi="Palatino Linotype" w:cs="Palatino Linotype"/>
          <w:b/>
          <w:bCs/>
          <w:sz w:val="24"/>
          <w:szCs w:val="24"/>
        </w:rPr>
        <w:t xml:space="preserve">CUARTO. </w:t>
      </w:r>
      <w:r w:rsidRPr="00900A5E">
        <w:rPr>
          <w:rFonts w:ascii="Palatino Linotype" w:eastAsia="Palatino Linotype" w:hAnsi="Palatino Linotype" w:cs="Palatino Linotype"/>
          <w:sz w:val="24"/>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6B3523" w:rsidRPr="00900A5E" w:rsidRDefault="006B3523" w:rsidP="006B3523">
      <w:pPr>
        <w:spacing w:line="360" w:lineRule="auto"/>
        <w:ind w:right="113"/>
        <w:jc w:val="both"/>
        <w:rPr>
          <w:rFonts w:ascii="Palatino Linotype" w:eastAsia="Palatino Linotype" w:hAnsi="Palatino Linotype" w:cs="Palatino Linotype"/>
          <w:sz w:val="24"/>
          <w:szCs w:val="24"/>
        </w:rPr>
      </w:pPr>
    </w:p>
    <w:p w:rsidR="006B3523" w:rsidRPr="00900A5E" w:rsidRDefault="006B3523" w:rsidP="006B3523">
      <w:pPr>
        <w:spacing w:line="360" w:lineRule="auto"/>
        <w:ind w:right="113"/>
        <w:jc w:val="both"/>
        <w:rPr>
          <w:rFonts w:ascii="Palatino Linotype" w:eastAsia="Palatino Linotype" w:hAnsi="Palatino Linotype" w:cs="Palatino Linotype"/>
          <w:sz w:val="24"/>
          <w:szCs w:val="24"/>
        </w:rPr>
      </w:pPr>
      <w:r w:rsidRPr="00900A5E">
        <w:rPr>
          <w:rFonts w:ascii="Palatino Linotype" w:eastAsia="Palatino Linotype" w:hAnsi="Palatino Linotype" w:cs="Palatino Linotype"/>
          <w:b/>
          <w:bCs/>
          <w:sz w:val="24"/>
          <w:szCs w:val="24"/>
        </w:rPr>
        <w:t xml:space="preserve">QUINTO. </w:t>
      </w:r>
      <w:r w:rsidRPr="00900A5E">
        <w:rPr>
          <w:rFonts w:ascii="Palatino Linotype" w:eastAsia="Palatino Linotype" w:hAnsi="Palatino Linotype" w:cs="Palatino Linotype"/>
          <w:b/>
          <w:bCs/>
          <w:color w:val="222222"/>
          <w:sz w:val="24"/>
          <w:szCs w:val="24"/>
        </w:rPr>
        <w:t xml:space="preserve">Notifíquese </w:t>
      </w:r>
      <w:r w:rsidR="00C064D8" w:rsidRPr="00900A5E">
        <w:rPr>
          <w:rFonts w:ascii="Palatino Linotype" w:eastAsia="Palatino Linotype" w:hAnsi="Palatino Linotype" w:cs="Palatino Linotype"/>
          <w:color w:val="222222"/>
          <w:sz w:val="24"/>
          <w:szCs w:val="24"/>
        </w:rPr>
        <w:t>AL</w:t>
      </w:r>
      <w:r w:rsidRPr="00900A5E">
        <w:rPr>
          <w:rFonts w:ascii="Palatino Linotype" w:eastAsia="Palatino Linotype" w:hAnsi="Palatino Linotype" w:cs="Palatino Linotype"/>
          <w:b/>
          <w:bCs/>
          <w:sz w:val="24"/>
          <w:szCs w:val="24"/>
        </w:rPr>
        <w:t xml:space="preserve"> RECURRENTE</w:t>
      </w:r>
      <w:r w:rsidRPr="00900A5E">
        <w:rPr>
          <w:rFonts w:ascii="Palatino Linotype" w:eastAsia="Palatino Linotype" w:hAnsi="Palatino Linotype" w:cs="Palatino Linotype"/>
          <w:sz w:val="24"/>
          <w:szCs w:val="24"/>
        </w:rPr>
        <w:t xml:space="preserve"> la presente resolución, vía SAIMEX.</w:t>
      </w:r>
    </w:p>
    <w:p w:rsidR="006B3523" w:rsidRPr="00900A5E" w:rsidRDefault="006B3523" w:rsidP="006B3523">
      <w:pPr>
        <w:spacing w:line="360" w:lineRule="auto"/>
        <w:ind w:right="113"/>
        <w:jc w:val="both"/>
        <w:rPr>
          <w:rFonts w:ascii="Palatino Linotype" w:eastAsia="Palatino Linotype" w:hAnsi="Palatino Linotype" w:cs="Palatino Linotype"/>
          <w:sz w:val="24"/>
          <w:szCs w:val="24"/>
        </w:rPr>
      </w:pPr>
    </w:p>
    <w:p w:rsidR="006B3523" w:rsidRPr="00900A5E" w:rsidRDefault="006B3523" w:rsidP="006B3523">
      <w:pPr>
        <w:spacing w:line="360" w:lineRule="auto"/>
        <w:ind w:right="113"/>
        <w:jc w:val="both"/>
        <w:rPr>
          <w:rFonts w:ascii="Palatino Linotype" w:eastAsia="Palatino Linotype" w:hAnsi="Palatino Linotype" w:cs="Palatino Linotype"/>
          <w:sz w:val="24"/>
          <w:szCs w:val="24"/>
        </w:rPr>
      </w:pPr>
      <w:r w:rsidRPr="00900A5E">
        <w:rPr>
          <w:rFonts w:ascii="Palatino Linotype" w:eastAsia="Palatino Linotype" w:hAnsi="Palatino Linotype" w:cs="Palatino Linotype"/>
          <w:b/>
          <w:bCs/>
          <w:sz w:val="24"/>
          <w:szCs w:val="24"/>
        </w:rPr>
        <w:t>SEXTO.</w:t>
      </w:r>
      <w:r w:rsidRPr="00900A5E">
        <w:rPr>
          <w:rFonts w:ascii="Palatino Linotype" w:eastAsia="Palatino Linotype" w:hAnsi="Palatino Linotype" w:cs="Palatino Linotype"/>
          <w:sz w:val="24"/>
          <w:szCs w:val="24"/>
        </w:rPr>
        <w:t xml:space="preserve"> Se hace del conocimiento de </w:t>
      </w:r>
      <w:r w:rsidRPr="00900A5E">
        <w:rPr>
          <w:rFonts w:ascii="Palatino Linotype" w:eastAsia="Palatino Linotype" w:hAnsi="Palatino Linotype" w:cs="Palatino Linotype"/>
          <w:b/>
          <w:bCs/>
          <w:sz w:val="24"/>
          <w:szCs w:val="24"/>
        </w:rPr>
        <w:t>LA RECURRENTE</w:t>
      </w:r>
      <w:r w:rsidRPr="00900A5E">
        <w:rPr>
          <w:rFonts w:ascii="Palatino Linotype" w:eastAsia="Palatino Linotype" w:hAnsi="Palatino Linotype" w:cs="Palatino Linotype"/>
          <w:sz w:val="24"/>
          <w:szCs w:val="24"/>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6B3523" w:rsidRPr="00900A5E" w:rsidRDefault="006B3523" w:rsidP="006B3523">
      <w:pPr>
        <w:spacing w:line="360" w:lineRule="auto"/>
        <w:ind w:right="113"/>
        <w:jc w:val="both"/>
        <w:rPr>
          <w:rFonts w:ascii="Palatino Linotype" w:eastAsia="Palatino Linotype" w:hAnsi="Palatino Linotype" w:cs="Palatino Linotype"/>
          <w:sz w:val="24"/>
          <w:szCs w:val="24"/>
        </w:rPr>
      </w:pPr>
    </w:p>
    <w:p w:rsidR="00C064D8" w:rsidRPr="00900A5E" w:rsidRDefault="00C064D8" w:rsidP="00C064D8">
      <w:pPr>
        <w:spacing w:before="240" w:after="240" w:line="360" w:lineRule="auto"/>
        <w:ind w:firstLine="1"/>
        <w:jc w:val="both"/>
        <w:rPr>
          <w:rFonts w:ascii="Palatino Linotype" w:hAnsi="Palatino Linotype"/>
          <w:sz w:val="24"/>
          <w:szCs w:val="24"/>
        </w:rPr>
      </w:pPr>
      <w:bookmarkStart w:id="11" w:name="_Hlk99014733"/>
      <w:r w:rsidRPr="00900A5E">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w:t>
      </w:r>
      <w:r w:rsidRPr="00900A5E">
        <w:rPr>
          <w:rFonts w:ascii="Palatino Linotype" w:hAnsi="Palatino Linotype" w:cs="Palatino Linotype"/>
          <w:sz w:val="24"/>
          <w:szCs w:val="24"/>
        </w:rPr>
        <w:lastRenderedPageBreak/>
        <w:t xml:space="preserve">GUADALUPE RAMÍREZ PEÑA; EN LA OCTAVA SESIÓN ORDINARIA, CELEBRADA EL CINCO (05) DE MARZO DE DOS MIL VEINTISÉIS, ANTE EL SECRETARIO TÉCNICO DEL PLENO </w:t>
      </w:r>
      <w:r w:rsidRPr="00900A5E">
        <w:rPr>
          <w:rFonts w:ascii="Palatino Linotype" w:hAnsi="Palatino Linotype" w:cs="Palatino Linotype"/>
          <w:color w:val="000000" w:themeColor="text1"/>
          <w:sz w:val="24"/>
          <w:szCs w:val="24"/>
        </w:rPr>
        <w:t>ALEXIS TAPIA RAMÍREZ.</w:t>
      </w:r>
    </w:p>
    <w:bookmarkEnd w:id="11"/>
    <w:p w:rsidR="006B3523" w:rsidRPr="00900A5E" w:rsidRDefault="006B3523" w:rsidP="006B3523">
      <w:pPr>
        <w:spacing w:line="360" w:lineRule="auto"/>
        <w:ind w:right="49"/>
        <w:jc w:val="both"/>
        <w:rPr>
          <w:rFonts w:ascii="Palatino Linotype" w:eastAsia="Palatino Linotype" w:hAnsi="Palatino Linotype" w:cs="Palatino Linotype"/>
          <w:sz w:val="24"/>
          <w:szCs w:val="24"/>
        </w:rPr>
      </w:pPr>
    </w:p>
    <w:p w:rsidR="006B3523" w:rsidRPr="00900A5E" w:rsidRDefault="006B3523" w:rsidP="006B3523">
      <w:pPr>
        <w:spacing w:line="360" w:lineRule="auto"/>
        <w:ind w:right="49"/>
        <w:jc w:val="both"/>
        <w:rPr>
          <w:rFonts w:ascii="Palatino Linotype" w:eastAsia="Palatino Linotype" w:hAnsi="Palatino Linotype" w:cs="Palatino Linotype"/>
          <w:sz w:val="24"/>
          <w:szCs w:val="24"/>
        </w:rPr>
      </w:pPr>
    </w:p>
    <w:p w:rsidR="006B3523" w:rsidRPr="00900A5E" w:rsidRDefault="006B3523" w:rsidP="006B3523">
      <w:pPr>
        <w:spacing w:line="360" w:lineRule="auto"/>
        <w:ind w:right="49"/>
        <w:jc w:val="both"/>
        <w:rPr>
          <w:rFonts w:ascii="Palatino Linotype" w:eastAsia="Palatino Linotype" w:hAnsi="Palatino Linotype" w:cs="Palatino Linotype"/>
          <w:b/>
          <w:bCs/>
          <w:sz w:val="24"/>
          <w:szCs w:val="24"/>
        </w:rPr>
      </w:pPr>
    </w:p>
    <w:p w:rsidR="006B3523" w:rsidRPr="00900A5E" w:rsidRDefault="006B3523" w:rsidP="006B3523">
      <w:pPr>
        <w:spacing w:line="360" w:lineRule="auto"/>
        <w:ind w:right="34"/>
        <w:jc w:val="both"/>
        <w:rPr>
          <w:rFonts w:ascii="Palatino Linotype" w:eastAsia="Palatino Linotype" w:hAnsi="Palatino Linotype" w:cs="Palatino Linotype"/>
          <w:color w:val="000000"/>
          <w:sz w:val="24"/>
          <w:szCs w:val="24"/>
        </w:rPr>
      </w:pPr>
      <w:bookmarkStart w:id="12" w:name="_heading=h.tyjcwt" w:colFirst="0" w:colLast="0"/>
      <w:bookmarkEnd w:id="12"/>
    </w:p>
    <w:p w:rsidR="006B3523" w:rsidRPr="00900A5E" w:rsidRDefault="006B3523" w:rsidP="006B3523">
      <w:pPr>
        <w:rPr>
          <w:rFonts w:ascii="Palatino Linotype" w:eastAsia="Palatino Linotype" w:hAnsi="Palatino Linotype" w:cs="Palatino Linotype"/>
          <w:sz w:val="24"/>
          <w:szCs w:val="24"/>
        </w:rPr>
      </w:pPr>
    </w:p>
    <w:p w:rsidR="006B3523" w:rsidRPr="00900A5E" w:rsidRDefault="006B3523" w:rsidP="006B3523">
      <w:pPr>
        <w:rPr>
          <w:rFonts w:ascii="Palatino Linotype" w:eastAsia="Palatino Linotype" w:hAnsi="Palatino Linotype" w:cs="Palatino Linotype"/>
          <w:sz w:val="24"/>
          <w:szCs w:val="24"/>
        </w:rPr>
      </w:pPr>
    </w:p>
    <w:p w:rsidR="006B3523" w:rsidRPr="00900A5E" w:rsidRDefault="006B3523" w:rsidP="006B3523">
      <w:pPr>
        <w:rPr>
          <w:sz w:val="24"/>
          <w:szCs w:val="24"/>
        </w:rPr>
      </w:pPr>
    </w:p>
    <w:p w:rsidR="006B3523" w:rsidRPr="00900A5E" w:rsidRDefault="006B3523" w:rsidP="006B3523">
      <w:pPr>
        <w:rPr>
          <w:sz w:val="24"/>
          <w:szCs w:val="24"/>
        </w:rPr>
      </w:pPr>
    </w:p>
    <w:p w:rsidR="006B3523" w:rsidRDefault="006B3523">
      <w:pPr>
        <w:rPr>
          <w:sz w:val="24"/>
          <w:szCs w:val="24"/>
        </w:rPr>
      </w:pPr>
    </w:p>
    <w:p w:rsidR="00813E7B" w:rsidRDefault="00813E7B">
      <w:pPr>
        <w:rPr>
          <w:sz w:val="24"/>
          <w:szCs w:val="24"/>
        </w:rPr>
      </w:pPr>
    </w:p>
    <w:p w:rsidR="00813E7B" w:rsidRDefault="00813E7B">
      <w:pPr>
        <w:rPr>
          <w:sz w:val="24"/>
          <w:szCs w:val="24"/>
        </w:rPr>
      </w:pPr>
    </w:p>
    <w:p w:rsidR="00813E7B" w:rsidRDefault="00813E7B">
      <w:pPr>
        <w:rPr>
          <w:sz w:val="24"/>
          <w:szCs w:val="24"/>
        </w:rPr>
      </w:pPr>
    </w:p>
    <w:p w:rsidR="00813E7B" w:rsidRDefault="00813E7B">
      <w:pPr>
        <w:rPr>
          <w:sz w:val="24"/>
          <w:szCs w:val="24"/>
        </w:rPr>
      </w:pPr>
    </w:p>
    <w:p w:rsidR="00813E7B" w:rsidRDefault="00813E7B">
      <w:pPr>
        <w:rPr>
          <w:sz w:val="24"/>
          <w:szCs w:val="24"/>
        </w:rPr>
      </w:pPr>
    </w:p>
    <w:p w:rsidR="00813E7B" w:rsidRDefault="00813E7B">
      <w:pPr>
        <w:rPr>
          <w:sz w:val="24"/>
          <w:szCs w:val="24"/>
        </w:rPr>
      </w:pPr>
    </w:p>
    <w:p w:rsidR="00813E7B" w:rsidRDefault="00813E7B">
      <w:pPr>
        <w:rPr>
          <w:sz w:val="24"/>
          <w:szCs w:val="24"/>
        </w:rPr>
      </w:pPr>
    </w:p>
    <w:p w:rsidR="00813E7B" w:rsidRDefault="00813E7B">
      <w:pPr>
        <w:rPr>
          <w:sz w:val="24"/>
          <w:szCs w:val="24"/>
        </w:rPr>
      </w:pPr>
    </w:p>
    <w:p w:rsidR="00813E7B" w:rsidRDefault="00813E7B">
      <w:pPr>
        <w:rPr>
          <w:sz w:val="24"/>
          <w:szCs w:val="24"/>
        </w:rPr>
      </w:pPr>
    </w:p>
    <w:p w:rsidR="00813E7B" w:rsidRDefault="00813E7B">
      <w:pPr>
        <w:rPr>
          <w:sz w:val="24"/>
          <w:szCs w:val="24"/>
        </w:rPr>
      </w:pPr>
    </w:p>
    <w:p w:rsidR="00813E7B" w:rsidRDefault="00813E7B">
      <w:pPr>
        <w:rPr>
          <w:sz w:val="24"/>
          <w:szCs w:val="24"/>
        </w:rPr>
      </w:pPr>
    </w:p>
    <w:p w:rsidR="00813E7B" w:rsidRDefault="00813E7B">
      <w:pPr>
        <w:rPr>
          <w:sz w:val="24"/>
          <w:szCs w:val="24"/>
        </w:rPr>
      </w:pPr>
    </w:p>
    <w:p w:rsidR="00813E7B" w:rsidRDefault="00813E7B">
      <w:pPr>
        <w:rPr>
          <w:sz w:val="24"/>
          <w:szCs w:val="24"/>
        </w:rPr>
      </w:pPr>
    </w:p>
    <w:p w:rsidR="00813E7B" w:rsidRDefault="00813E7B">
      <w:pPr>
        <w:rPr>
          <w:sz w:val="24"/>
          <w:szCs w:val="24"/>
        </w:rPr>
      </w:pPr>
    </w:p>
    <w:p w:rsidR="00813E7B" w:rsidRDefault="00813E7B">
      <w:pPr>
        <w:rPr>
          <w:sz w:val="24"/>
          <w:szCs w:val="24"/>
        </w:rPr>
      </w:pPr>
    </w:p>
    <w:p w:rsidR="00813E7B" w:rsidRDefault="00813E7B">
      <w:pPr>
        <w:rPr>
          <w:sz w:val="24"/>
          <w:szCs w:val="24"/>
        </w:rPr>
      </w:pPr>
    </w:p>
    <w:p w:rsidR="00813E7B" w:rsidRDefault="00813E7B">
      <w:pPr>
        <w:rPr>
          <w:sz w:val="24"/>
          <w:szCs w:val="24"/>
        </w:rPr>
      </w:pPr>
    </w:p>
    <w:p w:rsidR="00813E7B" w:rsidRDefault="00813E7B">
      <w:pPr>
        <w:rPr>
          <w:sz w:val="24"/>
          <w:szCs w:val="24"/>
        </w:rPr>
      </w:pPr>
    </w:p>
    <w:p w:rsidR="00813E7B" w:rsidRDefault="00813E7B">
      <w:pPr>
        <w:rPr>
          <w:sz w:val="24"/>
          <w:szCs w:val="24"/>
        </w:rPr>
      </w:pPr>
    </w:p>
    <w:p w:rsidR="00813E7B" w:rsidRDefault="00813E7B">
      <w:pPr>
        <w:rPr>
          <w:sz w:val="24"/>
          <w:szCs w:val="24"/>
        </w:rPr>
      </w:pPr>
    </w:p>
    <w:p w:rsidR="00813E7B" w:rsidRDefault="00813E7B">
      <w:pPr>
        <w:rPr>
          <w:sz w:val="24"/>
          <w:szCs w:val="24"/>
        </w:rPr>
      </w:pPr>
    </w:p>
    <w:p w:rsidR="00813E7B" w:rsidRDefault="00813E7B">
      <w:pPr>
        <w:rPr>
          <w:sz w:val="24"/>
          <w:szCs w:val="24"/>
        </w:rPr>
      </w:pPr>
    </w:p>
    <w:p w:rsidR="00813E7B" w:rsidRDefault="00813E7B">
      <w:pPr>
        <w:rPr>
          <w:sz w:val="24"/>
          <w:szCs w:val="24"/>
        </w:rPr>
      </w:pPr>
    </w:p>
    <w:p w:rsidR="00813E7B" w:rsidRPr="00900A5E" w:rsidRDefault="00813E7B">
      <w:pPr>
        <w:rPr>
          <w:sz w:val="24"/>
          <w:szCs w:val="24"/>
        </w:rPr>
      </w:pPr>
    </w:p>
    <w:sectPr w:rsidR="00813E7B" w:rsidRPr="00900A5E" w:rsidSect="00900A5E">
      <w:headerReference w:type="even" r:id="rId19"/>
      <w:headerReference w:type="default" r:id="rId20"/>
      <w:footerReference w:type="default" r:id="rId21"/>
      <w:headerReference w:type="first" r:id="rId22"/>
      <w:footerReference w:type="first" r:id="rId23"/>
      <w:pgSz w:w="12240" w:h="15840"/>
      <w:pgMar w:top="80" w:right="616" w:bottom="1418" w:left="1588" w:header="709" w:footer="73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548D" w:rsidRDefault="0047548D" w:rsidP="006B3523">
      <w:r>
        <w:separator/>
      </w:r>
    </w:p>
  </w:endnote>
  <w:endnote w:type="continuationSeparator" w:id="0">
    <w:p w:rsidR="0047548D" w:rsidRDefault="0047548D" w:rsidP="006B3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A5E" w:rsidRDefault="00900A5E">
    <w:pPr>
      <w:pBdr>
        <w:top w:val="nil"/>
        <w:left w:val="nil"/>
        <w:bottom w:val="nil"/>
        <w:right w:val="nil"/>
        <w:between w:val="nil"/>
      </w:pBdr>
      <w:tabs>
        <w:tab w:val="center" w:pos="4419"/>
        <w:tab w:val="right" w:pos="8838"/>
      </w:tabs>
      <w:jc w:val="right"/>
      <w:rPr>
        <w:color w:val="000000"/>
      </w:rPr>
    </w:pPr>
  </w:p>
  <w:p w:rsidR="00900A5E" w:rsidRPr="00900A5E" w:rsidRDefault="00900A5E">
    <w:pPr>
      <w:pBdr>
        <w:top w:val="nil"/>
        <w:left w:val="nil"/>
        <w:bottom w:val="nil"/>
        <w:right w:val="nil"/>
        <w:between w:val="nil"/>
      </w:pBdr>
      <w:tabs>
        <w:tab w:val="center" w:pos="4419"/>
        <w:tab w:val="right" w:pos="8838"/>
      </w:tabs>
      <w:jc w:val="right"/>
      <w:rPr>
        <w:rFonts w:ascii="Palatino Linotype" w:hAnsi="Palatino Linotype"/>
        <w:b/>
        <w:color w:val="000000"/>
        <w:sz w:val="22"/>
        <w:szCs w:val="22"/>
      </w:rPr>
    </w:pPr>
    <w:r w:rsidRPr="00900A5E">
      <w:rPr>
        <w:rFonts w:ascii="Palatino Linotype" w:hAnsi="Palatino Linotype"/>
        <w:b/>
        <w:color w:val="000000"/>
        <w:sz w:val="22"/>
        <w:szCs w:val="22"/>
      </w:rPr>
      <w:t xml:space="preserve">Página </w:t>
    </w:r>
    <w:r w:rsidRPr="00900A5E">
      <w:rPr>
        <w:rFonts w:ascii="Palatino Linotype" w:hAnsi="Palatino Linotype"/>
        <w:b/>
        <w:bCs/>
        <w:color w:val="000000"/>
        <w:sz w:val="22"/>
        <w:szCs w:val="22"/>
      </w:rPr>
      <w:fldChar w:fldCharType="begin"/>
    </w:r>
    <w:r w:rsidRPr="00900A5E">
      <w:rPr>
        <w:rFonts w:ascii="Palatino Linotype" w:hAnsi="Palatino Linotype"/>
        <w:b/>
        <w:bCs/>
        <w:color w:val="000000"/>
        <w:sz w:val="22"/>
        <w:szCs w:val="22"/>
      </w:rPr>
      <w:instrText>PAGE</w:instrText>
    </w:r>
    <w:r w:rsidRPr="00900A5E">
      <w:rPr>
        <w:rFonts w:ascii="Palatino Linotype" w:hAnsi="Palatino Linotype"/>
        <w:b/>
        <w:bCs/>
        <w:color w:val="000000"/>
        <w:sz w:val="22"/>
        <w:szCs w:val="22"/>
      </w:rPr>
      <w:fldChar w:fldCharType="separate"/>
    </w:r>
    <w:r w:rsidR="002873CA">
      <w:rPr>
        <w:rFonts w:ascii="Palatino Linotype" w:hAnsi="Palatino Linotype"/>
        <w:b/>
        <w:bCs/>
        <w:noProof/>
        <w:color w:val="000000"/>
        <w:sz w:val="22"/>
        <w:szCs w:val="22"/>
      </w:rPr>
      <w:t>21</w:t>
    </w:r>
    <w:r w:rsidRPr="00900A5E">
      <w:rPr>
        <w:rFonts w:ascii="Palatino Linotype" w:hAnsi="Palatino Linotype"/>
        <w:b/>
        <w:bCs/>
        <w:color w:val="000000"/>
        <w:sz w:val="22"/>
        <w:szCs w:val="22"/>
      </w:rPr>
      <w:fldChar w:fldCharType="end"/>
    </w:r>
    <w:r w:rsidRPr="00900A5E">
      <w:rPr>
        <w:rFonts w:ascii="Palatino Linotype" w:hAnsi="Palatino Linotype"/>
        <w:b/>
        <w:color w:val="000000"/>
        <w:sz w:val="22"/>
        <w:szCs w:val="22"/>
      </w:rPr>
      <w:t xml:space="preserve"> de </w:t>
    </w:r>
    <w:r w:rsidRPr="00900A5E">
      <w:rPr>
        <w:rFonts w:ascii="Palatino Linotype" w:hAnsi="Palatino Linotype"/>
        <w:b/>
        <w:bCs/>
        <w:color w:val="000000"/>
        <w:sz w:val="22"/>
        <w:szCs w:val="22"/>
      </w:rPr>
      <w:fldChar w:fldCharType="begin"/>
    </w:r>
    <w:r w:rsidRPr="00900A5E">
      <w:rPr>
        <w:rFonts w:ascii="Palatino Linotype" w:hAnsi="Palatino Linotype"/>
        <w:b/>
        <w:bCs/>
        <w:color w:val="000000"/>
        <w:sz w:val="22"/>
        <w:szCs w:val="22"/>
      </w:rPr>
      <w:instrText>NUMPAGES</w:instrText>
    </w:r>
    <w:r w:rsidRPr="00900A5E">
      <w:rPr>
        <w:rFonts w:ascii="Palatino Linotype" w:hAnsi="Palatino Linotype"/>
        <w:b/>
        <w:bCs/>
        <w:color w:val="000000"/>
        <w:sz w:val="22"/>
        <w:szCs w:val="22"/>
      </w:rPr>
      <w:fldChar w:fldCharType="separate"/>
    </w:r>
    <w:r w:rsidR="002873CA">
      <w:rPr>
        <w:rFonts w:ascii="Palatino Linotype" w:hAnsi="Palatino Linotype"/>
        <w:b/>
        <w:bCs/>
        <w:noProof/>
        <w:color w:val="000000"/>
        <w:sz w:val="22"/>
        <w:szCs w:val="22"/>
      </w:rPr>
      <w:t>53</w:t>
    </w:r>
    <w:r w:rsidRPr="00900A5E">
      <w:rPr>
        <w:rFonts w:ascii="Palatino Linotype" w:hAnsi="Palatino Linotype"/>
        <w:b/>
        <w:bCs/>
        <w:color w:val="000000"/>
        <w:sz w:val="22"/>
        <w:szCs w:val="22"/>
      </w:rPr>
      <w:fldChar w:fldCharType="end"/>
    </w:r>
  </w:p>
  <w:p w:rsidR="00900A5E" w:rsidRDefault="00900A5E">
    <w:pPr>
      <w:pBdr>
        <w:top w:val="nil"/>
        <w:left w:val="nil"/>
        <w:bottom w:val="nil"/>
        <w:right w:val="nil"/>
        <w:between w:val="nil"/>
      </w:pBdr>
      <w:tabs>
        <w:tab w:val="center" w:pos="4419"/>
        <w:tab w:val="right" w:pos="8838"/>
      </w:tabs>
      <w:rPr>
        <w:color w:val="000000"/>
      </w:rPr>
    </w:pPr>
  </w:p>
  <w:p w:rsidR="00900A5E" w:rsidRDefault="00900A5E"/>
  <w:p w:rsidR="00900A5E" w:rsidRDefault="00900A5E"/>
  <w:p w:rsidR="00900A5E" w:rsidRDefault="00900A5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A5E" w:rsidRPr="00900A5E" w:rsidRDefault="00900A5E">
    <w:pPr>
      <w:pBdr>
        <w:top w:val="nil"/>
        <w:left w:val="nil"/>
        <w:bottom w:val="nil"/>
        <w:right w:val="nil"/>
        <w:between w:val="nil"/>
      </w:pBdr>
      <w:tabs>
        <w:tab w:val="center" w:pos="4419"/>
        <w:tab w:val="right" w:pos="8838"/>
      </w:tabs>
      <w:jc w:val="right"/>
      <w:rPr>
        <w:rFonts w:ascii="Palatino Linotype" w:hAnsi="Palatino Linotype"/>
        <w:b/>
        <w:color w:val="000000"/>
        <w:sz w:val="22"/>
        <w:szCs w:val="24"/>
      </w:rPr>
    </w:pPr>
    <w:r w:rsidRPr="00900A5E">
      <w:rPr>
        <w:rFonts w:ascii="Palatino Linotype" w:hAnsi="Palatino Linotype"/>
        <w:b/>
        <w:color w:val="000000"/>
        <w:sz w:val="22"/>
        <w:szCs w:val="24"/>
      </w:rPr>
      <w:t xml:space="preserve">Página </w:t>
    </w:r>
    <w:r w:rsidRPr="00900A5E">
      <w:rPr>
        <w:rFonts w:ascii="Palatino Linotype" w:hAnsi="Palatino Linotype"/>
        <w:b/>
        <w:bCs/>
        <w:color w:val="000000"/>
        <w:sz w:val="22"/>
        <w:szCs w:val="24"/>
      </w:rPr>
      <w:fldChar w:fldCharType="begin"/>
    </w:r>
    <w:r w:rsidRPr="00900A5E">
      <w:rPr>
        <w:rFonts w:ascii="Palatino Linotype" w:hAnsi="Palatino Linotype"/>
        <w:b/>
        <w:bCs/>
        <w:color w:val="000000"/>
        <w:sz w:val="22"/>
        <w:szCs w:val="24"/>
      </w:rPr>
      <w:instrText>PAGE</w:instrText>
    </w:r>
    <w:r w:rsidRPr="00900A5E">
      <w:rPr>
        <w:rFonts w:ascii="Palatino Linotype" w:hAnsi="Palatino Linotype"/>
        <w:b/>
        <w:bCs/>
        <w:color w:val="000000"/>
        <w:sz w:val="22"/>
        <w:szCs w:val="24"/>
      </w:rPr>
      <w:fldChar w:fldCharType="separate"/>
    </w:r>
    <w:r w:rsidR="002873CA">
      <w:rPr>
        <w:rFonts w:ascii="Palatino Linotype" w:hAnsi="Palatino Linotype"/>
        <w:b/>
        <w:bCs/>
        <w:noProof/>
        <w:color w:val="000000"/>
        <w:sz w:val="22"/>
        <w:szCs w:val="24"/>
      </w:rPr>
      <w:t>1</w:t>
    </w:r>
    <w:r w:rsidRPr="00900A5E">
      <w:rPr>
        <w:rFonts w:ascii="Palatino Linotype" w:hAnsi="Palatino Linotype"/>
        <w:b/>
        <w:bCs/>
        <w:color w:val="000000"/>
        <w:sz w:val="22"/>
        <w:szCs w:val="24"/>
      </w:rPr>
      <w:fldChar w:fldCharType="end"/>
    </w:r>
    <w:r w:rsidRPr="00900A5E">
      <w:rPr>
        <w:rFonts w:ascii="Palatino Linotype" w:hAnsi="Palatino Linotype"/>
        <w:b/>
        <w:color w:val="000000"/>
        <w:sz w:val="22"/>
        <w:szCs w:val="24"/>
      </w:rPr>
      <w:t xml:space="preserve"> de </w:t>
    </w:r>
    <w:r w:rsidRPr="00900A5E">
      <w:rPr>
        <w:rFonts w:ascii="Palatino Linotype" w:hAnsi="Palatino Linotype"/>
        <w:b/>
        <w:bCs/>
        <w:color w:val="000000"/>
        <w:sz w:val="22"/>
        <w:szCs w:val="24"/>
      </w:rPr>
      <w:fldChar w:fldCharType="begin"/>
    </w:r>
    <w:r w:rsidRPr="00900A5E">
      <w:rPr>
        <w:rFonts w:ascii="Palatino Linotype" w:hAnsi="Palatino Linotype"/>
        <w:b/>
        <w:bCs/>
        <w:color w:val="000000"/>
        <w:sz w:val="22"/>
        <w:szCs w:val="24"/>
      </w:rPr>
      <w:instrText>NUMPAGES</w:instrText>
    </w:r>
    <w:r w:rsidRPr="00900A5E">
      <w:rPr>
        <w:rFonts w:ascii="Palatino Linotype" w:hAnsi="Palatino Linotype"/>
        <w:b/>
        <w:bCs/>
        <w:color w:val="000000"/>
        <w:sz w:val="22"/>
        <w:szCs w:val="24"/>
      </w:rPr>
      <w:fldChar w:fldCharType="separate"/>
    </w:r>
    <w:r w:rsidR="002873CA">
      <w:rPr>
        <w:rFonts w:ascii="Palatino Linotype" w:hAnsi="Palatino Linotype"/>
        <w:b/>
        <w:bCs/>
        <w:noProof/>
        <w:color w:val="000000"/>
        <w:sz w:val="22"/>
        <w:szCs w:val="24"/>
      </w:rPr>
      <w:t>53</w:t>
    </w:r>
    <w:r w:rsidRPr="00900A5E">
      <w:rPr>
        <w:rFonts w:ascii="Palatino Linotype" w:hAnsi="Palatino Linotype"/>
        <w:b/>
        <w:bCs/>
        <w:color w:val="000000"/>
        <w:sz w:val="22"/>
        <w:szCs w:val="24"/>
      </w:rPr>
      <w:fldChar w:fldCharType="end"/>
    </w:r>
  </w:p>
  <w:p w:rsidR="00900A5E" w:rsidRDefault="00900A5E">
    <w:pPr>
      <w:pBdr>
        <w:top w:val="nil"/>
        <w:left w:val="nil"/>
        <w:bottom w:val="nil"/>
        <w:right w:val="nil"/>
        <w:between w:val="nil"/>
      </w:pBdr>
      <w:tabs>
        <w:tab w:val="center" w:pos="4419"/>
        <w:tab w:val="right" w:pos="8838"/>
      </w:tabs>
      <w:rPr>
        <w:color w:val="000000"/>
      </w:rPr>
    </w:pPr>
  </w:p>
  <w:p w:rsidR="00900A5E" w:rsidRDefault="00900A5E"/>
  <w:p w:rsidR="00900A5E" w:rsidRDefault="00900A5E"/>
  <w:p w:rsidR="00900A5E" w:rsidRDefault="00900A5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548D" w:rsidRDefault="0047548D" w:rsidP="006B3523">
      <w:r>
        <w:separator/>
      </w:r>
    </w:p>
  </w:footnote>
  <w:footnote w:type="continuationSeparator" w:id="0">
    <w:p w:rsidR="0047548D" w:rsidRDefault="0047548D" w:rsidP="006B35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A5E" w:rsidRDefault="0047548D">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0;margin-top:0;width:663.5pt;height:12in;z-index:-251659776;mso-position-horizontal:center;mso-position-horizontal-relative:margin;mso-position-vertical:center;mso-position-vertical-relative:margin">
          <v:imagedata r:id="rId1" o:title="image1"/>
          <w10:wrap anchorx="margin" anchory="margin"/>
        </v:shape>
      </w:pict>
    </w:r>
  </w:p>
  <w:p w:rsidR="00900A5E" w:rsidRDefault="00900A5E"/>
  <w:p w:rsidR="00900A5E" w:rsidRDefault="00900A5E"/>
  <w:p w:rsidR="00900A5E" w:rsidRDefault="00900A5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21" w:type="dxa"/>
      <w:tblInd w:w="-115" w:type="dxa"/>
      <w:tblLayout w:type="fixed"/>
      <w:tblLook w:val="0400" w:firstRow="0" w:lastRow="0" w:firstColumn="0" w:lastColumn="0" w:noHBand="0" w:noVBand="1"/>
    </w:tblPr>
    <w:tblGrid>
      <w:gridCol w:w="1816"/>
      <w:gridCol w:w="8505"/>
    </w:tblGrid>
    <w:tr w:rsidR="00900A5E" w:rsidTr="00900A5E">
      <w:trPr>
        <w:trHeight w:val="1435"/>
      </w:trPr>
      <w:tc>
        <w:tcPr>
          <w:tcW w:w="1816" w:type="dxa"/>
          <w:shd w:val="clear" w:color="auto" w:fill="auto"/>
        </w:tcPr>
        <w:p w:rsidR="00900A5E" w:rsidRDefault="00900A5E">
          <w:pPr>
            <w:tabs>
              <w:tab w:val="right" w:pos="4273"/>
            </w:tabs>
            <w:rPr>
              <w:rFonts w:ascii="Garamond" w:eastAsia="Garamond" w:hAnsi="Garamond" w:cs="Garamond"/>
              <w:sz w:val="16"/>
              <w:szCs w:val="16"/>
            </w:rPr>
          </w:pPr>
        </w:p>
      </w:tc>
      <w:tc>
        <w:tcPr>
          <w:tcW w:w="8505" w:type="dxa"/>
          <w:shd w:val="clear" w:color="auto" w:fill="auto"/>
        </w:tcPr>
        <w:tbl>
          <w:tblPr>
            <w:tblW w:w="6803" w:type="dxa"/>
            <w:tblInd w:w="2019" w:type="dxa"/>
            <w:tblBorders>
              <w:top w:val="nil"/>
              <w:left w:val="nil"/>
              <w:bottom w:val="nil"/>
              <w:right w:val="nil"/>
              <w:insideH w:val="nil"/>
              <w:insideV w:val="nil"/>
            </w:tblBorders>
            <w:tblLayout w:type="fixed"/>
            <w:tblLook w:val="0400" w:firstRow="0" w:lastRow="0" w:firstColumn="0" w:lastColumn="0" w:noHBand="0" w:noVBand="1"/>
          </w:tblPr>
          <w:tblGrid>
            <w:gridCol w:w="2693"/>
            <w:gridCol w:w="4110"/>
          </w:tblGrid>
          <w:tr w:rsidR="00900A5E" w:rsidTr="00900A5E">
            <w:trPr>
              <w:trHeight w:val="338"/>
            </w:trPr>
            <w:tc>
              <w:tcPr>
                <w:tcW w:w="2693" w:type="dxa"/>
              </w:tcPr>
              <w:p w:rsidR="00900A5E" w:rsidRPr="00C064D8" w:rsidRDefault="00900A5E">
                <w:pPr>
                  <w:tabs>
                    <w:tab w:val="right" w:pos="8838"/>
                  </w:tabs>
                  <w:ind w:right="-105"/>
                  <w:rPr>
                    <w:rFonts w:ascii="Palatino Linotype" w:eastAsia="Palatino Linotype" w:hAnsi="Palatino Linotype" w:cs="Palatino Linotype"/>
                    <w:b/>
                    <w:bCs/>
                    <w:sz w:val="24"/>
                    <w:szCs w:val="22"/>
                  </w:rPr>
                </w:pPr>
                <w:r w:rsidRPr="00C064D8">
                  <w:rPr>
                    <w:rFonts w:ascii="Palatino Linotype" w:eastAsia="Palatino Linotype" w:hAnsi="Palatino Linotype" w:cs="Palatino Linotype"/>
                    <w:b/>
                    <w:bCs/>
                    <w:sz w:val="24"/>
                    <w:szCs w:val="22"/>
                  </w:rPr>
                  <w:t>Recurso de Revisión:</w:t>
                </w:r>
              </w:p>
            </w:tc>
            <w:tc>
              <w:tcPr>
                <w:tcW w:w="4110" w:type="dxa"/>
              </w:tcPr>
              <w:p w:rsidR="00900A5E" w:rsidRPr="00900A5E" w:rsidRDefault="00900A5E" w:rsidP="00900A5E">
                <w:pPr>
                  <w:rPr>
                    <w:rFonts w:ascii="Palatino Linotype" w:eastAsia="Palatino Linotype" w:hAnsi="Palatino Linotype" w:cs="Palatino Linotype"/>
                    <w:bCs/>
                    <w:sz w:val="24"/>
                    <w:szCs w:val="22"/>
                  </w:rPr>
                </w:pPr>
                <w:r w:rsidRPr="00900A5E">
                  <w:rPr>
                    <w:rFonts w:ascii="Palatino Linotype" w:eastAsia="Palatino Linotype" w:hAnsi="Palatino Linotype" w:cs="Palatino Linotype"/>
                    <w:bCs/>
                    <w:sz w:val="24"/>
                    <w:szCs w:val="22"/>
                  </w:rPr>
                  <w:t xml:space="preserve"> 09723/INFOEM/IP/RR/2025</w:t>
                </w:r>
              </w:p>
            </w:tc>
          </w:tr>
          <w:tr w:rsidR="00900A5E" w:rsidTr="00900A5E">
            <w:trPr>
              <w:trHeight w:val="283"/>
            </w:trPr>
            <w:tc>
              <w:tcPr>
                <w:tcW w:w="2693" w:type="dxa"/>
              </w:tcPr>
              <w:p w:rsidR="00900A5E" w:rsidRPr="00C064D8" w:rsidRDefault="00900A5E">
                <w:pPr>
                  <w:tabs>
                    <w:tab w:val="right" w:pos="8838"/>
                  </w:tabs>
                  <w:ind w:right="-105"/>
                  <w:rPr>
                    <w:rFonts w:ascii="Palatino Linotype" w:eastAsia="Palatino Linotype" w:hAnsi="Palatino Linotype" w:cs="Palatino Linotype"/>
                    <w:b/>
                    <w:bCs/>
                    <w:sz w:val="24"/>
                    <w:szCs w:val="22"/>
                  </w:rPr>
                </w:pPr>
                <w:bookmarkStart w:id="13" w:name="_heading=h.nzcod1wm1eoo" w:colFirst="0" w:colLast="0"/>
                <w:bookmarkEnd w:id="13"/>
                <w:r w:rsidRPr="00C064D8">
                  <w:rPr>
                    <w:rFonts w:ascii="Palatino Linotype" w:eastAsia="Palatino Linotype" w:hAnsi="Palatino Linotype" w:cs="Palatino Linotype"/>
                    <w:b/>
                    <w:bCs/>
                    <w:sz w:val="24"/>
                    <w:szCs w:val="22"/>
                  </w:rPr>
                  <w:t>Sujeto Obligado:</w:t>
                </w:r>
              </w:p>
            </w:tc>
            <w:tc>
              <w:tcPr>
                <w:tcW w:w="4110" w:type="dxa"/>
              </w:tcPr>
              <w:p w:rsidR="00900A5E" w:rsidRPr="00900A5E" w:rsidRDefault="00900A5E" w:rsidP="00900A5E">
                <w:pPr>
                  <w:tabs>
                    <w:tab w:val="left" w:pos="2834"/>
                    <w:tab w:val="right" w:pos="8838"/>
                  </w:tabs>
                  <w:ind w:right="-107"/>
                  <w:rPr>
                    <w:rFonts w:ascii="Palatino Linotype" w:eastAsia="Palatino Linotype" w:hAnsi="Palatino Linotype" w:cs="Palatino Linotype"/>
                    <w:bCs/>
                    <w:color w:val="000000"/>
                    <w:sz w:val="24"/>
                    <w:szCs w:val="22"/>
                  </w:rPr>
                </w:pPr>
                <w:r w:rsidRPr="00900A5E">
                  <w:rPr>
                    <w:rFonts w:ascii="Palatino Linotype" w:eastAsia="Palatino Linotype" w:hAnsi="Palatino Linotype" w:cs="Palatino Linotype"/>
                    <w:bCs/>
                    <w:color w:val="000000"/>
                    <w:sz w:val="24"/>
                    <w:szCs w:val="22"/>
                  </w:rPr>
                  <w:t>Ayuntamiento de Toluca</w:t>
                </w:r>
              </w:p>
            </w:tc>
          </w:tr>
          <w:tr w:rsidR="00900A5E" w:rsidTr="00900A5E">
            <w:trPr>
              <w:trHeight w:val="283"/>
            </w:trPr>
            <w:tc>
              <w:tcPr>
                <w:tcW w:w="2693" w:type="dxa"/>
              </w:tcPr>
              <w:p w:rsidR="00900A5E" w:rsidRPr="00C064D8" w:rsidRDefault="00900A5E">
                <w:pPr>
                  <w:tabs>
                    <w:tab w:val="right" w:pos="8838"/>
                  </w:tabs>
                  <w:ind w:right="-105"/>
                  <w:rPr>
                    <w:rFonts w:ascii="Palatino Linotype" w:eastAsia="Palatino Linotype" w:hAnsi="Palatino Linotype" w:cs="Palatino Linotype"/>
                    <w:b/>
                    <w:bCs/>
                    <w:sz w:val="24"/>
                    <w:szCs w:val="22"/>
                  </w:rPr>
                </w:pPr>
                <w:r w:rsidRPr="00C064D8">
                  <w:rPr>
                    <w:rFonts w:ascii="Palatino Linotype" w:eastAsia="Palatino Linotype" w:hAnsi="Palatino Linotype" w:cs="Palatino Linotype"/>
                    <w:b/>
                    <w:bCs/>
                    <w:sz w:val="24"/>
                    <w:szCs w:val="22"/>
                  </w:rPr>
                  <w:t>Comisionada Ponente:</w:t>
                </w:r>
              </w:p>
            </w:tc>
            <w:tc>
              <w:tcPr>
                <w:tcW w:w="4110" w:type="dxa"/>
              </w:tcPr>
              <w:p w:rsidR="00900A5E" w:rsidRPr="00900A5E" w:rsidRDefault="00900A5E" w:rsidP="00900A5E">
                <w:pPr>
                  <w:tabs>
                    <w:tab w:val="right" w:pos="8838"/>
                  </w:tabs>
                  <w:ind w:right="-105"/>
                  <w:rPr>
                    <w:rFonts w:ascii="Palatino Linotype" w:eastAsia="Palatino Linotype" w:hAnsi="Palatino Linotype" w:cs="Palatino Linotype"/>
                    <w:bCs/>
                    <w:sz w:val="24"/>
                    <w:szCs w:val="22"/>
                  </w:rPr>
                </w:pPr>
                <w:r w:rsidRPr="00900A5E">
                  <w:rPr>
                    <w:rFonts w:ascii="Palatino Linotype" w:eastAsia="Palatino Linotype" w:hAnsi="Palatino Linotype" w:cs="Palatino Linotype"/>
                    <w:bCs/>
                    <w:sz w:val="24"/>
                    <w:szCs w:val="22"/>
                  </w:rPr>
                  <w:t>María del Rosario Mejía Ayala</w:t>
                </w:r>
              </w:p>
            </w:tc>
          </w:tr>
        </w:tbl>
        <w:p w:rsidR="00900A5E" w:rsidRDefault="00900A5E">
          <w:pPr>
            <w:tabs>
              <w:tab w:val="right" w:pos="8838"/>
            </w:tabs>
            <w:ind w:left="-28"/>
            <w:jc w:val="both"/>
            <w:rPr>
              <w:rFonts w:ascii="Arial" w:eastAsia="Arial" w:hAnsi="Arial" w:cs="Arial"/>
              <w:b/>
              <w:bCs/>
              <w:sz w:val="22"/>
              <w:szCs w:val="22"/>
            </w:rPr>
          </w:pPr>
        </w:p>
      </w:tc>
    </w:tr>
  </w:tbl>
  <w:p w:rsidR="00900A5E" w:rsidRPr="00900A5E" w:rsidRDefault="0047548D" w:rsidP="00900A5E">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81.85pt;margin-top:-135.8pt;width:663.5pt;height:12in;z-index:-251658752;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05" w:type="dxa"/>
      <w:tblInd w:w="-115" w:type="dxa"/>
      <w:tblLayout w:type="fixed"/>
      <w:tblLook w:val="0400" w:firstRow="0" w:lastRow="0" w:firstColumn="0" w:lastColumn="0" w:noHBand="0" w:noVBand="1"/>
    </w:tblPr>
    <w:tblGrid>
      <w:gridCol w:w="1560"/>
      <w:gridCol w:w="9045"/>
    </w:tblGrid>
    <w:tr w:rsidR="00900A5E" w:rsidTr="00900A5E">
      <w:trPr>
        <w:trHeight w:val="1435"/>
      </w:trPr>
      <w:tc>
        <w:tcPr>
          <w:tcW w:w="1560" w:type="dxa"/>
          <w:shd w:val="clear" w:color="auto" w:fill="auto"/>
        </w:tcPr>
        <w:p w:rsidR="00900A5E" w:rsidRDefault="00900A5E">
          <w:pPr>
            <w:tabs>
              <w:tab w:val="right" w:pos="4273"/>
            </w:tabs>
            <w:rPr>
              <w:rFonts w:ascii="Garamond" w:eastAsia="Garamond" w:hAnsi="Garamond" w:cs="Garamond"/>
              <w:sz w:val="22"/>
              <w:szCs w:val="22"/>
            </w:rPr>
          </w:pPr>
        </w:p>
      </w:tc>
      <w:tc>
        <w:tcPr>
          <w:tcW w:w="9045" w:type="dxa"/>
          <w:shd w:val="clear" w:color="auto" w:fill="auto"/>
        </w:tcPr>
        <w:tbl>
          <w:tblPr>
            <w:tblW w:w="10179" w:type="dxa"/>
            <w:tblInd w:w="2275" w:type="dxa"/>
            <w:tblBorders>
              <w:top w:val="nil"/>
              <w:left w:val="nil"/>
              <w:bottom w:val="nil"/>
              <w:right w:val="nil"/>
              <w:insideH w:val="nil"/>
              <w:insideV w:val="nil"/>
            </w:tblBorders>
            <w:tblLayout w:type="fixed"/>
            <w:tblLook w:val="0400" w:firstRow="0" w:lastRow="0" w:firstColumn="0" w:lastColumn="0" w:noHBand="0" w:noVBand="1"/>
          </w:tblPr>
          <w:tblGrid>
            <w:gridCol w:w="2805"/>
            <w:gridCol w:w="4395"/>
            <w:gridCol w:w="2979"/>
          </w:tblGrid>
          <w:tr w:rsidR="00900A5E" w:rsidTr="002873CA">
            <w:trPr>
              <w:trHeight w:val="144"/>
            </w:trPr>
            <w:tc>
              <w:tcPr>
                <w:tcW w:w="2805" w:type="dxa"/>
              </w:tcPr>
              <w:p w:rsidR="00900A5E" w:rsidRPr="00C064D8" w:rsidRDefault="00900A5E">
                <w:pPr>
                  <w:tabs>
                    <w:tab w:val="right" w:pos="8838"/>
                  </w:tabs>
                  <w:ind w:left="-74" w:right="-105"/>
                  <w:rPr>
                    <w:rFonts w:ascii="Palatino Linotype" w:eastAsia="Palatino Linotype" w:hAnsi="Palatino Linotype" w:cs="Palatino Linotype"/>
                    <w:b/>
                    <w:bCs/>
                    <w:sz w:val="24"/>
                    <w:szCs w:val="24"/>
                  </w:rPr>
                </w:pPr>
                <w:bookmarkStart w:id="14" w:name="_heading=h.h3nmzhfljjp1" w:colFirst="0" w:colLast="0"/>
                <w:bookmarkEnd w:id="14"/>
                <w:r w:rsidRPr="00C064D8">
                  <w:rPr>
                    <w:rFonts w:ascii="Palatino Linotype" w:eastAsia="Palatino Linotype" w:hAnsi="Palatino Linotype" w:cs="Palatino Linotype"/>
                    <w:b/>
                    <w:bCs/>
                    <w:sz w:val="24"/>
                    <w:szCs w:val="24"/>
                  </w:rPr>
                  <w:t>Recurso de Revisión:</w:t>
                </w:r>
              </w:p>
            </w:tc>
            <w:tc>
              <w:tcPr>
                <w:tcW w:w="4395" w:type="dxa"/>
              </w:tcPr>
              <w:p w:rsidR="00900A5E" w:rsidRPr="00900A5E" w:rsidRDefault="00900A5E" w:rsidP="006B3523">
                <w:pPr>
                  <w:rPr>
                    <w:rFonts w:ascii="Palatino Linotype" w:eastAsia="Palatino Linotype" w:hAnsi="Palatino Linotype" w:cs="Palatino Linotype"/>
                    <w:bCs/>
                    <w:sz w:val="24"/>
                    <w:szCs w:val="24"/>
                  </w:rPr>
                </w:pPr>
                <w:r w:rsidRPr="00900A5E">
                  <w:rPr>
                    <w:rFonts w:ascii="Palatino Linotype" w:eastAsia="Palatino Linotype" w:hAnsi="Palatino Linotype" w:cs="Palatino Linotype"/>
                    <w:bCs/>
                    <w:sz w:val="24"/>
                    <w:szCs w:val="24"/>
                  </w:rPr>
                  <w:t>09723/INFOEM/IP/RR/2025</w:t>
                </w:r>
              </w:p>
            </w:tc>
            <w:tc>
              <w:tcPr>
                <w:tcW w:w="2979" w:type="dxa"/>
              </w:tcPr>
              <w:p w:rsidR="00900A5E" w:rsidRDefault="00900A5E">
                <w:pPr>
                  <w:tabs>
                    <w:tab w:val="right" w:pos="8838"/>
                  </w:tabs>
                  <w:ind w:left="-74" w:right="-105"/>
                  <w:jc w:val="both"/>
                  <w:rPr>
                    <w:rFonts w:ascii="Palatino Linotype" w:eastAsia="Palatino Linotype" w:hAnsi="Palatino Linotype" w:cs="Palatino Linotype"/>
                    <w:sz w:val="22"/>
                    <w:szCs w:val="22"/>
                  </w:rPr>
                </w:pPr>
              </w:p>
            </w:tc>
          </w:tr>
          <w:tr w:rsidR="00900A5E" w:rsidTr="002873CA">
            <w:trPr>
              <w:trHeight w:val="144"/>
            </w:trPr>
            <w:tc>
              <w:tcPr>
                <w:tcW w:w="2805" w:type="dxa"/>
              </w:tcPr>
              <w:p w:rsidR="00900A5E" w:rsidRPr="00C064D8" w:rsidRDefault="00900A5E">
                <w:pPr>
                  <w:tabs>
                    <w:tab w:val="right" w:pos="8838"/>
                  </w:tabs>
                  <w:ind w:left="-74" w:right="-105"/>
                  <w:rPr>
                    <w:rFonts w:ascii="Palatino Linotype" w:eastAsia="Palatino Linotype" w:hAnsi="Palatino Linotype" w:cs="Palatino Linotype"/>
                    <w:b/>
                    <w:bCs/>
                    <w:sz w:val="24"/>
                    <w:szCs w:val="24"/>
                  </w:rPr>
                </w:pPr>
                <w:bookmarkStart w:id="15" w:name="_heading=h.bx8lvnhtg02d" w:colFirst="0" w:colLast="0"/>
                <w:bookmarkEnd w:id="15"/>
                <w:r w:rsidRPr="00C064D8">
                  <w:rPr>
                    <w:rFonts w:ascii="Palatino Linotype" w:eastAsia="Palatino Linotype" w:hAnsi="Palatino Linotype" w:cs="Palatino Linotype"/>
                    <w:b/>
                    <w:bCs/>
                    <w:sz w:val="24"/>
                    <w:szCs w:val="24"/>
                  </w:rPr>
                  <w:t>Recurrente:</w:t>
                </w:r>
              </w:p>
            </w:tc>
            <w:tc>
              <w:tcPr>
                <w:tcW w:w="4395" w:type="dxa"/>
              </w:tcPr>
              <w:p w:rsidR="00900A5E" w:rsidRPr="00900A5E" w:rsidRDefault="00900A5E">
                <w:pPr>
                  <w:tabs>
                    <w:tab w:val="left" w:pos="3122"/>
                    <w:tab w:val="right" w:pos="8838"/>
                  </w:tabs>
                  <w:ind w:right="1457"/>
                  <w:jc w:val="both"/>
                  <w:rPr>
                    <w:rFonts w:ascii="Palatino Linotype" w:eastAsia="Palatino Linotype" w:hAnsi="Palatino Linotype" w:cs="Palatino Linotype"/>
                    <w:bCs/>
                    <w:sz w:val="24"/>
                    <w:szCs w:val="24"/>
                  </w:rPr>
                </w:pPr>
              </w:p>
            </w:tc>
            <w:tc>
              <w:tcPr>
                <w:tcW w:w="2979" w:type="dxa"/>
              </w:tcPr>
              <w:p w:rsidR="00900A5E" w:rsidRDefault="00900A5E">
                <w:pPr>
                  <w:tabs>
                    <w:tab w:val="left" w:pos="3122"/>
                    <w:tab w:val="right" w:pos="8838"/>
                  </w:tabs>
                  <w:ind w:right="-105"/>
                  <w:jc w:val="both"/>
                  <w:rPr>
                    <w:rFonts w:ascii="Palatino Linotype" w:eastAsia="Palatino Linotype" w:hAnsi="Palatino Linotype" w:cs="Palatino Linotype"/>
                    <w:sz w:val="22"/>
                    <w:szCs w:val="22"/>
                  </w:rPr>
                </w:pPr>
              </w:p>
            </w:tc>
          </w:tr>
          <w:tr w:rsidR="00900A5E" w:rsidTr="002873CA">
            <w:trPr>
              <w:trHeight w:val="283"/>
            </w:trPr>
            <w:tc>
              <w:tcPr>
                <w:tcW w:w="2805" w:type="dxa"/>
              </w:tcPr>
              <w:p w:rsidR="00900A5E" w:rsidRPr="00C064D8" w:rsidRDefault="00900A5E">
                <w:pPr>
                  <w:tabs>
                    <w:tab w:val="right" w:pos="8838"/>
                  </w:tabs>
                  <w:ind w:left="-74" w:right="-105"/>
                  <w:rPr>
                    <w:rFonts w:ascii="Palatino Linotype" w:eastAsia="Palatino Linotype" w:hAnsi="Palatino Linotype" w:cs="Palatino Linotype"/>
                    <w:b/>
                    <w:bCs/>
                    <w:sz w:val="24"/>
                    <w:szCs w:val="24"/>
                  </w:rPr>
                </w:pPr>
                <w:r w:rsidRPr="00C064D8">
                  <w:rPr>
                    <w:rFonts w:ascii="Palatino Linotype" w:eastAsia="Palatino Linotype" w:hAnsi="Palatino Linotype" w:cs="Palatino Linotype"/>
                    <w:b/>
                    <w:bCs/>
                    <w:sz w:val="24"/>
                    <w:szCs w:val="24"/>
                  </w:rPr>
                  <w:t>Sujeto Obligado:</w:t>
                </w:r>
              </w:p>
            </w:tc>
            <w:tc>
              <w:tcPr>
                <w:tcW w:w="4395" w:type="dxa"/>
              </w:tcPr>
              <w:p w:rsidR="00900A5E" w:rsidRPr="00900A5E" w:rsidRDefault="00900A5E" w:rsidP="00900A5E">
                <w:pPr>
                  <w:tabs>
                    <w:tab w:val="right" w:pos="8838"/>
                  </w:tabs>
                  <w:ind w:left="-3" w:right="-105"/>
                  <w:jc w:val="both"/>
                  <w:rPr>
                    <w:rFonts w:ascii="Palatino Linotype" w:eastAsia="Palatino Linotype" w:hAnsi="Palatino Linotype" w:cs="Palatino Linotype"/>
                    <w:bCs/>
                    <w:sz w:val="24"/>
                    <w:szCs w:val="24"/>
                  </w:rPr>
                </w:pPr>
                <w:r w:rsidRPr="00900A5E">
                  <w:rPr>
                    <w:rFonts w:ascii="Palatino Linotype" w:eastAsia="Palatino Linotype" w:hAnsi="Palatino Linotype" w:cs="Palatino Linotype"/>
                    <w:bCs/>
                    <w:color w:val="000000"/>
                    <w:sz w:val="24"/>
                    <w:szCs w:val="24"/>
                  </w:rPr>
                  <w:t>Ayuntamiento de Toluca</w:t>
                </w:r>
              </w:p>
            </w:tc>
            <w:tc>
              <w:tcPr>
                <w:tcW w:w="2979" w:type="dxa"/>
              </w:tcPr>
              <w:p w:rsidR="00900A5E" w:rsidRDefault="00900A5E">
                <w:pPr>
                  <w:tabs>
                    <w:tab w:val="left" w:pos="2834"/>
                    <w:tab w:val="right" w:pos="8838"/>
                  </w:tabs>
                  <w:ind w:left="-74" w:right="-105"/>
                  <w:jc w:val="both"/>
                  <w:rPr>
                    <w:rFonts w:ascii="Palatino Linotype" w:eastAsia="Palatino Linotype" w:hAnsi="Palatino Linotype" w:cs="Palatino Linotype"/>
                    <w:b/>
                    <w:bCs/>
                  </w:rPr>
                </w:pPr>
              </w:p>
            </w:tc>
          </w:tr>
          <w:tr w:rsidR="00900A5E" w:rsidTr="002873CA">
            <w:trPr>
              <w:trHeight w:val="283"/>
            </w:trPr>
            <w:tc>
              <w:tcPr>
                <w:tcW w:w="2805" w:type="dxa"/>
              </w:tcPr>
              <w:p w:rsidR="00900A5E" w:rsidRPr="00C064D8" w:rsidRDefault="00900A5E">
                <w:pPr>
                  <w:tabs>
                    <w:tab w:val="right" w:pos="8838"/>
                  </w:tabs>
                  <w:ind w:left="-74" w:right="-105"/>
                  <w:rPr>
                    <w:rFonts w:ascii="Palatino Linotype" w:eastAsia="Palatino Linotype" w:hAnsi="Palatino Linotype" w:cs="Palatino Linotype"/>
                    <w:b/>
                    <w:bCs/>
                    <w:sz w:val="24"/>
                    <w:szCs w:val="24"/>
                  </w:rPr>
                </w:pPr>
                <w:r w:rsidRPr="00C064D8">
                  <w:rPr>
                    <w:rFonts w:ascii="Palatino Linotype" w:eastAsia="Palatino Linotype" w:hAnsi="Palatino Linotype" w:cs="Palatino Linotype"/>
                    <w:b/>
                    <w:bCs/>
                    <w:sz w:val="24"/>
                    <w:szCs w:val="24"/>
                  </w:rPr>
                  <w:t>Comisionada Ponente:</w:t>
                </w:r>
              </w:p>
            </w:tc>
            <w:tc>
              <w:tcPr>
                <w:tcW w:w="4395" w:type="dxa"/>
              </w:tcPr>
              <w:p w:rsidR="00900A5E" w:rsidRPr="00900A5E" w:rsidRDefault="00900A5E">
                <w:pPr>
                  <w:tabs>
                    <w:tab w:val="right" w:pos="8838"/>
                  </w:tabs>
                  <w:ind w:left="-3" w:right="-105"/>
                  <w:jc w:val="both"/>
                  <w:rPr>
                    <w:rFonts w:ascii="Palatino Linotype" w:eastAsia="Palatino Linotype" w:hAnsi="Palatino Linotype" w:cs="Palatino Linotype"/>
                    <w:bCs/>
                    <w:sz w:val="24"/>
                    <w:szCs w:val="24"/>
                  </w:rPr>
                </w:pPr>
                <w:r w:rsidRPr="00900A5E">
                  <w:rPr>
                    <w:rFonts w:ascii="Palatino Linotype" w:eastAsia="Palatino Linotype" w:hAnsi="Palatino Linotype" w:cs="Palatino Linotype"/>
                    <w:bCs/>
                    <w:sz w:val="24"/>
                    <w:szCs w:val="24"/>
                  </w:rPr>
                  <w:t>María del Rosario Mejía Ayala</w:t>
                </w:r>
              </w:p>
            </w:tc>
            <w:tc>
              <w:tcPr>
                <w:tcW w:w="2979" w:type="dxa"/>
              </w:tcPr>
              <w:p w:rsidR="00900A5E" w:rsidRDefault="00900A5E">
                <w:pPr>
                  <w:tabs>
                    <w:tab w:val="right" w:pos="8838"/>
                  </w:tabs>
                  <w:ind w:left="-74" w:right="-105"/>
                  <w:jc w:val="both"/>
                  <w:rPr>
                    <w:rFonts w:ascii="Palatino Linotype" w:eastAsia="Palatino Linotype" w:hAnsi="Palatino Linotype" w:cs="Palatino Linotype"/>
                    <w:b/>
                    <w:bCs/>
                  </w:rPr>
                </w:pPr>
              </w:p>
            </w:tc>
          </w:tr>
        </w:tbl>
        <w:p w:rsidR="00900A5E" w:rsidRDefault="00900A5E">
          <w:pPr>
            <w:tabs>
              <w:tab w:val="right" w:pos="8838"/>
            </w:tabs>
            <w:ind w:left="-28"/>
            <w:jc w:val="both"/>
            <w:rPr>
              <w:rFonts w:ascii="Arial" w:eastAsia="Arial" w:hAnsi="Arial" w:cs="Arial"/>
              <w:b/>
              <w:bCs/>
              <w:sz w:val="22"/>
              <w:szCs w:val="22"/>
            </w:rPr>
          </w:pPr>
        </w:p>
      </w:tc>
    </w:tr>
  </w:tbl>
  <w:p w:rsidR="00900A5E" w:rsidRDefault="0047548D" w:rsidP="00900A5E">
    <w:pPr>
      <w:pBdr>
        <w:top w:val="nil"/>
        <w:left w:val="nil"/>
        <w:bottom w:val="nil"/>
        <w:right w:val="nil"/>
        <w:between w:val="nil"/>
      </w:pBdr>
      <w:tabs>
        <w:tab w:val="center" w:pos="4522"/>
      </w:tabs>
      <w:rPr>
        <w:color w:val="000000"/>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75.8pt;margin-top:-134.3pt;width:663.5pt;height:12in;z-index:-251657728;mso-position-horizontal:absolute;mso-position-horizontal-relative:margin;mso-position-vertical:absolute;mso-position-vertical-relative:margin">
          <v:imagedata r:id="rId1" o:title="image1"/>
          <w10:wrap anchorx="margin" anchory="margin"/>
        </v:shape>
      </w:pict>
    </w:r>
  </w:p>
  <w:p w:rsidR="00900A5E" w:rsidRDefault="00900A5E"/>
  <w:p w:rsidR="00900A5E" w:rsidRDefault="00900A5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54754"/>
    <w:multiLevelType w:val="hybridMultilevel"/>
    <w:tmpl w:val="32A8AC9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111E5A22"/>
    <w:multiLevelType w:val="multilevel"/>
    <w:tmpl w:val="46E2AEF8"/>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A916EA"/>
    <w:multiLevelType w:val="hybridMultilevel"/>
    <w:tmpl w:val="E9A2AC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51D20F0"/>
    <w:multiLevelType w:val="multilevel"/>
    <w:tmpl w:val="9A32E430"/>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4" w15:restartNumberingAfterBreak="0">
    <w:nsid w:val="16602230"/>
    <w:multiLevelType w:val="multilevel"/>
    <w:tmpl w:val="939AFF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970176E"/>
    <w:multiLevelType w:val="multilevel"/>
    <w:tmpl w:val="3EBC42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C454567"/>
    <w:multiLevelType w:val="multilevel"/>
    <w:tmpl w:val="9F1C5F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F2345DF"/>
    <w:multiLevelType w:val="multilevel"/>
    <w:tmpl w:val="A148C9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FBA60E1"/>
    <w:multiLevelType w:val="hybridMultilevel"/>
    <w:tmpl w:val="C4C8BC88"/>
    <w:lvl w:ilvl="0" w:tplc="3FE48A4A">
      <w:numFmt w:val="bullet"/>
      <w:lvlText w:val="-"/>
      <w:lvlJc w:val="left"/>
      <w:pPr>
        <w:ind w:left="928" w:hanging="360"/>
      </w:pPr>
      <w:rPr>
        <w:rFonts w:ascii="Palatino Linotype" w:eastAsia="Times New Roman" w:hAnsi="Palatino Linotype" w:cs="Tahoma" w:hint="default"/>
        <w:color w:val="auto"/>
      </w:rPr>
    </w:lvl>
    <w:lvl w:ilvl="1" w:tplc="080A0003" w:tentative="1">
      <w:start w:val="1"/>
      <w:numFmt w:val="bullet"/>
      <w:lvlText w:val="o"/>
      <w:lvlJc w:val="left"/>
      <w:pPr>
        <w:ind w:left="1648" w:hanging="360"/>
      </w:pPr>
      <w:rPr>
        <w:rFonts w:ascii="Courier New" w:hAnsi="Courier New" w:cs="Courier New" w:hint="default"/>
      </w:rPr>
    </w:lvl>
    <w:lvl w:ilvl="2" w:tplc="080A0005" w:tentative="1">
      <w:start w:val="1"/>
      <w:numFmt w:val="bullet"/>
      <w:lvlText w:val=""/>
      <w:lvlJc w:val="left"/>
      <w:pPr>
        <w:ind w:left="2368" w:hanging="360"/>
      </w:pPr>
      <w:rPr>
        <w:rFonts w:ascii="Wingdings" w:hAnsi="Wingdings" w:hint="default"/>
      </w:rPr>
    </w:lvl>
    <w:lvl w:ilvl="3" w:tplc="080A0001" w:tentative="1">
      <w:start w:val="1"/>
      <w:numFmt w:val="bullet"/>
      <w:lvlText w:val=""/>
      <w:lvlJc w:val="left"/>
      <w:pPr>
        <w:ind w:left="3088" w:hanging="360"/>
      </w:pPr>
      <w:rPr>
        <w:rFonts w:ascii="Symbol" w:hAnsi="Symbol" w:hint="default"/>
      </w:rPr>
    </w:lvl>
    <w:lvl w:ilvl="4" w:tplc="080A0003" w:tentative="1">
      <w:start w:val="1"/>
      <w:numFmt w:val="bullet"/>
      <w:lvlText w:val="o"/>
      <w:lvlJc w:val="left"/>
      <w:pPr>
        <w:ind w:left="3808" w:hanging="360"/>
      </w:pPr>
      <w:rPr>
        <w:rFonts w:ascii="Courier New" w:hAnsi="Courier New" w:cs="Courier New" w:hint="default"/>
      </w:rPr>
    </w:lvl>
    <w:lvl w:ilvl="5" w:tplc="080A0005" w:tentative="1">
      <w:start w:val="1"/>
      <w:numFmt w:val="bullet"/>
      <w:lvlText w:val=""/>
      <w:lvlJc w:val="left"/>
      <w:pPr>
        <w:ind w:left="4528" w:hanging="360"/>
      </w:pPr>
      <w:rPr>
        <w:rFonts w:ascii="Wingdings" w:hAnsi="Wingdings" w:hint="default"/>
      </w:rPr>
    </w:lvl>
    <w:lvl w:ilvl="6" w:tplc="080A0001" w:tentative="1">
      <w:start w:val="1"/>
      <w:numFmt w:val="bullet"/>
      <w:lvlText w:val=""/>
      <w:lvlJc w:val="left"/>
      <w:pPr>
        <w:ind w:left="5248" w:hanging="360"/>
      </w:pPr>
      <w:rPr>
        <w:rFonts w:ascii="Symbol" w:hAnsi="Symbol" w:hint="default"/>
      </w:rPr>
    </w:lvl>
    <w:lvl w:ilvl="7" w:tplc="080A0003" w:tentative="1">
      <w:start w:val="1"/>
      <w:numFmt w:val="bullet"/>
      <w:lvlText w:val="o"/>
      <w:lvlJc w:val="left"/>
      <w:pPr>
        <w:ind w:left="5968" w:hanging="360"/>
      </w:pPr>
      <w:rPr>
        <w:rFonts w:ascii="Courier New" w:hAnsi="Courier New" w:cs="Courier New" w:hint="default"/>
      </w:rPr>
    </w:lvl>
    <w:lvl w:ilvl="8" w:tplc="080A0005" w:tentative="1">
      <w:start w:val="1"/>
      <w:numFmt w:val="bullet"/>
      <w:lvlText w:val=""/>
      <w:lvlJc w:val="left"/>
      <w:pPr>
        <w:ind w:left="6688" w:hanging="360"/>
      </w:pPr>
      <w:rPr>
        <w:rFonts w:ascii="Wingdings" w:hAnsi="Wingdings" w:hint="default"/>
      </w:rPr>
    </w:lvl>
  </w:abstractNum>
  <w:abstractNum w:abstractNumId="9" w15:restartNumberingAfterBreak="0">
    <w:nsid w:val="3D702216"/>
    <w:multiLevelType w:val="multilevel"/>
    <w:tmpl w:val="C704671A"/>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3F9A450D"/>
    <w:multiLevelType w:val="multilevel"/>
    <w:tmpl w:val="670C8DB6"/>
    <w:lvl w:ilvl="0">
      <w:start w:val="1"/>
      <w:numFmt w:val="decimal"/>
      <w:lvlText w:val="%1."/>
      <w:lvlJc w:val="left"/>
      <w:pPr>
        <w:ind w:left="501" w:hanging="359"/>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0552DC1"/>
    <w:multiLevelType w:val="multilevel"/>
    <w:tmpl w:val="DEF61C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9C419F1"/>
    <w:multiLevelType w:val="hybridMultilevel"/>
    <w:tmpl w:val="4B1ABC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B094CE2"/>
    <w:multiLevelType w:val="multilevel"/>
    <w:tmpl w:val="646AC43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00941A4"/>
    <w:multiLevelType w:val="hybridMultilevel"/>
    <w:tmpl w:val="C072592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15:restartNumberingAfterBreak="0">
    <w:nsid w:val="66ED6552"/>
    <w:multiLevelType w:val="multilevel"/>
    <w:tmpl w:val="6B3E98CC"/>
    <w:lvl w:ilvl="0">
      <w:start w:val="1"/>
      <w:numFmt w:val="decimal"/>
      <w:lvlText w:val="%1."/>
      <w:lvlJc w:val="left"/>
      <w:pPr>
        <w:ind w:left="720" w:hanging="360"/>
      </w:pPr>
      <w:rPr>
        <w:b/>
        <w:i w:val="0"/>
        <w:sz w:val="24"/>
        <w:szCs w:val="24"/>
      </w:rPr>
    </w:lvl>
    <w:lvl w:ilvl="1">
      <w:start w:val="5"/>
      <w:numFmt w:val="bullet"/>
      <w:lvlText w:val="•"/>
      <w:lvlJc w:val="left"/>
      <w:pPr>
        <w:ind w:left="1785" w:hanging="705"/>
      </w:pPr>
      <w:rPr>
        <w:rFonts w:ascii="Palatino Linotype" w:eastAsia="Palatino Linotype" w:hAnsi="Palatino Linotype" w:cs="Palatino Linotype"/>
      </w:rPr>
    </w:lvl>
    <w:lvl w:ilvl="2">
      <w:start w:val="1"/>
      <w:numFmt w:val="lowerLetter"/>
      <w:lvlText w:val="%3)"/>
      <w:lvlJc w:val="left"/>
      <w:pPr>
        <w:ind w:left="2820" w:hanging="840"/>
      </w:pPr>
    </w:lvl>
    <w:lvl w:ilvl="3">
      <w:start w:val="1"/>
      <w:numFmt w:val="upperRoman"/>
      <w:lvlText w:val="%4."/>
      <w:lvlJc w:val="left"/>
      <w:pPr>
        <w:ind w:left="3240" w:hanging="720"/>
      </w:pPr>
    </w:lvl>
    <w:lvl w:ilvl="4">
      <w:start w:val="1"/>
      <w:numFmt w:val="upperLetter"/>
      <w:lvlText w:val="%5."/>
      <w:lvlJc w:val="left"/>
      <w:pPr>
        <w:ind w:left="786" w:hanging="360"/>
      </w:pPr>
    </w:lvl>
    <w:lvl w:ilvl="5">
      <w:start w:val="70"/>
      <w:numFmt w:val="bullet"/>
      <w:lvlText w:val="·"/>
      <w:lvlJc w:val="left"/>
      <w:pPr>
        <w:ind w:left="4500" w:hanging="360"/>
      </w:pPr>
      <w:rPr>
        <w:rFonts w:ascii="Palatino Linotype" w:eastAsia="Palatino Linotype" w:hAnsi="Palatino Linotype" w:cs="Palatino Linotype"/>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87D5174"/>
    <w:multiLevelType w:val="multilevel"/>
    <w:tmpl w:val="4776FD28"/>
    <w:lvl w:ilvl="0">
      <w:numFmt w:val="lowerLetter"/>
      <w:pStyle w:val="Listaconvietas2"/>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6B736B51"/>
    <w:multiLevelType w:val="multilevel"/>
    <w:tmpl w:val="959030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C117A11"/>
    <w:multiLevelType w:val="hybridMultilevel"/>
    <w:tmpl w:val="B7CC7C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10"/>
  </w:num>
  <w:num w:numId="4">
    <w:abstractNumId w:val="3"/>
  </w:num>
  <w:num w:numId="5">
    <w:abstractNumId w:val="11"/>
  </w:num>
  <w:num w:numId="6">
    <w:abstractNumId w:val="17"/>
  </w:num>
  <w:num w:numId="7">
    <w:abstractNumId w:val="13"/>
  </w:num>
  <w:num w:numId="8">
    <w:abstractNumId w:val="18"/>
  </w:num>
  <w:num w:numId="9">
    <w:abstractNumId w:val="12"/>
  </w:num>
  <w:num w:numId="10">
    <w:abstractNumId w:val="15"/>
  </w:num>
  <w:num w:numId="11">
    <w:abstractNumId w:val="8"/>
  </w:num>
  <w:num w:numId="12">
    <w:abstractNumId w:val="5"/>
  </w:num>
  <w:num w:numId="13">
    <w:abstractNumId w:val="6"/>
  </w:num>
  <w:num w:numId="14">
    <w:abstractNumId w:val="7"/>
  </w:num>
  <w:num w:numId="15">
    <w:abstractNumId w:val="2"/>
  </w:num>
  <w:num w:numId="16">
    <w:abstractNumId w:val="14"/>
  </w:num>
  <w:num w:numId="17">
    <w:abstractNumId w:val="1"/>
  </w:num>
  <w:num w:numId="18">
    <w:abstractNumId w:val="0"/>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523"/>
    <w:rsid w:val="000B51D0"/>
    <w:rsid w:val="000C052D"/>
    <w:rsid w:val="000E303C"/>
    <w:rsid w:val="000F0359"/>
    <w:rsid w:val="00224084"/>
    <w:rsid w:val="002873CA"/>
    <w:rsid w:val="003A14B5"/>
    <w:rsid w:val="003C7052"/>
    <w:rsid w:val="00462DF3"/>
    <w:rsid w:val="0047548D"/>
    <w:rsid w:val="0058478E"/>
    <w:rsid w:val="006B3523"/>
    <w:rsid w:val="006F4BDE"/>
    <w:rsid w:val="00813E7B"/>
    <w:rsid w:val="00900A5E"/>
    <w:rsid w:val="009055AD"/>
    <w:rsid w:val="00917F4B"/>
    <w:rsid w:val="00961FC0"/>
    <w:rsid w:val="009A0CB9"/>
    <w:rsid w:val="00A01D64"/>
    <w:rsid w:val="00A424F7"/>
    <w:rsid w:val="00C064D8"/>
    <w:rsid w:val="00C441F0"/>
    <w:rsid w:val="00D66893"/>
    <w:rsid w:val="00E02C89"/>
    <w:rsid w:val="00F239A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FABDD44E-AB00-4097-923D-EF7AF5B71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B3523"/>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rsid w:val="006B3523"/>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link w:val="Ttulo2Car"/>
    <w:rsid w:val="006B3523"/>
    <w:pPr>
      <w:keepNext/>
      <w:keepLines/>
      <w:spacing w:before="40"/>
      <w:outlineLvl w:val="1"/>
    </w:pPr>
    <w:rPr>
      <w:rFonts w:ascii="Calibri" w:eastAsia="Calibri" w:hAnsi="Calibri" w:cs="Calibri"/>
      <w:color w:val="2E75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B3523"/>
    <w:rPr>
      <w:rFonts w:ascii="Calibri" w:eastAsia="Calibri" w:hAnsi="Calibri" w:cs="Calibri"/>
      <w:color w:val="2E75B5"/>
      <w:sz w:val="32"/>
      <w:szCs w:val="32"/>
      <w:lang w:eastAsia="es-MX"/>
    </w:rPr>
  </w:style>
  <w:style w:type="character" w:customStyle="1" w:styleId="Ttulo2Car">
    <w:name w:val="Título 2 Car"/>
    <w:basedOn w:val="Fuentedeprrafopredeter"/>
    <w:link w:val="Ttulo2"/>
    <w:rsid w:val="006B3523"/>
    <w:rPr>
      <w:rFonts w:ascii="Calibri" w:eastAsia="Calibri" w:hAnsi="Calibri" w:cs="Calibri"/>
      <w:color w:val="2E75B5"/>
      <w:sz w:val="26"/>
      <w:szCs w:val="26"/>
      <w:lang w:eastAsia="es-MX"/>
    </w:rPr>
  </w:style>
  <w:style w:type="paragraph" w:styleId="Listaconvietas2">
    <w:name w:val="List Bullet 2"/>
    <w:basedOn w:val="Normal"/>
    <w:uiPriority w:val="99"/>
    <w:unhideWhenUsed/>
    <w:qFormat/>
    <w:rsid w:val="006B3523"/>
    <w:pPr>
      <w:numPr>
        <w:numId w:val="1"/>
      </w:numPr>
      <w:contextualSpacing/>
    </w:p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B3523"/>
    <w:pPr>
      <w:ind w:left="720"/>
      <w:contextualSpacing/>
    </w:pPr>
  </w:style>
  <w:style w:type="table" w:styleId="Tablaconcuadrcula">
    <w:name w:val="Table Grid"/>
    <w:basedOn w:val="Tablanormal"/>
    <w:uiPriority w:val="39"/>
    <w:rsid w:val="006B35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aliases w:val="Hipervínculo1,Hipervínculo11,Hipervínculo12,Hipervínculo13,Hipervínculo14,Hipervínculo15"/>
    <w:basedOn w:val="Fuentedeprrafopredeter"/>
    <w:uiPriority w:val="99"/>
    <w:unhideWhenUsed/>
    <w:qFormat/>
    <w:rsid w:val="006B3523"/>
    <w:rPr>
      <w:color w:val="0563C1" w:themeColor="hyperlink"/>
      <w:u w:val="singl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B3523"/>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6B3523"/>
    <w:pPr>
      <w:tabs>
        <w:tab w:val="center" w:pos="4419"/>
        <w:tab w:val="right" w:pos="8838"/>
      </w:tabs>
    </w:pPr>
  </w:style>
  <w:style w:type="character" w:customStyle="1" w:styleId="PiedepginaCar">
    <w:name w:val="Pie de página Car"/>
    <w:basedOn w:val="Fuentedeprrafopredeter"/>
    <w:link w:val="Piedepgina"/>
    <w:uiPriority w:val="99"/>
    <w:rsid w:val="006B3523"/>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678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contraloriadf.gob.mx/contraloria/cursos/ADQUISICIONES/paginas/32.php" TargetMode="External"/><Relationship Id="rId18" Type="http://schemas.openxmlformats.org/officeDocument/2006/relationships/hyperlink" Target="http://omawww.sat.gob.mx/factura/Paginas/solicita_requisitos.htm"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www.gob.mx/sfp/acciones-y-programas/1-3-3-adjudicacion-directa" TargetMode="Externa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ebapps.condusef.gob.mx/SIPRES/jsp/pub/index.jsp"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condusef.gob.mx/Revista/index.php/usuario-inteligente/condusef-responde/777-la-condusef-te-puede-ayudar" TargetMode="External"/><Relationship Id="rId23"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53</Pages>
  <Words>11688</Words>
  <Characters>64289</Characters>
  <Application>Microsoft Office Word</Application>
  <DocSecurity>0</DocSecurity>
  <Lines>535</Lines>
  <Paragraphs>151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75826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Cuenta Microsoft</cp:lastModifiedBy>
  <cp:revision>8</cp:revision>
  <cp:lastPrinted>2026-03-06T19:28:00Z</cp:lastPrinted>
  <dcterms:created xsi:type="dcterms:W3CDTF">2026-03-03T18:22:00Z</dcterms:created>
  <dcterms:modified xsi:type="dcterms:W3CDTF">2026-03-13T20:11:00Z</dcterms:modified>
</cp:coreProperties>
</file>