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27B" w:rsidRPr="00967E20" w:rsidRDefault="0061127B" w:rsidP="0061127B">
      <w:pPr>
        <w:spacing w:line="360" w:lineRule="auto"/>
        <w:jc w:val="both"/>
        <w:rPr>
          <w:rFonts w:ascii="Palatino Linotype" w:eastAsia="Palatino Linotype" w:hAnsi="Palatino Linotype" w:cs="Palatino Linotype"/>
          <w:b/>
        </w:rPr>
      </w:pPr>
      <w:bookmarkStart w:id="0" w:name="_GoBack"/>
      <w:bookmarkEnd w:id="0"/>
      <w:r w:rsidRPr="00967E20">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w:t>
      </w:r>
      <w:r w:rsidR="00967E20">
        <w:rPr>
          <w:rFonts w:ascii="Palatino Linotype" w:eastAsia="Palatino Linotype" w:hAnsi="Palatino Linotype" w:cs="Palatino Linotype"/>
        </w:rPr>
        <w:t xml:space="preserve">n Metepec, Estado de México; </w:t>
      </w:r>
      <w:r w:rsidR="00967E20" w:rsidRPr="00967E20">
        <w:rPr>
          <w:rFonts w:ascii="Palatino Linotype" w:eastAsia="Palatino Linotype" w:hAnsi="Palatino Linotype" w:cs="Palatino Linotype"/>
          <w:b/>
        </w:rPr>
        <w:t>de fecha</w:t>
      </w:r>
      <w:r w:rsidRPr="00967E20">
        <w:rPr>
          <w:rFonts w:ascii="Palatino Linotype" w:eastAsia="Palatino Linotype" w:hAnsi="Palatino Linotype" w:cs="Palatino Linotype"/>
          <w:b/>
        </w:rPr>
        <w:t xml:space="preserve"> cinco </w:t>
      </w:r>
      <w:r w:rsidR="00967E20" w:rsidRPr="00967E20">
        <w:rPr>
          <w:rFonts w:ascii="Palatino Linotype" w:eastAsia="Palatino Linotype" w:hAnsi="Palatino Linotype" w:cs="Palatino Linotype"/>
          <w:b/>
        </w:rPr>
        <w:t xml:space="preserve">(05) </w:t>
      </w:r>
      <w:r w:rsidRPr="00967E20">
        <w:rPr>
          <w:rFonts w:ascii="Palatino Linotype" w:eastAsia="Palatino Linotype" w:hAnsi="Palatino Linotype" w:cs="Palatino Linotype"/>
          <w:b/>
        </w:rPr>
        <w:t xml:space="preserve">de marzo de dos mil veintiséis. </w:t>
      </w:r>
    </w:p>
    <w:p w:rsidR="0061127B" w:rsidRPr="00967E20" w:rsidRDefault="0061127B" w:rsidP="0061127B">
      <w:pPr>
        <w:spacing w:line="360" w:lineRule="auto"/>
        <w:jc w:val="both"/>
        <w:rPr>
          <w:rFonts w:ascii="Palatino Linotype" w:eastAsia="Palatino Linotype" w:hAnsi="Palatino Linotype" w:cs="Palatino Linotype"/>
        </w:rPr>
      </w:pPr>
    </w:p>
    <w:p w:rsidR="0061127B" w:rsidRPr="00967E20" w:rsidRDefault="0061127B" w:rsidP="0061127B">
      <w:pPr>
        <w:spacing w:line="360" w:lineRule="auto"/>
        <w:jc w:val="both"/>
        <w:rPr>
          <w:rFonts w:ascii="Palatino Linotype" w:eastAsia="Palatino Linotype" w:hAnsi="Palatino Linotype" w:cs="Palatino Linotype"/>
        </w:rPr>
      </w:pPr>
      <w:r w:rsidRPr="00967E20">
        <w:rPr>
          <w:rFonts w:ascii="Palatino Linotype" w:eastAsia="Palatino Linotype" w:hAnsi="Palatino Linotype" w:cs="Palatino Linotype"/>
          <w:b/>
          <w:bCs/>
        </w:rPr>
        <w:t>VISTO</w:t>
      </w:r>
      <w:r w:rsidRPr="00967E20">
        <w:rPr>
          <w:rFonts w:ascii="Palatino Linotype" w:eastAsia="Palatino Linotype" w:hAnsi="Palatino Linotype" w:cs="Palatino Linotype"/>
        </w:rPr>
        <w:t xml:space="preserve"> el expediente electrónico formado con motivo del recurso de revisión </w:t>
      </w:r>
      <w:r w:rsidRPr="00967E20">
        <w:rPr>
          <w:rFonts w:ascii="Palatino Linotype" w:eastAsia="Palatino Linotype" w:hAnsi="Palatino Linotype" w:cs="Palatino Linotype"/>
          <w:b/>
          <w:bCs/>
        </w:rPr>
        <w:t xml:space="preserve">09878/INFOEM/IP/RR/2025, </w:t>
      </w:r>
      <w:r w:rsidRPr="00967E20">
        <w:rPr>
          <w:rFonts w:ascii="Palatino Linotype" w:eastAsia="Palatino Linotype" w:hAnsi="Palatino Linotype" w:cs="Palatino Linotype"/>
        </w:rPr>
        <w:t xml:space="preserve">promovido por un usuario que no proporcionó nombre, quien en lo sucesivo se identificará como </w:t>
      </w:r>
      <w:r w:rsidRPr="00967E20">
        <w:rPr>
          <w:rFonts w:ascii="Palatino Linotype" w:eastAsia="Palatino Linotype" w:hAnsi="Palatino Linotype" w:cs="Palatino Linotype"/>
          <w:b/>
          <w:bCs/>
        </w:rPr>
        <w:t>EL RECURRENTE</w:t>
      </w:r>
      <w:r w:rsidRPr="00967E20">
        <w:rPr>
          <w:rFonts w:ascii="Palatino Linotype" w:eastAsia="Palatino Linotype" w:hAnsi="Palatino Linotype" w:cs="Palatino Linotype"/>
        </w:rPr>
        <w:t xml:space="preserve">, en contra de la respuesta del </w:t>
      </w:r>
      <w:r w:rsidRPr="00967E20">
        <w:rPr>
          <w:rFonts w:ascii="Palatino Linotype" w:eastAsia="Palatino Linotype" w:hAnsi="Palatino Linotype" w:cs="Palatino Linotype"/>
          <w:b/>
          <w:bCs/>
        </w:rPr>
        <w:t xml:space="preserve">Ayuntamiento de Toluca, </w:t>
      </w:r>
      <w:r w:rsidRPr="00967E20">
        <w:rPr>
          <w:rFonts w:ascii="Palatino Linotype" w:eastAsia="Palatino Linotype" w:hAnsi="Palatino Linotype" w:cs="Palatino Linotype"/>
        </w:rPr>
        <w:t>en adelante el</w:t>
      </w:r>
      <w:r w:rsidRPr="00967E20">
        <w:rPr>
          <w:rFonts w:ascii="Palatino Linotype" w:eastAsia="Palatino Linotype" w:hAnsi="Palatino Linotype" w:cs="Palatino Linotype"/>
          <w:b/>
          <w:bCs/>
        </w:rPr>
        <w:t xml:space="preserve"> SUJETO OBLIGADO</w:t>
      </w:r>
      <w:r w:rsidRPr="00967E20">
        <w:rPr>
          <w:rFonts w:ascii="Palatino Linotype" w:eastAsia="Palatino Linotype" w:hAnsi="Palatino Linotype" w:cs="Palatino Linotype"/>
        </w:rPr>
        <w:t>, por lo que se procede a dictar la presente resolución, con base en los siguientes:</w:t>
      </w:r>
    </w:p>
    <w:p w:rsidR="0061127B" w:rsidRPr="00967E20" w:rsidRDefault="0061127B" w:rsidP="0061127B">
      <w:pPr>
        <w:spacing w:line="360" w:lineRule="auto"/>
        <w:jc w:val="both"/>
        <w:rPr>
          <w:rFonts w:ascii="Palatino Linotype" w:eastAsia="Palatino Linotype" w:hAnsi="Palatino Linotype" w:cs="Palatino Linotype"/>
          <w:b/>
          <w:bCs/>
        </w:rPr>
      </w:pPr>
    </w:p>
    <w:p w:rsidR="0061127B" w:rsidRPr="00967E20" w:rsidRDefault="0061127B" w:rsidP="0061127B">
      <w:pPr>
        <w:keepNext/>
        <w:keepLines/>
        <w:spacing w:line="360" w:lineRule="auto"/>
        <w:jc w:val="center"/>
        <w:rPr>
          <w:rFonts w:ascii="Palatino Linotype" w:eastAsia="Palatino Linotype" w:hAnsi="Palatino Linotype" w:cs="Palatino Linotype"/>
          <w:b/>
          <w:bCs/>
        </w:rPr>
      </w:pPr>
      <w:bookmarkStart w:id="1" w:name="_heading=h.gjdgxs" w:colFirst="0" w:colLast="0"/>
      <w:bookmarkEnd w:id="1"/>
      <w:r w:rsidRPr="00967E20">
        <w:rPr>
          <w:rFonts w:ascii="Palatino Linotype" w:eastAsia="Palatino Linotype" w:hAnsi="Palatino Linotype" w:cs="Palatino Linotype"/>
          <w:b/>
          <w:bCs/>
        </w:rPr>
        <w:t>A N T E C E D E N T E S</w:t>
      </w:r>
    </w:p>
    <w:p w:rsidR="0061127B" w:rsidRPr="00967E20" w:rsidRDefault="0061127B" w:rsidP="0061127B">
      <w:pPr>
        <w:spacing w:line="360" w:lineRule="auto"/>
        <w:rPr>
          <w:rFonts w:ascii="Palatino Linotype" w:eastAsia="Palatino Linotype" w:hAnsi="Palatino Linotype" w:cs="Palatino Linotype"/>
        </w:rPr>
      </w:pPr>
    </w:p>
    <w:p w:rsidR="0061127B" w:rsidRPr="00967E20" w:rsidRDefault="0061127B" w:rsidP="0061127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67E20">
        <w:rPr>
          <w:rFonts w:ascii="Palatino Linotype" w:eastAsia="Palatino Linotype" w:hAnsi="Palatino Linotype" w:cs="Palatino Linotype"/>
        </w:rPr>
        <w:t xml:space="preserve">El </w:t>
      </w:r>
      <w:r w:rsidRPr="00967E20">
        <w:rPr>
          <w:rFonts w:ascii="Palatino Linotype" w:eastAsia="Palatino Linotype" w:hAnsi="Palatino Linotype" w:cs="Palatino Linotype"/>
          <w:b/>
          <w:bCs/>
        </w:rPr>
        <w:t>tres de julio de dos mil veinticinco</w:t>
      </w:r>
      <w:r w:rsidRPr="00967E20">
        <w:rPr>
          <w:rFonts w:ascii="Palatino Linotype" w:eastAsia="Palatino Linotype" w:hAnsi="Palatino Linotype" w:cs="Palatino Linotype"/>
        </w:rPr>
        <w:t xml:space="preserve">, </w:t>
      </w:r>
      <w:r w:rsidRPr="00967E20">
        <w:rPr>
          <w:rFonts w:ascii="Palatino Linotype" w:eastAsia="Palatino Linotype" w:hAnsi="Palatino Linotype" w:cs="Palatino Linotype"/>
          <w:b/>
          <w:bCs/>
        </w:rPr>
        <w:t>EL RECURRENTE,</w:t>
      </w:r>
      <w:r w:rsidRPr="00967E20">
        <w:rPr>
          <w:rFonts w:ascii="Palatino Linotype" w:eastAsia="Palatino Linotype" w:hAnsi="Palatino Linotype" w:cs="Palatino Linotype"/>
        </w:rPr>
        <w:t xml:space="preserve"> ante el </w:t>
      </w:r>
      <w:r w:rsidRPr="00967E20">
        <w:rPr>
          <w:rFonts w:ascii="Palatino Linotype" w:eastAsia="Palatino Linotype" w:hAnsi="Palatino Linotype" w:cs="Palatino Linotype"/>
          <w:b/>
          <w:bCs/>
        </w:rPr>
        <w:t>SUJETO OBLIGADO</w:t>
      </w:r>
      <w:r w:rsidRPr="00967E20">
        <w:rPr>
          <w:rFonts w:ascii="Palatino Linotype" w:eastAsia="Palatino Linotype" w:hAnsi="Palatino Linotype" w:cs="Palatino Linotype"/>
        </w:rPr>
        <w:t xml:space="preserve"> a través del Sistema de Acceso a la Información Mexiquense (SAIMEX), presentó una solicitud de información registrada con el número </w:t>
      </w:r>
      <w:r w:rsidRPr="00967E20">
        <w:rPr>
          <w:rFonts w:ascii="Palatino Linotype" w:eastAsia="Palatino Linotype" w:hAnsi="Palatino Linotype" w:cs="Palatino Linotype"/>
          <w:b/>
          <w:bCs/>
        </w:rPr>
        <w:t xml:space="preserve">03820/TOLUCA/IP/2025, </w:t>
      </w:r>
      <w:r w:rsidRPr="00967E20">
        <w:rPr>
          <w:rFonts w:ascii="Palatino Linotype" w:eastAsia="Palatino Linotype" w:hAnsi="Palatino Linotype" w:cs="Palatino Linotype"/>
        </w:rPr>
        <w:t>en la que se solicitó lo siguiente:</w:t>
      </w:r>
    </w:p>
    <w:p w:rsidR="0061127B" w:rsidRPr="00967E20" w:rsidRDefault="0061127B" w:rsidP="0061127B">
      <w:pPr>
        <w:pBdr>
          <w:top w:val="nil"/>
          <w:left w:val="nil"/>
          <w:bottom w:val="nil"/>
          <w:right w:val="nil"/>
          <w:between w:val="nil"/>
        </w:pBdr>
        <w:spacing w:line="360" w:lineRule="auto"/>
        <w:jc w:val="both"/>
        <w:rPr>
          <w:rFonts w:ascii="Palatino Linotype" w:eastAsia="Palatino Linotype" w:hAnsi="Palatino Linotype" w:cs="Palatino Linotype"/>
        </w:rPr>
      </w:pPr>
    </w:p>
    <w:p w:rsidR="0061127B" w:rsidRPr="00967E20" w:rsidRDefault="0061127B" w:rsidP="0061127B">
      <w:pPr>
        <w:pBdr>
          <w:top w:val="nil"/>
          <w:left w:val="nil"/>
          <w:bottom w:val="nil"/>
          <w:right w:val="nil"/>
          <w:between w:val="nil"/>
        </w:pBdr>
        <w:spacing w:line="360" w:lineRule="auto"/>
        <w:ind w:left="720" w:right="822"/>
        <w:jc w:val="both"/>
        <w:rPr>
          <w:rFonts w:ascii="Palatino Linotype" w:eastAsia="Palatino Linotype" w:hAnsi="Palatino Linotype" w:cs="Palatino Linotype"/>
          <w:i/>
          <w:iCs/>
        </w:rPr>
      </w:pPr>
      <w:r w:rsidRPr="00967E20">
        <w:rPr>
          <w:rFonts w:ascii="Palatino Linotype" w:eastAsia="Palatino Linotype" w:hAnsi="Palatino Linotype" w:cs="Palatino Linotype"/>
          <w:i/>
          <w:iCs/>
        </w:rPr>
        <w:t xml:space="preserve">“Las licencias de construcción entregadas en este año” (Sic) </w:t>
      </w:r>
    </w:p>
    <w:p w:rsidR="0061127B" w:rsidRPr="00967E20" w:rsidRDefault="0061127B" w:rsidP="0061127B">
      <w:pPr>
        <w:pBdr>
          <w:top w:val="nil"/>
          <w:left w:val="nil"/>
          <w:bottom w:val="nil"/>
          <w:right w:val="nil"/>
          <w:between w:val="nil"/>
        </w:pBdr>
        <w:spacing w:line="360" w:lineRule="auto"/>
        <w:jc w:val="both"/>
        <w:rPr>
          <w:rFonts w:ascii="Palatino Linotype" w:eastAsia="Palatino Linotype" w:hAnsi="Palatino Linotype" w:cs="Palatino Linotype"/>
        </w:rPr>
      </w:pPr>
    </w:p>
    <w:p w:rsidR="0061127B" w:rsidRPr="00967E20" w:rsidRDefault="0061127B" w:rsidP="0061127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67E20">
        <w:rPr>
          <w:rFonts w:ascii="Palatino Linotype" w:eastAsia="Palatino Linotype" w:hAnsi="Palatino Linotype" w:cs="Palatino Linotype"/>
        </w:rPr>
        <w:t xml:space="preserve">Se señaló como modalidad de entrega a través de SAIMEX.  </w:t>
      </w:r>
    </w:p>
    <w:p w:rsidR="0061127B" w:rsidRPr="00967E20" w:rsidRDefault="0061127B" w:rsidP="0061127B">
      <w:pPr>
        <w:pBdr>
          <w:top w:val="nil"/>
          <w:left w:val="nil"/>
          <w:bottom w:val="nil"/>
          <w:right w:val="nil"/>
          <w:between w:val="nil"/>
        </w:pBdr>
        <w:spacing w:line="360" w:lineRule="auto"/>
        <w:jc w:val="both"/>
        <w:rPr>
          <w:rFonts w:ascii="Palatino Linotype" w:eastAsia="Palatino Linotype" w:hAnsi="Palatino Linotype" w:cs="Palatino Linotype"/>
        </w:rPr>
      </w:pPr>
    </w:p>
    <w:p w:rsidR="0061127B" w:rsidRPr="00967E20" w:rsidRDefault="0061127B" w:rsidP="0061127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67E20">
        <w:rPr>
          <w:rFonts w:ascii="Palatino Linotype" w:eastAsia="Palatino Linotype" w:hAnsi="Palatino Linotype" w:cs="Palatino Linotype"/>
        </w:rPr>
        <w:t xml:space="preserve">El </w:t>
      </w:r>
      <w:r w:rsidRPr="00967E20">
        <w:rPr>
          <w:rFonts w:ascii="Palatino Linotype" w:eastAsia="Palatino Linotype" w:hAnsi="Palatino Linotype" w:cs="Palatino Linotype"/>
          <w:b/>
        </w:rPr>
        <w:t>cuatro de julio de dos mil veinticinco</w:t>
      </w:r>
      <w:r w:rsidRPr="00967E20">
        <w:rPr>
          <w:rFonts w:ascii="Palatino Linotype" w:eastAsia="Palatino Linotype" w:hAnsi="Palatino Linotype" w:cs="Palatino Linotype"/>
        </w:rPr>
        <w:t xml:space="preserve">, se realizó un requerimiento de información al servidor público habilitado. </w:t>
      </w:r>
    </w:p>
    <w:p w:rsidR="0061127B" w:rsidRPr="00967E20" w:rsidRDefault="0061127B" w:rsidP="0061127B">
      <w:pPr>
        <w:pStyle w:val="Prrafodelista"/>
        <w:rPr>
          <w:rFonts w:ascii="Palatino Linotype" w:eastAsia="Palatino Linotype" w:hAnsi="Palatino Linotype" w:cs="Palatino Linotype"/>
        </w:rPr>
      </w:pPr>
    </w:p>
    <w:p w:rsidR="0061127B" w:rsidRPr="00967E20" w:rsidRDefault="0061127B" w:rsidP="0061127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67E20">
        <w:rPr>
          <w:rFonts w:ascii="Palatino Linotype" w:eastAsia="Palatino Linotype" w:hAnsi="Palatino Linotype" w:cs="Palatino Linotype"/>
        </w:rPr>
        <w:lastRenderedPageBreak/>
        <w:t xml:space="preserve">El </w:t>
      </w:r>
      <w:r w:rsidRPr="00967E20">
        <w:rPr>
          <w:rFonts w:ascii="Palatino Linotype" w:eastAsia="Palatino Linotype" w:hAnsi="Palatino Linotype" w:cs="Palatino Linotype"/>
          <w:b/>
          <w:bCs/>
        </w:rPr>
        <w:t>siete de agosto de dos mil veinticinco</w:t>
      </w:r>
      <w:r w:rsidRPr="00967E20">
        <w:rPr>
          <w:rFonts w:ascii="Palatino Linotype" w:eastAsia="Palatino Linotype" w:hAnsi="Palatino Linotype" w:cs="Palatino Linotype"/>
        </w:rPr>
        <w:t>, el Sujeto Obligado dio respuesta a la solicitud de información en los siguientes términos:</w:t>
      </w:r>
    </w:p>
    <w:p w:rsidR="0061127B" w:rsidRPr="00967E20" w:rsidRDefault="0061127B" w:rsidP="0061127B">
      <w:pPr>
        <w:pBdr>
          <w:top w:val="nil"/>
          <w:left w:val="nil"/>
          <w:bottom w:val="nil"/>
          <w:right w:val="nil"/>
          <w:between w:val="nil"/>
        </w:pBdr>
        <w:spacing w:line="360" w:lineRule="auto"/>
        <w:jc w:val="both"/>
        <w:rPr>
          <w:rFonts w:ascii="Palatino Linotype" w:eastAsia="Palatino Linotype" w:hAnsi="Palatino Linotype" w:cs="Palatino Linotype"/>
        </w:rPr>
      </w:pPr>
    </w:p>
    <w:tbl>
      <w:tblPr>
        <w:tblW w:w="7537" w:type="dxa"/>
        <w:jc w:val="center"/>
        <w:tblCellSpacing w:w="0" w:type="dxa"/>
        <w:tblCellMar>
          <w:left w:w="0" w:type="dxa"/>
          <w:right w:w="0" w:type="dxa"/>
        </w:tblCellMar>
        <w:tblLook w:val="04A0" w:firstRow="1" w:lastRow="0" w:firstColumn="1" w:lastColumn="0" w:noHBand="0" w:noVBand="1"/>
      </w:tblPr>
      <w:tblGrid>
        <w:gridCol w:w="7537"/>
      </w:tblGrid>
      <w:tr w:rsidR="0061127B" w:rsidRPr="00967E20" w:rsidTr="0061127B">
        <w:trPr>
          <w:trHeight w:val="302"/>
          <w:tblCellSpacing w:w="0" w:type="dxa"/>
          <w:jc w:val="center"/>
        </w:trPr>
        <w:tc>
          <w:tcPr>
            <w:tcW w:w="0" w:type="auto"/>
            <w:vAlign w:val="center"/>
            <w:hideMark/>
          </w:tcPr>
          <w:p w:rsidR="0061127B" w:rsidRPr="00967E20" w:rsidRDefault="0061127B" w:rsidP="0061127B">
            <w:pPr>
              <w:jc w:val="right"/>
              <w:rPr>
                <w:rFonts w:ascii="Palatino Linotype" w:hAnsi="Palatino Linotype"/>
                <w:i/>
              </w:rPr>
            </w:pPr>
            <w:r w:rsidRPr="00967E20">
              <w:rPr>
                <w:rFonts w:ascii="Palatino Linotype" w:hAnsi="Palatino Linotype"/>
                <w:i/>
              </w:rPr>
              <w:t>“Toluca, México a 07 de Agosto de 2025</w:t>
            </w:r>
          </w:p>
        </w:tc>
      </w:tr>
      <w:tr w:rsidR="0061127B" w:rsidRPr="00967E20" w:rsidTr="0061127B">
        <w:trPr>
          <w:trHeight w:val="302"/>
          <w:tblCellSpacing w:w="0" w:type="dxa"/>
          <w:jc w:val="center"/>
        </w:trPr>
        <w:tc>
          <w:tcPr>
            <w:tcW w:w="0" w:type="auto"/>
            <w:vAlign w:val="center"/>
            <w:hideMark/>
          </w:tcPr>
          <w:p w:rsidR="0061127B" w:rsidRPr="00967E20" w:rsidRDefault="0061127B" w:rsidP="0061127B">
            <w:pPr>
              <w:jc w:val="right"/>
              <w:rPr>
                <w:rFonts w:ascii="Palatino Linotype" w:hAnsi="Palatino Linotype"/>
                <w:i/>
              </w:rPr>
            </w:pPr>
            <w:r w:rsidRPr="00967E20">
              <w:rPr>
                <w:rFonts w:ascii="Palatino Linotype" w:hAnsi="Palatino Linotype"/>
                <w:i/>
              </w:rPr>
              <w:t>Nombre del solicitante: C. Solicitante</w:t>
            </w:r>
          </w:p>
        </w:tc>
      </w:tr>
      <w:tr w:rsidR="0061127B" w:rsidRPr="00967E20" w:rsidTr="0061127B">
        <w:trPr>
          <w:trHeight w:val="302"/>
          <w:tblCellSpacing w:w="0" w:type="dxa"/>
          <w:jc w:val="center"/>
        </w:trPr>
        <w:tc>
          <w:tcPr>
            <w:tcW w:w="0" w:type="auto"/>
            <w:vAlign w:val="center"/>
            <w:hideMark/>
          </w:tcPr>
          <w:p w:rsidR="0061127B" w:rsidRPr="00967E20" w:rsidRDefault="0061127B" w:rsidP="0061127B">
            <w:pPr>
              <w:jc w:val="right"/>
              <w:rPr>
                <w:rFonts w:ascii="Palatino Linotype" w:hAnsi="Palatino Linotype"/>
                <w:i/>
              </w:rPr>
            </w:pPr>
            <w:r w:rsidRPr="00967E20">
              <w:rPr>
                <w:rFonts w:ascii="Palatino Linotype" w:hAnsi="Palatino Linotype"/>
                <w:i/>
              </w:rPr>
              <w:t>Folio de la solicitud: 03820/TOLUCA/IP/2025</w:t>
            </w:r>
          </w:p>
        </w:tc>
      </w:tr>
      <w:tr w:rsidR="0061127B" w:rsidRPr="00967E20" w:rsidTr="0061127B">
        <w:trPr>
          <w:trHeight w:val="454"/>
          <w:tblCellSpacing w:w="0" w:type="dxa"/>
          <w:jc w:val="center"/>
        </w:trPr>
        <w:tc>
          <w:tcPr>
            <w:tcW w:w="0" w:type="auto"/>
            <w:vAlign w:val="center"/>
            <w:hideMark/>
          </w:tcPr>
          <w:p w:rsidR="0061127B" w:rsidRPr="00967E20" w:rsidRDefault="0061127B" w:rsidP="0061127B">
            <w:pPr>
              <w:jc w:val="right"/>
              <w:rPr>
                <w:rFonts w:ascii="Palatino Linotype" w:hAnsi="Palatino Linotype"/>
                <w:i/>
              </w:rPr>
            </w:pPr>
          </w:p>
        </w:tc>
      </w:tr>
      <w:tr w:rsidR="0061127B" w:rsidRPr="00967E20" w:rsidTr="0061127B">
        <w:trPr>
          <w:trHeight w:val="151"/>
          <w:tblCellSpacing w:w="0" w:type="dxa"/>
          <w:jc w:val="center"/>
        </w:trPr>
        <w:tc>
          <w:tcPr>
            <w:tcW w:w="0" w:type="auto"/>
            <w:vAlign w:val="center"/>
            <w:hideMark/>
          </w:tcPr>
          <w:p w:rsidR="0061127B" w:rsidRPr="00967E20" w:rsidRDefault="0061127B" w:rsidP="0061127B">
            <w:pPr>
              <w:rPr>
                <w:rFonts w:ascii="Palatino Linotype" w:hAnsi="Palatino Linotype"/>
                <w:i/>
              </w:rPr>
            </w:pPr>
            <w:r w:rsidRPr="00967E20">
              <w:rPr>
                <w:rFonts w:ascii="Palatino Linotype" w:hAnsi="Palatino Linotype"/>
                <w:i/>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61127B" w:rsidRPr="00967E20" w:rsidTr="0061127B">
        <w:trPr>
          <w:trHeight w:val="378"/>
          <w:tblCellSpacing w:w="0" w:type="dxa"/>
          <w:jc w:val="center"/>
        </w:trPr>
        <w:tc>
          <w:tcPr>
            <w:tcW w:w="0" w:type="auto"/>
            <w:vAlign w:val="center"/>
            <w:hideMark/>
          </w:tcPr>
          <w:p w:rsidR="0061127B" w:rsidRPr="00967E20" w:rsidRDefault="0061127B" w:rsidP="0061127B">
            <w:pPr>
              <w:rPr>
                <w:rFonts w:ascii="Palatino Linotype" w:hAnsi="Palatino Linotype"/>
                <w:i/>
              </w:rPr>
            </w:pPr>
          </w:p>
        </w:tc>
      </w:tr>
      <w:tr w:rsidR="0061127B" w:rsidRPr="00967E20" w:rsidTr="0061127B">
        <w:trPr>
          <w:trHeight w:val="151"/>
          <w:tblCellSpacing w:w="0" w:type="dxa"/>
          <w:jc w:val="center"/>
        </w:trPr>
        <w:tc>
          <w:tcPr>
            <w:tcW w:w="0" w:type="auto"/>
            <w:vAlign w:val="center"/>
            <w:hideMark/>
          </w:tcPr>
          <w:p w:rsidR="0061127B" w:rsidRPr="00967E20" w:rsidRDefault="0061127B" w:rsidP="0061127B">
            <w:pPr>
              <w:rPr>
                <w:rFonts w:ascii="Palatino Linotype" w:hAnsi="Palatino Linotype"/>
                <w:i/>
              </w:rPr>
            </w:pPr>
            <w:r w:rsidRPr="00967E20">
              <w:rPr>
                <w:rFonts w:ascii="Palatino Linotype" w:hAnsi="Palatino Linotype"/>
                <w:i/>
              </w:rPr>
              <w:t>En atención a la solicitud con folio 03820/TOLUCA/IP/2025, me permito adjuntar al presente la respuesta correspondiente, Sin más por el momento, reciba un saludo.</w:t>
            </w:r>
          </w:p>
        </w:tc>
      </w:tr>
      <w:tr w:rsidR="0061127B" w:rsidRPr="00967E20" w:rsidTr="0061127B">
        <w:trPr>
          <w:trHeight w:val="378"/>
          <w:tblCellSpacing w:w="0" w:type="dxa"/>
          <w:jc w:val="center"/>
        </w:trPr>
        <w:tc>
          <w:tcPr>
            <w:tcW w:w="0" w:type="auto"/>
            <w:vAlign w:val="center"/>
            <w:hideMark/>
          </w:tcPr>
          <w:p w:rsidR="0061127B" w:rsidRPr="00967E20" w:rsidRDefault="0061127B" w:rsidP="0061127B">
            <w:pPr>
              <w:rPr>
                <w:rFonts w:ascii="Palatino Linotype" w:hAnsi="Palatino Linotype"/>
                <w:i/>
              </w:rPr>
            </w:pPr>
          </w:p>
        </w:tc>
      </w:tr>
      <w:tr w:rsidR="0061127B" w:rsidRPr="00967E20" w:rsidTr="0061127B">
        <w:trPr>
          <w:trHeight w:val="151"/>
          <w:tblCellSpacing w:w="0" w:type="dxa"/>
          <w:jc w:val="center"/>
        </w:trPr>
        <w:tc>
          <w:tcPr>
            <w:tcW w:w="0" w:type="auto"/>
            <w:vAlign w:val="center"/>
            <w:hideMark/>
          </w:tcPr>
          <w:p w:rsidR="0061127B" w:rsidRPr="00967E20" w:rsidRDefault="0061127B" w:rsidP="0061127B">
            <w:pPr>
              <w:jc w:val="center"/>
              <w:rPr>
                <w:rFonts w:ascii="Palatino Linotype" w:hAnsi="Palatino Linotype"/>
                <w:i/>
              </w:rPr>
            </w:pPr>
          </w:p>
        </w:tc>
      </w:tr>
      <w:tr w:rsidR="0061127B" w:rsidRPr="00967E20" w:rsidTr="0061127B">
        <w:trPr>
          <w:trHeight w:val="151"/>
          <w:tblCellSpacing w:w="0" w:type="dxa"/>
          <w:jc w:val="center"/>
        </w:trPr>
        <w:tc>
          <w:tcPr>
            <w:tcW w:w="0" w:type="auto"/>
            <w:vAlign w:val="center"/>
            <w:hideMark/>
          </w:tcPr>
          <w:p w:rsidR="0061127B" w:rsidRPr="00967E20" w:rsidRDefault="0061127B" w:rsidP="0061127B">
            <w:pPr>
              <w:rPr>
                <w:rFonts w:ascii="Palatino Linotype" w:hAnsi="Palatino Linotype"/>
                <w:i/>
              </w:rPr>
            </w:pPr>
          </w:p>
        </w:tc>
      </w:tr>
      <w:tr w:rsidR="0061127B" w:rsidRPr="00967E20" w:rsidTr="0061127B">
        <w:trPr>
          <w:trHeight w:val="151"/>
          <w:tblCellSpacing w:w="0" w:type="dxa"/>
          <w:jc w:val="center"/>
        </w:trPr>
        <w:tc>
          <w:tcPr>
            <w:tcW w:w="0" w:type="auto"/>
            <w:vAlign w:val="center"/>
            <w:hideMark/>
          </w:tcPr>
          <w:p w:rsidR="0061127B" w:rsidRPr="00967E20" w:rsidRDefault="0061127B" w:rsidP="0061127B">
            <w:pPr>
              <w:rPr>
                <w:rFonts w:ascii="Palatino Linotype" w:hAnsi="Palatino Linotype"/>
                <w:i/>
              </w:rPr>
            </w:pPr>
            <w:r w:rsidRPr="00967E20">
              <w:rPr>
                <w:rFonts w:ascii="Palatino Linotype" w:hAnsi="Palatino Linotype"/>
                <w:i/>
              </w:rPr>
              <w:t>ATENTAMENTE</w:t>
            </w:r>
          </w:p>
        </w:tc>
      </w:tr>
      <w:tr w:rsidR="0061127B" w:rsidRPr="00967E20" w:rsidTr="0061127B">
        <w:trPr>
          <w:trHeight w:val="227"/>
          <w:tblCellSpacing w:w="0" w:type="dxa"/>
          <w:jc w:val="center"/>
        </w:trPr>
        <w:tc>
          <w:tcPr>
            <w:tcW w:w="0" w:type="auto"/>
            <w:vAlign w:val="center"/>
            <w:hideMark/>
          </w:tcPr>
          <w:p w:rsidR="0061127B" w:rsidRPr="00967E20" w:rsidRDefault="0061127B" w:rsidP="0061127B">
            <w:pPr>
              <w:rPr>
                <w:rFonts w:ascii="Palatino Linotype" w:hAnsi="Palatino Linotype"/>
                <w:i/>
              </w:rPr>
            </w:pPr>
          </w:p>
        </w:tc>
      </w:tr>
      <w:tr w:rsidR="0061127B" w:rsidRPr="00967E20" w:rsidTr="0061127B">
        <w:trPr>
          <w:trHeight w:val="151"/>
          <w:tblCellSpacing w:w="0" w:type="dxa"/>
          <w:jc w:val="center"/>
        </w:trPr>
        <w:tc>
          <w:tcPr>
            <w:tcW w:w="0" w:type="auto"/>
            <w:vAlign w:val="center"/>
            <w:hideMark/>
          </w:tcPr>
          <w:p w:rsidR="0061127B" w:rsidRPr="00967E20" w:rsidRDefault="0061127B" w:rsidP="0061127B">
            <w:pPr>
              <w:rPr>
                <w:rFonts w:ascii="Palatino Linotype" w:hAnsi="Palatino Linotype"/>
                <w:i/>
              </w:rPr>
            </w:pPr>
            <w:r w:rsidRPr="00967E20">
              <w:rPr>
                <w:rFonts w:ascii="Palatino Linotype" w:hAnsi="Palatino Linotype"/>
                <w:i/>
              </w:rPr>
              <w:t>Dr. Nahum Miguel Mendoza Morales”</w:t>
            </w:r>
          </w:p>
        </w:tc>
      </w:tr>
    </w:tbl>
    <w:p w:rsidR="0061127B" w:rsidRPr="00967E20" w:rsidRDefault="0061127B" w:rsidP="0061127B">
      <w:pPr>
        <w:spacing w:line="360" w:lineRule="auto"/>
        <w:jc w:val="both"/>
        <w:rPr>
          <w:rFonts w:ascii="Palatino Linotype" w:eastAsia="Palatino Linotype" w:hAnsi="Palatino Linotype" w:cs="Palatino Linotype"/>
        </w:rPr>
      </w:pPr>
    </w:p>
    <w:p w:rsidR="0061127B" w:rsidRPr="00967E20" w:rsidRDefault="0061127B" w:rsidP="0061127B">
      <w:pPr>
        <w:spacing w:line="360" w:lineRule="auto"/>
        <w:jc w:val="both"/>
        <w:rPr>
          <w:rFonts w:ascii="Palatino Linotype" w:eastAsia="Palatino Linotype" w:hAnsi="Palatino Linotype" w:cs="Palatino Linotype"/>
        </w:rPr>
      </w:pPr>
    </w:p>
    <w:p w:rsidR="0061127B" w:rsidRPr="00967E20" w:rsidRDefault="0061127B" w:rsidP="0061127B">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rPr>
      </w:pPr>
      <w:r w:rsidRPr="00967E20">
        <w:rPr>
          <w:rFonts w:ascii="Palatino Linotype" w:eastAsia="Palatino Linotype" w:hAnsi="Palatino Linotype" w:cs="Palatino Linotype"/>
        </w:rPr>
        <w:t xml:space="preserve">A la respuesta se adjuntó el archivo </w:t>
      </w:r>
      <w:hyperlink r:id="rId7" w:tgtFrame="_blank" w:history="1">
        <w:r w:rsidRPr="00967E20">
          <w:rPr>
            <w:rStyle w:val="Hipervnculo"/>
            <w:rFonts w:ascii="Palatino Linotype" w:eastAsia="Palatino Linotype" w:hAnsi="Palatino Linotype" w:cs="Palatino Linotype"/>
            <w:b/>
            <w:bCs/>
          </w:rPr>
          <w:t>RESPUESTA 3820-2025.pdf</w:t>
        </w:r>
      </w:hyperlink>
      <w:r w:rsidRPr="00967E20">
        <w:rPr>
          <w:rFonts w:ascii="Palatino Linotype" w:eastAsia="Palatino Linotype" w:hAnsi="Palatino Linotype" w:cs="Palatino Linotype"/>
        </w:rPr>
        <w:t xml:space="preserve">, en el que se advierte el oficio número 209010000/3481/2025 de fecha once de julio de dos mil veinticinco, suscrito por el Director General de Innovación, Planeación y Gestión Urbana, quien señaló que, la información solicitada se puede localizar en una liga electrónica que adjuntó, asimismo, señaló los pasos para acceder. </w:t>
      </w:r>
    </w:p>
    <w:p w:rsidR="0061127B" w:rsidRPr="00967E20" w:rsidRDefault="0061127B" w:rsidP="0061127B">
      <w:pPr>
        <w:pBdr>
          <w:top w:val="nil"/>
          <w:left w:val="nil"/>
          <w:bottom w:val="nil"/>
          <w:right w:val="nil"/>
          <w:between w:val="nil"/>
        </w:pBdr>
        <w:spacing w:line="360" w:lineRule="auto"/>
        <w:ind w:left="720"/>
        <w:jc w:val="both"/>
        <w:rPr>
          <w:rFonts w:ascii="Palatino Linotype" w:eastAsia="Palatino Linotype" w:hAnsi="Palatino Linotype" w:cs="Palatino Linotype"/>
        </w:rPr>
      </w:pPr>
    </w:p>
    <w:p w:rsidR="0061127B" w:rsidRPr="00967E20" w:rsidRDefault="0061127B" w:rsidP="0061127B">
      <w:pPr>
        <w:spacing w:line="276" w:lineRule="auto"/>
        <w:ind w:left="851" w:right="822"/>
        <w:jc w:val="both"/>
        <w:rPr>
          <w:rFonts w:ascii="Palatino Linotype" w:eastAsia="Palatino Linotype" w:hAnsi="Palatino Linotype" w:cs="Palatino Linotype"/>
          <w:i/>
          <w:iCs/>
          <w:color w:val="000000"/>
        </w:rPr>
      </w:pPr>
    </w:p>
    <w:p w:rsidR="0061127B" w:rsidRPr="00967E20" w:rsidRDefault="0061127B" w:rsidP="0061127B">
      <w:pPr>
        <w:pBdr>
          <w:top w:val="nil"/>
          <w:left w:val="nil"/>
          <w:bottom w:val="nil"/>
          <w:right w:val="nil"/>
          <w:between w:val="nil"/>
        </w:pBdr>
        <w:spacing w:line="360" w:lineRule="auto"/>
        <w:jc w:val="both"/>
        <w:rPr>
          <w:rFonts w:ascii="Palatino Linotype" w:eastAsia="Palatino Linotype" w:hAnsi="Palatino Linotype" w:cs="Palatino Linotype"/>
        </w:rPr>
      </w:pPr>
    </w:p>
    <w:p w:rsidR="0061127B" w:rsidRPr="00967E20" w:rsidRDefault="0061127B" w:rsidP="0061127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67E20">
        <w:rPr>
          <w:rFonts w:ascii="Palatino Linotype" w:eastAsia="Palatino Linotype" w:hAnsi="Palatino Linotype" w:cs="Palatino Linotype"/>
        </w:rPr>
        <w:lastRenderedPageBreak/>
        <w:t xml:space="preserve">El </w:t>
      </w:r>
      <w:r w:rsidRPr="00967E20">
        <w:rPr>
          <w:rFonts w:ascii="Palatino Linotype" w:eastAsia="Palatino Linotype" w:hAnsi="Palatino Linotype" w:cs="Palatino Linotype"/>
          <w:b/>
          <w:bCs/>
        </w:rPr>
        <w:t>veintiuno de agosto de dos mil veinticinco</w:t>
      </w:r>
      <w:r w:rsidRPr="00967E20">
        <w:rPr>
          <w:rFonts w:ascii="Palatino Linotype" w:eastAsia="Palatino Linotype" w:hAnsi="Palatino Linotype" w:cs="Palatino Linotype"/>
        </w:rPr>
        <w:t xml:space="preserve">, </w:t>
      </w:r>
      <w:r w:rsidRPr="00967E20">
        <w:rPr>
          <w:rFonts w:ascii="Palatino Linotype" w:eastAsia="Palatino Linotype" w:hAnsi="Palatino Linotype" w:cs="Palatino Linotype"/>
          <w:b/>
          <w:bCs/>
        </w:rPr>
        <w:t>El Recurrente</w:t>
      </w:r>
      <w:r w:rsidRPr="00967E20">
        <w:rPr>
          <w:rFonts w:ascii="Palatino Linotype" w:eastAsia="Palatino Linotype" w:hAnsi="Palatino Linotype" w:cs="Palatino Linotype"/>
        </w:rPr>
        <w:t xml:space="preserve"> interpuso el recurso de revisión, en contra de la respuesta, señalando como:</w:t>
      </w:r>
    </w:p>
    <w:p w:rsidR="0061127B" w:rsidRPr="00967E20" w:rsidRDefault="0061127B" w:rsidP="0061127B">
      <w:pPr>
        <w:pBdr>
          <w:top w:val="nil"/>
          <w:left w:val="nil"/>
          <w:bottom w:val="nil"/>
          <w:right w:val="nil"/>
          <w:between w:val="nil"/>
        </w:pBdr>
        <w:spacing w:line="360" w:lineRule="auto"/>
        <w:jc w:val="both"/>
        <w:rPr>
          <w:rFonts w:ascii="Palatino Linotype" w:eastAsia="Palatino Linotype" w:hAnsi="Palatino Linotype" w:cs="Palatino Linotype"/>
        </w:rPr>
      </w:pPr>
    </w:p>
    <w:p w:rsidR="0061127B" w:rsidRPr="00967E20" w:rsidRDefault="00967E20" w:rsidP="0061127B">
      <w:pPr>
        <w:numPr>
          <w:ilvl w:val="0"/>
          <w:numId w:val="1"/>
        </w:numPr>
        <w:spacing w:line="360" w:lineRule="auto"/>
        <w:ind w:left="851" w:right="822" w:firstLine="0"/>
        <w:jc w:val="both"/>
      </w:pPr>
      <w:r w:rsidRPr="00967E20">
        <w:rPr>
          <w:rFonts w:ascii="Palatino Linotype" w:eastAsia="Palatino Linotype" w:hAnsi="Palatino Linotype" w:cs="Palatino Linotype"/>
          <w:b/>
          <w:bCs/>
        </w:rPr>
        <w:t>ACTO IMPUGNADO</w:t>
      </w:r>
      <w:r w:rsidRPr="00967E20">
        <w:rPr>
          <w:rFonts w:ascii="Palatino Linotype" w:eastAsia="Palatino Linotype" w:hAnsi="Palatino Linotype" w:cs="Palatino Linotype"/>
          <w:b/>
          <w:bCs/>
          <w:i/>
          <w:iCs/>
        </w:rPr>
        <w:t>:</w:t>
      </w:r>
      <w:r w:rsidRPr="00967E20">
        <w:rPr>
          <w:rFonts w:ascii="Palatino Linotype" w:eastAsia="Palatino Linotype" w:hAnsi="Palatino Linotype" w:cs="Palatino Linotype"/>
          <w:i/>
          <w:iCs/>
        </w:rPr>
        <w:t xml:space="preserve"> </w:t>
      </w:r>
      <w:r w:rsidR="0061127B" w:rsidRPr="00967E20">
        <w:rPr>
          <w:rFonts w:ascii="Palatino Linotype" w:eastAsia="Palatino Linotype" w:hAnsi="Palatino Linotype" w:cs="Palatino Linotype"/>
          <w:i/>
          <w:iCs/>
        </w:rPr>
        <w:t>"</w:t>
      </w:r>
      <w:r w:rsidR="00B97E94" w:rsidRPr="00967E20">
        <w:rPr>
          <w:rFonts w:ascii="Palatino Linotype" w:eastAsia="Palatino Linotype" w:hAnsi="Palatino Linotype" w:cs="Palatino Linotype"/>
          <w:i/>
          <w:iCs/>
        </w:rPr>
        <w:t>niega la información si vemos muchas obras en construcción entonces son ilegales o el gobierno esta ocultando la información</w:t>
      </w:r>
      <w:r w:rsidR="0061127B" w:rsidRPr="00967E20">
        <w:rPr>
          <w:rFonts w:ascii="Palatino Linotype" w:eastAsia="Palatino Linotype" w:hAnsi="Palatino Linotype" w:cs="Palatino Linotype"/>
          <w:i/>
          <w:iCs/>
        </w:rPr>
        <w:t>" (Sic)</w:t>
      </w:r>
    </w:p>
    <w:p w:rsidR="0061127B" w:rsidRPr="00967E20" w:rsidRDefault="0061127B" w:rsidP="0061127B">
      <w:pPr>
        <w:spacing w:line="360" w:lineRule="auto"/>
        <w:ind w:left="851" w:right="822"/>
        <w:jc w:val="both"/>
      </w:pPr>
    </w:p>
    <w:p w:rsidR="0061127B" w:rsidRPr="00967E20" w:rsidRDefault="00967E20" w:rsidP="0061127B">
      <w:pPr>
        <w:numPr>
          <w:ilvl w:val="0"/>
          <w:numId w:val="1"/>
        </w:numPr>
        <w:spacing w:line="360" w:lineRule="auto"/>
        <w:ind w:left="851" w:right="822" w:firstLine="0"/>
        <w:jc w:val="both"/>
        <w:rPr>
          <w:rFonts w:ascii="Palatino Linotype" w:eastAsia="Palatino Linotype" w:hAnsi="Palatino Linotype" w:cs="Palatino Linotype"/>
        </w:rPr>
      </w:pPr>
      <w:r w:rsidRPr="00967E20">
        <w:rPr>
          <w:rFonts w:ascii="Palatino Linotype" w:eastAsia="Palatino Linotype" w:hAnsi="Palatino Linotype" w:cs="Palatino Linotype"/>
          <w:b/>
          <w:bCs/>
        </w:rPr>
        <w:t>RAZONES O MOTIVOS DE INCONFORMIDAD</w:t>
      </w:r>
      <w:r w:rsidR="0061127B" w:rsidRPr="00967E20">
        <w:rPr>
          <w:rFonts w:ascii="Palatino Linotype" w:eastAsia="Palatino Linotype" w:hAnsi="Palatino Linotype" w:cs="Palatino Linotype"/>
          <w:b/>
          <w:bCs/>
        </w:rPr>
        <w:t xml:space="preserve">: </w:t>
      </w:r>
      <w:r w:rsidR="0061127B" w:rsidRPr="00967E20">
        <w:rPr>
          <w:rFonts w:ascii="Palatino Linotype" w:eastAsia="Palatino Linotype" w:hAnsi="Palatino Linotype" w:cs="Palatino Linotype"/>
          <w:i/>
          <w:iCs/>
        </w:rPr>
        <w:t>"</w:t>
      </w:r>
      <w:r w:rsidR="000A0C82" w:rsidRPr="00967E20">
        <w:rPr>
          <w:rFonts w:ascii="Verdana" w:eastAsia="Verdana" w:hAnsi="Verdana" w:cs="Verdana"/>
          <w:color w:val="000000"/>
        </w:rPr>
        <w:t xml:space="preserve"> </w:t>
      </w:r>
      <w:r w:rsidR="00B97E94" w:rsidRPr="00967E20">
        <w:rPr>
          <w:rFonts w:ascii="Palatino Linotype" w:eastAsia="Palatino Linotype" w:hAnsi="Palatino Linotype" w:cs="Palatino Linotype"/>
          <w:i/>
          <w:iCs/>
        </w:rPr>
        <w:t>niega la información si vemos muchas obras en construcción entonces son ilegales o el gobierno esta ocultando la información</w:t>
      </w:r>
      <w:r w:rsidR="0061127B" w:rsidRPr="00967E20">
        <w:rPr>
          <w:rFonts w:ascii="Palatino Linotype" w:eastAsia="Palatino Linotype" w:hAnsi="Palatino Linotype" w:cs="Palatino Linotype"/>
          <w:i/>
          <w:iCs/>
        </w:rPr>
        <w:t>" (Sic)</w:t>
      </w:r>
    </w:p>
    <w:p w:rsidR="0061127B" w:rsidRPr="00967E20" w:rsidRDefault="0061127B" w:rsidP="0061127B">
      <w:pPr>
        <w:spacing w:line="360" w:lineRule="auto"/>
        <w:jc w:val="both"/>
        <w:rPr>
          <w:rFonts w:ascii="Palatino Linotype" w:eastAsia="Palatino Linotype" w:hAnsi="Palatino Linotype" w:cs="Palatino Linotype"/>
        </w:rPr>
      </w:pPr>
    </w:p>
    <w:p w:rsidR="0061127B" w:rsidRPr="00967E20" w:rsidRDefault="0061127B" w:rsidP="0061127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67E20">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967E20">
        <w:rPr>
          <w:rFonts w:ascii="Palatino Linotype" w:eastAsia="Palatino Linotype" w:hAnsi="Palatino Linotype" w:cs="Palatino Linotype"/>
          <w:b/>
          <w:bCs/>
        </w:rPr>
        <w:t xml:space="preserve">Ley de Transparencia y Acceso a la Información Pública del Estado de México y Municipios </w:t>
      </w:r>
      <w:r w:rsidRPr="00967E20">
        <w:rPr>
          <w:rFonts w:ascii="Palatino Linotype" w:eastAsia="Palatino Linotype" w:hAnsi="Palatino Linotype" w:cs="Palatino Linotype"/>
        </w:rPr>
        <w:t xml:space="preserve">se turna a la </w:t>
      </w:r>
      <w:r w:rsidRPr="00967E20">
        <w:rPr>
          <w:rFonts w:ascii="Palatino Linotype" w:eastAsia="Palatino Linotype" w:hAnsi="Palatino Linotype" w:cs="Palatino Linotype"/>
          <w:b/>
          <w:bCs/>
        </w:rPr>
        <w:t xml:space="preserve">Comisionada María del Rosario Mejía Ayala, </w:t>
      </w:r>
      <w:r w:rsidRPr="00967E20">
        <w:rPr>
          <w:rFonts w:ascii="Palatino Linotype" w:eastAsia="Palatino Linotype" w:hAnsi="Palatino Linotype" w:cs="Palatino Linotype"/>
        </w:rPr>
        <w:t xml:space="preserve">para su análisis. </w:t>
      </w:r>
    </w:p>
    <w:p w:rsidR="0061127B" w:rsidRPr="00967E20" w:rsidRDefault="0061127B" w:rsidP="0061127B">
      <w:pPr>
        <w:pBdr>
          <w:top w:val="nil"/>
          <w:left w:val="nil"/>
          <w:bottom w:val="nil"/>
          <w:right w:val="nil"/>
          <w:between w:val="nil"/>
        </w:pBdr>
        <w:spacing w:line="360" w:lineRule="auto"/>
        <w:jc w:val="both"/>
        <w:rPr>
          <w:rFonts w:ascii="Palatino Linotype" w:eastAsia="Palatino Linotype" w:hAnsi="Palatino Linotype" w:cs="Palatino Linotype"/>
        </w:rPr>
      </w:pPr>
    </w:p>
    <w:p w:rsidR="0061127B" w:rsidRPr="00967E20" w:rsidRDefault="00967E20" w:rsidP="0061127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Pr>
          <w:rFonts w:ascii="Palatino Linotype" w:eastAsia="Palatino Linotype" w:hAnsi="Palatino Linotype" w:cs="Palatino Linotype"/>
        </w:rPr>
        <w:t>La Comisionada p</w:t>
      </w:r>
      <w:r w:rsidR="0061127B" w:rsidRPr="00967E20">
        <w:rPr>
          <w:rFonts w:ascii="Palatino Linotype" w:eastAsia="Palatino Linotype" w:hAnsi="Palatino Linotype" w:cs="Palatino Linotype"/>
        </w:rPr>
        <w:t xml:space="preserve">onente con fundamento en lo dispuesto por el artículo 185 fracción II de la ley de la materia, a través del acuerdo de admisión del </w:t>
      </w:r>
      <w:r w:rsidR="000A0C82" w:rsidRPr="00967E20">
        <w:rPr>
          <w:rFonts w:ascii="Palatino Linotype" w:eastAsia="Palatino Linotype" w:hAnsi="Palatino Linotype" w:cs="Palatino Linotype"/>
          <w:b/>
          <w:bCs/>
        </w:rPr>
        <w:t>veintisiete</w:t>
      </w:r>
      <w:r w:rsidR="0061127B" w:rsidRPr="00967E20">
        <w:rPr>
          <w:rFonts w:ascii="Palatino Linotype" w:eastAsia="Palatino Linotype" w:hAnsi="Palatino Linotype" w:cs="Palatino Linotype"/>
          <w:b/>
          <w:bCs/>
        </w:rPr>
        <w:t xml:space="preserve"> de agosto de dos mil veinticinco</w:t>
      </w:r>
      <w:r w:rsidR="0061127B" w:rsidRPr="00967E20">
        <w:rPr>
          <w:rFonts w:ascii="Palatino Linotype" w:eastAsia="Palatino Linotype" w:hAnsi="Palatino Linotype" w:cs="Palatino Linotype"/>
        </w:rPr>
        <w:t xml:space="preserve">, puso a disposición de las partes el expediente electrónico vía </w:t>
      </w:r>
      <w:r w:rsidR="0061127B" w:rsidRPr="00967E20">
        <w:rPr>
          <w:rFonts w:ascii="Palatino Linotype" w:eastAsia="Palatino Linotype" w:hAnsi="Palatino Linotype" w:cs="Palatino Linotype"/>
          <w:b/>
          <w:bCs/>
        </w:rPr>
        <w:t xml:space="preserve">SAIMEX </w:t>
      </w:r>
      <w:r w:rsidR="0061127B" w:rsidRPr="00967E20">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0061127B" w:rsidRPr="00967E20">
        <w:rPr>
          <w:rFonts w:ascii="Palatino Linotype" w:eastAsia="Palatino Linotype" w:hAnsi="Palatino Linotype" w:cs="Palatino Linotype"/>
          <w:b/>
          <w:bCs/>
        </w:rPr>
        <w:t>SUJETO OBLIGADO</w:t>
      </w:r>
      <w:r w:rsidR="0061127B" w:rsidRPr="00967E20">
        <w:rPr>
          <w:rFonts w:ascii="Palatino Linotype" w:eastAsia="Palatino Linotype" w:hAnsi="Palatino Linotype" w:cs="Palatino Linotype"/>
        </w:rPr>
        <w:t xml:space="preserve"> presentará el informe justificado procedente. </w:t>
      </w:r>
    </w:p>
    <w:p w:rsidR="0061127B" w:rsidRPr="00967E20" w:rsidRDefault="0061127B" w:rsidP="0061127B">
      <w:pPr>
        <w:pBdr>
          <w:top w:val="nil"/>
          <w:left w:val="nil"/>
          <w:bottom w:val="nil"/>
          <w:right w:val="nil"/>
          <w:between w:val="nil"/>
        </w:pBdr>
        <w:ind w:left="720"/>
        <w:rPr>
          <w:rFonts w:ascii="Palatino Linotype" w:eastAsia="Palatino Linotype" w:hAnsi="Palatino Linotype" w:cs="Palatino Linotype"/>
        </w:rPr>
      </w:pPr>
    </w:p>
    <w:p w:rsidR="0061127B" w:rsidRPr="00967E20" w:rsidRDefault="0061127B" w:rsidP="0061127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i/>
          <w:iCs/>
        </w:rPr>
      </w:pPr>
      <w:r w:rsidRPr="00967E20">
        <w:rPr>
          <w:rFonts w:ascii="Palatino Linotype" w:eastAsia="Palatino Linotype" w:hAnsi="Palatino Linotype" w:cs="Palatino Linotype"/>
        </w:rPr>
        <w:t xml:space="preserve">De las constancias del expediente electrónico SAIMEX se advierte que el Recurrente no realizó manifestaciones; por su parte, el Sujeto Obligado entregó informe justificado el </w:t>
      </w:r>
      <w:r w:rsidR="000A0C82" w:rsidRPr="00967E20">
        <w:rPr>
          <w:rFonts w:ascii="Palatino Linotype" w:eastAsia="Palatino Linotype" w:hAnsi="Palatino Linotype" w:cs="Palatino Linotype"/>
          <w:b/>
          <w:bCs/>
        </w:rPr>
        <w:t xml:space="preserve">cuatro </w:t>
      </w:r>
      <w:r w:rsidR="000A0C82" w:rsidRPr="00967E20">
        <w:rPr>
          <w:rFonts w:ascii="Palatino Linotype" w:eastAsia="Palatino Linotype" w:hAnsi="Palatino Linotype" w:cs="Palatino Linotype"/>
          <w:b/>
          <w:bCs/>
        </w:rPr>
        <w:lastRenderedPageBreak/>
        <w:t>y ocho de septiembre</w:t>
      </w:r>
      <w:r w:rsidRPr="00967E20">
        <w:rPr>
          <w:rFonts w:ascii="Palatino Linotype" w:eastAsia="Palatino Linotype" w:hAnsi="Palatino Linotype" w:cs="Palatino Linotype"/>
          <w:b/>
          <w:bCs/>
        </w:rPr>
        <w:t xml:space="preserve"> de dos mil veinticinco</w:t>
      </w:r>
      <w:r w:rsidRPr="00967E20">
        <w:rPr>
          <w:rFonts w:ascii="Palatino Linotype" w:eastAsia="Palatino Linotype" w:hAnsi="Palatino Linotype" w:cs="Palatino Linotype"/>
        </w:rPr>
        <w:t xml:space="preserve">, mismo que se puso a la vista el </w:t>
      </w:r>
      <w:r w:rsidR="000A0C82" w:rsidRPr="00967E20">
        <w:rPr>
          <w:rFonts w:ascii="Palatino Linotype" w:eastAsia="Palatino Linotype" w:hAnsi="Palatino Linotype" w:cs="Palatino Linotype"/>
          <w:b/>
          <w:bCs/>
        </w:rPr>
        <w:t>veinticinco de febrero de dos mil veintiséis</w:t>
      </w:r>
      <w:r w:rsidRPr="00967E20">
        <w:rPr>
          <w:rFonts w:ascii="Palatino Linotype" w:eastAsia="Palatino Linotype" w:hAnsi="Palatino Linotype" w:cs="Palatino Linotype"/>
        </w:rPr>
        <w:t xml:space="preserve"> y que consta de los archivos que se describen enseguida:</w:t>
      </w:r>
    </w:p>
    <w:p w:rsidR="000A0C82" w:rsidRPr="00967E20" w:rsidRDefault="00F24635" w:rsidP="000A0C82">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rPr>
      </w:pPr>
      <w:hyperlink r:id="rId8" w:history="1">
        <w:r w:rsidR="000A0C82" w:rsidRPr="00967E20">
          <w:rPr>
            <w:rStyle w:val="Hipervnculo"/>
            <w:rFonts w:ascii="Palatino Linotype" w:eastAsia="Palatino Linotype" w:hAnsi="Palatino Linotype" w:cs="Palatino Linotype"/>
            <w:b/>
            <w:bCs/>
            <w:color w:val="auto"/>
          </w:rPr>
          <w:t>Ratificación 09878.pdf</w:t>
        </w:r>
      </w:hyperlink>
      <w:r w:rsidR="000A0C82" w:rsidRPr="00967E20">
        <w:rPr>
          <w:rFonts w:ascii="Palatino Linotype" w:eastAsia="Palatino Linotype" w:hAnsi="Palatino Linotype" w:cs="Palatino Linotype"/>
          <w:bCs/>
        </w:rPr>
        <w:t xml:space="preserve">: </w:t>
      </w:r>
      <w:r w:rsidR="00815C5A" w:rsidRPr="00967E20">
        <w:rPr>
          <w:rFonts w:ascii="Palatino Linotype" w:eastAsia="Palatino Linotype" w:hAnsi="Palatino Linotype" w:cs="Palatino Linotype"/>
          <w:bCs/>
        </w:rPr>
        <w:t>oficio de respuesta de fecha tres de septiembre de dos mil veinticinco, suscrito por el Titular de la Unidad de Transparencia, quien ratificó la respuesta.</w:t>
      </w:r>
      <w:r w:rsidR="00815C5A" w:rsidRPr="00967E20">
        <w:rPr>
          <w:rFonts w:ascii="Palatino Linotype" w:eastAsia="Palatino Linotype" w:hAnsi="Palatino Linotype" w:cs="Palatino Linotype"/>
          <w:b/>
          <w:bCs/>
          <w:u w:val="single"/>
        </w:rPr>
        <w:t xml:space="preserve"> </w:t>
      </w:r>
    </w:p>
    <w:p w:rsidR="000A0C82" w:rsidRPr="00967E20" w:rsidRDefault="00F24635" w:rsidP="000A0C82">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rPr>
      </w:pPr>
      <w:hyperlink r:id="rId9" w:history="1">
        <w:r w:rsidR="000A0C82" w:rsidRPr="00967E20">
          <w:rPr>
            <w:rStyle w:val="Hipervnculo"/>
            <w:rFonts w:ascii="Palatino Linotype" w:eastAsia="Palatino Linotype" w:hAnsi="Palatino Linotype" w:cs="Palatino Linotype"/>
            <w:b/>
            <w:bCs/>
            <w:color w:val="auto"/>
          </w:rPr>
          <w:t>ANEXOS 09878-2025.pdf</w:t>
        </w:r>
      </w:hyperlink>
      <w:r w:rsidR="000A0C82" w:rsidRPr="00967E20">
        <w:rPr>
          <w:rFonts w:ascii="Palatino Linotype" w:eastAsia="Palatino Linotype" w:hAnsi="Palatino Linotype" w:cs="Palatino Linotype"/>
        </w:rPr>
        <w:t>:</w:t>
      </w:r>
      <w:r w:rsidR="00815C5A" w:rsidRPr="00967E20">
        <w:rPr>
          <w:rFonts w:ascii="Palatino Linotype" w:eastAsia="Palatino Linotype" w:hAnsi="Palatino Linotype" w:cs="Palatino Linotype"/>
        </w:rPr>
        <w:t xml:space="preserve"> oficio número 210010000/2385/2025 de fecha veintinueve de agosto de dos mil veinticinco, suscrito por el Director General de Obras Públicas, quien señaló que no es competencia de su área generar ni administrar la información solicitada. </w:t>
      </w:r>
    </w:p>
    <w:p w:rsidR="000A0C82" w:rsidRPr="00967E20" w:rsidRDefault="00F24635" w:rsidP="000A0C82">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rPr>
      </w:pPr>
      <w:hyperlink r:id="rId10" w:history="1">
        <w:r w:rsidR="000A0C82" w:rsidRPr="00967E20">
          <w:rPr>
            <w:rStyle w:val="Hipervnculo"/>
            <w:rFonts w:ascii="Palatino Linotype" w:eastAsia="Palatino Linotype" w:hAnsi="Palatino Linotype" w:cs="Palatino Linotype"/>
            <w:b/>
            <w:bCs/>
            <w:color w:val="auto"/>
          </w:rPr>
          <w:t>ANEXO RR 9878, DG INNOVACIÓN.pdf</w:t>
        </w:r>
      </w:hyperlink>
      <w:r w:rsidR="000A0C82" w:rsidRPr="00967E20">
        <w:rPr>
          <w:rFonts w:ascii="Palatino Linotype" w:eastAsia="Palatino Linotype" w:hAnsi="Palatino Linotype" w:cs="Palatino Linotype"/>
        </w:rPr>
        <w:t>:</w:t>
      </w:r>
      <w:r w:rsidR="00AE289B" w:rsidRPr="00967E20">
        <w:rPr>
          <w:rFonts w:ascii="Palatino Linotype" w:eastAsia="Palatino Linotype" w:hAnsi="Palatino Linotype" w:cs="Palatino Linotype"/>
        </w:rPr>
        <w:t xml:space="preserve"> archivo que contiene 203 licencias de construcción en versión pública. </w:t>
      </w:r>
    </w:p>
    <w:p w:rsidR="000A0C82" w:rsidRPr="00967E20" w:rsidRDefault="00F24635" w:rsidP="000A0C82">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rPr>
      </w:pPr>
      <w:hyperlink r:id="rId11" w:history="1">
        <w:r w:rsidR="000A0C82" w:rsidRPr="00967E20">
          <w:rPr>
            <w:rStyle w:val="Hipervnculo"/>
            <w:rFonts w:ascii="Palatino Linotype" w:eastAsia="Palatino Linotype" w:hAnsi="Palatino Linotype" w:cs="Palatino Linotype"/>
            <w:b/>
            <w:bCs/>
            <w:color w:val="auto"/>
          </w:rPr>
          <w:t>ANEXOS 09878-2025_1.pdf</w:t>
        </w:r>
      </w:hyperlink>
      <w:r w:rsidR="000A0C82" w:rsidRPr="00967E20">
        <w:rPr>
          <w:rFonts w:ascii="Palatino Linotype" w:eastAsia="Palatino Linotype" w:hAnsi="Palatino Linotype" w:cs="Palatino Linotype"/>
        </w:rPr>
        <w:t xml:space="preserve">: </w:t>
      </w:r>
      <w:r w:rsidR="00AE289B" w:rsidRPr="00967E20">
        <w:rPr>
          <w:rFonts w:ascii="Palatino Linotype" w:eastAsia="Palatino Linotype" w:hAnsi="Palatino Linotype" w:cs="Palatino Linotype"/>
        </w:rPr>
        <w:t>oficio número 209010000/4251/2025 de fecha cuatro de septiembre de dos mil veinticinco, suscrito por el Director General de Innovación</w:t>
      </w:r>
      <w:r w:rsidR="00477C49" w:rsidRPr="00967E20">
        <w:rPr>
          <w:rFonts w:ascii="Palatino Linotype" w:eastAsia="Palatino Linotype" w:hAnsi="Palatino Linotype" w:cs="Palatino Linotype"/>
        </w:rPr>
        <w:t xml:space="preserve"> quien ratificó respuesta. </w:t>
      </w:r>
    </w:p>
    <w:p w:rsidR="000A0C82" w:rsidRPr="00967E20" w:rsidRDefault="000A0C82" w:rsidP="000A0C82">
      <w:pPr>
        <w:pBdr>
          <w:top w:val="nil"/>
          <w:left w:val="nil"/>
          <w:bottom w:val="nil"/>
          <w:right w:val="nil"/>
          <w:between w:val="nil"/>
        </w:pBdr>
        <w:spacing w:line="360" w:lineRule="auto"/>
        <w:ind w:left="720"/>
        <w:jc w:val="both"/>
        <w:rPr>
          <w:rFonts w:ascii="Palatino Linotype" w:eastAsia="Palatino Linotype" w:hAnsi="Palatino Linotype" w:cs="Palatino Linotype"/>
        </w:rPr>
      </w:pPr>
    </w:p>
    <w:p w:rsidR="0061127B" w:rsidRPr="00967E20" w:rsidRDefault="0061127B" w:rsidP="0061127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67E20">
        <w:rPr>
          <w:rFonts w:ascii="Palatino Linotype" w:eastAsia="Palatino Linotype" w:hAnsi="Palatino Linotype" w:cs="Palatino Linotype"/>
        </w:rPr>
        <w:t xml:space="preserve">El </w:t>
      </w:r>
      <w:r w:rsidRPr="00967E20">
        <w:rPr>
          <w:rFonts w:ascii="Palatino Linotype" w:eastAsia="Palatino Linotype" w:hAnsi="Palatino Linotype" w:cs="Palatino Linotype"/>
          <w:b/>
          <w:bCs/>
        </w:rPr>
        <w:t>veintiséis de enero de dos mil veintiséis</w:t>
      </w:r>
      <w:r w:rsidRPr="00967E20">
        <w:rPr>
          <w:rFonts w:ascii="Palatino Linotype" w:eastAsia="Palatino Linotype" w:hAnsi="Palatino Linotype" w:cs="Palatino Linotype"/>
        </w:rPr>
        <w:t xml:space="preserve">, se notificó el acuerdo mediante el cual se decretó el cierre de instrucción. </w:t>
      </w:r>
    </w:p>
    <w:p w:rsidR="0061127B" w:rsidRPr="00967E20" w:rsidRDefault="0061127B" w:rsidP="0061127B">
      <w:pPr>
        <w:pBdr>
          <w:top w:val="nil"/>
          <w:left w:val="nil"/>
          <w:bottom w:val="nil"/>
          <w:right w:val="nil"/>
          <w:between w:val="nil"/>
        </w:pBdr>
        <w:ind w:left="720"/>
        <w:rPr>
          <w:rFonts w:ascii="Palatino Linotype" w:eastAsia="Palatino Linotype" w:hAnsi="Palatino Linotype" w:cs="Palatino Linotype"/>
          <w:color w:val="000000"/>
        </w:rPr>
      </w:pPr>
    </w:p>
    <w:p w:rsidR="0061127B" w:rsidRDefault="0061127B" w:rsidP="0061127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67E20">
        <w:rPr>
          <w:rFonts w:ascii="Palatino Linotype" w:eastAsia="Palatino Linotype" w:hAnsi="Palatino Linotype" w:cs="Palatino Linotype"/>
        </w:rPr>
        <w:t xml:space="preserve">El </w:t>
      </w:r>
      <w:r w:rsidR="00477C49" w:rsidRPr="00967E20">
        <w:rPr>
          <w:rFonts w:ascii="Palatino Linotype" w:eastAsia="Palatino Linotype" w:hAnsi="Palatino Linotype" w:cs="Palatino Linotype"/>
          <w:b/>
          <w:bCs/>
        </w:rPr>
        <w:t>cuatro de marzo</w:t>
      </w:r>
      <w:r w:rsidRPr="00967E20">
        <w:rPr>
          <w:rFonts w:ascii="Palatino Linotype" w:eastAsia="Palatino Linotype" w:hAnsi="Palatino Linotype" w:cs="Palatino Linotype"/>
          <w:b/>
          <w:bCs/>
        </w:rPr>
        <w:t xml:space="preserve"> de dos mil veintiséis</w:t>
      </w:r>
      <w:r w:rsidRPr="00967E20">
        <w:rPr>
          <w:rFonts w:ascii="Palatino Linotype" w:eastAsia="Palatino Linotype" w:hAnsi="Palatino Linotype" w:cs="Palatino Linotype"/>
        </w:rPr>
        <w:t xml:space="preserve">, se notificó el acuerdo mediante el cual se aprobó la ampliación de plazo para emitir resolución. </w:t>
      </w:r>
      <w:r w:rsidR="00967E20">
        <w:rPr>
          <w:rFonts w:ascii="Palatino Linotype" w:eastAsia="Palatino Linotype" w:hAnsi="Palatino Linotype" w:cs="Palatino Linotype"/>
        </w:rPr>
        <w:t>----------------------------------------------------</w:t>
      </w:r>
    </w:p>
    <w:p w:rsidR="00967E20" w:rsidRDefault="00967E20" w:rsidP="00967E20">
      <w:pPr>
        <w:pStyle w:val="Prrafodelista"/>
        <w:rPr>
          <w:rFonts w:ascii="Palatino Linotype" w:eastAsia="Palatino Linotype" w:hAnsi="Palatino Linotype" w:cs="Palatino Linotype"/>
        </w:rPr>
      </w:pPr>
    </w:p>
    <w:p w:rsidR="00967E20" w:rsidRDefault="00967E20" w:rsidP="00967E20">
      <w:pPr>
        <w:pBdr>
          <w:top w:val="nil"/>
          <w:left w:val="nil"/>
          <w:bottom w:val="nil"/>
          <w:right w:val="nil"/>
          <w:between w:val="nil"/>
        </w:pBdr>
        <w:spacing w:line="360" w:lineRule="auto"/>
        <w:jc w:val="both"/>
        <w:rPr>
          <w:rFonts w:ascii="Palatino Linotype" w:eastAsia="Palatino Linotype" w:hAnsi="Palatino Linotype" w:cs="Palatino Linotype"/>
        </w:rPr>
      </w:pPr>
    </w:p>
    <w:p w:rsidR="00967E20" w:rsidRDefault="00967E20" w:rsidP="00967E20">
      <w:pPr>
        <w:pBdr>
          <w:top w:val="nil"/>
          <w:left w:val="nil"/>
          <w:bottom w:val="nil"/>
          <w:right w:val="nil"/>
          <w:between w:val="nil"/>
        </w:pBdr>
        <w:spacing w:line="360" w:lineRule="auto"/>
        <w:jc w:val="both"/>
        <w:rPr>
          <w:rFonts w:ascii="Palatino Linotype" w:eastAsia="Palatino Linotype" w:hAnsi="Palatino Linotype" w:cs="Palatino Linotype"/>
        </w:rPr>
      </w:pPr>
    </w:p>
    <w:p w:rsidR="00967E20" w:rsidRPr="00967E20" w:rsidRDefault="00967E20" w:rsidP="00967E20">
      <w:pPr>
        <w:pBdr>
          <w:top w:val="nil"/>
          <w:left w:val="nil"/>
          <w:bottom w:val="nil"/>
          <w:right w:val="nil"/>
          <w:between w:val="nil"/>
        </w:pBdr>
        <w:spacing w:line="360" w:lineRule="auto"/>
        <w:jc w:val="both"/>
        <w:rPr>
          <w:rFonts w:ascii="Palatino Linotype" w:eastAsia="Palatino Linotype" w:hAnsi="Palatino Linotype" w:cs="Palatino Linotype"/>
        </w:rPr>
      </w:pPr>
    </w:p>
    <w:p w:rsidR="0061127B" w:rsidRPr="00967E20" w:rsidRDefault="0061127B" w:rsidP="0061127B">
      <w:pPr>
        <w:spacing w:line="360" w:lineRule="auto"/>
        <w:rPr>
          <w:rFonts w:ascii="Palatino Linotype" w:eastAsia="Palatino Linotype" w:hAnsi="Palatino Linotype" w:cs="Palatino Linotype"/>
        </w:rPr>
      </w:pPr>
    </w:p>
    <w:p w:rsidR="0061127B" w:rsidRPr="00967E20" w:rsidRDefault="0061127B" w:rsidP="0061127B">
      <w:pPr>
        <w:spacing w:line="360" w:lineRule="auto"/>
        <w:jc w:val="center"/>
        <w:rPr>
          <w:rFonts w:ascii="Palatino Linotype" w:eastAsia="Palatino Linotype" w:hAnsi="Palatino Linotype" w:cs="Palatino Linotype"/>
        </w:rPr>
      </w:pPr>
      <w:bookmarkStart w:id="2" w:name="_heading=h.1fob9te" w:colFirst="0" w:colLast="0"/>
      <w:bookmarkEnd w:id="2"/>
      <w:r w:rsidRPr="00967E20">
        <w:rPr>
          <w:rFonts w:ascii="Palatino Linotype" w:eastAsia="Palatino Linotype" w:hAnsi="Palatino Linotype" w:cs="Palatino Linotype"/>
          <w:b/>
          <w:bCs/>
        </w:rPr>
        <w:lastRenderedPageBreak/>
        <w:t>C O N S I D E R A N D O</w:t>
      </w:r>
    </w:p>
    <w:p w:rsidR="0061127B" w:rsidRPr="00967E20" w:rsidRDefault="0061127B" w:rsidP="0061127B">
      <w:pPr>
        <w:spacing w:line="360" w:lineRule="auto"/>
        <w:jc w:val="center"/>
        <w:rPr>
          <w:rFonts w:ascii="Palatino Linotype" w:eastAsia="Palatino Linotype" w:hAnsi="Palatino Linotype" w:cs="Palatino Linotype"/>
        </w:rPr>
      </w:pPr>
    </w:p>
    <w:p w:rsidR="0061127B" w:rsidRPr="00967E20" w:rsidRDefault="0061127B" w:rsidP="0061127B">
      <w:pPr>
        <w:spacing w:line="360" w:lineRule="auto"/>
        <w:jc w:val="both"/>
        <w:rPr>
          <w:rFonts w:ascii="Palatino Linotype" w:eastAsia="Palatino Linotype" w:hAnsi="Palatino Linotype" w:cs="Palatino Linotype"/>
          <w:b/>
          <w:bCs/>
        </w:rPr>
      </w:pPr>
      <w:bookmarkStart w:id="3" w:name="_heading=h.3znysh7" w:colFirst="0" w:colLast="0"/>
      <w:bookmarkEnd w:id="3"/>
      <w:r w:rsidRPr="00967E20">
        <w:rPr>
          <w:rFonts w:ascii="Palatino Linotype" w:eastAsia="Palatino Linotype" w:hAnsi="Palatino Linotype" w:cs="Palatino Linotype"/>
          <w:b/>
          <w:bCs/>
        </w:rPr>
        <w:t>PRIMERO. De la competencia</w:t>
      </w:r>
    </w:p>
    <w:p w:rsidR="0061127B" w:rsidRPr="00967E20" w:rsidRDefault="0061127B" w:rsidP="0061127B">
      <w:pPr>
        <w:numPr>
          <w:ilvl w:val="0"/>
          <w:numId w:val="3"/>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rPr>
      </w:pPr>
      <w:r w:rsidRPr="00967E20">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noveno, cuadragésimo y cuadragésimo primero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w:t>
      </w:r>
    </w:p>
    <w:p w:rsidR="0061127B" w:rsidRPr="00967E20" w:rsidRDefault="0061127B" w:rsidP="0061127B">
      <w:pPr>
        <w:keepNext/>
        <w:keepLines/>
        <w:spacing w:line="360" w:lineRule="auto"/>
        <w:rPr>
          <w:rFonts w:ascii="Palatino Linotype" w:eastAsia="Palatino Linotype" w:hAnsi="Palatino Linotype" w:cs="Palatino Linotype"/>
        </w:rPr>
      </w:pPr>
      <w:bookmarkStart w:id="4" w:name="_heading=h.2et92p0" w:colFirst="0" w:colLast="0"/>
      <w:bookmarkEnd w:id="4"/>
    </w:p>
    <w:p w:rsidR="0061127B" w:rsidRPr="00967E20" w:rsidRDefault="0061127B" w:rsidP="0061127B">
      <w:pPr>
        <w:keepNext/>
        <w:keepLines/>
        <w:spacing w:line="360" w:lineRule="auto"/>
        <w:rPr>
          <w:rFonts w:ascii="Palatino Linotype" w:eastAsia="Palatino Linotype" w:hAnsi="Palatino Linotype" w:cs="Palatino Linotype"/>
          <w:b/>
          <w:bCs/>
        </w:rPr>
      </w:pPr>
      <w:r w:rsidRPr="00967E20">
        <w:rPr>
          <w:rFonts w:ascii="Palatino Linotype" w:eastAsia="Palatino Linotype" w:hAnsi="Palatino Linotype" w:cs="Palatino Linotype"/>
          <w:b/>
          <w:bCs/>
        </w:rPr>
        <w:t>SEGUNDO. De la oportunidad y procedencia.</w:t>
      </w:r>
    </w:p>
    <w:p w:rsidR="0061127B" w:rsidRPr="00967E20" w:rsidRDefault="0061127B" w:rsidP="0061127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67E20">
        <w:rPr>
          <w:rFonts w:ascii="Palatino Linotype" w:eastAsia="Palatino Linotype" w:hAnsi="Palatino Linotype" w:cs="Palatino Linotype"/>
        </w:rPr>
        <w:t xml:space="preserve">El medio de impugnación fue presentado a través del </w:t>
      </w:r>
      <w:r w:rsidRPr="00967E20">
        <w:rPr>
          <w:rFonts w:ascii="Palatino Linotype" w:eastAsia="Palatino Linotype" w:hAnsi="Palatino Linotype" w:cs="Palatino Linotype"/>
          <w:b/>
          <w:bCs/>
        </w:rPr>
        <w:t>SAIMEX,</w:t>
      </w:r>
      <w:r w:rsidRPr="00967E20">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967E20">
        <w:rPr>
          <w:rFonts w:ascii="Palatino Linotype" w:eastAsia="Palatino Linotype" w:hAnsi="Palatino Linotype" w:cs="Palatino Linotype"/>
          <w:b/>
          <w:bCs/>
        </w:rPr>
        <w:t>SUJETO OBLIGADO</w:t>
      </w:r>
      <w:r w:rsidRPr="00967E20">
        <w:rPr>
          <w:rFonts w:ascii="Palatino Linotype" w:eastAsia="Palatino Linotype" w:hAnsi="Palatino Linotype" w:cs="Palatino Linotype"/>
        </w:rPr>
        <w:t xml:space="preserve"> entregó respuesta a la solicitud el día </w:t>
      </w:r>
      <w:r w:rsidR="00477C49" w:rsidRPr="00967E20">
        <w:rPr>
          <w:rFonts w:ascii="Palatino Linotype" w:eastAsia="Palatino Linotype" w:hAnsi="Palatino Linotype" w:cs="Palatino Linotype"/>
          <w:b/>
          <w:bCs/>
        </w:rPr>
        <w:t>siete de agosto</w:t>
      </w:r>
      <w:r w:rsidRPr="00967E20">
        <w:rPr>
          <w:rFonts w:ascii="Palatino Linotype" w:eastAsia="Palatino Linotype" w:hAnsi="Palatino Linotype" w:cs="Palatino Linotype"/>
          <w:b/>
          <w:bCs/>
        </w:rPr>
        <w:t xml:space="preserve"> de dos mil veinticinco</w:t>
      </w:r>
      <w:r w:rsidRPr="00967E20">
        <w:rPr>
          <w:rFonts w:ascii="Palatino Linotype" w:eastAsia="Palatino Linotype" w:hAnsi="Palatino Linotype" w:cs="Palatino Linotype"/>
        </w:rPr>
        <w:t>, de tal forma que el plazo para interponer el recurso de revisión transcurrió del</w:t>
      </w:r>
      <w:r w:rsidRPr="00967E20">
        <w:rPr>
          <w:rFonts w:ascii="Palatino Linotype" w:eastAsia="Palatino Linotype" w:hAnsi="Palatino Linotype" w:cs="Palatino Linotype"/>
          <w:b/>
          <w:bCs/>
        </w:rPr>
        <w:t xml:space="preserve"> </w:t>
      </w:r>
      <w:r w:rsidR="00477C49" w:rsidRPr="00967E20">
        <w:rPr>
          <w:rFonts w:ascii="Palatino Linotype" w:eastAsia="Palatino Linotype" w:hAnsi="Palatino Linotype" w:cs="Palatino Linotype"/>
          <w:b/>
          <w:bCs/>
        </w:rPr>
        <w:t>diez al veintiocho</w:t>
      </w:r>
      <w:r w:rsidRPr="00967E20">
        <w:rPr>
          <w:rFonts w:ascii="Palatino Linotype" w:eastAsia="Palatino Linotype" w:hAnsi="Palatino Linotype" w:cs="Palatino Linotype"/>
          <w:b/>
          <w:bCs/>
        </w:rPr>
        <w:t xml:space="preserve"> de agosto de dos mil veinticinco</w:t>
      </w:r>
      <w:r w:rsidRPr="00967E20">
        <w:rPr>
          <w:rFonts w:ascii="Palatino Linotype" w:eastAsia="Palatino Linotype" w:hAnsi="Palatino Linotype" w:cs="Palatino Linotype"/>
        </w:rPr>
        <w:t xml:space="preserve">; en consecuencia, presentó su inconformidad el día </w:t>
      </w:r>
      <w:r w:rsidR="00477C49" w:rsidRPr="00967E20">
        <w:rPr>
          <w:rFonts w:ascii="Palatino Linotype" w:eastAsia="Palatino Linotype" w:hAnsi="Palatino Linotype" w:cs="Palatino Linotype"/>
          <w:b/>
          <w:bCs/>
        </w:rPr>
        <w:t>veintiuno</w:t>
      </w:r>
      <w:r w:rsidRPr="00967E20">
        <w:rPr>
          <w:rFonts w:ascii="Palatino Linotype" w:eastAsia="Palatino Linotype" w:hAnsi="Palatino Linotype" w:cs="Palatino Linotype"/>
          <w:b/>
          <w:bCs/>
        </w:rPr>
        <w:t xml:space="preserve"> de agosto de dos mil veintiséis</w:t>
      </w:r>
      <w:r w:rsidRPr="00967E20">
        <w:rPr>
          <w:rFonts w:ascii="Palatino Linotype" w:eastAsia="Palatino Linotype" w:hAnsi="Palatino Linotype" w:cs="Palatino Linotype"/>
        </w:rPr>
        <w:t xml:space="preserve">, por lo que se encuentra dentro de los márgenes temporales previstos en el artículo 178 de la </w:t>
      </w:r>
      <w:r w:rsidRPr="00967E20">
        <w:rPr>
          <w:rFonts w:ascii="Palatino Linotype" w:eastAsia="Palatino Linotype" w:hAnsi="Palatino Linotype" w:cs="Palatino Linotype"/>
          <w:b/>
          <w:bCs/>
        </w:rPr>
        <w:t xml:space="preserve">Ley de Transparencia y Acceso a la Información Pública del Estado de México y Municipios </w:t>
      </w:r>
      <w:r w:rsidRPr="00967E20">
        <w:rPr>
          <w:rFonts w:ascii="Palatino Linotype" w:eastAsia="Palatino Linotype" w:hAnsi="Palatino Linotype" w:cs="Palatino Linotype"/>
        </w:rPr>
        <w:t>vigente.</w:t>
      </w:r>
    </w:p>
    <w:p w:rsidR="0061127B" w:rsidRPr="00967E20" w:rsidRDefault="0061127B" w:rsidP="0061127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67E20">
        <w:rPr>
          <w:rFonts w:ascii="Palatino Linotype" w:eastAsia="Palatino Linotype" w:hAnsi="Palatino Linotype" w:cs="Palatino Linotype"/>
        </w:rPr>
        <w:lastRenderedPageBreak/>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61127B" w:rsidRPr="00967E20" w:rsidRDefault="0061127B" w:rsidP="0061127B">
      <w:pPr>
        <w:pBdr>
          <w:top w:val="nil"/>
          <w:left w:val="nil"/>
          <w:bottom w:val="nil"/>
          <w:right w:val="nil"/>
          <w:between w:val="nil"/>
        </w:pBdr>
        <w:ind w:left="720"/>
        <w:rPr>
          <w:rFonts w:ascii="Palatino Linotype" w:eastAsia="Palatino Linotype" w:hAnsi="Palatino Linotype" w:cs="Palatino Linotype"/>
        </w:rPr>
      </w:pPr>
    </w:p>
    <w:p w:rsidR="0061127B" w:rsidRPr="00967E20" w:rsidRDefault="0061127B" w:rsidP="0061127B">
      <w:pPr>
        <w:pStyle w:val="Ttulo1"/>
        <w:rPr>
          <w:rFonts w:ascii="Palatino Linotype" w:eastAsia="Palatino Linotype" w:hAnsi="Palatino Linotype" w:cs="Palatino Linotype"/>
          <w:b/>
          <w:bCs/>
          <w:color w:val="000000"/>
          <w:sz w:val="24"/>
          <w:szCs w:val="24"/>
        </w:rPr>
      </w:pPr>
      <w:r w:rsidRPr="00967E20">
        <w:rPr>
          <w:rFonts w:ascii="Palatino Linotype" w:eastAsia="Palatino Linotype" w:hAnsi="Palatino Linotype" w:cs="Palatino Linotype"/>
          <w:b/>
          <w:bCs/>
          <w:color w:val="000000"/>
          <w:sz w:val="24"/>
          <w:szCs w:val="24"/>
        </w:rPr>
        <w:t xml:space="preserve">TERCERO. Planteamiento de la Litis </w:t>
      </w:r>
    </w:p>
    <w:p w:rsidR="0061127B" w:rsidRPr="00967E20" w:rsidRDefault="0061127B" w:rsidP="0061127B">
      <w:pPr>
        <w:numPr>
          <w:ilvl w:val="0"/>
          <w:numId w:val="3"/>
        </w:numPr>
        <w:pBdr>
          <w:top w:val="nil"/>
          <w:left w:val="nil"/>
          <w:bottom w:val="nil"/>
          <w:right w:val="nil"/>
          <w:between w:val="nil"/>
        </w:pBdr>
        <w:spacing w:before="240" w:line="360" w:lineRule="auto"/>
        <w:ind w:left="0" w:right="49" w:firstLine="0"/>
        <w:jc w:val="both"/>
        <w:rPr>
          <w:rFonts w:ascii="Palatino Linotype" w:eastAsia="Palatino Linotype" w:hAnsi="Palatino Linotype" w:cs="Palatino Linotype"/>
          <w:i/>
          <w:iCs/>
          <w:color w:val="000000"/>
        </w:rPr>
      </w:pPr>
      <w:r w:rsidRPr="00967E20">
        <w:rPr>
          <w:rFonts w:ascii="Palatino Linotype" w:eastAsia="Palatino Linotype" w:hAnsi="Palatino Linotype" w:cs="Palatino Linotype"/>
          <w:color w:val="000000"/>
        </w:rPr>
        <w:t xml:space="preserve">El recurrente solicitó </w:t>
      </w:r>
      <w:r w:rsidR="00477C49" w:rsidRPr="00967E20">
        <w:rPr>
          <w:rFonts w:ascii="Palatino Linotype" w:eastAsia="Palatino Linotype" w:hAnsi="Palatino Linotype" w:cs="Palatino Linotype"/>
          <w:color w:val="000000"/>
        </w:rPr>
        <w:t xml:space="preserve">las licencias de construcción entregadas en dos mil veinticinco.  </w:t>
      </w:r>
      <w:r w:rsidRPr="00967E20">
        <w:rPr>
          <w:rFonts w:ascii="Palatino Linotype" w:eastAsia="Palatino Linotype" w:hAnsi="Palatino Linotype" w:cs="Palatino Linotype"/>
          <w:color w:val="000000"/>
        </w:rPr>
        <w:t xml:space="preserve"> </w:t>
      </w:r>
    </w:p>
    <w:p w:rsidR="0061127B" w:rsidRPr="00967E20" w:rsidRDefault="0061127B" w:rsidP="0061127B">
      <w:pPr>
        <w:pBdr>
          <w:top w:val="nil"/>
          <w:left w:val="nil"/>
          <w:bottom w:val="nil"/>
          <w:right w:val="nil"/>
          <w:between w:val="nil"/>
        </w:pBdr>
        <w:spacing w:line="360" w:lineRule="auto"/>
        <w:ind w:right="49"/>
        <w:jc w:val="both"/>
        <w:rPr>
          <w:rFonts w:ascii="Palatino Linotype" w:eastAsia="Palatino Linotype" w:hAnsi="Palatino Linotype" w:cs="Palatino Linotype"/>
          <w:i/>
          <w:iCs/>
          <w:color w:val="000000"/>
        </w:rPr>
      </w:pPr>
    </w:p>
    <w:p w:rsidR="0061127B" w:rsidRPr="00967E20" w:rsidRDefault="0061127B" w:rsidP="0061127B">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i/>
          <w:iCs/>
          <w:color w:val="000000"/>
        </w:rPr>
      </w:pPr>
      <w:r w:rsidRPr="00967E20">
        <w:rPr>
          <w:rFonts w:ascii="Palatino Linotype" w:eastAsia="Palatino Linotype" w:hAnsi="Palatino Linotype" w:cs="Palatino Linotype"/>
          <w:color w:val="000000"/>
        </w:rPr>
        <w:t xml:space="preserve">En respuesta, el Sujeto Obligado señaló </w:t>
      </w:r>
      <w:r w:rsidR="00477C49" w:rsidRPr="00967E20">
        <w:rPr>
          <w:rFonts w:ascii="Palatino Linotype" w:eastAsia="Palatino Linotype" w:hAnsi="Palatino Linotype" w:cs="Palatino Linotype"/>
          <w:color w:val="000000"/>
        </w:rPr>
        <w:t xml:space="preserve">una liga electrónica y los pasos para acceder a la información, posteriormente, el Recurrente se inconformó por la negativa de la información. </w:t>
      </w:r>
      <w:r w:rsidRPr="00967E20">
        <w:rPr>
          <w:rFonts w:ascii="Palatino Linotype" w:eastAsia="Palatino Linotype" w:hAnsi="Palatino Linotype" w:cs="Palatino Linotype"/>
          <w:color w:val="000000"/>
        </w:rPr>
        <w:t xml:space="preserve">  </w:t>
      </w:r>
    </w:p>
    <w:p w:rsidR="0061127B" w:rsidRPr="00967E20" w:rsidRDefault="0061127B" w:rsidP="0061127B">
      <w:pPr>
        <w:pBdr>
          <w:top w:val="nil"/>
          <w:left w:val="nil"/>
          <w:bottom w:val="nil"/>
          <w:right w:val="nil"/>
          <w:between w:val="nil"/>
        </w:pBdr>
        <w:spacing w:line="360" w:lineRule="auto"/>
        <w:ind w:right="49"/>
        <w:jc w:val="both"/>
        <w:rPr>
          <w:rFonts w:ascii="Palatino Linotype" w:eastAsia="Palatino Linotype" w:hAnsi="Palatino Linotype" w:cs="Palatino Linotype"/>
          <w:i/>
          <w:iCs/>
          <w:color w:val="000000"/>
        </w:rPr>
      </w:pPr>
    </w:p>
    <w:p w:rsidR="0061127B" w:rsidRPr="00967E20" w:rsidRDefault="0061127B" w:rsidP="0061127B">
      <w:pPr>
        <w:numPr>
          <w:ilvl w:val="0"/>
          <w:numId w:val="3"/>
        </w:numPr>
        <w:pBdr>
          <w:top w:val="nil"/>
          <w:left w:val="nil"/>
          <w:bottom w:val="nil"/>
          <w:right w:val="nil"/>
          <w:between w:val="nil"/>
        </w:pBdr>
        <w:spacing w:after="240" w:line="360" w:lineRule="auto"/>
        <w:ind w:left="0" w:right="49" w:firstLine="0"/>
        <w:jc w:val="both"/>
        <w:rPr>
          <w:rFonts w:ascii="Palatino Linotype" w:eastAsia="Palatino Linotype" w:hAnsi="Palatino Linotype" w:cs="Palatino Linotype"/>
          <w:i/>
          <w:iCs/>
          <w:color w:val="000000"/>
        </w:rPr>
      </w:pPr>
      <w:r w:rsidRPr="00967E20">
        <w:rPr>
          <w:rFonts w:ascii="Palatino Linotype" w:eastAsia="Palatino Linotype" w:hAnsi="Palatino Linotype" w:cs="Palatino Linotype"/>
          <w:color w:val="000000"/>
        </w:rPr>
        <w:t>Por lo tanto, el presente recurso de revisión se circunscribe en determinar si se actualiza la causal de procedencia</w:t>
      </w:r>
      <w:r w:rsidRPr="00967E20">
        <w:rPr>
          <w:rFonts w:ascii="Palatino Linotype" w:eastAsia="Palatino Linotype" w:hAnsi="Palatino Linotype" w:cs="Palatino Linotype"/>
          <w:b/>
          <w:bCs/>
          <w:color w:val="000000"/>
        </w:rPr>
        <w:t xml:space="preserve"> </w:t>
      </w:r>
      <w:r w:rsidRPr="00967E20">
        <w:rPr>
          <w:rFonts w:ascii="Palatino Linotype" w:eastAsia="Palatino Linotype" w:hAnsi="Palatino Linotype" w:cs="Palatino Linotype"/>
          <w:color w:val="000000"/>
        </w:rPr>
        <w:t>conteni</w:t>
      </w:r>
      <w:r w:rsidR="00477C49" w:rsidRPr="00967E20">
        <w:rPr>
          <w:rFonts w:ascii="Palatino Linotype" w:eastAsia="Palatino Linotype" w:hAnsi="Palatino Linotype" w:cs="Palatino Linotype"/>
          <w:color w:val="000000"/>
        </w:rPr>
        <w:t>da en el artículo 179 fracción I</w:t>
      </w:r>
      <w:r w:rsidRPr="00967E20">
        <w:rPr>
          <w:rFonts w:ascii="Palatino Linotype" w:eastAsia="Palatino Linotype" w:hAnsi="Palatino Linotype" w:cs="Palatino Linotype"/>
          <w:color w:val="000000"/>
        </w:rPr>
        <w:t xml:space="preserve">, de la </w:t>
      </w:r>
      <w:r w:rsidRPr="00967E20">
        <w:rPr>
          <w:rFonts w:ascii="Palatino Linotype" w:eastAsia="Palatino Linotype" w:hAnsi="Palatino Linotype" w:cs="Palatino Linotype"/>
          <w:b/>
          <w:bCs/>
          <w:color w:val="000000"/>
        </w:rPr>
        <w:t>Ley de Transparencia y Acceso a la Información Pública del Estado de México y Municipios</w:t>
      </w:r>
      <w:r w:rsidRPr="00967E20">
        <w:rPr>
          <w:rFonts w:ascii="Palatino Linotype" w:eastAsia="Palatino Linotype" w:hAnsi="Palatino Linotype" w:cs="Palatino Linotype"/>
          <w:color w:val="000000"/>
        </w:rPr>
        <w:t xml:space="preserve">, relativo a </w:t>
      </w:r>
      <w:r w:rsidR="00477C49" w:rsidRPr="00967E20">
        <w:rPr>
          <w:rFonts w:ascii="Palatino Linotype" w:eastAsia="Palatino Linotype" w:hAnsi="Palatino Linotype" w:cs="Palatino Linotype"/>
          <w:color w:val="000000"/>
        </w:rPr>
        <w:t xml:space="preserve">la negativa de la información. </w:t>
      </w:r>
      <w:r w:rsidRPr="00967E20">
        <w:rPr>
          <w:rFonts w:ascii="Palatino Linotype" w:eastAsia="Palatino Linotype" w:hAnsi="Palatino Linotype" w:cs="Palatino Linotype"/>
          <w:color w:val="000000"/>
        </w:rPr>
        <w:t xml:space="preserve"> </w:t>
      </w:r>
    </w:p>
    <w:p w:rsidR="0061127B" w:rsidRPr="00967E20" w:rsidRDefault="0061127B" w:rsidP="0061127B">
      <w:pPr>
        <w:pStyle w:val="Ttulo2"/>
        <w:tabs>
          <w:tab w:val="left" w:pos="426"/>
        </w:tabs>
        <w:rPr>
          <w:rFonts w:ascii="Palatino Linotype" w:eastAsia="Palatino Linotype" w:hAnsi="Palatino Linotype" w:cs="Palatino Linotype"/>
          <w:b/>
          <w:bCs/>
          <w:color w:val="000000"/>
          <w:sz w:val="24"/>
          <w:szCs w:val="24"/>
        </w:rPr>
      </w:pPr>
      <w:bookmarkStart w:id="5" w:name="_heading=h.6ktr63nmw93t" w:colFirst="0" w:colLast="0"/>
      <w:bookmarkEnd w:id="5"/>
      <w:r w:rsidRPr="00967E20">
        <w:rPr>
          <w:rFonts w:ascii="Palatino Linotype" w:eastAsia="Palatino Linotype" w:hAnsi="Palatino Linotype" w:cs="Palatino Linotype"/>
          <w:b/>
          <w:bCs/>
          <w:color w:val="000000"/>
          <w:sz w:val="24"/>
          <w:szCs w:val="24"/>
        </w:rPr>
        <w:t>CUARTO. Estudio y Resolución del asunto.</w:t>
      </w:r>
    </w:p>
    <w:p w:rsidR="0061127B" w:rsidRPr="00967E20" w:rsidRDefault="0061127B" w:rsidP="0061127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67E20">
        <w:rPr>
          <w:rFonts w:ascii="Palatino Linotype" w:eastAsia="Palatino Linotype" w:hAnsi="Palatino Linotype" w:cs="Palatino Linotype"/>
          <w:color w:val="000000"/>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61127B" w:rsidRDefault="0061127B" w:rsidP="0061127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67E20" w:rsidRPr="00967E20" w:rsidRDefault="00967E20" w:rsidP="0061127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1127B" w:rsidRPr="00967E20" w:rsidRDefault="0061127B" w:rsidP="0061127B">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967E20">
        <w:rPr>
          <w:rFonts w:ascii="Palatino Linotype" w:eastAsia="Palatino Linotype" w:hAnsi="Palatino Linotype" w:cs="Palatino Linotype"/>
          <w:b/>
          <w:bCs/>
          <w:color w:val="000000"/>
        </w:rPr>
        <w:lastRenderedPageBreak/>
        <w:t xml:space="preserve">De la naturaleza de la información solicitada. </w:t>
      </w:r>
    </w:p>
    <w:p w:rsidR="0061127B" w:rsidRPr="00967E20" w:rsidRDefault="0061127B" w:rsidP="0061127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67E20">
        <w:rPr>
          <w:rFonts w:ascii="Palatino Linotype" w:eastAsia="Palatino Linotype" w:hAnsi="Palatino Linotype" w:cs="Palatino Linotype"/>
          <w:color w:val="000000"/>
        </w:rPr>
        <w:t xml:space="preserve">Primeramente, se precisa que se obvia el análisis de la competencia por parte del </w:t>
      </w:r>
      <w:r w:rsidRPr="00967E20">
        <w:rPr>
          <w:rFonts w:ascii="Palatino Linotype" w:eastAsia="Palatino Linotype" w:hAnsi="Palatino Linotype" w:cs="Palatino Linotype"/>
          <w:b/>
          <w:bCs/>
          <w:color w:val="000000"/>
        </w:rPr>
        <w:t>SUJETO OBLIGADO</w:t>
      </w:r>
      <w:r w:rsidRPr="00967E20">
        <w:rPr>
          <w:rFonts w:ascii="Palatino Linotype" w:eastAsia="Palatino Linotype" w:hAnsi="Palatino Linotype" w:cs="Palatino Linotype"/>
          <w:color w:val="000000"/>
        </w:rPr>
        <w:t>, para generar, administrar o poseer la información solicitada, dado que éste ha asumido la misma, en razón de que en su respuesta admitió contar con dicha información.</w:t>
      </w:r>
    </w:p>
    <w:p w:rsidR="0061127B" w:rsidRPr="00967E20" w:rsidRDefault="0061127B" w:rsidP="0061127B">
      <w:pPr>
        <w:pBdr>
          <w:top w:val="nil"/>
          <w:left w:val="nil"/>
          <w:bottom w:val="nil"/>
          <w:right w:val="nil"/>
          <w:between w:val="nil"/>
        </w:pBdr>
        <w:ind w:left="720"/>
        <w:rPr>
          <w:rFonts w:ascii="Palatino Linotype" w:eastAsia="Palatino Linotype" w:hAnsi="Palatino Linotype" w:cs="Palatino Linotype"/>
          <w:color w:val="000000"/>
        </w:rPr>
      </w:pPr>
    </w:p>
    <w:p w:rsidR="0061127B" w:rsidRPr="00967E20" w:rsidRDefault="0061127B" w:rsidP="0061127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bookmarkStart w:id="6" w:name="_heading=h.g7zcieg0cvp6" w:colFirst="0" w:colLast="0"/>
      <w:bookmarkEnd w:id="6"/>
      <w:r w:rsidRPr="00967E20">
        <w:rPr>
          <w:rFonts w:ascii="Palatino Linotype" w:eastAsia="Palatino Linotype" w:hAnsi="Palatino Linotype" w:cs="Palatino Linotype"/>
          <w:color w:val="000000"/>
        </w:rPr>
        <w:t xml:space="preserve">En efecto, el hecho de que </w:t>
      </w:r>
      <w:r w:rsidRPr="00967E20">
        <w:rPr>
          <w:rFonts w:ascii="Palatino Linotype" w:eastAsia="Palatino Linotype" w:hAnsi="Palatino Linotype" w:cs="Palatino Linotype"/>
          <w:b/>
          <w:bCs/>
          <w:color w:val="000000"/>
        </w:rPr>
        <w:t>EL SUJETO OBLIGADO</w:t>
      </w:r>
      <w:r w:rsidRPr="00967E20">
        <w:rPr>
          <w:rFonts w:ascii="Palatino Linotype" w:eastAsia="Palatino Linotype" w:hAnsi="Palatino Linotype" w:cs="Palatino Linotype"/>
          <w:color w:val="000000"/>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61127B" w:rsidRPr="00967E20" w:rsidRDefault="0061127B" w:rsidP="0061127B">
      <w:pPr>
        <w:pBdr>
          <w:top w:val="nil"/>
          <w:left w:val="nil"/>
          <w:bottom w:val="nil"/>
          <w:right w:val="nil"/>
          <w:between w:val="nil"/>
        </w:pBdr>
        <w:tabs>
          <w:tab w:val="left" w:pos="8080"/>
        </w:tabs>
        <w:ind w:left="851" w:right="902"/>
        <w:jc w:val="both"/>
        <w:rPr>
          <w:rFonts w:ascii="Palatino Linotype" w:eastAsia="Palatino Linotype" w:hAnsi="Palatino Linotype" w:cs="Palatino Linotype"/>
          <w:i/>
          <w:iCs/>
          <w:color w:val="000000"/>
        </w:rPr>
      </w:pPr>
      <w:r w:rsidRPr="00967E20">
        <w:rPr>
          <w:rFonts w:ascii="Palatino Linotype" w:eastAsia="Palatino Linotype" w:hAnsi="Palatino Linotype" w:cs="Palatino Linotype"/>
          <w:i/>
          <w:iCs/>
          <w:color w:val="000000"/>
        </w:rPr>
        <w:t>“</w:t>
      </w:r>
      <w:r w:rsidRPr="00967E20">
        <w:rPr>
          <w:rFonts w:ascii="Palatino Linotype" w:eastAsia="Palatino Linotype" w:hAnsi="Palatino Linotype" w:cs="Palatino Linotype"/>
          <w:b/>
          <w:bCs/>
          <w:i/>
          <w:iCs/>
          <w:color w:val="000000"/>
        </w:rPr>
        <w:t>Artículo 12.</w:t>
      </w:r>
      <w:r w:rsidRPr="00967E20">
        <w:rPr>
          <w:rFonts w:ascii="Palatino Linotype" w:eastAsia="Palatino Linotype" w:hAnsi="Palatino Linotype" w:cs="Palatino Linotype"/>
          <w:i/>
          <w:iCs/>
          <w:color w:val="000000"/>
        </w:rPr>
        <w:t> Quienes generen, recopilen, administren, manejen, procesen, archiven o conserven información pública serán responsables de la misma en los términos de las disposiciones jurídicas aplicables.</w:t>
      </w:r>
    </w:p>
    <w:p w:rsidR="0061127B" w:rsidRPr="00967E20" w:rsidRDefault="0061127B" w:rsidP="0061127B">
      <w:pPr>
        <w:pBdr>
          <w:top w:val="nil"/>
          <w:left w:val="nil"/>
          <w:bottom w:val="nil"/>
          <w:right w:val="nil"/>
          <w:between w:val="nil"/>
        </w:pBdr>
        <w:tabs>
          <w:tab w:val="left" w:pos="8080"/>
        </w:tabs>
        <w:ind w:left="851" w:right="902"/>
        <w:jc w:val="both"/>
        <w:rPr>
          <w:rFonts w:ascii="Palatino Linotype" w:eastAsia="Palatino Linotype" w:hAnsi="Palatino Linotype" w:cs="Palatino Linotype"/>
          <w:i/>
          <w:iCs/>
          <w:color w:val="000000"/>
        </w:rPr>
      </w:pPr>
    </w:p>
    <w:p w:rsidR="0061127B" w:rsidRPr="00967E20" w:rsidRDefault="0061127B" w:rsidP="0061127B">
      <w:pPr>
        <w:pBdr>
          <w:top w:val="nil"/>
          <w:left w:val="nil"/>
          <w:bottom w:val="nil"/>
          <w:right w:val="nil"/>
          <w:between w:val="nil"/>
        </w:pBdr>
        <w:tabs>
          <w:tab w:val="left" w:pos="8080"/>
        </w:tabs>
        <w:ind w:left="851" w:right="902"/>
        <w:jc w:val="both"/>
        <w:rPr>
          <w:rFonts w:ascii="Palatino Linotype" w:eastAsia="Palatino Linotype" w:hAnsi="Palatino Linotype" w:cs="Palatino Linotype"/>
          <w:i/>
          <w:iCs/>
          <w:color w:val="000000"/>
        </w:rPr>
      </w:pPr>
      <w:r w:rsidRPr="00967E20">
        <w:rPr>
          <w:rFonts w:ascii="Palatino Linotype" w:eastAsia="Palatino Linotype" w:hAnsi="Palatino Linotype" w:cs="Palatino Linotype"/>
          <w:i/>
          <w:iCs/>
          <w:color w:val="000000"/>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61127B" w:rsidRPr="00967E20" w:rsidRDefault="0061127B" w:rsidP="0061127B">
      <w:pPr>
        <w:pBdr>
          <w:top w:val="nil"/>
          <w:left w:val="nil"/>
          <w:bottom w:val="nil"/>
          <w:right w:val="nil"/>
          <w:between w:val="nil"/>
        </w:pBdr>
        <w:ind w:left="360" w:right="902"/>
        <w:jc w:val="both"/>
        <w:rPr>
          <w:rFonts w:ascii="Palatino Linotype" w:eastAsia="Palatino Linotype" w:hAnsi="Palatino Linotype" w:cs="Palatino Linotype"/>
          <w:color w:val="000000"/>
        </w:rPr>
      </w:pPr>
    </w:p>
    <w:p w:rsidR="0061127B" w:rsidRPr="00967E20" w:rsidRDefault="0061127B" w:rsidP="0061127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67E20">
        <w:rPr>
          <w:rFonts w:ascii="Palatino Linotype" w:eastAsia="Palatino Linotype" w:hAnsi="Palatino Linotype" w:cs="Palatino Linotype"/>
          <w:color w:val="000000"/>
        </w:rPr>
        <w:t>Así, el estudio de la naturaleza jurídica de la información pública solicitada, tiene por objeto determinar si ésta la genera, posee o administra </w:t>
      </w:r>
      <w:r w:rsidRPr="00967E20">
        <w:rPr>
          <w:rFonts w:ascii="Palatino Linotype" w:eastAsia="Palatino Linotype" w:hAnsi="Palatino Linotype" w:cs="Palatino Linotype"/>
          <w:b/>
          <w:bCs/>
          <w:color w:val="000000"/>
        </w:rPr>
        <w:t>EL SUJETO OBLIGADO</w:t>
      </w:r>
      <w:r w:rsidRPr="00967E20">
        <w:rPr>
          <w:rFonts w:ascii="Palatino Linotype" w:eastAsia="Palatino Linotype" w:hAnsi="Palatino Linotype" w:cs="Palatino Linotype"/>
          <w:color w:val="000000"/>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61127B" w:rsidRPr="00967E20" w:rsidRDefault="0061127B" w:rsidP="0061127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1127B" w:rsidRPr="00967E20" w:rsidRDefault="0061127B" w:rsidP="0061127B">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967E20">
        <w:rPr>
          <w:rFonts w:ascii="Palatino Linotype" w:eastAsia="Palatino Linotype" w:hAnsi="Palatino Linotype" w:cs="Palatino Linotype"/>
          <w:b/>
          <w:bCs/>
          <w:color w:val="000000"/>
        </w:rPr>
        <w:lastRenderedPageBreak/>
        <w:t>De las información en ligas electrónicas.</w:t>
      </w:r>
    </w:p>
    <w:p w:rsidR="0061127B" w:rsidRPr="00967E20" w:rsidRDefault="0061127B" w:rsidP="0061127B">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967E20">
        <w:rPr>
          <w:rFonts w:ascii="Palatino Linotype" w:eastAsia="Palatino Linotype" w:hAnsi="Palatino Linotype" w:cs="Palatino Linotype"/>
          <w:color w:val="000000"/>
        </w:rPr>
        <w:t xml:space="preserve">La Ley en la materia en términos generales, establece que como uno de los objetivos con el que cuenta es el de garantizar a toda persona el derecho de acceso a la información pública, mediante los procedimientos establecidos de forma </w:t>
      </w:r>
      <w:r w:rsidRPr="00967E20">
        <w:rPr>
          <w:rFonts w:ascii="Palatino Linotype" w:eastAsia="Palatino Linotype" w:hAnsi="Palatino Linotype" w:cs="Palatino Linotype"/>
          <w:b/>
          <w:bCs/>
          <w:color w:val="000000"/>
        </w:rPr>
        <w:t>sencilla</w:t>
      </w:r>
      <w:r w:rsidRPr="00967E20">
        <w:rPr>
          <w:rFonts w:ascii="Palatino Linotype" w:eastAsia="Palatino Linotype" w:hAnsi="Palatino Linotype" w:cs="Palatino Linotype"/>
          <w:color w:val="000000"/>
        </w:rPr>
        <w:t xml:space="preserve">, expeditos, </w:t>
      </w:r>
      <w:r w:rsidRPr="00967E20">
        <w:rPr>
          <w:rFonts w:ascii="Palatino Linotype" w:eastAsia="Palatino Linotype" w:hAnsi="Palatino Linotype" w:cs="Palatino Linotype"/>
          <w:b/>
          <w:bCs/>
          <w:color w:val="000000"/>
        </w:rPr>
        <w:t>oportunos</w:t>
      </w:r>
      <w:r w:rsidRPr="00967E20">
        <w:rPr>
          <w:rFonts w:ascii="Palatino Linotype" w:eastAsia="Palatino Linotype" w:hAnsi="Palatino Linotype" w:cs="Palatino Linotype"/>
          <w:color w:val="000000"/>
        </w:rPr>
        <w:t xml:space="preserve"> y gratuitos, y con ello contribuir a la mejora de procedimientos y mecanismos que permitan </w:t>
      </w:r>
      <w:r w:rsidRPr="00967E20">
        <w:rPr>
          <w:rFonts w:ascii="Palatino Linotype" w:eastAsia="Palatino Linotype" w:hAnsi="Palatino Linotype" w:cs="Palatino Linotype"/>
        </w:rPr>
        <w:t>transparentar</w:t>
      </w:r>
      <w:r w:rsidRPr="00967E20">
        <w:rPr>
          <w:rFonts w:ascii="Palatino Linotype" w:eastAsia="Palatino Linotype" w:hAnsi="Palatino Linotype" w:cs="Palatino Linotype"/>
          <w:color w:val="000000"/>
        </w:rPr>
        <w:t xml:space="preserve"> la gestión pública y mejora la toma decisiones, a través de la difusión de la información que obra en poder de los sujeto obligados.</w:t>
      </w:r>
    </w:p>
    <w:p w:rsidR="0061127B" w:rsidRPr="00967E20" w:rsidRDefault="0061127B" w:rsidP="0061127B">
      <w:pPr>
        <w:spacing w:line="360" w:lineRule="auto"/>
        <w:ind w:right="49"/>
        <w:jc w:val="both"/>
        <w:rPr>
          <w:rFonts w:ascii="Palatino Linotype" w:eastAsia="Palatino Linotype" w:hAnsi="Palatino Linotype" w:cs="Palatino Linotype"/>
        </w:rPr>
      </w:pPr>
    </w:p>
    <w:p w:rsidR="0061127B" w:rsidRPr="00967E20" w:rsidRDefault="0061127B" w:rsidP="0061127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67E20">
        <w:rPr>
          <w:rFonts w:ascii="Palatino Linotype" w:eastAsia="Palatino Linotype" w:hAnsi="Palatino Linotype" w:cs="Palatino Linotype"/>
          <w:color w:val="000000"/>
        </w:rPr>
        <w:t xml:space="preserve">El formato prediseñado para que los particulares formulen su solicitud de acceso a la información contiene opciones para seleccionar la modalidad de entrega de la información. En el presente asunto en particular, se solicitó la información a través del SAIMEX. En consecuencia, lo idóneo es </w:t>
      </w:r>
      <w:r w:rsidRPr="00967E20">
        <w:rPr>
          <w:rFonts w:ascii="Palatino Linotype" w:eastAsia="Palatino Linotype" w:hAnsi="Palatino Linotype" w:cs="Palatino Linotype"/>
        </w:rPr>
        <w:t>que los</w:t>
      </w:r>
      <w:r w:rsidRPr="00967E20">
        <w:rPr>
          <w:rFonts w:ascii="Palatino Linotype" w:eastAsia="Palatino Linotype" w:hAnsi="Palatino Linotype" w:cs="Palatino Linotype"/>
          <w:color w:val="000000"/>
        </w:rPr>
        <w:t xml:space="preserve"> Sujetos Obligados proporcionen la información por el medio solicitado; no obstante, la Ley de Transparencia y Acceso</w:t>
      </w:r>
      <w:r w:rsidRPr="00967E20">
        <w:rPr>
          <w:rFonts w:ascii="Palatino Linotype" w:eastAsia="Palatino Linotype" w:hAnsi="Palatino Linotype" w:cs="Palatino Linotype"/>
          <w:b/>
          <w:bCs/>
          <w:color w:val="000000"/>
        </w:rPr>
        <w:t xml:space="preserve"> </w:t>
      </w:r>
      <w:r w:rsidRPr="00967E20">
        <w:rPr>
          <w:rFonts w:ascii="Palatino Linotype" w:eastAsia="Palatino Linotype" w:hAnsi="Palatino Linotype" w:cs="Palatino Linotype"/>
          <w:color w:val="000000"/>
        </w:rPr>
        <w:t>a la Información Pública del Estado de México y Municipios establece dos puntos importantes que impactan sobre la modalidad de entrega de la información.</w:t>
      </w:r>
    </w:p>
    <w:p w:rsidR="0061127B" w:rsidRPr="00967E20" w:rsidRDefault="0061127B" w:rsidP="0061127B">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61127B" w:rsidRPr="00967E20" w:rsidRDefault="0061127B" w:rsidP="0061127B">
      <w:pPr>
        <w:numPr>
          <w:ilvl w:val="0"/>
          <w:numId w:val="3"/>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967E20">
        <w:rPr>
          <w:rFonts w:ascii="Palatino Linotype" w:eastAsia="Palatino Linotype" w:hAnsi="Palatino Linotype" w:cs="Palatino Linotype"/>
          <w:color w:val="000000"/>
        </w:rPr>
        <w:t xml:space="preserve">El primer punto a analizar es que la ley en materia contempla </w:t>
      </w:r>
      <w:r w:rsidRPr="00967E20">
        <w:rPr>
          <w:rFonts w:ascii="Palatino Linotype" w:eastAsia="Palatino Linotype" w:hAnsi="Palatino Linotype" w:cs="Palatino Linotype"/>
          <w:b/>
          <w:bCs/>
          <w:color w:val="000000"/>
        </w:rPr>
        <w:t>información pública de oficio</w:t>
      </w:r>
      <w:r w:rsidRPr="00967E20">
        <w:rPr>
          <w:rFonts w:ascii="Palatino Linotype" w:eastAsia="Palatino Linotype" w:hAnsi="Palatino Linotype" w:cs="Palatino Linotype"/>
          <w:color w:val="000000"/>
        </w:rPr>
        <w:t xml:space="preserve"> que los Sujetos Obligados deben poner a disposición del público de manera permanente y actualizada de forma sencilla, precisa y entendible, en los respectivos medios electrónicos la información pública que generen, administren o posean.</w:t>
      </w:r>
    </w:p>
    <w:p w:rsidR="0061127B" w:rsidRPr="00967E20" w:rsidRDefault="0061127B" w:rsidP="0061127B">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61127B" w:rsidRPr="00967E20" w:rsidRDefault="0061127B" w:rsidP="0061127B">
      <w:pPr>
        <w:numPr>
          <w:ilvl w:val="0"/>
          <w:numId w:val="3"/>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967E20">
        <w:rPr>
          <w:rFonts w:ascii="Palatino Linotype" w:eastAsia="Palatino Linotype" w:hAnsi="Palatino Linotype" w:cs="Palatino Linotype"/>
          <w:color w:val="000000"/>
        </w:rPr>
        <w:t>El segundo punto a analizar y que guarda estricta relación con el punto anterior, se encuentra en el artículo 161 de la citada Ley de Transparencia Local:</w:t>
      </w:r>
    </w:p>
    <w:p w:rsidR="0061127B" w:rsidRPr="00967E20" w:rsidRDefault="0061127B" w:rsidP="0061127B">
      <w:pPr>
        <w:pBdr>
          <w:top w:val="nil"/>
          <w:left w:val="nil"/>
          <w:bottom w:val="nil"/>
          <w:right w:val="nil"/>
          <w:between w:val="nil"/>
        </w:pBdr>
        <w:ind w:left="720"/>
        <w:rPr>
          <w:rFonts w:ascii="Palatino Linotype" w:eastAsia="Palatino Linotype" w:hAnsi="Palatino Linotype" w:cs="Palatino Linotype"/>
          <w:color w:val="000000"/>
        </w:rPr>
      </w:pPr>
    </w:p>
    <w:p w:rsidR="0061127B" w:rsidRPr="00967E20" w:rsidRDefault="0061127B" w:rsidP="0061127B">
      <w:pPr>
        <w:spacing w:line="360" w:lineRule="auto"/>
        <w:ind w:left="567" w:right="567"/>
        <w:jc w:val="both"/>
        <w:rPr>
          <w:rFonts w:ascii="Palatino Linotype" w:eastAsia="Palatino Linotype" w:hAnsi="Palatino Linotype" w:cs="Palatino Linotype"/>
          <w:i/>
          <w:iCs/>
        </w:rPr>
      </w:pPr>
      <w:r w:rsidRPr="00967E20">
        <w:rPr>
          <w:rFonts w:ascii="Palatino Linotype" w:eastAsia="Palatino Linotype" w:hAnsi="Palatino Linotype" w:cs="Palatino Linotype"/>
          <w:b/>
          <w:bCs/>
          <w:i/>
          <w:iCs/>
        </w:rPr>
        <w:lastRenderedPageBreak/>
        <w:t>Artículo 161. Cuando la información requerida por el solicitante ya esté disponible</w:t>
      </w:r>
      <w:r w:rsidRPr="00967E20">
        <w:rPr>
          <w:rFonts w:ascii="Palatino Linotype" w:eastAsia="Palatino Linotype" w:hAnsi="Palatino Linotype" w:cs="Palatino Linotype"/>
          <w:i/>
          <w:iCs/>
        </w:rPr>
        <w:t xml:space="preserve"> al público en medios impresos, tales como libros, compendios, trípticos, registros públicos, </w:t>
      </w:r>
      <w:r w:rsidRPr="00967E20">
        <w:rPr>
          <w:rFonts w:ascii="Palatino Linotype" w:eastAsia="Palatino Linotype" w:hAnsi="Palatino Linotype" w:cs="Palatino Linotype"/>
          <w:b/>
          <w:bCs/>
          <w:i/>
          <w:iCs/>
        </w:rPr>
        <w:t xml:space="preserve">en formatos electrónicos disponibles en Internet </w:t>
      </w:r>
      <w:r w:rsidRPr="00967E20">
        <w:rPr>
          <w:rFonts w:ascii="Palatino Linotype" w:eastAsia="Palatino Linotype" w:hAnsi="Palatino Linotype" w:cs="Palatino Linotype"/>
          <w:i/>
          <w:iCs/>
        </w:rPr>
        <w:t xml:space="preserve">o en cualquier otro medio, se le hará saber por el medio requerido por el solicitante la fuente, el lugar y la forma en que puede consultar, reproducir o adquirir dicha información </w:t>
      </w:r>
      <w:r w:rsidRPr="00967E20">
        <w:rPr>
          <w:rFonts w:ascii="Palatino Linotype" w:eastAsia="Palatino Linotype" w:hAnsi="Palatino Linotype" w:cs="Palatino Linotype"/>
          <w:b/>
          <w:bCs/>
          <w:i/>
          <w:iCs/>
        </w:rPr>
        <w:t>en un plazo no mayor a cinco días hábiles</w:t>
      </w:r>
      <w:r w:rsidRPr="00967E20">
        <w:rPr>
          <w:rFonts w:ascii="Palatino Linotype" w:eastAsia="Palatino Linotype" w:hAnsi="Palatino Linotype" w:cs="Palatino Linotype"/>
          <w:i/>
          <w:iCs/>
        </w:rPr>
        <w:t xml:space="preserve">. </w:t>
      </w:r>
      <w:r w:rsidRPr="00967E20">
        <w:rPr>
          <w:rFonts w:ascii="Palatino Linotype" w:eastAsia="Palatino Linotype" w:hAnsi="Palatino Linotype" w:cs="Palatino Linotype"/>
          <w:b/>
          <w:bCs/>
          <w:i/>
          <w:iCs/>
        </w:rPr>
        <w:t>La fuente deberá ser precisa y concreta y no debe implicar que el solicitante realice una búsqueda en toda la información que se encuentre disponible</w:t>
      </w:r>
      <w:r w:rsidRPr="00967E20">
        <w:rPr>
          <w:rFonts w:ascii="Palatino Linotype" w:eastAsia="Palatino Linotype" w:hAnsi="Palatino Linotype" w:cs="Palatino Linotype"/>
          <w:i/>
          <w:iCs/>
        </w:rPr>
        <w:t>.</w:t>
      </w:r>
    </w:p>
    <w:p w:rsidR="0061127B" w:rsidRPr="00967E20" w:rsidRDefault="0061127B" w:rsidP="0061127B">
      <w:pPr>
        <w:numPr>
          <w:ilvl w:val="0"/>
          <w:numId w:val="3"/>
        </w:numPr>
        <w:pBdr>
          <w:top w:val="nil"/>
          <w:left w:val="nil"/>
          <w:bottom w:val="nil"/>
          <w:right w:val="nil"/>
          <w:between w:val="nil"/>
        </w:pBdr>
        <w:tabs>
          <w:tab w:val="left" w:pos="851"/>
        </w:tabs>
        <w:spacing w:before="240" w:line="360" w:lineRule="auto"/>
        <w:ind w:left="0" w:right="49" w:firstLine="0"/>
        <w:jc w:val="both"/>
        <w:rPr>
          <w:rFonts w:ascii="Palatino Linotype" w:eastAsia="Palatino Linotype" w:hAnsi="Palatino Linotype" w:cs="Palatino Linotype"/>
          <w:i/>
          <w:iCs/>
          <w:color w:val="000000"/>
        </w:rPr>
      </w:pPr>
      <w:r w:rsidRPr="00967E20">
        <w:rPr>
          <w:rFonts w:ascii="Palatino Linotype" w:eastAsia="Palatino Linotype" w:hAnsi="Palatino Linotype" w:cs="Palatino Linotype"/>
          <w:color w:val="000000"/>
        </w:rPr>
        <w:t>Es así que, toda aquella información que sea requerida por los particulares pero que, previamente se encuentre disponible en sitios electrónicos, como puede ser de manera enunciativa más no limitativa, el sitio oficial del Sujeto Obligado o el portal IPOMEX o las páginas institucionales. Los Sujetos Obligado pueden indicar la dirección electrónica donde obra la información solicitada. Esta dirección electrónica debe ser precisa, de tal modo que no implique realizar una búsqueda en toda la información que ahí se encuentre. Además, debe ir acompañada del procedimiento a seguir, en caso de que la información se encuentre en distintos puntos del sitio electrónico referido.</w:t>
      </w:r>
      <w:r w:rsidRPr="00967E20">
        <w:rPr>
          <w:rFonts w:ascii="Palatino Linotype" w:eastAsia="Palatino Linotype" w:hAnsi="Palatino Linotype" w:cs="Palatino Linotype"/>
          <w:i/>
          <w:iCs/>
          <w:color w:val="000000"/>
        </w:rPr>
        <w:t xml:space="preserve"> </w:t>
      </w:r>
      <w:r w:rsidRPr="00967E20">
        <w:rPr>
          <w:rFonts w:ascii="Palatino Linotype" w:eastAsia="Palatino Linotype" w:hAnsi="Palatino Linotype" w:cs="Palatino Linotype"/>
          <w:b/>
          <w:bCs/>
          <w:color w:val="000000"/>
        </w:rPr>
        <w:t>La orientación</w:t>
      </w:r>
      <w:r w:rsidRPr="00967E20">
        <w:rPr>
          <w:rFonts w:ascii="Palatino Linotype" w:eastAsia="Palatino Linotype" w:hAnsi="Palatino Linotype" w:cs="Palatino Linotype"/>
          <w:color w:val="000000"/>
        </w:rPr>
        <w:t xml:space="preserve"> que realicen los Sujetos Obligados a los sitios electrónicos para la consulta de la información </w:t>
      </w:r>
      <w:r w:rsidRPr="00967E20">
        <w:rPr>
          <w:rFonts w:ascii="Palatino Linotype" w:eastAsia="Palatino Linotype" w:hAnsi="Palatino Linotype" w:cs="Palatino Linotype"/>
          <w:b/>
          <w:bCs/>
          <w:color w:val="000000"/>
        </w:rPr>
        <w:t>debe cumplir con las características de tiempo y forma.</w:t>
      </w:r>
    </w:p>
    <w:p w:rsidR="0061127B" w:rsidRPr="00967E20" w:rsidRDefault="0061127B" w:rsidP="0061127B">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i/>
          <w:iCs/>
          <w:color w:val="000000"/>
        </w:rPr>
      </w:pPr>
    </w:p>
    <w:p w:rsidR="00477C49" w:rsidRPr="00967E20" w:rsidRDefault="0061127B" w:rsidP="00477C49">
      <w:pPr>
        <w:numPr>
          <w:ilvl w:val="0"/>
          <w:numId w:val="3"/>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bookmarkStart w:id="7" w:name="_heading=h.eq7jheji3thl" w:colFirst="0" w:colLast="0"/>
      <w:bookmarkEnd w:id="7"/>
      <w:r w:rsidRPr="00967E20">
        <w:rPr>
          <w:rFonts w:ascii="Palatino Linotype" w:eastAsia="Palatino Linotype" w:hAnsi="Palatino Linotype" w:cs="Palatino Linotype"/>
          <w:color w:val="000000"/>
        </w:rPr>
        <w:t>Ahora bien, la normatividad en materia establece que las direcciones electrónicas deben ser precisas, de tal modo que no implique que el Recurrente deba de realizar una búsqueda dentro de toda la información disponible. En este caso, el Sujeto Obliga</w:t>
      </w:r>
      <w:r w:rsidR="00477C49" w:rsidRPr="00967E20">
        <w:rPr>
          <w:rFonts w:ascii="Palatino Linotype" w:eastAsia="Palatino Linotype" w:hAnsi="Palatino Linotype" w:cs="Palatino Linotype"/>
          <w:color w:val="000000"/>
        </w:rPr>
        <w:t>do remitió una liga electrónica, sin embargo, no se encuentra en datos abiertos.</w:t>
      </w:r>
    </w:p>
    <w:p w:rsidR="00477C49" w:rsidRPr="00967E20" w:rsidRDefault="00477C49" w:rsidP="00477C49">
      <w:pPr>
        <w:pStyle w:val="Prrafodelista"/>
        <w:rPr>
          <w:rFonts w:ascii="Palatino Linotype" w:eastAsia="Palatino Linotype" w:hAnsi="Palatino Linotype" w:cs="Palatino Linotype"/>
          <w:color w:val="222222"/>
        </w:rPr>
      </w:pPr>
    </w:p>
    <w:p w:rsidR="00477C49" w:rsidRPr="00967E20" w:rsidRDefault="00477C49" w:rsidP="00477C49">
      <w:pPr>
        <w:numPr>
          <w:ilvl w:val="0"/>
          <w:numId w:val="3"/>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967E20">
        <w:rPr>
          <w:rFonts w:ascii="Palatino Linotype" w:eastAsia="Palatino Linotype" w:hAnsi="Palatino Linotype" w:cs="Palatino Linotype"/>
          <w:color w:val="222222"/>
        </w:rPr>
        <w:lastRenderedPageBreak/>
        <w:t>En ese sentido, es oportuno mencionar lo que debemos entender por datos abiertos, siendo estos los datos digitales de carácter público que pueden ser usados, reutilizados y redistribuidos por cualquier interesado y que tienen como característica ser accesibles, integrales, gratuitos, no discriminatorios, oportunos, permanentes, primarios, legibles por las máquinas, en formatos abiertos y de libre uso.  En este mismo sentido, nuestra Ley de Transparencia y Acceso a la Información Pública del Estado de México y Municipios, expresa en su artículo 3, de manera textual lo siguiente:</w:t>
      </w:r>
    </w:p>
    <w:p w:rsidR="00477C49" w:rsidRPr="00967E20" w:rsidRDefault="00477C49" w:rsidP="00477C49">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67E20">
        <w:rPr>
          <w:rFonts w:ascii="Palatino Linotype" w:eastAsia="Palatino Linotype" w:hAnsi="Palatino Linotype" w:cs="Palatino Linotype"/>
          <w:b/>
          <w:i/>
          <w:color w:val="222222"/>
        </w:rPr>
        <w:t>“VIII. Datos abiertos: Los datos digitales de carácter público que son accesibles en línea que pueden ser usados, reutilizados y redistribuidos por cualquier interesado y que tienen las siguientes características:</w:t>
      </w:r>
    </w:p>
    <w:p w:rsidR="00477C49" w:rsidRPr="00967E20" w:rsidRDefault="00477C49" w:rsidP="00477C49">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67E20">
        <w:rPr>
          <w:rFonts w:ascii="Palatino Linotype" w:eastAsia="Palatino Linotype" w:hAnsi="Palatino Linotype" w:cs="Palatino Linotype"/>
          <w:i/>
          <w:color w:val="222222"/>
        </w:rPr>
        <w:t>a) Accesibles: Los datos están disponibles para la gama más amplia de usuarios, para cualquier propósito;</w:t>
      </w:r>
    </w:p>
    <w:p w:rsidR="00477C49" w:rsidRPr="00967E20" w:rsidRDefault="00477C49" w:rsidP="00477C49">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67E20">
        <w:rPr>
          <w:rFonts w:ascii="Palatino Linotype" w:eastAsia="Palatino Linotype" w:hAnsi="Palatino Linotype" w:cs="Palatino Linotype"/>
          <w:i/>
          <w:color w:val="222222"/>
        </w:rPr>
        <w:t>b) Integrales: Contienen el tema que describen a detalle y con los metadatos necesarios;</w:t>
      </w:r>
    </w:p>
    <w:p w:rsidR="00477C49" w:rsidRPr="00967E20" w:rsidRDefault="00477C49" w:rsidP="00477C49">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67E20">
        <w:rPr>
          <w:rFonts w:ascii="Palatino Linotype" w:eastAsia="Palatino Linotype" w:hAnsi="Palatino Linotype" w:cs="Palatino Linotype"/>
          <w:i/>
          <w:color w:val="222222"/>
        </w:rPr>
        <w:t>c) Gratuitos: Se obtienen sin entregar a cambio contraprestación alguna;</w:t>
      </w:r>
    </w:p>
    <w:p w:rsidR="00477C49" w:rsidRPr="00967E20" w:rsidRDefault="00477C49" w:rsidP="00477C49">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67E20">
        <w:rPr>
          <w:rFonts w:ascii="Palatino Linotype" w:eastAsia="Palatino Linotype" w:hAnsi="Palatino Linotype" w:cs="Palatino Linotype"/>
          <w:i/>
          <w:color w:val="222222"/>
        </w:rPr>
        <w:t>d) No discriminatorios: Los datos están disponibles para cualquier persona, sin necesidad de registro;</w:t>
      </w:r>
    </w:p>
    <w:p w:rsidR="00477C49" w:rsidRPr="00967E20" w:rsidRDefault="00477C49" w:rsidP="00477C49">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67E20">
        <w:rPr>
          <w:rFonts w:ascii="Palatino Linotype" w:eastAsia="Palatino Linotype" w:hAnsi="Palatino Linotype" w:cs="Palatino Linotype"/>
          <w:i/>
          <w:color w:val="222222"/>
        </w:rPr>
        <w:t>e) Oportunos: Son actualizados, periódicamente, conforme se generen;</w:t>
      </w:r>
    </w:p>
    <w:p w:rsidR="00477C49" w:rsidRPr="00967E20" w:rsidRDefault="00477C49" w:rsidP="00477C49">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67E20">
        <w:rPr>
          <w:rFonts w:ascii="Palatino Linotype" w:eastAsia="Palatino Linotype" w:hAnsi="Palatino Linotype" w:cs="Palatino Linotype"/>
          <w:i/>
          <w:color w:val="222222"/>
        </w:rPr>
        <w:t>f) Permanentes: Se conservan en el tiempo, para lo cual, las versiones históricas relevantes para uso público se mantendrán disponibles con identificadores adecuados al efecto;</w:t>
      </w:r>
    </w:p>
    <w:p w:rsidR="00477C49" w:rsidRPr="00967E20" w:rsidRDefault="00477C49" w:rsidP="00477C49">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67E20">
        <w:rPr>
          <w:rFonts w:ascii="Palatino Linotype" w:eastAsia="Palatino Linotype" w:hAnsi="Palatino Linotype" w:cs="Palatino Linotype"/>
          <w:i/>
          <w:color w:val="222222"/>
        </w:rPr>
        <w:t>g) Primarios: Provienen de la fuente de origen con el máximo nivel de desagregación posible;</w:t>
      </w:r>
    </w:p>
    <w:p w:rsidR="00477C49" w:rsidRPr="00967E20" w:rsidRDefault="00477C49" w:rsidP="00477C49">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67E20">
        <w:rPr>
          <w:rFonts w:ascii="Palatino Linotype" w:eastAsia="Palatino Linotype" w:hAnsi="Palatino Linotype" w:cs="Palatino Linotype"/>
          <w:i/>
          <w:color w:val="222222"/>
        </w:rPr>
        <w:t>h) Legibles por máquinas: Deberán estar estructurados, total o parcialmente, para ser procesados e interpretados por equipos electrónicos de manera automática;</w:t>
      </w:r>
    </w:p>
    <w:p w:rsidR="00477C49" w:rsidRPr="00967E20" w:rsidRDefault="00477C49" w:rsidP="00477C49">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67E20">
        <w:rPr>
          <w:rFonts w:ascii="Palatino Linotype" w:eastAsia="Palatino Linotype" w:hAnsi="Palatino Linotype" w:cs="Palatino Linotype"/>
          <w:b/>
          <w:i/>
          <w:color w:val="222222"/>
        </w:rPr>
        <w:t>i) En formatos abiertos: Los datos estarán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w:t>
      </w:r>
      <w:r w:rsidRPr="00967E20">
        <w:rPr>
          <w:rFonts w:ascii="Palatino Linotype" w:eastAsia="Palatino Linotype" w:hAnsi="Palatino Linotype" w:cs="Palatino Linotype"/>
          <w:i/>
          <w:color w:val="222222"/>
        </w:rPr>
        <w:t>; y</w:t>
      </w:r>
    </w:p>
    <w:p w:rsidR="00477C49" w:rsidRPr="00967E20" w:rsidRDefault="00477C49" w:rsidP="00477C49">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67E20">
        <w:rPr>
          <w:rFonts w:ascii="Palatino Linotype" w:eastAsia="Palatino Linotype" w:hAnsi="Palatino Linotype" w:cs="Palatino Linotype"/>
          <w:i/>
          <w:color w:val="222222"/>
        </w:rPr>
        <w:lastRenderedPageBreak/>
        <w:t>j) De libre uso: Citan la fuente de origen como único requerimiento para ser utilizados libremente.</w:t>
      </w:r>
    </w:p>
    <w:p w:rsidR="00477C49" w:rsidRPr="00967E20" w:rsidRDefault="00477C49" w:rsidP="00477C49">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i/>
          <w:color w:val="222222"/>
        </w:rPr>
      </w:pPr>
      <w:r w:rsidRPr="00967E20">
        <w:rPr>
          <w:rFonts w:ascii="Palatino Linotype" w:eastAsia="Palatino Linotype" w:hAnsi="Palatino Linotype" w:cs="Palatino Linotype"/>
          <w:i/>
          <w:color w:val="222222"/>
        </w:rPr>
        <w:t>(Énfasis añadido)</w:t>
      </w:r>
    </w:p>
    <w:p w:rsidR="00477C49" w:rsidRPr="00967E20" w:rsidRDefault="00477C49" w:rsidP="00477C49">
      <w:pPr>
        <w:pStyle w:val="Prrafodelista"/>
        <w:spacing w:line="360" w:lineRule="auto"/>
        <w:ind w:left="0"/>
        <w:jc w:val="both"/>
        <w:rPr>
          <w:rFonts w:ascii="Palatino Linotype" w:eastAsia="Palatino Linotype" w:hAnsi="Palatino Linotype" w:cs="Palatino Linotype"/>
          <w:b/>
        </w:rPr>
      </w:pPr>
    </w:p>
    <w:p w:rsidR="00477C49" w:rsidRPr="00967E20" w:rsidRDefault="00477C49" w:rsidP="00477C49">
      <w:pPr>
        <w:pStyle w:val="Prrafodelista"/>
        <w:numPr>
          <w:ilvl w:val="0"/>
          <w:numId w:val="3"/>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967E20">
        <w:rPr>
          <w:rFonts w:ascii="Palatino Linotype" w:eastAsia="Palatino Linotype" w:hAnsi="Palatino Linotype" w:cs="Palatino Linotype"/>
        </w:rPr>
        <w:t xml:space="preserve">El dispositivo legal estatal aplicable a la materia, establece en su artículo 41 que el Instituto promoverá la publicación de la información en datos abiertos y accesibles, de tal manera que este Órgano Garante se encuentra en posibilidades de ordenar al Sujeto Obligado, en caso de tener la información en formatos abiertos entregar la misma en el formato solicitado. Por lo tanto, con la liga entregada en respuesta, no se puede colmar el requerimiento del Recurrente. </w:t>
      </w:r>
    </w:p>
    <w:p w:rsidR="0061127B" w:rsidRPr="00967E20" w:rsidRDefault="0061127B" w:rsidP="0061127B">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61127B" w:rsidRPr="00967E20" w:rsidRDefault="0061127B" w:rsidP="0061127B">
      <w:pPr>
        <w:numPr>
          <w:ilvl w:val="0"/>
          <w:numId w:val="5"/>
        </w:numPr>
        <w:pBdr>
          <w:top w:val="nil"/>
          <w:left w:val="nil"/>
          <w:bottom w:val="nil"/>
          <w:right w:val="nil"/>
          <w:between w:val="nil"/>
        </w:pBdr>
        <w:spacing w:line="360" w:lineRule="auto"/>
        <w:rPr>
          <w:rFonts w:ascii="Palatino Linotype" w:eastAsia="Palatino Linotype" w:hAnsi="Palatino Linotype" w:cs="Palatino Linotype"/>
          <w:b/>
          <w:bCs/>
          <w:color w:val="000000"/>
        </w:rPr>
      </w:pPr>
      <w:r w:rsidRPr="00967E20">
        <w:rPr>
          <w:rFonts w:ascii="Palatino Linotype" w:eastAsia="Palatino Linotype" w:hAnsi="Palatino Linotype" w:cs="Palatino Linotype"/>
          <w:b/>
          <w:bCs/>
          <w:color w:val="000000"/>
        </w:rPr>
        <w:t xml:space="preserve">De </w:t>
      </w:r>
      <w:r w:rsidR="006F7F0F" w:rsidRPr="00967E20">
        <w:rPr>
          <w:rFonts w:ascii="Palatino Linotype" w:eastAsia="Palatino Linotype" w:hAnsi="Palatino Linotype" w:cs="Palatino Linotype"/>
          <w:b/>
          <w:bCs/>
          <w:color w:val="000000"/>
        </w:rPr>
        <w:t xml:space="preserve">la </w:t>
      </w:r>
      <w:r w:rsidR="008E2EF4" w:rsidRPr="00967E20">
        <w:rPr>
          <w:rFonts w:ascii="Palatino Linotype" w:eastAsia="Palatino Linotype" w:hAnsi="Palatino Linotype" w:cs="Palatino Linotype"/>
          <w:b/>
          <w:bCs/>
          <w:color w:val="000000"/>
        </w:rPr>
        <w:t>versión pública de</w:t>
      </w:r>
      <w:r w:rsidR="00806B97" w:rsidRPr="00967E20">
        <w:rPr>
          <w:rFonts w:ascii="Palatino Linotype" w:eastAsia="Palatino Linotype" w:hAnsi="Palatino Linotype" w:cs="Palatino Linotype"/>
          <w:b/>
          <w:bCs/>
          <w:color w:val="000000"/>
        </w:rPr>
        <w:t xml:space="preserve"> </w:t>
      </w:r>
      <w:r w:rsidR="006F7F0F" w:rsidRPr="00967E20">
        <w:rPr>
          <w:rFonts w:ascii="Palatino Linotype" w:eastAsia="Palatino Linotype" w:hAnsi="Palatino Linotype" w:cs="Palatino Linotype"/>
          <w:b/>
          <w:bCs/>
          <w:color w:val="000000"/>
        </w:rPr>
        <w:t xml:space="preserve"> las licencias de construcción. </w:t>
      </w:r>
    </w:p>
    <w:p w:rsidR="008E2EF4" w:rsidRPr="00967E20" w:rsidRDefault="006F7F0F" w:rsidP="008E2EF4">
      <w:pPr>
        <w:numPr>
          <w:ilvl w:val="0"/>
          <w:numId w:val="3"/>
        </w:numPr>
        <w:pBdr>
          <w:top w:val="nil"/>
          <w:left w:val="nil"/>
          <w:bottom w:val="nil"/>
          <w:right w:val="nil"/>
          <w:between w:val="nil"/>
        </w:pBdr>
        <w:tabs>
          <w:tab w:val="left" w:pos="284"/>
          <w:tab w:val="left" w:pos="567"/>
        </w:tabs>
        <w:spacing w:line="360" w:lineRule="auto"/>
        <w:ind w:left="0" w:firstLine="0"/>
        <w:jc w:val="both"/>
        <w:rPr>
          <w:rFonts w:ascii="Palatino Linotype" w:eastAsia="Palatino Linotype" w:hAnsi="Palatino Linotype" w:cs="Palatino Linotype"/>
        </w:rPr>
      </w:pPr>
      <w:r w:rsidRPr="00967E20">
        <w:rPr>
          <w:rFonts w:ascii="Palatino Linotype" w:eastAsia="Palatino Linotype" w:hAnsi="Palatino Linotype" w:cs="Palatino Linotype"/>
        </w:rPr>
        <w:t xml:space="preserve">Al respecto conviene recordar que el Sujeto Obligado entregó una liga electrónica para dar respuesta a la solicitud, sin embargo, como ya fue señalado en párrafos anteriores, la liga no está en datos abiertos, por lo que no colma el derecho de acceso a la información del Recurrente; posteriormente, en aras de garantizar el derecho de acceso a la información, el Sujeto Obligado remitió a través de informe justificado, en versión pública, las licencias de construcción entregadas en el ejercicio fiscal 2025, las cuales fueron puestas a la vista del Recurrente. </w:t>
      </w:r>
    </w:p>
    <w:p w:rsidR="008E2EF4" w:rsidRPr="00967E20" w:rsidRDefault="008E2EF4" w:rsidP="008E2EF4">
      <w:pPr>
        <w:pBdr>
          <w:top w:val="nil"/>
          <w:left w:val="nil"/>
          <w:bottom w:val="nil"/>
          <w:right w:val="nil"/>
          <w:between w:val="nil"/>
        </w:pBdr>
        <w:tabs>
          <w:tab w:val="left" w:pos="284"/>
          <w:tab w:val="left" w:pos="567"/>
        </w:tabs>
        <w:spacing w:line="360" w:lineRule="auto"/>
        <w:jc w:val="both"/>
        <w:rPr>
          <w:rFonts w:ascii="Palatino Linotype" w:eastAsia="Palatino Linotype" w:hAnsi="Palatino Linotype" w:cs="Palatino Linotype"/>
        </w:rPr>
      </w:pPr>
    </w:p>
    <w:p w:rsidR="006F7F0F" w:rsidRPr="00967E20" w:rsidRDefault="006F7F0F" w:rsidP="008E2EF4">
      <w:pPr>
        <w:numPr>
          <w:ilvl w:val="0"/>
          <w:numId w:val="3"/>
        </w:numPr>
        <w:pBdr>
          <w:top w:val="nil"/>
          <w:left w:val="nil"/>
          <w:bottom w:val="nil"/>
          <w:right w:val="nil"/>
          <w:between w:val="nil"/>
        </w:pBdr>
        <w:tabs>
          <w:tab w:val="left" w:pos="284"/>
          <w:tab w:val="left" w:pos="567"/>
        </w:tabs>
        <w:spacing w:line="360" w:lineRule="auto"/>
        <w:ind w:left="0" w:firstLine="0"/>
        <w:jc w:val="both"/>
        <w:rPr>
          <w:rFonts w:ascii="Palatino Linotype" w:eastAsia="Palatino Linotype" w:hAnsi="Palatino Linotype" w:cs="Palatino Linotype"/>
        </w:rPr>
      </w:pPr>
      <w:r w:rsidRPr="00967E20">
        <w:rPr>
          <w:rFonts w:ascii="Palatino Linotype" w:eastAsia="Palatino Linotype" w:hAnsi="Palatino Linotype" w:cs="Palatino Linotype"/>
          <w:bCs/>
          <w:color w:val="000000"/>
        </w:rPr>
        <w:t xml:space="preserve">Ahora bien, en las licencias de construcción remitidas en informe justificado, se testaron </w:t>
      </w:r>
      <w:r w:rsidR="008E2EF4" w:rsidRPr="00967E20">
        <w:rPr>
          <w:rFonts w:ascii="Palatino Linotype" w:eastAsia="Palatino Linotype" w:hAnsi="Palatino Linotype" w:cs="Palatino Linotype"/>
          <w:bCs/>
          <w:color w:val="000000"/>
        </w:rPr>
        <w:t xml:space="preserve">algunos de los datos del predio, datos del propietario y clave catastral, </w:t>
      </w:r>
      <w:r w:rsidR="00E36AAB" w:rsidRPr="00967E20">
        <w:rPr>
          <w:rFonts w:ascii="Palatino Linotype" w:eastAsia="Palatino Linotype" w:hAnsi="Palatino Linotype" w:cs="Palatino Linotype"/>
          <w:bCs/>
          <w:color w:val="000000"/>
        </w:rPr>
        <w:t xml:space="preserve">nombre del Titular de la Licencia </w:t>
      </w:r>
      <w:r w:rsidR="008E2EF4" w:rsidRPr="00967E20">
        <w:rPr>
          <w:rFonts w:ascii="Palatino Linotype" w:eastAsia="Palatino Linotype" w:hAnsi="Palatino Linotype" w:cs="Palatino Linotype"/>
          <w:bCs/>
          <w:color w:val="000000"/>
        </w:rPr>
        <w:t xml:space="preserve">por lo que conviene describir cada uno de ellos. </w:t>
      </w:r>
    </w:p>
    <w:p w:rsidR="00D759EB" w:rsidRDefault="00D759EB" w:rsidP="00D759EB">
      <w:pPr>
        <w:pStyle w:val="Prrafodelista"/>
        <w:rPr>
          <w:rFonts w:ascii="Palatino Linotype" w:eastAsia="Palatino Linotype" w:hAnsi="Palatino Linotype" w:cs="Palatino Linotype"/>
        </w:rPr>
      </w:pPr>
    </w:p>
    <w:p w:rsidR="00967E20" w:rsidRDefault="00967E20" w:rsidP="00D759EB">
      <w:pPr>
        <w:pStyle w:val="Prrafodelista"/>
        <w:rPr>
          <w:rFonts w:ascii="Palatino Linotype" w:eastAsia="Palatino Linotype" w:hAnsi="Palatino Linotype" w:cs="Palatino Linotype"/>
        </w:rPr>
      </w:pPr>
    </w:p>
    <w:p w:rsidR="00967E20" w:rsidRPr="00967E20" w:rsidRDefault="00967E20" w:rsidP="00D759EB">
      <w:pPr>
        <w:pStyle w:val="Prrafodelista"/>
        <w:rPr>
          <w:rFonts w:ascii="Palatino Linotype" w:eastAsia="Palatino Linotype" w:hAnsi="Palatino Linotype" w:cs="Palatino Linotype"/>
        </w:rPr>
      </w:pPr>
    </w:p>
    <w:p w:rsidR="00F767B5" w:rsidRPr="00967E20" w:rsidRDefault="00D759EB" w:rsidP="00D759EB">
      <w:pPr>
        <w:pStyle w:val="Prrafodelista"/>
        <w:numPr>
          <w:ilvl w:val="0"/>
          <w:numId w:val="13"/>
        </w:numPr>
        <w:rPr>
          <w:rFonts w:ascii="Palatino Linotype" w:eastAsia="Palatino Linotype" w:hAnsi="Palatino Linotype" w:cs="Palatino Linotype"/>
          <w:b/>
        </w:rPr>
      </w:pPr>
      <w:r w:rsidRPr="00967E20">
        <w:rPr>
          <w:rFonts w:ascii="Palatino Linotype" w:eastAsia="Palatino Linotype" w:hAnsi="Palatino Linotype" w:cs="Palatino Linotype"/>
          <w:b/>
        </w:rPr>
        <w:lastRenderedPageBreak/>
        <w:t xml:space="preserve">Nombre de los Titulares en las licencias de construcción. </w:t>
      </w:r>
    </w:p>
    <w:p w:rsidR="00F767B5" w:rsidRPr="00967E20" w:rsidRDefault="00F767B5" w:rsidP="00F767B5">
      <w:pPr>
        <w:pStyle w:val="Prrafodelista"/>
        <w:numPr>
          <w:ilvl w:val="0"/>
          <w:numId w:val="3"/>
        </w:numPr>
        <w:spacing w:before="240" w:after="240" w:line="360" w:lineRule="auto"/>
        <w:ind w:left="0" w:firstLine="0"/>
        <w:jc w:val="both"/>
        <w:rPr>
          <w:rFonts w:ascii="Palatino Linotype" w:eastAsia="Palatino Linotype" w:hAnsi="Palatino Linotype" w:cs="Palatino Linotype"/>
        </w:rPr>
      </w:pPr>
      <w:r w:rsidRPr="00967E20">
        <w:rPr>
          <w:rFonts w:ascii="Palatino Linotype" w:eastAsia="Palatino Linotype" w:hAnsi="Palatino Linotype" w:cs="Palatino Linotype"/>
        </w:rPr>
        <w:t>Respecto de los nombres de los titulares de las licencias de construcción tiene el carácter de confidencial, teniendo como base que sólo deben hacerse públicos los datos personales mínimos que permitan verificar el cumplimiento de la normatividad, de modo, que se violentaría el derecho a la protección de datos personales de las personas referidas, si se toman en cuenta que en términos de los artículos 2.3 y 2.4 del Código Civil del Estado de México, son atributos de la personalidad, los siguientes:</w:t>
      </w:r>
    </w:p>
    <w:p w:rsidR="00F767B5" w:rsidRPr="00967E20" w:rsidRDefault="00F767B5" w:rsidP="000833D7">
      <w:pPr>
        <w:pStyle w:val="Prrafodelista"/>
        <w:spacing w:after="120" w:line="276" w:lineRule="auto"/>
        <w:ind w:left="851" w:right="822"/>
        <w:jc w:val="both"/>
        <w:rPr>
          <w:rFonts w:ascii="Palatino Linotype" w:eastAsia="Palatino Linotype" w:hAnsi="Palatino Linotype" w:cs="Palatino Linotype"/>
          <w:i/>
        </w:rPr>
      </w:pPr>
      <w:r w:rsidRPr="00967E20">
        <w:rPr>
          <w:rFonts w:ascii="Palatino Linotype" w:eastAsia="Palatino Linotype" w:hAnsi="Palatino Linotype" w:cs="Palatino Linotype"/>
          <w:b/>
          <w:i/>
        </w:rPr>
        <w:t xml:space="preserve">“Artículo 2.3.- </w:t>
      </w:r>
      <w:r w:rsidRPr="00967E20">
        <w:rPr>
          <w:rFonts w:ascii="Palatino Linotype" w:eastAsia="Palatino Linotype" w:hAnsi="Palatino Linotype" w:cs="Palatino Linotype"/>
          <w:i/>
        </w:rPr>
        <w:t>Los atributos de la personalidad son el nombre, domicilio, estado civil y patrimonio.</w:t>
      </w:r>
    </w:p>
    <w:p w:rsidR="00F767B5" w:rsidRPr="00967E20" w:rsidRDefault="00F767B5" w:rsidP="000833D7">
      <w:pPr>
        <w:pStyle w:val="Prrafodelista"/>
        <w:spacing w:after="120" w:line="276" w:lineRule="auto"/>
        <w:ind w:left="851" w:right="822"/>
        <w:jc w:val="both"/>
        <w:rPr>
          <w:rFonts w:ascii="Palatino Linotype" w:eastAsia="Palatino Linotype" w:hAnsi="Palatino Linotype" w:cs="Palatino Linotype"/>
          <w:i/>
        </w:rPr>
      </w:pPr>
      <w:r w:rsidRPr="00967E20">
        <w:rPr>
          <w:rFonts w:ascii="Palatino Linotype" w:eastAsia="Palatino Linotype" w:hAnsi="Palatino Linotype" w:cs="Palatino Linotype"/>
          <w:b/>
          <w:i/>
        </w:rPr>
        <w:t>Artículo 2.4.-</w:t>
      </w:r>
      <w:r w:rsidRPr="00967E20">
        <w:rPr>
          <w:rFonts w:ascii="Palatino Linotype" w:eastAsia="Palatino Linotype" w:hAnsi="Palatino Linotype" w:cs="Palatino Linotype"/>
          <w:i/>
        </w:rPr>
        <w:t xml:space="preserve"> Los derechos de la personalidad constituyen el patrimonio moral o afectivo de las personas físicas. Son inalienables, imprescriptibles e irrenunciables, y goza de ellos también la persona jurídica colectiva en lo que sea compatible con su naturaleza. </w:t>
      </w:r>
    </w:p>
    <w:p w:rsidR="00F767B5" w:rsidRPr="00967E20" w:rsidRDefault="00F767B5" w:rsidP="000833D7">
      <w:pPr>
        <w:pStyle w:val="Prrafodelista"/>
        <w:spacing w:after="120" w:line="276" w:lineRule="auto"/>
        <w:ind w:left="851" w:right="822"/>
        <w:jc w:val="both"/>
        <w:rPr>
          <w:rFonts w:ascii="Palatino Linotype" w:eastAsia="Palatino Linotype" w:hAnsi="Palatino Linotype" w:cs="Palatino Linotype"/>
          <w:i/>
        </w:rPr>
      </w:pPr>
      <w:r w:rsidRPr="00967E20">
        <w:rPr>
          <w:rFonts w:ascii="Palatino Linotype" w:eastAsia="Palatino Linotype" w:hAnsi="Palatino Linotype" w:cs="Palatino Linotype"/>
          <w:i/>
        </w:rPr>
        <w:t>Es deber del Estado proteger, fomentar y desarrollar estos derechos.”</w:t>
      </w:r>
    </w:p>
    <w:p w:rsidR="00F767B5" w:rsidRDefault="00F767B5" w:rsidP="00F767B5">
      <w:pPr>
        <w:pStyle w:val="Prrafodelista"/>
        <w:spacing w:after="120"/>
        <w:ind w:left="360" w:right="900"/>
        <w:jc w:val="both"/>
        <w:rPr>
          <w:rFonts w:ascii="Palatino Linotype" w:eastAsia="Palatino Linotype" w:hAnsi="Palatino Linotype" w:cs="Palatino Linotype"/>
          <w:i/>
        </w:rPr>
      </w:pPr>
    </w:p>
    <w:p w:rsidR="00967E20" w:rsidRPr="00967E20" w:rsidRDefault="00967E20" w:rsidP="00F767B5">
      <w:pPr>
        <w:pStyle w:val="Prrafodelista"/>
        <w:spacing w:after="120"/>
        <w:ind w:left="360" w:right="900"/>
        <w:jc w:val="both"/>
        <w:rPr>
          <w:rFonts w:ascii="Palatino Linotype" w:eastAsia="Palatino Linotype" w:hAnsi="Palatino Linotype" w:cs="Palatino Linotype"/>
          <w:i/>
        </w:rPr>
      </w:pPr>
    </w:p>
    <w:p w:rsidR="00F767B5" w:rsidRPr="00967E20" w:rsidRDefault="00F767B5" w:rsidP="00F767B5">
      <w:pPr>
        <w:pStyle w:val="Prrafodelista"/>
        <w:numPr>
          <w:ilvl w:val="0"/>
          <w:numId w:val="3"/>
        </w:numPr>
        <w:spacing w:before="240" w:after="240" w:line="360" w:lineRule="auto"/>
        <w:ind w:left="0" w:firstLine="0"/>
        <w:jc w:val="both"/>
        <w:rPr>
          <w:rFonts w:ascii="Palatino Linotype" w:eastAsia="Palatino Linotype" w:hAnsi="Palatino Linotype" w:cs="Palatino Linotype"/>
        </w:rPr>
      </w:pPr>
      <w:r w:rsidRPr="00967E20">
        <w:rPr>
          <w:rFonts w:ascii="Palatino Linotype" w:eastAsia="Palatino Linotype" w:hAnsi="Palatino Linotype" w:cs="Palatino Linotype"/>
        </w:rPr>
        <w:t>De modo, que el nombre es un dato personal confidencial, lo cual se sustenta en el criterio 01/2018 de la Segunda Época, de los emitidos por el Pleno de este Instituto, que para mayor referencia se inserta enseguida:</w:t>
      </w:r>
    </w:p>
    <w:p w:rsidR="00F767B5" w:rsidRPr="00967E20" w:rsidRDefault="00F767B5" w:rsidP="000833D7">
      <w:pPr>
        <w:pStyle w:val="Prrafodelista"/>
        <w:spacing w:after="120" w:line="276" w:lineRule="auto"/>
        <w:ind w:left="851" w:right="822"/>
        <w:jc w:val="both"/>
        <w:rPr>
          <w:rFonts w:ascii="Palatino Linotype" w:eastAsia="Palatino Linotype" w:hAnsi="Palatino Linotype" w:cs="Palatino Linotype"/>
          <w:i/>
        </w:rPr>
      </w:pPr>
      <w:r w:rsidRPr="00967E20">
        <w:rPr>
          <w:rFonts w:ascii="Palatino Linotype" w:eastAsia="Palatino Linotype" w:hAnsi="Palatino Linotype" w:cs="Palatino Linotype"/>
          <w:b/>
          <w:i/>
        </w:rPr>
        <w:t xml:space="preserve">“Nombre del titular de una licencia que no involucre el aprovechamiento de bienes, servicios y/o recursos públicos, constituye un dato personal susceptible de clasificar como confidencial. </w:t>
      </w:r>
      <w:r w:rsidRPr="00967E20">
        <w:rPr>
          <w:rFonts w:ascii="Palatino Linotype" w:eastAsia="Palatino Linotype" w:hAnsi="Palatino Linotype" w:cs="Palatino Linotype"/>
          <w:i/>
        </w:rPr>
        <w:t xml:space="preserve">El artículo 1, párrafo segundo de la Constitución Política de los Estados Unidos Mexicanos determina que las normas relativas a los derechos humanos se interpretarán de conformidad con la Constitución y con los tratados internacionales de la materia favoreciendo en todo tiempo a las personas la protección más amplia, por su parte el artículo 6, apartado A, fracciones I y II, de dicho ordenamiento establece que toda información en posesión de los sujetos obligados es pública y sólo podrá limitarse de manera justificada por razones de interés público, seguridad nacional, y para proteger la vida privada y datos personales en los términos precisados por las Leyes reglamentarias. Ahora bien, el artículo 92, fracción </w:t>
      </w:r>
      <w:r w:rsidRPr="00967E20">
        <w:rPr>
          <w:rFonts w:ascii="Palatino Linotype" w:eastAsia="Palatino Linotype" w:hAnsi="Palatino Linotype" w:cs="Palatino Linotype"/>
          <w:i/>
        </w:rPr>
        <w:lastRenderedPageBreak/>
        <w:t xml:space="preserve">XXXII de la Ley de Transparencia y Acceso a la Información </w:t>
      </w:r>
      <w:r w:rsidR="008E4B15" w:rsidRPr="00967E20">
        <w:rPr>
          <w:rFonts w:ascii="Palatino Linotype" w:eastAsia="Palatino Linotype" w:hAnsi="Palatino Linotype" w:cs="Palatino Linotype"/>
          <w:i/>
        </w:rPr>
        <w:t xml:space="preserve"> </w:t>
      </w:r>
      <w:r w:rsidR="00934C46" w:rsidRPr="00967E20">
        <w:rPr>
          <w:rFonts w:ascii="Palatino Linotype" w:eastAsia="Palatino Linotype" w:hAnsi="Palatino Linotype" w:cs="Palatino Linotype"/>
          <w:i/>
        </w:rPr>
        <w:t xml:space="preserve">  </w:t>
      </w:r>
      <w:r w:rsidRPr="00967E20">
        <w:rPr>
          <w:rFonts w:ascii="Palatino Linotype" w:eastAsia="Palatino Linotype" w:hAnsi="Palatino Linotype" w:cs="Palatino Linotype"/>
          <w:i/>
        </w:rPr>
        <w:t>Pública del Estado de México y Municipios, señala que el nombre de los titulares de las licencias es un dato de carácter público, no obstante, para su aplicación, dicho numeral debe ser interpretado de manera armónica y sistemática con el ordenamiento reglamentario de la materia de transparencia y protección de datos personales, pues la intromisión a los datos personales de particulares únicamente se verá justificada cuando se involucre el aprovechamiento de bienes, servicios y/o recursos públicos en términos de lo dispuesto por los artículos 6, 92, fracción XXXII, 122 y 143, fracción I, de la Ley de Transparencia referida en concordancia con lo establecido por los numerales 6 y 15 de la Ley de Protección de Datos Personales en Posesión de Sujetos Obligados de la entidad. En ese sentido, el nombre de los titulares de licencias constituye un dato personal que debe ser tratado bajo los principios y términos de la ley reglamentaria de la materia, y para su publicidad se requerirá que la expedición de la licencia correspondiente involucre el aprovechamiento de bienes, servicios y/o recursos públicos, caso contrario se deberá clasificar como confidencial.”</w:t>
      </w:r>
    </w:p>
    <w:p w:rsidR="00F767B5" w:rsidRPr="00967E20" w:rsidRDefault="00F767B5" w:rsidP="00F767B5">
      <w:pPr>
        <w:pStyle w:val="Prrafodelista"/>
        <w:spacing w:after="120"/>
        <w:ind w:left="360" w:right="902"/>
        <w:jc w:val="both"/>
        <w:rPr>
          <w:rFonts w:ascii="Palatino Linotype" w:eastAsia="Palatino Linotype" w:hAnsi="Palatino Linotype" w:cs="Palatino Linotype"/>
          <w:i/>
        </w:rPr>
      </w:pPr>
    </w:p>
    <w:p w:rsidR="006F7F0F" w:rsidRPr="00967E20" w:rsidRDefault="00F767B5" w:rsidP="00F767B5">
      <w:pPr>
        <w:pStyle w:val="Prrafodelista"/>
        <w:numPr>
          <w:ilvl w:val="0"/>
          <w:numId w:val="3"/>
        </w:numPr>
        <w:spacing w:before="240" w:after="240" w:line="360" w:lineRule="auto"/>
        <w:ind w:left="0" w:right="40" w:firstLine="0"/>
        <w:jc w:val="both"/>
        <w:rPr>
          <w:rFonts w:ascii="Palatino Linotype" w:eastAsia="Palatino Linotype" w:hAnsi="Palatino Linotype" w:cs="Palatino Linotype"/>
        </w:rPr>
      </w:pPr>
      <w:r w:rsidRPr="00967E20">
        <w:rPr>
          <w:rFonts w:ascii="Palatino Linotype" w:eastAsia="Palatino Linotype" w:hAnsi="Palatino Linotype" w:cs="Palatino Linotype"/>
        </w:rPr>
        <w:t xml:space="preserve">La licencia de construcción es un documento otorgado por las autoridades municipales que permite a una persona o entidad llevar a cabo actividades de construcción en un lugar específico. Por lo general, incluye detalles sobre el proyecto de construcción, las regulaciones aplicables, las condiciones y restricciones, en esa tesitura se insiste que si el proyecto no involucra aprovechamientos o recursos públicos no es susceptible de hacerse público el nombre del titular de la licencia, debiendo elaborar la versión pública correspondiente. </w:t>
      </w:r>
    </w:p>
    <w:p w:rsidR="008E2EF4" w:rsidRPr="00967E20" w:rsidRDefault="008E2EF4" w:rsidP="008E2EF4">
      <w:pPr>
        <w:numPr>
          <w:ilvl w:val="0"/>
          <w:numId w:val="10"/>
        </w:numPr>
        <w:spacing w:line="360" w:lineRule="auto"/>
        <w:jc w:val="both"/>
        <w:rPr>
          <w:rFonts w:ascii="Palatino Linotype" w:hAnsi="Palatino Linotype" w:cs="Tahoma"/>
          <w:bCs/>
          <w:iCs/>
          <w:lang w:eastAsia="es-ES"/>
        </w:rPr>
      </w:pPr>
      <w:r w:rsidRPr="00967E20">
        <w:rPr>
          <w:rFonts w:ascii="Palatino Linotype" w:hAnsi="Palatino Linotype" w:cs="Tahoma"/>
          <w:b/>
          <w:bCs/>
          <w:iCs/>
          <w:lang w:eastAsia="es-ES"/>
        </w:rPr>
        <w:t>Domicilio particular.</w:t>
      </w:r>
    </w:p>
    <w:p w:rsidR="008E2EF4" w:rsidRPr="00967E20" w:rsidRDefault="008E2EF4" w:rsidP="008E2EF4">
      <w:pPr>
        <w:pStyle w:val="Prrafodelista"/>
        <w:numPr>
          <w:ilvl w:val="0"/>
          <w:numId w:val="3"/>
        </w:numPr>
        <w:spacing w:line="360" w:lineRule="auto"/>
        <w:ind w:left="0" w:firstLine="0"/>
        <w:jc w:val="both"/>
        <w:rPr>
          <w:rFonts w:ascii="Palatino Linotype" w:hAnsi="Palatino Linotype" w:cs="Tahoma"/>
          <w:bCs/>
          <w:iCs/>
          <w:lang w:val="es-ES" w:eastAsia="es-ES"/>
        </w:rPr>
      </w:pPr>
      <w:r w:rsidRPr="00967E20">
        <w:rPr>
          <w:rFonts w:ascii="Palatino Linotype" w:hAnsi="Palatino Linotype" w:cs="Tahoma"/>
          <w:bCs/>
          <w:iCs/>
          <w:lang w:val="es-ES" w:eastAsia="es-ES"/>
        </w:rPr>
        <w:t xml:space="preserve">En principio, resulta necesario aclarar que en las Licencias de Construcción hay dos tipos de domicilio, uno que corresponde al del solicitante, correspondiente a su residencia o donde comúnmente habita, en caso de persona jurídico colectiva, donde realiza su actividad, mientras que también está la ubicación del predio o inmueble que se autoriza para realizar </w:t>
      </w:r>
      <w:r w:rsidRPr="00967E20">
        <w:rPr>
          <w:rFonts w:ascii="Palatino Linotype" w:hAnsi="Palatino Linotype" w:cs="Tahoma"/>
          <w:bCs/>
          <w:iCs/>
          <w:lang w:val="es-ES" w:eastAsia="es-ES"/>
        </w:rPr>
        <w:lastRenderedPageBreak/>
        <w:t xml:space="preserve">una construcción, modificación u obra; por lo que, necesariamente no corresponden al mismo dato. </w:t>
      </w:r>
    </w:p>
    <w:p w:rsidR="00EE1810" w:rsidRPr="00967E20" w:rsidRDefault="00EE1810" w:rsidP="00EE1810">
      <w:pPr>
        <w:pStyle w:val="Prrafodelista"/>
        <w:spacing w:line="360" w:lineRule="auto"/>
        <w:ind w:left="0"/>
        <w:jc w:val="both"/>
        <w:rPr>
          <w:rFonts w:ascii="Palatino Linotype" w:hAnsi="Palatino Linotype" w:cs="Tahoma"/>
          <w:bCs/>
          <w:iCs/>
          <w:lang w:val="es-ES" w:eastAsia="es-ES"/>
        </w:rPr>
      </w:pPr>
    </w:p>
    <w:p w:rsidR="00EE1810" w:rsidRPr="00967E20" w:rsidRDefault="000833D7" w:rsidP="008E2EF4">
      <w:pPr>
        <w:pStyle w:val="Prrafodelista"/>
        <w:numPr>
          <w:ilvl w:val="0"/>
          <w:numId w:val="3"/>
        </w:numPr>
        <w:spacing w:line="360" w:lineRule="auto"/>
        <w:ind w:left="0" w:firstLine="0"/>
        <w:jc w:val="both"/>
        <w:rPr>
          <w:rFonts w:ascii="Palatino Linotype" w:hAnsi="Palatino Linotype" w:cs="Tahoma"/>
          <w:bCs/>
          <w:iCs/>
          <w:lang w:val="es-ES" w:eastAsia="es-ES"/>
        </w:rPr>
      </w:pPr>
      <w:r w:rsidRPr="00967E20">
        <w:rPr>
          <w:rFonts w:ascii="Palatino Linotype" w:hAnsi="Palatino Linotype" w:cs="Tahoma"/>
          <w:bCs/>
          <w:iCs/>
          <w:lang w:val="es-ES" w:eastAsia="es-ES"/>
        </w:rPr>
        <w:t xml:space="preserve">Es decir, que el domicilio de la ubicación del predio o inmueble que se autoriza para la realización de la construcción es de carácter público, </w:t>
      </w:r>
      <w:r w:rsidR="00EE1810" w:rsidRPr="00967E20">
        <w:rPr>
          <w:rFonts w:ascii="Palatino Linotype" w:hAnsi="Palatino Linotype" w:cs="Tahoma"/>
          <w:bCs/>
          <w:iCs/>
          <w:lang w:val="es-ES" w:eastAsia="es-ES"/>
        </w:rPr>
        <w:t>pero en el caso particular, se testó dicha información, razón por la cual no se puede dar por atendido el requerimiento del Recurrente</w:t>
      </w:r>
      <w:r w:rsidR="002E1E34" w:rsidRPr="00967E20">
        <w:rPr>
          <w:rFonts w:ascii="Palatino Linotype" w:hAnsi="Palatino Linotype" w:cs="Tahoma"/>
          <w:bCs/>
          <w:iCs/>
          <w:lang w:val="es-ES" w:eastAsia="es-ES"/>
        </w:rPr>
        <w:t xml:space="preserve">, aunado  a que no se entregó el acta emitida por el Comité de Transparencia que sustenta la versión pública de las licencias de construcción. </w:t>
      </w:r>
    </w:p>
    <w:p w:rsidR="00EE1810" w:rsidRPr="00967E20" w:rsidRDefault="00EE1810" w:rsidP="00EE1810">
      <w:pPr>
        <w:pStyle w:val="Prrafodelista"/>
        <w:spacing w:line="360" w:lineRule="auto"/>
        <w:ind w:left="0"/>
        <w:jc w:val="both"/>
        <w:rPr>
          <w:rFonts w:ascii="Palatino Linotype" w:hAnsi="Palatino Linotype" w:cs="Tahoma"/>
          <w:bCs/>
          <w:iCs/>
          <w:lang w:val="es-ES" w:eastAsia="es-ES"/>
        </w:rPr>
      </w:pPr>
    </w:p>
    <w:p w:rsidR="000833D7" w:rsidRPr="00967E20" w:rsidRDefault="00EE1810" w:rsidP="008E2EF4">
      <w:pPr>
        <w:pStyle w:val="Prrafodelista"/>
        <w:numPr>
          <w:ilvl w:val="0"/>
          <w:numId w:val="3"/>
        </w:numPr>
        <w:spacing w:line="360" w:lineRule="auto"/>
        <w:ind w:left="0" w:firstLine="0"/>
        <w:jc w:val="both"/>
        <w:rPr>
          <w:rFonts w:ascii="Palatino Linotype" w:hAnsi="Palatino Linotype" w:cs="Tahoma"/>
          <w:bCs/>
          <w:iCs/>
          <w:lang w:val="es-ES" w:eastAsia="es-ES"/>
        </w:rPr>
      </w:pPr>
      <w:r w:rsidRPr="00967E20">
        <w:rPr>
          <w:rFonts w:ascii="Palatino Linotype" w:hAnsi="Palatino Linotype" w:cs="Tahoma"/>
          <w:bCs/>
          <w:iCs/>
          <w:lang w:val="es-ES" w:eastAsia="es-ES"/>
        </w:rPr>
        <w:t>Por otro lado, respecto al domicilio en el que habita el particular o su lugar de residencia, corresponde a un dato clasificado como se advierte enseguida.</w:t>
      </w:r>
    </w:p>
    <w:p w:rsidR="008E2EF4" w:rsidRPr="00967E20" w:rsidRDefault="008E2EF4" w:rsidP="008E2EF4">
      <w:pPr>
        <w:spacing w:line="360" w:lineRule="auto"/>
        <w:jc w:val="both"/>
        <w:rPr>
          <w:rFonts w:ascii="Palatino Linotype" w:hAnsi="Palatino Linotype" w:cs="Tahoma"/>
          <w:bCs/>
          <w:iCs/>
          <w:lang w:val="es-ES" w:eastAsia="es-ES"/>
        </w:rPr>
      </w:pPr>
    </w:p>
    <w:p w:rsidR="008E2EF4" w:rsidRPr="00967E20" w:rsidRDefault="008E2EF4" w:rsidP="008E2EF4">
      <w:pPr>
        <w:pStyle w:val="Prrafodelista"/>
        <w:numPr>
          <w:ilvl w:val="0"/>
          <w:numId w:val="11"/>
        </w:numPr>
        <w:spacing w:line="360" w:lineRule="auto"/>
        <w:jc w:val="both"/>
        <w:rPr>
          <w:rFonts w:ascii="Palatino Linotype" w:hAnsi="Palatino Linotype" w:cs="Tahoma"/>
          <w:bCs/>
          <w:iCs/>
        </w:rPr>
      </w:pPr>
      <w:r w:rsidRPr="00967E20">
        <w:rPr>
          <w:rFonts w:ascii="Palatino Linotype" w:hAnsi="Palatino Linotype" w:cs="Tahoma"/>
          <w:b/>
          <w:bCs/>
          <w:iCs/>
        </w:rPr>
        <w:t>Persona física.</w:t>
      </w:r>
    </w:p>
    <w:p w:rsidR="008E2EF4" w:rsidRPr="00967E20" w:rsidRDefault="008E2EF4" w:rsidP="008E2EF4">
      <w:pPr>
        <w:pStyle w:val="Prrafodelista"/>
        <w:numPr>
          <w:ilvl w:val="0"/>
          <w:numId w:val="3"/>
        </w:numPr>
        <w:spacing w:line="360" w:lineRule="auto"/>
        <w:ind w:left="0" w:firstLine="0"/>
        <w:jc w:val="both"/>
        <w:rPr>
          <w:rFonts w:ascii="Palatino Linotype" w:hAnsi="Palatino Linotype" w:cs="Tahoma"/>
          <w:bCs/>
          <w:iCs/>
          <w:lang w:val="es-ES" w:eastAsia="es-ES"/>
        </w:rPr>
      </w:pPr>
      <w:r w:rsidRPr="00967E20">
        <w:rPr>
          <w:rFonts w:ascii="Palatino Linotype" w:hAnsi="Palatino Linotype" w:cs="Tahoma"/>
          <w:bCs/>
          <w:iCs/>
          <w:lang w:val="es-ES" w:eastAsia="es-ES"/>
        </w:rPr>
        <w:t xml:space="preserve">De acuerdo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rsidR="008E2EF4" w:rsidRPr="00967E20" w:rsidRDefault="008E2EF4" w:rsidP="008E2EF4">
      <w:pPr>
        <w:pStyle w:val="Prrafodelista"/>
        <w:spacing w:line="360" w:lineRule="auto"/>
        <w:ind w:left="0"/>
        <w:jc w:val="both"/>
        <w:rPr>
          <w:rFonts w:ascii="Palatino Linotype" w:hAnsi="Palatino Linotype" w:cs="Tahoma"/>
          <w:bCs/>
          <w:iCs/>
          <w:lang w:val="es-ES" w:eastAsia="es-ES"/>
        </w:rPr>
      </w:pPr>
    </w:p>
    <w:p w:rsidR="008E2EF4" w:rsidRPr="00967E20" w:rsidRDefault="008E2EF4" w:rsidP="008E2EF4">
      <w:pPr>
        <w:pStyle w:val="Prrafodelista"/>
        <w:numPr>
          <w:ilvl w:val="0"/>
          <w:numId w:val="3"/>
        </w:numPr>
        <w:spacing w:line="360" w:lineRule="auto"/>
        <w:ind w:left="0" w:firstLine="0"/>
        <w:jc w:val="both"/>
        <w:rPr>
          <w:rFonts w:ascii="Palatino Linotype" w:hAnsi="Palatino Linotype" w:cs="Tahoma"/>
          <w:bCs/>
          <w:iCs/>
          <w:lang w:val="es-ES" w:eastAsia="es-ES"/>
        </w:rPr>
      </w:pPr>
      <w:r w:rsidRPr="00967E20">
        <w:rPr>
          <w:rFonts w:ascii="Palatino Linotype" w:hAnsi="Palatino Linotype" w:cs="Tahoma"/>
          <w:bCs/>
          <w:iCs/>
          <w:lang w:val="es-ES" w:eastAsia="es-ES"/>
        </w:rPr>
        <w:t>De la misma manera, lo establece el artículo 29 del Código Civil Federal, al precisar que el domicilio de personas físicas, es el lugar donde residen habitualmente, el lugar del centro principal de sus negocios, donde residan o el lugar donde se encuentren.</w:t>
      </w:r>
    </w:p>
    <w:p w:rsidR="008E2EF4" w:rsidRPr="00967E20" w:rsidRDefault="008E2EF4" w:rsidP="008E2EF4">
      <w:pPr>
        <w:pStyle w:val="Prrafodelista"/>
        <w:rPr>
          <w:rFonts w:ascii="Palatino Linotype" w:hAnsi="Palatino Linotype" w:cs="Tahoma"/>
          <w:bCs/>
          <w:iCs/>
          <w:lang w:val="es-ES" w:eastAsia="es-ES"/>
        </w:rPr>
      </w:pPr>
    </w:p>
    <w:p w:rsidR="008E2EF4" w:rsidRPr="00967E20" w:rsidRDefault="008E2EF4" w:rsidP="008E2EF4">
      <w:pPr>
        <w:pStyle w:val="Prrafodelista"/>
        <w:numPr>
          <w:ilvl w:val="0"/>
          <w:numId w:val="3"/>
        </w:numPr>
        <w:spacing w:line="360" w:lineRule="auto"/>
        <w:ind w:left="0" w:firstLine="0"/>
        <w:jc w:val="both"/>
        <w:rPr>
          <w:rFonts w:ascii="Palatino Linotype" w:hAnsi="Palatino Linotype" w:cs="Tahoma"/>
          <w:bCs/>
          <w:iCs/>
          <w:lang w:val="es-ES" w:eastAsia="es-ES"/>
        </w:rPr>
      </w:pPr>
      <w:r w:rsidRPr="00967E20">
        <w:rPr>
          <w:rFonts w:ascii="Palatino Linotype" w:hAnsi="Palatino Linotype" w:cs="Tahoma"/>
          <w:bCs/>
          <w:iCs/>
          <w:lang w:val="es-ES" w:eastAsia="es-ES"/>
        </w:rPr>
        <w:t xml:space="preserve">Como se observa, la dirección o domicilio es el lugar en donde reside habitualmente una persona física, por lo que, permite hacerlo identificable y ubicable, propiciando que pueda ser molestado en su casa o negocio, de este modo, los datos que permiten a cualquier individuo </w:t>
      </w:r>
      <w:r w:rsidRPr="00967E20">
        <w:rPr>
          <w:rFonts w:ascii="Palatino Linotype" w:hAnsi="Palatino Linotype" w:cs="Tahoma"/>
          <w:bCs/>
          <w:iCs/>
          <w:lang w:val="es-ES" w:eastAsia="es-ES"/>
        </w:rPr>
        <w:lastRenderedPageBreak/>
        <w:t>con esfuerzos mínimos identificar el lugar de residencia o de trabajo constituye un dato personal y, por ende, confidencial, ya que incide directamente en la privacidad de personas físicas identificadas y su difusión podría afectar la esfera privada de las mismas. Por lo tanto, se actualiza la clasificación, de conformidad con la fracción I, del artículo 143 de la Ley de Transparencia y Acceso a la Información Pública del Estado de México y Municipios.</w:t>
      </w:r>
    </w:p>
    <w:p w:rsidR="008E2EF4" w:rsidRPr="00967E20" w:rsidRDefault="008E2EF4" w:rsidP="008E2EF4">
      <w:pPr>
        <w:spacing w:line="360" w:lineRule="auto"/>
        <w:jc w:val="both"/>
        <w:rPr>
          <w:rFonts w:ascii="Palatino Linotype" w:hAnsi="Palatino Linotype" w:cs="Tahoma"/>
          <w:bCs/>
          <w:iCs/>
          <w:lang w:val="es-ES" w:eastAsia="es-ES"/>
        </w:rPr>
      </w:pPr>
    </w:p>
    <w:p w:rsidR="008E2EF4" w:rsidRPr="00967E20" w:rsidRDefault="008E2EF4" w:rsidP="008E2EF4">
      <w:pPr>
        <w:pStyle w:val="Prrafodelista"/>
        <w:numPr>
          <w:ilvl w:val="0"/>
          <w:numId w:val="11"/>
        </w:numPr>
        <w:spacing w:line="360" w:lineRule="auto"/>
        <w:jc w:val="both"/>
        <w:rPr>
          <w:rFonts w:ascii="Palatino Linotype" w:hAnsi="Palatino Linotype" w:cs="Tahoma"/>
          <w:bCs/>
          <w:iCs/>
        </w:rPr>
      </w:pPr>
      <w:r w:rsidRPr="00967E20">
        <w:rPr>
          <w:rFonts w:ascii="Palatino Linotype" w:hAnsi="Palatino Linotype" w:cs="Tahoma"/>
          <w:b/>
          <w:bCs/>
          <w:iCs/>
        </w:rPr>
        <w:t>Persona Jurídico Colectiva.</w:t>
      </w:r>
    </w:p>
    <w:p w:rsidR="008E2EF4" w:rsidRPr="00967E20" w:rsidRDefault="008E2EF4" w:rsidP="008E2EF4">
      <w:pPr>
        <w:pStyle w:val="Prrafodelista"/>
        <w:numPr>
          <w:ilvl w:val="0"/>
          <w:numId w:val="3"/>
        </w:numPr>
        <w:spacing w:line="360" w:lineRule="auto"/>
        <w:ind w:left="0" w:firstLine="0"/>
        <w:jc w:val="both"/>
        <w:rPr>
          <w:rFonts w:ascii="Palatino Linotype" w:hAnsi="Palatino Linotype" w:cs="Tahoma"/>
          <w:bCs/>
          <w:iCs/>
          <w:lang w:val="es-ES" w:eastAsia="es-ES"/>
        </w:rPr>
      </w:pPr>
      <w:r w:rsidRPr="00967E20">
        <w:rPr>
          <w:rFonts w:ascii="Palatino Linotype" w:hAnsi="Palatino Linotype" w:cs="Tahoma"/>
          <w:bCs/>
          <w:iCs/>
          <w:lang w:val="es-ES" w:eastAsia="es-ES"/>
        </w:rPr>
        <w:t xml:space="preserve">En principio, cabe señalar, la información entregada a las autoridades por parte de las personas jurídicas colectivas, debe ser confidencial cuando tenga el carácter de privada por contener datos que pudieran equipararse a los de las personas físicas. </w:t>
      </w:r>
    </w:p>
    <w:p w:rsidR="008E2EF4" w:rsidRPr="00967E20" w:rsidRDefault="008E2EF4" w:rsidP="008E2EF4">
      <w:pPr>
        <w:pStyle w:val="Prrafodelista"/>
        <w:spacing w:line="360" w:lineRule="auto"/>
        <w:ind w:left="0"/>
        <w:jc w:val="both"/>
        <w:rPr>
          <w:rFonts w:ascii="Palatino Linotype" w:hAnsi="Palatino Linotype" w:cs="Tahoma"/>
          <w:bCs/>
          <w:iCs/>
          <w:lang w:val="es-ES" w:eastAsia="es-ES"/>
        </w:rPr>
      </w:pPr>
    </w:p>
    <w:p w:rsidR="008E2EF4" w:rsidRPr="00967E20" w:rsidRDefault="008E2EF4" w:rsidP="008E2EF4">
      <w:pPr>
        <w:pStyle w:val="Prrafodelista"/>
        <w:numPr>
          <w:ilvl w:val="0"/>
          <w:numId w:val="3"/>
        </w:numPr>
        <w:spacing w:line="360" w:lineRule="auto"/>
        <w:ind w:left="0" w:firstLine="0"/>
        <w:jc w:val="both"/>
        <w:rPr>
          <w:rFonts w:ascii="Palatino Linotype" w:hAnsi="Palatino Linotype" w:cs="Tahoma"/>
          <w:bCs/>
          <w:iCs/>
          <w:lang w:val="es-ES" w:eastAsia="es-ES"/>
        </w:rPr>
      </w:pPr>
      <w:r w:rsidRPr="00967E20">
        <w:rPr>
          <w:rFonts w:ascii="Palatino Linotype" w:hAnsi="Palatino Linotype" w:cs="Tahoma"/>
          <w:bCs/>
          <w:iCs/>
          <w:lang w:val="es-ES" w:eastAsia="es-ES"/>
        </w:rPr>
        <w:t xml:space="preserve">Lo anterior, encuentra sustento en la Tesis Aislada con número P. II/2014 (10a.), publicada en febrero de dos mil catorce, en la Gaceta del Semanario Judicial de la Federación, en su Libro 3, Tomo I, que precisa que los bienes protegidos por el derecho a la privacidad y de protección de datos de las personas morales, comprenden aquellos documentos e información que les son inherentes, que deben permanecer ajenos al conocimiento de terceros; por lo que, la </w:t>
      </w:r>
      <w:r w:rsidRPr="00967E20">
        <w:rPr>
          <w:rFonts w:ascii="Palatino Linotype" w:hAnsi="Palatino Linotype" w:cs="Tahoma"/>
          <w:b/>
          <w:bCs/>
          <w:iCs/>
          <w:lang w:val="es-ES" w:eastAsia="es-ES"/>
        </w:rPr>
        <w:t>información entregada a las autoridades por parte de personas morales, será confidencial cuando tenga el carácter de privada por contener datos que pudieran equipararse a los personales,</w:t>
      </w:r>
      <w:r w:rsidRPr="00967E20">
        <w:rPr>
          <w:rFonts w:ascii="Palatino Linotype" w:hAnsi="Palatino Linotype" w:cs="Tahoma"/>
          <w:bCs/>
          <w:iCs/>
          <w:lang w:val="es-ES" w:eastAsia="es-ES"/>
        </w:rPr>
        <w:t xml:space="preserve"> o bien, reservada temporalmente, si actualiza alguno de los supuestos previstos legalmente.</w:t>
      </w:r>
    </w:p>
    <w:p w:rsidR="008E2EF4" w:rsidRPr="00967E20" w:rsidRDefault="008E2EF4" w:rsidP="008E2EF4">
      <w:pPr>
        <w:pStyle w:val="Prrafodelista"/>
        <w:rPr>
          <w:rFonts w:ascii="Palatino Linotype" w:hAnsi="Palatino Linotype" w:cs="Tahoma"/>
          <w:bCs/>
          <w:iCs/>
          <w:lang w:eastAsia="es-ES"/>
        </w:rPr>
      </w:pPr>
    </w:p>
    <w:p w:rsidR="008E2EF4" w:rsidRPr="00967E20" w:rsidRDefault="008E2EF4" w:rsidP="008E2EF4">
      <w:pPr>
        <w:pStyle w:val="Prrafodelista"/>
        <w:numPr>
          <w:ilvl w:val="0"/>
          <w:numId w:val="3"/>
        </w:numPr>
        <w:spacing w:line="360" w:lineRule="auto"/>
        <w:ind w:left="0" w:firstLine="0"/>
        <w:jc w:val="both"/>
        <w:rPr>
          <w:rFonts w:ascii="Palatino Linotype" w:hAnsi="Palatino Linotype" w:cs="Tahoma"/>
          <w:bCs/>
          <w:iCs/>
          <w:lang w:val="es-ES" w:eastAsia="es-ES"/>
        </w:rPr>
      </w:pPr>
      <w:r w:rsidRPr="00967E20">
        <w:rPr>
          <w:rFonts w:ascii="Palatino Linotype" w:hAnsi="Palatino Linotype" w:cs="Tahoma"/>
          <w:bCs/>
          <w:iCs/>
          <w:lang w:eastAsia="es-ES"/>
        </w:rPr>
        <w:t xml:space="preserve">En cuanto al domicilio, este Instituto advierte que se trata de un dato personal, pues como se precisó en párrafos anteriores, da cuenta del lugar donde está asentado el negocio de la persona jurídica colectiva indicada en respuesta; además, debe tomarse en cuenta que dicha empresa o asociación atendiendo a sus intereses personales, decide entregarlo a terceros o no, </w:t>
      </w:r>
      <w:r w:rsidRPr="00967E20">
        <w:rPr>
          <w:rFonts w:ascii="Palatino Linotype" w:hAnsi="Palatino Linotype" w:cs="Tahoma"/>
          <w:bCs/>
          <w:iCs/>
          <w:lang w:eastAsia="es-ES"/>
        </w:rPr>
        <w:lastRenderedPageBreak/>
        <w:t xml:space="preserve">con el propósito de cumplir los fines para los cuales fue constituida, o las inherentes obligaciones a la que se encuentra constreñido, conforme a la legislación que le es aplicable, y por ende, debe resguardarse en la especie. </w:t>
      </w:r>
    </w:p>
    <w:p w:rsidR="008E2EF4" w:rsidRPr="00967E20" w:rsidRDefault="008E2EF4" w:rsidP="008E2EF4">
      <w:pPr>
        <w:pStyle w:val="Prrafodelista"/>
        <w:rPr>
          <w:rFonts w:ascii="Palatino Linotype" w:hAnsi="Palatino Linotype" w:cs="Tahoma"/>
          <w:bCs/>
          <w:iCs/>
          <w:lang w:eastAsia="es-ES"/>
        </w:rPr>
      </w:pPr>
    </w:p>
    <w:p w:rsidR="008E2EF4" w:rsidRPr="00967E20" w:rsidRDefault="008E2EF4" w:rsidP="008E2EF4">
      <w:pPr>
        <w:pStyle w:val="Prrafodelista"/>
        <w:numPr>
          <w:ilvl w:val="0"/>
          <w:numId w:val="3"/>
        </w:numPr>
        <w:spacing w:line="360" w:lineRule="auto"/>
        <w:ind w:left="0" w:firstLine="0"/>
        <w:jc w:val="both"/>
        <w:rPr>
          <w:rFonts w:ascii="Palatino Linotype" w:hAnsi="Palatino Linotype" w:cs="Tahoma"/>
          <w:bCs/>
          <w:iCs/>
          <w:lang w:val="es-ES" w:eastAsia="es-ES"/>
        </w:rPr>
      </w:pPr>
      <w:r w:rsidRPr="00967E20">
        <w:rPr>
          <w:rFonts w:ascii="Palatino Linotype" w:hAnsi="Palatino Linotype" w:cs="Tahoma"/>
          <w:bCs/>
          <w:iCs/>
          <w:lang w:eastAsia="es-ES"/>
        </w:rPr>
        <w:t>De tales circunstancias, se considera que el domicilio de la persona jurídico colectiva es considero confidencial, por lo que, se actualiza la causal de clasificación establecida en el artículo 143, fracción I de la Ley de Transparencia y Acceso a la Información Pública del Estado de México y Municipios.</w:t>
      </w:r>
    </w:p>
    <w:p w:rsidR="008E2EF4" w:rsidRPr="00967E20" w:rsidRDefault="008E2EF4" w:rsidP="008E2EF4">
      <w:pPr>
        <w:spacing w:line="360" w:lineRule="auto"/>
        <w:jc w:val="both"/>
        <w:rPr>
          <w:rFonts w:ascii="Palatino Linotype" w:hAnsi="Palatino Linotype" w:cs="Tahoma"/>
          <w:bCs/>
          <w:iCs/>
          <w:lang w:eastAsia="es-ES"/>
        </w:rPr>
      </w:pPr>
    </w:p>
    <w:p w:rsidR="008E2EF4" w:rsidRPr="00967E20" w:rsidRDefault="008E2EF4" w:rsidP="008E2EF4">
      <w:pPr>
        <w:numPr>
          <w:ilvl w:val="0"/>
          <w:numId w:val="12"/>
        </w:numPr>
        <w:spacing w:line="360" w:lineRule="auto"/>
        <w:ind w:right="-93"/>
        <w:contextualSpacing/>
        <w:jc w:val="both"/>
        <w:rPr>
          <w:rFonts w:ascii="Palatino Linotype" w:hAnsi="Palatino Linotype"/>
          <w:b/>
          <w:lang w:eastAsia="es-ES"/>
        </w:rPr>
      </w:pPr>
      <w:r w:rsidRPr="00967E20">
        <w:rPr>
          <w:rFonts w:ascii="Palatino Linotype" w:hAnsi="Palatino Linotype"/>
          <w:b/>
          <w:lang w:eastAsia="es-ES"/>
        </w:rPr>
        <w:t xml:space="preserve">Clave catastral </w:t>
      </w:r>
    </w:p>
    <w:p w:rsidR="008E2EF4" w:rsidRPr="00967E20" w:rsidRDefault="008E2EF4" w:rsidP="008E2EF4">
      <w:pPr>
        <w:pStyle w:val="Prrafodelista"/>
        <w:numPr>
          <w:ilvl w:val="0"/>
          <w:numId w:val="3"/>
        </w:numPr>
        <w:spacing w:line="360" w:lineRule="auto"/>
        <w:ind w:left="0" w:right="-93" w:firstLine="0"/>
        <w:jc w:val="both"/>
        <w:rPr>
          <w:rFonts w:ascii="Palatino Linotype" w:eastAsia="Calibri" w:hAnsi="Palatino Linotype" w:cs="Tahoma"/>
          <w:bCs/>
          <w:lang w:val="es-ES"/>
        </w:rPr>
      </w:pPr>
      <w:r w:rsidRPr="00967E20">
        <w:rPr>
          <w:rFonts w:ascii="Palatino Linotype" w:eastAsia="Calibri" w:hAnsi="Palatino Linotype" w:cs="Tahoma"/>
          <w:bCs/>
          <w:lang w:val="es-ES"/>
        </w:rPr>
        <w:t>Por cuanto hace a la clave catastral; el artículo 179, fracción I, del Código Financiero del Estado de México y Municipios, refiere que la clave catastral es un código alfanumérico único e irrepetible, que se asigna para efectos de localización geográfica, identificación inscripción, control y registro de los inmuebles; por lo que, integrado de dieciséis caracteres., los primeros tres identifican el código del municipio, los dos siguientes a la zona catastral, los subsecuentes tres a la manzana y los últimos dos, identifican el número de lote o predio.</w:t>
      </w:r>
    </w:p>
    <w:p w:rsidR="008E2EF4" w:rsidRPr="00967E20" w:rsidRDefault="008E2EF4" w:rsidP="008E2EF4">
      <w:pPr>
        <w:pStyle w:val="Prrafodelista"/>
        <w:spacing w:line="360" w:lineRule="auto"/>
        <w:ind w:left="0" w:right="-93"/>
        <w:jc w:val="both"/>
        <w:rPr>
          <w:rFonts w:ascii="Palatino Linotype" w:eastAsia="Calibri" w:hAnsi="Palatino Linotype" w:cs="Tahoma"/>
          <w:bCs/>
          <w:lang w:val="es-ES"/>
        </w:rPr>
      </w:pPr>
    </w:p>
    <w:p w:rsidR="008E2EF4" w:rsidRPr="00967E20" w:rsidRDefault="008E2EF4" w:rsidP="008E2EF4">
      <w:pPr>
        <w:pStyle w:val="Prrafodelista"/>
        <w:numPr>
          <w:ilvl w:val="0"/>
          <w:numId w:val="3"/>
        </w:numPr>
        <w:spacing w:line="360" w:lineRule="auto"/>
        <w:ind w:left="0" w:right="-93" w:firstLine="0"/>
        <w:jc w:val="both"/>
        <w:rPr>
          <w:rFonts w:ascii="Palatino Linotype" w:eastAsia="Calibri" w:hAnsi="Palatino Linotype" w:cs="Tahoma"/>
          <w:bCs/>
          <w:lang w:val="es-ES"/>
        </w:rPr>
      </w:pPr>
      <w:r w:rsidRPr="00967E20">
        <w:rPr>
          <w:rFonts w:ascii="Palatino Linotype" w:eastAsia="Calibri" w:hAnsi="Palatino Linotype" w:cs="Tahoma"/>
          <w:bCs/>
          <w:lang w:val="es-ES"/>
        </w:rPr>
        <w:t>El diccionario de Datos catastrales Escala 1:1000 del Instituto Nacional de Estadística y Geografía (INEGI), contempla en su glosario la definición de clave catastral, la cual, es la siguiente:</w:t>
      </w:r>
    </w:p>
    <w:p w:rsidR="008E2EF4" w:rsidRPr="00967E20" w:rsidRDefault="008E2EF4" w:rsidP="008E2EF4">
      <w:pPr>
        <w:spacing w:line="360" w:lineRule="auto"/>
        <w:ind w:left="851" w:right="822"/>
        <w:jc w:val="both"/>
        <w:rPr>
          <w:rFonts w:ascii="Palatino Linotype" w:eastAsia="Calibri" w:hAnsi="Palatino Linotype" w:cs="Tahoma"/>
          <w:bCs/>
          <w:i/>
          <w:lang w:val="es-ES"/>
        </w:rPr>
      </w:pPr>
      <w:r w:rsidRPr="00967E20">
        <w:rPr>
          <w:rFonts w:ascii="Palatino Linotype" w:eastAsia="Calibri" w:hAnsi="Palatino Linotype" w:cs="Tahoma"/>
          <w:bCs/>
          <w:i/>
          <w:lang w:val="es-ES"/>
        </w:rPr>
        <w:t>“</w:t>
      </w:r>
      <w:r w:rsidRPr="00967E20">
        <w:rPr>
          <w:rFonts w:ascii="Palatino Linotype" w:eastAsia="Calibri" w:hAnsi="Palatino Linotype" w:cs="Tahoma"/>
          <w:b/>
          <w:bCs/>
          <w:i/>
          <w:lang w:val="es-ES"/>
        </w:rPr>
        <w:t xml:space="preserve">Clave catastral: </w:t>
      </w:r>
      <w:r w:rsidRPr="00967E20">
        <w:rPr>
          <w:rFonts w:ascii="Palatino Linotype" w:eastAsia="Calibri" w:hAnsi="Palatino Linotype" w:cs="Tahoma"/>
          <w:bCs/>
          <w:i/>
          <w:lang w:val="es-ES"/>
        </w:rPr>
        <w:t>El código que identifica al predio de forma única para su localización geográfica, mismo que es asignado a cada uno de ellos en el momento de su inscripción en el padrón catastral por las Unidades del estado con atribuciones catastrales”</w:t>
      </w:r>
    </w:p>
    <w:p w:rsidR="008E2EF4" w:rsidRPr="00967E20" w:rsidRDefault="008E2EF4" w:rsidP="008E2EF4">
      <w:pPr>
        <w:spacing w:line="360" w:lineRule="auto"/>
        <w:ind w:right="-93"/>
        <w:jc w:val="both"/>
        <w:rPr>
          <w:rFonts w:ascii="Palatino Linotype" w:eastAsia="Calibri" w:hAnsi="Palatino Linotype" w:cs="Tahoma"/>
          <w:bCs/>
          <w:lang w:val="es-ES"/>
        </w:rPr>
      </w:pPr>
    </w:p>
    <w:p w:rsidR="008E2EF4" w:rsidRPr="00967E20" w:rsidRDefault="008E2EF4" w:rsidP="008E2EF4">
      <w:pPr>
        <w:pStyle w:val="Prrafodelista"/>
        <w:numPr>
          <w:ilvl w:val="0"/>
          <w:numId w:val="3"/>
        </w:numPr>
        <w:spacing w:line="360" w:lineRule="auto"/>
        <w:ind w:left="0" w:right="-93" w:firstLine="0"/>
        <w:jc w:val="both"/>
        <w:rPr>
          <w:rFonts w:ascii="Palatino Linotype" w:eastAsia="Calibri" w:hAnsi="Palatino Linotype" w:cs="Tahoma"/>
          <w:bCs/>
          <w:lang w:val="es-ES"/>
        </w:rPr>
      </w:pPr>
      <w:r w:rsidRPr="00967E20">
        <w:rPr>
          <w:rFonts w:ascii="Palatino Linotype" w:eastAsia="Calibri" w:hAnsi="Palatino Linotype" w:cs="Tahoma"/>
          <w:bCs/>
          <w:lang w:val="es-ES"/>
        </w:rPr>
        <w:lastRenderedPageBreak/>
        <w:t>Así mismo, dicho diccionario estipula dos tipos de Claves catastrales, siendo estas la Estándar y la Original, cuyo diccionario de datos catastrales Escala 1:1000 del INEGI, las define como</w:t>
      </w:r>
      <w:r w:rsidR="00967E20">
        <w:rPr>
          <w:rFonts w:ascii="Palatino Linotype" w:eastAsia="Calibri" w:hAnsi="Palatino Linotype" w:cs="Tahoma"/>
          <w:bCs/>
          <w:lang w:val="es-ES"/>
        </w:rPr>
        <w:t>:</w:t>
      </w:r>
    </w:p>
    <w:p w:rsidR="008E2EF4" w:rsidRPr="00967E20" w:rsidRDefault="008E2EF4" w:rsidP="008E2EF4">
      <w:pPr>
        <w:spacing w:line="360" w:lineRule="auto"/>
        <w:ind w:left="851" w:right="822"/>
        <w:jc w:val="both"/>
        <w:rPr>
          <w:rFonts w:ascii="Palatino Linotype" w:eastAsia="Calibri" w:hAnsi="Palatino Linotype" w:cs="Tahoma"/>
          <w:bCs/>
          <w:i/>
          <w:lang w:val="es-ES"/>
        </w:rPr>
      </w:pPr>
      <w:r w:rsidRPr="00967E20">
        <w:rPr>
          <w:rFonts w:ascii="Palatino Linotype" w:eastAsia="Calibri" w:hAnsi="Palatino Linotype" w:cs="Tahoma"/>
          <w:bCs/>
          <w:i/>
          <w:lang w:val="es-ES"/>
        </w:rPr>
        <w:t>“</w:t>
      </w:r>
      <w:r w:rsidRPr="00967E20">
        <w:rPr>
          <w:rFonts w:ascii="Palatino Linotype" w:eastAsia="Calibri" w:hAnsi="Palatino Linotype" w:cs="Tahoma"/>
          <w:b/>
          <w:bCs/>
          <w:i/>
          <w:lang w:val="es-ES"/>
        </w:rPr>
        <w:t xml:space="preserve">CLAVE CATASTRAL ESTÁNDAR: </w:t>
      </w:r>
      <w:r w:rsidRPr="00967E20">
        <w:rPr>
          <w:rFonts w:ascii="Palatino Linotype" w:eastAsia="Calibri" w:hAnsi="Palatino Linotype" w:cs="Tahoma"/>
          <w:bCs/>
          <w:i/>
          <w:lang w:val="es-ES"/>
        </w:rPr>
        <w:t>Código de 31 caracteres conformado por elementos administrativos y que identifica al objeto espacial en forma única para su localización, compuesto por: Estado (2) + Región Catastral (3) + Municipio (3) + Zona Catastral (2) + Localidad (4) + Sector Catastral (3) + Manzana(3) + Predio (5) +  Condominio: edificio (2) y unidad (4).</w:t>
      </w:r>
    </w:p>
    <w:p w:rsidR="008E2EF4" w:rsidRPr="00967E20" w:rsidRDefault="008E2EF4" w:rsidP="008E2EF4">
      <w:pPr>
        <w:spacing w:line="360" w:lineRule="auto"/>
        <w:ind w:left="851" w:right="822"/>
        <w:jc w:val="both"/>
        <w:rPr>
          <w:rFonts w:ascii="Palatino Linotype" w:eastAsia="Calibri" w:hAnsi="Palatino Linotype" w:cs="Tahoma"/>
          <w:bCs/>
          <w:i/>
          <w:lang w:val="es-ES"/>
        </w:rPr>
      </w:pPr>
    </w:p>
    <w:p w:rsidR="008E2EF4" w:rsidRPr="00967E20" w:rsidRDefault="008E2EF4" w:rsidP="008E2EF4">
      <w:pPr>
        <w:spacing w:line="360" w:lineRule="auto"/>
        <w:ind w:left="851" w:right="822"/>
        <w:jc w:val="both"/>
        <w:rPr>
          <w:rFonts w:ascii="Palatino Linotype" w:eastAsia="Calibri" w:hAnsi="Palatino Linotype" w:cs="Tahoma"/>
          <w:b/>
          <w:bCs/>
          <w:i/>
          <w:lang w:val="es-ES"/>
        </w:rPr>
      </w:pPr>
      <w:r w:rsidRPr="00967E20">
        <w:rPr>
          <w:rFonts w:ascii="Palatino Linotype" w:eastAsia="Calibri" w:hAnsi="Palatino Linotype" w:cs="Tahoma"/>
          <w:b/>
          <w:bCs/>
          <w:i/>
          <w:lang w:val="es-ES"/>
        </w:rPr>
        <w:t xml:space="preserve">CLAVE CATASTRAL ORIGINAL: </w:t>
      </w:r>
      <w:r w:rsidRPr="00967E20">
        <w:rPr>
          <w:rFonts w:ascii="Palatino Linotype" w:eastAsia="Calibri" w:hAnsi="Palatino Linotype" w:cs="Tahoma"/>
          <w:bCs/>
          <w:i/>
          <w:lang w:val="es-ES"/>
        </w:rPr>
        <w:t>Código que identifica al objeto espacial el cual es asignado, por el Catastro Estatal, Municipal o por el registro Agrario Nacional”</w:t>
      </w:r>
      <w:r w:rsidRPr="00967E20">
        <w:rPr>
          <w:rFonts w:ascii="Palatino Linotype" w:eastAsia="Calibri" w:hAnsi="Palatino Linotype" w:cs="Tahoma"/>
          <w:b/>
          <w:bCs/>
          <w:i/>
          <w:lang w:val="es-ES"/>
        </w:rPr>
        <w:t xml:space="preserve"> </w:t>
      </w:r>
    </w:p>
    <w:p w:rsidR="008E2EF4" w:rsidRPr="00967E20" w:rsidRDefault="008E2EF4" w:rsidP="008E2EF4">
      <w:pPr>
        <w:spacing w:line="360" w:lineRule="auto"/>
        <w:ind w:right="-93"/>
        <w:jc w:val="both"/>
        <w:rPr>
          <w:rFonts w:ascii="Palatino Linotype" w:eastAsia="Calibri" w:hAnsi="Palatino Linotype" w:cs="Tahoma"/>
          <w:bCs/>
          <w:lang w:val="es-ES"/>
        </w:rPr>
      </w:pPr>
    </w:p>
    <w:p w:rsidR="008E2EF4" w:rsidRPr="00967E20" w:rsidRDefault="008E2EF4" w:rsidP="008E2EF4">
      <w:pPr>
        <w:pStyle w:val="Prrafodelista"/>
        <w:numPr>
          <w:ilvl w:val="0"/>
          <w:numId w:val="3"/>
        </w:numPr>
        <w:spacing w:line="360" w:lineRule="auto"/>
        <w:ind w:left="0" w:right="-93" w:firstLine="0"/>
        <w:jc w:val="both"/>
        <w:rPr>
          <w:rFonts w:ascii="Palatino Linotype" w:hAnsi="Palatino Linotype" w:cs="Tahoma"/>
          <w:bCs/>
          <w:iCs/>
          <w:lang w:eastAsia="es-ES"/>
        </w:rPr>
      </w:pPr>
      <w:r w:rsidRPr="00967E20">
        <w:rPr>
          <w:rFonts w:ascii="Palatino Linotype" w:eastAsia="Calibri" w:hAnsi="Palatino Linotype" w:cs="Tahoma"/>
          <w:bCs/>
          <w:lang w:val="es-ES"/>
        </w:rPr>
        <w:t xml:space="preserve">Conforme a lo anterior, se advierte que el dato en comento, hace referencia a un predio determinado, que lo hace identificable mediante su localización geográfica e inscripción al padrón catastral de cada entidad federativa, por lo que pudiera revelar información inherente al patrimonio del propietario de dicho predio o inmueble, por lo que de igual manera </w:t>
      </w:r>
      <w:r w:rsidRPr="00967E20">
        <w:rPr>
          <w:rFonts w:ascii="Palatino Linotype" w:eastAsia="Calibri" w:hAnsi="Palatino Linotype" w:cs="Tahoma"/>
          <w:b/>
          <w:bCs/>
          <w:lang w:val="es-ES"/>
        </w:rPr>
        <w:t xml:space="preserve">procede a clasificar dicho dato como confidencial, en </w:t>
      </w:r>
      <w:r w:rsidRPr="00967E20">
        <w:rPr>
          <w:rFonts w:ascii="Palatino Linotype" w:hAnsi="Palatino Linotype" w:cs="Tahoma"/>
          <w:b/>
          <w:bCs/>
          <w:iCs/>
          <w:lang w:eastAsia="es-ES"/>
        </w:rPr>
        <w:t>términos del artículo 143, fracción I de la Ley de Transparencia y Acceso a la Información Pública del Estado de México y Municipios.</w:t>
      </w:r>
    </w:p>
    <w:p w:rsidR="008E2EF4" w:rsidRPr="00967E20" w:rsidRDefault="008E2EF4" w:rsidP="008E2EF4">
      <w:pPr>
        <w:pStyle w:val="Prrafodelista"/>
        <w:spacing w:line="360" w:lineRule="auto"/>
        <w:ind w:left="0" w:right="-93"/>
        <w:jc w:val="both"/>
        <w:rPr>
          <w:rFonts w:ascii="Palatino Linotype" w:hAnsi="Palatino Linotype" w:cs="Tahoma"/>
          <w:bCs/>
          <w:iCs/>
          <w:lang w:eastAsia="es-ES"/>
        </w:rPr>
      </w:pPr>
    </w:p>
    <w:p w:rsidR="006F7F0F" w:rsidRPr="00967E20" w:rsidRDefault="008E2EF4" w:rsidP="00EE1810">
      <w:pPr>
        <w:pStyle w:val="Prrafodelista"/>
        <w:numPr>
          <w:ilvl w:val="0"/>
          <w:numId w:val="3"/>
        </w:numPr>
        <w:spacing w:line="360" w:lineRule="auto"/>
        <w:ind w:left="0" w:right="-93" w:firstLine="0"/>
        <w:jc w:val="both"/>
        <w:rPr>
          <w:rFonts w:ascii="Palatino Linotype" w:hAnsi="Palatino Linotype" w:cs="Tahoma"/>
          <w:bCs/>
          <w:iCs/>
          <w:lang w:eastAsia="es-ES"/>
        </w:rPr>
      </w:pPr>
      <w:r w:rsidRPr="00967E20">
        <w:rPr>
          <w:rFonts w:ascii="Palatino Linotype" w:hAnsi="Palatino Linotype" w:cs="Tahoma"/>
          <w:bCs/>
          <w:iCs/>
          <w:lang w:eastAsia="es-ES"/>
        </w:rPr>
        <w:t xml:space="preserve">Conforme a la naturaleza de la información analizada, el Sujeto Obligado </w:t>
      </w:r>
      <w:r w:rsidRPr="00967E20">
        <w:rPr>
          <w:rFonts w:ascii="Palatino Linotype" w:hAnsi="Palatino Linotype" w:cs="Tahoma"/>
          <w:bCs/>
          <w:lang w:val="es-ES_tradnl" w:eastAsia="es-ES"/>
        </w:rPr>
        <w:t>deberá elaborar la versión pública respectiva; a</w:t>
      </w:r>
      <w:r w:rsidRPr="00967E20">
        <w:rPr>
          <w:rFonts w:ascii="Palatino Linotype" w:hAnsi="Palatino Linotype" w:cs="Tahoma"/>
          <w:bCs/>
          <w:lang w:val="es-ES" w:eastAsia="es-ES"/>
        </w:rPr>
        <w:t xml:space="preserve">l respecto, conforme al artículo 3°, fracción XLV, relacionado con el 137, ambos de la Ley de Transparencia y Acceso a la Información Pública del Estado de México y Municipios, cuando un documento contenga información pública y confidencial, la Unidad de Transparencia para efectos de atender al requerimiento informativo, </w:t>
      </w:r>
      <w:r w:rsidRPr="00967E20">
        <w:rPr>
          <w:rFonts w:ascii="Palatino Linotype" w:hAnsi="Palatino Linotype" w:cs="Tahoma"/>
          <w:bCs/>
          <w:lang w:val="es-ES" w:eastAsia="es-ES"/>
        </w:rPr>
        <w:lastRenderedPageBreak/>
        <w:t>deberá elaborar una versión Pública en la que se testen las partes o secciones clasificadas, indicando su contenido de manera genérica y fundando y motivando su clasificación.</w:t>
      </w:r>
    </w:p>
    <w:p w:rsidR="00EE1810" w:rsidRPr="00967E20" w:rsidRDefault="00EE1810" w:rsidP="00EE1810">
      <w:pPr>
        <w:pStyle w:val="Prrafodelista"/>
        <w:spacing w:line="360" w:lineRule="auto"/>
        <w:ind w:left="0" w:right="-93"/>
        <w:jc w:val="both"/>
        <w:rPr>
          <w:rFonts w:ascii="Palatino Linotype" w:hAnsi="Palatino Linotype" w:cs="Tahoma"/>
          <w:bCs/>
          <w:iCs/>
          <w:lang w:eastAsia="es-ES"/>
        </w:rPr>
      </w:pPr>
    </w:p>
    <w:p w:rsidR="0061127B" w:rsidRPr="00967E20" w:rsidRDefault="0061127B" w:rsidP="0061127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967E20">
        <w:rPr>
          <w:rFonts w:ascii="Palatino Linotype" w:eastAsia="Palatino Linotype" w:hAnsi="Palatino Linotype" w:cs="Palatino Linotype"/>
          <w:color w:val="000000"/>
        </w:rPr>
        <w:t xml:space="preserve">Por lo tanto, con lo expuesto en líneas anteriores y con fundamento en el artículo 186, fracción III, de la Ley de Transparencia y Acceso a la Información Pública del Estado de México y Municipios, este Instituto considera procedente </w:t>
      </w:r>
      <w:r w:rsidR="00EE1810" w:rsidRPr="00967E20">
        <w:rPr>
          <w:rFonts w:ascii="Palatino Linotype" w:eastAsia="Palatino Linotype" w:hAnsi="Palatino Linotype" w:cs="Palatino Linotype"/>
          <w:b/>
          <w:bCs/>
          <w:color w:val="000000"/>
        </w:rPr>
        <w:t>REVOCAR</w:t>
      </w:r>
      <w:r w:rsidRPr="00967E20">
        <w:rPr>
          <w:rFonts w:ascii="Palatino Linotype" w:eastAsia="Palatino Linotype" w:hAnsi="Palatino Linotype" w:cs="Palatino Linotype"/>
          <w:b/>
          <w:bCs/>
          <w:color w:val="000000"/>
        </w:rPr>
        <w:t xml:space="preserve"> </w:t>
      </w:r>
      <w:r w:rsidRPr="00967E20">
        <w:rPr>
          <w:rFonts w:ascii="Palatino Linotype" w:eastAsia="Palatino Linotype" w:hAnsi="Palatino Linotype" w:cs="Palatino Linotype"/>
          <w:color w:val="000000"/>
        </w:rPr>
        <w:t xml:space="preserve">la respuesta otorgada por el Sujeto Obligado, y determina que es dable </w:t>
      </w:r>
      <w:r w:rsidRPr="00967E20">
        <w:rPr>
          <w:rFonts w:ascii="Palatino Linotype" w:eastAsia="Palatino Linotype" w:hAnsi="Palatino Linotype" w:cs="Palatino Linotype"/>
          <w:b/>
          <w:bCs/>
          <w:color w:val="000000"/>
        </w:rPr>
        <w:t>ORDENAR</w:t>
      </w:r>
      <w:r w:rsidRPr="00967E20">
        <w:rPr>
          <w:rFonts w:ascii="Palatino Linotype" w:eastAsia="Palatino Linotype" w:hAnsi="Palatino Linotype" w:cs="Palatino Linotype"/>
          <w:color w:val="000000"/>
        </w:rPr>
        <w:t>, de ser procedente en versión pública, la siguiente información:</w:t>
      </w:r>
      <w:r w:rsidRPr="00967E20">
        <w:rPr>
          <w:rFonts w:ascii="Palatino Linotype" w:eastAsia="Palatino Linotype" w:hAnsi="Palatino Linotype" w:cs="Palatino Linotype"/>
          <w:b/>
          <w:bCs/>
          <w:color w:val="000000"/>
        </w:rPr>
        <w:t xml:space="preserve"> </w:t>
      </w:r>
    </w:p>
    <w:p w:rsidR="0061127B" w:rsidRPr="00967E20" w:rsidRDefault="00EE1810" w:rsidP="0061127B">
      <w:pPr>
        <w:numPr>
          <w:ilvl w:val="0"/>
          <w:numId w:val="6"/>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b/>
          <w:bCs/>
          <w:color w:val="000000"/>
        </w:rPr>
      </w:pPr>
      <w:bookmarkStart w:id="8" w:name="_heading=h.mh3q47ksvucp" w:colFirst="0" w:colLast="0"/>
      <w:bookmarkEnd w:id="8"/>
      <w:r w:rsidRPr="00967E20">
        <w:rPr>
          <w:rFonts w:ascii="Palatino Linotype" w:eastAsia="Palatino Linotype" w:hAnsi="Palatino Linotype" w:cs="Palatino Linotype"/>
          <w:b/>
          <w:bCs/>
          <w:color w:val="000000"/>
        </w:rPr>
        <w:t xml:space="preserve">Licencias de construcción remitidas a través de informe justificado en versión pública correcta. </w:t>
      </w:r>
      <w:r w:rsidR="002E1E34" w:rsidRPr="00967E20">
        <w:rPr>
          <w:rFonts w:ascii="Palatino Linotype" w:eastAsia="Palatino Linotype" w:hAnsi="Palatino Linotype" w:cs="Palatino Linotype"/>
          <w:b/>
          <w:bCs/>
          <w:color w:val="000000"/>
        </w:rPr>
        <w:t xml:space="preserve"> </w:t>
      </w:r>
    </w:p>
    <w:p w:rsidR="0061127B" w:rsidRPr="00967E20" w:rsidRDefault="0061127B" w:rsidP="0061127B">
      <w:pPr>
        <w:spacing w:line="360" w:lineRule="auto"/>
        <w:ind w:left="851" w:right="822"/>
        <w:jc w:val="both"/>
        <w:rPr>
          <w:rFonts w:ascii="Palatino Linotype" w:eastAsia="Palatino Linotype" w:hAnsi="Palatino Linotype" w:cs="Palatino Linotype"/>
          <w:b/>
          <w:bCs/>
        </w:rPr>
      </w:pPr>
    </w:p>
    <w:p w:rsidR="0061127B" w:rsidRPr="00967E20" w:rsidRDefault="0061127B" w:rsidP="0061127B">
      <w:pPr>
        <w:spacing w:line="360" w:lineRule="auto"/>
        <w:ind w:right="822"/>
        <w:rPr>
          <w:rFonts w:ascii="Palatino Linotype" w:eastAsia="Palatino Linotype" w:hAnsi="Palatino Linotype" w:cs="Palatino Linotype"/>
          <w:b/>
          <w:bCs/>
        </w:rPr>
      </w:pPr>
      <w:r w:rsidRPr="00967E20">
        <w:rPr>
          <w:rFonts w:ascii="Palatino Linotype" w:eastAsia="Palatino Linotype" w:hAnsi="Palatino Linotype" w:cs="Palatino Linotype"/>
          <w:b/>
          <w:bCs/>
        </w:rPr>
        <w:t>QUINTO. De la versión pública.</w:t>
      </w:r>
    </w:p>
    <w:p w:rsidR="0061127B" w:rsidRPr="00967E20" w:rsidRDefault="0061127B" w:rsidP="0061127B">
      <w:pPr>
        <w:numPr>
          <w:ilvl w:val="0"/>
          <w:numId w:val="3"/>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967E20">
        <w:rPr>
          <w:rFonts w:ascii="Palatino Linotype" w:eastAsia="Palatino Linotype" w:hAnsi="Palatino Linotype" w:cs="Palatino Linotype"/>
          <w:color w:val="000000"/>
        </w:rPr>
        <w:t>Debe destacarse que, debido a la naturaleza de la información solicitada</w:t>
      </w:r>
      <w:r w:rsidRPr="00967E20">
        <w:rPr>
          <w:rFonts w:ascii="Palatino Linotype" w:eastAsia="Palatino Linotype" w:hAnsi="Palatino Linotype" w:cs="Palatino Linotype"/>
          <w:b/>
          <w:bCs/>
          <w:color w:val="000000"/>
        </w:rPr>
        <w:t xml:space="preserve">, </w:t>
      </w:r>
      <w:r w:rsidRPr="00967E20">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967E20">
        <w:rPr>
          <w:rFonts w:ascii="Palatino Linotype" w:eastAsia="Palatino Linotype" w:hAnsi="Palatino Linotype" w:cs="Palatino Linotype"/>
          <w:b/>
          <w:bCs/>
          <w:color w:val="000000"/>
        </w:rPr>
        <w:t xml:space="preserve">Sujeto Obligado </w:t>
      </w:r>
      <w:r w:rsidRPr="00967E20">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61127B" w:rsidRPr="00967E20" w:rsidRDefault="0061127B" w:rsidP="0061127B">
      <w:pPr>
        <w:pBdr>
          <w:top w:val="nil"/>
          <w:left w:val="nil"/>
          <w:bottom w:val="nil"/>
          <w:right w:val="nil"/>
          <w:between w:val="nil"/>
        </w:pBdr>
        <w:tabs>
          <w:tab w:val="left" w:pos="0"/>
          <w:tab w:val="left" w:pos="284"/>
        </w:tabs>
        <w:spacing w:line="360" w:lineRule="auto"/>
        <w:ind w:right="49"/>
        <w:jc w:val="both"/>
        <w:rPr>
          <w:rFonts w:ascii="Palatino Linotype" w:eastAsia="Palatino Linotype" w:hAnsi="Palatino Linotype" w:cs="Palatino Linotype"/>
          <w:color w:val="000000"/>
        </w:rPr>
      </w:pPr>
    </w:p>
    <w:p w:rsidR="0061127B" w:rsidRPr="00967E20" w:rsidRDefault="0061127B" w:rsidP="0061127B">
      <w:pPr>
        <w:numPr>
          <w:ilvl w:val="0"/>
          <w:numId w:val="3"/>
        </w:numPr>
        <w:tabs>
          <w:tab w:val="left" w:pos="284"/>
        </w:tabs>
        <w:spacing w:line="360" w:lineRule="auto"/>
        <w:ind w:left="0" w:right="49" w:firstLine="0"/>
        <w:jc w:val="both"/>
        <w:rPr>
          <w:rFonts w:ascii="Palatino Linotype" w:eastAsia="Palatino Linotype" w:hAnsi="Palatino Linotype" w:cs="Palatino Linotype"/>
        </w:rPr>
      </w:pPr>
      <w:r w:rsidRPr="00967E20">
        <w:rPr>
          <w:rFonts w:ascii="Palatino Linotype" w:eastAsia="Palatino Linotype" w:hAnsi="Palatino Linotype" w:cs="Palatino Linotype"/>
        </w:rPr>
        <w:t xml:space="preserve">No pasa desapercibido para este Órgano Garante que los </w:t>
      </w:r>
      <w:r w:rsidRPr="00967E20">
        <w:rPr>
          <w:rFonts w:ascii="Palatino Linotype" w:eastAsia="Palatino Linotype" w:hAnsi="Palatino Linotype" w:cs="Palatino Linotype"/>
          <w:b/>
          <w:bCs/>
        </w:rPr>
        <w:t xml:space="preserve">Sujetos Obligados </w:t>
      </w:r>
      <w:r w:rsidRPr="00967E20">
        <w:rPr>
          <w:rFonts w:ascii="Palatino Linotype" w:eastAsia="Palatino Linotype" w:hAnsi="Palatino Linotype" w:cs="Palatino Linotype"/>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61127B" w:rsidRPr="00967E20" w:rsidRDefault="0061127B" w:rsidP="0061127B">
      <w:pPr>
        <w:tabs>
          <w:tab w:val="left" w:pos="284"/>
        </w:tabs>
        <w:spacing w:line="360" w:lineRule="auto"/>
        <w:ind w:right="49"/>
        <w:jc w:val="both"/>
        <w:rPr>
          <w:rFonts w:ascii="Palatino Linotype" w:eastAsia="Palatino Linotype" w:hAnsi="Palatino Linotype" w:cs="Palatino Linotype"/>
        </w:rPr>
      </w:pPr>
    </w:p>
    <w:tbl>
      <w:tblPr>
        <w:tblW w:w="97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256"/>
        <w:gridCol w:w="6520"/>
      </w:tblGrid>
      <w:tr w:rsidR="002E1E34" w:rsidRPr="00967E20" w:rsidTr="009D564D">
        <w:tc>
          <w:tcPr>
            <w:tcW w:w="3256" w:type="dxa"/>
          </w:tcPr>
          <w:p w:rsidR="002E1E34" w:rsidRPr="00967E20" w:rsidRDefault="002E1E34" w:rsidP="00967E20">
            <w:pPr>
              <w:spacing w:line="360" w:lineRule="auto"/>
              <w:rPr>
                <w:rFonts w:ascii="Palatino Linotype" w:eastAsia="Palatino Linotype" w:hAnsi="Palatino Linotype" w:cs="Palatino Linotype"/>
                <w:b/>
              </w:rPr>
            </w:pPr>
            <w:r w:rsidRPr="00967E20">
              <w:rPr>
                <w:rFonts w:ascii="Palatino Linotype" w:eastAsia="Palatino Linotype" w:hAnsi="Palatino Linotype" w:cs="Palatino Linotype"/>
                <w:b/>
              </w:rPr>
              <w:lastRenderedPageBreak/>
              <w:t>a) Requisitos previos.</w:t>
            </w:r>
          </w:p>
        </w:tc>
        <w:tc>
          <w:tcPr>
            <w:tcW w:w="6520" w:type="dxa"/>
          </w:tcPr>
          <w:p w:rsidR="002E1E34" w:rsidRPr="00967E20" w:rsidRDefault="002E1E34" w:rsidP="00967E20">
            <w:pPr>
              <w:spacing w:line="276" w:lineRule="auto"/>
              <w:jc w:val="both"/>
              <w:rPr>
                <w:rFonts w:ascii="Palatino Linotype" w:eastAsia="Palatino Linotype" w:hAnsi="Palatino Linotype" w:cs="Palatino Linotype"/>
                <w:i/>
                <w:color w:val="000000"/>
              </w:rPr>
            </w:pPr>
            <w:r w:rsidRPr="00967E20">
              <w:rPr>
                <w:rFonts w:ascii="Palatino Linotype" w:eastAsia="Palatino Linotype" w:hAnsi="Palatino Linotype" w:cs="Palatino Linotype"/>
                <w:i/>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2E1E34" w:rsidRPr="00967E20" w:rsidRDefault="002E1E34" w:rsidP="00967E20">
            <w:pPr>
              <w:spacing w:line="276" w:lineRule="auto"/>
              <w:jc w:val="both"/>
              <w:rPr>
                <w:rFonts w:ascii="Palatino Linotype" w:eastAsia="Palatino Linotype" w:hAnsi="Palatino Linotype" w:cs="Palatino Linotype"/>
                <w:i/>
                <w:color w:val="000000"/>
              </w:rPr>
            </w:pPr>
            <w:r w:rsidRPr="00967E20">
              <w:rPr>
                <w:rFonts w:ascii="Palatino Linotype" w:eastAsia="Palatino Linotype" w:hAnsi="Palatino Linotype" w:cs="Palatino Linotype"/>
                <w:i/>
                <w:color w:val="000000"/>
              </w:rPr>
              <w:t>Al hacerlo tienen que precisar de qué información se trata, señalando el supuesto de clasificación (confidencialidad o reserva).</w:t>
            </w:r>
          </w:p>
          <w:p w:rsidR="002E1E34" w:rsidRPr="00967E20" w:rsidRDefault="002E1E34" w:rsidP="00967E20">
            <w:pPr>
              <w:spacing w:line="276" w:lineRule="auto"/>
              <w:jc w:val="both"/>
              <w:rPr>
                <w:rFonts w:ascii="Palatino Linotype" w:eastAsia="Palatino Linotype" w:hAnsi="Palatino Linotype" w:cs="Palatino Linotype"/>
                <w:i/>
                <w:color w:val="000000"/>
              </w:rPr>
            </w:pPr>
            <w:r w:rsidRPr="00967E20">
              <w:rPr>
                <w:rFonts w:ascii="Palatino Linotype" w:eastAsia="Palatino Linotype" w:hAnsi="Palatino Linotype" w:cs="Palatino Linotype"/>
                <w:i/>
                <w:color w:val="000000"/>
              </w:rPr>
              <w:t>Además, se debe señalar el procedimiento, de los tres que establecen el artículo 132 de la Ley Estatal.</w:t>
            </w:r>
          </w:p>
          <w:p w:rsidR="002E1E34" w:rsidRPr="00967E20" w:rsidRDefault="002E1E34" w:rsidP="00967E20">
            <w:pPr>
              <w:spacing w:line="276" w:lineRule="auto"/>
              <w:jc w:val="both"/>
              <w:rPr>
                <w:rFonts w:ascii="Palatino Linotype" w:eastAsia="Palatino Linotype" w:hAnsi="Palatino Linotype" w:cs="Palatino Linotype"/>
                <w:i/>
              </w:rPr>
            </w:pPr>
            <w:r w:rsidRPr="00967E20">
              <w:rPr>
                <w:rFonts w:ascii="Palatino Linotype" w:eastAsia="Palatino Linotype" w:hAnsi="Palatino Linotype" w:cs="Palatino Linotype"/>
                <w:i/>
                <w:color w:val="000000"/>
              </w:rPr>
              <w:t xml:space="preserve">El último de estos requisitos previos consiste en que no se pueden emitir acuerdos de carácter general ni particular, esto es, </w:t>
            </w:r>
            <w:r w:rsidRPr="00967E20">
              <w:rPr>
                <w:rFonts w:ascii="Palatino Linotype" w:eastAsia="Palatino Linotype" w:hAnsi="Palatino Linotype" w:cs="Palatino Linotype"/>
                <w:i/>
                <w:color w:val="000000"/>
                <w:u w:val="single"/>
              </w:rPr>
              <w:t>no se puede hacer un acuerdo para clasificar de manera general todos los documentos de un expediente o área, sin</w:t>
            </w:r>
            <w:r w:rsidRPr="00967E20">
              <w:rPr>
                <w:rFonts w:ascii="Palatino Linotype" w:eastAsia="Palatino Linotype" w:hAnsi="Palatino Linotype" w:cs="Palatino Linotype"/>
                <w:i/>
                <w:color w:val="000000"/>
              </w:rPr>
              <w:t xml:space="preserve"> individualizar su análisis y tampoco se puede hacer un acuerdo por cada dato que se vaya a clasificar dentro de un documento con diez datos, por ejemplo, susceptibles de ser clasificados.</w:t>
            </w:r>
          </w:p>
        </w:tc>
      </w:tr>
      <w:tr w:rsidR="002E1E34" w:rsidRPr="00967E20" w:rsidTr="009D564D">
        <w:tc>
          <w:tcPr>
            <w:tcW w:w="3256" w:type="dxa"/>
            <w:shd w:val="clear" w:color="auto" w:fill="D9D9D9" w:themeFill="background1" w:themeFillShade="D9"/>
          </w:tcPr>
          <w:p w:rsidR="002E1E34" w:rsidRPr="00967E20" w:rsidRDefault="002E1E34" w:rsidP="00967E20">
            <w:pPr>
              <w:spacing w:line="360" w:lineRule="auto"/>
              <w:rPr>
                <w:rFonts w:ascii="Palatino Linotype" w:eastAsia="Palatino Linotype" w:hAnsi="Palatino Linotype" w:cs="Palatino Linotype"/>
                <w:b/>
              </w:rPr>
            </w:pPr>
            <w:r w:rsidRPr="00967E20">
              <w:rPr>
                <w:rFonts w:ascii="Palatino Linotype" w:eastAsia="Palatino Linotype" w:hAnsi="Palatino Linotype" w:cs="Palatino Linotype"/>
                <w:b/>
              </w:rPr>
              <w:t>b) Supuestos de clasificación.</w:t>
            </w:r>
          </w:p>
        </w:tc>
        <w:tc>
          <w:tcPr>
            <w:tcW w:w="6520" w:type="dxa"/>
            <w:shd w:val="clear" w:color="auto" w:fill="D9D9D9" w:themeFill="background1" w:themeFillShade="D9"/>
          </w:tcPr>
          <w:p w:rsidR="002E1E34" w:rsidRPr="00967E20" w:rsidRDefault="002E1E34" w:rsidP="00967E20">
            <w:pPr>
              <w:spacing w:line="276" w:lineRule="auto"/>
              <w:jc w:val="both"/>
              <w:rPr>
                <w:rFonts w:ascii="Palatino Linotype" w:eastAsia="Palatino Linotype" w:hAnsi="Palatino Linotype" w:cs="Palatino Linotype"/>
                <w:i/>
                <w:color w:val="000000"/>
              </w:rPr>
            </w:pPr>
            <w:r w:rsidRPr="00967E20">
              <w:rPr>
                <w:rFonts w:ascii="Palatino Linotype" w:eastAsia="Palatino Linotype" w:hAnsi="Palatino Linotype" w:cs="Palatino Linotype"/>
                <w:i/>
                <w:color w:val="000000"/>
              </w:rPr>
              <w:t>Las disposiciones constitucionales y legales en la materia establecen los dos supuestos generales para clasificar la información: por reserva y por confidencialidad.</w:t>
            </w:r>
          </w:p>
          <w:p w:rsidR="002E1E34" w:rsidRPr="00967E20" w:rsidRDefault="002E1E34" w:rsidP="00967E20">
            <w:pPr>
              <w:spacing w:line="276" w:lineRule="auto"/>
              <w:jc w:val="both"/>
              <w:rPr>
                <w:rFonts w:ascii="Palatino Linotype" w:eastAsia="Palatino Linotype" w:hAnsi="Palatino Linotype" w:cs="Palatino Linotype"/>
                <w:i/>
                <w:color w:val="000000"/>
              </w:rPr>
            </w:pPr>
            <w:r w:rsidRPr="00967E20">
              <w:rPr>
                <w:rFonts w:ascii="Palatino Linotype" w:eastAsia="Palatino Linotype" w:hAnsi="Palatino Linotype" w:cs="Palatino Linotype"/>
                <w:i/>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2E1E34" w:rsidRPr="00967E20" w:rsidRDefault="002E1E34" w:rsidP="00967E20">
            <w:pPr>
              <w:spacing w:line="276" w:lineRule="auto"/>
              <w:jc w:val="both"/>
              <w:rPr>
                <w:rFonts w:ascii="Palatino Linotype" w:eastAsia="Palatino Linotype" w:hAnsi="Palatino Linotype" w:cs="Palatino Linotype"/>
                <w:i/>
              </w:rPr>
            </w:pPr>
            <w:r w:rsidRPr="00967E20">
              <w:rPr>
                <w:rFonts w:ascii="Palatino Linotype" w:eastAsia="Palatino Linotype" w:hAnsi="Palatino Linotype" w:cs="Palatino Linotype"/>
                <w:i/>
                <w:color w:val="000000"/>
              </w:rPr>
              <w:t xml:space="preserve">El </w:t>
            </w:r>
            <w:r w:rsidRPr="00967E20">
              <w:rPr>
                <w:rFonts w:ascii="Palatino Linotype" w:eastAsia="Palatino Linotype" w:hAnsi="Palatino Linotype" w:cs="Palatino Linotype"/>
                <w:b/>
                <w:i/>
                <w:color w:val="000000"/>
              </w:rPr>
              <w:t>Sujeto Obligado</w:t>
            </w:r>
            <w:r w:rsidRPr="00967E20">
              <w:rPr>
                <w:rFonts w:ascii="Palatino Linotype" w:eastAsia="Palatino Linotype" w:hAnsi="Palatino Linotype" w:cs="Palatino Linotype"/>
                <w:i/>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2E1E34" w:rsidRPr="00967E20" w:rsidTr="009D564D">
        <w:tc>
          <w:tcPr>
            <w:tcW w:w="3256" w:type="dxa"/>
          </w:tcPr>
          <w:p w:rsidR="002E1E34" w:rsidRPr="00967E20" w:rsidRDefault="002E1E34" w:rsidP="00967E20">
            <w:pPr>
              <w:spacing w:line="360" w:lineRule="auto"/>
              <w:rPr>
                <w:rFonts w:ascii="Palatino Linotype" w:eastAsia="Palatino Linotype" w:hAnsi="Palatino Linotype" w:cs="Palatino Linotype"/>
                <w:b/>
              </w:rPr>
            </w:pPr>
            <w:r w:rsidRPr="00967E20">
              <w:rPr>
                <w:rFonts w:ascii="Palatino Linotype" w:eastAsia="Palatino Linotype" w:hAnsi="Palatino Linotype" w:cs="Palatino Linotype"/>
                <w:b/>
              </w:rPr>
              <w:lastRenderedPageBreak/>
              <w:t>c) Formalidades para emitir el acuerdo de clasificación.</w:t>
            </w:r>
          </w:p>
        </w:tc>
        <w:tc>
          <w:tcPr>
            <w:tcW w:w="6520" w:type="dxa"/>
          </w:tcPr>
          <w:p w:rsidR="002E1E34" w:rsidRPr="00967E20" w:rsidRDefault="002E1E34" w:rsidP="00967E20">
            <w:pPr>
              <w:spacing w:line="276" w:lineRule="auto"/>
              <w:jc w:val="both"/>
              <w:rPr>
                <w:rFonts w:ascii="Palatino Linotype" w:eastAsia="Palatino Linotype" w:hAnsi="Palatino Linotype" w:cs="Palatino Linotype"/>
                <w:i/>
                <w:color w:val="000000"/>
              </w:rPr>
            </w:pPr>
            <w:r w:rsidRPr="00967E20">
              <w:rPr>
                <w:rFonts w:ascii="Palatino Linotype" w:eastAsia="Palatino Linotype" w:hAnsi="Palatino Linotype" w:cs="Palatino Linotype"/>
                <w:i/>
                <w:color w:val="000000"/>
              </w:rPr>
              <w:t xml:space="preserve">El Comité de Transparencia, según lo dispuesto en los artículos cuenta con las facultades para aprobar, modificar o revocar la clasificación de la información que haya propuesto. </w:t>
            </w:r>
          </w:p>
          <w:p w:rsidR="002E1E34" w:rsidRPr="00967E20" w:rsidRDefault="002E1E34" w:rsidP="00967E20">
            <w:pPr>
              <w:spacing w:line="276" w:lineRule="auto"/>
              <w:jc w:val="both"/>
              <w:rPr>
                <w:rFonts w:ascii="Palatino Linotype" w:eastAsia="Palatino Linotype" w:hAnsi="Palatino Linotype" w:cs="Palatino Linotype"/>
                <w:i/>
                <w:color w:val="000000"/>
              </w:rPr>
            </w:pPr>
            <w:r w:rsidRPr="00967E20">
              <w:rPr>
                <w:rFonts w:ascii="Palatino Linotype" w:eastAsia="Palatino Linotype" w:hAnsi="Palatino Linotype" w:cs="Palatino Linotype"/>
                <w:i/>
                <w:color w:val="000000"/>
              </w:rPr>
              <w:t xml:space="preserve">Es necesario que </w:t>
            </w:r>
            <w:r w:rsidRPr="00967E20">
              <w:rPr>
                <w:rFonts w:ascii="Palatino Linotype" w:eastAsia="Palatino Linotype" w:hAnsi="Palatino Linotype" w:cs="Palatino Linotype"/>
                <w:b/>
                <w:i/>
                <w:color w:val="000000"/>
                <w:u w:val="single"/>
              </w:rPr>
              <w:t>el acto reúna con los requisitos elementales</w:t>
            </w:r>
            <w:r w:rsidRPr="00967E20">
              <w:rPr>
                <w:rFonts w:ascii="Palatino Linotype" w:eastAsia="Palatino Linotype" w:hAnsi="Palatino Linotype" w:cs="Palatino Linotype"/>
                <w:i/>
                <w:color w:val="000000"/>
              </w:rPr>
              <w:t>, entre ellos, que la autoridad que va a emitir el acto de autoridad sea la legalmente facultada para ello.</w:t>
            </w:r>
          </w:p>
          <w:p w:rsidR="002E1E34" w:rsidRPr="00967E20" w:rsidRDefault="002E1E34" w:rsidP="00967E20">
            <w:pPr>
              <w:spacing w:line="276" w:lineRule="auto"/>
              <w:jc w:val="both"/>
              <w:rPr>
                <w:rFonts w:ascii="Palatino Linotype" w:eastAsia="Palatino Linotype" w:hAnsi="Palatino Linotype" w:cs="Palatino Linotype"/>
                <w:i/>
              </w:rPr>
            </w:pPr>
            <w:r w:rsidRPr="00967E20">
              <w:rPr>
                <w:rFonts w:ascii="Palatino Linotype" w:eastAsia="Palatino Linotype" w:hAnsi="Palatino Linotype" w:cs="Palatino Linotype"/>
                <w:i/>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967E20">
              <w:rPr>
                <w:rFonts w:ascii="Palatino Linotype" w:eastAsia="Palatino Linotype" w:hAnsi="Palatino Linotype" w:cs="Palatino Linotype"/>
                <w:i/>
              </w:rPr>
              <w:t>El área</w:t>
            </w:r>
            <w:r w:rsidRPr="00967E20">
              <w:rPr>
                <w:rFonts w:ascii="Palatino Linotype" w:eastAsia="Palatino Linotype" w:hAnsi="Palatino Linotype" w:cs="Palatino Linotype"/>
                <w:i/>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2E1E34" w:rsidRPr="00967E20" w:rsidTr="009D564D">
        <w:tc>
          <w:tcPr>
            <w:tcW w:w="3256" w:type="dxa"/>
            <w:shd w:val="clear" w:color="auto" w:fill="D9D9D9" w:themeFill="background1" w:themeFillShade="D9"/>
          </w:tcPr>
          <w:p w:rsidR="002E1E34" w:rsidRPr="00967E20" w:rsidRDefault="002E1E34" w:rsidP="00967E20">
            <w:pPr>
              <w:spacing w:line="360" w:lineRule="auto"/>
              <w:rPr>
                <w:rFonts w:ascii="Palatino Linotype" w:eastAsia="Palatino Linotype" w:hAnsi="Palatino Linotype" w:cs="Palatino Linotype"/>
                <w:b/>
              </w:rPr>
            </w:pPr>
          </w:p>
          <w:p w:rsidR="002E1E34" w:rsidRPr="00967E20" w:rsidRDefault="002E1E34" w:rsidP="00967E20">
            <w:pPr>
              <w:spacing w:line="360" w:lineRule="auto"/>
              <w:jc w:val="both"/>
              <w:rPr>
                <w:rFonts w:ascii="Palatino Linotype" w:eastAsia="Palatino Linotype" w:hAnsi="Palatino Linotype" w:cs="Palatino Linotype"/>
                <w:b/>
              </w:rPr>
            </w:pPr>
            <w:r w:rsidRPr="00967E20">
              <w:rPr>
                <w:rFonts w:ascii="Palatino Linotype" w:eastAsia="Palatino Linotype" w:hAnsi="Palatino Linotype" w:cs="Palatino Linotype"/>
                <w:b/>
                <w:color w:val="000000"/>
              </w:rPr>
              <w:t xml:space="preserve">d) Requisitos de fondo del acuerdo de clasificación. </w:t>
            </w:r>
          </w:p>
        </w:tc>
        <w:tc>
          <w:tcPr>
            <w:tcW w:w="6520" w:type="dxa"/>
            <w:shd w:val="clear" w:color="auto" w:fill="D9D9D9" w:themeFill="background1" w:themeFillShade="D9"/>
          </w:tcPr>
          <w:p w:rsidR="002E1E34" w:rsidRPr="00967E20" w:rsidRDefault="002E1E34" w:rsidP="00967E20">
            <w:pPr>
              <w:spacing w:line="276" w:lineRule="auto"/>
              <w:jc w:val="both"/>
              <w:rPr>
                <w:rFonts w:ascii="Palatino Linotype" w:eastAsia="Palatino Linotype" w:hAnsi="Palatino Linotype" w:cs="Palatino Linotype"/>
                <w:i/>
                <w:color w:val="000000"/>
              </w:rPr>
            </w:pPr>
            <w:r w:rsidRPr="00967E20">
              <w:rPr>
                <w:rFonts w:ascii="Palatino Linotype" w:eastAsia="Palatino Linotype" w:hAnsi="Palatino Linotype" w:cs="Palatino Linotype"/>
                <w:i/>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967E20">
              <w:rPr>
                <w:rFonts w:ascii="Palatino Linotype" w:eastAsia="Palatino Linotype" w:hAnsi="Palatino Linotype" w:cs="Palatino Linotype"/>
                <w:b/>
                <w:i/>
                <w:color w:val="000000"/>
              </w:rPr>
              <w:t>Sujetos Obligados</w:t>
            </w:r>
            <w:r w:rsidRPr="00967E20">
              <w:rPr>
                <w:rFonts w:ascii="Palatino Linotype" w:eastAsia="Palatino Linotype" w:hAnsi="Palatino Linotype" w:cs="Palatino Linotype"/>
                <w:i/>
                <w:color w:val="000000"/>
              </w:rPr>
              <w:t xml:space="preserve">, por lo que deberán fundar y motivar debidamente la clasificación. </w:t>
            </w:r>
          </w:p>
          <w:p w:rsidR="002E1E34" w:rsidRPr="00967E20" w:rsidRDefault="002E1E34" w:rsidP="00967E20">
            <w:pPr>
              <w:spacing w:line="276" w:lineRule="auto"/>
              <w:jc w:val="both"/>
              <w:rPr>
                <w:rFonts w:ascii="Palatino Linotype" w:eastAsia="Palatino Linotype" w:hAnsi="Palatino Linotype" w:cs="Palatino Linotype"/>
                <w:i/>
                <w:color w:val="000000"/>
              </w:rPr>
            </w:pPr>
            <w:r w:rsidRPr="00967E20">
              <w:rPr>
                <w:rFonts w:ascii="Palatino Linotype" w:eastAsia="Palatino Linotype" w:hAnsi="Palatino Linotype" w:cs="Palatino Linotype"/>
                <w:i/>
                <w:color w:val="000000"/>
              </w:rPr>
              <w:t xml:space="preserve">De lo anterior, se desprende que para una correcta </w:t>
            </w:r>
            <w:r w:rsidRPr="00967E20">
              <w:rPr>
                <w:rFonts w:ascii="Palatino Linotype" w:eastAsia="Palatino Linotype" w:hAnsi="Palatino Linotype" w:cs="Palatino Linotype"/>
                <w:b/>
                <w:i/>
                <w:color w:val="000000"/>
              </w:rPr>
              <w:t>clasificación total o parcial</w:t>
            </w:r>
            <w:r w:rsidRPr="00967E20">
              <w:rPr>
                <w:rFonts w:ascii="Palatino Linotype" w:eastAsia="Palatino Linotype" w:hAnsi="Palatino Linotype" w:cs="Palatino Linotype"/>
                <w:i/>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2E1E34" w:rsidRPr="00967E20" w:rsidRDefault="002E1E34" w:rsidP="00967E20">
            <w:pPr>
              <w:spacing w:line="276" w:lineRule="auto"/>
              <w:jc w:val="both"/>
              <w:rPr>
                <w:rFonts w:ascii="Palatino Linotype" w:eastAsia="Palatino Linotype" w:hAnsi="Palatino Linotype" w:cs="Palatino Linotype"/>
                <w:i/>
                <w:color w:val="000000"/>
              </w:rPr>
            </w:pPr>
            <w:r w:rsidRPr="00967E20">
              <w:rPr>
                <w:rFonts w:ascii="Palatino Linotype" w:eastAsia="Palatino Linotype" w:hAnsi="Palatino Linotype" w:cs="Palatino Linotype"/>
                <w:i/>
                <w:color w:val="000000"/>
              </w:rPr>
              <w:t xml:space="preserve">Así, en un acto de autoridad se cumple con la debida fundamentación cuando se cita el precepto legal aplicable al caso concreto y la debida motivación cuando se expresan las razones, motivos o circunstancias que tomó en cuenta la autoridad para </w:t>
            </w:r>
            <w:r w:rsidRPr="00967E20">
              <w:rPr>
                <w:rFonts w:ascii="Palatino Linotype" w:eastAsia="Palatino Linotype" w:hAnsi="Palatino Linotype" w:cs="Palatino Linotype"/>
                <w:i/>
                <w:color w:val="000000"/>
              </w:rPr>
              <w:lastRenderedPageBreak/>
              <w:t>adecuar el hecho a los fundamentos de derecho. De este modo, la persona que se sienta afectada pueda impugnar la decisión, permitiéndole una real y auténtica defensa.</w:t>
            </w:r>
          </w:p>
          <w:p w:rsidR="002E1E34" w:rsidRPr="00967E20" w:rsidRDefault="002E1E34" w:rsidP="00967E20">
            <w:pPr>
              <w:spacing w:line="276" w:lineRule="auto"/>
              <w:jc w:val="both"/>
              <w:rPr>
                <w:rFonts w:ascii="Palatino Linotype" w:eastAsia="Palatino Linotype" w:hAnsi="Palatino Linotype" w:cs="Palatino Linotype"/>
                <w:i/>
                <w:color w:val="000000"/>
              </w:rPr>
            </w:pPr>
            <w:r w:rsidRPr="00967E20">
              <w:rPr>
                <w:rFonts w:ascii="Palatino Linotype" w:eastAsia="Palatino Linotype" w:hAnsi="Palatino Linotype" w:cs="Palatino Linotype"/>
                <w:i/>
                <w:color w:val="000000"/>
              </w:rPr>
              <w:t>En ese mismo sentido, el numeral trigésimo tercero fracción V de los Lineamientos Generales, precisa que para motivar la clasificación se deben acreditar las circunstancias de tiempo, modo y lugar.</w:t>
            </w:r>
          </w:p>
          <w:p w:rsidR="002E1E34" w:rsidRPr="00967E20" w:rsidRDefault="002E1E34" w:rsidP="00967E20">
            <w:pPr>
              <w:spacing w:line="276" w:lineRule="auto"/>
              <w:jc w:val="both"/>
              <w:rPr>
                <w:rFonts w:ascii="Palatino Linotype" w:eastAsia="Palatino Linotype" w:hAnsi="Palatino Linotype" w:cs="Palatino Linotype"/>
                <w:i/>
                <w:color w:val="000000"/>
              </w:rPr>
            </w:pPr>
            <w:r w:rsidRPr="00967E20">
              <w:rPr>
                <w:rFonts w:ascii="Palatino Linotype" w:eastAsia="Palatino Linotype" w:hAnsi="Palatino Linotype" w:cs="Palatino Linotype"/>
                <w:i/>
                <w:color w:val="000000"/>
              </w:rPr>
              <w:t xml:space="preserve">Ahora bien, </w:t>
            </w:r>
            <w:r w:rsidRPr="00967E20">
              <w:rPr>
                <w:rFonts w:ascii="Palatino Linotype" w:eastAsia="Palatino Linotype" w:hAnsi="Palatino Linotype" w:cs="Palatino Linotype"/>
                <w:b/>
                <w:i/>
                <w:color w:val="000000"/>
                <w:u w:val="single"/>
              </w:rPr>
              <w:t>para cada caso además de fundar y motivar</w:t>
            </w:r>
            <w:r w:rsidRPr="00967E20">
              <w:rPr>
                <w:rFonts w:ascii="Palatino Linotype" w:eastAsia="Palatino Linotype" w:hAnsi="Palatino Linotype" w:cs="Palatino Linotype"/>
                <w:i/>
                <w:color w:val="000000"/>
              </w:rPr>
              <w:t xml:space="preserve">, se debe identificar con claridad </w:t>
            </w:r>
            <w:r w:rsidRPr="00967E20">
              <w:rPr>
                <w:rFonts w:ascii="Palatino Linotype" w:eastAsia="Palatino Linotype" w:hAnsi="Palatino Linotype" w:cs="Palatino Linotype"/>
                <w:i/>
              </w:rPr>
              <w:t>qué</w:t>
            </w:r>
            <w:r w:rsidRPr="00967E20">
              <w:rPr>
                <w:rFonts w:ascii="Palatino Linotype" w:eastAsia="Palatino Linotype" w:hAnsi="Palatino Linotype" w:cs="Palatino Linotype"/>
                <w:i/>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2E1E34" w:rsidRPr="00967E20" w:rsidTr="009D564D">
        <w:tc>
          <w:tcPr>
            <w:tcW w:w="3256" w:type="dxa"/>
          </w:tcPr>
          <w:p w:rsidR="002E1E34" w:rsidRPr="00967E20" w:rsidRDefault="002E1E34" w:rsidP="00967E20">
            <w:pPr>
              <w:spacing w:line="360" w:lineRule="auto"/>
              <w:jc w:val="both"/>
              <w:rPr>
                <w:rFonts w:ascii="Palatino Linotype" w:eastAsia="Palatino Linotype" w:hAnsi="Palatino Linotype" w:cs="Palatino Linotype"/>
                <w:b/>
              </w:rPr>
            </w:pPr>
            <w:r w:rsidRPr="00967E20">
              <w:rPr>
                <w:rFonts w:ascii="Palatino Linotype" w:eastAsia="Palatino Linotype" w:hAnsi="Palatino Linotype" w:cs="Palatino Linotype"/>
                <w:b/>
              </w:rPr>
              <w:lastRenderedPageBreak/>
              <w:t xml:space="preserve">e) Condiciones especiales de la clasificación de la información como confidencial. </w:t>
            </w:r>
          </w:p>
        </w:tc>
        <w:tc>
          <w:tcPr>
            <w:tcW w:w="6520" w:type="dxa"/>
          </w:tcPr>
          <w:p w:rsidR="002E1E34" w:rsidRPr="00967E20" w:rsidRDefault="002E1E34" w:rsidP="00967E20">
            <w:pPr>
              <w:spacing w:line="276" w:lineRule="auto"/>
              <w:jc w:val="both"/>
              <w:rPr>
                <w:rFonts w:ascii="Palatino Linotype" w:eastAsia="Palatino Linotype" w:hAnsi="Palatino Linotype" w:cs="Palatino Linotype"/>
                <w:i/>
                <w:color w:val="000000"/>
              </w:rPr>
            </w:pPr>
            <w:r w:rsidRPr="00967E20">
              <w:rPr>
                <w:rFonts w:ascii="Palatino Linotype" w:eastAsia="Palatino Linotype" w:hAnsi="Palatino Linotype" w:cs="Palatino Linotype"/>
                <w:i/>
                <w:color w:val="000000"/>
              </w:rPr>
              <w:t xml:space="preserve">Los artículos 148 de la Ley Estatal establece que aun tratándose de datos personales, se podrán proporcionar, incluso sin solicitar el consentimiento de su titular. </w:t>
            </w:r>
          </w:p>
          <w:p w:rsidR="002E1E34" w:rsidRPr="00967E20" w:rsidRDefault="002E1E34" w:rsidP="00967E20">
            <w:pPr>
              <w:spacing w:line="276" w:lineRule="auto"/>
              <w:jc w:val="both"/>
              <w:rPr>
                <w:rFonts w:ascii="Palatino Linotype" w:eastAsia="Palatino Linotype" w:hAnsi="Palatino Linotype" w:cs="Palatino Linotype"/>
                <w:i/>
                <w:color w:val="000000"/>
              </w:rPr>
            </w:pPr>
            <w:r w:rsidRPr="00967E20">
              <w:rPr>
                <w:rFonts w:ascii="Palatino Linotype" w:eastAsia="Palatino Linotype" w:hAnsi="Palatino Linotype" w:cs="Palatino Linotype"/>
                <w:i/>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2E1E34" w:rsidRPr="00967E20" w:rsidRDefault="002E1E34" w:rsidP="00967E20">
            <w:pPr>
              <w:spacing w:line="276" w:lineRule="auto"/>
              <w:rPr>
                <w:rFonts w:ascii="Palatino Linotype" w:eastAsia="Palatino Linotype" w:hAnsi="Palatino Linotype" w:cs="Palatino Linotype"/>
                <w:i/>
              </w:rPr>
            </w:pPr>
            <w:r w:rsidRPr="00967E20">
              <w:rPr>
                <w:rFonts w:ascii="Palatino Linotype" w:eastAsia="Palatino Linotype" w:hAnsi="Palatino Linotype" w:cs="Palatino Linotype"/>
                <w:i/>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61127B" w:rsidRDefault="0061127B" w:rsidP="0061127B">
      <w:p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p>
    <w:p w:rsidR="009D564D" w:rsidRPr="00967E20" w:rsidRDefault="009D564D" w:rsidP="0061127B">
      <w:p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p>
    <w:p w:rsidR="0061127B" w:rsidRPr="00967E20" w:rsidRDefault="0061127B" w:rsidP="0061127B">
      <w:pPr>
        <w:numPr>
          <w:ilvl w:val="0"/>
          <w:numId w:val="3"/>
        </w:numPr>
        <w:pBdr>
          <w:top w:val="nil"/>
          <w:left w:val="nil"/>
          <w:bottom w:val="nil"/>
          <w:right w:val="nil"/>
          <w:between w:val="nil"/>
        </w:pBdr>
        <w:tabs>
          <w:tab w:val="left" w:pos="0"/>
        </w:tabs>
        <w:spacing w:line="360" w:lineRule="auto"/>
        <w:ind w:left="0" w:right="51" w:firstLine="0"/>
        <w:jc w:val="both"/>
        <w:rPr>
          <w:rFonts w:ascii="Palatino Linotype" w:eastAsia="Palatino Linotype" w:hAnsi="Palatino Linotype" w:cs="Palatino Linotype"/>
          <w:color w:val="000000"/>
        </w:rPr>
      </w:pPr>
      <w:r w:rsidRPr="00967E20">
        <w:rPr>
          <w:rFonts w:ascii="Palatino Linotype" w:eastAsia="Palatino Linotype" w:hAnsi="Palatino Linotype" w:cs="Palatino Linotype"/>
          <w:color w:val="000000"/>
        </w:rPr>
        <w:lastRenderedPageBreak/>
        <w:t xml:space="preserve">Por lo anteriormente expuesto y fundado, este </w:t>
      </w:r>
      <w:r w:rsidRPr="00967E20">
        <w:rPr>
          <w:rFonts w:ascii="Palatino Linotype" w:eastAsia="Palatino Linotype" w:hAnsi="Palatino Linotype" w:cs="Palatino Linotype"/>
          <w:b/>
          <w:bCs/>
          <w:color w:val="000000"/>
        </w:rPr>
        <w:t>ÓRGANO GARANTE</w:t>
      </w:r>
      <w:r w:rsidRPr="00967E20">
        <w:rPr>
          <w:rFonts w:ascii="Palatino Linotype" w:eastAsia="Palatino Linotype" w:hAnsi="Palatino Linotype" w:cs="Palatino Linotype"/>
          <w:color w:val="000000"/>
        </w:rPr>
        <w:t xml:space="preserve"> emite los siguientes:</w:t>
      </w:r>
    </w:p>
    <w:p w:rsidR="0061127B" w:rsidRPr="00967E20" w:rsidRDefault="0061127B" w:rsidP="0061127B">
      <w:pPr>
        <w:pStyle w:val="Ttulo1"/>
        <w:jc w:val="center"/>
        <w:rPr>
          <w:rFonts w:ascii="Palatino Linotype" w:eastAsia="Palatino Linotype" w:hAnsi="Palatino Linotype" w:cs="Palatino Linotype"/>
          <w:b/>
          <w:bCs/>
          <w:color w:val="000000"/>
          <w:sz w:val="24"/>
          <w:szCs w:val="24"/>
        </w:rPr>
      </w:pPr>
      <w:bookmarkStart w:id="9" w:name="_heading=h.jszhvncxdys9" w:colFirst="0" w:colLast="0"/>
      <w:bookmarkEnd w:id="9"/>
      <w:r w:rsidRPr="00967E20">
        <w:rPr>
          <w:rFonts w:ascii="Palatino Linotype" w:eastAsia="Palatino Linotype" w:hAnsi="Palatino Linotype" w:cs="Palatino Linotype"/>
          <w:b/>
          <w:bCs/>
          <w:color w:val="000000"/>
          <w:sz w:val="24"/>
          <w:szCs w:val="24"/>
        </w:rPr>
        <w:t>R E S O L U T I V O S</w:t>
      </w:r>
    </w:p>
    <w:p w:rsidR="0061127B" w:rsidRPr="00967E20" w:rsidRDefault="0061127B" w:rsidP="0061127B">
      <w:pPr>
        <w:keepNext/>
        <w:keepLines/>
        <w:spacing w:line="360" w:lineRule="auto"/>
        <w:jc w:val="center"/>
        <w:rPr>
          <w:rFonts w:ascii="Palatino Linotype" w:eastAsia="Palatino Linotype" w:hAnsi="Palatino Linotype" w:cs="Palatino Linotype"/>
          <w:b/>
          <w:bCs/>
        </w:rPr>
      </w:pPr>
    </w:p>
    <w:p w:rsidR="0061127B" w:rsidRPr="00967E20" w:rsidRDefault="0061127B" w:rsidP="0061127B">
      <w:pPr>
        <w:spacing w:line="360" w:lineRule="auto"/>
        <w:jc w:val="both"/>
        <w:rPr>
          <w:rFonts w:ascii="Palatino Linotype" w:eastAsia="Palatino Linotype" w:hAnsi="Palatino Linotype" w:cs="Palatino Linotype"/>
        </w:rPr>
      </w:pPr>
      <w:r w:rsidRPr="00967E20">
        <w:rPr>
          <w:rFonts w:ascii="Palatino Linotype" w:eastAsia="Palatino Linotype" w:hAnsi="Palatino Linotype" w:cs="Palatino Linotype"/>
          <w:b/>
          <w:bCs/>
        </w:rPr>
        <w:t xml:space="preserve">PRIMERO. </w:t>
      </w:r>
      <w:r w:rsidRPr="00967E20">
        <w:rPr>
          <w:rFonts w:ascii="Palatino Linotype" w:eastAsia="Palatino Linotype" w:hAnsi="Palatino Linotype" w:cs="Palatino Linotype"/>
        </w:rPr>
        <w:t>Resultan fundadas las</w:t>
      </w:r>
      <w:r w:rsidRPr="00967E20">
        <w:rPr>
          <w:rFonts w:ascii="Palatino Linotype" w:eastAsia="Palatino Linotype" w:hAnsi="Palatino Linotype" w:cs="Palatino Linotype"/>
          <w:b/>
          <w:bCs/>
        </w:rPr>
        <w:t xml:space="preserve"> </w:t>
      </w:r>
      <w:r w:rsidRPr="00967E20">
        <w:rPr>
          <w:rFonts w:ascii="Palatino Linotype" w:eastAsia="Palatino Linotype" w:hAnsi="Palatino Linotype" w:cs="Palatino Linotype"/>
        </w:rPr>
        <w:t xml:space="preserve">razones o motivos de inconformidad hechos valer en el recurso de revisión </w:t>
      </w:r>
      <w:r w:rsidR="002E1E34" w:rsidRPr="00967E20">
        <w:rPr>
          <w:rFonts w:ascii="Palatino Linotype" w:eastAsia="Palatino Linotype" w:hAnsi="Palatino Linotype" w:cs="Palatino Linotype"/>
          <w:b/>
          <w:bCs/>
        </w:rPr>
        <w:t>09878</w:t>
      </w:r>
      <w:r w:rsidRPr="00967E20">
        <w:rPr>
          <w:rFonts w:ascii="Palatino Linotype" w:eastAsia="Palatino Linotype" w:hAnsi="Palatino Linotype" w:cs="Palatino Linotype"/>
          <w:b/>
          <w:bCs/>
        </w:rPr>
        <w:t xml:space="preserve">/INFOEM/IP/RR/2025 </w:t>
      </w:r>
      <w:r w:rsidRPr="00967E20">
        <w:rPr>
          <w:rFonts w:ascii="Palatino Linotype" w:eastAsia="Palatino Linotype" w:hAnsi="Palatino Linotype" w:cs="Palatino Linotype"/>
        </w:rPr>
        <w:t>en términos de los</w:t>
      </w:r>
      <w:r w:rsidRPr="00967E20">
        <w:rPr>
          <w:rFonts w:ascii="Palatino Linotype" w:eastAsia="Palatino Linotype" w:hAnsi="Palatino Linotype" w:cs="Palatino Linotype"/>
          <w:b/>
          <w:bCs/>
        </w:rPr>
        <w:t xml:space="preserve"> Considerandos</w:t>
      </w:r>
      <w:r w:rsidRPr="00967E20">
        <w:rPr>
          <w:rFonts w:ascii="Palatino Linotype" w:eastAsia="Palatino Linotype" w:hAnsi="Palatino Linotype" w:cs="Palatino Linotype"/>
        </w:rPr>
        <w:t xml:space="preserve"> </w:t>
      </w:r>
      <w:r w:rsidRPr="00967E20">
        <w:rPr>
          <w:rFonts w:ascii="Palatino Linotype" w:eastAsia="Palatino Linotype" w:hAnsi="Palatino Linotype" w:cs="Palatino Linotype"/>
          <w:b/>
          <w:bCs/>
        </w:rPr>
        <w:t>CUARTO y QUINTO</w:t>
      </w:r>
      <w:r w:rsidRPr="00967E20">
        <w:rPr>
          <w:rFonts w:ascii="Palatino Linotype" w:eastAsia="Palatino Linotype" w:hAnsi="Palatino Linotype" w:cs="Palatino Linotype"/>
        </w:rPr>
        <w:t xml:space="preserve"> de la presente resolución.</w:t>
      </w:r>
    </w:p>
    <w:p w:rsidR="0061127B" w:rsidRPr="00967E20" w:rsidRDefault="0061127B" w:rsidP="0061127B">
      <w:pPr>
        <w:spacing w:line="360" w:lineRule="auto"/>
        <w:jc w:val="both"/>
        <w:rPr>
          <w:rFonts w:ascii="Palatino Linotype" w:eastAsia="Palatino Linotype" w:hAnsi="Palatino Linotype" w:cs="Palatino Linotype"/>
          <w:b/>
          <w:bCs/>
        </w:rPr>
      </w:pPr>
    </w:p>
    <w:p w:rsidR="0061127B" w:rsidRPr="00967E20" w:rsidRDefault="0061127B" w:rsidP="0061127B">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67E20">
        <w:rPr>
          <w:rFonts w:ascii="Palatino Linotype" w:eastAsia="Palatino Linotype" w:hAnsi="Palatino Linotype" w:cs="Palatino Linotype"/>
          <w:b/>
          <w:bCs/>
          <w:color w:val="000000"/>
        </w:rPr>
        <w:t xml:space="preserve">SEGUNDO. </w:t>
      </w:r>
      <w:r w:rsidRPr="00967E20">
        <w:rPr>
          <w:rFonts w:ascii="Palatino Linotype" w:eastAsia="Palatino Linotype" w:hAnsi="Palatino Linotype" w:cs="Palatino Linotype"/>
          <w:color w:val="000000"/>
        </w:rPr>
        <w:t xml:space="preserve">Se </w:t>
      </w:r>
      <w:r w:rsidR="002E1E34" w:rsidRPr="00967E20">
        <w:rPr>
          <w:rFonts w:ascii="Palatino Linotype" w:eastAsia="Palatino Linotype" w:hAnsi="Palatino Linotype" w:cs="Palatino Linotype"/>
          <w:b/>
          <w:bCs/>
          <w:color w:val="000000"/>
        </w:rPr>
        <w:t>REVOCA</w:t>
      </w:r>
      <w:r w:rsidRPr="00967E20">
        <w:rPr>
          <w:rFonts w:ascii="Palatino Linotype" w:eastAsia="Palatino Linotype" w:hAnsi="Palatino Linotype" w:cs="Palatino Linotype"/>
          <w:color w:val="000000"/>
        </w:rPr>
        <w:t xml:space="preserve"> la respuesta y se </w:t>
      </w:r>
      <w:r w:rsidRPr="00967E20">
        <w:rPr>
          <w:rFonts w:ascii="Palatino Linotype" w:eastAsia="Palatino Linotype" w:hAnsi="Palatino Linotype" w:cs="Palatino Linotype"/>
          <w:b/>
          <w:bCs/>
          <w:color w:val="000000"/>
        </w:rPr>
        <w:t xml:space="preserve">ORDENA </w:t>
      </w:r>
      <w:r w:rsidRPr="00967E20">
        <w:rPr>
          <w:rFonts w:ascii="Palatino Linotype" w:eastAsia="Palatino Linotype" w:hAnsi="Palatino Linotype" w:cs="Palatino Linotype"/>
          <w:color w:val="000000"/>
        </w:rPr>
        <w:t xml:space="preserve">al </w:t>
      </w:r>
      <w:r w:rsidR="002E1E34" w:rsidRPr="00967E20">
        <w:rPr>
          <w:rFonts w:ascii="Palatino Linotype" w:eastAsia="Palatino Linotype" w:hAnsi="Palatino Linotype" w:cs="Palatino Linotype"/>
          <w:b/>
          <w:bCs/>
          <w:color w:val="000000"/>
        </w:rPr>
        <w:t>Ayuntamiento de Toluca</w:t>
      </w:r>
      <w:r w:rsidRPr="00967E20">
        <w:rPr>
          <w:rFonts w:ascii="Palatino Linotype" w:eastAsia="Palatino Linotype" w:hAnsi="Palatino Linotype" w:cs="Palatino Linotype"/>
          <w:b/>
          <w:bCs/>
          <w:color w:val="000000"/>
        </w:rPr>
        <w:t xml:space="preserve">, </w:t>
      </w:r>
      <w:r w:rsidRPr="00967E20">
        <w:rPr>
          <w:rFonts w:ascii="Palatino Linotype" w:eastAsia="Palatino Linotype" w:hAnsi="Palatino Linotype" w:cs="Palatino Linotype"/>
          <w:color w:val="000000"/>
        </w:rPr>
        <w:t>entregar vía Sistema de Acceso a la Información Mexiquense (SAIMEX), en versión pública</w:t>
      </w:r>
      <w:r w:rsidRPr="00967E20">
        <w:rPr>
          <w:rFonts w:ascii="Palatino Linotype" w:eastAsia="Palatino Linotype" w:hAnsi="Palatino Linotype" w:cs="Palatino Linotype"/>
          <w:b/>
          <w:bCs/>
          <w:color w:val="000000"/>
        </w:rPr>
        <w:t>,</w:t>
      </w:r>
      <w:r w:rsidRPr="00967E20">
        <w:rPr>
          <w:rFonts w:ascii="Palatino Linotype" w:eastAsia="Palatino Linotype" w:hAnsi="Palatino Linotype" w:cs="Palatino Linotype"/>
          <w:color w:val="000000"/>
        </w:rPr>
        <w:t xml:space="preserve"> la siguiente información:</w:t>
      </w:r>
    </w:p>
    <w:p w:rsidR="0061127B" w:rsidRPr="00967E20" w:rsidRDefault="0061127B" w:rsidP="0061127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1127B" w:rsidRPr="00967E20" w:rsidRDefault="002E1E34" w:rsidP="0061127B">
      <w:pPr>
        <w:numPr>
          <w:ilvl w:val="0"/>
          <w:numId w:val="2"/>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b/>
          <w:bCs/>
          <w:color w:val="000000"/>
        </w:rPr>
      </w:pPr>
      <w:r w:rsidRPr="00967E20">
        <w:rPr>
          <w:rFonts w:ascii="Palatino Linotype" w:eastAsia="Palatino Linotype" w:hAnsi="Palatino Linotype" w:cs="Palatino Linotype"/>
          <w:b/>
          <w:bCs/>
          <w:color w:val="000000"/>
        </w:rPr>
        <w:t xml:space="preserve">Las licencias de construcción remitidas a través de informe justificado en versión pública correcta. </w:t>
      </w:r>
    </w:p>
    <w:p w:rsidR="0061127B" w:rsidRPr="00967E20" w:rsidRDefault="0061127B" w:rsidP="0061127B">
      <w:pPr>
        <w:pBdr>
          <w:top w:val="nil"/>
          <w:left w:val="nil"/>
          <w:bottom w:val="nil"/>
          <w:right w:val="nil"/>
          <w:between w:val="nil"/>
        </w:pBdr>
        <w:spacing w:line="360" w:lineRule="auto"/>
        <w:ind w:left="720" w:right="822"/>
        <w:jc w:val="both"/>
        <w:rPr>
          <w:rFonts w:ascii="Palatino Linotype" w:eastAsia="Palatino Linotype" w:hAnsi="Palatino Linotype" w:cs="Palatino Linotype"/>
          <w:b/>
          <w:bCs/>
          <w:color w:val="000000"/>
        </w:rPr>
      </w:pPr>
    </w:p>
    <w:p w:rsidR="0061127B" w:rsidRPr="00967E20" w:rsidRDefault="0061127B" w:rsidP="0061127B">
      <w:pPr>
        <w:spacing w:after="160" w:line="360" w:lineRule="auto"/>
        <w:ind w:right="115"/>
        <w:jc w:val="both"/>
        <w:rPr>
          <w:rFonts w:ascii="Palatino Linotype" w:eastAsia="Palatino Linotype" w:hAnsi="Palatino Linotype" w:cs="Palatino Linotype"/>
        </w:rPr>
      </w:pPr>
      <w:r w:rsidRPr="00967E20">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 </w:t>
      </w:r>
    </w:p>
    <w:p w:rsidR="0061127B" w:rsidRPr="00967E20" w:rsidRDefault="0061127B" w:rsidP="0061127B">
      <w:pPr>
        <w:tabs>
          <w:tab w:val="left" w:pos="284"/>
          <w:tab w:val="left" w:pos="8080"/>
        </w:tabs>
        <w:spacing w:line="360" w:lineRule="auto"/>
        <w:ind w:right="49"/>
        <w:jc w:val="both"/>
        <w:rPr>
          <w:rFonts w:ascii="Palatino Linotype" w:eastAsia="Palatino Linotype" w:hAnsi="Palatino Linotype" w:cs="Palatino Linotype"/>
          <w:highlight w:val="white"/>
        </w:rPr>
      </w:pPr>
      <w:r w:rsidRPr="00967E20">
        <w:rPr>
          <w:rFonts w:ascii="Palatino Linotype" w:eastAsia="Palatino Linotype" w:hAnsi="Palatino Linotype" w:cs="Palatino Linotype"/>
          <w:b/>
          <w:bCs/>
        </w:rPr>
        <w:t xml:space="preserve">TERCERO. </w:t>
      </w:r>
      <w:r w:rsidRPr="00967E20">
        <w:rPr>
          <w:rFonts w:ascii="Palatino Linotype" w:eastAsia="Palatino Linotype" w:hAnsi="Palatino Linotype" w:cs="Palatino Linotype"/>
          <w:b/>
          <w:bCs/>
          <w:highlight w:val="white"/>
        </w:rPr>
        <w:t>NOTIFÍQUESE</w:t>
      </w:r>
      <w:r w:rsidRPr="00967E20">
        <w:rPr>
          <w:rFonts w:ascii="Palatino Linotype" w:eastAsia="Palatino Linotype" w:hAnsi="Palatino Linotype" w:cs="Palatino Linotype"/>
          <w:highlight w:val="white"/>
        </w:rPr>
        <w:t xml:space="preserve"> la presente resolución al Titular de la Unidad de Transparencia del Sujeto Obligado </w:t>
      </w:r>
      <w:r w:rsidRPr="00967E20">
        <w:rPr>
          <w:rFonts w:ascii="Palatino Linotype" w:eastAsia="Palatino Linotype" w:hAnsi="Palatino Linotype" w:cs="Palatino Linotype"/>
          <w:b/>
          <w:bCs/>
          <w:highlight w:val="white"/>
        </w:rPr>
        <w:t>vía SAIMEX</w:t>
      </w:r>
      <w:r w:rsidRPr="00967E20">
        <w:rPr>
          <w:rFonts w:ascii="Palatino Linotype" w:eastAsia="Palatino Linotype" w:hAnsi="Palatino Linotype" w:cs="Palatino Linotype"/>
          <w:highlight w:val="white"/>
        </w:rPr>
        <w:t xml:space="preserve">, para que conforme al artículo 186 último párrafo, 189 segundo párrafo y 194 de la Ley de Transparencia y Acceso a la Información Pública del </w:t>
      </w:r>
      <w:r w:rsidRPr="00967E20">
        <w:rPr>
          <w:rFonts w:ascii="Palatino Linotype" w:eastAsia="Palatino Linotype" w:hAnsi="Palatino Linotype" w:cs="Palatino Linotype"/>
          <w:highlight w:val="white"/>
        </w:rPr>
        <w:lastRenderedPageBreak/>
        <w:t xml:space="preserve">Estado de México y Municipios; </w:t>
      </w:r>
      <w:r w:rsidRPr="00967E20">
        <w:rPr>
          <w:rFonts w:ascii="Palatino Linotype" w:eastAsia="Palatino Linotype" w:hAnsi="Palatino Linotype" w:cs="Palatino Linotype"/>
          <w:b/>
          <w:highlight w:val="white"/>
        </w:rPr>
        <w:t>dé cumplimiento a lo ordenado dentro del plazo de diez días hábiles</w:t>
      </w:r>
      <w:r w:rsidRPr="00967E20">
        <w:rPr>
          <w:rFonts w:ascii="Palatino Linotype" w:eastAsia="Palatino Linotype" w:hAnsi="Palatino Linotype" w:cs="Palatino Linotype"/>
          <w:highlight w:val="whit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61127B" w:rsidRPr="00967E20" w:rsidRDefault="0061127B" w:rsidP="0061127B">
      <w:pPr>
        <w:tabs>
          <w:tab w:val="left" w:pos="284"/>
          <w:tab w:val="left" w:pos="8080"/>
        </w:tabs>
        <w:spacing w:line="360" w:lineRule="auto"/>
        <w:ind w:right="49"/>
        <w:jc w:val="both"/>
        <w:rPr>
          <w:rFonts w:ascii="Palatino Linotype" w:eastAsia="Palatino Linotype" w:hAnsi="Palatino Linotype" w:cs="Palatino Linotype"/>
          <w:highlight w:val="white"/>
        </w:rPr>
      </w:pPr>
    </w:p>
    <w:p w:rsidR="0061127B" w:rsidRPr="00967E20" w:rsidRDefault="0061127B" w:rsidP="0061127B">
      <w:pPr>
        <w:tabs>
          <w:tab w:val="left" w:pos="284"/>
        </w:tabs>
        <w:spacing w:line="360" w:lineRule="auto"/>
        <w:jc w:val="both"/>
        <w:rPr>
          <w:rFonts w:ascii="Palatino Linotype" w:eastAsia="Palatino Linotype" w:hAnsi="Palatino Linotype" w:cs="Palatino Linotype"/>
        </w:rPr>
      </w:pPr>
      <w:r w:rsidRPr="00967E20">
        <w:rPr>
          <w:rFonts w:ascii="Palatino Linotype" w:eastAsia="Palatino Linotype" w:hAnsi="Palatino Linotype" w:cs="Palatino Linotype"/>
          <w:b/>
          <w:bCs/>
        </w:rPr>
        <w:t xml:space="preserve">CUARTO. Notifíquese </w:t>
      </w:r>
      <w:r w:rsidRPr="00967E20">
        <w:rPr>
          <w:rFonts w:ascii="Palatino Linotype" w:eastAsia="Palatino Linotype" w:hAnsi="Palatino Linotype" w:cs="Palatino Linotype"/>
        </w:rPr>
        <w:t xml:space="preserve">al </w:t>
      </w:r>
      <w:r w:rsidRPr="00967E20">
        <w:rPr>
          <w:rFonts w:ascii="Palatino Linotype" w:eastAsia="Palatino Linotype" w:hAnsi="Palatino Linotype" w:cs="Palatino Linotype"/>
          <w:b/>
          <w:bCs/>
        </w:rPr>
        <w:t xml:space="preserve">RECURRENTE </w:t>
      </w:r>
      <w:r w:rsidRPr="00967E20">
        <w:rPr>
          <w:rFonts w:ascii="Palatino Linotype" w:eastAsia="Palatino Linotype" w:hAnsi="Palatino Linotype" w:cs="Palatino Linotype"/>
        </w:rPr>
        <w:t>la presente resolución a través del Sistema de Acceso a la Información Mexiquense (SAIMEX).</w:t>
      </w:r>
    </w:p>
    <w:p w:rsidR="0061127B" w:rsidRPr="00967E20" w:rsidRDefault="0061127B" w:rsidP="0061127B">
      <w:pPr>
        <w:tabs>
          <w:tab w:val="left" w:pos="284"/>
        </w:tabs>
        <w:spacing w:line="360" w:lineRule="auto"/>
        <w:jc w:val="both"/>
        <w:rPr>
          <w:rFonts w:ascii="Palatino Linotype" w:eastAsia="Palatino Linotype" w:hAnsi="Palatino Linotype" w:cs="Palatino Linotype"/>
        </w:rPr>
      </w:pPr>
    </w:p>
    <w:p w:rsidR="0061127B" w:rsidRPr="00967E20" w:rsidRDefault="0061127B" w:rsidP="0061127B">
      <w:pPr>
        <w:spacing w:line="360" w:lineRule="auto"/>
        <w:jc w:val="both"/>
        <w:rPr>
          <w:rFonts w:ascii="Palatino Linotype" w:eastAsia="Palatino Linotype" w:hAnsi="Palatino Linotype" w:cs="Palatino Linotype"/>
        </w:rPr>
      </w:pPr>
      <w:r w:rsidRPr="00967E20">
        <w:rPr>
          <w:rFonts w:ascii="Palatino Linotype" w:eastAsia="Palatino Linotype" w:hAnsi="Palatino Linotype" w:cs="Palatino Linotype"/>
          <w:b/>
          <w:bCs/>
        </w:rPr>
        <w:t xml:space="preserve">QUINTO. </w:t>
      </w:r>
      <w:r w:rsidRPr="00967E20">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61127B" w:rsidRPr="00967E20" w:rsidRDefault="0061127B" w:rsidP="0061127B">
      <w:pPr>
        <w:spacing w:before="240" w:after="360" w:line="360" w:lineRule="auto"/>
        <w:jc w:val="both"/>
        <w:rPr>
          <w:rFonts w:ascii="Palatino Linotype" w:eastAsia="Palatino Linotype" w:hAnsi="Palatino Linotype" w:cs="Palatino Linotype"/>
        </w:rPr>
      </w:pPr>
      <w:r w:rsidRPr="00967E20">
        <w:rPr>
          <w:rFonts w:ascii="Palatino Linotype" w:eastAsia="Palatino Linotype" w:hAnsi="Palatino Linotype" w:cs="Palatino Linotype"/>
          <w:b/>
          <w:bCs/>
        </w:rPr>
        <w:t>SEXTO.</w:t>
      </w:r>
      <w:r w:rsidRPr="00967E20">
        <w:rPr>
          <w:rFonts w:ascii="Palatino Linotype" w:eastAsia="Palatino Linotype" w:hAnsi="Palatino Linotype" w:cs="Palatino Linotype"/>
        </w:rPr>
        <w:t xml:space="preserve"> Se hace del conocimiento del </w:t>
      </w:r>
      <w:r w:rsidRPr="00967E20">
        <w:rPr>
          <w:rFonts w:ascii="Palatino Linotype" w:eastAsia="Palatino Linotype" w:hAnsi="Palatino Linotype" w:cs="Palatino Linotype"/>
          <w:b/>
          <w:bCs/>
        </w:rPr>
        <w:t xml:space="preserve">Recurrente </w:t>
      </w:r>
      <w:r w:rsidRPr="00967E20">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F917CC" w:rsidRPr="00967E20" w:rsidRDefault="00F917CC" w:rsidP="00F917CC">
      <w:pPr>
        <w:spacing w:before="240" w:after="240" w:line="360" w:lineRule="auto"/>
        <w:ind w:firstLine="1"/>
        <w:jc w:val="both"/>
        <w:rPr>
          <w:rFonts w:ascii="Palatino Linotype" w:hAnsi="Palatino Linotype"/>
        </w:rPr>
      </w:pPr>
      <w:bookmarkStart w:id="10" w:name="_Hlk99014733"/>
      <w:r w:rsidRPr="00967E20">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613D56" w:rsidRPr="00967E20">
        <w:rPr>
          <w:rFonts w:ascii="Palatino Linotype" w:hAnsi="Palatino Linotype" w:cs="Palatino Linotype"/>
        </w:rPr>
        <w:t xml:space="preserve"> </w:t>
      </w:r>
      <w:r w:rsidR="00613D56" w:rsidRPr="00967E20">
        <w:rPr>
          <w:rFonts w:ascii="Palatino Linotype" w:hAnsi="Palatino Linotype"/>
        </w:rPr>
        <w:lastRenderedPageBreak/>
        <w:t>EMITIENDO VOTO PARTICULAR</w:t>
      </w:r>
      <w:r w:rsidRPr="00967E20">
        <w:rPr>
          <w:rFonts w:ascii="Palatino Linotype" w:hAnsi="Palatino Linotype" w:cs="Palatino Linotype"/>
        </w:rPr>
        <w:t xml:space="preserve"> Y GUADALUPE RAMÍREZ PEÑA; EN LA OCTAVA SESIÓN ORDINARIA, CELEBRADA EL CINCO (05) DE MARZO DE DOS MIL VEINTISÉIS, ANTE EL SECRETARIO TÉCNICO DEL PLENO </w:t>
      </w:r>
      <w:r w:rsidRPr="00967E20">
        <w:rPr>
          <w:rFonts w:ascii="Palatino Linotype" w:hAnsi="Palatino Linotype" w:cs="Palatino Linotype"/>
          <w:color w:val="000000" w:themeColor="text1"/>
        </w:rPr>
        <w:t>ALEXIS TAPIA RAMÍREZ.</w:t>
      </w:r>
    </w:p>
    <w:bookmarkEnd w:id="10"/>
    <w:p w:rsidR="0061127B" w:rsidRPr="00967E20" w:rsidRDefault="0061127B" w:rsidP="0061127B">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61127B" w:rsidRPr="00967E20" w:rsidRDefault="0061127B" w:rsidP="0061127B">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61127B" w:rsidRPr="00967E20" w:rsidRDefault="0061127B" w:rsidP="0061127B">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61127B" w:rsidRPr="00967E20" w:rsidRDefault="0061127B" w:rsidP="0061127B">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61127B" w:rsidRPr="00967E20" w:rsidRDefault="0061127B" w:rsidP="0061127B">
      <w:pPr>
        <w:pBdr>
          <w:top w:val="nil"/>
          <w:left w:val="nil"/>
          <w:bottom w:val="nil"/>
          <w:right w:val="nil"/>
          <w:between w:val="nil"/>
        </w:pBdr>
        <w:spacing w:line="360" w:lineRule="auto"/>
        <w:jc w:val="both"/>
        <w:rPr>
          <w:rFonts w:ascii="Palatino Linotype" w:eastAsia="Palatino Linotype" w:hAnsi="Palatino Linotype" w:cs="Palatino Linotype"/>
        </w:rPr>
      </w:pPr>
    </w:p>
    <w:p w:rsidR="0061127B" w:rsidRPr="00967E20" w:rsidRDefault="0061127B" w:rsidP="0061127B">
      <w:pPr>
        <w:pBdr>
          <w:top w:val="nil"/>
          <w:left w:val="nil"/>
          <w:bottom w:val="nil"/>
          <w:right w:val="nil"/>
          <w:between w:val="nil"/>
        </w:pBdr>
        <w:ind w:left="720"/>
        <w:rPr>
          <w:rFonts w:ascii="Palatino Linotype" w:eastAsia="Palatino Linotype" w:hAnsi="Palatino Linotype" w:cs="Palatino Linotype"/>
        </w:rPr>
      </w:pPr>
    </w:p>
    <w:p w:rsidR="0061127B" w:rsidRPr="00967E20" w:rsidRDefault="0061127B" w:rsidP="0061127B">
      <w:pPr>
        <w:pBdr>
          <w:top w:val="nil"/>
          <w:left w:val="nil"/>
          <w:bottom w:val="nil"/>
          <w:right w:val="nil"/>
          <w:between w:val="nil"/>
        </w:pBdr>
        <w:spacing w:line="360" w:lineRule="auto"/>
        <w:jc w:val="both"/>
        <w:rPr>
          <w:rFonts w:ascii="Palatino Linotype" w:eastAsia="Palatino Linotype" w:hAnsi="Palatino Linotype" w:cs="Palatino Linotype"/>
        </w:rPr>
      </w:pPr>
    </w:p>
    <w:p w:rsidR="0061127B" w:rsidRPr="00967E20" w:rsidRDefault="0061127B" w:rsidP="0061127B"/>
    <w:p w:rsidR="0061127B" w:rsidRPr="00967E20" w:rsidRDefault="0061127B" w:rsidP="0061127B"/>
    <w:p w:rsidR="0061127B" w:rsidRPr="00967E20" w:rsidRDefault="0061127B" w:rsidP="0061127B"/>
    <w:p w:rsidR="0061127B" w:rsidRPr="00967E20" w:rsidRDefault="0061127B" w:rsidP="0061127B"/>
    <w:p w:rsidR="0061127B" w:rsidRPr="00967E20" w:rsidRDefault="0061127B" w:rsidP="0061127B"/>
    <w:p w:rsidR="0061127B" w:rsidRPr="00967E20" w:rsidRDefault="0061127B" w:rsidP="0061127B"/>
    <w:p w:rsidR="0061127B" w:rsidRPr="00967E20" w:rsidRDefault="0061127B" w:rsidP="0061127B"/>
    <w:p w:rsidR="00E35DD7" w:rsidRPr="00967E20" w:rsidRDefault="00E35DD7" w:rsidP="0061127B"/>
    <w:p w:rsidR="00E35DD7" w:rsidRPr="00967E20" w:rsidRDefault="00E35DD7" w:rsidP="0061127B"/>
    <w:p w:rsidR="00E35DD7" w:rsidRPr="00967E20" w:rsidRDefault="00E35DD7" w:rsidP="0061127B"/>
    <w:p w:rsidR="00E35DD7" w:rsidRPr="00967E20" w:rsidRDefault="00E35DD7" w:rsidP="0061127B"/>
    <w:p w:rsidR="00E35DD7" w:rsidRDefault="00E35DD7" w:rsidP="0061127B"/>
    <w:p w:rsidR="009D564D" w:rsidRDefault="009D564D" w:rsidP="0061127B"/>
    <w:p w:rsidR="009D564D" w:rsidRDefault="009D564D" w:rsidP="0061127B"/>
    <w:p w:rsidR="009D564D" w:rsidRDefault="009D564D" w:rsidP="0061127B"/>
    <w:p w:rsidR="009D564D" w:rsidRDefault="009D564D" w:rsidP="0061127B"/>
    <w:p w:rsidR="009D564D" w:rsidRDefault="009D564D" w:rsidP="0061127B"/>
    <w:p w:rsidR="009D564D" w:rsidRDefault="009D564D" w:rsidP="0061127B"/>
    <w:p w:rsidR="009D564D" w:rsidRDefault="009D564D" w:rsidP="0061127B"/>
    <w:p w:rsidR="009D564D" w:rsidRDefault="009D564D" w:rsidP="0061127B"/>
    <w:p w:rsidR="009D564D" w:rsidRDefault="009D564D" w:rsidP="0061127B"/>
    <w:p w:rsidR="009D564D" w:rsidRDefault="009D564D" w:rsidP="0061127B"/>
    <w:p w:rsidR="009D564D" w:rsidRDefault="009D564D" w:rsidP="0061127B"/>
    <w:p w:rsidR="009D564D" w:rsidRDefault="009D564D" w:rsidP="0061127B"/>
    <w:p w:rsidR="009D564D" w:rsidRPr="00967E20" w:rsidRDefault="009D564D" w:rsidP="0061127B"/>
    <w:p w:rsidR="00E35DD7" w:rsidRPr="00967E20" w:rsidRDefault="00E35DD7" w:rsidP="0061127B"/>
    <w:p w:rsidR="0061127B" w:rsidRPr="00967E20" w:rsidRDefault="0061127B" w:rsidP="0061127B"/>
    <w:p w:rsidR="0061127B" w:rsidRPr="00967E20" w:rsidRDefault="0061127B" w:rsidP="0061127B"/>
    <w:p w:rsidR="00C57B66" w:rsidRPr="00967E20" w:rsidRDefault="00C57B66"/>
    <w:sectPr w:rsidR="00C57B66" w:rsidRPr="00967E20" w:rsidSect="00967E20">
      <w:headerReference w:type="even" r:id="rId12"/>
      <w:headerReference w:type="default" r:id="rId13"/>
      <w:footerReference w:type="default" r:id="rId14"/>
      <w:headerReference w:type="first" r:id="rId15"/>
      <w:footerReference w:type="first" r:id="rId16"/>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4635" w:rsidRDefault="00F24635" w:rsidP="0061127B">
      <w:r>
        <w:separator/>
      </w:r>
    </w:p>
  </w:endnote>
  <w:endnote w:type="continuationSeparator" w:id="0">
    <w:p w:rsidR="00F24635" w:rsidRDefault="00F24635" w:rsidP="00611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3D7" w:rsidRPr="00967E20" w:rsidRDefault="000833D7">
    <w:pPr>
      <w:pBdr>
        <w:top w:val="nil"/>
        <w:left w:val="nil"/>
        <w:bottom w:val="nil"/>
        <w:right w:val="nil"/>
        <w:between w:val="nil"/>
      </w:pBdr>
      <w:tabs>
        <w:tab w:val="center" w:pos="4419"/>
        <w:tab w:val="right" w:pos="8838"/>
      </w:tabs>
      <w:jc w:val="right"/>
      <w:rPr>
        <w:rFonts w:ascii="Palatino Linotype" w:hAnsi="Palatino Linotype"/>
        <w:b/>
        <w:color w:val="000000"/>
      </w:rPr>
    </w:pPr>
    <w:r w:rsidRPr="00967E20">
      <w:rPr>
        <w:rFonts w:ascii="Palatino Linotype" w:hAnsi="Palatino Linotype"/>
        <w:b/>
        <w:color w:val="000000"/>
        <w:sz w:val="22"/>
      </w:rPr>
      <w:t xml:space="preserve">Página </w:t>
    </w:r>
    <w:r w:rsidRPr="00967E20">
      <w:rPr>
        <w:rFonts w:ascii="Palatino Linotype" w:hAnsi="Palatino Linotype"/>
        <w:b/>
        <w:bCs/>
        <w:color w:val="000000"/>
        <w:sz w:val="22"/>
      </w:rPr>
      <w:fldChar w:fldCharType="begin"/>
    </w:r>
    <w:r w:rsidRPr="00967E20">
      <w:rPr>
        <w:rFonts w:ascii="Palatino Linotype" w:hAnsi="Palatino Linotype"/>
        <w:b/>
        <w:bCs/>
        <w:color w:val="000000"/>
        <w:sz w:val="22"/>
      </w:rPr>
      <w:instrText>PAGE</w:instrText>
    </w:r>
    <w:r w:rsidRPr="00967E20">
      <w:rPr>
        <w:rFonts w:ascii="Palatino Linotype" w:hAnsi="Palatino Linotype"/>
        <w:b/>
        <w:bCs/>
        <w:color w:val="000000"/>
        <w:sz w:val="22"/>
      </w:rPr>
      <w:fldChar w:fldCharType="separate"/>
    </w:r>
    <w:r w:rsidR="009D564D">
      <w:rPr>
        <w:rFonts w:ascii="Palatino Linotype" w:hAnsi="Palatino Linotype"/>
        <w:b/>
        <w:bCs/>
        <w:noProof/>
        <w:color w:val="000000"/>
        <w:sz w:val="22"/>
      </w:rPr>
      <w:t>21</w:t>
    </w:r>
    <w:r w:rsidRPr="00967E20">
      <w:rPr>
        <w:rFonts w:ascii="Palatino Linotype" w:hAnsi="Palatino Linotype"/>
        <w:b/>
        <w:bCs/>
        <w:color w:val="000000"/>
        <w:sz w:val="22"/>
      </w:rPr>
      <w:fldChar w:fldCharType="end"/>
    </w:r>
    <w:r w:rsidRPr="00967E20">
      <w:rPr>
        <w:rFonts w:ascii="Palatino Linotype" w:hAnsi="Palatino Linotype"/>
        <w:b/>
        <w:color w:val="000000"/>
        <w:sz w:val="22"/>
      </w:rPr>
      <w:t xml:space="preserve"> de </w:t>
    </w:r>
    <w:r w:rsidRPr="00967E20">
      <w:rPr>
        <w:rFonts w:ascii="Palatino Linotype" w:hAnsi="Palatino Linotype"/>
        <w:b/>
        <w:bCs/>
        <w:color w:val="000000"/>
        <w:sz w:val="22"/>
      </w:rPr>
      <w:fldChar w:fldCharType="begin"/>
    </w:r>
    <w:r w:rsidRPr="00967E20">
      <w:rPr>
        <w:rFonts w:ascii="Palatino Linotype" w:hAnsi="Palatino Linotype"/>
        <w:b/>
        <w:bCs/>
        <w:color w:val="000000"/>
        <w:sz w:val="22"/>
      </w:rPr>
      <w:instrText>NUMPAGES</w:instrText>
    </w:r>
    <w:r w:rsidRPr="00967E20">
      <w:rPr>
        <w:rFonts w:ascii="Palatino Linotype" w:hAnsi="Palatino Linotype"/>
        <w:b/>
        <w:bCs/>
        <w:color w:val="000000"/>
        <w:sz w:val="22"/>
      </w:rPr>
      <w:fldChar w:fldCharType="separate"/>
    </w:r>
    <w:r w:rsidR="009D564D">
      <w:rPr>
        <w:rFonts w:ascii="Palatino Linotype" w:hAnsi="Palatino Linotype"/>
        <w:b/>
        <w:bCs/>
        <w:noProof/>
        <w:color w:val="000000"/>
        <w:sz w:val="22"/>
      </w:rPr>
      <w:t>25</w:t>
    </w:r>
    <w:r w:rsidRPr="00967E20">
      <w:rPr>
        <w:rFonts w:ascii="Palatino Linotype" w:hAnsi="Palatino Linotype"/>
        <w:b/>
        <w:bCs/>
        <w:color w:val="000000"/>
        <w:sz w:val="22"/>
      </w:rPr>
      <w:fldChar w:fldCharType="end"/>
    </w:r>
  </w:p>
  <w:p w:rsidR="000833D7" w:rsidRDefault="000833D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3D7" w:rsidRPr="00967E20" w:rsidRDefault="000833D7">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967E20">
      <w:rPr>
        <w:rFonts w:ascii="Palatino Linotype" w:hAnsi="Palatino Linotype"/>
        <w:b/>
        <w:color w:val="000000"/>
        <w:sz w:val="22"/>
      </w:rPr>
      <w:t xml:space="preserve">Página </w:t>
    </w:r>
    <w:r w:rsidRPr="00967E20">
      <w:rPr>
        <w:rFonts w:ascii="Palatino Linotype" w:hAnsi="Palatino Linotype"/>
        <w:b/>
        <w:bCs/>
        <w:color w:val="000000"/>
        <w:sz w:val="22"/>
      </w:rPr>
      <w:fldChar w:fldCharType="begin"/>
    </w:r>
    <w:r w:rsidRPr="00967E20">
      <w:rPr>
        <w:rFonts w:ascii="Palatino Linotype" w:hAnsi="Palatino Linotype"/>
        <w:b/>
        <w:bCs/>
        <w:color w:val="000000"/>
        <w:sz w:val="22"/>
      </w:rPr>
      <w:instrText>PAGE</w:instrText>
    </w:r>
    <w:r w:rsidRPr="00967E20">
      <w:rPr>
        <w:rFonts w:ascii="Palatino Linotype" w:hAnsi="Palatino Linotype"/>
        <w:b/>
        <w:bCs/>
        <w:color w:val="000000"/>
        <w:sz w:val="22"/>
      </w:rPr>
      <w:fldChar w:fldCharType="separate"/>
    </w:r>
    <w:r w:rsidR="009D564D">
      <w:rPr>
        <w:rFonts w:ascii="Palatino Linotype" w:hAnsi="Palatino Linotype"/>
        <w:b/>
        <w:bCs/>
        <w:noProof/>
        <w:color w:val="000000"/>
        <w:sz w:val="22"/>
      </w:rPr>
      <w:t>1</w:t>
    </w:r>
    <w:r w:rsidRPr="00967E20">
      <w:rPr>
        <w:rFonts w:ascii="Palatino Linotype" w:hAnsi="Palatino Linotype"/>
        <w:b/>
        <w:bCs/>
        <w:color w:val="000000"/>
        <w:sz w:val="22"/>
      </w:rPr>
      <w:fldChar w:fldCharType="end"/>
    </w:r>
    <w:r w:rsidRPr="00967E20">
      <w:rPr>
        <w:rFonts w:ascii="Palatino Linotype" w:hAnsi="Palatino Linotype"/>
        <w:b/>
        <w:color w:val="000000"/>
        <w:sz w:val="22"/>
      </w:rPr>
      <w:t xml:space="preserve"> de </w:t>
    </w:r>
    <w:r w:rsidRPr="00967E20">
      <w:rPr>
        <w:rFonts w:ascii="Palatino Linotype" w:hAnsi="Palatino Linotype"/>
        <w:b/>
        <w:bCs/>
        <w:color w:val="000000"/>
        <w:sz w:val="22"/>
      </w:rPr>
      <w:fldChar w:fldCharType="begin"/>
    </w:r>
    <w:r w:rsidRPr="00967E20">
      <w:rPr>
        <w:rFonts w:ascii="Palatino Linotype" w:hAnsi="Palatino Linotype"/>
        <w:b/>
        <w:bCs/>
        <w:color w:val="000000"/>
        <w:sz w:val="22"/>
      </w:rPr>
      <w:instrText>NUMPAGES</w:instrText>
    </w:r>
    <w:r w:rsidRPr="00967E20">
      <w:rPr>
        <w:rFonts w:ascii="Palatino Linotype" w:hAnsi="Palatino Linotype"/>
        <w:b/>
        <w:bCs/>
        <w:color w:val="000000"/>
        <w:sz w:val="22"/>
      </w:rPr>
      <w:fldChar w:fldCharType="separate"/>
    </w:r>
    <w:r w:rsidR="009D564D">
      <w:rPr>
        <w:rFonts w:ascii="Palatino Linotype" w:hAnsi="Palatino Linotype"/>
        <w:b/>
        <w:bCs/>
        <w:noProof/>
        <w:color w:val="000000"/>
        <w:sz w:val="22"/>
      </w:rPr>
      <w:t>25</w:t>
    </w:r>
    <w:r w:rsidRPr="00967E20">
      <w:rPr>
        <w:rFonts w:ascii="Palatino Linotype" w:hAnsi="Palatino Linotype"/>
        <w:b/>
        <w:bCs/>
        <w:color w:val="000000"/>
        <w:sz w:val="22"/>
      </w:rPr>
      <w:fldChar w:fldCharType="end"/>
    </w:r>
  </w:p>
  <w:p w:rsidR="000833D7" w:rsidRDefault="000833D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4635" w:rsidRDefault="00F24635" w:rsidP="0061127B">
      <w:r>
        <w:separator/>
      </w:r>
    </w:p>
  </w:footnote>
  <w:footnote w:type="continuationSeparator" w:id="0">
    <w:p w:rsidR="00F24635" w:rsidRDefault="00F24635" w:rsidP="006112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3D7" w:rsidRDefault="00F24635">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589.8pt;height:768pt;z-index:-25165516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6" w:type="dxa"/>
      <w:tblLayout w:type="fixed"/>
      <w:tblLook w:val="0400" w:firstRow="0" w:lastRow="0" w:firstColumn="0" w:lastColumn="0" w:noHBand="0" w:noVBand="1"/>
    </w:tblPr>
    <w:tblGrid>
      <w:gridCol w:w="2268"/>
      <w:gridCol w:w="7938"/>
    </w:tblGrid>
    <w:tr w:rsidR="000833D7" w:rsidTr="00967E20">
      <w:trPr>
        <w:trHeight w:val="1435"/>
      </w:trPr>
      <w:tc>
        <w:tcPr>
          <w:tcW w:w="2268" w:type="dxa"/>
          <w:shd w:val="clear" w:color="auto" w:fill="auto"/>
        </w:tcPr>
        <w:p w:rsidR="000833D7" w:rsidRDefault="000833D7">
          <w:pPr>
            <w:tabs>
              <w:tab w:val="right" w:pos="4273"/>
            </w:tabs>
            <w:rPr>
              <w:rFonts w:ascii="Garamond" w:eastAsia="Garamond" w:hAnsi="Garamond" w:cs="Garamond"/>
              <w:sz w:val="16"/>
              <w:szCs w:val="16"/>
            </w:rPr>
          </w:pPr>
        </w:p>
      </w:tc>
      <w:tc>
        <w:tcPr>
          <w:tcW w:w="7938" w:type="dxa"/>
          <w:shd w:val="clear" w:color="auto" w:fill="auto"/>
        </w:tcPr>
        <w:tbl>
          <w:tblPr>
            <w:tblW w:w="7082" w:type="dxa"/>
            <w:tblInd w:w="1168" w:type="dxa"/>
            <w:tblLayout w:type="fixed"/>
            <w:tblLook w:val="0400" w:firstRow="0" w:lastRow="0" w:firstColumn="0" w:lastColumn="0" w:noHBand="0" w:noVBand="1"/>
          </w:tblPr>
          <w:tblGrid>
            <w:gridCol w:w="2971"/>
            <w:gridCol w:w="4111"/>
          </w:tblGrid>
          <w:tr w:rsidR="000833D7" w:rsidTr="00967E20">
            <w:trPr>
              <w:trHeight w:val="150"/>
            </w:trPr>
            <w:tc>
              <w:tcPr>
                <w:tcW w:w="2971" w:type="dxa"/>
                <w:shd w:val="clear" w:color="auto" w:fill="auto"/>
              </w:tcPr>
              <w:p w:rsidR="000833D7" w:rsidRPr="00967E20" w:rsidRDefault="000833D7">
                <w:pPr>
                  <w:tabs>
                    <w:tab w:val="right" w:pos="8838"/>
                  </w:tabs>
                  <w:ind w:right="-105"/>
                  <w:rPr>
                    <w:rFonts w:ascii="Palatino Linotype" w:eastAsia="Palatino Linotype" w:hAnsi="Palatino Linotype" w:cs="Palatino Linotype"/>
                    <w:b/>
                    <w:bCs/>
                    <w:szCs w:val="22"/>
                  </w:rPr>
                </w:pPr>
                <w:r w:rsidRPr="00967E20">
                  <w:rPr>
                    <w:rFonts w:ascii="Palatino Linotype" w:eastAsia="Palatino Linotype" w:hAnsi="Palatino Linotype" w:cs="Palatino Linotype"/>
                    <w:b/>
                    <w:bCs/>
                    <w:szCs w:val="22"/>
                  </w:rPr>
                  <w:t>Recurso de Revisión:</w:t>
                </w:r>
              </w:p>
            </w:tc>
            <w:tc>
              <w:tcPr>
                <w:tcW w:w="4111" w:type="dxa"/>
                <w:shd w:val="clear" w:color="auto" w:fill="auto"/>
              </w:tcPr>
              <w:p w:rsidR="000833D7" w:rsidRPr="00967E20" w:rsidRDefault="000833D7">
                <w:pPr>
                  <w:tabs>
                    <w:tab w:val="right" w:pos="8838"/>
                  </w:tabs>
                  <w:ind w:left="-108" w:right="-1090"/>
                  <w:jc w:val="both"/>
                  <w:rPr>
                    <w:rFonts w:ascii="Palatino Linotype" w:eastAsia="Palatino Linotype" w:hAnsi="Palatino Linotype" w:cs="Palatino Linotype"/>
                    <w:szCs w:val="22"/>
                  </w:rPr>
                </w:pPr>
                <w:r w:rsidRPr="00967E20">
                  <w:rPr>
                    <w:rFonts w:ascii="Palatino Linotype" w:eastAsia="Palatino Linotype" w:hAnsi="Palatino Linotype" w:cs="Palatino Linotype"/>
                    <w:szCs w:val="22"/>
                  </w:rPr>
                  <w:t>09878/INFOEM/IP/RR/2025</w:t>
                </w:r>
                <w:r w:rsidRPr="00967E20">
                  <w:rPr>
                    <w:rFonts w:ascii="Palatino Linotype" w:eastAsia="Palatino Linotype" w:hAnsi="Palatino Linotype" w:cs="Palatino Linotype"/>
                    <w:b/>
                    <w:bCs/>
                    <w:szCs w:val="22"/>
                  </w:rPr>
                  <w:t xml:space="preserve"> </w:t>
                </w:r>
              </w:p>
            </w:tc>
          </w:tr>
          <w:tr w:rsidR="000833D7" w:rsidTr="00967E20">
            <w:trPr>
              <w:trHeight w:val="295"/>
            </w:trPr>
            <w:tc>
              <w:tcPr>
                <w:tcW w:w="2971" w:type="dxa"/>
                <w:shd w:val="clear" w:color="auto" w:fill="auto"/>
              </w:tcPr>
              <w:p w:rsidR="000833D7" w:rsidRPr="00967E20" w:rsidRDefault="000833D7">
                <w:pPr>
                  <w:tabs>
                    <w:tab w:val="right" w:pos="8838"/>
                  </w:tabs>
                  <w:ind w:right="-105"/>
                  <w:rPr>
                    <w:rFonts w:ascii="Palatino Linotype" w:eastAsia="Palatino Linotype" w:hAnsi="Palatino Linotype" w:cs="Palatino Linotype"/>
                    <w:b/>
                    <w:bCs/>
                    <w:szCs w:val="22"/>
                  </w:rPr>
                </w:pPr>
                <w:r w:rsidRPr="00967E20">
                  <w:rPr>
                    <w:rFonts w:ascii="Palatino Linotype" w:eastAsia="Palatino Linotype" w:hAnsi="Palatino Linotype" w:cs="Palatino Linotype"/>
                    <w:b/>
                    <w:bCs/>
                    <w:szCs w:val="22"/>
                  </w:rPr>
                  <w:t>Sujeto Obligado:</w:t>
                </w:r>
              </w:p>
            </w:tc>
            <w:tc>
              <w:tcPr>
                <w:tcW w:w="4111" w:type="dxa"/>
                <w:shd w:val="clear" w:color="auto" w:fill="auto"/>
              </w:tcPr>
              <w:p w:rsidR="000833D7" w:rsidRPr="00967E20" w:rsidRDefault="000833D7">
                <w:pPr>
                  <w:tabs>
                    <w:tab w:val="left" w:pos="2834"/>
                    <w:tab w:val="right" w:pos="8838"/>
                  </w:tabs>
                  <w:ind w:left="-108" w:right="-1090"/>
                  <w:jc w:val="both"/>
                  <w:rPr>
                    <w:rFonts w:ascii="Palatino Linotype" w:eastAsia="Palatino Linotype" w:hAnsi="Palatino Linotype" w:cs="Palatino Linotype"/>
                    <w:szCs w:val="22"/>
                  </w:rPr>
                </w:pPr>
                <w:r w:rsidRPr="00967E20">
                  <w:rPr>
                    <w:rFonts w:ascii="Palatino Linotype" w:eastAsia="Palatino Linotype" w:hAnsi="Palatino Linotype" w:cs="Palatino Linotype"/>
                    <w:szCs w:val="22"/>
                  </w:rPr>
                  <w:t>Ayuntamiento de Toluca</w:t>
                </w:r>
              </w:p>
            </w:tc>
          </w:tr>
          <w:tr w:rsidR="000833D7" w:rsidTr="00967E20">
            <w:trPr>
              <w:trHeight w:val="295"/>
            </w:trPr>
            <w:tc>
              <w:tcPr>
                <w:tcW w:w="2971" w:type="dxa"/>
                <w:shd w:val="clear" w:color="auto" w:fill="auto"/>
              </w:tcPr>
              <w:p w:rsidR="000833D7" w:rsidRPr="00967E20" w:rsidRDefault="000833D7">
                <w:pPr>
                  <w:tabs>
                    <w:tab w:val="right" w:pos="8838"/>
                  </w:tabs>
                  <w:ind w:right="-105"/>
                  <w:rPr>
                    <w:rFonts w:ascii="Palatino Linotype" w:eastAsia="Palatino Linotype" w:hAnsi="Palatino Linotype" w:cs="Palatino Linotype"/>
                    <w:b/>
                    <w:bCs/>
                    <w:szCs w:val="22"/>
                  </w:rPr>
                </w:pPr>
                <w:r w:rsidRPr="00967E20">
                  <w:rPr>
                    <w:rFonts w:ascii="Palatino Linotype" w:eastAsia="Palatino Linotype" w:hAnsi="Palatino Linotype" w:cs="Palatino Linotype"/>
                    <w:b/>
                    <w:bCs/>
                    <w:szCs w:val="22"/>
                  </w:rPr>
                  <w:t>Comisionado ponente:</w:t>
                </w:r>
              </w:p>
            </w:tc>
            <w:tc>
              <w:tcPr>
                <w:tcW w:w="4111" w:type="dxa"/>
                <w:shd w:val="clear" w:color="auto" w:fill="auto"/>
              </w:tcPr>
              <w:p w:rsidR="000833D7" w:rsidRPr="00967E20" w:rsidRDefault="000833D7">
                <w:pPr>
                  <w:tabs>
                    <w:tab w:val="right" w:pos="8838"/>
                  </w:tabs>
                  <w:ind w:left="-108" w:right="-1090"/>
                  <w:jc w:val="both"/>
                  <w:rPr>
                    <w:rFonts w:ascii="Palatino Linotype" w:eastAsia="Palatino Linotype" w:hAnsi="Palatino Linotype" w:cs="Palatino Linotype"/>
                    <w:szCs w:val="22"/>
                  </w:rPr>
                </w:pPr>
                <w:r w:rsidRPr="00967E20">
                  <w:rPr>
                    <w:rFonts w:ascii="Palatino Linotype" w:eastAsia="Palatino Linotype" w:hAnsi="Palatino Linotype" w:cs="Palatino Linotype"/>
                    <w:szCs w:val="22"/>
                  </w:rPr>
                  <w:t>María del Rosario Mejía Ayala</w:t>
                </w:r>
              </w:p>
              <w:p w:rsidR="000833D7" w:rsidRPr="00967E20" w:rsidRDefault="000833D7">
                <w:pPr>
                  <w:tabs>
                    <w:tab w:val="right" w:pos="8838"/>
                  </w:tabs>
                  <w:ind w:left="-108" w:right="-1090"/>
                  <w:jc w:val="both"/>
                  <w:rPr>
                    <w:rFonts w:ascii="Palatino Linotype" w:eastAsia="Palatino Linotype" w:hAnsi="Palatino Linotype" w:cs="Palatino Linotype"/>
                    <w:b/>
                    <w:bCs/>
                    <w:szCs w:val="22"/>
                  </w:rPr>
                </w:pPr>
              </w:p>
            </w:tc>
          </w:tr>
        </w:tbl>
        <w:p w:rsidR="000833D7" w:rsidRDefault="000833D7">
          <w:pPr>
            <w:tabs>
              <w:tab w:val="right" w:pos="8838"/>
            </w:tabs>
            <w:ind w:left="-28"/>
            <w:jc w:val="both"/>
            <w:rPr>
              <w:rFonts w:ascii="Arial" w:eastAsia="Arial" w:hAnsi="Arial" w:cs="Arial"/>
              <w:b/>
              <w:bCs/>
              <w:sz w:val="22"/>
              <w:szCs w:val="22"/>
            </w:rPr>
          </w:pPr>
        </w:p>
      </w:tc>
    </w:tr>
  </w:tbl>
  <w:p w:rsidR="000833D7" w:rsidRDefault="00F24635">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68.8pt;margin-top:-120.5pt;width:589.8pt;height:768pt;z-index:-25165721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20" w:type="dxa"/>
      <w:tblLayout w:type="fixed"/>
      <w:tblLook w:val="0400" w:firstRow="0" w:lastRow="0" w:firstColumn="0" w:lastColumn="0" w:noHBand="0" w:noVBand="1"/>
    </w:tblPr>
    <w:tblGrid>
      <w:gridCol w:w="2265"/>
      <w:gridCol w:w="7755"/>
    </w:tblGrid>
    <w:tr w:rsidR="000833D7">
      <w:trPr>
        <w:trHeight w:val="1435"/>
      </w:trPr>
      <w:tc>
        <w:tcPr>
          <w:tcW w:w="2265" w:type="dxa"/>
          <w:shd w:val="clear" w:color="auto" w:fill="auto"/>
        </w:tcPr>
        <w:p w:rsidR="000833D7" w:rsidRDefault="000833D7">
          <w:pPr>
            <w:tabs>
              <w:tab w:val="right" w:pos="4273"/>
            </w:tabs>
            <w:rPr>
              <w:rFonts w:ascii="Garamond" w:eastAsia="Garamond" w:hAnsi="Garamond" w:cs="Garamond"/>
              <w:sz w:val="22"/>
              <w:szCs w:val="22"/>
            </w:rPr>
          </w:pPr>
        </w:p>
      </w:tc>
      <w:tc>
        <w:tcPr>
          <w:tcW w:w="7755" w:type="dxa"/>
          <w:shd w:val="clear" w:color="auto" w:fill="auto"/>
        </w:tcPr>
        <w:tbl>
          <w:tblPr>
            <w:tblW w:w="7655" w:type="dxa"/>
            <w:tblInd w:w="1455" w:type="dxa"/>
            <w:tblLayout w:type="fixed"/>
            <w:tblLook w:val="0400" w:firstRow="0" w:lastRow="0" w:firstColumn="0" w:lastColumn="0" w:noHBand="0" w:noVBand="1"/>
          </w:tblPr>
          <w:tblGrid>
            <w:gridCol w:w="2690"/>
            <w:gridCol w:w="4965"/>
          </w:tblGrid>
          <w:tr w:rsidR="000833D7" w:rsidTr="00967E20">
            <w:trPr>
              <w:trHeight w:val="144"/>
            </w:trPr>
            <w:tc>
              <w:tcPr>
                <w:tcW w:w="2690" w:type="dxa"/>
                <w:shd w:val="clear" w:color="auto" w:fill="auto"/>
              </w:tcPr>
              <w:p w:rsidR="000833D7" w:rsidRPr="00967E20" w:rsidRDefault="000833D7">
                <w:pPr>
                  <w:tabs>
                    <w:tab w:val="right" w:pos="8838"/>
                  </w:tabs>
                  <w:ind w:left="-264" w:right="-105" w:firstLine="195"/>
                  <w:rPr>
                    <w:rFonts w:ascii="Palatino Linotype" w:eastAsia="Palatino Linotype" w:hAnsi="Palatino Linotype" w:cs="Palatino Linotype"/>
                    <w:b/>
                    <w:bCs/>
                    <w:szCs w:val="22"/>
                  </w:rPr>
                </w:pPr>
                <w:r w:rsidRPr="00967E20">
                  <w:rPr>
                    <w:rFonts w:ascii="Palatino Linotype" w:eastAsia="Palatino Linotype" w:hAnsi="Palatino Linotype" w:cs="Palatino Linotype"/>
                    <w:b/>
                    <w:bCs/>
                    <w:szCs w:val="22"/>
                  </w:rPr>
                  <w:t>Recurso de Revisión:</w:t>
                </w:r>
              </w:p>
            </w:tc>
            <w:tc>
              <w:tcPr>
                <w:tcW w:w="4965" w:type="dxa"/>
                <w:shd w:val="clear" w:color="auto" w:fill="auto"/>
              </w:tcPr>
              <w:p w:rsidR="000833D7" w:rsidRPr="00967E20" w:rsidRDefault="000833D7">
                <w:pPr>
                  <w:tabs>
                    <w:tab w:val="right" w:pos="8838"/>
                  </w:tabs>
                  <w:ind w:left="-74" w:right="-1269"/>
                  <w:rPr>
                    <w:rFonts w:ascii="Palatino Linotype" w:eastAsia="Palatino Linotype" w:hAnsi="Palatino Linotype" w:cs="Palatino Linotype"/>
                    <w:szCs w:val="22"/>
                  </w:rPr>
                </w:pPr>
                <w:r w:rsidRPr="00967E20">
                  <w:rPr>
                    <w:rFonts w:ascii="Palatino Linotype" w:eastAsia="Palatino Linotype" w:hAnsi="Palatino Linotype" w:cs="Palatino Linotype"/>
                    <w:szCs w:val="22"/>
                  </w:rPr>
                  <w:t>09878/INFOEM/IP/RR/2025</w:t>
                </w:r>
              </w:p>
            </w:tc>
          </w:tr>
          <w:tr w:rsidR="000833D7" w:rsidTr="00967E20">
            <w:trPr>
              <w:trHeight w:val="144"/>
            </w:trPr>
            <w:tc>
              <w:tcPr>
                <w:tcW w:w="2690" w:type="dxa"/>
                <w:shd w:val="clear" w:color="auto" w:fill="auto"/>
              </w:tcPr>
              <w:p w:rsidR="000833D7" w:rsidRPr="00967E20" w:rsidRDefault="000833D7">
                <w:pPr>
                  <w:tabs>
                    <w:tab w:val="right" w:pos="8838"/>
                  </w:tabs>
                  <w:ind w:left="-74" w:right="-105"/>
                  <w:rPr>
                    <w:rFonts w:ascii="Palatino Linotype" w:eastAsia="Palatino Linotype" w:hAnsi="Palatino Linotype" w:cs="Palatino Linotype"/>
                    <w:b/>
                    <w:bCs/>
                    <w:szCs w:val="22"/>
                  </w:rPr>
                </w:pPr>
                <w:r w:rsidRPr="00967E20">
                  <w:rPr>
                    <w:rFonts w:ascii="Palatino Linotype" w:eastAsia="Palatino Linotype" w:hAnsi="Palatino Linotype" w:cs="Palatino Linotype"/>
                    <w:b/>
                    <w:bCs/>
                    <w:szCs w:val="22"/>
                  </w:rPr>
                  <w:t>Recurrente:</w:t>
                </w:r>
              </w:p>
            </w:tc>
            <w:tc>
              <w:tcPr>
                <w:tcW w:w="4965" w:type="dxa"/>
                <w:shd w:val="clear" w:color="auto" w:fill="auto"/>
              </w:tcPr>
              <w:p w:rsidR="000833D7" w:rsidRPr="00967E20" w:rsidRDefault="000833D7">
                <w:pPr>
                  <w:tabs>
                    <w:tab w:val="left" w:pos="3122"/>
                    <w:tab w:val="right" w:pos="8838"/>
                  </w:tabs>
                  <w:ind w:left="-74" w:right="-1269"/>
                  <w:rPr>
                    <w:rFonts w:ascii="Palatino Linotype" w:eastAsia="Palatino Linotype" w:hAnsi="Palatino Linotype" w:cs="Palatino Linotype"/>
                    <w:szCs w:val="22"/>
                  </w:rPr>
                </w:pPr>
              </w:p>
            </w:tc>
          </w:tr>
          <w:tr w:rsidR="000833D7" w:rsidTr="00967E20">
            <w:trPr>
              <w:trHeight w:val="283"/>
            </w:trPr>
            <w:tc>
              <w:tcPr>
                <w:tcW w:w="2690" w:type="dxa"/>
                <w:shd w:val="clear" w:color="auto" w:fill="auto"/>
              </w:tcPr>
              <w:p w:rsidR="000833D7" w:rsidRPr="00967E20" w:rsidRDefault="000833D7">
                <w:pPr>
                  <w:tabs>
                    <w:tab w:val="right" w:pos="8838"/>
                  </w:tabs>
                  <w:ind w:left="-74" w:right="-105"/>
                  <w:rPr>
                    <w:rFonts w:ascii="Palatino Linotype" w:eastAsia="Palatino Linotype" w:hAnsi="Palatino Linotype" w:cs="Palatino Linotype"/>
                    <w:b/>
                    <w:bCs/>
                    <w:szCs w:val="22"/>
                  </w:rPr>
                </w:pPr>
                <w:r w:rsidRPr="00967E20">
                  <w:rPr>
                    <w:rFonts w:ascii="Palatino Linotype" w:eastAsia="Palatino Linotype" w:hAnsi="Palatino Linotype" w:cs="Palatino Linotype"/>
                    <w:b/>
                    <w:bCs/>
                    <w:szCs w:val="22"/>
                  </w:rPr>
                  <w:t>Sujeto Obligado:</w:t>
                </w:r>
              </w:p>
            </w:tc>
            <w:tc>
              <w:tcPr>
                <w:tcW w:w="4965" w:type="dxa"/>
                <w:shd w:val="clear" w:color="auto" w:fill="auto"/>
              </w:tcPr>
              <w:p w:rsidR="000833D7" w:rsidRPr="00967E20" w:rsidRDefault="000833D7">
                <w:pPr>
                  <w:tabs>
                    <w:tab w:val="left" w:pos="2834"/>
                    <w:tab w:val="right" w:pos="8838"/>
                  </w:tabs>
                  <w:ind w:left="-74" w:right="-1269"/>
                  <w:rPr>
                    <w:rFonts w:ascii="Palatino Linotype" w:eastAsia="Palatino Linotype" w:hAnsi="Palatino Linotype" w:cs="Palatino Linotype"/>
                    <w:szCs w:val="22"/>
                  </w:rPr>
                </w:pPr>
                <w:r w:rsidRPr="00967E20">
                  <w:rPr>
                    <w:rFonts w:ascii="Palatino Linotype" w:eastAsia="Palatino Linotype" w:hAnsi="Palatino Linotype" w:cs="Palatino Linotype"/>
                    <w:szCs w:val="22"/>
                  </w:rPr>
                  <w:t>Ayuntamiento de Toluca</w:t>
                </w:r>
              </w:p>
            </w:tc>
          </w:tr>
          <w:tr w:rsidR="000833D7" w:rsidTr="00967E20">
            <w:trPr>
              <w:trHeight w:val="283"/>
            </w:trPr>
            <w:tc>
              <w:tcPr>
                <w:tcW w:w="2690" w:type="dxa"/>
                <w:shd w:val="clear" w:color="auto" w:fill="auto"/>
              </w:tcPr>
              <w:p w:rsidR="000833D7" w:rsidRPr="00967E20" w:rsidRDefault="000833D7">
                <w:pPr>
                  <w:tabs>
                    <w:tab w:val="right" w:pos="8838"/>
                  </w:tabs>
                  <w:ind w:left="-74" w:right="-105"/>
                  <w:rPr>
                    <w:rFonts w:ascii="Palatino Linotype" w:eastAsia="Palatino Linotype" w:hAnsi="Palatino Linotype" w:cs="Palatino Linotype"/>
                    <w:b/>
                    <w:bCs/>
                    <w:szCs w:val="22"/>
                  </w:rPr>
                </w:pPr>
                <w:r w:rsidRPr="00967E20">
                  <w:rPr>
                    <w:rFonts w:ascii="Palatino Linotype" w:eastAsia="Palatino Linotype" w:hAnsi="Palatino Linotype" w:cs="Palatino Linotype"/>
                    <w:b/>
                    <w:bCs/>
                    <w:szCs w:val="22"/>
                  </w:rPr>
                  <w:t>Comisionado ponente:</w:t>
                </w:r>
              </w:p>
            </w:tc>
            <w:tc>
              <w:tcPr>
                <w:tcW w:w="4965" w:type="dxa"/>
                <w:shd w:val="clear" w:color="auto" w:fill="auto"/>
              </w:tcPr>
              <w:p w:rsidR="000833D7" w:rsidRPr="00967E20" w:rsidRDefault="000833D7">
                <w:pPr>
                  <w:tabs>
                    <w:tab w:val="right" w:pos="8838"/>
                  </w:tabs>
                  <w:ind w:left="-74" w:right="-1269"/>
                  <w:rPr>
                    <w:rFonts w:ascii="Palatino Linotype" w:eastAsia="Palatino Linotype" w:hAnsi="Palatino Linotype" w:cs="Palatino Linotype"/>
                    <w:szCs w:val="22"/>
                  </w:rPr>
                </w:pPr>
                <w:r w:rsidRPr="00967E20">
                  <w:rPr>
                    <w:rFonts w:ascii="Palatino Linotype" w:eastAsia="Palatino Linotype" w:hAnsi="Palatino Linotype" w:cs="Palatino Linotype"/>
                    <w:szCs w:val="22"/>
                  </w:rPr>
                  <w:t>María del Rosario Mejía Ayala</w:t>
                </w:r>
              </w:p>
              <w:p w:rsidR="000833D7" w:rsidRPr="00967E20" w:rsidRDefault="000833D7">
                <w:pPr>
                  <w:tabs>
                    <w:tab w:val="right" w:pos="8838"/>
                  </w:tabs>
                  <w:ind w:left="-74" w:right="-1269"/>
                  <w:rPr>
                    <w:rFonts w:ascii="Palatino Linotype" w:eastAsia="Palatino Linotype" w:hAnsi="Palatino Linotype" w:cs="Palatino Linotype"/>
                    <w:b/>
                    <w:bCs/>
                    <w:szCs w:val="22"/>
                  </w:rPr>
                </w:pPr>
              </w:p>
            </w:tc>
          </w:tr>
        </w:tbl>
        <w:p w:rsidR="000833D7" w:rsidRDefault="000833D7">
          <w:pPr>
            <w:tabs>
              <w:tab w:val="right" w:pos="8838"/>
            </w:tabs>
            <w:ind w:left="-28"/>
            <w:jc w:val="both"/>
            <w:rPr>
              <w:rFonts w:ascii="Arial" w:eastAsia="Arial" w:hAnsi="Arial" w:cs="Arial"/>
              <w:b/>
              <w:bCs/>
              <w:sz w:val="22"/>
              <w:szCs w:val="22"/>
            </w:rPr>
          </w:pPr>
        </w:p>
      </w:tc>
    </w:tr>
  </w:tbl>
  <w:p w:rsidR="000833D7" w:rsidRDefault="00F24635">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619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977D9"/>
    <w:multiLevelType w:val="multilevel"/>
    <w:tmpl w:val="123C0A1C"/>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BA60E1"/>
    <w:multiLevelType w:val="hybridMultilevel"/>
    <w:tmpl w:val="2A62481A"/>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42C6B97"/>
    <w:multiLevelType w:val="multilevel"/>
    <w:tmpl w:val="7F86AE4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4730B03"/>
    <w:multiLevelType w:val="hybridMultilevel"/>
    <w:tmpl w:val="D2247086"/>
    <w:lvl w:ilvl="0" w:tplc="7CEA9B3C">
      <w:start w:val="43"/>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27621B8A"/>
    <w:multiLevelType w:val="multilevel"/>
    <w:tmpl w:val="688C2C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9817984"/>
    <w:multiLevelType w:val="hybridMultilevel"/>
    <w:tmpl w:val="B22E1BB6"/>
    <w:lvl w:ilvl="0" w:tplc="E494C5D4">
      <w:start w:val="1"/>
      <w:numFmt w:val="bullet"/>
      <w:lvlText w:val="-"/>
      <w:lvlJc w:val="left"/>
      <w:pPr>
        <w:ind w:left="720" w:hanging="360"/>
      </w:pPr>
      <w:rPr>
        <w:rFonts w:ascii="Courier New" w:hAnsi="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2BE5019"/>
    <w:multiLevelType w:val="multilevel"/>
    <w:tmpl w:val="1728988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DC040D1"/>
    <w:multiLevelType w:val="hybridMultilevel"/>
    <w:tmpl w:val="8438C5B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45307CD6"/>
    <w:multiLevelType w:val="multilevel"/>
    <w:tmpl w:val="C518A2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5A21EB5"/>
    <w:multiLevelType w:val="multilevel"/>
    <w:tmpl w:val="71AC2D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DD95CB9"/>
    <w:multiLevelType w:val="multilevel"/>
    <w:tmpl w:val="DD72E26C"/>
    <w:lvl w:ilvl="0">
      <w:start w:val="1"/>
      <w:numFmt w:val="decimal"/>
      <w:lvlText w:val="%1."/>
      <w:lvlJc w:val="left"/>
      <w:pPr>
        <w:ind w:left="36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9D77E99"/>
    <w:multiLevelType w:val="multilevel"/>
    <w:tmpl w:val="26C81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A9B5C4A"/>
    <w:multiLevelType w:val="hybridMultilevel"/>
    <w:tmpl w:val="ABC8B6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0"/>
  </w:num>
  <w:num w:numId="4">
    <w:abstractNumId w:val="4"/>
  </w:num>
  <w:num w:numId="5">
    <w:abstractNumId w:val="8"/>
  </w:num>
  <w:num w:numId="6">
    <w:abstractNumId w:val="2"/>
  </w:num>
  <w:num w:numId="7">
    <w:abstractNumId w:val="9"/>
  </w:num>
  <w:num w:numId="8">
    <w:abstractNumId w:val="12"/>
  </w:num>
  <w:num w:numId="9">
    <w:abstractNumId w:val="10"/>
  </w:num>
  <w:num w:numId="10">
    <w:abstractNumId w:val="1"/>
  </w:num>
  <w:num w:numId="11">
    <w:abstractNumId w:val="5"/>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27B"/>
    <w:rsid w:val="000833D7"/>
    <w:rsid w:val="000A0C82"/>
    <w:rsid w:val="001002FB"/>
    <w:rsid w:val="00245FC8"/>
    <w:rsid w:val="002E1E34"/>
    <w:rsid w:val="003F2674"/>
    <w:rsid w:val="00477C49"/>
    <w:rsid w:val="0061127B"/>
    <w:rsid w:val="00613D56"/>
    <w:rsid w:val="006F7F0F"/>
    <w:rsid w:val="00806B97"/>
    <w:rsid w:val="00815C5A"/>
    <w:rsid w:val="008E2EF4"/>
    <w:rsid w:val="008E4B15"/>
    <w:rsid w:val="00934C46"/>
    <w:rsid w:val="00967E20"/>
    <w:rsid w:val="009D564D"/>
    <w:rsid w:val="00A34101"/>
    <w:rsid w:val="00A75015"/>
    <w:rsid w:val="00A95F2D"/>
    <w:rsid w:val="00AE289B"/>
    <w:rsid w:val="00B343F1"/>
    <w:rsid w:val="00B97E94"/>
    <w:rsid w:val="00C57B66"/>
    <w:rsid w:val="00D759EB"/>
    <w:rsid w:val="00E35DD7"/>
    <w:rsid w:val="00E36AAB"/>
    <w:rsid w:val="00EE1810"/>
    <w:rsid w:val="00F24635"/>
    <w:rsid w:val="00F767B5"/>
    <w:rsid w:val="00F917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29F75054-0222-4113-8EA4-E06B48220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1127B"/>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61127B"/>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link w:val="Ttulo2Car"/>
    <w:rsid w:val="0061127B"/>
    <w:pPr>
      <w:keepNext/>
      <w:keepLines/>
      <w:spacing w:before="40"/>
      <w:outlineLvl w:val="1"/>
    </w:pPr>
    <w:rPr>
      <w:rFonts w:ascii="Calibri" w:eastAsia="Calibri" w:hAnsi="Calibri" w:cs="Calibri"/>
      <w:color w:val="2E75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1127B"/>
    <w:rPr>
      <w:rFonts w:ascii="Calibri" w:eastAsia="Calibri" w:hAnsi="Calibri" w:cs="Calibri"/>
      <w:color w:val="2E75B5"/>
      <w:sz w:val="32"/>
      <w:szCs w:val="32"/>
      <w:lang w:eastAsia="es-MX"/>
    </w:rPr>
  </w:style>
  <w:style w:type="character" w:customStyle="1" w:styleId="Ttulo2Car">
    <w:name w:val="Título 2 Car"/>
    <w:basedOn w:val="Fuentedeprrafopredeter"/>
    <w:link w:val="Ttulo2"/>
    <w:rsid w:val="0061127B"/>
    <w:rPr>
      <w:rFonts w:ascii="Calibri" w:eastAsia="Calibri" w:hAnsi="Calibri" w:cs="Calibri"/>
      <w:color w:val="2E75B5"/>
      <w:sz w:val="26"/>
      <w:szCs w:val="26"/>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127B"/>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127B"/>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61127B"/>
    <w:pPr>
      <w:tabs>
        <w:tab w:val="center" w:pos="4419"/>
        <w:tab w:val="right" w:pos="8838"/>
      </w:tabs>
    </w:pPr>
  </w:style>
  <w:style w:type="character" w:customStyle="1" w:styleId="PiedepginaCar">
    <w:name w:val="Pie de página Car"/>
    <w:basedOn w:val="Fuentedeprrafopredeter"/>
    <w:link w:val="Piedepgina"/>
    <w:uiPriority w:val="99"/>
    <w:rsid w:val="0061127B"/>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61127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29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553217.page"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aimex.org.mx/saimex/solicitud/downloadAttach/2507920.page"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imex.org.mx/saimex/solicitud/downloadAttach/2560438.page"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saimex.org.mx/saimex/solicitud/downloadAttach/2555690.page" TargetMode="External"/><Relationship Id="rId4" Type="http://schemas.openxmlformats.org/officeDocument/2006/relationships/webSettings" Target="webSettings.xml"/><Relationship Id="rId9" Type="http://schemas.openxmlformats.org/officeDocument/2006/relationships/hyperlink" Target="https://saimex.org.mx/saimex/solicitud/downloadAttach/2553218.pag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25</Pages>
  <Words>5951</Words>
  <Characters>32731</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38605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11</cp:revision>
  <cp:lastPrinted>2026-03-06T19:29:00Z</cp:lastPrinted>
  <dcterms:created xsi:type="dcterms:W3CDTF">2026-02-25T22:00:00Z</dcterms:created>
  <dcterms:modified xsi:type="dcterms:W3CDTF">2026-03-12T17:11:00Z</dcterms:modified>
</cp:coreProperties>
</file>