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20B9" w:rsidRDefault="00291E24">
      <w:pPr>
        <w:tabs>
          <w:tab w:val="left" w:pos="3465"/>
        </w:tabs>
        <w:spacing w:line="360" w:lineRule="auto"/>
        <w:ind w:right="-1071"/>
        <w:jc w:val="both"/>
        <w:rPr>
          <w:rFonts w:ascii="Palatino Linotype" w:eastAsia="Palatino Linotype" w:hAnsi="Palatino Linotype" w:cs="Palatino Linotype"/>
          <w:b/>
          <w:bCs/>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005A4E60">
        <w:rPr>
          <w:rFonts w:ascii="Palatino Linotype" w:eastAsia="Palatino Linotype" w:hAnsi="Palatino Linotype" w:cs="Palatino Linotype"/>
          <w:b/>
          <w:bCs/>
        </w:rPr>
        <w:t>de fecha veinte (20)</w:t>
      </w:r>
      <w:r>
        <w:rPr>
          <w:rFonts w:ascii="Palatino Linotype" w:eastAsia="Palatino Linotype" w:hAnsi="Palatino Linotype" w:cs="Palatino Linotype"/>
          <w:b/>
          <w:bCs/>
        </w:rPr>
        <w:t xml:space="preserve"> de mayo de dos mil veintiséis.</w:t>
      </w:r>
    </w:p>
    <w:p w:rsidR="001F20B9" w:rsidRDefault="001F20B9">
      <w:pPr>
        <w:tabs>
          <w:tab w:val="left" w:pos="3465"/>
        </w:tabs>
        <w:spacing w:line="360" w:lineRule="auto"/>
        <w:ind w:right="-1071"/>
        <w:jc w:val="both"/>
        <w:rPr>
          <w:rFonts w:ascii="Palatino Linotype" w:eastAsia="Palatino Linotype" w:hAnsi="Palatino Linotype" w:cs="Palatino Linotype"/>
        </w:rPr>
      </w:pPr>
    </w:p>
    <w:p w:rsidR="001F20B9" w:rsidRDefault="00291E24">
      <w:p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Pr>
          <w:rFonts w:ascii="Palatino Linotype" w:eastAsia="Palatino Linotype" w:hAnsi="Palatino Linotype" w:cs="Palatino Linotype"/>
          <w:b/>
          <w:bCs/>
        </w:rPr>
        <w:t xml:space="preserve">01723/INFOEM/IP/RR/2026, </w:t>
      </w:r>
      <w:r>
        <w:rPr>
          <w:rFonts w:ascii="Palatino Linotype" w:eastAsia="Palatino Linotype" w:hAnsi="Palatino Linotype" w:cs="Palatino Linotype"/>
        </w:rPr>
        <w:t>promovido por</w:t>
      </w:r>
      <w:r>
        <w:rPr>
          <w:rFonts w:ascii="Palatino Linotype" w:eastAsia="Palatino Linotype" w:hAnsi="Palatino Linotype" w:cs="Palatino Linotype"/>
          <w:b/>
          <w:bCs/>
        </w:rPr>
        <w:t xml:space="preserve"> </w:t>
      </w:r>
      <w:r w:rsidR="00F7045D">
        <w:rPr>
          <w:rFonts w:ascii="Palatino Linotype" w:eastAsia="Palatino Linotype" w:hAnsi="Palatino Linotype" w:cs="Palatino Linotype"/>
          <w:b/>
          <w:bCs/>
        </w:rPr>
        <w:t>XXXX</w:t>
      </w:r>
      <w:r>
        <w:rPr>
          <w:rFonts w:ascii="Palatino Linotype" w:eastAsia="Palatino Linotype" w:hAnsi="Palatino Linotype" w:cs="Palatino Linotype"/>
        </w:rPr>
        <w:t xml:space="preserve">, a quien en lo sucesivo se le identificará como </w:t>
      </w:r>
      <w:r>
        <w:rPr>
          <w:rFonts w:ascii="Palatino Linotype" w:eastAsia="Palatino Linotype" w:hAnsi="Palatino Linotype" w:cs="Palatino Linotype"/>
          <w:b/>
          <w:bCs/>
        </w:rPr>
        <w:t>EL  RECURRENTE</w:t>
      </w:r>
      <w:r>
        <w:rPr>
          <w:rFonts w:ascii="Palatino Linotype" w:eastAsia="Palatino Linotype" w:hAnsi="Palatino Linotype" w:cs="Palatino Linotype"/>
        </w:rPr>
        <w:t>, en contra de la re</w:t>
      </w:r>
      <w:bookmarkStart w:id="0" w:name="_GoBack"/>
      <w:bookmarkEnd w:id="0"/>
      <w:r>
        <w:rPr>
          <w:rFonts w:ascii="Palatino Linotype" w:eastAsia="Palatino Linotype" w:hAnsi="Palatino Linotype" w:cs="Palatino Linotype"/>
        </w:rPr>
        <w:t xml:space="preserve">spuesta </w:t>
      </w:r>
      <w:r>
        <w:rPr>
          <w:rFonts w:ascii="Palatino Linotype" w:eastAsia="Palatino Linotype" w:hAnsi="Palatino Linotype" w:cs="Palatino Linotype"/>
          <w:b/>
          <w:bCs/>
        </w:rPr>
        <w:t xml:space="preserve">del Ayuntamiento de Tlalnepantla de Baz,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se procede a dictar la presente resolución, con base en los siguientes:</w:t>
      </w:r>
    </w:p>
    <w:p w:rsidR="001F20B9" w:rsidRDefault="001F20B9">
      <w:pPr>
        <w:spacing w:line="360" w:lineRule="auto"/>
        <w:ind w:right="-1071"/>
        <w:jc w:val="both"/>
        <w:rPr>
          <w:rFonts w:ascii="Palatino Linotype" w:eastAsia="Palatino Linotype" w:hAnsi="Palatino Linotype" w:cs="Palatino Linotype"/>
          <w:b/>
          <w:bCs/>
        </w:rPr>
      </w:pPr>
    </w:p>
    <w:p w:rsidR="001F20B9" w:rsidRDefault="00291E24">
      <w:pPr>
        <w:pStyle w:val="Ttulo1"/>
        <w:spacing w:before="0" w:line="360" w:lineRule="auto"/>
        <w:ind w:right="-1071"/>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A N T E C E D E N T E S</w:t>
      </w:r>
    </w:p>
    <w:p w:rsidR="001F20B9" w:rsidRDefault="00291E24">
      <w:pPr>
        <w:numPr>
          <w:ilvl w:val="0"/>
          <w:numId w:val="1"/>
        </w:numPr>
        <w:tabs>
          <w:tab w:val="left" w:pos="0"/>
        </w:tabs>
        <w:spacing w:line="360" w:lineRule="auto"/>
        <w:ind w:left="0" w:right="-1071" w:firstLine="0"/>
        <w:jc w:val="both"/>
      </w:pPr>
      <w:r>
        <w:rPr>
          <w:rFonts w:ascii="Palatino Linotype" w:eastAsia="Palatino Linotype" w:hAnsi="Palatino Linotype" w:cs="Palatino Linotype"/>
        </w:rPr>
        <w:t>El día</w:t>
      </w:r>
      <w:r>
        <w:rPr>
          <w:rFonts w:ascii="Palatino Linotype" w:eastAsia="Palatino Linotype" w:hAnsi="Palatino Linotype" w:cs="Palatino Linotype"/>
          <w:b/>
          <w:bCs/>
        </w:rPr>
        <w:t xml:space="preserve"> treinta de enero de dos mil veintiséis, </w:t>
      </w:r>
      <w:r>
        <w:rPr>
          <w:rFonts w:ascii="Palatino Linotype" w:eastAsia="Palatino Linotype" w:hAnsi="Palatino Linotype" w:cs="Palatino Linotype"/>
        </w:rPr>
        <w:t xml:space="preserve">se presentó 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vía Sistema de Acceso a la Información, la solicitud de información pública registrada con el número</w:t>
      </w:r>
      <w:r>
        <w:rPr>
          <w:rFonts w:ascii="Palatino Linotype" w:eastAsia="Palatino Linotype" w:hAnsi="Palatino Linotype" w:cs="Palatino Linotype"/>
          <w:b/>
          <w:bCs/>
          <w:color w:val="000000"/>
        </w:rPr>
        <w:t xml:space="preserve"> 00145/TLALNEPA/IP/2026; </w:t>
      </w:r>
      <w:r>
        <w:rPr>
          <w:rFonts w:ascii="Palatino Linotype" w:eastAsia="Palatino Linotype" w:hAnsi="Palatino Linotype" w:cs="Palatino Linotype"/>
          <w:color w:val="000000"/>
        </w:rPr>
        <w:t>la solicitud consistió en obtener la siguiente información</w:t>
      </w:r>
      <w:r>
        <w:rPr>
          <w:rFonts w:ascii="Palatino Linotype" w:eastAsia="Palatino Linotype" w:hAnsi="Palatino Linotype" w:cs="Palatino Linotype"/>
        </w:rPr>
        <w:t xml:space="preserve">. </w:t>
      </w:r>
    </w:p>
    <w:p w:rsidR="001F20B9" w:rsidRDefault="001F20B9">
      <w:pPr>
        <w:spacing w:line="360" w:lineRule="auto"/>
        <w:ind w:right="-1071"/>
        <w:jc w:val="both"/>
        <w:rPr>
          <w:rFonts w:ascii="Palatino Linotype" w:eastAsia="Palatino Linotype" w:hAnsi="Palatino Linotype" w:cs="Palatino Linotype"/>
        </w:rPr>
      </w:pPr>
    </w:p>
    <w:p w:rsidR="001F20B9" w:rsidRDefault="00291E24">
      <w:pPr>
        <w:ind w:left="1134" w:right="-1071"/>
        <w:jc w:val="both"/>
        <w:rPr>
          <w:rFonts w:ascii="Palatino Linotype" w:eastAsia="Palatino Linotype" w:hAnsi="Palatino Linotype" w:cs="Palatino Linotype"/>
        </w:rPr>
      </w:pPr>
      <w:bookmarkStart w:id="1" w:name="_heading=h.gjdgxs" w:colFirst="0" w:colLast="0"/>
      <w:bookmarkEnd w:id="1"/>
      <w:r>
        <w:rPr>
          <w:rFonts w:ascii="Palatino Linotype" w:eastAsia="Palatino Linotype" w:hAnsi="Palatino Linotype" w:cs="Palatino Linotype"/>
          <w:i/>
          <w:iCs/>
        </w:rPr>
        <w:t>“solicito copia simple digitalizada a través del sistema electrónico saimex de todos los comprobantes de pago realizados mediante transferencia electrónica y/o cheque durante el mes de diciembre de 2025 por la tesorería municipal.”(Sic).</w:t>
      </w:r>
    </w:p>
    <w:p w:rsidR="001F20B9" w:rsidRDefault="001F20B9">
      <w:pPr>
        <w:spacing w:line="360" w:lineRule="auto"/>
        <w:ind w:left="851" w:right="-1071"/>
        <w:jc w:val="both"/>
        <w:rPr>
          <w:rFonts w:ascii="Palatino Linotype" w:eastAsia="Palatino Linotype" w:hAnsi="Palatino Linotype" w:cs="Palatino Linotype"/>
        </w:rPr>
      </w:pPr>
    </w:p>
    <w:p w:rsidR="001F20B9" w:rsidRDefault="00291E24">
      <w:pPr>
        <w:numPr>
          <w:ilvl w:val="0"/>
          <w:numId w:val="8"/>
        </w:numP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b/>
          <w:bCs/>
        </w:rPr>
        <w:t>Modalidad de entrega de la información</w:t>
      </w:r>
      <w:r>
        <w:rPr>
          <w:rFonts w:ascii="Palatino Linotype" w:eastAsia="Palatino Linotype" w:hAnsi="Palatino Linotype" w:cs="Palatino Linotype"/>
        </w:rPr>
        <w:t xml:space="preserve">: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w:t>
      </w:r>
    </w:p>
    <w:p w:rsidR="001F20B9" w:rsidRDefault="001F20B9">
      <w:pPr>
        <w:ind w:right="-1071"/>
        <w:rPr>
          <w:rFonts w:ascii="Palatino Linotype" w:eastAsia="Palatino Linotype" w:hAnsi="Palatino Linotype" w:cs="Palatino Linotype"/>
          <w:color w:val="000000"/>
        </w:rPr>
      </w:pPr>
    </w:p>
    <w:p w:rsidR="00C532F6" w:rsidRDefault="00C532F6">
      <w:pPr>
        <w:ind w:right="-1071"/>
        <w:rPr>
          <w:rFonts w:ascii="Palatino Linotype" w:eastAsia="Palatino Linotype" w:hAnsi="Palatino Linotype" w:cs="Palatino Linotype"/>
          <w:color w:val="000000"/>
        </w:rPr>
      </w:pPr>
    </w:p>
    <w:p w:rsidR="001F20B9" w:rsidRDefault="00291E24">
      <w:pPr>
        <w:numPr>
          <w:ilvl w:val="0"/>
          <w:numId w:val="1"/>
        </w:numPr>
        <w:tabs>
          <w:tab w:val="left" w:pos="0"/>
        </w:tabs>
        <w:spacing w:line="360" w:lineRule="auto"/>
        <w:ind w:left="0" w:right="-107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seis de febrero de dos mil veintiséis</w:t>
      </w:r>
      <w:r>
        <w:rPr>
          <w:rFonts w:ascii="Palatino Linotype" w:eastAsia="Palatino Linotype" w:hAnsi="Palatino Linotype" w:cs="Palatino Linotype"/>
          <w:color w:val="000000"/>
        </w:rPr>
        <w:t xml:space="preserve">, en respuesta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entrego un archivo electrónico en formato pdf, cuyo contenido a grosso modo es el siguiente: </w:t>
      </w:r>
      <w:r>
        <w:rPr>
          <w:rFonts w:ascii="Palatino Linotype" w:eastAsia="Palatino Linotype" w:hAnsi="Palatino Linotype" w:cs="Palatino Linotype"/>
          <w:b/>
          <w:bCs/>
          <w:i/>
          <w:iCs/>
          <w:color w:val="000000"/>
        </w:rPr>
        <w:t xml:space="preserve"> </w:t>
      </w:r>
    </w:p>
    <w:p w:rsidR="001F20B9" w:rsidRDefault="001F20B9">
      <w:pPr>
        <w:tabs>
          <w:tab w:val="left" w:pos="0"/>
        </w:tabs>
        <w:spacing w:line="360" w:lineRule="auto"/>
        <w:ind w:right="-1071"/>
        <w:jc w:val="both"/>
        <w:rPr>
          <w:rFonts w:ascii="Palatino Linotype" w:eastAsia="Palatino Linotype" w:hAnsi="Palatino Linotype" w:cs="Palatino Linotype"/>
          <w:b/>
          <w:bCs/>
          <w:i/>
          <w:iCs/>
          <w:color w:val="000000"/>
        </w:rPr>
      </w:pPr>
    </w:p>
    <w:p w:rsidR="001F20B9" w:rsidRDefault="00291E24">
      <w:pPr>
        <w:ind w:left="1134" w:right="-1071"/>
        <w:jc w:val="both"/>
        <w:rPr>
          <w:rFonts w:ascii="Palatino Linotype" w:eastAsia="Palatino Linotype" w:hAnsi="Palatino Linotype" w:cs="Palatino Linotype"/>
          <w:i/>
          <w:iCs/>
        </w:rPr>
      </w:pPr>
      <w:bookmarkStart w:id="2" w:name="_heading=h.30j0zll" w:colFirst="0" w:colLast="0"/>
      <w:bookmarkEnd w:id="2"/>
      <w:r>
        <w:rPr>
          <w:rFonts w:ascii="Palatino Linotype" w:eastAsia="Palatino Linotype" w:hAnsi="Palatino Linotype" w:cs="Palatino Linotype"/>
          <w:b/>
          <w:bCs/>
          <w:i/>
          <w:iCs/>
          <w:color w:val="000000"/>
        </w:rPr>
        <w:lastRenderedPageBreak/>
        <w:t xml:space="preserve">RESPUESTA SAIMEX 145.zip </w:t>
      </w:r>
      <w:r>
        <w:rPr>
          <w:rFonts w:ascii="Palatino Linotype" w:eastAsia="Palatino Linotype" w:hAnsi="Palatino Linotype" w:cs="Palatino Linotype"/>
          <w:i/>
          <w:iCs/>
          <w:color w:val="000000"/>
        </w:rPr>
        <w:t xml:space="preserve">Donde servido público habilitado refiere la imposibilidad de la entrega de la información derivado de su integración para atender los informes trimestrales.. </w:t>
      </w:r>
    </w:p>
    <w:p w:rsidR="001F20B9" w:rsidRDefault="001F20B9">
      <w:pPr>
        <w:ind w:right="-1071"/>
        <w:jc w:val="both"/>
        <w:rPr>
          <w:rFonts w:ascii="Palatino Linotype" w:eastAsia="Palatino Linotype" w:hAnsi="Palatino Linotype" w:cs="Palatino Linotype"/>
          <w:i/>
          <w:iCs/>
        </w:rPr>
      </w:pPr>
    </w:p>
    <w:p w:rsidR="001F20B9" w:rsidRDefault="00291E24">
      <w:pPr>
        <w:numPr>
          <w:ilvl w:val="0"/>
          <w:numId w:val="1"/>
        </w:numPr>
        <w:tabs>
          <w:tab w:val="left" w:pos="0"/>
        </w:tabs>
        <w:spacing w:line="360" w:lineRule="auto"/>
        <w:ind w:left="0" w:right="-1071"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once de febrero de dos mil veintiséis, </w:t>
      </w: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entonces </w:t>
      </w:r>
      <w:r>
        <w:rPr>
          <w:rFonts w:ascii="Palatino Linotype" w:eastAsia="Palatino Linotype" w:hAnsi="Palatino Linotype" w:cs="Palatino Linotype"/>
          <w:b/>
          <w:bCs/>
          <w:color w:val="000000"/>
        </w:rPr>
        <w:t xml:space="preserve">SOLICITANTE </w:t>
      </w:r>
      <w:r>
        <w:rPr>
          <w:rFonts w:ascii="Palatino Linotype" w:eastAsia="Palatino Linotype" w:hAnsi="Palatino Linotype" w:cs="Palatino Linotype"/>
          <w:color w:val="000000"/>
        </w:rPr>
        <w:t xml:space="preserve">interpuso el recurso de revisión en contra de la respuesta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manifestando las siguientes razones o motivos de inconformidad:</w:t>
      </w:r>
    </w:p>
    <w:p w:rsidR="001F20B9" w:rsidRDefault="00291E24">
      <w:pPr>
        <w:tabs>
          <w:tab w:val="left" w:pos="0"/>
          <w:tab w:val="left" w:pos="5775"/>
        </w:tabs>
        <w:spacing w:line="360" w:lineRule="auto"/>
        <w:ind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b/>
      </w:r>
    </w:p>
    <w:p w:rsidR="001F20B9" w:rsidRDefault="00291E24">
      <w:pPr>
        <w:numPr>
          <w:ilvl w:val="0"/>
          <w:numId w:val="8"/>
        </w:numPr>
        <w:ind w:left="850" w:right="-220"/>
        <w:jc w:val="both"/>
        <w:rPr>
          <w:rFonts w:ascii="Palatino Linotype" w:eastAsia="Palatino Linotype" w:hAnsi="Palatino Linotype" w:cs="Palatino Linotype"/>
          <w:i/>
          <w:iCs/>
          <w:color w:val="000000"/>
        </w:rPr>
      </w:pPr>
      <w:bookmarkStart w:id="3" w:name="_heading=h.1fob9te" w:colFirst="0" w:colLast="0"/>
      <w:bookmarkEnd w:id="3"/>
      <w:r>
        <w:rPr>
          <w:rFonts w:ascii="Palatino Linotype" w:eastAsia="Palatino Linotype" w:hAnsi="Palatino Linotype" w:cs="Palatino Linotype"/>
          <w:b/>
          <w:bCs/>
          <w:i/>
          <w:iCs/>
        </w:rPr>
        <w:t>Acto impugnado</w:t>
      </w:r>
      <w:r>
        <w:rPr>
          <w:rFonts w:ascii="Palatino Linotype" w:eastAsia="Palatino Linotype" w:hAnsi="Palatino Linotype" w:cs="Palatino Linotype"/>
          <w:b/>
          <w:bCs/>
          <w:i/>
          <w:iCs/>
          <w:color w:val="000000"/>
        </w:rPr>
        <w:t xml:space="preserve">: </w:t>
      </w:r>
      <w:r>
        <w:rPr>
          <w:rFonts w:ascii="Palatino Linotype" w:eastAsia="Palatino Linotype" w:hAnsi="Palatino Linotype" w:cs="Palatino Linotype"/>
          <w:i/>
          <w:iCs/>
          <w:color w:val="000000"/>
        </w:rPr>
        <w:t>“RESPUESTA A LA SOLICITUD 00145/TLALNEPA/IP/2026”</w:t>
      </w:r>
    </w:p>
    <w:p w:rsidR="001F20B9" w:rsidRDefault="00291E24">
      <w:pPr>
        <w:tabs>
          <w:tab w:val="left" w:pos="7020"/>
        </w:tabs>
        <w:ind w:left="850" w:right="-220" w:hanging="36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b/>
      </w:r>
    </w:p>
    <w:p w:rsidR="001F20B9" w:rsidRDefault="00291E24">
      <w:pPr>
        <w:numPr>
          <w:ilvl w:val="0"/>
          <w:numId w:val="8"/>
        </w:numPr>
        <w:ind w:left="850" w:right="-220"/>
        <w:jc w:val="both"/>
        <w:rPr>
          <w:rFonts w:ascii="Palatino Linotype" w:eastAsia="Palatino Linotype" w:hAnsi="Palatino Linotype" w:cs="Palatino Linotype"/>
          <w:i/>
          <w:iCs/>
          <w:color w:val="000000"/>
        </w:rPr>
      </w:pPr>
      <w:bookmarkStart w:id="4" w:name="_heading=h.3znysh7" w:colFirst="0" w:colLast="0"/>
      <w:bookmarkEnd w:id="4"/>
      <w:r>
        <w:rPr>
          <w:rFonts w:ascii="Palatino Linotype" w:eastAsia="Palatino Linotype" w:hAnsi="Palatino Linotype" w:cs="Palatino Linotype"/>
          <w:b/>
          <w:bCs/>
          <w:i/>
          <w:iCs/>
          <w:color w:val="000000"/>
        </w:rPr>
        <w:t xml:space="preserve">Razones o Motivos de inconformidad: </w:t>
      </w:r>
      <w:r>
        <w:rPr>
          <w:rFonts w:ascii="Palatino Linotype" w:eastAsia="Palatino Linotype" w:hAnsi="Palatino Linotype" w:cs="Palatino Linotype"/>
          <w:i/>
          <w:iCs/>
          <w:color w:val="000000"/>
        </w:rPr>
        <w:t>“LA PRESENTACION DE LOS INFORMES DE CUENTA PÚBLICA POR PARTE DE LOS AYUNTAMIENTOS NO JUSTIFICA EL INCUMPLIMIENTO DE LA LEY EN MATERIA DE TRANSPARENCIA, PUES SON PROCESOS QUE NO INTERFIEREN UNO CON OTRO. POR LO ANTERIOR, SOLICITO SE REVOQUE LA RESPUESTA DEL SUJETO OBLIGADO Y SE ORDENE LA ENTREGA DE LA INFORMACIÓN SOLICITADA A TRAVÉS DEL SISTEMA ELECTRÓNICO SAIMEX.”</w:t>
      </w:r>
    </w:p>
    <w:p w:rsidR="001F20B9" w:rsidRDefault="001F20B9">
      <w:pPr>
        <w:ind w:left="1134" w:right="-1071"/>
        <w:jc w:val="both"/>
        <w:rPr>
          <w:rFonts w:ascii="Palatino Linotype" w:eastAsia="Palatino Linotype" w:hAnsi="Palatino Linotype" w:cs="Palatino Linotype"/>
          <w:i/>
          <w:iCs/>
          <w:color w:val="000000"/>
        </w:rPr>
      </w:pPr>
    </w:p>
    <w:p w:rsidR="001F20B9" w:rsidRDefault="00291E24">
      <w:pPr>
        <w:numPr>
          <w:ilvl w:val="0"/>
          <w:numId w:val="1"/>
        </w:numPr>
        <w:spacing w:line="360" w:lineRule="auto"/>
        <w:ind w:left="0" w:right="-1071" w:firstLine="0"/>
        <w:jc w:val="both"/>
      </w:pPr>
      <w:r>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 fecha </w:t>
      </w:r>
      <w:r>
        <w:rPr>
          <w:rFonts w:ascii="Palatino Linotype" w:eastAsia="Palatino Linotype" w:hAnsi="Palatino Linotype" w:cs="Palatino Linotype"/>
          <w:b/>
          <w:bCs/>
        </w:rPr>
        <w:t>trece de febrero de dos mil veintiséis</w:t>
      </w:r>
      <w:r>
        <w:rPr>
          <w:rFonts w:ascii="Palatino Linotype" w:eastAsia="Palatino Linotype" w:hAnsi="Palatino Linotype" w:cs="Palatino Linotype"/>
        </w:rPr>
        <w:t xml:space="preserve">, puso a disposición de las partes el expediente electrónico vía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 xml:space="preserve">a efecto de que en un plazo máximo de siete días manifestaran lo que a su derecho conviniera, ofrecieran pruebas y alegatos según corresponda a los casos concretos, y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presentará el Informe Justificado procedente.</w:t>
      </w:r>
    </w:p>
    <w:p w:rsidR="001F20B9" w:rsidRDefault="001F20B9">
      <w:pPr>
        <w:spacing w:line="360" w:lineRule="auto"/>
        <w:ind w:right="-1071"/>
        <w:jc w:val="both"/>
        <w:rPr>
          <w:rFonts w:ascii="Palatino Linotype" w:eastAsia="Palatino Linotype" w:hAnsi="Palatino Linotype" w:cs="Palatino Linotype"/>
        </w:rPr>
      </w:pPr>
    </w:p>
    <w:p w:rsidR="001F20B9" w:rsidRDefault="00291E24">
      <w:pPr>
        <w:numPr>
          <w:ilvl w:val="0"/>
          <w:numId w:val="1"/>
        </w:numPr>
        <w:pBdr>
          <w:top w:val="nil"/>
          <w:left w:val="nil"/>
          <w:bottom w:val="nil"/>
          <w:right w:val="nil"/>
          <w:between w:val="nil"/>
        </w:pBdr>
        <w:spacing w:line="360" w:lineRule="auto"/>
        <w:ind w:left="0" w:right="-1071" w:firstLine="0"/>
        <w:jc w:val="both"/>
        <w:rPr>
          <w:color w:val="000000"/>
        </w:rPr>
      </w:pPr>
      <w:r>
        <w:rPr>
          <w:rFonts w:ascii="Palatino Linotype" w:eastAsia="Palatino Linotype" w:hAnsi="Palatino Linotype" w:cs="Palatino Linotype"/>
          <w:color w:val="000000"/>
        </w:rPr>
        <w:t xml:space="preserve">En diecisiete de febrero de dos mil veintiséis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mediante archivo </w:t>
      </w:r>
      <w:r>
        <w:rPr>
          <w:rFonts w:ascii="Palatino Linotype" w:eastAsia="Palatino Linotype" w:hAnsi="Palatino Linotype" w:cs="Palatino Linotype"/>
          <w:b/>
          <w:bCs/>
          <w:color w:val="000000"/>
        </w:rPr>
        <w:t>MANIFESTACIONES R.R. 1723-26.zip</w:t>
      </w:r>
      <w:r>
        <w:rPr>
          <w:rFonts w:ascii="Palatino Linotype" w:eastAsia="Palatino Linotype" w:hAnsi="Palatino Linotype" w:cs="Palatino Linotype"/>
          <w:color w:val="000000"/>
        </w:rPr>
        <w:t xml:space="preserve"> rindió el informe justificado correspondiente donde </w:t>
      </w:r>
      <w:r>
        <w:rPr>
          <w:rFonts w:ascii="Palatino Linotype" w:eastAsia="Palatino Linotype" w:hAnsi="Palatino Linotype" w:cs="Palatino Linotype"/>
          <w:color w:val="000000"/>
        </w:rPr>
        <w:lastRenderedPageBreak/>
        <w:t xml:space="preserve">medularmente  ratifica su respuesta inicial, por su parte,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no realizó manifestaciones que a su derecho convinieran y asistieran.</w:t>
      </w:r>
    </w:p>
    <w:p w:rsidR="001F20B9" w:rsidRDefault="001F20B9">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1F20B9" w:rsidRDefault="00291E24">
      <w:pPr>
        <w:numPr>
          <w:ilvl w:val="0"/>
          <w:numId w:val="1"/>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b/>
          <w:bCs/>
          <w:color w:val="000000"/>
        </w:rPr>
      </w:pPr>
      <w:bookmarkStart w:id="5" w:name="_heading=h.2et92p0" w:colFirst="0" w:colLast="0"/>
      <w:bookmarkEnd w:id="5"/>
      <w:r>
        <w:rPr>
          <w:rFonts w:ascii="Palatino Linotype" w:eastAsia="Palatino Linotype" w:hAnsi="Palatino Linotype" w:cs="Palatino Linotype"/>
          <w:color w:val="000000"/>
        </w:rPr>
        <w:t xml:space="preserve">En </w:t>
      </w:r>
      <w:r>
        <w:rPr>
          <w:rFonts w:ascii="Palatino Linotype" w:eastAsia="Palatino Linotype" w:hAnsi="Palatino Linotype" w:cs="Palatino Linotype"/>
          <w:b/>
          <w:bCs/>
          <w:color w:val="000000"/>
        </w:rPr>
        <w:t>fecha nueve de abril de dos mil veintiséis</w:t>
      </w:r>
      <w:r>
        <w:rPr>
          <w:rFonts w:ascii="Palatino Linotype" w:eastAsia="Palatino Linotype" w:hAnsi="Palatino Linotype" w:cs="Palatino Linotype"/>
          <w:color w:val="000000"/>
        </w:rPr>
        <w:t>, se acordó ampliar el término para resolver el presente asunto.</w:t>
      </w:r>
    </w:p>
    <w:p w:rsidR="001F20B9" w:rsidRDefault="001F20B9">
      <w:pPr>
        <w:pBdr>
          <w:top w:val="nil"/>
          <w:left w:val="nil"/>
          <w:bottom w:val="nil"/>
          <w:right w:val="nil"/>
          <w:between w:val="nil"/>
        </w:pBdr>
        <w:ind w:right="-1071"/>
        <w:rPr>
          <w:rFonts w:ascii="Palatino Linotype" w:eastAsia="Palatino Linotype" w:hAnsi="Palatino Linotype" w:cs="Palatino Linotype"/>
          <w:b/>
          <w:bCs/>
          <w:color w:val="000000"/>
        </w:rPr>
      </w:pPr>
    </w:p>
    <w:p w:rsidR="001F20B9" w:rsidRDefault="00291E24">
      <w:pPr>
        <w:numPr>
          <w:ilvl w:val="0"/>
          <w:numId w:val="1"/>
        </w:numPr>
        <w:pBdr>
          <w:top w:val="nil"/>
          <w:left w:val="nil"/>
          <w:bottom w:val="nil"/>
          <w:right w:val="nil"/>
          <w:between w:val="nil"/>
        </w:pBdr>
        <w:spacing w:line="360" w:lineRule="auto"/>
        <w:ind w:left="0" w:right="-1071" w:firstLine="0"/>
        <w:jc w:val="both"/>
        <w:rPr>
          <w:color w:val="000000"/>
        </w:rPr>
      </w:pPr>
      <w:r>
        <w:rPr>
          <w:rFonts w:ascii="Palatino Linotype" w:eastAsia="Palatino Linotype" w:hAnsi="Palatino Linotype" w:cs="Palatino Linotype"/>
          <w:color w:val="000000"/>
        </w:rPr>
        <w:t>Por ello, es menester precisar que, si bien se ha excedido el plazo para resolver el presente medio de impugnación, de conformidad con la ley de la materia, dicha dilación es de carácter excepcional y se encuentra justificada en los elementos para medir la razonabilidad del plazo de resolución de asuntos conforme a los parámetros establecidos por diversos órganos jurisdiccionales federales, aplicables también en procedimientos análogos, como el que nos ocupa.</w:t>
      </w:r>
    </w:p>
    <w:p w:rsidR="001F20B9" w:rsidRDefault="001F20B9">
      <w:pPr>
        <w:pBdr>
          <w:top w:val="nil"/>
          <w:left w:val="nil"/>
          <w:bottom w:val="nil"/>
          <w:right w:val="nil"/>
          <w:between w:val="nil"/>
        </w:pBdr>
        <w:ind w:left="720" w:right="-1071"/>
        <w:rPr>
          <w:rFonts w:ascii="Palatino Linotype" w:eastAsia="Palatino Linotype" w:hAnsi="Palatino Linotype" w:cs="Palatino Linotype"/>
          <w:color w:val="000000"/>
        </w:rPr>
      </w:pPr>
    </w:p>
    <w:p w:rsidR="001F20B9" w:rsidRDefault="00291E24">
      <w:pPr>
        <w:numPr>
          <w:ilvl w:val="0"/>
          <w:numId w:val="1"/>
        </w:numPr>
        <w:pBdr>
          <w:top w:val="nil"/>
          <w:left w:val="nil"/>
          <w:bottom w:val="nil"/>
          <w:right w:val="nil"/>
          <w:between w:val="nil"/>
        </w:pBdr>
        <w:spacing w:line="360" w:lineRule="auto"/>
        <w:ind w:left="0" w:right="-1071" w:firstLine="0"/>
        <w:jc w:val="both"/>
        <w:rPr>
          <w:color w:val="000000"/>
        </w:rPr>
      </w:pPr>
      <w:r>
        <w:rPr>
          <w:rFonts w:ascii="Palatino Linotype" w:eastAsia="Palatino Linotype" w:hAnsi="Palatino Linotype" w:cs="Palatino Linotype"/>
          <w:color w:val="000000"/>
        </w:rPr>
        <w:t xml:space="preserve">La Comisionada Ponente decretó el cierre de instrucción mediante el acuerdo del </w:t>
      </w:r>
      <w:r>
        <w:rPr>
          <w:rFonts w:ascii="Palatino Linotype" w:eastAsia="Palatino Linotype" w:hAnsi="Palatino Linotype" w:cs="Palatino Linotype"/>
          <w:b/>
          <w:bCs/>
          <w:color w:val="000000"/>
        </w:rPr>
        <w:t>diecinueve de mayo de dos mil veintiséis</w:t>
      </w:r>
      <w:r>
        <w:rPr>
          <w:rFonts w:ascii="Palatino Linotype" w:eastAsia="Palatino Linotype" w:hAnsi="Palatino Linotype" w:cs="Palatino Linotype"/>
          <w:color w:val="000000"/>
        </w:rPr>
        <w:t>; por lo que en virtud de que el expediente electrónico ha sido debidamente substanciado y no existe diligencia pendiente de desahogo, se procede a emitir la presente resolución que conforme a Derecho corresponda y;</w:t>
      </w:r>
    </w:p>
    <w:p w:rsidR="001F20B9" w:rsidRDefault="001F20B9">
      <w:pPr>
        <w:spacing w:line="360" w:lineRule="auto"/>
        <w:ind w:right="-1071"/>
        <w:jc w:val="center"/>
        <w:rPr>
          <w:rFonts w:ascii="Palatino Linotype" w:eastAsia="Palatino Linotype" w:hAnsi="Palatino Linotype" w:cs="Palatino Linotype"/>
          <w:b/>
          <w:bCs/>
          <w:color w:val="000000"/>
        </w:rPr>
      </w:pPr>
    </w:p>
    <w:p w:rsidR="001F20B9" w:rsidRDefault="00291E24">
      <w:pPr>
        <w:spacing w:line="360" w:lineRule="auto"/>
        <w:ind w:right="-1071"/>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C O N S I D E R A N D O </w:t>
      </w:r>
    </w:p>
    <w:p w:rsidR="001F20B9" w:rsidRDefault="001F20B9">
      <w:pPr>
        <w:spacing w:line="360" w:lineRule="auto"/>
        <w:ind w:right="-1071"/>
        <w:jc w:val="center"/>
        <w:rPr>
          <w:rFonts w:ascii="Palatino Linotype" w:eastAsia="Palatino Linotype" w:hAnsi="Palatino Linotype" w:cs="Palatino Linotype"/>
          <w:b/>
          <w:bCs/>
          <w:color w:val="000000"/>
        </w:rPr>
      </w:pPr>
    </w:p>
    <w:p w:rsidR="001F20B9" w:rsidRDefault="00291E24">
      <w:pPr>
        <w:keepNext/>
        <w:keepLines/>
        <w:spacing w:line="360" w:lineRule="auto"/>
        <w:ind w:right="-1071"/>
        <w:rPr>
          <w:rFonts w:ascii="Palatino Linotype" w:eastAsia="Palatino Linotype" w:hAnsi="Palatino Linotype" w:cs="Palatino Linotype"/>
          <w:b/>
          <w:bCs/>
        </w:rPr>
      </w:pPr>
      <w:bookmarkStart w:id="6" w:name="_heading=h.tyjcwt" w:colFirst="0" w:colLast="0"/>
      <w:bookmarkEnd w:id="6"/>
      <w:r>
        <w:rPr>
          <w:rFonts w:ascii="Palatino Linotype" w:eastAsia="Palatino Linotype" w:hAnsi="Palatino Linotype" w:cs="Palatino Linotype"/>
          <w:b/>
          <w:bCs/>
        </w:rPr>
        <w:t>PRIMERO. De la competencia</w:t>
      </w:r>
    </w:p>
    <w:p w:rsidR="001F20B9" w:rsidRDefault="00291E24">
      <w:pPr>
        <w:numPr>
          <w:ilvl w:val="0"/>
          <w:numId w:val="1"/>
        </w:numPr>
        <w:spacing w:line="360" w:lineRule="auto"/>
        <w:ind w:left="0" w:right="-1071" w:firstLine="0"/>
        <w:jc w:val="both"/>
      </w:pPr>
      <w:r>
        <w:rPr>
          <w:rFonts w:ascii="Palatino Linotype" w:eastAsia="Palatino Linotype" w:hAnsi="Palatino Linotype" w:cs="Palatino Linotype"/>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w:t>
      </w:r>
      <w:r>
        <w:rPr>
          <w:rFonts w:ascii="Palatino Linotype" w:eastAsia="Palatino Linotype" w:hAnsi="Palatino Linotype" w:cs="Palatino Linotype"/>
        </w:rPr>
        <w:lastRenderedPageBreak/>
        <w:t>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1F20B9" w:rsidRDefault="001F20B9">
      <w:pPr>
        <w:spacing w:line="360" w:lineRule="auto"/>
        <w:ind w:right="-1071"/>
        <w:jc w:val="both"/>
        <w:rPr>
          <w:rFonts w:ascii="Palatino Linotype" w:eastAsia="Palatino Linotype" w:hAnsi="Palatino Linotype" w:cs="Palatino Linotype"/>
          <w:b/>
          <w:bCs/>
        </w:rPr>
      </w:pPr>
    </w:p>
    <w:p w:rsidR="001F20B9" w:rsidRDefault="00291E24">
      <w:pPr>
        <w:keepNext/>
        <w:keepLines/>
        <w:spacing w:line="360" w:lineRule="auto"/>
        <w:ind w:right="-1071"/>
        <w:rPr>
          <w:rFonts w:ascii="Palatino Linotype" w:eastAsia="Palatino Linotype" w:hAnsi="Palatino Linotype" w:cs="Palatino Linotype"/>
          <w:b/>
          <w:bCs/>
        </w:rPr>
      </w:pPr>
      <w:bookmarkStart w:id="7" w:name="_heading=h.3dy6vkm" w:colFirst="0" w:colLast="0"/>
      <w:bookmarkEnd w:id="7"/>
      <w:r>
        <w:rPr>
          <w:rFonts w:ascii="Palatino Linotype" w:eastAsia="Palatino Linotype" w:hAnsi="Palatino Linotype" w:cs="Palatino Linotype"/>
          <w:b/>
          <w:bCs/>
        </w:rPr>
        <w:t>SEGUNDO. De la oportunidad y procedencia.</w:t>
      </w:r>
    </w:p>
    <w:p w:rsidR="001F20B9" w:rsidRDefault="00291E24">
      <w:pPr>
        <w:numPr>
          <w:ilvl w:val="0"/>
          <w:numId w:val="1"/>
        </w:numPr>
        <w:spacing w:line="360" w:lineRule="auto"/>
        <w:ind w:left="0" w:right="-1071" w:firstLine="0"/>
        <w:jc w:val="both"/>
      </w:pPr>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su respuesta el </w:t>
      </w:r>
      <w:r>
        <w:rPr>
          <w:rFonts w:ascii="Palatino Linotype" w:eastAsia="Palatino Linotype" w:hAnsi="Palatino Linotype" w:cs="Palatino Linotype"/>
          <w:b/>
          <w:bCs/>
        </w:rPr>
        <w:t>seis de febrero de dos mil veintiséis</w:t>
      </w:r>
      <w:r>
        <w:rPr>
          <w:rFonts w:ascii="Palatino Linotype" w:eastAsia="Palatino Linotype" w:hAnsi="Palatino Linotype" w:cs="Palatino Linotype"/>
        </w:rPr>
        <w:t xml:space="preserve">, de tal forma que el plazo para interponer el recurso de revisión transcurrió del día </w:t>
      </w:r>
      <w:r>
        <w:rPr>
          <w:rFonts w:ascii="Palatino Linotype" w:eastAsia="Palatino Linotype" w:hAnsi="Palatino Linotype" w:cs="Palatino Linotype"/>
          <w:b/>
          <w:bCs/>
        </w:rPr>
        <w:t>nueve al veintisiete de febrero al diez de febrero de dos mil veintiséis</w:t>
      </w:r>
      <w:r>
        <w:rPr>
          <w:rFonts w:ascii="Palatino Linotype" w:eastAsia="Palatino Linotype" w:hAnsi="Palatino Linotype" w:cs="Palatino Linotype"/>
        </w:rPr>
        <w:t xml:space="preserve">; en consecuencia, el ahora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presentó su inconformidad el día </w:t>
      </w:r>
      <w:r>
        <w:rPr>
          <w:rFonts w:ascii="Palatino Linotype" w:eastAsia="Palatino Linotype" w:hAnsi="Palatino Linotype" w:cs="Palatino Linotype"/>
          <w:b/>
          <w:bCs/>
        </w:rPr>
        <w:t>once de febrero de dos mil veintiséis</w:t>
      </w:r>
      <w:r>
        <w:rPr>
          <w:rFonts w:ascii="Palatino Linotype" w:eastAsia="Palatino Linotype" w:hAnsi="Palatino Linotype" w:cs="Palatino Linotype"/>
        </w:rPr>
        <w:t>; por lo que se estima que la inconformidad se presentó dentro del lapso legalmente establecido para tal efecto.</w:t>
      </w:r>
    </w:p>
    <w:p w:rsidR="001F20B9" w:rsidRDefault="001F20B9">
      <w:pPr>
        <w:spacing w:line="360" w:lineRule="auto"/>
        <w:ind w:right="-1071"/>
        <w:jc w:val="both"/>
        <w:rPr>
          <w:rFonts w:ascii="Palatino Linotype" w:eastAsia="Palatino Linotype" w:hAnsi="Palatino Linotype" w:cs="Palatino Linotype"/>
        </w:rPr>
      </w:pPr>
    </w:p>
    <w:p w:rsidR="001F20B9" w:rsidRDefault="00291E24">
      <w:pPr>
        <w:numPr>
          <w:ilvl w:val="0"/>
          <w:numId w:val="1"/>
        </w:numPr>
        <w:spacing w:line="360" w:lineRule="auto"/>
        <w:ind w:left="0" w:right="-1071" w:firstLine="0"/>
        <w:jc w:val="both"/>
      </w:pPr>
      <w:r>
        <w:rPr>
          <w:rFonts w:ascii="Palatino Linotype" w:eastAsia="Palatino Linotype" w:hAnsi="Palatino Linotype" w:cs="Palatino Linotype"/>
        </w:rPr>
        <w:t>Asimismo,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1F20B9" w:rsidRDefault="001F20B9">
      <w:pPr>
        <w:pBdr>
          <w:top w:val="nil"/>
          <w:left w:val="nil"/>
          <w:bottom w:val="nil"/>
          <w:right w:val="nil"/>
          <w:between w:val="nil"/>
        </w:pBdr>
        <w:spacing w:line="360" w:lineRule="auto"/>
        <w:ind w:right="-1071"/>
        <w:rPr>
          <w:rFonts w:ascii="Palatino Linotype" w:eastAsia="Palatino Linotype" w:hAnsi="Palatino Linotype" w:cs="Palatino Linotype"/>
          <w:color w:val="000000"/>
        </w:rPr>
      </w:pPr>
    </w:p>
    <w:p w:rsidR="001F20B9" w:rsidRDefault="00291E24">
      <w:pPr>
        <w:pStyle w:val="Ttulo1"/>
        <w:spacing w:before="0" w:line="360" w:lineRule="auto"/>
        <w:ind w:right="-1071"/>
        <w:rPr>
          <w:rFonts w:ascii="Palatino Linotype" w:eastAsia="Palatino Linotype" w:hAnsi="Palatino Linotype" w:cs="Palatino Linotype"/>
          <w:b/>
          <w:bCs/>
          <w:color w:val="000000"/>
          <w:sz w:val="24"/>
          <w:szCs w:val="24"/>
        </w:rPr>
      </w:pPr>
      <w:bookmarkStart w:id="8" w:name="_heading=h.1t3h5sf" w:colFirst="0" w:colLast="0"/>
      <w:bookmarkEnd w:id="8"/>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r>
        <w:rPr>
          <w:rFonts w:ascii="Palatino Linotype" w:eastAsia="Palatino Linotype" w:hAnsi="Palatino Linotype" w:cs="Palatino Linotype"/>
          <w:b/>
          <w:bCs/>
          <w:color w:val="000000"/>
          <w:sz w:val="24"/>
          <w:szCs w:val="24"/>
        </w:rPr>
        <w:t>.</w:t>
      </w:r>
    </w:p>
    <w:p w:rsidR="001F20B9" w:rsidRDefault="00291E24">
      <w:pPr>
        <w:numPr>
          <w:ilvl w:val="0"/>
          <w:numId w:val="1"/>
        </w:numPr>
        <w:spacing w:line="360" w:lineRule="auto"/>
        <w:ind w:left="0" w:right="-1071" w:firstLine="0"/>
        <w:jc w:val="both"/>
        <w:rPr>
          <w:color w:val="000000"/>
        </w:rPr>
      </w:pPr>
      <w:r>
        <w:rPr>
          <w:rFonts w:ascii="Palatino Linotype" w:eastAsia="Palatino Linotype" w:hAnsi="Palatino Linotype" w:cs="Palatino Linotype"/>
          <w:color w:val="000000"/>
        </w:rPr>
        <w:t>Se solicitó tener acceso, a la información que a continuación se desagrega:</w:t>
      </w:r>
    </w:p>
    <w:p w:rsidR="001F20B9" w:rsidRDefault="001F20B9">
      <w:pPr>
        <w:pBdr>
          <w:top w:val="nil"/>
          <w:left w:val="nil"/>
          <w:bottom w:val="nil"/>
          <w:right w:val="nil"/>
          <w:between w:val="nil"/>
        </w:pBdr>
        <w:ind w:left="1571" w:right="-1071"/>
        <w:jc w:val="both"/>
        <w:rPr>
          <w:rFonts w:ascii="Palatino Linotype" w:eastAsia="Palatino Linotype" w:hAnsi="Palatino Linotype" w:cs="Palatino Linotype"/>
          <w:b/>
          <w:bCs/>
          <w:color w:val="000000"/>
        </w:rPr>
      </w:pPr>
    </w:p>
    <w:p w:rsidR="001F20B9" w:rsidRDefault="00291E24">
      <w:pPr>
        <w:pBdr>
          <w:top w:val="nil"/>
          <w:left w:val="nil"/>
          <w:bottom w:val="nil"/>
          <w:right w:val="nil"/>
          <w:between w:val="nil"/>
        </w:pBdr>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UNICO. Copia simple digitalizada a través del sistema electrónico saimex de todos los comprobantes de pago realizados mediante transferencia electrónica y/o cheque durante el mes de diciembre de 2025 por la tesorería municipal.</w:t>
      </w:r>
    </w:p>
    <w:p w:rsidR="001F20B9" w:rsidRDefault="001F20B9">
      <w:pPr>
        <w:pBdr>
          <w:top w:val="nil"/>
          <w:left w:val="nil"/>
          <w:bottom w:val="nil"/>
          <w:right w:val="nil"/>
          <w:between w:val="nil"/>
        </w:pBdr>
        <w:ind w:left="1134" w:right="-1071"/>
        <w:jc w:val="both"/>
        <w:rPr>
          <w:rFonts w:ascii="Palatino Linotype" w:eastAsia="Palatino Linotype" w:hAnsi="Palatino Linotype" w:cs="Palatino Linotype"/>
          <w:b/>
          <w:bCs/>
          <w:i/>
          <w:iCs/>
          <w:color w:val="000000"/>
        </w:rPr>
      </w:pPr>
    </w:p>
    <w:p w:rsidR="001F20B9" w:rsidRDefault="00291E24">
      <w:pPr>
        <w:numPr>
          <w:ilvl w:val="0"/>
          <w:numId w:val="1"/>
        </w:numPr>
        <w:spacing w:line="360" w:lineRule="auto"/>
        <w:ind w:left="0" w:right="-1071" w:firstLine="0"/>
        <w:jc w:val="both"/>
      </w:pPr>
      <w:r>
        <w:rPr>
          <w:rFonts w:ascii="Palatino Linotype" w:eastAsia="Palatino Linotype" w:hAnsi="Palatino Linotype" w:cs="Palatino Linotype"/>
        </w:rPr>
        <w:t xml:space="preserve">En dichas condiciones, la </w:t>
      </w:r>
      <w:r>
        <w:rPr>
          <w:rFonts w:ascii="Palatino Linotype" w:eastAsia="Palatino Linotype" w:hAnsi="Palatino Linotype" w:cs="Palatino Linotype"/>
          <w:i/>
          <w:iCs/>
        </w:rPr>
        <w:t>Litis</w:t>
      </w:r>
      <w:r>
        <w:rPr>
          <w:rFonts w:ascii="Palatino Linotype" w:eastAsia="Palatino Linotype" w:hAnsi="Palatino Linotype" w:cs="Palatino Linotype"/>
        </w:rPr>
        <w:t xml:space="preserve"> a resolver en este recurso se circunscribe a determinar si se actualizan las causales de procedencia previstas en el artículo 179, </w:t>
      </w:r>
      <w:r>
        <w:rPr>
          <w:rFonts w:ascii="Palatino Linotype" w:eastAsia="Palatino Linotype" w:hAnsi="Palatino Linotype" w:cs="Palatino Linotype"/>
          <w:b/>
          <w:bCs/>
        </w:rPr>
        <w:t xml:space="preserve">fracción  I </w:t>
      </w:r>
      <w:r>
        <w:rPr>
          <w:rFonts w:ascii="Palatino Linotype" w:eastAsia="Palatino Linotype" w:hAnsi="Palatino Linotype" w:cs="Palatino Linotype"/>
        </w:rPr>
        <w:t>de la</w:t>
      </w:r>
      <w:r>
        <w:rPr>
          <w:rFonts w:ascii="Palatino Linotype" w:eastAsia="Palatino Linotype" w:hAnsi="Palatino Linotype" w:cs="Palatino Linotype"/>
          <w:color w:val="000000"/>
        </w:rPr>
        <w:t xml:space="preserve"> Ley</w:t>
      </w:r>
      <w:r>
        <w:rPr>
          <w:rFonts w:ascii="Palatino Linotype" w:eastAsia="Palatino Linotype" w:hAnsi="Palatino Linotype" w:cs="Palatino Linotype"/>
          <w:b/>
          <w:bCs/>
        </w:rPr>
        <w:t xml:space="preserve"> de Transparencia y Acceso a la Información Pública del Estado de </w:t>
      </w:r>
      <w:r>
        <w:rPr>
          <w:rFonts w:ascii="Palatino Linotype" w:eastAsia="Palatino Linotype" w:hAnsi="Palatino Linotype" w:cs="Palatino Linotype"/>
        </w:rPr>
        <w:t>México</w:t>
      </w:r>
      <w:r>
        <w:rPr>
          <w:rFonts w:ascii="Palatino Linotype" w:eastAsia="Palatino Linotype" w:hAnsi="Palatino Linotype" w:cs="Palatino Linotype"/>
          <w:b/>
          <w:bCs/>
        </w:rPr>
        <w:t xml:space="preserve">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fracciones  que </w:t>
      </w:r>
      <w:r>
        <w:rPr>
          <w:rFonts w:ascii="Palatino Linotype" w:eastAsia="Palatino Linotype" w:hAnsi="Palatino Linotype" w:cs="Palatino Linotype"/>
        </w:rPr>
        <w:t>determinan</w:t>
      </w:r>
      <w:r>
        <w:rPr>
          <w:rFonts w:ascii="Palatino Linotype" w:eastAsia="Palatino Linotype" w:hAnsi="Palatino Linotype" w:cs="Palatino Linotype"/>
          <w:color w:val="000000"/>
        </w:rPr>
        <w:t xml:space="preserve"> la hipótesis jurídica relativas a la </w:t>
      </w:r>
      <w:r>
        <w:rPr>
          <w:rFonts w:ascii="Palatino Linotype" w:eastAsia="Palatino Linotype" w:hAnsi="Palatino Linotype" w:cs="Palatino Linotype"/>
          <w:color w:val="000000"/>
        </w:rPr>
        <w:tab/>
        <w:t>negativa a la entrega incompleta de la información;</w:t>
      </w:r>
      <w:r>
        <w:rPr>
          <w:rFonts w:ascii="Palatino Linotype" w:eastAsia="Palatino Linotype" w:hAnsi="Palatino Linotype" w:cs="Palatino Linotype"/>
        </w:rPr>
        <w:t xml:space="preserve"> de lo cual se dolió </w:t>
      </w:r>
      <w:r>
        <w:rPr>
          <w:rFonts w:ascii="Palatino Linotype" w:eastAsia="Palatino Linotype" w:hAnsi="Palatino Linotype" w:cs="Palatino Linotype"/>
          <w:b/>
          <w:bCs/>
        </w:rPr>
        <w:t xml:space="preserve">EL RECURRENTE </w:t>
      </w:r>
      <w:r>
        <w:rPr>
          <w:rFonts w:ascii="Palatino Linotype" w:eastAsia="Palatino Linotype" w:hAnsi="Palatino Linotype" w:cs="Palatino Linotype"/>
        </w:rPr>
        <w:t>al momento de interponer su inconformidad.</w:t>
      </w:r>
    </w:p>
    <w:p w:rsidR="001F20B9" w:rsidRDefault="001F20B9">
      <w:pPr>
        <w:spacing w:line="360" w:lineRule="auto"/>
        <w:ind w:right="-1071"/>
        <w:jc w:val="both"/>
        <w:rPr>
          <w:rFonts w:ascii="Palatino Linotype" w:eastAsia="Palatino Linotype" w:hAnsi="Palatino Linotype" w:cs="Palatino Linotype"/>
        </w:rPr>
      </w:pPr>
    </w:p>
    <w:p w:rsidR="001F20B9" w:rsidRDefault="00291E24">
      <w:pPr>
        <w:numPr>
          <w:ilvl w:val="0"/>
          <w:numId w:val="1"/>
        </w:numPr>
        <w:spacing w:line="360" w:lineRule="auto"/>
        <w:ind w:left="0" w:right="-1071" w:firstLine="0"/>
        <w:jc w:val="both"/>
      </w:pPr>
      <w:r>
        <w:rPr>
          <w:rFonts w:ascii="Palatino Linotype" w:eastAsia="Palatino Linotype" w:hAnsi="Palatino Linotype" w:cs="Palatino Linotype"/>
          <w:color w:val="000000"/>
        </w:rPr>
        <w:t xml:space="preserve">De modo tal que el recurso de revisión se abocará en determinar si el </w:t>
      </w:r>
      <w:r>
        <w:rPr>
          <w:rFonts w:ascii="Palatino Linotype" w:eastAsia="Palatino Linotype" w:hAnsi="Palatino Linotype" w:cs="Palatino Linotype"/>
          <w:b/>
          <w:bCs/>
        </w:rPr>
        <w:t>SUJETO</w:t>
      </w:r>
      <w:r>
        <w:rPr>
          <w:rFonts w:ascii="Palatino Linotype" w:eastAsia="Palatino Linotype" w:hAnsi="Palatino Linotype" w:cs="Palatino Linotype"/>
          <w:b/>
          <w:bCs/>
          <w:color w:val="000000"/>
        </w:rPr>
        <w:t xml:space="preserve"> OBLIGADO</w:t>
      </w:r>
      <w:r>
        <w:rPr>
          <w:rFonts w:ascii="Palatino Linotype" w:eastAsia="Palatino Linotype" w:hAnsi="Palatino Linotype" w:cs="Palatino Linotype"/>
          <w:color w:val="000000"/>
        </w:rPr>
        <w:t xml:space="preserve"> con sus respuestas ciertamente actualiza las causales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antes señaladas;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1F20B9" w:rsidRDefault="001F20B9">
      <w:pPr>
        <w:keepNext/>
        <w:keepLines/>
        <w:spacing w:line="360" w:lineRule="auto"/>
        <w:ind w:right="-1071"/>
        <w:rPr>
          <w:rFonts w:ascii="Palatino Linotype" w:eastAsia="Palatino Linotype" w:hAnsi="Palatino Linotype" w:cs="Palatino Linotype"/>
        </w:rPr>
      </w:pPr>
    </w:p>
    <w:p w:rsidR="001F20B9" w:rsidRDefault="00291E24">
      <w:pPr>
        <w:keepNext/>
        <w:keepLines/>
        <w:spacing w:line="360" w:lineRule="auto"/>
        <w:ind w:right="-1071"/>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CUARTO. Del estudio y resolución del asunto</w:t>
      </w:r>
    </w:p>
    <w:p w:rsidR="001F20B9" w:rsidRDefault="00291E24">
      <w:pPr>
        <w:keepNext/>
        <w:keepLines/>
        <w:numPr>
          <w:ilvl w:val="0"/>
          <w:numId w:val="2"/>
        </w:numPr>
        <w:spacing w:after="240" w:line="360" w:lineRule="auto"/>
        <w:ind w:left="786" w:right="-1071"/>
        <w:rPr>
          <w:rFonts w:ascii="Palatino Linotype" w:eastAsia="Palatino Linotype" w:hAnsi="Palatino Linotype" w:cs="Palatino Linotype"/>
          <w:b/>
          <w:bCs/>
        </w:rPr>
      </w:pPr>
      <w:r>
        <w:rPr>
          <w:rFonts w:ascii="Palatino Linotype" w:eastAsia="Palatino Linotype" w:hAnsi="Palatino Linotype" w:cs="Palatino Linotype"/>
          <w:b/>
          <w:bCs/>
        </w:rPr>
        <w:t>Del derecho de acceso a la información.</w:t>
      </w: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rPr>
        <w:t>15.</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1F20B9" w:rsidRDefault="00291E24">
      <w:p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 xml:space="preserve">16. </w:t>
      </w:r>
      <w:r>
        <w:rPr>
          <w:rFonts w:ascii="Palatino Linotype" w:eastAsia="Palatino Linotype" w:hAnsi="Palatino Linotype" w:cs="Palatino Linotype"/>
        </w:rPr>
        <w:t xml:space="preserve">Definiendo el Derecho de Acceso a la Información Pública como: </w:t>
      </w:r>
      <w:r>
        <w:rPr>
          <w:rFonts w:ascii="Palatino Linotype" w:eastAsia="Palatino Linotype" w:hAnsi="Palatino Linotype" w:cs="Palatino Linotype"/>
          <w:i/>
          <w:iCs/>
          <w:color w:val="000000"/>
        </w:rPr>
        <w:t>La igualdad de oportunidades para recibir, buscar e impartir información</w:t>
      </w:r>
      <w:r>
        <w:rPr>
          <w:rFonts w:ascii="Palatino Linotype" w:eastAsia="Palatino Linotype" w:hAnsi="Palatino Linotype" w:cs="Palatino Linotype"/>
          <w:i/>
          <w:iCs/>
          <w:vertAlign w:val="superscript"/>
        </w:rPr>
        <w:footnoteReference w:id="1"/>
      </w:r>
      <w:r>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i/>
          <w:iCs/>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Pr>
          <w:rFonts w:ascii="Palatino Linotype" w:eastAsia="Palatino Linotype" w:hAnsi="Palatino Linotype" w:cs="Palatino Linotype"/>
          <w:i/>
          <w:iCs/>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1F20B9" w:rsidRDefault="001F20B9">
      <w:pPr>
        <w:spacing w:line="360" w:lineRule="auto"/>
        <w:ind w:right="-1071"/>
        <w:jc w:val="both"/>
        <w:rPr>
          <w:rFonts w:ascii="Palatino Linotype" w:eastAsia="Palatino Linotype" w:hAnsi="Palatino Linotype" w:cs="Palatino Linotype"/>
        </w:rPr>
      </w:pPr>
    </w:p>
    <w:p w:rsidR="001F20B9" w:rsidRDefault="00291E24">
      <w:p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rPr>
        <w:t xml:space="preserve">17. </w:t>
      </w:r>
      <w:r>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1F20B9" w:rsidRDefault="00291E24">
      <w:pPr>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xml:space="preserve"> </w:t>
      </w:r>
    </w:p>
    <w:p w:rsidR="001F20B9" w:rsidRDefault="00291E24">
      <w:pPr>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1F20B9" w:rsidRDefault="00291E24">
      <w:pPr>
        <w:spacing w:line="276" w:lineRule="auto"/>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i/>
          <w:iCs/>
        </w:rPr>
        <w:t>Todas las</w:t>
      </w:r>
      <w:r>
        <w:rPr>
          <w:rFonts w:ascii="Palatino Linotype" w:eastAsia="Palatino Linotype" w:hAnsi="Palatino Linotype" w:cs="Palatino Linotype"/>
        </w:rPr>
        <w:t xml:space="preserve"> </w:t>
      </w:r>
      <w:r>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1F20B9" w:rsidRDefault="00291E24">
      <w:pPr>
        <w:ind w:left="1134" w:right="-1071"/>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rPr>
        <w:t>”.</w:t>
      </w:r>
    </w:p>
    <w:p w:rsidR="001F20B9" w:rsidRDefault="00291E24">
      <w:p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18.</w:t>
      </w:r>
      <w:r>
        <w:rPr>
          <w:rFonts w:ascii="Palatino Linotype" w:eastAsia="Palatino Linotype" w:hAnsi="Palatino Linotype" w:cs="Palatino Linotype"/>
        </w:rPr>
        <w:t xml:space="preserve"> 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1F20B9" w:rsidRDefault="001F20B9">
      <w:pPr>
        <w:spacing w:line="360" w:lineRule="auto"/>
        <w:ind w:right="-1071"/>
        <w:jc w:val="both"/>
        <w:rPr>
          <w:rFonts w:ascii="Palatino Linotype" w:eastAsia="Palatino Linotype" w:hAnsi="Palatino Linotype" w:cs="Palatino Linotype"/>
        </w:rPr>
      </w:pPr>
    </w:p>
    <w:p w:rsidR="001F20B9" w:rsidRDefault="00291E24">
      <w:p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rPr>
        <w:t>19.</w:t>
      </w:r>
      <w:r>
        <w:rPr>
          <w:rFonts w:ascii="Palatino Linotype" w:eastAsia="Palatino Linotype" w:hAnsi="Palatino Linotype" w:cs="Palatino Linotype"/>
        </w:rPr>
        <w:t xml:space="preserve"> 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1F20B9" w:rsidRDefault="00291E24">
      <w:pPr>
        <w:tabs>
          <w:tab w:val="left" w:pos="7938"/>
        </w:tabs>
        <w:spacing w:after="240" w:line="276" w:lineRule="auto"/>
        <w:ind w:left="1134" w:right="-107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 los Estados Unidos Mexicanos</w:t>
      </w:r>
    </w:p>
    <w:p w:rsidR="001F20B9" w:rsidRDefault="00291E24">
      <w:pPr>
        <w:tabs>
          <w:tab w:val="left" w:pos="7938"/>
        </w:tabs>
        <w:spacing w:before="240" w:after="240" w:line="276" w:lineRule="auto"/>
        <w:ind w:left="1134" w:right="-107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6.</w:t>
      </w:r>
    </w:p>
    <w:p w:rsidR="001F20B9" w:rsidRDefault="00291E24">
      <w:pPr>
        <w:tabs>
          <w:tab w:val="left" w:pos="7938"/>
        </w:tabs>
        <w:spacing w:before="240" w:after="240" w:line="276" w:lineRule="auto"/>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1F20B9" w:rsidRDefault="00291E24">
      <w:pPr>
        <w:tabs>
          <w:tab w:val="left" w:pos="7938"/>
        </w:tabs>
        <w:spacing w:before="240" w:after="240" w:line="276" w:lineRule="auto"/>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1F20B9" w:rsidRDefault="00291E24">
      <w:pPr>
        <w:tabs>
          <w:tab w:val="left" w:pos="7938"/>
        </w:tabs>
        <w:spacing w:before="240" w:after="240" w:line="276" w:lineRule="auto"/>
        <w:ind w:left="1134" w:right="-107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Para el ejercicio del derecho de acceso a la información</w:t>
      </w:r>
      <w:r>
        <w:rPr>
          <w:rFonts w:ascii="Palatino Linotype" w:eastAsia="Palatino Linotype" w:hAnsi="Palatino Linotype" w:cs="Palatino Linotype"/>
          <w:i/>
          <w:iCs/>
        </w:rPr>
        <w:t xml:space="preserve">, la Federación y </w:t>
      </w:r>
      <w:r>
        <w:rPr>
          <w:rFonts w:ascii="Palatino Linotype" w:eastAsia="Palatino Linotype" w:hAnsi="Palatino Linotype" w:cs="Palatino Linotype"/>
          <w:b/>
          <w:bCs/>
          <w:i/>
          <w:iCs/>
        </w:rPr>
        <w:t>las entidades federativas, en el ámbito de sus respectivas competencias, se regirán por los siguientes principios y bases:</w:t>
      </w:r>
    </w:p>
    <w:p w:rsidR="001F20B9" w:rsidRDefault="00291E24">
      <w:pPr>
        <w:tabs>
          <w:tab w:val="left" w:pos="7938"/>
        </w:tabs>
        <w:spacing w:before="240" w:after="240" w:line="276" w:lineRule="auto"/>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autoridad</w:t>
      </w:r>
      <w:r>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b/>
          <w:bCs/>
          <w:i/>
          <w:iCs/>
        </w:rPr>
        <w:t>municipal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Pr>
          <w:rFonts w:ascii="Palatino Linotype" w:eastAsia="Palatino Linotype" w:hAnsi="Palatino Linotype" w:cs="Palatino Linotype"/>
          <w:b/>
          <w:bCs/>
          <w:i/>
          <w:iCs/>
        </w:rPr>
        <w:t xml:space="preserve">En la interpretación de este derecho deberá prevalecer el principio de máxima publicidad. Los sujetos obligados deberán documentar todo acto que derive del ejercicio de sus </w:t>
      </w:r>
      <w:r>
        <w:rPr>
          <w:rFonts w:ascii="Palatino Linotype" w:eastAsia="Palatino Linotype" w:hAnsi="Palatino Linotype" w:cs="Palatino Linotype"/>
          <w:b/>
          <w:bCs/>
          <w:i/>
          <w:iCs/>
        </w:rPr>
        <w:lastRenderedPageBreak/>
        <w:t>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1F20B9" w:rsidRDefault="001F20B9">
      <w:pPr>
        <w:tabs>
          <w:tab w:val="left" w:pos="567"/>
          <w:tab w:val="left" w:pos="7938"/>
        </w:tabs>
        <w:spacing w:before="240"/>
        <w:ind w:left="1134" w:right="-1071"/>
        <w:jc w:val="both"/>
        <w:rPr>
          <w:rFonts w:ascii="Palatino Linotype" w:eastAsia="Palatino Linotype" w:hAnsi="Palatino Linotype" w:cs="Palatino Linotype"/>
          <w:b/>
          <w:bCs/>
          <w:i/>
          <w:iCs/>
        </w:rPr>
      </w:pPr>
    </w:p>
    <w:p w:rsidR="001F20B9" w:rsidRDefault="00291E24">
      <w:pPr>
        <w:tabs>
          <w:tab w:val="left" w:pos="7938"/>
        </w:tabs>
        <w:spacing w:after="240"/>
        <w:ind w:left="1134" w:right="-107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del Estado Libre y Soberano de México</w:t>
      </w:r>
    </w:p>
    <w:p w:rsidR="001F20B9" w:rsidRDefault="00291E24">
      <w:pPr>
        <w:tabs>
          <w:tab w:val="left" w:pos="7938"/>
        </w:tabs>
        <w:spacing w:before="240" w:after="240"/>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 xml:space="preserve">.- </w:t>
      </w:r>
    </w:p>
    <w:p w:rsidR="001F20B9" w:rsidRDefault="00291E24">
      <w:pPr>
        <w:tabs>
          <w:tab w:val="left" w:pos="7938"/>
        </w:tabs>
        <w:spacing w:before="240" w:after="240"/>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1F20B9" w:rsidRDefault="00291E24">
      <w:pPr>
        <w:tabs>
          <w:tab w:val="left" w:pos="7938"/>
        </w:tabs>
        <w:spacing w:before="240" w:after="240"/>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Pr>
          <w:rFonts w:ascii="Palatino Linotype" w:eastAsia="Palatino Linotype" w:hAnsi="Palatino Linotype" w:cs="Palatino Linotype"/>
          <w:i/>
          <w:iCs/>
        </w:rPr>
        <w:t>.</w:t>
      </w:r>
    </w:p>
    <w:p w:rsidR="001F20B9" w:rsidRDefault="00291E24">
      <w:pPr>
        <w:tabs>
          <w:tab w:val="left" w:pos="7938"/>
        </w:tabs>
        <w:spacing w:before="240" w:after="240"/>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1F20B9" w:rsidRDefault="001F20B9">
      <w:pPr>
        <w:tabs>
          <w:tab w:val="left" w:pos="7938"/>
        </w:tabs>
        <w:spacing w:before="240" w:after="240"/>
        <w:ind w:left="1134" w:right="-1071"/>
        <w:jc w:val="both"/>
        <w:rPr>
          <w:rFonts w:ascii="Palatino Linotype" w:eastAsia="Palatino Linotype" w:hAnsi="Palatino Linotype" w:cs="Palatino Linotype"/>
          <w:i/>
          <w:iCs/>
        </w:rPr>
      </w:pPr>
    </w:p>
    <w:p w:rsidR="001F20B9" w:rsidRDefault="00291E24">
      <w:pPr>
        <w:tabs>
          <w:tab w:val="left" w:pos="7938"/>
        </w:tabs>
        <w:spacing w:before="240" w:after="240"/>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t>Este derecho se regirá por los principios y bases siguientes</w:t>
      </w:r>
      <w:r>
        <w:rPr>
          <w:rFonts w:ascii="Palatino Linotype" w:eastAsia="Palatino Linotype" w:hAnsi="Palatino Linotype" w:cs="Palatino Linotype"/>
          <w:i/>
          <w:iCs/>
        </w:rPr>
        <w:t>:</w:t>
      </w:r>
    </w:p>
    <w:p w:rsidR="001F20B9" w:rsidRDefault="00291E24">
      <w:pPr>
        <w:tabs>
          <w:tab w:val="left" w:pos="7938"/>
        </w:tabs>
        <w:spacing w:before="240" w:after="240" w:line="276" w:lineRule="auto"/>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 autoridad, entidad, órgano y organismos de los</w:t>
      </w:r>
      <w:r>
        <w:rPr>
          <w:rFonts w:ascii="Palatino Linotype" w:eastAsia="Palatino Linotype" w:hAnsi="Palatino Linotype" w:cs="Palatino Linotype"/>
          <w:i/>
          <w:iCs/>
        </w:rPr>
        <w:t xml:space="preserve"> Poderes Ejecutivo, Legislativo y Judicial, órganos autónomos, partidos políticos, fideicomisos y fondos públicos estatales y </w:t>
      </w:r>
      <w:r>
        <w:rPr>
          <w:rFonts w:ascii="Palatino Linotype" w:eastAsia="Palatino Linotype" w:hAnsi="Palatino Linotype" w:cs="Palatino Linotype"/>
          <w:b/>
          <w:bCs/>
          <w:i/>
          <w:iCs/>
        </w:rPr>
        <w:t>municipales</w:t>
      </w:r>
      <w:r>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Pr>
          <w:rFonts w:ascii="Palatino Linotype" w:eastAsia="Palatino Linotype" w:hAnsi="Palatino Linotype" w:cs="Palatino Linotype"/>
          <w:b/>
          <w:bCs/>
          <w:i/>
          <w:iCs/>
        </w:rPr>
        <w:t>En la interpretación de este derecho deberá prevalecer el principio de máxima publicidad</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1F20B9" w:rsidRDefault="00291E24">
      <w:pPr>
        <w:spacing w:before="240"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20.</w:t>
      </w:r>
      <w:r>
        <w:rPr>
          <w:rFonts w:ascii="Palatino Linotype" w:eastAsia="Palatino Linotype" w:hAnsi="Palatino Linotype" w:cs="Palatino Linotype"/>
        </w:rPr>
        <w:t xml:space="preserve"> Según el artículo 150 de la Ley de Transparencia del Estado, la solicitud es la garantía primaria del Derecho de Acceso a la Información, además, establece que se regirá </w:t>
      </w:r>
      <w:r>
        <w:rPr>
          <w:rFonts w:ascii="Palatino Linotype" w:eastAsia="Palatino Linotype" w:hAnsi="Palatino Linotype" w:cs="Palatino Linotype"/>
          <w:i/>
          <w:iCs/>
        </w:rPr>
        <w:t>por los principios de simplicidad, rapidez gratuidad del procedimiento, auxilio y orientación a los particulares</w:t>
      </w:r>
      <w:r>
        <w:rPr>
          <w:rFonts w:ascii="Palatino Linotype" w:eastAsia="Palatino Linotype" w:hAnsi="Palatino Linotype" w:cs="Palatino Linotype"/>
        </w:rPr>
        <w:t>, contemplando el derecho de las personas con discapacidad y hablantes de lengua indígena.</w:t>
      </w:r>
    </w:p>
    <w:p w:rsidR="001F20B9" w:rsidRDefault="001F20B9">
      <w:pPr>
        <w:spacing w:line="360" w:lineRule="auto"/>
        <w:ind w:right="-1071"/>
        <w:jc w:val="both"/>
        <w:rPr>
          <w:rFonts w:ascii="Palatino Linotype" w:eastAsia="Palatino Linotype" w:hAnsi="Palatino Linotype" w:cs="Palatino Linotype"/>
        </w:rPr>
      </w:pPr>
    </w:p>
    <w:p w:rsidR="001F20B9" w:rsidRDefault="00291E24">
      <w:p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rPr>
        <w:t>21.</w:t>
      </w:r>
      <w:r>
        <w:rPr>
          <w:rFonts w:ascii="Palatino Linotype" w:eastAsia="Palatino Linotype" w:hAnsi="Palatino Linotype" w:cs="Palatino Linotype"/>
        </w:rPr>
        <w:t xml:space="preserve"> El Derecho de Acceso a la Información se garantiza y respeta oportunamente, y según lo que dispone la Ley, las </w:t>
      </w:r>
      <w:r>
        <w:rPr>
          <w:rFonts w:ascii="Palatino Linotype" w:eastAsia="Palatino Linotype" w:hAnsi="Palatino Linotype" w:cs="Palatino Linotype"/>
          <w:i/>
          <w:iCs/>
        </w:rPr>
        <w:t>solicitudes de acceso a la información</w:t>
      </w:r>
      <w:r>
        <w:rPr>
          <w:rFonts w:ascii="Palatino Linotype" w:eastAsia="Palatino Linotype" w:hAnsi="Palatino Linotype" w:cs="Palatino Linotype"/>
        </w:rPr>
        <w:t>.</w:t>
      </w:r>
    </w:p>
    <w:p w:rsidR="001F20B9" w:rsidRDefault="001F20B9">
      <w:pPr>
        <w:spacing w:line="360" w:lineRule="auto"/>
        <w:ind w:right="-1071"/>
        <w:jc w:val="both"/>
        <w:rPr>
          <w:rFonts w:ascii="Palatino Linotype" w:eastAsia="Palatino Linotype" w:hAnsi="Palatino Linotype" w:cs="Palatino Linotype"/>
        </w:rPr>
      </w:pPr>
    </w:p>
    <w:p w:rsidR="001F20B9" w:rsidRDefault="00291E24">
      <w:p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rPr>
        <w:t xml:space="preserve">22. </w:t>
      </w:r>
      <w:r>
        <w:rPr>
          <w:rFonts w:ascii="Palatino Linotype" w:eastAsia="Palatino Linotype" w:hAnsi="Palatino Linotype" w:cs="Palatino Linotype"/>
        </w:rPr>
        <w:t xml:space="preserve">Así entonces, se procede analizar, en primer lugar,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1F20B9" w:rsidRDefault="001F20B9">
      <w:pPr>
        <w:spacing w:line="360" w:lineRule="auto"/>
        <w:ind w:right="-1071"/>
        <w:jc w:val="both"/>
        <w:rPr>
          <w:rFonts w:ascii="Palatino Linotype" w:eastAsia="Palatino Linotype" w:hAnsi="Palatino Linotype" w:cs="Palatino Linotype"/>
        </w:rPr>
      </w:pPr>
    </w:p>
    <w:p w:rsidR="001F20B9" w:rsidRDefault="00291E24">
      <w:pPr>
        <w:keepNext/>
        <w:keepLines/>
        <w:numPr>
          <w:ilvl w:val="0"/>
          <w:numId w:val="2"/>
        </w:numPr>
        <w:pBdr>
          <w:top w:val="nil"/>
          <w:left w:val="nil"/>
          <w:bottom w:val="nil"/>
          <w:right w:val="nil"/>
          <w:between w:val="nil"/>
        </w:pBdr>
        <w:spacing w:after="240"/>
        <w:ind w:left="0" w:right="-1071" w:firstLine="0"/>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 De la información solicitada y la respuesta del SUJETO OBLIGADO</w:t>
      </w:r>
    </w:p>
    <w:p w:rsidR="001F20B9" w:rsidRDefault="00291E24">
      <w:pPr>
        <w:spacing w:line="360" w:lineRule="auto"/>
        <w:ind w:right="-1071"/>
        <w:jc w:val="both"/>
        <w:rPr>
          <w:rFonts w:ascii="Palatino Linotype" w:eastAsia="Palatino Linotype" w:hAnsi="Palatino Linotype" w:cs="Palatino Linotype"/>
          <w:b/>
          <w:bCs/>
          <w:i/>
          <w:iCs/>
        </w:rPr>
      </w:pPr>
      <w:r>
        <w:rPr>
          <w:rFonts w:ascii="Palatino Linotype" w:eastAsia="Palatino Linotype" w:hAnsi="Palatino Linotype" w:cs="Palatino Linotype"/>
          <w:b/>
          <w:bCs/>
        </w:rPr>
        <w:t xml:space="preserve">23. </w:t>
      </w:r>
      <w:r>
        <w:rPr>
          <w:rFonts w:ascii="Palatino Linotype" w:eastAsia="Palatino Linotype" w:hAnsi="Palatino Linotype" w:cs="Palatino Linotype"/>
        </w:rPr>
        <w:t xml:space="preserve">Cabe recordar dentro de la solicitud que dio origen al presente Recurso que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solicitó la siguiente </w:t>
      </w:r>
      <w:r w:rsidR="00C532F6">
        <w:rPr>
          <w:rFonts w:ascii="Palatino Linotype" w:eastAsia="Palatino Linotype" w:hAnsi="Palatino Linotype" w:cs="Palatino Linotype"/>
        </w:rPr>
        <w:t>información:</w:t>
      </w:r>
    </w:p>
    <w:p w:rsidR="001F20B9" w:rsidRDefault="00291E24">
      <w:pPr>
        <w:pBdr>
          <w:top w:val="nil"/>
          <w:left w:val="nil"/>
          <w:bottom w:val="nil"/>
          <w:right w:val="nil"/>
          <w:between w:val="nil"/>
        </w:pBdr>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UNICO. Copia simple digitalizada a través del sistema electrónico SAIMEX de todos los comprobantes de pago realizados mediante transferencia electrónica y/o cheque durante el mes de diciembre de 2025 por la tesorería municipal.</w:t>
      </w:r>
    </w:p>
    <w:p w:rsidR="001F20B9" w:rsidRDefault="001F20B9">
      <w:pPr>
        <w:pBdr>
          <w:top w:val="nil"/>
          <w:left w:val="nil"/>
          <w:bottom w:val="nil"/>
          <w:right w:val="nil"/>
          <w:between w:val="nil"/>
        </w:pBdr>
        <w:ind w:left="2348" w:right="-1071"/>
        <w:jc w:val="both"/>
        <w:rPr>
          <w:rFonts w:ascii="Palatino Linotype" w:eastAsia="Palatino Linotype" w:hAnsi="Palatino Linotype" w:cs="Palatino Linotype"/>
          <w:i/>
          <w:iCs/>
          <w:color w:val="000000"/>
        </w:rPr>
      </w:pPr>
    </w:p>
    <w:p w:rsidR="00C532F6" w:rsidRDefault="00C532F6">
      <w:pPr>
        <w:pBdr>
          <w:top w:val="nil"/>
          <w:left w:val="nil"/>
          <w:bottom w:val="nil"/>
          <w:right w:val="nil"/>
          <w:between w:val="nil"/>
        </w:pBdr>
        <w:ind w:left="2348" w:right="-1071"/>
        <w:jc w:val="both"/>
        <w:rPr>
          <w:rFonts w:ascii="Palatino Linotype" w:eastAsia="Palatino Linotype" w:hAnsi="Palatino Linotype" w:cs="Palatino Linotype"/>
          <w:i/>
          <w:iCs/>
          <w:color w:val="000000"/>
        </w:rPr>
      </w:pPr>
    </w:p>
    <w:p w:rsidR="001F20B9" w:rsidRDefault="00291E24">
      <w:pPr>
        <w:spacing w:line="360" w:lineRule="auto"/>
        <w:ind w:right="-1071"/>
        <w:jc w:val="both"/>
        <w:rPr>
          <w:rFonts w:ascii="Palatino Linotype" w:eastAsia="Palatino Linotype" w:hAnsi="Palatino Linotype" w:cs="Palatino Linotype"/>
          <w:i/>
          <w:iCs/>
        </w:rPr>
      </w:pPr>
      <w:r>
        <w:rPr>
          <w:rFonts w:ascii="Palatino Linotype" w:eastAsia="Palatino Linotype" w:hAnsi="Palatino Linotype" w:cs="Palatino Linotype"/>
          <w:b/>
          <w:bCs/>
        </w:rPr>
        <w:t xml:space="preserve">24. </w:t>
      </w:r>
      <w:r>
        <w:rPr>
          <w:rFonts w:ascii="Palatino Linotype" w:eastAsia="Palatino Linotype" w:hAnsi="Palatino Linotype" w:cs="Palatino Linotype"/>
        </w:rPr>
        <w:t xml:space="preserve">En respuesta,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por medio del Servidor Público Habilitado</w:t>
      </w:r>
      <w:r>
        <w:rPr>
          <w:rFonts w:ascii="Palatino Linotype" w:eastAsia="Palatino Linotype" w:hAnsi="Palatino Linotype" w:cs="Palatino Linotype"/>
          <w:b/>
          <w:bCs/>
        </w:rPr>
        <w:t xml:space="preserve"> </w:t>
      </w:r>
      <w:r>
        <w:rPr>
          <w:rFonts w:ascii="Palatino Linotype" w:eastAsia="Palatino Linotype" w:hAnsi="Palatino Linotype" w:cs="Palatino Linotype"/>
        </w:rPr>
        <w:t>entrego lo señalado en el numeral dos del presente.</w:t>
      </w:r>
    </w:p>
    <w:p w:rsidR="001F20B9" w:rsidRDefault="001F20B9">
      <w:pPr>
        <w:ind w:right="-1071"/>
        <w:jc w:val="both"/>
        <w:rPr>
          <w:rFonts w:ascii="Palatino Linotype" w:eastAsia="Palatino Linotype" w:hAnsi="Palatino Linotype" w:cs="Palatino Linotype"/>
          <w:i/>
          <w:iCs/>
        </w:rPr>
      </w:pP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rPr>
        <w:lastRenderedPageBreak/>
        <w:t xml:space="preserve">25. </w:t>
      </w:r>
      <w:r>
        <w:rPr>
          <w:rFonts w:ascii="Palatino Linotype" w:eastAsia="Palatino Linotype" w:hAnsi="Palatino Linotype" w:cs="Palatino Linotype"/>
          <w:color w:val="000000"/>
        </w:rPr>
        <w:t>Acorde a lo anterior, resulta oportuno delimitar la esfera competencial del servidor público habilitado que responde y emite su informe justificado, esto significa que la Tesorería Municipal, tiene injerencia en los ingresos y egresos del Municipio.</w:t>
      </w:r>
    </w:p>
    <w:p w:rsidR="001F20B9" w:rsidRDefault="001F20B9">
      <w:pPr>
        <w:pBdr>
          <w:top w:val="nil"/>
          <w:left w:val="nil"/>
          <w:bottom w:val="nil"/>
          <w:right w:val="nil"/>
          <w:between w:val="nil"/>
        </w:pBdr>
        <w:spacing w:line="360" w:lineRule="auto"/>
        <w:ind w:left="142" w:right="-1071"/>
        <w:jc w:val="both"/>
        <w:rPr>
          <w:rFonts w:ascii="Palatino Linotype" w:eastAsia="Palatino Linotype" w:hAnsi="Palatino Linotype" w:cs="Palatino Linotype"/>
        </w:rPr>
      </w:pP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rPr>
        <w:t>26.</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Al respecto de la Tesorería Municipal, de conformidad a la Ley Orgánica Municipal, le corresponde la administración de los ingresos y la responsabilidad de realizar las erogaciones.</w:t>
      </w:r>
    </w:p>
    <w:p w:rsidR="001F20B9" w:rsidRDefault="00291E24">
      <w:pPr>
        <w:spacing w:line="276" w:lineRule="auto"/>
        <w:ind w:left="1134" w:right="-1071"/>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CAPITULO SEGUNDO</w:t>
      </w:r>
    </w:p>
    <w:p w:rsidR="001F20B9" w:rsidRDefault="00291E24">
      <w:pPr>
        <w:spacing w:line="276" w:lineRule="auto"/>
        <w:ind w:left="1134" w:right="-1071"/>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De la Tesorería Municipal</w:t>
      </w:r>
    </w:p>
    <w:p w:rsidR="001F20B9" w:rsidRDefault="00291E24">
      <w:pPr>
        <w:spacing w:line="276" w:lineRule="auto"/>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93.-</w:t>
      </w:r>
      <w:r>
        <w:rPr>
          <w:rFonts w:ascii="Palatino Linotype" w:eastAsia="Palatino Linotype" w:hAnsi="Palatino Linotype" w:cs="Palatino Linotype"/>
          <w:i/>
          <w:iCs/>
        </w:rPr>
        <w:t xml:space="preserve"> La tesorería municipal es el órgano encargado de la recaudación de los ingresos municipales y responsable de realizar las erogaciones que haga el ayuntamiento.</w:t>
      </w:r>
    </w:p>
    <w:p w:rsidR="001F20B9" w:rsidRDefault="001F20B9">
      <w:pPr>
        <w:spacing w:line="276" w:lineRule="auto"/>
        <w:ind w:left="1134" w:right="-1071"/>
        <w:jc w:val="both"/>
        <w:rPr>
          <w:rFonts w:ascii="Palatino Linotype" w:eastAsia="Palatino Linotype" w:hAnsi="Palatino Linotype" w:cs="Palatino Linotype"/>
          <w:i/>
          <w:iCs/>
        </w:rPr>
      </w:pPr>
    </w:p>
    <w:p w:rsidR="001F20B9" w:rsidRDefault="00291E24">
      <w:pPr>
        <w:spacing w:line="276" w:lineRule="auto"/>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95.-</w:t>
      </w:r>
      <w:r>
        <w:rPr>
          <w:rFonts w:ascii="Palatino Linotype" w:eastAsia="Palatino Linotype" w:hAnsi="Palatino Linotype" w:cs="Palatino Linotype"/>
          <w:i/>
          <w:iCs/>
        </w:rPr>
        <w:t xml:space="preserve"> Son atribuciones del tesorero municipal:</w:t>
      </w:r>
    </w:p>
    <w:p w:rsidR="001F20B9" w:rsidRDefault="00291E24">
      <w:pPr>
        <w:spacing w:line="276" w:lineRule="auto"/>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i/>
          <w:iCs/>
        </w:rPr>
        <w:t>IV. Llevar los registros contables, financieros y administrativos de los ingresos, egresos, e inventarios;</w:t>
      </w:r>
    </w:p>
    <w:p w:rsidR="001F20B9" w:rsidRDefault="001F20B9">
      <w:pPr>
        <w:spacing w:line="360" w:lineRule="auto"/>
        <w:ind w:left="1134" w:right="-1071"/>
        <w:jc w:val="both"/>
        <w:rPr>
          <w:rFonts w:ascii="Palatino Linotype" w:eastAsia="Palatino Linotype" w:hAnsi="Palatino Linotype" w:cs="Palatino Linotype"/>
        </w:rPr>
      </w:pP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27. </w:t>
      </w:r>
      <w:r>
        <w:rPr>
          <w:rFonts w:ascii="Palatino Linotype" w:eastAsia="Palatino Linotype" w:hAnsi="Palatino Linotype" w:cs="Palatino Linotype"/>
          <w:color w:val="000000"/>
        </w:rPr>
        <w:t>De una interpretación sistemática de los artículos transcritos, se desprende primeramente que el registro contable del efecto patrimonial y presupuestal de las operaciones financieras se realizará conforme al sistema y a las disposiciones que se aprueben en materia de planeación, programación, presupuestación, evaluación y contabilidad gubernamental.</w:t>
      </w:r>
    </w:p>
    <w:p w:rsidR="001F20B9" w:rsidRDefault="001F20B9">
      <w:pPr>
        <w:spacing w:line="360" w:lineRule="auto"/>
        <w:ind w:left="142" w:right="-1071"/>
        <w:jc w:val="both"/>
        <w:rPr>
          <w:rFonts w:ascii="Palatino Linotype" w:eastAsia="Palatino Linotype" w:hAnsi="Palatino Linotype" w:cs="Palatino Linotype"/>
          <w:color w:val="000000"/>
        </w:rPr>
      </w:pP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28. </w:t>
      </w:r>
      <w:r>
        <w:rPr>
          <w:rFonts w:ascii="Palatino Linotype" w:eastAsia="Palatino Linotype" w:hAnsi="Palatino Linotype" w:cs="Palatino Linotype"/>
          <w:color w:val="000000"/>
        </w:rPr>
        <w:t xml:space="preserve">Al respecto, si bien es cierto que el Código Financiero del Estado de México y Municipios establece la obligación de los Municipios para llevar los registros contables y presupuestales; también lo es que, dicho ordenamiento jurídico no establece que debemos entender por registro contable y presupuestal; sin embargo, el “Glosario de Términos Administrativos”, emitido por el Instituto Nacional de Administración Pública, A.C. y el “Glosario de Términos para el Proceso de Planeación, Programación, Presupuestación y Evaluación en la </w:t>
      </w:r>
      <w:r>
        <w:rPr>
          <w:rFonts w:ascii="Palatino Linotype" w:eastAsia="Palatino Linotype" w:hAnsi="Palatino Linotype" w:cs="Palatino Linotype"/>
          <w:color w:val="000000"/>
        </w:rPr>
        <w:lastRenderedPageBreak/>
        <w:t xml:space="preserve">Administración Pública”,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 </w:t>
      </w:r>
    </w:p>
    <w:p w:rsidR="001F20B9" w:rsidRDefault="00291E24">
      <w:pPr>
        <w:ind w:left="1134" w:right="-107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“REGISTRO CONTABLE </w:t>
      </w:r>
    </w:p>
    <w:p w:rsidR="001F20B9" w:rsidRDefault="00291E24">
      <w:pPr>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i/>
          <w:iCs/>
        </w:rPr>
        <w:t>Asiento que se realiza en los libros de contabilidad de las actividades relacionadas con el ingreso y egresos de un ente económico.” (Sic)</w:t>
      </w:r>
    </w:p>
    <w:p w:rsidR="001F20B9" w:rsidRDefault="001F20B9">
      <w:pPr>
        <w:ind w:left="1134" w:right="-1071"/>
        <w:jc w:val="both"/>
        <w:rPr>
          <w:rFonts w:ascii="Palatino Linotype" w:eastAsia="Palatino Linotype" w:hAnsi="Palatino Linotype" w:cs="Palatino Linotype"/>
          <w:i/>
          <w:iCs/>
        </w:rPr>
      </w:pPr>
    </w:p>
    <w:p w:rsidR="001F20B9" w:rsidRDefault="00291E24">
      <w:pPr>
        <w:ind w:left="1134" w:right="-107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“REGISTRO PRESUPUESTARIO</w:t>
      </w:r>
    </w:p>
    <w:p w:rsidR="001F20B9" w:rsidRDefault="00291E24">
      <w:pPr>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i/>
          <w:iCs/>
        </w:rPr>
        <w:t>Asiento contable de las erogaciones realizadas por las dependencias y entidades con relación a la asignación, modificación y ejercicio de los recursos presupuestarios que se les hayan autorizado.” (Sic)</w:t>
      </w:r>
    </w:p>
    <w:p w:rsidR="001F20B9" w:rsidRDefault="001F20B9">
      <w:pPr>
        <w:spacing w:line="360" w:lineRule="auto"/>
        <w:ind w:left="1134" w:right="-1071"/>
        <w:jc w:val="both"/>
        <w:rPr>
          <w:rFonts w:ascii="Palatino Linotype" w:eastAsia="Palatino Linotype" w:hAnsi="Palatino Linotype" w:cs="Palatino Linotype"/>
          <w:i/>
          <w:iCs/>
        </w:rPr>
      </w:pP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29. </w:t>
      </w:r>
      <w:r>
        <w:rPr>
          <w:rFonts w:ascii="Palatino Linotype" w:eastAsia="Palatino Linotype" w:hAnsi="Palatino Linotype" w:cs="Palatino Linotype"/>
          <w:color w:val="000000"/>
        </w:rPr>
        <w:t xml:space="preserve">Por otra parte, se establece que el sistema de contabilidad sobre base acumulativa total se sustentará en los principios de contabilidad gubernamental, igualmente señalan que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deben contar con una unidad administrativa que registra contablemente el efecto patrimonial y presupuestal de las operaciones financieras que realizan, en el momento en que ocurran, con base en el sistema y políticas de registro establecidas.</w:t>
      </w:r>
    </w:p>
    <w:p w:rsidR="001F20B9" w:rsidRDefault="001F20B9">
      <w:pPr>
        <w:spacing w:line="360" w:lineRule="auto"/>
        <w:ind w:right="-1071"/>
        <w:jc w:val="both"/>
        <w:rPr>
          <w:rFonts w:ascii="Palatino Linotype" w:eastAsia="Palatino Linotype" w:hAnsi="Palatino Linotype" w:cs="Palatino Linotype"/>
          <w:color w:val="000000"/>
        </w:rPr>
      </w:pP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rPr>
        <w:t>30.</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Correlativo a lo anterior, es preciso referir una definición de </w:t>
      </w:r>
      <w:r>
        <w:rPr>
          <w:rFonts w:ascii="Palatino Linotype" w:eastAsia="Palatino Linotype" w:hAnsi="Palatino Linotype" w:cs="Palatino Linotype"/>
          <w:i/>
          <w:iCs/>
          <w:color w:val="000000"/>
        </w:rPr>
        <w:t>póliza contable</w:t>
      </w:r>
      <w:r>
        <w:rPr>
          <w:rFonts w:ascii="Palatino Linotype" w:eastAsia="Palatino Linotype" w:hAnsi="Palatino Linotype" w:cs="Palatino Linotype"/>
          <w:color w:val="000000"/>
        </w:rPr>
        <w:t xml:space="preserve">, la cual, primeramente, no está definida en el Código Financiero del Estado de México y Municipios; no obstante, los ya mencionados Glosarios la definen como: </w:t>
      </w:r>
    </w:p>
    <w:p w:rsidR="001F20B9" w:rsidRDefault="00291E24">
      <w:pPr>
        <w:ind w:left="1134" w:right="-1071"/>
        <w:jc w:val="both"/>
        <w:rPr>
          <w:rFonts w:ascii="Palatino Linotype" w:eastAsia="Palatino Linotype" w:hAnsi="Palatino Linotype" w:cs="Palatino Linotype"/>
          <w:b/>
          <w:bCs/>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PÓLIZA CONTABLE</w:t>
      </w:r>
    </w:p>
    <w:p w:rsidR="001F20B9" w:rsidRDefault="00291E24">
      <w:pPr>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i/>
          <w:iCs/>
        </w:rPr>
        <w:t>Documento en el cual se asientan en forma individual todas y cada una de las operaciones desarrolladas por una institución, así como la información necesaria para la identificación de dichas operaciones.” (sic)</w:t>
      </w:r>
    </w:p>
    <w:p w:rsidR="001F20B9" w:rsidRDefault="001F20B9">
      <w:pPr>
        <w:spacing w:line="360" w:lineRule="auto"/>
        <w:ind w:left="1134" w:right="-1071"/>
        <w:jc w:val="both"/>
        <w:rPr>
          <w:rFonts w:ascii="Palatino Linotype" w:eastAsia="Palatino Linotype" w:hAnsi="Palatino Linotype" w:cs="Palatino Linotype"/>
          <w:i/>
          <w:iCs/>
        </w:rPr>
      </w:pP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rPr>
        <w:lastRenderedPageBreak/>
        <w:t>31.</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Así, se advierte que la </w:t>
      </w:r>
      <w:r>
        <w:rPr>
          <w:rFonts w:ascii="Palatino Linotype" w:eastAsia="Palatino Linotype" w:hAnsi="Palatino Linotype" w:cs="Palatino Linotype"/>
          <w:i/>
          <w:iCs/>
          <w:color w:val="000000"/>
        </w:rPr>
        <w:t>póliza contable</w:t>
      </w:r>
      <w:r>
        <w:rPr>
          <w:rFonts w:ascii="Palatino Linotype" w:eastAsia="Palatino Linotype" w:hAnsi="Palatino Linotype" w:cs="Palatino Linotype"/>
          <w:color w:val="000000"/>
        </w:rPr>
        <w:t xml:space="preserve"> constituye un registro contable y presupuestal con el que cuentan los Municipios para el registro de sus operaciones relacionadas con sus ingresos y egresos y se anexan los documentos o comprobantes que justifiquen las anotaciones y cantidades en ellas registradas, lo que permite la identificación plena de dichas operaciones.</w:t>
      </w:r>
    </w:p>
    <w:p w:rsidR="001F20B9" w:rsidRDefault="001F20B9">
      <w:pPr>
        <w:spacing w:line="360" w:lineRule="auto"/>
        <w:ind w:left="142" w:right="-1071"/>
        <w:jc w:val="both"/>
        <w:rPr>
          <w:rFonts w:ascii="Palatino Linotype" w:eastAsia="Palatino Linotype" w:hAnsi="Palatino Linotype" w:cs="Palatino Linotype"/>
        </w:rPr>
      </w:pP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32. </w:t>
      </w:r>
      <w:r>
        <w:rPr>
          <w:rFonts w:ascii="Palatino Linotype" w:eastAsia="Palatino Linotype" w:hAnsi="Palatino Linotype" w:cs="Palatino Linotype"/>
          <w:color w:val="000000"/>
        </w:rPr>
        <w:t xml:space="preserve">En este sentido, existen diversos tipos de pólizas contables de acuerdo con las operaciones realizadas, dentro de las cuales, encontramos las llamadas </w:t>
      </w:r>
      <w:r>
        <w:rPr>
          <w:rFonts w:ascii="Palatino Linotype" w:eastAsia="Palatino Linotype" w:hAnsi="Palatino Linotype" w:cs="Palatino Linotype"/>
          <w:i/>
          <w:iCs/>
          <w:color w:val="000000"/>
        </w:rPr>
        <w:t>pólizas de egresos</w:t>
      </w:r>
      <w:r>
        <w:rPr>
          <w:rFonts w:ascii="Palatino Linotype" w:eastAsia="Palatino Linotype" w:hAnsi="Palatino Linotype" w:cs="Palatino Linotype"/>
          <w:color w:val="000000"/>
        </w:rPr>
        <w:t xml:space="preserve">, en las cuales se anotan diariamente las operaciones que representan egresos, es decir, salidas de dinero para </w:t>
      </w:r>
      <w:r>
        <w:rPr>
          <w:rFonts w:ascii="Palatino Linotype" w:eastAsia="Palatino Linotype" w:hAnsi="Palatino Linotype" w:cs="Palatino Linotype"/>
          <w:b/>
          <w:bCs/>
          <w:color w:val="000000"/>
        </w:rPr>
        <w:t>el sujeto obligado</w:t>
      </w:r>
      <w:r>
        <w:rPr>
          <w:rFonts w:ascii="Palatino Linotype" w:eastAsia="Palatino Linotype" w:hAnsi="Palatino Linotype" w:cs="Palatino Linotype"/>
          <w:color w:val="000000"/>
        </w:rPr>
        <w:t xml:space="preserve">, la cual, además debe encontrarse acompañada de las documentales que sirven de soporte de dicho movimiento. </w:t>
      </w:r>
    </w:p>
    <w:p w:rsidR="001F20B9" w:rsidRDefault="001F20B9">
      <w:pPr>
        <w:spacing w:line="360" w:lineRule="auto"/>
        <w:ind w:left="142" w:right="-1071"/>
        <w:jc w:val="both"/>
        <w:rPr>
          <w:rFonts w:ascii="Palatino Linotype" w:eastAsia="Palatino Linotype" w:hAnsi="Palatino Linotype" w:cs="Palatino Linotype"/>
          <w:b/>
          <w:bCs/>
        </w:rPr>
      </w:pPr>
    </w:p>
    <w:p w:rsidR="00C532F6"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33. </w:t>
      </w:r>
      <w:r>
        <w:rPr>
          <w:rFonts w:ascii="Palatino Linotype" w:eastAsia="Palatino Linotype" w:hAnsi="Palatino Linotype" w:cs="Palatino Linotype"/>
          <w:color w:val="000000"/>
        </w:rPr>
        <w:t xml:space="preserve">Dentro de la información que se obliga al Sujeto Obligado, entregar al OSFEM (Órgano Superior de Fiscalización del Estado de México), se localizan los Diarios Generales de Pólizas </w:t>
      </w:r>
      <w:r>
        <w:rPr>
          <w:rFonts w:ascii="Palatino Linotype" w:eastAsia="Palatino Linotype" w:hAnsi="Palatino Linotype" w:cs="Palatino Linotype"/>
          <w:b/>
          <w:bCs/>
          <w:color w:val="000000"/>
          <w:u w:val="single"/>
        </w:rPr>
        <w:t>realizados de manera mensual</w:t>
      </w:r>
      <w:r>
        <w:rPr>
          <w:rFonts w:ascii="Palatino Linotype" w:eastAsia="Palatino Linotype" w:hAnsi="Palatino Linotype" w:cs="Palatino Linotype"/>
          <w:color w:val="000000"/>
        </w:rPr>
        <w:t>,  de conformidad con el Instructivo Módulo 1.</w:t>
      </w: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noProof/>
          <w:lang w:val="es-MX"/>
        </w:rPr>
        <w:drawing>
          <wp:anchor distT="0" distB="0" distL="114300" distR="114300" simplePos="0" relativeHeight="251658240" behindDoc="0" locked="0" layoutInCell="1" hidden="0" allowOverlap="1">
            <wp:simplePos x="0" y="0"/>
            <wp:positionH relativeFrom="column">
              <wp:posOffset>1907</wp:posOffset>
            </wp:positionH>
            <wp:positionV relativeFrom="paragraph">
              <wp:posOffset>873150</wp:posOffset>
            </wp:positionV>
            <wp:extent cx="5303520" cy="1986280"/>
            <wp:effectExtent l="12700" t="12700" r="12700" b="12700"/>
            <wp:wrapSquare wrapText="bothSides" distT="0" distB="0" distL="114300" distR="11430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303520" cy="1986280"/>
                    </a:xfrm>
                    <a:prstGeom prst="rect">
                      <a:avLst/>
                    </a:prstGeom>
                    <a:ln w="12700">
                      <a:solidFill>
                        <a:srgbClr val="000000"/>
                      </a:solidFill>
                      <a:prstDash val="solid"/>
                    </a:ln>
                  </pic:spPr>
                </pic:pic>
              </a:graphicData>
            </a:graphic>
          </wp:anchor>
        </w:drawing>
      </w:r>
    </w:p>
    <w:p w:rsidR="001F20B9" w:rsidRDefault="001F20B9">
      <w:pPr>
        <w:pBdr>
          <w:top w:val="nil"/>
          <w:left w:val="nil"/>
          <w:bottom w:val="nil"/>
          <w:right w:val="nil"/>
          <w:between w:val="nil"/>
        </w:pBdr>
        <w:spacing w:line="360" w:lineRule="auto"/>
        <w:ind w:right="-1071"/>
        <w:jc w:val="both"/>
        <w:rPr>
          <w:rFonts w:ascii="Palatino Linotype" w:eastAsia="Palatino Linotype" w:hAnsi="Palatino Linotype" w:cs="Palatino Linotype"/>
        </w:rPr>
      </w:pPr>
    </w:p>
    <w:p w:rsidR="001F20B9" w:rsidRDefault="001F20B9">
      <w:pPr>
        <w:pBdr>
          <w:top w:val="nil"/>
          <w:left w:val="nil"/>
          <w:bottom w:val="nil"/>
          <w:right w:val="nil"/>
          <w:between w:val="nil"/>
        </w:pBdr>
        <w:spacing w:line="360" w:lineRule="auto"/>
        <w:ind w:right="-1071"/>
        <w:jc w:val="both"/>
        <w:rPr>
          <w:rFonts w:ascii="Palatino Linotype" w:eastAsia="Palatino Linotype" w:hAnsi="Palatino Linotype" w:cs="Palatino Linotype"/>
        </w:rPr>
      </w:pPr>
    </w:p>
    <w:p w:rsidR="001F20B9" w:rsidRDefault="001F20B9">
      <w:pPr>
        <w:pBdr>
          <w:top w:val="nil"/>
          <w:left w:val="nil"/>
          <w:bottom w:val="nil"/>
          <w:right w:val="nil"/>
          <w:between w:val="nil"/>
        </w:pBdr>
        <w:spacing w:line="360" w:lineRule="auto"/>
        <w:ind w:right="-1071"/>
        <w:jc w:val="both"/>
        <w:rPr>
          <w:rFonts w:ascii="Palatino Linotype" w:eastAsia="Palatino Linotype" w:hAnsi="Palatino Linotype" w:cs="Palatino Linotype"/>
        </w:rPr>
      </w:pP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rPr>
        <w:lastRenderedPageBreak/>
        <w:t xml:space="preserve">34. </w:t>
      </w:r>
      <w:r>
        <w:rPr>
          <w:rFonts w:ascii="Palatino Linotype" w:eastAsia="Palatino Linotype" w:hAnsi="Palatino Linotype" w:cs="Palatino Linotype"/>
          <w:color w:val="000000"/>
        </w:rPr>
        <w:t>Por lo que de conformidad con este instrumento, se permite conocer del Sujeto Obligado, el total de pólizas que la entidad realizó en un periodo determinado para una consulta práctica y ágil, identificando los registros contables y presupuestales de las operaciones realizadas.</w:t>
      </w:r>
    </w:p>
    <w:p w:rsidR="001F20B9" w:rsidRDefault="001F20B9">
      <w:pPr>
        <w:pBdr>
          <w:top w:val="nil"/>
          <w:left w:val="nil"/>
          <w:bottom w:val="nil"/>
          <w:right w:val="nil"/>
          <w:between w:val="nil"/>
        </w:pBdr>
        <w:ind w:left="720" w:right="-1071"/>
        <w:rPr>
          <w:rFonts w:ascii="Palatino Linotype" w:eastAsia="Palatino Linotype" w:hAnsi="Palatino Linotype" w:cs="Palatino Linotype"/>
          <w:color w:val="000000"/>
        </w:rPr>
      </w:pP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rPr>
        <w:t xml:space="preserve">35. </w:t>
      </w:r>
      <w:r>
        <w:rPr>
          <w:rFonts w:ascii="Palatino Linotype" w:eastAsia="Palatino Linotype" w:hAnsi="Palatino Linotype" w:cs="Palatino Linotype"/>
          <w:color w:val="000000"/>
        </w:rPr>
        <w:t>Aunado a lo anterior, se localiza el formato correspondiente a las Pólizas de Egresos con los documentos comprobatorios, misma que refleja cualquier operación contable en la que se produzca una salida de efectivo o erogaciones, a través de transferencias bancarias electrónicas; no obstante, si dicha erogación se realiza a través de un cheque bancario, la póliza contable será una póliza de cheque, y que igual manera se generan de manera mensual y se entregan al OSFEM.</w:t>
      </w:r>
    </w:p>
    <w:p w:rsidR="001F20B9" w:rsidRDefault="00291E24">
      <w:pPr>
        <w:pBdr>
          <w:top w:val="nil"/>
          <w:left w:val="nil"/>
          <w:bottom w:val="nil"/>
          <w:right w:val="nil"/>
          <w:between w:val="nil"/>
        </w:pBdr>
        <w:ind w:left="720" w:right="-1071"/>
        <w:rPr>
          <w:rFonts w:ascii="Palatino Linotype" w:eastAsia="Palatino Linotype" w:hAnsi="Palatino Linotype" w:cs="Palatino Linotype"/>
          <w:color w:val="000000"/>
        </w:rPr>
      </w:pPr>
      <w:r>
        <w:rPr>
          <w:noProof/>
          <w:lang w:val="es-MX"/>
        </w:rPr>
        <w:lastRenderedPageBreak/>
        <w:drawing>
          <wp:anchor distT="0" distB="0" distL="114300" distR="114300" simplePos="0" relativeHeight="251659264" behindDoc="0" locked="0" layoutInCell="1" hidden="0" allowOverlap="1">
            <wp:simplePos x="0" y="0"/>
            <wp:positionH relativeFrom="column">
              <wp:posOffset>565175</wp:posOffset>
            </wp:positionH>
            <wp:positionV relativeFrom="paragraph">
              <wp:posOffset>207645</wp:posOffset>
            </wp:positionV>
            <wp:extent cx="4890770" cy="4707890"/>
            <wp:effectExtent l="12700" t="12700" r="12700" b="12700"/>
            <wp:wrapSquare wrapText="bothSides" distT="0" distB="0" distL="114300" distR="11430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4890770" cy="4707890"/>
                    </a:xfrm>
                    <a:prstGeom prst="rect">
                      <a:avLst/>
                    </a:prstGeom>
                    <a:ln w="12700">
                      <a:solidFill>
                        <a:srgbClr val="000000"/>
                      </a:solidFill>
                      <a:prstDash val="solid"/>
                    </a:ln>
                  </pic:spPr>
                </pic:pic>
              </a:graphicData>
            </a:graphic>
          </wp:anchor>
        </w:drawing>
      </w:r>
    </w:p>
    <w:p w:rsidR="001F20B9" w:rsidRDefault="001F20B9">
      <w:pPr>
        <w:pBdr>
          <w:top w:val="nil"/>
          <w:left w:val="nil"/>
          <w:bottom w:val="nil"/>
          <w:right w:val="nil"/>
          <w:between w:val="nil"/>
        </w:pBdr>
        <w:spacing w:line="360" w:lineRule="auto"/>
        <w:ind w:left="502" w:right="-1071"/>
        <w:jc w:val="both"/>
        <w:rPr>
          <w:rFonts w:ascii="Palatino Linotype" w:eastAsia="Palatino Linotype" w:hAnsi="Palatino Linotype" w:cs="Palatino Linotype"/>
        </w:rPr>
      </w:pPr>
    </w:p>
    <w:p w:rsidR="001F20B9" w:rsidRDefault="001F20B9">
      <w:pPr>
        <w:pBdr>
          <w:top w:val="nil"/>
          <w:left w:val="nil"/>
          <w:bottom w:val="nil"/>
          <w:right w:val="nil"/>
          <w:between w:val="nil"/>
        </w:pBdr>
        <w:spacing w:line="360" w:lineRule="auto"/>
        <w:ind w:left="502" w:right="-1071"/>
        <w:jc w:val="both"/>
        <w:rPr>
          <w:rFonts w:ascii="Palatino Linotype" w:eastAsia="Palatino Linotype" w:hAnsi="Palatino Linotype" w:cs="Palatino Linotype"/>
        </w:rPr>
      </w:pPr>
    </w:p>
    <w:p w:rsidR="001F20B9" w:rsidRDefault="001F20B9">
      <w:pPr>
        <w:pBdr>
          <w:top w:val="nil"/>
          <w:left w:val="nil"/>
          <w:bottom w:val="nil"/>
          <w:right w:val="nil"/>
          <w:between w:val="nil"/>
        </w:pBdr>
        <w:spacing w:line="360" w:lineRule="auto"/>
        <w:ind w:left="502" w:right="-1071"/>
        <w:jc w:val="both"/>
        <w:rPr>
          <w:rFonts w:ascii="Palatino Linotype" w:eastAsia="Palatino Linotype" w:hAnsi="Palatino Linotype" w:cs="Palatino Linotype"/>
        </w:rPr>
      </w:pPr>
    </w:p>
    <w:p w:rsidR="001F20B9" w:rsidRDefault="001F20B9">
      <w:pPr>
        <w:pBdr>
          <w:top w:val="nil"/>
          <w:left w:val="nil"/>
          <w:bottom w:val="nil"/>
          <w:right w:val="nil"/>
          <w:between w:val="nil"/>
        </w:pBdr>
        <w:spacing w:line="360" w:lineRule="auto"/>
        <w:ind w:left="502" w:right="-1071"/>
        <w:jc w:val="both"/>
        <w:rPr>
          <w:rFonts w:ascii="Palatino Linotype" w:eastAsia="Palatino Linotype" w:hAnsi="Palatino Linotype" w:cs="Palatino Linotype"/>
        </w:rPr>
      </w:pPr>
    </w:p>
    <w:p w:rsidR="001F20B9" w:rsidRDefault="001F20B9">
      <w:pPr>
        <w:pBdr>
          <w:top w:val="nil"/>
          <w:left w:val="nil"/>
          <w:bottom w:val="nil"/>
          <w:right w:val="nil"/>
          <w:between w:val="nil"/>
        </w:pBdr>
        <w:spacing w:line="360" w:lineRule="auto"/>
        <w:ind w:left="502" w:right="-1071"/>
        <w:jc w:val="both"/>
        <w:rPr>
          <w:rFonts w:ascii="Palatino Linotype" w:eastAsia="Palatino Linotype" w:hAnsi="Palatino Linotype" w:cs="Palatino Linotype"/>
        </w:rPr>
      </w:pPr>
    </w:p>
    <w:p w:rsidR="001F20B9" w:rsidRDefault="001F20B9">
      <w:pPr>
        <w:pBdr>
          <w:top w:val="nil"/>
          <w:left w:val="nil"/>
          <w:bottom w:val="nil"/>
          <w:right w:val="nil"/>
          <w:between w:val="nil"/>
        </w:pBdr>
        <w:spacing w:line="360" w:lineRule="auto"/>
        <w:ind w:left="502" w:right="-1071"/>
        <w:jc w:val="both"/>
        <w:rPr>
          <w:rFonts w:ascii="Palatino Linotype" w:eastAsia="Palatino Linotype" w:hAnsi="Palatino Linotype" w:cs="Palatino Linotype"/>
        </w:rPr>
      </w:pPr>
    </w:p>
    <w:p w:rsidR="001F20B9" w:rsidRDefault="001F20B9">
      <w:pPr>
        <w:pBdr>
          <w:top w:val="nil"/>
          <w:left w:val="nil"/>
          <w:bottom w:val="nil"/>
          <w:right w:val="nil"/>
          <w:between w:val="nil"/>
        </w:pBdr>
        <w:spacing w:line="360" w:lineRule="auto"/>
        <w:ind w:left="502" w:right="-1071"/>
        <w:jc w:val="both"/>
        <w:rPr>
          <w:rFonts w:ascii="Palatino Linotype" w:eastAsia="Palatino Linotype" w:hAnsi="Palatino Linotype" w:cs="Palatino Linotype"/>
        </w:rPr>
      </w:pPr>
    </w:p>
    <w:p w:rsidR="001F20B9" w:rsidRDefault="001F20B9">
      <w:pPr>
        <w:pBdr>
          <w:top w:val="nil"/>
          <w:left w:val="nil"/>
          <w:bottom w:val="nil"/>
          <w:right w:val="nil"/>
          <w:between w:val="nil"/>
        </w:pBdr>
        <w:spacing w:line="360" w:lineRule="auto"/>
        <w:ind w:left="502" w:right="-1071"/>
        <w:jc w:val="both"/>
        <w:rPr>
          <w:rFonts w:ascii="Palatino Linotype" w:eastAsia="Palatino Linotype" w:hAnsi="Palatino Linotype" w:cs="Palatino Linotype"/>
        </w:rPr>
      </w:pP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rPr>
        <w:lastRenderedPageBreak/>
        <w:t xml:space="preserve">36. </w:t>
      </w:r>
      <w:r>
        <w:rPr>
          <w:rFonts w:ascii="Palatino Linotype" w:eastAsia="Palatino Linotype" w:hAnsi="Palatino Linotype" w:cs="Palatino Linotype"/>
          <w:color w:val="000000"/>
        </w:rPr>
        <w:t xml:space="preserve">Por lo que se establece que si bien es información que se entrega al Órgano Superior de Fiscalizaron del Estado de México (OSFEM) en informes trimestrales, también lo es que corresponde a información que se genera con periodicidad mensual, por lo que no se sustenta la negativa a la entrega de la misma por las razones referidas en respuesta.  </w:t>
      </w:r>
    </w:p>
    <w:p w:rsidR="001F20B9" w:rsidRDefault="001F20B9">
      <w:pPr>
        <w:pBdr>
          <w:top w:val="nil"/>
          <w:left w:val="nil"/>
          <w:bottom w:val="nil"/>
          <w:right w:val="nil"/>
          <w:between w:val="nil"/>
        </w:pBdr>
        <w:ind w:left="720" w:right="-1071"/>
        <w:rPr>
          <w:rFonts w:ascii="Palatino Linotype" w:eastAsia="Palatino Linotype" w:hAnsi="Palatino Linotype" w:cs="Palatino Linotype"/>
          <w:color w:val="000000"/>
        </w:rPr>
      </w:pP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37. </w:t>
      </w:r>
      <w:r>
        <w:rPr>
          <w:rFonts w:ascii="Palatino Linotype" w:eastAsia="Palatino Linotype" w:hAnsi="Palatino Linotype" w:cs="Palatino Linotype"/>
          <w:color w:val="000000"/>
        </w:rPr>
        <w:t xml:space="preserve">Adicional a lo anterior, es de señalar que los documentos donde consten las transferencias o cheques emitidos por la Tesorería Municipal, rinde cuentas de la forma en que utiliza el Ayuntamiento los recursos públicos; sobre el tema, según Arizmendi, Guillermo (2016), en la “Ley General de Transparencia y Acceso a la Información Pública Comentada” (p. 240 y 241), los recursos públicos, deber ser administrado con responsabilidad y transparencia. En ese orden de ideas, según Trujillo, Humberto (2019), en el “Diccionario de Transparencia y Acceso a la Información Pública” (p. 276), </w:t>
      </w:r>
      <w:r>
        <w:rPr>
          <w:rFonts w:ascii="Palatino Linotype" w:eastAsia="Palatino Linotype" w:hAnsi="Palatino Linotype" w:cs="Palatino Linotype"/>
          <w:b/>
          <w:bCs/>
          <w:color w:val="000000"/>
        </w:rPr>
        <w:t>los recursos públicos son los ingresos económicos, que obtiene el Estado y que asigna (a partir del presupuesto) al ejercicio de sus actividades, los cuales deben ser asignados de manera transparente y bajo un sistema de rendición de cuentas, para que las personas puedan monitorear, evaluar y cuestionar su gasto.</w:t>
      </w:r>
    </w:p>
    <w:p w:rsidR="001F20B9" w:rsidRDefault="001F20B9">
      <w:pPr>
        <w:spacing w:line="360" w:lineRule="auto"/>
        <w:ind w:right="-1071"/>
        <w:jc w:val="both"/>
        <w:rPr>
          <w:rFonts w:ascii="Palatino Linotype" w:eastAsia="Palatino Linotype" w:hAnsi="Palatino Linotype" w:cs="Palatino Linotype"/>
          <w:b/>
          <w:bCs/>
        </w:rPr>
      </w:pP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38. </w:t>
      </w:r>
      <w:r>
        <w:rPr>
          <w:rFonts w:ascii="Palatino Linotype" w:eastAsia="Palatino Linotype" w:hAnsi="Palatino Linotype" w:cs="Palatino Linotype"/>
          <w:color w:val="000000"/>
        </w:rPr>
        <w:t xml:space="preserve">Además, los artículos 134 de la Constitución Política de los Estados Unidos Mexicanos y el 129 de la Constitución Política del Estado Libre y Soberano de México, establecen que los recursos públicos de que dispongan, entre otros, los Municipios, se administrarán con eficiencia, eficacia, economía, </w:t>
      </w:r>
      <w:r>
        <w:rPr>
          <w:rFonts w:ascii="Palatino Linotype" w:eastAsia="Palatino Linotype" w:hAnsi="Palatino Linotype" w:cs="Palatino Linotype"/>
          <w:b/>
          <w:bCs/>
          <w:color w:val="000000"/>
        </w:rPr>
        <w:t xml:space="preserve">transparencia </w:t>
      </w:r>
      <w:r>
        <w:rPr>
          <w:rFonts w:ascii="Palatino Linotype" w:eastAsia="Palatino Linotype" w:hAnsi="Palatino Linotype" w:cs="Palatino Linotype"/>
          <w:color w:val="000000"/>
        </w:rPr>
        <w:t>y honradez; sobre lo referido,  la Tesis número 1a.CXLV/2009, Novena Época, publicada en el Semanario Judicial de la Federación, Tomo XXX, de septiembre de dos mil nueve, (p. 2712), establece lo siguiente:</w:t>
      </w:r>
    </w:p>
    <w:p w:rsidR="001F20B9" w:rsidRDefault="00291E24">
      <w:pPr>
        <w:spacing w:line="276" w:lineRule="auto"/>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“GASTO PÚBLICO. EL ARTÍCULO 134 DE LA CONSTITUCIÓN POLÍTICA DE LOS ESTADOS UNIDOS MEXICANOS ELEVA A RANGO CONSTITUCIONAL LOS PRINCIPIOS DE LEGALIDAD, EFICIENCIA, EFICACIA, ECONOMÍA, </w:t>
      </w:r>
      <w:r>
        <w:rPr>
          <w:rFonts w:ascii="Palatino Linotype" w:eastAsia="Palatino Linotype" w:hAnsi="Palatino Linotype" w:cs="Palatino Linotype"/>
          <w:b/>
          <w:bCs/>
          <w:i/>
          <w:iCs/>
        </w:rPr>
        <w:lastRenderedPageBreak/>
        <w:t xml:space="preserve">TRANSPARENCIA Y HONRADEZ EN ESTA MATERIA. </w:t>
      </w:r>
      <w:r>
        <w:rPr>
          <w:rFonts w:ascii="Palatino Linotype" w:eastAsia="Palatino Linotype" w:hAnsi="Palatino Linotype" w:cs="Palatino Linotype"/>
          <w:i/>
          <w:iCs/>
        </w:rPr>
        <w:t>Del citado precepto constitucional se advierte que el correcto ejercicio del gasto público se salvaguarda por los siguientes principios: 1. Legalidad, en tanto que debe estar prescrito en el Presupuesto de Egresos o, en su defecto, en una ley expedida por el Congreso de la Unión, lo cual significa la sujeción de las autoridades a un modelo normativo previamente establecido; 2. Honradez, pues implica que no debe llevarse a cabo de manera abusiva, ni para un destino diverso al programado; 3. Eficiencia, en el entendido de que las autoridades deben disponer de los medios que estimen convenientes para que el ejercicio del gasto público logre el fin para el cual se programó y destinó; 4. Eficacia, ya que es indispensable contar con la capacidad suficiente para lograr las metas estimadas; 5. Economía, en el sentido de que el gasto público debe ejercerse recta y prudentemente, lo cual implica que los servidores públicos siempre deben buscar las mejores condiciones de contratación para el Estado, y 6. Transparencia, para permitir hacer del conocimiento público el ejercicio del gasto estatal.”</w:t>
      </w:r>
    </w:p>
    <w:p w:rsidR="001F20B9" w:rsidRDefault="001F20B9">
      <w:pPr>
        <w:spacing w:line="360" w:lineRule="auto"/>
        <w:ind w:right="-1071"/>
        <w:jc w:val="both"/>
        <w:rPr>
          <w:rFonts w:ascii="Palatino Linotype" w:eastAsia="Palatino Linotype" w:hAnsi="Palatino Linotype" w:cs="Palatino Linotype"/>
        </w:rPr>
      </w:pP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39. </w:t>
      </w:r>
      <w:r>
        <w:rPr>
          <w:rFonts w:ascii="Palatino Linotype" w:eastAsia="Palatino Linotype" w:hAnsi="Palatino Linotype" w:cs="Palatino Linotype"/>
          <w:color w:val="000000"/>
        </w:rPr>
        <w:t>Como se logra observar, el ejercicio de recursos públicos por parte de los tres niveles de Gobierno, que incluye a los Municipios, debe seguir el Principio de Transparencia, que implica permitir a la ciudadanía conocer en la forma en que se gasta el Estado, los recursos con los que cuenta para el cumplimiento de sus obligaciones y atribuciones.</w:t>
      </w:r>
    </w:p>
    <w:p w:rsidR="001F20B9" w:rsidRDefault="001F20B9">
      <w:pPr>
        <w:spacing w:line="360" w:lineRule="auto"/>
        <w:ind w:right="-1071"/>
        <w:jc w:val="both"/>
        <w:rPr>
          <w:rFonts w:ascii="Palatino Linotype" w:eastAsia="Palatino Linotype" w:hAnsi="Palatino Linotype" w:cs="Palatino Linotype"/>
        </w:rPr>
      </w:pP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40. </w:t>
      </w:r>
      <w:r>
        <w:rPr>
          <w:rFonts w:ascii="Palatino Linotype" w:eastAsia="Palatino Linotype" w:hAnsi="Palatino Linotype" w:cs="Palatino Linotype"/>
          <w:color w:val="000000"/>
        </w:rPr>
        <w:t xml:space="preserve">Al respecto, según Merino, Mauricio (2019), en el “Diccionario de Transparencia y Acceso a la Información Pública” (p. 276), </w:t>
      </w:r>
      <w:r>
        <w:rPr>
          <w:rFonts w:ascii="Palatino Linotype" w:eastAsia="Palatino Linotype" w:hAnsi="Palatino Linotype" w:cs="Palatino Linotype"/>
          <w:b/>
          <w:bCs/>
          <w:color w:val="000000"/>
        </w:rPr>
        <w:t xml:space="preserve">la rendición de cuentas, </w:t>
      </w:r>
      <w:r>
        <w:rPr>
          <w:rFonts w:ascii="Palatino Linotype" w:eastAsia="Palatino Linotype" w:hAnsi="Palatino Linotype" w:cs="Palatino Linotype"/>
          <w:color w:val="000000"/>
        </w:rPr>
        <w:t xml:space="preserve">es un ejercicio de transparencia e información pública; es un medio a través del cual los gobiernos informan al público de sus actividades, </w:t>
      </w:r>
      <w:r>
        <w:rPr>
          <w:rFonts w:ascii="Palatino Linotype" w:eastAsia="Palatino Linotype" w:hAnsi="Palatino Linotype" w:cs="Palatino Linotype"/>
          <w:b/>
          <w:bCs/>
          <w:color w:val="000000"/>
        </w:rPr>
        <w:t>de los recursos que han ejercido</w:t>
      </w:r>
      <w:r>
        <w:rPr>
          <w:rFonts w:ascii="Palatino Linotype" w:eastAsia="Palatino Linotype" w:hAnsi="Palatino Linotype" w:cs="Palatino Linotype"/>
          <w:color w:val="000000"/>
        </w:rPr>
        <w:t xml:space="preserve"> y de los resultados obtenidos.</w:t>
      </w:r>
    </w:p>
    <w:p w:rsidR="001F20B9" w:rsidRDefault="001F20B9">
      <w:pPr>
        <w:spacing w:line="360" w:lineRule="auto"/>
        <w:ind w:right="-1071"/>
        <w:jc w:val="both"/>
        <w:rPr>
          <w:rFonts w:ascii="Palatino Linotype" w:eastAsia="Palatino Linotype" w:hAnsi="Palatino Linotype" w:cs="Palatino Linotype"/>
        </w:rPr>
      </w:pP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41. </w:t>
      </w:r>
      <w:r>
        <w:rPr>
          <w:rFonts w:ascii="Palatino Linotype" w:eastAsia="Palatino Linotype" w:hAnsi="Palatino Linotype" w:cs="Palatino Linotype"/>
          <w:color w:val="000000"/>
        </w:rPr>
        <w:t xml:space="preserve">Además, de manera de referencia, el artículo 6°, fracción XXXVIII, de la Ley de Transparencia, Acceso a la Información Pública y Rendición de Cuentas de la Ciudad de México, establece que la rendición de cuentas, vista desde la perspectiva de la transparencia y </w:t>
      </w:r>
      <w:r>
        <w:rPr>
          <w:rFonts w:ascii="Palatino Linotype" w:eastAsia="Palatino Linotype" w:hAnsi="Palatino Linotype" w:cs="Palatino Linotype"/>
          <w:color w:val="000000"/>
        </w:rPr>
        <w:lastRenderedPageBreak/>
        <w:t>acceso a la información, consiste en la potestad del individuo para exigir al poder público, informe y ponga a disposición, las acciones y decisiones emprendidas, así como los indicadores que permitan el conocimiento y la forma en que se llevaron a cabo, que incluya los resultados obtenidos.</w:t>
      </w:r>
    </w:p>
    <w:p w:rsidR="001F20B9" w:rsidRDefault="001F20B9">
      <w:pPr>
        <w:spacing w:line="360" w:lineRule="auto"/>
        <w:ind w:right="-1071"/>
        <w:jc w:val="both"/>
        <w:rPr>
          <w:rFonts w:ascii="Palatino Linotype" w:eastAsia="Palatino Linotype" w:hAnsi="Palatino Linotype" w:cs="Palatino Linotype"/>
        </w:rPr>
      </w:pP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42. </w:t>
      </w:r>
      <w:r>
        <w:rPr>
          <w:rFonts w:ascii="Palatino Linotype" w:eastAsia="Palatino Linotype" w:hAnsi="Palatino Linotype" w:cs="Palatino Linotype"/>
          <w:color w:val="000000"/>
        </w:rPr>
        <w:t>Toma relevancia lo anterior, pues conforme al artículo 2°, fracción VII de la Ley de Transparencia y Acceso a la Información Pública del Estado de México y Municipios, establece que es un objetivo de dichos ordenamientos jurídicos, promover, fomentar y difundir la cultura de la transparencia en el ejercicio de la función pública, así como, la rendición de cuentas, a través del establecimiento de mecanismos que garanticen la publicidad de la información oportuna, verificable, comprensible, actualizada y completa. Conforme a lo anterior, se logra vislumbrar que, en el presente caso, la información solicitada, rinde cuentas de la aplicación de los recursos públicos con los que contaba el Sujeto Obligado.</w:t>
      </w:r>
    </w:p>
    <w:p w:rsidR="001F20B9" w:rsidRDefault="001F20B9">
      <w:pPr>
        <w:pBdr>
          <w:top w:val="nil"/>
          <w:left w:val="nil"/>
          <w:bottom w:val="nil"/>
          <w:right w:val="nil"/>
          <w:between w:val="nil"/>
        </w:pBdr>
        <w:ind w:left="720" w:right="-1071"/>
        <w:rPr>
          <w:rFonts w:ascii="Palatino Linotype" w:eastAsia="Palatino Linotype" w:hAnsi="Palatino Linotype" w:cs="Palatino Linotype"/>
          <w:color w:val="000000"/>
        </w:rPr>
      </w:pPr>
    </w:p>
    <w:p w:rsidR="001F20B9" w:rsidRDefault="00291E24">
      <w:pPr>
        <w:widowControl w:val="0"/>
        <w:pBdr>
          <w:top w:val="nil"/>
          <w:left w:val="nil"/>
          <w:bottom w:val="nil"/>
          <w:right w:val="nil"/>
          <w:between w:val="nil"/>
        </w:pBdr>
        <w:spacing w:line="360" w:lineRule="auto"/>
        <w:ind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rPr>
        <w:t xml:space="preserve">43. </w:t>
      </w:r>
      <w:r>
        <w:rPr>
          <w:rFonts w:ascii="Palatino Linotype" w:eastAsia="Palatino Linotype" w:hAnsi="Palatino Linotype" w:cs="Palatino Linotype"/>
          <w:color w:val="000000"/>
        </w:rPr>
        <w:t xml:space="preserve">Por lo que de la entrega de las documentales que colmen la solicitud de información pudieran contener enunciativamente: </w:t>
      </w:r>
      <w:r>
        <w:rPr>
          <w:rFonts w:ascii="Palatino Linotype" w:eastAsia="Palatino Linotype" w:hAnsi="Palatino Linotype" w:cs="Palatino Linotype"/>
          <w:i/>
          <w:iCs/>
          <w:color w:val="000000"/>
        </w:rPr>
        <w:t>nombre de persona física o razón social; número de cuenta bancaria o clave interbancaria; registro federal de contribuyentes; número de teléfono y correo electrónico de proveedor o contratista; firma del proveedor, contratista o representante legal, y domicilio fiscal o legal para recibir y oír notificaciones</w:t>
      </w:r>
    </w:p>
    <w:p w:rsidR="001F20B9" w:rsidRDefault="001F20B9">
      <w:pPr>
        <w:pBdr>
          <w:top w:val="nil"/>
          <w:left w:val="nil"/>
          <w:bottom w:val="nil"/>
          <w:right w:val="nil"/>
          <w:between w:val="nil"/>
        </w:pBdr>
        <w:ind w:right="-1071"/>
        <w:jc w:val="both"/>
        <w:rPr>
          <w:rFonts w:ascii="Palatino Linotype" w:eastAsia="Palatino Linotype" w:hAnsi="Palatino Linotype" w:cs="Palatino Linotype"/>
          <w:color w:val="000000"/>
        </w:rPr>
      </w:pPr>
    </w:p>
    <w:p w:rsidR="001F20B9" w:rsidRDefault="00291E24">
      <w:pPr>
        <w:spacing w:line="360" w:lineRule="auto"/>
        <w:ind w:right="-1071"/>
        <w:jc w:val="both"/>
        <w:rPr>
          <w:rFonts w:ascii="Palatino Linotype" w:eastAsia="Palatino Linotype" w:hAnsi="Palatino Linotype" w:cs="Palatino Linotype"/>
          <w:b/>
          <w:bCs/>
          <w:color w:val="0D0D0D"/>
        </w:rPr>
      </w:pPr>
      <w:r>
        <w:rPr>
          <w:rFonts w:ascii="Palatino Linotype" w:eastAsia="Palatino Linotype" w:hAnsi="Palatino Linotype" w:cs="Palatino Linotype"/>
          <w:b/>
          <w:bCs/>
          <w:color w:val="0D0D0D"/>
        </w:rPr>
        <w:t>Nombre de personas físicas empleados, proveedores, contratistas y que recibieron recursos públicos por cualquier motivo.</w:t>
      </w:r>
    </w:p>
    <w:p w:rsidR="001F20B9" w:rsidRDefault="001F20B9">
      <w:pPr>
        <w:spacing w:line="360" w:lineRule="auto"/>
        <w:ind w:right="-1071"/>
        <w:jc w:val="both"/>
        <w:rPr>
          <w:rFonts w:ascii="Palatino Linotype" w:eastAsia="Palatino Linotype" w:hAnsi="Palatino Linotype" w:cs="Palatino Linotype"/>
          <w:b/>
          <w:bCs/>
          <w:color w:val="0D0D0D"/>
        </w:rPr>
      </w:pP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D0D0D"/>
        </w:rPr>
      </w:pPr>
      <w:r>
        <w:rPr>
          <w:rFonts w:ascii="Palatino Linotype" w:eastAsia="Palatino Linotype" w:hAnsi="Palatino Linotype" w:cs="Palatino Linotype"/>
          <w:b/>
          <w:bCs/>
          <w:color w:val="0D0D0D"/>
        </w:rPr>
        <w:t>44.</w:t>
      </w:r>
      <w:r>
        <w:rPr>
          <w:rFonts w:ascii="Palatino Linotype" w:eastAsia="Palatino Linotype" w:hAnsi="Palatino Linotype" w:cs="Palatino Linotype"/>
          <w:color w:val="0D0D0D"/>
        </w:rPr>
        <w:t xml:space="preserve"> Al respecto, cabe precisar que el nombre se integra con el sustantivo propio y el primer apellido de los padres, en el orden que, de común acuerdo determinen; asimismo es la </w:t>
      </w:r>
      <w:r>
        <w:rPr>
          <w:rFonts w:ascii="Palatino Linotype" w:eastAsia="Palatino Linotype" w:hAnsi="Palatino Linotype" w:cs="Palatino Linotype"/>
          <w:color w:val="0D0D0D"/>
        </w:rPr>
        <w:lastRenderedPageBreak/>
        <w:t>manifestación principal del derecho subjetivo a la personalidad y atributo de esta en términos del artículo 2.3 del Código Civil del Estado de México, de tal suerte, el nombre per se es un elemento que hace a una persona física identificada o identificable.</w:t>
      </w:r>
    </w:p>
    <w:p w:rsidR="001F20B9" w:rsidRDefault="001F20B9">
      <w:pPr>
        <w:spacing w:line="360" w:lineRule="auto"/>
        <w:ind w:right="-1071"/>
        <w:jc w:val="both"/>
        <w:rPr>
          <w:rFonts w:ascii="Palatino Linotype" w:eastAsia="Palatino Linotype" w:hAnsi="Palatino Linotype" w:cs="Palatino Linotype"/>
          <w:color w:val="0D0D0D"/>
        </w:rPr>
      </w:pP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D0D0D"/>
        </w:rPr>
      </w:pPr>
      <w:r>
        <w:rPr>
          <w:rFonts w:ascii="Palatino Linotype" w:eastAsia="Palatino Linotype" w:hAnsi="Palatino Linotype" w:cs="Palatino Linotype"/>
          <w:b/>
          <w:bCs/>
          <w:color w:val="0D0D0D"/>
        </w:rPr>
        <w:t xml:space="preserve">45. </w:t>
      </w:r>
      <w:r>
        <w:rPr>
          <w:rFonts w:ascii="Palatino Linotype" w:eastAsia="Palatino Linotype" w:hAnsi="Palatino Linotype" w:cs="Palatino Linotype"/>
          <w:color w:val="0D0D0D"/>
        </w:rPr>
        <w:t>En ese contexto, es importante mencionar que si bien es cierto que el nombre de una persona es atributo de la personalidad, de conformidad con la legislación civil, al tratarse de un dato personal hace identificable a su titular, además la Ley de Transparencia y Acceso a la Información Pública del Estado de México y Municipios ha establecido un régimen de excepción tratándose de los nombres de servidores públicos (empleados) o de aquellos que reciben recursos públicos (proveedores y que brindaron apoyo dentro del Sujeto Obligado), ya que la difusión de dicho dato constituye una obligación de transparencia por parte de los sujetos obligados.</w:t>
      </w:r>
    </w:p>
    <w:p w:rsidR="001F20B9" w:rsidRDefault="001F20B9">
      <w:pPr>
        <w:spacing w:line="360" w:lineRule="auto"/>
        <w:ind w:right="-1071"/>
        <w:jc w:val="both"/>
        <w:rPr>
          <w:rFonts w:ascii="Palatino Linotype" w:eastAsia="Palatino Linotype" w:hAnsi="Palatino Linotype" w:cs="Palatino Linotype"/>
          <w:color w:val="0D0D0D"/>
        </w:rPr>
      </w:pP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D0D0D"/>
        </w:rPr>
      </w:pPr>
      <w:r>
        <w:rPr>
          <w:rFonts w:ascii="Palatino Linotype" w:eastAsia="Palatino Linotype" w:hAnsi="Palatino Linotype" w:cs="Palatino Linotype"/>
          <w:b/>
          <w:bCs/>
          <w:color w:val="0D0D0D"/>
        </w:rPr>
        <w:t xml:space="preserve">46. </w:t>
      </w:r>
      <w:r>
        <w:rPr>
          <w:rFonts w:ascii="Palatino Linotype" w:eastAsia="Palatino Linotype" w:hAnsi="Palatino Linotype" w:cs="Palatino Linotype"/>
          <w:color w:val="0D0D0D"/>
        </w:rPr>
        <w:t>Toma sustento con el artículo 92, fracciones VII, XXXI y XXXVI, de la Ley de la materia, el cual establece que los sujetos obligados tienen la obligación de poner a disposición del público y mantener actualizada de acuerdo con sus facultades, atribuciones, funciones u objeto social, según corresponda el directorio, que deberá incluir al menos, entre otros datos, el nombre del servidor público; así como, el Padrón de proveedores y contratistas y el listado de personas físicas o jurídico-colectivas, que por cualquier motivo se les asignaron recursos públicos.</w:t>
      </w:r>
    </w:p>
    <w:p w:rsidR="001F20B9" w:rsidRDefault="001F20B9">
      <w:pPr>
        <w:spacing w:line="360" w:lineRule="auto"/>
        <w:ind w:right="-1071"/>
        <w:jc w:val="both"/>
        <w:rPr>
          <w:rFonts w:ascii="Palatino Linotype" w:eastAsia="Palatino Linotype" w:hAnsi="Palatino Linotype" w:cs="Palatino Linotype"/>
          <w:color w:val="0D0D0D"/>
        </w:rPr>
      </w:pP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D0D0D"/>
        </w:rPr>
      </w:pPr>
      <w:r>
        <w:rPr>
          <w:rFonts w:ascii="Palatino Linotype" w:eastAsia="Palatino Linotype" w:hAnsi="Palatino Linotype" w:cs="Palatino Linotype"/>
          <w:b/>
          <w:bCs/>
          <w:color w:val="0D0D0D"/>
        </w:rPr>
        <w:t xml:space="preserve">47. </w:t>
      </w:r>
      <w:r>
        <w:rPr>
          <w:rFonts w:ascii="Palatino Linotype" w:eastAsia="Palatino Linotype" w:hAnsi="Palatino Linotype" w:cs="Palatino Linotype"/>
          <w:color w:val="0D0D0D"/>
        </w:rPr>
        <w:t xml:space="preserve">Además, se robustece a manera de analogía con los formatos de los Lineamientos técnicos generales para la publicación, homologación y estandarización de la información de las obligaciones establecidas en el título quinto y en la fracción IV del artículo 31 de la Ley General de Transparencia y Acceso a la Información Pública, vigente a la fecha de la solicitud, que </w:t>
      </w:r>
      <w:r>
        <w:rPr>
          <w:rFonts w:ascii="Palatino Linotype" w:eastAsia="Palatino Linotype" w:hAnsi="Palatino Linotype" w:cs="Palatino Linotype"/>
          <w:color w:val="0D0D0D"/>
        </w:rPr>
        <w:lastRenderedPageBreak/>
        <w:t>deben de difundir los sujetos obligados en los portales de Internet y en la Plataforma Nacional de Transparencia, tal como se muestran a continuación:</w:t>
      </w:r>
    </w:p>
    <w:p w:rsidR="001F20B9" w:rsidRDefault="001F20B9">
      <w:pPr>
        <w:spacing w:line="360" w:lineRule="auto"/>
        <w:ind w:right="-1071"/>
        <w:jc w:val="both"/>
        <w:rPr>
          <w:rFonts w:ascii="Palatino Linotype" w:eastAsia="Palatino Linotype" w:hAnsi="Palatino Linotype" w:cs="Palatino Linotype"/>
          <w:color w:val="0D0D0D"/>
        </w:rPr>
      </w:pPr>
    </w:p>
    <w:p w:rsidR="001F20B9" w:rsidRDefault="00291E24">
      <w:pPr>
        <w:spacing w:line="360" w:lineRule="auto"/>
        <w:ind w:right="-1071"/>
        <w:jc w:val="center"/>
        <w:rPr>
          <w:rFonts w:ascii="Palatino Linotype" w:eastAsia="Palatino Linotype" w:hAnsi="Palatino Linotype" w:cs="Palatino Linotype"/>
          <w:color w:val="0D0D0D"/>
        </w:rPr>
      </w:pPr>
      <w:r>
        <w:rPr>
          <w:rFonts w:ascii="Palatino Linotype" w:eastAsia="Palatino Linotype" w:hAnsi="Palatino Linotype" w:cs="Palatino Linotype"/>
          <w:noProof/>
          <w:lang w:val="es-MX"/>
        </w:rPr>
        <w:drawing>
          <wp:inline distT="0" distB="0" distL="0" distR="0">
            <wp:extent cx="5353050" cy="1123950"/>
            <wp:effectExtent l="12700" t="12700" r="12700" b="12700"/>
            <wp:docPr id="3" name="image6.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6.png" descr="Tabla&#10;&#10;Descripción generada automáticamente"/>
                    <pic:cNvPicPr preferRelativeResize="0"/>
                  </pic:nvPicPr>
                  <pic:blipFill>
                    <a:blip r:embed="rId10"/>
                    <a:srcRect t="4538"/>
                    <a:stretch>
                      <a:fillRect/>
                    </a:stretch>
                  </pic:blipFill>
                  <pic:spPr>
                    <a:xfrm>
                      <a:off x="0" y="0"/>
                      <a:ext cx="5353050" cy="1123950"/>
                    </a:xfrm>
                    <a:prstGeom prst="rect">
                      <a:avLst/>
                    </a:prstGeom>
                    <a:ln w="12700">
                      <a:solidFill>
                        <a:srgbClr val="000000"/>
                      </a:solidFill>
                      <a:prstDash val="solid"/>
                    </a:ln>
                  </pic:spPr>
                </pic:pic>
              </a:graphicData>
            </a:graphic>
          </wp:inline>
        </w:drawing>
      </w:r>
    </w:p>
    <w:p w:rsidR="001F20B9" w:rsidRDefault="00291E24">
      <w:pPr>
        <w:spacing w:line="360" w:lineRule="auto"/>
        <w:ind w:right="-1071"/>
        <w:jc w:val="center"/>
        <w:rPr>
          <w:rFonts w:ascii="Palatino Linotype" w:eastAsia="Palatino Linotype" w:hAnsi="Palatino Linotype" w:cs="Palatino Linotype"/>
          <w:color w:val="0D0D0D"/>
        </w:rPr>
      </w:pPr>
      <w:r>
        <w:rPr>
          <w:rFonts w:ascii="Palatino Linotype" w:eastAsia="Palatino Linotype" w:hAnsi="Palatino Linotype" w:cs="Palatino Linotype"/>
          <w:noProof/>
          <w:lang w:val="es-MX"/>
        </w:rPr>
        <w:drawing>
          <wp:inline distT="0" distB="0" distL="0" distR="0">
            <wp:extent cx="5038725" cy="657225"/>
            <wp:effectExtent l="12700" t="12700" r="12700" b="1270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b="84505"/>
                    <a:stretch>
                      <a:fillRect/>
                    </a:stretch>
                  </pic:blipFill>
                  <pic:spPr>
                    <a:xfrm>
                      <a:off x="0" y="0"/>
                      <a:ext cx="5038725" cy="657225"/>
                    </a:xfrm>
                    <a:prstGeom prst="rect">
                      <a:avLst/>
                    </a:prstGeom>
                    <a:ln w="12700">
                      <a:solidFill>
                        <a:srgbClr val="000000"/>
                      </a:solidFill>
                      <a:prstDash val="solid"/>
                    </a:ln>
                  </pic:spPr>
                </pic:pic>
              </a:graphicData>
            </a:graphic>
          </wp:inline>
        </w:drawing>
      </w:r>
    </w:p>
    <w:p w:rsidR="001F20B9" w:rsidRDefault="00291E24">
      <w:pPr>
        <w:spacing w:line="360" w:lineRule="auto"/>
        <w:ind w:right="-1071"/>
        <w:jc w:val="center"/>
        <w:rPr>
          <w:rFonts w:ascii="Palatino Linotype" w:eastAsia="Palatino Linotype" w:hAnsi="Palatino Linotype" w:cs="Palatino Linotype"/>
          <w:color w:val="0D0D0D"/>
        </w:rPr>
      </w:pPr>
      <w:r>
        <w:rPr>
          <w:rFonts w:ascii="Palatino Linotype" w:eastAsia="Palatino Linotype" w:hAnsi="Palatino Linotype" w:cs="Palatino Linotype"/>
          <w:noProof/>
          <w:lang w:val="es-MX"/>
        </w:rPr>
        <w:drawing>
          <wp:inline distT="0" distB="0" distL="0" distR="0">
            <wp:extent cx="5038725" cy="438150"/>
            <wp:effectExtent l="12700" t="12700" r="12700" b="127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t="89838" b="-38"/>
                    <a:stretch>
                      <a:fillRect/>
                    </a:stretch>
                  </pic:blipFill>
                  <pic:spPr>
                    <a:xfrm>
                      <a:off x="0" y="0"/>
                      <a:ext cx="5038725" cy="438150"/>
                    </a:xfrm>
                    <a:prstGeom prst="rect">
                      <a:avLst/>
                    </a:prstGeom>
                    <a:ln w="12700">
                      <a:solidFill>
                        <a:srgbClr val="000000"/>
                      </a:solidFill>
                      <a:prstDash val="solid"/>
                    </a:ln>
                  </pic:spPr>
                </pic:pic>
              </a:graphicData>
            </a:graphic>
          </wp:inline>
        </w:drawing>
      </w:r>
    </w:p>
    <w:p w:rsidR="001F20B9" w:rsidRDefault="00291E24">
      <w:pPr>
        <w:spacing w:line="360" w:lineRule="auto"/>
        <w:ind w:right="-1071"/>
        <w:jc w:val="center"/>
        <w:rPr>
          <w:rFonts w:ascii="Palatino Linotype" w:eastAsia="Palatino Linotype" w:hAnsi="Palatino Linotype" w:cs="Palatino Linotype"/>
          <w:color w:val="0D0D0D"/>
        </w:rPr>
      </w:pPr>
      <w:r>
        <w:rPr>
          <w:rFonts w:ascii="Palatino Linotype" w:eastAsia="Palatino Linotype" w:hAnsi="Palatino Linotype" w:cs="Palatino Linotype"/>
          <w:noProof/>
          <w:lang w:val="es-MX"/>
        </w:rPr>
        <w:drawing>
          <wp:inline distT="0" distB="0" distL="0" distR="0">
            <wp:extent cx="5038725" cy="1495425"/>
            <wp:effectExtent l="12700" t="12700" r="12700" b="12700"/>
            <wp:docPr id="6"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12"/>
                    <a:srcRect/>
                    <a:stretch>
                      <a:fillRect/>
                    </a:stretch>
                  </pic:blipFill>
                  <pic:spPr>
                    <a:xfrm>
                      <a:off x="0" y="0"/>
                      <a:ext cx="5038725" cy="1495425"/>
                    </a:xfrm>
                    <a:prstGeom prst="rect">
                      <a:avLst/>
                    </a:prstGeom>
                    <a:ln w="12700">
                      <a:solidFill>
                        <a:srgbClr val="000000"/>
                      </a:solidFill>
                      <a:prstDash val="solid"/>
                    </a:ln>
                  </pic:spPr>
                </pic:pic>
              </a:graphicData>
            </a:graphic>
          </wp:inline>
        </w:drawing>
      </w:r>
    </w:p>
    <w:p w:rsidR="001F20B9" w:rsidRDefault="00291E24">
      <w:pPr>
        <w:spacing w:line="360" w:lineRule="auto"/>
        <w:ind w:right="-1071"/>
        <w:jc w:val="both"/>
        <w:rPr>
          <w:rFonts w:ascii="Palatino Linotype" w:eastAsia="Palatino Linotype" w:hAnsi="Palatino Linotype" w:cs="Palatino Linotype"/>
          <w:color w:val="0D0D0D"/>
        </w:rPr>
      </w:pPr>
      <w:r>
        <w:rPr>
          <w:rFonts w:ascii="Palatino Linotype" w:eastAsia="Palatino Linotype" w:hAnsi="Palatino Linotype" w:cs="Palatino Linotype"/>
          <w:color w:val="0D0D0D"/>
        </w:rPr>
        <w:t xml:space="preserve"> </w:t>
      </w: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D0D0D"/>
        </w:rPr>
      </w:pPr>
      <w:r>
        <w:rPr>
          <w:rFonts w:ascii="Palatino Linotype" w:eastAsia="Palatino Linotype" w:hAnsi="Palatino Linotype" w:cs="Palatino Linotype"/>
          <w:b/>
          <w:bCs/>
          <w:color w:val="0D0D0D"/>
        </w:rPr>
        <w:t xml:space="preserve">48. </w:t>
      </w:r>
      <w:r>
        <w:rPr>
          <w:rFonts w:ascii="Palatino Linotype" w:eastAsia="Palatino Linotype" w:hAnsi="Palatino Linotype" w:cs="Palatino Linotype"/>
          <w:color w:val="0D0D0D"/>
        </w:rPr>
        <w:t>Por lo tanto, la Ley de Transparencia y Acceso a la Información Pública del Estado de México y Municipios, considera que los datos de servidores públicos y de aquellas personas que recibieron recursos públicos, por regla general, son de naturaleza pública, ya que su publicidad orienta a cumplir los objetivos que persigue la Ley; toda vez, que ayuda a transparentar a quienes se les han otorgado recursos públicos, así como, porque razones se les otorgaron dichos montos.</w:t>
      </w:r>
    </w:p>
    <w:p w:rsidR="001F20B9" w:rsidRDefault="001F20B9">
      <w:pPr>
        <w:spacing w:line="360" w:lineRule="auto"/>
        <w:ind w:right="-1071"/>
        <w:jc w:val="both"/>
        <w:rPr>
          <w:rFonts w:ascii="Palatino Linotype" w:eastAsia="Palatino Linotype" w:hAnsi="Palatino Linotype" w:cs="Palatino Linotype"/>
          <w:color w:val="0D0D0D"/>
        </w:rPr>
      </w:pP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D0D0D"/>
        </w:rPr>
      </w:pPr>
      <w:r>
        <w:rPr>
          <w:rFonts w:ascii="Palatino Linotype" w:eastAsia="Palatino Linotype" w:hAnsi="Palatino Linotype" w:cs="Palatino Linotype"/>
          <w:b/>
          <w:bCs/>
          <w:color w:val="0D0D0D"/>
        </w:rPr>
        <w:lastRenderedPageBreak/>
        <w:t xml:space="preserve">49. </w:t>
      </w:r>
      <w:r>
        <w:rPr>
          <w:rFonts w:ascii="Palatino Linotype" w:eastAsia="Palatino Linotype" w:hAnsi="Palatino Linotype" w:cs="Palatino Linotype"/>
          <w:color w:val="0D0D0D"/>
        </w:rPr>
        <w:t>Por lo que, se considera que no procede la clasificación del nombre de los proveedores, contratistas, empleados y personas que recibieron recursos públicos (beneficiarios), en términos del artículo 143, fracción I de la Ley de Transparencia y Acceso a la Información Pública del Estado de México y Municipios.</w:t>
      </w:r>
    </w:p>
    <w:p w:rsidR="001F20B9" w:rsidRDefault="001F20B9">
      <w:pPr>
        <w:spacing w:line="360" w:lineRule="auto"/>
        <w:ind w:right="-1071"/>
        <w:jc w:val="both"/>
        <w:rPr>
          <w:rFonts w:ascii="Palatino Linotype" w:eastAsia="Palatino Linotype" w:hAnsi="Palatino Linotype" w:cs="Palatino Linotype"/>
          <w:color w:val="0D0D0D"/>
        </w:rPr>
      </w:pPr>
    </w:p>
    <w:p w:rsidR="001F20B9" w:rsidRDefault="00291E24">
      <w:pPr>
        <w:ind w:right="-1071"/>
        <w:jc w:val="both"/>
        <w:rPr>
          <w:rFonts w:ascii="Palatino Linotype" w:eastAsia="Palatino Linotype" w:hAnsi="Palatino Linotype" w:cs="Palatino Linotype"/>
          <w:b/>
          <w:bCs/>
          <w:color w:val="0D0D0D"/>
        </w:rPr>
      </w:pPr>
      <w:r>
        <w:rPr>
          <w:rFonts w:ascii="Palatino Linotype" w:eastAsia="Palatino Linotype" w:hAnsi="Palatino Linotype" w:cs="Palatino Linotype"/>
          <w:b/>
          <w:bCs/>
          <w:color w:val="0D0D0D"/>
        </w:rPr>
        <w:t>Cuenta bancaria y clave interbancaria de personas físicas o morales (particulares, servidores públicos, proveedores, contratistas)</w:t>
      </w: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D0D0D"/>
        </w:rPr>
      </w:pPr>
      <w:r>
        <w:rPr>
          <w:rFonts w:ascii="Palatino Linotype" w:eastAsia="Palatino Linotype" w:hAnsi="Palatino Linotype" w:cs="Palatino Linotype"/>
          <w:b/>
          <w:bCs/>
          <w:color w:val="0D0D0D"/>
        </w:rPr>
        <w:t xml:space="preserve">50. </w:t>
      </w:r>
      <w:r>
        <w:rPr>
          <w:rFonts w:ascii="Palatino Linotype" w:eastAsia="Palatino Linotype" w:hAnsi="Palatino Linotype" w:cs="Palatino Linotype"/>
          <w:color w:val="0D0D0D"/>
        </w:rPr>
        <w:t>Al respecto, se estima que dichos datos se relacionan con hechos y actos de carácter económico, pues los mismos darían cuenta, de la relación que tiene una institución financiero con un particular, ya sea persona física o moral; además, que con dicha información se podría obtener los recursos enviados a las órdenes de cargo, pago o a las transferencias electrónicas e fondos interbancarios, entre otros movimientos que sean utilizados exclusivamente en la cuenta señalada por el cliente y, por lo tanto, los datos bancarios corresponden a información que se encuentra relacionada con el patrimonio de la persona titular de la cuenta.</w:t>
      </w:r>
    </w:p>
    <w:p w:rsidR="001F20B9" w:rsidRDefault="00291E24">
      <w:pPr>
        <w:spacing w:line="360" w:lineRule="auto"/>
        <w:ind w:right="-1071"/>
        <w:jc w:val="both"/>
        <w:rPr>
          <w:rFonts w:ascii="Palatino Linotype" w:eastAsia="Palatino Linotype" w:hAnsi="Palatino Linotype" w:cs="Palatino Linotype"/>
          <w:color w:val="0D0D0D"/>
        </w:rPr>
      </w:pPr>
      <w:r>
        <w:rPr>
          <w:rFonts w:ascii="Palatino Linotype" w:eastAsia="Palatino Linotype" w:hAnsi="Palatino Linotype" w:cs="Palatino Linotype"/>
          <w:color w:val="0D0D0D"/>
        </w:rPr>
        <w:t xml:space="preserve"> </w:t>
      </w: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D0D0D"/>
        </w:rPr>
      </w:pPr>
      <w:r>
        <w:rPr>
          <w:rFonts w:ascii="Palatino Linotype" w:eastAsia="Palatino Linotype" w:hAnsi="Palatino Linotype" w:cs="Palatino Linotype"/>
          <w:b/>
          <w:bCs/>
          <w:color w:val="0D0D0D"/>
        </w:rPr>
        <w:t xml:space="preserve">51. </w:t>
      </w:r>
      <w:r>
        <w:rPr>
          <w:rFonts w:ascii="Palatino Linotype" w:eastAsia="Palatino Linotype" w:hAnsi="Palatino Linotype" w:cs="Palatino Linotype"/>
          <w:color w:val="0D0D0D"/>
        </w:rPr>
        <w:t>A mayor abundamiento, resulta necesario traer a colación el Criterio Orientador, de la Segunda Época, con número de registro SO/010/2017, emitido por el Instituto Nacional de Transparencia, Acceso a la Información y Protección de Datos Personales, mismo que establece lo siguiente:</w:t>
      </w:r>
    </w:p>
    <w:p w:rsidR="001F20B9" w:rsidRDefault="00291E24">
      <w:pPr>
        <w:spacing w:line="276" w:lineRule="auto"/>
        <w:ind w:left="1134" w:right="-1071"/>
        <w:jc w:val="both"/>
        <w:rPr>
          <w:rFonts w:ascii="Palatino Linotype" w:eastAsia="Palatino Linotype" w:hAnsi="Palatino Linotype" w:cs="Palatino Linotype"/>
          <w:i/>
          <w:iCs/>
          <w:color w:val="0D0D0D"/>
        </w:rPr>
      </w:pPr>
      <w:r>
        <w:rPr>
          <w:rFonts w:ascii="Palatino Linotype" w:eastAsia="Palatino Linotype" w:hAnsi="Palatino Linotype" w:cs="Palatino Linotype"/>
          <w:b/>
          <w:bCs/>
          <w:i/>
          <w:iCs/>
          <w:color w:val="0D0D0D"/>
        </w:rPr>
        <w:t>“Cuentas bancarias y/o CLABE interbancaria de personas físicas y morales privadas.</w:t>
      </w:r>
      <w:r>
        <w:rPr>
          <w:rFonts w:ascii="Palatino Linotype" w:eastAsia="Palatino Linotype" w:hAnsi="Palatino Linotype" w:cs="Palatino Linotype"/>
          <w:i/>
          <w:iCs/>
          <w:color w:val="0D0D0D"/>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rsidR="001F20B9" w:rsidRDefault="00291E24" w:rsidP="00C532F6">
      <w:pPr>
        <w:spacing w:line="360" w:lineRule="auto"/>
        <w:ind w:right="-1071"/>
        <w:jc w:val="both"/>
        <w:rPr>
          <w:rFonts w:ascii="Palatino Linotype" w:eastAsia="Palatino Linotype" w:hAnsi="Palatino Linotype" w:cs="Palatino Linotype"/>
          <w:color w:val="0D0D0D"/>
        </w:rPr>
      </w:pPr>
      <w:r>
        <w:rPr>
          <w:rFonts w:ascii="Palatino Linotype" w:eastAsia="Palatino Linotype" w:hAnsi="Palatino Linotype" w:cs="Palatino Linotype"/>
          <w:color w:val="0D0D0D"/>
        </w:rPr>
        <w:lastRenderedPageBreak/>
        <w:t xml:space="preserve"> </w:t>
      </w:r>
      <w:r>
        <w:rPr>
          <w:rFonts w:ascii="Palatino Linotype" w:eastAsia="Palatino Linotype" w:hAnsi="Palatino Linotype" w:cs="Palatino Linotype"/>
          <w:b/>
          <w:bCs/>
          <w:color w:val="0D0D0D"/>
        </w:rPr>
        <w:t>52.</w:t>
      </w:r>
      <w:r>
        <w:rPr>
          <w:rFonts w:ascii="Palatino Linotype" w:eastAsia="Palatino Linotype" w:hAnsi="Palatino Linotype" w:cs="Palatino Linotype"/>
          <w:color w:val="0D0D0D"/>
        </w:rPr>
        <w:t xml:space="preserve"> Por lo cual, se puede colegir que dichos datos no guardan relación con el servicio público ni con los recursos públicos, pues solo corresponde a información, que le atañe a la institución financiera y al cliente; por lo que este número constituye información confidencial al pertenecer exclusivamente al ámbito de la vida privada y procede su eliminación de conformidad con el artículo 143, fracción I, de la Ley de Transparencia y Acceso a la Información Pública del Estado de México y Municipios.</w:t>
      </w:r>
    </w:p>
    <w:p w:rsidR="001F20B9" w:rsidRDefault="001F20B9">
      <w:pPr>
        <w:spacing w:line="360" w:lineRule="auto"/>
        <w:ind w:right="-1071"/>
        <w:jc w:val="both"/>
        <w:rPr>
          <w:rFonts w:ascii="Palatino Linotype" w:eastAsia="Palatino Linotype" w:hAnsi="Palatino Linotype" w:cs="Palatino Linotype"/>
          <w:color w:val="0D0D0D"/>
        </w:rPr>
      </w:pPr>
    </w:p>
    <w:p w:rsidR="001F20B9" w:rsidRDefault="00291E24">
      <w:pPr>
        <w:spacing w:line="360" w:lineRule="auto"/>
        <w:ind w:right="-1071"/>
        <w:jc w:val="both"/>
        <w:rPr>
          <w:rFonts w:ascii="Palatino Linotype" w:eastAsia="Palatino Linotype" w:hAnsi="Palatino Linotype" w:cs="Palatino Linotype"/>
          <w:b/>
          <w:bCs/>
          <w:color w:val="0D0D0D"/>
        </w:rPr>
      </w:pPr>
      <w:r>
        <w:rPr>
          <w:rFonts w:ascii="Palatino Linotype" w:eastAsia="Palatino Linotype" w:hAnsi="Palatino Linotype" w:cs="Palatino Linotype"/>
          <w:b/>
          <w:bCs/>
          <w:color w:val="0D0D0D"/>
        </w:rPr>
        <w:t>Cuenta bancaria y clave interbancaria de instituciones públicas</w:t>
      </w: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53. </w:t>
      </w:r>
      <w:r>
        <w:rPr>
          <w:rFonts w:ascii="Palatino Linotype" w:eastAsia="Palatino Linotype" w:hAnsi="Palatino Linotype" w:cs="Palatino Linotype"/>
          <w:color w:val="000000"/>
        </w:rPr>
        <w:t>En relación con el número de cuenta de instituciones públicas, en donde reciben o transfieren recursos públicos, debe señalarse que la misma es considerada como información pública, pues su difusión favorece la rendición de cuentas al transparentar la forma en que se administran los recursos públicos, razón por la cual no pueden considerarse como información clasificada. Lo anterior se robustece con el Criterio SO/011/2017, emitido por el Instituto Nacional de Transparencia, Acceso a la Información y Protección de Datos Personales, mismo que a la letra señala:</w:t>
      </w:r>
    </w:p>
    <w:p w:rsidR="001F20B9" w:rsidRDefault="00291E24">
      <w:pPr>
        <w:tabs>
          <w:tab w:val="left" w:pos="7938"/>
        </w:tabs>
        <w:spacing w:line="276" w:lineRule="auto"/>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t>“Cuentas bancarias y/o CLABE interbancaria de sujetos obligados que reciben y/o transfieren recursos públicos, son información pública.</w:t>
      </w:r>
      <w:r>
        <w:rPr>
          <w:rFonts w:ascii="Palatino Linotype" w:eastAsia="Palatino Linotype" w:hAnsi="Palatino Linotype" w:cs="Palatino Linotype"/>
          <w:i/>
          <w:iCs/>
        </w:rPr>
        <w:t xml:space="preserve"> La difusión de las cuentas bancarias y claves interbancarias pertenecientes a un sujeto obligado favorece la rendición de cuentas al transparentar la forma en que se administran los recursos públicos, </w:t>
      </w:r>
      <w:r>
        <w:rPr>
          <w:rFonts w:ascii="Palatino Linotype" w:eastAsia="Palatino Linotype" w:hAnsi="Palatino Linotype" w:cs="Palatino Linotype"/>
          <w:i/>
          <w:iCs/>
          <w:u w:val="single"/>
        </w:rPr>
        <w:t>razón por la cual no pueden considerarse como información clasificada.</w:t>
      </w:r>
      <w:r>
        <w:rPr>
          <w:rFonts w:ascii="Palatino Linotype" w:eastAsia="Palatino Linotype" w:hAnsi="Palatino Linotype" w:cs="Palatino Linotype"/>
          <w:i/>
          <w:iCs/>
        </w:rPr>
        <w:t>”</w:t>
      </w:r>
    </w:p>
    <w:p w:rsidR="001F20B9" w:rsidRDefault="001F20B9">
      <w:pPr>
        <w:spacing w:line="360" w:lineRule="auto"/>
        <w:ind w:right="-1071"/>
        <w:jc w:val="both"/>
        <w:rPr>
          <w:rFonts w:ascii="Palatino Linotype" w:eastAsia="Palatino Linotype" w:hAnsi="Palatino Linotype" w:cs="Palatino Linotype"/>
          <w:b/>
          <w:bCs/>
        </w:rPr>
      </w:pPr>
    </w:p>
    <w:p w:rsidR="001F20B9" w:rsidRDefault="00291E24">
      <w:p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rPr>
        <w:t xml:space="preserve">54. </w:t>
      </w:r>
      <w:r>
        <w:rPr>
          <w:rFonts w:ascii="Palatino Linotype" w:eastAsia="Palatino Linotype" w:hAnsi="Palatino Linotype" w:cs="Palatino Linotype"/>
        </w:rPr>
        <w:t>Por tales circunstancias, no puede ser considera como información confidencial el número de cuenta de las instituciones públicas y, por lo tanto, no procede su clasificación en términos del artículo 143, fracción I, de la Ley de Transparencia y Acceso a la Información Pública del Estado de México y Municipios.</w:t>
      </w:r>
    </w:p>
    <w:p w:rsidR="001F20B9" w:rsidRDefault="00291E24">
      <w:pPr>
        <w:ind w:right="-107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 xml:space="preserve">Registro Federal de Contribuyentes </w:t>
      </w:r>
    </w:p>
    <w:p w:rsidR="001F20B9" w:rsidRDefault="00291E24">
      <w:pPr>
        <w:ind w:right="-107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Persona física (servidor público, proveedor o contratista)</w:t>
      </w: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55. </w:t>
      </w:r>
      <w:r>
        <w:rPr>
          <w:rFonts w:ascii="Palatino Linotype" w:eastAsia="Palatino Linotype" w:hAnsi="Palatino Linotype" w:cs="Palatino Linotype"/>
          <w:color w:val="000000"/>
        </w:rPr>
        <w:t>Al respecto, es necesario precisar que el proveedor de cualquier Sujeto Obligado de la Ley de la materia, que sea una persona física, debe cumplir con los requisitos establecidos en los artículos 29 y 32 del Reglamento de la Ley de Contratación Pública del Estado de México y Municipios; es decir, para que los individuos puedan participar en actos de adquisición o de contratación de servicios que requieran las dependencias, organismos auxiliares y tribunales administrativos, así como los Gobiernos Municipales, deberán presentar, entre otras cosas, la cédula de identificación fiscal (Registro Federal de Contribuyentes); por lo que la entrega de dicho dato permite verificar cumplimiento de esta disposición legal.</w:t>
      </w:r>
    </w:p>
    <w:p w:rsidR="001F20B9" w:rsidRDefault="001F20B9">
      <w:pPr>
        <w:spacing w:line="360" w:lineRule="auto"/>
        <w:ind w:right="-1071"/>
        <w:jc w:val="both"/>
        <w:rPr>
          <w:rFonts w:ascii="Palatino Linotype" w:eastAsia="Palatino Linotype" w:hAnsi="Palatino Linotype" w:cs="Palatino Linotype"/>
          <w:color w:val="000000"/>
        </w:rPr>
      </w:pP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56. </w:t>
      </w:r>
      <w:r>
        <w:rPr>
          <w:rFonts w:ascii="Palatino Linotype" w:eastAsia="Palatino Linotype" w:hAnsi="Palatino Linotype" w:cs="Palatino Linotype"/>
          <w:color w:val="000000"/>
        </w:rPr>
        <w:t>Por lo tanto, en el presente caso, si bien el Registro Federal de Contribuyentes de personas físicas es un dato personal, también lo es, que corresponde a un requisito indispensable para ser proveedor y poder llevar a cabo actividades comerciales con la Entidad, ya que, sin este, no se pueden realizar dichas acciones, por lo que su entrega es un elemento adicional que respalda la legalidad de los procesos adquisitivos.</w:t>
      </w:r>
    </w:p>
    <w:p w:rsidR="001F20B9" w:rsidRDefault="001F20B9">
      <w:pPr>
        <w:spacing w:line="360" w:lineRule="auto"/>
        <w:ind w:right="-1071"/>
        <w:jc w:val="both"/>
        <w:rPr>
          <w:rFonts w:ascii="Palatino Linotype" w:eastAsia="Palatino Linotype" w:hAnsi="Palatino Linotype" w:cs="Palatino Linotype"/>
          <w:color w:val="000000"/>
        </w:rPr>
      </w:pP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57. </w:t>
      </w:r>
      <w:r>
        <w:rPr>
          <w:rFonts w:ascii="Palatino Linotype" w:eastAsia="Palatino Linotype" w:hAnsi="Palatino Linotype" w:cs="Palatino Linotype"/>
          <w:color w:val="000000"/>
        </w:rPr>
        <w:t>En ese contexto, entregar el Registro Federal de Contribuyentes aún de personas físicas cuando son proveedores de instituciones públicas, propiciaría la rendición de cuentas, al permitir verificar que se cumplió con uno de los requisitos necesarios conforme a la normatividad aplicable en materia de contrataciones, lo cual, transparenta el correcto ejercicio de recursos públicos por parte de los sujetos obligados, lo que es acorde con el principio de máxima publicidad.</w:t>
      </w:r>
    </w:p>
    <w:p w:rsidR="001F20B9" w:rsidRDefault="001F20B9">
      <w:pPr>
        <w:spacing w:line="360" w:lineRule="auto"/>
        <w:ind w:right="-1071"/>
        <w:jc w:val="both"/>
        <w:rPr>
          <w:rFonts w:ascii="Palatino Linotype" w:eastAsia="Palatino Linotype" w:hAnsi="Palatino Linotype" w:cs="Palatino Linotype"/>
          <w:color w:val="000000"/>
        </w:rPr>
      </w:pPr>
    </w:p>
    <w:p w:rsidR="001F20B9" w:rsidRDefault="00291E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rPr>
        <w:lastRenderedPageBreak/>
        <w:t xml:space="preserve">58. </w:t>
      </w:r>
      <w:r>
        <w:rPr>
          <w:rFonts w:ascii="Palatino Linotype" w:eastAsia="Palatino Linotype" w:hAnsi="Palatino Linotype" w:cs="Palatino Linotype"/>
          <w:color w:val="000000"/>
        </w:rPr>
        <w:t>Lo anterior, se robustece con el Criterio Orientador, de la Segunda Época, con número de registro SO/004/2021, emitido por el entonces Instituto Nacional de Transparencia, Acceso a la Información y Protección de Datos Personales, vigente a la fecha de la solicitud, en el cual se señala lo siguiente:</w:t>
      </w:r>
    </w:p>
    <w:p w:rsidR="001F20B9" w:rsidRDefault="00291E24">
      <w:pPr>
        <w:tabs>
          <w:tab w:val="center" w:pos="4522"/>
        </w:tabs>
        <w:spacing w:line="276" w:lineRule="auto"/>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“Registro Federal de Contribuyentes (RFC) de personas físicas proveedores o contratistas. </w:t>
      </w:r>
      <w:r>
        <w:rPr>
          <w:rFonts w:ascii="Palatino Linotype" w:eastAsia="Palatino Linotype" w:hAnsi="Palatino Linotype" w:cs="Palatino Linotype"/>
          <w:i/>
          <w:iCs/>
          <w:color w:val="000000"/>
        </w:rPr>
        <w:t>El RFC de contratistas o proveedores de sujetos obligados debe ser público, ya que al tratarse de personas relacionadas con contrataciones públicas, su difusión favorece la transparencia con la que deben administrarse los recursos públicos, en términos del artículo 134 de la Constitución Política de los Estados Unidos Mexicanos. “</w:t>
      </w:r>
    </w:p>
    <w:p w:rsidR="001F20B9" w:rsidRDefault="001F20B9">
      <w:pPr>
        <w:tabs>
          <w:tab w:val="center" w:pos="4522"/>
        </w:tabs>
        <w:spacing w:line="276" w:lineRule="auto"/>
        <w:ind w:left="1134" w:right="-1071"/>
        <w:jc w:val="both"/>
        <w:rPr>
          <w:rFonts w:ascii="Palatino Linotype" w:eastAsia="Palatino Linotype" w:hAnsi="Palatino Linotype" w:cs="Palatino Linotype"/>
          <w:color w:val="000000"/>
        </w:rPr>
      </w:pPr>
    </w:p>
    <w:p w:rsidR="001F20B9" w:rsidRDefault="00291E24">
      <w:pPr>
        <w:tabs>
          <w:tab w:val="center" w:pos="4522"/>
        </w:tabs>
        <w:spacing w:line="360" w:lineRule="auto"/>
        <w:ind w:right="-1071"/>
        <w:jc w:val="both"/>
        <w:rPr>
          <w:rFonts w:ascii="Palatino Linotype" w:eastAsia="Palatino Linotype" w:hAnsi="Palatino Linotype" w:cs="Palatino Linotype"/>
          <w:b/>
          <w:bCs/>
          <w:color w:val="000000"/>
          <w:u w:val="single"/>
        </w:rPr>
      </w:pPr>
      <w:r w:rsidRPr="00C532F6">
        <w:rPr>
          <w:rFonts w:ascii="Palatino Linotype" w:eastAsia="Palatino Linotype" w:hAnsi="Palatino Linotype" w:cs="Palatino Linotype"/>
          <w:b/>
        </w:rPr>
        <w:t>59.</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Es así que, toda vez que el Registro Federal de Contribuyentes de proveedores o contratistas, es un requisito indispensable, para poder participar en adquisiciones públicas y contracción de servicios y que abona a la transparencia con la que deben administrarse los recursos públicos, no actualiza la causal de clasificación prevista en el artículo 143, fracción I de la Ley de Transparencia y Acceso a la Información Pública del Estado de México y Municipios.</w:t>
      </w:r>
    </w:p>
    <w:p w:rsidR="001F20B9" w:rsidRDefault="001F20B9">
      <w:pPr>
        <w:tabs>
          <w:tab w:val="center" w:pos="4522"/>
        </w:tabs>
        <w:spacing w:line="360" w:lineRule="auto"/>
        <w:ind w:right="-1071"/>
        <w:jc w:val="both"/>
        <w:rPr>
          <w:rFonts w:ascii="Palatino Linotype" w:eastAsia="Palatino Linotype" w:hAnsi="Palatino Linotype" w:cs="Palatino Linotype"/>
          <w:b/>
          <w:bCs/>
          <w:color w:val="000000"/>
        </w:rPr>
      </w:pPr>
    </w:p>
    <w:p w:rsidR="001F20B9" w:rsidRDefault="00291E24">
      <w:pPr>
        <w:tabs>
          <w:tab w:val="center" w:pos="4522"/>
        </w:tabs>
        <w:spacing w:line="360" w:lineRule="auto"/>
        <w:ind w:right="-107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Persona Moral</w:t>
      </w:r>
    </w:p>
    <w:p w:rsidR="001F20B9" w:rsidRPr="00C532F6" w:rsidRDefault="00291E24" w:rsidP="00C532F6">
      <w:pPr>
        <w:pStyle w:val="Prrafodelista"/>
        <w:numPr>
          <w:ilvl w:val="0"/>
          <w:numId w:val="11"/>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sidRPr="00C532F6">
        <w:rPr>
          <w:rFonts w:ascii="Palatino Linotype" w:eastAsia="Palatino Linotype" w:hAnsi="Palatino Linotype" w:cs="Palatino Linotype"/>
          <w:color w:val="000000"/>
        </w:rPr>
        <w:t xml:space="preserve">Al respecto, el Registro Federal de Contribuyentes, inicia con un preinscripción por Internet y se concluye en cualquier Administración Desconcentrada de Servicios al Contribuyente, en donde aquellas personas que realicen el trámite tendrán que entregar ciertos documentos, que para las personas jurídico colectivas, serán, entre otros, la copia certificada del documento constitutivo debidamente protocolizado, comprobante de domicilio, identificación personal, número de folio asignado que se le proporcionó al realizar el envío de su preinscripción y copia certificada del poder notarial con el que se acredite la personalidad del representante legal, o carta poder firmada ante dos testigos y ratificadas las firmas ante las </w:t>
      </w:r>
      <w:r w:rsidRPr="00C532F6">
        <w:rPr>
          <w:rFonts w:ascii="Palatino Linotype" w:eastAsia="Palatino Linotype" w:hAnsi="Palatino Linotype" w:cs="Palatino Linotype"/>
          <w:color w:val="000000"/>
        </w:rPr>
        <w:lastRenderedPageBreak/>
        <w:t>autoridades fiscales o ante notario o fedatario público. Derivado del trámite se obtiene, entre otros, la cédula de identificación fiscal o constancia de registro; por ende, la información correspondiente al Registro Federal de Contribuyentes de una persona moral da cuenta del cumplimiento o no en sus obligaciones fiscales; por tanto, no se actualiza su clasificación como confidencial.</w:t>
      </w:r>
    </w:p>
    <w:p w:rsidR="001F20B9" w:rsidRDefault="001F20B9">
      <w:pPr>
        <w:tabs>
          <w:tab w:val="center" w:pos="4522"/>
        </w:tabs>
        <w:spacing w:line="360" w:lineRule="auto"/>
        <w:ind w:right="-1071"/>
        <w:jc w:val="both"/>
        <w:rPr>
          <w:rFonts w:ascii="Palatino Linotype" w:eastAsia="Palatino Linotype" w:hAnsi="Palatino Linotype" w:cs="Palatino Linotype"/>
          <w:color w:val="000000"/>
        </w:rPr>
      </w:pPr>
    </w:p>
    <w:p w:rsidR="001F20B9" w:rsidRPr="00C532F6" w:rsidRDefault="00291E24" w:rsidP="00C532F6">
      <w:pPr>
        <w:pStyle w:val="Prrafodelista"/>
        <w:numPr>
          <w:ilvl w:val="0"/>
          <w:numId w:val="11"/>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sidRPr="00C532F6">
        <w:rPr>
          <w:rFonts w:ascii="Palatino Linotype" w:eastAsia="Palatino Linotype" w:hAnsi="Palatino Linotype" w:cs="Palatino Linotype"/>
          <w:color w:val="000000"/>
        </w:rPr>
        <w:t>Además, resulta aplicable por analogía el Criterio Orientador, de la Segunda Época, con número de registro SO/008/2019, emitido por el entonces Instituto Nacional de Transparencia, Acceso a la Información y Protección de Datos Personales, vigente a la fecha de la solicitud, que precisa que el Registro Federal de Contribuyentes de personas morales, es público, al no referir a hechos o actos de carácter económico, contable, jurídico o administrativo que sean útiles o representen una ventaja a sus competidores; de tales circunstancias, el Registro Federal de Contribuyentes de personas morales, no actualizan la causal de clasificación, prevista en el artículo 143, fracción I de la Ley de Transparencia y Acceso a la Información Pública del Estado de México y Municipios, al ser de naturaleza pública.</w:t>
      </w:r>
    </w:p>
    <w:p w:rsidR="001F20B9" w:rsidRDefault="001F20B9">
      <w:pPr>
        <w:spacing w:line="360" w:lineRule="auto"/>
        <w:ind w:right="-1071"/>
        <w:jc w:val="both"/>
        <w:rPr>
          <w:rFonts w:ascii="Palatino Linotype" w:eastAsia="Palatino Linotype" w:hAnsi="Palatino Linotype" w:cs="Palatino Linotype"/>
          <w:b/>
          <w:bCs/>
          <w:color w:val="000000"/>
        </w:rPr>
      </w:pPr>
    </w:p>
    <w:p w:rsidR="001F20B9" w:rsidRDefault="00291E24">
      <w:pPr>
        <w:spacing w:line="360" w:lineRule="auto"/>
        <w:ind w:right="-107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Número de teléfono y correo electrónico de proveedor o contratista</w:t>
      </w:r>
    </w:p>
    <w:p w:rsidR="001F20B9" w:rsidRDefault="00291E24" w:rsidP="00C532F6">
      <w:pPr>
        <w:numPr>
          <w:ilvl w:val="0"/>
          <w:numId w:val="11"/>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número asignado a un teléfono, permite localizar, en el presente caso, de un proveedor, ya sea a través de un dispositivo móvil o bien, en un lugar como el domicilio; mientras que correo electrónico es un sistema de transmisión de mensajes por computadora a través de redes informáticas. Dicho dato se puede asimilar al teléfono o domicilio, toda vez que es un medio para comunicarse con un proveedor, en el presente caso.</w:t>
      </w:r>
    </w:p>
    <w:p w:rsidR="001F20B9" w:rsidRDefault="001F20B9">
      <w:pPr>
        <w:tabs>
          <w:tab w:val="center" w:pos="4522"/>
        </w:tabs>
        <w:spacing w:line="360" w:lineRule="auto"/>
        <w:ind w:right="-1071"/>
        <w:jc w:val="both"/>
        <w:rPr>
          <w:rFonts w:ascii="Palatino Linotype" w:eastAsia="Palatino Linotype" w:hAnsi="Palatino Linotype" w:cs="Palatino Linotype"/>
          <w:color w:val="000000"/>
        </w:rPr>
      </w:pPr>
    </w:p>
    <w:p w:rsidR="001F20B9" w:rsidRDefault="00291E24" w:rsidP="00C532F6">
      <w:pPr>
        <w:numPr>
          <w:ilvl w:val="0"/>
          <w:numId w:val="11"/>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Como se logra observar, el correo electrónico y teléfono de los proveedores son públicos y deben ser publicados por los Sujetos Obligados, al cumplir con sus obligaciones comunes de transparencia y, por lo tanto, no actualizan la causal de clasificación en términos del artículo 143, fracción I, de la Ley de Transparencia y Acceso a la Información Pública del Estado de México y Municipios.</w:t>
      </w:r>
    </w:p>
    <w:p w:rsidR="001F20B9" w:rsidRDefault="001F20B9">
      <w:pPr>
        <w:tabs>
          <w:tab w:val="center" w:pos="4522"/>
        </w:tabs>
        <w:spacing w:line="360" w:lineRule="auto"/>
        <w:ind w:right="-1071"/>
        <w:jc w:val="both"/>
        <w:rPr>
          <w:rFonts w:ascii="Palatino Linotype" w:eastAsia="Palatino Linotype" w:hAnsi="Palatino Linotype" w:cs="Palatino Linotype"/>
          <w:color w:val="000000"/>
        </w:rPr>
      </w:pPr>
    </w:p>
    <w:p w:rsidR="001F20B9" w:rsidRDefault="00291E24">
      <w:pP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Firma del proveedor, contratista o representante legal</w:t>
      </w:r>
    </w:p>
    <w:p w:rsidR="001F20B9" w:rsidRDefault="00291E24" w:rsidP="00C532F6">
      <w:pPr>
        <w:numPr>
          <w:ilvl w:val="0"/>
          <w:numId w:val="11"/>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respecto, la firma es considerada un dato personal, al tratarse de información gráfica a través de la cual su titular exterioriza su voluntad en actos públicos y privados; dicho dato exterioriza la voluntad en un acto público y que lo realiza una persona física identificada o identificable, en su calidad de proveedor o representante legal, por lo que, expresa el consentimiento del contratista para realizar o recibir ciertas obligaciones; además, que le otorga validez al instrumento jurídico, en el presente caso, la celebración de contratos para la adquisición o arrendamiento de bienes y servicios.</w:t>
      </w:r>
    </w:p>
    <w:p w:rsidR="001F20B9" w:rsidRDefault="001F20B9">
      <w:pPr>
        <w:spacing w:line="360" w:lineRule="auto"/>
        <w:ind w:right="-1071"/>
        <w:jc w:val="both"/>
        <w:rPr>
          <w:rFonts w:ascii="Palatino Linotype" w:eastAsia="Palatino Linotype" w:hAnsi="Palatino Linotype" w:cs="Palatino Linotype"/>
          <w:color w:val="000000"/>
        </w:rPr>
      </w:pPr>
    </w:p>
    <w:p w:rsidR="001F20B9" w:rsidRDefault="00291E24" w:rsidP="00C532F6">
      <w:pPr>
        <w:numPr>
          <w:ilvl w:val="0"/>
          <w:numId w:val="11"/>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Conforme a lo anterior, no procede la clasificación de la firma del proveedor o representante legal, localizados en los documentos que den cuenta de la información solicitada, en términos del artículo 143, fracción I de la Ley de Transparencia y Acceso a la Información Pública del Estado de México y Municipios.</w:t>
      </w:r>
    </w:p>
    <w:p w:rsidR="001F20B9" w:rsidRDefault="001F20B9">
      <w:pPr>
        <w:spacing w:line="360" w:lineRule="auto"/>
        <w:ind w:right="-1071"/>
        <w:jc w:val="both"/>
        <w:rPr>
          <w:rFonts w:ascii="Palatino Linotype" w:eastAsia="Palatino Linotype" w:hAnsi="Palatino Linotype" w:cs="Palatino Linotype"/>
          <w:color w:val="000000"/>
        </w:rPr>
      </w:pPr>
    </w:p>
    <w:p w:rsidR="001F20B9" w:rsidRDefault="00291E24">
      <w:pPr>
        <w:ind w:right="-107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Domicilio Fiscal o legal para recibir y oír notificaciones (proveedor o contratista persona física o moral).</w:t>
      </w:r>
    </w:p>
    <w:p w:rsidR="001F20B9" w:rsidRDefault="001F20B9">
      <w:pPr>
        <w:tabs>
          <w:tab w:val="center" w:pos="4522"/>
        </w:tabs>
        <w:spacing w:line="360" w:lineRule="auto"/>
        <w:ind w:right="-1071"/>
        <w:jc w:val="both"/>
        <w:rPr>
          <w:rFonts w:ascii="Palatino Linotype" w:eastAsia="Palatino Linotype" w:hAnsi="Palatino Linotype" w:cs="Palatino Linotype"/>
          <w:color w:val="000000"/>
        </w:rPr>
      </w:pPr>
    </w:p>
    <w:p w:rsidR="001F20B9" w:rsidRDefault="00291E24" w:rsidP="00C532F6">
      <w:pPr>
        <w:numPr>
          <w:ilvl w:val="0"/>
          <w:numId w:val="11"/>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acuerdo a lo señalado en los artículos 2.17 y 2.21 del Código Civil del Estado de México, el domicilio de una persona física, es el lugar donde reside, en donde tiene el principal </w:t>
      </w:r>
      <w:r>
        <w:rPr>
          <w:rFonts w:ascii="Palatino Linotype" w:eastAsia="Palatino Linotype" w:hAnsi="Palatino Linotype" w:cs="Palatino Linotype"/>
          <w:color w:val="000000"/>
        </w:rPr>
        <w:lastRenderedPageBreak/>
        <w:t>asiente de negocios, o en su caso, el dónde se halle; mientras, que el de personas jurídicas colectivas, es aquel donde se halle establecida su administración o ejerza sus actividades.</w:t>
      </w:r>
    </w:p>
    <w:p w:rsidR="001F20B9" w:rsidRDefault="001F20B9">
      <w:pPr>
        <w:tabs>
          <w:tab w:val="center" w:pos="4522"/>
        </w:tabs>
        <w:spacing w:line="360" w:lineRule="auto"/>
        <w:ind w:right="-1071"/>
        <w:jc w:val="both"/>
        <w:rPr>
          <w:rFonts w:ascii="Palatino Linotype" w:eastAsia="Palatino Linotype" w:hAnsi="Palatino Linotype" w:cs="Palatino Linotype"/>
          <w:color w:val="000000"/>
        </w:rPr>
      </w:pPr>
    </w:p>
    <w:p w:rsidR="001F20B9" w:rsidRDefault="00291E24" w:rsidP="00C532F6">
      <w:pPr>
        <w:numPr>
          <w:ilvl w:val="0"/>
          <w:numId w:val="11"/>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 la misma manera, lo establece los diversos 29 y 33 del Código Civil Federal, al precisar que el domicilio de personas físicas</w:t>
      </w:r>
      <w:r>
        <w:rPr>
          <w:rFonts w:ascii="Palatino Linotype" w:eastAsia="Palatino Linotype" w:hAnsi="Palatino Linotype" w:cs="Palatino Linotype"/>
          <w:b/>
          <w:bCs/>
          <w:color w:val="000000"/>
        </w:rPr>
        <w:t xml:space="preserve">, es el lugar donde residen habitualmente, el lugar del centro principal de sus negocios, donde residan o el lugar donde se encuentren; </w:t>
      </w:r>
      <w:r>
        <w:rPr>
          <w:rFonts w:ascii="Palatino Linotype" w:eastAsia="Palatino Linotype" w:hAnsi="Palatino Linotype" w:cs="Palatino Linotype"/>
          <w:color w:val="000000"/>
        </w:rPr>
        <w:t>mientras que, de las personas morales, aquel donde se halle su administración.</w:t>
      </w:r>
    </w:p>
    <w:p w:rsidR="001F20B9" w:rsidRDefault="001F20B9">
      <w:pPr>
        <w:tabs>
          <w:tab w:val="center" w:pos="4522"/>
        </w:tabs>
        <w:spacing w:line="360" w:lineRule="auto"/>
        <w:ind w:right="-1071"/>
        <w:jc w:val="both"/>
        <w:rPr>
          <w:rFonts w:ascii="Palatino Linotype" w:eastAsia="Palatino Linotype" w:hAnsi="Palatino Linotype" w:cs="Palatino Linotype"/>
          <w:b/>
          <w:bCs/>
          <w:color w:val="000000"/>
        </w:rPr>
      </w:pPr>
    </w:p>
    <w:p w:rsidR="001F20B9" w:rsidRDefault="00291E24" w:rsidP="00C532F6">
      <w:pPr>
        <w:numPr>
          <w:ilvl w:val="0"/>
          <w:numId w:val="11"/>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respecto al domicilio fiscal, resulta necesario traer el artículo 10 del Código Fiscal de la Federación, que establece que, tratándose de personas físicas, corresponderá dicho dato:</w:t>
      </w:r>
    </w:p>
    <w:p w:rsidR="001F20B9" w:rsidRDefault="00291E24">
      <w:pPr>
        <w:numPr>
          <w:ilvl w:val="0"/>
          <w:numId w:val="9"/>
        </w:numPr>
        <w:spacing w:line="360" w:lineRule="auto"/>
        <w:ind w:left="1134" w:right="-1071"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lugar donde realizan actividades empresariales, el local, en que se encuentre el principal asiente de sus negocios, y</w:t>
      </w:r>
    </w:p>
    <w:p w:rsidR="001F20B9" w:rsidRDefault="00291E24">
      <w:pPr>
        <w:numPr>
          <w:ilvl w:val="0"/>
          <w:numId w:val="9"/>
        </w:numPr>
        <w:spacing w:line="360" w:lineRule="auto"/>
        <w:ind w:left="1134" w:right="-1071"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 casa habitación, cuando no cuenta con un local o lugar donde realice las acciones previamente señaladas.</w:t>
      </w:r>
    </w:p>
    <w:p w:rsidR="001F20B9" w:rsidRDefault="001F20B9">
      <w:pPr>
        <w:tabs>
          <w:tab w:val="center" w:pos="4522"/>
        </w:tabs>
        <w:spacing w:line="360" w:lineRule="auto"/>
        <w:ind w:right="-1071"/>
        <w:jc w:val="both"/>
        <w:rPr>
          <w:rFonts w:ascii="Palatino Linotype" w:eastAsia="Palatino Linotype" w:hAnsi="Palatino Linotype" w:cs="Palatino Linotype"/>
          <w:color w:val="000000"/>
        </w:rPr>
      </w:pPr>
    </w:p>
    <w:p w:rsidR="001F20B9" w:rsidRDefault="00291E24" w:rsidP="00C532F6">
      <w:pPr>
        <w:numPr>
          <w:ilvl w:val="0"/>
          <w:numId w:val="11"/>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Mientras que, en el caso de personas morales, el domicilio fiscal, corresponderá al local donde se encuentra la administración principal del negocio. Como se logra observar, el domicilio fiscal de los proveedores personas físicas, se encuentra en dos supuestos, por lo que, se procede a su análisis; si bien es cierto que el primero, corresponde al lugar en donde reside habitualmente una persona en comento y, permite hacerlo identificable y ubicable, propiciando que pueda ser molestado en su casa, de este modo, los datos que permiten a cualquier individuo con esfuerzos mínimos identificar el lugar de residencia constituye un dato personal y, por ende, susceptible de clasificarse como confidencial, ya que incide </w:t>
      </w:r>
      <w:r>
        <w:rPr>
          <w:rFonts w:ascii="Palatino Linotype" w:eastAsia="Palatino Linotype" w:hAnsi="Palatino Linotype" w:cs="Palatino Linotype"/>
          <w:color w:val="000000"/>
        </w:rPr>
        <w:lastRenderedPageBreak/>
        <w:t>directamente en la vida privada del individuo identificado, no debe dejarse de lado que, aquellas personas que deciden tener relaciones comerciales con las instituciones públicas, tienen una expectativa de privacidad menor, respecto del resto de las personas, en razón de obtener el beneficio de vender sus productos o servicios y recibir por ellos dinero del erario, situación que debe ser transparentada.</w:t>
      </w:r>
    </w:p>
    <w:p w:rsidR="001F20B9" w:rsidRDefault="001F20B9">
      <w:pPr>
        <w:tabs>
          <w:tab w:val="center" w:pos="4522"/>
        </w:tabs>
        <w:spacing w:line="360" w:lineRule="auto"/>
        <w:ind w:right="-1071"/>
        <w:jc w:val="both"/>
        <w:rPr>
          <w:rFonts w:ascii="Palatino Linotype" w:eastAsia="Palatino Linotype" w:hAnsi="Palatino Linotype" w:cs="Palatino Linotype"/>
          <w:color w:val="000000"/>
        </w:rPr>
      </w:pPr>
    </w:p>
    <w:p w:rsidR="001F20B9" w:rsidRDefault="00291E24" w:rsidP="00C532F6">
      <w:pPr>
        <w:numPr>
          <w:ilvl w:val="0"/>
          <w:numId w:val="11"/>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Como se logra observar, es obligación de transparencia proporcionar el domicilio fiscal de los proveedores, por lo que, se considera que, en el caso, de que dicho dato, corresponda a un local o lugar donde realice sus actividades empresariales, es dable su entrega, de tal suerte que, tratándose de proveedores (personas físicas o jurídico-colectivas), el domicilio fiscal, no actualiza la causal de clasificación, establecida en el artículo 143, fracción I de la Ley de Transparencia y Acceso a la Información Pública del Estado de México y Municipios.</w:t>
      </w:r>
    </w:p>
    <w:p w:rsidR="001F20B9" w:rsidRDefault="001F20B9">
      <w:pPr>
        <w:tabs>
          <w:tab w:val="center" w:pos="4522"/>
        </w:tabs>
        <w:spacing w:line="360" w:lineRule="auto"/>
        <w:ind w:right="-1071"/>
        <w:rPr>
          <w:color w:val="000000"/>
        </w:rPr>
      </w:pPr>
    </w:p>
    <w:p w:rsidR="001F20B9" w:rsidRDefault="00291E24">
      <w:pPr>
        <w:pBdr>
          <w:top w:val="nil"/>
          <w:left w:val="nil"/>
          <w:bottom w:val="nil"/>
          <w:right w:val="nil"/>
          <w:between w:val="nil"/>
        </w:pBdr>
        <w:shd w:val="clear" w:color="auto" w:fill="FFFFFF"/>
        <w:ind w:left="360" w:right="-1071"/>
        <w:rPr>
          <w:rFonts w:ascii="Palatino Linotype" w:eastAsia="Palatino Linotype" w:hAnsi="Palatino Linotype" w:cs="Palatino Linotype"/>
          <w:color w:val="222222"/>
          <w:u w:val="single"/>
        </w:rPr>
      </w:pPr>
      <w:r>
        <w:rPr>
          <w:rFonts w:ascii="Palatino Linotype" w:eastAsia="Palatino Linotype" w:hAnsi="Palatino Linotype" w:cs="Palatino Linotype"/>
          <w:b/>
          <w:bCs/>
          <w:color w:val="000000"/>
          <w:u w:val="single"/>
        </w:rPr>
        <w:t>DEL NOMBRE DE POLICÍAS.</w:t>
      </w:r>
    </w:p>
    <w:p w:rsidR="001F20B9" w:rsidRPr="00C532F6" w:rsidRDefault="00291E24" w:rsidP="00C532F6">
      <w:pPr>
        <w:pStyle w:val="Prrafodelista"/>
        <w:numPr>
          <w:ilvl w:val="0"/>
          <w:numId w:val="11"/>
        </w:numPr>
        <w:pBdr>
          <w:top w:val="nil"/>
          <w:left w:val="nil"/>
          <w:bottom w:val="nil"/>
          <w:right w:val="nil"/>
          <w:between w:val="nil"/>
        </w:pBdr>
        <w:shd w:val="clear" w:color="auto" w:fill="FFFFFF"/>
        <w:spacing w:line="360" w:lineRule="auto"/>
        <w:ind w:left="0" w:right="-1071" w:firstLine="0"/>
        <w:jc w:val="both"/>
        <w:rPr>
          <w:rFonts w:ascii="Palatino Linotype" w:eastAsia="Palatino Linotype" w:hAnsi="Palatino Linotype" w:cs="Palatino Linotype"/>
          <w:color w:val="222222"/>
        </w:rPr>
      </w:pPr>
      <w:r w:rsidRPr="00C532F6">
        <w:rPr>
          <w:rFonts w:ascii="Palatino Linotype" w:eastAsia="Palatino Linotype" w:hAnsi="Palatino Linotype" w:cs="Palatino Linotype"/>
          <w:color w:val="222222"/>
        </w:rPr>
        <w:t>En atención a que se observa que la información de la que se requiere acceso contiene información de los elementos de seguridad pública, es necesario señalar que las condiciones en las cuales se deberá entregar la información solicitada adquieren una especial naturaleza.</w:t>
      </w:r>
    </w:p>
    <w:p w:rsidR="001F20B9" w:rsidRDefault="00291E24">
      <w:pPr>
        <w:shd w:val="clear" w:color="auto" w:fill="FFFFFF"/>
        <w:spacing w:line="360" w:lineRule="auto"/>
        <w:ind w:right="-1071"/>
        <w:jc w:val="both"/>
        <w:rPr>
          <w:rFonts w:ascii="Palatino Linotype" w:eastAsia="Palatino Linotype" w:hAnsi="Palatino Linotype" w:cs="Palatino Linotype"/>
          <w:color w:val="222222"/>
        </w:rPr>
      </w:pPr>
      <w:r>
        <w:rPr>
          <w:rFonts w:ascii="Palatino Linotype" w:eastAsia="Palatino Linotype" w:hAnsi="Palatino Linotype" w:cs="Palatino Linotype"/>
          <w:b/>
          <w:bCs/>
          <w:color w:val="222222"/>
        </w:rPr>
        <w:t> </w:t>
      </w:r>
    </w:p>
    <w:p w:rsidR="001F20B9" w:rsidRDefault="00291E24" w:rsidP="00C532F6">
      <w:pPr>
        <w:numPr>
          <w:ilvl w:val="0"/>
          <w:numId w:val="11"/>
        </w:numPr>
        <w:pBdr>
          <w:top w:val="nil"/>
          <w:left w:val="nil"/>
          <w:bottom w:val="nil"/>
          <w:right w:val="nil"/>
          <w:between w:val="nil"/>
        </w:pBdr>
        <w:shd w:val="clear" w:color="auto" w:fill="FFFFFF"/>
        <w:ind w:left="0" w:right="-1071"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t>En efecto, este instituto advierte que otorgar acceso al nombre de policías operativos podría comprometer la integridad de los mismos, de conformidad con lo que establece el artículo 140 de la Ley de Transparencia y Acceso a la Información Pública del Estado de México y Municipios:</w:t>
      </w:r>
    </w:p>
    <w:p w:rsidR="001F20B9" w:rsidRDefault="00291E24">
      <w:pPr>
        <w:shd w:val="clear" w:color="auto" w:fill="FFFFFF"/>
        <w:ind w:right="-1071"/>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t> </w:t>
      </w:r>
    </w:p>
    <w:p w:rsidR="001F20B9" w:rsidRDefault="00291E24">
      <w:pPr>
        <w:pBdr>
          <w:top w:val="nil"/>
          <w:left w:val="nil"/>
          <w:bottom w:val="nil"/>
          <w:right w:val="nil"/>
          <w:between w:val="nil"/>
        </w:pBdr>
        <w:shd w:val="clear" w:color="auto" w:fill="FFFFFF"/>
        <w:spacing w:before="240" w:after="240"/>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b/>
          <w:bCs/>
          <w:i/>
          <w:iCs/>
          <w:color w:val="222222"/>
        </w:rPr>
        <w:t>“Artículo 140.</w:t>
      </w:r>
      <w:r>
        <w:rPr>
          <w:rFonts w:ascii="Palatino Linotype" w:eastAsia="Palatino Linotype" w:hAnsi="Palatino Linotype" w:cs="Palatino Linotype"/>
          <w:i/>
          <w:iCs/>
          <w:color w:val="222222"/>
        </w:rPr>
        <w:t> El acceso a la información pública será restringido excepcionalmente, cuando por razones de interés público, ésta sea clasificada como reservada, conforme a los criterios siguientes:</w:t>
      </w:r>
    </w:p>
    <w:p w:rsidR="001F20B9" w:rsidRDefault="00291E24">
      <w:pPr>
        <w:pBdr>
          <w:top w:val="nil"/>
          <w:left w:val="nil"/>
          <w:bottom w:val="nil"/>
          <w:right w:val="nil"/>
          <w:between w:val="nil"/>
        </w:pBdr>
        <w:shd w:val="clear" w:color="auto" w:fill="FFFFFF"/>
        <w:spacing w:before="240" w:after="240"/>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lastRenderedPageBreak/>
        <w:t>I. Comprometa la seguridad pública y cuente con un propósito genuino y un efecto demostrable;</w:t>
      </w:r>
    </w:p>
    <w:p w:rsidR="001F20B9" w:rsidRDefault="00291E24">
      <w:pPr>
        <w:pBdr>
          <w:top w:val="nil"/>
          <w:left w:val="nil"/>
          <w:bottom w:val="nil"/>
          <w:right w:val="nil"/>
          <w:between w:val="nil"/>
        </w:pBdr>
        <w:shd w:val="clear" w:color="auto" w:fill="FFFFFF"/>
        <w:spacing w:before="240" w:after="240"/>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II. Pueda menoscabar la conducción de las negociaciones y relaciones internacionales;</w:t>
      </w:r>
    </w:p>
    <w:p w:rsidR="001F20B9" w:rsidRDefault="00291E24">
      <w:pPr>
        <w:pBdr>
          <w:top w:val="nil"/>
          <w:left w:val="nil"/>
          <w:bottom w:val="nil"/>
          <w:right w:val="nil"/>
          <w:between w:val="nil"/>
        </w:pBdr>
        <w:shd w:val="clear" w:color="auto" w:fill="FFFFFF"/>
        <w:spacing w:before="240" w:after="240"/>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III. 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rsidR="001F20B9" w:rsidRDefault="00291E24">
      <w:pPr>
        <w:pBdr>
          <w:top w:val="nil"/>
          <w:left w:val="nil"/>
          <w:bottom w:val="nil"/>
          <w:right w:val="nil"/>
          <w:between w:val="nil"/>
        </w:pBdr>
        <w:shd w:val="clear" w:color="auto" w:fill="FFFFFF"/>
        <w:spacing w:before="240" w:after="240"/>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b/>
          <w:bCs/>
          <w:i/>
          <w:iCs/>
          <w:color w:val="222222"/>
        </w:rPr>
        <w:t>IV. Ponga en riesgo la vida, la seguridad o la salud de una persona física;</w:t>
      </w:r>
    </w:p>
    <w:p w:rsidR="001F20B9" w:rsidRDefault="00291E24">
      <w:pPr>
        <w:pBdr>
          <w:top w:val="nil"/>
          <w:left w:val="nil"/>
          <w:bottom w:val="nil"/>
          <w:right w:val="nil"/>
          <w:between w:val="nil"/>
        </w:pBdr>
        <w:shd w:val="clear" w:color="auto" w:fill="FFFFFF"/>
        <w:spacing w:before="240" w:after="240"/>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 (…)”</w:t>
      </w:r>
    </w:p>
    <w:p w:rsidR="001F20B9" w:rsidRDefault="00291E24">
      <w:pPr>
        <w:shd w:val="clear" w:color="auto" w:fill="FFFFFF"/>
        <w:ind w:right="-1071"/>
        <w:jc w:val="both"/>
        <w:rPr>
          <w:rFonts w:ascii="Palatino Linotype" w:eastAsia="Palatino Linotype" w:hAnsi="Palatino Linotype" w:cs="Palatino Linotype"/>
          <w:color w:val="222222"/>
        </w:rPr>
      </w:pPr>
      <w:r>
        <w:rPr>
          <w:rFonts w:ascii="Palatino Linotype" w:eastAsia="Palatino Linotype" w:hAnsi="Palatino Linotype" w:cs="Palatino Linotype"/>
          <w:b/>
          <w:bCs/>
          <w:color w:val="222222"/>
        </w:rPr>
        <w:t> </w:t>
      </w:r>
    </w:p>
    <w:p w:rsidR="001F20B9" w:rsidRDefault="00291E24" w:rsidP="00C532F6">
      <w:pPr>
        <w:numPr>
          <w:ilvl w:val="0"/>
          <w:numId w:val="11"/>
        </w:numPr>
        <w:pBdr>
          <w:top w:val="nil"/>
          <w:left w:val="nil"/>
          <w:bottom w:val="nil"/>
          <w:right w:val="nil"/>
          <w:between w:val="nil"/>
        </w:pBdr>
        <w:shd w:val="clear" w:color="auto" w:fill="FFFFFF"/>
        <w:spacing w:line="360" w:lineRule="auto"/>
        <w:ind w:left="0" w:right="-1071"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t>En este contexto, este Pleno considera que dar a conocer los nombres de servidores públicos que realizan funciones en materia de seguridad, tal como es el caso de los policías, los vuelve identificables y posiblemente reconocibles para grupos delictivos; así, dicha información puede ser utilizada para </w:t>
      </w:r>
      <w:r>
        <w:rPr>
          <w:rFonts w:ascii="Palatino Linotype" w:eastAsia="Palatino Linotype" w:hAnsi="Palatino Linotype" w:cs="Palatino Linotype"/>
          <w:b/>
          <w:bCs/>
          <w:color w:val="222222"/>
        </w:rPr>
        <w:t>vulnerar la vida, seguridad o salud de dichos elementos, incluso la de sus familias o entorno social, </w:t>
      </w:r>
      <w:r>
        <w:rPr>
          <w:rFonts w:ascii="Palatino Linotype" w:eastAsia="Palatino Linotype" w:hAnsi="Palatino Linotype" w:cs="Palatino Linotype"/>
          <w:color w:val="222222"/>
        </w:rPr>
        <w:t>demás, de que aumenta el riesgo de que personas ajenas a los intereses institucionales e intenten realizar actos tendientes a inhibir o entrometerse en las funciones de los policías municipales, lo cual causaría una vulneración a la seguridad municipal.</w:t>
      </w:r>
    </w:p>
    <w:p w:rsidR="001F20B9" w:rsidRDefault="00291E24">
      <w:pPr>
        <w:shd w:val="clear" w:color="auto" w:fill="FFFFFF"/>
        <w:ind w:right="-1071"/>
        <w:jc w:val="both"/>
        <w:rPr>
          <w:rFonts w:ascii="Palatino Linotype" w:eastAsia="Palatino Linotype" w:hAnsi="Palatino Linotype" w:cs="Palatino Linotype"/>
          <w:color w:val="222222"/>
        </w:rPr>
      </w:pPr>
      <w:r>
        <w:rPr>
          <w:rFonts w:ascii="Palatino Linotype" w:eastAsia="Palatino Linotype" w:hAnsi="Palatino Linotype" w:cs="Palatino Linotype"/>
          <w:b/>
          <w:bCs/>
          <w:color w:val="222222"/>
        </w:rPr>
        <w:t> </w:t>
      </w:r>
    </w:p>
    <w:p w:rsidR="001F20B9" w:rsidRDefault="00291E24" w:rsidP="00C532F6">
      <w:pPr>
        <w:numPr>
          <w:ilvl w:val="0"/>
          <w:numId w:val="11"/>
        </w:numPr>
        <w:pBdr>
          <w:top w:val="nil"/>
          <w:left w:val="nil"/>
          <w:bottom w:val="nil"/>
          <w:right w:val="nil"/>
          <w:between w:val="nil"/>
        </w:pBdr>
        <w:shd w:val="clear" w:color="auto" w:fill="FFFFFF"/>
        <w:spacing w:line="360" w:lineRule="auto"/>
        <w:ind w:left="0" w:right="-1071"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t>En ese sentido, el proporcionar el nombre de los elementos policiales operativos en la nómina general de la Dirección de Seguridad Pública y Vialidad Municipal, pone en riesgo de manera directa la vida y la seguridad de dicho servidor, siendo obligación de la Institución protegerla en todo momento para salvaguarda de sus integrantes.</w:t>
      </w:r>
    </w:p>
    <w:p w:rsidR="001F20B9" w:rsidRDefault="00291E24">
      <w:pPr>
        <w:shd w:val="clear" w:color="auto" w:fill="FFFFFF"/>
        <w:spacing w:line="360" w:lineRule="auto"/>
        <w:ind w:right="-1071"/>
        <w:jc w:val="both"/>
        <w:rPr>
          <w:rFonts w:ascii="Palatino Linotype" w:eastAsia="Palatino Linotype" w:hAnsi="Palatino Linotype" w:cs="Palatino Linotype"/>
          <w:color w:val="222222"/>
        </w:rPr>
      </w:pPr>
      <w:r>
        <w:rPr>
          <w:rFonts w:ascii="Palatino Linotype" w:eastAsia="Palatino Linotype" w:hAnsi="Palatino Linotype" w:cs="Palatino Linotype"/>
          <w:b/>
          <w:bCs/>
          <w:color w:val="222222"/>
        </w:rPr>
        <w:t> </w:t>
      </w:r>
    </w:p>
    <w:p w:rsidR="001F20B9" w:rsidRDefault="00291E24" w:rsidP="00C532F6">
      <w:pPr>
        <w:numPr>
          <w:ilvl w:val="0"/>
          <w:numId w:val="11"/>
        </w:numPr>
        <w:pBdr>
          <w:top w:val="nil"/>
          <w:left w:val="nil"/>
          <w:bottom w:val="nil"/>
          <w:right w:val="nil"/>
          <w:between w:val="nil"/>
        </w:pBdr>
        <w:shd w:val="clear" w:color="auto" w:fill="FFFFFF"/>
        <w:spacing w:line="360" w:lineRule="auto"/>
        <w:ind w:left="0" w:right="-1071"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t xml:space="preserve">Lo anterior adquiere razón toda vez que la información solicitada hace identificable a los integrantes de seguridad pública, ya que permite que su identidad pueda determinarse de </w:t>
      </w:r>
      <w:r>
        <w:rPr>
          <w:rFonts w:ascii="Palatino Linotype" w:eastAsia="Palatino Linotype" w:hAnsi="Palatino Linotype" w:cs="Palatino Linotype"/>
          <w:color w:val="222222"/>
        </w:rPr>
        <w:lastRenderedPageBreak/>
        <w:t>manera directa, pudiéndose ocasionar riesgos por la posible utilización y difusión de la información por grupos delictivos.</w:t>
      </w:r>
    </w:p>
    <w:p w:rsidR="001F20B9" w:rsidRDefault="00291E24" w:rsidP="00C532F6">
      <w:pPr>
        <w:shd w:val="clear" w:color="auto" w:fill="FFFFFF"/>
        <w:spacing w:line="360" w:lineRule="auto"/>
        <w:ind w:right="-1071"/>
        <w:jc w:val="both"/>
        <w:rPr>
          <w:rFonts w:ascii="Palatino Linotype" w:eastAsia="Palatino Linotype" w:hAnsi="Palatino Linotype" w:cs="Palatino Linotype"/>
          <w:color w:val="222222"/>
        </w:rPr>
      </w:pPr>
      <w:r>
        <w:rPr>
          <w:rFonts w:ascii="Palatino Linotype" w:eastAsia="Palatino Linotype" w:hAnsi="Palatino Linotype" w:cs="Palatino Linotype"/>
          <w:b/>
          <w:bCs/>
          <w:color w:val="222222"/>
        </w:rPr>
        <w:t> </w:t>
      </w:r>
    </w:p>
    <w:p w:rsidR="001F20B9" w:rsidRDefault="00291E24" w:rsidP="00C532F6">
      <w:pPr>
        <w:numPr>
          <w:ilvl w:val="0"/>
          <w:numId w:val="11"/>
        </w:numPr>
        <w:pBdr>
          <w:top w:val="nil"/>
          <w:left w:val="nil"/>
          <w:bottom w:val="nil"/>
          <w:right w:val="nil"/>
          <w:between w:val="nil"/>
        </w:pBdr>
        <w:shd w:val="clear" w:color="auto" w:fill="FFFFFF"/>
        <w:spacing w:line="360" w:lineRule="auto"/>
        <w:ind w:left="0" w:right="-1071"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t>Asimismo, existe la posibilidad de que personas ajenas a la Institución la utilicen para sorprender a la ciudadanía y realicen extorsiones telefónicas al amparo de usurpar la identidad de algún servidor público encargado de la seguridad pública; o que integrantes de organizaciones criminales los contacten para presionar en entregar información, como por ejemplo, la relacionada con investigaciones, nombres de integrantes que participan en los operativos e incluso documentación emitida por el</w:t>
      </w:r>
      <w:r>
        <w:rPr>
          <w:rFonts w:ascii="Palatino Linotype" w:eastAsia="Palatino Linotype" w:hAnsi="Palatino Linotype" w:cs="Palatino Linotype"/>
          <w:b/>
          <w:bCs/>
          <w:color w:val="222222"/>
        </w:rPr>
        <w:t> SUJETO OBLIGADO</w:t>
      </w:r>
      <w:r>
        <w:rPr>
          <w:rFonts w:ascii="Palatino Linotype" w:eastAsia="Palatino Linotype" w:hAnsi="Palatino Linotype" w:cs="Palatino Linotype"/>
          <w:color w:val="222222"/>
        </w:rPr>
        <w:t>, colocando en inminente riesgo la vida de todos los integrantes, menoscabando así las actividades de prevención del delito y combate a la delincuencia.</w:t>
      </w:r>
    </w:p>
    <w:p w:rsidR="001F20B9" w:rsidRDefault="00291E24">
      <w:pPr>
        <w:shd w:val="clear" w:color="auto" w:fill="FFFFFF"/>
        <w:spacing w:line="360" w:lineRule="auto"/>
        <w:ind w:right="-1071"/>
        <w:jc w:val="both"/>
        <w:rPr>
          <w:rFonts w:ascii="Palatino Linotype" w:eastAsia="Palatino Linotype" w:hAnsi="Palatino Linotype" w:cs="Palatino Linotype"/>
          <w:color w:val="222222"/>
        </w:rPr>
      </w:pPr>
      <w:r>
        <w:rPr>
          <w:rFonts w:ascii="Palatino Linotype" w:eastAsia="Palatino Linotype" w:hAnsi="Palatino Linotype" w:cs="Palatino Linotype"/>
          <w:b/>
          <w:bCs/>
          <w:color w:val="222222"/>
        </w:rPr>
        <w:t> </w:t>
      </w:r>
    </w:p>
    <w:p w:rsidR="001F20B9" w:rsidRDefault="00291E24" w:rsidP="00C532F6">
      <w:pPr>
        <w:numPr>
          <w:ilvl w:val="0"/>
          <w:numId w:val="11"/>
        </w:numPr>
        <w:pBdr>
          <w:top w:val="nil"/>
          <w:left w:val="nil"/>
          <w:bottom w:val="nil"/>
          <w:right w:val="nil"/>
          <w:between w:val="nil"/>
        </w:pBdr>
        <w:shd w:val="clear" w:color="auto" w:fill="FFFFFF"/>
        <w:spacing w:line="360" w:lineRule="auto"/>
        <w:ind w:left="0" w:right="-1071"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t>Así como el artículo 6º Constitucional por un lado garantiza el derecho de acceso a la información, por otro lado, el derecho a la vida y la seguridad de las personas se encuentran protegidos por la Declaración Universal de los Derechos Humanos en su artículo 30. Bajo este contexto es necesario confrontar ambos derechos fundamentales, cuyo ejercicio en este caso particular es por lo que es necesaria la ponderación de ambos para que uno de ellos sea ejercido en la mayor medida posible.</w:t>
      </w:r>
    </w:p>
    <w:p w:rsidR="001F20B9" w:rsidRDefault="00291E24" w:rsidP="00C532F6">
      <w:pPr>
        <w:shd w:val="clear" w:color="auto" w:fill="FFFFFF"/>
        <w:spacing w:line="360" w:lineRule="auto"/>
        <w:ind w:right="-1071"/>
        <w:jc w:val="both"/>
        <w:rPr>
          <w:rFonts w:ascii="Palatino Linotype" w:eastAsia="Palatino Linotype" w:hAnsi="Palatino Linotype" w:cs="Palatino Linotype"/>
          <w:color w:val="222222"/>
        </w:rPr>
      </w:pPr>
      <w:r>
        <w:rPr>
          <w:rFonts w:ascii="Palatino Linotype" w:eastAsia="Palatino Linotype" w:hAnsi="Palatino Linotype" w:cs="Palatino Linotype"/>
          <w:b/>
          <w:bCs/>
          <w:color w:val="222222"/>
        </w:rPr>
        <w:t> </w:t>
      </w:r>
    </w:p>
    <w:p w:rsidR="001F20B9" w:rsidRDefault="00291E24" w:rsidP="00C532F6">
      <w:pPr>
        <w:numPr>
          <w:ilvl w:val="0"/>
          <w:numId w:val="11"/>
        </w:numPr>
        <w:pBdr>
          <w:top w:val="nil"/>
          <w:left w:val="nil"/>
          <w:bottom w:val="nil"/>
          <w:right w:val="nil"/>
          <w:between w:val="nil"/>
        </w:pBdr>
        <w:shd w:val="clear" w:color="auto" w:fill="FFFFFF"/>
        <w:spacing w:line="360" w:lineRule="auto"/>
        <w:ind w:left="0" w:right="-1071"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t>El dar el nombre de los servidores públicos operativos de la Dirección de Seguridad Pública y Vialidad Municipal pone en riesgo sus vidas y seguridad, ya que pueden ser identificarles, provocando que se utilice la información para amenazar, intimidar o extorsionar al integrante.</w:t>
      </w:r>
    </w:p>
    <w:p w:rsidR="001F20B9" w:rsidRDefault="00291E24">
      <w:pPr>
        <w:shd w:val="clear" w:color="auto" w:fill="FFFFFF"/>
        <w:spacing w:line="360" w:lineRule="auto"/>
        <w:ind w:right="-1071"/>
        <w:rPr>
          <w:rFonts w:ascii="Palatino Linotype" w:eastAsia="Palatino Linotype" w:hAnsi="Palatino Linotype" w:cs="Palatino Linotype"/>
          <w:color w:val="222222"/>
        </w:rPr>
      </w:pPr>
      <w:r>
        <w:rPr>
          <w:rFonts w:ascii="Palatino Linotype" w:eastAsia="Palatino Linotype" w:hAnsi="Palatino Linotype" w:cs="Palatino Linotype"/>
          <w:color w:val="222222"/>
        </w:rPr>
        <w:t> </w:t>
      </w:r>
    </w:p>
    <w:p w:rsidR="001F20B9" w:rsidRDefault="00291E24" w:rsidP="00C532F6">
      <w:pPr>
        <w:numPr>
          <w:ilvl w:val="0"/>
          <w:numId w:val="11"/>
        </w:numPr>
        <w:pBdr>
          <w:top w:val="nil"/>
          <w:left w:val="nil"/>
          <w:bottom w:val="nil"/>
          <w:right w:val="nil"/>
          <w:between w:val="nil"/>
        </w:pBdr>
        <w:shd w:val="clear" w:color="auto" w:fill="FFFFFF"/>
        <w:spacing w:line="360" w:lineRule="auto"/>
        <w:ind w:left="0" w:right="-1071"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lastRenderedPageBreak/>
        <w:t>El riesgo de perder la vida, la seguridad o la integridad se encuentra presente y es de mayor gravedad que la negativa de acceso a la información solicitada, la divulgación de la información, puede generar un daño desproporcionado o innecesario, lo cual debe evitarse en la medida de lo posible, frente a aquella que se solicita. Es de interés público y socialmente relevante la protección a la vida y seguridad de todas y cada una de las personas sobre cualquier otro derecho fundamental, por lo que se debe proteger a quienes trabajan y ayudan al logro de la seguridad pública.</w:t>
      </w:r>
    </w:p>
    <w:p w:rsidR="001F20B9" w:rsidRDefault="00291E24" w:rsidP="00C532F6">
      <w:pPr>
        <w:shd w:val="clear" w:color="auto" w:fill="FFFFFF"/>
        <w:spacing w:line="360" w:lineRule="auto"/>
        <w:ind w:right="-1071"/>
        <w:rPr>
          <w:rFonts w:ascii="Palatino Linotype" w:eastAsia="Palatino Linotype" w:hAnsi="Palatino Linotype" w:cs="Palatino Linotype"/>
          <w:color w:val="222222"/>
        </w:rPr>
      </w:pPr>
      <w:r>
        <w:rPr>
          <w:rFonts w:ascii="Palatino Linotype" w:eastAsia="Palatino Linotype" w:hAnsi="Palatino Linotype" w:cs="Palatino Linotype"/>
          <w:color w:val="222222"/>
        </w:rPr>
        <w:t> </w:t>
      </w:r>
    </w:p>
    <w:p w:rsidR="001F20B9" w:rsidRDefault="00291E24" w:rsidP="00C532F6">
      <w:pPr>
        <w:numPr>
          <w:ilvl w:val="0"/>
          <w:numId w:val="11"/>
        </w:numPr>
        <w:pBdr>
          <w:top w:val="nil"/>
          <w:left w:val="nil"/>
          <w:bottom w:val="nil"/>
          <w:right w:val="nil"/>
          <w:between w:val="nil"/>
        </w:pBdr>
        <w:shd w:val="clear" w:color="auto" w:fill="FFFFFF"/>
        <w:spacing w:line="360" w:lineRule="auto"/>
        <w:ind w:left="0" w:right="-1071"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t>En ese mismo contexto, resulta pertinente establecer que la Constitución Política de los Estados unidos mexicanos y los Tratados Internacionales suscritos por el Estado mexicano en materia de Derechos Humanos, establecen que el derecho a la vida y la seguridad personal son los bienes supremos tutelados por los gobiernos, esto quiere decir, que no existe derecho alguno por encima de la vida y la seguridad personal. El derecho al acceso a la información, tutelado en el artículo sexto de nuestra Carta Magna, no es absoluto per se, toda vez que su objetivo es facultar a las personas a tener acceso a la información que les permita conocer cómo funcionan los órganos de gobierno, como parte fundamental de todo Estado democrático; dicho derecho permite a las personas tener una participación activa en la toma de decisiones de los gobernantes y a su vez, funciona como un ejercicio de fiscalización para supervisar las actividades que realiza eh Estado.</w:t>
      </w:r>
    </w:p>
    <w:p w:rsidR="001F20B9" w:rsidRDefault="00291E24" w:rsidP="00C532F6">
      <w:pPr>
        <w:shd w:val="clear" w:color="auto" w:fill="FFFFFF"/>
        <w:spacing w:line="360" w:lineRule="auto"/>
        <w:ind w:right="-1071"/>
        <w:rPr>
          <w:rFonts w:ascii="Palatino Linotype" w:eastAsia="Palatino Linotype" w:hAnsi="Palatino Linotype" w:cs="Palatino Linotype"/>
          <w:color w:val="222222"/>
        </w:rPr>
      </w:pPr>
      <w:r>
        <w:rPr>
          <w:rFonts w:ascii="Palatino Linotype" w:eastAsia="Palatino Linotype" w:hAnsi="Palatino Linotype" w:cs="Palatino Linotype"/>
          <w:color w:val="222222"/>
        </w:rPr>
        <w:t> </w:t>
      </w:r>
    </w:p>
    <w:p w:rsidR="001F20B9" w:rsidRDefault="00291E24" w:rsidP="00C532F6">
      <w:pPr>
        <w:numPr>
          <w:ilvl w:val="0"/>
          <w:numId w:val="11"/>
        </w:numPr>
        <w:pBdr>
          <w:top w:val="nil"/>
          <w:left w:val="nil"/>
          <w:bottom w:val="nil"/>
          <w:right w:val="nil"/>
          <w:between w:val="nil"/>
        </w:pBdr>
        <w:shd w:val="clear" w:color="auto" w:fill="FFFFFF"/>
        <w:spacing w:line="360" w:lineRule="auto"/>
        <w:ind w:left="0" w:right="-1071"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t>Por lo que, el derecho a la vida y seguridad nacional tiene una-primacía que el derecho al acceso a la información, por lo que el bien jurídico a salvaguardarse primordialmente, es la vida y la seguridad de los servidores públicos encargados de la seguridad pública.</w:t>
      </w:r>
    </w:p>
    <w:p w:rsidR="001F20B9" w:rsidRDefault="00291E24">
      <w:pPr>
        <w:shd w:val="clear" w:color="auto" w:fill="FFFFFF"/>
        <w:spacing w:line="360" w:lineRule="auto"/>
        <w:ind w:right="-1071"/>
        <w:jc w:val="both"/>
        <w:rPr>
          <w:rFonts w:ascii="Palatino Linotype" w:eastAsia="Palatino Linotype" w:hAnsi="Palatino Linotype" w:cs="Palatino Linotype"/>
          <w:color w:val="222222"/>
        </w:rPr>
      </w:pPr>
      <w:r>
        <w:rPr>
          <w:rFonts w:ascii="Palatino Linotype" w:eastAsia="Palatino Linotype" w:hAnsi="Palatino Linotype" w:cs="Palatino Linotype"/>
          <w:b/>
          <w:bCs/>
          <w:color w:val="222222"/>
        </w:rPr>
        <w:t> </w:t>
      </w:r>
    </w:p>
    <w:p w:rsidR="001F20B9" w:rsidRDefault="00291E24" w:rsidP="00C532F6">
      <w:pPr>
        <w:numPr>
          <w:ilvl w:val="0"/>
          <w:numId w:val="11"/>
        </w:numPr>
        <w:pBdr>
          <w:top w:val="nil"/>
          <w:left w:val="nil"/>
          <w:bottom w:val="nil"/>
          <w:right w:val="nil"/>
          <w:between w:val="nil"/>
        </w:pBdr>
        <w:shd w:val="clear" w:color="auto" w:fill="FFFFFF"/>
        <w:spacing w:line="360" w:lineRule="auto"/>
        <w:ind w:left="0" w:right="-1071"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lastRenderedPageBreak/>
        <w:t>Al respecto, cabe hacer mención que el artículo 81 fracción III de la Ley de Seguridad del Estado de México, establece lo siguiente:</w:t>
      </w:r>
    </w:p>
    <w:p w:rsidR="001F20B9" w:rsidRDefault="00291E24">
      <w:pPr>
        <w:shd w:val="clear" w:color="auto" w:fill="FFFFFF"/>
        <w:ind w:right="-1071"/>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t> </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w:t>
      </w:r>
      <w:r>
        <w:rPr>
          <w:rFonts w:ascii="Palatino Linotype" w:eastAsia="Palatino Linotype" w:hAnsi="Palatino Linotype" w:cs="Palatino Linotype"/>
          <w:b/>
          <w:bCs/>
          <w:i/>
          <w:iCs/>
          <w:color w:val="222222"/>
        </w:rPr>
        <w:t>Artículo 81.-</w:t>
      </w:r>
      <w:r>
        <w:rPr>
          <w:rFonts w:ascii="Palatino Linotype" w:eastAsia="Palatino Linotype" w:hAnsi="Palatino Linotype" w:cs="Palatino Linotype"/>
          <w:i/>
          <w:iCs/>
          <w:color w:val="222222"/>
        </w:rPr>
        <w:t> </w:t>
      </w:r>
      <w:r>
        <w:rPr>
          <w:rFonts w:ascii="Palatino Linotype" w:eastAsia="Palatino Linotype" w:hAnsi="Palatino Linotype" w:cs="Palatino Linotype"/>
          <w:b/>
          <w:bCs/>
          <w:i/>
          <w:iCs/>
          <w:color w:val="222222"/>
        </w:rPr>
        <w:t>Toda información para la seguridad pública generada o en poder de Instituciones de Seguridad Pública o de cualquier instancia del Sistema Estatal debe registrarse, clasificarse y tratarse de conformidad con las disposiciones aplicables. No obstante lo anterior, esta información se considerará reservada</w:t>
      </w:r>
      <w:r>
        <w:rPr>
          <w:rFonts w:ascii="Palatino Linotype" w:eastAsia="Palatino Linotype" w:hAnsi="Palatino Linotype" w:cs="Palatino Linotype"/>
          <w:i/>
          <w:iCs/>
          <w:color w:val="222222"/>
        </w:rPr>
        <w:t> en los casos siguientes:</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i/>
          <w:iCs/>
          <w:color w:val="222222"/>
        </w:rPr>
      </w:pPr>
      <w:r>
        <w:rPr>
          <w:rFonts w:ascii="Palatino Linotype" w:eastAsia="Palatino Linotype" w:hAnsi="Palatino Linotype" w:cs="Palatino Linotype"/>
          <w:b/>
          <w:bCs/>
          <w:i/>
          <w:iCs/>
          <w:color w:val="222222"/>
        </w:rPr>
        <w:t>III.</w:t>
      </w:r>
      <w:r>
        <w:rPr>
          <w:rFonts w:ascii="Palatino Linotype" w:eastAsia="Palatino Linotype" w:hAnsi="Palatino Linotype" w:cs="Palatino Linotype"/>
          <w:i/>
          <w:iCs/>
          <w:color w:val="222222"/>
        </w:rPr>
        <w:t> </w:t>
      </w:r>
      <w:r>
        <w:rPr>
          <w:rFonts w:ascii="Palatino Linotype" w:eastAsia="Palatino Linotype" w:hAnsi="Palatino Linotype" w:cs="Palatino Linotype"/>
          <w:b/>
          <w:bCs/>
          <w:i/>
          <w:iCs/>
          <w:color w:val="222222"/>
        </w:rPr>
        <w:t>La relativa a servidores públicos miembros de las instituciones de seguridad pública, cuya revelación pueda poner en riesgo su vida e integridad física con motivo de sus funciones;</w:t>
      </w:r>
      <w:r>
        <w:rPr>
          <w:rFonts w:ascii="Palatino Linotype" w:eastAsia="Palatino Linotype" w:hAnsi="Palatino Linotype" w:cs="Palatino Linotype"/>
          <w:i/>
          <w:iCs/>
          <w:color w:val="222222"/>
        </w:rPr>
        <w:t>”</w:t>
      </w:r>
    </w:p>
    <w:p w:rsidR="001F20B9" w:rsidRDefault="001F20B9">
      <w:pPr>
        <w:pBdr>
          <w:top w:val="nil"/>
          <w:left w:val="nil"/>
          <w:bottom w:val="nil"/>
          <w:right w:val="nil"/>
          <w:between w:val="nil"/>
        </w:pBdr>
        <w:shd w:val="clear" w:color="auto" w:fill="FFFFFF"/>
        <w:ind w:right="-1071"/>
        <w:jc w:val="both"/>
        <w:rPr>
          <w:rFonts w:ascii="Palatino Linotype" w:eastAsia="Palatino Linotype" w:hAnsi="Palatino Linotype" w:cs="Palatino Linotype"/>
          <w:color w:val="222222"/>
        </w:rPr>
      </w:pPr>
    </w:p>
    <w:p w:rsidR="001F20B9" w:rsidRDefault="00291E24" w:rsidP="00C532F6">
      <w:pPr>
        <w:numPr>
          <w:ilvl w:val="0"/>
          <w:numId w:val="11"/>
        </w:numPr>
        <w:pBdr>
          <w:top w:val="nil"/>
          <w:left w:val="nil"/>
          <w:bottom w:val="nil"/>
          <w:right w:val="nil"/>
          <w:between w:val="nil"/>
        </w:pBdr>
        <w:shd w:val="clear" w:color="auto" w:fill="FFFFFF"/>
        <w:ind w:left="0" w:right="-1071"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t>Argumento que se fortalece con lo estipulado en el criterio orientador número 6-09, del Instituto Nacional de Transparencia, Acceso a la Información y Protección de Datos Personales, antes (INAI)</w:t>
      </w:r>
      <w:r>
        <w:rPr>
          <w:rFonts w:ascii="Palatino Linotype" w:eastAsia="Palatino Linotype" w:hAnsi="Palatino Linotype" w:cs="Palatino Linotype"/>
          <w:b/>
          <w:bCs/>
          <w:color w:val="222222"/>
        </w:rPr>
        <w:t>, </w:t>
      </w:r>
      <w:r>
        <w:rPr>
          <w:rFonts w:ascii="Palatino Linotype" w:eastAsia="Palatino Linotype" w:hAnsi="Palatino Linotype" w:cs="Palatino Linotype"/>
          <w:color w:val="222222"/>
        </w:rPr>
        <w:t>el cual refiere:</w:t>
      </w:r>
    </w:p>
    <w:p w:rsidR="001F20B9" w:rsidRDefault="00291E24">
      <w:pPr>
        <w:shd w:val="clear" w:color="auto" w:fill="FFFFFF"/>
        <w:ind w:left="567" w:right="-1071"/>
        <w:jc w:val="both"/>
        <w:rPr>
          <w:rFonts w:ascii="Palatino Linotype" w:eastAsia="Palatino Linotype" w:hAnsi="Palatino Linotype" w:cs="Palatino Linotype"/>
          <w:color w:val="222222"/>
        </w:rPr>
      </w:pPr>
      <w:r>
        <w:rPr>
          <w:rFonts w:ascii="Palatino Linotype" w:eastAsia="Palatino Linotype" w:hAnsi="Palatino Linotype" w:cs="Palatino Linotype"/>
          <w:b/>
          <w:bCs/>
          <w:color w:val="222222"/>
        </w:rPr>
        <w:t> </w:t>
      </w:r>
    </w:p>
    <w:p w:rsidR="001F20B9" w:rsidRDefault="00291E24">
      <w:pPr>
        <w:pBdr>
          <w:top w:val="nil"/>
          <w:left w:val="nil"/>
          <w:bottom w:val="nil"/>
          <w:right w:val="nil"/>
          <w:between w:val="nil"/>
        </w:pBdr>
        <w:shd w:val="clear" w:color="auto" w:fill="FFFFFF"/>
        <w:ind w:left="1134" w:right="-1071"/>
        <w:jc w:val="center"/>
        <w:rPr>
          <w:rFonts w:ascii="Palatino Linotype" w:eastAsia="Palatino Linotype" w:hAnsi="Palatino Linotype" w:cs="Palatino Linotype"/>
          <w:color w:val="222222"/>
        </w:rPr>
      </w:pPr>
      <w:r>
        <w:rPr>
          <w:rFonts w:ascii="Palatino Linotype" w:eastAsia="Palatino Linotype" w:hAnsi="Palatino Linotype" w:cs="Palatino Linotype"/>
          <w:b/>
          <w:bCs/>
          <w:i/>
          <w:iCs/>
          <w:color w:val="222222"/>
        </w:rPr>
        <w:t>“Criterio 6-09</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b/>
          <w:bCs/>
          <w:i/>
          <w:iCs/>
          <w:color w:val="222222"/>
        </w:rPr>
        <w:t>Nombres de servidores públicos dedicados a actividades en materia de seguridad, por excepción pueden considerarse información reservada. </w:t>
      </w:r>
      <w:r>
        <w:rPr>
          <w:rFonts w:ascii="Palatino Linotype" w:eastAsia="Palatino Linotype" w:hAnsi="Palatino Linotype" w:cs="Palatino Linotype"/>
          <w:i/>
          <w:iCs/>
          <w:color w:val="222222"/>
        </w:rPr>
        <w:t>De conformidad con el artículo 7, fracciones I y III de la Ley Federal de Transparencia y Acceso a la Información Pública Gubernamental </w:t>
      </w:r>
      <w:r>
        <w:rPr>
          <w:rFonts w:ascii="Palatino Linotype" w:eastAsia="Palatino Linotype" w:hAnsi="Palatino Linotype" w:cs="Palatino Linotype"/>
          <w:b/>
          <w:bCs/>
          <w:i/>
          <w:iCs/>
          <w:color w:val="222222"/>
        </w:rPr>
        <w:t>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w:t>
      </w:r>
      <w:r>
        <w:rPr>
          <w:rFonts w:ascii="Palatino Linotype" w:eastAsia="Palatino Linotype" w:hAnsi="Palatino Linotype" w:cs="Palatino Linotype"/>
          <w:i/>
          <w:iCs/>
          <w:color w:val="222222"/>
        </w:rPr>
        <w:t>.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w:t>
      </w:r>
      <w:r>
        <w:rPr>
          <w:rFonts w:ascii="Palatino Linotype" w:eastAsia="Palatino Linotype" w:hAnsi="Palatino Linotype" w:cs="Palatino Linotype"/>
          <w:b/>
          <w:bCs/>
          <w:i/>
          <w:iCs/>
          <w:color w:val="222222"/>
        </w:rPr>
        <w:t>el artículo 13, fracción I de la ley de referencia se establece que podrá clasificarse aquella información cuya difusión pueda comprometer la seguridad nacional y pública</w:t>
      </w:r>
      <w:r>
        <w:rPr>
          <w:rFonts w:ascii="Palatino Linotype" w:eastAsia="Palatino Linotype" w:hAnsi="Palatino Linotype" w:cs="Palatino Linotype"/>
          <w:i/>
          <w:iCs/>
          <w:color w:val="222222"/>
        </w:rPr>
        <w:t>.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w:t>
      </w:r>
      <w:r>
        <w:rPr>
          <w:rFonts w:ascii="Palatino Linotype" w:eastAsia="Palatino Linotype" w:hAnsi="Palatino Linotype" w:cs="Palatino Linotype"/>
          <w:b/>
          <w:bCs/>
          <w:i/>
          <w:iCs/>
          <w:color w:val="222222"/>
        </w:rPr>
        <w:t xml:space="preserve">por lo que la reserva </w:t>
      </w:r>
      <w:r>
        <w:rPr>
          <w:rFonts w:ascii="Palatino Linotype" w:eastAsia="Palatino Linotype" w:hAnsi="Palatino Linotype" w:cs="Palatino Linotype"/>
          <w:b/>
          <w:bCs/>
          <w:i/>
          <w:iCs/>
          <w:color w:val="222222"/>
        </w:rPr>
        <w:lastRenderedPageBreak/>
        <w:t>de la relación de los nombres y las funciones que desempeñan los servidores públicos que prestan sus servicios en áreas de seguridad nacional o pública</w:t>
      </w:r>
      <w:r>
        <w:rPr>
          <w:rFonts w:ascii="Palatino Linotype" w:eastAsia="Palatino Linotype" w:hAnsi="Palatino Linotype" w:cs="Palatino Linotype"/>
          <w:i/>
          <w:iCs/>
          <w:color w:val="222222"/>
        </w:rPr>
        <w:t>, puede llegar a constituirse en un componente fundamental en el esfuerzo que realiza el Estado Mexicano para garantizar la seguridad del país en sus diferentes vertientes”</w:t>
      </w:r>
    </w:p>
    <w:p w:rsidR="001F20B9" w:rsidRDefault="001F20B9">
      <w:pPr>
        <w:shd w:val="clear" w:color="auto" w:fill="FFFFFF"/>
        <w:ind w:right="-1071"/>
        <w:jc w:val="both"/>
        <w:rPr>
          <w:rFonts w:ascii="Palatino Linotype" w:eastAsia="Palatino Linotype" w:hAnsi="Palatino Linotype" w:cs="Palatino Linotype"/>
          <w:color w:val="222222"/>
        </w:rPr>
      </w:pPr>
    </w:p>
    <w:p w:rsidR="001F20B9" w:rsidRDefault="00291E24" w:rsidP="00C532F6">
      <w:pPr>
        <w:numPr>
          <w:ilvl w:val="0"/>
          <w:numId w:val="11"/>
        </w:numPr>
        <w:pBdr>
          <w:top w:val="nil"/>
          <w:left w:val="nil"/>
          <w:bottom w:val="nil"/>
          <w:right w:val="nil"/>
          <w:between w:val="nil"/>
        </w:pBdr>
        <w:shd w:val="clear" w:color="auto" w:fill="FFFFFF"/>
        <w:spacing w:line="360" w:lineRule="auto"/>
        <w:ind w:left="0" w:right="-1071"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t>Precisado lo anterior, la Ley de Transparencia y Acceso a la Información Pública del Estado de México y Municipios señala que para la clasificación formal de la información solicitada, el </w:t>
      </w:r>
      <w:r>
        <w:rPr>
          <w:rFonts w:ascii="Palatino Linotype" w:eastAsia="Palatino Linotype" w:hAnsi="Palatino Linotype" w:cs="Palatino Linotype"/>
          <w:b/>
          <w:bCs/>
          <w:color w:val="222222"/>
        </w:rPr>
        <w:t>SUJETO OBLIGADO</w:t>
      </w:r>
      <w:r>
        <w:rPr>
          <w:rFonts w:ascii="Palatino Linotype" w:eastAsia="Palatino Linotype" w:hAnsi="Palatino Linotype" w:cs="Palatino Linotype"/>
          <w:color w:val="222222"/>
        </w:rPr>
        <w:t> deberá remitir el debido Acuerdo de clasificación fundado y motivado donde determine la clasificación de la información como reservada, de conformidad con lo dispuesto en los numerales 49, fracción VIII y 132 fracciones I, II y III de la Ley de Transparencia y Acceso a la Información Pública del Estado de México y Municipios, así como los numerales del Cuarto al Décimo Primero de los Lineamientos Generales en materia de Clasificación y Desclasificación de la Información, así como para la elaboración de Versiones Públicas, que literalmente expresan:</w:t>
      </w:r>
    </w:p>
    <w:p w:rsidR="001F20B9" w:rsidRDefault="00291E24" w:rsidP="00C532F6">
      <w:pPr>
        <w:shd w:val="clear" w:color="auto" w:fill="FFFFFF"/>
        <w:spacing w:line="360" w:lineRule="auto"/>
        <w:ind w:right="-1071"/>
        <w:jc w:val="both"/>
        <w:rPr>
          <w:rFonts w:ascii="Palatino Linotype" w:eastAsia="Palatino Linotype" w:hAnsi="Palatino Linotype" w:cs="Palatino Linotype"/>
          <w:color w:val="222222"/>
        </w:rPr>
      </w:pPr>
      <w:r>
        <w:rPr>
          <w:rFonts w:ascii="Palatino Linotype" w:eastAsia="Palatino Linotype" w:hAnsi="Palatino Linotype" w:cs="Palatino Linotype"/>
          <w:b/>
          <w:bCs/>
          <w:color w:val="222222"/>
        </w:rPr>
        <w:t> </w:t>
      </w:r>
      <w:r w:rsidR="00C532F6">
        <w:rPr>
          <w:rFonts w:ascii="Palatino Linotype" w:eastAsia="Palatino Linotype" w:hAnsi="Palatino Linotype" w:cs="Palatino Linotype"/>
          <w:b/>
          <w:bCs/>
          <w:color w:val="222222"/>
        </w:rPr>
        <w:tab/>
      </w:r>
      <w:r w:rsidR="00C532F6">
        <w:rPr>
          <w:rFonts w:ascii="Palatino Linotype" w:eastAsia="Palatino Linotype" w:hAnsi="Palatino Linotype" w:cs="Palatino Linotype"/>
          <w:b/>
          <w:bCs/>
          <w:color w:val="222222"/>
        </w:rPr>
        <w:tab/>
      </w:r>
      <w:r>
        <w:rPr>
          <w:rFonts w:ascii="Palatino Linotype" w:eastAsia="Palatino Linotype" w:hAnsi="Palatino Linotype" w:cs="Palatino Linotype"/>
          <w:b/>
          <w:bCs/>
          <w:i/>
          <w:iCs/>
          <w:color w:val="222222"/>
        </w:rPr>
        <w:t>“Artículo 49</w:t>
      </w:r>
      <w:r>
        <w:rPr>
          <w:rFonts w:ascii="Palatino Linotype" w:eastAsia="Palatino Linotype" w:hAnsi="Palatino Linotype" w:cs="Palatino Linotype"/>
          <w:i/>
          <w:iCs/>
          <w:color w:val="222222"/>
        </w:rPr>
        <w:t>. Los Comités de Transparencia tendrán las siguientes atribuciones:</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VIII. Aprobar, modificar o revocar la clasificación de la información;</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 </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b/>
          <w:bCs/>
          <w:i/>
          <w:iCs/>
          <w:color w:val="222222"/>
        </w:rPr>
        <w:t>Artículo 132</w:t>
      </w:r>
      <w:r>
        <w:rPr>
          <w:rFonts w:ascii="Palatino Linotype" w:eastAsia="Palatino Linotype" w:hAnsi="Palatino Linotype" w:cs="Palatino Linotype"/>
          <w:i/>
          <w:iCs/>
          <w:color w:val="222222"/>
        </w:rPr>
        <w:t>. La clasificación de la información se llevará a cabo en el momento en que:</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I. Se reciba una solicitud de acceso a la información;</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II. Se determine mediante resolución de autoridad competente; o</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III. Se generen versiones públicas para dar cumplimiento a las obligaciones de transparencia previstas en esta Ley.”</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 </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b/>
          <w:bCs/>
          <w:i/>
          <w:iCs/>
          <w:color w:val="222222"/>
        </w:rPr>
        <w:t>Cuarto.</w:t>
      </w:r>
      <w:r>
        <w:rPr>
          <w:rFonts w:ascii="Palatino Linotype" w:eastAsia="Palatino Linotype" w:hAnsi="Palatino Linotype" w:cs="Palatino Linotype"/>
          <w:i/>
          <w:iCs/>
          <w:color w:val="222222"/>
        </w:rPr>
        <w:t>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 Los Sujetos Obligados deberán aplicar, de manera estricta, las excepciones al derecho de acceso a la información y sólo podrán invocarlas cuando acrediten su procedencia.</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b/>
          <w:bCs/>
          <w:i/>
          <w:iCs/>
          <w:color w:val="222222"/>
        </w:rPr>
        <w:lastRenderedPageBreak/>
        <w:t>Quinto.</w:t>
      </w:r>
      <w:r>
        <w:rPr>
          <w:rFonts w:ascii="Palatino Linotype" w:eastAsia="Palatino Linotype" w:hAnsi="Palatino Linotype" w:cs="Palatino Linotype"/>
          <w:i/>
          <w:iCs/>
          <w:color w:val="222222"/>
        </w:rPr>
        <w:t>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 </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b/>
          <w:bCs/>
          <w:i/>
          <w:iCs/>
          <w:color w:val="222222"/>
        </w:rPr>
        <w:t>Sexto.</w:t>
      </w:r>
      <w:r>
        <w:rPr>
          <w:rFonts w:ascii="Palatino Linotype" w:eastAsia="Palatino Linotype" w:hAnsi="Palatino Linotype" w:cs="Palatino Linotype"/>
          <w:i/>
          <w:iCs/>
          <w:color w:val="222222"/>
        </w:rPr>
        <w:t> Los Sujetos Obligados no podrán emitir acuerdos de carácter general ni particular que clasifiquen documentos o expedientes como reservados, ni clasificar documentos antes de que se genere la información o cuando éstos no obren en sus archivos.</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 </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La clasificación de información se realizará conforme a un análisis caso por caso, mediante la aplicación de la prueba de daño y de interés público.</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 </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b/>
          <w:bCs/>
          <w:i/>
          <w:iCs/>
          <w:color w:val="222222"/>
        </w:rPr>
        <w:t>Séptimo.</w:t>
      </w:r>
      <w:r>
        <w:rPr>
          <w:rFonts w:ascii="Palatino Linotype" w:eastAsia="Palatino Linotype" w:hAnsi="Palatino Linotype" w:cs="Palatino Linotype"/>
          <w:i/>
          <w:iCs/>
          <w:color w:val="222222"/>
        </w:rPr>
        <w:t> La clasificación de la información se llevará a cabo en el momento en que: I. Se reciba una solicitud de acceso a la información;</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 </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II. Se determine mediante resolución de autoridad competente, o</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III. Se generen versiones públicas para dar cumplimiento a las obligaciones de transparencia previstas en la Ley General, la Ley Federal y las correspondientes de las entidades federativas.</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 </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Los titulares de las áreas deberán revisar la clasificación al momento de la recepción de una solicitud de acceso a la información, para verificar si encuadra en una causal de reserva o de confidencialidad.</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 </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b/>
          <w:bCs/>
          <w:i/>
          <w:iCs/>
          <w:color w:val="222222"/>
        </w:rPr>
        <w:t>Octavo.</w:t>
      </w:r>
      <w:r>
        <w:rPr>
          <w:rFonts w:ascii="Palatino Linotype" w:eastAsia="Palatino Linotype" w:hAnsi="Palatino Linotype" w:cs="Palatino Linotype"/>
          <w:i/>
          <w:iCs/>
          <w:color w:val="222222"/>
        </w:rPr>
        <w:t> Para fundar la clasificación de la información se debe señalar el artículo, fracción, inciso, párrafo o numeral de la ley o tratado internacional suscrito por el Estado mexicano que expresamente le otorga el carácter de reservada o confidencial.</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Para motivar la clasificación se deberán señalar las razones o circunstancias especiales que lo llevaron a concluir que el caso particular se ajusta al supuesto previsto por la norma legal invocada como fundamento.</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 </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lastRenderedPageBreak/>
        <w:t>En caso de referirse a información reservada, la motivación de la clasificación también deberá comprender las circunstancias que justifican el establecimiento de determinado plazo de reserva.</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 </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Tratándose de información clasificada como confidencial respecto de la cual se haya determinado su conservación permanente por tener valor histórico, ésta conservará tal carácter de conformidad con la normativa aplicable en materia de archivos.</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 </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Los documentos contenidos en los archivos históricos y los identificados como históricos confidenciales no serán susceptibles de clasificación como reservados. Noveno.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 </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b/>
          <w:bCs/>
          <w:i/>
          <w:iCs/>
          <w:color w:val="222222"/>
        </w:rPr>
        <w:t>Décimo</w:t>
      </w:r>
      <w:r>
        <w:rPr>
          <w:rFonts w:ascii="Palatino Linotype" w:eastAsia="Palatino Linotype" w:hAnsi="Palatino Linotype" w:cs="Palatino Linotype"/>
          <w:i/>
          <w:iCs/>
          <w:color w:val="222222"/>
        </w:rPr>
        <w:t>.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 </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En ausencia de los titulares de las áreas, la información será clasificada o desclasificada por la persona que lo supla, en términos de la normativa que rija la actuación del sujeto obligado.</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 </w:t>
      </w:r>
    </w:p>
    <w:p w:rsidR="001F20B9" w:rsidRDefault="00291E24">
      <w:pPr>
        <w:pBdr>
          <w:top w:val="nil"/>
          <w:left w:val="nil"/>
          <w:bottom w:val="nil"/>
          <w:right w:val="nil"/>
          <w:between w:val="nil"/>
        </w:pBdr>
        <w:shd w:val="clear" w:color="auto" w:fill="FFFFFF"/>
        <w:ind w:left="1134" w:right="-1071"/>
        <w:jc w:val="both"/>
        <w:rPr>
          <w:rFonts w:ascii="Palatino Linotype" w:eastAsia="Palatino Linotype" w:hAnsi="Palatino Linotype" w:cs="Palatino Linotype"/>
          <w:color w:val="222222"/>
        </w:rPr>
      </w:pPr>
      <w:r>
        <w:rPr>
          <w:rFonts w:ascii="Palatino Linotype" w:eastAsia="Palatino Linotype" w:hAnsi="Palatino Linotype" w:cs="Palatino Linotype"/>
          <w:b/>
          <w:bCs/>
          <w:i/>
          <w:iCs/>
          <w:color w:val="222222"/>
        </w:rPr>
        <w:t>Décimo primero</w:t>
      </w:r>
      <w:r>
        <w:rPr>
          <w:rFonts w:ascii="Palatino Linotype" w:eastAsia="Palatino Linotype" w:hAnsi="Palatino Linotype" w:cs="Palatino Linotype"/>
          <w:i/>
          <w:iCs/>
          <w:color w:val="222222"/>
        </w:rPr>
        <w:t>.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rsidR="001F20B9" w:rsidRDefault="001F20B9">
      <w:pPr>
        <w:shd w:val="clear" w:color="auto" w:fill="FFFFFF"/>
        <w:ind w:right="-1071"/>
        <w:jc w:val="both"/>
        <w:rPr>
          <w:rFonts w:ascii="Palatino Linotype" w:eastAsia="Palatino Linotype" w:hAnsi="Palatino Linotype" w:cs="Palatino Linotype"/>
          <w:color w:val="222222"/>
        </w:rPr>
      </w:pPr>
    </w:p>
    <w:p w:rsidR="00C532F6" w:rsidRDefault="00C532F6">
      <w:pPr>
        <w:shd w:val="clear" w:color="auto" w:fill="FFFFFF"/>
        <w:ind w:right="-1071"/>
        <w:jc w:val="both"/>
        <w:rPr>
          <w:rFonts w:ascii="Palatino Linotype" w:eastAsia="Palatino Linotype" w:hAnsi="Palatino Linotype" w:cs="Palatino Linotype"/>
          <w:color w:val="222222"/>
        </w:rPr>
      </w:pPr>
    </w:p>
    <w:p w:rsidR="001F20B9" w:rsidRDefault="00291E24" w:rsidP="00C532F6">
      <w:pPr>
        <w:numPr>
          <w:ilvl w:val="0"/>
          <w:numId w:val="11"/>
        </w:numPr>
        <w:pBdr>
          <w:top w:val="nil"/>
          <w:left w:val="nil"/>
          <w:bottom w:val="nil"/>
          <w:right w:val="nil"/>
          <w:between w:val="nil"/>
        </w:pBdr>
        <w:shd w:val="clear" w:color="auto" w:fill="FFFFFF"/>
        <w:ind w:left="0" w:right="-1071"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t xml:space="preserve">En tal contexto </w:t>
      </w:r>
      <w:r>
        <w:rPr>
          <w:rFonts w:ascii="Palatino Linotype" w:eastAsia="Palatino Linotype" w:hAnsi="Palatino Linotype" w:cs="Palatino Linotype"/>
          <w:b/>
          <w:bCs/>
          <w:color w:val="222222"/>
          <w:u w:val="single"/>
        </w:rPr>
        <w:t>se deberá proceder a la clasificación de los nombres de los elementos de policía que realicen actividades operativas en campo</w:t>
      </w:r>
      <w:r>
        <w:rPr>
          <w:rFonts w:ascii="Palatino Linotype" w:eastAsia="Palatino Linotype" w:hAnsi="Palatino Linotype" w:cs="Palatino Linotype"/>
          <w:color w:val="222222"/>
        </w:rPr>
        <w:t>.</w:t>
      </w:r>
    </w:p>
    <w:p w:rsidR="001F20B9" w:rsidRDefault="001F20B9">
      <w:pPr>
        <w:pBdr>
          <w:top w:val="nil"/>
          <w:left w:val="nil"/>
          <w:bottom w:val="nil"/>
          <w:right w:val="nil"/>
          <w:between w:val="nil"/>
        </w:pBdr>
        <w:ind w:left="720" w:right="-1071"/>
        <w:rPr>
          <w:rFonts w:ascii="Palatino Linotype" w:eastAsia="Palatino Linotype" w:hAnsi="Palatino Linotype" w:cs="Palatino Linotype"/>
          <w:color w:val="000000"/>
        </w:rPr>
      </w:pPr>
    </w:p>
    <w:p w:rsidR="001F20B9" w:rsidRPr="00C532F6" w:rsidRDefault="00291E24" w:rsidP="00C532F6">
      <w:pPr>
        <w:pStyle w:val="Prrafodelista"/>
        <w:numPr>
          <w:ilvl w:val="0"/>
          <w:numId w:val="11"/>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sidRPr="00C532F6">
        <w:rPr>
          <w:rFonts w:ascii="Palatino Linotype" w:eastAsia="Palatino Linotype" w:hAnsi="Palatino Linotype" w:cs="Palatino Linotype"/>
          <w:color w:val="000000"/>
        </w:rPr>
        <w:t xml:space="preserve">Así mismo es de suma importancia precisar que cualquier persona tiene el derecho al acceso de la información pública, información que consiste en aquella que sea generada, </w:t>
      </w:r>
      <w:r w:rsidRPr="00C532F6">
        <w:rPr>
          <w:rFonts w:ascii="Palatino Linotype" w:eastAsia="Palatino Linotype" w:hAnsi="Palatino Linotype" w:cs="Palatino Linotype"/>
          <w:color w:val="000000"/>
        </w:rPr>
        <w:lastRenderedPageBreak/>
        <w:t>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rsidR="001F20B9" w:rsidRDefault="00291E24">
      <w:pPr>
        <w:pBdr>
          <w:top w:val="nil"/>
          <w:left w:val="nil"/>
          <w:bottom w:val="nil"/>
          <w:right w:val="nil"/>
          <w:between w:val="nil"/>
        </w:pBdr>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4. El derecho humano de acceso a la información pública es la prerrogativa de las personas para buscar, difundir, investigar, recabar, recibir y solicitar información pública, sin necesidad de acreditar personalidad ni interés jurídico. </w:t>
      </w:r>
    </w:p>
    <w:p w:rsidR="001F20B9" w:rsidRDefault="00291E24">
      <w:pPr>
        <w:pBdr>
          <w:top w:val="nil"/>
          <w:left w:val="nil"/>
          <w:bottom w:val="nil"/>
          <w:right w:val="nil"/>
          <w:between w:val="nil"/>
        </w:pBdr>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vigente a la fecha de la solicitud,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rsidR="001F20B9" w:rsidRDefault="00291E24">
      <w:pPr>
        <w:pBdr>
          <w:top w:val="nil"/>
          <w:left w:val="nil"/>
          <w:bottom w:val="nil"/>
          <w:right w:val="nil"/>
          <w:between w:val="nil"/>
        </w:pBdr>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deben poner en práctica, políticas y programas de acceso a la información que se apeguen a criterios de publicidad, veracidad, oportunidad, precisión y suficiencia en beneficio de los solicitantes.”(Sic)</w:t>
      </w:r>
    </w:p>
    <w:p w:rsidR="001F20B9" w:rsidRDefault="001F20B9">
      <w:pPr>
        <w:pBdr>
          <w:top w:val="nil"/>
          <w:left w:val="nil"/>
          <w:bottom w:val="nil"/>
          <w:right w:val="nil"/>
          <w:between w:val="nil"/>
        </w:pBdr>
        <w:ind w:left="1134" w:right="-1071"/>
        <w:jc w:val="both"/>
        <w:rPr>
          <w:rFonts w:ascii="Palatino Linotype" w:eastAsia="Palatino Linotype" w:hAnsi="Palatino Linotype" w:cs="Palatino Linotype"/>
          <w:i/>
          <w:iCs/>
          <w:color w:val="000000"/>
        </w:rPr>
      </w:pPr>
    </w:p>
    <w:p w:rsidR="001F20B9" w:rsidRDefault="00291E24" w:rsidP="00C532F6">
      <w:pPr>
        <w:numPr>
          <w:ilvl w:val="0"/>
          <w:numId w:val="11"/>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 lo precedente, se desprende que los Sujetos Obligados tiene la obligación o deber de atender las solicitudes de acceso a la información pública que se les hagan de su conocimiento y proporcionar la información pública que obren en su poder como así lo establece el artículo 12 de la Ley de Transparencia y Acceso a la Información Pública del Estado de México y Municipios, el cual a la letra dice:</w:t>
      </w:r>
    </w:p>
    <w:p w:rsidR="001F20B9" w:rsidRDefault="00291E24">
      <w:pPr>
        <w:pBdr>
          <w:top w:val="nil"/>
          <w:left w:val="nil"/>
          <w:bottom w:val="nil"/>
          <w:right w:val="nil"/>
          <w:between w:val="nil"/>
        </w:pBdr>
        <w:spacing w:line="276" w:lineRule="auto"/>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“Artículo 12. Quienes generen, recopilen, administren, manejen, procesen, archiven o conserven información pública serán responsables de la misma en los términos de las disposiciones jurídicas aplicables. </w:t>
      </w:r>
    </w:p>
    <w:p w:rsidR="001F20B9" w:rsidRDefault="00291E24">
      <w:pPr>
        <w:pBdr>
          <w:top w:val="nil"/>
          <w:left w:val="nil"/>
          <w:bottom w:val="nil"/>
          <w:right w:val="nil"/>
          <w:between w:val="nil"/>
        </w:pBdr>
        <w:spacing w:line="276" w:lineRule="auto"/>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(Sic)</w:t>
      </w:r>
    </w:p>
    <w:p w:rsidR="001F20B9" w:rsidRDefault="001F20B9">
      <w:pPr>
        <w:pBdr>
          <w:top w:val="nil"/>
          <w:left w:val="nil"/>
          <w:bottom w:val="nil"/>
          <w:right w:val="nil"/>
          <w:between w:val="nil"/>
        </w:pBdr>
        <w:spacing w:line="276" w:lineRule="auto"/>
        <w:ind w:left="1134" w:right="-1071"/>
        <w:jc w:val="both"/>
        <w:rPr>
          <w:rFonts w:ascii="Palatino Linotype" w:eastAsia="Palatino Linotype" w:hAnsi="Palatino Linotype" w:cs="Palatino Linotype"/>
          <w:i/>
          <w:iCs/>
          <w:color w:val="000000"/>
        </w:rPr>
      </w:pPr>
    </w:p>
    <w:p w:rsidR="001F20B9" w:rsidRDefault="001F20B9">
      <w:pPr>
        <w:pBdr>
          <w:top w:val="nil"/>
          <w:left w:val="nil"/>
          <w:bottom w:val="nil"/>
          <w:right w:val="nil"/>
          <w:between w:val="nil"/>
        </w:pBdr>
        <w:ind w:right="-1071"/>
        <w:jc w:val="both"/>
        <w:rPr>
          <w:rFonts w:ascii="Palatino Linotype" w:eastAsia="Palatino Linotype" w:hAnsi="Palatino Linotype" w:cs="Palatino Linotype"/>
          <w:color w:val="000000"/>
        </w:rPr>
      </w:pPr>
    </w:p>
    <w:p w:rsidR="001F20B9" w:rsidRDefault="00291E24" w:rsidP="00C532F6">
      <w:pPr>
        <w:numPr>
          <w:ilvl w:val="0"/>
          <w:numId w:val="11"/>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 decir, que el derecho de acceso a la información pública se satisface en aquellos casos en que se entregue documento en que conste la información requerida, toda vez que, los Sujetos Obligados no tienen el deber de generar, poseer o administrar la información pública con el grado de detalle solicitado; esto es, que no tienen el deber de generar un documento ad hoc, para satisfacer el derecho de acceso a la información pública, como así lo establece el criterio 03/17 emitido por el Instituto Nacional de Transparencia, Acceso a la Información Pública y Protección de Datos Personales, los cuales señalan lo siguiente:</w:t>
      </w:r>
    </w:p>
    <w:p w:rsidR="001F20B9" w:rsidRDefault="00291E24">
      <w:pPr>
        <w:pBdr>
          <w:top w:val="nil"/>
          <w:left w:val="nil"/>
          <w:bottom w:val="nil"/>
          <w:right w:val="nil"/>
          <w:between w:val="nil"/>
        </w:pBdr>
        <w:spacing w:line="276" w:lineRule="auto"/>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03/17</w:t>
      </w:r>
    </w:p>
    <w:p w:rsidR="001F20B9" w:rsidRDefault="00291E24">
      <w:pPr>
        <w:pBdr>
          <w:top w:val="nil"/>
          <w:left w:val="nil"/>
          <w:bottom w:val="nil"/>
          <w:right w:val="nil"/>
          <w:between w:val="nil"/>
        </w:pBdr>
        <w:spacing w:line="276" w:lineRule="auto"/>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“NO EXISTE OBLIGACIÓN DE ELABORAR DOCUMENTOS AD HOC PARA ATENDER LAS SOLICITUDES DE ACCESO A LA INFORMACIÓN.</w:t>
      </w:r>
    </w:p>
    <w:p w:rsidR="001F20B9" w:rsidRDefault="00291E24">
      <w:pPr>
        <w:pBdr>
          <w:top w:val="nil"/>
          <w:left w:val="nil"/>
          <w:bottom w:val="nil"/>
          <w:right w:val="nil"/>
          <w:between w:val="nil"/>
        </w:pBdr>
        <w:spacing w:line="276" w:lineRule="auto"/>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artículos 129 de la Ley General de Transparencia y Acceso a la Información Pública y 130, párrafo cuarto, vigente a la fecha de la solicitud,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información."(Sic)</w:t>
      </w:r>
    </w:p>
    <w:p w:rsidR="001F20B9" w:rsidRDefault="001F20B9">
      <w:pPr>
        <w:pBdr>
          <w:top w:val="nil"/>
          <w:left w:val="nil"/>
          <w:bottom w:val="nil"/>
          <w:right w:val="nil"/>
          <w:between w:val="nil"/>
        </w:pBdr>
        <w:spacing w:line="276" w:lineRule="auto"/>
        <w:ind w:left="1134" w:right="-1071"/>
        <w:jc w:val="both"/>
        <w:rPr>
          <w:rFonts w:ascii="Palatino Linotype" w:eastAsia="Palatino Linotype" w:hAnsi="Palatino Linotype" w:cs="Palatino Linotype"/>
          <w:i/>
          <w:iCs/>
          <w:color w:val="000000"/>
        </w:rPr>
      </w:pPr>
    </w:p>
    <w:p w:rsidR="001F20B9" w:rsidRDefault="00291E24" w:rsidP="00C532F6">
      <w:pPr>
        <w:numPr>
          <w:ilvl w:val="0"/>
          <w:numId w:val="11"/>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Por otra parte, y aunado a lo antepuesto, el último párrafo del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1F20B9" w:rsidRDefault="001F20B9" w:rsidP="00C532F6">
      <w:pPr>
        <w:pBdr>
          <w:top w:val="nil"/>
          <w:left w:val="nil"/>
          <w:bottom w:val="nil"/>
          <w:right w:val="nil"/>
          <w:between w:val="nil"/>
        </w:pBdr>
        <w:ind w:right="-1071"/>
        <w:jc w:val="both"/>
        <w:rPr>
          <w:rFonts w:ascii="Palatino Linotype" w:eastAsia="Palatino Linotype" w:hAnsi="Palatino Linotype" w:cs="Palatino Linotype"/>
          <w:color w:val="000000"/>
        </w:rPr>
      </w:pPr>
    </w:p>
    <w:p w:rsidR="001F20B9" w:rsidRDefault="00291E24" w:rsidP="00C532F6">
      <w:pPr>
        <w:numPr>
          <w:ilvl w:val="0"/>
          <w:numId w:val="11"/>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rsidR="001F20B9" w:rsidRDefault="001F20B9" w:rsidP="00C532F6">
      <w:pPr>
        <w:pBdr>
          <w:top w:val="nil"/>
          <w:left w:val="nil"/>
          <w:bottom w:val="nil"/>
          <w:right w:val="nil"/>
          <w:between w:val="nil"/>
        </w:pBdr>
        <w:ind w:right="-1071"/>
        <w:jc w:val="both"/>
        <w:rPr>
          <w:rFonts w:ascii="Palatino Linotype" w:eastAsia="Palatino Linotype" w:hAnsi="Palatino Linotype" w:cs="Palatino Linotype"/>
          <w:color w:val="000000"/>
        </w:rPr>
      </w:pPr>
    </w:p>
    <w:p w:rsidR="001F20B9" w:rsidRDefault="00291E24" w:rsidP="00C532F6">
      <w:pPr>
        <w:numPr>
          <w:ilvl w:val="0"/>
          <w:numId w:val="11"/>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rsidR="001F20B9" w:rsidRDefault="00291E24">
      <w:pPr>
        <w:pBdr>
          <w:top w:val="nil"/>
          <w:left w:val="nil"/>
          <w:bottom w:val="nil"/>
          <w:right w:val="nil"/>
          <w:between w:val="nil"/>
        </w:pBdr>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“Artículo 3. Para los efectos de la presente Ley se entenderá por:</w:t>
      </w:r>
    </w:p>
    <w:p w:rsidR="001F20B9" w:rsidRDefault="00291E24">
      <w:pPr>
        <w:pBdr>
          <w:top w:val="nil"/>
          <w:left w:val="nil"/>
          <w:bottom w:val="nil"/>
          <w:right w:val="nil"/>
          <w:between w:val="nil"/>
        </w:pBdr>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1F20B9" w:rsidRDefault="00291E24">
      <w:pPr>
        <w:pBdr>
          <w:top w:val="nil"/>
          <w:left w:val="nil"/>
          <w:bottom w:val="nil"/>
          <w:right w:val="nil"/>
          <w:between w:val="nil"/>
        </w:pBdr>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 Documento: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w:t>
      </w:r>
      <w:r>
        <w:rPr>
          <w:rFonts w:ascii="Palatino Linotype" w:eastAsia="Palatino Linotype" w:hAnsi="Palatino Linotype" w:cs="Palatino Linotype"/>
          <w:i/>
          <w:iCs/>
          <w:color w:val="000000"/>
        </w:rPr>
        <w:lastRenderedPageBreak/>
        <w:t>públicos e integrantes, sin importar su fuente o fecha de elaboración. Los documentos podrán estar en cualquier medio, sea escrito, impreso, sonoro, visual, electrónico, informático u holográfico…” (Sic)</w:t>
      </w:r>
    </w:p>
    <w:p w:rsidR="001F20B9" w:rsidRDefault="001F20B9">
      <w:pPr>
        <w:pBdr>
          <w:top w:val="nil"/>
          <w:left w:val="nil"/>
          <w:bottom w:val="nil"/>
          <w:right w:val="nil"/>
          <w:between w:val="nil"/>
        </w:pBdr>
        <w:ind w:left="1134" w:right="-1071"/>
        <w:jc w:val="both"/>
        <w:rPr>
          <w:rFonts w:ascii="Palatino Linotype" w:eastAsia="Palatino Linotype" w:hAnsi="Palatino Linotype" w:cs="Palatino Linotype"/>
          <w:i/>
          <w:iCs/>
          <w:color w:val="000000"/>
        </w:rPr>
      </w:pPr>
    </w:p>
    <w:p w:rsidR="001F20B9" w:rsidRDefault="00291E24" w:rsidP="00C532F6">
      <w:pPr>
        <w:numPr>
          <w:ilvl w:val="0"/>
          <w:numId w:val="11"/>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rsidR="001F20B9" w:rsidRDefault="00291E24">
      <w:pPr>
        <w:pBdr>
          <w:top w:val="nil"/>
          <w:left w:val="nil"/>
          <w:bottom w:val="nil"/>
          <w:right w:val="nil"/>
          <w:between w:val="nil"/>
        </w:pBdr>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“CRITERIO 0002-11</w:t>
      </w:r>
    </w:p>
    <w:p w:rsidR="001F20B9" w:rsidRDefault="00291E24">
      <w:pPr>
        <w:pBdr>
          <w:top w:val="nil"/>
          <w:left w:val="nil"/>
          <w:bottom w:val="nil"/>
          <w:right w:val="nil"/>
          <w:between w:val="nil"/>
        </w:pBdr>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1F20B9" w:rsidRDefault="00291E24">
      <w:pPr>
        <w:pBdr>
          <w:top w:val="nil"/>
          <w:left w:val="nil"/>
          <w:bottom w:val="nil"/>
          <w:right w:val="nil"/>
          <w:between w:val="nil"/>
        </w:pBdr>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consecuencia el acceso a la información se refiere a que se cumplan cualquiera de los siguientes tres supuestos:</w:t>
      </w:r>
    </w:p>
    <w:p w:rsidR="001F20B9" w:rsidRDefault="00291E24">
      <w:pPr>
        <w:pBdr>
          <w:top w:val="nil"/>
          <w:left w:val="nil"/>
          <w:bottom w:val="nil"/>
          <w:right w:val="nil"/>
          <w:between w:val="nil"/>
        </w:pBdr>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1)</w:t>
      </w:r>
      <w:r>
        <w:rPr>
          <w:rFonts w:ascii="Palatino Linotype" w:eastAsia="Palatino Linotype" w:hAnsi="Palatino Linotype" w:cs="Palatino Linotype"/>
          <w:i/>
          <w:iCs/>
          <w:color w:val="000000"/>
        </w:rPr>
        <w:tab/>
        <w:t>Que se trate de información registrada en cualquier soporte documental, que en ejercicio de las atribuciones conferidas, sea generada por los Sujetos Obligados;</w:t>
      </w:r>
    </w:p>
    <w:p w:rsidR="001F20B9" w:rsidRDefault="00291E24">
      <w:pPr>
        <w:pBdr>
          <w:top w:val="nil"/>
          <w:left w:val="nil"/>
          <w:bottom w:val="nil"/>
          <w:right w:val="nil"/>
          <w:between w:val="nil"/>
        </w:pBdr>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2)</w:t>
      </w:r>
      <w:r>
        <w:rPr>
          <w:rFonts w:ascii="Palatino Linotype" w:eastAsia="Palatino Linotype" w:hAnsi="Palatino Linotype" w:cs="Palatino Linotype"/>
          <w:i/>
          <w:iCs/>
          <w:color w:val="000000"/>
        </w:rPr>
        <w:tab/>
        <w:t>Que se trate de información registrada en cualquier soporte documental, que en ejercicio de las atribuciones conferidas, sea administrada por los Sujetos Obligados, y</w:t>
      </w:r>
    </w:p>
    <w:p w:rsidR="001F20B9" w:rsidRDefault="00291E24">
      <w:pPr>
        <w:pBdr>
          <w:top w:val="nil"/>
          <w:left w:val="nil"/>
          <w:bottom w:val="nil"/>
          <w:right w:val="nil"/>
          <w:between w:val="nil"/>
        </w:pBdr>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3) Que se trate de información registrada en cualquier soporte documental, que en ejercicio de las atribuciones conferidas, se encuentre en posesión de los Sujetos Obligados.” (Sic)</w:t>
      </w:r>
    </w:p>
    <w:p w:rsidR="001F20B9" w:rsidRDefault="001F20B9">
      <w:pPr>
        <w:pBdr>
          <w:top w:val="nil"/>
          <w:left w:val="nil"/>
          <w:bottom w:val="nil"/>
          <w:right w:val="nil"/>
          <w:between w:val="nil"/>
        </w:pBdr>
        <w:ind w:left="1134" w:right="-1071"/>
        <w:jc w:val="both"/>
        <w:rPr>
          <w:rFonts w:ascii="Palatino Linotype" w:eastAsia="Palatino Linotype" w:hAnsi="Palatino Linotype" w:cs="Palatino Linotype"/>
          <w:i/>
          <w:iCs/>
          <w:color w:val="000000"/>
        </w:rPr>
      </w:pPr>
    </w:p>
    <w:p w:rsidR="001F20B9" w:rsidRDefault="00291E24" w:rsidP="00C532F6">
      <w:pPr>
        <w:numPr>
          <w:ilvl w:val="0"/>
          <w:numId w:val="11"/>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ahí que EL SUJETO OBLIGADO cuenta con el deber de satisfacer las solicitudes de acceso a la información que le sean formuladas y entregar la información pública que obre en sus archivos; más aún si la misma se trata de información pública de oficio la cual se relaciona con aquella que se genere de acuerdo con sus facultades, atribuciones señaladas por la Ley en la materia , así como de interés público, es decir, aquella que resulta relevante o beneficiosa </w:t>
      </w:r>
      <w:r>
        <w:rPr>
          <w:rFonts w:ascii="Palatino Linotype" w:eastAsia="Palatino Linotype" w:hAnsi="Palatino Linotype" w:cs="Palatino Linotype"/>
          <w:color w:val="000000"/>
        </w:rPr>
        <w:lastRenderedPageBreak/>
        <w:t>para la sociedad y no simplemente de interés individual, y cuya divulgación resulta útil para que el público comprenda las actividades que llevan a cabo los Sujetos Obligados .</w:t>
      </w:r>
    </w:p>
    <w:p w:rsidR="001F20B9" w:rsidRDefault="001F20B9" w:rsidP="00C532F6">
      <w:pPr>
        <w:pBdr>
          <w:top w:val="nil"/>
          <w:left w:val="nil"/>
          <w:bottom w:val="nil"/>
          <w:right w:val="nil"/>
          <w:between w:val="nil"/>
        </w:pBdr>
        <w:ind w:right="-1071"/>
        <w:rPr>
          <w:rFonts w:ascii="Palatino Linotype" w:eastAsia="Palatino Linotype" w:hAnsi="Palatino Linotype" w:cs="Palatino Linotype"/>
          <w:color w:val="000000"/>
        </w:rPr>
      </w:pPr>
    </w:p>
    <w:p w:rsidR="001F20B9" w:rsidRDefault="00291E24" w:rsidP="00C532F6">
      <w:pPr>
        <w:numPr>
          <w:ilvl w:val="0"/>
          <w:numId w:val="11"/>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Una vez precisado lo anterior, resulta necesario señalar que 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rsidR="001F20B9" w:rsidRDefault="00291E24">
      <w:pPr>
        <w:spacing w:line="276" w:lineRule="auto"/>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i/>
          <w:iCs/>
        </w:rPr>
        <w:t>Artículo 18. Los sujetos obligados deberán documentar todo acto que derive del ejercicio de sus facultades, competencias o funciones, considerando desde su origen la eventual publicidad y reutilización de la información que generen</w:t>
      </w:r>
    </w:p>
    <w:p w:rsidR="001F20B9" w:rsidRDefault="001F20B9">
      <w:pPr>
        <w:spacing w:line="360" w:lineRule="auto"/>
        <w:ind w:right="-1071"/>
        <w:rPr>
          <w:rFonts w:ascii="Palatino Linotype" w:eastAsia="Palatino Linotype" w:hAnsi="Palatino Linotype" w:cs="Palatino Linotype"/>
        </w:rPr>
      </w:pPr>
    </w:p>
    <w:p w:rsidR="001F20B9" w:rsidRDefault="00291E24" w:rsidP="00C532F6">
      <w:pPr>
        <w:numPr>
          <w:ilvl w:val="0"/>
          <w:numId w:val="11"/>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 anterior toma relevancia, pues según Jarquín, Soledad (2019), en el “Diccionario de Transparencia y Acceso a la Información Pública” (p. 126 y 127), todos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rsidR="001F20B9" w:rsidRDefault="001F20B9" w:rsidP="00C532F6">
      <w:pPr>
        <w:spacing w:line="360" w:lineRule="auto"/>
        <w:ind w:right="-1071"/>
        <w:rPr>
          <w:rFonts w:ascii="Palatino Linotype" w:eastAsia="Palatino Linotype" w:hAnsi="Palatino Linotype" w:cs="Palatino Linotype"/>
        </w:rPr>
      </w:pPr>
    </w:p>
    <w:p w:rsidR="001F20B9" w:rsidRDefault="00291E24" w:rsidP="00C532F6">
      <w:pPr>
        <w:widowControl w:val="0"/>
        <w:numPr>
          <w:ilvl w:val="0"/>
          <w:numId w:val="11"/>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rsidR="001F20B9" w:rsidRDefault="001F20B9">
      <w:pPr>
        <w:pBdr>
          <w:top w:val="nil"/>
          <w:left w:val="nil"/>
          <w:bottom w:val="nil"/>
          <w:right w:val="nil"/>
          <w:between w:val="nil"/>
        </w:pBdr>
        <w:ind w:left="720" w:right="-1071"/>
        <w:rPr>
          <w:rFonts w:ascii="Palatino Linotype" w:eastAsia="Palatino Linotype" w:hAnsi="Palatino Linotype" w:cs="Palatino Linotype"/>
          <w:color w:val="000000"/>
        </w:rPr>
      </w:pPr>
    </w:p>
    <w:p w:rsidR="001F20B9" w:rsidRDefault="00291E24" w:rsidP="00C532F6">
      <w:pPr>
        <w:numPr>
          <w:ilvl w:val="0"/>
          <w:numId w:val="11"/>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lastRenderedPageBreak/>
        <w:t xml:space="preserve">Expuesto lo anterior, analizadas las constancias que forman el expediente electrónico, resultan  fundadas las razones o motivos de inconformidad hechos valer por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dentro del recurso de revisión </w:t>
      </w:r>
      <w:r>
        <w:rPr>
          <w:rFonts w:ascii="Palatino Linotype" w:eastAsia="Palatino Linotype" w:hAnsi="Palatino Linotype" w:cs="Palatino Linotype"/>
          <w:b/>
          <w:bCs/>
          <w:color w:val="000000"/>
        </w:rPr>
        <w:t xml:space="preserve">01723/INFOEM/IP/RR/2026 </w:t>
      </w:r>
      <w:r>
        <w:rPr>
          <w:rFonts w:ascii="Palatino Linotype" w:eastAsia="Palatino Linotype" w:hAnsi="Palatino Linotype" w:cs="Palatino Linotype"/>
          <w:color w:val="000000"/>
        </w:rPr>
        <w:t xml:space="preserve">y resulta procedente ordenar al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la </w:t>
      </w:r>
      <w:r>
        <w:rPr>
          <w:rFonts w:ascii="Palatino Linotype" w:eastAsia="Palatino Linotype" w:hAnsi="Palatino Linotype" w:cs="Palatino Linotype"/>
          <w:i/>
          <w:iCs/>
          <w:color w:val="000000"/>
        </w:rPr>
        <w:t>entrega en versión pública  a través de SAIMEX todos los comprobantes de pago realizados mediante transferencia electrónica y/o cheque durante el mes de diciembre de 2025 por la tesorería municipal.</w:t>
      </w:r>
    </w:p>
    <w:p w:rsidR="001F20B9" w:rsidRDefault="001F20B9">
      <w:pPr>
        <w:pBdr>
          <w:top w:val="nil"/>
          <w:left w:val="nil"/>
          <w:bottom w:val="nil"/>
          <w:right w:val="nil"/>
          <w:between w:val="nil"/>
        </w:pBdr>
        <w:spacing w:line="720" w:lineRule="auto"/>
        <w:ind w:right="-1071"/>
        <w:jc w:val="both"/>
        <w:rPr>
          <w:rFonts w:ascii="Palatino Linotype" w:eastAsia="Palatino Linotype" w:hAnsi="Palatino Linotype" w:cs="Palatino Linotype"/>
          <w:color w:val="000000"/>
        </w:rPr>
      </w:pPr>
    </w:p>
    <w:p w:rsidR="001F20B9" w:rsidRDefault="00291E24">
      <w:pPr>
        <w:keepNext/>
        <w:keepLines/>
        <w:spacing w:after="160"/>
        <w:ind w:left="708" w:right="-1071" w:hanging="708"/>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rsidR="001F20B9" w:rsidRDefault="00291E24">
      <w:pPr>
        <w:keepNext/>
        <w:keepLines/>
        <w:numPr>
          <w:ilvl w:val="0"/>
          <w:numId w:val="4"/>
        </w:numPr>
        <w:tabs>
          <w:tab w:val="left" w:pos="284"/>
        </w:tabs>
        <w:spacing w:after="160"/>
        <w:ind w:left="0" w:right="-1071" w:firstLine="0"/>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Nociones generales. </w:t>
      </w:r>
    </w:p>
    <w:p w:rsidR="001F20B9" w:rsidRPr="00C532F6" w:rsidRDefault="00291E24" w:rsidP="00C532F6">
      <w:pPr>
        <w:pStyle w:val="Prrafodelista"/>
        <w:numPr>
          <w:ilvl w:val="0"/>
          <w:numId w:val="11"/>
        </w:numPr>
        <w:spacing w:line="360" w:lineRule="auto"/>
        <w:ind w:left="0" w:right="-1071" w:firstLine="0"/>
        <w:jc w:val="both"/>
        <w:rPr>
          <w:rFonts w:ascii="Palatino Linotype" w:eastAsia="Palatino Linotype" w:hAnsi="Palatino Linotype" w:cs="Palatino Linotype"/>
          <w:color w:val="000000"/>
        </w:rPr>
      </w:pPr>
      <w:r w:rsidRPr="00C532F6">
        <w:rPr>
          <w:rFonts w:ascii="Palatino Linotype" w:eastAsia="Palatino Linotype" w:hAnsi="Palatino Linotype" w:cs="Palatino Linotype"/>
          <w:color w:val="000000"/>
        </w:rPr>
        <w:t xml:space="preserve">Debe destacarse, que debido a la información solicitada por el </w:t>
      </w:r>
      <w:r w:rsidRPr="00C532F6">
        <w:rPr>
          <w:rFonts w:ascii="Palatino Linotype" w:eastAsia="Palatino Linotype" w:hAnsi="Palatino Linotype" w:cs="Palatino Linotype"/>
          <w:b/>
          <w:bCs/>
          <w:color w:val="000000"/>
        </w:rPr>
        <w:t xml:space="preserve">RECURRENTE, pueden obrar </w:t>
      </w:r>
      <w:r w:rsidRPr="00C532F6">
        <w:rPr>
          <w:rFonts w:ascii="Palatino Linotype" w:eastAsia="Palatino Linotype" w:hAnsi="Palatino Linotype" w:cs="Palatino Linotype"/>
          <w:color w:val="000000"/>
        </w:rPr>
        <w:t xml:space="preserve">datos personales susceptibles de protegerse, así como información susceptible de clasificarse como confidencial,  por lo que el </w:t>
      </w:r>
      <w:r w:rsidRPr="00C532F6">
        <w:rPr>
          <w:rFonts w:ascii="Palatino Linotype" w:eastAsia="Palatino Linotype" w:hAnsi="Palatino Linotype" w:cs="Palatino Linotype"/>
          <w:b/>
          <w:bCs/>
          <w:color w:val="000000"/>
        </w:rPr>
        <w:t xml:space="preserve">SUJETO OBLIGADO </w:t>
      </w:r>
      <w:r w:rsidRPr="00C532F6">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1F20B9" w:rsidRDefault="001F20B9">
      <w:pPr>
        <w:tabs>
          <w:tab w:val="left" w:pos="0"/>
          <w:tab w:val="left" w:pos="284"/>
        </w:tabs>
        <w:spacing w:line="360" w:lineRule="auto"/>
        <w:ind w:right="-1071"/>
        <w:jc w:val="both"/>
        <w:rPr>
          <w:rFonts w:ascii="Palatino Linotype" w:eastAsia="Palatino Linotype" w:hAnsi="Palatino Linotype" w:cs="Palatino Linotype"/>
          <w:highlight w:val="yellow"/>
        </w:rPr>
      </w:pPr>
    </w:p>
    <w:p w:rsidR="001F20B9" w:rsidRDefault="00291E24" w:rsidP="00C532F6">
      <w:pPr>
        <w:numPr>
          <w:ilvl w:val="0"/>
          <w:numId w:val="11"/>
        </w:numP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tbl>
      <w:tblPr>
        <w:tblStyle w:val="a"/>
        <w:tblW w:w="991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229"/>
      </w:tblGrid>
      <w:tr w:rsidR="001F20B9" w:rsidTr="00C532F6">
        <w:tc>
          <w:tcPr>
            <w:tcW w:w="2689" w:type="dxa"/>
          </w:tcPr>
          <w:p w:rsidR="001F20B9" w:rsidRDefault="00C532F6" w:rsidP="00C532F6">
            <w:pPr>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 xml:space="preserve">a) Requisitos </w:t>
            </w:r>
            <w:r w:rsidR="00291E24">
              <w:rPr>
                <w:rFonts w:ascii="Palatino Linotype" w:eastAsia="Palatino Linotype" w:hAnsi="Palatino Linotype" w:cs="Palatino Linotype"/>
                <w:b/>
                <w:bCs/>
              </w:rPr>
              <w:t>previos.</w:t>
            </w:r>
          </w:p>
        </w:tc>
        <w:tc>
          <w:tcPr>
            <w:tcW w:w="7229" w:type="dxa"/>
          </w:tcPr>
          <w:p w:rsidR="001F20B9" w:rsidRDefault="00291E24" w:rsidP="00C532F6">
            <w:pPr>
              <w:spacing w:line="276" w:lineRule="auto"/>
              <w:ind w:right="2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1F20B9" w:rsidRDefault="00291E24" w:rsidP="00C532F6">
            <w:pPr>
              <w:spacing w:line="276" w:lineRule="auto"/>
              <w:ind w:right="2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Al hacerlo tienen que precisar de qué información se trata, señalando el supuesto de clasificación (confidencialidad o reserva).</w:t>
            </w:r>
          </w:p>
          <w:p w:rsidR="001F20B9" w:rsidRDefault="00291E24" w:rsidP="00C532F6">
            <w:pPr>
              <w:spacing w:line="276" w:lineRule="auto"/>
              <w:ind w:right="2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Además, se debe señalar el procedimiento, de los tres que establecen el artículo 132 de la Ley Estatal.</w:t>
            </w:r>
          </w:p>
          <w:p w:rsidR="001F20B9" w:rsidRDefault="00291E24" w:rsidP="00C532F6">
            <w:pPr>
              <w:spacing w:line="276" w:lineRule="auto"/>
              <w:ind w:right="27"/>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i/>
                <w:iCs/>
                <w:color w:val="000000"/>
                <w:u w:val="single"/>
              </w:rPr>
              <w:t>no se puede hacer un acuerdo para clasificar de manera general todos los documentos de un expediente o área, sin</w:t>
            </w:r>
            <w:r>
              <w:rPr>
                <w:rFonts w:ascii="Palatino Linotype" w:eastAsia="Palatino Linotype" w:hAnsi="Palatino Linotype" w:cs="Palatino Linotype"/>
                <w:i/>
                <w:iCs/>
                <w:color w:val="000000"/>
              </w:rPr>
              <w:t xml:space="preserve"> individualizar su análisis y tampoco se puede hacer un acuerdo por cada dato que se vaya a clasificar dentro de un documento con diez datos, por ejemplo, susceptibles de ser clasificados.</w:t>
            </w:r>
          </w:p>
        </w:tc>
      </w:tr>
      <w:tr w:rsidR="001F20B9" w:rsidTr="00C532F6">
        <w:tc>
          <w:tcPr>
            <w:tcW w:w="2689" w:type="dxa"/>
            <w:shd w:val="clear" w:color="auto" w:fill="D9D9D9"/>
          </w:tcPr>
          <w:p w:rsidR="001F20B9" w:rsidRDefault="00291E24" w:rsidP="00C532F6">
            <w:pPr>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lastRenderedPageBreak/>
              <w:t>b) Supuestos de clasificación.</w:t>
            </w:r>
          </w:p>
        </w:tc>
        <w:tc>
          <w:tcPr>
            <w:tcW w:w="7229" w:type="dxa"/>
            <w:shd w:val="clear" w:color="auto" w:fill="D9D9D9"/>
          </w:tcPr>
          <w:p w:rsidR="001F20B9" w:rsidRDefault="00291E24" w:rsidP="00C532F6">
            <w:pPr>
              <w:spacing w:line="276" w:lineRule="auto"/>
              <w:ind w:right="2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Las disposiciones constitucionales y legales en la materia establecen los dos supuestos generales para clasificar la información: por reserva y por confidencialidad.</w:t>
            </w:r>
          </w:p>
          <w:p w:rsidR="001F20B9" w:rsidRDefault="00291E24" w:rsidP="00C532F6">
            <w:pPr>
              <w:spacing w:line="276" w:lineRule="auto"/>
              <w:ind w:right="2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rsidR="001F20B9" w:rsidRDefault="00291E24" w:rsidP="00C532F6">
            <w:pPr>
              <w:spacing w:line="276" w:lineRule="auto"/>
              <w:ind w:right="27"/>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El </w:t>
            </w:r>
            <w:r>
              <w:rPr>
                <w:rFonts w:ascii="Palatino Linotype" w:eastAsia="Palatino Linotype" w:hAnsi="Palatino Linotype" w:cs="Palatino Linotype"/>
                <w:b/>
                <w:bCs/>
                <w:i/>
                <w:iCs/>
                <w:color w:val="000000"/>
              </w:rPr>
              <w:t>Sujeto Obligado</w:t>
            </w:r>
            <w:r>
              <w:rPr>
                <w:rFonts w:ascii="Palatino Linotype" w:eastAsia="Palatino Linotype" w:hAnsi="Palatino Linotype" w:cs="Palatino Linotype"/>
                <w:i/>
                <w:iCs/>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1F20B9" w:rsidTr="00C532F6">
        <w:tc>
          <w:tcPr>
            <w:tcW w:w="2689" w:type="dxa"/>
          </w:tcPr>
          <w:p w:rsidR="001F20B9" w:rsidRDefault="00291E24" w:rsidP="00C532F6">
            <w:pPr>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c) Formalidades para emitir el acuerdo de clasificación.</w:t>
            </w:r>
          </w:p>
        </w:tc>
        <w:tc>
          <w:tcPr>
            <w:tcW w:w="7229" w:type="dxa"/>
          </w:tcPr>
          <w:p w:rsidR="001F20B9" w:rsidRDefault="00291E24" w:rsidP="00C532F6">
            <w:pPr>
              <w:spacing w:line="276" w:lineRule="auto"/>
              <w:ind w:right="2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Comité de Transparencia, según lo dispuesto en los artículos cuenta con las facultades para aprobar, modificar o revocar la clasificación de la información que haya propuesto. </w:t>
            </w:r>
          </w:p>
          <w:p w:rsidR="001F20B9" w:rsidRDefault="00291E24" w:rsidP="00C532F6">
            <w:pPr>
              <w:spacing w:line="276" w:lineRule="auto"/>
              <w:ind w:right="2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Es necesario que </w:t>
            </w:r>
            <w:r>
              <w:rPr>
                <w:rFonts w:ascii="Palatino Linotype" w:eastAsia="Palatino Linotype" w:hAnsi="Palatino Linotype" w:cs="Palatino Linotype"/>
                <w:b/>
                <w:bCs/>
                <w:i/>
                <w:iCs/>
                <w:color w:val="000000"/>
                <w:u w:val="single"/>
              </w:rPr>
              <w:t>el acto reúna con los requisitos elementales</w:t>
            </w:r>
            <w:r>
              <w:rPr>
                <w:rFonts w:ascii="Palatino Linotype" w:eastAsia="Palatino Linotype" w:hAnsi="Palatino Linotype" w:cs="Palatino Linotype"/>
                <w:i/>
                <w:iCs/>
                <w:color w:val="000000"/>
              </w:rPr>
              <w:t>, entre ellos, que la autoridad que va a emitir el acto de autoridad sea la legalmente facultada para ello.</w:t>
            </w:r>
          </w:p>
          <w:p w:rsidR="001F20B9" w:rsidRDefault="00291E24" w:rsidP="00C532F6">
            <w:pPr>
              <w:spacing w:line="276" w:lineRule="auto"/>
              <w:ind w:right="27"/>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lastRenderedPageBreak/>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i/>
                <w:iCs/>
              </w:rPr>
              <w:t>El área</w:t>
            </w:r>
            <w:r>
              <w:rPr>
                <w:rFonts w:ascii="Palatino Linotype" w:eastAsia="Palatino Linotype" w:hAnsi="Palatino Linotype" w:cs="Palatino Linotype"/>
                <w:i/>
                <w:iCs/>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1F20B9" w:rsidTr="00C532F6">
        <w:tc>
          <w:tcPr>
            <w:tcW w:w="2689" w:type="dxa"/>
            <w:shd w:val="clear" w:color="auto" w:fill="D9D9D9"/>
          </w:tcPr>
          <w:p w:rsidR="001F20B9" w:rsidRDefault="001F20B9" w:rsidP="00C532F6">
            <w:pPr>
              <w:spacing w:line="360" w:lineRule="auto"/>
              <w:rPr>
                <w:rFonts w:ascii="Palatino Linotype" w:eastAsia="Palatino Linotype" w:hAnsi="Palatino Linotype" w:cs="Palatino Linotype"/>
                <w:b/>
                <w:bCs/>
              </w:rPr>
            </w:pPr>
          </w:p>
          <w:p w:rsidR="001F20B9" w:rsidRDefault="00291E24" w:rsidP="00C532F6">
            <w:pPr>
              <w:spacing w:line="360" w:lineRule="auto"/>
              <w:jc w:val="both"/>
              <w:rPr>
                <w:rFonts w:ascii="Palatino Linotype" w:eastAsia="Palatino Linotype" w:hAnsi="Palatino Linotype" w:cs="Palatino Linotype"/>
                <w:b/>
                <w:bCs/>
              </w:rPr>
            </w:pPr>
            <w:r>
              <w:rPr>
                <w:rFonts w:ascii="Palatino Linotype" w:eastAsia="Palatino Linotype" w:hAnsi="Palatino Linotype" w:cs="Palatino Linotype"/>
                <w:b/>
                <w:bCs/>
                <w:color w:val="000000"/>
              </w:rPr>
              <w:t xml:space="preserve">d) Requisitos de fondo del acuerdo de clasificación. </w:t>
            </w:r>
          </w:p>
        </w:tc>
        <w:tc>
          <w:tcPr>
            <w:tcW w:w="7229" w:type="dxa"/>
            <w:shd w:val="clear" w:color="auto" w:fill="D9D9D9"/>
          </w:tcPr>
          <w:p w:rsidR="001F20B9" w:rsidRDefault="00291E24" w:rsidP="00C532F6">
            <w:pPr>
              <w:spacing w:line="276" w:lineRule="auto"/>
              <w:ind w:right="2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i/>
                <w:iCs/>
                <w:color w:val="000000"/>
              </w:rPr>
              <w:t>Sujetos Obligados</w:t>
            </w:r>
            <w:r>
              <w:rPr>
                <w:rFonts w:ascii="Palatino Linotype" w:eastAsia="Palatino Linotype" w:hAnsi="Palatino Linotype" w:cs="Palatino Linotype"/>
                <w:i/>
                <w:iCs/>
                <w:color w:val="000000"/>
              </w:rPr>
              <w:t xml:space="preserve">, por lo que deberán fundar y motivar debidamente la clasificación. </w:t>
            </w:r>
          </w:p>
          <w:p w:rsidR="001F20B9" w:rsidRDefault="00291E24" w:rsidP="00C532F6">
            <w:pPr>
              <w:spacing w:line="276" w:lineRule="auto"/>
              <w:ind w:right="2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De lo anterior, se desprende que para una correcta </w:t>
            </w:r>
            <w:r>
              <w:rPr>
                <w:rFonts w:ascii="Palatino Linotype" w:eastAsia="Palatino Linotype" w:hAnsi="Palatino Linotype" w:cs="Palatino Linotype"/>
                <w:b/>
                <w:bCs/>
                <w:i/>
                <w:iCs/>
                <w:color w:val="000000"/>
              </w:rPr>
              <w:t>clasificación total o parcial</w:t>
            </w:r>
            <w:r>
              <w:rPr>
                <w:rFonts w:ascii="Palatino Linotype" w:eastAsia="Palatino Linotype" w:hAnsi="Palatino Linotype" w:cs="Palatino Linotype"/>
                <w:i/>
                <w:iCs/>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1F20B9" w:rsidRDefault="00291E24" w:rsidP="00C532F6">
            <w:pPr>
              <w:spacing w:line="276" w:lineRule="auto"/>
              <w:ind w:right="2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1F20B9" w:rsidRDefault="00291E24" w:rsidP="00C532F6">
            <w:pPr>
              <w:spacing w:line="276" w:lineRule="auto"/>
              <w:ind w:right="2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ese mismo sentido, el numeral trigésimo tercero fracción V de los Lineamientos Generales, precisa que para motivar la clasificación se deben acreditar las circunstancias de tiempo, modo y lugar.</w:t>
            </w:r>
          </w:p>
          <w:p w:rsidR="001F20B9" w:rsidRDefault="00291E24" w:rsidP="00C532F6">
            <w:pPr>
              <w:spacing w:line="276" w:lineRule="auto"/>
              <w:ind w:right="2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Ahora bien, </w:t>
            </w:r>
            <w:r>
              <w:rPr>
                <w:rFonts w:ascii="Palatino Linotype" w:eastAsia="Palatino Linotype" w:hAnsi="Palatino Linotype" w:cs="Palatino Linotype"/>
                <w:b/>
                <w:bCs/>
                <w:i/>
                <w:iCs/>
                <w:color w:val="000000"/>
                <w:u w:val="single"/>
              </w:rPr>
              <w:t>para cada caso además de fundar y motivar</w:t>
            </w:r>
            <w:r>
              <w:rPr>
                <w:rFonts w:ascii="Palatino Linotype" w:eastAsia="Palatino Linotype" w:hAnsi="Palatino Linotype" w:cs="Palatino Linotype"/>
                <w:i/>
                <w:iCs/>
                <w:color w:val="000000"/>
              </w:rPr>
              <w:t xml:space="preserve">, se debe identificar con claridad </w:t>
            </w:r>
            <w:r>
              <w:rPr>
                <w:rFonts w:ascii="Palatino Linotype" w:eastAsia="Palatino Linotype" w:hAnsi="Palatino Linotype" w:cs="Palatino Linotype"/>
                <w:i/>
                <w:iCs/>
              </w:rPr>
              <w:t>qué</w:t>
            </w:r>
            <w:r>
              <w:rPr>
                <w:rFonts w:ascii="Palatino Linotype" w:eastAsia="Palatino Linotype" w:hAnsi="Palatino Linotype" w:cs="Palatino Linotype"/>
                <w:i/>
                <w:iCs/>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1F20B9" w:rsidTr="00C532F6">
        <w:tc>
          <w:tcPr>
            <w:tcW w:w="2689" w:type="dxa"/>
          </w:tcPr>
          <w:p w:rsidR="001F20B9" w:rsidRDefault="00291E24" w:rsidP="00C532F6">
            <w:pPr>
              <w:spacing w:line="360" w:lineRule="auto"/>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e) Condiciones especiales de la clasificación de la información como confidencial. </w:t>
            </w:r>
          </w:p>
        </w:tc>
        <w:tc>
          <w:tcPr>
            <w:tcW w:w="7229" w:type="dxa"/>
          </w:tcPr>
          <w:p w:rsidR="001F20B9" w:rsidRDefault="00291E24" w:rsidP="00C532F6">
            <w:pPr>
              <w:spacing w:line="276" w:lineRule="auto"/>
              <w:ind w:right="2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Los artículos 148 de la Ley Estatal establece que aun tratándose de datos personales, se podrán proporcionar, incluso sin solicitar el consentimiento de su titular. </w:t>
            </w:r>
          </w:p>
          <w:p w:rsidR="001F20B9" w:rsidRDefault="00291E24" w:rsidP="00C532F6">
            <w:pPr>
              <w:spacing w:line="276" w:lineRule="auto"/>
              <w:ind w:right="2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1F20B9" w:rsidRDefault="00291E24" w:rsidP="00C532F6">
            <w:pPr>
              <w:spacing w:line="276" w:lineRule="auto"/>
              <w:ind w:right="27"/>
              <w:rPr>
                <w:rFonts w:ascii="Palatino Linotype" w:eastAsia="Palatino Linotype" w:hAnsi="Palatino Linotype" w:cs="Palatino Linotype"/>
                <w:i/>
                <w:iCs/>
              </w:rPr>
            </w:pPr>
            <w:r>
              <w:rPr>
                <w:rFonts w:ascii="Palatino Linotype" w:eastAsia="Palatino Linotype" w:hAnsi="Palatino Linotype" w:cs="Palatino Linotype"/>
                <w:i/>
                <w:iCs/>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1F20B9" w:rsidRDefault="001F20B9">
      <w:pPr>
        <w:tabs>
          <w:tab w:val="left" w:pos="284"/>
        </w:tabs>
        <w:spacing w:line="360" w:lineRule="auto"/>
        <w:ind w:right="-1071"/>
        <w:jc w:val="both"/>
        <w:rPr>
          <w:rFonts w:ascii="Palatino Linotype" w:eastAsia="Palatino Linotype" w:hAnsi="Palatino Linotype" w:cs="Palatino Linotype"/>
          <w:color w:val="000000"/>
        </w:rPr>
      </w:pPr>
    </w:p>
    <w:p w:rsidR="001F20B9" w:rsidRDefault="00291E24">
      <w:pPr>
        <w:numPr>
          <w:ilvl w:val="0"/>
          <w:numId w:val="7"/>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bookmarkStart w:id="9" w:name="_heading=h.bjmblltbfzmx" w:colFirst="0" w:colLast="0"/>
      <w:bookmarkEnd w:id="9"/>
      <w:r>
        <w:rPr>
          <w:rFonts w:ascii="Palatino Linotype" w:eastAsia="Palatino Linotype" w:hAnsi="Palatino Linotype" w:cs="Palatino Linotype"/>
          <w:color w:val="000000"/>
        </w:rPr>
        <w:t>Para tal situación, el Sujeto Obligado deberá seguir el procedimiento establecido en el artículo 168 de la Ley de Transparencia y Acceso a la Información Pública del Estado de México y Municipios; esto es, que el área competente deberá elaborar la versión pública, así como emitir el Acuerdo, por parte del Comité de Transparencia, donde confirme la clasificación de los datos o documentos, fundando y motivando la clasificación.</w:t>
      </w:r>
    </w:p>
    <w:p w:rsidR="001F20B9" w:rsidRDefault="001F20B9">
      <w:pPr>
        <w:spacing w:line="360" w:lineRule="auto"/>
        <w:ind w:right="-1071"/>
        <w:jc w:val="both"/>
        <w:rPr>
          <w:rFonts w:ascii="Palatino Linotype" w:eastAsia="Palatino Linotype" w:hAnsi="Palatino Linotype" w:cs="Palatino Linotype"/>
        </w:rPr>
      </w:pPr>
    </w:p>
    <w:p w:rsidR="001F20B9" w:rsidRDefault="00291E24">
      <w:pPr>
        <w:numPr>
          <w:ilvl w:val="0"/>
          <w:numId w:val="7"/>
        </w:numP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Si el servidor público incumple con estas formalidades y entrega la información sin proteger los datos personales incumple con lo que estipula las disposiciones legales establecidas. </w:t>
      </w:r>
    </w:p>
    <w:p w:rsidR="001F20B9" w:rsidRDefault="001F20B9">
      <w:pPr>
        <w:spacing w:line="360" w:lineRule="auto"/>
        <w:ind w:right="-1071"/>
        <w:jc w:val="both"/>
        <w:rPr>
          <w:rFonts w:ascii="Palatino Linotype" w:eastAsia="Palatino Linotype" w:hAnsi="Palatino Linotype" w:cs="Palatino Linotype"/>
        </w:rPr>
      </w:pPr>
    </w:p>
    <w:p w:rsidR="001F20B9" w:rsidRDefault="00291E24">
      <w:pPr>
        <w:numPr>
          <w:ilvl w:val="0"/>
          <w:numId w:val="7"/>
        </w:numP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Por lo anteriormente expuesto, este Órgano Garante considera fundadas las razones o motivos de inconformidad que plantea el</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determinando </w:t>
      </w:r>
      <w:r>
        <w:rPr>
          <w:rFonts w:ascii="Palatino Linotype" w:eastAsia="Palatino Linotype" w:hAnsi="Palatino Linotype" w:cs="Palatino Linotype"/>
          <w:b/>
          <w:bCs/>
        </w:rPr>
        <w:t xml:space="preserve">REVOCAR </w:t>
      </w:r>
      <w:r>
        <w:rPr>
          <w:rFonts w:ascii="Palatino Linotype" w:eastAsia="Palatino Linotype" w:hAnsi="Palatino Linotype" w:cs="Palatino Linotype"/>
        </w:rPr>
        <w:t xml:space="preserve">la respuesta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Pr>
          <w:rFonts w:ascii="Palatino Linotype" w:eastAsia="Palatino Linotype" w:hAnsi="Palatino Linotype" w:cs="Palatino Linotype"/>
          <w:color w:val="000000"/>
        </w:rPr>
        <w:t xml:space="preserve">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w:t>
      </w:r>
    </w:p>
    <w:p w:rsidR="001F20B9" w:rsidRDefault="001F20B9">
      <w:pPr>
        <w:pBdr>
          <w:top w:val="nil"/>
          <w:left w:val="nil"/>
          <w:bottom w:val="nil"/>
          <w:right w:val="nil"/>
          <w:between w:val="nil"/>
        </w:pBdr>
        <w:tabs>
          <w:tab w:val="left" w:pos="426"/>
        </w:tabs>
        <w:spacing w:line="720" w:lineRule="auto"/>
        <w:ind w:right="-1071"/>
        <w:jc w:val="both"/>
        <w:rPr>
          <w:rFonts w:ascii="Palatino Linotype" w:eastAsia="Palatino Linotype" w:hAnsi="Palatino Linotype" w:cs="Palatino Linotype"/>
          <w:color w:val="000000"/>
          <w:highlight w:val="yellow"/>
        </w:rPr>
      </w:pPr>
    </w:p>
    <w:p w:rsidR="001F20B9" w:rsidRDefault="00291E24">
      <w:pPr>
        <w:pStyle w:val="Ttulo1"/>
        <w:spacing w:before="0" w:line="360" w:lineRule="auto"/>
        <w:ind w:right="-1071"/>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R E S O L U T I V O S</w:t>
      </w:r>
    </w:p>
    <w:p w:rsidR="001F20B9" w:rsidRDefault="001F20B9">
      <w:pPr>
        <w:spacing w:line="360" w:lineRule="auto"/>
        <w:ind w:right="-1071"/>
        <w:rPr>
          <w:rFonts w:ascii="Palatino Linotype" w:eastAsia="Palatino Linotype" w:hAnsi="Palatino Linotype" w:cs="Palatino Linotype"/>
        </w:rPr>
      </w:pPr>
    </w:p>
    <w:p w:rsidR="001F20B9" w:rsidRDefault="00291E24">
      <w:p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fundadas las razones o motivos de inconformidad hechos valer en el Recurso de Revisión </w:t>
      </w:r>
      <w:r>
        <w:rPr>
          <w:rFonts w:ascii="Palatino Linotype" w:eastAsia="Palatino Linotype" w:hAnsi="Palatino Linotype" w:cs="Palatino Linotype"/>
          <w:b/>
          <w:bCs/>
        </w:rPr>
        <w:t xml:space="preserve">01723/INFOEM/IP/RR/2026, </w:t>
      </w:r>
      <w:r>
        <w:rPr>
          <w:rFonts w:ascii="Palatino Linotype" w:eastAsia="Palatino Linotype" w:hAnsi="Palatino Linotype" w:cs="Palatino Linotype"/>
        </w:rPr>
        <w:t xml:space="preserve">en términos de los  Considerandos </w:t>
      </w:r>
      <w:r>
        <w:rPr>
          <w:rFonts w:ascii="Palatino Linotype" w:eastAsia="Palatino Linotype" w:hAnsi="Palatino Linotype" w:cs="Palatino Linotype"/>
          <w:b/>
          <w:bCs/>
        </w:rPr>
        <w:t xml:space="preserve">Cuarto y Quinto </w:t>
      </w:r>
      <w:r>
        <w:rPr>
          <w:rFonts w:ascii="Palatino Linotype" w:eastAsia="Palatino Linotype" w:hAnsi="Palatino Linotype" w:cs="Palatino Linotype"/>
        </w:rPr>
        <w:t xml:space="preserve">de la presente resolución. </w:t>
      </w:r>
    </w:p>
    <w:p w:rsidR="001F20B9" w:rsidRDefault="001F20B9">
      <w:pPr>
        <w:spacing w:line="360" w:lineRule="auto"/>
        <w:ind w:right="-1071"/>
        <w:jc w:val="both"/>
        <w:rPr>
          <w:rFonts w:ascii="Palatino Linotype" w:eastAsia="Palatino Linotype" w:hAnsi="Palatino Linotype" w:cs="Palatino Linotype"/>
        </w:rPr>
      </w:pPr>
    </w:p>
    <w:p w:rsidR="001F20B9" w:rsidRDefault="00291E24">
      <w:pPr>
        <w:spacing w:line="360" w:lineRule="auto"/>
        <w:ind w:right="-1071"/>
        <w:jc w:val="both"/>
        <w:rPr>
          <w:rFonts w:ascii="Palatino Linotype" w:eastAsia="Palatino Linotype" w:hAnsi="Palatino Linotype" w:cs="Palatino Linotype"/>
          <w:color w:val="000000"/>
        </w:rPr>
      </w:pPr>
      <w:bookmarkStart w:id="10" w:name="_heading=h.z337ya" w:colFirst="0" w:colLast="0"/>
      <w:bookmarkEnd w:id="10"/>
      <w:r>
        <w:rPr>
          <w:rFonts w:ascii="Palatino Linotype" w:eastAsia="Palatino Linotype" w:hAnsi="Palatino Linotype" w:cs="Palatino Linotype"/>
          <w:b/>
          <w:bCs/>
        </w:rPr>
        <w:t xml:space="preserve">SEGUNDO.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REVOCA </w:t>
      </w:r>
      <w:r>
        <w:rPr>
          <w:rFonts w:ascii="Palatino Linotype" w:eastAsia="Palatino Linotype" w:hAnsi="Palatino Linotype" w:cs="Palatino Linotype"/>
          <w:color w:val="000000"/>
        </w:rPr>
        <w:t xml:space="preserve">la respuesta emitida por el </w:t>
      </w:r>
      <w:r>
        <w:rPr>
          <w:rFonts w:ascii="Palatino Linotype" w:eastAsia="Palatino Linotype" w:hAnsi="Palatino Linotype" w:cs="Palatino Linotype"/>
          <w:b/>
          <w:bCs/>
          <w:color w:val="000000"/>
        </w:rPr>
        <w:t xml:space="preserve">Ayuntamiento de Tlalnepantla de Baz </w:t>
      </w:r>
      <w:r>
        <w:rPr>
          <w:rFonts w:ascii="Palatino Linotype" w:eastAsia="Palatino Linotype" w:hAnsi="Palatino Linotype" w:cs="Palatino Linotype"/>
          <w:color w:val="000000"/>
        </w:rPr>
        <w:t xml:space="preserve">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vía Sistema de Acceso a la Información Mexiquense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la siguiente información, en versión pública, el o los documentos donde conste lo siguiente. </w:t>
      </w:r>
    </w:p>
    <w:p w:rsidR="001F20B9" w:rsidRDefault="001F20B9">
      <w:pPr>
        <w:spacing w:line="360" w:lineRule="auto"/>
        <w:ind w:right="-1071"/>
        <w:jc w:val="both"/>
        <w:rPr>
          <w:rFonts w:ascii="Palatino Linotype" w:eastAsia="Palatino Linotype" w:hAnsi="Palatino Linotype" w:cs="Palatino Linotype"/>
          <w:color w:val="000000"/>
        </w:rPr>
      </w:pPr>
    </w:p>
    <w:p w:rsidR="001F20B9" w:rsidRDefault="00291E24">
      <w:pPr>
        <w:numPr>
          <w:ilvl w:val="3"/>
          <w:numId w:val="7"/>
        </w:numPr>
        <w:pBdr>
          <w:top w:val="nil"/>
          <w:left w:val="nil"/>
          <w:bottom w:val="nil"/>
          <w:right w:val="nil"/>
          <w:between w:val="nil"/>
        </w:pBdr>
        <w:spacing w:line="360" w:lineRule="auto"/>
        <w:ind w:left="1134" w:right="-107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Todos los comprobantes de pago realizados mediante transferencia electrónica y/o cheque durante el mes de diciembre de 2025 por la tesorería municipal.</w:t>
      </w:r>
    </w:p>
    <w:p w:rsidR="001F20B9" w:rsidRDefault="001F20B9">
      <w:pPr>
        <w:spacing w:line="360" w:lineRule="auto"/>
        <w:ind w:right="-1071"/>
        <w:jc w:val="both"/>
        <w:rPr>
          <w:rFonts w:ascii="Palatino Linotype" w:eastAsia="Palatino Linotype" w:hAnsi="Palatino Linotype" w:cs="Palatino Linotype"/>
          <w:b/>
          <w:bCs/>
          <w:color w:val="000000"/>
        </w:rPr>
      </w:pPr>
    </w:p>
    <w:p w:rsidR="001F20B9" w:rsidRDefault="00291E24">
      <w:pPr>
        <w:tabs>
          <w:tab w:val="left" w:pos="8080"/>
        </w:tabs>
        <w:spacing w:line="276" w:lineRule="auto"/>
        <w:ind w:left="1134" w:right="-1071"/>
        <w:jc w:val="both"/>
        <w:rPr>
          <w:rFonts w:ascii="Palatino Linotype" w:eastAsia="Palatino Linotype" w:hAnsi="Palatino Linotype" w:cs="Palatino Linotype"/>
          <w:b/>
          <w:bCs/>
          <w:i/>
          <w:iCs/>
        </w:rPr>
      </w:pPr>
      <w:r>
        <w:rPr>
          <w:rFonts w:ascii="Palatino Linotype" w:eastAsia="Palatino Linotype" w:hAnsi="Palatino Linotype" w:cs="Palatino Linotype"/>
          <w:i/>
          <w:iCs/>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Pr>
          <w:rFonts w:ascii="Palatino Linotype" w:eastAsia="Palatino Linotype" w:hAnsi="Palatino Linotype" w:cs="Palatino Linotype"/>
          <w:b/>
          <w:bCs/>
          <w:i/>
          <w:iCs/>
        </w:rPr>
        <w:t>RECURRENTE.</w:t>
      </w:r>
    </w:p>
    <w:p w:rsidR="001F20B9" w:rsidRDefault="001F20B9">
      <w:pPr>
        <w:tabs>
          <w:tab w:val="left" w:pos="8080"/>
        </w:tabs>
        <w:spacing w:line="360" w:lineRule="auto"/>
        <w:ind w:right="-1071"/>
        <w:jc w:val="both"/>
        <w:rPr>
          <w:rFonts w:ascii="Palatino Linotype" w:eastAsia="Palatino Linotype" w:hAnsi="Palatino Linotype" w:cs="Palatino Linotype"/>
          <w:b/>
          <w:bCs/>
        </w:rPr>
      </w:pPr>
    </w:p>
    <w:p w:rsidR="001F20B9" w:rsidRDefault="00291E24">
      <w:pPr>
        <w:tabs>
          <w:tab w:val="left" w:pos="8080"/>
        </w:tabs>
        <w:spacing w:line="360" w:lineRule="auto"/>
        <w:ind w:right="-1071"/>
        <w:jc w:val="both"/>
        <w:rPr>
          <w:rFonts w:ascii="Palatino Linotype" w:eastAsia="Palatino Linotype" w:hAnsi="Palatino Linotype" w:cs="Palatino Linotype"/>
          <w:color w:val="222222"/>
          <w:highlight w:val="white"/>
        </w:rPr>
      </w:pPr>
      <w:r>
        <w:rPr>
          <w:rFonts w:ascii="Palatino Linotype" w:eastAsia="Palatino Linotype" w:hAnsi="Palatino Linotype" w:cs="Palatino Linotype"/>
          <w:b/>
          <w:bCs/>
        </w:rPr>
        <w:t xml:space="preserve">TERCERO. </w:t>
      </w:r>
      <w:r>
        <w:rPr>
          <w:rFonts w:ascii="Palatino Linotype" w:eastAsia="Palatino Linotype" w:hAnsi="Palatino Linotype" w:cs="Palatino Linotype"/>
          <w:b/>
          <w:bCs/>
          <w:color w:val="222222"/>
          <w:highlight w:val="white"/>
        </w:rPr>
        <w:t xml:space="preserve">NOTIFÍQUESE </w:t>
      </w:r>
      <w:r>
        <w:rPr>
          <w:rFonts w:ascii="Palatino Linotype" w:eastAsia="Palatino Linotype" w:hAnsi="Palatino Linotype" w:cs="Palatino Linotype"/>
          <w:color w:val="222222"/>
          <w:highlight w:val="whit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color w:val="222222"/>
          <w:highlight w:val="white"/>
        </w:rPr>
        <w:t xml:space="preserve">dé cumplimiento a lo ordenado dentro del plazo de diez días hábiles, </w:t>
      </w:r>
      <w:r>
        <w:rPr>
          <w:rFonts w:ascii="Palatino Linotype" w:eastAsia="Palatino Linotype" w:hAnsi="Palatino Linotype" w:cs="Palatino Linotype"/>
          <w:color w:val="222222"/>
          <w:highlight w:val="white"/>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1F20B9" w:rsidRDefault="001F20B9">
      <w:pPr>
        <w:tabs>
          <w:tab w:val="left" w:pos="8080"/>
        </w:tabs>
        <w:spacing w:line="360" w:lineRule="auto"/>
        <w:ind w:right="-1071"/>
        <w:jc w:val="both"/>
        <w:rPr>
          <w:rFonts w:ascii="Palatino Linotype" w:eastAsia="Palatino Linotype" w:hAnsi="Palatino Linotype" w:cs="Palatino Linotype"/>
          <w:highlight w:val="white"/>
        </w:rPr>
      </w:pPr>
    </w:p>
    <w:p w:rsidR="001F20B9" w:rsidRDefault="00291E24">
      <w:p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1F20B9" w:rsidRDefault="001F20B9">
      <w:pPr>
        <w:spacing w:line="360" w:lineRule="auto"/>
        <w:ind w:right="-1071"/>
        <w:jc w:val="both"/>
        <w:rPr>
          <w:rFonts w:ascii="Palatino Linotype" w:eastAsia="Palatino Linotype" w:hAnsi="Palatino Linotype" w:cs="Palatino Linotype"/>
        </w:rPr>
      </w:pPr>
    </w:p>
    <w:p w:rsidR="001F20B9" w:rsidRDefault="00291E24">
      <w:pPr>
        <w:tabs>
          <w:tab w:val="left" w:pos="8080"/>
        </w:tabs>
        <w:spacing w:line="360" w:lineRule="auto"/>
        <w:ind w:right="-1071"/>
        <w:jc w:val="both"/>
        <w:rPr>
          <w:rFonts w:ascii="Palatino Linotype" w:eastAsia="Palatino Linotype" w:hAnsi="Palatino Linotype" w:cs="Palatino Linotype"/>
        </w:rPr>
      </w:pPr>
      <w:bookmarkStart w:id="11" w:name="_heading=h.1y810tw" w:colFirst="0" w:colLast="0"/>
      <w:bookmarkEnd w:id="11"/>
      <w:r>
        <w:rPr>
          <w:rFonts w:ascii="Palatino Linotype" w:eastAsia="Palatino Linotype" w:hAnsi="Palatino Linotype" w:cs="Palatino Linotype"/>
          <w:b/>
          <w:bCs/>
        </w:rPr>
        <w:t xml:space="preserve">QUINTO. </w:t>
      </w:r>
      <w:r>
        <w:rPr>
          <w:rFonts w:ascii="Palatino Linotype" w:eastAsia="Palatino Linotype" w:hAnsi="Palatino Linotype" w:cs="Palatino Linotype"/>
        </w:rPr>
        <w:t xml:space="preserve">Notifíquese a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la presente resolución, vía SAIMEX.</w:t>
      </w:r>
    </w:p>
    <w:p w:rsidR="001F20B9" w:rsidRDefault="00291E24">
      <w:pPr>
        <w:shd w:val="clear" w:color="auto" w:fill="FFFFFF"/>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SEXTO.</w:t>
      </w:r>
      <w:r>
        <w:rPr>
          <w:rFonts w:ascii="Palatino Linotype" w:eastAsia="Palatino Linotype" w:hAnsi="Palatino Linotype" w:cs="Palatino Linotype"/>
        </w:rPr>
        <w:t xml:space="preserve"> Se hace del conocimiento de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r w:rsidR="005A4E60">
        <w:rPr>
          <w:rFonts w:ascii="Palatino Linotype" w:eastAsia="Palatino Linotype" w:hAnsi="Palatino Linotype" w:cs="Palatino Linotype"/>
        </w:rPr>
        <w:t>.</w:t>
      </w:r>
    </w:p>
    <w:p w:rsidR="001F20B9" w:rsidRDefault="001F20B9">
      <w:pPr>
        <w:shd w:val="clear" w:color="auto" w:fill="FFFFFF"/>
        <w:spacing w:line="360" w:lineRule="auto"/>
        <w:ind w:right="-1071"/>
        <w:jc w:val="both"/>
        <w:rPr>
          <w:rFonts w:ascii="Palatino Linotype" w:eastAsia="Palatino Linotype" w:hAnsi="Palatino Linotype" w:cs="Palatino Linotype"/>
        </w:rPr>
      </w:pPr>
    </w:p>
    <w:p w:rsidR="005A4E60" w:rsidRPr="003E2295" w:rsidRDefault="005A4E60" w:rsidP="005A4E60">
      <w:pPr>
        <w:spacing w:before="240" w:after="240" w:line="360" w:lineRule="auto"/>
        <w:ind w:right="-1085" w:firstLine="1"/>
        <w:jc w:val="both"/>
        <w:rPr>
          <w:rFonts w:ascii="Palatino Linotype" w:hAnsi="Palatino Linotype"/>
        </w:rPr>
      </w:pPr>
      <w:bookmarkStart w:id="12"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OCTAVA </w:t>
      </w:r>
      <w:r w:rsidRPr="003E2295">
        <w:rPr>
          <w:rFonts w:ascii="Palatino Linotype" w:hAnsi="Palatino Linotype" w:cs="Palatino Linotype"/>
        </w:rPr>
        <w:t>SESIÓN O</w:t>
      </w:r>
      <w:r>
        <w:rPr>
          <w:rFonts w:ascii="Palatino Linotype" w:hAnsi="Palatino Linotype" w:cs="Palatino Linotype"/>
        </w:rPr>
        <w:t>RDINARIA, CELEBRADA EL VEINTE (20</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2"/>
    <w:p w:rsidR="001F20B9" w:rsidRDefault="001F20B9">
      <w:pPr>
        <w:spacing w:line="360" w:lineRule="auto"/>
        <w:ind w:right="-1071"/>
        <w:jc w:val="both"/>
        <w:rPr>
          <w:rFonts w:ascii="Palatino Linotype" w:eastAsia="Palatino Linotype" w:hAnsi="Palatino Linotype" w:cs="Palatino Linotype"/>
        </w:rPr>
      </w:pPr>
    </w:p>
    <w:p w:rsidR="001F20B9" w:rsidRDefault="001F20B9">
      <w:pPr>
        <w:spacing w:line="360" w:lineRule="auto"/>
        <w:ind w:right="-1071"/>
        <w:jc w:val="both"/>
        <w:rPr>
          <w:rFonts w:ascii="Palatino Linotype" w:eastAsia="Palatino Linotype" w:hAnsi="Palatino Linotype" w:cs="Palatino Linotype"/>
        </w:rPr>
      </w:pPr>
    </w:p>
    <w:p w:rsidR="001F20B9" w:rsidRDefault="001F20B9">
      <w:pPr>
        <w:spacing w:line="360" w:lineRule="auto"/>
        <w:ind w:right="-1071"/>
        <w:jc w:val="both"/>
        <w:rPr>
          <w:rFonts w:ascii="Palatino Linotype" w:eastAsia="Palatino Linotype" w:hAnsi="Palatino Linotype" w:cs="Palatino Linotype"/>
        </w:rPr>
      </w:pPr>
    </w:p>
    <w:p w:rsidR="001F20B9" w:rsidRDefault="001F20B9">
      <w:pPr>
        <w:spacing w:line="360" w:lineRule="auto"/>
        <w:ind w:right="-1071"/>
        <w:jc w:val="both"/>
        <w:rPr>
          <w:rFonts w:ascii="Palatino Linotype" w:eastAsia="Palatino Linotype" w:hAnsi="Palatino Linotype" w:cs="Palatino Linotype"/>
        </w:rPr>
      </w:pPr>
    </w:p>
    <w:p w:rsidR="001F20B9" w:rsidRDefault="001F20B9">
      <w:pPr>
        <w:spacing w:line="360" w:lineRule="auto"/>
        <w:ind w:right="-1071"/>
        <w:jc w:val="both"/>
        <w:rPr>
          <w:rFonts w:ascii="Palatino Linotype" w:eastAsia="Palatino Linotype" w:hAnsi="Palatino Linotype" w:cs="Palatino Linotype"/>
        </w:rPr>
      </w:pPr>
    </w:p>
    <w:p w:rsidR="001F20B9" w:rsidRDefault="001F20B9">
      <w:pPr>
        <w:spacing w:line="360" w:lineRule="auto"/>
        <w:ind w:right="-1071"/>
        <w:rPr>
          <w:rFonts w:ascii="Palatino Linotype" w:eastAsia="Palatino Linotype" w:hAnsi="Palatino Linotype" w:cs="Palatino Linotype"/>
        </w:rPr>
      </w:pPr>
    </w:p>
    <w:p w:rsidR="001F20B9" w:rsidRDefault="001F20B9">
      <w:pPr>
        <w:spacing w:line="360" w:lineRule="auto"/>
        <w:ind w:right="-1071"/>
        <w:rPr>
          <w:rFonts w:ascii="Palatino Linotype" w:eastAsia="Palatino Linotype" w:hAnsi="Palatino Linotype" w:cs="Palatino Linotype"/>
        </w:rPr>
      </w:pPr>
    </w:p>
    <w:p w:rsidR="001F20B9" w:rsidRDefault="001F20B9">
      <w:pPr>
        <w:spacing w:line="360" w:lineRule="auto"/>
        <w:ind w:right="-1071"/>
        <w:rPr>
          <w:rFonts w:ascii="Palatino Linotype" w:eastAsia="Palatino Linotype" w:hAnsi="Palatino Linotype" w:cs="Palatino Linotype"/>
        </w:rPr>
      </w:pPr>
    </w:p>
    <w:p w:rsidR="001F20B9" w:rsidRDefault="001F20B9">
      <w:pPr>
        <w:spacing w:line="360" w:lineRule="auto"/>
        <w:ind w:right="-1071"/>
        <w:rPr>
          <w:rFonts w:ascii="Palatino Linotype" w:eastAsia="Palatino Linotype" w:hAnsi="Palatino Linotype" w:cs="Palatino Linotype"/>
        </w:rPr>
      </w:pPr>
    </w:p>
    <w:p w:rsidR="001F20B9" w:rsidRDefault="001F20B9">
      <w:pPr>
        <w:spacing w:line="360" w:lineRule="auto"/>
        <w:ind w:right="-1071"/>
        <w:rPr>
          <w:rFonts w:ascii="Palatino Linotype" w:eastAsia="Palatino Linotype" w:hAnsi="Palatino Linotype" w:cs="Palatino Linotype"/>
        </w:rPr>
      </w:pPr>
    </w:p>
    <w:p w:rsidR="001F20B9" w:rsidRDefault="001F20B9">
      <w:pPr>
        <w:spacing w:line="360" w:lineRule="auto"/>
        <w:ind w:right="-1071"/>
        <w:rPr>
          <w:rFonts w:ascii="Palatino Linotype" w:eastAsia="Palatino Linotype" w:hAnsi="Palatino Linotype" w:cs="Palatino Linotype"/>
        </w:rPr>
      </w:pPr>
    </w:p>
    <w:p w:rsidR="001F20B9" w:rsidRDefault="001F20B9">
      <w:pPr>
        <w:spacing w:line="360" w:lineRule="auto"/>
        <w:ind w:right="-1071"/>
        <w:rPr>
          <w:rFonts w:ascii="Palatino Linotype" w:eastAsia="Palatino Linotype" w:hAnsi="Palatino Linotype" w:cs="Palatino Linotype"/>
        </w:rPr>
      </w:pPr>
    </w:p>
    <w:p w:rsidR="001F20B9" w:rsidRDefault="00291E24">
      <w:pPr>
        <w:tabs>
          <w:tab w:val="left" w:pos="3374"/>
        </w:tabs>
        <w:spacing w:line="360" w:lineRule="auto"/>
        <w:ind w:right="-1071"/>
        <w:rPr>
          <w:rFonts w:ascii="Palatino Linotype" w:eastAsia="Palatino Linotype" w:hAnsi="Palatino Linotype" w:cs="Palatino Linotype"/>
        </w:rPr>
      </w:pPr>
      <w:r>
        <w:rPr>
          <w:rFonts w:ascii="Palatino Linotype" w:eastAsia="Palatino Linotype" w:hAnsi="Palatino Linotype" w:cs="Palatino Linotype"/>
        </w:rPr>
        <w:tab/>
      </w:r>
    </w:p>
    <w:p w:rsidR="001F20B9" w:rsidRDefault="001F20B9">
      <w:pPr>
        <w:tabs>
          <w:tab w:val="left" w:pos="3374"/>
        </w:tabs>
        <w:spacing w:line="360" w:lineRule="auto"/>
        <w:ind w:right="-1071"/>
        <w:rPr>
          <w:rFonts w:ascii="Palatino Linotype" w:eastAsia="Palatino Linotype" w:hAnsi="Palatino Linotype" w:cs="Palatino Linotype"/>
        </w:rPr>
      </w:pPr>
    </w:p>
    <w:p w:rsidR="001F20B9" w:rsidRDefault="001F20B9">
      <w:pPr>
        <w:tabs>
          <w:tab w:val="left" w:pos="3374"/>
        </w:tabs>
        <w:spacing w:line="360" w:lineRule="auto"/>
        <w:ind w:right="-1071"/>
        <w:rPr>
          <w:rFonts w:ascii="Palatino Linotype" w:eastAsia="Palatino Linotype" w:hAnsi="Palatino Linotype" w:cs="Palatino Linotype"/>
        </w:rPr>
      </w:pPr>
    </w:p>
    <w:p w:rsidR="001F20B9" w:rsidRDefault="001F20B9">
      <w:pPr>
        <w:tabs>
          <w:tab w:val="left" w:pos="3374"/>
        </w:tabs>
        <w:spacing w:line="360" w:lineRule="auto"/>
        <w:ind w:right="-1071"/>
        <w:rPr>
          <w:rFonts w:ascii="Palatino Linotype" w:eastAsia="Palatino Linotype" w:hAnsi="Palatino Linotype" w:cs="Palatino Linotype"/>
        </w:rPr>
      </w:pPr>
    </w:p>
    <w:p w:rsidR="001F20B9" w:rsidRDefault="001F20B9">
      <w:pPr>
        <w:tabs>
          <w:tab w:val="left" w:pos="3374"/>
        </w:tabs>
        <w:spacing w:line="360" w:lineRule="auto"/>
        <w:ind w:right="-1071"/>
        <w:rPr>
          <w:rFonts w:ascii="Palatino Linotype" w:eastAsia="Palatino Linotype" w:hAnsi="Palatino Linotype" w:cs="Palatino Linotype"/>
        </w:rPr>
      </w:pPr>
    </w:p>
    <w:p w:rsidR="001F20B9" w:rsidRDefault="001F20B9">
      <w:pPr>
        <w:tabs>
          <w:tab w:val="left" w:pos="3374"/>
        </w:tabs>
        <w:spacing w:line="360" w:lineRule="auto"/>
        <w:ind w:right="-1071"/>
        <w:rPr>
          <w:rFonts w:ascii="Palatino Linotype" w:eastAsia="Palatino Linotype" w:hAnsi="Palatino Linotype" w:cs="Palatino Linotype"/>
        </w:rPr>
      </w:pPr>
    </w:p>
    <w:p w:rsidR="001F20B9" w:rsidRDefault="001F20B9">
      <w:pPr>
        <w:tabs>
          <w:tab w:val="left" w:pos="3374"/>
        </w:tabs>
        <w:spacing w:line="360" w:lineRule="auto"/>
        <w:ind w:right="-1071"/>
        <w:rPr>
          <w:rFonts w:ascii="Palatino Linotype" w:eastAsia="Palatino Linotype" w:hAnsi="Palatino Linotype" w:cs="Palatino Linotype"/>
        </w:rPr>
      </w:pPr>
    </w:p>
    <w:p w:rsidR="001F20B9" w:rsidRDefault="001F20B9">
      <w:pPr>
        <w:tabs>
          <w:tab w:val="left" w:pos="3374"/>
        </w:tabs>
        <w:spacing w:line="360" w:lineRule="auto"/>
        <w:ind w:right="-1071"/>
        <w:rPr>
          <w:rFonts w:ascii="Palatino Linotype" w:eastAsia="Palatino Linotype" w:hAnsi="Palatino Linotype" w:cs="Palatino Linotype"/>
        </w:rPr>
      </w:pPr>
    </w:p>
    <w:p w:rsidR="001F20B9" w:rsidRDefault="001F20B9">
      <w:pPr>
        <w:tabs>
          <w:tab w:val="left" w:pos="3374"/>
        </w:tabs>
        <w:spacing w:line="360" w:lineRule="auto"/>
        <w:ind w:right="-1071"/>
        <w:rPr>
          <w:rFonts w:ascii="Palatino Linotype" w:eastAsia="Palatino Linotype" w:hAnsi="Palatino Linotype" w:cs="Palatino Linotype"/>
        </w:rPr>
      </w:pPr>
    </w:p>
    <w:p w:rsidR="001F20B9" w:rsidRDefault="001F20B9">
      <w:pPr>
        <w:tabs>
          <w:tab w:val="left" w:pos="3374"/>
        </w:tabs>
        <w:spacing w:line="360" w:lineRule="auto"/>
        <w:ind w:right="-1071"/>
        <w:rPr>
          <w:rFonts w:ascii="Palatino Linotype" w:eastAsia="Palatino Linotype" w:hAnsi="Palatino Linotype" w:cs="Palatino Linotype"/>
        </w:rPr>
      </w:pPr>
    </w:p>
    <w:p w:rsidR="001F20B9" w:rsidRDefault="001F20B9">
      <w:pPr>
        <w:tabs>
          <w:tab w:val="left" w:pos="3374"/>
        </w:tabs>
        <w:spacing w:line="360" w:lineRule="auto"/>
        <w:ind w:right="-1071"/>
        <w:rPr>
          <w:rFonts w:ascii="Palatino Linotype" w:eastAsia="Palatino Linotype" w:hAnsi="Palatino Linotype" w:cs="Palatino Linotype"/>
        </w:rPr>
      </w:pPr>
    </w:p>
    <w:p w:rsidR="001F20B9" w:rsidRDefault="001F20B9">
      <w:pPr>
        <w:tabs>
          <w:tab w:val="left" w:pos="3374"/>
        </w:tabs>
        <w:spacing w:line="360" w:lineRule="auto"/>
        <w:ind w:right="-1071"/>
        <w:rPr>
          <w:rFonts w:ascii="Palatino Linotype" w:eastAsia="Palatino Linotype" w:hAnsi="Palatino Linotype" w:cs="Palatino Linotype"/>
        </w:rPr>
      </w:pPr>
    </w:p>
    <w:p w:rsidR="001F20B9" w:rsidRDefault="001F20B9">
      <w:pPr>
        <w:tabs>
          <w:tab w:val="left" w:pos="3374"/>
        </w:tabs>
        <w:spacing w:line="360" w:lineRule="auto"/>
        <w:ind w:right="-1071"/>
        <w:rPr>
          <w:rFonts w:ascii="Palatino Linotype" w:eastAsia="Palatino Linotype" w:hAnsi="Palatino Linotype" w:cs="Palatino Linotype"/>
        </w:rPr>
      </w:pPr>
    </w:p>
    <w:p w:rsidR="001F20B9" w:rsidRDefault="001F20B9">
      <w:pPr>
        <w:tabs>
          <w:tab w:val="left" w:pos="3374"/>
        </w:tabs>
        <w:spacing w:line="360" w:lineRule="auto"/>
        <w:ind w:right="-1071"/>
        <w:rPr>
          <w:rFonts w:ascii="Palatino Linotype" w:eastAsia="Palatino Linotype" w:hAnsi="Palatino Linotype" w:cs="Palatino Linotype"/>
        </w:rPr>
      </w:pPr>
    </w:p>
    <w:p w:rsidR="001F20B9" w:rsidRDefault="001F20B9">
      <w:pPr>
        <w:tabs>
          <w:tab w:val="left" w:pos="3374"/>
        </w:tabs>
        <w:spacing w:line="360" w:lineRule="auto"/>
        <w:ind w:right="-1071"/>
        <w:rPr>
          <w:rFonts w:ascii="Palatino Linotype" w:eastAsia="Palatino Linotype" w:hAnsi="Palatino Linotype" w:cs="Palatino Linotype"/>
        </w:rPr>
      </w:pPr>
    </w:p>
    <w:p w:rsidR="001F20B9" w:rsidRDefault="001F20B9">
      <w:pPr>
        <w:tabs>
          <w:tab w:val="left" w:pos="3374"/>
        </w:tabs>
        <w:spacing w:line="360" w:lineRule="auto"/>
        <w:ind w:right="-1071"/>
        <w:rPr>
          <w:rFonts w:ascii="Palatino Linotype" w:eastAsia="Palatino Linotype" w:hAnsi="Palatino Linotype" w:cs="Palatino Linotype"/>
        </w:rPr>
      </w:pPr>
    </w:p>
    <w:p w:rsidR="001F20B9" w:rsidRDefault="001F20B9">
      <w:pPr>
        <w:tabs>
          <w:tab w:val="left" w:pos="3374"/>
        </w:tabs>
        <w:spacing w:line="360" w:lineRule="auto"/>
        <w:ind w:right="-1071"/>
        <w:rPr>
          <w:rFonts w:ascii="Palatino Linotype" w:eastAsia="Palatino Linotype" w:hAnsi="Palatino Linotype" w:cs="Palatino Linotype"/>
        </w:rPr>
      </w:pPr>
    </w:p>
    <w:p w:rsidR="001F20B9" w:rsidRDefault="001F20B9">
      <w:pPr>
        <w:tabs>
          <w:tab w:val="left" w:pos="3374"/>
        </w:tabs>
        <w:spacing w:line="360" w:lineRule="auto"/>
        <w:ind w:right="-1071"/>
        <w:rPr>
          <w:rFonts w:ascii="Palatino Linotype" w:eastAsia="Palatino Linotype" w:hAnsi="Palatino Linotype" w:cs="Palatino Linotype"/>
        </w:rPr>
      </w:pPr>
    </w:p>
    <w:p w:rsidR="001F20B9" w:rsidRDefault="001F20B9">
      <w:pPr>
        <w:tabs>
          <w:tab w:val="left" w:pos="3374"/>
        </w:tabs>
        <w:spacing w:line="360" w:lineRule="auto"/>
        <w:ind w:right="-1071"/>
        <w:rPr>
          <w:rFonts w:ascii="Palatino Linotype" w:eastAsia="Palatino Linotype" w:hAnsi="Palatino Linotype" w:cs="Palatino Linotype"/>
        </w:rPr>
      </w:pPr>
    </w:p>
    <w:p w:rsidR="001F20B9" w:rsidRDefault="001F20B9">
      <w:pPr>
        <w:tabs>
          <w:tab w:val="left" w:pos="3374"/>
        </w:tabs>
        <w:spacing w:line="360" w:lineRule="auto"/>
        <w:ind w:right="-1071"/>
        <w:rPr>
          <w:rFonts w:ascii="Palatino Linotype" w:eastAsia="Palatino Linotype" w:hAnsi="Palatino Linotype" w:cs="Palatino Linotype"/>
        </w:rPr>
      </w:pPr>
    </w:p>
    <w:p w:rsidR="001F20B9" w:rsidRDefault="001F20B9">
      <w:pPr>
        <w:ind w:right="-1071"/>
      </w:pPr>
    </w:p>
    <w:p w:rsidR="001F20B9" w:rsidRDefault="001F20B9">
      <w:pPr>
        <w:ind w:right="-1071"/>
      </w:pPr>
    </w:p>
    <w:sectPr w:rsidR="001F20B9">
      <w:headerReference w:type="even" r:id="rId13"/>
      <w:headerReference w:type="default" r:id="rId14"/>
      <w:footerReference w:type="default" r:id="rId15"/>
      <w:headerReference w:type="first" r:id="rId16"/>
      <w:footerReference w:type="first" r:id="rId17"/>
      <w:pgSz w:w="12240" w:h="15840"/>
      <w:pgMar w:top="2268" w:right="1701"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0936" w:rsidRDefault="00E70936">
      <w:r>
        <w:separator/>
      </w:r>
    </w:p>
  </w:endnote>
  <w:endnote w:type="continuationSeparator" w:id="0">
    <w:p w:rsidR="00E70936" w:rsidRDefault="00E70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altName w:val="Palatino"/>
    <w:panose1 w:val="02040502050505030304"/>
    <w:charset w:val="00"/>
    <w:family w:val="roman"/>
    <w:pitch w:val="variable"/>
    <w:sig w:usb0="E0000287" w:usb1="40000013" w:usb2="00000000" w:usb3="00000000" w:csb0="0000019F" w:csb1="00000000"/>
    <w:embedRegular r:id="rId1" w:fontKey="{02481CE7-0606-403E-91F0-7288A60B7626}"/>
    <w:embedBold r:id="rId2" w:fontKey="{404F5448-3EEF-4FCD-B43A-DECFD56B061A}"/>
    <w:embedItalic r:id="rId3" w:fontKey="{69CA0CD2-3D4B-4276-9DF4-D5705A96A1FE}"/>
    <w:embedBoldItalic r:id="rId4" w:fontKey="{A934AB75-14D7-436F-B882-C51FCBF87E67}"/>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5" w:fontKey="{AB5F3A43-1B98-4EA0-8F84-04CA32746FD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7CB12B5E-0EEB-490A-ABA8-93AEDA5BD9B6}"/>
    <w:embedBold r:id="rId7" w:fontKey="{0C8A0320-5C16-4DEE-BB9E-C2D7C1D1ED85}"/>
  </w:font>
  <w:font w:name="Georgia">
    <w:panose1 w:val="02040502050405020303"/>
    <w:charset w:val="00"/>
    <w:family w:val="roman"/>
    <w:pitch w:val="variable"/>
    <w:sig w:usb0="00000287" w:usb1="00000000" w:usb2="00000000" w:usb3="00000000" w:csb0="0000009F" w:csb1="00000000"/>
    <w:embedItalic r:id="rId8" w:fontKey="{E9691B62-50AE-4BC1-9CA1-024CDC3BB3E2}"/>
  </w:font>
  <w:font w:name="Cambria">
    <w:panose1 w:val="02040503050406030204"/>
    <w:charset w:val="00"/>
    <w:family w:val="roman"/>
    <w:pitch w:val="variable"/>
    <w:sig w:usb0="E00006FF" w:usb1="420024FF" w:usb2="02000000" w:usb3="00000000" w:csb0="0000019F" w:csb1="00000000"/>
    <w:embedRegular r:id="rId9" w:fontKey="{8B70DCF6-2902-448C-9ED9-15446E652FC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0B9" w:rsidRDefault="00291E24">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F7045D">
      <w:rPr>
        <w:rFonts w:ascii="Palatino Linotype" w:eastAsia="Palatino Linotype" w:hAnsi="Palatino Linotype" w:cs="Palatino Linotype"/>
        <w:noProof/>
        <w:color w:val="000000"/>
        <w:sz w:val="22"/>
        <w:szCs w:val="22"/>
      </w:rPr>
      <w:t>3</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F7045D">
      <w:rPr>
        <w:rFonts w:ascii="Palatino Linotype" w:eastAsia="Palatino Linotype" w:hAnsi="Palatino Linotype" w:cs="Palatino Linotype"/>
        <w:noProof/>
        <w:color w:val="000000"/>
        <w:sz w:val="22"/>
        <w:szCs w:val="22"/>
      </w:rPr>
      <w:t>47</w:t>
    </w:r>
    <w:r>
      <w:rPr>
        <w:rFonts w:ascii="Palatino Linotype" w:eastAsia="Palatino Linotype" w:hAnsi="Palatino Linotype" w:cs="Palatino Linotype"/>
        <w:color w:val="000000"/>
        <w:sz w:val="22"/>
        <w:szCs w:val="22"/>
      </w:rPr>
      <w:fldChar w:fldCharType="end"/>
    </w:r>
  </w:p>
  <w:p w:rsidR="001F20B9" w:rsidRDefault="001F20B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0B9" w:rsidRDefault="00291E24">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F7045D">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F7045D">
      <w:rPr>
        <w:rFonts w:ascii="Palatino Linotype" w:eastAsia="Palatino Linotype" w:hAnsi="Palatino Linotype" w:cs="Palatino Linotype"/>
        <w:noProof/>
        <w:color w:val="000000"/>
        <w:sz w:val="22"/>
        <w:szCs w:val="22"/>
      </w:rPr>
      <w:t>47</w:t>
    </w:r>
    <w:r>
      <w:rPr>
        <w:rFonts w:ascii="Palatino Linotype" w:eastAsia="Palatino Linotype" w:hAnsi="Palatino Linotype" w:cs="Palatino Linotype"/>
        <w:color w:val="000000"/>
        <w:sz w:val="22"/>
        <w:szCs w:val="22"/>
      </w:rPr>
      <w:fldChar w:fldCharType="end"/>
    </w:r>
  </w:p>
  <w:p w:rsidR="001F20B9" w:rsidRDefault="001F20B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0936" w:rsidRDefault="00E70936">
      <w:r>
        <w:separator/>
      </w:r>
    </w:p>
  </w:footnote>
  <w:footnote w:type="continuationSeparator" w:id="0">
    <w:p w:rsidR="00E70936" w:rsidRDefault="00E70936">
      <w:r>
        <w:continuationSeparator/>
      </w:r>
    </w:p>
  </w:footnote>
  <w:footnote w:id="1">
    <w:p w:rsidR="001F20B9" w:rsidRDefault="00291E24">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1F20B9" w:rsidRDefault="00291E24">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1F20B9" w:rsidRDefault="00291E24">
      <w:pPr>
        <w:pBdr>
          <w:top w:val="nil"/>
          <w:left w:val="nil"/>
          <w:bottom w:val="nil"/>
          <w:right w:val="nil"/>
          <w:between w:val="nil"/>
        </w:pBdr>
        <w:rPr>
          <w:rFonts w:ascii="Palatino Linotype" w:eastAsia="Palatino Linotype" w:hAnsi="Palatino Linotype" w:cs="Palatino Linotype"/>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20"/>
          <w:szCs w:val="20"/>
        </w:rPr>
        <w:t>Corte Interamericana de Derechos Humanos. Caso Claude Reyes y otros vs. Chile. Sentencia de 19 de septiembre de 2006. Serie C. No. 151. Párr. 86.</w:t>
      </w:r>
    </w:p>
  </w:footnote>
  <w:footnote w:id="4">
    <w:p w:rsidR="001F20B9" w:rsidRDefault="00291E24">
      <w:pPr>
        <w:pBdr>
          <w:top w:val="nil"/>
          <w:left w:val="nil"/>
          <w:bottom w:val="nil"/>
          <w:right w:val="nil"/>
          <w:between w:val="nil"/>
        </w:pBdr>
        <w:rPr>
          <w:rFonts w:ascii="Palatino Linotype" w:eastAsia="Palatino Linotype" w:hAnsi="Palatino Linotype" w:cs="Palatino Linotype"/>
          <w:color w:val="000000"/>
          <w:sz w:val="20"/>
          <w:szCs w:val="20"/>
        </w:rPr>
      </w:pPr>
      <w:r>
        <w:rPr>
          <w:vertAlign w:val="superscript"/>
        </w:rPr>
        <w:footnoteRef/>
      </w:r>
      <w:r>
        <w:rPr>
          <w:rFonts w:ascii="Palatino Linotype" w:eastAsia="Palatino Linotype" w:hAnsi="Palatino Linotype" w:cs="Palatino Linotype"/>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0B9" w:rsidRDefault="00E70936">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425" w:type="dxa"/>
      <w:tblInd w:w="2694" w:type="dxa"/>
      <w:tblLayout w:type="fixed"/>
      <w:tblLook w:val="0400" w:firstRow="0" w:lastRow="0" w:firstColumn="0" w:lastColumn="0" w:noHBand="0" w:noVBand="1"/>
    </w:tblPr>
    <w:tblGrid>
      <w:gridCol w:w="2970"/>
      <w:gridCol w:w="4455"/>
    </w:tblGrid>
    <w:tr w:rsidR="001F20B9">
      <w:trPr>
        <w:trHeight w:val="227"/>
      </w:trPr>
      <w:tc>
        <w:tcPr>
          <w:tcW w:w="2970" w:type="dxa"/>
          <w:vAlign w:val="center"/>
        </w:tcPr>
        <w:p w:rsidR="001F20B9" w:rsidRDefault="00291E24">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455" w:type="dxa"/>
          <w:vAlign w:val="center"/>
        </w:tcPr>
        <w:p w:rsidR="001F20B9" w:rsidRDefault="00291E24">
          <w:pPr>
            <w:pBdr>
              <w:top w:val="nil"/>
              <w:left w:val="nil"/>
              <w:bottom w:val="nil"/>
              <w:right w:val="nil"/>
              <w:between w:val="nil"/>
            </w:pBdr>
            <w:tabs>
              <w:tab w:val="center" w:pos="4419"/>
              <w:tab w:val="right" w:pos="8838"/>
            </w:tabs>
            <w:ind w:right="-1093"/>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01723/INFOEM/IP/RR/2026</w:t>
          </w:r>
        </w:p>
      </w:tc>
    </w:tr>
    <w:tr w:rsidR="001F20B9">
      <w:trPr>
        <w:trHeight w:val="242"/>
      </w:trPr>
      <w:tc>
        <w:tcPr>
          <w:tcW w:w="2970" w:type="dxa"/>
          <w:vAlign w:val="center"/>
        </w:tcPr>
        <w:p w:rsidR="001F20B9" w:rsidRDefault="00291E24">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455" w:type="dxa"/>
          <w:vAlign w:val="center"/>
        </w:tcPr>
        <w:p w:rsidR="001F20B9" w:rsidRDefault="00291E24">
          <w:pPr>
            <w:pBdr>
              <w:top w:val="nil"/>
              <w:left w:val="nil"/>
              <w:bottom w:val="nil"/>
              <w:right w:val="nil"/>
              <w:between w:val="nil"/>
            </w:pBdr>
            <w:tabs>
              <w:tab w:val="center" w:pos="4419"/>
              <w:tab w:val="right" w:pos="8838"/>
            </w:tabs>
            <w:ind w:right="-1093"/>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Tlalnepantla de Baz</w:t>
          </w:r>
        </w:p>
      </w:tc>
    </w:tr>
    <w:tr w:rsidR="001F20B9">
      <w:trPr>
        <w:trHeight w:val="342"/>
      </w:trPr>
      <w:tc>
        <w:tcPr>
          <w:tcW w:w="2970" w:type="dxa"/>
          <w:vAlign w:val="center"/>
        </w:tcPr>
        <w:p w:rsidR="001F20B9" w:rsidRDefault="00291E24">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455" w:type="dxa"/>
          <w:vAlign w:val="center"/>
        </w:tcPr>
        <w:p w:rsidR="001F20B9" w:rsidRDefault="00291E24">
          <w:pPr>
            <w:pBdr>
              <w:top w:val="nil"/>
              <w:left w:val="nil"/>
              <w:bottom w:val="nil"/>
              <w:right w:val="nil"/>
              <w:between w:val="nil"/>
            </w:pBdr>
            <w:tabs>
              <w:tab w:val="center" w:pos="4419"/>
              <w:tab w:val="right" w:pos="8838"/>
            </w:tabs>
            <w:ind w:right="-1093"/>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1F20B9" w:rsidRDefault="00E70936">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3"/>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890" w:type="dxa"/>
      <w:tblInd w:w="2552" w:type="dxa"/>
      <w:tblLayout w:type="fixed"/>
      <w:tblLook w:val="0400" w:firstRow="0" w:lastRow="0" w:firstColumn="0" w:lastColumn="0" w:noHBand="0" w:noVBand="1"/>
    </w:tblPr>
    <w:tblGrid>
      <w:gridCol w:w="3315"/>
      <w:gridCol w:w="4575"/>
    </w:tblGrid>
    <w:tr w:rsidR="001F20B9">
      <w:trPr>
        <w:trHeight w:val="227"/>
      </w:trPr>
      <w:tc>
        <w:tcPr>
          <w:tcW w:w="3315" w:type="dxa"/>
          <w:vAlign w:val="center"/>
        </w:tcPr>
        <w:p w:rsidR="001F20B9" w:rsidRDefault="00291E24">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575" w:type="dxa"/>
          <w:vAlign w:val="center"/>
        </w:tcPr>
        <w:p w:rsidR="001F20B9" w:rsidRDefault="00291E24">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01723/INFOEM/IP/RR/2026</w:t>
          </w:r>
        </w:p>
      </w:tc>
    </w:tr>
    <w:tr w:rsidR="001F20B9">
      <w:trPr>
        <w:trHeight w:val="242"/>
      </w:trPr>
      <w:tc>
        <w:tcPr>
          <w:tcW w:w="3315" w:type="dxa"/>
          <w:vAlign w:val="center"/>
        </w:tcPr>
        <w:p w:rsidR="001F20B9" w:rsidRDefault="00291E24">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575" w:type="dxa"/>
        </w:tcPr>
        <w:p w:rsidR="001F20B9" w:rsidRDefault="00F7045D">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highlight w:val="green"/>
            </w:rPr>
          </w:pPr>
          <w:r>
            <w:rPr>
              <w:rFonts w:ascii="Palatino Linotype" w:eastAsia="Palatino Linotype" w:hAnsi="Palatino Linotype" w:cs="Palatino Linotype"/>
            </w:rPr>
            <w:t>XXXX</w:t>
          </w:r>
        </w:p>
      </w:tc>
    </w:tr>
    <w:tr w:rsidR="001F20B9">
      <w:trPr>
        <w:trHeight w:val="342"/>
      </w:trPr>
      <w:tc>
        <w:tcPr>
          <w:tcW w:w="3315" w:type="dxa"/>
          <w:vAlign w:val="center"/>
        </w:tcPr>
        <w:p w:rsidR="001F20B9" w:rsidRDefault="00291E24">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575" w:type="dxa"/>
          <w:vAlign w:val="center"/>
        </w:tcPr>
        <w:p w:rsidR="001F20B9" w:rsidRDefault="00291E24">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Tlalnepantla de Baz</w:t>
          </w:r>
        </w:p>
      </w:tc>
    </w:tr>
    <w:tr w:rsidR="001F20B9">
      <w:trPr>
        <w:trHeight w:val="342"/>
      </w:trPr>
      <w:tc>
        <w:tcPr>
          <w:tcW w:w="3315" w:type="dxa"/>
          <w:vAlign w:val="center"/>
        </w:tcPr>
        <w:p w:rsidR="001F20B9" w:rsidRDefault="00291E24">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575" w:type="dxa"/>
          <w:vAlign w:val="center"/>
        </w:tcPr>
        <w:p w:rsidR="001F20B9" w:rsidRDefault="00291E24">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1F20B9" w:rsidRDefault="00E70936">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F6A4F"/>
    <w:multiLevelType w:val="multilevel"/>
    <w:tmpl w:val="61402B84"/>
    <w:lvl w:ilvl="0">
      <w:start w:val="22"/>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18628FB"/>
    <w:multiLevelType w:val="multilevel"/>
    <w:tmpl w:val="A76C5FDC"/>
    <w:lvl w:ilvl="0">
      <w:start w:val="67"/>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E37633"/>
    <w:multiLevelType w:val="multilevel"/>
    <w:tmpl w:val="91807244"/>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07B3C8E"/>
    <w:multiLevelType w:val="hybridMultilevel"/>
    <w:tmpl w:val="8AD0D898"/>
    <w:lvl w:ilvl="0" w:tplc="EA962048">
      <w:start w:val="60"/>
      <w:numFmt w:val="decimal"/>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9DE5190"/>
    <w:multiLevelType w:val="multilevel"/>
    <w:tmpl w:val="7BD6418C"/>
    <w:lvl w:ilvl="0">
      <w:start w:val="94"/>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81254A2"/>
    <w:multiLevelType w:val="multilevel"/>
    <w:tmpl w:val="4418B804"/>
    <w:lvl w:ilvl="0">
      <w:start w:val="82"/>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15213F1"/>
    <w:multiLevelType w:val="multilevel"/>
    <w:tmpl w:val="79540DB2"/>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7" w15:restartNumberingAfterBreak="0">
    <w:nsid w:val="741808B9"/>
    <w:multiLevelType w:val="multilevel"/>
    <w:tmpl w:val="C33ED4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A724659"/>
    <w:multiLevelType w:val="multilevel"/>
    <w:tmpl w:val="359AA560"/>
    <w:lvl w:ilvl="0">
      <w:start w:val="96"/>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Roman"/>
      <w:lvlText w:val="%4."/>
      <w:lvlJc w:val="left"/>
      <w:pPr>
        <w:ind w:left="2880" w:hanging="360"/>
      </w:pPr>
      <w:rPr>
        <w:rFonts w:ascii="Palatino Linotype" w:eastAsia="Palatino Linotype" w:hAnsi="Palatino Linotype" w:cs="Palatino Linotype"/>
        <w:b/>
        <w:bCs/>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AC12346"/>
    <w:multiLevelType w:val="multilevel"/>
    <w:tmpl w:val="DC1E298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FEA14AD"/>
    <w:multiLevelType w:val="multilevel"/>
    <w:tmpl w:val="B1DE1B3A"/>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abstractNumId w:val="2"/>
  </w:num>
  <w:num w:numId="2">
    <w:abstractNumId w:val="10"/>
  </w:num>
  <w:num w:numId="3">
    <w:abstractNumId w:val="5"/>
  </w:num>
  <w:num w:numId="4">
    <w:abstractNumId w:val="9"/>
  </w:num>
  <w:num w:numId="5">
    <w:abstractNumId w:val="0"/>
  </w:num>
  <w:num w:numId="6">
    <w:abstractNumId w:val="4"/>
  </w:num>
  <w:num w:numId="7">
    <w:abstractNumId w:val="8"/>
  </w:num>
  <w:num w:numId="8">
    <w:abstractNumId w:val="6"/>
  </w:num>
  <w:num w:numId="9">
    <w:abstractNumId w:val="7"/>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0B9"/>
    <w:rsid w:val="000B16C7"/>
    <w:rsid w:val="001F20B9"/>
    <w:rsid w:val="00205602"/>
    <w:rsid w:val="00291E24"/>
    <w:rsid w:val="005A4E60"/>
    <w:rsid w:val="007E22FD"/>
    <w:rsid w:val="00831797"/>
    <w:rsid w:val="00C532F6"/>
    <w:rsid w:val="00DC467C"/>
    <w:rsid w:val="00E70936"/>
    <w:rsid w:val="00F61E75"/>
    <w:rsid w:val="00F7045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85826730-0A80-4DD7-BEA8-84AA0C258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360" w:after="80"/>
      <w:outlineLvl w:val="0"/>
    </w:pPr>
    <w:rPr>
      <w:color w:val="2E75B5"/>
      <w:sz w:val="40"/>
      <w:szCs w:val="40"/>
    </w:rPr>
  </w:style>
  <w:style w:type="paragraph" w:styleId="Ttulo2">
    <w:name w:val="heading 2"/>
    <w:basedOn w:val="Normal"/>
    <w:next w:val="Normal"/>
    <w:pPr>
      <w:keepNext/>
      <w:keepLines/>
      <w:spacing w:before="160" w:after="80"/>
      <w:outlineLvl w:val="1"/>
    </w:pPr>
    <w:rPr>
      <w:color w:val="2E75B5"/>
      <w:sz w:val="32"/>
      <w:szCs w:val="32"/>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C532F6"/>
    <w:pPr>
      <w:tabs>
        <w:tab w:val="center" w:pos="4419"/>
        <w:tab w:val="right" w:pos="8838"/>
      </w:tabs>
    </w:pPr>
  </w:style>
  <w:style w:type="character" w:customStyle="1" w:styleId="PiedepginaCar">
    <w:name w:val="Pie de página Car"/>
    <w:basedOn w:val="Fuentedeprrafopredeter"/>
    <w:link w:val="Piedepgina"/>
    <w:uiPriority w:val="99"/>
    <w:rsid w:val="00C532F6"/>
  </w:style>
  <w:style w:type="paragraph" w:styleId="Prrafodelista">
    <w:name w:val="List Paragraph"/>
    <w:basedOn w:val="Normal"/>
    <w:uiPriority w:val="34"/>
    <w:qFormat/>
    <w:rsid w:val="00C532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rFCHhF8ELkuVSbwGLEv8Ellatg==">CgMxLjAyCGguZ2pkZ3hzMgloLjMwajB6bGwyCWguMWZvYjl0ZTIJaC4zem55c2g3MgloLjJldDkycDAyCGgudHlqY3d0MgloLjNkeTZ2a20yCWguMXQzaDVzZjIOaC5iam1ibGx0YmZ6bXgyCGguejMzN3lhMgloLjF5ODEwdHc4AHIhMUpsYnB2ZThybnlyODIwS3VCNVc2NXNMWTFjd0tLQWps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47</Pages>
  <Words>12002</Words>
  <Characters>66015</Characters>
  <Application>Microsoft Office Word</Application>
  <DocSecurity>0</DocSecurity>
  <Lines>550</Lines>
  <Paragraphs>155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77862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10</cp:revision>
  <cp:lastPrinted>2026-05-21T23:13:00Z</cp:lastPrinted>
  <dcterms:created xsi:type="dcterms:W3CDTF">2026-05-20T19:50:00Z</dcterms:created>
  <dcterms:modified xsi:type="dcterms:W3CDTF">2026-05-28T23:23:00Z</dcterms:modified>
</cp:coreProperties>
</file>