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D66584" w:rsidRDefault="009D3673" w:rsidP="000D2E86">
      <w:pPr>
        <w:tabs>
          <w:tab w:val="left" w:pos="3465"/>
        </w:tabs>
        <w:spacing w:line="360" w:lineRule="auto"/>
        <w:ind w:right="49"/>
        <w:jc w:val="both"/>
        <w:rPr>
          <w:rFonts w:ascii="Palatino Linotype" w:eastAsia="Palatino Linotype" w:hAnsi="Palatino Linotype" w:cs="Palatino Linotype"/>
          <w:b/>
        </w:rPr>
      </w:pPr>
      <w:bookmarkStart w:id="0" w:name="_GoBack"/>
      <w:bookmarkEnd w:id="0"/>
      <w:r w:rsidRPr="000D2E86">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0D2E86">
        <w:rPr>
          <w:rFonts w:ascii="Palatino Linotype" w:eastAsia="Palatino Linotype" w:hAnsi="Palatino Linotype" w:cs="Palatino Linotype"/>
        </w:rPr>
        <w:t xml:space="preserve">tado de México; </w:t>
      </w:r>
      <w:r w:rsidR="0081462E" w:rsidRPr="00D66584">
        <w:rPr>
          <w:rFonts w:ascii="Palatino Linotype" w:eastAsia="Palatino Linotype" w:hAnsi="Palatino Linotype" w:cs="Palatino Linotype"/>
          <w:b/>
        </w:rPr>
        <w:t xml:space="preserve">de fecha </w:t>
      </w:r>
      <w:r w:rsidR="005A2B53" w:rsidRPr="00D66584">
        <w:rPr>
          <w:rFonts w:ascii="Palatino Linotype" w:eastAsia="Palatino Linotype" w:hAnsi="Palatino Linotype" w:cs="Palatino Linotype"/>
          <w:b/>
        </w:rPr>
        <w:t>once</w:t>
      </w:r>
      <w:r w:rsidR="00D66584" w:rsidRPr="00D66584">
        <w:rPr>
          <w:rFonts w:ascii="Palatino Linotype" w:eastAsia="Palatino Linotype" w:hAnsi="Palatino Linotype" w:cs="Palatino Linotype"/>
          <w:b/>
        </w:rPr>
        <w:t xml:space="preserve"> (11)</w:t>
      </w:r>
      <w:r w:rsidR="005A2B53" w:rsidRPr="00D66584">
        <w:rPr>
          <w:rFonts w:ascii="Palatino Linotype" w:eastAsia="Palatino Linotype" w:hAnsi="Palatino Linotype" w:cs="Palatino Linotype"/>
          <w:b/>
        </w:rPr>
        <w:t xml:space="preserve"> de febrero</w:t>
      </w:r>
      <w:r w:rsidR="0060277C" w:rsidRPr="00D66584">
        <w:rPr>
          <w:rFonts w:ascii="Palatino Linotype" w:eastAsia="Palatino Linotype" w:hAnsi="Palatino Linotype" w:cs="Palatino Linotype"/>
          <w:b/>
        </w:rPr>
        <w:t xml:space="preserve"> de dos mil veintiséis</w:t>
      </w:r>
      <w:r w:rsidRPr="00D66584">
        <w:rPr>
          <w:rFonts w:ascii="Palatino Linotype" w:eastAsia="Palatino Linotype" w:hAnsi="Palatino Linotype" w:cs="Palatino Linotype"/>
          <w:b/>
        </w:rPr>
        <w:t>.</w:t>
      </w:r>
    </w:p>
    <w:p w:rsidR="00B84DF1" w:rsidRPr="000D2E86" w:rsidRDefault="00B84DF1" w:rsidP="000D2E86">
      <w:pPr>
        <w:tabs>
          <w:tab w:val="left" w:pos="3465"/>
        </w:tabs>
        <w:spacing w:line="360" w:lineRule="auto"/>
        <w:ind w:right="49"/>
        <w:jc w:val="both"/>
        <w:rPr>
          <w:rFonts w:ascii="Palatino Linotype" w:eastAsia="Palatino Linotype" w:hAnsi="Palatino Linotype" w:cs="Palatino Linotype"/>
        </w:rPr>
      </w:pPr>
    </w:p>
    <w:p w:rsidR="00B84DF1" w:rsidRPr="000D2E86" w:rsidRDefault="009D3673" w:rsidP="000D2E86">
      <w:pPr>
        <w:spacing w:line="360" w:lineRule="auto"/>
        <w:ind w:right="49"/>
        <w:jc w:val="both"/>
        <w:rPr>
          <w:rFonts w:ascii="Palatino Linotype" w:eastAsia="Palatino Linotype" w:hAnsi="Palatino Linotype" w:cs="Palatino Linotype"/>
        </w:rPr>
      </w:pPr>
      <w:r w:rsidRPr="000D2E86">
        <w:rPr>
          <w:rFonts w:ascii="Palatino Linotype" w:eastAsia="Palatino Linotype" w:hAnsi="Palatino Linotype" w:cs="Palatino Linotype"/>
          <w:b/>
        </w:rPr>
        <w:t xml:space="preserve">VISTAS </w:t>
      </w:r>
      <w:r w:rsidRPr="000D2E86">
        <w:rPr>
          <w:rFonts w:ascii="Palatino Linotype" w:eastAsia="Palatino Linotype" w:hAnsi="Palatino Linotype" w:cs="Palatino Linotype"/>
        </w:rPr>
        <w:t xml:space="preserve">las constancias para resolver el Recurso de Revisión </w:t>
      </w:r>
      <w:r w:rsidR="005A2B53" w:rsidRPr="000D2E86">
        <w:rPr>
          <w:rFonts w:ascii="Palatino Linotype" w:eastAsia="Palatino Linotype" w:hAnsi="Palatino Linotype" w:cs="Palatino Linotype"/>
          <w:b/>
        </w:rPr>
        <w:t>12368/INFOEM/IP/RR/2025</w:t>
      </w:r>
      <w:r w:rsidRPr="000D2E86">
        <w:rPr>
          <w:rFonts w:ascii="Palatino Linotype" w:eastAsia="Palatino Linotype" w:hAnsi="Palatino Linotype" w:cs="Palatino Linotype"/>
          <w:b/>
        </w:rPr>
        <w:t>,</w:t>
      </w:r>
      <w:r w:rsidRPr="000D2E86">
        <w:rPr>
          <w:rFonts w:ascii="Palatino Linotype" w:eastAsia="Palatino Linotype" w:hAnsi="Palatino Linotype" w:cs="Palatino Linotype"/>
        </w:rPr>
        <w:t xml:space="preserve"> presentado por </w:t>
      </w:r>
      <w:r w:rsidR="000F0F8C">
        <w:rPr>
          <w:rFonts w:ascii="Palatino Linotype" w:eastAsia="Palatino Linotype" w:hAnsi="Palatino Linotype" w:cs="Palatino Linotype"/>
          <w:b/>
        </w:rPr>
        <w:t>XXXX</w:t>
      </w:r>
      <w:r w:rsidRPr="000D2E86">
        <w:rPr>
          <w:rFonts w:ascii="Palatino Linotype" w:eastAsia="Palatino Linotype" w:hAnsi="Palatino Linotype" w:cs="Palatino Linotype"/>
          <w:b/>
        </w:rPr>
        <w:t>,</w:t>
      </w:r>
      <w:r w:rsidRPr="000D2E86">
        <w:rPr>
          <w:rFonts w:ascii="Palatino Linotype" w:eastAsia="Palatino Linotype" w:hAnsi="Palatino Linotype" w:cs="Palatino Linotype"/>
        </w:rPr>
        <w:t xml:space="preserve"> a quie</w:t>
      </w:r>
      <w:r w:rsidR="0064652D" w:rsidRPr="000D2E86">
        <w:rPr>
          <w:rFonts w:ascii="Palatino Linotype" w:eastAsia="Palatino Linotype" w:hAnsi="Palatino Linotype" w:cs="Palatino Linotype"/>
        </w:rPr>
        <w:t xml:space="preserve">n en lo sucesivo se denominará </w:t>
      </w:r>
      <w:r w:rsidRPr="000D2E86">
        <w:rPr>
          <w:rFonts w:ascii="Palatino Linotype" w:eastAsia="Palatino Linotype" w:hAnsi="Palatino Linotype" w:cs="Palatino Linotype"/>
          <w:b/>
        </w:rPr>
        <w:t>EL RECURRENTE</w:t>
      </w:r>
      <w:r w:rsidRPr="000D2E86">
        <w:rPr>
          <w:rFonts w:ascii="Palatino Linotype" w:eastAsia="Palatino Linotype" w:hAnsi="Palatino Linotype" w:cs="Palatino Linotype"/>
        </w:rPr>
        <w:t xml:space="preserve">, en contra de la respuesta otorgada a la solicitud de información con número de folio </w:t>
      </w:r>
      <w:r w:rsidR="005A2B53" w:rsidRPr="000D2E86">
        <w:rPr>
          <w:rFonts w:ascii="Palatino Linotype" w:eastAsia="Palatino Linotype" w:hAnsi="Palatino Linotype" w:cs="Palatino Linotype"/>
          <w:b/>
        </w:rPr>
        <w:t>00092/TENAVALL/IP/2025</w:t>
      </w:r>
      <w:r w:rsidRPr="000D2E86">
        <w:rPr>
          <w:rFonts w:ascii="Palatino Linotype" w:eastAsia="Palatino Linotype" w:hAnsi="Palatino Linotype" w:cs="Palatino Linotype"/>
        </w:rPr>
        <w:t xml:space="preserve">, por parte del </w:t>
      </w:r>
      <w:r w:rsidR="0064652D" w:rsidRPr="000D2E86">
        <w:rPr>
          <w:rFonts w:ascii="Palatino Linotype" w:eastAsia="Palatino Linotype" w:hAnsi="Palatino Linotype" w:cs="Palatino Linotype"/>
          <w:b/>
        </w:rPr>
        <w:t>Ayuntamiento de Tenango del Valle</w:t>
      </w:r>
      <w:r w:rsidRPr="000D2E86">
        <w:rPr>
          <w:rFonts w:ascii="Palatino Linotype" w:eastAsia="Palatino Linotype" w:hAnsi="Palatino Linotype" w:cs="Palatino Linotype"/>
          <w:b/>
        </w:rPr>
        <w:t xml:space="preserve">, </w:t>
      </w:r>
      <w:r w:rsidRPr="000D2E86">
        <w:rPr>
          <w:rFonts w:ascii="Palatino Linotype" w:eastAsia="Palatino Linotype" w:hAnsi="Palatino Linotype" w:cs="Palatino Linotype"/>
        </w:rPr>
        <w:t xml:space="preserve">en adelante </w:t>
      </w:r>
      <w:r w:rsidRPr="000D2E86">
        <w:rPr>
          <w:rFonts w:ascii="Palatino Linotype" w:eastAsia="Palatino Linotype" w:hAnsi="Palatino Linotype" w:cs="Palatino Linotype"/>
          <w:b/>
        </w:rPr>
        <w:t>EL SUJETO OBLIGADO,</w:t>
      </w:r>
      <w:r w:rsidRPr="000D2E86">
        <w:rPr>
          <w:rFonts w:ascii="Palatino Linotype" w:eastAsia="Palatino Linotype" w:hAnsi="Palatino Linotype" w:cs="Palatino Linotype"/>
        </w:rPr>
        <w:t xml:space="preserve"> se emite la presente </w:t>
      </w:r>
      <w:r w:rsidR="0081462E" w:rsidRPr="000D2E86">
        <w:rPr>
          <w:rFonts w:ascii="Palatino Linotype" w:eastAsia="Palatino Linotype" w:hAnsi="Palatino Linotype" w:cs="Palatino Linotype"/>
        </w:rPr>
        <w:t>R</w:t>
      </w:r>
      <w:r w:rsidRPr="000D2E86">
        <w:rPr>
          <w:rFonts w:ascii="Palatino Linotype" w:eastAsia="Palatino Linotype" w:hAnsi="Palatino Linotype" w:cs="Palatino Linotype"/>
        </w:rPr>
        <w:t>esolución con base en los siguientes:</w:t>
      </w:r>
    </w:p>
    <w:p w:rsidR="00B84DF1" w:rsidRPr="000D2E86" w:rsidRDefault="00B84DF1" w:rsidP="000D2E86">
      <w:pPr>
        <w:spacing w:line="360" w:lineRule="auto"/>
        <w:ind w:right="49"/>
        <w:jc w:val="both"/>
        <w:rPr>
          <w:rFonts w:ascii="Palatino Linotype" w:eastAsia="Palatino Linotype" w:hAnsi="Palatino Linotype" w:cs="Palatino Linotype"/>
        </w:rPr>
      </w:pPr>
    </w:p>
    <w:p w:rsidR="00B84DF1" w:rsidRPr="000D2E86" w:rsidRDefault="009D3673" w:rsidP="000D2E86">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0D2E86">
        <w:rPr>
          <w:rFonts w:ascii="Palatino Linotype" w:eastAsia="Palatino Linotype" w:hAnsi="Palatino Linotype" w:cs="Palatino Linotype"/>
          <w:b/>
          <w:color w:val="000000"/>
          <w:sz w:val="24"/>
          <w:szCs w:val="24"/>
        </w:rPr>
        <w:t>A N T E C E D E N T E S</w:t>
      </w:r>
    </w:p>
    <w:p w:rsidR="00B84DF1" w:rsidRPr="000D2E86" w:rsidRDefault="00B84DF1" w:rsidP="000D2E86">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0D2E86" w:rsidRDefault="009D3673" w:rsidP="000D2E8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t>El día</w:t>
      </w:r>
      <w:r w:rsidRPr="000D2E86">
        <w:rPr>
          <w:rFonts w:ascii="Palatino Linotype" w:eastAsia="Palatino Linotype" w:hAnsi="Palatino Linotype" w:cs="Palatino Linotype"/>
          <w:b/>
          <w:color w:val="000000"/>
        </w:rPr>
        <w:t xml:space="preserve"> </w:t>
      </w:r>
      <w:r w:rsidR="004D546B" w:rsidRPr="000D2E86">
        <w:rPr>
          <w:rFonts w:ascii="Palatino Linotype" w:eastAsia="Palatino Linotype" w:hAnsi="Palatino Linotype" w:cs="Palatino Linotype"/>
          <w:b/>
          <w:color w:val="000000"/>
        </w:rPr>
        <w:t>veinticuatro de septiembre</w:t>
      </w:r>
      <w:r w:rsidRPr="000D2E86">
        <w:rPr>
          <w:rFonts w:ascii="Palatino Linotype" w:eastAsia="Palatino Linotype" w:hAnsi="Palatino Linotype" w:cs="Palatino Linotype"/>
          <w:b/>
          <w:color w:val="000000"/>
        </w:rPr>
        <w:t xml:space="preserve"> dos mil veintic</w:t>
      </w:r>
      <w:r w:rsidR="00AC01CA" w:rsidRPr="000D2E86">
        <w:rPr>
          <w:rFonts w:ascii="Palatino Linotype" w:eastAsia="Palatino Linotype" w:hAnsi="Palatino Linotype" w:cs="Palatino Linotype"/>
          <w:b/>
          <w:color w:val="000000"/>
        </w:rPr>
        <w:t>inco</w:t>
      </w:r>
      <w:r w:rsidRPr="000D2E86">
        <w:rPr>
          <w:rFonts w:ascii="Palatino Linotype" w:eastAsia="Palatino Linotype" w:hAnsi="Palatino Linotype" w:cs="Palatino Linotype"/>
          <w:color w:val="000000"/>
        </w:rPr>
        <w:t>,</w:t>
      </w:r>
      <w:r w:rsidRPr="000D2E86">
        <w:rPr>
          <w:rFonts w:ascii="Palatino Linotype" w:eastAsia="Palatino Linotype" w:hAnsi="Palatino Linotype" w:cs="Palatino Linotype"/>
          <w:b/>
          <w:color w:val="000000"/>
        </w:rPr>
        <w:t xml:space="preserve"> </w:t>
      </w:r>
      <w:r w:rsidRPr="000D2E86">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B84DF1" w:rsidRPr="000D2E86" w:rsidRDefault="00B84DF1" w:rsidP="000D2E8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Default="009D3673" w:rsidP="000D2E86">
      <w:pPr>
        <w:pBdr>
          <w:top w:val="nil"/>
          <w:left w:val="nil"/>
          <w:bottom w:val="nil"/>
          <w:right w:val="nil"/>
          <w:between w:val="nil"/>
        </w:pBdr>
        <w:spacing w:line="360" w:lineRule="auto"/>
        <w:ind w:left="425" w:right="49"/>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i/>
          <w:color w:val="000000"/>
        </w:rPr>
        <w:t>“</w:t>
      </w:r>
      <w:r w:rsidR="004D546B" w:rsidRPr="000D2E86">
        <w:rPr>
          <w:rFonts w:ascii="Palatino Linotype" w:eastAsia="Palatino Linotype" w:hAnsi="Palatino Linotype" w:cs="Palatino Linotype"/>
          <w:i/>
        </w:rPr>
        <w:t>REQUIERO CONOCER EL CONTRATO LABORAL DEL TESORERO MUNICIPAL ASI COMO SU CERTIFICACION DE COMPETENCIA LABORAL EMITIDA POR IHAEM COMO LO MARCA LA LEY ORGANICA MUNICIPAL, FORMATO UNICO DE MOVIMIENTO PARA SU INGRESO A OCUPAR EL CARGO.</w:t>
      </w:r>
      <w:r w:rsidRPr="000D2E86">
        <w:rPr>
          <w:rFonts w:ascii="Palatino Linotype" w:eastAsia="Palatino Linotype" w:hAnsi="Palatino Linotype" w:cs="Palatino Linotype"/>
          <w:i/>
          <w:color w:val="000000"/>
        </w:rPr>
        <w:t>”</w:t>
      </w:r>
    </w:p>
    <w:p w:rsidR="00D66584" w:rsidRDefault="00D66584" w:rsidP="000D2E86">
      <w:pPr>
        <w:pBdr>
          <w:top w:val="nil"/>
          <w:left w:val="nil"/>
          <w:bottom w:val="nil"/>
          <w:right w:val="nil"/>
          <w:between w:val="nil"/>
        </w:pBdr>
        <w:spacing w:line="360" w:lineRule="auto"/>
        <w:ind w:left="425" w:right="49"/>
        <w:jc w:val="both"/>
        <w:rPr>
          <w:rFonts w:ascii="Palatino Linotype" w:eastAsia="Palatino Linotype" w:hAnsi="Palatino Linotype" w:cs="Palatino Linotype"/>
          <w:i/>
          <w:color w:val="000000"/>
        </w:rPr>
      </w:pPr>
    </w:p>
    <w:p w:rsidR="00D66584" w:rsidRPr="000D2E86" w:rsidRDefault="00D66584" w:rsidP="000D2E86">
      <w:pPr>
        <w:pBdr>
          <w:top w:val="nil"/>
          <w:left w:val="nil"/>
          <w:bottom w:val="nil"/>
          <w:right w:val="nil"/>
          <w:between w:val="nil"/>
        </w:pBdr>
        <w:spacing w:line="360" w:lineRule="auto"/>
        <w:ind w:left="425" w:right="49"/>
        <w:jc w:val="both"/>
        <w:rPr>
          <w:rFonts w:ascii="Palatino Linotype" w:eastAsia="Palatino Linotype" w:hAnsi="Palatino Linotype" w:cs="Palatino Linotype"/>
          <w:i/>
          <w:color w:val="000000"/>
        </w:rPr>
      </w:pPr>
    </w:p>
    <w:p w:rsidR="00B84DF1" w:rsidRPr="000D2E86" w:rsidRDefault="009D3673" w:rsidP="00D66584">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t xml:space="preserve">Se eligió como modalidad de entrega de la información: </w:t>
      </w:r>
      <w:r w:rsidR="00CB1566" w:rsidRPr="000D2E86">
        <w:rPr>
          <w:rFonts w:ascii="Palatino Linotype" w:eastAsia="Palatino Linotype" w:hAnsi="Palatino Linotype" w:cs="Palatino Linotype"/>
          <w:b/>
          <w:color w:val="000000"/>
        </w:rPr>
        <w:t>a través de SAIMEX</w:t>
      </w:r>
    </w:p>
    <w:p w:rsidR="009F6E27" w:rsidRPr="000D2E86" w:rsidRDefault="009D3673" w:rsidP="000D2E8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rPr>
      </w:pPr>
      <w:r w:rsidRPr="000D2E86">
        <w:rPr>
          <w:rFonts w:ascii="Palatino Linotype" w:eastAsia="Palatino Linotype" w:hAnsi="Palatino Linotype" w:cs="Palatino Linotype"/>
          <w:color w:val="000000"/>
        </w:rPr>
        <w:lastRenderedPageBreak/>
        <w:t xml:space="preserve">El </w:t>
      </w:r>
      <w:r w:rsidR="004D546B" w:rsidRPr="000D2E86">
        <w:rPr>
          <w:rFonts w:ascii="Palatino Linotype" w:eastAsia="Palatino Linotype" w:hAnsi="Palatino Linotype" w:cs="Palatino Linotype"/>
          <w:b/>
          <w:color w:val="000000"/>
        </w:rPr>
        <w:t>diez de octubre</w:t>
      </w:r>
      <w:r w:rsidR="009F6E27" w:rsidRPr="000D2E86">
        <w:rPr>
          <w:rFonts w:ascii="Palatino Linotype" w:eastAsia="Palatino Linotype" w:hAnsi="Palatino Linotype" w:cs="Palatino Linotype"/>
          <w:b/>
          <w:color w:val="000000"/>
        </w:rPr>
        <w:t xml:space="preserve"> de</w:t>
      </w:r>
      <w:r w:rsidR="00BE415E" w:rsidRPr="000D2E86">
        <w:rPr>
          <w:rFonts w:ascii="Palatino Linotype" w:eastAsia="Palatino Linotype" w:hAnsi="Palatino Linotype" w:cs="Palatino Linotype"/>
          <w:b/>
          <w:color w:val="000000"/>
        </w:rPr>
        <w:t xml:space="preserve"> </w:t>
      </w:r>
      <w:r w:rsidR="00654047" w:rsidRPr="000D2E86">
        <w:rPr>
          <w:rFonts w:ascii="Palatino Linotype" w:eastAsia="Palatino Linotype" w:hAnsi="Palatino Linotype" w:cs="Palatino Linotype"/>
          <w:b/>
          <w:color w:val="000000"/>
        </w:rPr>
        <w:t>dos mil veinticinco</w:t>
      </w:r>
      <w:r w:rsidRPr="000D2E86">
        <w:rPr>
          <w:rFonts w:ascii="Palatino Linotype" w:eastAsia="Palatino Linotype" w:hAnsi="Palatino Linotype" w:cs="Palatino Linotype"/>
          <w:color w:val="000000"/>
        </w:rPr>
        <w:t xml:space="preserve">, </w:t>
      </w:r>
      <w:r w:rsidR="00CB1566" w:rsidRPr="000D2E86">
        <w:rPr>
          <w:rFonts w:ascii="Palatino Linotype" w:eastAsia="Palatino Linotype" w:hAnsi="Palatino Linotype" w:cs="Palatino Linotype"/>
        </w:rPr>
        <w:t xml:space="preserve">el </w:t>
      </w:r>
      <w:r w:rsidR="0064652D" w:rsidRPr="000D2E86">
        <w:rPr>
          <w:rFonts w:ascii="Palatino Linotype" w:eastAsia="Palatino Linotype" w:hAnsi="Palatino Linotype" w:cs="Palatino Linotype"/>
          <w:b/>
        </w:rPr>
        <w:t>SUJETO OBLIGADO</w:t>
      </w:r>
      <w:r w:rsidR="00CB1566" w:rsidRPr="000D2E86">
        <w:rPr>
          <w:rFonts w:ascii="Palatino Linotype" w:eastAsia="Palatino Linotype" w:hAnsi="Palatino Linotype" w:cs="Palatino Linotype"/>
          <w:b/>
        </w:rPr>
        <w:t xml:space="preserve"> </w:t>
      </w:r>
      <w:r w:rsidR="00CB1566" w:rsidRPr="000D2E86">
        <w:rPr>
          <w:rFonts w:ascii="Palatino Linotype" w:eastAsia="Palatino Linotype" w:hAnsi="Palatino Linotype" w:cs="Palatino Linotype"/>
        </w:rPr>
        <w:t xml:space="preserve">envió su respuesta a la solicitud de acceso a la información a través de SAIMEX, </w:t>
      </w:r>
      <w:r w:rsidR="00C60CBE" w:rsidRPr="000D2E86">
        <w:rPr>
          <w:rFonts w:ascii="Palatino Linotype" w:eastAsia="Palatino Linotype" w:hAnsi="Palatino Linotype" w:cs="Palatino Linotype"/>
        </w:rPr>
        <w:t xml:space="preserve">a través de los archivos denominados: </w:t>
      </w:r>
      <w:r w:rsidR="00C60CBE" w:rsidRPr="000D2E86">
        <w:rPr>
          <w:rFonts w:ascii="Palatino Linotype" w:eastAsia="Palatino Linotype" w:hAnsi="Palatino Linotype" w:cs="Palatino Linotype"/>
          <w:i/>
          <w:color w:val="000000"/>
        </w:rPr>
        <w:t>Respuesta</w:t>
      </w:r>
      <w:r w:rsidR="00C60CBE" w:rsidRPr="000D2E86">
        <w:rPr>
          <w:rFonts w:ascii="Palatino Linotype" w:eastAsia="Palatino Linotype" w:hAnsi="Palatino Linotype" w:cs="Palatino Linotype"/>
          <w:i/>
        </w:rPr>
        <w:t xml:space="preserve"> a solicitud 00092 y cuadro de .pdf, Contestacion 92.pdf, RES-02-04SO-CTATV-2025.pdf, RESPUESTA SOLICITUD NO.00092_censurado.pdf</w:t>
      </w:r>
      <w:r w:rsidR="00C60CBE" w:rsidRPr="000D2E86">
        <w:rPr>
          <w:rFonts w:ascii="Palatino Linotype" w:eastAsia="Palatino Linotype" w:hAnsi="Palatino Linotype" w:cs="Palatino Linotype"/>
        </w:rPr>
        <w:t xml:space="preserve"> y </w:t>
      </w:r>
      <w:r w:rsidR="00C60CBE" w:rsidRPr="000D2E86">
        <w:rPr>
          <w:rFonts w:ascii="Palatino Linotype" w:eastAsia="Palatino Linotype" w:hAnsi="Palatino Linotype" w:cs="Palatino Linotype"/>
          <w:i/>
        </w:rPr>
        <w:t xml:space="preserve">Acta 04 SO.pdf; </w:t>
      </w:r>
      <w:r w:rsidR="00C60CBE" w:rsidRPr="000D2E86">
        <w:rPr>
          <w:rFonts w:ascii="Palatino Linotype" w:eastAsia="Palatino Linotype" w:hAnsi="Palatino Linotype" w:cs="Palatino Linotype"/>
        </w:rPr>
        <w:t>de cuyo contenido toral se desprende una certificación de competencia laboral en versión pública y el nombramiento del Tesorero Municipal, así como el Acta del Comité de Transparencia que sustenta la versión pública generada.</w:t>
      </w:r>
    </w:p>
    <w:p w:rsidR="009F6E27" w:rsidRPr="000D2E86" w:rsidRDefault="009F6E27" w:rsidP="000D2E86">
      <w:pPr>
        <w:spacing w:line="360" w:lineRule="auto"/>
        <w:ind w:left="360" w:right="618"/>
        <w:jc w:val="both"/>
        <w:rPr>
          <w:rFonts w:ascii="Palatino Linotype" w:eastAsia="Palatino Linotype" w:hAnsi="Palatino Linotype" w:cs="Palatino Linotype"/>
          <w:i/>
        </w:rPr>
      </w:pPr>
    </w:p>
    <w:p w:rsidR="00CB1566" w:rsidRPr="000D2E86" w:rsidRDefault="009D3673" w:rsidP="000D2E8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color w:val="000000"/>
        </w:rPr>
        <w:t>El</w:t>
      </w:r>
      <w:r w:rsidRPr="000D2E86">
        <w:rPr>
          <w:rFonts w:ascii="Palatino Linotype" w:eastAsia="Palatino Linotype" w:hAnsi="Palatino Linotype" w:cs="Palatino Linotype"/>
          <w:b/>
          <w:color w:val="000000"/>
        </w:rPr>
        <w:t xml:space="preserve"> </w:t>
      </w:r>
      <w:r w:rsidR="00C60CBE" w:rsidRPr="000D2E86">
        <w:rPr>
          <w:rFonts w:ascii="Palatino Linotype" w:eastAsia="Palatino Linotype" w:hAnsi="Palatino Linotype" w:cs="Palatino Linotype"/>
          <w:b/>
        </w:rPr>
        <w:t>veintinueve de octubre</w:t>
      </w:r>
      <w:r w:rsidR="00CB1566" w:rsidRPr="000D2E86">
        <w:rPr>
          <w:rFonts w:ascii="Palatino Linotype" w:eastAsia="Palatino Linotype" w:hAnsi="Palatino Linotype" w:cs="Palatino Linotype"/>
          <w:b/>
        </w:rPr>
        <w:t xml:space="preserve"> de dos mil veinticinco, </w:t>
      </w:r>
      <w:r w:rsidR="00CB1566" w:rsidRPr="000D2E86">
        <w:rPr>
          <w:rFonts w:ascii="Palatino Linotype" w:eastAsia="Palatino Linotype" w:hAnsi="Palatino Linotype" w:cs="Palatino Linotype"/>
        </w:rPr>
        <w:t xml:space="preserve">la parte </w:t>
      </w:r>
      <w:r w:rsidR="00CB1566" w:rsidRPr="000D2E86">
        <w:rPr>
          <w:rFonts w:ascii="Palatino Linotype" w:eastAsia="Palatino Linotype" w:hAnsi="Palatino Linotype" w:cs="Palatino Linotype"/>
          <w:b/>
        </w:rPr>
        <w:t>Recurrente</w:t>
      </w:r>
      <w:r w:rsidR="00CB1566" w:rsidRPr="000D2E86">
        <w:rPr>
          <w:rFonts w:ascii="Palatino Linotype" w:eastAsia="Palatino Linotype" w:hAnsi="Palatino Linotype" w:cs="Palatino Linotype"/>
        </w:rPr>
        <w:t xml:space="preserve"> interpuso el recurso de revisión a través de </w:t>
      </w:r>
      <w:r w:rsidR="00CB1566" w:rsidRPr="000D2E86">
        <w:rPr>
          <w:rFonts w:ascii="Palatino Linotype" w:eastAsia="Palatino Linotype" w:hAnsi="Palatino Linotype" w:cs="Palatino Linotype"/>
          <w:b/>
        </w:rPr>
        <w:t xml:space="preserve">SAIMEX, </w:t>
      </w:r>
      <w:r w:rsidR="00CB1566" w:rsidRPr="000D2E86">
        <w:rPr>
          <w:rFonts w:ascii="Palatino Linotype" w:eastAsia="Palatino Linotype" w:hAnsi="Palatino Linotype" w:cs="Palatino Linotype"/>
        </w:rPr>
        <w:t>en donde se manifestó de la siguiente manera:</w:t>
      </w:r>
    </w:p>
    <w:p w:rsidR="00CB1566" w:rsidRPr="000D2E86" w:rsidRDefault="00CB1566" w:rsidP="000D2E86">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D66584" w:rsidRDefault="00D66584" w:rsidP="00D66584">
      <w:pPr>
        <w:pStyle w:val="Prrafodelista"/>
        <w:numPr>
          <w:ilvl w:val="0"/>
          <w:numId w:val="39"/>
        </w:numPr>
        <w:tabs>
          <w:tab w:val="left" w:pos="2745"/>
        </w:tabs>
        <w:spacing w:line="360" w:lineRule="auto"/>
        <w:ind w:right="616"/>
        <w:jc w:val="both"/>
        <w:rPr>
          <w:rFonts w:ascii="Palatino Linotype" w:eastAsia="Palatino Linotype" w:hAnsi="Palatino Linotype" w:cs="Palatino Linotype"/>
          <w:b/>
        </w:rPr>
      </w:pPr>
      <w:r w:rsidRPr="00D66584">
        <w:rPr>
          <w:rFonts w:ascii="Palatino Linotype" w:eastAsia="Palatino Linotype" w:hAnsi="Palatino Linotype" w:cs="Palatino Linotype"/>
          <w:b/>
        </w:rPr>
        <w:t xml:space="preserve">ACTO IMPUGNADO: </w:t>
      </w:r>
    </w:p>
    <w:p w:rsidR="00CB1566" w:rsidRPr="000D2E86" w:rsidRDefault="00D66584" w:rsidP="00D66584">
      <w:pPr>
        <w:spacing w:line="360" w:lineRule="auto"/>
        <w:ind w:right="616"/>
        <w:jc w:val="both"/>
        <w:rPr>
          <w:rFonts w:ascii="Palatino Linotype" w:eastAsia="Palatino Linotype" w:hAnsi="Palatino Linotype" w:cs="Palatino Linotype"/>
          <w:i/>
        </w:rPr>
      </w:pPr>
      <w:r>
        <w:rPr>
          <w:rFonts w:ascii="Palatino Linotype" w:eastAsia="Palatino Linotype" w:hAnsi="Palatino Linotype" w:cs="Palatino Linotype"/>
          <w:i/>
        </w:rPr>
        <w:tab/>
      </w:r>
      <w:r w:rsidR="00CB1566" w:rsidRPr="000D2E86">
        <w:rPr>
          <w:rFonts w:ascii="Palatino Linotype" w:eastAsia="Palatino Linotype" w:hAnsi="Palatino Linotype" w:cs="Palatino Linotype"/>
          <w:i/>
        </w:rPr>
        <w:t>“</w:t>
      </w:r>
      <w:r w:rsidR="00C60CBE" w:rsidRPr="000D2E86">
        <w:rPr>
          <w:rFonts w:ascii="Palatino Linotype" w:eastAsia="Palatino Linotype" w:hAnsi="Palatino Linotype" w:cs="Palatino Linotype"/>
          <w:i/>
        </w:rPr>
        <w:t>FALTA INFORMACION DE LA SOLICITUD</w:t>
      </w:r>
      <w:r w:rsidR="009F6E27" w:rsidRPr="000D2E86">
        <w:rPr>
          <w:rFonts w:ascii="Palatino Linotype" w:eastAsia="Palatino Linotype" w:hAnsi="Palatino Linotype" w:cs="Palatino Linotype"/>
          <w:i/>
        </w:rPr>
        <w:t>”</w:t>
      </w:r>
    </w:p>
    <w:p w:rsidR="00CB1566" w:rsidRPr="000D2E86" w:rsidRDefault="00CB1566" w:rsidP="00D66584">
      <w:pPr>
        <w:tabs>
          <w:tab w:val="left" w:pos="2745"/>
        </w:tabs>
        <w:spacing w:line="360" w:lineRule="auto"/>
        <w:ind w:right="616"/>
        <w:jc w:val="both"/>
        <w:rPr>
          <w:rFonts w:ascii="Palatino Linotype" w:eastAsia="Palatino Linotype" w:hAnsi="Palatino Linotype" w:cs="Palatino Linotype"/>
          <w:i/>
        </w:rPr>
      </w:pPr>
    </w:p>
    <w:p w:rsidR="00CB1566" w:rsidRPr="00D66584" w:rsidRDefault="00D66584" w:rsidP="00D66584">
      <w:pPr>
        <w:pStyle w:val="Prrafodelista"/>
        <w:numPr>
          <w:ilvl w:val="0"/>
          <w:numId w:val="39"/>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D66584">
        <w:rPr>
          <w:rFonts w:ascii="Palatino Linotype" w:eastAsia="Palatino Linotype" w:hAnsi="Palatino Linotype" w:cs="Palatino Linotype"/>
          <w:b/>
        </w:rPr>
        <w:t>RAZONES O MOTIVOS DE INCONFORMIDAD</w:t>
      </w:r>
      <w:r w:rsidRPr="00D66584">
        <w:rPr>
          <w:rFonts w:ascii="Palatino Linotype" w:eastAsia="Palatino Linotype" w:hAnsi="Palatino Linotype" w:cs="Palatino Linotype"/>
        </w:rPr>
        <w:t>:</w:t>
      </w:r>
    </w:p>
    <w:p w:rsidR="00CB1566" w:rsidRPr="000D2E86" w:rsidRDefault="00CB1566" w:rsidP="00D66584">
      <w:pPr>
        <w:spacing w:line="360" w:lineRule="auto"/>
        <w:ind w:left="720" w:right="616"/>
        <w:jc w:val="both"/>
        <w:rPr>
          <w:rFonts w:ascii="Palatino Linotype" w:eastAsia="Palatino Linotype" w:hAnsi="Palatino Linotype" w:cs="Palatino Linotype"/>
          <w:i/>
        </w:rPr>
      </w:pPr>
      <w:r w:rsidRPr="000D2E86">
        <w:rPr>
          <w:rFonts w:ascii="Palatino Linotype" w:eastAsia="Palatino Linotype" w:hAnsi="Palatino Linotype" w:cs="Palatino Linotype"/>
          <w:i/>
        </w:rPr>
        <w:t>“</w:t>
      </w:r>
      <w:r w:rsidR="00C60CBE" w:rsidRPr="000D2E86">
        <w:rPr>
          <w:rFonts w:ascii="Palatino Linotype" w:eastAsia="Palatino Linotype" w:hAnsi="Palatino Linotype" w:cs="Palatino Linotype"/>
          <w:i/>
        </w:rPr>
        <w:t>SE SOLICITA COMPLEMENTE LA INFORMACION SOLICTADA, FALTA CONTRATO LABORAL ASI COMO FORMATO UNICO DE MOVIMIENTO. EL SUJETO OBLIGADO NIEGA LA INFORMACION O NO CUENTA CON ELLA ACLARE EL DATO</w:t>
      </w:r>
      <w:r w:rsidR="009F6E27" w:rsidRPr="000D2E86">
        <w:rPr>
          <w:rFonts w:ascii="Palatino Linotype" w:eastAsia="Palatino Linotype" w:hAnsi="Palatino Linotype" w:cs="Palatino Linotype"/>
          <w:b/>
          <w:i/>
        </w:rPr>
        <w:t>”</w:t>
      </w:r>
    </w:p>
    <w:p w:rsidR="00AF6023" w:rsidRPr="000D2E86" w:rsidRDefault="00AF6023" w:rsidP="000D2E86">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0D2E86" w:rsidRDefault="00CB1566"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rPr>
        <w:t>Con fecha</w:t>
      </w:r>
      <w:r w:rsidRPr="000D2E86">
        <w:rPr>
          <w:rFonts w:ascii="Palatino Linotype" w:eastAsia="Palatino Linotype" w:hAnsi="Palatino Linotype" w:cs="Palatino Linotype"/>
          <w:b/>
        </w:rPr>
        <w:t xml:space="preserve"> </w:t>
      </w:r>
      <w:r w:rsidR="00C60CBE" w:rsidRPr="000D2E86">
        <w:rPr>
          <w:rFonts w:ascii="Palatino Linotype" w:eastAsia="Palatino Linotype" w:hAnsi="Palatino Linotype" w:cs="Palatino Linotype"/>
          <w:b/>
        </w:rPr>
        <w:t>cuatro de noviembre</w:t>
      </w:r>
      <w:r w:rsidRPr="000D2E86">
        <w:rPr>
          <w:rFonts w:ascii="Palatino Linotype" w:eastAsia="Palatino Linotype" w:hAnsi="Palatino Linotype" w:cs="Palatino Linotype"/>
          <w:b/>
        </w:rPr>
        <w:t xml:space="preserve"> de dos mil veinticinco, </w:t>
      </w:r>
      <w:r w:rsidRPr="000D2E86">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w:t>
      </w:r>
      <w:r w:rsidRPr="000D2E86">
        <w:rPr>
          <w:rFonts w:ascii="Palatino Linotype" w:eastAsia="Palatino Linotype" w:hAnsi="Palatino Linotype" w:cs="Palatino Linotype"/>
        </w:rPr>
        <w:lastRenderedPageBreak/>
        <w:t xml:space="preserve">dando un plazo máximo de siete días hábiles para que las partes manifestaran lo que a su derecho resultara conveniente, ofrecieran pruebas, formularan alegatos y el </w:t>
      </w:r>
      <w:r w:rsidRPr="000D2E86">
        <w:rPr>
          <w:rFonts w:ascii="Palatino Linotype" w:eastAsia="Palatino Linotype" w:hAnsi="Palatino Linotype" w:cs="Palatino Linotype"/>
          <w:b/>
        </w:rPr>
        <w:t xml:space="preserve">Sujeto Obligado </w:t>
      </w:r>
      <w:r w:rsidRPr="000D2E86">
        <w:rPr>
          <w:rFonts w:ascii="Palatino Linotype" w:eastAsia="Palatino Linotype" w:hAnsi="Palatino Linotype" w:cs="Palatino Linotype"/>
        </w:rPr>
        <w:t>presentara su informe justificado.</w:t>
      </w:r>
    </w:p>
    <w:p w:rsidR="00C273BD" w:rsidRPr="000D2E86" w:rsidRDefault="00C273BD" w:rsidP="000D2E8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C60CBE" w:rsidRPr="000D2E86" w:rsidRDefault="00760330"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0D2E86">
        <w:rPr>
          <w:rFonts w:ascii="Palatino Linotype" w:eastAsia="Palatino Linotype" w:hAnsi="Palatino Linotype" w:cs="Palatino Linotype"/>
          <w:color w:val="000000"/>
        </w:rPr>
        <w:t>E</w:t>
      </w:r>
      <w:r w:rsidR="00874872" w:rsidRPr="000D2E86">
        <w:rPr>
          <w:rFonts w:ascii="Palatino Linotype" w:eastAsia="Palatino Linotype" w:hAnsi="Palatino Linotype" w:cs="Palatino Linotype"/>
          <w:color w:val="000000"/>
        </w:rPr>
        <w:t>l</w:t>
      </w:r>
      <w:r w:rsidR="00874872" w:rsidRPr="000D2E86">
        <w:rPr>
          <w:rFonts w:ascii="Palatino Linotype" w:eastAsia="Palatino Linotype" w:hAnsi="Palatino Linotype" w:cs="Palatino Linotype"/>
          <w:b/>
          <w:color w:val="000000"/>
        </w:rPr>
        <w:t xml:space="preserve"> SUJETO </w:t>
      </w:r>
      <w:r w:rsidR="00874872" w:rsidRPr="000D2E86">
        <w:rPr>
          <w:rFonts w:ascii="Palatino Linotype" w:eastAsia="Palatino Linotype" w:hAnsi="Palatino Linotype" w:cs="Palatino Linotype"/>
          <w:b/>
        </w:rPr>
        <w:t>OBLIGADO</w:t>
      </w:r>
      <w:r w:rsidR="00874872" w:rsidRPr="000D2E86">
        <w:rPr>
          <w:rFonts w:ascii="Palatino Linotype" w:eastAsia="Palatino Linotype" w:hAnsi="Palatino Linotype" w:cs="Palatino Linotype"/>
          <w:b/>
          <w:color w:val="000000"/>
        </w:rPr>
        <w:t xml:space="preserve"> </w:t>
      </w:r>
      <w:r w:rsidR="00C60CBE" w:rsidRPr="000D2E86">
        <w:rPr>
          <w:rFonts w:ascii="Palatino Linotype" w:eastAsia="Palatino Linotype" w:hAnsi="Palatino Linotype" w:cs="Palatino Linotype"/>
          <w:color w:val="000000"/>
        </w:rPr>
        <w:t xml:space="preserve">en fecha </w:t>
      </w:r>
      <w:r w:rsidR="00C60CBE" w:rsidRPr="000D2E86">
        <w:rPr>
          <w:rFonts w:ascii="Palatino Linotype" w:eastAsia="Palatino Linotype" w:hAnsi="Palatino Linotype" w:cs="Palatino Linotype"/>
          <w:b/>
          <w:color w:val="000000"/>
        </w:rPr>
        <w:t>trece de noviembre de dos mil veinticinco</w:t>
      </w:r>
      <w:r w:rsidR="00C60CBE" w:rsidRPr="000D2E86">
        <w:rPr>
          <w:rFonts w:ascii="Palatino Linotype" w:eastAsia="Palatino Linotype" w:hAnsi="Palatino Linotype" w:cs="Palatino Linotype"/>
          <w:color w:val="000000"/>
        </w:rPr>
        <w:t xml:space="preserve">, rindió informe justificado, manifestando </w:t>
      </w:r>
      <w:r w:rsidR="00C60CBE" w:rsidRPr="000D2E86">
        <w:rPr>
          <w:rFonts w:ascii="Palatino Linotype" w:eastAsia="Palatino Linotype" w:hAnsi="Palatino Linotype" w:cs="Palatino Linotype"/>
          <w:i/>
          <w:color w:val="000000"/>
        </w:rPr>
        <w:t>grosso modo</w:t>
      </w:r>
      <w:r w:rsidR="00C60CBE" w:rsidRPr="000D2E86">
        <w:rPr>
          <w:rFonts w:ascii="Palatino Linotype" w:eastAsia="Palatino Linotype" w:hAnsi="Palatino Linotype" w:cs="Palatino Linotype"/>
          <w:color w:val="000000"/>
        </w:rPr>
        <w:t xml:space="preserve"> que el nombramiento constituye el instrumento legal </w:t>
      </w:r>
      <w:r w:rsidR="00C60CBE" w:rsidRPr="000D2E86">
        <w:rPr>
          <w:rFonts w:ascii="Palatino Linotype" w:eastAsia="Palatino Linotype" w:hAnsi="Palatino Linotype" w:cs="Palatino Linotype"/>
        </w:rPr>
        <w:t>que</w:t>
      </w:r>
      <w:r w:rsidR="00C60CBE" w:rsidRPr="000D2E86">
        <w:rPr>
          <w:rFonts w:ascii="Palatino Linotype" w:eastAsia="Palatino Linotype" w:hAnsi="Palatino Linotype" w:cs="Palatino Linotype"/>
          <w:color w:val="000000"/>
        </w:rPr>
        <w:t xml:space="preserve"> acredita la existencia de la relación laboral y da cumplimiento a los requisitos de ingreso previstos en el Articulo 48, Fracción I de la Ley del Trabajo de los Servidores Públicos del Estado y Municipios, solicitando el sobreseimiento del asunto.</w:t>
      </w:r>
      <w:r w:rsidR="009F6E27" w:rsidRPr="000D2E86">
        <w:rPr>
          <w:rFonts w:ascii="Palatino Linotype" w:eastAsia="Palatino Linotype" w:hAnsi="Palatino Linotype" w:cs="Palatino Linotype"/>
          <w:color w:val="000000"/>
        </w:rPr>
        <w:t xml:space="preserve"> Por su parte el particular dejo de realizar manifestaciones que a su derecho conviniera y asistiera</w:t>
      </w:r>
      <w:r w:rsidR="00874872" w:rsidRPr="000D2E86">
        <w:rPr>
          <w:rFonts w:ascii="Palatino Linotype" w:eastAsia="Palatino Linotype" w:hAnsi="Palatino Linotype" w:cs="Palatino Linotype"/>
        </w:rPr>
        <w:t xml:space="preserve">. </w:t>
      </w:r>
    </w:p>
    <w:p w:rsidR="00C60CBE" w:rsidRPr="000D2E86" w:rsidRDefault="00C60CBE" w:rsidP="000D2E86">
      <w:pPr>
        <w:pStyle w:val="Prrafodelista"/>
        <w:spacing w:line="360" w:lineRule="auto"/>
        <w:rPr>
          <w:rFonts w:ascii="Palatino Linotype" w:eastAsia="Palatino Linotype" w:hAnsi="Palatino Linotype" w:cs="Palatino Linotype"/>
        </w:rPr>
      </w:pPr>
    </w:p>
    <w:p w:rsidR="00B84DF1" w:rsidRPr="000D2E86" w:rsidRDefault="00874872"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0D2E86">
        <w:rPr>
          <w:rFonts w:ascii="Palatino Linotype" w:eastAsia="Palatino Linotype" w:hAnsi="Palatino Linotype" w:cs="Palatino Linotype"/>
        </w:rPr>
        <w:t>Finalmente a</w:t>
      </w:r>
      <w:r w:rsidR="00B60BC1" w:rsidRPr="000D2E86">
        <w:rPr>
          <w:rFonts w:ascii="Palatino Linotype" w:eastAsia="Palatino Linotype" w:hAnsi="Palatino Linotype" w:cs="Palatino Linotype"/>
          <w:color w:val="000000"/>
        </w:rPr>
        <w:t>l no existir pendientes o diligencias por desahogar,</w:t>
      </w:r>
      <w:r w:rsidR="009D3673" w:rsidRPr="000D2E86">
        <w:rPr>
          <w:rFonts w:ascii="Palatino Linotype" w:eastAsia="Palatino Linotype" w:hAnsi="Palatino Linotype" w:cs="Palatino Linotype"/>
        </w:rPr>
        <w:t xml:space="preserve"> mediante acuerdo de </w:t>
      </w:r>
      <w:r w:rsidR="009F6E27" w:rsidRPr="000D2E86">
        <w:rPr>
          <w:rFonts w:ascii="Palatino Linotype" w:eastAsia="Palatino Linotype" w:hAnsi="Palatino Linotype" w:cs="Palatino Linotype"/>
        </w:rPr>
        <w:t>fecha</w:t>
      </w:r>
      <w:r w:rsidR="009F6E27" w:rsidRPr="000D2E86">
        <w:rPr>
          <w:rFonts w:ascii="Palatino Linotype" w:eastAsia="Palatino Linotype" w:hAnsi="Palatino Linotype" w:cs="Palatino Linotype"/>
          <w:b/>
        </w:rPr>
        <w:t xml:space="preserve"> </w:t>
      </w:r>
      <w:r w:rsidR="00C60CBE" w:rsidRPr="000D2E86">
        <w:rPr>
          <w:rFonts w:ascii="Palatino Linotype" w:eastAsia="Palatino Linotype" w:hAnsi="Palatino Linotype" w:cs="Palatino Linotype"/>
          <w:b/>
        </w:rPr>
        <w:t>cinco de febrero</w:t>
      </w:r>
      <w:r w:rsidR="009F6E27" w:rsidRPr="000D2E86">
        <w:rPr>
          <w:rFonts w:ascii="Palatino Linotype" w:eastAsia="Palatino Linotype" w:hAnsi="Palatino Linotype" w:cs="Palatino Linotype"/>
          <w:b/>
        </w:rPr>
        <w:t xml:space="preserve"> del año en curso</w:t>
      </w:r>
      <w:r w:rsidR="009D3673" w:rsidRPr="000D2E86">
        <w:rPr>
          <w:rFonts w:ascii="Palatino Linotype" w:eastAsia="Palatino Linotype" w:hAnsi="Palatino Linotype" w:cs="Palatino Linotype"/>
        </w:rPr>
        <w:t xml:space="preserve">, </w:t>
      </w:r>
      <w:r w:rsidRPr="000D2E86">
        <w:rPr>
          <w:rFonts w:ascii="Palatino Linotype" w:eastAsia="Palatino Linotype" w:hAnsi="Palatino Linotype" w:cs="Palatino Linotype"/>
        </w:rPr>
        <w:t>se</w:t>
      </w:r>
      <w:r w:rsidR="00C60CBE" w:rsidRPr="000D2E86">
        <w:rPr>
          <w:rFonts w:ascii="Palatino Linotype" w:eastAsia="Palatino Linotype" w:hAnsi="Palatino Linotype" w:cs="Palatino Linotype"/>
        </w:rPr>
        <w:t xml:space="preserve"> amplió el termino para resolver y se</w:t>
      </w:r>
      <w:r w:rsidRPr="000D2E86">
        <w:rPr>
          <w:rFonts w:ascii="Palatino Linotype" w:eastAsia="Palatino Linotype" w:hAnsi="Palatino Linotype" w:cs="Palatino Linotype"/>
        </w:rPr>
        <w:t xml:space="preserve"> decretó </w:t>
      </w:r>
      <w:r w:rsidR="009D3673" w:rsidRPr="000D2E86">
        <w:rPr>
          <w:rFonts w:ascii="Palatino Linotype" w:eastAsia="Palatino Linotype" w:hAnsi="Palatino Linotype" w:cs="Palatino Linotype"/>
        </w:rPr>
        <w:t xml:space="preserve">el cierre del periodo de </w:t>
      </w:r>
      <w:r w:rsidR="009D3673" w:rsidRPr="000D2E86">
        <w:rPr>
          <w:rFonts w:ascii="Palatino Linotype" w:eastAsia="Palatino Linotype" w:hAnsi="Palatino Linotype" w:cs="Palatino Linotype"/>
          <w:color w:val="000000"/>
        </w:rPr>
        <w:t>instrucción</w:t>
      </w:r>
      <w:r w:rsidR="009D3673" w:rsidRPr="000D2E86">
        <w:rPr>
          <w:rFonts w:ascii="Palatino Linotype" w:eastAsia="Palatino Linotype" w:hAnsi="Palatino Linotype" w:cs="Palatino Linotype"/>
        </w:rPr>
        <w:t xml:space="preserve"> y, orden</w:t>
      </w:r>
      <w:r w:rsidR="00CC78CD" w:rsidRPr="000D2E86">
        <w:rPr>
          <w:rFonts w:ascii="Palatino Linotype" w:eastAsia="Palatino Linotype" w:hAnsi="Palatino Linotype" w:cs="Palatino Linotype"/>
        </w:rPr>
        <w:t>ó la resolución que conforme a d</w:t>
      </w:r>
      <w:r w:rsidR="009D3673" w:rsidRPr="000D2E86">
        <w:rPr>
          <w:rFonts w:ascii="Palatino Linotype" w:eastAsia="Palatino Linotype" w:hAnsi="Palatino Linotype" w:cs="Palatino Linotype"/>
        </w:rPr>
        <w:t>erecho proceda, de acuerdo a las siguientes:</w:t>
      </w:r>
      <w:r w:rsidR="00CB4A28" w:rsidRPr="000D2E86">
        <w:rPr>
          <w:rFonts w:ascii="Palatino Linotype" w:eastAsia="Palatino Linotype" w:hAnsi="Palatino Linotype" w:cs="Palatino Linotype"/>
        </w:rPr>
        <w:t xml:space="preserve"> </w:t>
      </w:r>
    </w:p>
    <w:p w:rsidR="00B84DF1" w:rsidRPr="000D2E86" w:rsidRDefault="00B84DF1" w:rsidP="000D2E86">
      <w:pPr>
        <w:pBdr>
          <w:top w:val="nil"/>
          <w:left w:val="nil"/>
          <w:bottom w:val="nil"/>
          <w:right w:val="nil"/>
          <w:between w:val="nil"/>
        </w:pBdr>
        <w:spacing w:line="360" w:lineRule="auto"/>
        <w:ind w:left="720" w:right="49"/>
        <w:jc w:val="center"/>
        <w:rPr>
          <w:rFonts w:ascii="Palatino Linotype" w:eastAsia="Palatino Linotype" w:hAnsi="Palatino Linotype" w:cs="Palatino Linotype"/>
          <w:b/>
          <w:color w:val="000000"/>
        </w:rPr>
      </w:pPr>
    </w:p>
    <w:p w:rsidR="00B84DF1" w:rsidRPr="000D2E86" w:rsidRDefault="009D3673" w:rsidP="000D2E8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0D2E86">
        <w:rPr>
          <w:rFonts w:ascii="Palatino Linotype" w:eastAsia="Palatino Linotype" w:hAnsi="Palatino Linotype" w:cs="Palatino Linotype"/>
          <w:b/>
          <w:color w:val="000000"/>
        </w:rPr>
        <w:t>C O N S I D E R A C I O N E S</w:t>
      </w:r>
    </w:p>
    <w:p w:rsidR="00B84DF1" w:rsidRPr="000D2E86" w:rsidRDefault="00B84DF1" w:rsidP="000D2E8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0D2E86" w:rsidRDefault="003B59FA" w:rsidP="000D2E86">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0D2E86">
        <w:rPr>
          <w:rFonts w:ascii="Palatino Linotype" w:eastAsia="Palatino Linotype" w:hAnsi="Palatino Linotype" w:cs="Palatino Linotype"/>
          <w:b/>
          <w:color w:val="000000"/>
          <w:sz w:val="24"/>
          <w:szCs w:val="24"/>
        </w:rPr>
        <w:t>PRIMERO</w:t>
      </w:r>
      <w:r w:rsidR="009D3673" w:rsidRPr="000D2E86">
        <w:rPr>
          <w:rFonts w:ascii="Palatino Linotype" w:eastAsia="Palatino Linotype" w:hAnsi="Palatino Linotype" w:cs="Palatino Linotype"/>
          <w:b/>
          <w:color w:val="000000"/>
          <w:sz w:val="24"/>
          <w:szCs w:val="24"/>
        </w:rPr>
        <w:t>. Competencia</w:t>
      </w:r>
    </w:p>
    <w:p w:rsidR="00B84DF1" w:rsidRPr="000D2E86" w:rsidRDefault="009D3673"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w:t>
      </w:r>
      <w:r w:rsidRPr="000D2E86">
        <w:rPr>
          <w:rFonts w:ascii="Palatino Linotype" w:eastAsia="Palatino Linotype" w:hAnsi="Palatino Linotype" w:cs="Palatino Linotype"/>
          <w:color w:val="000000"/>
        </w:rPr>
        <w:lastRenderedPageBreak/>
        <w:t>párrafos trigésimo segundo, trigésimo tercero y trigésimo cuarto, fracciones I, II, III,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rsidR="006535A3" w:rsidRPr="000D2E86" w:rsidRDefault="006535A3" w:rsidP="000D2E8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0D2E86" w:rsidRDefault="009D3673" w:rsidP="000D2E86">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0D2E86">
        <w:rPr>
          <w:rFonts w:ascii="Palatino Linotype" w:eastAsia="Palatino Linotype" w:hAnsi="Palatino Linotype" w:cs="Palatino Linotype"/>
          <w:b/>
          <w:color w:val="000000"/>
          <w:sz w:val="24"/>
          <w:szCs w:val="24"/>
        </w:rPr>
        <w:t>SEGUND</w:t>
      </w:r>
      <w:r w:rsidR="003B59FA" w:rsidRPr="000D2E86">
        <w:rPr>
          <w:rFonts w:ascii="Palatino Linotype" w:eastAsia="Palatino Linotype" w:hAnsi="Palatino Linotype" w:cs="Palatino Linotype"/>
          <w:b/>
          <w:color w:val="000000"/>
          <w:sz w:val="24"/>
          <w:szCs w:val="24"/>
        </w:rPr>
        <w:t>O</w:t>
      </w:r>
      <w:r w:rsidRPr="000D2E86">
        <w:rPr>
          <w:rFonts w:ascii="Palatino Linotype" w:eastAsia="Palatino Linotype" w:hAnsi="Palatino Linotype" w:cs="Palatino Linotype"/>
          <w:b/>
          <w:color w:val="000000"/>
          <w:sz w:val="24"/>
          <w:szCs w:val="24"/>
        </w:rPr>
        <w:t>. Procedencia.</w:t>
      </w:r>
    </w:p>
    <w:p w:rsidR="00B84DF1" w:rsidRPr="000D2E86" w:rsidRDefault="009D3673"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Este Órgano Garante considera que el medio de impugnación reúne los requisitos de </w:t>
      </w:r>
      <w:r w:rsidRPr="000D2E86">
        <w:rPr>
          <w:rFonts w:ascii="Palatino Linotype" w:eastAsia="Palatino Linotype" w:hAnsi="Palatino Linotype" w:cs="Palatino Linotype"/>
          <w:color w:val="000000"/>
        </w:rPr>
        <w:t>procedencia</w:t>
      </w:r>
      <w:r w:rsidRPr="000D2E86">
        <w:rPr>
          <w:rFonts w:ascii="Palatino Linotype" w:eastAsia="Palatino Linotype" w:hAnsi="Palatino Linotype" w:cs="Palatino Linotype"/>
        </w:rPr>
        <w:t xml:space="preserve"> </w:t>
      </w:r>
      <w:r w:rsidRPr="000D2E86">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B64111" w:rsidRPr="000D2E86" w:rsidRDefault="00B64111" w:rsidP="000D2E8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DF1" w:rsidRPr="000D2E86" w:rsidRDefault="009D3673"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Finalmente, el escrito contiene las formalidades previstas por el artículo 180 último </w:t>
      </w:r>
      <w:r w:rsidR="00A227E2" w:rsidRPr="000D2E86">
        <w:rPr>
          <w:rFonts w:ascii="Palatino Linotype" w:eastAsia="Palatino Linotype" w:hAnsi="Palatino Linotype" w:cs="Palatino Linotype"/>
        </w:rPr>
        <w:t>párrafo de la citada Ley de la M</w:t>
      </w:r>
      <w:r w:rsidRPr="000D2E86">
        <w:rPr>
          <w:rFonts w:ascii="Palatino Linotype" w:eastAsia="Palatino Linotype" w:hAnsi="Palatino Linotype" w:cs="Palatino Linotype"/>
        </w:rPr>
        <w:t>ateria, por lo que es procedente que este Instituto conozca y resuelva el presente Recurso de Revisión.</w:t>
      </w:r>
    </w:p>
    <w:p w:rsidR="00B84DF1" w:rsidRPr="000D2E86" w:rsidRDefault="00B84DF1" w:rsidP="000D2E86">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13EA6" w:rsidRPr="000D2E86" w:rsidRDefault="00313EA6" w:rsidP="000D2E86">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0D2E86">
        <w:rPr>
          <w:rFonts w:ascii="Palatino Linotype" w:hAnsi="Palatino Linotype"/>
          <w:b/>
          <w:bCs/>
          <w:color w:val="000000" w:themeColor="text1"/>
          <w:sz w:val="24"/>
          <w:szCs w:val="24"/>
        </w:rPr>
        <w:t xml:space="preserve">TERCERO. </w:t>
      </w:r>
      <w:bookmarkEnd w:id="6"/>
      <w:bookmarkEnd w:id="7"/>
      <w:r w:rsidRPr="000D2E86">
        <w:rPr>
          <w:rFonts w:ascii="Palatino Linotype" w:hAnsi="Palatino Linotype"/>
          <w:b/>
          <w:bCs/>
          <w:color w:val="000000" w:themeColor="text1"/>
          <w:sz w:val="24"/>
          <w:szCs w:val="24"/>
        </w:rPr>
        <w:t xml:space="preserve">Del planteamiento de la </w:t>
      </w:r>
      <w:r w:rsidRPr="000D2E86">
        <w:rPr>
          <w:rFonts w:ascii="Palatino Linotype" w:hAnsi="Palatino Linotype"/>
          <w:b/>
          <w:bCs/>
          <w:i/>
          <w:color w:val="000000" w:themeColor="text1"/>
          <w:sz w:val="24"/>
          <w:szCs w:val="24"/>
        </w:rPr>
        <w:t>Litis.</w:t>
      </w:r>
    </w:p>
    <w:p w:rsidR="00313EA6" w:rsidRPr="000D2E86" w:rsidRDefault="00313EA6" w:rsidP="000D2E8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0D2E86">
        <w:rPr>
          <w:rFonts w:ascii="Palatino Linotype" w:hAnsi="Palatino Linotype"/>
        </w:rPr>
        <w:t xml:space="preserve">Se solicitó </w:t>
      </w:r>
      <w:r w:rsidRPr="000D2E86">
        <w:rPr>
          <w:rFonts w:ascii="Palatino Linotype" w:eastAsia="Palatino Linotype" w:hAnsi="Palatino Linotype" w:cs="Palatino Linotype"/>
        </w:rPr>
        <w:t>tener</w:t>
      </w:r>
      <w:r w:rsidRPr="000D2E86">
        <w:rPr>
          <w:rFonts w:ascii="Palatino Linotype" w:hAnsi="Palatino Linotype"/>
        </w:rPr>
        <w:t xml:space="preserve"> </w:t>
      </w:r>
      <w:r w:rsidRPr="000D2E86">
        <w:rPr>
          <w:rFonts w:ascii="Palatino Linotype" w:eastAsia="Palatino Linotype" w:hAnsi="Palatino Linotype" w:cs="Palatino Linotype"/>
        </w:rPr>
        <w:t>acceso</w:t>
      </w:r>
      <w:r w:rsidRPr="000D2E86">
        <w:rPr>
          <w:rFonts w:ascii="Palatino Linotype" w:hAnsi="Palatino Linotype"/>
        </w:rPr>
        <w:t>, a la información que a continuación se simplifica:</w:t>
      </w:r>
    </w:p>
    <w:p w:rsidR="00313EA6" w:rsidRPr="000D2E86" w:rsidRDefault="00313EA6" w:rsidP="000D2E86">
      <w:pPr>
        <w:spacing w:line="360" w:lineRule="auto"/>
        <w:jc w:val="both"/>
        <w:rPr>
          <w:rFonts w:ascii="Palatino Linotype" w:eastAsia="Calibri" w:hAnsi="Palatino Linotype" w:cs="Arial"/>
        </w:rPr>
      </w:pPr>
    </w:p>
    <w:p w:rsidR="00313EA6" w:rsidRPr="000D2E86" w:rsidRDefault="00C60CBE" w:rsidP="000D2E86">
      <w:pPr>
        <w:pStyle w:val="Prrafodelista"/>
        <w:numPr>
          <w:ilvl w:val="0"/>
          <w:numId w:val="35"/>
        </w:numPr>
        <w:spacing w:line="360" w:lineRule="auto"/>
        <w:ind w:right="567"/>
        <w:contextualSpacing w:val="0"/>
        <w:jc w:val="both"/>
        <w:rPr>
          <w:rFonts w:ascii="Palatino Linotype" w:eastAsia="Calibri" w:hAnsi="Palatino Linotype" w:cs="Arial"/>
          <w:b/>
          <w:lang w:val="es-AR"/>
        </w:rPr>
      </w:pPr>
      <w:r w:rsidRPr="000D2E86">
        <w:rPr>
          <w:rFonts w:ascii="Palatino Linotype" w:eastAsia="Calibri" w:hAnsi="Palatino Linotype" w:cs="Arial"/>
          <w:b/>
        </w:rPr>
        <w:lastRenderedPageBreak/>
        <w:t xml:space="preserve">Del Tesorero Municipal: contrato laboral, </w:t>
      </w:r>
      <w:r w:rsidR="00755DA3" w:rsidRPr="000D2E86">
        <w:rPr>
          <w:rFonts w:ascii="Palatino Linotype" w:eastAsia="Calibri" w:hAnsi="Palatino Linotype" w:cs="Arial"/>
          <w:b/>
        </w:rPr>
        <w:t>certificado</w:t>
      </w:r>
      <w:r w:rsidRPr="000D2E86">
        <w:rPr>
          <w:rFonts w:ascii="Palatino Linotype" w:eastAsia="Calibri" w:hAnsi="Palatino Linotype" w:cs="Arial"/>
          <w:b/>
        </w:rPr>
        <w:t xml:space="preserve"> de competencia laboral y </w:t>
      </w:r>
      <w:r w:rsidR="00755DA3" w:rsidRPr="000D2E86">
        <w:rPr>
          <w:rFonts w:ascii="Palatino Linotype" w:eastAsia="Calibri" w:hAnsi="Palatino Linotype" w:cs="Arial"/>
          <w:b/>
        </w:rPr>
        <w:t>Formato Único de Movimiento de Personal (FUMP)</w:t>
      </w:r>
      <w:r w:rsidR="00313EA6" w:rsidRPr="000D2E86">
        <w:rPr>
          <w:rFonts w:ascii="Palatino Linotype" w:eastAsia="Calibri" w:hAnsi="Palatino Linotype" w:cs="Arial"/>
          <w:b/>
          <w:lang w:val="es-AR"/>
        </w:rPr>
        <w:t>.</w:t>
      </w:r>
    </w:p>
    <w:p w:rsidR="00313EA6" w:rsidRPr="000D2E86" w:rsidRDefault="00313EA6" w:rsidP="000D2E86">
      <w:pPr>
        <w:pStyle w:val="Prrafodelista"/>
        <w:spacing w:line="360" w:lineRule="auto"/>
        <w:ind w:left="0"/>
        <w:jc w:val="both"/>
        <w:rPr>
          <w:rFonts w:ascii="Palatino Linotype" w:hAnsi="Palatino Linotype"/>
        </w:rPr>
      </w:pPr>
    </w:p>
    <w:p w:rsidR="00313EA6" w:rsidRPr="000D2E86" w:rsidRDefault="00313EA6" w:rsidP="000D2E8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0D2E86">
        <w:rPr>
          <w:rFonts w:ascii="Palatino Linotype" w:hAnsi="Palatino Linotype"/>
        </w:rPr>
        <w:t>Inconforme con la respuesta, el solicitante interpuso recurso de revisión argumentando la entrega de información incompleta a rubros específicos</w:t>
      </w:r>
      <w:r w:rsidRPr="000D2E86">
        <w:rPr>
          <w:rFonts w:ascii="Palatino Linotype" w:eastAsia="Palatino Linotype" w:hAnsi="Palatino Linotype" w:cs="Palatino Linotype"/>
          <w:color w:val="000000"/>
        </w:rPr>
        <w:t xml:space="preserve">. </w:t>
      </w:r>
      <w:r w:rsidRPr="000D2E86">
        <w:rPr>
          <w:rFonts w:ascii="Palatino Linotype" w:hAnsi="Palatino Linotype"/>
        </w:rPr>
        <w:t xml:space="preserve">En dichas condiciones, la controversia a resolver en el presente proveído, corresponde a determinar si se actualiza la causal de procedencia prevista en el artículo 179, fracción V, de la Ley de Transparencia y Acceso a la Información Pública del Estado de México y Municipios; fracción que determina la hipótesis relativa a la entrega de información incompleta; contexto del cual se dolió el Recurrente al momento de interponer su inconformidad. De modo tal que el presente recurso de revisión se abocará en determinar si el Sujeto Obligado con su respuesta ciertamente actualiza la causal de procedencia señalada. </w:t>
      </w:r>
    </w:p>
    <w:p w:rsidR="00313EA6" w:rsidRPr="000D2E86" w:rsidRDefault="00313EA6" w:rsidP="000D2E86">
      <w:pPr>
        <w:pStyle w:val="Prrafodelista"/>
        <w:spacing w:line="360" w:lineRule="auto"/>
        <w:rPr>
          <w:rFonts w:ascii="Palatino Linotype" w:hAnsi="Palatino Linotype"/>
        </w:rPr>
      </w:pPr>
    </w:p>
    <w:p w:rsidR="00313EA6" w:rsidRPr="000D2E86" w:rsidRDefault="00313EA6" w:rsidP="000D2E86">
      <w:pPr>
        <w:spacing w:line="360" w:lineRule="auto"/>
        <w:rPr>
          <w:rFonts w:ascii="Palatino Linotype" w:hAnsi="Palatino Linotype"/>
          <w:b/>
          <w:bCs/>
        </w:rPr>
      </w:pPr>
      <w:r w:rsidRPr="000D2E86">
        <w:rPr>
          <w:rFonts w:ascii="Palatino Linotype" w:hAnsi="Palatino Linotype"/>
          <w:b/>
          <w:bCs/>
        </w:rPr>
        <w:t>CUARTO. Del estudio y resolución del asunto.</w:t>
      </w:r>
    </w:p>
    <w:p w:rsidR="00313EA6" w:rsidRPr="000D2E86" w:rsidRDefault="00313EA6" w:rsidP="000D2E8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0D2E86">
        <w:rPr>
          <w:rFonts w:ascii="Palatino Linotype" w:hAnsi="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13EA6" w:rsidRPr="000D2E86" w:rsidRDefault="00313EA6" w:rsidP="000D2E8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0D2E86">
        <w:rPr>
          <w:rFonts w:ascii="Palatino Linotype" w:hAnsi="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0D2E86" w:rsidRDefault="00313EA6" w:rsidP="000D2E86">
      <w:pPr>
        <w:pStyle w:val="Prrafodelista"/>
        <w:spacing w:line="360" w:lineRule="auto"/>
        <w:rPr>
          <w:rFonts w:ascii="Palatino Linotype" w:hAnsi="Palatino Linotype"/>
        </w:rPr>
      </w:pPr>
    </w:p>
    <w:p w:rsidR="00313EA6" w:rsidRPr="000D2E86" w:rsidRDefault="00313EA6" w:rsidP="000D2E8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0D2E86">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0D2E86" w:rsidRDefault="00F867E2" w:rsidP="000D2E86">
      <w:pPr>
        <w:pStyle w:val="Prrafodelista"/>
        <w:spacing w:line="360" w:lineRule="auto"/>
        <w:rPr>
          <w:rFonts w:ascii="Palatino Linotype" w:hAnsi="Palatino Linotype"/>
        </w:rPr>
      </w:pPr>
    </w:p>
    <w:p w:rsidR="00152230" w:rsidRPr="000D2E86" w:rsidRDefault="00313EA6"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0D2E86">
        <w:rPr>
          <w:rFonts w:ascii="Palatino Linotype" w:eastAsia="Palatino Linotype" w:hAnsi="Palatino Linotype" w:cs="Palatino Linotype"/>
        </w:rPr>
        <w:t>Dicho lo anterior es necesario recordar</w:t>
      </w:r>
      <w:r w:rsidR="00F867E2" w:rsidRPr="000D2E86">
        <w:rPr>
          <w:rFonts w:ascii="Palatino Linotype" w:eastAsia="Palatino Linotype" w:hAnsi="Palatino Linotype" w:cs="Palatino Linotype"/>
        </w:rPr>
        <w:t xml:space="preserve"> la respuesta emitida, misma que versó en la </w:t>
      </w:r>
      <w:r w:rsidR="00755DA3" w:rsidRPr="000D2E86">
        <w:rPr>
          <w:rFonts w:ascii="Palatino Linotype" w:eastAsia="Palatino Linotype" w:hAnsi="Palatino Linotype" w:cs="Palatino Linotype"/>
        </w:rPr>
        <w:t>falta de entrega de dos de los tres documentos solicitados de manera inicial, a saber el contrato laboral y el FUMP.</w:t>
      </w:r>
      <w:r w:rsidR="00152230" w:rsidRPr="000D2E86">
        <w:rPr>
          <w:rFonts w:ascii="Palatino Linotype" w:eastAsia="Palatino Linotype" w:hAnsi="Palatino Linotype" w:cs="Palatino Linotype"/>
        </w:rPr>
        <w:t xml:space="preserve"> De tal forma que, la parte de la solicitud que no fue impugnada así como de lo ya entregado en calidad de respuesta, debe declararse consentida, toda vez que al no realizar manifestaciones de inconformidad; no pueden producirse efectos jurídicos </w:t>
      </w:r>
      <w:r w:rsidR="00152230" w:rsidRPr="000D2E86">
        <w:rPr>
          <w:rFonts w:ascii="Palatino Linotype" w:eastAsia="Palatino Linotype" w:hAnsi="Palatino Linotype" w:cs="Palatino Linotype"/>
        </w:rPr>
        <w:lastRenderedPageBreak/>
        <w:t xml:space="preserve">tendentes a revocar, confirmar o modificar el acto reclamado, ya que no realizó manifestación alguna al respecto. </w:t>
      </w:r>
    </w:p>
    <w:p w:rsidR="00152230" w:rsidRPr="000D2E86" w:rsidRDefault="00152230" w:rsidP="000D2E86">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52230" w:rsidRPr="000D2E86" w:rsidRDefault="00152230"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152230" w:rsidRPr="000D2E86" w:rsidRDefault="00152230" w:rsidP="000D2E86">
      <w:pPr>
        <w:tabs>
          <w:tab w:val="left" w:pos="851"/>
        </w:tabs>
        <w:spacing w:line="360" w:lineRule="auto"/>
        <w:ind w:left="851" w:right="616"/>
        <w:jc w:val="both"/>
        <w:rPr>
          <w:rFonts w:ascii="Palatino Linotype" w:eastAsia="Palatino Linotype" w:hAnsi="Palatino Linotype" w:cs="Palatino Linotype"/>
          <w:i/>
          <w:iCs/>
        </w:rPr>
      </w:pPr>
      <w:r w:rsidRPr="000D2E86">
        <w:rPr>
          <w:rFonts w:ascii="Palatino Linotype" w:eastAsia="Palatino Linotype" w:hAnsi="Palatino Linotype" w:cs="Palatino Linotype"/>
          <w:b/>
          <w:bCs/>
          <w:i/>
          <w:iCs/>
        </w:rPr>
        <w:t xml:space="preserve">“ACTOS CONSENTIDOS. SON LOS QUE NO SE IMPUGNAN MEDIANTE EL RECURSO IDÓNEO. </w:t>
      </w:r>
      <w:r w:rsidRPr="000D2E86">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152230" w:rsidRPr="000D2E86" w:rsidRDefault="00152230" w:rsidP="000D2E86">
      <w:pPr>
        <w:tabs>
          <w:tab w:val="left" w:pos="851"/>
        </w:tabs>
        <w:spacing w:line="360" w:lineRule="auto"/>
        <w:ind w:left="851" w:right="616"/>
        <w:jc w:val="both"/>
        <w:rPr>
          <w:rFonts w:ascii="Palatino Linotype" w:eastAsia="Palatino Linotype" w:hAnsi="Palatino Linotype" w:cs="Palatino Linotype"/>
          <w:i/>
          <w:iCs/>
        </w:rPr>
      </w:pPr>
    </w:p>
    <w:p w:rsidR="00152230" w:rsidRPr="000D2E86" w:rsidRDefault="00152230"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De la interpretación del Criterio antes citado, se advierte que cuando el particular impugnó la respuesta del </w:t>
      </w:r>
      <w:r w:rsidRPr="000D2E86">
        <w:rPr>
          <w:rFonts w:ascii="Palatino Linotype" w:eastAsia="Palatino Linotype" w:hAnsi="Palatino Linotype" w:cs="Palatino Linotype"/>
          <w:b/>
          <w:bCs/>
        </w:rPr>
        <w:t>SUJETO OBLIGADO</w:t>
      </w:r>
      <w:r w:rsidRPr="000D2E86">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Pr="000D2E86">
        <w:rPr>
          <w:rFonts w:ascii="Palatino Linotype" w:eastAsia="Palatino Linotype" w:hAnsi="Palatino Linotype" w:cs="Palatino Linotype"/>
          <w:b/>
          <w:bCs/>
        </w:rPr>
        <w:t>EL RECURRENTE</w:t>
      </w:r>
      <w:r w:rsidRPr="000D2E86">
        <w:rPr>
          <w:rFonts w:ascii="Palatino Linotype" w:eastAsia="Palatino Linotype" w:hAnsi="Palatino Linotype" w:cs="Palatino Linotype"/>
        </w:rPr>
        <w:t xml:space="preserve"> está conforme con la respuesta proporcionada por </w:t>
      </w:r>
      <w:r w:rsidRPr="000D2E86">
        <w:rPr>
          <w:rFonts w:ascii="Palatino Linotype" w:eastAsia="Palatino Linotype" w:hAnsi="Palatino Linotype" w:cs="Palatino Linotype"/>
          <w:b/>
          <w:bCs/>
        </w:rPr>
        <w:t>EL SUJETO OBLIGADO,</w:t>
      </w:r>
      <w:r w:rsidRPr="000D2E86">
        <w:rPr>
          <w:rFonts w:ascii="Palatino Linotype" w:eastAsia="Palatino Linotype" w:hAnsi="Palatino Linotype" w:cs="Palatino Linotype"/>
        </w:rPr>
        <w:t xml:space="preserve"> al no contravenir la misma. </w:t>
      </w:r>
    </w:p>
    <w:p w:rsidR="00152230" w:rsidRPr="000D2E86" w:rsidRDefault="00152230" w:rsidP="000D2E86">
      <w:pPr>
        <w:spacing w:line="360" w:lineRule="auto"/>
        <w:jc w:val="both"/>
        <w:rPr>
          <w:rFonts w:ascii="Palatino Linotype" w:eastAsia="Palatino Linotype" w:hAnsi="Palatino Linotype" w:cs="Palatino Linotype"/>
        </w:rPr>
      </w:pPr>
    </w:p>
    <w:p w:rsidR="00152230" w:rsidRPr="000D2E86" w:rsidRDefault="00152230" w:rsidP="000D2E8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152230" w:rsidRPr="000D2E86" w:rsidRDefault="00152230" w:rsidP="000D2E86">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52230" w:rsidRDefault="00152230" w:rsidP="000D2E86">
      <w:pPr>
        <w:tabs>
          <w:tab w:val="left" w:pos="7937"/>
          <w:tab w:val="left" w:pos="8222"/>
        </w:tabs>
        <w:spacing w:line="360" w:lineRule="auto"/>
        <w:ind w:left="851" w:right="901"/>
        <w:jc w:val="both"/>
        <w:rPr>
          <w:rFonts w:ascii="Palatino Linotype" w:eastAsia="Palatino Linotype" w:hAnsi="Palatino Linotype" w:cs="Palatino Linotype"/>
          <w:i/>
          <w:iCs/>
        </w:rPr>
      </w:pPr>
      <w:r w:rsidRPr="000D2E86">
        <w:rPr>
          <w:rFonts w:ascii="Palatino Linotype" w:eastAsia="Palatino Linotype" w:hAnsi="Palatino Linotype" w:cs="Palatino Linotype"/>
          <w:b/>
          <w:bCs/>
          <w:i/>
          <w:iCs/>
        </w:rPr>
        <w:lastRenderedPageBreak/>
        <w:t xml:space="preserve">“REVISIÓN EN AMPARO. LOS RESOLUTIVOS NO COMBATIDOS DEBEN DECLARARSE FIRMES. </w:t>
      </w:r>
      <w:r w:rsidRPr="000D2E86">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D66584" w:rsidRPr="000D2E86" w:rsidRDefault="00D66584" w:rsidP="000D2E86">
      <w:pPr>
        <w:tabs>
          <w:tab w:val="left" w:pos="7937"/>
          <w:tab w:val="left" w:pos="8222"/>
        </w:tabs>
        <w:spacing w:line="360" w:lineRule="auto"/>
        <w:ind w:left="851" w:right="901"/>
        <w:jc w:val="both"/>
        <w:rPr>
          <w:rFonts w:ascii="Palatino Linotype" w:eastAsia="Palatino Linotype" w:hAnsi="Palatino Linotype" w:cs="Palatino Linotype"/>
          <w:i/>
          <w:iCs/>
        </w:rPr>
      </w:pPr>
    </w:p>
    <w:p w:rsidR="00152230" w:rsidRPr="000D2E86" w:rsidRDefault="00152230" w:rsidP="000D2E86">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0D2E86">
        <w:rPr>
          <w:rFonts w:ascii="Palatino Linotype" w:eastAsia="Palatino Linotype" w:hAnsi="Palatino Linotype" w:cs="Palatino Linotype"/>
        </w:rPr>
        <w:t>En consecuencia, que los demás fundamentos remitidos en respuesta. Se consideran un acto consentido y, en consecuencia, este Órgano Resolutor no entrará al estudio de los rubros no impugnados por las razones hasta aquí expuestas.</w:t>
      </w:r>
    </w:p>
    <w:p w:rsidR="00152230" w:rsidRPr="000D2E86" w:rsidRDefault="00152230" w:rsidP="000D2E86">
      <w:pPr>
        <w:pBdr>
          <w:top w:val="nil"/>
          <w:left w:val="nil"/>
          <w:bottom w:val="nil"/>
          <w:right w:val="nil"/>
          <w:between w:val="nil"/>
        </w:pBdr>
        <w:spacing w:line="360" w:lineRule="auto"/>
        <w:ind w:right="49"/>
        <w:jc w:val="both"/>
        <w:rPr>
          <w:rFonts w:ascii="Palatino Linotype" w:hAnsi="Palatino Linotype" w:cs="Arial"/>
        </w:rPr>
      </w:pPr>
    </w:p>
    <w:p w:rsidR="006C4EFA" w:rsidRPr="000D2E86" w:rsidRDefault="00152230" w:rsidP="000D2E86">
      <w:pPr>
        <w:numPr>
          <w:ilvl w:val="0"/>
          <w:numId w:val="1"/>
        </w:numPr>
        <w:spacing w:line="360" w:lineRule="auto"/>
        <w:ind w:left="0" w:right="49" w:firstLine="0"/>
        <w:jc w:val="both"/>
        <w:rPr>
          <w:rFonts w:ascii="Palatino Linotype" w:hAnsi="Palatino Linotype" w:cs="Arial"/>
        </w:rPr>
      </w:pPr>
      <w:r w:rsidRPr="000D2E86">
        <w:rPr>
          <w:rFonts w:ascii="Palatino Linotype" w:hAnsi="Palatino Linotype" w:cs="Arial"/>
        </w:rPr>
        <w:t xml:space="preserve">Expuesto lo anterior, respecto del rubro impugnado tocante al contrato laboral, devienen procedentes las manifestaciones del </w:t>
      </w:r>
      <w:r w:rsidRPr="000D2E86">
        <w:rPr>
          <w:rFonts w:ascii="Palatino Linotype" w:hAnsi="Palatino Linotype" w:cs="Arial"/>
          <w:b/>
        </w:rPr>
        <w:t>SUJETO OBLIGADO</w:t>
      </w:r>
      <w:r w:rsidRPr="000D2E86">
        <w:rPr>
          <w:rFonts w:ascii="Palatino Linotype" w:hAnsi="Palatino Linotype" w:cs="Arial"/>
        </w:rPr>
        <w:t xml:space="preserve"> expuestas en calidad de informe justificado; toda vez que el Tesorero Municipal, en estricto sentido no pudiera contar con un contrato laboral.</w:t>
      </w:r>
    </w:p>
    <w:p w:rsidR="00152230" w:rsidRPr="000D2E86" w:rsidRDefault="00152230" w:rsidP="000D2E86">
      <w:pPr>
        <w:pStyle w:val="Prrafodelista"/>
        <w:spacing w:line="360" w:lineRule="auto"/>
        <w:rPr>
          <w:rFonts w:ascii="Palatino Linotype" w:hAnsi="Palatino Linotype" w:cs="Arial"/>
        </w:rPr>
      </w:pPr>
    </w:p>
    <w:p w:rsidR="00313EA6" w:rsidRPr="000D2E86" w:rsidRDefault="00152230" w:rsidP="000D2E86">
      <w:pPr>
        <w:numPr>
          <w:ilvl w:val="0"/>
          <w:numId w:val="1"/>
        </w:numPr>
        <w:spacing w:line="360" w:lineRule="auto"/>
        <w:ind w:left="0" w:right="49" w:firstLine="0"/>
        <w:jc w:val="both"/>
        <w:rPr>
          <w:rFonts w:ascii="Palatino Linotype" w:eastAsia="Palatino Linotype" w:hAnsi="Palatino Linotype" w:cs="Palatino Linotype"/>
        </w:rPr>
      </w:pPr>
      <w:r w:rsidRPr="000D2E86">
        <w:rPr>
          <w:rFonts w:ascii="Palatino Linotype" w:hAnsi="Palatino Linotype" w:cs="Arial"/>
        </w:rPr>
        <w:t>Lo anterior es así, toda vez que</w:t>
      </w:r>
      <w:r w:rsidR="00313EA6" w:rsidRPr="000D2E86">
        <w:rPr>
          <w:rFonts w:ascii="Palatino Linotype" w:eastAsia="Palatino Linotype" w:hAnsi="Palatino Linotype" w:cs="Palatino Linotype"/>
        </w:rPr>
        <w:t xml:space="preserve"> el artículo 50 de la Ley del Trabajo de los Servidores Públicos del Estado y Municipios, dispone literalmente lo siguiente:</w:t>
      </w:r>
    </w:p>
    <w:p w:rsidR="00152230" w:rsidRPr="000D2E86" w:rsidRDefault="00152230" w:rsidP="000D2E86">
      <w:pPr>
        <w:pStyle w:val="Prrafodelista"/>
        <w:spacing w:line="360" w:lineRule="auto"/>
        <w:rPr>
          <w:rFonts w:ascii="Palatino Linotype" w:eastAsia="Palatino Linotype" w:hAnsi="Palatino Linotype" w:cs="Palatino Linotype"/>
        </w:rPr>
      </w:pPr>
    </w:p>
    <w:p w:rsidR="00313EA6" w:rsidRPr="000D2E86" w:rsidRDefault="00313EA6" w:rsidP="000D2E86">
      <w:pPr>
        <w:spacing w:line="360" w:lineRule="auto"/>
        <w:ind w:left="851" w:right="851"/>
        <w:jc w:val="both"/>
        <w:rPr>
          <w:rFonts w:ascii="Palatino Linotype" w:eastAsia="Palatino Linotype" w:hAnsi="Palatino Linotype" w:cs="Palatino Linotype"/>
          <w:i/>
        </w:rPr>
      </w:pPr>
      <w:r w:rsidRPr="000D2E86">
        <w:rPr>
          <w:rFonts w:ascii="Palatino Linotype" w:eastAsia="Palatino Linotype" w:hAnsi="Palatino Linotype" w:cs="Palatino Linotype"/>
          <w:i/>
        </w:rPr>
        <w:lastRenderedPageBreak/>
        <w:t>“</w:t>
      </w:r>
      <w:r w:rsidRPr="000D2E86">
        <w:rPr>
          <w:rFonts w:ascii="Palatino Linotype" w:eastAsia="Palatino Linotype" w:hAnsi="Palatino Linotype" w:cs="Palatino Linotype"/>
          <w:b/>
          <w:i/>
        </w:rPr>
        <w:t>ARTÍCULO 50</w:t>
      </w:r>
      <w:r w:rsidRPr="000D2E86">
        <w:rPr>
          <w:rFonts w:ascii="Palatino Linotype" w:eastAsia="Palatino Linotype" w:hAnsi="Palatino Linotype" w:cs="Palatino Linotype"/>
          <w:i/>
        </w:rPr>
        <w:t xml:space="preserve">.- El </w:t>
      </w:r>
      <w:r w:rsidRPr="000D2E86">
        <w:rPr>
          <w:rFonts w:ascii="Palatino Linotype" w:eastAsia="Palatino Linotype" w:hAnsi="Palatino Linotype" w:cs="Palatino Linotype"/>
          <w:b/>
          <w:i/>
          <w:u w:val="single"/>
        </w:rPr>
        <w:t>nombramiento, contrato o formato único de Movimientos de Personal</w:t>
      </w:r>
      <w:r w:rsidRPr="000D2E86">
        <w:rPr>
          <w:rFonts w:ascii="Palatino Linotype" w:eastAsia="Palatino Linotype" w:hAnsi="Palatino Linotype" w:cs="Palatino Linotype"/>
        </w:rPr>
        <w:t xml:space="preserve"> </w:t>
      </w:r>
      <w:r w:rsidRPr="000D2E86">
        <w:rPr>
          <w:rFonts w:ascii="Palatino Linotype" w:eastAsia="Palatino Linotype" w:hAnsi="Palatino Linotype" w:cs="Palatino Linotype"/>
          <w:i/>
        </w:rPr>
        <w:t xml:space="preserve">aceptado obliga al servidor público a cumplir con los deberes inherentes al puesto especificado en el mismo y a las consecuencias que sean conforme a la ley, al uso y a la buena fe. </w:t>
      </w:r>
    </w:p>
    <w:p w:rsidR="00313EA6" w:rsidRPr="000D2E86" w:rsidRDefault="00313EA6" w:rsidP="000D2E86">
      <w:pPr>
        <w:spacing w:line="360" w:lineRule="auto"/>
        <w:ind w:left="851" w:right="851"/>
        <w:jc w:val="both"/>
        <w:rPr>
          <w:rFonts w:ascii="Palatino Linotype" w:eastAsia="Palatino Linotype" w:hAnsi="Palatino Linotype" w:cs="Palatino Linotype"/>
        </w:rPr>
      </w:pPr>
      <w:r w:rsidRPr="000D2E86">
        <w:rPr>
          <w:rFonts w:ascii="Palatino Linotype" w:eastAsia="Palatino Linotype" w:hAnsi="Palatino Linotype" w:cs="Palatino Linotype"/>
          <w:i/>
        </w:rPr>
        <w:t>Iguales consecuencias se generarán para todos los servidores públicos, cuando la relación de trabajo se formalice mediante un contrato o por encontrarse en lista de raya.”</w:t>
      </w:r>
      <w:r w:rsidR="00152230" w:rsidRPr="000D2E86">
        <w:rPr>
          <w:rFonts w:ascii="Palatino Linotype" w:eastAsia="Palatino Linotype" w:hAnsi="Palatino Linotype" w:cs="Palatino Linotype"/>
          <w:i/>
        </w:rPr>
        <w:t xml:space="preserve"> </w:t>
      </w:r>
      <w:r w:rsidR="00152230" w:rsidRPr="000D2E86">
        <w:rPr>
          <w:rFonts w:ascii="Palatino Linotype" w:eastAsia="Palatino Linotype" w:hAnsi="Palatino Linotype" w:cs="Palatino Linotype"/>
        </w:rPr>
        <w:t>Énfasis propio</w:t>
      </w:r>
    </w:p>
    <w:p w:rsidR="00313EA6" w:rsidRPr="000D2E86" w:rsidRDefault="00313EA6" w:rsidP="000D2E86">
      <w:pPr>
        <w:spacing w:line="360" w:lineRule="auto"/>
        <w:ind w:right="49"/>
        <w:jc w:val="both"/>
        <w:rPr>
          <w:rFonts w:ascii="Palatino Linotype" w:eastAsia="Palatino Linotype" w:hAnsi="Palatino Linotype" w:cs="Palatino Linotype"/>
        </w:rPr>
      </w:pPr>
    </w:p>
    <w:p w:rsidR="00313EA6" w:rsidRPr="000D2E86" w:rsidRDefault="00313EA6" w:rsidP="000D2E86">
      <w:pPr>
        <w:numPr>
          <w:ilvl w:val="0"/>
          <w:numId w:val="1"/>
        </w:numP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De lo anterior, se advierte que la relación laboral entre un servidor público y el Estado se </w:t>
      </w:r>
      <w:r w:rsidRPr="000D2E86">
        <w:rPr>
          <w:rFonts w:ascii="Palatino Linotype" w:hAnsi="Palatino Linotype" w:cs="Arial"/>
        </w:rPr>
        <w:t>formaliza</w:t>
      </w:r>
      <w:r w:rsidRPr="000D2E86">
        <w:rPr>
          <w:rFonts w:ascii="Palatino Linotype" w:eastAsia="Palatino Linotype" w:hAnsi="Palatino Linotype" w:cs="Palatino Linotype"/>
        </w:rPr>
        <w:t xml:space="preserve"> mediante nombramiento, contrato o</w:t>
      </w:r>
      <w:r w:rsidR="00152230" w:rsidRPr="000D2E86">
        <w:rPr>
          <w:rFonts w:ascii="Palatino Linotype" w:eastAsia="Palatino Linotype" w:hAnsi="Palatino Linotype" w:cs="Palatino Linotype"/>
        </w:rPr>
        <w:t>,</w:t>
      </w:r>
      <w:r w:rsidRPr="000D2E86">
        <w:rPr>
          <w:rFonts w:ascii="Palatino Linotype" w:eastAsia="Palatino Linotype" w:hAnsi="Palatino Linotype" w:cs="Palatino Linotype"/>
        </w:rPr>
        <w:t xml:space="preserve"> formato único de movimientos de personal.</w:t>
      </w:r>
      <w:r w:rsidR="00152230" w:rsidRPr="000D2E86">
        <w:rPr>
          <w:rFonts w:ascii="Palatino Linotype" w:eastAsia="Palatino Linotype" w:hAnsi="Palatino Linotype" w:cs="Palatino Linotype"/>
        </w:rPr>
        <w:t xml:space="preserve"> Por tanto el requerimiento que el hoy </w:t>
      </w:r>
      <w:r w:rsidR="00152230" w:rsidRPr="000D2E86">
        <w:rPr>
          <w:rFonts w:ascii="Palatino Linotype" w:eastAsia="Palatino Linotype" w:hAnsi="Palatino Linotype" w:cs="Palatino Linotype"/>
          <w:b/>
        </w:rPr>
        <w:t xml:space="preserve">RECURRENTE </w:t>
      </w:r>
      <w:r w:rsidR="00152230" w:rsidRPr="000D2E86">
        <w:rPr>
          <w:rFonts w:ascii="Palatino Linotype" w:eastAsia="Palatino Linotype" w:hAnsi="Palatino Linotype" w:cs="Palatino Linotype"/>
        </w:rPr>
        <w:t>plantea en su solicitud inicial relativo a contrato, también se puede colmar con la entrega del FUMP o del nombramiento, por tanto al haberse remitido este último, se tiene por atendido el rubro en comento.</w:t>
      </w:r>
    </w:p>
    <w:p w:rsidR="00152230" w:rsidRPr="000D2E86" w:rsidRDefault="00152230" w:rsidP="000D2E86">
      <w:pPr>
        <w:spacing w:line="360" w:lineRule="auto"/>
        <w:ind w:right="49"/>
        <w:jc w:val="both"/>
        <w:rPr>
          <w:rFonts w:ascii="Palatino Linotype" w:eastAsia="Palatino Linotype" w:hAnsi="Palatino Linotype" w:cs="Palatino Linotype"/>
        </w:rPr>
      </w:pPr>
    </w:p>
    <w:p w:rsidR="00152230" w:rsidRPr="000D2E86" w:rsidRDefault="00152230" w:rsidP="000D2E86">
      <w:pPr>
        <w:numPr>
          <w:ilvl w:val="0"/>
          <w:numId w:val="1"/>
        </w:numP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Por otro lado</w:t>
      </w:r>
      <w:r w:rsidR="00DE2CCB" w:rsidRPr="000D2E86">
        <w:rPr>
          <w:rFonts w:ascii="Palatino Linotype" w:eastAsia="Palatino Linotype" w:hAnsi="Palatino Linotype" w:cs="Palatino Linotype"/>
        </w:rPr>
        <w:t>,</w:t>
      </w:r>
      <w:r w:rsidRPr="000D2E86">
        <w:rPr>
          <w:rFonts w:ascii="Palatino Linotype" w:eastAsia="Palatino Linotype" w:hAnsi="Palatino Linotype" w:cs="Palatino Linotype"/>
        </w:rPr>
        <w:t xml:space="preserve"> si bien el</w:t>
      </w:r>
      <w:r w:rsidR="00DE2CCB" w:rsidRPr="000D2E86">
        <w:rPr>
          <w:rFonts w:ascii="Palatino Linotype" w:eastAsia="Palatino Linotype" w:hAnsi="Palatino Linotype" w:cs="Palatino Linotype"/>
        </w:rPr>
        <w:t xml:space="preserve"> contrato puede ser colmado con la entrega d</w:t>
      </w:r>
      <w:r w:rsidRPr="000D2E86">
        <w:rPr>
          <w:rFonts w:ascii="Palatino Linotype" w:eastAsia="Palatino Linotype" w:hAnsi="Palatino Linotype" w:cs="Palatino Linotype"/>
        </w:rPr>
        <w:t>el</w:t>
      </w:r>
      <w:r w:rsidR="00DE2CCB" w:rsidRPr="000D2E86">
        <w:rPr>
          <w:rFonts w:ascii="Palatino Linotype" w:eastAsia="Palatino Linotype" w:hAnsi="Palatino Linotype" w:cs="Palatino Linotype"/>
        </w:rPr>
        <w:t xml:space="preserve"> nombramiento o FUMP, por no haberse generado un contrato;</w:t>
      </w:r>
      <w:r w:rsidRPr="000D2E86">
        <w:rPr>
          <w:rFonts w:ascii="Palatino Linotype" w:eastAsia="Palatino Linotype" w:hAnsi="Palatino Linotype" w:cs="Palatino Linotype"/>
        </w:rPr>
        <w:t xml:space="preserve"> </w:t>
      </w:r>
      <w:r w:rsidR="00DE2CCB" w:rsidRPr="000D2E86">
        <w:rPr>
          <w:rFonts w:ascii="Palatino Linotype" w:eastAsia="Palatino Linotype" w:hAnsi="Palatino Linotype" w:cs="Palatino Linotype"/>
        </w:rPr>
        <w:t xml:space="preserve">no resulta procedente para que se omita la entrega del FUMP como se manifiesta en informe justificado, pues este corresponde a una documental que si se genera, posee y administra, por lo que al ser requerida </w:t>
      </w:r>
      <w:r w:rsidR="00DE2CCB" w:rsidRPr="000D2E86">
        <w:rPr>
          <w:rFonts w:ascii="Palatino Linotype" w:eastAsia="Palatino Linotype" w:hAnsi="Palatino Linotype" w:cs="Palatino Linotype"/>
          <w:i/>
        </w:rPr>
        <w:t>ex profeso</w:t>
      </w:r>
      <w:r w:rsidR="00DE2CCB" w:rsidRPr="000D2E86">
        <w:rPr>
          <w:rFonts w:ascii="Palatino Linotype" w:eastAsia="Palatino Linotype" w:hAnsi="Palatino Linotype" w:cs="Palatino Linotype"/>
        </w:rPr>
        <w:t>, procede su entrega.</w:t>
      </w:r>
    </w:p>
    <w:p w:rsidR="00313EA6" w:rsidRPr="000D2E86" w:rsidRDefault="00313EA6" w:rsidP="000D2E86">
      <w:pPr>
        <w:spacing w:line="360" w:lineRule="auto"/>
        <w:ind w:right="49"/>
        <w:jc w:val="both"/>
        <w:rPr>
          <w:rFonts w:ascii="Palatino Linotype" w:eastAsia="Palatino Linotype" w:hAnsi="Palatino Linotype" w:cs="Palatino Linotype"/>
        </w:rPr>
      </w:pPr>
    </w:p>
    <w:p w:rsidR="0051523F" w:rsidRPr="000D2E86" w:rsidRDefault="0051523F" w:rsidP="000D2E86">
      <w:pPr>
        <w:numPr>
          <w:ilvl w:val="0"/>
          <w:numId w:val="1"/>
        </w:numPr>
        <w:spacing w:line="360" w:lineRule="auto"/>
        <w:ind w:left="0" w:right="49"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Lo anterior resulta así, derivado que el Formato Único de Movimientos de Personal, es un documento que evidencia que los movimientos de alta, baja, transferencia, promoción, democión y licencia fueron efectuados. </w:t>
      </w:r>
    </w:p>
    <w:p w:rsidR="000D2E86" w:rsidRPr="000D2E86" w:rsidRDefault="000D2E86" w:rsidP="000D2E86">
      <w:pPr>
        <w:numPr>
          <w:ilvl w:val="0"/>
          <w:numId w:val="1"/>
        </w:numPr>
        <w:spacing w:line="360" w:lineRule="auto"/>
        <w:ind w:left="0" w:right="49" w:firstLine="0"/>
        <w:jc w:val="both"/>
        <w:rPr>
          <w:rFonts w:ascii="Palatino Linotype" w:eastAsia="Calibri" w:hAnsi="Palatino Linotype" w:cs="Tahoma"/>
          <w:bCs/>
          <w:lang w:val="es-ES"/>
        </w:rPr>
      </w:pPr>
      <w:r w:rsidRPr="000D2E86">
        <w:rPr>
          <w:rFonts w:ascii="Palatino Linotype" w:eastAsia="Palatino Linotype" w:hAnsi="Palatino Linotype" w:cs="Palatino Linotype"/>
        </w:rPr>
        <w:lastRenderedPageBreak/>
        <w:t>Lo anterior resulta así derivado que</w:t>
      </w:r>
      <w:r w:rsidRPr="000D2E86">
        <w:rPr>
          <w:rFonts w:ascii="Palatino Linotype" w:eastAsia="Calibri" w:hAnsi="Palatino Linotype" w:cs="Tahoma"/>
          <w:bCs/>
          <w:lang w:val="es-ES"/>
        </w:rPr>
        <w:t xml:space="preserve"> el artículo 4°, fracción VI, de la Ley del Trabajo de los servidores públicos del Estado y Municipios, precisa que son </w:t>
      </w:r>
      <w:r w:rsidRPr="000D2E86">
        <w:rPr>
          <w:rFonts w:ascii="Palatino Linotype" w:eastAsia="Calibri" w:hAnsi="Palatino Linotype" w:cs="Tahoma"/>
          <w:b/>
          <w:bCs/>
          <w:lang w:val="es-ES"/>
        </w:rPr>
        <w:t>servidores públicos</w:t>
      </w:r>
      <w:r w:rsidRPr="000D2E86">
        <w:rPr>
          <w:rFonts w:ascii="Palatino Linotype" w:eastAsia="Calibri" w:hAnsi="Palatino Linotype" w:cs="Tahoma"/>
          <w:bCs/>
          <w:lang w:val="es-ES"/>
        </w:rPr>
        <w:t>, todas las personas físicas que presten a una institución pública un trabajo personal subordinado, mediante el pago de un sueldo.</w:t>
      </w:r>
    </w:p>
    <w:p w:rsidR="000D2E86" w:rsidRPr="000D2E86" w:rsidRDefault="000D2E86" w:rsidP="000D2E86">
      <w:pPr>
        <w:spacing w:line="360" w:lineRule="auto"/>
        <w:ind w:right="-28"/>
        <w:contextualSpacing/>
        <w:rPr>
          <w:rFonts w:ascii="Palatino Linotype" w:eastAsia="Calibri" w:hAnsi="Palatino Linotype" w:cs="Tahoma"/>
          <w:bCs/>
        </w:rPr>
      </w:pPr>
    </w:p>
    <w:p w:rsidR="000D2E86" w:rsidRPr="000D2E86" w:rsidRDefault="000D2E86" w:rsidP="000D2E86">
      <w:pPr>
        <w:numPr>
          <w:ilvl w:val="0"/>
          <w:numId w:val="1"/>
        </w:numPr>
        <w:spacing w:line="360" w:lineRule="auto"/>
        <w:ind w:left="0" w:right="49" w:firstLine="0"/>
        <w:jc w:val="both"/>
        <w:rPr>
          <w:rFonts w:ascii="Palatino Linotype" w:hAnsi="Palatino Linotype"/>
        </w:rPr>
      </w:pPr>
      <w:r w:rsidRPr="000D2E86">
        <w:rPr>
          <w:rFonts w:ascii="Palatino Linotype" w:eastAsia="Calibri" w:hAnsi="Palatino Linotype" w:cs="Tahoma"/>
          <w:bCs/>
        </w:rPr>
        <w:t xml:space="preserve">En ese contexto, el artículo 45 de la Ley del Trabajo de los Servidores Públicos del Estado y </w:t>
      </w:r>
      <w:r w:rsidRPr="000D2E86">
        <w:rPr>
          <w:rFonts w:ascii="Palatino Linotype" w:eastAsia="Palatino Linotype" w:hAnsi="Palatino Linotype" w:cs="Palatino Linotype"/>
        </w:rPr>
        <w:t>Municipios</w:t>
      </w:r>
      <w:r w:rsidRPr="000D2E86">
        <w:rPr>
          <w:rFonts w:ascii="Palatino Linotype" w:eastAsia="Calibri" w:hAnsi="Palatino Linotype" w:cs="Tahoma"/>
          <w:bCs/>
        </w:rPr>
        <w:t xml:space="preserve">, establece que, los servidores públicos iniciarán su servicio mediante un </w:t>
      </w:r>
      <w:r w:rsidRPr="000D2E86">
        <w:rPr>
          <w:rFonts w:ascii="Palatino Linotype" w:hAnsi="Palatino Linotype"/>
          <w:b/>
          <w:bCs/>
        </w:rPr>
        <w:t>nombramiento</w:t>
      </w:r>
      <w:r w:rsidRPr="000D2E86">
        <w:rPr>
          <w:rFonts w:ascii="Palatino Linotype" w:hAnsi="Palatino Linotype"/>
          <w:b/>
        </w:rPr>
        <w:t>, contrato o</w:t>
      </w:r>
      <w:r w:rsidRPr="000D2E86">
        <w:rPr>
          <w:rFonts w:ascii="Palatino Linotype" w:hAnsi="Palatino Linotype"/>
        </w:rPr>
        <w:t xml:space="preserve"> </w:t>
      </w:r>
      <w:r w:rsidRPr="000D2E86">
        <w:rPr>
          <w:rFonts w:ascii="Palatino Linotype" w:hAnsi="Palatino Linotype"/>
          <w:b/>
        </w:rPr>
        <w:t>Formato Único de Movimientos de Personal</w:t>
      </w:r>
      <w:r w:rsidRPr="000D2E86">
        <w:rPr>
          <w:rFonts w:ascii="Palatino Linotype" w:hAnsi="Palatino Linotype"/>
        </w:rPr>
        <w:t xml:space="preserve"> expedidos por quien estuviere facultado legalmente para extenderlo.</w:t>
      </w:r>
    </w:p>
    <w:p w:rsidR="000D2E86" w:rsidRPr="000D2E86" w:rsidRDefault="000D2E86" w:rsidP="000D2E86">
      <w:pPr>
        <w:spacing w:line="360" w:lineRule="auto"/>
        <w:ind w:right="-28"/>
        <w:contextualSpacing/>
        <w:rPr>
          <w:rFonts w:ascii="Palatino Linotype" w:hAnsi="Palatino Linotype"/>
        </w:rPr>
      </w:pPr>
    </w:p>
    <w:p w:rsidR="000D2E86" w:rsidRPr="000D2E86" w:rsidRDefault="000D2E86" w:rsidP="000D2E86">
      <w:pPr>
        <w:numPr>
          <w:ilvl w:val="0"/>
          <w:numId w:val="1"/>
        </w:numPr>
        <w:spacing w:line="360" w:lineRule="auto"/>
        <w:ind w:left="0" w:right="49" w:firstLine="0"/>
        <w:jc w:val="both"/>
        <w:rPr>
          <w:rFonts w:ascii="Palatino Linotype" w:hAnsi="Palatino Linotype"/>
        </w:rPr>
      </w:pPr>
      <w:r w:rsidRPr="000D2E86">
        <w:rPr>
          <w:rFonts w:ascii="Palatino Linotype" w:hAnsi="Palatino Linotype"/>
        </w:rPr>
        <w:t xml:space="preserve">Asimismo, el artículo 49 de la Ley antes mencionada, establece que, los nombramientos, contratos o </w:t>
      </w:r>
      <w:r w:rsidRPr="000D2E86">
        <w:rPr>
          <w:rFonts w:ascii="Palatino Linotype" w:eastAsia="Calibri" w:hAnsi="Palatino Linotype" w:cs="Tahoma"/>
          <w:bCs/>
        </w:rPr>
        <w:t>formato</w:t>
      </w:r>
      <w:r w:rsidRPr="000D2E86">
        <w:rPr>
          <w:rFonts w:ascii="Palatino Linotype" w:hAnsi="Palatino Linotype"/>
        </w:rPr>
        <w:t xml:space="preserve"> único de Movimientos de Personal de los servidores públicos deberán contener lo siguiente:</w:t>
      </w:r>
    </w:p>
    <w:p w:rsidR="000D2E86" w:rsidRPr="000D2E86" w:rsidRDefault="000D2E86" w:rsidP="000D2E86">
      <w:pPr>
        <w:pStyle w:val="Prrafodelista"/>
        <w:numPr>
          <w:ilvl w:val="0"/>
          <w:numId w:val="38"/>
        </w:numPr>
        <w:spacing w:line="360" w:lineRule="auto"/>
        <w:ind w:right="-28"/>
        <w:jc w:val="both"/>
        <w:rPr>
          <w:rFonts w:ascii="Palatino Linotype" w:eastAsia="Palatino Linotype" w:hAnsi="Palatino Linotype" w:cs="Palatino Linotype"/>
          <w:lang w:eastAsia="es-MX"/>
        </w:rPr>
      </w:pPr>
      <w:r w:rsidRPr="000D2E86">
        <w:rPr>
          <w:rFonts w:ascii="Palatino Linotype" w:hAnsi="Palatino Linotype"/>
        </w:rPr>
        <w:t xml:space="preserve">Nombre completo del servidor público; </w:t>
      </w:r>
    </w:p>
    <w:p w:rsidR="000D2E86" w:rsidRPr="000D2E86" w:rsidRDefault="000D2E86" w:rsidP="000D2E86">
      <w:pPr>
        <w:pStyle w:val="Prrafodelista"/>
        <w:numPr>
          <w:ilvl w:val="0"/>
          <w:numId w:val="38"/>
        </w:numPr>
        <w:spacing w:line="360" w:lineRule="auto"/>
        <w:ind w:right="-28"/>
        <w:jc w:val="both"/>
        <w:rPr>
          <w:rFonts w:ascii="Palatino Linotype" w:eastAsia="Palatino Linotype" w:hAnsi="Palatino Linotype" w:cs="Palatino Linotype"/>
          <w:lang w:eastAsia="es-MX"/>
        </w:rPr>
      </w:pPr>
      <w:r w:rsidRPr="000D2E86">
        <w:rPr>
          <w:rFonts w:ascii="Palatino Linotype" w:hAnsi="Palatino Linotype"/>
        </w:rPr>
        <w:t xml:space="preserve">Cargo para el que es designado, fecha de inicio de sus servicios y lugar de adscripción; </w:t>
      </w:r>
    </w:p>
    <w:p w:rsidR="000D2E86" w:rsidRPr="000D2E86" w:rsidRDefault="000D2E86" w:rsidP="000D2E86">
      <w:pPr>
        <w:pStyle w:val="Prrafodelista"/>
        <w:numPr>
          <w:ilvl w:val="0"/>
          <w:numId w:val="38"/>
        </w:numPr>
        <w:spacing w:line="360" w:lineRule="auto"/>
        <w:ind w:right="-28"/>
        <w:jc w:val="both"/>
        <w:rPr>
          <w:rFonts w:ascii="Palatino Linotype" w:eastAsia="Palatino Linotype" w:hAnsi="Palatino Linotype" w:cs="Palatino Linotype"/>
          <w:lang w:eastAsia="es-MX"/>
        </w:rPr>
      </w:pPr>
      <w:r w:rsidRPr="000D2E86">
        <w:rPr>
          <w:rFonts w:ascii="Palatino Linotype" w:hAnsi="Palatino Linotype"/>
        </w:rPr>
        <w:t xml:space="preserve">Carácter del nombramiento, ya sea de servidores públicos generales o de confianza, así como la temporalidad del mismo; </w:t>
      </w:r>
    </w:p>
    <w:p w:rsidR="000D2E86" w:rsidRPr="000D2E86" w:rsidRDefault="000D2E86" w:rsidP="000D2E86">
      <w:pPr>
        <w:pStyle w:val="Prrafodelista"/>
        <w:numPr>
          <w:ilvl w:val="0"/>
          <w:numId w:val="38"/>
        </w:numPr>
        <w:spacing w:line="360" w:lineRule="auto"/>
        <w:ind w:right="-28"/>
        <w:jc w:val="both"/>
        <w:rPr>
          <w:rFonts w:ascii="Palatino Linotype" w:eastAsia="Palatino Linotype" w:hAnsi="Palatino Linotype" w:cs="Palatino Linotype"/>
          <w:lang w:eastAsia="es-MX"/>
        </w:rPr>
      </w:pPr>
      <w:r w:rsidRPr="000D2E86">
        <w:rPr>
          <w:rFonts w:ascii="Palatino Linotype" w:hAnsi="Palatino Linotype"/>
        </w:rPr>
        <w:t>Remuneración correspondiente al puesto;</w:t>
      </w:r>
    </w:p>
    <w:p w:rsidR="000D2E86" w:rsidRPr="000D2E86" w:rsidRDefault="000D2E86" w:rsidP="000D2E86">
      <w:pPr>
        <w:pStyle w:val="Prrafodelista"/>
        <w:numPr>
          <w:ilvl w:val="0"/>
          <w:numId w:val="38"/>
        </w:numPr>
        <w:spacing w:line="360" w:lineRule="auto"/>
        <w:ind w:right="-28"/>
        <w:jc w:val="both"/>
        <w:rPr>
          <w:rFonts w:ascii="Palatino Linotype" w:eastAsia="Palatino Linotype" w:hAnsi="Palatino Linotype" w:cs="Palatino Linotype"/>
          <w:lang w:eastAsia="es-MX"/>
        </w:rPr>
      </w:pPr>
      <w:r w:rsidRPr="000D2E86">
        <w:rPr>
          <w:rFonts w:ascii="Palatino Linotype" w:hAnsi="Palatino Linotype"/>
        </w:rPr>
        <w:t xml:space="preserve">Jornada de trabajo, y </w:t>
      </w:r>
    </w:p>
    <w:p w:rsidR="000D2E86" w:rsidRPr="000D2E86" w:rsidRDefault="000D2E86" w:rsidP="000D2E86">
      <w:pPr>
        <w:pStyle w:val="Prrafodelista"/>
        <w:numPr>
          <w:ilvl w:val="0"/>
          <w:numId w:val="38"/>
        </w:numPr>
        <w:spacing w:line="360" w:lineRule="auto"/>
        <w:ind w:right="-28"/>
        <w:jc w:val="both"/>
        <w:rPr>
          <w:rFonts w:ascii="Palatino Linotype" w:eastAsia="Palatino Linotype" w:hAnsi="Palatino Linotype" w:cs="Palatino Linotype"/>
          <w:lang w:eastAsia="es-MX"/>
        </w:rPr>
      </w:pPr>
      <w:r w:rsidRPr="000D2E86">
        <w:rPr>
          <w:rFonts w:ascii="Palatino Linotype" w:hAnsi="Palatino Linotype"/>
        </w:rPr>
        <w:t>Firma del servidor público autorizado para emitir el nombramiento, contrato o formato único de Movimientos de Personal, así como el fundamento legal de esa atribución.</w:t>
      </w:r>
    </w:p>
    <w:p w:rsidR="000D2E86" w:rsidRPr="000D2E86" w:rsidRDefault="000D2E86" w:rsidP="000D2E8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313EA6" w:rsidRDefault="000D2E86" w:rsidP="00ED344F">
      <w:pPr>
        <w:numPr>
          <w:ilvl w:val="0"/>
          <w:numId w:val="1"/>
        </w:numPr>
        <w:spacing w:line="360" w:lineRule="auto"/>
        <w:ind w:left="0" w:right="49" w:firstLine="0"/>
        <w:jc w:val="both"/>
        <w:rPr>
          <w:rFonts w:ascii="Palatino Linotype" w:eastAsia="Palatino Linotype" w:hAnsi="Palatino Linotype" w:cs="Palatino Linotype"/>
          <w:color w:val="000000"/>
        </w:rPr>
      </w:pPr>
      <w:r w:rsidRPr="000D2E86">
        <w:rPr>
          <w:rFonts w:ascii="Palatino Linotype" w:hAnsi="Palatino Linotype"/>
        </w:rPr>
        <w:lastRenderedPageBreak/>
        <w:t xml:space="preserve">Por lo </w:t>
      </w:r>
      <w:r w:rsidRPr="000D2E86">
        <w:rPr>
          <w:rFonts w:ascii="Palatino Linotype" w:eastAsia="Times New Roman" w:hAnsi="Palatino Linotype" w:cs="Times New Roman"/>
        </w:rPr>
        <w:t>anterior</w:t>
      </w:r>
      <w:r w:rsidRPr="000D2E86">
        <w:rPr>
          <w:rFonts w:ascii="Palatino Linotype" w:hAnsi="Palatino Linotype"/>
        </w:rPr>
        <w:t>, este órgano Garante determina ordenar la entrega del último Formato Único de Movimiento de Personal del Tesorero Municipal en funciones a la fecha de la solicitud.</w:t>
      </w:r>
      <w:r>
        <w:rPr>
          <w:rFonts w:ascii="Palatino Linotype" w:hAnsi="Palatino Linotype"/>
        </w:rPr>
        <w:t xml:space="preserve"> </w:t>
      </w:r>
      <w:r w:rsidR="00313EA6" w:rsidRPr="000D2E86">
        <w:rPr>
          <w:rFonts w:ascii="Palatino Linotype" w:eastAsia="Palatino Linotype" w:hAnsi="Palatino Linotype" w:cs="Palatino Linotype"/>
          <w:color w:val="000000"/>
        </w:rPr>
        <w:t xml:space="preserve">Con la </w:t>
      </w:r>
      <w:r w:rsidR="00313EA6" w:rsidRPr="000D2E86">
        <w:rPr>
          <w:rFonts w:ascii="Palatino Linotype" w:eastAsia="Calibri" w:hAnsi="Palatino Linotype" w:cs="Tahoma"/>
          <w:bCs/>
        </w:rPr>
        <w:t>determinación</w:t>
      </w:r>
      <w:r w:rsidR="00313EA6" w:rsidRPr="000D2E86">
        <w:rPr>
          <w:rFonts w:ascii="Palatino Linotype" w:eastAsia="Palatino Linotype" w:hAnsi="Palatino Linotype" w:cs="Palatino Linotype"/>
          <w:color w:val="000000"/>
        </w:rPr>
        <w:t xml:space="preserve"> anterior, se estima quedara por colmado el derecho de acceso a la </w:t>
      </w:r>
      <w:r w:rsidR="00313EA6" w:rsidRPr="000D2E86">
        <w:rPr>
          <w:rFonts w:ascii="Palatino Linotype" w:eastAsia="Palatino Linotype" w:hAnsi="Palatino Linotype" w:cs="Palatino Linotype"/>
        </w:rPr>
        <w:t>información</w:t>
      </w:r>
      <w:r w:rsidR="00313EA6" w:rsidRPr="000D2E86">
        <w:rPr>
          <w:rFonts w:ascii="Palatino Linotype" w:eastAsia="Palatino Linotype" w:hAnsi="Palatino Linotype" w:cs="Palatino Linotype"/>
          <w:color w:val="000000"/>
        </w:rPr>
        <w:t xml:space="preserve"> del ahora Recurrente; toda vez que el Derecho que tutela este </w:t>
      </w:r>
      <w:r w:rsidR="00313EA6" w:rsidRPr="000D2E86">
        <w:rPr>
          <w:rFonts w:ascii="Palatino Linotype" w:eastAsia="Palatino Linotype" w:hAnsi="Palatino Linotype" w:cs="Palatino Linotype"/>
        </w:rPr>
        <w:t>Órgano</w:t>
      </w:r>
      <w:r w:rsidR="00313EA6" w:rsidRPr="000D2E86">
        <w:rPr>
          <w:rFonts w:ascii="Palatino Linotype" w:eastAsia="Palatino Linotype" w:hAnsi="Palatino Linotype" w:cs="Palatino Linotype"/>
          <w:color w:val="000000"/>
        </w:rPr>
        <w:t xml:space="preserve"> </w:t>
      </w:r>
      <w:r w:rsidR="00313EA6" w:rsidRPr="000D2E86">
        <w:rPr>
          <w:rFonts w:ascii="Palatino Linotype" w:hAnsi="Palatino Linotype"/>
        </w:rPr>
        <w:t>Garante</w:t>
      </w:r>
      <w:r w:rsidR="00313EA6" w:rsidRPr="000D2E86">
        <w:rPr>
          <w:rFonts w:ascii="Palatino Linotype" w:eastAsia="Palatino Linotype" w:hAnsi="Palatino Linotype" w:cs="Palatino Linotype"/>
          <w:color w:val="000000"/>
        </w:rPr>
        <w:t xml:space="preserve"> corresponde a la  </w:t>
      </w:r>
      <w:r w:rsidR="00313EA6" w:rsidRPr="000D2E86">
        <w:rPr>
          <w:rFonts w:ascii="Palatino Linotype" w:eastAsia="Palatino Linotype" w:hAnsi="Palatino Linotype" w:cs="Palatino Linotype"/>
          <w:i/>
          <w:color w:val="000000"/>
        </w:rPr>
        <w:t>igualdad de oportunidades para recibir, buscar e impartir información</w:t>
      </w:r>
      <w:r w:rsidR="00313EA6" w:rsidRPr="000D2E86">
        <w:rPr>
          <w:rFonts w:ascii="Palatino Linotype" w:eastAsia="Palatino Linotype" w:hAnsi="Palatino Linotype" w:cs="Palatino Linotype"/>
          <w:i/>
          <w:color w:val="000000"/>
          <w:vertAlign w:val="superscript"/>
        </w:rPr>
        <w:footnoteReference w:id="1"/>
      </w:r>
      <w:r w:rsidR="00313EA6" w:rsidRPr="000D2E86">
        <w:rPr>
          <w:rFonts w:ascii="Palatino Linotype" w:eastAsia="Palatino Linotype" w:hAnsi="Palatino Linotype" w:cs="Palatino Linotype"/>
          <w:i/>
          <w:color w:val="000000"/>
        </w:rPr>
        <w:t xml:space="preserve"> en posesión de cualquier autoridad, entidad, órgano y organismo de los </w:t>
      </w:r>
      <w:r w:rsidR="00313EA6" w:rsidRPr="000D2E86">
        <w:rPr>
          <w:rFonts w:ascii="Palatino Linotype" w:eastAsia="Palatino Linotype" w:hAnsi="Palatino Linotype" w:cs="Palatino Linotype"/>
          <w:color w:val="000000"/>
        </w:rPr>
        <w:t>poderes</w:t>
      </w:r>
      <w:r w:rsidR="00313EA6" w:rsidRPr="000D2E86">
        <w:rPr>
          <w:rFonts w:ascii="Palatino Linotype" w:eastAsia="Palatino Linotype" w:hAnsi="Palatino Linotype" w:cs="Palatino Linotype"/>
          <w:i/>
          <w:color w:val="000000"/>
        </w:rPr>
        <w:t xml:space="preserve"> Ejecutivo, Legislativo y Judicial, órganos autónomos, partidos políticos, </w:t>
      </w:r>
      <w:r w:rsidR="00313EA6" w:rsidRPr="000D2E86">
        <w:rPr>
          <w:rFonts w:ascii="Palatino Linotype" w:eastAsia="Palatino Linotype" w:hAnsi="Palatino Linotype" w:cs="Palatino Linotype"/>
        </w:rPr>
        <w:t>fideicomisos</w:t>
      </w:r>
      <w:r w:rsidR="00313EA6" w:rsidRPr="000D2E86">
        <w:rPr>
          <w:rFonts w:ascii="Palatino Linotype" w:eastAsia="Palatino Linotype" w:hAnsi="Palatino Linotype" w:cs="Palatino Linotype"/>
          <w:i/>
          <w:color w:val="000000"/>
        </w:rPr>
        <w:t>, y fondos públicos, así como de cualquier persona física, moral o sindicato que reciba y ejerza recursos públicos o realice actos de autoridad en el ámbito federal, estatal y municipal</w:t>
      </w:r>
      <w:r w:rsidR="00313EA6" w:rsidRPr="000D2E86">
        <w:rPr>
          <w:rFonts w:ascii="Palatino Linotype" w:eastAsia="Palatino Linotype" w:hAnsi="Palatino Linotype" w:cs="Palatino Linotype"/>
          <w:color w:val="000000"/>
          <w:vertAlign w:val="superscript"/>
        </w:rPr>
        <w:footnoteReference w:id="2"/>
      </w:r>
      <w:r w:rsidR="00313EA6" w:rsidRPr="000D2E86">
        <w:rPr>
          <w:rFonts w:ascii="Palatino Linotype" w:eastAsia="Palatino Linotype" w:hAnsi="Palatino Linotype" w:cs="Palatino Linotype"/>
          <w:i/>
          <w:color w:val="000000"/>
        </w:rPr>
        <w:t xml:space="preserve"> </w:t>
      </w:r>
      <w:r w:rsidR="00313EA6" w:rsidRPr="000D2E86">
        <w:rPr>
          <w:rFonts w:ascii="Palatino Linotype" w:eastAsia="Palatino Linotype" w:hAnsi="Palatino Linotype" w:cs="Palatino Linotype"/>
          <w:color w:val="000000"/>
        </w:rPr>
        <w:t xml:space="preserve">que se constituye como una herramienta fundamental para </w:t>
      </w:r>
      <w:r w:rsidR="00313EA6" w:rsidRPr="000D2E86">
        <w:rPr>
          <w:rFonts w:ascii="Palatino Linotype" w:eastAsia="Palatino Linotype" w:hAnsi="Palatino Linotype" w:cs="Palatino Linotype"/>
          <w:i/>
          <w:color w:val="000000"/>
        </w:rPr>
        <w:t>ejercer control democrático de las gestiones estatales, de forma tal que puedan cuestionar, indagar y considerar si se está dando un adecuado cumplimiento de las funciones públicas,</w:t>
      </w:r>
      <w:r w:rsidR="00313EA6" w:rsidRPr="000D2E86">
        <w:rPr>
          <w:rFonts w:ascii="Palatino Linotype" w:eastAsia="Palatino Linotype" w:hAnsi="Palatino Linotype" w:cs="Palatino Linotype"/>
          <w:i/>
          <w:color w:val="000000"/>
          <w:vertAlign w:val="superscript"/>
        </w:rPr>
        <w:footnoteReference w:id="3"/>
      </w:r>
      <w:r w:rsidR="00313EA6" w:rsidRPr="000D2E86">
        <w:rPr>
          <w:rFonts w:ascii="Palatino Linotype" w:eastAsia="Palatino Linotype" w:hAnsi="Palatino Linotype" w:cs="Palatino Linotype"/>
          <w:color w:val="000000"/>
        </w:rPr>
        <w:t>fomentando</w:t>
      </w:r>
      <w:r w:rsidR="00313EA6" w:rsidRPr="000D2E86">
        <w:rPr>
          <w:rFonts w:ascii="Palatino Linotype" w:eastAsia="Palatino Linotype" w:hAnsi="Palatino Linotype" w:cs="Palatino Linotype"/>
          <w:i/>
          <w:color w:val="000000"/>
        </w:rPr>
        <w:t xml:space="preserve"> la transparencia de las actividades estatales y</w:t>
      </w:r>
      <w:r w:rsidR="00313EA6" w:rsidRPr="000D2E86">
        <w:rPr>
          <w:rFonts w:ascii="Palatino Linotype" w:eastAsia="Palatino Linotype" w:hAnsi="Palatino Linotype" w:cs="Palatino Linotype"/>
          <w:color w:val="000000"/>
        </w:rPr>
        <w:t xml:space="preserve"> promoviendo</w:t>
      </w:r>
      <w:r w:rsidR="00313EA6" w:rsidRPr="000D2E86">
        <w:rPr>
          <w:rFonts w:ascii="Palatino Linotype" w:eastAsia="Palatino Linotype" w:hAnsi="Palatino Linotype" w:cs="Palatino Linotype"/>
          <w:i/>
          <w:color w:val="000000"/>
        </w:rPr>
        <w:t xml:space="preserve"> la responsabilidad de los funcionarios sobre su gestión pública</w:t>
      </w:r>
      <w:r w:rsidR="00313EA6" w:rsidRPr="000D2E86">
        <w:rPr>
          <w:rFonts w:ascii="Palatino Linotype" w:eastAsia="Palatino Linotype" w:hAnsi="Palatino Linotype" w:cs="Palatino Linotype"/>
          <w:i/>
          <w:color w:val="000000"/>
          <w:vertAlign w:val="superscript"/>
        </w:rPr>
        <w:footnoteReference w:id="4"/>
      </w:r>
      <w:r w:rsidR="00313EA6" w:rsidRPr="000D2E86">
        <w:rPr>
          <w:rFonts w:ascii="Palatino Linotype" w:eastAsia="Palatino Linotype" w:hAnsi="Palatino Linotype" w:cs="Palatino Linotype"/>
          <w:i/>
          <w:color w:val="000000"/>
        </w:rPr>
        <w:t xml:space="preserve"> </w:t>
      </w:r>
      <w:r w:rsidR="00313EA6" w:rsidRPr="000D2E86">
        <w:rPr>
          <w:rFonts w:ascii="Palatino Linotype" w:eastAsia="Palatino Linotype" w:hAnsi="Palatino Linotype" w:cs="Palatino Linotype"/>
          <w:color w:val="000000"/>
        </w:rPr>
        <w:t>que permite</w:t>
      </w:r>
      <w:r w:rsidR="00313EA6" w:rsidRPr="000D2E86">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00313EA6" w:rsidRPr="000D2E86">
        <w:rPr>
          <w:rFonts w:ascii="Palatino Linotype" w:eastAsia="Palatino Linotype" w:hAnsi="Palatino Linotype" w:cs="Palatino Linotype"/>
          <w:i/>
          <w:color w:val="000000"/>
          <w:vertAlign w:val="superscript"/>
        </w:rPr>
        <w:footnoteReference w:id="5"/>
      </w:r>
      <w:r w:rsidR="00313EA6" w:rsidRPr="000D2E86">
        <w:rPr>
          <w:rFonts w:ascii="Palatino Linotype" w:eastAsia="Palatino Linotype" w:hAnsi="Palatino Linotype" w:cs="Palatino Linotype"/>
          <w:color w:val="000000"/>
        </w:rPr>
        <w:t xml:space="preserve"> ” </w:t>
      </w:r>
    </w:p>
    <w:p w:rsidR="00D66584" w:rsidRPr="000D2E86" w:rsidRDefault="00D66584" w:rsidP="00D66584">
      <w:pPr>
        <w:spacing w:line="360" w:lineRule="auto"/>
        <w:ind w:right="49"/>
        <w:jc w:val="both"/>
        <w:rPr>
          <w:rFonts w:ascii="Palatino Linotype" w:eastAsia="Palatino Linotype" w:hAnsi="Palatino Linotype" w:cs="Palatino Linotype"/>
          <w:color w:val="000000"/>
        </w:rPr>
      </w:pPr>
    </w:p>
    <w:p w:rsidR="00313EA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lastRenderedPageBreak/>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13EA6" w:rsidRPr="000D2E86" w:rsidRDefault="00313EA6" w:rsidP="000D2E86">
      <w:pPr>
        <w:spacing w:line="360" w:lineRule="auto"/>
        <w:ind w:left="426" w:right="567"/>
        <w:jc w:val="both"/>
        <w:rPr>
          <w:rFonts w:ascii="Palatino Linotype" w:eastAsia="Palatino Linotype" w:hAnsi="Palatino Linotype" w:cs="Palatino Linotype"/>
          <w:b/>
          <w:i/>
          <w:color w:val="000000"/>
        </w:rPr>
      </w:pPr>
      <w:r w:rsidRPr="000D2E86">
        <w:rPr>
          <w:rFonts w:ascii="Palatino Linotype" w:eastAsia="Palatino Linotype" w:hAnsi="Palatino Linotype" w:cs="Palatino Linotype"/>
          <w:b/>
          <w:i/>
          <w:color w:val="000000"/>
        </w:rPr>
        <w:t>“CRITERIO 0002-11</w:t>
      </w:r>
    </w:p>
    <w:p w:rsidR="00313EA6" w:rsidRPr="000D2E86" w:rsidRDefault="00313EA6" w:rsidP="000D2E86">
      <w:pPr>
        <w:spacing w:line="360" w:lineRule="auto"/>
        <w:ind w:left="425" w:right="567"/>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0D2E86">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13EA6" w:rsidRPr="000D2E86" w:rsidRDefault="00313EA6" w:rsidP="000D2E86">
      <w:pPr>
        <w:spacing w:line="360" w:lineRule="auto"/>
        <w:ind w:left="425" w:right="567"/>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i/>
          <w:color w:val="000000"/>
        </w:rPr>
        <w:t>En consecuencia el acceso a la información se refiere a que se cumplan cualquiera de los siguientes tres supuestos:</w:t>
      </w:r>
    </w:p>
    <w:p w:rsidR="00313EA6" w:rsidRPr="000D2E86" w:rsidRDefault="00313EA6" w:rsidP="000D2E86">
      <w:pPr>
        <w:spacing w:line="360" w:lineRule="auto"/>
        <w:ind w:left="425" w:right="567"/>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rsidR="00313EA6" w:rsidRPr="000D2E86" w:rsidRDefault="00313EA6" w:rsidP="000D2E86">
      <w:pPr>
        <w:spacing w:line="360" w:lineRule="auto"/>
        <w:ind w:left="425" w:right="567"/>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rsidR="00313EA6" w:rsidRPr="000D2E86" w:rsidRDefault="00313EA6" w:rsidP="000D2E86">
      <w:pPr>
        <w:spacing w:line="360" w:lineRule="auto"/>
        <w:ind w:left="425" w:right="567"/>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rsidR="00313EA6" w:rsidRPr="000D2E86" w:rsidRDefault="00313EA6" w:rsidP="000D2E86">
      <w:pPr>
        <w:spacing w:line="360" w:lineRule="auto"/>
        <w:jc w:val="both"/>
        <w:rPr>
          <w:rFonts w:ascii="Palatino Linotype" w:eastAsia="Palatino Linotype" w:hAnsi="Palatino Linotype" w:cs="Palatino Linotype"/>
          <w:color w:val="000000"/>
        </w:rPr>
      </w:pPr>
    </w:p>
    <w:p w:rsidR="00313EA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lastRenderedPageBreak/>
        <w:t xml:space="preserve">Es así que, todos los actos de autoridad que realicen los Sujetos Obligados </w:t>
      </w:r>
      <w:r w:rsidRPr="000D2E86">
        <w:rPr>
          <w:rFonts w:ascii="Palatino Linotype" w:eastAsia="Palatino Linotype" w:hAnsi="Palatino Linotype" w:cs="Palatino Linotype"/>
          <w:b/>
          <w:color w:val="000000"/>
        </w:rPr>
        <w:t xml:space="preserve">deben </w:t>
      </w:r>
      <w:r w:rsidRPr="000D2E86">
        <w:rPr>
          <w:rFonts w:ascii="Palatino Linotype" w:eastAsia="Palatino Linotype" w:hAnsi="Palatino Linotype" w:cs="Palatino Linotype"/>
          <w:color w:val="000000"/>
        </w:rPr>
        <w:t>estar</w:t>
      </w:r>
      <w:r w:rsidRPr="000D2E86">
        <w:rPr>
          <w:rFonts w:ascii="Palatino Linotype" w:eastAsia="Palatino Linotype" w:hAnsi="Palatino Linotype" w:cs="Palatino Linotype"/>
          <w:b/>
          <w:color w:val="000000"/>
        </w:rPr>
        <w:t xml:space="preserve"> </w:t>
      </w:r>
      <w:r w:rsidRPr="000D2E86">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D66584" w:rsidRPr="000D2E86" w:rsidRDefault="00D66584" w:rsidP="00D66584">
      <w:pPr>
        <w:pStyle w:val="Sinespaciado"/>
        <w:spacing w:line="360" w:lineRule="auto"/>
        <w:jc w:val="both"/>
        <w:rPr>
          <w:rFonts w:ascii="Palatino Linotype" w:eastAsia="Palatino Linotype" w:hAnsi="Palatino Linotype" w:cs="Palatino Linotype"/>
          <w:color w:val="000000"/>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313EA6" w:rsidRPr="000D2E86" w:rsidRDefault="00313EA6" w:rsidP="000D2E86">
      <w:pPr>
        <w:spacing w:line="360" w:lineRule="auto"/>
        <w:ind w:left="425"/>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b/>
          <w:i/>
          <w:color w:val="000000"/>
        </w:rPr>
        <w:t xml:space="preserve">“Artículo 4. </w:t>
      </w:r>
      <w:r w:rsidRPr="000D2E86">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rsidR="00313EA6" w:rsidRPr="000D2E86" w:rsidRDefault="00313EA6" w:rsidP="000D2E86">
      <w:pPr>
        <w:spacing w:line="360" w:lineRule="auto"/>
        <w:ind w:left="426"/>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b/>
          <w:i/>
          <w:color w:val="000000"/>
        </w:rPr>
        <w:t>Toda la información</w:t>
      </w:r>
      <w:r w:rsidRPr="000D2E86">
        <w:rPr>
          <w:rFonts w:ascii="Palatino Linotype" w:eastAsia="Palatino Linotype" w:hAnsi="Palatino Linotype" w:cs="Palatino Linotype"/>
          <w:i/>
          <w:color w:val="000000"/>
        </w:rPr>
        <w:t xml:space="preserve"> generada, obtenida, adquirida, transformada, administrada o </w:t>
      </w:r>
      <w:r w:rsidRPr="000D2E86">
        <w:rPr>
          <w:rFonts w:ascii="Palatino Linotype" w:eastAsia="Palatino Linotype" w:hAnsi="Palatino Linotype" w:cs="Palatino Linotype"/>
          <w:b/>
          <w:i/>
          <w:color w:val="000000"/>
        </w:rPr>
        <w:t>en posesión de los sujetos obligados es pública</w:t>
      </w:r>
      <w:r w:rsidRPr="000D2E86">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13EA6" w:rsidRPr="000D2E86" w:rsidRDefault="00313EA6" w:rsidP="000D2E86">
      <w:pPr>
        <w:spacing w:line="360" w:lineRule="auto"/>
        <w:ind w:left="426"/>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rsidR="00313EA6" w:rsidRPr="000D2E86" w:rsidRDefault="00313EA6" w:rsidP="000D2E86">
      <w:pPr>
        <w:spacing w:line="360" w:lineRule="auto"/>
        <w:jc w:val="both"/>
        <w:rPr>
          <w:rFonts w:ascii="Palatino Linotype" w:eastAsia="Palatino Linotype" w:hAnsi="Palatino Linotype" w:cs="Palatino Linotype"/>
          <w:color w:val="000000"/>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w:t>
      </w:r>
      <w:r w:rsidRPr="000D2E86">
        <w:rPr>
          <w:rFonts w:ascii="Palatino Linotype" w:eastAsia="Palatino Linotype" w:hAnsi="Palatino Linotype" w:cs="Palatino Linotype"/>
          <w:color w:val="000000"/>
        </w:rPr>
        <w:lastRenderedPageBreak/>
        <w:t>otro, se ven impuestos por la obligación de hacer pública toda aquella información que se encuentre en su posesión en estricto apego a los principios de eficacia</w:t>
      </w:r>
      <w:r w:rsidRPr="000D2E86">
        <w:rPr>
          <w:rFonts w:ascii="Palatino Linotype" w:eastAsia="Palatino Linotype" w:hAnsi="Palatino Linotype" w:cs="Palatino Linotype"/>
          <w:color w:val="000000"/>
          <w:vertAlign w:val="superscript"/>
        </w:rPr>
        <w:footnoteReference w:id="6"/>
      </w:r>
      <w:r w:rsidRPr="000D2E86">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313EA6" w:rsidRPr="000D2E86" w:rsidRDefault="00313EA6" w:rsidP="000D2E86">
      <w:pPr>
        <w:spacing w:line="360" w:lineRule="auto"/>
        <w:jc w:val="both"/>
        <w:rPr>
          <w:rFonts w:ascii="Palatino Linotype" w:eastAsia="Palatino Linotype" w:hAnsi="Palatino Linotype" w:cs="Palatino Linotype"/>
          <w:color w:val="000000"/>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313EA6" w:rsidRPr="000D2E86" w:rsidRDefault="00313EA6" w:rsidP="000D2E86">
      <w:pPr>
        <w:pBdr>
          <w:top w:val="nil"/>
          <w:left w:val="nil"/>
          <w:bottom w:val="nil"/>
          <w:right w:val="nil"/>
          <w:between w:val="nil"/>
        </w:pBdr>
        <w:tabs>
          <w:tab w:val="left" w:pos="851"/>
        </w:tabs>
        <w:spacing w:line="360" w:lineRule="auto"/>
        <w:ind w:left="425" w:right="425"/>
        <w:jc w:val="both"/>
        <w:rPr>
          <w:rFonts w:ascii="Palatino Linotype" w:eastAsia="Palatino Linotype" w:hAnsi="Palatino Linotype" w:cs="Palatino Linotype"/>
          <w:i/>
          <w:color w:val="000000"/>
        </w:rPr>
      </w:pPr>
      <w:r w:rsidRPr="000D2E86">
        <w:rPr>
          <w:rFonts w:ascii="Palatino Linotype" w:eastAsia="Palatino Linotype" w:hAnsi="Palatino Linotype" w:cs="Palatino Linotype"/>
          <w:b/>
          <w:i/>
          <w:color w:val="000000"/>
        </w:rPr>
        <w:t>“ACCESO A LA INFORMACIÓN. IMPLICACIÓN DEL PRINCIPIO DE MÁXIMA PUBLICIDAD EN EL DERECHO FUNDAMENTAL RELATIVO.</w:t>
      </w:r>
      <w:r w:rsidRPr="000D2E86">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w:t>
      </w:r>
      <w:r w:rsidRPr="000D2E86">
        <w:rPr>
          <w:rFonts w:ascii="Palatino Linotype" w:eastAsia="Palatino Linotype" w:hAnsi="Palatino Linotype" w:cs="Palatino Linotype"/>
          <w:i/>
          <w:color w:val="000000"/>
        </w:rPr>
        <w:lastRenderedPageBreak/>
        <w:t>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313EA6" w:rsidRPr="000D2E86" w:rsidRDefault="00313EA6" w:rsidP="000D2E86">
      <w:pPr>
        <w:pStyle w:val="Prrafodelista"/>
        <w:spacing w:line="360" w:lineRule="auto"/>
        <w:rPr>
          <w:rFonts w:ascii="Palatino Linotype" w:eastAsia="Palatino Linotype" w:hAnsi="Palatino Linotype" w:cs="Palatino Linotype"/>
          <w:b/>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313EA6" w:rsidRPr="000D2E86" w:rsidRDefault="00313EA6" w:rsidP="000D2E86">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0D2E86">
        <w:rPr>
          <w:rFonts w:ascii="Palatino Linotype" w:eastAsia="Palatino Linotype" w:hAnsi="Palatino Linotype" w:cs="Palatino Linotype"/>
          <w:b/>
        </w:rPr>
        <w:t>QUINTO. De la versión pública.</w:t>
      </w: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Finalmente, debe señalarse que dada la propia y especial naturaleza de lo solicitado</w:t>
      </w:r>
      <w:r w:rsidR="000D2E86">
        <w:rPr>
          <w:rFonts w:ascii="Palatino Linotype" w:eastAsia="Palatino Linotype" w:hAnsi="Palatino Linotype" w:cs="Palatino Linotype"/>
        </w:rPr>
        <w:t xml:space="preserve"> contiene</w:t>
      </w:r>
      <w:r w:rsidRPr="000D2E86">
        <w:rPr>
          <w:rFonts w:ascii="Palatino Linotype" w:eastAsia="Palatino Linotype" w:hAnsi="Palatino Linotype" w:cs="Palatino Linotype"/>
        </w:rPr>
        <w:t xml:space="preserve"> datos personales que deberán ser protegidos como ya quedó asentado en el Considerando anterior del presente proveído. </w:t>
      </w:r>
      <w:r w:rsidRPr="000D2E86">
        <w:rPr>
          <w:rFonts w:ascii="Palatino Linotype" w:eastAsia="Palatino Linotype" w:hAnsi="Palatino Linotype" w:cs="Palatino Linotype"/>
          <w:color w:val="000000"/>
        </w:rPr>
        <w:t>Para</w:t>
      </w:r>
      <w:r w:rsidRPr="000D2E86">
        <w:rPr>
          <w:rFonts w:ascii="Palatino Linotype" w:eastAsia="Palatino Linotype" w:hAnsi="Palatino Linotype" w:cs="Palatino Linotype"/>
        </w:rPr>
        <w:t xml:space="preserve"> dar cumplimiento a la presente resolución, contengan datos que deban ser clasificados, el </w:t>
      </w:r>
      <w:r w:rsidRPr="000D2E86">
        <w:rPr>
          <w:rFonts w:ascii="Palatino Linotype" w:eastAsia="Palatino Linotype" w:hAnsi="Palatino Linotype" w:cs="Palatino Linotype"/>
          <w:b/>
        </w:rPr>
        <w:t>Sujeto Obligado</w:t>
      </w:r>
      <w:r w:rsidRPr="000D2E86">
        <w:rPr>
          <w:rFonts w:ascii="Palatino Linotype" w:eastAsia="Palatino Linotype" w:hAnsi="Palatino Linotype" w:cs="Palatino Linotype"/>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313EA6" w:rsidRPr="000D2E86" w:rsidRDefault="00313EA6" w:rsidP="000D2E86">
      <w:pPr>
        <w:pStyle w:val="Prrafodelista"/>
        <w:spacing w:line="360" w:lineRule="auto"/>
        <w:ind w:left="0"/>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Por lo que, para efectos de la elaboración de la versión pública se deberá observar lo dispuesto por los artículos 3 fracciones IX, XX, XXI, XXXII y XLV; 6, 49 fracción VIII, 91, 137, </w:t>
      </w:r>
      <w:r w:rsidRPr="000D2E86">
        <w:rPr>
          <w:rFonts w:ascii="Palatino Linotype" w:eastAsia="Palatino Linotype" w:hAnsi="Palatino Linotype" w:cs="Palatino Linotype"/>
        </w:rPr>
        <w:lastRenderedPageBreak/>
        <w:t>143 Fracción I, de la Ley de Transparencia y Acceso a la Información Pública del Estado de México y Municipios vigente, que establecen:</w:t>
      </w:r>
    </w:p>
    <w:p w:rsidR="00313EA6" w:rsidRPr="000D2E86" w:rsidRDefault="00313EA6" w:rsidP="000D2E86">
      <w:pPr>
        <w:spacing w:line="360" w:lineRule="auto"/>
        <w:ind w:left="993" w:right="1041"/>
        <w:jc w:val="both"/>
        <w:rPr>
          <w:rFonts w:ascii="Palatino Linotype" w:eastAsia="Palatino Linotype" w:hAnsi="Palatino Linotype" w:cs="Palatino Linotype"/>
          <w:b/>
          <w:i/>
        </w:rPr>
      </w:pPr>
      <w:r w:rsidRPr="000D2E86">
        <w:rPr>
          <w:rFonts w:ascii="Palatino Linotype" w:eastAsia="Palatino Linotype" w:hAnsi="Palatino Linotype" w:cs="Palatino Linotype"/>
          <w:b/>
          <w:i/>
        </w:rPr>
        <w:t xml:space="preserve"> “Artículo 3. Para los efectos de la presente Ley se entenderá por:</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IX. Datos personales:</w:t>
      </w:r>
      <w:r w:rsidRPr="000D2E86">
        <w:rPr>
          <w:rFonts w:ascii="Palatino Linotype" w:eastAsia="Palatino Linotype" w:hAnsi="Palatino Linotype" w:cs="Palatino Linotype"/>
          <w:i/>
        </w:rPr>
        <w:t xml:space="preserve"> </w:t>
      </w:r>
      <w:r w:rsidRPr="000D2E86">
        <w:rPr>
          <w:rFonts w:ascii="Palatino Linotype" w:eastAsia="Palatino Linotype" w:hAnsi="Palatino Linotype" w:cs="Palatino Linotype"/>
          <w:b/>
          <w:i/>
        </w:rPr>
        <w:t>La información concerniente a una persona, identificada o identificable</w:t>
      </w:r>
      <w:r w:rsidRPr="000D2E86">
        <w:rPr>
          <w:rFonts w:ascii="Palatino Linotype" w:eastAsia="Palatino Linotype" w:hAnsi="Palatino Linotype" w:cs="Palatino Linotype"/>
          <w:i/>
        </w:rPr>
        <w:t xml:space="preserve"> según lo dispuesto por la Ley de Protección de Datos Personales del Estado de México;</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XX. Información clasificada:</w:t>
      </w:r>
      <w:r w:rsidRPr="000D2E86">
        <w:rPr>
          <w:rFonts w:ascii="Palatino Linotype" w:eastAsia="Palatino Linotype" w:hAnsi="Palatino Linotype" w:cs="Palatino Linotype"/>
          <w:i/>
        </w:rPr>
        <w:t xml:space="preserve"> Aquella considerada por la presente Ley como reservada o confidencial;</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XXXII. Protección de Datos Personales:</w:t>
      </w:r>
      <w:r w:rsidRPr="000D2E86">
        <w:rPr>
          <w:rFonts w:ascii="Palatino Linotype" w:eastAsia="Palatino Linotype" w:hAnsi="Palatino Linotype" w:cs="Palatino Linotype"/>
          <w:i/>
        </w:rPr>
        <w:t xml:space="preserve"> Derecho humano que tutela la privacidad de datos personales en poder de los sujetos obligados y sujetos particulares;</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XLV. Versión pública</w:t>
      </w:r>
      <w:r w:rsidRPr="000D2E86">
        <w:rPr>
          <w:rFonts w:ascii="Palatino Linotype" w:eastAsia="Palatino Linotype" w:hAnsi="Palatino Linotype" w:cs="Palatino Linotype"/>
          <w:i/>
        </w:rPr>
        <w:t>: Documento en el que se elimine, suprime o borra la información clasificada como reservada o confidencial para permitir su acceso.”</w:t>
      </w:r>
    </w:p>
    <w:p w:rsidR="00313EA6" w:rsidRPr="000D2E86" w:rsidRDefault="00313EA6" w:rsidP="000D2E86">
      <w:pPr>
        <w:spacing w:line="360" w:lineRule="auto"/>
        <w:ind w:left="993" w:right="1041"/>
        <w:jc w:val="both"/>
        <w:rPr>
          <w:rFonts w:ascii="Palatino Linotype" w:eastAsia="Palatino Linotype" w:hAnsi="Palatino Linotype" w:cs="Palatino Linotype"/>
          <w:i/>
        </w:rPr>
      </w:pP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“Artículo 6.</w:t>
      </w:r>
      <w:r w:rsidRPr="000D2E86">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313EA6" w:rsidRPr="000D2E86" w:rsidRDefault="00313EA6" w:rsidP="000D2E86">
      <w:pPr>
        <w:spacing w:line="360" w:lineRule="auto"/>
        <w:ind w:left="993" w:right="1041"/>
        <w:jc w:val="both"/>
        <w:rPr>
          <w:rFonts w:ascii="Palatino Linotype" w:eastAsia="Palatino Linotype" w:hAnsi="Palatino Linotype" w:cs="Palatino Linotype"/>
          <w:i/>
        </w:rPr>
      </w:pP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i/>
        </w:rPr>
        <w:t> </w:t>
      </w:r>
      <w:r w:rsidRPr="000D2E86">
        <w:rPr>
          <w:rFonts w:ascii="Palatino Linotype" w:eastAsia="Palatino Linotype" w:hAnsi="Palatino Linotype" w:cs="Palatino Linotype"/>
          <w:b/>
          <w:i/>
        </w:rPr>
        <w:t>Artículo 49.</w:t>
      </w:r>
      <w:r w:rsidRPr="000D2E86">
        <w:rPr>
          <w:rFonts w:ascii="Palatino Linotype" w:eastAsia="Palatino Linotype" w:hAnsi="Palatino Linotype" w:cs="Palatino Linotype"/>
          <w:i/>
        </w:rPr>
        <w:t> Los Comités de Transparencia tendrán las siguientes atribuciones:</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i/>
        </w:rPr>
        <w:lastRenderedPageBreak/>
        <w:t>(…)</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VIII</w:t>
      </w:r>
      <w:r w:rsidRPr="000D2E86">
        <w:rPr>
          <w:rFonts w:ascii="Palatino Linotype" w:eastAsia="Palatino Linotype" w:hAnsi="Palatino Linotype" w:cs="Palatino Linotype"/>
          <w:i/>
        </w:rPr>
        <w:t>. Aprobar, modificar o revocar la clasificación de la información;</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i/>
        </w:rPr>
        <w:t>(…)</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 xml:space="preserve">Artículo 91. </w:t>
      </w:r>
      <w:r w:rsidRPr="000D2E86">
        <w:rPr>
          <w:rFonts w:ascii="Palatino Linotype" w:eastAsia="Palatino Linotype" w:hAnsi="Palatino Linotype" w:cs="Palatino Linotype"/>
          <w:i/>
        </w:rPr>
        <w:t>El acceso a la información pública será restringido excepcionalmente, cuando ésta sea clasificada como reservada o confidencial.</w:t>
      </w:r>
    </w:p>
    <w:p w:rsidR="00313EA6" w:rsidRPr="000D2E86" w:rsidRDefault="00313EA6" w:rsidP="000D2E86">
      <w:pPr>
        <w:spacing w:line="360" w:lineRule="auto"/>
        <w:ind w:left="993" w:right="1041"/>
        <w:jc w:val="both"/>
        <w:rPr>
          <w:rFonts w:ascii="Palatino Linotype" w:eastAsia="Palatino Linotype" w:hAnsi="Palatino Linotype" w:cs="Palatino Linotype"/>
          <w:i/>
        </w:rPr>
      </w:pPr>
    </w:p>
    <w:p w:rsidR="00313EA6" w:rsidRPr="000D2E86" w:rsidRDefault="00313EA6" w:rsidP="000D2E86">
      <w:pPr>
        <w:spacing w:line="360" w:lineRule="auto"/>
        <w:ind w:left="993" w:right="1041"/>
        <w:jc w:val="both"/>
        <w:rPr>
          <w:rFonts w:ascii="Palatino Linotype" w:eastAsia="Palatino Linotype" w:hAnsi="Palatino Linotype" w:cs="Palatino Linotype"/>
          <w:b/>
          <w:i/>
        </w:rPr>
      </w:pPr>
      <w:r w:rsidRPr="000D2E86">
        <w:rPr>
          <w:rFonts w:ascii="Palatino Linotype" w:eastAsia="Palatino Linotype" w:hAnsi="Palatino Linotype" w:cs="Palatino Linotype"/>
          <w:b/>
          <w:i/>
        </w:rPr>
        <w:t>“Artículo 137.</w:t>
      </w:r>
      <w:r w:rsidRPr="000D2E86">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313EA6" w:rsidRPr="000D2E86" w:rsidRDefault="00313EA6" w:rsidP="000D2E86">
      <w:pPr>
        <w:spacing w:line="360" w:lineRule="auto"/>
        <w:ind w:left="993" w:right="1041"/>
        <w:jc w:val="both"/>
        <w:rPr>
          <w:rFonts w:ascii="Palatino Linotype" w:eastAsia="Palatino Linotype" w:hAnsi="Palatino Linotype" w:cs="Palatino Linotype"/>
          <w:b/>
          <w:i/>
        </w:rPr>
      </w:pP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“Artículo 143</w:t>
      </w:r>
      <w:r w:rsidRPr="000D2E86">
        <w:rPr>
          <w:rFonts w:ascii="Palatino Linotype" w:eastAsia="Palatino Linotype" w:hAnsi="Palatino Linotype" w:cs="Palatino Linotype"/>
          <w:i/>
        </w:rPr>
        <w:t>. Para los efectos de esta Ley se considera información confidencial, la clasificada como tal, de manera permanente, por su naturaleza, cuando:</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b/>
          <w:i/>
        </w:rPr>
        <w:t>I.</w:t>
      </w:r>
      <w:r w:rsidRPr="000D2E86">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rsidR="00313EA6" w:rsidRPr="000D2E86" w:rsidRDefault="00313EA6" w:rsidP="000D2E86">
      <w:pPr>
        <w:spacing w:line="360" w:lineRule="auto"/>
        <w:ind w:left="993" w:right="1041"/>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lastRenderedPageBreak/>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313EA6" w:rsidRPr="000D2E86" w:rsidRDefault="00313EA6" w:rsidP="000D2E86">
      <w:pPr>
        <w:spacing w:line="360" w:lineRule="auto"/>
        <w:ind w:right="51"/>
        <w:jc w:val="both"/>
        <w:rPr>
          <w:rFonts w:ascii="Palatino Linotype" w:eastAsia="Palatino Linotype" w:hAnsi="Palatino Linotype" w:cs="Palatino Linotype"/>
        </w:rPr>
      </w:pPr>
    </w:p>
    <w:p w:rsidR="00313EA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0D2E86" w:rsidRDefault="000D2E86" w:rsidP="000D2E86">
      <w:pPr>
        <w:pStyle w:val="Prrafodelista"/>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313EA6" w:rsidRPr="000D2E86" w:rsidRDefault="00313EA6" w:rsidP="000D2E86">
      <w:pPr>
        <w:spacing w:line="360" w:lineRule="auto"/>
        <w:ind w:left="992" w:right="1043"/>
        <w:jc w:val="both"/>
        <w:rPr>
          <w:rFonts w:ascii="Palatino Linotype" w:eastAsia="Palatino Linotype" w:hAnsi="Palatino Linotype" w:cs="Palatino Linotype"/>
          <w:i/>
        </w:rPr>
      </w:pPr>
      <w:r w:rsidRPr="000D2E86">
        <w:rPr>
          <w:rFonts w:ascii="Palatino Linotype" w:eastAsia="Palatino Linotype" w:hAnsi="Palatino Linotype" w:cs="Palatino Linotype"/>
          <w:b/>
          <w:i/>
        </w:rPr>
        <w:lastRenderedPageBreak/>
        <w:t>“Artículo 49.</w:t>
      </w:r>
      <w:r w:rsidRPr="000D2E86">
        <w:rPr>
          <w:rFonts w:ascii="Palatino Linotype" w:eastAsia="Palatino Linotype" w:hAnsi="Palatino Linotype" w:cs="Palatino Linotype"/>
          <w:i/>
        </w:rPr>
        <w:t xml:space="preserve"> </w:t>
      </w:r>
      <w:r w:rsidRPr="000D2E86">
        <w:rPr>
          <w:rFonts w:ascii="Palatino Linotype" w:eastAsia="Palatino Linotype" w:hAnsi="Palatino Linotype" w:cs="Palatino Linotype"/>
          <w:b/>
          <w:i/>
        </w:rPr>
        <w:t>Los Comités de Transparencia</w:t>
      </w:r>
      <w:r w:rsidRPr="000D2E86">
        <w:rPr>
          <w:rFonts w:ascii="Palatino Linotype" w:eastAsia="Palatino Linotype" w:hAnsi="Palatino Linotype" w:cs="Palatino Linotype"/>
          <w:i/>
        </w:rPr>
        <w:t xml:space="preserve"> tendrán las siguientes atribuciones:</w:t>
      </w:r>
    </w:p>
    <w:p w:rsidR="00313EA6" w:rsidRPr="000D2E86" w:rsidRDefault="00313EA6" w:rsidP="000D2E86">
      <w:pPr>
        <w:spacing w:line="360" w:lineRule="auto"/>
        <w:ind w:left="992" w:right="1043"/>
        <w:jc w:val="both"/>
        <w:rPr>
          <w:rFonts w:ascii="Palatino Linotype" w:eastAsia="Palatino Linotype" w:hAnsi="Palatino Linotype" w:cs="Palatino Linotype"/>
          <w:i/>
        </w:rPr>
      </w:pPr>
      <w:r w:rsidRPr="000D2E86">
        <w:rPr>
          <w:rFonts w:ascii="Palatino Linotype" w:eastAsia="Palatino Linotype" w:hAnsi="Palatino Linotype" w:cs="Palatino Linotype"/>
          <w:b/>
          <w:i/>
        </w:rPr>
        <w:t>VIII. Aprobar, modificar o revocar la clasificación de la información</w:t>
      </w:r>
      <w:r w:rsidRPr="000D2E86">
        <w:rPr>
          <w:rFonts w:ascii="Palatino Linotype" w:eastAsia="Palatino Linotype" w:hAnsi="Palatino Linotype" w:cs="Palatino Linotype"/>
          <w:i/>
        </w:rPr>
        <w:t>…”</w:t>
      </w:r>
    </w:p>
    <w:p w:rsidR="00313EA6" w:rsidRPr="000D2E86" w:rsidRDefault="00313EA6" w:rsidP="000D2E86">
      <w:pPr>
        <w:spacing w:line="360" w:lineRule="auto"/>
        <w:ind w:left="992" w:right="1043"/>
        <w:jc w:val="both"/>
        <w:rPr>
          <w:rFonts w:ascii="Palatino Linotype" w:eastAsia="Palatino Linotype" w:hAnsi="Palatino Linotype" w:cs="Palatino Linotype"/>
          <w:i/>
        </w:rPr>
      </w:pPr>
      <w:r w:rsidRPr="000D2E86">
        <w:rPr>
          <w:rFonts w:ascii="Palatino Linotype" w:eastAsia="Palatino Linotype" w:hAnsi="Palatino Linotype" w:cs="Palatino Linotype"/>
          <w:i/>
        </w:rPr>
        <w:t>“</w:t>
      </w:r>
      <w:r w:rsidRPr="000D2E86">
        <w:rPr>
          <w:rFonts w:ascii="Palatino Linotype" w:eastAsia="Palatino Linotype" w:hAnsi="Palatino Linotype" w:cs="Palatino Linotype"/>
          <w:b/>
          <w:i/>
        </w:rPr>
        <w:t>Artículo 53.</w:t>
      </w:r>
      <w:r w:rsidRPr="000D2E86">
        <w:rPr>
          <w:rFonts w:ascii="Palatino Linotype" w:eastAsia="Palatino Linotype" w:hAnsi="Palatino Linotype" w:cs="Palatino Linotype"/>
          <w:i/>
        </w:rPr>
        <w:t xml:space="preserve"> Las </w:t>
      </w:r>
      <w:r w:rsidRPr="000D2E86">
        <w:rPr>
          <w:rFonts w:ascii="Palatino Linotype" w:eastAsia="Palatino Linotype" w:hAnsi="Palatino Linotype" w:cs="Palatino Linotype"/>
          <w:b/>
          <w:i/>
        </w:rPr>
        <w:t>Unidades de Transparencia</w:t>
      </w:r>
      <w:r w:rsidRPr="000D2E86">
        <w:rPr>
          <w:rFonts w:ascii="Palatino Linotype" w:eastAsia="Palatino Linotype" w:hAnsi="Palatino Linotype" w:cs="Palatino Linotype"/>
          <w:i/>
        </w:rPr>
        <w:t xml:space="preserve"> tendrán las siguientes </w:t>
      </w:r>
      <w:r w:rsidRPr="000D2E86">
        <w:rPr>
          <w:rFonts w:ascii="Palatino Linotype" w:eastAsia="Palatino Linotype" w:hAnsi="Palatino Linotype" w:cs="Palatino Linotype"/>
          <w:b/>
          <w:i/>
        </w:rPr>
        <w:t>funciones</w:t>
      </w:r>
      <w:r w:rsidRPr="000D2E86">
        <w:rPr>
          <w:rFonts w:ascii="Palatino Linotype" w:eastAsia="Palatino Linotype" w:hAnsi="Palatino Linotype" w:cs="Palatino Linotype"/>
          <w:i/>
        </w:rPr>
        <w:t>:</w:t>
      </w:r>
    </w:p>
    <w:p w:rsidR="00313EA6" w:rsidRPr="000D2E86" w:rsidRDefault="00313EA6" w:rsidP="000D2E86">
      <w:pPr>
        <w:spacing w:line="360" w:lineRule="auto"/>
        <w:ind w:left="992" w:right="1043"/>
        <w:jc w:val="both"/>
        <w:rPr>
          <w:rFonts w:ascii="Palatino Linotype" w:eastAsia="Palatino Linotype" w:hAnsi="Palatino Linotype" w:cs="Palatino Linotype"/>
          <w:i/>
        </w:rPr>
      </w:pPr>
      <w:r w:rsidRPr="000D2E86">
        <w:rPr>
          <w:rFonts w:ascii="Palatino Linotype" w:eastAsia="Palatino Linotype" w:hAnsi="Palatino Linotype" w:cs="Palatino Linotype"/>
          <w:b/>
          <w:i/>
        </w:rPr>
        <w:t>X. Presentar ante el Comité, el proyecto de clasificación de información</w:t>
      </w:r>
      <w:r w:rsidRPr="000D2E86">
        <w:rPr>
          <w:rFonts w:ascii="Palatino Linotype" w:eastAsia="Palatino Linotype" w:hAnsi="Palatino Linotype" w:cs="Palatino Linotype"/>
          <w:i/>
        </w:rPr>
        <w:t xml:space="preserve">…” </w:t>
      </w:r>
    </w:p>
    <w:p w:rsidR="00313EA6" w:rsidRPr="000D2E86" w:rsidRDefault="00313EA6" w:rsidP="000D2E86">
      <w:pPr>
        <w:spacing w:line="360" w:lineRule="auto"/>
        <w:ind w:left="992" w:right="1043"/>
        <w:jc w:val="both"/>
        <w:rPr>
          <w:rFonts w:ascii="Palatino Linotype" w:eastAsia="Palatino Linotype" w:hAnsi="Palatino Linotype" w:cs="Palatino Linotype"/>
          <w:i/>
        </w:rPr>
      </w:pPr>
      <w:r w:rsidRPr="000D2E86">
        <w:rPr>
          <w:rFonts w:ascii="Palatino Linotype" w:eastAsia="Palatino Linotype" w:hAnsi="Palatino Linotype" w:cs="Palatino Linotype"/>
          <w:b/>
          <w:i/>
        </w:rPr>
        <w:t>“Artículo 59.</w:t>
      </w:r>
      <w:r w:rsidRPr="000D2E86">
        <w:rPr>
          <w:rFonts w:ascii="Palatino Linotype" w:eastAsia="Palatino Linotype" w:hAnsi="Palatino Linotype" w:cs="Palatino Linotype"/>
          <w:i/>
        </w:rPr>
        <w:t xml:space="preserve"> Los </w:t>
      </w:r>
      <w:r w:rsidRPr="000D2E86">
        <w:rPr>
          <w:rFonts w:ascii="Palatino Linotype" w:eastAsia="Palatino Linotype" w:hAnsi="Palatino Linotype" w:cs="Palatino Linotype"/>
          <w:b/>
          <w:i/>
        </w:rPr>
        <w:t>servidores públicos habilitados</w:t>
      </w:r>
      <w:r w:rsidRPr="000D2E86">
        <w:rPr>
          <w:rFonts w:ascii="Palatino Linotype" w:eastAsia="Palatino Linotype" w:hAnsi="Palatino Linotype" w:cs="Palatino Linotype"/>
          <w:i/>
        </w:rPr>
        <w:t xml:space="preserve"> tendrán las </w:t>
      </w:r>
      <w:r w:rsidRPr="000D2E86">
        <w:rPr>
          <w:rFonts w:ascii="Palatino Linotype" w:eastAsia="Palatino Linotype" w:hAnsi="Palatino Linotype" w:cs="Palatino Linotype"/>
          <w:b/>
          <w:i/>
        </w:rPr>
        <w:t>funciones</w:t>
      </w:r>
      <w:r w:rsidRPr="000D2E86">
        <w:rPr>
          <w:rFonts w:ascii="Palatino Linotype" w:eastAsia="Palatino Linotype" w:hAnsi="Palatino Linotype" w:cs="Palatino Linotype"/>
          <w:i/>
        </w:rPr>
        <w:t xml:space="preserve"> siguientes:</w:t>
      </w:r>
    </w:p>
    <w:p w:rsidR="00313EA6" w:rsidRPr="000D2E86" w:rsidRDefault="00313EA6" w:rsidP="000D2E86">
      <w:pPr>
        <w:spacing w:line="360" w:lineRule="auto"/>
        <w:ind w:left="992" w:right="1043"/>
        <w:jc w:val="both"/>
        <w:rPr>
          <w:rFonts w:ascii="Palatino Linotype" w:eastAsia="Palatino Linotype" w:hAnsi="Palatino Linotype" w:cs="Palatino Linotype"/>
          <w:i/>
        </w:rPr>
      </w:pPr>
      <w:r w:rsidRPr="000D2E86">
        <w:rPr>
          <w:rFonts w:ascii="Palatino Linotype" w:eastAsia="Palatino Linotype" w:hAnsi="Palatino Linotype" w:cs="Palatino Linotype"/>
          <w:b/>
          <w:i/>
        </w:rPr>
        <w:t>V. Integrar y presentar al responsable de la Unidad de Transparencia la propuesta de clasificación de información</w:t>
      </w:r>
      <w:r w:rsidRPr="000D2E86">
        <w:rPr>
          <w:rFonts w:ascii="Palatino Linotype" w:eastAsia="Palatino Linotype" w:hAnsi="Palatino Linotype" w:cs="Palatino Linotype"/>
          <w:i/>
        </w:rPr>
        <w:t>, la cual tendrá los fundamentos y argumentos en que se basa dicha propuesta…”</w:t>
      </w:r>
    </w:p>
    <w:p w:rsidR="00313EA6" w:rsidRPr="000D2E86" w:rsidRDefault="00313EA6" w:rsidP="000D2E86">
      <w:pPr>
        <w:spacing w:line="360" w:lineRule="auto"/>
        <w:ind w:left="992" w:right="1043"/>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313EA6" w:rsidRPr="000D2E86" w:rsidRDefault="00313EA6" w:rsidP="000D2E86">
      <w:pPr>
        <w:spacing w:line="360" w:lineRule="auto"/>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lastRenderedPageBreak/>
        <w:t>Para lo cual, a su vez en el caso de información de carácter confidencial, se debe atender a lo que señala el artículo 149 de la Ley de Transparencia Local vigente, que se lee como sigue:</w:t>
      </w:r>
    </w:p>
    <w:p w:rsidR="00313EA6" w:rsidRPr="000D2E86" w:rsidRDefault="00313EA6" w:rsidP="000D2E86">
      <w:pPr>
        <w:spacing w:line="360" w:lineRule="auto"/>
        <w:ind w:left="993" w:right="1041"/>
        <w:jc w:val="both"/>
        <w:rPr>
          <w:rFonts w:ascii="Palatino Linotype" w:eastAsia="Palatino Linotype" w:hAnsi="Palatino Linotype" w:cs="Palatino Linotype"/>
          <w:i/>
        </w:rPr>
      </w:pPr>
      <w:r w:rsidRPr="000D2E86">
        <w:rPr>
          <w:rFonts w:ascii="Palatino Linotype" w:eastAsia="Palatino Linotype" w:hAnsi="Palatino Linotype" w:cs="Palatino Linotype"/>
          <w:i/>
        </w:rPr>
        <w:t>“</w:t>
      </w:r>
      <w:r w:rsidRPr="000D2E86">
        <w:rPr>
          <w:rFonts w:ascii="Palatino Linotype" w:eastAsia="Palatino Linotype" w:hAnsi="Palatino Linotype" w:cs="Palatino Linotype"/>
          <w:b/>
          <w:i/>
        </w:rPr>
        <w:t>Artículo 149.</w:t>
      </w:r>
      <w:r w:rsidRPr="000D2E86">
        <w:rPr>
          <w:rFonts w:ascii="Palatino Linotype" w:eastAsia="Palatino Linotype" w:hAnsi="Palatino Linotype" w:cs="Palatino Linotype"/>
          <w:i/>
        </w:rPr>
        <w:t xml:space="preserve"> El </w:t>
      </w:r>
      <w:r w:rsidRPr="000D2E86">
        <w:rPr>
          <w:rFonts w:ascii="Palatino Linotype" w:eastAsia="Palatino Linotype" w:hAnsi="Palatino Linotype" w:cs="Palatino Linotype"/>
          <w:b/>
          <w:i/>
        </w:rPr>
        <w:t>acuerdo que clasifique la información como confidencial</w:t>
      </w:r>
      <w:r w:rsidRPr="000D2E86">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rsidR="00313EA6" w:rsidRPr="000D2E86" w:rsidRDefault="00313EA6" w:rsidP="000D2E86">
      <w:pPr>
        <w:spacing w:line="360" w:lineRule="auto"/>
        <w:ind w:left="993" w:right="1041"/>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313EA6" w:rsidRPr="000D2E86" w:rsidRDefault="00313EA6" w:rsidP="000D2E8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En el caso específico, los documentos probatorios también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0D2E86">
        <w:rPr>
          <w:rFonts w:ascii="Palatino Linotype" w:eastAsia="Palatino Linotype" w:hAnsi="Palatino Linotype" w:cs="Palatino Linotype"/>
          <w:b/>
        </w:rPr>
        <w:t>Registro Federal de Contribuyentes</w:t>
      </w:r>
      <w:r w:rsidRPr="000D2E86">
        <w:rPr>
          <w:rFonts w:ascii="Palatino Linotype" w:eastAsia="Palatino Linotype" w:hAnsi="Palatino Linotype" w:cs="Palatino Linotype"/>
        </w:rPr>
        <w:t xml:space="preserve"> (RFC), la </w:t>
      </w:r>
      <w:r w:rsidRPr="000D2E86">
        <w:rPr>
          <w:rFonts w:ascii="Palatino Linotype" w:eastAsia="Palatino Linotype" w:hAnsi="Palatino Linotype" w:cs="Palatino Linotype"/>
          <w:b/>
        </w:rPr>
        <w:t>Clave Única de Registro de Población</w:t>
      </w:r>
      <w:r w:rsidRPr="000D2E86">
        <w:rPr>
          <w:rFonts w:ascii="Palatino Linotype" w:eastAsia="Palatino Linotype" w:hAnsi="Palatino Linotype" w:cs="Palatino Linotype"/>
        </w:rPr>
        <w:t xml:space="preserve"> (CURP), la </w:t>
      </w:r>
      <w:r w:rsidRPr="000D2E86">
        <w:rPr>
          <w:rFonts w:ascii="Palatino Linotype" w:eastAsia="Palatino Linotype" w:hAnsi="Palatino Linotype" w:cs="Palatino Linotype"/>
          <w:b/>
        </w:rPr>
        <w:t>Clave de cualquier tipo de seguridad social</w:t>
      </w:r>
      <w:r w:rsidRPr="000D2E86">
        <w:rPr>
          <w:rFonts w:ascii="Palatino Linotype" w:eastAsia="Palatino Linotype" w:hAnsi="Palatino Linotype" w:cs="Palatino Linotype"/>
        </w:rPr>
        <w:t xml:space="preserve"> </w:t>
      </w:r>
      <w:r w:rsidRPr="000D2E86">
        <w:rPr>
          <w:rFonts w:ascii="Palatino Linotype" w:eastAsia="Palatino Linotype" w:hAnsi="Palatino Linotype" w:cs="Palatino Linotype"/>
        </w:rPr>
        <w:lastRenderedPageBreak/>
        <w:t>(ISSEMYM, u otros), y los descuentos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Por cuanto hace al Registro Federal de Contribuyentes (RFC),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0D2E86" w:rsidRDefault="000D2E86" w:rsidP="000D2E86">
      <w:pPr>
        <w:pStyle w:val="Prrafodelista"/>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313EA6" w:rsidRPr="000D2E86" w:rsidRDefault="00313EA6" w:rsidP="000D2E8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Lo anterior es compartido por el entonces Instituto Federal de Acceso a la Información Pública y Protección de Datos Personales (IFAI) a través del Criterio </w:t>
      </w:r>
      <w:r w:rsidRPr="000D2E86">
        <w:rPr>
          <w:rFonts w:ascii="Palatino Linotype" w:eastAsia="Palatino Linotype" w:hAnsi="Palatino Linotype" w:cs="Palatino Linotype"/>
          <w:highlight w:val="white"/>
        </w:rPr>
        <w:t xml:space="preserve">19/17, </w:t>
      </w:r>
      <w:r w:rsidRPr="000D2E86">
        <w:rPr>
          <w:rFonts w:ascii="Palatino Linotype" w:eastAsia="Palatino Linotype" w:hAnsi="Palatino Linotype" w:cs="Palatino Linotype"/>
        </w:rPr>
        <w:t>el cual es del tenor literal siguiente:</w:t>
      </w:r>
    </w:p>
    <w:p w:rsidR="00313EA6" w:rsidRPr="000D2E86" w:rsidRDefault="00313EA6" w:rsidP="000D2E86">
      <w:pPr>
        <w:spacing w:line="360" w:lineRule="auto"/>
        <w:ind w:left="851" w:right="900"/>
        <w:jc w:val="both"/>
        <w:rPr>
          <w:rFonts w:ascii="Palatino Linotype" w:eastAsia="Palatino Linotype" w:hAnsi="Palatino Linotype" w:cs="Palatino Linotype"/>
          <w:i/>
        </w:rPr>
      </w:pPr>
      <w:r w:rsidRPr="000D2E86">
        <w:rPr>
          <w:rFonts w:ascii="Palatino Linotype" w:eastAsia="Palatino Linotype" w:hAnsi="Palatino Linotype" w:cs="Palatino Linotype"/>
          <w:b/>
          <w:i/>
        </w:rPr>
        <w:t>“Registro Federal de Contribuyentes (RFC) de personas físicas</w:t>
      </w:r>
      <w:r w:rsidRPr="000D2E86">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rsidR="00313EA6" w:rsidRPr="000D2E86" w:rsidRDefault="00313EA6" w:rsidP="000D2E86">
      <w:pPr>
        <w:spacing w:line="360" w:lineRule="auto"/>
        <w:ind w:left="851" w:right="900"/>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Así, el Registro Federal de Contribuyentes, RFC, se vincula al nombre de su titular y permite identificar la edad de la persona, su fecha de nacimiento, así como su homoclave, la </w:t>
      </w:r>
      <w:r w:rsidRPr="000D2E86">
        <w:rPr>
          <w:rFonts w:ascii="Palatino Linotype" w:eastAsia="Palatino Linotype" w:hAnsi="Palatino Linotype" w:cs="Palatino Linotype"/>
        </w:rPr>
        <w:lastRenderedPageBreak/>
        <w:t>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313EA6" w:rsidRPr="000D2E86" w:rsidRDefault="00313EA6" w:rsidP="000D2E8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De igual manera la </w:t>
      </w:r>
      <w:r w:rsidRPr="000D2E86">
        <w:rPr>
          <w:rFonts w:ascii="Palatino Linotype" w:eastAsia="Palatino Linotype" w:hAnsi="Palatino Linotype" w:cs="Palatino Linotype"/>
          <w:b/>
        </w:rPr>
        <w:t>Clave Única de Registro de Población (CURP)</w:t>
      </w:r>
      <w:r w:rsidRPr="000D2E86">
        <w:rPr>
          <w:rFonts w:ascii="Palatino Linotype" w:eastAsia="Palatino Linotype" w:hAnsi="Palatino Linotype" w:cs="Palatino Linotype"/>
        </w:rPr>
        <w:t>,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Argumento que es compartido por el Instituto </w:t>
      </w:r>
      <w:r w:rsidRPr="000D2E86">
        <w:rPr>
          <w:rFonts w:ascii="Palatino Linotype" w:eastAsia="Palatino Linotype" w:hAnsi="Palatino Linotype" w:cs="Palatino Linotype"/>
          <w:highlight w:val="white"/>
        </w:rPr>
        <w:t xml:space="preserve">Nacional de Transparencia, Acceso a la </w:t>
      </w:r>
      <w:r w:rsidRPr="000D2E86">
        <w:rPr>
          <w:rFonts w:ascii="Palatino Linotype" w:eastAsia="Palatino Linotype" w:hAnsi="Palatino Linotype" w:cs="Palatino Linotype"/>
        </w:rPr>
        <w:t>Información</w:t>
      </w:r>
      <w:r w:rsidRPr="000D2E86">
        <w:rPr>
          <w:rFonts w:ascii="Palatino Linotype" w:eastAsia="Palatino Linotype" w:hAnsi="Palatino Linotype" w:cs="Palatino Linotype"/>
          <w:highlight w:val="white"/>
        </w:rPr>
        <w:t xml:space="preserve"> y Protección de Datos Personales, INAI</w:t>
      </w:r>
      <w:r w:rsidRPr="000D2E86">
        <w:rPr>
          <w:rFonts w:ascii="Palatino Linotype" w:eastAsia="Palatino Linotype" w:hAnsi="Palatino Linotype" w:cs="Palatino Linotype"/>
          <w:b/>
        </w:rPr>
        <w:t xml:space="preserve">, conforme al </w:t>
      </w:r>
      <w:r w:rsidRPr="000D2E86">
        <w:rPr>
          <w:rFonts w:ascii="Palatino Linotype" w:eastAsia="Palatino Linotype" w:hAnsi="Palatino Linotype" w:cs="Palatino Linotype"/>
        </w:rPr>
        <w:t xml:space="preserve">criterio 18/17, el cual refiere: </w:t>
      </w:r>
    </w:p>
    <w:p w:rsidR="00313EA6" w:rsidRPr="000D2E86" w:rsidRDefault="00313EA6" w:rsidP="000D2E86">
      <w:pPr>
        <w:spacing w:line="360" w:lineRule="auto"/>
        <w:ind w:left="851" w:right="851"/>
        <w:jc w:val="both"/>
        <w:rPr>
          <w:rFonts w:ascii="Palatino Linotype" w:eastAsia="Palatino Linotype" w:hAnsi="Palatino Linotype" w:cs="Palatino Linotype"/>
          <w:i/>
        </w:rPr>
      </w:pPr>
      <w:r w:rsidRPr="000D2E86">
        <w:rPr>
          <w:rFonts w:ascii="Palatino Linotype" w:eastAsia="Palatino Linotype" w:hAnsi="Palatino Linotype" w:cs="Palatino Linotype"/>
          <w:b/>
          <w:i/>
        </w:rPr>
        <w:t xml:space="preserve">“Clave Única de Registro de Población (CURP). </w:t>
      </w:r>
      <w:r w:rsidRPr="000D2E86">
        <w:rPr>
          <w:rFonts w:ascii="Palatino Linotype" w:eastAsia="Palatino Linotype" w:hAnsi="Palatino Linotype" w:cs="Palatino Linotype"/>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w:t>
      </w:r>
      <w:r w:rsidRPr="000D2E86">
        <w:rPr>
          <w:rFonts w:ascii="Palatino Linotype" w:eastAsia="Palatino Linotype" w:hAnsi="Palatino Linotype" w:cs="Palatino Linotype"/>
          <w:i/>
        </w:rPr>
        <w:lastRenderedPageBreak/>
        <w:t>persona física del resto de los habitantes del país, por lo que la CURP está considerada como información confidencial.”</w:t>
      </w:r>
    </w:p>
    <w:p w:rsidR="00313EA6" w:rsidRPr="000D2E86" w:rsidRDefault="00313EA6" w:rsidP="000D2E86">
      <w:pPr>
        <w:spacing w:line="360" w:lineRule="auto"/>
        <w:ind w:left="851" w:right="851"/>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Por cuanto hace a la </w:t>
      </w:r>
      <w:r w:rsidRPr="000D2E86">
        <w:rPr>
          <w:rFonts w:ascii="Palatino Linotype" w:eastAsia="Palatino Linotype" w:hAnsi="Palatino Linotype" w:cs="Palatino Linotype"/>
          <w:b/>
        </w:rPr>
        <w:t xml:space="preserve">Clave de cualquier tipo de seguridad social (ISSEMyM, u otros), </w:t>
      </w:r>
      <w:r w:rsidRPr="000D2E86">
        <w:rPr>
          <w:rFonts w:ascii="Palatino Linotype" w:eastAsia="Palatino Linotype" w:hAnsi="Palatino Linotype" w:cs="Palatino Linotype"/>
        </w:rPr>
        <w:t>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313EA6" w:rsidRPr="000D2E86" w:rsidRDefault="00313EA6" w:rsidP="000D2E86">
      <w:pPr>
        <w:pStyle w:val="Sinespaciado"/>
        <w:spacing w:line="360" w:lineRule="auto"/>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u w:val="single"/>
        </w:rPr>
      </w:pPr>
      <w:r w:rsidRPr="000D2E86">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w:t>
      </w:r>
      <w:r w:rsidRPr="000D2E86">
        <w:rPr>
          <w:rFonts w:ascii="Palatino Linotype" w:eastAsia="Palatino Linotype" w:hAnsi="Palatino Linotype" w:cs="Palatino Linotype"/>
          <w:u w:val="single"/>
        </w:rPr>
        <w:t>se le asigna una clave para hacer identificable al trabajador con el objetivo de poder proporcionar los servicios que brinda el ISSEMYM.</w:t>
      </w:r>
    </w:p>
    <w:p w:rsidR="00313EA6" w:rsidRPr="000D2E86" w:rsidRDefault="00313EA6" w:rsidP="000D2E86">
      <w:pPr>
        <w:pStyle w:val="Prrafodelista"/>
        <w:spacing w:line="360" w:lineRule="auto"/>
        <w:rPr>
          <w:rFonts w:ascii="Palatino Linotype" w:eastAsia="Palatino Linotype" w:hAnsi="Palatino Linotype" w:cs="Palatino Linotype"/>
          <w:u w:val="singl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lastRenderedPageBreak/>
        <w:t xml:space="preserve">Como se advierte, la clave ISSEMYM es un dato personal que permite identificar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313EA6" w:rsidRPr="000D2E86" w:rsidRDefault="00313EA6" w:rsidP="000D2E86">
      <w:pPr>
        <w:spacing w:line="360" w:lineRule="auto"/>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hAnsi="Palatino Linotype"/>
        </w:rPr>
      </w:pPr>
      <w:r w:rsidRPr="000D2E86">
        <w:rPr>
          <w:rFonts w:ascii="Palatino Linotype" w:eastAsia="Palatino Linotype" w:hAnsi="Palatino Linotype" w:cs="Palatino Linotype"/>
        </w:rPr>
        <w:t xml:space="preserve">Respecto de los </w:t>
      </w:r>
      <w:r w:rsidRPr="000D2E86">
        <w:rPr>
          <w:rFonts w:ascii="Palatino Linotype" w:eastAsia="Palatino Linotype" w:hAnsi="Palatino Linotype" w:cs="Palatino Linotype"/>
          <w:b/>
        </w:rPr>
        <w:t>préstamos o descuentos</w:t>
      </w:r>
      <w:r w:rsidRPr="000D2E86">
        <w:rPr>
          <w:rFonts w:ascii="Palatino Linotype" w:eastAsia="Palatino Linotype" w:hAnsi="Palatino Linotype" w:cs="Palatino Linotype"/>
        </w:rPr>
        <w:t xml:space="preserve"> </w:t>
      </w:r>
      <w:r w:rsidRPr="000D2E86">
        <w:rPr>
          <w:rFonts w:ascii="Palatino Linotype" w:eastAsia="Palatino Linotype" w:hAnsi="Palatino Linotype" w:cs="Palatino Linotype"/>
          <w:b/>
        </w:rPr>
        <w:t>de carácter personal</w:t>
      </w:r>
      <w:r w:rsidRPr="000D2E86">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rsidR="00313EA6" w:rsidRPr="000D2E86" w:rsidRDefault="00313EA6" w:rsidP="000D2E86">
      <w:pPr>
        <w:pStyle w:val="Prrafodelista"/>
        <w:spacing w:line="360" w:lineRule="auto"/>
        <w:rPr>
          <w:rFonts w:ascii="Palatino Linotype" w:hAnsi="Palatino Linotype"/>
        </w:rPr>
      </w:pPr>
    </w:p>
    <w:p w:rsidR="00313EA6" w:rsidRPr="000D2E86" w:rsidRDefault="00313EA6" w:rsidP="00D66584">
      <w:pPr>
        <w:pStyle w:val="Sinespaciado"/>
        <w:numPr>
          <w:ilvl w:val="0"/>
          <w:numId w:val="1"/>
        </w:numPr>
        <w:spacing w:line="360" w:lineRule="auto"/>
        <w:ind w:left="0" w:firstLine="0"/>
        <w:jc w:val="both"/>
        <w:rPr>
          <w:rFonts w:ascii="Palatino Linotype" w:hAnsi="Palatino Linotype"/>
        </w:rPr>
      </w:pPr>
      <w:r w:rsidRPr="000D2E86">
        <w:rPr>
          <w:rFonts w:ascii="Palatino Linotype" w:eastAsia="Palatino Linotype" w:hAnsi="Palatino Linotype" w:cs="Palatino Linotype"/>
        </w:rPr>
        <w:t>Por su parte, el artículo 84 de la Ley del Trabajo de los Servidores Públicos del Estado y Municipios, señala:</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i/>
        </w:rPr>
        <w:lastRenderedPageBreak/>
        <w:t>“</w:t>
      </w:r>
      <w:r w:rsidRPr="000D2E86">
        <w:rPr>
          <w:rFonts w:ascii="Palatino Linotype" w:eastAsia="Palatino Linotype" w:hAnsi="Palatino Linotype" w:cs="Palatino Linotype"/>
          <w:b/>
          <w:i/>
        </w:rPr>
        <w:t>ARTICULO 84. Sólo podrán hacerse retenciones, descuentos o deducciones al sueldo de los servidores públicos por concepto de:</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i/>
        </w:rPr>
        <w:t>I. Gravámenes fiscales relacionados con el sueldo;</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b/>
          <w:i/>
        </w:rPr>
        <w:t>II. Deudas contraídas con las instituciones públicas o dependencias</w:t>
      </w:r>
      <w:r w:rsidRPr="000D2E86">
        <w:rPr>
          <w:rFonts w:ascii="Palatino Linotype" w:eastAsia="Palatino Linotype" w:hAnsi="Palatino Linotype" w:cs="Palatino Linotype"/>
          <w:i/>
        </w:rPr>
        <w:t xml:space="preserve"> por concepto de anticipos de sueldo, pagos hechos con exceso, errores o pérdidas debidamente comprobados;</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b/>
          <w:i/>
        </w:rPr>
        <w:t>III. Cuotas sindicales</w:t>
      </w:r>
      <w:r w:rsidRPr="000D2E86">
        <w:rPr>
          <w:rFonts w:ascii="Palatino Linotype" w:eastAsia="Palatino Linotype" w:hAnsi="Palatino Linotype" w:cs="Palatino Linotype"/>
          <w:i/>
        </w:rPr>
        <w:t>;</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i/>
        </w:rPr>
        <w:t>IV. Cuotas de aportación a fondos para la constitución de cooperativas y de cajas de ahorro, siempre que el servidor público hubiese manifestado previamente, de manera expresa, su conformidad;</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i/>
        </w:rPr>
        <w:t>V. Descuentos ordenados por el Instituto de Seguridad Social del Estado de México y Municipios, con motivo de cuotas y obligaciones contraídas con éste por los servidores públicos;</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b/>
          <w:i/>
        </w:rPr>
        <w:t>VI. Obligaciones a cargo del servidor público con las que haya consentido</w:t>
      </w:r>
      <w:r w:rsidRPr="000D2E86">
        <w:rPr>
          <w:rFonts w:ascii="Palatino Linotype" w:eastAsia="Palatino Linotype" w:hAnsi="Palatino Linotype" w:cs="Palatino Linotype"/>
          <w:i/>
        </w:rPr>
        <w:t>, derivadas de la adquisición o del uso de habitaciones consideradas como de interés social;</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i/>
        </w:rPr>
        <w:t>VII. Faltas de puntualidad o de asistencia injustificadas;</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b/>
          <w:i/>
        </w:rPr>
        <w:t>VIII. Pensiones alimenticias ordenadas por la autoridad judicial;</w:t>
      </w:r>
      <w:r w:rsidRPr="000D2E86">
        <w:rPr>
          <w:rFonts w:ascii="Palatino Linotype" w:eastAsia="Palatino Linotype" w:hAnsi="Palatino Linotype" w:cs="Palatino Linotype"/>
          <w:i/>
        </w:rPr>
        <w:t xml:space="preserve"> o</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b/>
          <w:i/>
        </w:rPr>
        <w:t>IX. Cualquier otro convenido con instituciones de servicios y aceptado por el servidor público.</w:t>
      </w:r>
    </w:p>
    <w:p w:rsidR="00313EA6" w:rsidRPr="000D2E86" w:rsidRDefault="00313EA6" w:rsidP="000D2E86">
      <w:pPr>
        <w:spacing w:line="360" w:lineRule="auto"/>
        <w:ind w:left="851" w:right="902"/>
        <w:jc w:val="both"/>
        <w:rPr>
          <w:rFonts w:ascii="Palatino Linotype" w:hAnsi="Palatino Linotype"/>
        </w:rPr>
      </w:pPr>
      <w:r w:rsidRPr="000D2E86">
        <w:rPr>
          <w:rFonts w:ascii="Palatino Linotype" w:eastAsia="Palatino Linotype" w:hAnsi="Palatino Linotype" w:cs="Palatino Linotype"/>
          <w:i/>
        </w:rPr>
        <w:t xml:space="preserve">El monto total de las retenciones, descuentos o deducciones no podrá exceder del 30% de la remuneración total, excepto en los casos a que se refieren las fracciones IV, V y VI de este artículo, en que podrán ser de hasta el 50%, salvo en los casos en </w:t>
      </w:r>
      <w:r w:rsidRPr="000D2E86">
        <w:rPr>
          <w:rFonts w:ascii="Palatino Linotype" w:eastAsia="Palatino Linotype" w:hAnsi="Palatino Linotype" w:cs="Palatino Linotype"/>
          <w:i/>
        </w:rPr>
        <w:lastRenderedPageBreak/>
        <w:t>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313EA6" w:rsidRPr="000D2E86" w:rsidRDefault="00313EA6" w:rsidP="000D2E86">
      <w:pPr>
        <w:spacing w:line="360" w:lineRule="auto"/>
        <w:ind w:left="851" w:right="902"/>
        <w:jc w:val="both"/>
        <w:rPr>
          <w:rFonts w:ascii="Palatino Linotype" w:eastAsia="Palatino Linotype" w:hAnsi="Palatino Linotype" w:cs="Palatino Linotype"/>
        </w:rPr>
      </w:pPr>
      <w:r w:rsidRPr="000D2E86">
        <w:rPr>
          <w:rFonts w:ascii="Palatino Linotype" w:eastAsia="Palatino Linotype" w:hAnsi="Palatino Linotype" w:cs="Palatino Linotype"/>
        </w:rPr>
        <w:t>(Énfasis añadido)</w:t>
      </w:r>
    </w:p>
    <w:p w:rsidR="00313EA6" w:rsidRPr="000D2E86" w:rsidRDefault="00313EA6" w:rsidP="000D2E86">
      <w:pPr>
        <w:spacing w:line="360" w:lineRule="auto"/>
        <w:ind w:left="851" w:right="902"/>
        <w:jc w:val="both"/>
        <w:rPr>
          <w:rFonts w:ascii="Palatino Linotype" w:hAnsi="Palatino Linotype"/>
        </w:rPr>
      </w:pPr>
    </w:p>
    <w:p w:rsidR="00313EA6" w:rsidRPr="000D2E86" w:rsidRDefault="00313EA6" w:rsidP="00D66584">
      <w:pPr>
        <w:pStyle w:val="Sinespaciado"/>
        <w:numPr>
          <w:ilvl w:val="0"/>
          <w:numId w:val="1"/>
        </w:numPr>
        <w:spacing w:line="360" w:lineRule="auto"/>
        <w:ind w:left="0" w:firstLine="0"/>
        <w:jc w:val="both"/>
        <w:rPr>
          <w:rFonts w:ascii="Palatino Linotype" w:hAnsi="Palatino Linotype"/>
        </w:rPr>
      </w:pPr>
      <w:r w:rsidRPr="000D2E86">
        <w:rPr>
          <w:rFonts w:ascii="Palatino Linotype" w:eastAsia="Palatino Linotype" w:hAnsi="Palatino Linotype" w:cs="Palatino Linotype"/>
        </w:rPr>
        <w:t xml:space="preserve">Derivado de lo anterior, la ley establece claramente cuáles son esos descuentos o gravámenes que directamente se relacionan con las obligaciones adquiridas como servidores públicos y aquéllos que </w:t>
      </w:r>
      <w:r w:rsidRPr="000D2E86">
        <w:rPr>
          <w:rFonts w:ascii="Palatino Linotype" w:eastAsia="Palatino Linotype" w:hAnsi="Palatino Linotype" w:cs="Palatino Linotype"/>
          <w:b/>
        </w:rPr>
        <w:t>únicamente inciden en su vida privada</w:t>
      </w:r>
      <w:r w:rsidRPr="000D2E86">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313EA6" w:rsidRPr="000D2E86" w:rsidRDefault="00313EA6" w:rsidP="000D2E86">
      <w:pPr>
        <w:pStyle w:val="Prrafodelista"/>
        <w:tabs>
          <w:tab w:val="left" w:pos="284"/>
          <w:tab w:val="left" w:pos="426"/>
        </w:tabs>
        <w:spacing w:line="360" w:lineRule="auto"/>
        <w:ind w:left="0" w:right="49"/>
        <w:jc w:val="both"/>
        <w:rPr>
          <w:rFonts w:ascii="Palatino Linotype" w:hAnsi="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Sirven de sustento a lo anterior, las tesis jurisprudenciales </w:t>
      </w:r>
      <w:r w:rsidRPr="000D2E86">
        <w:rPr>
          <w:rFonts w:ascii="Palatino Linotype" w:eastAsia="Palatino Linotype" w:hAnsi="Palatino Linotype" w:cs="Palatino Linotype"/>
          <w:i/>
        </w:rPr>
        <w:t xml:space="preserve">P. LX/2000 </w:t>
      </w:r>
      <w:r w:rsidRPr="000D2E86">
        <w:rPr>
          <w:rFonts w:ascii="Palatino Linotype" w:eastAsia="Palatino Linotype" w:hAnsi="Palatino Linotype" w:cs="Palatino Linotype"/>
        </w:rPr>
        <w:t xml:space="preserve">y </w:t>
      </w:r>
      <w:r w:rsidRPr="000D2E86">
        <w:rPr>
          <w:rFonts w:ascii="Palatino Linotype" w:eastAsia="Palatino Linotype" w:hAnsi="Palatino Linotype" w:cs="Palatino Linotype"/>
          <w:i/>
        </w:rPr>
        <w:t>2a. XLIII/2008</w:t>
      </w:r>
      <w:r w:rsidRPr="000D2E86">
        <w:rPr>
          <w:rFonts w:ascii="Palatino Linotype" w:eastAsia="Tahoma" w:hAnsi="Palatino Linotype" w:cs="Tahoma"/>
          <w:b/>
        </w:rPr>
        <w:t xml:space="preserve"> </w:t>
      </w:r>
      <w:r w:rsidRPr="000D2E86">
        <w:rPr>
          <w:rFonts w:ascii="Palatino Linotype" w:eastAsia="Palatino Linotype" w:hAnsi="Palatino Linotype" w:cs="Palatino Linotype"/>
        </w:rPr>
        <w:t>emitidas por el Peno y la Segunda Sala de la Suprema Corte de Justicia de la Nación, respectivamente, que son del tenor literal siguiente:</w:t>
      </w:r>
    </w:p>
    <w:p w:rsidR="00313EA6" w:rsidRPr="000D2E86" w:rsidRDefault="00313EA6" w:rsidP="000D2E86">
      <w:pPr>
        <w:spacing w:line="360" w:lineRule="auto"/>
        <w:ind w:left="851" w:right="851"/>
        <w:jc w:val="both"/>
        <w:rPr>
          <w:rFonts w:ascii="Palatino Linotype" w:eastAsia="Palatino Linotype" w:hAnsi="Palatino Linotype" w:cs="Palatino Linotype"/>
          <w:i/>
        </w:rPr>
      </w:pPr>
      <w:r w:rsidRPr="000D2E86">
        <w:rPr>
          <w:rFonts w:ascii="Palatino Linotype" w:eastAsia="Palatino Linotype" w:hAnsi="Palatino Linotype" w:cs="Palatino Linotype"/>
          <w:b/>
          <w:i/>
        </w:rPr>
        <w:lastRenderedPageBreak/>
        <w:t xml:space="preserve">“DERECHO A LA INFORMACIÓN. SU EJERCICIO SE ENCUENTRA LIMITADO TANTO POR LOS INTERESES NACIONALES Y DE LA SOCIEDAD, COMO POR LOS DERECHOS DE TERCEROS. </w:t>
      </w:r>
      <w:r w:rsidRPr="000D2E86">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0D2E86">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0D2E86">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0D2E86">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0D2E86">
        <w:rPr>
          <w:rFonts w:ascii="Palatino Linotype" w:eastAsia="Palatino Linotype" w:hAnsi="Palatino Linotype" w:cs="Palatino Linotype"/>
          <w:i/>
        </w:rPr>
        <w:t>.”</w:t>
      </w:r>
    </w:p>
    <w:p w:rsidR="00313EA6" w:rsidRPr="000D2E86" w:rsidRDefault="00313EA6" w:rsidP="000D2E86">
      <w:pPr>
        <w:spacing w:line="360" w:lineRule="auto"/>
        <w:ind w:left="851" w:right="851"/>
        <w:jc w:val="both"/>
        <w:rPr>
          <w:rFonts w:ascii="Palatino Linotype" w:eastAsia="Palatino Linotype" w:hAnsi="Palatino Linotype" w:cs="Palatino Linotype"/>
          <w:i/>
        </w:rPr>
      </w:pPr>
    </w:p>
    <w:p w:rsidR="00313EA6" w:rsidRPr="000D2E86" w:rsidRDefault="00313EA6" w:rsidP="000D2E86">
      <w:pPr>
        <w:spacing w:line="360" w:lineRule="auto"/>
        <w:ind w:left="851" w:right="851"/>
        <w:jc w:val="both"/>
        <w:rPr>
          <w:rFonts w:ascii="Palatino Linotype" w:eastAsia="Palatino Linotype" w:hAnsi="Palatino Linotype" w:cs="Palatino Linotype"/>
          <w:i/>
        </w:rPr>
      </w:pPr>
      <w:r w:rsidRPr="000D2E86">
        <w:rPr>
          <w:rFonts w:ascii="Palatino Linotype" w:eastAsia="Palatino Linotype" w:hAnsi="Palatino Linotype" w:cs="Palatino Linotype"/>
          <w:b/>
          <w:i/>
        </w:rPr>
        <w:lastRenderedPageBreak/>
        <w:t xml:space="preserve">“TRANSPARENCIA Y ACCESO A LA INFORMACIÓN PÚBLICA GUBERNAMENTAL. EL ARTÍCULO 14, FRACCIÓN I, DE LA LEY FEDERAL RELATIVA, NO VIOLA LA GARANTÍA DE ACCESO A LA INFORMACIÓN. </w:t>
      </w:r>
      <w:r w:rsidRPr="000D2E86">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0D2E86">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0D2E86">
        <w:rPr>
          <w:rFonts w:ascii="Palatino Linotype" w:eastAsia="Palatino Linotype" w:hAnsi="Palatino Linotype" w:cs="Palatino Linotype"/>
          <w:i/>
        </w:rPr>
        <w:t xml:space="preserve"> la cual debe ser adecuada y </w:t>
      </w:r>
      <w:r w:rsidRPr="000D2E86">
        <w:rPr>
          <w:rFonts w:ascii="Palatino Linotype" w:eastAsia="Palatino Linotype" w:hAnsi="Palatino Linotype" w:cs="Palatino Linotype"/>
          <w:i/>
        </w:rPr>
        <w:lastRenderedPageBreak/>
        <w:t>necesaria para alcanzar el fin perseguido, de manera que las ventajas obtenidas con la reserva compensen el sacrificio que ésta implique para los titulares de la garantía individual mencionada o para la sociedad en general.”</w:t>
      </w:r>
    </w:p>
    <w:p w:rsidR="00313EA6" w:rsidRPr="000D2E86" w:rsidRDefault="00313EA6" w:rsidP="000D2E86">
      <w:pPr>
        <w:spacing w:line="360" w:lineRule="auto"/>
        <w:ind w:left="851" w:right="851"/>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b/>
        </w:rPr>
      </w:pPr>
      <w:r w:rsidRPr="000D2E86">
        <w:rPr>
          <w:rFonts w:ascii="Palatino Linotype" w:eastAsia="Palatino Linotype" w:hAnsi="Palatino Linotype" w:cs="Palatino Linotype"/>
        </w:rPr>
        <w:t>También,</w:t>
      </w:r>
      <w:r w:rsidRPr="000D2E86">
        <w:rPr>
          <w:rFonts w:ascii="Palatino Linotype" w:eastAsia="Palatino Linotype" w:hAnsi="Palatino Linotype" w:cs="Palatino Linotype"/>
          <w:b/>
        </w:rPr>
        <w:t xml:space="preserve"> el número de cuenta bancario</w:t>
      </w:r>
      <w:r w:rsidRPr="000D2E86">
        <w:rPr>
          <w:rFonts w:ascii="Palatino Linotype" w:eastAsia="Palatino Linotype" w:hAnsi="Palatino Linotype" w:cs="Palatino Linotype"/>
        </w:rPr>
        <w:t>, en el Criterio 10/17 emitido por el Pleno del Instituto Nacional de Transparencia, Acceso a la Información y Protección de Datos Personales  se establece lo siguiente:</w:t>
      </w:r>
    </w:p>
    <w:p w:rsidR="00313EA6" w:rsidRPr="000D2E86" w:rsidRDefault="00313EA6" w:rsidP="000D2E86">
      <w:pPr>
        <w:shd w:val="clear" w:color="auto" w:fill="FFFFFF"/>
        <w:spacing w:line="360" w:lineRule="auto"/>
        <w:ind w:left="567" w:right="567"/>
        <w:jc w:val="both"/>
        <w:rPr>
          <w:rFonts w:ascii="Palatino Linotype" w:eastAsia="Palatino Linotype" w:hAnsi="Palatino Linotype" w:cs="Palatino Linotype"/>
        </w:rPr>
      </w:pPr>
      <w:r w:rsidRPr="000D2E86">
        <w:rPr>
          <w:rFonts w:ascii="Palatino Linotype" w:eastAsia="Palatino Linotype" w:hAnsi="Palatino Linotype" w:cs="Palatino Linotype"/>
        </w:rPr>
        <w:t>“</w:t>
      </w:r>
      <w:r w:rsidRPr="000D2E86">
        <w:rPr>
          <w:rFonts w:ascii="Palatino Linotype" w:eastAsia="Palatino Linotype" w:hAnsi="Palatino Linotype" w:cs="Palatino Linotype"/>
          <w:b/>
          <w:i/>
        </w:rPr>
        <w:t>Cuentas bancarias y/o CLABE interbancaria de personas físicas y morales privadas.</w:t>
      </w:r>
      <w:r w:rsidRPr="000D2E86">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0D2E86">
        <w:rPr>
          <w:rFonts w:ascii="Palatino Linotype" w:eastAsia="Palatino Linotype" w:hAnsi="Palatino Linotype" w:cs="Palatino Linotype"/>
        </w:rPr>
        <w:t>.”</w:t>
      </w:r>
    </w:p>
    <w:p w:rsidR="00313EA6" w:rsidRPr="000D2E86" w:rsidRDefault="00313EA6" w:rsidP="000D2E86">
      <w:pPr>
        <w:spacing w:line="360" w:lineRule="auto"/>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Esta cuenta es de uso personal y no guarda relación con la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w:t>
      </w:r>
      <w:r w:rsidRPr="000D2E86">
        <w:rPr>
          <w:rFonts w:ascii="Palatino Linotype" w:eastAsia="Palatino Linotype" w:hAnsi="Palatino Linotype" w:cs="Palatino Linotype"/>
        </w:rPr>
        <w:lastRenderedPageBreak/>
        <w:t>fracción I de la Ley de Transparencia y Acceso a la Información Pública del Estado de México y Municipios.</w:t>
      </w:r>
    </w:p>
    <w:p w:rsidR="00313EA6" w:rsidRPr="000D2E86" w:rsidRDefault="00313EA6" w:rsidP="000D2E86">
      <w:pPr>
        <w:spacing w:line="360" w:lineRule="auto"/>
        <w:ind w:right="-93"/>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b/>
        </w:rPr>
      </w:pPr>
      <w:r w:rsidRPr="000D2E86">
        <w:rPr>
          <w:rFonts w:ascii="Palatino Linotype" w:eastAsia="Palatino Linotype" w:hAnsi="Palatino Linotype" w:cs="Palatino Linotype"/>
        </w:rPr>
        <w:t xml:space="preserve">El </w:t>
      </w:r>
      <w:r w:rsidRPr="000D2E86">
        <w:rPr>
          <w:rFonts w:ascii="Palatino Linotype" w:eastAsia="Palatino Linotype" w:hAnsi="Palatino Linotype" w:cs="Palatino Linotype"/>
          <w:b/>
        </w:rPr>
        <w:t>Código de barras bidimensional (QR)</w:t>
      </w:r>
      <w:r w:rsidRPr="000D2E86">
        <w:rPr>
          <w:rFonts w:ascii="Palatino Linotype" w:eastAsia="Palatino Linotype" w:hAnsi="Palatino Linotype" w:cs="Palatino Linotype"/>
        </w:rPr>
        <w:t xml:space="preserve">, resulta necesario señalar que los comprobantes fiscales digitales por Internet, deben de incluir un código bidimensional conforme al formato </w:t>
      </w:r>
      <w:r w:rsidRPr="000D2E86">
        <w:rPr>
          <w:rFonts w:ascii="Palatino Linotype" w:eastAsia="Palatino Linotype" w:hAnsi="Palatino Linotype" w:cs="Palatino Linotype"/>
          <w:i/>
        </w:rPr>
        <w:t>QR Code (Quick Response Code)</w:t>
      </w:r>
      <w:r w:rsidRPr="000D2E86">
        <w:rPr>
          <w:rFonts w:ascii="Palatino Linotype" w:eastAsia="Palatino Linotype" w:hAnsi="Palatino Linotype" w:cs="Palatino Linotype"/>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9" w:history="1">
        <w:r w:rsidRPr="000D2E86">
          <w:rPr>
            <w:rStyle w:val="Hipervnculo"/>
            <w:rFonts w:ascii="Palatino Linotype" w:eastAsia="Palatino Linotype" w:hAnsi="Palatino Linotype" w:cs="Palatino Linotype"/>
          </w:rPr>
          <w:t>http://dof.gob.mx/nota_detalle.php?codigo=5492254&amp;fecha=28/07/2017</w:t>
        </w:r>
      </w:hyperlink>
      <w:r w:rsidRPr="000D2E86">
        <w:rPr>
          <w:rFonts w:ascii="Palatino Linotype" w:eastAsia="Palatino Linotype" w:hAnsi="Palatino Linotype" w:cs="Palatino Linotype"/>
        </w:rPr>
        <w:t xml:space="preserve">. Incluso con la captura de dicho código, a través de la aplicación móvil del Servicio de Administración Tributaria, permite el acceso al Registro Federal de Contribuyentes, como del </w:t>
      </w:r>
      <w:r w:rsidRPr="000D2E86">
        <w:rPr>
          <w:rFonts w:ascii="Palatino Linotype" w:eastAsia="Palatino Linotype" w:hAnsi="Palatino Linotype" w:cs="Palatino Linotype"/>
          <w:b/>
        </w:rPr>
        <w:t>Sujeto Obligado</w:t>
      </w:r>
      <w:r w:rsidRPr="000D2E86">
        <w:rPr>
          <w:rFonts w:ascii="Palatino Linotype" w:eastAsia="Palatino Linotype" w:hAnsi="Palatino Linotype" w:cs="Palatino Linotype"/>
        </w:rPr>
        <w:t>, como de la persona física o moral correspondiente.</w:t>
      </w:r>
    </w:p>
    <w:p w:rsidR="00313EA6" w:rsidRPr="000D2E86" w:rsidRDefault="00313EA6" w:rsidP="000D2E86">
      <w:pPr>
        <w:spacing w:line="360" w:lineRule="auto"/>
        <w:ind w:right="-93"/>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De tales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hAnsi="Palatino Linotype"/>
          <w:color w:val="222222"/>
        </w:rPr>
      </w:pPr>
      <w:r w:rsidRPr="000D2E86">
        <w:rPr>
          <w:rFonts w:ascii="Palatino Linotype" w:eastAsia="Palatino Linotype" w:hAnsi="Palatino Linotype" w:cs="Palatino Linotype"/>
          <w:color w:val="222222"/>
        </w:rPr>
        <w:t>Por otra parte y respecto a</w:t>
      </w:r>
      <w:r w:rsidRPr="000D2E86">
        <w:rPr>
          <w:rFonts w:ascii="Palatino Linotype" w:eastAsia="Palatino Linotype" w:hAnsi="Palatino Linotype" w:cs="Palatino Linotype"/>
          <w:b/>
          <w:color w:val="222222"/>
        </w:rPr>
        <w:t xml:space="preserve"> la clave de seguridad social y en su caso clave o número del </w:t>
      </w:r>
      <w:r w:rsidRPr="000D2E86">
        <w:rPr>
          <w:rFonts w:ascii="Palatino Linotype" w:eastAsia="Palatino Linotype" w:hAnsi="Palatino Linotype" w:cs="Palatino Linotype"/>
          <w:b/>
        </w:rPr>
        <w:t>servidor</w:t>
      </w:r>
      <w:r w:rsidRPr="000D2E86">
        <w:rPr>
          <w:rFonts w:ascii="Palatino Linotype" w:eastAsia="Palatino Linotype" w:hAnsi="Palatino Linotype" w:cs="Palatino Linotype"/>
          <w:b/>
          <w:color w:val="222222"/>
        </w:rPr>
        <w:t xml:space="preserve"> público –trabajador-,</w:t>
      </w:r>
      <w:r w:rsidRPr="000D2E86">
        <w:rPr>
          <w:rFonts w:ascii="Palatino Linotype" w:eastAsia="Palatino Linotype" w:hAnsi="Palatino Linotype" w:cs="Palatino Linotype"/>
          <w:color w:val="222222"/>
        </w:rPr>
        <w:t xml:space="preserve"> en virtud de que su divulgación no aporta a la transparencia o a la rendición de cuentas y sí provoca una transgresión a la vida privada e intimidad de la persona, esta información también resulta ser de carácter confidencial; siendo </w:t>
      </w:r>
      <w:r w:rsidRPr="000D2E86">
        <w:rPr>
          <w:rFonts w:ascii="Palatino Linotype" w:eastAsia="Palatino Linotype" w:hAnsi="Palatino Linotype" w:cs="Palatino Linotype"/>
          <w:color w:val="222222"/>
        </w:rPr>
        <w:lastRenderedPageBreak/>
        <w:t>aplicable como orientador el criterio número 15/10 emitido por el entonces Instituto Federal de Transparencia y Acceso a la Información (INAI, cuyo texto y sentido literal es el siguiente:</w:t>
      </w:r>
    </w:p>
    <w:p w:rsidR="000D2E86" w:rsidRDefault="000D2E86" w:rsidP="000D2E86">
      <w:pPr>
        <w:pStyle w:val="Prrafodelista"/>
        <w:rPr>
          <w:rFonts w:ascii="Palatino Linotype" w:hAnsi="Palatino Linotype"/>
          <w:color w:val="222222"/>
        </w:rPr>
      </w:pPr>
    </w:p>
    <w:p w:rsidR="00313EA6" w:rsidRPr="000D2E86" w:rsidRDefault="00313EA6" w:rsidP="000D2E86">
      <w:pPr>
        <w:shd w:val="clear" w:color="auto" w:fill="FFFFFF"/>
        <w:spacing w:line="360" w:lineRule="auto"/>
        <w:ind w:left="567" w:right="900"/>
        <w:jc w:val="both"/>
        <w:rPr>
          <w:rFonts w:ascii="Palatino Linotype" w:hAnsi="Palatino Linotype"/>
          <w:color w:val="222222"/>
        </w:rPr>
      </w:pPr>
      <w:r w:rsidRPr="000D2E86">
        <w:rPr>
          <w:rFonts w:ascii="Palatino Linotype" w:eastAsia="Palatino Linotype" w:hAnsi="Palatino Linotype" w:cs="Palatino Linotype"/>
          <w:b/>
          <w:i/>
          <w:color w:val="222222"/>
        </w:rPr>
        <w:t>“El número de ficha de identificación única de los trabajadores es información de carácter confidencial.</w:t>
      </w:r>
      <w:r w:rsidRPr="000D2E86">
        <w:rPr>
          <w:rFonts w:ascii="Palatino Linotype" w:eastAsia="Palatino Linotype" w:hAnsi="Palatino Linotype" w:cs="Palatino Linotype"/>
          <w:i/>
          <w:color w:val="222222"/>
        </w:rPr>
        <w:t> </w:t>
      </w:r>
      <w:r w:rsidRPr="000D2E86">
        <w:rPr>
          <w:rFonts w:ascii="Palatino Linotype" w:eastAsia="Palatino Linotype" w:hAnsi="Palatino Linotype" w:cs="Palatino Linotype"/>
          <w:i/>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0D2E86">
        <w:rPr>
          <w:rFonts w:ascii="Palatino Linotype" w:eastAsia="Palatino Linotype" w:hAnsi="Palatino Linotype" w:cs="Palatino Linotype"/>
          <w:i/>
          <w:color w:val="222222"/>
        </w:rPr>
        <w:t>, </w:t>
      </w:r>
      <w:r w:rsidRPr="000D2E86">
        <w:rPr>
          <w:rFonts w:ascii="Palatino Linotype" w:eastAsia="Palatino Linotype" w:hAnsi="Palatino Linotype" w:cs="Palatino Linotype"/>
          <w:i/>
          <w:color w:val="222222"/>
          <w:u w:val="single"/>
        </w:rPr>
        <w:t>dicha información es susceptible de clasificarse con el carácter de confidencial</w:t>
      </w:r>
      <w:r w:rsidRPr="000D2E86">
        <w:rPr>
          <w:rFonts w:ascii="Palatino Linotype" w:eastAsia="Palatino Linotype" w:hAnsi="Palatino Linotype" w:cs="Palatino Linotype"/>
          <w:i/>
          <w:color w:val="222222"/>
        </w:rPr>
        <w:t xml:space="preserve">, en términos de lo establecido en el artículo 18, fracción II de la Ley Federal de Transparencia y Acceso a la Información Pública Gubernamental, en virtud de que a través de la misma es posible conocer información personal de su titular.” </w:t>
      </w:r>
    </w:p>
    <w:p w:rsidR="00313EA6" w:rsidRPr="000D2E86" w:rsidRDefault="00313EA6" w:rsidP="000D2E86">
      <w:pPr>
        <w:spacing w:line="360" w:lineRule="auto"/>
        <w:ind w:right="-93"/>
        <w:jc w:val="both"/>
        <w:rPr>
          <w:rFonts w:ascii="Palatino Linotype" w:eastAsia="Palatino Linotype" w:hAnsi="Palatino Linotype" w:cs="Palatino Linotype"/>
        </w:rPr>
      </w:pPr>
    </w:p>
    <w:p w:rsidR="00D66584"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Al </w:t>
      </w:r>
      <w:r w:rsidRPr="000D2E86">
        <w:rPr>
          <w:rFonts w:ascii="Palatino Linotype" w:eastAsia="Palatino Linotype" w:hAnsi="Palatino Linotype" w:cs="Palatino Linotype"/>
          <w:color w:val="222222"/>
        </w:rPr>
        <w:t>respecto</w:t>
      </w:r>
      <w:r w:rsidRPr="000D2E86">
        <w:rPr>
          <w:rFonts w:ascii="Palatino Linotype" w:eastAsia="Palatino Linotype" w:hAnsi="Palatino Linotype" w:cs="Palatino Linotype"/>
        </w:rPr>
        <w:t xml:space="preserve">, es de señalar que </w:t>
      </w:r>
      <w:r w:rsidRPr="000D2E86">
        <w:rPr>
          <w:rFonts w:ascii="Palatino Linotype" w:eastAsia="Palatino Linotype" w:hAnsi="Palatino Linotype" w:cs="Palatino Linotype"/>
          <w:b/>
        </w:rPr>
        <w:t xml:space="preserve">la firma </w:t>
      </w:r>
      <w:r w:rsidRPr="000D2E86">
        <w:rPr>
          <w:rFonts w:ascii="Palatino Linotype" w:eastAsia="Palatino Linotype" w:hAnsi="Palatino Linotype" w:cs="Palatino Linotype"/>
        </w:rPr>
        <w:t>es considerada un dato personal, al tratarse de información gráfica a través de la cual su titular exterioriza su voluntad en actos públicos y privados; no obstante, en el presente caso, dicho dato, es de la autoridad emisora del comprobante de los arqueos de caja.</w:t>
      </w:r>
    </w:p>
    <w:p w:rsidR="00313EA6" w:rsidRPr="000D2E86" w:rsidRDefault="00313EA6" w:rsidP="00D66584">
      <w:pPr>
        <w:pStyle w:val="Sinespaciado"/>
        <w:spacing w:line="360" w:lineRule="auto"/>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 </w:t>
      </w:r>
    </w:p>
    <w:p w:rsidR="00313EA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rsidR="000D2E86" w:rsidRPr="000D2E86" w:rsidRDefault="000D2E86" w:rsidP="000D2E86">
      <w:pPr>
        <w:pStyle w:val="Sinespaciado"/>
        <w:spacing w:line="360" w:lineRule="auto"/>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lastRenderedPageBreak/>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rsidR="00313EA6" w:rsidRPr="000D2E86" w:rsidRDefault="00313EA6" w:rsidP="000D2E86">
      <w:pPr>
        <w:spacing w:line="360" w:lineRule="auto"/>
        <w:ind w:right="-93"/>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Sirve de sustento a lo anterior el Criterio de Interpretación 02/19 emitido por el Instituto Nacional de Transparencia, Acceso a la Información y Protección de Datos Personales, cuyo rubro y texto establecen lo siguiente:</w:t>
      </w:r>
    </w:p>
    <w:p w:rsidR="00313EA6" w:rsidRPr="000D2E86" w:rsidRDefault="00313EA6" w:rsidP="000D2E86">
      <w:pPr>
        <w:spacing w:line="360" w:lineRule="auto"/>
        <w:ind w:left="1134" w:right="1041"/>
        <w:jc w:val="both"/>
        <w:rPr>
          <w:rFonts w:ascii="Palatino Linotype" w:eastAsia="Palatino Linotype" w:hAnsi="Palatino Linotype" w:cs="Palatino Linotype"/>
          <w:i/>
        </w:rPr>
      </w:pPr>
      <w:r w:rsidRPr="000D2E86">
        <w:rPr>
          <w:rFonts w:ascii="Palatino Linotype" w:eastAsia="Palatino Linotype" w:hAnsi="Palatino Linotype" w:cs="Palatino Linotype"/>
          <w:i/>
        </w:rPr>
        <w:t>“</w:t>
      </w:r>
      <w:r w:rsidRPr="000D2E86">
        <w:rPr>
          <w:rFonts w:ascii="Palatino Linotype" w:eastAsia="Palatino Linotype" w:hAnsi="Palatino Linotype" w:cs="Palatino Linotype"/>
          <w:b/>
          <w:i/>
        </w:rPr>
        <w:t>FIRMA Y RÚBRICA DE SERVIDORES PÚBLICOS.</w:t>
      </w:r>
      <w:r w:rsidRPr="000D2E86">
        <w:rPr>
          <w:rFonts w:ascii="Palatino Linotype" w:eastAsia="Palatino Linotype" w:hAnsi="Palatino Linotype" w:cs="Palatino Linotype"/>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313EA6" w:rsidRPr="000D2E86" w:rsidRDefault="00313EA6" w:rsidP="000D2E86">
      <w:pPr>
        <w:spacing w:line="360" w:lineRule="auto"/>
        <w:ind w:left="1134" w:right="1041"/>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highlight w:val="white"/>
        </w:rPr>
      </w:pPr>
      <w:r w:rsidRPr="000D2E86">
        <w:rPr>
          <w:rFonts w:ascii="Palatino Linotype" w:eastAsia="Palatino Linotype" w:hAnsi="Palatino Linotype" w:cs="Palatino Linotype"/>
        </w:rPr>
        <w:t xml:space="preserve">Al respecto, se destaca que la versión pública que elabore el </w:t>
      </w:r>
      <w:r w:rsidRPr="000D2E86">
        <w:rPr>
          <w:rFonts w:ascii="Palatino Linotype" w:eastAsia="Palatino Linotype" w:hAnsi="Palatino Linotype" w:cs="Palatino Linotype"/>
          <w:b/>
        </w:rPr>
        <w:t>SUJETO OBLIGADO</w:t>
      </w:r>
      <w:r w:rsidRPr="000D2E86">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0D2E86">
        <w:rPr>
          <w:rFonts w:ascii="Palatino Linotype" w:eastAsia="Palatino Linotype" w:hAnsi="Palatino Linotype" w:cs="Palatino Linotype"/>
          <w:highlight w:val="white"/>
        </w:rPr>
        <w:t>.</w:t>
      </w:r>
    </w:p>
    <w:p w:rsidR="00313EA6" w:rsidRPr="000D2E86" w:rsidRDefault="00313EA6" w:rsidP="000D2E86">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lastRenderedPageBreak/>
        <w:t>Efectivamente, cuando se clasifica información como confidencial o reservada es importante someterlo al Comité de Transparencia, quien debe confirmar, modificar o revocar la clasificación.</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Pr="00D66584"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0D2E86">
        <w:rPr>
          <w:rFonts w:ascii="Palatino Linotype" w:eastAsia="Palatino Linotype" w:hAnsi="Palatino Linotype" w:cs="Palatino Linotype"/>
          <w:b/>
        </w:rPr>
        <w:t>SUJETO OBLIGADO</w:t>
      </w:r>
      <w:r w:rsidRPr="000D2E86">
        <w:rPr>
          <w:rFonts w:ascii="Palatino Linotype" w:eastAsia="Palatino Linotype" w:hAnsi="Palatino Linotype" w:cs="Palatino Linotype"/>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0D2E86">
        <w:rPr>
          <w:rFonts w:ascii="Palatino Linotype" w:eastAsia="Palatino Linotype" w:hAnsi="Palatino Linotype" w:cs="Palatino Linotype"/>
          <w:b/>
        </w:rPr>
        <w:t>RECURRENTE.</w:t>
      </w:r>
    </w:p>
    <w:p w:rsidR="00D66584" w:rsidRPr="000D2E86" w:rsidRDefault="00D66584" w:rsidP="00D66584">
      <w:pPr>
        <w:pStyle w:val="Sinespaciado"/>
        <w:spacing w:line="360" w:lineRule="auto"/>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lastRenderedPageBreak/>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313EA6" w:rsidRPr="000D2E86" w:rsidRDefault="00313EA6" w:rsidP="000D2E86">
      <w:pPr>
        <w:pStyle w:val="Prrafodelista"/>
        <w:spacing w:line="360" w:lineRule="auto"/>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313EA6" w:rsidRPr="000D2E86" w:rsidRDefault="00313EA6" w:rsidP="000D2E86">
      <w:pPr>
        <w:spacing w:line="360" w:lineRule="auto"/>
        <w:ind w:left="851" w:right="902"/>
        <w:jc w:val="both"/>
        <w:rPr>
          <w:rFonts w:ascii="Palatino Linotype" w:eastAsia="Palatino Linotype" w:hAnsi="Palatino Linotype" w:cs="Palatino Linotype"/>
          <w:i/>
        </w:rPr>
      </w:pPr>
      <w:r w:rsidRPr="000D2E86">
        <w:rPr>
          <w:rFonts w:ascii="Palatino Linotype" w:eastAsia="Palatino Linotype" w:hAnsi="Palatino Linotype" w:cs="Palatino Linotype"/>
          <w:i/>
        </w:rPr>
        <w:t>“Quincuagésimo sexto</w:t>
      </w:r>
      <w:r w:rsidRPr="000D2E86">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313EA6" w:rsidRPr="000D2E86" w:rsidRDefault="00313EA6" w:rsidP="000D2E86">
      <w:pPr>
        <w:spacing w:line="360" w:lineRule="auto"/>
        <w:ind w:left="851" w:right="902"/>
        <w:jc w:val="both"/>
        <w:rPr>
          <w:rFonts w:ascii="Palatino Linotype" w:eastAsia="Palatino Linotype" w:hAnsi="Palatino Linotype" w:cs="Palatino Linotype"/>
          <w:i/>
        </w:rPr>
      </w:pPr>
      <w:r w:rsidRPr="000D2E86">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rsidR="00313EA6" w:rsidRPr="000D2E86" w:rsidRDefault="00313EA6" w:rsidP="000D2E86">
      <w:pPr>
        <w:spacing w:line="360" w:lineRule="auto"/>
        <w:ind w:left="851" w:right="902"/>
        <w:jc w:val="both"/>
        <w:rPr>
          <w:rFonts w:ascii="Palatino Linotype" w:eastAsia="Palatino Linotype" w:hAnsi="Palatino Linotype" w:cs="Palatino Linotype"/>
          <w:i/>
        </w:rPr>
      </w:pPr>
      <w:r w:rsidRPr="000D2E86">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rsidR="00313EA6" w:rsidRPr="000D2E86" w:rsidRDefault="00313EA6" w:rsidP="000D2E86">
      <w:pPr>
        <w:spacing w:line="360" w:lineRule="auto"/>
        <w:ind w:left="851" w:right="902"/>
        <w:jc w:val="both"/>
        <w:rPr>
          <w:rFonts w:ascii="Palatino Linotype" w:eastAsia="Palatino Linotype" w:hAnsi="Palatino Linotype" w:cs="Palatino Linotype"/>
          <w:i/>
        </w:rPr>
      </w:pPr>
      <w:r w:rsidRPr="000D2E86">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rsidR="00313EA6" w:rsidRPr="000D2E86" w:rsidRDefault="00313EA6" w:rsidP="000D2E86">
      <w:pPr>
        <w:spacing w:line="360" w:lineRule="auto"/>
        <w:ind w:left="851" w:right="902"/>
        <w:jc w:val="both"/>
        <w:rPr>
          <w:rFonts w:ascii="Palatino Linotype" w:eastAsia="Palatino Linotype" w:hAnsi="Palatino Linotype" w:cs="Palatino Linotype"/>
          <w:i/>
        </w:rPr>
      </w:pPr>
      <w:r w:rsidRPr="000D2E86">
        <w:rPr>
          <w:rFonts w:ascii="Palatino Linotype" w:eastAsia="Palatino Linotype" w:hAnsi="Palatino Linotype" w:cs="Palatino Linotype"/>
          <w:i/>
        </w:rPr>
        <w:lastRenderedPageBreak/>
        <w:t>III. La información que documente decisiones y los actos de autoridad concluidos de los sujetos obligados, así como el ejercicio de las facultades o actividades de los servidores públicos, de manera que se pueda valorar el desempeño de los mismos.</w:t>
      </w:r>
    </w:p>
    <w:p w:rsidR="00313EA6" w:rsidRPr="000D2E86" w:rsidRDefault="00313EA6" w:rsidP="000D2E86">
      <w:pPr>
        <w:spacing w:line="360" w:lineRule="auto"/>
        <w:ind w:left="851" w:right="902"/>
        <w:jc w:val="both"/>
        <w:rPr>
          <w:rFonts w:ascii="Palatino Linotype" w:eastAsia="Palatino Linotype" w:hAnsi="Palatino Linotype" w:cs="Palatino Linotype"/>
          <w:i/>
        </w:rPr>
      </w:pPr>
      <w:r w:rsidRPr="000D2E86">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rsidR="00313EA6" w:rsidRDefault="00313EA6" w:rsidP="000D2E86">
      <w:pPr>
        <w:spacing w:line="360" w:lineRule="auto"/>
        <w:ind w:left="851" w:right="902"/>
        <w:jc w:val="both"/>
        <w:rPr>
          <w:rFonts w:ascii="Palatino Linotype" w:eastAsia="Palatino Linotype" w:hAnsi="Palatino Linotype" w:cs="Palatino Linotype"/>
          <w:i/>
        </w:rPr>
      </w:pPr>
      <w:r w:rsidRPr="000D2E86">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rsidR="00D66584" w:rsidRPr="000D2E86" w:rsidRDefault="00D66584" w:rsidP="000D2E86">
      <w:pPr>
        <w:spacing w:line="360" w:lineRule="auto"/>
        <w:ind w:left="851" w:right="902"/>
        <w:jc w:val="both"/>
        <w:rPr>
          <w:rFonts w:ascii="Palatino Linotype" w:eastAsia="Palatino Linotype" w:hAnsi="Palatino Linotype" w:cs="Palatino Linotype"/>
          <w:i/>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rPr>
      </w:pPr>
      <w:r w:rsidRPr="000D2E86">
        <w:rPr>
          <w:rFonts w:ascii="Palatino Linotype" w:eastAsia="Palatino Linotype" w:hAnsi="Palatino Linotype" w:cs="Palatino Linotype"/>
        </w:rPr>
        <w:t xml:space="preserve">Por lo tanto, </w:t>
      </w:r>
      <w:r w:rsidRPr="000D2E86">
        <w:rPr>
          <w:rFonts w:ascii="Palatino Linotype" w:eastAsia="Palatino Linotype" w:hAnsi="Palatino Linotype" w:cs="Palatino Linotype"/>
          <w:b/>
        </w:rPr>
        <w:t xml:space="preserve">la entrega de documentos en su versión pública debe acompañarse </w:t>
      </w:r>
      <w:r w:rsidRPr="000D2E86">
        <w:rPr>
          <w:rFonts w:ascii="Palatino Linotype" w:eastAsia="Palatino Linotype" w:hAnsi="Palatino Linotype" w:cs="Palatino Linotype"/>
        </w:rPr>
        <w:t>necesariamente</w:t>
      </w:r>
      <w:r w:rsidRPr="000D2E86">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0D2E86">
        <w:rPr>
          <w:rFonts w:ascii="Palatino Linotype" w:eastAsia="Palatino Linotype" w:hAnsi="Palatino Linotype" w:cs="Palatino Linotype"/>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313EA6" w:rsidRPr="000D2E86" w:rsidRDefault="00313EA6" w:rsidP="000D2E8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color w:val="000000"/>
        </w:rPr>
        <w:t xml:space="preserve">Los </w:t>
      </w:r>
      <w:r w:rsidRPr="000D2E86">
        <w:rPr>
          <w:rFonts w:ascii="Palatino Linotype" w:eastAsia="Palatino Linotype" w:hAnsi="Palatino Linotype" w:cs="Palatino Linotype"/>
        </w:rPr>
        <w:t>sujetos</w:t>
      </w:r>
      <w:r w:rsidRPr="000D2E86">
        <w:rPr>
          <w:rFonts w:ascii="Palatino Linotype" w:eastAsia="Palatino Linotype" w:hAnsi="Palatino Linotype" w:cs="Palatino Linotype"/>
          <w:color w:val="000000"/>
        </w:rPr>
        <w:t xml:space="preserve"> obligados</w:t>
      </w:r>
      <w:r w:rsidRPr="000D2E86">
        <w:rPr>
          <w:rFonts w:ascii="Palatino Linotype" w:eastAsia="Palatino Linotype" w:hAnsi="Palatino Linotype" w:cs="Palatino Linotype"/>
          <w:b/>
          <w:color w:val="000000"/>
        </w:rPr>
        <w:t xml:space="preserve"> </w:t>
      </w:r>
      <w:r w:rsidRPr="000D2E86">
        <w:rPr>
          <w:rFonts w:ascii="Palatino Linotype" w:eastAsia="Palatino Linotype" w:hAnsi="Palatino Linotype" w:cs="Palatino Linotype"/>
          <w:color w:val="000000"/>
        </w:rPr>
        <w:t xml:space="preserve">serán responsables de los datos personales en su </w:t>
      </w:r>
      <w:r w:rsidRPr="000D2E86">
        <w:rPr>
          <w:rFonts w:ascii="Palatino Linotype" w:eastAsia="Palatino Linotype" w:hAnsi="Palatino Linotype" w:cs="Palatino Linotype"/>
        </w:rPr>
        <w:t>posesión</w:t>
      </w:r>
      <w:r w:rsidRPr="000D2E86">
        <w:rPr>
          <w:rFonts w:ascii="Palatino Linotype" w:eastAsia="Palatino Linotype" w:hAnsi="Palatino Linotype" w:cs="Palatino Linotype"/>
          <w:color w:val="000000"/>
        </w:rPr>
        <w:t xml:space="preserve"> y que, en caso de localizarse datos concernientes a terceros, éstos no podrán difundir, </w:t>
      </w:r>
      <w:r w:rsidRPr="000D2E86">
        <w:rPr>
          <w:rFonts w:ascii="Palatino Linotype" w:eastAsia="Palatino Linotype" w:hAnsi="Palatino Linotype" w:cs="Palatino Linotype"/>
        </w:rPr>
        <w:t>distribuir</w:t>
      </w:r>
      <w:r w:rsidRPr="000D2E86">
        <w:rPr>
          <w:rFonts w:ascii="Palatino Linotype" w:eastAsia="Palatino Linotype" w:hAnsi="Palatino Linotype" w:cs="Palatino Linotype"/>
          <w:color w:val="000000"/>
        </w:rPr>
        <w:t xml:space="preserve"> o comercializar los datos personales.  Cabe destacar que, para la realización de la clasificación </w:t>
      </w:r>
      <w:r w:rsidRPr="000D2E86">
        <w:rPr>
          <w:rFonts w:ascii="Palatino Linotype" w:eastAsia="Palatino Linotype" w:hAnsi="Palatino Linotype" w:cs="Palatino Linotype"/>
          <w:color w:val="000000"/>
        </w:rPr>
        <w:lastRenderedPageBreak/>
        <w:t>de la información, se deben seguir una serie de pasos y procedimientos, por lo que es menester reiterar los mismos:</w:t>
      </w:r>
    </w:p>
    <w:p w:rsidR="00313EA6" w:rsidRPr="000D2E86" w:rsidRDefault="00313EA6" w:rsidP="000D2E86">
      <w:pPr>
        <w:tabs>
          <w:tab w:val="left" w:pos="284"/>
        </w:tabs>
        <w:spacing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1"/>
        <w:gridCol w:w="7227"/>
      </w:tblGrid>
      <w:tr w:rsidR="00313EA6" w:rsidRPr="000D2E86" w:rsidTr="00D66584">
        <w:tc>
          <w:tcPr>
            <w:tcW w:w="2691" w:type="dxa"/>
            <w:tcBorders>
              <w:top w:val="single" w:sz="4" w:space="0" w:color="BFBFBF"/>
              <w:left w:val="single" w:sz="4" w:space="0" w:color="BFBFBF"/>
              <w:bottom w:val="single" w:sz="4" w:space="0" w:color="BFBFBF"/>
              <w:right w:val="single" w:sz="4" w:space="0" w:color="BFBFBF"/>
            </w:tcBorders>
            <w:hideMark/>
          </w:tcPr>
          <w:p w:rsidR="00313EA6" w:rsidRPr="000D2E86" w:rsidRDefault="00313EA6" w:rsidP="000D2E86">
            <w:pPr>
              <w:tabs>
                <w:tab w:val="left" w:pos="284"/>
              </w:tabs>
              <w:rPr>
                <w:rFonts w:ascii="Palatino Linotype" w:eastAsia="Palatino Linotype" w:hAnsi="Palatino Linotype" w:cs="Palatino Linotype"/>
                <w:lang w:eastAsia="en-US"/>
              </w:rPr>
            </w:pPr>
            <w:r w:rsidRPr="000D2E86">
              <w:rPr>
                <w:rFonts w:ascii="Palatino Linotype" w:eastAsia="Palatino Linotype" w:hAnsi="Palatino Linotype" w:cs="Palatino Linotype"/>
                <w:lang w:eastAsia="en-US"/>
              </w:rPr>
              <w:t>a) Requisitos previos.</w:t>
            </w:r>
          </w:p>
        </w:tc>
        <w:tc>
          <w:tcPr>
            <w:tcW w:w="7227" w:type="dxa"/>
            <w:tcBorders>
              <w:top w:val="single" w:sz="4" w:space="0" w:color="BFBFBF"/>
              <w:left w:val="single" w:sz="4" w:space="0" w:color="BFBFBF"/>
              <w:bottom w:val="single" w:sz="4" w:space="0" w:color="BFBFBF"/>
              <w:right w:val="single" w:sz="4" w:space="0" w:color="BFBFBF"/>
            </w:tcBorders>
          </w:tcPr>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Al hacerlo tienen que precisar de qué información se trata, señalando el supuesto de clasificación (confidencialidad o reserva).</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Además, se debe señalar el procedimiento, de los tres que establecen los artículos 132 y 106 de la Ley Estatal y General, respectivamente.</w:t>
            </w:r>
          </w:p>
          <w:p w:rsidR="00313EA6" w:rsidRPr="000D2E86" w:rsidRDefault="00313EA6" w:rsidP="000D2E86">
            <w:pPr>
              <w:tabs>
                <w:tab w:val="left" w:pos="284"/>
              </w:tabs>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El último de estos requisitos previos consiste en que no se pueden emitir acuerdos de carácter general ni particular, esto es, </w:t>
            </w:r>
            <w:r w:rsidRPr="000D2E86">
              <w:rPr>
                <w:rFonts w:ascii="Palatino Linotype" w:eastAsia="Palatino Linotype" w:hAnsi="Palatino Linotype" w:cs="Palatino Linotype"/>
                <w:color w:val="000000"/>
                <w:u w:val="single"/>
                <w:lang w:eastAsia="en-US"/>
              </w:rPr>
              <w:t>no se puede hacer un acuerdo para clasificar de manera general todos los documentos de un expediente o área, sin</w:t>
            </w:r>
            <w:r w:rsidRPr="000D2E86">
              <w:rPr>
                <w:rFonts w:ascii="Palatino Linotype" w:eastAsia="Palatino Linotype" w:hAnsi="Palatino Linotype" w:cs="Palatino Linotype"/>
                <w:color w:val="000000"/>
                <w:lang w:eastAsia="en-US"/>
              </w:rPr>
              <w:t xml:space="preserve"> individualizar su análisis y tampoco se puede hacer un acuerdo por cada dato que se vaya a clasificar dentro de un documento con diez datos, por ejemplo, susceptibles de ser clasificados.</w:t>
            </w:r>
          </w:p>
          <w:p w:rsidR="00313EA6" w:rsidRPr="000D2E86" w:rsidRDefault="00313EA6" w:rsidP="000D2E86">
            <w:pPr>
              <w:tabs>
                <w:tab w:val="left" w:pos="284"/>
              </w:tabs>
              <w:jc w:val="both"/>
              <w:rPr>
                <w:rFonts w:ascii="Palatino Linotype" w:eastAsia="Palatino Linotype" w:hAnsi="Palatino Linotype" w:cs="Palatino Linotype"/>
                <w:lang w:eastAsia="en-US"/>
              </w:rPr>
            </w:pPr>
          </w:p>
        </w:tc>
      </w:tr>
      <w:tr w:rsidR="00313EA6" w:rsidRPr="000D2E86" w:rsidTr="00D66584">
        <w:tc>
          <w:tcPr>
            <w:tcW w:w="2691" w:type="dxa"/>
            <w:tcBorders>
              <w:top w:val="single" w:sz="4" w:space="0" w:color="BFBFBF"/>
              <w:left w:val="single" w:sz="4" w:space="0" w:color="BFBFBF"/>
              <w:bottom w:val="single" w:sz="4" w:space="0" w:color="BFBFBF"/>
              <w:right w:val="single" w:sz="4" w:space="0" w:color="BFBFBF"/>
            </w:tcBorders>
            <w:hideMark/>
          </w:tcPr>
          <w:p w:rsidR="00313EA6" w:rsidRPr="000D2E86" w:rsidRDefault="00313EA6" w:rsidP="000D2E86">
            <w:pPr>
              <w:tabs>
                <w:tab w:val="left" w:pos="284"/>
              </w:tabs>
              <w:rPr>
                <w:rFonts w:ascii="Palatino Linotype" w:eastAsia="Palatino Linotype" w:hAnsi="Palatino Linotype" w:cs="Palatino Linotype"/>
                <w:lang w:eastAsia="en-US"/>
              </w:rPr>
            </w:pPr>
            <w:r w:rsidRPr="000D2E86">
              <w:rPr>
                <w:rFonts w:ascii="Palatino Linotype" w:eastAsia="Palatino Linotype" w:hAnsi="Palatino Linotype" w:cs="Palatino Linotype"/>
                <w:lang w:eastAsia="en-US"/>
              </w:rPr>
              <w:t>b) Supuestos de clasificación.</w:t>
            </w:r>
          </w:p>
        </w:tc>
        <w:tc>
          <w:tcPr>
            <w:tcW w:w="7227" w:type="dxa"/>
            <w:tcBorders>
              <w:top w:val="single" w:sz="4" w:space="0" w:color="BFBFBF"/>
              <w:left w:val="single" w:sz="4" w:space="0" w:color="BFBFBF"/>
              <w:bottom w:val="single" w:sz="4" w:space="0" w:color="BFBFBF"/>
              <w:right w:val="single" w:sz="4" w:space="0" w:color="BFBFBF"/>
            </w:tcBorders>
          </w:tcPr>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Las disposiciones constitucionales y legales en la materia establecen los dos supuestos generales para clasificar la información: por reserva y por confidencialidad.</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w:t>
            </w:r>
            <w:r w:rsidRPr="000D2E86">
              <w:rPr>
                <w:rFonts w:ascii="Palatino Linotype" w:eastAsia="Palatino Linotype" w:hAnsi="Palatino Linotype" w:cs="Palatino Linotype"/>
                <w:color w:val="000000"/>
                <w:lang w:eastAsia="en-US"/>
              </w:rPr>
              <w:lastRenderedPageBreak/>
              <w:t>o supuestos de clasificación aduciendo analogía o mayoría de razón.</w:t>
            </w:r>
          </w:p>
          <w:p w:rsidR="00313EA6" w:rsidRPr="000D2E86" w:rsidRDefault="00313EA6" w:rsidP="000D2E86">
            <w:pPr>
              <w:tabs>
                <w:tab w:val="left" w:pos="284"/>
              </w:tabs>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El </w:t>
            </w:r>
            <w:r w:rsidRPr="000D2E86">
              <w:rPr>
                <w:rFonts w:ascii="Palatino Linotype" w:eastAsia="Palatino Linotype" w:hAnsi="Palatino Linotype" w:cs="Palatino Linotype"/>
                <w:b/>
                <w:color w:val="000000"/>
                <w:lang w:eastAsia="en-US"/>
              </w:rPr>
              <w:t>Sujeto Obligado</w:t>
            </w:r>
            <w:r w:rsidRPr="000D2E86">
              <w:rPr>
                <w:rFonts w:ascii="Palatino Linotype" w:eastAsia="Palatino Linotype" w:hAnsi="Palatino Linotype" w:cs="Palatino Linotype"/>
                <w:color w:val="000000"/>
                <w:lang w:eastAsia="en-US"/>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313EA6" w:rsidRPr="000D2E86" w:rsidRDefault="00313EA6" w:rsidP="000D2E86">
            <w:pPr>
              <w:tabs>
                <w:tab w:val="left" w:pos="284"/>
              </w:tabs>
              <w:jc w:val="both"/>
              <w:rPr>
                <w:rFonts w:ascii="Palatino Linotype" w:eastAsia="Palatino Linotype" w:hAnsi="Palatino Linotype" w:cs="Palatino Linotype"/>
                <w:lang w:eastAsia="en-US"/>
              </w:rPr>
            </w:pPr>
          </w:p>
        </w:tc>
      </w:tr>
      <w:tr w:rsidR="00313EA6" w:rsidRPr="000D2E86" w:rsidTr="00D66584">
        <w:tc>
          <w:tcPr>
            <w:tcW w:w="2691" w:type="dxa"/>
            <w:tcBorders>
              <w:top w:val="single" w:sz="4" w:space="0" w:color="BFBFBF"/>
              <w:left w:val="single" w:sz="4" w:space="0" w:color="BFBFBF"/>
              <w:bottom w:val="single" w:sz="4" w:space="0" w:color="BFBFBF"/>
              <w:right w:val="single" w:sz="4" w:space="0" w:color="BFBFBF"/>
            </w:tcBorders>
            <w:hideMark/>
          </w:tcPr>
          <w:p w:rsidR="00313EA6" w:rsidRPr="000D2E86" w:rsidRDefault="00313EA6" w:rsidP="000D2E86">
            <w:pPr>
              <w:tabs>
                <w:tab w:val="left" w:pos="284"/>
              </w:tabs>
              <w:rPr>
                <w:rFonts w:ascii="Palatino Linotype" w:eastAsia="Palatino Linotype" w:hAnsi="Palatino Linotype" w:cs="Palatino Linotype"/>
                <w:lang w:eastAsia="en-US"/>
              </w:rPr>
            </w:pPr>
            <w:r w:rsidRPr="000D2E86">
              <w:rPr>
                <w:rFonts w:ascii="Palatino Linotype" w:eastAsia="Palatino Linotype" w:hAnsi="Palatino Linotype" w:cs="Palatino Linotype"/>
                <w:lang w:eastAsia="en-US"/>
              </w:rPr>
              <w:lastRenderedPageBreak/>
              <w:t>c) Formalidades para emitir el acuerdo de clasificación.</w:t>
            </w:r>
          </w:p>
        </w:tc>
        <w:tc>
          <w:tcPr>
            <w:tcW w:w="7227" w:type="dxa"/>
            <w:tcBorders>
              <w:top w:val="single" w:sz="4" w:space="0" w:color="BFBFBF"/>
              <w:left w:val="single" w:sz="4" w:space="0" w:color="BFBFBF"/>
              <w:bottom w:val="single" w:sz="4" w:space="0" w:color="BFBFBF"/>
              <w:right w:val="single" w:sz="4" w:space="0" w:color="BFBFBF"/>
            </w:tcBorders>
          </w:tcPr>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El Comité de Transparencia, según lo dispuesto en los artículos cuenta con las facultades para aprobar, modificar o revocar la clasificación de la información que haya propuesto. </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Es necesario que </w:t>
            </w:r>
            <w:r w:rsidRPr="000D2E86">
              <w:rPr>
                <w:rFonts w:ascii="Palatino Linotype" w:eastAsia="Palatino Linotype" w:hAnsi="Palatino Linotype" w:cs="Palatino Linotype"/>
                <w:b/>
                <w:color w:val="000000"/>
                <w:u w:val="single"/>
                <w:lang w:eastAsia="en-US"/>
              </w:rPr>
              <w:t>el acto reúna con los requisitos elementales</w:t>
            </w:r>
            <w:r w:rsidRPr="000D2E86">
              <w:rPr>
                <w:rFonts w:ascii="Palatino Linotype" w:eastAsia="Palatino Linotype" w:hAnsi="Palatino Linotype" w:cs="Palatino Linotype"/>
                <w:color w:val="000000"/>
                <w:lang w:eastAsia="en-US"/>
              </w:rPr>
              <w:t>, entre ellos, que la autoridad que va a emitir el acto de autoridad sea la legalmente facultada para ello.</w:t>
            </w:r>
          </w:p>
          <w:p w:rsidR="00313EA6" w:rsidRPr="000D2E86" w:rsidRDefault="00313EA6" w:rsidP="000D2E86">
            <w:pPr>
              <w:tabs>
                <w:tab w:val="left" w:pos="284"/>
              </w:tabs>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313EA6" w:rsidRPr="000D2E86" w:rsidRDefault="00313EA6" w:rsidP="000D2E86">
            <w:pPr>
              <w:tabs>
                <w:tab w:val="left" w:pos="284"/>
              </w:tabs>
              <w:jc w:val="both"/>
              <w:rPr>
                <w:rFonts w:ascii="Palatino Linotype" w:eastAsia="Palatino Linotype" w:hAnsi="Palatino Linotype" w:cs="Palatino Linotype"/>
                <w:lang w:eastAsia="en-US"/>
              </w:rPr>
            </w:pPr>
          </w:p>
        </w:tc>
      </w:tr>
      <w:tr w:rsidR="00313EA6" w:rsidRPr="000D2E86" w:rsidTr="00D66584">
        <w:tc>
          <w:tcPr>
            <w:tcW w:w="2691" w:type="dxa"/>
            <w:tcBorders>
              <w:top w:val="single" w:sz="4" w:space="0" w:color="BFBFBF"/>
              <w:left w:val="single" w:sz="4" w:space="0" w:color="BFBFBF"/>
              <w:bottom w:val="single" w:sz="4" w:space="0" w:color="BFBFBF"/>
              <w:right w:val="single" w:sz="4" w:space="0" w:color="BFBFBF"/>
            </w:tcBorders>
          </w:tcPr>
          <w:p w:rsidR="00313EA6" w:rsidRPr="000D2E86" w:rsidRDefault="00313EA6" w:rsidP="000D2E86">
            <w:pPr>
              <w:tabs>
                <w:tab w:val="left" w:pos="284"/>
              </w:tabs>
              <w:rPr>
                <w:rFonts w:ascii="Palatino Linotype" w:eastAsia="Palatino Linotype" w:hAnsi="Palatino Linotype" w:cs="Palatino Linotype"/>
                <w:lang w:eastAsia="en-US"/>
              </w:rPr>
            </w:pPr>
          </w:p>
          <w:p w:rsidR="00313EA6" w:rsidRPr="000D2E86" w:rsidRDefault="00313EA6" w:rsidP="000D2E86">
            <w:pPr>
              <w:tabs>
                <w:tab w:val="left" w:pos="284"/>
              </w:tabs>
              <w:jc w:val="both"/>
              <w:rPr>
                <w:rFonts w:ascii="Palatino Linotype" w:eastAsia="Palatino Linotype" w:hAnsi="Palatino Linotype" w:cs="Palatino Linotype"/>
                <w:lang w:eastAsia="en-US"/>
              </w:rPr>
            </w:pPr>
            <w:r w:rsidRPr="000D2E86">
              <w:rPr>
                <w:rFonts w:ascii="Palatino Linotype" w:eastAsia="Palatino Linotype" w:hAnsi="Palatino Linotype" w:cs="Palatino Linotype"/>
                <w:color w:val="000000"/>
                <w:lang w:eastAsia="en-US"/>
              </w:rPr>
              <w:t xml:space="preserve">d) Requisitos de fondo del acuerdo de clasificación. </w:t>
            </w:r>
          </w:p>
        </w:tc>
        <w:tc>
          <w:tcPr>
            <w:tcW w:w="7227" w:type="dxa"/>
            <w:tcBorders>
              <w:top w:val="single" w:sz="4" w:space="0" w:color="BFBFBF"/>
              <w:left w:val="single" w:sz="4" w:space="0" w:color="BFBFBF"/>
              <w:bottom w:val="single" w:sz="4" w:space="0" w:color="BFBFBF"/>
              <w:right w:val="single" w:sz="4" w:space="0" w:color="BFBFBF"/>
            </w:tcBorders>
          </w:tcPr>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D2E86">
              <w:rPr>
                <w:rFonts w:ascii="Palatino Linotype" w:eastAsia="Palatino Linotype" w:hAnsi="Palatino Linotype" w:cs="Palatino Linotype"/>
                <w:b/>
                <w:color w:val="000000"/>
                <w:lang w:eastAsia="en-US"/>
              </w:rPr>
              <w:t>Sujetos Obligados</w:t>
            </w:r>
            <w:r w:rsidRPr="000D2E86">
              <w:rPr>
                <w:rFonts w:ascii="Palatino Linotype" w:eastAsia="Palatino Linotype" w:hAnsi="Palatino Linotype" w:cs="Palatino Linotype"/>
                <w:color w:val="000000"/>
                <w:lang w:eastAsia="en-US"/>
              </w:rPr>
              <w:t xml:space="preserve">, por lo que deberán fundar y motivar debidamente la clasificación. </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De lo anterior, se desprende que para una correcta </w:t>
            </w:r>
            <w:r w:rsidRPr="000D2E86">
              <w:rPr>
                <w:rFonts w:ascii="Palatino Linotype" w:eastAsia="Palatino Linotype" w:hAnsi="Palatino Linotype" w:cs="Palatino Linotype"/>
                <w:b/>
                <w:color w:val="000000"/>
                <w:lang w:eastAsia="en-US"/>
              </w:rPr>
              <w:t>clasificación total o parcial</w:t>
            </w:r>
            <w:r w:rsidRPr="000D2E86">
              <w:rPr>
                <w:rFonts w:ascii="Palatino Linotype" w:eastAsia="Palatino Linotype" w:hAnsi="Palatino Linotype" w:cs="Palatino Linotype"/>
                <w:color w:val="000000"/>
                <w:lang w:eastAsia="en-US"/>
              </w:rPr>
              <w:t xml:space="preserve">, esto es determinar los datos que se suprimen en las versiones públicas, es necesario fundar y motivar, de manera </w:t>
            </w:r>
            <w:r w:rsidRPr="000D2E86">
              <w:rPr>
                <w:rFonts w:ascii="Palatino Linotype" w:eastAsia="Palatino Linotype" w:hAnsi="Palatino Linotype" w:cs="Palatino Linotype"/>
                <w:color w:val="000000"/>
                <w:lang w:eastAsia="en-US"/>
              </w:rPr>
              <w:lastRenderedPageBreak/>
              <w:t>correcta, la clasificación; considerando que todo acto que la autoridad pronuncie en el ejercicio de sus atribuciones, debe expresar los fundamentos legales que le dieron origen y las razones por las que se deben aplicar al caso concreto.</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En ese mismo sentido, el numeral trigésimo tercero fracción V de los Lineamientos Generales, precisa que para motivar la clasificación se deben acreditar las circunstancias de tiempo, modo y lugar.</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Ahora bien, </w:t>
            </w:r>
            <w:r w:rsidRPr="000D2E86">
              <w:rPr>
                <w:rFonts w:ascii="Palatino Linotype" w:eastAsia="Palatino Linotype" w:hAnsi="Palatino Linotype" w:cs="Palatino Linotype"/>
                <w:b/>
                <w:color w:val="000000"/>
                <w:u w:val="single"/>
                <w:lang w:eastAsia="en-US"/>
              </w:rPr>
              <w:t>para cada caso además de fundar y motivar</w:t>
            </w:r>
            <w:r w:rsidRPr="000D2E86">
              <w:rPr>
                <w:rFonts w:ascii="Palatino Linotype" w:eastAsia="Palatino Linotype" w:hAnsi="Palatino Linotype" w:cs="Palatino Linotype"/>
                <w:color w:val="000000"/>
                <w:lang w:eastAsia="en-US"/>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p>
        </w:tc>
      </w:tr>
      <w:tr w:rsidR="00313EA6" w:rsidRPr="000D2E86" w:rsidTr="00D66584">
        <w:tc>
          <w:tcPr>
            <w:tcW w:w="2691" w:type="dxa"/>
            <w:tcBorders>
              <w:top w:val="single" w:sz="4" w:space="0" w:color="BFBFBF"/>
              <w:left w:val="single" w:sz="4" w:space="0" w:color="BFBFBF"/>
              <w:bottom w:val="single" w:sz="4" w:space="0" w:color="BFBFBF"/>
              <w:right w:val="single" w:sz="4" w:space="0" w:color="BFBFBF"/>
            </w:tcBorders>
            <w:hideMark/>
          </w:tcPr>
          <w:p w:rsidR="00313EA6" w:rsidRPr="000D2E86" w:rsidRDefault="00313EA6" w:rsidP="000D2E86">
            <w:pPr>
              <w:tabs>
                <w:tab w:val="left" w:pos="284"/>
              </w:tabs>
              <w:ind w:right="49"/>
              <w:jc w:val="both"/>
              <w:rPr>
                <w:rFonts w:ascii="Palatino Linotype" w:eastAsia="Palatino Linotype" w:hAnsi="Palatino Linotype" w:cs="Palatino Linotype"/>
                <w:lang w:eastAsia="en-US"/>
              </w:rPr>
            </w:pPr>
            <w:r w:rsidRPr="000D2E86">
              <w:rPr>
                <w:rFonts w:ascii="Palatino Linotype" w:eastAsia="Palatino Linotype" w:hAnsi="Palatino Linotype" w:cs="Palatino Linotype"/>
                <w:lang w:eastAsia="en-US"/>
              </w:rPr>
              <w:lastRenderedPageBreak/>
              <w:t xml:space="preserve">e) Condiciones especiales de la clasificación de la información como confidencial. </w:t>
            </w:r>
          </w:p>
        </w:tc>
        <w:tc>
          <w:tcPr>
            <w:tcW w:w="7227" w:type="dxa"/>
            <w:tcBorders>
              <w:top w:val="single" w:sz="4" w:space="0" w:color="BFBFBF"/>
              <w:left w:val="single" w:sz="4" w:space="0" w:color="BFBFBF"/>
              <w:bottom w:val="single" w:sz="4" w:space="0" w:color="BFBFBF"/>
              <w:right w:val="single" w:sz="4" w:space="0" w:color="BFBFBF"/>
            </w:tcBorders>
          </w:tcPr>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Los artículos 148 y 120 de la Ley Estatal y de la Ley General, respectivamente, establecen que aun tratándose de datos personales, se podrán proporcionar, incluso sin solicitar el consentimiento de su titular. </w:t>
            </w:r>
          </w:p>
          <w:p w:rsidR="00313EA6" w:rsidRPr="000D2E86" w:rsidRDefault="00313EA6" w:rsidP="000D2E86">
            <w:pPr>
              <w:tabs>
                <w:tab w:val="left" w:pos="284"/>
              </w:tabs>
              <w:ind w:right="49"/>
              <w:jc w:val="both"/>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13EA6" w:rsidRPr="000D2E86" w:rsidRDefault="00313EA6" w:rsidP="000D2E86">
            <w:pPr>
              <w:tabs>
                <w:tab w:val="left" w:pos="284"/>
              </w:tabs>
              <w:rPr>
                <w:rFonts w:ascii="Palatino Linotype" w:eastAsia="Palatino Linotype" w:hAnsi="Palatino Linotype" w:cs="Palatino Linotype"/>
                <w:color w:val="000000"/>
                <w:lang w:eastAsia="en-US"/>
              </w:rPr>
            </w:pPr>
            <w:r w:rsidRPr="000D2E86">
              <w:rPr>
                <w:rFonts w:ascii="Palatino Linotype" w:eastAsia="Palatino Linotype" w:hAnsi="Palatino Linotype" w:cs="Palatino Linotype"/>
                <w:color w:val="000000"/>
                <w:lang w:eastAsia="en-US"/>
              </w:rPr>
              <w:t xml:space="preserve">Pero si la información que se pretende clasificar como confidencial no se encuentra en los supuestos de los artículos </w:t>
            </w:r>
            <w:r w:rsidRPr="000D2E86">
              <w:rPr>
                <w:rFonts w:ascii="Palatino Linotype" w:eastAsia="Palatino Linotype" w:hAnsi="Palatino Linotype" w:cs="Palatino Linotype"/>
                <w:color w:val="000000"/>
                <w:lang w:eastAsia="en-US"/>
              </w:rPr>
              <w:lastRenderedPageBreak/>
              <w:t>señalados y es posible, se deberá consultar al titular de los datos si permite o no el acceso. De no ser posible, la realización de la consulta, procede, fundando y motivando, la clasificación.</w:t>
            </w:r>
          </w:p>
          <w:p w:rsidR="00313EA6" w:rsidRPr="000D2E86" w:rsidRDefault="00313EA6" w:rsidP="000D2E86">
            <w:pPr>
              <w:tabs>
                <w:tab w:val="left" w:pos="284"/>
              </w:tabs>
              <w:rPr>
                <w:rFonts w:ascii="Palatino Linotype" w:eastAsia="Palatino Linotype" w:hAnsi="Palatino Linotype" w:cs="Palatino Linotype"/>
                <w:lang w:eastAsia="en-US"/>
              </w:rPr>
            </w:pPr>
          </w:p>
        </w:tc>
      </w:tr>
    </w:tbl>
    <w:p w:rsidR="00313EA6" w:rsidRPr="000D2E86" w:rsidRDefault="00313EA6" w:rsidP="000D2E86">
      <w:pPr>
        <w:tabs>
          <w:tab w:val="left" w:pos="284"/>
        </w:tabs>
        <w:spacing w:line="360" w:lineRule="auto"/>
        <w:rPr>
          <w:rFonts w:ascii="Palatino Linotype" w:eastAsia="Palatino Linotype" w:hAnsi="Palatino Linotype" w:cs="Palatino Linotype"/>
          <w:color w:val="000000"/>
        </w:rPr>
      </w:pPr>
    </w:p>
    <w:p w:rsidR="00313EA6" w:rsidRPr="000D2E86" w:rsidRDefault="00313EA6" w:rsidP="00D66584">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0D2E86">
        <w:rPr>
          <w:rFonts w:ascii="Palatino Linotype" w:eastAsia="Palatino Linotype" w:hAnsi="Palatino Linotype" w:cs="Palatino Linotype"/>
        </w:rPr>
        <w:t xml:space="preserve">Si el </w:t>
      </w:r>
      <w:r w:rsidRPr="000D2E86">
        <w:rPr>
          <w:rFonts w:ascii="Palatino Linotype" w:eastAsia="Palatino Linotype" w:hAnsi="Palatino Linotype" w:cs="Palatino Linotype"/>
          <w:color w:val="000000"/>
        </w:rPr>
        <w:t>servidor</w:t>
      </w:r>
      <w:r w:rsidRPr="000D2E86">
        <w:rPr>
          <w:rFonts w:ascii="Palatino Linotype" w:eastAsia="Palatino Linotype" w:hAnsi="Palatino Linotype" w:cs="Palatino Linotype"/>
        </w:rPr>
        <w:t xml:space="preserve"> </w:t>
      </w:r>
      <w:r w:rsidRPr="000D2E86">
        <w:rPr>
          <w:rFonts w:ascii="Palatino Linotype" w:eastAsia="Arial Unicode MS" w:hAnsi="Palatino Linotype" w:cs="Arial"/>
        </w:rPr>
        <w:t>público</w:t>
      </w:r>
      <w:r w:rsidRPr="000D2E86">
        <w:rPr>
          <w:rFonts w:ascii="Palatino Linotype" w:eastAsia="Palatino Linotype" w:hAnsi="Palatino Linotype" w:cs="Palatino Linotype"/>
        </w:rPr>
        <w:t xml:space="preserve"> incumple con estas formalidades y entrega la información </w:t>
      </w:r>
      <w:r w:rsidRPr="000D2E86">
        <w:rPr>
          <w:rFonts w:ascii="Palatino Linotype" w:eastAsia="Palatino Linotype" w:hAnsi="Palatino Linotype" w:cs="Palatino Linotype"/>
          <w:color w:val="000000"/>
        </w:rPr>
        <w:t>sin</w:t>
      </w:r>
      <w:r w:rsidRPr="000D2E86">
        <w:rPr>
          <w:rFonts w:ascii="Palatino Linotype" w:eastAsia="Palatino Linotype" w:hAnsi="Palatino Linotype" w:cs="Palatino Linotype"/>
        </w:rPr>
        <w:t xml:space="preserve"> proteger los datos personales incumple con lo que estipula las </w:t>
      </w:r>
      <w:r w:rsidRPr="000D2E86">
        <w:rPr>
          <w:rFonts w:ascii="Palatino Linotype" w:eastAsia="Palatino Linotype" w:hAnsi="Palatino Linotype" w:cs="Palatino Linotype"/>
          <w:color w:val="000000"/>
        </w:rPr>
        <w:t>disposiciones</w:t>
      </w:r>
      <w:r w:rsidRPr="000D2E86">
        <w:rPr>
          <w:rFonts w:ascii="Palatino Linotype" w:eastAsia="Palatino Linotype" w:hAnsi="Palatino Linotype" w:cs="Palatino Linotype"/>
        </w:rPr>
        <w:t xml:space="preserve"> legales </w:t>
      </w:r>
      <w:r w:rsidRPr="000D2E86">
        <w:rPr>
          <w:rFonts w:ascii="Palatino Linotype" w:eastAsia="Palatino Linotype" w:hAnsi="Palatino Linotype" w:cs="Palatino Linotype"/>
          <w:color w:val="000000"/>
        </w:rPr>
        <w:t>establecidas</w:t>
      </w:r>
      <w:r w:rsidRPr="000D2E86">
        <w:rPr>
          <w:rFonts w:ascii="Palatino Linotype" w:eastAsia="Palatino Linotype" w:hAnsi="Palatino Linotype" w:cs="Palatino Linotype"/>
        </w:rPr>
        <w:t>, asimismo que si entrega un documento testado sin el debido acuerdo de clasificación.</w:t>
      </w:r>
    </w:p>
    <w:p w:rsidR="00313EA6" w:rsidRPr="000D2E86" w:rsidRDefault="00313EA6" w:rsidP="000D2E86">
      <w:pPr>
        <w:pStyle w:val="Prrafodelista"/>
        <w:widowControl w:val="0"/>
        <w:autoSpaceDE w:val="0"/>
        <w:autoSpaceDN w:val="0"/>
        <w:adjustRightInd w:val="0"/>
        <w:spacing w:line="360" w:lineRule="auto"/>
        <w:ind w:left="0"/>
        <w:jc w:val="both"/>
        <w:rPr>
          <w:rFonts w:ascii="Palatino Linotype" w:eastAsia="Calibri" w:hAnsi="Palatino Linotype" w:cs="Arial"/>
        </w:rPr>
      </w:pPr>
    </w:p>
    <w:p w:rsidR="00313EA6" w:rsidRPr="000D2E86" w:rsidRDefault="00313EA6" w:rsidP="00D66584">
      <w:pPr>
        <w:pStyle w:val="Sinespaciado"/>
        <w:numPr>
          <w:ilvl w:val="0"/>
          <w:numId w:val="1"/>
        </w:numPr>
        <w:spacing w:line="360" w:lineRule="auto"/>
        <w:ind w:left="0" w:firstLine="0"/>
        <w:jc w:val="both"/>
        <w:rPr>
          <w:rFonts w:ascii="Palatino Linotype" w:hAnsi="Palatino Linotype" w:cs="Arial"/>
        </w:rPr>
      </w:pPr>
      <w:r w:rsidRPr="000D2E86">
        <w:rPr>
          <w:rFonts w:ascii="Palatino Linotype" w:eastAsia="Arial Unicode MS" w:hAnsi="Palatino Linotype" w:cs="Arial"/>
        </w:rPr>
        <w:t>Por</w:t>
      </w:r>
      <w:r w:rsidRPr="000D2E86">
        <w:rPr>
          <w:rFonts w:ascii="Palatino Linotype" w:eastAsia="MS Mincho" w:hAnsi="Palatino Linotype"/>
          <w:color w:val="000000"/>
        </w:rPr>
        <w:t xml:space="preserve"> lo anteriormente expuesto y fundado, este Órgano Garante emite los </w:t>
      </w:r>
      <w:r w:rsidRPr="000D2E86">
        <w:rPr>
          <w:rFonts w:ascii="Palatino Linotype" w:eastAsia="Palatino Linotype" w:hAnsi="Palatino Linotype" w:cs="Palatino Linotype"/>
        </w:rPr>
        <w:t>siguientes</w:t>
      </w:r>
      <w:r w:rsidRPr="000D2E86">
        <w:rPr>
          <w:rFonts w:ascii="Palatino Linotype" w:eastAsia="MS Mincho" w:hAnsi="Palatino Linotype"/>
          <w:color w:val="000000"/>
        </w:rPr>
        <w:t xml:space="preserve">: </w:t>
      </w:r>
    </w:p>
    <w:p w:rsidR="00313EA6" w:rsidRPr="000D2E86" w:rsidRDefault="00313EA6" w:rsidP="000D2E86">
      <w:pPr>
        <w:spacing w:line="360" w:lineRule="auto"/>
        <w:rPr>
          <w:rFonts w:ascii="Palatino Linotype" w:eastAsia="MS Mincho" w:hAnsi="Palatino Linotype"/>
          <w:color w:val="000000"/>
        </w:rPr>
      </w:pPr>
    </w:p>
    <w:p w:rsidR="00313EA6" w:rsidRPr="000D2E86" w:rsidRDefault="00313EA6" w:rsidP="000D2E86">
      <w:pPr>
        <w:pStyle w:val="Ttulo1"/>
        <w:spacing w:before="0" w:line="360" w:lineRule="auto"/>
        <w:jc w:val="center"/>
        <w:rPr>
          <w:rFonts w:ascii="Palatino Linotype" w:hAnsi="Palatino Linotype"/>
          <w:b/>
          <w:color w:val="000000" w:themeColor="text1"/>
          <w:sz w:val="24"/>
          <w:szCs w:val="24"/>
        </w:rPr>
      </w:pPr>
      <w:bookmarkStart w:id="36" w:name="_Toc81233128"/>
      <w:r w:rsidRPr="000D2E86">
        <w:rPr>
          <w:rFonts w:ascii="Palatino Linotype" w:hAnsi="Palatino Linotype"/>
          <w:b/>
          <w:color w:val="000000" w:themeColor="text1"/>
          <w:sz w:val="24"/>
          <w:szCs w:val="24"/>
        </w:rPr>
        <w:t>R E S O L U T I V O S</w:t>
      </w:r>
      <w:bookmarkEnd w:id="32"/>
      <w:bookmarkEnd w:id="33"/>
      <w:bookmarkEnd w:id="34"/>
      <w:bookmarkEnd w:id="35"/>
      <w:bookmarkEnd w:id="36"/>
    </w:p>
    <w:p w:rsidR="00313EA6" w:rsidRPr="000D2E86" w:rsidRDefault="00313EA6" w:rsidP="000D2E86">
      <w:pPr>
        <w:spacing w:line="360" w:lineRule="auto"/>
        <w:rPr>
          <w:rFonts w:ascii="Palatino Linotype" w:hAnsi="Palatino Linotype"/>
        </w:rPr>
      </w:pPr>
    </w:p>
    <w:p w:rsidR="00313EA6" w:rsidRDefault="00313EA6" w:rsidP="000D2E86">
      <w:pPr>
        <w:spacing w:line="360" w:lineRule="auto"/>
        <w:jc w:val="both"/>
        <w:rPr>
          <w:rFonts w:ascii="Palatino Linotype" w:eastAsia="Palatino Linotype" w:hAnsi="Palatino Linotype" w:cs="Palatino Linotype"/>
        </w:rPr>
      </w:pPr>
      <w:r w:rsidRPr="000D2E86">
        <w:rPr>
          <w:rFonts w:ascii="Palatino Linotype" w:eastAsia="Palatino Linotype" w:hAnsi="Palatino Linotype" w:cs="Palatino Linotype"/>
          <w:b/>
        </w:rPr>
        <w:t>PRIMERO</w:t>
      </w:r>
      <w:r w:rsidRPr="000D2E86">
        <w:rPr>
          <w:rFonts w:ascii="Palatino Linotype" w:eastAsia="Palatino Linotype" w:hAnsi="Palatino Linotype" w:cs="Palatino Linotype"/>
        </w:rPr>
        <w:t xml:space="preserve">. Resultan </w:t>
      </w:r>
      <w:r w:rsidR="000D2E86">
        <w:rPr>
          <w:rFonts w:ascii="Palatino Linotype" w:eastAsia="Palatino Linotype" w:hAnsi="Palatino Linotype" w:cs="Palatino Linotype"/>
        </w:rPr>
        <w:t xml:space="preserve">parcialmente </w:t>
      </w:r>
      <w:r w:rsidRPr="000D2E86">
        <w:rPr>
          <w:rFonts w:ascii="Palatino Linotype" w:eastAsia="Palatino Linotype" w:hAnsi="Palatino Linotype" w:cs="Palatino Linotype"/>
        </w:rPr>
        <w:t>fundadas las</w:t>
      </w:r>
      <w:r w:rsidRPr="000D2E86">
        <w:rPr>
          <w:rFonts w:ascii="Palatino Linotype" w:eastAsia="Palatino Linotype" w:hAnsi="Palatino Linotype" w:cs="Palatino Linotype"/>
          <w:b/>
        </w:rPr>
        <w:t xml:space="preserve"> </w:t>
      </w:r>
      <w:r w:rsidRPr="000D2E86">
        <w:rPr>
          <w:rFonts w:ascii="Palatino Linotype" w:eastAsia="Palatino Linotype" w:hAnsi="Palatino Linotype" w:cs="Palatino Linotype"/>
        </w:rPr>
        <w:t xml:space="preserve">razones o motivos de inconformidad hechos valer en el Recurso de Revisión </w:t>
      </w:r>
      <w:r w:rsidR="000D2E86">
        <w:rPr>
          <w:rFonts w:ascii="Palatino Linotype" w:hAnsi="Palatino Linotype"/>
          <w:b/>
          <w:bCs/>
          <w:color w:val="000000"/>
        </w:rPr>
        <w:t>12368</w:t>
      </w:r>
      <w:r w:rsidRPr="000D2E86">
        <w:rPr>
          <w:rFonts w:ascii="Palatino Linotype" w:hAnsi="Palatino Linotype"/>
          <w:b/>
          <w:bCs/>
          <w:color w:val="000000"/>
        </w:rPr>
        <w:t>/INFOEM/IP/RR/2025</w:t>
      </w:r>
      <w:r w:rsidRPr="000D2E86">
        <w:rPr>
          <w:rFonts w:ascii="Palatino Linotype" w:eastAsia="Palatino Linotype" w:hAnsi="Palatino Linotype" w:cs="Palatino Linotype"/>
          <w:b/>
        </w:rPr>
        <w:t xml:space="preserve">, </w:t>
      </w:r>
      <w:r w:rsidRPr="000D2E86">
        <w:rPr>
          <w:rFonts w:ascii="Palatino Linotype" w:eastAsia="Palatino Linotype" w:hAnsi="Palatino Linotype" w:cs="Palatino Linotype"/>
        </w:rPr>
        <w:t xml:space="preserve">en términos de los </w:t>
      </w:r>
      <w:r w:rsidRPr="000D2E86">
        <w:rPr>
          <w:rFonts w:ascii="Palatino Linotype" w:eastAsia="Palatino Linotype" w:hAnsi="Palatino Linotype" w:cs="Palatino Linotype"/>
          <w:b/>
        </w:rPr>
        <w:t>Considerandos</w:t>
      </w:r>
      <w:r w:rsidRPr="000D2E86">
        <w:rPr>
          <w:rFonts w:ascii="Palatino Linotype" w:eastAsia="Palatino Linotype" w:hAnsi="Palatino Linotype" w:cs="Palatino Linotype"/>
        </w:rPr>
        <w:t xml:space="preserve"> </w:t>
      </w:r>
      <w:r w:rsidRPr="000D2E86">
        <w:rPr>
          <w:rFonts w:ascii="Palatino Linotype" w:eastAsia="Palatino Linotype" w:hAnsi="Palatino Linotype" w:cs="Palatino Linotype"/>
          <w:b/>
        </w:rPr>
        <w:t>CUARTO</w:t>
      </w:r>
      <w:r w:rsidRPr="000D2E86">
        <w:rPr>
          <w:rFonts w:ascii="Palatino Linotype" w:eastAsia="Palatino Linotype" w:hAnsi="Palatino Linotype" w:cs="Palatino Linotype"/>
        </w:rPr>
        <w:t xml:space="preserve"> y </w:t>
      </w:r>
      <w:r w:rsidRPr="000D2E86">
        <w:rPr>
          <w:rFonts w:ascii="Palatino Linotype" w:eastAsia="Palatino Linotype" w:hAnsi="Palatino Linotype" w:cs="Palatino Linotype"/>
          <w:b/>
        </w:rPr>
        <w:t xml:space="preserve">QUINTO </w:t>
      </w:r>
      <w:r w:rsidRPr="000D2E86">
        <w:rPr>
          <w:rFonts w:ascii="Palatino Linotype" w:eastAsia="Palatino Linotype" w:hAnsi="Palatino Linotype" w:cs="Palatino Linotype"/>
        </w:rPr>
        <w:t>de la presente Resolución.</w:t>
      </w:r>
    </w:p>
    <w:p w:rsidR="000D2E86" w:rsidRPr="000D2E86" w:rsidRDefault="000D2E86" w:rsidP="000D2E86">
      <w:pPr>
        <w:spacing w:line="360" w:lineRule="auto"/>
        <w:jc w:val="both"/>
        <w:rPr>
          <w:rFonts w:ascii="Palatino Linotype" w:eastAsia="Palatino Linotype" w:hAnsi="Palatino Linotype" w:cs="Palatino Linotype"/>
        </w:rPr>
      </w:pPr>
    </w:p>
    <w:p w:rsidR="00313EA6" w:rsidRPr="000D2E86" w:rsidRDefault="00313EA6" w:rsidP="000D2E86">
      <w:pPr>
        <w:spacing w:line="360" w:lineRule="auto"/>
        <w:jc w:val="both"/>
        <w:rPr>
          <w:rFonts w:ascii="Palatino Linotype" w:hAnsi="Palatino Linotype" w:cs="Arial"/>
        </w:rPr>
      </w:pPr>
      <w:r w:rsidRPr="000D2E86">
        <w:rPr>
          <w:rFonts w:ascii="Palatino Linotype" w:hAnsi="Palatino Linotype"/>
          <w:b/>
        </w:rPr>
        <w:t xml:space="preserve">SEGUNDO. </w:t>
      </w:r>
      <w:r w:rsidRPr="000D2E86">
        <w:rPr>
          <w:rFonts w:ascii="Palatino Linotype" w:eastAsia="MS Mincho" w:hAnsi="Palatino Linotype"/>
          <w:color w:val="000000" w:themeColor="text1"/>
        </w:rPr>
        <w:t xml:space="preserve">Se </w:t>
      </w:r>
      <w:r w:rsidR="000D2E86">
        <w:rPr>
          <w:rFonts w:ascii="Palatino Linotype" w:eastAsia="MS Mincho" w:hAnsi="Palatino Linotype"/>
          <w:b/>
          <w:color w:val="000000" w:themeColor="text1"/>
        </w:rPr>
        <w:t>MODIFI</w:t>
      </w:r>
      <w:r w:rsidRPr="000D2E86">
        <w:rPr>
          <w:rFonts w:ascii="Palatino Linotype" w:eastAsia="MS Mincho" w:hAnsi="Palatino Linotype"/>
          <w:b/>
          <w:color w:val="000000" w:themeColor="text1"/>
        </w:rPr>
        <w:t xml:space="preserve">CA </w:t>
      </w:r>
      <w:r w:rsidRPr="000D2E86">
        <w:rPr>
          <w:rFonts w:ascii="Palatino Linotype" w:eastAsia="MS Mincho" w:hAnsi="Palatino Linotype"/>
          <w:color w:val="000000" w:themeColor="text1"/>
        </w:rPr>
        <w:t xml:space="preserve">la respuesta emitida por el </w:t>
      </w:r>
      <w:r w:rsidRPr="000D2E86">
        <w:rPr>
          <w:rFonts w:ascii="Palatino Linotype" w:eastAsia="Calibri" w:hAnsi="Palatino Linotype" w:cs="Tahoma"/>
          <w:b/>
          <w:lang w:eastAsia="en-US"/>
        </w:rPr>
        <w:t xml:space="preserve">Ayuntamiento de </w:t>
      </w:r>
      <w:r w:rsidR="00024A95">
        <w:rPr>
          <w:rFonts w:ascii="Palatino Linotype" w:eastAsia="Calibri" w:hAnsi="Palatino Linotype" w:cs="Tahoma"/>
          <w:b/>
          <w:lang w:eastAsia="en-US"/>
        </w:rPr>
        <w:t>Tenang</w:t>
      </w:r>
      <w:r w:rsidR="000D2E86">
        <w:rPr>
          <w:rFonts w:ascii="Palatino Linotype" w:eastAsia="Calibri" w:hAnsi="Palatino Linotype" w:cs="Tahoma"/>
          <w:b/>
          <w:lang w:eastAsia="en-US"/>
        </w:rPr>
        <w:t>o del Valle</w:t>
      </w:r>
      <w:r w:rsidRPr="000D2E86">
        <w:rPr>
          <w:rFonts w:ascii="Palatino Linotype" w:eastAsia="MS Mincho" w:hAnsi="Palatino Linotype"/>
          <w:color w:val="000000" w:themeColor="text1"/>
        </w:rPr>
        <w:t xml:space="preserve"> y se </w:t>
      </w:r>
      <w:r w:rsidRPr="000D2E86">
        <w:rPr>
          <w:rFonts w:ascii="Palatino Linotype" w:eastAsia="MS Mincho" w:hAnsi="Palatino Linotype"/>
          <w:b/>
          <w:color w:val="000000" w:themeColor="text1"/>
        </w:rPr>
        <w:t>ORDENA</w:t>
      </w:r>
      <w:r w:rsidRPr="000D2E86">
        <w:rPr>
          <w:rFonts w:ascii="Palatino Linotype" w:eastAsia="MS Mincho" w:hAnsi="Palatino Linotype"/>
          <w:color w:val="000000" w:themeColor="text1"/>
        </w:rPr>
        <w:t xml:space="preserve">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Pr="000D2E86">
        <w:rPr>
          <w:rFonts w:ascii="Palatino Linotype" w:eastAsia="MS Mincho" w:hAnsi="Palatino Linotype"/>
          <w:color w:val="000000" w:themeColor="text1"/>
        </w:rPr>
        <w:t>entregar vía Sistema de Acceso a la Información Mexiquense (SAIMEX), en versión pública, la siguiente información</w:t>
      </w:r>
      <w:r w:rsidRPr="000D2E86">
        <w:rPr>
          <w:rFonts w:ascii="Palatino Linotype" w:hAnsi="Palatino Linotype" w:cs="Arial"/>
        </w:rPr>
        <w:t>:</w:t>
      </w:r>
    </w:p>
    <w:p w:rsidR="00313EA6" w:rsidRPr="000D2E86" w:rsidRDefault="00313EA6" w:rsidP="000D2E86">
      <w:pPr>
        <w:pStyle w:val="Prrafodelista"/>
        <w:tabs>
          <w:tab w:val="left" w:pos="8080"/>
        </w:tabs>
        <w:spacing w:line="360" w:lineRule="auto"/>
        <w:ind w:left="709" w:right="474"/>
        <w:jc w:val="both"/>
        <w:rPr>
          <w:rFonts w:ascii="Palatino Linotype" w:hAnsi="Palatino Linotype" w:cs="Arial"/>
          <w:i/>
          <w:color w:val="000000" w:themeColor="text1"/>
        </w:rPr>
      </w:pPr>
    </w:p>
    <w:p w:rsidR="00313EA6" w:rsidRPr="000D2E86" w:rsidRDefault="000D2E86" w:rsidP="000D2E86">
      <w:pPr>
        <w:pStyle w:val="Prrafodelista"/>
        <w:numPr>
          <w:ilvl w:val="0"/>
          <w:numId w:val="34"/>
        </w:numPr>
        <w:tabs>
          <w:tab w:val="left" w:pos="8080"/>
        </w:tabs>
        <w:spacing w:line="360" w:lineRule="auto"/>
        <w:ind w:right="964"/>
        <w:jc w:val="both"/>
        <w:rPr>
          <w:rFonts w:ascii="Palatino Linotype" w:hAnsi="Palatino Linotype"/>
          <w:b/>
          <w:color w:val="000000"/>
        </w:rPr>
      </w:pPr>
      <w:r w:rsidRPr="000D2E86">
        <w:rPr>
          <w:rFonts w:ascii="Palatino Linotype" w:hAnsi="Palatino Linotype"/>
          <w:b/>
          <w:color w:val="000000"/>
        </w:rPr>
        <w:t>Formato Único de Movimiento de Personal (F.U.M.P.) por alta del Tesorero Municipal en funciones al 24 de septiembre 2025.</w:t>
      </w:r>
    </w:p>
    <w:p w:rsidR="00313EA6" w:rsidRPr="000D2E86" w:rsidRDefault="00313EA6" w:rsidP="000D2E86">
      <w:pPr>
        <w:pStyle w:val="Prrafodelista"/>
        <w:spacing w:line="360" w:lineRule="auto"/>
        <w:rPr>
          <w:rFonts w:ascii="Palatino Linotype" w:eastAsia="Palatino Linotype" w:hAnsi="Palatino Linotype" w:cs="Palatino Linotype"/>
          <w:b/>
          <w:color w:val="000000"/>
        </w:rPr>
      </w:pPr>
    </w:p>
    <w:p w:rsidR="00313EA6" w:rsidRPr="000D2E86" w:rsidRDefault="00313EA6" w:rsidP="000D2E86">
      <w:pPr>
        <w:tabs>
          <w:tab w:val="left" w:pos="8080"/>
        </w:tabs>
        <w:spacing w:line="360" w:lineRule="auto"/>
        <w:ind w:right="49"/>
        <w:jc w:val="both"/>
        <w:rPr>
          <w:rFonts w:ascii="Palatino Linotype" w:eastAsia="Palatino Linotype" w:hAnsi="Palatino Linotype" w:cs="Palatino Linotype"/>
        </w:rPr>
      </w:pPr>
      <w:r w:rsidRPr="000D2E86">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0D2E86">
        <w:rPr>
          <w:rFonts w:ascii="Palatino Linotype" w:eastAsia="Palatino Linotype" w:hAnsi="Palatino Linotype" w:cs="Palatino Linotype"/>
          <w:b/>
          <w:color w:val="000000" w:themeColor="text1"/>
        </w:rPr>
        <w:t>RECURRENTE</w:t>
      </w:r>
      <w:r w:rsidRPr="000D2E86">
        <w:rPr>
          <w:rFonts w:ascii="Palatino Linotype" w:eastAsia="Palatino Linotype" w:hAnsi="Palatino Linotype" w:cs="Palatino Linotype"/>
        </w:rPr>
        <w:t>.</w:t>
      </w:r>
    </w:p>
    <w:p w:rsidR="00313EA6" w:rsidRPr="000D2E86" w:rsidRDefault="00313EA6" w:rsidP="000D2E86">
      <w:pPr>
        <w:tabs>
          <w:tab w:val="left" w:pos="8080"/>
        </w:tabs>
        <w:spacing w:line="360" w:lineRule="auto"/>
        <w:ind w:right="49"/>
        <w:jc w:val="both"/>
        <w:rPr>
          <w:rFonts w:ascii="Palatino Linotype" w:eastAsia="Palatino Linotype" w:hAnsi="Palatino Linotype" w:cs="Palatino Linotype"/>
        </w:rPr>
      </w:pPr>
    </w:p>
    <w:bookmarkEnd w:id="37"/>
    <w:bookmarkEnd w:id="38"/>
    <w:bookmarkEnd w:id="39"/>
    <w:bookmarkEnd w:id="40"/>
    <w:bookmarkEnd w:id="41"/>
    <w:bookmarkEnd w:id="42"/>
    <w:bookmarkEnd w:id="43"/>
    <w:bookmarkEnd w:id="44"/>
    <w:p w:rsidR="00313EA6" w:rsidRPr="000D2E86" w:rsidRDefault="00313EA6" w:rsidP="000D2E86">
      <w:pPr>
        <w:spacing w:line="360" w:lineRule="auto"/>
        <w:jc w:val="both"/>
        <w:rPr>
          <w:rFonts w:ascii="Palatino Linotype" w:hAnsi="Palatino Linotype"/>
        </w:rPr>
      </w:pPr>
      <w:r w:rsidRPr="000D2E86">
        <w:rPr>
          <w:rFonts w:ascii="Palatino Linotype" w:hAnsi="Palatino Linotype" w:cs="Arial"/>
          <w:b/>
          <w:bCs/>
        </w:rPr>
        <w:t>TERCERO</w:t>
      </w:r>
      <w:r w:rsidRPr="000D2E86">
        <w:rPr>
          <w:rFonts w:ascii="Palatino Linotype" w:hAnsi="Palatino Linotype" w:cs="Arial"/>
          <w:b/>
        </w:rPr>
        <w:t>.</w:t>
      </w:r>
      <w:r w:rsidRPr="000D2E86">
        <w:rPr>
          <w:rFonts w:ascii="Palatino Linotype" w:eastAsia="Palatino Linotype" w:hAnsi="Palatino Linotype" w:cs="Palatino Linotype"/>
          <w:b/>
        </w:rPr>
        <w:t xml:space="preserve"> </w:t>
      </w:r>
      <w:r w:rsidRPr="000D2E86">
        <w:rPr>
          <w:rFonts w:ascii="Palatino Linotype" w:hAnsi="Palatino Linotype"/>
          <w:b/>
        </w:rPr>
        <w:t xml:space="preserve">Notifíquese </w:t>
      </w:r>
      <w:r w:rsidRPr="000D2E86">
        <w:rPr>
          <w:rFonts w:ascii="Palatino Linotype" w:hAnsi="Palatino Linotype"/>
        </w:rPr>
        <w:t xml:space="preserve">la presente Resolución al Titular de la Unidad de Transparencia del Sujeto Obligado vía </w:t>
      </w:r>
      <w:r w:rsidRPr="000D2E86">
        <w:rPr>
          <w:rFonts w:ascii="Palatino Linotype" w:hAnsi="Palatino Linotype"/>
          <w:b/>
        </w:rPr>
        <w:t>SAIMEX</w:t>
      </w:r>
      <w:r w:rsidRPr="000D2E86">
        <w:rPr>
          <w:rFonts w:ascii="Palatino Linotype" w:hAnsi="Palatino Linotype"/>
        </w:rPr>
        <w:t xml:space="preserve">, para que conforme al artículo 186 último párrafo, 189 segundo párrafo y 194 de la Ley de Transparencia y Acceso a la Información Pública del Estado de México y Municipios; </w:t>
      </w:r>
      <w:r w:rsidRPr="000D2E86">
        <w:rPr>
          <w:rFonts w:ascii="Palatino Linotype" w:hAnsi="Palatino Linotype"/>
          <w:b/>
        </w:rPr>
        <w:t>dé cumplimiento a lo ordenado dentro del plazo de diez días hábiles</w:t>
      </w:r>
      <w:r w:rsidRPr="000D2E86">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13EA6" w:rsidRPr="000D2E86" w:rsidRDefault="00313EA6" w:rsidP="000D2E86">
      <w:pPr>
        <w:spacing w:line="360" w:lineRule="auto"/>
        <w:jc w:val="both"/>
        <w:rPr>
          <w:rFonts w:ascii="Palatino Linotype" w:hAnsi="Palatino Linotype"/>
        </w:rPr>
      </w:pPr>
    </w:p>
    <w:p w:rsidR="00313EA6" w:rsidRPr="000D2E86" w:rsidRDefault="00313EA6" w:rsidP="000D2E86">
      <w:pPr>
        <w:spacing w:line="360" w:lineRule="auto"/>
        <w:jc w:val="both"/>
        <w:rPr>
          <w:rFonts w:ascii="Palatino Linotype" w:hAnsi="Palatino Linotype" w:cs="Arial"/>
          <w:bCs/>
        </w:rPr>
      </w:pPr>
      <w:r w:rsidRPr="000D2E86">
        <w:rPr>
          <w:rFonts w:ascii="Palatino Linotype" w:hAnsi="Palatino Linotype" w:cs="Arial"/>
          <w:b/>
        </w:rPr>
        <w:t xml:space="preserve">CUARTO. </w:t>
      </w:r>
      <w:r w:rsidRPr="000D2E86">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0D2E86">
        <w:rPr>
          <w:rFonts w:ascii="Palatino Linotype" w:hAnsi="Palatino Linotype" w:cs="Arial"/>
          <w:b/>
          <w:bCs/>
        </w:rPr>
        <w:t>SUJETO OBLIGADO</w:t>
      </w:r>
      <w:r w:rsidRPr="000D2E86">
        <w:rPr>
          <w:rFonts w:ascii="Palatino Linotype" w:hAnsi="Palatino Linotype" w:cs="Arial"/>
          <w:bCs/>
        </w:rPr>
        <w:t xml:space="preserve"> de manera fundada y motivada, podrá solicitar una ampliación de plazo para el cumplimiento de la presente Resolución.</w:t>
      </w:r>
    </w:p>
    <w:p w:rsidR="00313EA6" w:rsidRPr="000D2E86" w:rsidRDefault="00313EA6" w:rsidP="000D2E86">
      <w:pPr>
        <w:spacing w:line="360" w:lineRule="auto"/>
        <w:jc w:val="both"/>
        <w:rPr>
          <w:rFonts w:ascii="Palatino Linotype" w:hAnsi="Palatino Linotype" w:cs="Arial"/>
          <w:bCs/>
        </w:rPr>
      </w:pPr>
    </w:p>
    <w:p w:rsidR="00313EA6" w:rsidRDefault="00313EA6" w:rsidP="000D2E86">
      <w:pPr>
        <w:tabs>
          <w:tab w:val="left" w:pos="8080"/>
        </w:tabs>
        <w:spacing w:line="360" w:lineRule="auto"/>
        <w:ind w:right="49"/>
        <w:jc w:val="both"/>
        <w:rPr>
          <w:rFonts w:ascii="Palatino Linotype" w:hAnsi="Palatino Linotype"/>
        </w:rPr>
      </w:pPr>
      <w:bookmarkStart w:id="45" w:name="_Toc492590393"/>
      <w:bookmarkStart w:id="46" w:name="_Toc503891611"/>
      <w:bookmarkStart w:id="47" w:name="_Toc511647759"/>
      <w:bookmarkStart w:id="48" w:name="_Toc511647820"/>
      <w:r w:rsidRPr="000D2E86">
        <w:rPr>
          <w:rFonts w:ascii="Palatino Linotype" w:hAnsi="Palatino Linotype"/>
          <w:b/>
        </w:rPr>
        <w:t xml:space="preserve">QUINTO. </w:t>
      </w:r>
      <w:r w:rsidRPr="000D2E86">
        <w:rPr>
          <w:rFonts w:ascii="Palatino Linotype" w:hAnsi="Palatino Linotype"/>
        </w:rPr>
        <w:t>Notifíquese</w:t>
      </w:r>
      <w:bookmarkEnd w:id="45"/>
      <w:bookmarkEnd w:id="46"/>
      <w:bookmarkEnd w:id="47"/>
      <w:bookmarkEnd w:id="48"/>
      <w:r w:rsidRPr="000D2E86">
        <w:rPr>
          <w:rFonts w:ascii="Palatino Linotype" w:hAnsi="Palatino Linotype"/>
        </w:rPr>
        <w:t xml:space="preserve"> al </w:t>
      </w:r>
      <w:r w:rsidRPr="000D2E86">
        <w:rPr>
          <w:rFonts w:ascii="Palatino Linotype" w:hAnsi="Palatino Linotype"/>
          <w:b/>
        </w:rPr>
        <w:t>RECURRENTE</w:t>
      </w:r>
      <w:r w:rsidRPr="000D2E86">
        <w:rPr>
          <w:rFonts w:ascii="Palatino Linotype" w:hAnsi="Palatino Linotype"/>
        </w:rPr>
        <w:t xml:space="preserve"> la presente Resolución, vía </w:t>
      </w:r>
      <w:r w:rsidRPr="000D2E86">
        <w:rPr>
          <w:rFonts w:ascii="Palatino Linotype" w:hAnsi="Palatino Linotype"/>
          <w:b/>
        </w:rPr>
        <w:t>SAIMEX</w:t>
      </w:r>
      <w:r w:rsidRPr="000D2E86">
        <w:rPr>
          <w:rFonts w:ascii="Palatino Linotype" w:hAnsi="Palatino Linotype"/>
        </w:rPr>
        <w:t>.</w:t>
      </w:r>
    </w:p>
    <w:p w:rsidR="00313EA6" w:rsidRPr="000D2E86" w:rsidRDefault="00313EA6" w:rsidP="000D2E86">
      <w:pPr>
        <w:shd w:val="clear" w:color="auto" w:fill="FFFFFF"/>
        <w:spacing w:line="360" w:lineRule="auto"/>
        <w:jc w:val="both"/>
        <w:rPr>
          <w:rFonts w:ascii="Palatino Linotype" w:hAnsi="Palatino Linotype"/>
          <w:lang w:eastAsia="en-US"/>
        </w:rPr>
      </w:pPr>
      <w:r w:rsidRPr="000D2E86">
        <w:rPr>
          <w:rFonts w:ascii="Palatino Linotype" w:hAnsi="Palatino Linotype"/>
          <w:b/>
          <w:lang w:eastAsia="en-US"/>
        </w:rPr>
        <w:lastRenderedPageBreak/>
        <w:t xml:space="preserve">SEXTO. </w:t>
      </w:r>
      <w:r w:rsidRPr="000D2E86">
        <w:rPr>
          <w:rFonts w:ascii="Palatino Linotype" w:hAnsi="Palatino Linotype"/>
          <w:lang w:eastAsia="en-US"/>
        </w:rPr>
        <w:t>Se hace del conocimiento del</w:t>
      </w:r>
      <w:r w:rsidRPr="000D2E86">
        <w:rPr>
          <w:rFonts w:ascii="Palatino Linotype" w:hAnsi="Palatino Linotype"/>
          <w:b/>
          <w:lang w:eastAsia="en-US"/>
        </w:rPr>
        <w:t xml:space="preserve"> RECURRENTE </w:t>
      </w:r>
      <w:r w:rsidRPr="000D2E86">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65101" w:rsidRPr="000D2E86" w:rsidRDefault="00B65101" w:rsidP="000D2E86">
      <w:pPr>
        <w:shd w:val="clear" w:color="auto" w:fill="FFFFFF"/>
        <w:spacing w:line="360" w:lineRule="auto"/>
        <w:ind w:right="49"/>
        <w:jc w:val="both"/>
        <w:rPr>
          <w:rFonts w:ascii="Palatino Linotype" w:eastAsia="Palatino Linotype" w:hAnsi="Palatino Linotype" w:cs="Palatino Linotype"/>
        </w:rPr>
      </w:pPr>
    </w:p>
    <w:p w:rsidR="00024A95" w:rsidRDefault="00024A95" w:rsidP="00024A95">
      <w:pPr>
        <w:spacing w:before="240" w:after="240" w:line="360" w:lineRule="auto"/>
        <w:ind w:firstLine="1"/>
        <w:jc w:val="both"/>
        <w:rPr>
          <w:rFonts w:ascii="Palatino Linotype" w:hAnsi="Palatino Linotype"/>
        </w:rPr>
      </w:pPr>
      <w:bookmarkStart w:id="49" w:name="_Hlk99014733"/>
      <w:r>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8304B6">
        <w:rPr>
          <w:rFonts w:ascii="Palatino Linotype" w:hAnsi="Palatino Linotype" w:cs="Palatino Linotype"/>
          <w:color w:val="000000" w:themeColor="text1"/>
        </w:rPr>
        <w:t>ALEXIS TAPIA RAMÍREZ.</w:t>
      </w:r>
    </w:p>
    <w:bookmarkEnd w:id="49"/>
    <w:p w:rsidR="00B84DF1" w:rsidRPr="000D2E86" w:rsidRDefault="00B84DF1" w:rsidP="000D2E86">
      <w:pPr>
        <w:spacing w:line="360" w:lineRule="auto"/>
        <w:ind w:right="49"/>
        <w:jc w:val="both"/>
        <w:rPr>
          <w:rFonts w:ascii="Palatino Linotype" w:eastAsia="Palatino Linotype" w:hAnsi="Palatino Linotype" w:cs="Palatino Linotype"/>
        </w:rPr>
      </w:pPr>
    </w:p>
    <w:p w:rsidR="00B84DF1" w:rsidRPr="000D2E86" w:rsidRDefault="00B84DF1" w:rsidP="000D2E86">
      <w:pPr>
        <w:spacing w:line="360" w:lineRule="auto"/>
        <w:ind w:right="49"/>
        <w:jc w:val="both"/>
        <w:rPr>
          <w:rFonts w:ascii="Palatino Linotype" w:eastAsia="Palatino Linotype" w:hAnsi="Palatino Linotype" w:cs="Palatino Linotype"/>
        </w:rPr>
      </w:pPr>
    </w:p>
    <w:p w:rsidR="00B84DF1" w:rsidRPr="000D2E86" w:rsidRDefault="00B84DF1" w:rsidP="000D2E86">
      <w:pPr>
        <w:spacing w:line="360" w:lineRule="auto"/>
        <w:ind w:right="49"/>
        <w:jc w:val="both"/>
        <w:rPr>
          <w:rFonts w:ascii="Palatino Linotype" w:eastAsia="Palatino Linotype" w:hAnsi="Palatino Linotype" w:cs="Palatino Linotype"/>
        </w:rPr>
      </w:pPr>
    </w:p>
    <w:p w:rsidR="00B84DF1" w:rsidRPr="000D2E86" w:rsidRDefault="00B84DF1" w:rsidP="000D2E86">
      <w:pPr>
        <w:spacing w:line="360" w:lineRule="auto"/>
        <w:ind w:right="49"/>
        <w:jc w:val="both"/>
        <w:rPr>
          <w:rFonts w:ascii="Palatino Linotype" w:eastAsia="Palatino Linotype" w:hAnsi="Palatino Linotype" w:cs="Palatino Linotype"/>
        </w:rPr>
      </w:pPr>
    </w:p>
    <w:p w:rsidR="00B84DF1" w:rsidRPr="000D2E86" w:rsidRDefault="00B84DF1" w:rsidP="000D2E86">
      <w:pPr>
        <w:spacing w:line="360" w:lineRule="auto"/>
        <w:ind w:right="49"/>
        <w:jc w:val="both"/>
        <w:rPr>
          <w:rFonts w:ascii="Palatino Linotype" w:eastAsia="Palatino Linotype" w:hAnsi="Palatino Linotype" w:cs="Palatino Linotype"/>
        </w:rPr>
      </w:pPr>
    </w:p>
    <w:p w:rsidR="00B84DF1" w:rsidRPr="000D2E86" w:rsidRDefault="00B84DF1" w:rsidP="000D2E86">
      <w:pPr>
        <w:spacing w:line="360" w:lineRule="auto"/>
        <w:ind w:right="49"/>
        <w:jc w:val="both"/>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p w:rsidR="00B84DF1" w:rsidRPr="000D2E86" w:rsidRDefault="009D3673" w:rsidP="000D2E86">
      <w:pPr>
        <w:tabs>
          <w:tab w:val="left" w:pos="3374"/>
        </w:tabs>
        <w:spacing w:line="360" w:lineRule="auto"/>
        <w:ind w:right="49"/>
        <w:rPr>
          <w:rFonts w:ascii="Palatino Linotype" w:eastAsia="Palatino Linotype" w:hAnsi="Palatino Linotype" w:cs="Palatino Linotype"/>
        </w:rPr>
      </w:pPr>
      <w:r w:rsidRPr="000D2E86">
        <w:rPr>
          <w:rFonts w:ascii="Palatino Linotype" w:eastAsia="Palatino Linotype" w:hAnsi="Palatino Linotype" w:cs="Palatino Linotype"/>
        </w:rPr>
        <w:tab/>
      </w: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tabs>
          <w:tab w:val="left" w:pos="3374"/>
        </w:tabs>
        <w:spacing w:line="360" w:lineRule="auto"/>
        <w:ind w:right="49"/>
        <w:rPr>
          <w:rFonts w:ascii="Palatino Linotype" w:eastAsia="Palatino Linotype" w:hAnsi="Palatino Linotype" w:cs="Palatino Linotype"/>
        </w:rPr>
      </w:pPr>
    </w:p>
    <w:p w:rsidR="00B84DF1" w:rsidRPr="000D2E86" w:rsidRDefault="00B84DF1" w:rsidP="000D2E86">
      <w:pPr>
        <w:spacing w:line="360" w:lineRule="auto"/>
        <w:ind w:right="49"/>
        <w:rPr>
          <w:rFonts w:ascii="Palatino Linotype" w:eastAsia="Palatino Linotype" w:hAnsi="Palatino Linotype" w:cs="Palatino Linotype"/>
        </w:rPr>
      </w:pPr>
    </w:p>
    <w:sectPr w:rsidR="00B84DF1" w:rsidRPr="000D2E86" w:rsidSect="00D66584">
      <w:headerReference w:type="even" r:id="rId10"/>
      <w:headerReference w:type="default" r:id="rId11"/>
      <w:footerReference w:type="default" r:id="rId12"/>
      <w:headerReference w:type="first" r:id="rId13"/>
      <w:footerReference w:type="first" r:id="rId14"/>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B91" w:rsidRDefault="004A4B91">
      <w:r>
        <w:separator/>
      </w:r>
    </w:p>
  </w:endnote>
  <w:endnote w:type="continuationSeparator" w:id="0">
    <w:p w:rsidR="004A4B91" w:rsidRDefault="004A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230" w:rsidRPr="00D66584" w:rsidRDefault="00152230">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0"/>
        <w:szCs w:val="20"/>
      </w:rPr>
    </w:pPr>
    <w:r w:rsidRPr="00D66584">
      <w:rPr>
        <w:rFonts w:ascii="Palatino Linotype" w:eastAsia="Palatino Linotype" w:hAnsi="Palatino Linotype" w:cs="Palatino Linotype"/>
        <w:b/>
        <w:color w:val="000000"/>
        <w:sz w:val="22"/>
        <w:szCs w:val="20"/>
      </w:rPr>
      <w:t xml:space="preserve">Página </w:t>
    </w:r>
    <w:r w:rsidRPr="00D66584">
      <w:rPr>
        <w:rFonts w:ascii="Palatino Linotype" w:eastAsia="Palatino Linotype" w:hAnsi="Palatino Linotype" w:cs="Palatino Linotype"/>
        <w:b/>
        <w:color w:val="000000"/>
        <w:sz w:val="22"/>
        <w:szCs w:val="20"/>
      </w:rPr>
      <w:fldChar w:fldCharType="begin"/>
    </w:r>
    <w:r w:rsidRPr="00D66584">
      <w:rPr>
        <w:rFonts w:ascii="Palatino Linotype" w:eastAsia="Palatino Linotype" w:hAnsi="Palatino Linotype" w:cs="Palatino Linotype"/>
        <w:b/>
        <w:color w:val="000000"/>
        <w:sz w:val="22"/>
        <w:szCs w:val="20"/>
      </w:rPr>
      <w:instrText>PAGE</w:instrText>
    </w:r>
    <w:r w:rsidRPr="00D66584">
      <w:rPr>
        <w:rFonts w:ascii="Palatino Linotype" w:eastAsia="Palatino Linotype" w:hAnsi="Palatino Linotype" w:cs="Palatino Linotype"/>
        <w:b/>
        <w:color w:val="000000"/>
        <w:sz w:val="22"/>
        <w:szCs w:val="20"/>
      </w:rPr>
      <w:fldChar w:fldCharType="separate"/>
    </w:r>
    <w:r w:rsidR="000F0F8C">
      <w:rPr>
        <w:rFonts w:ascii="Palatino Linotype" w:eastAsia="Palatino Linotype" w:hAnsi="Palatino Linotype" w:cs="Palatino Linotype"/>
        <w:b/>
        <w:noProof/>
        <w:color w:val="000000"/>
        <w:sz w:val="22"/>
        <w:szCs w:val="20"/>
      </w:rPr>
      <w:t>21</w:t>
    </w:r>
    <w:r w:rsidRPr="00D66584">
      <w:rPr>
        <w:rFonts w:ascii="Palatino Linotype" w:eastAsia="Palatino Linotype" w:hAnsi="Palatino Linotype" w:cs="Palatino Linotype"/>
        <w:b/>
        <w:color w:val="000000"/>
        <w:sz w:val="22"/>
        <w:szCs w:val="20"/>
      </w:rPr>
      <w:fldChar w:fldCharType="end"/>
    </w:r>
    <w:r w:rsidRPr="00D66584">
      <w:rPr>
        <w:rFonts w:ascii="Palatino Linotype" w:eastAsia="Palatino Linotype" w:hAnsi="Palatino Linotype" w:cs="Palatino Linotype"/>
        <w:b/>
        <w:color w:val="000000"/>
        <w:sz w:val="22"/>
        <w:szCs w:val="20"/>
      </w:rPr>
      <w:t xml:space="preserve"> de </w:t>
    </w:r>
    <w:r w:rsidRPr="00D66584">
      <w:rPr>
        <w:rFonts w:ascii="Palatino Linotype" w:eastAsia="Palatino Linotype" w:hAnsi="Palatino Linotype" w:cs="Palatino Linotype"/>
        <w:b/>
        <w:color w:val="000000"/>
        <w:sz w:val="22"/>
        <w:szCs w:val="20"/>
      </w:rPr>
      <w:fldChar w:fldCharType="begin"/>
    </w:r>
    <w:r w:rsidRPr="00D66584">
      <w:rPr>
        <w:rFonts w:ascii="Palatino Linotype" w:eastAsia="Palatino Linotype" w:hAnsi="Palatino Linotype" w:cs="Palatino Linotype"/>
        <w:b/>
        <w:color w:val="000000"/>
        <w:sz w:val="22"/>
        <w:szCs w:val="20"/>
      </w:rPr>
      <w:instrText>NUMPAGES</w:instrText>
    </w:r>
    <w:r w:rsidRPr="00D66584">
      <w:rPr>
        <w:rFonts w:ascii="Palatino Linotype" w:eastAsia="Palatino Linotype" w:hAnsi="Palatino Linotype" w:cs="Palatino Linotype"/>
        <w:b/>
        <w:color w:val="000000"/>
        <w:sz w:val="22"/>
        <w:szCs w:val="20"/>
      </w:rPr>
      <w:fldChar w:fldCharType="separate"/>
    </w:r>
    <w:r w:rsidR="000F0F8C">
      <w:rPr>
        <w:rFonts w:ascii="Palatino Linotype" w:eastAsia="Palatino Linotype" w:hAnsi="Palatino Linotype" w:cs="Palatino Linotype"/>
        <w:b/>
        <w:noProof/>
        <w:color w:val="000000"/>
        <w:sz w:val="22"/>
        <w:szCs w:val="20"/>
      </w:rPr>
      <w:t>42</w:t>
    </w:r>
    <w:r w:rsidRPr="00D66584">
      <w:rPr>
        <w:rFonts w:ascii="Palatino Linotype" w:eastAsia="Palatino Linotype" w:hAnsi="Palatino Linotype" w:cs="Palatino Linotype"/>
        <w:b/>
        <w:color w:val="000000"/>
        <w:sz w:val="22"/>
        <w:szCs w:val="20"/>
      </w:rPr>
      <w:fldChar w:fldCharType="end"/>
    </w:r>
  </w:p>
  <w:p w:rsidR="00152230" w:rsidRDefault="0015223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230" w:rsidRPr="00D66584" w:rsidRDefault="00152230">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66584">
      <w:rPr>
        <w:rFonts w:ascii="Palatino Linotype" w:eastAsia="Palatino Linotype" w:hAnsi="Palatino Linotype" w:cs="Palatino Linotype"/>
        <w:b/>
        <w:color w:val="000000"/>
        <w:sz w:val="22"/>
        <w:szCs w:val="20"/>
      </w:rPr>
      <w:t xml:space="preserve">Página </w:t>
    </w:r>
    <w:r w:rsidRPr="00D66584">
      <w:rPr>
        <w:rFonts w:ascii="Palatino Linotype" w:eastAsia="Palatino Linotype" w:hAnsi="Palatino Linotype" w:cs="Palatino Linotype"/>
        <w:b/>
        <w:color w:val="000000"/>
        <w:sz w:val="22"/>
        <w:szCs w:val="20"/>
      </w:rPr>
      <w:fldChar w:fldCharType="begin"/>
    </w:r>
    <w:r w:rsidRPr="00D66584">
      <w:rPr>
        <w:rFonts w:ascii="Palatino Linotype" w:eastAsia="Palatino Linotype" w:hAnsi="Palatino Linotype" w:cs="Palatino Linotype"/>
        <w:b/>
        <w:color w:val="000000"/>
        <w:sz w:val="22"/>
        <w:szCs w:val="20"/>
      </w:rPr>
      <w:instrText>PAGE</w:instrText>
    </w:r>
    <w:r w:rsidRPr="00D66584">
      <w:rPr>
        <w:rFonts w:ascii="Palatino Linotype" w:eastAsia="Palatino Linotype" w:hAnsi="Palatino Linotype" w:cs="Palatino Linotype"/>
        <w:b/>
        <w:color w:val="000000"/>
        <w:sz w:val="22"/>
        <w:szCs w:val="20"/>
      </w:rPr>
      <w:fldChar w:fldCharType="separate"/>
    </w:r>
    <w:r w:rsidR="000F0F8C">
      <w:rPr>
        <w:rFonts w:ascii="Palatino Linotype" w:eastAsia="Palatino Linotype" w:hAnsi="Palatino Linotype" w:cs="Palatino Linotype"/>
        <w:b/>
        <w:noProof/>
        <w:color w:val="000000"/>
        <w:sz w:val="22"/>
        <w:szCs w:val="20"/>
      </w:rPr>
      <w:t>1</w:t>
    </w:r>
    <w:r w:rsidRPr="00D66584">
      <w:rPr>
        <w:rFonts w:ascii="Palatino Linotype" w:eastAsia="Palatino Linotype" w:hAnsi="Palatino Linotype" w:cs="Palatino Linotype"/>
        <w:b/>
        <w:color w:val="000000"/>
        <w:sz w:val="22"/>
        <w:szCs w:val="20"/>
      </w:rPr>
      <w:fldChar w:fldCharType="end"/>
    </w:r>
    <w:r w:rsidRPr="00D66584">
      <w:rPr>
        <w:rFonts w:ascii="Palatino Linotype" w:eastAsia="Palatino Linotype" w:hAnsi="Palatino Linotype" w:cs="Palatino Linotype"/>
        <w:b/>
        <w:color w:val="000000"/>
        <w:sz w:val="22"/>
        <w:szCs w:val="20"/>
      </w:rPr>
      <w:t xml:space="preserve"> de </w:t>
    </w:r>
    <w:r w:rsidRPr="00D66584">
      <w:rPr>
        <w:rFonts w:ascii="Palatino Linotype" w:eastAsia="Palatino Linotype" w:hAnsi="Palatino Linotype" w:cs="Palatino Linotype"/>
        <w:b/>
        <w:color w:val="000000"/>
        <w:sz w:val="22"/>
        <w:szCs w:val="20"/>
      </w:rPr>
      <w:fldChar w:fldCharType="begin"/>
    </w:r>
    <w:r w:rsidRPr="00D66584">
      <w:rPr>
        <w:rFonts w:ascii="Palatino Linotype" w:eastAsia="Palatino Linotype" w:hAnsi="Palatino Linotype" w:cs="Palatino Linotype"/>
        <w:b/>
        <w:color w:val="000000"/>
        <w:sz w:val="22"/>
        <w:szCs w:val="20"/>
      </w:rPr>
      <w:instrText>NUMPAGES</w:instrText>
    </w:r>
    <w:r w:rsidRPr="00D66584">
      <w:rPr>
        <w:rFonts w:ascii="Palatino Linotype" w:eastAsia="Palatino Linotype" w:hAnsi="Palatino Linotype" w:cs="Palatino Linotype"/>
        <w:b/>
        <w:color w:val="000000"/>
        <w:sz w:val="22"/>
        <w:szCs w:val="20"/>
      </w:rPr>
      <w:fldChar w:fldCharType="separate"/>
    </w:r>
    <w:r w:rsidR="000F0F8C">
      <w:rPr>
        <w:rFonts w:ascii="Palatino Linotype" w:eastAsia="Palatino Linotype" w:hAnsi="Palatino Linotype" w:cs="Palatino Linotype"/>
        <w:b/>
        <w:noProof/>
        <w:color w:val="000000"/>
        <w:sz w:val="22"/>
        <w:szCs w:val="20"/>
      </w:rPr>
      <w:t>42</w:t>
    </w:r>
    <w:r w:rsidRPr="00D66584">
      <w:rPr>
        <w:rFonts w:ascii="Palatino Linotype" w:eastAsia="Palatino Linotype" w:hAnsi="Palatino Linotype" w:cs="Palatino Linotype"/>
        <w:b/>
        <w:color w:val="000000"/>
        <w:sz w:val="22"/>
        <w:szCs w:val="20"/>
      </w:rPr>
      <w:fldChar w:fldCharType="end"/>
    </w:r>
  </w:p>
  <w:p w:rsidR="00152230" w:rsidRDefault="0015223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B91" w:rsidRDefault="004A4B91">
      <w:r>
        <w:separator/>
      </w:r>
    </w:p>
  </w:footnote>
  <w:footnote w:type="continuationSeparator" w:id="0">
    <w:p w:rsidR="004A4B91" w:rsidRDefault="004A4B91">
      <w:r>
        <w:continuationSeparator/>
      </w:r>
    </w:p>
  </w:footnote>
  <w:footnote w:id="1">
    <w:p w:rsidR="00152230" w:rsidRDefault="00152230" w:rsidP="00313EA6">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rsidR="00152230" w:rsidRDefault="00152230" w:rsidP="00313EA6">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rsidR="00152230" w:rsidRDefault="00152230"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152230" w:rsidRDefault="00152230"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152230" w:rsidRDefault="00152230" w:rsidP="00313EA6">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152230" w:rsidRDefault="00152230"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152230" w:rsidRDefault="00152230" w:rsidP="00313EA6">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152230" w:rsidRDefault="00152230" w:rsidP="00313EA6">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230" w:rsidRDefault="004A4B9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229" w:type="dxa"/>
      <w:tblInd w:w="2835" w:type="dxa"/>
      <w:tblLayout w:type="fixed"/>
      <w:tblLook w:val="0400" w:firstRow="0" w:lastRow="0" w:firstColumn="0" w:lastColumn="0" w:noHBand="0" w:noVBand="1"/>
    </w:tblPr>
    <w:tblGrid>
      <w:gridCol w:w="2976"/>
      <w:gridCol w:w="4253"/>
    </w:tblGrid>
    <w:tr w:rsidR="00152230" w:rsidTr="00D66584">
      <w:trPr>
        <w:trHeight w:val="227"/>
      </w:trPr>
      <w:tc>
        <w:tcPr>
          <w:tcW w:w="2976" w:type="dxa"/>
          <w:vAlign w:val="center"/>
        </w:tcPr>
        <w:p w:rsidR="00152230" w:rsidRPr="00D66584" w:rsidRDefault="00152230" w:rsidP="00D66584">
          <w:pPr>
            <w:ind w:right="34"/>
            <w:jc w:val="right"/>
            <w:rPr>
              <w:rFonts w:ascii="Palatino Linotype" w:eastAsia="Palatino Linotype" w:hAnsi="Palatino Linotype" w:cs="Palatino Linotype"/>
              <w:b/>
              <w:szCs w:val="22"/>
            </w:rPr>
          </w:pPr>
          <w:r w:rsidRPr="00D66584">
            <w:rPr>
              <w:rFonts w:ascii="Palatino Linotype" w:eastAsia="Palatino Linotype" w:hAnsi="Palatino Linotype" w:cs="Palatino Linotype"/>
              <w:b/>
              <w:szCs w:val="22"/>
            </w:rPr>
            <w:t>Recurso de Revisión:</w:t>
          </w:r>
        </w:p>
      </w:tc>
      <w:tc>
        <w:tcPr>
          <w:tcW w:w="4253" w:type="dxa"/>
          <w:vAlign w:val="center"/>
        </w:tcPr>
        <w:p w:rsidR="00152230" w:rsidRPr="00D66584" w:rsidRDefault="000D2E86" w:rsidP="00D6658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66584">
            <w:rPr>
              <w:rFonts w:ascii="Palatino Linotype" w:eastAsia="Palatino Linotype" w:hAnsi="Palatino Linotype" w:cs="Palatino Linotype"/>
              <w:color w:val="000000"/>
              <w:szCs w:val="22"/>
            </w:rPr>
            <w:t>12368</w:t>
          </w:r>
          <w:r w:rsidR="00152230" w:rsidRPr="00D66584">
            <w:rPr>
              <w:rFonts w:ascii="Palatino Linotype" w:eastAsia="Palatino Linotype" w:hAnsi="Palatino Linotype" w:cs="Palatino Linotype"/>
              <w:color w:val="000000"/>
              <w:szCs w:val="22"/>
            </w:rPr>
            <w:t>/INFOEM/IP/RR/2025</w:t>
          </w:r>
        </w:p>
      </w:tc>
    </w:tr>
    <w:tr w:rsidR="00152230" w:rsidTr="00D66584">
      <w:trPr>
        <w:trHeight w:val="242"/>
      </w:trPr>
      <w:tc>
        <w:tcPr>
          <w:tcW w:w="2976" w:type="dxa"/>
          <w:vAlign w:val="center"/>
        </w:tcPr>
        <w:p w:rsidR="00152230" w:rsidRPr="00D66584" w:rsidRDefault="00152230" w:rsidP="00D66584">
          <w:pPr>
            <w:ind w:right="34"/>
            <w:jc w:val="right"/>
            <w:rPr>
              <w:rFonts w:ascii="Palatino Linotype" w:eastAsia="Palatino Linotype" w:hAnsi="Palatino Linotype" w:cs="Palatino Linotype"/>
              <w:b/>
              <w:szCs w:val="22"/>
            </w:rPr>
          </w:pPr>
          <w:r w:rsidRPr="00D66584">
            <w:rPr>
              <w:rFonts w:ascii="Palatino Linotype" w:eastAsia="Palatino Linotype" w:hAnsi="Palatino Linotype" w:cs="Palatino Linotype"/>
              <w:b/>
              <w:szCs w:val="22"/>
            </w:rPr>
            <w:t>Sujeto Obligado:</w:t>
          </w:r>
        </w:p>
      </w:tc>
      <w:tc>
        <w:tcPr>
          <w:tcW w:w="4253" w:type="dxa"/>
          <w:vAlign w:val="center"/>
        </w:tcPr>
        <w:p w:rsidR="00152230" w:rsidRPr="00D66584" w:rsidRDefault="000D2E86" w:rsidP="00D6658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D66584">
            <w:rPr>
              <w:rFonts w:ascii="Palatino Linotype" w:eastAsia="Palatino Linotype" w:hAnsi="Palatino Linotype" w:cs="Palatino Linotype"/>
              <w:color w:val="000000"/>
              <w:szCs w:val="22"/>
            </w:rPr>
            <w:t>Ayuntamiento de Tenango del Valle</w:t>
          </w:r>
        </w:p>
      </w:tc>
    </w:tr>
    <w:tr w:rsidR="00152230" w:rsidTr="00D66584">
      <w:trPr>
        <w:trHeight w:val="342"/>
      </w:trPr>
      <w:tc>
        <w:tcPr>
          <w:tcW w:w="2976" w:type="dxa"/>
          <w:vAlign w:val="center"/>
        </w:tcPr>
        <w:p w:rsidR="00152230" w:rsidRPr="00D66584" w:rsidRDefault="00152230" w:rsidP="00D66584">
          <w:pPr>
            <w:ind w:right="34"/>
            <w:jc w:val="right"/>
            <w:rPr>
              <w:rFonts w:ascii="Palatino Linotype" w:eastAsia="Palatino Linotype" w:hAnsi="Palatino Linotype" w:cs="Palatino Linotype"/>
              <w:b/>
              <w:szCs w:val="22"/>
            </w:rPr>
          </w:pPr>
          <w:r w:rsidRPr="00D66584">
            <w:rPr>
              <w:rFonts w:ascii="Palatino Linotype" w:eastAsia="Palatino Linotype" w:hAnsi="Palatino Linotype" w:cs="Palatino Linotype"/>
              <w:b/>
              <w:szCs w:val="22"/>
            </w:rPr>
            <w:t>Comisionada Ponente:</w:t>
          </w:r>
        </w:p>
      </w:tc>
      <w:tc>
        <w:tcPr>
          <w:tcW w:w="4253" w:type="dxa"/>
          <w:vAlign w:val="center"/>
        </w:tcPr>
        <w:p w:rsidR="00152230" w:rsidRPr="00D66584" w:rsidRDefault="00152230" w:rsidP="00D6658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66584">
            <w:rPr>
              <w:rFonts w:ascii="Palatino Linotype" w:eastAsia="Palatino Linotype" w:hAnsi="Palatino Linotype" w:cs="Palatino Linotype"/>
              <w:color w:val="000000"/>
              <w:szCs w:val="22"/>
            </w:rPr>
            <w:t>María del Rosario Mejía Ayala</w:t>
          </w:r>
        </w:p>
      </w:tc>
    </w:tr>
  </w:tbl>
  <w:p w:rsidR="00152230" w:rsidRDefault="004A4B9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4.85pt;margin-top:-132.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088" w:type="dxa"/>
      <w:tblInd w:w="2977" w:type="dxa"/>
      <w:tblLayout w:type="fixed"/>
      <w:tblLook w:val="0400" w:firstRow="0" w:lastRow="0" w:firstColumn="0" w:lastColumn="0" w:noHBand="0" w:noVBand="1"/>
    </w:tblPr>
    <w:tblGrid>
      <w:gridCol w:w="2977"/>
      <w:gridCol w:w="4111"/>
    </w:tblGrid>
    <w:tr w:rsidR="00152230" w:rsidTr="00D66584">
      <w:trPr>
        <w:trHeight w:val="227"/>
      </w:trPr>
      <w:tc>
        <w:tcPr>
          <w:tcW w:w="2977" w:type="dxa"/>
          <w:vAlign w:val="center"/>
        </w:tcPr>
        <w:p w:rsidR="00152230" w:rsidRPr="00D66584" w:rsidRDefault="00152230">
          <w:pPr>
            <w:jc w:val="right"/>
            <w:rPr>
              <w:rFonts w:ascii="Palatino Linotype" w:eastAsia="Palatino Linotype" w:hAnsi="Palatino Linotype" w:cs="Palatino Linotype"/>
              <w:b/>
              <w:szCs w:val="22"/>
            </w:rPr>
          </w:pPr>
          <w:r w:rsidRPr="00D66584">
            <w:rPr>
              <w:rFonts w:ascii="Palatino Linotype" w:eastAsia="Palatino Linotype" w:hAnsi="Palatino Linotype" w:cs="Palatino Linotype"/>
              <w:b/>
              <w:szCs w:val="22"/>
            </w:rPr>
            <w:t>Recurso de Revisión:</w:t>
          </w:r>
        </w:p>
      </w:tc>
      <w:tc>
        <w:tcPr>
          <w:tcW w:w="4111" w:type="dxa"/>
          <w:vAlign w:val="center"/>
        </w:tcPr>
        <w:p w:rsidR="00152230" w:rsidRPr="00D66584" w:rsidRDefault="00152230" w:rsidP="005A2B53">
          <w:pPr>
            <w:autoSpaceDE w:val="0"/>
            <w:autoSpaceDN w:val="0"/>
            <w:adjustRightInd w:val="0"/>
            <w:rPr>
              <w:rFonts w:ascii="Palatino Linotype" w:eastAsia="Calibri" w:hAnsi="Palatino Linotype" w:cs="Consolas"/>
              <w:color w:val="000000"/>
              <w:szCs w:val="22"/>
              <w:lang w:val="es-MX" w:eastAsia="es-MX"/>
            </w:rPr>
          </w:pPr>
          <w:r w:rsidRPr="00D66584">
            <w:rPr>
              <w:rFonts w:ascii="Palatino Linotype" w:eastAsia="Calibri" w:hAnsi="Palatino Linotype" w:cs="Consolas"/>
              <w:color w:val="000000"/>
              <w:szCs w:val="22"/>
              <w:lang w:val="es-MX" w:eastAsia="es-MX"/>
            </w:rPr>
            <w:t>12368</w:t>
          </w:r>
          <w:r w:rsidRPr="00D66584">
            <w:rPr>
              <w:rFonts w:ascii="Palatino Linotype" w:eastAsia="Palatino Linotype" w:hAnsi="Palatino Linotype" w:cs="Palatino Linotype"/>
              <w:color w:val="000000"/>
              <w:szCs w:val="22"/>
            </w:rPr>
            <w:t>/INFOEM/IP/RR/2025</w:t>
          </w:r>
        </w:p>
      </w:tc>
    </w:tr>
    <w:tr w:rsidR="00152230" w:rsidTr="00D66584">
      <w:trPr>
        <w:trHeight w:val="242"/>
      </w:trPr>
      <w:tc>
        <w:tcPr>
          <w:tcW w:w="2977" w:type="dxa"/>
          <w:vAlign w:val="center"/>
        </w:tcPr>
        <w:p w:rsidR="00152230" w:rsidRPr="00D66584" w:rsidRDefault="00152230">
          <w:pPr>
            <w:jc w:val="right"/>
            <w:rPr>
              <w:rFonts w:ascii="Palatino Linotype" w:eastAsia="Palatino Linotype" w:hAnsi="Palatino Linotype" w:cs="Palatino Linotype"/>
              <w:b/>
              <w:szCs w:val="22"/>
            </w:rPr>
          </w:pPr>
          <w:r w:rsidRPr="00D66584">
            <w:rPr>
              <w:rFonts w:ascii="Palatino Linotype" w:eastAsia="Palatino Linotype" w:hAnsi="Palatino Linotype" w:cs="Palatino Linotype"/>
              <w:b/>
              <w:szCs w:val="22"/>
            </w:rPr>
            <w:t>Recurrente:</w:t>
          </w:r>
        </w:p>
      </w:tc>
      <w:tc>
        <w:tcPr>
          <w:tcW w:w="4111" w:type="dxa"/>
        </w:tcPr>
        <w:p w:rsidR="00152230" w:rsidRPr="00D66584" w:rsidRDefault="000F0F8C" w:rsidP="005A2B53">
          <w:pPr>
            <w:tabs>
              <w:tab w:val="left" w:pos="521"/>
            </w:tabs>
            <w:autoSpaceDE w:val="0"/>
            <w:autoSpaceDN w:val="0"/>
            <w:adjustRightInd w:val="0"/>
            <w:rPr>
              <w:rFonts w:ascii="Palatino Linotype" w:eastAsia="Calibri" w:hAnsi="Palatino Linotype" w:cs="Consolas"/>
              <w:color w:val="000000"/>
              <w:szCs w:val="22"/>
              <w:lang w:val="es-MX" w:eastAsia="es-MX"/>
            </w:rPr>
          </w:pPr>
          <w:r>
            <w:rPr>
              <w:rFonts w:ascii="Palatino Linotype" w:eastAsia="Calibri" w:hAnsi="Palatino Linotype" w:cs="Consolas"/>
              <w:color w:val="000000"/>
              <w:szCs w:val="22"/>
              <w:lang w:val="es-MX" w:eastAsia="es-MX"/>
            </w:rPr>
            <w:t>XXXX</w:t>
          </w:r>
        </w:p>
      </w:tc>
    </w:tr>
    <w:tr w:rsidR="00152230" w:rsidTr="00D66584">
      <w:trPr>
        <w:trHeight w:val="342"/>
      </w:trPr>
      <w:tc>
        <w:tcPr>
          <w:tcW w:w="2977" w:type="dxa"/>
          <w:vAlign w:val="center"/>
        </w:tcPr>
        <w:p w:rsidR="00152230" w:rsidRPr="00D66584" w:rsidRDefault="00152230">
          <w:pPr>
            <w:jc w:val="right"/>
            <w:rPr>
              <w:rFonts w:ascii="Palatino Linotype" w:eastAsia="Palatino Linotype" w:hAnsi="Palatino Linotype" w:cs="Palatino Linotype"/>
              <w:b/>
              <w:szCs w:val="22"/>
            </w:rPr>
          </w:pPr>
          <w:r w:rsidRPr="00D66584">
            <w:rPr>
              <w:rFonts w:ascii="Palatino Linotype" w:eastAsia="Palatino Linotype" w:hAnsi="Palatino Linotype" w:cs="Palatino Linotype"/>
              <w:b/>
              <w:szCs w:val="22"/>
            </w:rPr>
            <w:t>Sujeto Obligado:</w:t>
          </w:r>
        </w:p>
      </w:tc>
      <w:tc>
        <w:tcPr>
          <w:tcW w:w="4111" w:type="dxa"/>
          <w:vAlign w:val="center"/>
        </w:tcPr>
        <w:p w:rsidR="00152230" w:rsidRPr="00D66584" w:rsidRDefault="000D2E86"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66584">
            <w:rPr>
              <w:rFonts w:ascii="Palatino Linotype" w:eastAsia="Palatino Linotype" w:hAnsi="Palatino Linotype" w:cs="Palatino Linotype"/>
              <w:color w:val="000000"/>
              <w:szCs w:val="22"/>
            </w:rPr>
            <w:t>Ayuntamiento de Tenango del Valle</w:t>
          </w:r>
        </w:p>
      </w:tc>
    </w:tr>
    <w:tr w:rsidR="00152230" w:rsidTr="00D66584">
      <w:trPr>
        <w:trHeight w:val="342"/>
      </w:trPr>
      <w:tc>
        <w:tcPr>
          <w:tcW w:w="2977" w:type="dxa"/>
          <w:vAlign w:val="center"/>
        </w:tcPr>
        <w:p w:rsidR="00152230" w:rsidRPr="00D66584" w:rsidRDefault="00152230">
          <w:pPr>
            <w:jc w:val="right"/>
            <w:rPr>
              <w:rFonts w:ascii="Palatino Linotype" w:eastAsia="Palatino Linotype" w:hAnsi="Palatino Linotype" w:cs="Palatino Linotype"/>
              <w:b/>
              <w:szCs w:val="22"/>
            </w:rPr>
          </w:pPr>
          <w:r w:rsidRPr="00D66584">
            <w:rPr>
              <w:rFonts w:ascii="Palatino Linotype" w:eastAsia="Palatino Linotype" w:hAnsi="Palatino Linotype" w:cs="Palatino Linotype"/>
              <w:b/>
              <w:szCs w:val="22"/>
            </w:rPr>
            <w:t>Comisionada Ponente:</w:t>
          </w:r>
        </w:p>
      </w:tc>
      <w:tc>
        <w:tcPr>
          <w:tcW w:w="4111" w:type="dxa"/>
          <w:vAlign w:val="center"/>
        </w:tcPr>
        <w:p w:rsidR="00152230" w:rsidRPr="00D66584" w:rsidRDefault="00152230">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66584">
            <w:rPr>
              <w:rFonts w:ascii="Palatino Linotype" w:eastAsia="Palatino Linotype" w:hAnsi="Palatino Linotype" w:cs="Palatino Linotype"/>
              <w:color w:val="000000"/>
              <w:szCs w:val="22"/>
            </w:rPr>
            <w:t>María del Rosario Mejía Ayala</w:t>
          </w:r>
        </w:p>
      </w:tc>
    </w:tr>
  </w:tbl>
  <w:p w:rsidR="00152230" w:rsidRDefault="004A4B9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B74BCF"/>
    <w:multiLevelType w:val="hybridMultilevel"/>
    <w:tmpl w:val="A68AA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0C5B26"/>
    <w:multiLevelType w:val="hybridMultilevel"/>
    <w:tmpl w:val="1102C3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3"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2"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5"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6"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7"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4"/>
  </w:num>
  <w:num w:numId="2">
    <w:abstractNumId w:val="12"/>
  </w:num>
  <w:num w:numId="3">
    <w:abstractNumId w:val="22"/>
  </w:num>
  <w:num w:numId="4">
    <w:abstractNumId w:val="33"/>
  </w:num>
  <w:num w:numId="5">
    <w:abstractNumId w:val="31"/>
  </w:num>
  <w:num w:numId="6">
    <w:abstractNumId w:val="4"/>
  </w:num>
  <w:num w:numId="7">
    <w:abstractNumId w:val="1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7"/>
    <w:lvlOverride w:ilvl="0">
      <w:lvl w:ilvl="0">
        <w:numFmt w:val="decimal"/>
        <w:lvlText w:val="%1."/>
        <w:lvlJc w:val="left"/>
        <w:rPr>
          <w:b/>
        </w:rPr>
      </w:lvl>
    </w:lvlOverride>
  </w:num>
  <w:num w:numId="11">
    <w:abstractNumId w:val="14"/>
  </w:num>
  <w:num w:numId="12">
    <w:abstractNumId w:val="16"/>
  </w:num>
  <w:num w:numId="13">
    <w:abstractNumId w:val="7"/>
  </w:num>
  <w:num w:numId="14">
    <w:abstractNumId w:val="35"/>
  </w:num>
  <w:num w:numId="15">
    <w:abstractNumId w:val="20"/>
  </w:num>
  <w:num w:numId="16">
    <w:abstractNumId w:val="13"/>
  </w:num>
  <w:num w:numId="17">
    <w:abstractNumId w:val="0"/>
  </w:num>
  <w:num w:numId="18">
    <w:abstractNumId w:val="6"/>
  </w:num>
  <w:num w:numId="19">
    <w:abstractNumId w:val="25"/>
  </w:num>
  <w:num w:numId="20">
    <w:abstractNumId w:val="34"/>
  </w:num>
  <w:num w:numId="21">
    <w:abstractNumId w:val="2"/>
  </w:num>
  <w:num w:numId="22">
    <w:abstractNumId w:val="23"/>
  </w:num>
  <w:num w:numId="23">
    <w:abstractNumId w:val="30"/>
  </w:num>
  <w:num w:numId="24">
    <w:abstractNumId w:val="38"/>
  </w:num>
  <w:num w:numId="25">
    <w:abstractNumId w:val="5"/>
  </w:num>
  <w:num w:numId="26">
    <w:abstractNumId w:val="17"/>
  </w:num>
  <w:num w:numId="27">
    <w:abstractNumId w:val="18"/>
  </w:num>
  <w:num w:numId="28">
    <w:abstractNumId w:val="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19"/>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8"/>
  </w:num>
  <w:num w:numId="37">
    <w:abstractNumId w:val="36"/>
  </w:num>
  <w:num w:numId="38">
    <w:abstractNumId w:val="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CA6"/>
    <w:rsid w:val="00024A95"/>
    <w:rsid w:val="00034F10"/>
    <w:rsid w:val="000378F8"/>
    <w:rsid w:val="00041443"/>
    <w:rsid w:val="000444BD"/>
    <w:rsid w:val="00053809"/>
    <w:rsid w:val="00071823"/>
    <w:rsid w:val="000A6833"/>
    <w:rsid w:val="000B137A"/>
    <w:rsid w:val="000B554D"/>
    <w:rsid w:val="000C7A68"/>
    <w:rsid w:val="000D2E86"/>
    <w:rsid w:val="000D7A20"/>
    <w:rsid w:val="000E5750"/>
    <w:rsid w:val="000E7F59"/>
    <w:rsid w:val="000F0F8C"/>
    <w:rsid w:val="000F1E77"/>
    <w:rsid w:val="00120600"/>
    <w:rsid w:val="001268E9"/>
    <w:rsid w:val="00134848"/>
    <w:rsid w:val="00137E3A"/>
    <w:rsid w:val="00152230"/>
    <w:rsid w:val="001737E1"/>
    <w:rsid w:val="00194544"/>
    <w:rsid w:val="001964B7"/>
    <w:rsid w:val="001C3453"/>
    <w:rsid w:val="00201851"/>
    <w:rsid w:val="0021003A"/>
    <w:rsid w:val="00212FD8"/>
    <w:rsid w:val="0023609E"/>
    <w:rsid w:val="00256C47"/>
    <w:rsid w:val="00260274"/>
    <w:rsid w:val="0026452F"/>
    <w:rsid w:val="00267DE2"/>
    <w:rsid w:val="0029404D"/>
    <w:rsid w:val="002B1760"/>
    <w:rsid w:val="002C2106"/>
    <w:rsid w:val="002E0DF4"/>
    <w:rsid w:val="002E5220"/>
    <w:rsid w:val="003063EE"/>
    <w:rsid w:val="00313EA6"/>
    <w:rsid w:val="00320F2D"/>
    <w:rsid w:val="0032619C"/>
    <w:rsid w:val="003A10C2"/>
    <w:rsid w:val="003B54B3"/>
    <w:rsid w:val="003B59FA"/>
    <w:rsid w:val="003B6629"/>
    <w:rsid w:val="003D2130"/>
    <w:rsid w:val="003D7E7B"/>
    <w:rsid w:val="003E15C4"/>
    <w:rsid w:val="004204F5"/>
    <w:rsid w:val="00425628"/>
    <w:rsid w:val="00435EA5"/>
    <w:rsid w:val="00447084"/>
    <w:rsid w:val="00454DEC"/>
    <w:rsid w:val="00456AC6"/>
    <w:rsid w:val="004656BC"/>
    <w:rsid w:val="00472A9C"/>
    <w:rsid w:val="004A0C6B"/>
    <w:rsid w:val="004A4B91"/>
    <w:rsid w:val="004B459A"/>
    <w:rsid w:val="004D47CA"/>
    <w:rsid w:val="004D546B"/>
    <w:rsid w:val="004E4B9F"/>
    <w:rsid w:val="00514236"/>
    <w:rsid w:val="0051523F"/>
    <w:rsid w:val="005440EC"/>
    <w:rsid w:val="005531B6"/>
    <w:rsid w:val="00555782"/>
    <w:rsid w:val="00561B00"/>
    <w:rsid w:val="00564C26"/>
    <w:rsid w:val="00565C55"/>
    <w:rsid w:val="0057241F"/>
    <w:rsid w:val="005A2B53"/>
    <w:rsid w:val="005D442D"/>
    <w:rsid w:val="0060277C"/>
    <w:rsid w:val="006027C3"/>
    <w:rsid w:val="006261B6"/>
    <w:rsid w:val="0064652D"/>
    <w:rsid w:val="006535A3"/>
    <w:rsid w:val="00654047"/>
    <w:rsid w:val="00655B77"/>
    <w:rsid w:val="00671E11"/>
    <w:rsid w:val="00681C04"/>
    <w:rsid w:val="006B7977"/>
    <w:rsid w:val="006C4EFA"/>
    <w:rsid w:val="006E36A4"/>
    <w:rsid w:val="006E7948"/>
    <w:rsid w:val="00704604"/>
    <w:rsid w:val="007137AB"/>
    <w:rsid w:val="00714C89"/>
    <w:rsid w:val="00725BBA"/>
    <w:rsid w:val="0073213D"/>
    <w:rsid w:val="00746160"/>
    <w:rsid w:val="00755DA3"/>
    <w:rsid w:val="00760330"/>
    <w:rsid w:val="00792763"/>
    <w:rsid w:val="007A402E"/>
    <w:rsid w:val="007D4A48"/>
    <w:rsid w:val="007F745B"/>
    <w:rsid w:val="00805D93"/>
    <w:rsid w:val="0081462E"/>
    <w:rsid w:val="00825F36"/>
    <w:rsid w:val="00826A75"/>
    <w:rsid w:val="008311D3"/>
    <w:rsid w:val="0083179B"/>
    <w:rsid w:val="00831F7B"/>
    <w:rsid w:val="008330D2"/>
    <w:rsid w:val="00834AB8"/>
    <w:rsid w:val="0086180F"/>
    <w:rsid w:val="008704F4"/>
    <w:rsid w:val="00874872"/>
    <w:rsid w:val="00885F80"/>
    <w:rsid w:val="00886BE8"/>
    <w:rsid w:val="00900624"/>
    <w:rsid w:val="00924256"/>
    <w:rsid w:val="00961CA6"/>
    <w:rsid w:val="00972164"/>
    <w:rsid w:val="009C08D3"/>
    <w:rsid w:val="009D3673"/>
    <w:rsid w:val="009F12B3"/>
    <w:rsid w:val="009F6E27"/>
    <w:rsid w:val="009F7C6A"/>
    <w:rsid w:val="00A1164D"/>
    <w:rsid w:val="00A227E2"/>
    <w:rsid w:val="00A36A65"/>
    <w:rsid w:val="00A502B5"/>
    <w:rsid w:val="00A634F0"/>
    <w:rsid w:val="00AA53A0"/>
    <w:rsid w:val="00AC01CA"/>
    <w:rsid w:val="00AD2D90"/>
    <w:rsid w:val="00AD30C0"/>
    <w:rsid w:val="00AD753F"/>
    <w:rsid w:val="00AE3D3C"/>
    <w:rsid w:val="00AF6023"/>
    <w:rsid w:val="00B01467"/>
    <w:rsid w:val="00B02063"/>
    <w:rsid w:val="00B11C54"/>
    <w:rsid w:val="00B21ADF"/>
    <w:rsid w:val="00B33052"/>
    <w:rsid w:val="00B3387E"/>
    <w:rsid w:val="00B36DB4"/>
    <w:rsid w:val="00B41162"/>
    <w:rsid w:val="00B44995"/>
    <w:rsid w:val="00B5309F"/>
    <w:rsid w:val="00B60BC1"/>
    <w:rsid w:val="00B62425"/>
    <w:rsid w:val="00B64111"/>
    <w:rsid w:val="00B65101"/>
    <w:rsid w:val="00B84DF1"/>
    <w:rsid w:val="00B91685"/>
    <w:rsid w:val="00BA3D27"/>
    <w:rsid w:val="00BD7237"/>
    <w:rsid w:val="00BE415E"/>
    <w:rsid w:val="00BE5C3A"/>
    <w:rsid w:val="00C273BD"/>
    <w:rsid w:val="00C449F2"/>
    <w:rsid w:val="00C45F15"/>
    <w:rsid w:val="00C60CBE"/>
    <w:rsid w:val="00CB1566"/>
    <w:rsid w:val="00CB4A28"/>
    <w:rsid w:val="00CC616B"/>
    <w:rsid w:val="00CC78CD"/>
    <w:rsid w:val="00CD27D3"/>
    <w:rsid w:val="00CE38F5"/>
    <w:rsid w:val="00CF5DF5"/>
    <w:rsid w:val="00CF698F"/>
    <w:rsid w:val="00CF798E"/>
    <w:rsid w:val="00D03A0D"/>
    <w:rsid w:val="00D11877"/>
    <w:rsid w:val="00D36FAF"/>
    <w:rsid w:val="00D66584"/>
    <w:rsid w:val="00D77568"/>
    <w:rsid w:val="00D82D8C"/>
    <w:rsid w:val="00DB20B2"/>
    <w:rsid w:val="00DC2BB2"/>
    <w:rsid w:val="00DC7C5B"/>
    <w:rsid w:val="00DD370B"/>
    <w:rsid w:val="00DE2CCB"/>
    <w:rsid w:val="00DF2FE0"/>
    <w:rsid w:val="00DF36EF"/>
    <w:rsid w:val="00E17E99"/>
    <w:rsid w:val="00E30F92"/>
    <w:rsid w:val="00E440A3"/>
    <w:rsid w:val="00E46D33"/>
    <w:rsid w:val="00E81E4D"/>
    <w:rsid w:val="00E845E2"/>
    <w:rsid w:val="00E8516D"/>
    <w:rsid w:val="00E96581"/>
    <w:rsid w:val="00EC2856"/>
    <w:rsid w:val="00ED0A54"/>
    <w:rsid w:val="00EE5A08"/>
    <w:rsid w:val="00EF7EF9"/>
    <w:rsid w:val="00F15452"/>
    <w:rsid w:val="00F167E6"/>
    <w:rsid w:val="00F321D3"/>
    <w:rsid w:val="00F33652"/>
    <w:rsid w:val="00F6082D"/>
    <w:rsid w:val="00F816BF"/>
    <w:rsid w:val="00F867E2"/>
    <w:rsid w:val="00F916D5"/>
    <w:rsid w:val="00F97F2C"/>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dof.gob.mx/nota_detalle.php?codigo=5492254&amp;fecha=28/07/2017"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4850E7-C3FA-4558-9729-B7AC35F1D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9704</Words>
  <Characters>53377</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12</cp:revision>
  <cp:lastPrinted>2026-02-13T16:03:00Z</cp:lastPrinted>
  <dcterms:created xsi:type="dcterms:W3CDTF">2026-02-05T21:22:00Z</dcterms:created>
  <dcterms:modified xsi:type="dcterms:W3CDTF">2026-02-24T18:36:00Z</dcterms:modified>
</cp:coreProperties>
</file>