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9C7730"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9C7730">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9C7730">
        <w:rPr>
          <w:rFonts w:ascii="Palatino Linotype" w:eastAsia="Palatino Linotype" w:hAnsi="Palatino Linotype" w:cs="Palatino Linotype"/>
          <w:sz w:val="22"/>
          <w:szCs w:val="22"/>
        </w:rPr>
        <w:t>diecisiete</w:t>
      </w:r>
      <w:r w:rsidR="00032509" w:rsidRPr="009C7730">
        <w:rPr>
          <w:rFonts w:ascii="Palatino Linotype" w:eastAsia="Palatino Linotype" w:hAnsi="Palatino Linotype" w:cs="Palatino Linotype"/>
          <w:sz w:val="22"/>
          <w:szCs w:val="22"/>
        </w:rPr>
        <w:t xml:space="preserve"> de septiembre</w:t>
      </w:r>
      <w:r w:rsidR="00E55CFA" w:rsidRPr="009C7730">
        <w:rPr>
          <w:rFonts w:ascii="Palatino Linotype" w:eastAsia="Palatino Linotype" w:hAnsi="Palatino Linotype" w:cs="Palatino Linotype"/>
          <w:sz w:val="22"/>
          <w:szCs w:val="22"/>
        </w:rPr>
        <w:t xml:space="preserve"> de dos mil veintiséis</w:t>
      </w:r>
      <w:r w:rsidRPr="009C7730">
        <w:rPr>
          <w:rFonts w:ascii="Palatino Linotype" w:eastAsia="Palatino Linotype" w:hAnsi="Palatino Linotype" w:cs="Palatino Linotype"/>
          <w:sz w:val="22"/>
          <w:szCs w:val="22"/>
        </w:rPr>
        <w:t xml:space="preserve">. </w:t>
      </w:r>
    </w:p>
    <w:p w14:paraId="13FC4B2B" w14:textId="77777777" w:rsidR="00532AE4" w:rsidRPr="009C7730" w:rsidRDefault="00532AE4">
      <w:pPr>
        <w:spacing w:line="360" w:lineRule="auto"/>
        <w:jc w:val="both"/>
        <w:rPr>
          <w:rFonts w:ascii="Palatino Linotype" w:eastAsia="Palatino Linotype" w:hAnsi="Palatino Linotype" w:cs="Palatino Linotype"/>
          <w:b/>
          <w:sz w:val="22"/>
          <w:szCs w:val="22"/>
        </w:rPr>
      </w:pPr>
    </w:p>
    <w:p w14:paraId="50DC799A" w14:textId="2F7B882D"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Visto </w:t>
      </w:r>
      <w:r w:rsidRPr="009C7730">
        <w:rPr>
          <w:rFonts w:ascii="Palatino Linotype" w:eastAsia="Palatino Linotype" w:hAnsi="Palatino Linotype" w:cs="Palatino Linotype"/>
          <w:sz w:val="22"/>
          <w:szCs w:val="22"/>
        </w:rPr>
        <w:t xml:space="preserve">el expediente relativo al recurso de revisión </w:t>
      </w:r>
      <w:r w:rsidR="008C1E2D" w:rsidRPr="009C7730">
        <w:rPr>
          <w:rFonts w:ascii="Palatino Linotype" w:eastAsia="Palatino Linotype" w:hAnsi="Palatino Linotype" w:cs="Palatino Linotype"/>
          <w:b/>
          <w:sz w:val="22"/>
          <w:szCs w:val="22"/>
        </w:rPr>
        <w:t>0</w:t>
      </w:r>
      <w:r w:rsidR="00150206" w:rsidRPr="009C7730">
        <w:rPr>
          <w:rFonts w:ascii="Palatino Linotype" w:eastAsia="Palatino Linotype" w:hAnsi="Palatino Linotype" w:cs="Palatino Linotype"/>
          <w:b/>
          <w:sz w:val="22"/>
          <w:szCs w:val="22"/>
        </w:rPr>
        <w:t>8094</w:t>
      </w:r>
      <w:r w:rsidR="000C05BE" w:rsidRPr="009C7730">
        <w:rPr>
          <w:rFonts w:ascii="Palatino Linotype" w:eastAsia="Palatino Linotype" w:hAnsi="Palatino Linotype" w:cs="Palatino Linotype"/>
          <w:b/>
          <w:sz w:val="22"/>
          <w:szCs w:val="22"/>
        </w:rPr>
        <w:t>/INFOEM/IP/RR/2026</w:t>
      </w:r>
      <w:r w:rsidRPr="009C7730">
        <w:rPr>
          <w:rFonts w:ascii="Palatino Linotype" w:eastAsia="Palatino Linotype" w:hAnsi="Palatino Linotype" w:cs="Palatino Linotype"/>
          <w:sz w:val="22"/>
          <w:szCs w:val="22"/>
        </w:rPr>
        <w:t xml:space="preserve">, </w:t>
      </w:r>
      <w:r w:rsidRPr="009C7730">
        <w:rPr>
          <w:rFonts w:ascii="Palatino Linotype" w:eastAsia="Palatino Linotype" w:hAnsi="Palatino Linotype" w:cs="Palatino Linotype"/>
        </w:rPr>
        <w:t xml:space="preserve">interpuesto </w:t>
      </w:r>
      <w:r w:rsidR="0061438F" w:rsidRPr="009C7730">
        <w:rPr>
          <w:rFonts w:ascii="Palatino Linotype" w:eastAsia="Palatino Linotype" w:hAnsi="Palatino Linotype" w:cs="Palatino Linotype"/>
        </w:rPr>
        <w:t xml:space="preserve">por </w:t>
      </w:r>
      <w:r w:rsidR="006C50B8">
        <w:rPr>
          <w:rFonts w:ascii="Palatino Linotype" w:eastAsia="Palatino Linotype" w:hAnsi="Palatino Linotype" w:cs="Palatino Linotype"/>
          <w:b/>
        </w:rPr>
        <w:t xml:space="preserve">XXXX </w:t>
      </w:r>
      <w:proofErr w:type="spellStart"/>
      <w:r w:rsidR="006C50B8">
        <w:rPr>
          <w:rFonts w:ascii="Palatino Linotype" w:eastAsia="Palatino Linotype" w:hAnsi="Palatino Linotype" w:cs="Palatino Linotype"/>
          <w:b/>
        </w:rPr>
        <w:t>XXXX</w:t>
      </w:r>
      <w:proofErr w:type="spellEnd"/>
      <w:r w:rsidR="008E5D58" w:rsidRPr="009C7730">
        <w:rPr>
          <w:rFonts w:ascii="Palatino Linotype" w:eastAsia="Palatino Linotype" w:hAnsi="Palatino Linotype" w:cs="Palatino Linotype"/>
          <w:b/>
        </w:rPr>
        <w:t xml:space="preserve"> </w:t>
      </w:r>
      <w:r w:rsidRPr="009C7730">
        <w:rPr>
          <w:rFonts w:ascii="Palatino Linotype" w:eastAsia="Palatino Linotype" w:hAnsi="Palatino Linotype" w:cs="Palatino Linotype"/>
        </w:rPr>
        <w:t xml:space="preserve">en lo sucesivo la parte </w:t>
      </w:r>
      <w:r w:rsidRPr="009C7730">
        <w:rPr>
          <w:rFonts w:ascii="Palatino Linotype" w:eastAsia="Palatino Linotype" w:hAnsi="Palatino Linotype" w:cs="Palatino Linotype"/>
          <w:b/>
        </w:rPr>
        <w:t>RECURRENTE</w:t>
      </w:r>
      <w:r w:rsidRPr="009C7730">
        <w:rPr>
          <w:rFonts w:ascii="Palatino Linotype" w:eastAsia="Palatino Linotype" w:hAnsi="Palatino Linotype" w:cs="Palatino Linotype"/>
          <w:b/>
          <w:sz w:val="22"/>
          <w:szCs w:val="22"/>
        </w:rPr>
        <w:t xml:space="preserve">, </w:t>
      </w:r>
      <w:r w:rsidRPr="009C7730">
        <w:rPr>
          <w:rFonts w:ascii="Palatino Linotype" w:eastAsia="Palatino Linotype" w:hAnsi="Palatino Linotype" w:cs="Palatino Linotype"/>
          <w:sz w:val="22"/>
          <w:szCs w:val="22"/>
        </w:rPr>
        <w:t>en contra de la falta de respuesta a la solicitud de acceso a la información con número de folio</w:t>
      </w:r>
      <w:r w:rsidRPr="009C7730">
        <w:rPr>
          <w:rFonts w:ascii="Verdana" w:eastAsia="Verdana" w:hAnsi="Verdana" w:cs="Verdana"/>
          <w:b/>
          <w:sz w:val="22"/>
          <w:szCs w:val="22"/>
        </w:rPr>
        <w:t> </w:t>
      </w:r>
      <w:r w:rsidR="00150206" w:rsidRPr="009C7730">
        <w:rPr>
          <w:rFonts w:ascii="Palatino Linotype" w:eastAsia="Palatino Linotype" w:hAnsi="Palatino Linotype" w:cs="Palatino Linotype"/>
          <w:b/>
        </w:rPr>
        <w:t>00086/ALMOJU/IP/2026</w:t>
      </w:r>
      <w:r w:rsidR="00EF743D" w:rsidRPr="009C7730">
        <w:rPr>
          <w:rFonts w:ascii="Palatino Linotype" w:eastAsia="Palatino Linotype" w:hAnsi="Palatino Linotype" w:cs="Palatino Linotype"/>
          <w:b/>
        </w:rPr>
        <w:t xml:space="preserve">, </w:t>
      </w:r>
      <w:r w:rsidRPr="009C7730">
        <w:rPr>
          <w:rFonts w:ascii="Palatino Linotype" w:eastAsia="Palatino Linotype" w:hAnsi="Palatino Linotype" w:cs="Palatino Linotype"/>
          <w:sz w:val="22"/>
          <w:szCs w:val="22"/>
        </w:rPr>
        <w:t xml:space="preserve">por parte del </w:t>
      </w:r>
      <w:r w:rsidR="008E5D58" w:rsidRPr="009C7730">
        <w:rPr>
          <w:rFonts w:ascii="Palatino Linotype" w:eastAsia="Palatino Linotype" w:hAnsi="Palatino Linotype" w:cs="Palatino Linotype"/>
          <w:b/>
          <w:sz w:val="22"/>
          <w:szCs w:val="22"/>
        </w:rPr>
        <w:t xml:space="preserve">Ayuntamiento de </w:t>
      </w:r>
      <w:r w:rsidR="00150206" w:rsidRPr="009C7730">
        <w:rPr>
          <w:rFonts w:ascii="Palatino Linotype" w:eastAsia="Palatino Linotype" w:hAnsi="Palatino Linotype" w:cs="Palatino Linotype"/>
          <w:b/>
          <w:sz w:val="22"/>
          <w:szCs w:val="22"/>
        </w:rPr>
        <w:t>Almoloya de Juárez</w:t>
      </w:r>
      <w:r w:rsidR="00390FDA" w:rsidRPr="009C7730">
        <w:rPr>
          <w:rFonts w:ascii="Palatino Linotype" w:eastAsia="Palatino Linotype" w:hAnsi="Palatino Linotype" w:cs="Palatino Linotype"/>
          <w:b/>
          <w:sz w:val="22"/>
          <w:szCs w:val="22"/>
        </w:rPr>
        <w:t>,</w:t>
      </w:r>
      <w:r w:rsidRPr="009C7730">
        <w:rPr>
          <w:rFonts w:ascii="Palatino Linotype" w:eastAsia="Palatino Linotype" w:hAnsi="Palatino Linotype" w:cs="Palatino Linotype"/>
          <w:sz w:val="22"/>
          <w:szCs w:val="22"/>
        </w:rPr>
        <w:t xml:space="preserve"> en lo sucesivo el </w:t>
      </w:r>
      <w:r w:rsidRPr="009C7730">
        <w:rPr>
          <w:rFonts w:ascii="Palatino Linotype" w:eastAsia="Palatino Linotype" w:hAnsi="Palatino Linotype" w:cs="Palatino Linotype"/>
          <w:b/>
          <w:sz w:val="22"/>
          <w:szCs w:val="22"/>
        </w:rPr>
        <w:t xml:space="preserve">SUJETO OBLIGADO; </w:t>
      </w:r>
      <w:r w:rsidRPr="009C7730">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9C7730"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A N T E C E D E N T E S:</w:t>
      </w:r>
    </w:p>
    <w:p w14:paraId="77D7A248" w14:textId="77777777" w:rsidR="00532AE4" w:rsidRPr="009C7730"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7FCC3B64"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1. Solicitud de acceso a la información. </w:t>
      </w:r>
      <w:r w:rsidR="00EE5E30" w:rsidRPr="009C7730">
        <w:rPr>
          <w:rFonts w:ascii="Palatino Linotype" w:eastAsia="Palatino Linotype" w:hAnsi="Palatino Linotype" w:cs="Palatino Linotype"/>
          <w:sz w:val="22"/>
          <w:szCs w:val="22"/>
        </w:rPr>
        <w:t xml:space="preserve">Con fecha </w:t>
      </w:r>
      <w:r w:rsidR="00150206" w:rsidRPr="009C7730">
        <w:rPr>
          <w:rFonts w:ascii="Palatino Linotype" w:eastAsia="Palatino Linotype" w:hAnsi="Palatino Linotype" w:cs="Palatino Linotype"/>
          <w:b/>
          <w:sz w:val="22"/>
          <w:szCs w:val="22"/>
        </w:rPr>
        <w:t>siete de julio</w:t>
      </w:r>
      <w:r w:rsidR="0084271D" w:rsidRPr="009C7730">
        <w:rPr>
          <w:rFonts w:ascii="Palatino Linotype" w:eastAsia="Palatino Linotype" w:hAnsi="Palatino Linotype" w:cs="Palatino Linotype"/>
          <w:b/>
          <w:sz w:val="22"/>
          <w:szCs w:val="22"/>
        </w:rPr>
        <w:t xml:space="preserve"> de dos mil veintiséis</w:t>
      </w:r>
      <w:r w:rsidRPr="009C7730">
        <w:rPr>
          <w:rFonts w:ascii="Palatino Linotype" w:eastAsia="Palatino Linotype" w:hAnsi="Palatino Linotype" w:cs="Palatino Linotype"/>
          <w:sz w:val="22"/>
          <w:szCs w:val="22"/>
        </w:rPr>
        <w:t xml:space="preserve">, la parte </w:t>
      </w:r>
      <w:r w:rsidRPr="009C7730">
        <w:rPr>
          <w:rFonts w:ascii="Palatino Linotype" w:eastAsia="Palatino Linotype" w:hAnsi="Palatino Linotype" w:cs="Palatino Linotype"/>
          <w:b/>
          <w:sz w:val="22"/>
          <w:szCs w:val="22"/>
        </w:rPr>
        <w:t xml:space="preserve">RECURRENTE </w:t>
      </w:r>
      <w:r w:rsidRPr="009C7730">
        <w:rPr>
          <w:rFonts w:ascii="Palatino Linotype" w:eastAsia="Palatino Linotype" w:hAnsi="Palatino Linotype" w:cs="Palatino Linotype"/>
          <w:sz w:val="22"/>
          <w:szCs w:val="22"/>
        </w:rPr>
        <w:t xml:space="preserve">formuló a través del Sistema de Acceso a la Información Mexiquense, en adelante </w:t>
      </w:r>
      <w:r w:rsidRPr="009C7730">
        <w:rPr>
          <w:rFonts w:ascii="Palatino Linotype" w:eastAsia="Palatino Linotype" w:hAnsi="Palatino Linotype" w:cs="Palatino Linotype"/>
          <w:b/>
          <w:sz w:val="22"/>
          <w:szCs w:val="22"/>
        </w:rPr>
        <w:t>SAIMEX,</w:t>
      </w:r>
      <w:r w:rsidRPr="009C7730">
        <w:rPr>
          <w:rFonts w:ascii="Palatino Linotype" w:eastAsia="Palatino Linotype" w:hAnsi="Palatino Linotype" w:cs="Palatino Linotype"/>
          <w:sz w:val="22"/>
          <w:szCs w:val="22"/>
        </w:rPr>
        <w:t xml:space="preserve"> solicitud de información al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requiriéndole lo siguiente:</w:t>
      </w:r>
    </w:p>
    <w:p w14:paraId="59CC0872" w14:textId="68200746" w:rsidR="009B6117" w:rsidRPr="009C7730" w:rsidRDefault="009B6117" w:rsidP="00724155">
      <w:pPr>
        <w:ind w:right="616"/>
        <w:jc w:val="both"/>
        <w:rPr>
          <w:rFonts w:ascii="Palatino Linotype" w:eastAsia="Palatino Linotype" w:hAnsi="Palatino Linotype" w:cs="Palatino Linotype"/>
          <w:i/>
          <w:sz w:val="22"/>
          <w:szCs w:val="22"/>
        </w:rPr>
      </w:pPr>
    </w:p>
    <w:p w14:paraId="0F87CB2C" w14:textId="598A12A4" w:rsidR="00532AE4" w:rsidRPr="009C7730" w:rsidRDefault="0004402A" w:rsidP="009E1567">
      <w:pPr>
        <w:ind w:left="851"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w:t>
      </w:r>
      <w:r w:rsidR="00150206" w:rsidRPr="009C7730">
        <w:rPr>
          <w:rFonts w:ascii="Palatino Linotype" w:eastAsia="Palatino Linotype" w:hAnsi="Palatino Linotype" w:cs="Palatino Linotype"/>
          <w:i/>
          <w:sz w:val="22"/>
          <w:szCs w:val="22"/>
        </w:rPr>
        <w:t xml:space="preserve">Por medio de la presente, solicito una base de datos (en formato abierto como xls o </w:t>
      </w:r>
      <w:proofErr w:type="spellStart"/>
      <w:r w:rsidR="00150206" w:rsidRPr="009C7730">
        <w:rPr>
          <w:rFonts w:ascii="Palatino Linotype" w:eastAsia="Palatino Linotype" w:hAnsi="Palatino Linotype" w:cs="Palatino Linotype"/>
          <w:i/>
          <w:sz w:val="22"/>
          <w:szCs w:val="22"/>
        </w:rPr>
        <w:t>cvs</w:t>
      </w:r>
      <w:proofErr w:type="spellEnd"/>
      <w:r w:rsidR="00150206" w:rsidRPr="009C7730">
        <w:rPr>
          <w:rFonts w:ascii="Palatino Linotype" w:eastAsia="Palatino Linotype" w:hAnsi="Palatino Linotype" w:cs="Palatino Linotype"/>
          <w:i/>
          <w:sz w:val="22"/>
          <w:szCs w:val="22"/>
        </w:rPr>
        <w:t xml:space="preserve">.) con la siguiente información de incidencia delictiva o reporte de incidentes, eventos o cualquier registro o documento con el que cuente el sujeto obligado que contenga la siguiente información: TIPO DE INCIDENTE O EVENTO (es decir hechos presuntamente constitutivos de delito y/o falta administrativa, o situación reportada, cualquiera que esta sea, especificando si el hecho fue con o sin violencia) HORA DEL INCIDENTE O EVENTO FECHA ( </w:t>
      </w:r>
      <w:proofErr w:type="spellStart"/>
      <w:r w:rsidR="00150206" w:rsidRPr="009C7730">
        <w:rPr>
          <w:rFonts w:ascii="Palatino Linotype" w:eastAsia="Palatino Linotype" w:hAnsi="Palatino Linotype" w:cs="Palatino Linotype"/>
          <w:i/>
          <w:sz w:val="22"/>
          <w:szCs w:val="22"/>
        </w:rPr>
        <w:t>dd</w:t>
      </w:r>
      <w:proofErr w:type="spellEnd"/>
      <w:r w:rsidR="00150206" w:rsidRPr="009C7730">
        <w:rPr>
          <w:rFonts w:ascii="Palatino Linotype" w:eastAsia="Palatino Linotype" w:hAnsi="Palatino Linotype" w:cs="Palatino Linotype"/>
          <w:i/>
          <w:sz w:val="22"/>
          <w:szCs w:val="22"/>
        </w:rPr>
        <w:t>/mm/</w:t>
      </w:r>
      <w:proofErr w:type="spellStart"/>
      <w:r w:rsidR="00150206" w:rsidRPr="009C7730">
        <w:rPr>
          <w:rFonts w:ascii="Palatino Linotype" w:eastAsia="Palatino Linotype" w:hAnsi="Palatino Linotype" w:cs="Palatino Linotype"/>
          <w:i/>
          <w:sz w:val="22"/>
          <w:szCs w:val="22"/>
        </w:rPr>
        <w:t>aaaa</w:t>
      </w:r>
      <w:proofErr w:type="spellEnd"/>
      <w:r w:rsidR="00150206" w:rsidRPr="009C7730">
        <w:rPr>
          <w:rFonts w:ascii="Palatino Linotype" w:eastAsia="Palatino Linotype" w:hAnsi="Palatino Linotype" w:cs="Palatino Linotype"/>
          <w:i/>
          <w:sz w:val="22"/>
          <w:szCs w:val="22"/>
        </w:rPr>
        <w:t xml:space="preserve">) DEL INCIDENTE O EVENTO LUGAR DEL INCIDENTE O EVENTO UBICACIÓN DEL INCIDENTE O EVENTO LAS COORDENADAS GEOGRÁFICAS DEL INCIDENTE O EVENTO. ESTABLECIDAS EN LA SECCIÓN “LUGAR DE LA INTERVENCIÓN” DEL INFORME POLICIAL HOMOLOGADO PARA 1) </w:t>
      </w:r>
      <w:r w:rsidR="00150206" w:rsidRPr="009C7730">
        <w:rPr>
          <w:rFonts w:ascii="Palatino Linotype" w:eastAsia="Palatino Linotype" w:hAnsi="Palatino Linotype" w:cs="Palatino Linotype"/>
          <w:i/>
          <w:sz w:val="22"/>
          <w:szCs w:val="22"/>
        </w:rPr>
        <w:lastRenderedPageBreak/>
        <w:t xml:space="preserve">HECHOS PROBABLEMENTE DELICTIVOS O PARA 2) JUSTICIA CÍVICA SEGÚN CORRESPONDA AL TIPO DE INCIDENTE. Solicito explícitamente que la información se encuentre desglosada y particularizada por tipo de incidente, por lo que cada uno debe contener su hora, fecha, lugar, ubicación y coordenadas geográficas que le corresponde. Requiero que se proporcione la información correspondiente al periodo del 1 de enero de 2018 a la fecha de la presente solicitud. Me permito mencionar que aun cuando existe información pública relacionada a la de mi solicitud en la página e información que se proporciona por el Secretariado Ejecutivo Del Sistema Nacional De Seguridad Pública, la contenida en la misma no se encuentra desglosada con el detalle con la que un servidor está solicitando, principalmente por lo que se refiere a la georreferencia y coordenada del incidente o evento. Por lo que solicito que verifiquen en sus bases de datos la información solicitada y me sea proporcionada en el formato solicitado. La información que solicito no puede ser considerada información confidencial, in virtud de que en la presente solicitud no se requieren nombres, domicilios ni otros datos personales, por lo que no procede la causal de confidencialidad. Incluso si algún registro contuviera datos personales de manera incidental, el sujeto obligado debe, conforme al artículo 120 de la Ley General de Transparencia y Acceso a la Información Pública (LGTAIP), entregar la información en versión pública, testando las partes confidenciales y proporcionando el resto de la información. Asimismo, la información solicitada tampoco puede clasificarse como reservada, pues no encuadra en las causales previstas en el artículo 112 de la LGTAIP ni supera la estricta prueba de daño que exige su artículo 107. Para reservarla, la autoridad tendría que demostrar que su divulgación genera un riesgo real, demostrable e identificable de perjuicio significativo, que dicho riesgo es mayor al interés público en conocerla, y además probar que no existe un medio menos restrictivo y que la medida es proporcional. Este no es el caso: los datos estadísticos y georreferenciados de incidencias delictivas no comprometen investigaciones ni la seguridad pública. Como prueba de lo anterior, mencionó que múltiples sujetos obligados ya publican información semejante sin afectar sus funciones, como lo demuestra la Plataforma de Seguridad del estado de Jalisco (https://iieg.gob.mx/plataforma_seguridad/#/plataforma) y las instancias de seguridad de la Ciudad de México (https://datos.cdmx.gob.mx/dataset/?groups=justicia-y-seguridad). En conclusión, la LGTAIP respalda plenamente la entrega de la información solicitada. Al no contener datos personales ni encuadrar en causales de reserva, la información debe proporcionarse en los términos requeridos, aplicando en su caso la figura de versión pública para conciliar el derecho de acceso a la información con la protección de datos estrictamente confidenciales. DATOS QUE FACILITEN LA BÚSQUEDA Y EVENTUAL LOCALIZACIÓN DE LA INFORMACIÓN Fundamento mi </w:t>
      </w:r>
      <w:r w:rsidR="00150206" w:rsidRPr="009C7730">
        <w:rPr>
          <w:rFonts w:ascii="Palatino Linotype" w:eastAsia="Palatino Linotype" w:hAnsi="Palatino Linotype" w:cs="Palatino Linotype"/>
          <w:i/>
          <w:sz w:val="22"/>
          <w:szCs w:val="22"/>
        </w:rPr>
        <w:lastRenderedPageBreak/>
        <w:t>solicitud en la funciones y atribuciones del sujeto obligado, así como las particulares de las áreas señaladas: Ley General del Sistema Nacional de Seguridad Pública, artículos 5, fracción X, 41 fracciones I y II, y 43. Ley Nacional del Registro de Detenciones, artículos 18, 20 y 21 párrafo I. Código Nacional de Procedimientos Penales, artículos 51 y 132 fracción XIV. Acuerdo por el que se emiten los Lineamientos para el llenado, entrega, recepción, registro, resguardo y consulta del Informe Policial Homologado. Publicado el 20/02/2020.</w:t>
      </w:r>
      <w:r w:rsidR="00137E5A" w:rsidRPr="009C7730">
        <w:rPr>
          <w:rFonts w:ascii="Palatino Linotype" w:eastAsia="Palatino Linotype" w:hAnsi="Palatino Linotype" w:cs="Palatino Linotype"/>
          <w:i/>
          <w:sz w:val="22"/>
          <w:szCs w:val="22"/>
        </w:rPr>
        <w:t xml:space="preserve">” </w:t>
      </w:r>
      <w:r w:rsidR="00A76F12" w:rsidRPr="009C7730">
        <w:rPr>
          <w:rFonts w:ascii="Palatino Linotype" w:eastAsia="Palatino Linotype" w:hAnsi="Palatino Linotype" w:cs="Palatino Linotype"/>
          <w:i/>
          <w:sz w:val="22"/>
          <w:szCs w:val="22"/>
        </w:rPr>
        <w:t>(Sic)</w:t>
      </w:r>
      <w:r w:rsidR="00CE1553" w:rsidRPr="009C7730">
        <w:rPr>
          <w:rFonts w:ascii="Palatino Linotype" w:eastAsia="Palatino Linotype" w:hAnsi="Palatino Linotype" w:cs="Palatino Linotype"/>
          <w:b/>
          <w:sz w:val="22"/>
          <w:szCs w:val="22"/>
        </w:rPr>
        <w:tab/>
      </w:r>
    </w:p>
    <w:p w14:paraId="6697AE7A" w14:textId="77777777" w:rsidR="00147A44" w:rsidRPr="009C7730"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9C7730" w:rsidRDefault="00A76F12" w:rsidP="00FD5905">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Modalidad elegida para la entrega de la información: </w:t>
      </w:r>
      <w:r w:rsidRPr="009C7730">
        <w:rPr>
          <w:rFonts w:ascii="Palatino Linotype" w:eastAsia="Palatino Linotype" w:hAnsi="Palatino Linotype" w:cs="Palatino Linotype"/>
          <w:sz w:val="22"/>
          <w:szCs w:val="22"/>
        </w:rPr>
        <w:t>a través del SAIMEX.</w:t>
      </w:r>
    </w:p>
    <w:p w14:paraId="1227E94F" w14:textId="77777777" w:rsidR="00D60C04" w:rsidRPr="009C7730"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9C7730" w:rsidRDefault="00FD5905">
      <w:pPr>
        <w:spacing w:line="360" w:lineRule="auto"/>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2</w:t>
      </w:r>
      <w:r w:rsidR="00D763D8" w:rsidRPr="009C7730">
        <w:rPr>
          <w:rFonts w:ascii="Palatino Linotype" w:eastAsia="Palatino Linotype" w:hAnsi="Palatino Linotype" w:cs="Palatino Linotype"/>
          <w:b/>
          <w:sz w:val="22"/>
          <w:szCs w:val="22"/>
        </w:rPr>
        <w:t xml:space="preserve">. </w:t>
      </w:r>
      <w:r w:rsidR="00A76F12" w:rsidRPr="009C7730">
        <w:rPr>
          <w:rFonts w:ascii="Palatino Linotype" w:eastAsia="Palatino Linotype" w:hAnsi="Palatino Linotype" w:cs="Palatino Linotype"/>
          <w:b/>
          <w:sz w:val="22"/>
          <w:szCs w:val="22"/>
        </w:rPr>
        <w:t xml:space="preserve">Respuesta. </w:t>
      </w:r>
      <w:r w:rsidR="00A76F12" w:rsidRPr="009C7730">
        <w:rPr>
          <w:rFonts w:ascii="Palatino Linotype" w:eastAsia="Palatino Linotype" w:hAnsi="Palatino Linotype" w:cs="Palatino Linotype"/>
          <w:sz w:val="22"/>
          <w:szCs w:val="22"/>
        </w:rPr>
        <w:t xml:space="preserve">El </w:t>
      </w:r>
      <w:r w:rsidR="00A76F12" w:rsidRPr="009C7730">
        <w:rPr>
          <w:rFonts w:ascii="Palatino Linotype" w:eastAsia="Palatino Linotype" w:hAnsi="Palatino Linotype" w:cs="Palatino Linotype"/>
          <w:b/>
          <w:sz w:val="22"/>
          <w:szCs w:val="22"/>
        </w:rPr>
        <w:t xml:space="preserve">SUJETO OBLIGADO </w:t>
      </w:r>
      <w:r w:rsidR="00A76F12" w:rsidRPr="009C7730">
        <w:rPr>
          <w:rFonts w:ascii="Palatino Linotype" w:eastAsia="Palatino Linotype" w:hAnsi="Palatino Linotype" w:cs="Palatino Linotype"/>
          <w:sz w:val="22"/>
          <w:szCs w:val="22"/>
        </w:rPr>
        <w:t xml:space="preserve">fue omiso en proporcionar respuesta. </w:t>
      </w:r>
    </w:p>
    <w:p w14:paraId="66730054"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64E077EC" w14:textId="68DF9F9A" w:rsidR="00532AE4" w:rsidRPr="009C7730" w:rsidRDefault="00FD5905">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3</w:t>
      </w:r>
      <w:r w:rsidR="00A01FAB" w:rsidRPr="009C7730">
        <w:rPr>
          <w:rFonts w:ascii="Palatino Linotype" w:eastAsia="Palatino Linotype" w:hAnsi="Palatino Linotype" w:cs="Palatino Linotype"/>
          <w:b/>
          <w:sz w:val="22"/>
          <w:szCs w:val="22"/>
        </w:rPr>
        <w:t>.</w:t>
      </w:r>
      <w:r w:rsidR="00A76F12" w:rsidRPr="009C7730">
        <w:rPr>
          <w:rFonts w:ascii="Palatino Linotype" w:eastAsia="Palatino Linotype" w:hAnsi="Palatino Linotype" w:cs="Palatino Linotype"/>
          <w:b/>
          <w:sz w:val="22"/>
          <w:szCs w:val="22"/>
        </w:rPr>
        <w:t xml:space="preserve">Interposición del recurso de revisión. </w:t>
      </w:r>
      <w:r w:rsidR="00A76F12" w:rsidRPr="009C7730">
        <w:rPr>
          <w:rFonts w:ascii="Palatino Linotype" w:eastAsia="Palatino Linotype" w:hAnsi="Palatino Linotype" w:cs="Palatino Linotype"/>
          <w:sz w:val="22"/>
          <w:szCs w:val="22"/>
        </w:rPr>
        <w:t xml:space="preserve">Inconforme la parte solicitante con la falta de respuesta del </w:t>
      </w:r>
      <w:r w:rsidR="00A76F12" w:rsidRPr="009C7730">
        <w:rPr>
          <w:rFonts w:ascii="Palatino Linotype" w:eastAsia="Palatino Linotype" w:hAnsi="Palatino Linotype" w:cs="Palatino Linotype"/>
          <w:b/>
          <w:sz w:val="22"/>
          <w:szCs w:val="22"/>
        </w:rPr>
        <w:t>SUJETO OBLIGADO</w:t>
      </w:r>
      <w:r w:rsidR="00A76F12" w:rsidRPr="009C7730">
        <w:rPr>
          <w:rFonts w:ascii="Palatino Linotype" w:eastAsia="Palatino Linotype" w:hAnsi="Palatino Linotype" w:cs="Palatino Linotype"/>
          <w:sz w:val="22"/>
          <w:szCs w:val="22"/>
        </w:rPr>
        <w:t xml:space="preserve">, interpuso recurso de revisión a través del SAIMEX en fecha </w:t>
      </w:r>
      <w:r w:rsidR="00150206" w:rsidRPr="009C7730">
        <w:rPr>
          <w:rFonts w:ascii="Palatino Linotype" w:eastAsia="Palatino Linotype" w:hAnsi="Palatino Linotype" w:cs="Palatino Linotype"/>
          <w:b/>
          <w:sz w:val="22"/>
          <w:szCs w:val="22"/>
        </w:rPr>
        <w:t>veinticinco</w:t>
      </w:r>
      <w:r w:rsidR="00326E2A" w:rsidRPr="009C7730">
        <w:rPr>
          <w:rFonts w:ascii="Palatino Linotype" w:eastAsia="Palatino Linotype" w:hAnsi="Palatino Linotype" w:cs="Palatino Linotype"/>
          <w:b/>
          <w:sz w:val="22"/>
          <w:szCs w:val="22"/>
        </w:rPr>
        <w:t xml:space="preserve"> de agosto</w:t>
      </w:r>
      <w:r w:rsidR="00401731" w:rsidRPr="009C7730">
        <w:rPr>
          <w:rFonts w:ascii="Palatino Linotype" w:eastAsia="Palatino Linotype" w:hAnsi="Palatino Linotype" w:cs="Palatino Linotype"/>
          <w:b/>
          <w:sz w:val="22"/>
          <w:szCs w:val="22"/>
        </w:rPr>
        <w:t xml:space="preserve"> de dos mil veintiséis</w:t>
      </w:r>
      <w:r w:rsidR="00A76F12" w:rsidRPr="009C7730">
        <w:rPr>
          <w:rFonts w:ascii="Palatino Linotype" w:eastAsia="Palatino Linotype" w:hAnsi="Palatino Linotype" w:cs="Palatino Linotype"/>
          <w:sz w:val="22"/>
          <w:szCs w:val="22"/>
        </w:rPr>
        <w:t>, expresando lo siguiente:</w:t>
      </w:r>
    </w:p>
    <w:p w14:paraId="126577AC"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9ACBA47" w14:textId="5AEAE4A9" w:rsidR="00532AE4" w:rsidRPr="009C7730" w:rsidRDefault="00A76F12">
      <w:pPr>
        <w:spacing w:line="360"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sz w:val="22"/>
          <w:szCs w:val="22"/>
        </w:rPr>
        <w:t>a) Acto impugnado</w:t>
      </w:r>
      <w:r w:rsidRPr="009C7730">
        <w:rPr>
          <w:rFonts w:ascii="Palatino Linotype" w:eastAsia="Palatino Linotype" w:hAnsi="Palatino Linotype" w:cs="Palatino Linotype"/>
          <w:b/>
          <w:i/>
          <w:sz w:val="22"/>
          <w:szCs w:val="22"/>
        </w:rPr>
        <w:t xml:space="preserve">. </w:t>
      </w:r>
      <w:r w:rsidR="00EB74FD" w:rsidRPr="009C7730">
        <w:rPr>
          <w:rFonts w:ascii="Palatino Linotype" w:eastAsia="Palatino Linotype" w:hAnsi="Palatino Linotype" w:cs="Palatino Linotype"/>
          <w:i/>
          <w:sz w:val="22"/>
          <w:szCs w:val="22"/>
        </w:rPr>
        <w:t>“</w:t>
      </w:r>
      <w:r w:rsidR="00150206" w:rsidRPr="009C7730">
        <w:rPr>
          <w:rFonts w:ascii="Palatino Linotype" w:eastAsia="Palatino Linotype" w:hAnsi="Palatino Linotype" w:cs="Palatino Linotype"/>
          <w:i/>
          <w:sz w:val="22"/>
          <w:szCs w:val="22"/>
        </w:rPr>
        <w:t>Falta de respuesta del sujeto obligado</w:t>
      </w:r>
      <w:r w:rsidR="009B6117" w:rsidRPr="009C7730">
        <w:rPr>
          <w:rFonts w:ascii="Palatino Linotype" w:eastAsia="Palatino Linotype" w:hAnsi="Palatino Linotype" w:cs="Palatino Linotype"/>
          <w:i/>
          <w:sz w:val="22"/>
          <w:szCs w:val="22"/>
        </w:rPr>
        <w:t xml:space="preserve">” </w:t>
      </w:r>
      <w:r w:rsidRPr="009C7730">
        <w:rPr>
          <w:rFonts w:ascii="Palatino Linotype" w:eastAsia="Palatino Linotype" w:hAnsi="Palatino Linotype" w:cs="Palatino Linotype"/>
          <w:i/>
          <w:sz w:val="22"/>
          <w:szCs w:val="22"/>
        </w:rPr>
        <w:t>(Sic)</w:t>
      </w:r>
    </w:p>
    <w:p w14:paraId="527329DB" w14:textId="77777777" w:rsidR="00532AE4" w:rsidRPr="009C7730" w:rsidRDefault="00532AE4">
      <w:pPr>
        <w:spacing w:line="360" w:lineRule="auto"/>
        <w:ind w:left="567" w:right="616"/>
        <w:rPr>
          <w:rFonts w:ascii="Palatino Linotype" w:eastAsia="Palatino Linotype" w:hAnsi="Palatino Linotype" w:cs="Palatino Linotype"/>
          <w:b/>
          <w:sz w:val="22"/>
          <w:szCs w:val="22"/>
        </w:rPr>
      </w:pPr>
    </w:p>
    <w:p w14:paraId="27199E43" w14:textId="076D9C97" w:rsidR="00532AE4" w:rsidRPr="009C7730" w:rsidRDefault="00A76F12">
      <w:pPr>
        <w:spacing w:line="360"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sz w:val="22"/>
          <w:szCs w:val="22"/>
        </w:rPr>
        <w:t xml:space="preserve">b) Motivos de inconformidad. </w:t>
      </w:r>
      <w:r w:rsidRPr="009C7730">
        <w:rPr>
          <w:rFonts w:ascii="Palatino Linotype" w:eastAsia="Palatino Linotype" w:hAnsi="Palatino Linotype" w:cs="Palatino Linotype"/>
          <w:i/>
          <w:sz w:val="22"/>
          <w:szCs w:val="22"/>
        </w:rPr>
        <w:t>“</w:t>
      </w:r>
      <w:r w:rsidR="00150206" w:rsidRPr="009C7730">
        <w:rPr>
          <w:rFonts w:ascii="Palatino Linotype" w:eastAsia="Palatino Linotype" w:hAnsi="Palatino Linotype" w:cs="Palatino Linotype"/>
          <w:i/>
          <w:sz w:val="22"/>
          <w:szCs w:val="22"/>
        </w:rPr>
        <w:t>El sujeto obligado no ha brindado respuesta a mi requerimiento por lo que solicito que lo realice de acuerdo a lo que fue solicitado.</w:t>
      </w:r>
      <w:r w:rsidR="002D134E" w:rsidRPr="009C7730">
        <w:rPr>
          <w:rFonts w:ascii="Palatino Linotype" w:eastAsia="Palatino Linotype" w:hAnsi="Palatino Linotype" w:cs="Palatino Linotype"/>
          <w:i/>
          <w:sz w:val="22"/>
          <w:szCs w:val="22"/>
        </w:rPr>
        <w:t>”</w:t>
      </w:r>
      <w:r w:rsidRPr="009C7730">
        <w:rPr>
          <w:rFonts w:ascii="Palatino Linotype" w:eastAsia="Palatino Linotype" w:hAnsi="Palatino Linotype" w:cs="Palatino Linotype"/>
          <w:i/>
          <w:sz w:val="22"/>
          <w:szCs w:val="22"/>
        </w:rPr>
        <w:t>(Sic)</w:t>
      </w:r>
    </w:p>
    <w:p w14:paraId="1CD932CE" w14:textId="0DD1EB9D" w:rsidR="00532AE4" w:rsidRPr="009C7730"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9C7730" w:rsidRDefault="00A01FAB">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4</w:t>
      </w:r>
      <w:r w:rsidR="00A76F12" w:rsidRPr="009C7730">
        <w:rPr>
          <w:rFonts w:ascii="Palatino Linotype" w:eastAsia="Palatino Linotype" w:hAnsi="Palatino Linotype" w:cs="Palatino Linotype"/>
          <w:b/>
          <w:sz w:val="22"/>
          <w:szCs w:val="22"/>
        </w:rPr>
        <w:t xml:space="preserve">. Turno. </w:t>
      </w:r>
      <w:r w:rsidR="00A76F12" w:rsidRPr="009C7730">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9C7730">
        <w:rPr>
          <w:rFonts w:ascii="Palatino Linotype" w:eastAsia="Palatino Linotype" w:hAnsi="Palatino Linotype" w:cs="Palatino Linotype"/>
          <w:b/>
          <w:sz w:val="22"/>
          <w:szCs w:val="22"/>
        </w:rPr>
        <w:t>Guadalupe Ramírez Peña</w:t>
      </w:r>
      <w:r w:rsidR="00A76F12" w:rsidRPr="009C7730">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9C7730" w:rsidRDefault="00285CBA">
      <w:pPr>
        <w:spacing w:line="360" w:lineRule="auto"/>
        <w:jc w:val="both"/>
        <w:rPr>
          <w:rFonts w:ascii="Palatino Linotype" w:eastAsia="Palatino Linotype" w:hAnsi="Palatino Linotype" w:cs="Palatino Linotype"/>
          <w:sz w:val="22"/>
          <w:szCs w:val="22"/>
        </w:rPr>
      </w:pPr>
    </w:p>
    <w:p w14:paraId="6F47DF3C" w14:textId="47201167" w:rsidR="00532AE4" w:rsidRPr="009C7730" w:rsidRDefault="00417D9F">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5</w:t>
      </w:r>
      <w:r w:rsidR="00A76F12" w:rsidRPr="009C7730">
        <w:rPr>
          <w:rFonts w:ascii="Palatino Linotype" w:eastAsia="Palatino Linotype" w:hAnsi="Palatino Linotype" w:cs="Palatino Linotype"/>
          <w:b/>
          <w:sz w:val="22"/>
          <w:szCs w:val="22"/>
        </w:rPr>
        <w:t xml:space="preserve">. Admisión. </w:t>
      </w:r>
      <w:r w:rsidR="003E2501" w:rsidRPr="009C7730">
        <w:rPr>
          <w:rFonts w:ascii="Palatino Linotype" w:eastAsia="Palatino Linotype" w:hAnsi="Palatino Linotype" w:cs="Palatino Linotype"/>
          <w:sz w:val="22"/>
          <w:szCs w:val="22"/>
        </w:rPr>
        <w:t>En</w:t>
      </w:r>
      <w:r w:rsidR="000F363F" w:rsidRPr="009C7730">
        <w:rPr>
          <w:rFonts w:ascii="Palatino Linotype" w:eastAsia="Palatino Linotype" w:hAnsi="Palatino Linotype" w:cs="Palatino Linotype"/>
          <w:sz w:val="22"/>
          <w:szCs w:val="22"/>
        </w:rPr>
        <w:t xml:space="preserve"> </w:t>
      </w:r>
      <w:r w:rsidR="00A8506B" w:rsidRPr="009C7730">
        <w:rPr>
          <w:rFonts w:ascii="Palatino Linotype" w:eastAsia="Palatino Linotype" w:hAnsi="Palatino Linotype" w:cs="Palatino Linotype"/>
          <w:sz w:val="22"/>
          <w:szCs w:val="22"/>
        </w:rPr>
        <w:t xml:space="preserve">fecha </w:t>
      </w:r>
      <w:r w:rsidR="00150206" w:rsidRPr="009C7730">
        <w:rPr>
          <w:rFonts w:ascii="Palatino Linotype" w:eastAsia="Palatino Linotype" w:hAnsi="Palatino Linotype" w:cs="Palatino Linotype"/>
          <w:b/>
          <w:sz w:val="22"/>
          <w:szCs w:val="22"/>
        </w:rPr>
        <w:t>veintiséis</w:t>
      </w:r>
      <w:r w:rsidR="00DD647E" w:rsidRPr="009C7730">
        <w:rPr>
          <w:rFonts w:ascii="Palatino Linotype" w:eastAsia="Palatino Linotype" w:hAnsi="Palatino Linotype" w:cs="Palatino Linotype"/>
          <w:b/>
          <w:sz w:val="22"/>
          <w:szCs w:val="22"/>
        </w:rPr>
        <w:t xml:space="preserve"> de agosto</w:t>
      </w:r>
      <w:r w:rsidR="003E2501" w:rsidRPr="009C7730">
        <w:rPr>
          <w:rFonts w:ascii="Palatino Linotype" w:eastAsia="Palatino Linotype" w:hAnsi="Palatino Linotype" w:cs="Palatino Linotype"/>
          <w:b/>
          <w:sz w:val="22"/>
          <w:szCs w:val="22"/>
        </w:rPr>
        <w:t xml:space="preserve"> de dos mil veintiséis</w:t>
      </w:r>
      <w:r w:rsidR="00044D36" w:rsidRPr="009C7730">
        <w:rPr>
          <w:rFonts w:ascii="Palatino Linotype" w:eastAsia="Palatino Linotype" w:hAnsi="Palatino Linotype" w:cs="Palatino Linotype"/>
          <w:sz w:val="22"/>
          <w:szCs w:val="22"/>
        </w:rPr>
        <w:t xml:space="preserve">, </w:t>
      </w:r>
      <w:r w:rsidR="00A76F12" w:rsidRPr="009C7730">
        <w:rPr>
          <w:rFonts w:ascii="Palatino Linotype" w:eastAsia="Palatino Linotype" w:hAnsi="Palatino Linotype" w:cs="Palatino Linotype"/>
          <w:sz w:val="22"/>
          <w:szCs w:val="22"/>
        </w:rPr>
        <w:t xml:space="preserve">en términos de lo dispuesto en el artículo 185 fracciones I, II y IV de la Ley de Transparencia y Acceso a la </w:t>
      </w:r>
      <w:r w:rsidR="00A76F12" w:rsidRPr="009C7730">
        <w:rPr>
          <w:rFonts w:ascii="Palatino Linotype" w:eastAsia="Palatino Linotype" w:hAnsi="Palatino Linotype" w:cs="Palatino Linotype"/>
          <w:sz w:val="22"/>
          <w:szCs w:val="22"/>
        </w:rPr>
        <w:lastRenderedPageBreak/>
        <w:t>Información Pública del Estado de México y Municipios, se admitió a trámite el recurso de revisión al rubro indicado.</w:t>
      </w:r>
    </w:p>
    <w:p w14:paraId="334BE521"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9C7730" w:rsidRDefault="00417D9F">
      <w:pPr>
        <w:widowControl w:val="0"/>
        <w:spacing w:line="360" w:lineRule="auto"/>
        <w:ind w:right="49"/>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6</w:t>
      </w:r>
      <w:r w:rsidR="00A76F12" w:rsidRPr="009C7730">
        <w:rPr>
          <w:rFonts w:ascii="Palatino Linotype" w:eastAsia="Palatino Linotype" w:hAnsi="Palatino Linotype" w:cs="Palatino Linotype"/>
          <w:b/>
          <w:sz w:val="22"/>
          <w:szCs w:val="22"/>
        </w:rPr>
        <w:t>. Manifestaciones</w:t>
      </w:r>
      <w:r w:rsidR="008B25A4" w:rsidRPr="009C7730">
        <w:rPr>
          <w:rFonts w:ascii="Palatino Linotype" w:eastAsia="Palatino Linotype" w:hAnsi="Palatino Linotype" w:cs="Palatino Linotype"/>
          <w:sz w:val="22"/>
          <w:szCs w:val="22"/>
        </w:rPr>
        <w:t xml:space="preserve">. </w:t>
      </w:r>
      <w:r w:rsidR="006614E2" w:rsidRPr="009C7730">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0A7F7D5F" w:rsidR="006614E2" w:rsidRPr="009C7730" w:rsidRDefault="00650361">
      <w:pPr>
        <w:spacing w:line="360" w:lineRule="auto"/>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noProof/>
          <w:sz w:val="22"/>
          <w:szCs w:val="22"/>
          <w:lang w:val="es-MX"/>
        </w:rPr>
        <w:drawing>
          <wp:inline distT="0" distB="0" distL="0" distR="0" wp14:anchorId="57F964D3" wp14:editId="3318AC8D">
            <wp:extent cx="5612130" cy="158877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588770"/>
                    </a:xfrm>
                    <a:prstGeom prst="rect">
                      <a:avLst/>
                    </a:prstGeom>
                  </pic:spPr>
                </pic:pic>
              </a:graphicData>
            </a:graphic>
          </wp:inline>
        </w:drawing>
      </w:r>
    </w:p>
    <w:p w14:paraId="59D90F90" w14:textId="77777777" w:rsidR="006614E2" w:rsidRPr="009C7730" w:rsidRDefault="006614E2">
      <w:pPr>
        <w:spacing w:line="360" w:lineRule="auto"/>
        <w:jc w:val="both"/>
        <w:rPr>
          <w:rFonts w:ascii="Palatino Linotype" w:eastAsia="Palatino Linotype" w:hAnsi="Palatino Linotype" w:cs="Palatino Linotype"/>
          <w:b/>
          <w:sz w:val="22"/>
          <w:szCs w:val="22"/>
        </w:rPr>
      </w:pPr>
    </w:p>
    <w:p w14:paraId="2DD31F10" w14:textId="41922B3B" w:rsidR="00532AE4" w:rsidRPr="009C7730" w:rsidRDefault="00417D9F">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7</w:t>
      </w:r>
      <w:r w:rsidR="00A76F12" w:rsidRPr="009C7730">
        <w:rPr>
          <w:rFonts w:ascii="Palatino Linotype" w:eastAsia="Palatino Linotype" w:hAnsi="Palatino Linotype" w:cs="Palatino Linotype"/>
          <w:b/>
          <w:sz w:val="22"/>
          <w:szCs w:val="22"/>
        </w:rPr>
        <w:t xml:space="preserve">. Cierre de instrucción. </w:t>
      </w:r>
      <w:r w:rsidR="00A76F12" w:rsidRPr="009C7730">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8E5D58" w:rsidRPr="009C7730">
        <w:rPr>
          <w:rFonts w:ascii="Palatino Linotype" w:eastAsia="Palatino Linotype" w:hAnsi="Palatino Linotype" w:cs="Palatino Linotype"/>
          <w:b/>
          <w:sz w:val="22"/>
          <w:szCs w:val="22"/>
        </w:rPr>
        <w:t>ocho de septiembre</w:t>
      </w:r>
      <w:r w:rsidR="007E7839" w:rsidRPr="009C7730">
        <w:rPr>
          <w:rFonts w:ascii="Palatino Linotype" w:eastAsia="Palatino Linotype" w:hAnsi="Palatino Linotype" w:cs="Palatino Linotype"/>
          <w:b/>
          <w:sz w:val="22"/>
          <w:szCs w:val="22"/>
        </w:rPr>
        <w:t xml:space="preserve"> de dos mil veintiséis</w:t>
      </w:r>
      <w:r w:rsidR="00A76F12" w:rsidRPr="009C7730">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9C7730" w:rsidRDefault="00A76F12">
      <w:pPr>
        <w:widowControl w:val="0"/>
        <w:spacing w:line="360" w:lineRule="auto"/>
        <w:jc w:val="center"/>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II. C O N S I D E R A N D O S</w:t>
      </w:r>
    </w:p>
    <w:p w14:paraId="04E1DD04" w14:textId="77777777" w:rsidR="00532AE4" w:rsidRPr="009C7730"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9C7730" w:rsidRDefault="00A76F12" w:rsidP="005231DC">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Primero. Competencia.</w:t>
      </w:r>
      <w:r w:rsidRPr="009C7730">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w:t>
      </w:r>
      <w:r w:rsidRPr="009C7730">
        <w:rPr>
          <w:rFonts w:ascii="Palatino Linotype" w:eastAsia="Palatino Linotype" w:hAnsi="Palatino Linotype" w:cs="Palatino Linotype"/>
          <w:sz w:val="22"/>
          <w:szCs w:val="22"/>
        </w:rPr>
        <w:lastRenderedPageBreak/>
        <w:t xml:space="preserve">conocer y resolver el presente recurso de revisión interpuesto por la parte recurrente, conforme a lo dispuesto en los artículos 6, apartado A de la Constitución Política de los Estados Unidos Mexicanos; </w:t>
      </w:r>
      <w:r w:rsidR="009100C5" w:rsidRPr="009C7730">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9C7730">
        <w:rPr>
          <w:rFonts w:ascii="Palatino Linotype" w:eastAsia="Palatino Linotype" w:hAnsi="Palatino Linotype" w:cs="Palatino Linotype"/>
          <w:sz w:val="22"/>
          <w:szCs w:val="22"/>
        </w:rPr>
        <w:t>;</w:t>
      </w:r>
      <w:r w:rsidR="005231DC" w:rsidRPr="009C7730">
        <w:rPr>
          <w:rFonts w:ascii="Palatino Linotype" w:eastAsia="Palatino Linotype" w:hAnsi="Palatino Linotype" w:cs="Palatino Linotype"/>
          <w:sz w:val="22"/>
          <w:szCs w:val="22"/>
        </w:rPr>
        <w:t xml:space="preserve"> </w:t>
      </w:r>
      <w:r w:rsidRPr="009C7730">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Segundo. Oportunidad y Procedibilidad del Recurso de Revisión. </w:t>
      </w:r>
      <w:r w:rsidRPr="009C7730">
        <w:rPr>
          <w:rFonts w:ascii="Palatino Linotype" w:eastAsia="Palatino Linotype" w:hAnsi="Palatino Linotype" w:cs="Palatino Linotype"/>
          <w:sz w:val="22"/>
          <w:szCs w:val="22"/>
        </w:rPr>
        <w:t>Por cuanto hace a la oportunidad del recurso de revisión</w:t>
      </w:r>
      <w:r w:rsidRPr="009C7730">
        <w:rPr>
          <w:rFonts w:ascii="Palatino Linotype" w:eastAsia="Palatino Linotype" w:hAnsi="Palatino Linotype" w:cs="Palatino Linotype"/>
          <w:b/>
          <w:sz w:val="22"/>
          <w:szCs w:val="22"/>
        </w:rPr>
        <w:t xml:space="preserve"> </w:t>
      </w:r>
      <w:r w:rsidRPr="009C7730">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Derivado de lo anterior, se constituye la figura jurídica de la </w:t>
      </w:r>
      <w:r w:rsidRPr="009C7730">
        <w:rPr>
          <w:rFonts w:ascii="Palatino Linotype" w:eastAsia="Palatino Linotype" w:hAnsi="Palatino Linotype" w:cs="Palatino Linotype"/>
          <w:b/>
          <w:sz w:val="22"/>
          <w:szCs w:val="22"/>
        </w:rPr>
        <w:t>NEGATIVA FICTA</w:t>
      </w:r>
      <w:r w:rsidRPr="009C7730">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lastRenderedPageBreak/>
        <w:t xml:space="preserve">De tal manera, en el presente recurso de revisión se actualizó la negativa ficta por parte del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al no haber respondido a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Si a ello se le suma lo previsto en el párrafo segundo del artículo 178, párrafo segundo</w:t>
      </w:r>
      <w:r w:rsidRPr="009C7730">
        <w:rPr>
          <w:rFonts w:ascii="Palatino Linotype" w:eastAsia="Palatino Linotype" w:hAnsi="Palatino Linotype" w:cs="Palatino Linotype"/>
          <w:sz w:val="22"/>
          <w:szCs w:val="22"/>
          <w:vertAlign w:val="superscript"/>
        </w:rPr>
        <w:footnoteReference w:id="1"/>
      </w:r>
      <w:r w:rsidRPr="009C7730">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9C7730" w:rsidRDefault="00532AE4">
      <w:pPr>
        <w:spacing w:line="360" w:lineRule="auto"/>
        <w:jc w:val="both"/>
        <w:rPr>
          <w:i/>
          <w:sz w:val="22"/>
          <w:szCs w:val="22"/>
        </w:rPr>
      </w:pPr>
    </w:p>
    <w:p w14:paraId="4BB01BE0" w14:textId="77777777" w:rsidR="00532AE4" w:rsidRPr="009C7730" w:rsidRDefault="00A76F12">
      <w:pPr>
        <w:ind w:left="567" w:right="616"/>
        <w:jc w:val="both"/>
        <w:rPr>
          <w:rFonts w:ascii="Palatino Linotype" w:eastAsia="Palatino Linotype" w:hAnsi="Palatino Linotype" w:cs="Palatino Linotype"/>
          <w:b/>
          <w:i/>
          <w:sz w:val="22"/>
          <w:szCs w:val="22"/>
        </w:rPr>
      </w:pPr>
      <w:r w:rsidRPr="009C7730">
        <w:rPr>
          <w:rFonts w:ascii="Palatino Linotype" w:eastAsia="Palatino Linotype" w:hAnsi="Palatino Linotype" w:cs="Palatino Linotype"/>
          <w:i/>
          <w:sz w:val="22"/>
          <w:szCs w:val="22"/>
        </w:rPr>
        <w:t>“</w:t>
      </w:r>
      <w:r w:rsidRPr="009C7730">
        <w:rPr>
          <w:rFonts w:ascii="Palatino Linotype" w:eastAsia="Palatino Linotype" w:hAnsi="Palatino Linotype" w:cs="Palatino Linotype"/>
          <w:b/>
          <w:i/>
          <w:sz w:val="22"/>
          <w:szCs w:val="22"/>
        </w:rPr>
        <w:t>CRITERIO 0001-15 NEGATIVA FICTA. PLAZO PARA INTERPONER EL RECURSO DE REVISIÓN TRATÁNDOSE DE</w:t>
      </w:r>
      <w:r w:rsidRPr="009C7730">
        <w:rPr>
          <w:rFonts w:ascii="Palatino Linotype" w:eastAsia="Palatino Linotype" w:hAnsi="Palatino Linotype" w:cs="Palatino Linotype"/>
          <w:i/>
          <w:sz w:val="22"/>
          <w:szCs w:val="22"/>
        </w:rPr>
        <w:t xml:space="preserve">.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w:t>
      </w:r>
      <w:r w:rsidRPr="009C7730">
        <w:rPr>
          <w:rFonts w:ascii="Palatino Linotype" w:eastAsia="Palatino Linotype" w:hAnsi="Palatino Linotype" w:cs="Palatino Linotype"/>
          <w:i/>
          <w:sz w:val="22"/>
          <w:szCs w:val="22"/>
        </w:rPr>
        <w:lastRenderedPageBreak/>
        <w:t>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9C7730" w:rsidRDefault="00532AE4">
      <w:pPr>
        <w:ind w:left="567" w:right="851"/>
        <w:jc w:val="both"/>
        <w:rPr>
          <w:rFonts w:ascii="Palatino Linotype" w:eastAsia="Palatino Linotype" w:hAnsi="Palatino Linotype" w:cs="Palatino Linotype"/>
          <w:i/>
          <w:sz w:val="22"/>
          <w:szCs w:val="22"/>
        </w:rPr>
      </w:pPr>
    </w:p>
    <w:p w14:paraId="76E26C4F" w14:textId="169CE5C8" w:rsidR="00532AE4" w:rsidRPr="009C7730"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9C7730">
        <w:rPr>
          <w:rFonts w:ascii="Palatino Linotype" w:eastAsia="Palatino Linotype" w:hAnsi="Palatino Linotype" w:cs="Palatino Linotype"/>
          <w:b/>
          <w:sz w:val="22"/>
          <w:szCs w:val="22"/>
        </w:rPr>
        <w:t>EL</w:t>
      </w:r>
      <w:r w:rsidRPr="009C7730">
        <w:rPr>
          <w:rFonts w:ascii="Palatino Linotype" w:eastAsia="Palatino Linotype" w:hAnsi="Palatino Linotype" w:cs="Palatino Linotype"/>
          <w:sz w:val="22"/>
          <w:szCs w:val="22"/>
        </w:rPr>
        <w:t xml:space="preserve"> </w:t>
      </w:r>
      <w:r w:rsidRPr="009C7730">
        <w:rPr>
          <w:rFonts w:ascii="Palatino Linotype" w:eastAsia="Palatino Linotype" w:hAnsi="Palatino Linotype" w:cs="Palatino Linotype"/>
          <w:b/>
          <w:sz w:val="22"/>
          <w:szCs w:val="22"/>
        </w:rPr>
        <w:t>SAIMEX</w:t>
      </w:r>
      <w:r w:rsidRPr="009C7730">
        <w:rPr>
          <w:rFonts w:ascii="Palatino Linotype" w:eastAsia="Palatino Linotype" w:hAnsi="Palatino Linotype" w:cs="Palatino Linotype"/>
          <w:sz w:val="22"/>
          <w:szCs w:val="22"/>
        </w:rPr>
        <w:t>.</w:t>
      </w:r>
    </w:p>
    <w:p w14:paraId="1C27DB56" w14:textId="40163621" w:rsidR="00B503D1" w:rsidRPr="009C7730"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9C7730" w:rsidRDefault="00A76F12">
      <w:pPr>
        <w:ind w:left="567" w:right="616"/>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i/>
          <w:sz w:val="22"/>
          <w:szCs w:val="22"/>
        </w:rPr>
        <w:t>“</w:t>
      </w:r>
      <w:r w:rsidRPr="009C7730">
        <w:rPr>
          <w:rFonts w:ascii="Palatino Linotype" w:eastAsia="Palatino Linotype" w:hAnsi="Palatino Linotype" w:cs="Palatino Linotype"/>
          <w:b/>
          <w:sz w:val="22"/>
          <w:szCs w:val="22"/>
        </w:rPr>
        <w:t>Artículo 179.</w:t>
      </w:r>
      <w:r w:rsidRPr="009C7730">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9C7730">
        <w:rPr>
          <w:rFonts w:ascii="Palatino Linotype" w:eastAsia="Palatino Linotype" w:hAnsi="Palatino Linotype" w:cs="Palatino Linotype"/>
          <w:sz w:val="22"/>
          <w:szCs w:val="22"/>
        </w:rPr>
        <w:t> </w:t>
      </w:r>
    </w:p>
    <w:p w14:paraId="7ACAE181" w14:textId="77777777" w:rsidR="00532AE4" w:rsidRPr="009C7730" w:rsidRDefault="00A76F12">
      <w:pPr>
        <w:ind w:left="567" w:right="616"/>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w:t>
      </w:r>
    </w:p>
    <w:p w14:paraId="543A0FF7" w14:textId="77777777" w:rsidR="00532AE4" w:rsidRPr="009C7730" w:rsidRDefault="00A76F12">
      <w:pPr>
        <w:numPr>
          <w:ilvl w:val="0"/>
          <w:numId w:val="4"/>
        </w:numPr>
        <w:ind w:left="567" w:right="616" w:firstLine="0"/>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9C7730"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9C7730" w:rsidRDefault="00A76F12">
      <w:pPr>
        <w:tabs>
          <w:tab w:val="left" w:pos="8647"/>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Tercero. Materia de la revisión. </w:t>
      </w:r>
      <w:r w:rsidRPr="009C7730">
        <w:rPr>
          <w:rFonts w:ascii="Palatino Linotype" w:eastAsia="Palatino Linotype" w:hAnsi="Palatino Linotype" w:cs="Palatino Linotype"/>
          <w:sz w:val="22"/>
          <w:szCs w:val="22"/>
        </w:rPr>
        <w:t xml:space="preserve">Este Organismo Garante procede del análisis de los agravios hechos valer por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9C7730"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Cuarto. Estudio del asunto. </w:t>
      </w:r>
      <w:r w:rsidRPr="009C7730">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w:t>
      </w:r>
      <w:r w:rsidRPr="009C7730">
        <w:rPr>
          <w:rFonts w:ascii="Palatino Linotype" w:eastAsia="Palatino Linotype" w:hAnsi="Palatino Linotype" w:cs="Palatino Linotype"/>
          <w:sz w:val="22"/>
          <w:szCs w:val="22"/>
        </w:rPr>
        <w:lastRenderedPageBreak/>
        <w:t xml:space="preserve">resolución, se advierte que el </w:t>
      </w:r>
      <w:r w:rsidRPr="009C7730">
        <w:rPr>
          <w:rFonts w:ascii="Palatino Linotype" w:eastAsia="Palatino Linotype" w:hAnsi="Palatino Linotype" w:cs="Palatino Linotype"/>
          <w:b/>
          <w:sz w:val="22"/>
          <w:szCs w:val="22"/>
        </w:rPr>
        <w:t xml:space="preserve">Sujeto Obligado </w:t>
      </w:r>
      <w:r w:rsidRPr="009C7730">
        <w:rPr>
          <w:rFonts w:ascii="Palatino Linotype" w:eastAsia="Palatino Linotype" w:hAnsi="Palatino Linotype" w:cs="Palatino Linotype"/>
          <w:sz w:val="22"/>
          <w:szCs w:val="22"/>
        </w:rPr>
        <w:t xml:space="preserve">no dio respuesta a la solicitud de información planteada por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xml:space="preserve">, lo que se traduce como la configuración de la </w:t>
      </w:r>
      <w:r w:rsidRPr="009C7730">
        <w:rPr>
          <w:rFonts w:ascii="Palatino Linotype" w:eastAsia="Palatino Linotype" w:hAnsi="Palatino Linotype" w:cs="Palatino Linotype"/>
          <w:b/>
          <w:sz w:val="22"/>
          <w:szCs w:val="22"/>
        </w:rPr>
        <w:t>negativa ficta</w:t>
      </w:r>
      <w:r w:rsidRPr="009C7730">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xml:space="preserve">, se advierte que requirió al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le proporcionara, información consistente en lo siguiente:</w:t>
      </w:r>
    </w:p>
    <w:p w14:paraId="35279DFB" w14:textId="7B48FB68" w:rsidR="00532AE4" w:rsidRPr="009C7730" w:rsidRDefault="00B82C51" w:rsidP="009E1567">
      <w:pPr>
        <w:ind w:left="851" w:right="616"/>
        <w:jc w:val="both"/>
        <w:rPr>
          <w:rFonts w:ascii="Palatino Linotype" w:eastAsia="Palatino Linotype" w:hAnsi="Palatino Linotype"/>
          <w:i/>
          <w:sz w:val="22"/>
          <w:szCs w:val="22"/>
        </w:rPr>
      </w:pPr>
      <w:r w:rsidRPr="009C7730">
        <w:rPr>
          <w:rFonts w:ascii="Palatino Linotype" w:eastAsia="Palatino Linotype" w:hAnsi="Palatino Linotype"/>
          <w:i/>
          <w:sz w:val="22"/>
          <w:szCs w:val="22"/>
        </w:rPr>
        <w:t>“</w:t>
      </w:r>
      <w:r w:rsidR="003F4280" w:rsidRPr="009C7730">
        <w:rPr>
          <w:rFonts w:ascii="Palatino Linotype" w:eastAsia="Palatino Linotype" w:hAnsi="Palatino Linotype"/>
          <w:i/>
          <w:sz w:val="22"/>
          <w:szCs w:val="22"/>
        </w:rPr>
        <w:t xml:space="preserve">Por medio de la presente, solicito una base de datos (en formato abierto como xls o </w:t>
      </w:r>
      <w:proofErr w:type="spellStart"/>
      <w:r w:rsidR="003F4280" w:rsidRPr="009C7730">
        <w:rPr>
          <w:rFonts w:ascii="Palatino Linotype" w:eastAsia="Palatino Linotype" w:hAnsi="Palatino Linotype"/>
          <w:i/>
          <w:sz w:val="22"/>
          <w:szCs w:val="22"/>
        </w:rPr>
        <w:t>cvs</w:t>
      </w:r>
      <w:proofErr w:type="spellEnd"/>
      <w:r w:rsidR="003F4280" w:rsidRPr="009C7730">
        <w:rPr>
          <w:rFonts w:ascii="Palatino Linotype" w:eastAsia="Palatino Linotype" w:hAnsi="Palatino Linotype"/>
          <w:i/>
          <w:sz w:val="22"/>
          <w:szCs w:val="22"/>
        </w:rPr>
        <w:t xml:space="preserve">.) con la siguiente información de incidencia delictiva o reporte de incidentes, eventos o cualquier registro o documento con el que cuente el sujeto obligado que contenga la siguiente información: TIPO DE INCIDENTE O EVENTO (es decir hechos presuntamente constitutivos de delito y/o falta administrativa, o situación reportada, cualquiera que esta sea, especificando si el hecho fue con o sin violencia) HORA DEL INCIDENTE O EVENTO FECHA ( </w:t>
      </w:r>
      <w:proofErr w:type="spellStart"/>
      <w:r w:rsidR="003F4280" w:rsidRPr="009C7730">
        <w:rPr>
          <w:rFonts w:ascii="Palatino Linotype" w:eastAsia="Palatino Linotype" w:hAnsi="Palatino Linotype"/>
          <w:i/>
          <w:sz w:val="22"/>
          <w:szCs w:val="22"/>
        </w:rPr>
        <w:t>dd</w:t>
      </w:r>
      <w:proofErr w:type="spellEnd"/>
      <w:r w:rsidR="003F4280" w:rsidRPr="009C7730">
        <w:rPr>
          <w:rFonts w:ascii="Palatino Linotype" w:eastAsia="Palatino Linotype" w:hAnsi="Palatino Linotype"/>
          <w:i/>
          <w:sz w:val="22"/>
          <w:szCs w:val="22"/>
        </w:rPr>
        <w:t>/mm/</w:t>
      </w:r>
      <w:proofErr w:type="spellStart"/>
      <w:r w:rsidR="003F4280" w:rsidRPr="009C7730">
        <w:rPr>
          <w:rFonts w:ascii="Palatino Linotype" w:eastAsia="Palatino Linotype" w:hAnsi="Palatino Linotype"/>
          <w:i/>
          <w:sz w:val="22"/>
          <w:szCs w:val="22"/>
        </w:rPr>
        <w:t>aaaa</w:t>
      </w:r>
      <w:proofErr w:type="spellEnd"/>
      <w:r w:rsidR="003F4280" w:rsidRPr="009C7730">
        <w:rPr>
          <w:rFonts w:ascii="Palatino Linotype" w:eastAsia="Palatino Linotype" w:hAnsi="Palatino Linotype"/>
          <w:i/>
          <w:sz w:val="22"/>
          <w:szCs w:val="22"/>
        </w:rPr>
        <w:t xml:space="preserve">) DEL INCIDENTE O EVENTO LUGAR DEL INCIDENTE O EVENTO UBICACIÓN DEL INCIDENTE O EVENTO LAS COORDENADAS GEOGRÁFICAS DEL INCIDENTE O EVENTO. ESTABLECIDAS EN LA SECCIÓN “LUGAR DE LA INTERVENCIÓN” DEL INFORME POLICIAL HOMOLOGADO PARA 1) HECHOS PROBABLEMENTE DELICTIVOS O PARA 2) JUSTICIA CÍVICA SEGÚN CORRESPONDA AL TIPO DE INCIDENTE. Solicito explícitamente que la información se encuentre desglosada y particularizada por tipo de incidente, por lo que cada uno debe contener su hora, fecha, lugar, ubicación y coordenadas geográficas que le corresponde. Requiero que se proporcione la información correspondiente al periodo del 1 de enero de 2018 a la fecha de la presente solicitud. Me permito mencionar que aun cuando existe información pública relacionada a la de mi solicitud en la página e información que se proporciona por el Secretariado Ejecutivo Del Sistema Nacional De Seguridad Pública, la contenida en la misma no se encuentra desglosada con el detalle con la que un servidor está solicitando, principalmente por lo que se refiere a la georreferencia y coordenada del incidente o evento. Por lo que solicito que verifiquen en sus bases de datos la información solicitada y me sea proporcionada en el formato solicitado. La información que </w:t>
      </w:r>
      <w:r w:rsidR="003F4280" w:rsidRPr="009C7730">
        <w:rPr>
          <w:rFonts w:ascii="Palatino Linotype" w:eastAsia="Palatino Linotype" w:hAnsi="Palatino Linotype"/>
          <w:i/>
          <w:sz w:val="22"/>
          <w:szCs w:val="22"/>
        </w:rPr>
        <w:lastRenderedPageBreak/>
        <w:t>solicito no puede ser considerada información confidencial, in virtud de que en la presente solicitud no se requieren nombres, domicilios ni otros datos personales, por lo que no procede la causal de confidencialidad. Incluso si algún registro contuviera datos personales de manera incidental, el sujeto obligado debe, conforme al artículo 120 de la Ley General de Transparencia y Acceso a la Información Pública (LGTAIP), entregar la información en versión pública, testando las partes confidenciales y proporcionando el resto de la información. Asimismo, la información solicitada tampoco puede clasificarse como reservada, pues no encuadra en las causales previstas en el artículo 112 de la LGTAIP ni supera la estricta prueba de daño que exige su artículo 107. Para reservarla, la autoridad tendría que demostrar que su divulgación genera un riesgo real, demostrable e identificable de perjuicio significativo, que dicho riesgo es mayor al interés público en conocerla, y además probar que no existe un medio menos restrictivo y que la medida es proporcional. Este no es el caso: los datos estadísticos y georreferenciados de incidencias delictivas no comprometen investigaciones ni la seguridad pública. Como prueba de lo anterior, mencionó que múltiples sujetos obligados ya publican información semejante sin afectar sus funciones, como lo demuestra la Plataforma de Seguridad del estado de Jalisco (https://iieg.gob.mx/plataforma_seguridad/#/plataforma) y las instancias de seguridad de la Ciudad de México (https://datos.cdmx.gob.mx/dataset/?groups=justicia-y-seguridad). En conclusión, la LGTAIP respalda plenamente la entrega de la información solicitada. Al no contener datos personales ni encuadrar en causales de reserva, la información debe proporcionarse en los términos requeridos, aplicando en su caso la figura de versión pública para conciliar el derecho de acceso a la información con la protección de datos estrictamente confidenciales. DATOS QUE FACILITEN LA BÚSQUEDA Y EVENTUAL LOCALIZACIÓN DE LA INFORMACIÓN Fundamento mi solicitud en la funciones y atribuciones del sujeto obligado, así como las particulares de las áreas señaladas: Ley General del Sistema Nacional de Seguridad Pública, artículos 5, fracción X, 41 fracciones I y II, y 43. Ley Nacional del Registro de Detenciones, artículos 18, 20 y 21 párrafo I. Código Nacional de Procedimientos Penales, artículos 51 y 132 fracción XIV. Acuerdo por el que se emiten los Lineamientos para el llenado, entrega, recepción, registro, resguardo y consulta del Informe Policial Homologado. Publicado el 20/02/2020.</w:t>
      </w:r>
      <w:r w:rsidR="009C3B23" w:rsidRPr="009C7730">
        <w:rPr>
          <w:rFonts w:ascii="Palatino Linotype" w:eastAsia="Palatino Linotype" w:hAnsi="Palatino Linotype"/>
          <w:i/>
          <w:sz w:val="22"/>
          <w:szCs w:val="22"/>
        </w:rPr>
        <w:t>”</w:t>
      </w:r>
      <w:r w:rsidR="00223CD6" w:rsidRPr="009C7730">
        <w:rPr>
          <w:rFonts w:ascii="Palatino Linotype" w:eastAsia="Palatino Linotype" w:hAnsi="Palatino Linotype"/>
          <w:i/>
          <w:sz w:val="22"/>
          <w:szCs w:val="22"/>
        </w:rPr>
        <w:t xml:space="preserve"> (</w:t>
      </w:r>
      <w:r w:rsidR="00A76F12" w:rsidRPr="009C7730">
        <w:rPr>
          <w:rFonts w:ascii="Palatino Linotype" w:eastAsia="Palatino Linotype" w:hAnsi="Palatino Linotype"/>
          <w:i/>
          <w:sz w:val="22"/>
          <w:szCs w:val="22"/>
        </w:rPr>
        <w:t>Sic)</w:t>
      </w:r>
    </w:p>
    <w:p w14:paraId="4BE46D97" w14:textId="77777777" w:rsidR="00532AE4" w:rsidRPr="009C773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Precisado lo anterior, se procede al análisis del presente recurso, así como al contenido íntegro de las actuaciones que obran en el expediente electrónico, para así estar en posibilidad este Organismo Garante de dictar el fallo correspondiente conforme a derecho, </w:t>
      </w:r>
      <w:r w:rsidRPr="009C7730">
        <w:rPr>
          <w:rFonts w:ascii="Palatino Linotype" w:eastAsia="Palatino Linotype" w:hAnsi="Palatino Linotype" w:cs="Palatino Linotype"/>
          <w:sz w:val="22"/>
          <w:szCs w:val="22"/>
        </w:rPr>
        <w:lastRenderedPageBreak/>
        <w:t>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9C7730" w:rsidRDefault="00A76F12">
      <w:pPr>
        <w:tabs>
          <w:tab w:val="left" w:pos="709"/>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9C7730"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9C773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9C7730">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9C7730"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9C7730">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9C773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9C7730">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9C773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w:t>
      </w:r>
    </w:p>
    <w:p w14:paraId="54E0C206"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“Artículo 6o.</w:t>
      </w:r>
    </w:p>
    <w:p w14:paraId="4D803AB1"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lastRenderedPageBreak/>
        <w:t>[...]</w:t>
      </w:r>
    </w:p>
    <w:p w14:paraId="4B588253"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A. Para el ejercicio del derecho de acceso a la información, la Federación y </w:t>
      </w:r>
      <w:r w:rsidRPr="009C7730">
        <w:rPr>
          <w:rFonts w:ascii="Palatino Linotype" w:eastAsia="Palatino Linotype" w:hAnsi="Palatino Linotype" w:cs="Palatino Linotype"/>
          <w:b/>
          <w:i/>
          <w:sz w:val="22"/>
          <w:szCs w:val="22"/>
          <w:u w:val="single"/>
        </w:rPr>
        <w:t>las entidades federativas</w:t>
      </w:r>
      <w:r w:rsidRPr="009C7730">
        <w:rPr>
          <w:rFonts w:ascii="Palatino Linotype" w:eastAsia="Palatino Linotype" w:hAnsi="Palatino Linotype" w:cs="Palatino Linotype"/>
          <w:b/>
          <w:i/>
          <w:sz w:val="22"/>
          <w:szCs w:val="22"/>
        </w:rPr>
        <w:t>,</w:t>
      </w:r>
      <w:r w:rsidRPr="009C7730">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 </w:t>
      </w:r>
      <w:r w:rsidRPr="009C7730">
        <w:rPr>
          <w:rFonts w:ascii="Palatino Linotype" w:eastAsia="Palatino Linotype" w:hAnsi="Palatino Linotype" w:cs="Palatino Linotype"/>
          <w:b/>
          <w:i/>
          <w:sz w:val="22"/>
          <w:szCs w:val="22"/>
          <w:u w:val="single"/>
        </w:rPr>
        <w:t>Toda la información en posesión de cualquier autoridad, entidad, órgano y organismo de los Poderes</w:t>
      </w:r>
      <w:r w:rsidRPr="009C7730">
        <w:rPr>
          <w:rFonts w:ascii="Palatino Linotype" w:eastAsia="Palatino Linotype" w:hAnsi="Palatino Linotype" w:cs="Palatino Linotype"/>
          <w:i/>
          <w:sz w:val="22"/>
          <w:szCs w:val="22"/>
        </w:rPr>
        <w:t xml:space="preserve"> Ejecutivo, Legislativo </w:t>
      </w:r>
      <w:r w:rsidRPr="009C7730">
        <w:rPr>
          <w:rFonts w:ascii="Palatino Linotype" w:eastAsia="Palatino Linotype" w:hAnsi="Palatino Linotype" w:cs="Palatino Linotype"/>
          <w:b/>
          <w:i/>
          <w:sz w:val="22"/>
          <w:szCs w:val="22"/>
          <w:u w:val="single"/>
        </w:rPr>
        <w:t>y Judicial</w:t>
      </w:r>
      <w:r w:rsidRPr="009C7730">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9C7730">
        <w:rPr>
          <w:rFonts w:ascii="Palatino Linotype" w:eastAsia="Palatino Linotype" w:hAnsi="Palatino Linotype" w:cs="Palatino Linotype"/>
          <w:b/>
          <w:i/>
          <w:sz w:val="22"/>
          <w:szCs w:val="22"/>
        </w:rPr>
        <w:t>es pública y sólo podrá ser reservada temporalmente por razones de interés público y seguridad nacional,</w:t>
      </w:r>
      <w:r w:rsidRPr="009C7730">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9C7730" w:rsidRDefault="00A76F12">
      <w:pPr>
        <w:spacing w:line="276" w:lineRule="auto"/>
        <w:ind w:left="567" w:right="851"/>
        <w:jc w:val="both"/>
        <w:rPr>
          <w:rFonts w:ascii="Palatino Linotype" w:eastAsia="Palatino Linotype" w:hAnsi="Palatino Linotype" w:cs="Palatino Linotype"/>
          <w:b/>
          <w:i/>
          <w:sz w:val="22"/>
          <w:szCs w:val="22"/>
        </w:rPr>
      </w:pPr>
      <w:r w:rsidRPr="009C7730">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III. </w:t>
      </w:r>
      <w:r w:rsidRPr="009C7730">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9C7730">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IV.</w:t>
      </w:r>
      <w:r w:rsidRPr="009C7730">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9C7730" w:rsidRDefault="00A76F12">
      <w:pPr>
        <w:spacing w:line="276" w:lineRule="auto"/>
        <w:ind w:left="567" w:right="851"/>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V. </w:t>
      </w:r>
      <w:r w:rsidRPr="009C7730">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9C7730"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9C7730"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9C7730" w:rsidRDefault="00A76F12">
      <w:pPr>
        <w:tabs>
          <w:tab w:val="left" w:pos="709"/>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Así, de la interpretación sistémica de los numerales inmersos en el instrumento legal nacional, el derecho de acceso a la información es un derecho del cual goza toda persona sin discriminación alguna, el cual se ejerce ante los Poderes del Estado, entidades, dependencias </w:t>
      </w:r>
      <w:r w:rsidRPr="009C7730">
        <w:rPr>
          <w:rFonts w:ascii="Palatino Linotype" w:eastAsia="Palatino Linotype" w:hAnsi="Palatino Linotype" w:cs="Palatino Linotype"/>
          <w:sz w:val="22"/>
          <w:szCs w:val="22"/>
        </w:rPr>
        <w:lastRenderedPageBreak/>
        <w:t>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9C7730"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w:t>
      </w:r>
      <w:r w:rsidRPr="009C7730">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9C7730">
        <w:rPr>
          <w:rFonts w:ascii="Palatino Linotype" w:eastAsia="Palatino Linotype" w:hAnsi="Palatino Linotype" w:cs="Palatino Linotype"/>
          <w:i/>
          <w:sz w:val="22"/>
          <w:szCs w:val="22"/>
        </w:rPr>
        <w:t>:</w:t>
      </w:r>
    </w:p>
    <w:p w14:paraId="275F2B94"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9C7730">
        <w:rPr>
          <w:rFonts w:ascii="Palatino Linotype" w:eastAsia="Palatino Linotype" w:hAnsi="Palatino Linotype" w:cs="Palatino Linotype"/>
          <w:b/>
          <w:i/>
          <w:sz w:val="22"/>
          <w:szCs w:val="22"/>
        </w:rPr>
        <w:t>I.</w:t>
      </w:r>
      <w:r w:rsidRPr="009C7730">
        <w:rPr>
          <w:rFonts w:ascii="Palatino Linotype" w:eastAsia="Palatino Linotype" w:hAnsi="Palatino Linotype" w:cs="Palatino Linotype"/>
          <w:i/>
          <w:sz w:val="22"/>
          <w:szCs w:val="22"/>
        </w:rPr>
        <w:t xml:space="preserve"> El Poder Ejecutivo del Estado de México, las dependencias, organismos auxiliares,</w:t>
      </w:r>
      <w:r w:rsidRPr="009C7730">
        <w:rPr>
          <w:rFonts w:ascii="Palatino Linotype" w:eastAsia="Palatino Linotype" w:hAnsi="Palatino Linotype" w:cs="Palatino Linotype"/>
          <w:b/>
          <w:i/>
          <w:sz w:val="22"/>
          <w:szCs w:val="22"/>
        </w:rPr>
        <w:t xml:space="preserve"> </w:t>
      </w:r>
      <w:r w:rsidRPr="009C7730">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II.</w:t>
      </w:r>
      <w:r w:rsidRPr="009C7730">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III.</w:t>
      </w:r>
      <w:r w:rsidRPr="009C7730">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9C7730">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V.</w:t>
      </w:r>
      <w:r w:rsidRPr="009C7730">
        <w:rPr>
          <w:rFonts w:ascii="Palatino Linotype" w:eastAsia="Palatino Linotype" w:hAnsi="Palatino Linotype" w:cs="Palatino Linotype"/>
          <w:i/>
          <w:sz w:val="22"/>
          <w:szCs w:val="22"/>
        </w:rPr>
        <w:t xml:space="preserve"> Los órganos autónomos;</w:t>
      </w:r>
    </w:p>
    <w:p w14:paraId="47FBCC3D"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VI.</w:t>
      </w:r>
      <w:r w:rsidRPr="009C7730">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VII.</w:t>
      </w:r>
      <w:r w:rsidRPr="009C7730">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VIII.</w:t>
      </w:r>
      <w:r w:rsidRPr="009C7730">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IX.</w:t>
      </w:r>
      <w:r w:rsidRPr="009C7730">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X.</w:t>
      </w:r>
      <w:r w:rsidRPr="009C7730">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XI.</w:t>
      </w:r>
      <w:r w:rsidRPr="009C7730">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 xml:space="preserve">Los sujetos obligados deberán hacer pública toda aquella información relativa a los montos y las personas a quienes entreguen, por cualquier motivo, recursos públicos, así </w:t>
      </w:r>
      <w:r w:rsidRPr="009C7730">
        <w:rPr>
          <w:rFonts w:ascii="Palatino Linotype" w:eastAsia="Palatino Linotype" w:hAnsi="Palatino Linotype" w:cs="Palatino Linotype"/>
          <w:i/>
          <w:sz w:val="22"/>
          <w:szCs w:val="22"/>
        </w:rPr>
        <w:lastRenderedPageBreak/>
        <w:t>como los informes que dichas personas les entreguen sobre el uso y destino de dichos recursos.</w:t>
      </w:r>
    </w:p>
    <w:p w14:paraId="3C92E68E" w14:textId="77777777" w:rsidR="00532AE4" w:rsidRPr="009C773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9C7730">
        <w:rPr>
          <w:rFonts w:ascii="Palatino Linotype" w:eastAsia="Palatino Linotype" w:hAnsi="Palatino Linotype" w:cs="Palatino Linotype"/>
          <w:i/>
          <w:sz w:val="22"/>
          <w:szCs w:val="22"/>
        </w:rPr>
        <w:t>.”</w:t>
      </w:r>
    </w:p>
    <w:p w14:paraId="6AA3AC33"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9C773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9C7730"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9C773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9C773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9C7730"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Sirve de sustento a lo anterior, el precepto legal en cita:</w:t>
      </w:r>
    </w:p>
    <w:p w14:paraId="0E6F8D37"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9C7730" w:rsidRDefault="00A76F12">
      <w:pPr>
        <w:spacing w:line="276" w:lineRule="auto"/>
        <w:ind w:left="567" w:right="902"/>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w:t>
      </w:r>
      <w:r w:rsidRPr="009C7730">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9C7730">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9C7730" w:rsidRDefault="00A76F12">
      <w:pPr>
        <w:spacing w:line="276" w:lineRule="auto"/>
        <w:ind w:left="567" w:right="902"/>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lastRenderedPageBreak/>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9C7730"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En mérito de lo expuesto, es claro que en este caso 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9C7730">
        <w:rPr>
          <w:rFonts w:ascii="Palatino Linotype" w:eastAsia="Palatino Linotype" w:hAnsi="Palatino Linotype" w:cs="Palatino Linotype"/>
          <w:b/>
          <w:sz w:val="22"/>
          <w:szCs w:val="22"/>
        </w:rPr>
        <w:t>el Sujeto Obligado</w:t>
      </w:r>
      <w:r w:rsidRPr="009C7730">
        <w:rPr>
          <w:rFonts w:ascii="Palatino Linotype" w:eastAsia="Palatino Linotype" w:hAnsi="Palatino Linotype" w:cs="Palatino Linotype"/>
          <w:sz w:val="22"/>
          <w:szCs w:val="22"/>
        </w:rPr>
        <w:t>; por lo que, en caso de no atender de manera positiva</w:t>
      </w:r>
      <w:r w:rsidRPr="009C7730">
        <w:rPr>
          <w:rFonts w:ascii="Palatino Linotype" w:eastAsia="Palatino Linotype" w:hAnsi="Palatino Linotype" w:cs="Palatino Linotype"/>
          <w:sz w:val="22"/>
          <w:szCs w:val="22"/>
          <w:vertAlign w:val="superscript"/>
        </w:rPr>
        <w:footnoteReference w:id="2"/>
      </w:r>
      <w:r w:rsidRPr="009C7730">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9C7730"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De la clasificación de la información.</w:t>
      </w:r>
    </w:p>
    <w:p w14:paraId="7CB72775" w14:textId="77777777" w:rsidR="00532AE4" w:rsidRPr="009C773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9C7730" w:rsidRDefault="00A76F12">
      <w:pPr>
        <w:spacing w:line="360" w:lineRule="auto"/>
        <w:ind w:right="5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9C7730"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9C7730" w:rsidRDefault="00A76F12">
      <w:pPr>
        <w:spacing w:line="276" w:lineRule="auto"/>
        <w:ind w:left="851" w:right="900"/>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“Artículo 91. </w:t>
      </w:r>
      <w:r w:rsidRPr="009C7730">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9C7730"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9C7730"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“Artículo 140. </w:t>
      </w:r>
      <w:r w:rsidRPr="009C7730">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lastRenderedPageBreak/>
        <w:t xml:space="preserve">I. </w:t>
      </w:r>
      <w:r w:rsidRPr="009C7730">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II. </w:t>
      </w:r>
      <w:r w:rsidRPr="009C7730">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III. </w:t>
      </w:r>
      <w:r w:rsidRPr="009C7730">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IV. </w:t>
      </w:r>
      <w:r w:rsidRPr="009C7730">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V. </w:t>
      </w:r>
      <w:r w:rsidRPr="009C7730">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1. </w:t>
      </w:r>
      <w:r w:rsidRPr="009C7730">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2. </w:t>
      </w:r>
      <w:r w:rsidRPr="009C7730">
        <w:rPr>
          <w:rFonts w:ascii="Palatino Linotype" w:eastAsia="Palatino Linotype" w:hAnsi="Palatino Linotype" w:cs="Palatino Linotype"/>
          <w:i/>
          <w:sz w:val="22"/>
          <w:szCs w:val="22"/>
        </w:rPr>
        <w:t>La recaudación de las contribuciones.</w:t>
      </w:r>
    </w:p>
    <w:p w14:paraId="4CD54AA9"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VI. </w:t>
      </w:r>
      <w:r w:rsidRPr="009C7730">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VII. </w:t>
      </w:r>
      <w:r w:rsidRPr="009C7730">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VIII</w:t>
      </w:r>
      <w:r w:rsidRPr="009C7730">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9C7730">
        <w:rPr>
          <w:rFonts w:ascii="Palatino Linotype" w:eastAsia="Palatino Linotype" w:hAnsi="Palatino Linotype" w:cs="Palatino Linotype"/>
          <w:b/>
          <w:i/>
          <w:sz w:val="22"/>
          <w:szCs w:val="22"/>
        </w:rPr>
        <w:t>;</w:t>
      </w:r>
    </w:p>
    <w:p w14:paraId="20A105A2"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IX. </w:t>
      </w:r>
      <w:r w:rsidRPr="009C7730">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X. </w:t>
      </w:r>
      <w:r w:rsidRPr="009C7730">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lastRenderedPageBreak/>
        <w:t xml:space="preserve">XI. </w:t>
      </w:r>
      <w:r w:rsidRPr="009C7730">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w:t>
      </w:r>
    </w:p>
    <w:p w14:paraId="7E7180B7"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Artículo 143. </w:t>
      </w:r>
      <w:r w:rsidRPr="009C7730">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 </w:t>
      </w:r>
      <w:r w:rsidRPr="009C7730">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II. </w:t>
      </w:r>
      <w:r w:rsidRPr="009C7730">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III. </w:t>
      </w:r>
      <w:r w:rsidRPr="009C7730">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9C773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9C7730"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9C773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Se reciba una solicitud de acceso a la información;</w:t>
      </w:r>
    </w:p>
    <w:p w14:paraId="54E32C40" w14:textId="77777777" w:rsidR="00532AE4" w:rsidRPr="009C773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Se determine mediante resolución de autoridad competente; y/o</w:t>
      </w:r>
    </w:p>
    <w:p w14:paraId="2A2574F5" w14:textId="77777777" w:rsidR="00532AE4" w:rsidRPr="009C773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9C7730"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9C7730" w:rsidRDefault="00A76F12">
      <w:pPr>
        <w:spacing w:line="360" w:lineRule="auto"/>
        <w:ind w:right="5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lastRenderedPageBreak/>
        <w:t xml:space="preserve">En ese sentido, es de precisar que la clasificación de la información no se da por el simple mandato de la Ley, sino que es necesario que 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9C7730">
        <w:rPr>
          <w:rFonts w:ascii="Palatino Linotype" w:eastAsia="Palatino Linotype" w:hAnsi="Palatino Linotype" w:cs="Palatino Linotype"/>
          <w:sz w:val="22"/>
          <w:szCs w:val="22"/>
          <w:vertAlign w:val="superscript"/>
        </w:rPr>
        <w:footnoteReference w:id="3"/>
      </w:r>
      <w:r w:rsidRPr="009C7730">
        <w:rPr>
          <w:rFonts w:ascii="Palatino Linotype" w:eastAsia="Palatino Linotype" w:hAnsi="Palatino Linotype" w:cs="Palatino Linotype"/>
          <w:sz w:val="22"/>
          <w:szCs w:val="22"/>
        </w:rPr>
        <w:t>, 53 fracción X</w:t>
      </w:r>
      <w:r w:rsidRPr="009C7730">
        <w:rPr>
          <w:rFonts w:ascii="Palatino Linotype" w:eastAsia="Palatino Linotype" w:hAnsi="Palatino Linotype" w:cs="Palatino Linotype"/>
          <w:sz w:val="22"/>
          <w:szCs w:val="22"/>
          <w:vertAlign w:val="superscript"/>
        </w:rPr>
        <w:footnoteReference w:id="4"/>
      </w:r>
      <w:r w:rsidRPr="009C7730">
        <w:rPr>
          <w:rFonts w:ascii="Palatino Linotype" w:eastAsia="Palatino Linotype" w:hAnsi="Palatino Linotype" w:cs="Palatino Linotype"/>
          <w:sz w:val="22"/>
          <w:szCs w:val="22"/>
        </w:rPr>
        <w:t>, y 49 fracciones II y VIII</w:t>
      </w:r>
      <w:r w:rsidRPr="009C7730">
        <w:rPr>
          <w:rFonts w:ascii="Palatino Linotype" w:eastAsia="Palatino Linotype" w:hAnsi="Palatino Linotype" w:cs="Palatino Linotype"/>
          <w:sz w:val="22"/>
          <w:szCs w:val="22"/>
          <w:vertAlign w:val="superscript"/>
        </w:rPr>
        <w:footnoteReference w:id="5"/>
      </w:r>
      <w:r w:rsidRPr="009C7730">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9C7730"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Bajo tales consideraciones, este Organismo Garante no omite señalar que, si 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advierte que la información solicitada contiene </w:t>
      </w:r>
      <w:r w:rsidRPr="009C7730">
        <w:rPr>
          <w:rFonts w:ascii="Palatino Linotype" w:eastAsia="Palatino Linotype" w:hAnsi="Palatino Linotype" w:cs="Palatino Linotype"/>
          <w:b/>
          <w:sz w:val="22"/>
          <w:szCs w:val="22"/>
        </w:rPr>
        <w:t>datos personales</w:t>
      </w:r>
      <w:r w:rsidRPr="009C7730">
        <w:rPr>
          <w:rFonts w:ascii="Palatino Linotype" w:eastAsia="Palatino Linotype" w:hAnsi="Palatino Linotype" w:cs="Palatino Linotype"/>
          <w:sz w:val="22"/>
          <w:szCs w:val="22"/>
        </w:rPr>
        <w:t xml:space="preserve"> que sean susceptibles de ser </w:t>
      </w:r>
      <w:r w:rsidRPr="009C7730">
        <w:rPr>
          <w:rFonts w:ascii="Palatino Linotype" w:eastAsia="Palatino Linotype" w:hAnsi="Palatino Linotype" w:cs="Palatino Linotype"/>
          <w:b/>
          <w:sz w:val="22"/>
          <w:szCs w:val="22"/>
        </w:rPr>
        <w:t xml:space="preserve">clasificados como confidenciales, </w:t>
      </w:r>
      <w:r w:rsidRPr="009C7730">
        <w:rPr>
          <w:rFonts w:ascii="Palatino Linotype" w:eastAsia="Palatino Linotype" w:hAnsi="Palatino Linotype" w:cs="Palatino Linotype"/>
          <w:sz w:val="22"/>
          <w:szCs w:val="22"/>
        </w:rPr>
        <w:t>o, si por otro lado</w:t>
      </w:r>
      <w:r w:rsidRPr="009C7730">
        <w:rPr>
          <w:rFonts w:ascii="Palatino Linotype" w:eastAsia="Palatino Linotype" w:hAnsi="Palatino Linotype" w:cs="Palatino Linotype"/>
          <w:b/>
          <w:sz w:val="22"/>
          <w:szCs w:val="22"/>
        </w:rPr>
        <w:t>, por su propia y especial naturaleza,</w:t>
      </w:r>
      <w:r w:rsidRPr="009C7730">
        <w:rPr>
          <w:rFonts w:ascii="Palatino Linotype" w:eastAsia="Palatino Linotype" w:hAnsi="Palatino Linotype" w:cs="Palatino Linotype"/>
          <w:sz w:val="22"/>
          <w:szCs w:val="22"/>
        </w:rPr>
        <w:t xml:space="preserve"> encuadra en alguno de los </w:t>
      </w:r>
      <w:r w:rsidRPr="009C7730">
        <w:rPr>
          <w:rFonts w:ascii="Palatino Linotype" w:eastAsia="Palatino Linotype" w:hAnsi="Palatino Linotype" w:cs="Palatino Linotype"/>
          <w:b/>
          <w:sz w:val="22"/>
          <w:szCs w:val="22"/>
        </w:rPr>
        <w:t>supuestos de reserva o de confidencialidad en su totalidad</w:t>
      </w:r>
      <w:r w:rsidRPr="009C7730">
        <w:rPr>
          <w:rFonts w:ascii="Palatino Linotype" w:eastAsia="Palatino Linotype" w:hAnsi="Palatino Linotype" w:cs="Palatino Linotype"/>
          <w:sz w:val="22"/>
          <w:szCs w:val="22"/>
        </w:rPr>
        <w:t>, deberá emitir, un</w:t>
      </w:r>
      <w:r w:rsidRPr="009C7730">
        <w:rPr>
          <w:rFonts w:ascii="Palatino Linotype" w:eastAsia="Palatino Linotype" w:hAnsi="Palatino Linotype" w:cs="Palatino Linotype"/>
          <w:b/>
          <w:sz w:val="22"/>
          <w:szCs w:val="22"/>
        </w:rPr>
        <w:t xml:space="preserve"> Acuerdo de Clasificación </w:t>
      </w:r>
      <w:r w:rsidRPr="009C7730">
        <w:rPr>
          <w:rFonts w:ascii="Palatino Linotype" w:eastAsia="Palatino Linotype" w:hAnsi="Palatino Linotype" w:cs="Palatino Linotype"/>
          <w:sz w:val="22"/>
          <w:szCs w:val="22"/>
        </w:rPr>
        <w:t>debidamente fundado y motivado que</w:t>
      </w:r>
      <w:r w:rsidRPr="009C7730">
        <w:rPr>
          <w:rFonts w:ascii="Palatino Linotype" w:eastAsia="Palatino Linotype" w:hAnsi="Palatino Linotype" w:cs="Palatino Linotype"/>
          <w:b/>
          <w:sz w:val="22"/>
          <w:szCs w:val="22"/>
        </w:rPr>
        <w:t xml:space="preserve"> sustente la clasificación parcial, a través de la versión pública que emita,</w:t>
      </w:r>
      <w:r w:rsidRPr="009C7730">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9C7730"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De la clasificación parcial de la información.</w:t>
      </w:r>
    </w:p>
    <w:p w14:paraId="6CDBD4F4" w14:textId="77777777" w:rsidR="00532AE4" w:rsidRPr="009C773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9C7730"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De la clasificación de información como reservada.</w:t>
      </w:r>
    </w:p>
    <w:p w14:paraId="2F50165E" w14:textId="77777777" w:rsidR="00532AE4" w:rsidRPr="009C7730"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9C7730" w:rsidRDefault="00A76F12">
      <w:pPr>
        <w:spacing w:line="360" w:lineRule="auto"/>
        <w:ind w:right="5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9C7730"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lastRenderedPageBreak/>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9C773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La divulgación de la información representa un </w:t>
      </w:r>
      <w:r w:rsidRPr="009C7730">
        <w:rPr>
          <w:rFonts w:ascii="Palatino Linotype" w:eastAsia="Palatino Linotype" w:hAnsi="Palatino Linotype" w:cs="Palatino Linotype"/>
          <w:b/>
          <w:sz w:val="22"/>
          <w:szCs w:val="22"/>
        </w:rPr>
        <w:t>riesgo real, demostrable e identificable del perjuicio significativo al interés público o a la seguridad pública</w:t>
      </w:r>
      <w:r w:rsidRPr="009C7730">
        <w:rPr>
          <w:rFonts w:ascii="Palatino Linotype" w:eastAsia="Palatino Linotype" w:hAnsi="Palatino Linotype" w:cs="Palatino Linotype"/>
          <w:sz w:val="22"/>
          <w:szCs w:val="22"/>
        </w:rPr>
        <w:t>;</w:t>
      </w:r>
    </w:p>
    <w:p w14:paraId="4FC20933" w14:textId="77777777" w:rsidR="00532AE4" w:rsidRPr="009C773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9C773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9C7730"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Siendo pertinente aclarar que, la información que se clasifica bajo la premisa de reservada, </w:t>
      </w:r>
      <w:r w:rsidRPr="009C7730">
        <w:rPr>
          <w:rFonts w:ascii="Palatino Linotype" w:eastAsia="Palatino Linotype" w:hAnsi="Palatino Linotype" w:cs="Palatino Linotype"/>
          <w:b/>
          <w:sz w:val="22"/>
          <w:szCs w:val="22"/>
        </w:rPr>
        <w:t>no pierde el carácter de pública</w:t>
      </w:r>
      <w:r w:rsidRPr="009C7730">
        <w:rPr>
          <w:rFonts w:ascii="Palatino Linotype" w:eastAsia="Palatino Linotype" w:hAnsi="Palatino Linotype" w:cs="Palatino Linotype"/>
          <w:sz w:val="22"/>
          <w:szCs w:val="22"/>
        </w:rPr>
        <w:t xml:space="preserve">, sino que </w:t>
      </w:r>
      <w:r w:rsidRPr="009C7730">
        <w:rPr>
          <w:rFonts w:ascii="Palatino Linotype" w:eastAsia="Palatino Linotype" w:hAnsi="Palatino Linotype" w:cs="Palatino Linotype"/>
          <w:b/>
          <w:sz w:val="22"/>
          <w:szCs w:val="22"/>
        </w:rPr>
        <w:t>se reserva temporalmente</w:t>
      </w:r>
      <w:r w:rsidRPr="009C7730">
        <w:rPr>
          <w:rFonts w:ascii="Palatino Linotype" w:eastAsia="Palatino Linotype" w:hAnsi="Palatino Linotype" w:cs="Palatino Linotype"/>
          <w:sz w:val="22"/>
          <w:szCs w:val="22"/>
        </w:rPr>
        <w:t xml:space="preserve"> </w:t>
      </w:r>
      <w:r w:rsidRPr="009C7730">
        <w:rPr>
          <w:rFonts w:ascii="Palatino Linotype" w:eastAsia="Palatino Linotype" w:hAnsi="Palatino Linotype" w:cs="Palatino Linotype"/>
          <w:b/>
          <w:sz w:val="22"/>
          <w:szCs w:val="22"/>
        </w:rPr>
        <w:t>del conocimiento público</w:t>
      </w:r>
      <w:r w:rsidRPr="009C7730">
        <w:rPr>
          <w:rFonts w:ascii="Palatino Linotype" w:eastAsia="Palatino Linotype" w:hAnsi="Palatino Linotype" w:cs="Palatino Linotype"/>
          <w:sz w:val="22"/>
          <w:szCs w:val="22"/>
        </w:rPr>
        <w:t xml:space="preserve">, es decir, que, </w:t>
      </w:r>
      <w:r w:rsidRPr="009C7730">
        <w:rPr>
          <w:rFonts w:ascii="Palatino Linotype" w:eastAsia="Palatino Linotype" w:hAnsi="Palatino Linotype" w:cs="Palatino Linotype"/>
          <w:b/>
          <w:sz w:val="22"/>
          <w:szCs w:val="22"/>
        </w:rPr>
        <w:t>por un tiempo determinado</w:t>
      </w:r>
      <w:r w:rsidRPr="009C7730">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9C7730"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9C7730"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9C7730" w:rsidRDefault="00A76F12">
      <w:pPr>
        <w:tabs>
          <w:tab w:val="left" w:pos="709"/>
        </w:tabs>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lastRenderedPageBreak/>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9C7730"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9C7730" w:rsidRDefault="00A76F12">
      <w:pPr>
        <w:spacing w:line="360" w:lineRule="auto"/>
        <w:ind w:right="5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9C7730">
        <w:rPr>
          <w:rFonts w:ascii="Palatino Linotype" w:eastAsia="Palatino Linotype" w:hAnsi="Palatino Linotype" w:cs="Palatino Linotype"/>
          <w:sz w:val="22"/>
          <w:szCs w:val="22"/>
          <w:vertAlign w:val="superscript"/>
        </w:rPr>
        <w:footnoteReference w:id="6"/>
      </w:r>
      <w:r w:rsidRPr="009C7730">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9C7730"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9C7730"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De la declaratoria de inexistencia de la información</w:t>
      </w:r>
      <w:r w:rsidRPr="009C7730">
        <w:rPr>
          <w:rFonts w:ascii="Palatino Linotype" w:eastAsia="Palatino Linotype" w:hAnsi="Palatino Linotype" w:cs="Palatino Linotype"/>
          <w:sz w:val="22"/>
          <w:szCs w:val="22"/>
        </w:rPr>
        <w:t>.</w:t>
      </w:r>
    </w:p>
    <w:p w14:paraId="2CE06287" w14:textId="77777777" w:rsidR="00532AE4" w:rsidRPr="009C7730"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Por otro lado, estima prudente señalar al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9C7730" w:rsidRDefault="00A76F12">
      <w:pPr>
        <w:spacing w:line="276" w:lineRule="auto"/>
        <w:ind w:left="567" w:right="902"/>
        <w:jc w:val="both"/>
        <w:rPr>
          <w:rFonts w:ascii="Palatino Linotype" w:eastAsia="Palatino Linotype" w:hAnsi="Palatino Linotype" w:cs="Palatino Linotype"/>
          <w:i/>
          <w:sz w:val="22"/>
          <w:szCs w:val="22"/>
        </w:rPr>
      </w:pPr>
      <w:r w:rsidRPr="009C7730">
        <w:rPr>
          <w:rFonts w:ascii="Palatino Linotype" w:eastAsia="Palatino Linotype" w:hAnsi="Palatino Linotype" w:cs="Palatino Linotype"/>
          <w:b/>
          <w:i/>
          <w:sz w:val="22"/>
          <w:szCs w:val="22"/>
        </w:rPr>
        <w:t xml:space="preserve">“INEXISTENCIA DE LA INFORMACIÓN. SUPUESTOS PARA EMITIR LA RESOLUCIÓN DE LA. </w:t>
      </w:r>
      <w:r w:rsidRPr="009C7730">
        <w:rPr>
          <w:rFonts w:ascii="Palatino Linotype" w:eastAsia="Palatino Linotype" w:hAnsi="Palatino Linotype" w:cs="Palatino Linotype"/>
          <w:i/>
          <w:sz w:val="22"/>
          <w:szCs w:val="22"/>
        </w:rPr>
        <w:t xml:space="preserve">De conformidad con los artículos 19, párrafo tercero y 170 de la Ley de Transparencia y Acceso a la Información Pública del Estado de México y Municipios, el Comité de Transparencia deberá emitir un acuerdo de inexistencia </w:t>
      </w:r>
      <w:r w:rsidRPr="009C7730">
        <w:rPr>
          <w:rFonts w:ascii="Palatino Linotype" w:eastAsia="Palatino Linotype" w:hAnsi="Palatino Linotype" w:cs="Palatino Linotype"/>
          <w:i/>
          <w:sz w:val="22"/>
          <w:szCs w:val="22"/>
        </w:rPr>
        <w:lastRenderedPageBreak/>
        <w:t>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9C7730"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 xml:space="preserve">En mérito de todo lo expuesto, ante lo </w:t>
      </w:r>
      <w:r w:rsidRPr="009C7730">
        <w:rPr>
          <w:rFonts w:ascii="Palatino Linotype" w:eastAsia="Palatino Linotype" w:hAnsi="Palatino Linotype" w:cs="Palatino Linotype"/>
          <w:b/>
          <w:sz w:val="22"/>
          <w:szCs w:val="22"/>
        </w:rPr>
        <w:t>FUNDADO</w:t>
      </w:r>
      <w:r w:rsidRPr="009C7730">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9C7730">
        <w:rPr>
          <w:rFonts w:ascii="Palatino Linotype" w:eastAsia="Palatino Linotype" w:hAnsi="Palatino Linotype" w:cs="Palatino Linotype"/>
          <w:b/>
          <w:sz w:val="22"/>
          <w:szCs w:val="22"/>
        </w:rPr>
        <w:t>ORDENAR</w:t>
      </w:r>
      <w:r w:rsidRPr="009C7730">
        <w:rPr>
          <w:rFonts w:ascii="Palatino Linotype" w:eastAsia="Palatino Linotype" w:hAnsi="Palatino Linotype" w:cs="Palatino Linotype"/>
          <w:sz w:val="22"/>
          <w:szCs w:val="22"/>
        </w:rPr>
        <w:t xml:space="preserve"> al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9C7730" w:rsidRDefault="00A76F12">
      <w:pPr>
        <w:spacing w:line="360" w:lineRule="auto"/>
        <w:ind w:right="49"/>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sz w:val="22"/>
          <w:szCs w:val="22"/>
        </w:rPr>
        <w:t>Finalmente, es de señalar que, como ya se mencionó el</w:t>
      </w:r>
      <w:r w:rsidRPr="009C7730">
        <w:rPr>
          <w:rFonts w:ascii="Palatino Linotype" w:eastAsia="Palatino Linotype" w:hAnsi="Palatino Linotype" w:cs="Palatino Linotype"/>
          <w:b/>
          <w:sz w:val="22"/>
          <w:szCs w:val="22"/>
        </w:rPr>
        <w:t xml:space="preserve"> Sujeto Obligado</w:t>
      </w:r>
      <w:r w:rsidRPr="009C7730">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9C7730">
        <w:rPr>
          <w:rFonts w:ascii="Palatino Linotype" w:eastAsia="Palatino Linotype" w:hAnsi="Palatino Linotype" w:cs="Palatino Linotype"/>
          <w:b/>
          <w:sz w:val="22"/>
          <w:szCs w:val="22"/>
        </w:rPr>
        <w:t xml:space="preserve"> </w:t>
      </w:r>
      <w:r w:rsidRPr="009C7730">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9C7730"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9C7730"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9C7730">
        <w:rPr>
          <w:rFonts w:ascii="Palatino Linotype" w:eastAsia="Palatino Linotype" w:hAnsi="Palatino Linotype" w:cs="Palatino Linotype"/>
          <w:sz w:val="22"/>
          <w:szCs w:val="22"/>
        </w:rPr>
        <w:t xml:space="preserve">Así, con fundamento en lo prescrito en los artículos </w:t>
      </w:r>
      <w:r w:rsidR="009100C5" w:rsidRPr="009C7730">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9C7730">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9C7730"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9C7730"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III. R E S U E L V E</w:t>
      </w:r>
    </w:p>
    <w:p w14:paraId="170B47A5" w14:textId="77777777" w:rsidR="00532AE4" w:rsidRPr="009C7730"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9C7730" w:rsidRDefault="00A76F12">
      <w:pPr>
        <w:spacing w:line="360" w:lineRule="auto"/>
        <w:ind w:right="49"/>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Primero. </w:t>
      </w:r>
      <w:r w:rsidRPr="009C7730">
        <w:rPr>
          <w:rFonts w:ascii="Palatino Linotype" w:eastAsia="Palatino Linotype" w:hAnsi="Palatino Linotype" w:cs="Palatino Linotype"/>
          <w:sz w:val="22"/>
          <w:szCs w:val="22"/>
        </w:rPr>
        <w:t xml:space="preserve">Resultan </w:t>
      </w:r>
      <w:r w:rsidRPr="009C7730">
        <w:rPr>
          <w:rFonts w:ascii="Palatino Linotype" w:eastAsia="Palatino Linotype" w:hAnsi="Palatino Linotype" w:cs="Palatino Linotype"/>
          <w:b/>
          <w:sz w:val="22"/>
          <w:szCs w:val="22"/>
        </w:rPr>
        <w:t>FUNDADOS</w:t>
      </w:r>
      <w:r w:rsidRPr="009C7730">
        <w:rPr>
          <w:rFonts w:ascii="Palatino Linotype" w:eastAsia="Palatino Linotype" w:hAnsi="Palatino Linotype" w:cs="Palatino Linotype"/>
          <w:sz w:val="22"/>
          <w:szCs w:val="22"/>
        </w:rPr>
        <w:t xml:space="preserve"> los motivos de inconformidad de la parte </w:t>
      </w:r>
      <w:r w:rsidRPr="009C7730">
        <w:rPr>
          <w:rFonts w:ascii="Palatino Linotype" w:eastAsia="Palatino Linotype" w:hAnsi="Palatino Linotype" w:cs="Palatino Linotype"/>
          <w:b/>
          <w:sz w:val="22"/>
          <w:szCs w:val="22"/>
        </w:rPr>
        <w:t>Recurrente</w:t>
      </w:r>
      <w:r w:rsidRPr="009C7730">
        <w:rPr>
          <w:rFonts w:ascii="Palatino Linotype" w:eastAsia="Palatino Linotype" w:hAnsi="Palatino Linotype" w:cs="Palatino Linotype"/>
          <w:sz w:val="22"/>
          <w:szCs w:val="22"/>
        </w:rPr>
        <w:t xml:space="preserve">, en términos del </w:t>
      </w:r>
      <w:r w:rsidRPr="009C7730">
        <w:rPr>
          <w:rFonts w:ascii="Palatino Linotype" w:eastAsia="Palatino Linotype" w:hAnsi="Palatino Linotype" w:cs="Palatino Linotype"/>
          <w:b/>
          <w:sz w:val="22"/>
          <w:szCs w:val="22"/>
        </w:rPr>
        <w:t>Considerando Cuarto</w:t>
      </w:r>
      <w:r w:rsidRPr="009C7730">
        <w:rPr>
          <w:rFonts w:ascii="Palatino Linotype" w:eastAsia="Palatino Linotype" w:hAnsi="Palatino Linotype" w:cs="Palatino Linotype"/>
          <w:sz w:val="22"/>
          <w:szCs w:val="22"/>
        </w:rPr>
        <w:t xml:space="preserve"> de la presente resolución.</w:t>
      </w:r>
    </w:p>
    <w:p w14:paraId="6A06B418" w14:textId="77777777" w:rsidR="00532AE4" w:rsidRPr="009C7730" w:rsidRDefault="00532AE4">
      <w:pPr>
        <w:spacing w:line="360" w:lineRule="auto"/>
        <w:ind w:right="49"/>
        <w:jc w:val="both"/>
        <w:rPr>
          <w:rFonts w:ascii="Palatino Linotype" w:eastAsia="Palatino Linotype" w:hAnsi="Palatino Linotype" w:cs="Palatino Linotype"/>
          <w:sz w:val="22"/>
          <w:szCs w:val="22"/>
        </w:rPr>
      </w:pPr>
    </w:p>
    <w:p w14:paraId="1E37E133" w14:textId="21660274" w:rsidR="00532AE4" w:rsidRPr="009C7730"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9C7730">
        <w:rPr>
          <w:rFonts w:ascii="Palatino Linotype" w:eastAsia="Palatino Linotype" w:hAnsi="Palatino Linotype" w:cs="Palatino Linotype"/>
          <w:b/>
          <w:sz w:val="22"/>
          <w:szCs w:val="22"/>
        </w:rPr>
        <w:t>Segundo.</w:t>
      </w:r>
      <w:r w:rsidRPr="009C7730">
        <w:rPr>
          <w:rFonts w:ascii="Palatino Linotype" w:eastAsia="Palatino Linotype" w:hAnsi="Palatino Linotype" w:cs="Palatino Linotype"/>
          <w:sz w:val="22"/>
          <w:szCs w:val="22"/>
        </w:rPr>
        <w:t xml:space="preserve"> Se</w:t>
      </w:r>
      <w:r w:rsidRPr="009C7730">
        <w:rPr>
          <w:rFonts w:ascii="Palatino Linotype" w:eastAsia="Palatino Linotype" w:hAnsi="Palatino Linotype" w:cs="Palatino Linotype"/>
          <w:b/>
          <w:sz w:val="22"/>
          <w:szCs w:val="22"/>
        </w:rPr>
        <w:t xml:space="preserve"> Ordena </w:t>
      </w:r>
      <w:r w:rsidRPr="009C7730">
        <w:rPr>
          <w:rFonts w:ascii="Palatino Linotype" w:eastAsia="Palatino Linotype" w:hAnsi="Palatino Linotype" w:cs="Palatino Linotype"/>
          <w:sz w:val="22"/>
          <w:szCs w:val="22"/>
        </w:rPr>
        <w:t xml:space="preserve">al </w:t>
      </w:r>
      <w:r w:rsidRPr="009C7730">
        <w:rPr>
          <w:rFonts w:ascii="Palatino Linotype" w:eastAsia="Palatino Linotype" w:hAnsi="Palatino Linotype" w:cs="Palatino Linotype"/>
          <w:b/>
          <w:sz w:val="22"/>
          <w:szCs w:val="22"/>
        </w:rPr>
        <w:t xml:space="preserve">Sujeto Obligado </w:t>
      </w:r>
      <w:r w:rsidRPr="009C7730">
        <w:rPr>
          <w:rFonts w:ascii="Palatino Linotype" w:eastAsia="Palatino Linotype" w:hAnsi="Palatino Linotype" w:cs="Palatino Linotype"/>
          <w:sz w:val="22"/>
          <w:szCs w:val="22"/>
        </w:rPr>
        <w:t xml:space="preserve">dé trámite, vía </w:t>
      </w:r>
      <w:r w:rsidRPr="009C7730">
        <w:rPr>
          <w:rFonts w:ascii="Palatino Linotype" w:eastAsia="Palatino Linotype" w:hAnsi="Palatino Linotype" w:cs="Palatino Linotype"/>
          <w:b/>
          <w:sz w:val="22"/>
          <w:szCs w:val="22"/>
        </w:rPr>
        <w:t xml:space="preserve">Sistema de Acceso a la Información Mexiquense </w:t>
      </w:r>
      <w:r w:rsidRPr="009C7730">
        <w:rPr>
          <w:rFonts w:ascii="Palatino Linotype" w:eastAsia="Palatino Linotype" w:hAnsi="Palatino Linotype" w:cs="Palatino Linotype"/>
          <w:sz w:val="22"/>
          <w:szCs w:val="22"/>
        </w:rPr>
        <w:t xml:space="preserve">a la solicitud de acceso a la información pública </w:t>
      </w:r>
      <w:r w:rsidR="00D144C8" w:rsidRPr="009C7730">
        <w:rPr>
          <w:rFonts w:ascii="Palatino Linotype" w:eastAsia="Palatino Linotype" w:hAnsi="Palatino Linotype" w:cs="Palatino Linotype"/>
          <w:b/>
          <w:sz w:val="22"/>
          <w:szCs w:val="22"/>
        </w:rPr>
        <w:t xml:space="preserve"> </w:t>
      </w:r>
      <w:r w:rsidR="005D3CA2" w:rsidRPr="009C7730">
        <w:rPr>
          <w:rFonts w:ascii="Palatino Linotype" w:eastAsia="Palatino Linotype" w:hAnsi="Palatino Linotype" w:cs="Palatino Linotype"/>
          <w:b/>
          <w:sz w:val="22"/>
          <w:szCs w:val="22"/>
        </w:rPr>
        <w:t xml:space="preserve"> </w:t>
      </w:r>
      <w:r w:rsidR="006922B3" w:rsidRPr="009C7730">
        <w:rPr>
          <w:rFonts w:ascii="Palatino Linotype" w:eastAsia="Palatino Linotype" w:hAnsi="Palatino Linotype" w:cs="Palatino Linotype"/>
          <w:b/>
          <w:sz w:val="22"/>
          <w:szCs w:val="22"/>
        </w:rPr>
        <w:t xml:space="preserve">00086/ALMOJU/IP/2026 </w:t>
      </w:r>
      <w:r w:rsidRPr="009C7730">
        <w:rPr>
          <w:rFonts w:ascii="Palatino Linotype" w:eastAsia="Palatino Linotype" w:hAnsi="Palatino Linotype" w:cs="Palatino Linotype"/>
          <w:sz w:val="22"/>
          <w:szCs w:val="22"/>
        </w:rPr>
        <w:t xml:space="preserve">que dio origen al recurso de revisión </w:t>
      </w:r>
      <w:r w:rsidR="00AE446C" w:rsidRPr="009C7730">
        <w:rPr>
          <w:rFonts w:ascii="Palatino Linotype" w:eastAsia="Palatino Linotype" w:hAnsi="Palatino Linotype" w:cs="Palatino Linotype"/>
          <w:b/>
          <w:sz w:val="22"/>
          <w:szCs w:val="22"/>
        </w:rPr>
        <w:t>0</w:t>
      </w:r>
      <w:r w:rsidR="006922B3" w:rsidRPr="009C7730">
        <w:rPr>
          <w:rFonts w:ascii="Palatino Linotype" w:eastAsia="Palatino Linotype" w:hAnsi="Palatino Linotype" w:cs="Palatino Linotype"/>
          <w:b/>
          <w:sz w:val="22"/>
          <w:szCs w:val="22"/>
        </w:rPr>
        <w:t>8094</w:t>
      </w:r>
      <w:r w:rsidR="000F4794" w:rsidRPr="009C7730">
        <w:rPr>
          <w:rFonts w:ascii="Palatino Linotype" w:eastAsia="Palatino Linotype" w:hAnsi="Palatino Linotype" w:cs="Palatino Linotype"/>
          <w:b/>
          <w:sz w:val="22"/>
          <w:szCs w:val="22"/>
        </w:rPr>
        <w:t xml:space="preserve">/INFOEM/IP/RR/2026 </w:t>
      </w:r>
      <w:r w:rsidRPr="009C7730">
        <w:rPr>
          <w:rFonts w:ascii="Palatino Linotype" w:eastAsia="Palatino Linotype" w:hAnsi="Palatino Linotype" w:cs="Palatino Linotype"/>
          <w:sz w:val="22"/>
          <w:szCs w:val="22"/>
        </w:rPr>
        <w:t xml:space="preserve">en términos del </w:t>
      </w:r>
      <w:r w:rsidRPr="009C7730">
        <w:rPr>
          <w:rFonts w:ascii="Palatino Linotype" w:eastAsia="Palatino Linotype" w:hAnsi="Palatino Linotype" w:cs="Palatino Linotype"/>
          <w:b/>
          <w:sz w:val="22"/>
          <w:szCs w:val="22"/>
        </w:rPr>
        <w:t>Considerando Cuarto</w:t>
      </w:r>
      <w:r w:rsidRPr="009C7730">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9C7730"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9C7730">
        <w:rPr>
          <w:rFonts w:ascii="Palatino Linotype" w:eastAsia="Palatino Linotype" w:hAnsi="Palatino Linotype" w:cs="Palatino Linotype"/>
          <w:b/>
          <w:sz w:val="22"/>
          <w:szCs w:val="22"/>
        </w:rPr>
        <w:t>Tercero.</w:t>
      </w:r>
      <w:r w:rsidRPr="009C7730">
        <w:rPr>
          <w:rFonts w:ascii="Palatino Linotype" w:eastAsia="Palatino Linotype" w:hAnsi="Palatino Linotype" w:cs="Palatino Linotype"/>
          <w:sz w:val="22"/>
          <w:szCs w:val="22"/>
        </w:rPr>
        <w:t xml:space="preserve"> </w:t>
      </w:r>
      <w:r w:rsidRPr="009C7730">
        <w:rPr>
          <w:rFonts w:ascii="Palatino Linotype" w:eastAsia="Palatino Linotype" w:hAnsi="Palatino Linotype" w:cs="Palatino Linotype"/>
          <w:b/>
          <w:sz w:val="22"/>
          <w:szCs w:val="22"/>
        </w:rPr>
        <w:t xml:space="preserve">Notifíquese vía Sistema de Acceso a la Información Mexiquense </w:t>
      </w:r>
      <w:r w:rsidRPr="009C7730">
        <w:rPr>
          <w:rFonts w:ascii="Palatino Linotype" w:eastAsia="Palatino Linotype" w:hAnsi="Palatino Linotype" w:cs="Palatino Linotype"/>
          <w:sz w:val="22"/>
          <w:szCs w:val="22"/>
        </w:rPr>
        <w:t>la presente resolución al T</w:t>
      </w:r>
      <w:r w:rsidRPr="009C7730">
        <w:rPr>
          <w:rFonts w:ascii="Palatino Linotype" w:eastAsia="Palatino Linotype" w:hAnsi="Palatino Linotype" w:cs="Palatino Linotype"/>
          <w:b/>
          <w:sz w:val="22"/>
          <w:szCs w:val="22"/>
        </w:rPr>
        <w:t xml:space="preserve">itular de la Unidad de Transparencia </w:t>
      </w:r>
      <w:r w:rsidRPr="009C7730">
        <w:rPr>
          <w:rFonts w:ascii="Palatino Linotype" w:eastAsia="Palatino Linotype" w:hAnsi="Palatino Linotype" w:cs="Palatino Linotype"/>
          <w:sz w:val="22"/>
          <w:szCs w:val="22"/>
        </w:rPr>
        <w:t xml:space="preserve">del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w:t>
      </w:r>
      <w:r w:rsidRPr="009C7730">
        <w:rPr>
          <w:rFonts w:ascii="Palatino Linotype" w:eastAsia="Palatino Linotype" w:hAnsi="Palatino Linotype" w:cs="Palatino Linotype"/>
          <w:sz w:val="22"/>
          <w:szCs w:val="22"/>
        </w:rPr>
        <w:lastRenderedPageBreak/>
        <w:t>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9C7730"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Cuarto. Notifíquese</w:t>
      </w:r>
      <w:r w:rsidRPr="009C7730">
        <w:rPr>
          <w:rFonts w:ascii="Palatino Linotype" w:eastAsia="Palatino Linotype" w:hAnsi="Palatino Linotype" w:cs="Palatino Linotype"/>
          <w:sz w:val="22"/>
          <w:szCs w:val="22"/>
        </w:rPr>
        <w:t>,</w:t>
      </w:r>
      <w:r w:rsidRPr="009C7730">
        <w:rPr>
          <w:rFonts w:ascii="Palatino Linotype" w:eastAsia="Palatino Linotype" w:hAnsi="Palatino Linotype" w:cs="Palatino Linotype"/>
          <w:b/>
          <w:sz w:val="22"/>
          <w:szCs w:val="22"/>
        </w:rPr>
        <w:t xml:space="preserve"> </w:t>
      </w:r>
      <w:r w:rsidRPr="009C7730">
        <w:rPr>
          <w:rFonts w:ascii="Palatino Linotype" w:eastAsia="Palatino Linotype" w:hAnsi="Palatino Linotype" w:cs="Palatino Linotype"/>
          <w:sz w:val="22"/>
          <w:szCs w:val="22"/>
        </w:rPr>
        <w:t xml:space="preserve">vía </w:t>
      </w:r>
      <w:r w:rsidRPr="009C7730">
        <w:rPr>
          <w:rFonts w:ascii="Palatino Linotype" w:eastAsia="Palatino Linotype" w:hAnsi="Palatino Linotype" w:cs="Palatino Linotype"/>
          <w:b/>
          <w:sz w:val="22"/>
          <w:szCs w:val="22"/>
        </w:rPr>
        <w:t>Sistema de Acceso a la Información Mexiquense</w:t>
      </w:r>
      <w:r w:rsidRPr="009C7730">
        <w:rPr>
          <w:rFonts w:ascii="Palatino Linotype" w:eastAsia="Palatino Linotype" w:hAnsi="Palatino Linotype" w:cs="Palatino Linotype"/>
          <w:sz w:val="22"/>
          <w:szCs w:val="22"/>
        </w:rPr>
        <w:t xml:space="preserve">, a la parte </w:t>
      </w:r>
      <w:r w:rsidRPr="009C7730">
        <w:rPr>
          <w:rFonts w:ascii="Palatino Linotype" w:eastAsia="Palatino Linotype" w:hAnsi="Palatino Linotype" w:cs="Palatino Linotype"/>
          <w:b/>
          <w:sz w:val="22"/>
          <w:szCs w:val="22"/>
        </w:rPr>
        <w:t xml:space="preserve">Recurrente </w:t>
      </w:r>
      <w:r w:rsidRPr="009C7730">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9C7730"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9C7730" w:rsidRDefault="00A76F12">
      <w:pPr>
        <w:spacing w:line="360" w:lineRule="auto"/>
        <w:jc w:val="both"/>
        <w:rPr>
          <w:rFonts w:ascii="Palatino Linotype" w:eastAsia="Palatino Linotype" w:hAnsi="Palatino Linotype" w:cs="Palatino Linotype"/>
          <w:sz w:val="22"/>
          <w:szCs w:val="22"/>
        </w:rPr>
      </w:pPr>
      <w:r w:rsidRPr="009C7730">
        <w:rPr>
          <w:rFonts w:ascii="Palatino Linotype" w:eastAsia="Palatino Linotype" w:hAnsi="Palatino Linotype" w:cs="Palatino Linotype"/>
          <w:b/>
          <w:sz w:val="22"/>
          <w:szCs w:val="22"/>
        </w:rPr>
        <w:t xml:space="preserve">Quinto. Notifíquese </w:t>
      </w:r>
      <w:r w:rsidRPr="009C7730">
        <w:rPr>
          <w:rFonts w:ascii="Palatino Linotype" w:eastAsia="Palatino Linotype" w:hAnsi="Palatino Linotype" w:cs="Palatino Linotype"/>
          <w:sz w:val="22"/>
          <w:szCs w:val="22"/>
        </w:rPr>
        <w:t xml:space="preserve">a la parte </w:t>
      </w:r>
      <w:r w:rsidRPr="009C7730">
        <w:rPr>
          <w:rFonts w:ascii="Palatino Linotype" w:eastAsia="Palatino Linotype" w:hAnsi="Palatino Linotype" w:cs="Palatino Linotype"/>
          <w:b/>
          <w:sz w:val="22"/>
          <w:szCs w:val="22"/>
        </w:rPr>
        <w:t xml:space="preserve">Recurrente </w:t>
      </w:r>
      <w:r w:rsidRPr="009C7730">
        <w:rPr>
          <w:rFonts w:ascii="Palatino Linotype" w:eastAsia="Palatino Linotype" w:hAnsi="Palatino Linotype" w:cs="Palatino Linotype"/>
          <w:sz w:val="22"/>
          <w:szCs w:val="22"/>
        </w:rPr>
        <w:t xml:space="preserve">que la respuesta que dé el </w:t>
      </w:r>
      <w:r w:rsidRPr="009C7730">
        <w:rPr>
          <w:rFonts w:ascii="Palatino Linotype" w:eastAsia="Palatino Linotype" w:hAnsi="Palatino Linotype" w:cs="Palatino Linotype"/>
          <w:b/>
          <w:sz w:val="22"/>
          <w:szCs w:val="22"/>
        </w:rPr>
        <w:t>Sujeto Obligado</w:t>
      </w:r>
      <w:r w:rsidRPr="009C7730">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9C7730"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9C7730" w:rsidRDefault="00A76F12">
      <w:pPr>
        <w:spacing w:line="360" w:lineRule="auto"/>
        <w:jc w:val="both"/>
        <w:rPr>
          <w:rFonts w:ascii="Palatino Linotype" w:eastAsia="Palatino Linotype" w:hAnsi="Palatino Linotype" w:cs="Palatino Linotype"/>
          <w:b/>
          <w:sz w:val="22"/>
          <w:szCs w:val="22"/>
        </w:rPr>
      </w:pPr>
      <w:r w:rsidRPr="009C7730">
        <w:rPr>
          <w:rFonts w:ascii="Palatino Linotype" w:eastAsia="Palatino Linotype" w:hAnsi="Palatino Linotype" w:cs="Palatino Linotype"/>
          <w:b/>
          <w:sz w:val="22"/>
          <w:szCs w:val="22"/>
        </w:rPr>
        <w:t xml:space="preserve">Sexto. Gírese </w:t>
      </w:r>
      <w:r w:rsidRPr="009C7730">
        <w:rPr>
          <w:rFonts w:ascii="Palatino Linotype" w:eastAsia="Palatino Linotype" w:hAnsi="Palatino Linotype" w:cs="Palatino Linotype"/>
          <w:sz w:val="22"/>
          <w:szCs w:val="22"/>
        </w:rPr>
        <w:t xml:space="preserve">oficio a la </w:t>
      </w:r>
      <w:r w:rsidRPr="009C7730">
        <w:rPr>
          <w:rFonts w:ascii="Palatino Linotype" w:eastAsia="Palatino Linotype" w:hAnsi="Palatino Linotype" w:cs="Palatino Linotype"/>
          <w:b/>
          <w:sz w:val="22"/>
          <w:szCs w:val="22"/>
        </w:rPr>
        <w:t>Secretaría Técnica del Pleno</w:t>
      </w:r>
      <w:r w:rsidRPr="009C7730">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9C7730">
        <w:rPr>
          <w:rFonts w:ascii="Palatino Linotype" w:eastAsia="Palatino Linotype" w:hAnsi="Palatino Linotype" w:cs="Palatino Linotype"/>
          <w:b/>
          <w:sz w:val="22"/>
          <w:szCs w:val="22"/>
        </w:rPr>
        <w:t xml:space="preserve"> </w:t>
      </w:r>
      <w:r w:rsidRPr="009C7730">
        <w:rPr>
          <w:rFonts w:ascii="Palatino Linotype" w:eastAsia="Palatino Linotype" w:hAnsi="Palatino Linotype" w:cs="Palatino Linotype"/>
          <w:sz w:val="22"/>
          <w:szCs w:val="22"/>
        </w:rPr>
        <w:t>de la presente resolución.</w:t>
      </w:r>
      <w:r w:rsidRPr="009C7730">
        <w:rPr>
          <w:rFonts w:ascii="Palatino Linotype" w:eastAsia="Palatino Linotype" w:hAnsi="Palatino Linotype" w:cs="Palatino Linotype"/>
          <w:b/>
          <w:sz w:val="22"/>
          <w:szCs w:val="22"/>
        </w:rPr>
        <w:t xml:space="preserve"> </w:t>
      </w:r>
    </w:p>
    <w:p w14:paraId="7F049394" w14:textId="77777777" w:rsidR="00532AE4" w:rsidRPr="009C7730"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9E1567" w:rsidRDefault="00A76F12">
      <w:pPr>
        <w:spacing w:line="360" w:lineRule="auto"/>
        <w:ind w:right="49"/>
        <w:jc w:val="both"/>
        <w:rPr>
          <w:rFonts w:ascii="Palatino Linotype" w:eastAsia="Palatino Linotype" w:hAnsi="Palatino Linotype" w:cs="Palatino Linotype"/>
          <w:sz w:val="22"/>
          <w:szCs w:val="22"/>
        </w:rPr>
        <w:sectPr w:rsidR="00532AE4" w:rsidRPr="009E1567">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9C7730">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9C7730">
        <w:rPr>
          <w:rFonts w:ascii="Palatino Linotype" w:eastAsia="Palatino Linotype" w:hAnsi="Palatino Linotype" w:cs="Palatino Linotype"/>
          <w:sz w:val="22"/>
          <w:szCs w:val="22"/>
        </w:rPr>
        <w:t xml:space="preserve">MEJÍA </w:t>
      </w:r>
      <w:r w:rsidR="00FE33C3" w:rsidRPr="009C7730">
        <w:rPr>
          <w:rFonts w:ascii="Palatino Linotype" w:eastAsia="Palatino Linotype" w:hAnsi="Palatino Linotype" w:cs="Palatino Linotype"/>
          <w:sz w:val="22"/>
          <w:szCs w:val="22"/>
        </w:rPr>
        <w:lastRenderedPageBreak/>
        <w:t xml:space="preserve">AYALA </w:t>
      </w:r>
      <w:r w:rsidRPr="009C7730">
        <w:rPr>
          <w:rFonts w:ascii="Palatino Linotype" w:eastAsia="Palatino Linotype" w:hAnsi="Palatino Linotype" w:cs="Palatino Linotype"/>
          <w:sz w:val="22"/>
          <w:szCs w:val="22"/>
        </w:rPr>
        <w:t xml:space="preserve">Y GUADALUPE RAMÍREZ PEÑA; EN LA </w:t>
      </w:r>
      <w:r w:rsidR="00135C3B" w:rsidRPr="009C7730">
        <w:rPr>
          <w:rFonts w:ascii="Palatino Linotype" w:eastAsia="Palatino Linotype" w:hAnsi="Palatino Linotype" w:cs="Palatino Linotype"/>
          <w:sz w:val="22"/>
          <w:szCs w:val="22"/>
        </w:rPr>
        <w:t>TR</w:t>
      </w:r>
      <w:r w:rsidR="00C36278" w:rsidRPr="009C7730">
        <w:rPr>
          <w:rFonts w:ascii="Palatino Linotype" w:eastAsia="Palatino Linotype" w:hAnsi="Palatino Linotype" w:cs="Palatino Linotype"/>
          <w:sz w:val="22"/>
          <w:szCs w:val="22"/>
        </w:rPr>
        <w:t xml:space="preserve">IGÉSIMA </w:t>
      </w:r>
      <w:r w:rsidR="00AE3DD5" w:rsidRPr="009C7730">
        <w:rPr>
          <w:rFonts w:ascii="Palatino Linotype" w:eastAsia="Palatino Linotype" w:hAnsi="Palatino Linotype" w:cs="Palatino Linotype"/>
          <w:sz w:val="22"/>
          <w:szCs w:val="22"/>
        </w:rPr>
        <w:t>TERC</w:t>
      </w:r>
      <w:r w:rsidR="003D2CDB" w:rsidRPr="009C7730">
        <w:rPr>
          <w:rFonts w:ascii="Palatino Linotype" w:eastAsia="Palatino Linotype" w:hAnsi="Palatino Linotype" w:cs="Palatino Linotype"/>
          <w:sz w:val="22"/>
          <w:szCs w:val="22"/>
        </w:rPr>
        <w:t xml:space="preserve">ERA </w:t>
      </w:r>
      <w:r w:rsidRPr="009C7730">
        <w:rPr>
          <w:rFonts w:ascii="Palatino Linotype" w:eastAsia="Palatino Linotype" w:hAnsi="Palatino Linotype" w:cs="Palatino Linotype"/>
          <w:sz w:val="22"/>
          <w:szCs w:val="22"/>
        </w:rPr>
        <w:t xml:space="preserve">SESIÓN ORDINARIA CELEBRADA EL </w:t>
      </w:r>
      <w:r w:rsidR="00AE3DD5" w:rsidRPr="009C7730">
        <w:rPr>
          <w:rFonts w:ascii="Palatino Linotype" w:eastAsia="Palatino Linotype" w:hAnsi="Palatino Linotype" w:cs="Palatino Linotype"/>
          <w:sz w:val="22"/>
          <w:szCs w:val="22"/>
        </w:rPr>
        <w:t>DIECISIETE</w:t>
      </w:r>
      <w:r w:rsidR="003D2CDB" w:rsidRPr="009C7730">
        <w:rPr>
          <w:rFonts w:ascii="Palatino Linotype" w:eastAsia="Palatino Linotype" w:hAnsi="Palatino Linotype" w:cs="Palatino Linotype"/>
          <w:sz w:val="22"/>
          <w:szCs w:val="22"/>
        </w:rPr>
        <w:t xml:space="preserve"> DE SEPTIEMBRE</w:t>
      </w:r>
      <w:r w:rsidR="00DF5516" w:rsidRPr="009C7730">
        <w:rPr>
          <w:rFonts w:ascii="Palatino Linotype" w:eastAsia="Palatino Linotype" w:hAnsi="Palatino Linotype" w:cs="Palatino Linotype"/>
          <w:sz w:val="22"/>
          <w:szCs w:val="22"/>
        </w:rPr>
        <w:t xml:space="preserve"> DE DOS MIL VEINTISÉIS</w:t>
      </w:r>
      <w:r w:rsidRPr="009C7730">
        <w:rPr>
          <w:rFonts w:ascii="Palatino Linotype" w:eastAsia="Palatino Linotype" w:hAnsi="Palatino Linotype" w:cs="Palatino Linotype"/>
          <w:sz w:val="22"/>
          <w:szCs w:val="22"/>
        </w:rPr>
        <w:t>, ANTE EL SECRETARIO TÉCNICO DEL PLENO ALEXIS TAPIA RAMÍREZ.</w:t>
      </w:r>
      <w:r w:rsidRPr="009E1567">
        <w:rPr>
          <w:rFonts w:ascii="Palatino Linotype" w:eastAsia="Palatino Linotype" w:hAnsi="Palatino Linotype" w:cs="Palatino Linotype"/>
          <w:sz w:val="22"/>
          <w:szCs w:val="22"/>
        </w:rPr>
        <w:t xml:space="preserve"> </w:t>
      </w:r>
    </w:p>
    <w:p w14:paraId="74E02134" w14:textId="77777777" w:rsidR="00532AE4" w:rsidRPr="009E1567"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9E1567" w:rsidRDefault="00532AE4">
      <w:pPr>
        <w:rPr>
          <w:sz w:val="22"/>
          <w:szCs w:val="22"/>
        </w:rPr>
      </w:pPr>
    </w:p>
    <w:sectPr w:rsidR="00532AE4" w:rsidRPr="009E1567">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B49B" w14:textId="77777777" w:rsidR="00C733CD" w:rsidRDefault="00C733CD">
      <w:r>
        <w:separator/>
      </w:r>
    </w:p>
  </w:endnote>
  <w:endnote w:type="continuationSeparator" w:id="0">
    <w:p w14:paraId="64CEC65B" w14:textId="77777777" w:rsidR="00C733CD" w:rsidRDefault="00C73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284CEFDF"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9C7730">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9C7730">
      <w:rPr>
        <w:rFonts w:ascii="Arial" w:eastAsia="Arial" w:hAnsi="Arial" w:cs="Arial"/>
        <w:b/>
        <w:noProof/>
        <w:color w:val="000000"/>
        <w:sz w:val="20"/>
        <w:szCs w:val="20"/>
      </w:rPr>
      <w:t>28</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65D0BD2A"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9C7730">
      <w:rPr>
        <w:rFonts w:ascii="Arial" w:eastAsia="Arial" w:hAnsi="Arial" w:cs="Arial"/>
        <w:b/>
        <w:noProof/>
        <w:color w:val="000000"/>
        <w:sz w:val="20"/>
        <w:szCs w:val="20"/>
      </w:rPr>
      <w:t>28</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9C7730">
      <w:rPr>
        <w:rFonts w:ascii="Arial" w:eastAsia="Arial" w:hAnsi="Arial" w:cs="Arial"/>
        <w:b/>
        <w:noProof/>
        <w:color w:val="000000"/>
        <w:sz w:val="20"/>
        <w:szCs w:val="20"/>
      </w:rPr>
      <w:t>28</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6D044" w14:textId="77777777" w:rsidR="00C733CD" w:rsidRDefault="00C733CD">
      <w:r>
        <w:separator/>
      </w:r>
    </w:p>
  </w:footnote>
  <w:footnote w:type="continuationSeparator" w:id="0">
    <w:p w14:paraId="16D2DF8F" w14:textId="77777777" w:rsidR="00C733CD" w:rsidRDefault="00C733CD">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56E43DAF"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150206">
            <w:rPr>
              <w:rFonts w:ascii="Palatino Linotype" w:eastAsia="Palatino Linotype" w:hAnsi="Palatino Linotype" w:cs="Palatino Linotype"/>
              <w:b/>
              <w:sz w:val="21"/>
              <w:szCs w:val="21"/>
            </w:rPr>
            <w:t>8094</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1A6242BE" w:rsidR="00532AE4" w:rsidRDefault="008E5D58" w:rsidP="0015020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150206">
            <w:rPr>
              <w:rFonts w:ascii="Palatino Linotype" w:eastAsia="Palatino Linotype" w:hAnsi="Palatino Linotype" w:cs="Palatino Linotype"/>
              <w:b/>
              <w:sz w:val="21"/>
              <w:szCs w:val="21"/>
            </w:rPr>
            <w:t>Almoloya de Juárez</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3EE15DC8"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150206">
            <w:rPr>
              <w:rFonts w:ascii="Palatino Linotype" w:eastAsia="Palatino Linotype" w:hAnsi="Palatino Linotype" w:cs="Palatino Linotype"/>
              <w:b/>
              <w:sz w:val="21"/>
              <w:szCs w:val="21"/>
            </w:rPr>
            <w:t>8094</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4793B456" w:rsidR="00532AE4" w:rsidRDefault="006C50B8">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 </w:t>
          </w:r>
          <w:proofErr w:type="spellStart"/>
          <w:r>
            <w:rPr>
              <w:rFonts w:ascii="Palatino Linotype" w:eastAsia="Palatino Linotype" w:hAnsi="Palatino Linotype" w:cs="Palatino Linotype"/>
              <w:b/>
              <w:sz w:val="21"/>
              <w:szCs w:val="21"/>
            </w:rPr>
            <w:t>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54F065E6" w:rsidR="00532AE4" w:rsidRDefault="00150206" w:rsidP="0015020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Almoloya de Juárez</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07858298">
    <w:abstractNumId w:val="2"/>
  </w:num>
  <w:num w:numId="2" w16cid:durableId="743650768">
    <w:abstractNumId w:val="4"/>
  </w:num>
  <w:num w:numId="3" w16cid:durableId="2038581249">
    <w:abstractNumId w:val="0"/>
  </w:num>
  <w:num w:numId="4" w16cid:durableId="466554542">
    <w:abstractNumId w:val="1"/>
  </w:num>
  <w:num w:numId="5" w16cid:durableId="1066342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D3CA2"/>
    <w:rsid w:val="005F2D09"/>
    <w:rsid w:val="005F71E2"/>
    <w:rsid w:val="00603092"/>
    <w:rsid w:val="00607257"/>
    <w:rsid w:val="006102B1"/>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0B8"/>
    <w:rsid w:val="006C51CD"/>
    <w:rsid w:val="006C56F4"/>
    <w:rsid w:val="006D538C"/>
    <w:rsid w:val="006E680C"/>
    <w:rsid w:val="006F407C"/>
    <w:rsid w:val="006F4F00"/>
    <w:rsid w:val="00707403"/>
    <w:rsid w:val="0071274F"/>
    <w:rsid w:val="00724155"/>
    <w:rsid w:val="007276F5"/>
    <w:rsid w:val="00744B5C"/>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52BC"/>
    <w:rsid w:val="00982101"/>
    <w:rsid w:val="00992278"/>
    <w:rsid w:val="00994B65"/>
    <w:rsid w:val="009A5B1A"/>
    <w:rsid w:val="009B4D3E"/>
    <w:rsid w:val="009B6117"/>
    <w:rsid w:val="009C1099"/>
    <w:rsid w:val="009C1EF4"/>
    <w:rsid w:val="009C3B23"/>
    <w:rsid w:val="009C43AD"/>
    <w:rsid w:val="009C5489"/>
    <w:rsid w:val="009C7730"/>
    <w:rsid w:val="009D197C"/>
    <w:rsid w:val="009E1567"/>
    <w:rsid w:val="009E503C"/>
    <w:rsid w:val="00A01FAB"/>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6B80"/>
    <w:rsid w:val="00AD14F5"/>
    <w:rsid w:val="00AD43F4"/>
    <w:rsid w:val="00AD6661"/>
    <w:rsid w:val="00AE0B9D"/>
    <w:rsid w:val="00AE3DD5"/>
    <w:rsid w:val="00AE446C"/>
    <w:rsid w:val="00AF1AFF"/>
    <w:rsid w:val="00B04425"/>
    <w:rsid w:val="00B05163"/>
    <w:rsid w:val="00B079DE"/>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612D"/>
    <w:rsid w:val="00C70F4E"/>
    <w:rsid w:val="00C733CD"/>
    <w:rsid w:val="00C758DF"/>
    <w:rsid w:val="00C912B9"/>
    <w:rsid w:val="00C930A5"/>
    <w:rsid w:val="00CA5B0F"/>
    <w:rsid w:val="00CB4082"/>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460594-7A53-44AA-ADDC-AD93A2DE0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7703</Words>
  <Characters>42368</Characters>
  <Application>Microsoft Office Word</Application>
  <DocSecurity>0</DocSecurity>
  <Lines>353</Lines>
  <Paragraphs>99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2026-09-18T20:19:00Z</cp:lastPrinted>
  <dcterms:created xsi:type="dcterms:W3CDTF">2026-09-22T20:24:00Z</dcterms:created>
  <dcterms:modified xsi:type="dcterms:W3CDTF">2026-09-22T20:24:00Z</dcterms:modified>
</cp:coreProperties>
</file>