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4C5" w:rsidRPr="005351ED" w:rsidRDefault="004B74C5" w:rsidP="004B74C5">
      <w:pPr>
        <w:spacing w:before="240" w:after="240" w:line="360" w:lineRule="auto"/>
        <w:jc w:val="both"/>
        <w:rPr>
          <w:rFonts w:ascii="Palatino Linotype" w:eastAsia="Palatino Linotype" w:hAnsi="Palatino Linotype" w:cs="Palatino Linotype"/>
          <w:b/>
          <w:sz w:val="24"/>
          <w:szCs w:val="24"/>
        </w:rPr>
      </w:pPr>
      <w:bookmarkStart w:id="0" w:name="_GoBack"/>
      <w:bookmarkEnd w:id="0"/>
      <w:r w:rsidRPr="005351ED">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w:t>
      </w:r>
      <w:r w:rsidR="005351ED">
        <w:rPr>
          <w:rFonts w:ascii="Palatino Linotype" w:eastAsia="Palatino Linotype" w:hAnsi="Palatino Linotype" w:cs="Palatino Linotype"/>
          <w:sz w:val="24"/>
          <w:szCs w:val="24"/>
        </w:rPr>
        <w:t xml:space="preserve">n Metepec, Estado de México; </w:t>
      </w:r>
      <w:r w:rsidR="005351ED" w:rsidRPr="005351ED">
        <w:rPr>
          <w:rFonts w:ascii="Palatino Linotype" w:eastAsia="Palatino Linotype" w:hAnsi="Palatino Linotype" w:cs="Palatino Linotype"/>
          <w:b/>
          <w:sz w:val="24"/>
          <w:szCs w:val="24"/>
        </w:rPr>
        <w:t>de fecha</w:t>
      </w:r>
      <w:r w:rsidRPr="005351ED">
        <w:rPr>
          <w:rFonts w:ascii="Palatino Linotype" w:eastAsia="Palatino Linotype" w:hAnsi="Palatino Linotype" w:cs="Palatino Linotype"/>
          <w:b/>
          <w:sz w:val="24"/>
          <w:szCs w:val="24"/>
        </w:rPr>
        <w:t xml:space="preserve"> </w:t>
      </w:r>
      <w:r w:rsidR="00AC77E8" w:rsidRPr="005351ED">
        <w:rPr>
          <w:rFonts w:ascii="Palatino Linotype" w:eastAsia="Palatino Linotype" w:hAnsi="Palatino Linotype" w:cs="Palatino Linotype"/>
          <w:b/>
          <w:sz w:val="24"/>
          <w:szCs w:val="24"/>
        </w:rPr>
        <w:t xml:space="preserve">cinco </w:t>
      </w:r>
      <w:r w:rsidR="005351ED" w:rsidRPr="005351ED">
        <w:rPr>
          <w:rFonts w:ascii="Palatino Linotype" w:eastAsia="Palatino Linotype" w:hAnsi="Palatino Linotype" w:cs="Palatino Linotype"/>
          <w:b/>
          <w:sz w:val="24"/>
          <w:szCs w:val="24"/>
        </w:rPr>
        <w:t xml:space="preserve">(05) </w:t>
      </w:r>
      <w:r w:rsidR="00AC77E8" w:rsidRPr="005351ED">
        <w:rPr>
          <w:rFonts w:ascii="Palatino Linotype" w:eastAsia="Palatino Linotype" w:hAnsi="Palatino Linotype" w:cs="Palatino Linotype"/>
          <w:b/>
          <w:sz w:val="24"/>
          <w:szCs w:val="24"/>
        </w:rPr>
        <w:t>de marzo</w:t>
      </w:r>
      <w:r w:rsidR="009F61F9" w:rsidRPr="005351ED">
        <w:rPr>
          <w:rFonts w:ascii="Palatino Linotype" w:eastAsia="Palatino Linotype" w:hAnsi="Palatino Linotype" w:cs="Palatino Linotype"/>
          <w:b/>
          <w:sz w:val="24"/>
          <w:szCs w:val="24"/>
        </w:rPr>
        <w:t xml:space="preserve"> de dos mil veintiséis. </w:t>
      </w:r>
      <w:r w:rsidRPr="005351ED">
        <w:rPr>
          <w:rFonts w:ascii="Palatino Linotype" w:eastAsia="Palatino Linotype" w:hAnsi="Palatino Linotype" w:cs="Palatino Linotype"/>
          <w:b/>
          <w:sz w:val="24"/>
          <w:szCs w:val="24"/>
        </w:rPr>
        <w:t xml:space="preserve"> </w:t>
      </w:r>
    </w:p>
    <w:p w:rsidR="004B74C5" w:rsidRDefault="004B74C5" w:rsidP="005351ED">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b/>
          <w:color w:val="000000"/>
          <w:sz w:val="24"/>
          <w:szCs w:val="24"/>
        </w:rPr>
        <w:t>VISTO el</w:t>
      </w:r>
      <w:r w:rsidRPr="005351ED">
        <w:rPr>
          <w:rFonts w:ascii="Palatino Linotype" w:eastAsia="Palatino Linotype" w:hAnsi="Palatino Linotype" w:cs="Palatino Linotype"/>
          <w:color w:val="000000"/>
          <w:sz w:val="24"/>
          <w:szCs w:val="24"/>
        </w:rPr>
        <w:t xml:space="preserve"> expediente electrónico formado con motivo del recurso de revisión </w:t>
      </w:r>
      <w:r w:rsidR="009F61F9" w:rsidRPr="005351ED">
        <w:rPr>
          <w:rFonts w:ascii="Palatino Linotype" w:eastAsia="Palatino Linotype" w:hAnsi="Palatino Linotype" w:cs="Palatino Linotype"/>
          <w:b/>
          <w:color w:val="000000"/>
          <w:sz w:val="24"/>
          <w:szCs w:val="24"/>
        </w:rPr>
        <w:t>07998</w:t>
      </w:r>
      <w:r w:rsidRPr="005351ED">
        <w:rPr>
          <w:rFonts w:ascii="Palatino Linotype" w:eastAsia="Palatino Linotype" w:hAnsi="Palatino Linotype" w:cs="Palatino Linotype"/>
          <w:b/>
          <w:color w:val="000000"/>
          <w:sz w:val="24"/>
          <w:szCs w:val="24"/>
        </w:rPr>
        <w:t xml:space="preserve">/INFOEM/IP/RR/2025, </w:t>
      </w:r>
      <w:r w:rsidR="009F61F9" w:rsidRPr="005351ED">
        <w:rPr>
          <w:rFonts w:ascii="Palatino Linotype" w:eastAsia="Palatino Linotype" w:hAnsi="Palatino Linotype" w:cs="Palatino Linotype"/>
          <w:color w:val="000000"/>
          <w:sz w:val="24"/>
          <w:szCs w:val="24"/>
        </w:rPr>
        <w:t xml:space="preserve">promovido </w:t>
      </w:r>
      <w:r w:rsidR="005351ED">
        <w:rPr>
          <w:rFonts w:ascii="Palatino Linotype" w:eastAsia="Palatino Linotype" w:hAnsi="Palatino Linotype" w:cs="Palatino Linotype"/>
          <w:color w:val="000000"/>
          <w:sz w:val="24"/>
          <w:szCs w:val="24"/>
        </w:rPr>
        <w:t xml:space="preserve">por </w:t>
      </w:r>
      <w:r w:rsidR="009F61F9" w:rsidRPr="005351ED">
        <w:rPr>
          <w:rFonts w:ascii="Palatino Linotype" w:eastAsia="Palatino Linotype" w:hAnsi="Palatino Linotype" w:cs="Palatino Linotype"/>
          <w:b/>
          <w:color w:val="000000"/>
          <w:sz w:val="24"/>
          <w:szCs w:val="24"/>
        </w:rPr>
        <w:t>un usuario que no proporcionó nombre para ser identificado</w:t>
      </w:r>
      <w:r w:rsidRPr="005351ED">
        <w:rPr>
          <w:rFonts w:ascii="Palatino Linotype" w:eastAsia="Palatino Linotype" w:hAnsi="Palatino Linotype" w:cs="Palatino Linotype"/>
          <w:b/>
          <w:color w:val="000000"/>
          <w:sz w:val="24"/>
          <w:szCs w:val="24"/>
        </w:rPr>
        <w:t>,</w:t>
      </w:r>
      <w:r w:rsidRPr="005351ED">
        <w:rPr>
          <w:rFonts w:ascii="Palatino Linotype" w:eastAsia="Palatino Linotype" w:hAnsi="Palatino Linotype" w:cs="Palatino Linotype"/>
          <w:color w:val="000000"/>
          <w:sz w:val="24"/>
          <w:szCs w:val="24"/>
        </w:rPr>
        <w:t xml:space="preserve"> en su calidad de </w:t>
      </w:r>
      <w:r w:rsidRPr="005351ED">
        <w:rPr>
          <w:rFonts w:ascii="Palatino Linotype" w:eastAsia="Palatino Linotype" w:hAnsi="Palatino Linotype" w:cs="Palatino Linotype"/>
          <w:b/>
          <w:color w:val="000000"/>
          <w:sz w:val="24"/>
          <w:szCs w:val="24"/>
        </w:rPr>
        <w:t>RECURRENTE</w:t>
      </w:r>
      <w:r w:rsidRPr="005351ED">
        <w:rPr>
          <w:rFonts w:ascii="Palatino Linotype" w:eastAsia="Palatino Linotype" w:hAnsi="Palatino Linotype" w:cs="Palatino Linotype"/>
          <w:color w:val="000000"/>
          <w:sz w:val="24"/>
          <w:szCs w:val="24"/>
        </w:rPr>
        <w:t xml:space="preserve">, en contra de la falta de respuesta del </w:t>
      </w:r>
      <w:r w:rsidRPr="005351ED">
        <w:rPr>
          <w:rFonts w:ascii="Palatino Linotype" w:eastAsia="Palatino Linotype" w:hAnsi="Palatino Linotype" w:cs="Palatino Linotype"/>
          <w:b/>
          <w:color w:val="000000"/>
          <w:sz w:val="24"/>
          <w:szCs w:val="24"/>
        </w:rPr>
        <w:t>Ayuntamient</w:t>
      </w:r>
      <w:r w:rsidR="00E00C7A" w:rsidRPr="005351ED">
        <w:rPr>
          <w:rFonts w:ascii="Palatino Linotype" w:eastAsia="Palatino Linotype" w:hAnsi="Palatino Linotype" w:cs="Palatino Linotype"/>
          <w:b/>
          <w:color w:val="000000"/>
          <w:sz w:val="24"/>
          <w:szCs w:val="24"/>
        </w:rPr>
        <w:t>o de Teoloyucan</w:t>
      </w:r>
      <w:r w:rsidRPr="005351ED">
        <w:rPr>
          <w:rFonts w:ascii="Palatino Linotype" w:eastAsia="Palatino Linotype" w:hAnsi="Palatino Linotype" w:cs="Palatino Linotype"/>
          <w:color w:val="000000"/>
          <w:sz w:val="24"/>
          <w:szCs w:val="24"/>
        </w:rPr>
        <w:t>,</w:t>
      </w:r>
      <w:r w:rsidRP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color w:val="000000"/>
          <w:sz w:val="24"/>
          <w:szCs w:val="24"/>
        </w:rPr>
        <w:t>en lo sucesivo el</w:t>
      </w:r>
      <w:r w:rsidRPr="005351ED">
        <w:rPr>
          <w:rFonts w:ascii="Palatino Linotype" w:eastAsia="Palatino Linotype" w:hAnsi="Palatino Linotype" w:cs="Palatino Linotype"/>
          <w:b/>
          <w:color w:val="000000"/>
          <w:sz w:val="24"/>
          <w:szCs w:val="24"/>
        </w:rPr>
        <w:t xml:space="preserve"> SUJETO OBLIGADO, </w:t>
      </w:r>
      <w:r w:rsidRPr="005351ED">
        <w:rPr>
          <w:rFonts w:ascii="Palatino Linotype" w:eastAsia="Palatino Linotype" w:hAnsi="Palatino Linotype" w:cs="Palatino Linotype"/>
          <w:color w:val="000000"/>
          <w:sz w:val="24"/>
          <w:szCs w:val="24"/>
        </w:rPr>
        <w:t>se procede a dictar la presente resolución, con base en los siguientes:</w:t>
      </w:r>
    </w:p>
    <w:p w:rsidR="005351ED" w:rsidRPr="005351ED" w:rsidRDefault="005351ED" w:rsidP="005351ED">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pStyle w:val="Ttulo1"/>
        <w:jc w:val="center"/>
        <w:rPr>
          <w:rFonts w:ascii="Palatino Linotype" w:eastAsia="Palatino Linotype" w:hAnsi="Palatino Linotype" w:cs="Palatino Linotype"/>
          <w:b/>
          <w:color w:val="000000"/>
          <w:sz w:val="24"/>
          <w:szCs w:val="24"/>
        </w:rPr>
      </w:pPr>
      <w:bookmarkStart w:id="1" w:name="_heading=h.gjdgxs" w:colFirst="0" w:colLast="0"/>
      <w:bookmarkEnd w:id="1"/>
      <w:r w:rsidRPr="005351ED">
        <w:rPr>
          <w:rFonts w:ascii="Palatino Linotype" w:eastAsia="Palatino Linotype" w:hAnsi="Palatino Linotype" w:cs="Palatino Linotype"/>
          <w:b/>
          <w:color w:val="000000"/>
          <w:sz w:val="24"/>
          <w:szCs w:val="24"/>
        </w:rPr>
        <w:t>A</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N</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T</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E</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C</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E</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D</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E</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N</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T</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E</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S</w:t>
      </w:r>
      <w:r w:rsidR="005351ED">
        <w:rPr>
          <w:rFonts w:ascii="Palatino Linotype" w:eastAsia="Palatino Linotype" w:hAnsi="Palatino Linotype" w:cs="Palatino Linotype"/>
          <w:b/>
          <w:color w:val="000000"/>
          <w:sz w:val="24"/>
          <w:szCs w:val="24"/>
        </w:rPr>
        <w:t xml:space="preserve"> </w:t>
      </w:r>
    </w:p>
    <w:p w:rsidR="004B74C5" w:rsidRPr="005351ED" w:rsidRDefault="004B74C5" w:rsidP="004B74C5">
      <w:pPr>
        <w:rPr>
          <w:rFonts w:ascii="Palatino Linotype" w:eastAsia="Palatino Linotype" w:hAnsi="Palatino Linotype" w:cs="Palatino Linotype"/>
          <w:sz w:val="24"/>
          <w:szCs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El </w:t>
      </w:r>
      <w:r w:rsidR="00E00C7A" w:rsidRPr="005351ED">
        <w:rPr>
          <w:rFonts w:ascii="Palatino Linotype" w:eastAsia="Palatino Linotype" w:hAnsi="Palatino Linotype" w:cs="Palatino Linotype"/>
          <w:b/>
          <w:color w:val="000000"/>
          <w:sz w:val="24"/>
          <w:szCs w:val="24"/>
        </w:rPr>
        <w:t>nueve de junio</w:t>
      </w:r>
      <w:r w:rsidRPr="005351ED">
        <w:rPr>
          <w:rFonts w:ascii="Palatino Linotype" w:eastAsia="Palatino Linotype" w:hAnsi="Palatino Linotype" w:cs="Palatino Linotype"/>
          <w:b/>
          <w:color w:val="000000"/>
          <w:sz w:val="24"/>
          <w:szCs w:val="24"/>
        </w:rPr>
        <w:t xml:space="preserve"> de dos mil veinticinco,</w:t>
      </w:r>
      <w:r w:rsidRPr="005351ED">
        <w:rPr>
          <w:rFonts w:ascii="Palatino Linotype" w:eastAsia="Palatino Linotype" w:hAnsi="Palatino Linotype" w:cs="Palatino Linotype"/>
          <w:color w:val="000000"/>
          <w:sz w:val="24"/>
          <w:szCs w:val="24"/>
        </w:rPr>
        <w:t xml:space="preserve"> </w:t>
      </w:r>
      <w:r w:rsidRPr="005351ED">
        <w:rPr>
          <w:rFonts w:ascii="Palatino Linotype" w:eastAsia="Palatino Linotype" w:hAnsi="Palatino Linotype" w:cs="Palatino Linotype"/>
          <w:b/>
          <w:color w:val="000000"/>
          <w:sz w:val="24"/>
          <w:szCs w:val="24"/>
        </w:rPr>
        <w:t xml:space="preserve">EL RECURRENTE </w:t>
      </w:r>
      <w:r w:rsidRPr="005351ED">
        <w:rPr>
          <w:rFonts w:ascii="Palatino Linotype" w:eastAsia="Palatino Linotype" w:hAnsi="Palatino Linotype" w:cs="Palatino Linotype"/>
          <w:color w:val="000000"/>
          <w:sz w:val="24"/>
          <w:szCs w:val="24"/>
        </w:rPr>
        <w:t>presentó</w:t>
      </w:r>
      <w:r w:rsidRPr="005351ED">
        <w:rPr>
          <w:rFonts w:ascii="Palatino Linotype" w:eastAsia="Palatino Linotype" w:hAnsi="Palatino Linotype" w:cs="Palatino Linotype"/>
          <w:b/>
          <w:color w:val="000000"/>
          <w:sz w:val="24"/>
          <w:szCs w:val="24"/>
        </w:rPr>
        <w:t>,</w:t>
      </w:r>
      <w:r w:rsidRPr="005351ED">
        <w:rPr>
          <w:rFonts w:ascii="Palatino Linotype" w:eastAsia="Palatino Linotype" w:hAnsi="Palatino Linotype" w:cs="Palatino Linotype"/>
          <w:color w:val="000000"/>
          <w:sz w:val="24"/>
          <w:szCs w:val="24"/>
        </w:rPr>
        <w:t xml:space="preserve"> ante el </w:t>
      </w:r>
      <w:r w:rsidRPr="005351ED">
        <w:rPr>
          <w:rFonts w:ascii="Palatino Linotype" w:eastAsia="Palatino Linotype" w:hAnsi="Palatino Linotype" w:cs="Palatino Linotype"/>
          <w:b/>
          <w:color w:val="000000"/>
          <w:sz w:val="24"/>
          <w:szCs w:val="24"/>
        </w:rPr>
        <w:t>SUJETO OBLIGADO</w:t>
      </w:r>
      <w:r w:rsidRPr="005351ED">
        <w:rPr>
          <w:rFonts w:ascii="Palatino Linotype" w:eastAsia="Palatino Linotype" w:hAnsi="Palatino Linotype" w:cs="Palatino Linotype"/>
          <w:color w:val="000000"/>
          <w:sz w:val="24"/>
          <w:szCs w:val="24"/>
        </w:rPr>
        <w:t xml:space="preserve"> vía Sistema de Acceso a la Información Mexiquense (</w:t>
      </w:r>
      <w:r w:rsidRPr="005351ED">
        <w:rPr>
          <w:rFonts w:ascii="Palatino Linotype" w:eastAsia="Palatino Linotype" w:hAnsi="Palatino Linotype" w:cs="Palatino Linotype"/>
          <w:b/>
          <w:color w:val="000000"/>
          <w:sz w:val="24"/>
          <w:szCs w:val="24"/>
        </w:rPr>
        <w:t>SAIMEX)</w:t>
      </w:r>
      <w:r w:rsidRPr="005351ED">
        <w:rPr>
          <w:rFonts w:ascii="Palatino Linotype" w:eastAsia="Palatino Linotype" w:hAnsi="Palatino Linotype" w:cs="Palatino Linotype"/>
          <w:color w:val="000000"/>
          <w:sz w:val="24"/>
          <w:szCs w:val="24"/>
        </w:rPr>
        <w:t xml:space="preserve">, la solicitud de información pública registrada con el número </w:t>
      </w:r>
      <w:r w:rsidR="00E00C7A" w:rsidRPr="005351ED">
        <w:rPr>
          <w:rFonts w:ascii="Palatino Linotype" w:eastAsia="Palatino Linotype" w:hAnsi="Palatino Linotype" w:cs="Palatino Linotype"/>
          <w:b/>
          <w:bCs/>
          <w:color w:val="000000"/>
          <w:sz w:val="24"/>
          <w:szCs w:val="24"/>
        </w:rPr>
        <w:t>00866/TEOLOYU/IP/2025</w:t>
      </w:r>
      <w:r w:rsidRPr="005351ED">
        <w:rPr>
          <w:rFonts w:ascii="Palatino Linotype" w:eastAsia="Palatino Linotype" w:hAnsi="Palatino Linotype" w:cs="Palatino Linotype"/>
          <w:b/>
          <w:color w:val="000000"/>
          <w:sz w:val="24"/>
          <w:szCs w:val="24"/>
        </w:rPr>
        <w:t xml:space="preserve">, </w:t>
      </w:r>
      <w:r w:rsidR="005351ED">
        <w:rPr>
          <w:rFonts w:ascii="Palatino Linotype" w:eastAsia="Palatino Linotype" w:hAnsi="Palatino Linotype" w:cs="Palatino Linotype"/>
          <w:color w:val="000000"/>
          <w:sz w:val="24"/>
          <w:szCs w:val="24"/>
        </w:rPr>
        <w:t>en la que se</w:t>
      </w:r>
      <w:r w:rsidRPr="005351ED">
        <w:rPr>
          <w:rFonts w:ascii="Palatino Linotype" w:eastAsia="Palatino Linotype" w:hAnsi="Palatino Linotype" w:cs="Palatino Linotype"/>
          <w:color w:val="000000"/>
          <w:sz w:val="24"/>
          <w:szCs w:val="24"/>
        </w:rPr>
        <w:t xml:space="preserve"> solicitó lo siguiente:</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spacing w:line="276" w:lineRule="auto"/>
        <w:ind w:left="567" w:right="567"/>
        <w:jc w:val="both"/>
        <w:rPr>
          <w:rFonts w:ascii="Palatino Linotype" w:eastAsia="Palatino Linotype" w:hAnsi="Palatino Linotype" w:cs="Palatino Linotype"/>
          <w:i/>
          <w:sz w:val="24"/>
          <w:szCs w:val="24"/>
        </w:rPr>
      </w:pPr>
      <w:r w:rsidRPr="005351ED">
        <w:rPr>
          <w:rFonts w:ascii="Palatino Linotype" w:eastAsia="Palatino Linotype" w:hAnsi="Palatino Linotype" w:cs="Palatino Linotype"/>
          <w:i/>
          <w:sz w:val="24"/>
          <w:szCs w:val="24"/>
        </w:rPr>
        <w:t>“</w:t>
      </w:r>
      <w:r w:rsidR="00E00C7A" w:rsidRPr="005351ED">
        <w:rPr>
          <w:rFonts w:ascii="Palatino Linotype" w:eastAsia="Palatino Linotype" w:hAnsi="Palatino Linotype" w:cs="Palatino Linotype"/>
          <w:i/>
          <w:sz w:val="24"/>
          <w:szCs w:val="24"/>
        </w:rPr>
        <w:t>Solicito el listado de todas las personas que tienen laborando en el ayuntamiento, un listado con nombres no solo la cantidad.</w:t>
      </w:r>
      <w:r w:rsidRPr="005351ED">
        <w:rPr>
          <w:rFonts w:ascii="Palatino Linotype" w:eastAsia="Palatino Linotype" w:hAnsi="Palatino Linotype" w:cs="Palatino Linotype"/>
          <w:i/>
          <w:sz w:val="24"/>
          <w:szCs w:val="24"/>
        </w:rPr>
        <w:t>” (Sic)</w:t>
      </w:r>
    </w:p>
    <w:p w:rsidR="004B74C5" w:rsidRPr="005351ED" w:rsidRDefault="004B74C5" w:rsidP="004B74C5">
      <w:pPr>
        <w:pBdr>
          <w:top w:val="nil"/>
          <w:left w:val="nil"/>
          <w:bottom w:val="nil"/>
          <w:right w:val="nil"/>
          <w:between w:val="nil"/>
        </w:pBdr>
        <w:ind w:right="567"/>
        <w:jc w:val="both"/>
        <w:rPr>
          <w:rFonts w:ascii="Palatino Linotype" w:eastAsia="Palatino Linotype" w:hAnsi="Palatino Linotype" w:cs="Palatino Linotype"/>
          <w:color w:val="000000"/>
          <w:sz w:val="24"/>
          <w:szCs w:val="24"/>
        </w:rPr>
      </w:pPr>
    </w:p>
    <w:p w:rsidR="004B74C5" w:rsidRDefault="004B74C5" w:rsidP="004B74C5">
      <w:pPr>
        <w:ind w:right="567"/>
        <w:jc w:val="both"/>
        <w:rPr>
          <w:rFonts w:ascii="Palatino Linotype" w:eastAsia="Palatino Linotype" w:hAnsi="Palatino Linotype" w:cs="Palatino Linotype"/>
          <w:i/>
          <w:sz w:val="24"/>
          <w:szCs w:val="24"/>
        </w:rPr>
      </w:pPr>
    </w:p>
    <w:p w:rsidR="005351ED" w:rsidRPr="005351ED" w:rsidRDefault="005351ED" w:rsidP="004B74C5">
      <w:pPr>
        <w:ind w:right="567"/>
        <w:jc w:val="both"/>
        <w:rPr>
          <w:rFonts w:ascii="Palatino Linotype" w:eastAsia="Palatino Linotype" w:hAnsi="Palatino Linotype" w:cs="Palatino Linotype"/>
          <w:i/>
          <w:sz w:val="24"/>
          <w:szCs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Señaló como modalidad de entrega de la información a través de la Plataforma Nacional, misma que se encuentra vinculada al SAIMEX</w:t>
      </w:r>
      <w:r w:rsidRPr="005351ED">
        <w:rPr>
          <w:rFonts w:ascii="Palatino Linotype" w:eastAsia="Palatino Linotype" w:hAnsi="Palatino Linotype" w:cs="Palatino Linotype"/>
          <w:b/>
          <w:color w:val="000000"/>
          <w:sz w:val="24"/>
          <w:szCs w:val="24"/>
        </w:rPr>
        <w:t>.</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lastRenderedPageBreak/>
        <w:t>El</w:t>
      </w:r>
      <w:r w:rsidRPr="005351ED">
        <w:rPr>
          <w:rFonts w:ascii="Palatino Linotype" w:eastAsia="Palatino Linotype" w:hAnsi="Palatino Linotype" w:cs="Palatino Linotype"/>
          <w:b/>
          <w:color w:val="000000"/>
          <w:sz w:val="24"/>
          <w:szCs w:val="24"/>
        </w:rPr>
        <w:t xml:space="preserve"> </w:t>
      </w:r>
      <w:r w:rsidR="00E00C7A" w:rsidRPr="005351ED">
        <w:rPr>
          <w:rFonts w:ascii="Palatino Linotype" w:eastAsia="Palatino Linotype" w:hAnsi="Palatino Linotype" w:cs="Palatino Linotype"/>
          <w:b/>
          <w:color w:val="000000"/>
          <w:sz w:val="24"/>
          <w:szCs w:val="24"/>
        </w:rPr>
        <w:t>nueve de junio</w:t>
      </w:r>
      <w:r w:rsidRPr="005351ED">
        <w:rPr>
          <w:rFonts w:ascii="Palatino Linotype" w:eastAsia="Palatino Linotype" w:hAnsi="Palatino Linotype" w:cs="Palatino Linotype"/>
          <w:b/>
          <w:color w:val="000000"/>
          <w:sz w:val="24"/>
          <w:szCs w:val="24"/>
        </w:rPr>
        <w:t xml:space="preserve"> de dos mil veinticinco</w:t>
      </w:r>
      <w:r w:rsidRPr="005351ED">
        <w:rPr>
          <w:rFonts w:ascii="Palatino Linotype" w:eastAsia="Palatino Linotype" w:hAnsi="Palatino Linotype" w:cs="Palatino Linotype"/>
          <w:color w:val="000000"/>
          <w:sz w:val="24"/>
          <w:szCs w:val="24"/>
        </w:rPr>
        <w:t xml:space="preserve">, se realizó un requerimiento de información al servidor público habilitado. </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El Sujeto Obligado no emitió respuesta a la solicitud.</w:t>
      </w:r>
    </w:p>
    <w:p w:rsidR="004B74C5" w:rsidRPr="005351ED" w:rsidRDefault="004B74C5" w:rsidP="004B74C5">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sz w:val="24"/>
          <w:szCs w:val="24"/>
        </w:rPr>
      </w:pPr>
      <w:bookmarkStart w:id="2" w:name="_heading=h.30j0zll" w:colFirst="0" w:colLast="0"/>
      <w:bookmarkEnd w:id="2"/>
      <w:r w:rsidRPr="005351ED">
        <w:rPr>
          <w:rFonts w:ascii="Palatino Linotype" w:eastAsia="Palatino Linotype" w:hAnsi="Palatino Linotype" w:cs="Palatino Linotype"/>
          <w:color w:val="000000"/>
          <w:sz w:val="24"/>
          <w:szCs w:val="24"/>
        </w:rPr>
        <w:t xml:space="preserve">El </w:t>
      </w:r>
      <w:r w:rsidR="00E00C7A" w:rsidRPr="005351ED">
        <w:rPr>
          <w:rFonts w:ascii="Palatino Linotype" w:eastAsia="Palatino Linotype" w:hAnsi="Palatino Linotype" w:cs="Palatino Linotype"/>
          <w:b/>
          <w:color w:val="000000"/>
          <w:sz w:val="24"/>
          <w:szCs w:val="24"/>
        </w:rPr>
        <w:t>primero de julio</w:t>
      </w:r>
      <w:r w:rsidRPr="005351ED">
        <w:rPr>
          <w:rFonts w:ascii="Palatino Linotype" w:eastAsia="Palatino Linotype" w:hAnsi="Palatino Linotype" w:cs="Palatino Linotype"/>
          <w:b/>
          <w:color w:val="000000"/>
          <w:sz w:val="24"/>
          <w:szCs w:val="24"/>
        </w:rPr>
        <w:t xml:space="preserve"> de dos mil veinticinco</w:t>
      </w:r>
      <w:r w:rsidRPr="005351ED">
        <w:rPr>
          <w:rFonts w:ascii="Palatino Linotype" w:eastAsia="Palatino Linotype" w:hAnsi="Palatino Linotype" w:cs="Palatino Linotype"/>
          <w:color w:val="000000"/>
          <w:sz w:val="24"/>
          <w:szCs w:val="24"/>
        </w:rPr>
        <w:t xml:space="preserve">, </w:t>
      </w:r>
      <w:r w:rsidRPr="005351ED">
        <w:rPr>
          <w:rFonts w:ascii="Palatino Linotype" w:eastAsia="Palatino Linotype" w:hAnsi="Palatino Linotype" w:cs="Palatino Linotype"/>
          <w:b/>
          <w:color w:val="000000"/>
          <w:sz w:val="24"/>
          <w:szCs w:val="24"/>
        </w:rPr>
        <w:t>EL RECURRENTE</w:t>
      </w:r>
      <w:r w:rsidRPr="005351ED">
        <w:rPr>
          <w:rFonts w:ascii="Palatino Linotype" w:eastAsia="Palatino Linotype" w:hAnsi="Palatino Linotype" w:cs="Palatino Linotype"/>
          <w:color w:val="000000"/>
          <w:sz w:val="24"/>
          <w:szCs w:val="24"/>
        </w:rPr>
        <w:t xml:space="preserve"> interpuso el recurso de revisión, en contra de la falta de respuesta y, señaló como:</w:t>
      </w:r>
    </w:p>
    <w:p w:rsidR="004B74C5" w:rsidRPr="005351ED" w:rsidRDefault="004B74C5" w:rsidP="004B74C5">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4B74C5" w:rsidRPr="005351ED" w:rsidRDefault="005351ED" w:rsidP="005351ED">
      <w:pPr>
        <w:pStyle w:val="Prrafodelista"/>
        <w:numPr>
          <w:ilvl w:val="0"/>
          <w:numId w:val="14"/>
        </w:numPr>
        <w:pBdr>
          <w:top w:val="nil"/>
          <w:left w:val="nil"/>
          <w:bottom w:val="nil"/>
          <w:right w:val="nil"/>
          <w:between w:val="nil"/>
        </w:pBdr>
        <w:spacing w:line="360" w:lineRule="auto"/>
        <w:ind w:left="993" w:right="822"/>
        <w:jc w:val="both"/>
        <w:rPr>
          <w:rFonts w:ascii="Palatino Linotype" w:eastAsia="Palatino Linotype" w:hAnsi="Palatino Linotype" w:cs="Palatino Linotype"/>
          <w:i/>
          <w:color w:val="000000"/>
          <w:sz w:val="24"/>
        </w:rPr>
      </w:pPr>
      <w:r w:rsidRPr="005351ED">
        <w:rPr>
          <w:rFonts w:ascii="Palatino Linotype" w:eastAsia="Palatino Linotype" w:hAnsi="Palatino Linotype" w:cs="Palatino Linotype"/>
          <w:b/>
          <w:color w:val="000000"/>
          <w:sz w:val="24"/>
        </w:rPr>
        <w:t>ACTO IMPUGNADO:</w:t>
      </w:r>
      <w:r w:rsidR="004B74C5" w:rsidRPr="005351ED">
        <w:rPr>
          <w:rFonts w:ascii="Palatino Linotype" w:eastAsia="Palatino Linotype" w:hAnsi="Palatino Linotype" w:cs="Palatino Linotype"/>
          <w:b/>
          <w:color w:val="000000"/>
          <w:sz w:val="24"/>
        </w:rPr>
        <w:t xml:space="preserve"> </w:t>
      </w:r>
      <w:r w:rsidR="004B74C5" w:rsidRPr="005351ED">
        <w:rPr>
          <w:rFonts w:ascii="Palatino Linotype" w:eastAsia="Palatino Linotype" w:hAnsi="Palatino Linotype" w:cs="Palatino Linotype"/>
          <w:i/>
          <w:color w:val="000000"/>
          <w:sz w:val="24"/>
        </w:rPr>
        <w:t>“</w:t>
      </w:r>
      <w:r w:rsidR="00E00C7A" w:rsidRPr="005351ED">
        <w:rPr>
          <w:rFonts w:ascii="Palatino Linotype" w:eastAsia="Palatino Linotype" w:hAnsi="Palatino Linotype" w:cs="Palatino Linotype"/>
          <w:i/>
          <w:color w:val="000000"/>
          <w:sz w:val="24"/>
        </w:rPr>
        <w:t>No dieron respuesta</w:t>
      </w:r>
      <w:r w:rsidR="004B74C5" w:rsidRPr="005351ED">
        <w:rPr>
          <w:rFonts w:ascii="Palatino Linotype" w:eastAsia="Palatino Linotype" w:hAnsi="Palatino Linotype" w:cs="Palatino Linotype"/>
          <w:i/>
          <w:color w:val="000000"/>
          <w:sz w:val="24"/>
        </w:rPr>
        <w:t>” (sic) y;</w:t>
      </w:r>
    </w:p>
    <w:p w:rsidR="004B74C5" w:rsidRPr="005351ED" w:rsidRDefault="004B74C5" w:rsidP="005351ED">
      <w:pPr>
        <w:pBdr>
          <w:top w:val="nil"/>
          <w:left w:val="nil"/>
          <w:bottom w:val="nil"/>
          <w:right w:val="nil"/>
          <w:between w:val="nil"/>
        </w:pBdr>
        <w:spacing w:line="360" w:lineRule="auto"/>
        <w:ind w:left="993" w:right="822"/>
        <w:jc w:val="both"/>
        <w:rPr>
          <w:rFonts w:ascii="Palatino Linotype" w:eastAsia="Palatino Linotype" w:hAnsi="Palatino Linotype" w:cs="Palatino Linotype"/>
          <w:i/>
          <w:color w:val="000000"/>
          <w:sz w:val="24"/>
          <w:szCs w:val="24"/>
        </w:rPr>
      </w:pPr>
    </w:p>
    <w:p w:rsidR="004B74C5" w:rsidRPr="005351ED" w:rsidRDefault="005351ED" w:rsidP="005351ED">
      <w:pPr>
        <w:pStyle w:val="Prrafodelista"/>
        <w:numPr>
          <w:ilvl w:val="0"/>
          <w:numId w:val="14"/>
        </w:numPr>
        <w:pBdr>
          <w:top w:val="nil"/>
          <w:left w:val="nil"/>
          <w:bottom w:val="nil"/>
          <w:right w:val="nil"/>
          <w:between w:val="nil"/>
        </w:pBdr>
        <w:spacing w:line="360" w:lineRule="auto"/>
        <w:ind w:left="993" w:right="822"/>
        <w:jc w:val="both"/>
        <w:rPr>
          <w:rFonts w:ascii="Palatino Linotype" w:eastAsia="Palatino Linotype" w:hAnsi="Palatino Linotype" w:cs="Palatino Linotype"/>
          <w:color w:val="000000"/>
          <w:sz w:val="24"/>
        </w:rPr>
      </w:pPr>
      <w:r w:rsidRPr="005351ED">
        <w:rPr>
          <w:rFonts w:ascii="Palatino Linotype" w:eastAsia="Palatino Linotype" w:hAnsi="Palatino Linotype" w:cs="Palatino Linotype"/>
          <w:b/>
          <w:color w:val="000000"/>
          <w:sz w:val="24"/>
        </w:rPr>
        <w:t>RAZONES O MOTIVOS DE INCONFORMIDAD</w:t>
      </w:r>
      <w:r w:rsidR="004B74C5" w:rsidRPr="005351ED">
        <w:rPr>
          <w:rFonts w:ascii="Palatino Linotype" w:eastAsia="Palatino Linotype" w:hAnsi="Palatino Linotype" w:cs="Palatino Linotype"/>
          <w:b/>
          <w:color w:val="000000"/>
          <w:sz w:val="24"/>
        </w:rPr>
        <w:t>: “</w:t>
      </w:r>
      <w:r w:rsidR="00E00C7A" w:rsidRPr="005351ED">
        <w:rPr>
          <w:rFonts w:ascii="Palatino Linotype" w:eastAsia="Palatino Linotype" w:hAnsi="Palatino Linotype" w:cs="Palatino Linotype"/>
          <w:i/>
          <w:color w:val="000000"/>
          <w:sz w:val="24"/>
        </w:rPr>
        <w:t>No dan la atención</w:t>
      </w:r>
      <w:r w:rsidR="004B74C5" w:rsidRPr="005351ED">
        <w:rPr>
          <w:rFonts w:ascii="Palatino Linotype" w:eastAsia="Palatino Linotype" w:hAnsi="Palatino Linotype" w:cs="Palatino Linotype"/>
          <w:i/>
          <w:color w:val="000000"/>
          <w:sz w:val="24"/>
        </w:rPr>
        <w:t>” (sic)</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Se registró el recurso de revisión bajo el número de expediente al rubro indicado, asimismo con fundamento en lo dispuesto por el artículo 185 fracción I de la </w:t>
      </w:r>
      <w:r w:rsidRPr="005351ED">
        <w:rPr>
          <w:rFonts w:ascii="Palatino Linotype" w:eastAsia="Palatino Linotype" w:hAnsi="Palatino Linotype" w:cs="Palatino Linotype"/>
          <w:b/>
          <w:color w:val="000000"/>
          <w:sz w:val="24"/>
          <w:szCs w:val="24"/>
        </w:rPr>
        <w:t xml:space="preserve">Ley de Transparencia y Acceso a la Información Pública del Estado de México y Municipios </w:t>
      </w:r>
      <w:r w:rsidRPr="005351ED">
        <w:rPr>
          <w:rFonts w:ascii="Palatino Linotype" w:eastAsia="Palatino Linotype" w:hAnsi="Palatino Linotype" w:cs="Palatino Linotype"/>
          <w:color w:val="000000"/>
          <w:sz w:val="24"/>
          <w:szCs w:val="24"/>
        </w:rPr>
        <w:t xml:space="preserve">se turnó a la </w:t>
      </w:r>
      <w:r w:rsidRPr="005351ED">
        <w:rPr>
          <w:rFonts w:ascii="Palatino Linotype" w:eastAsia="Palatino Linotype" w:hAnsi="Palatino Linotype" w:cs="Palatino Linotype"/>
          <w:b/>
          <w:color w:val="000000"/>
          <w:sz w:val="24"/>
          <w:szCs w:val="24"/>
        </w:rPr>
        <w:t xml:space="preserve">Comisionada María del Rosario Mejía Ayala, </w:t>
      </w:r>
      <w:r w:rsidR="005351ED">
        <w:rPr>
          <w:rFonts w:ascii="Palatino Linotype" w:eastAsia="Palatino Linotype" w:hAnsi="Palatino Linotype" w:cs="Palatino Linotype"/>
          <w:color w:val="000000"/>
          <w:sz w:val="24"/>
          <w:szCs w:val="24"/>
        </w:rPr>
        <w:t>para</w:t>
      </w:r>
      <w:r w:rsidRPr="005351ED">
        <w:rPr>
          <w:rFonts w:ascii="Palatino Linotype" w:eastAsia="Palatino Linotype" w:hAnsi="Palatino Linotype" w:cs="Palatino Linotype"/>
          <w:color w:val="000000"/>
          <w:sz w:val="24"/>
          <w:szCs w:val="24"/>
        </w:rPr>
        <w:t xml:space="preserve"> su análisis.</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4B74C5" w:rsidRPr="005351ED" w:rsidRDefault="005351ED" w:rsidP="004B74C5">
      <w:pPr>
        <w:numPr>
          <w:ilvl w:val="0"/>
          <w:numId w:val="1"/>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i/>
          <w:color w:val="000000"/>
          <w:sz w:val="24"/>
          <w:szCs w:val="24"/>
        </w:rPr>
      </w:pPr>
      <w:r>
        <w:rPr>
          <w:rFonts w:ascii="Palatino Linotype" w:eastAsia="Palatino Linotype" w:hAnsi="Palatino Linotype" w:cs="Palatino Linotype"/>
          <w:color w:val="000000"/>
          <w:sz w:val="24"/>
          <w:szCs w:val="24"/>
        </w:rPr>
        <w:t>La Comisionada p</w:t>
      </w:r>
      <w:r w:rsidR="004B74C5" w:rsidRPr="005351ED">
        <w:rPr>
          <w:rFonts w:ascii="Palatino Linotype" w:eastAsia="Palatino Linotype" w:hAnsi="Palatino Linotype" w:cs="Palatino Linotype"/>
          <w:color w:val="000000"/>
          <w:sz w:val="24"/>
          <w:szCs w:val="24"/>
        </w:rPr>
        <w:t>onente con fundamento en lo dispuesto por el artículo 185 fracción II de la ley de la materia, a través del acuerdo de admisión del</w:t>
      </w:r>
      <w:r w:rsidR="004B74C5" w:rsidRPr="005351ED">
        <w:rPr>
          <w:rFonts w:ascii="Palatino Linotype" w:eastAsia="Palatino Linotype" w:hAnsi="Palatino Linotype" w:cs="Palatino Linotype"/>
          <w:b/>
          <w:color w:val="000000"/>
          <w:sz w:val="24"/>
          <w:szCs w:val="24"/>
        </w:rPr>
        <w:t xml:space="preserve"> </w:t>
      </w:r>
      <w:r w:rsidR="00E00C7A" w:rsidRPr="005351ED">
        <w:rPr>
          <w:rFonts w:ascii="Palatino Linotype" w:eastAsia="Palatino Linotype" w:hAnsi="Palatino Linotype" w:cs="Palatino Linotype"/>
          <w:b/>
          <w:color w:val="000000"/>
          <w:sz w:val="24"/>
          <w:szCs w:val="24"/>
        </w:rPr>
        <w:t>dos de julio</w:t>
      </w:r>
      <w:r w:rsidR="004B74C5" w:rsidRPr="005351ED">
        <w:rPr>
          <w:rFonts w:ascii="Palatino Linotype" w:eastAsia="Palatino Linotype" w:hAnsi="Palatino Linotype" w:cs="Palatino Linotype"/>
          <w:b/>
          <w:color w:val="000000"/>
          <w:sz w:val="24"/>
          <w:szCs w:val="24"/>
        </w:rPr>
        <w:t xml:space="preserve"> de dos mil veinticinco</w:t>
      </w:r>
      <w:r w:rsidR="004B74C5" w:rsidRPr="005351ED">
        <w:rPr>
          <w:rFonts w:ascii="Palatino Linotype" w:eastAsia="Palatino Linotype" w:hAnsi="Palatino Linotype" w:cs="Palatino Linotype"/>
          <w:color w:val="000000"/>
          <w:sz w:val="24"/>
          <w:szCs w:val="24"/>
        </w:rPr>
        <w:t xml:space="preserve">, puso a disposición de las partes el expediente electrónico vía </w:t>
      </w:r>
      <w:r w:rsidR="004B74C5" w:rsidRPr="005351ED">
        <w:rPr>
          <w:rFonts w:ascii="Palatino Linotype" w:eastAsia="Palatino Linotype" w:hAnsi="Palatino Linotype" w:cs="Palatino Linotype"/>
          <w:b/>
          <w:color w:val="000000"/>
          <w:sz w:val="24"/>
          <w:szCs w:val="24"/>
        </w:rPr>
        <w:t xml:space="preserve">SAIMEX </w:t>
      </w:r>
      <w:r w:rsidR="004B74C5" w:rsidRPr="005351ED">
        <w:rPr>
          <w:rFonts w:ascii="Palatino Linotype" w:eastAsia="Palatino Linotype" w:hAnsi="Palatino Linotype" w:cs="Palatino Linotype"/>
          <w:color w:val="000000"/>
          <w:sz w:val="24"/>
          <w:szCs w:val="24"/>
        </w:rPr>
        <w:t xml:space="preserve">a efecto de que en un plazo máximo de siete días manifestaran lo que a derecho convinieran, ofrecieran pruebas y alegatos según corresponda al caso concreto, de esta forma para que el </w:t>
      </w:r>
      <w:r w:rsidR="004B74C5" w:rsidRPr="005351ED">
        <w:rPr>
          <w:rFonts w:ascii="Palatino Linotype" w:eastAsia="Palatino Linotype" w:hAnsi="Palatino Linotype" w:cs="Palatino Linotype"/>
          <w:b/>
          <w:color w:val="000000"/>
          <w:sz w:val="24"/>
          <w:szCs w:val="24"/>
        </w:rPr>
        <w:t>SUJETO OBLIGADO</w:t>
      </w:r>
      <w:r w:rsidR="004B74C5" w:rsidRPr="005351ED">
        <w:rPr>
          <w:rFonts w:ascii="Palatino Linotype" w:eastAsia="Palatino Linotype" w:hAnsi="Palatino Linotype" w:cs="Palatino Linotype"/>
          <w:color w:val="000000"/>
          <w:sz w:val="24"/>
          <w:szCs w:val="24"/>
        </w:rPr>
        <w:t xml:space="preserve"> presentara el informe justificado procedente.</w:t>
      </w:r>
    </w:p>
    <w:p w:rsidR="004B74C5" w:rsidRPr="005351ED" w:rsidRDefault="004B74C5" w:rsidP="004B74C5">
      <w:pPr>
        <w:numPr>
          <w:ilvl w:val="0"/>
          <w:numId w:val="1"/>
        </w:numPr>
        <w:tabs>
          <w:tab w:val="left" w:pos="284"/>
        </w:tabs>
        <w:spacing w:before="240" w:line="360" w:lineRule="auto"/>
        <w:ind w:left="0" w:firstLine="0"/>
        <w:jc w:val="both"/>
        <w:rPr>
          <w:rFonts w:ascii="Palatino Linotype" w:eastAsia="Palatino Linotype" w:hAnsi="Palatino Linotype" w:cs="Palatino Linotype"/>
          <w:b/>
          <w:color w:val="000000"/>
          <w:sz w:val="24"/>
          <w:szCs w:val="24"/>
        </w:rPr>
      </w:pPr>
      <w:r w:rsidRPr="005351ED">
        <w:rPr>
          <w:rFonts w:ascii="Palatino Linotype" w:eastAsia="Palatino Linotype" w:hAnsi="Palatino Linotype" w:cs="Palatino Linotype"/>
          <w:sz w:val="24"/>
          <w:szCs w:val="24"/>
        </w:rPr>
        <w:lastRenderedPageBreak/>
        <w:t>De las constancias que integran el expediente electrónico, se advierte que el Recurrente no realizó manifesta</w:t>
      </w:r>
      <w:r w:rsidR="00E00C7A" w:rsidRPr="005351ED">
        <w:rPr>
          <w:rFonts w:ascii="Palatino Linotype" w:eastAsia="Palatino Linotype" w:hAnsi="Palatino Linotype" w:cs="Palatino Linotype"/>
          <w:sz w:val="24"/>
          <w:szCs w:val="24"/>
        </w:rPr>
        <w:t>ciones;</w:t>
      </w:r>
      <w:r w:rsidRPr="005351ED">
        <w:rPr>
          <w:rFonts w:ascii="Palatino Linotype" w:eastAsia="Palatino Linotype" w:hAnsi="Palatino Linotype" w:cs="Palatino Linotype"/>
          <w:sz w:val="24"/>
          <w:szCs w:val="24"/>
        </w:rPr>
        <w:t xml:space="preserve"> por su parte, el Sujeto Obligado entregó informe justificado el </w:t>
      </w:r>
      <w:r w:rsidR="00E00C7A" w:rsidRPr="005351ED">
        <w:rPr>
          <w:rFonts w:ascii="Palatino Linotype" w:eastAsia="Palatino Linotype" w:hAnsi="Palatino Linotype" w:cs="Palatino Linotype"/>
          <w:b/>
          <w:sz w:val="24"/>
          <w:szCs w:val="24"/>
        </w:rPr>
        <w:t xml:space="preserve">nueve de julio </w:t>
      </w:r>
      <w:r w:rsidRPr="005351ED">
        <w:rPr>
          <w:rFonts w:ascii="Palatino Linotype" w:eastAsia="Palatino Linotype" w:hAnsi="Palatino Linotype" w:cs="Palatino Linotype"/>
          <w:b/>
          <w:sz w:val="24"/>
          <w:szCs w:val="24"/>
        </w:rPr>
        <w:t>de dos mil veinticinco</w:t>
      </w:r>
      <w:r w:rsidRPr="005351ED">
        <w:rPr>
          <w:rFonts w:ascii="Palatino Linotype" w:eastAsia="Palatino Linotype" w:hAnsi="Palatino Linotype" w:cs="Palatino Linotype"/>
          <w:sz w:val="24"/>
          <w:szCs w:val="24"/>
        </w:rPr>
        <w:t>,</w:t>
      </w:r>
      <w:r w:rsidR="00AB5655" w:rsidRPr="005351ED">
        <w:rPr>
          <w:rFonts w:ascii="Palatino Linotype" w:eastAsia="Palatino Linotype" w:hAnsi="Palatino Linotype" w:cs="Palatino Linotype"/>
          <w:sz w:val="24"/>
          <w:szCs w:val="24"/>
        </w:rPr>
        <w:t xml:space="preserve"> a través de los archivos que se describen enseguida:</w:t>
      </w:r>
    </w:p>
    <w:p w:rsidR="00937C7A" w:rsidRPr="005351ED" w:rsidRDefault="00AB5655" w:rsidP="00937C7A">
      <w:pPr>
        <w:pStyle w:val="Prrafodelista"/>
        <w:numPr>
          <w:ilvl w:val="0"/>
          <w:numId w:val="11"/>
        </w:numPr>
        <w:tabs>
          <w:tab w:val="left" w:pos="284"/>
        </w:tabs>
        <w:spacing w:before="240" w:line="360" w:lineRule="auto"/>
        <w:jc w:val="both"/>
        <w:rPr>
          <w:rFonts w:ascii="Palatino Linotype" w:eastAsia="Palatino Linotype" w:hAnsi="Palatino Linotype" w:cs="Palatino Linotype"/>
          <w:b/>
          <w:sz w:val="24"/>
          <w:u w:val="single"/>
        </w:rPr>
      </w:pPr>
      <w:r w:rsidRPr="005351ED">
        <w:rPr>
          <w:rFonts w:ascii="Palatino Linotype" w:eastAsia="Palatino Linotype" w:hAnsi="Palatino Linotype" w:cs="Palatino Linotype"/>
          <w:b/>
          <w:sz w:val="24"/>
          <w:u w:val="single"/>
        </w:rPr>
        <w:t>Listado del personal del Ayuntamiento 2025.pdf</w:t>
      </w:r>
      <w:r w:rsidRPr="005351ED">
        <w:rPr>
          <w:rFonts w:ascii="Palatino Linotype" w:eastAsia="Palatino Linotype" w:hAnsi="Palatino Linotype" w:cs="Palatino Linotype"/>
          <w:sz w:val="24"/>
        </w:rPr>
        <w:t xml:space="preserve">: </w:t>
      </w:r>
      <w:r w:rsidR="00937C7A" w:rsidRPr="005351ED">
        <w:rPr>
          <w:rFonts w:ascii="Palatino Linotype" w:eastAsia="Palatino Linotype" w:hAnsi="Palatino Linotype" w:cs="Palatino Linotype"/>
          <w:sz w:val="24"/>
        </w:rPr>
        <w:t xml:space="preserve">en el archivo se advierte una lista con el nombre de 267 servidores públicos, el cual no fue puesto a la vista del Recurrente. </w:t>
      </w:r>
    </w:p>
    <w:p w:rsidR="00AB5655" w:rsidRPr="005351ED" w:rsidRDefault="009D5456" w:rsidP="00AB5655">
      <w:pPr>
        <w:pStyle w:val="Prrafodelista"/>
        <w:numPr>
          <w:ilvl w:val="0"/>
          <w:numId w:val="11"/>
        </w:numPr>
        <w:tabs>
          <w:tab w:val="left" w:pos="284"/>
        </w:tabs>
        <w:spacing w:before="240" w:line="360" w:lineRule="auto"/>
        <w:jc w:val="both"/>
        <w:rPr>
          <w:rFonts w:ascii="Palatino Linotype" w:eastAsia="Palatino Linotype" w:hAnsi="Palatino Linotype" w:cs="Palatino Linotype"/>
          <w:b/>
          <w:sz w:val="24"/>
          <w:u w:val="single"/>
        </w:rPr>
      </w:pPr>
      <w:hyperlink r:id="rId7" w:history="1">
        <w:r w:rsidR="00AB5655" w:rsidRPr="005351ED">
          <w:rPr>
            <w:rStyle w:val="Hipervnculo"/>
            <w:rFonts w:ascii="Palatino Linotype" w:eastAsia="Palatino Linotype" w:hAnsi="Palatino Linotype" w:cs="Palatino Linotype"/>
            <w:b/>
            <w:bCs/>
            <w:color w:val="auto"/>
            <w:sz w:val="24"/>
          </w:rPr>
          <w:t>manifestaciones rr. 07998.pdf</w:t>
        </w:r>
      </w:hyperlink>
      <w:r w:rsidR="00AB5655" w:rsidRPr="005351ED">
        <w:rPr>
          <w:rFonts w:ascii="Palatino Linotype" w:eastAsia="Palatino Linotype" w:hAnsi="Palatino Linotype" w:cs="Palatino Linotype"/>
          <w:sz w:val="24"/>
        </w:rPr>
        <w:t xml:space="preserve">: </w:t>
      </w:r>
      <w:r w:rsidR="00937C7A" w:rsidRPr="005351ED">
        <w:rPr>
          <w:rFonts w:ascii="Palatino Linotype" w:eastAsia="Palatino Linotype" w:hAnsi="Palatino Linotype" w:cs="Palatino Linotype"/>
          <w:sz w:val="24"/>
        </w:rPr>
        <w:t xml:space="preserve">oficio número </w:t>
      </w:r>
      <w:r w:rsidR="00937C7A" w:rsidRPr="005351ED">
        <w:rPr>
          <w:rFonts w:ascii="Palatino Linotype" w:eastAsia="Palatino Linotype" w:hAnsi="Palatino Linotype" w:cs="Palatino Linotype"/>
          <w:b/>
          <w:sz w:val="24"/>
        </w:rPr>
        <w:t>DA/JNAN</w:t>
      </w:r>
      <w:r w:rsidR="00814958" w:rsidRPr="005351ED">
        <w:rPr>
          <w:rFonts w:ascii="Palatino Linotype" w:eastAsia="Palatino Linotype" w:hAnsi="Palatino Linotype" w:cs="Palatino Linotype"/>
          <w:b/>
          <w:sz w:val="24"/>
        </w:rPr>
        <w:t>/1376/2025</w:t>
      </w:r>
      <w:r w:rsidR="00814958" w:rsidRPr="005351ED">
        <w:rPr>
          <w:rFonts w:ascii="Palatino Linotype" w:eastAsia="Palatino Linotype" w:hAnsi="Palatino Linotype" w:cs="Palatino Linotype"/>
          <w:sz w:val="24"/>
        </w:rPr>
        <w:t xml:space="preserve">, de fecha ocho de julio de dos mil veinticinco, suscrito por el Encargado de Despacho de la Dirección de Administración, quien señaló que se remite la información solicitada en formato PDF. </w:t>
      </w:r>
    </w:p>
    <w:p w:rsidR="00AB5655" w:rsidRPr="005351ED" w:rsidRDefault="00AB5655" w:rsidP="00AB5655">
      <w:pPr>
        <w:pStyle w:val="Prrafodelista"/>
        <w:tabs>
          <w:tab w:val="left" w:pos="284"/>
        </w:tabs>
        <w:spacing w:before="240" w:line="360" w:lineRule="auto"/>
        <w:jc w:val="both"/>
        <w:rPr>
          <w:rFonts w:ascii="Palatino Linotype" w:eastAsia="Palatino Linotype" w:hAnsi="Palatino Linotype" w:cs="Palatino Linotype"/>
          <w:b/>
          <w:sz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El</w:t>
      </w:r>
      <w:r w:rsidRPr="005351ED">
        <w:rPr>
          <w:rFonts w:ascii="Palatino Linotype" w:eastAsia="Palatino Linotype" w:hAnsi="Palatino Linotype" w:cs="Palatino Linotype"/>
          <w:b/>
          <w:color w:val="000000"/>
          <w:sz w:val="24"/>
          <w:szCs w:val="24"/>
        </w:rPr>
        <w:t xml:space="preserve"> </w:t>
      </w:r>
      <w:r w:rsidR="00814958" w:rsidRPr="005351ED">
        <w:rPr>
          <w:rFonts w:ascii="Palatino Linotype" w:eastAsia="Palatino Linotype" w:hAnsi="Palatino Linotype" w:cs="Palatino Linotype"/>
          <w:b/>
          <w:color w:val="000000"/>
          <w:sz w:val="24"/>
          <w:szCs w:val="24"/>
        </w:rPr>
        <w:t>dieciséis de febrero de dos mil veintiséis</w:t>
      </w:r>
      <w:r w:rsidRPr="005351ED">
        <w:rPr>
          <w:rFonts w:ascii="Palatino Linotype" w:eastAsia="Palatino Linotype" w:hAnsi="Palatino Linotype" w:cs="Palatino Linotype"/>
          <w:color w:val="000000"/>
          <w:sz w:val="24"/>
          <w:szCs w:val="24"/>
        </w:rPr>
        <w:t>, se notificó el acuerdo mediante el cual se amplió el plazo para emitir resolución.</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El </w:t>
      </w:r>
      <w:r w:rsidR="00814958" w:rsidRPr="005351ED">
        <w:rPr>
          <w:rFonts w:ascii="Palatino Linotype" w:eastAsia="Palatino Linotype" w:hAnsi="Palatino Linotype" w:cs="Palatino Linotype"/>
          <w:b/>
          <w:color w:val="000000"/>
          <w:sz w:val="24"/>
          <w:szCs w:val="24"/>
        </w:rPr>
        <w:t>veinte de febrero de dos mil veintiséis</w:t>
      </w:r>
      <w:r w:rsidRPr="005351ED">
        <w:rPr>
          <w:rFonts w:ascii="Palatino Linotype" w:eastAsia="Palatino Linotype" w:hAnsi="Palatino Linotype" w:cs="Palatino Linotype"/>
          <w:color w:val="000000"/>
          <w:sz w:val="24"/>
          <w:szCs w:val="24"/>
        </w:rPr>
        <w:t>, la Comisionada Ponente notificó el acuerdo mediante el cual se decretó el cierre de instrucción. Por lo que turnó la presente resolución para su aprobación y</w:t>
      </w:r>
    </w:p>
    <w:p w:rsidR="004B74C5" w:rsidRPr="005351ED" w:rsidRDefault="004B74C5" w:rsidP="004B74C5">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pStyle w:val="Ttulo1"/>
        <w:jc w:val="center"/>
        <w:rPr>
          <w:rFonts w:ascii="Palatino Linotype" w:eastAsia="Palatino Linotype" w:hAnsi="Palatino Linotype" w:cs="Palatino Linotype"/>
          <w:b/>
          <w:color w:val="000000"/>
          <w:sz w:val="24"/>
          <w:szCs w:val="24"/>
        </w:rPr>
      </w:pPr>
      <w:bookmarkStart w:id="3" w:name="_heading=h.1fob9te" w:colFirst="0" w:colLast="0"/>
      <w:bookmarkEnd w:id="3"/>
      <w:r w:rsidRPr="005351ED">
        <w:rPr>
          <w:rFonts w:ascii="Palatino Linotype" w:eastAsia="Palatino Linotype" w:hAnsi="Palatino Linotype" w:cs="Palatino Linotype"/>
          <w:b/>
          <w:color w:val="000000"/>
          <w:sz w:val="24"/>
          <w:szCs w:val="24"/>
        </w:rPr>
        <w:t>C</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O</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N</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S</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I</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D</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E</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R</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A</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N</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D</w:t>
      </w:r>
      <w:r w:rsid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b/>
          <w:color w:val="000000"/>
          <w:sz w:val="24"/>
          <w:szCs w:val="24"/>
        </w:rPr>
        <w:t xml:space="preserve">O </w:t>
      </w:r>
    </w:p>
    <w:p w:rsidR="004B74C5" w:rsidRPr="005351ED" w:rsidRDefault="004B74C5" w:rsidP="004B74C5">
      <w:pPr>
        <w:rPr>
          <w:rFonts w:eastAsia="Palatino Linotype"/>
          <w:sz w:val="24"/>
          <w:szCs w:val="24"/>
        </w:rPr>
      </w:pPr>
    </w:p>
    <w:p w:rsidR="004B74C5" w:rsidRPr="005351ED" w:rsidRDefault="004B74C5" w:rsidP="004B74C5">
      <w:pPr>
        <w:pStyle w:val="Ttulo2"/>
        <w:rPr>
          <w:rFonts w:ascii="Palatino Linotype" w:eastAsia="Palatino Linotype" w:hAnsi="Palatino Linotype" w:cs="Palatino Linotype"/>
          <w:b/>
          <w:color w:val="000000"/>
          <w:sz w:val="24"/>
          <w:szCs w:val="24"/>
        </w:rPr>
      </w:pPr>
      <w:bookmarkStart w:id="4" w:name="_heading=h.3znysh7" w:colFirst="0" w:colLast="0"/>
      <w:bookmarkEnd w:id="4"/>
      <w:r w:rsidRPr="005351ED">
        <w:rPr>
          <w:rFonts w:ascii="Palatino Linotype" w:eastAsia="Palatino Linotype" w:hAnsi="Palatino Linotype" w:cs="Palatino Linotype"/>
          <w:b/>
          <w:color w:val="000000"/>
          <w:sz w:val="24"/>
          <w:szCs w:val="24"/>
        </w:rPr>
        <w:t>PRIMERO. De la competencia</w:t>
      </w:r>
    </w:p>
    <w:p w:rsidR="004B74C5" w:rsidRPr="005351ED" w:rsidRDefault="004B74C5" w:rsidP="004B74C5">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5351ED">
        <w:rPr>
          <w:rFonts w:ascii="Palatino Linotype" w:hAnsi="Palatino Linotype"/>
          <w:b/>
          <w:sz w:val="24"/>
          <w:szCs w:val="24"/>
        </w:rPr>
        <w:t>Constitución Política de los Estados Unidos Mexicanos</w:t>
      </w:r>
      <w:r w:rsidRPr="005351ED">
        <w:rPr>
          <w:rFonts w:ascii="Palatino Linotype" w:hAnsi="Palatino Linotype"/>
          <w:sz w:val="24"/>
          <w:szCs w:val="24"/>
        </w:rPr>
        <w:t xml:space="preserve">; 5, párrafos trigésimo séptimo, trigésimo octavo y </w:t>
      </w:r>
      <w:r w:rsidRPr="005351ED">
        <w:rPr>
          <w:rFonts w:ascii="Palatino Linotype" w:hAnsi="Palatino Linotype"/>
          <w:sz w:val="24"/>
          <w:szCs w:val="24"/>
        </w:rPr>
        <w:lastRenderedPageBreak/>
        <w:t xml:space="preserve">trigésimo noveno, fracciones IV y V, de la </w:t>
      </w:r>
      <w:r w:rsidRPr="005351ED">
        <w:rPr>
          <w:rFonts w:ascii="Palatino Linotype" w:hAnsi="Palatino Linotype"/>
          <w:b/>
          <w:sz w:val="24"/>
          <w:szCs w:val="24"/>
        </w:rPr>
        <w:t>Constitución Política del Estado Libre y Soberano de México</w:t>
      </w:r>
      <w:r w:rsidRPr="005351ED">
        <w:rPr>
          <w:rFonts w:ascii="Palatino Linotype" w:hAnsi="Palatino Linotype"/>
          <w:sz w:val="24"/>
          <w:szCs w:val="24"/>
        </w:rPr>
        <w:t xml:space="preserve">; artículos 1, 2 fracción II, 13, 29, 36 fracciones I y II, 176, 178, 179, 181 párrafo tercero y 185 de la </w:t>
      </w:r>
      <w:r w:rsidRPr="005351ED">
        <w:rPr>
          <w:rFonts w:ascii="Palatino Linotype" w:hAnsi="Palatino Linotype"/>
          <w:b/>
          <w:sz w:val="24"/>
          <w:szCs w:val="24"/>
        </w:rPr>
        <w:t>Ley de Transparencia y Acceso a la Información Pública del Estado de México y Municipios</w:t>
      </w:r>
      <w:r w:rsidRPr="005351ED">
        <w:rPr>
          <w:rFonts w:ascii="Palatino Linotype" w:hAnsi="Palatino Linotype"/>
          <w:sz w:val="24"/>
          <w:szCs w:val="24"/>
        </w:rPr>
        <w:t xml:space="preserve">; y 7, 9 fracciones I y XXIII, y 11 del </w:t>
      </w:r>
      <w:r w:rsidRPr="005351ED">
        <w:rPr>
          <w:rFonts w:ascii="Palatino Linotype" w:hAnsi="Palatino Linotype"/>
          <w:b/>
          <w:sz w:val="24"/>
          <w:szCs w:val="24"/>
        </w:rPr>
        <w:t>Reglamento Interior del Instituto de Transparencia, Acceso a la Información Pública y Protección de Datos Personales del Estado de México y Municipios.</w:t>
      </w:r>
    </w:p>
    <w:p w:rsidR="004B74C5" w:rsidRPr="005351ED" w:rsidRDefault="004B74C5" w:rsidP="004B74C5">
      <w:pPr>
        <w:pStyle w:val="Ttulo2"/>
        <w:rPr>
          <w:rFonts w:ascii="Palatino Linotype" w:eastAsia="Palatino Linotype" w:hAnsi="Palatino Linotype" w:cs="Palatino Linotype"/>
          <w:b/>
          <w:color w:val="000000"/>
          <w:sz w:val="24"/>
          <w:szCs w:val="24"/>
        </w:rPr>
      </w:pPr>
      <w:bookmarkStart w:id="5" w:name="_heading=h.2et92p0" w:colFirst="0" w:colLast="0"/>
      <w:bookmarkEnd w:id="5"/>
      <w:r w:rsidRPr="005351ED">
        <w:rPr>
          <w:rFonts w:ascii="Palatino Linotype" w:eastAsia="Palatino Linotype" w:hAnsi="Palatino Linotype" w:cs="Palatino Linotype"/>
          <w:b/>
          <w:color w:val="000000"/>
          <w:sz w:val="24"/>
          <w:szCs w:val="24"/>
        </w:rPr>
        <w:t>SEGUNDO. De la oportunidad y procedencia.</w:t>
      </w:r>
    </w:p>
    <w:p w:rsidR="004B74C5" w:rsidRPr="005351ED" w:rsidRDefault="004B74C5" w:rsidP="004B74C5">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sz w:val="24"/>
          <w:szCs w:val="24"/>
        </w:rPr>
        <w:t xml:space="preserve">Es de precisar, que la Ley de Transparencia y Acceso a la Información Pública del Estado de México y Municipios, en el artículo 178 describe la procedencia del recurso de revisión, asimismo señala que el plazo del </w:t>
      </w:r>
      <w:r w:rsidRPr="005351ED">
        <w:rPr>
          <w:rFonts w:ascii="Palatino Linotype" w:eastAsia="Palatino Linotype" w:hAnsi="Palatino Linotype" w:cs="Palatino Linotype"/>
          <w:b/>
          <w:sz w:val="24"/>
          <w:szCs w:val="24"/>
        </w:rPr>
        <w:t>SUJETO OBLIGADO</w:t>
      </w:r>
      <w:r w:rsidRPr="005351ED">
        <w:rPr>
          <w:rFonts w:ascii="Palatino Linotype" w:eastAsia="Palatino Linotype" w:hAnsi="Palatino Linotype" w:cs="Palatino Linotype"/>
          <w:sz w:val="24"/>
          <w:szCs w:val="24"/>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4B74C5" w:rsidRPr="005351ED" w:rsidRDefault="004B74C5" w:rsidP="004B74C5">
      <w:pPr>
        <w:tabs>
          <w:tab w:val="left" w:pos="284"/>
        </w:tabs>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sz w:val="24"/>
          <w:szCs w:val="24"/>
        </w:rPr>
        <w:t xml:space="preserve">Por ende, se constituye la figura jurídica de la </w:t>
      </w:r>
      <w:r w:rsidRPr="005351ED">
        <w:rPr>
          <w:rFonts w:ascii="Palatino Linotype" w:eastAsia="Palatino Linotype" w:hAnsi="Palatino Linotype" w:cs="Palatino Linotype"/>
          <w:i/>
          <w:sz w:val="24"/>
          <w:szCs w:val="24"/>
        </w:rPr>
        <w:t>negativa ficta</w:t>
      </w:r>
      <w:r w:rsidRPr="005351ED">
        <w:rPr>
          <w:rFonts w:ascii="Palatino Linotype" w:eastAsia="Palatino Linotype" w:hAnsi="Palatino Linotype" w:cs="Palatino Linotype"/>
          <w:sz w:val="24"/>
          <w:szCs w:val="24"/>
        </w:rPr>
        <w:t xml:space="preserve">, cuya esencia es atribuir un efecto negativo al silencio de la autoridad administrativa frente a las instancias y solicitudes que hagan los particulares, lo cual encuentra sustento en lo que establece el artículo </w:t>
      </w:r>
      <w:r w:rsidRPr="005351ED">
        <w:rPr>
          <w:rFonts w:ascii="Palatino Linotype" w:eastAsia="Palatino Linotype" w:hAnsi="Palatino Linotype" w:cs="Palatino Linotype"/>
          <w:b/>
          <w:sz w:val="24"/>
          <w:szCs w:val="24"/>
        </w:rPr>
        <w:t>178</w:t>
      </w:r>
      <w:r w:rsidRPr="005351ED">
        <w:rPr>
          <w:rFonts w:ascii="Palatino Linotype" w:eastAsia="Palatino Linotype" w:hAnsi="Palatino Linotype" w:cs="Palatino Linotype"/>
          <w:sz w:val="24"/>
          <w:szCs w:val="24"/>
        </w:rPr>
        <w:t xml:space="preserve"> segundo párrafo de </w:t>
      </w:r>
      <w:r w:rsidRPr="005351ED">
        <w:rPr>
          <w:rFonts w:ascii="Palatino Linotype" w:eastAsia="Palatino Linotype" w:hAnsi="Palatino Linotype" w:cs="Palatino Linotype"/>
          <w:b/>
          <w:sz w:val="24"/>
          <w:szCs w:val="24"/>
        </w:rPr>
        <w:t>Ley de Transparencia y Acceso a la Información Pública del Estado de México y Municipios</w:t>
      </w:r>
      <w:r w:rsidRPr="005351ED">
        <w:rPr>
          <w:rFonts w:ascii="Palatino Linotype" w:eastAsia="Palatino Linotype" w:hAnsi="Palatino Linotype" w:cs="Palatino Linotype"/>
          <w:color w:val="000000"/>
          <w:sz w:val="24"/>
          <w:szCs w:val="24"/>
        </w:rPr>
        <w:t xml:space="preserve">, que dispone; ante la falta de respuesta del </w:t>
      </w:r>
      <w:r w:rsidRPr="005351ED">
        <w:rPr>
          <w:rFonts w:ascii="Palatino Linotype" w:eastAsia="Palatino Linotype" w:hAnsi="Palatino Linotype" w:cs="Palatino Linotype"/>
          <w:b/>
          <w:color w:val="000000"/>
          <w:sz w:val="24"/>
          <w:szCs w:val="24"/>
        </w:rPr>
        <w:t>SUJETO OBLIGADO,</w:t>
      </w:r>
      <w:r w:rsidRPr="005351ED">
        <w:rPr>
          <w:rFonts w:ascii="Palatino Linotype" w:eastAsia="Palatino Linotype" w:hAnsi="Palatino Linotype" w:cs="Palatino Linotype"/>
          <w:color w:val="000000"/>
          <w:sz w:val="24"/>
          <w:szCs w:val="24"/>
        </w:rPr>
        <w:t xml:space="preserve"> dentro de los plazos establecidos en esta Ley, a una solicitud de acceso a la información pública, el recurso </w:t>
      </w:r>
      <w:r w:rsidRPr="005351ED">
        <w:rPr>
          <w:rFonts w:ascii="Palatino Linotype" w:eastAsia="Palatino Linotype" w:hAnsi="Palatino Linotype" w:cs="Palatino Linotype"/>
          <w:b/>
          <w:color w:val="000000"/>
          <w:sz w:val="24"/>
          <w:szCs w:val="24"/>
        </w:rPr>
        <w:t xml:space="preserve">podrá ser interpuesto en cualquier momento. </w:t>
      </w:r>
    </w:p>
    <w:p w:rsidR="004B74C5" w:rsidRPr="005351ED" w:rsidRDefault="004B74C5" w:rsidP="004B74C5">
      <w:pPr>
        <w:tabs>
          <w:tab w:val="left" w:pos="284"/>
        </w:tabs>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sz w:val="24"/>
          <w:szCs w:val="24"/>
        </w:rPr>
        <w:lastRenderedPageBreak/>
        <w:t xml:space="preserve">Por lo que, tratándose de la </w:t>
      </w:r>
      <w:r w:rsidRPr="005351ED">
        <w:rPr>
          <w:rFonts w:ascii="Palatino Linotype" w:eastAsia="Palatino Linotype" w:hAnsi="Palatino Linotype" w:cs="Palatino Linotype"/>
          <w:i/>
          <w:sz w:val="24"/>
          <w:szCs w:val="24"/>
        </w:rPr>
        <w:t>negativa ficta</w:t>
      </w:r>
      <w:r w:rsidRPr="005351ED">
        <w:rPr>
          <w:rFonts w:ascii="Palatino Linotype" w:eastAsia="Palatino Linotype" w:hAnsi="Palatino Linotype" w:cs="Palatino Linotype"/>
          <w:sz w:val="24"/>
          <w:szCs w:val="24"/>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5351ED">
        <w:rPr>
          <w:rFonts w:ascii="Palatino Linotype" w:eastAsia="Palatino Linotype" w:hAnsi="Palatino Linotype" w:cs="Palatino Linotype"/>
          <w:i/>
          <w:sz w:val="24"/>
          <w:szCs w:val="24"/>
        </w:rPr>
        <w:t>negativa ficta</w:t>
      </w:r>
      <w:r w:rsidRPr="005351ED">
        <w:rPr>
          <w:rFonts w:ascii="Palatino Linotype" w:eastAsia="Palatino Linotype" w:hAnsi="Palatino Linotype" w:cs="Palatino Linotype"/>
          <w:sz w:val="24"/>
          <w:szCs w:val="24"/>
        </w:rPr>
        <w:t>, que señala:</w:t>
      </w:r>
    </w:p>
    <w:p w:rsidR="004B74C5" w:rsidRPr="005351ED" w:rsidRDefault="004B74C5" w:rsidP="004B74C5">
      <w:pPr>
        <w:tabs>
          <w:tab w:val="left" w:pos="284"/>
          <w:tab w:val="left" w:pos="7655"/>
        </w:tabs>
        <w:spacing w:after="240" w:line="360" w:lineRule="auto"/>
        <w:ind w:left="567" w:right="822"/>
        <w:jc w:val="center"/>
        <w:rPr>
          <w:rFonts w:ascii="Palatino Linotype" w:eastAsia="Palatino Linotype" w:hAnsi="Palatino Linotype" w:cs="Palatino Linotype"/>
          <w:b/>
          <w:sz w:val="24"/>
          <w:szCs w:val="24"/>
        </w:rPr>
      </w:pPr>
      <w:r w:rsidRPr="005351ED">
        <w:rPr>
          <w:rFonts w:ascii="Palatino Linotype" w:eastAsia="Palatino Linotype" w:hAnsi="Palatino Linotype" w:cs="Palatino Linotype"/>
          <w:b/>
          <w:sz w:val="24"/>
          <w:szCs w:val="24"/>
        </w:rPr>
        <w:t>Criterio 0001-15</w:t>
      </w:r>
    </w:p>
    <w:p w:rsidR="004B74C5" w:rsidRPr="005351ED" w:rsidRDefault="004B74C5" w:rsidP="004B74C5">
      <w:pPr>
        <w:tabs>
          <w:tab w:val="left" w:pos="284"/>
          <w:tab w:val="left" w:pos="7655"/>
        </w:tabs>
        <w:spacing w:before="240" w:after="240" w:line="360" w:lineRule="auto"/>
        <w:ind w:left="567" w:right="822"/>
        <w:jc w:val="both"/>
        <w:rPr>
          <w:rFonts w:ascii="Palatino Linotype" w:eastAsia="Palatino Linotype" w:hAnsi="Palatino Linotype" w:cs="Palatino Linotype"/>
          <w:i/>
          <w:sz w:val="24"/>
          <w:szCs w:val="24"/>
        </w:rPr>
      </w:pPr>
      <w:r w:rsidRPr="005351ED">
        <w:rPr>
          <w:rFonts w:ascii="Palatino Linotype" w:eastAsia="Palatino Linotype" w:hAnsi="Palatino Linotype" w:cs="Palatino Linotype"/>
          <w:b/>
          <w:i/>
          <w:sz w:val="24"/>
          <w:szCs w:val="24"/>
        </w:rPr>
        <w:t>NEGATIVA FICTA. PLAZO PARA INTERPONER EL RECURSO DE REVISIÓN TRATÁNDOSE DE.</w:t>
      </w:r>
      <w:r w:rsidRPr="005351ED">
        <w:rPr>
          <w:rFonts w:ascii="Palatino Linotype" w:eastAsia="Palatino Linotype" w:hAnsi="Palatino Linotype" w:cs="Palatino Linotype"/>
          <w:i/>
          <w:sz w:val="24"/>
          <w:szCs w:val="24"/>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w:t>
      </w:r>
      <w:r w:rsidRPr="005351ED">
        <w:rPr>
          <w:rFonts w:ascii="Palatino Linotype" w:eastAsia="Palatino Linotype" w:hAnsi="Palatino Linotype" w:cs="Palatino Linotype"/>
          <w:i/>
          <w:sz w:val="24"/>
          <w:szCs w:val="24"/>
        </w:rPr>
        <w:lastRenderedPageBreak/>
        <w:t>Obligado, momento a partir del cual deberá computarse el plazo previsto en el artículo 72 de la citada Ley.</w:t>
      </w:r>
    </w:p>
    <w:p w:rsidR="004B74C5" w:rsidRPr="005351ED" w:rsidRDefault="004B74C5" w:rsidP="004B74C5">
      <w:pPr>
        <w:numPr>
          <w:ilvl w:val="0"/>
          <w:numId w:val="1"/>
        </w:numPr>
        <w:tabs>
          <w:tab w:val="left" w:pos="284"/>
        </w:tabs>
        <w:spacing w:before="240"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Lo anterior, se explica porque la </w:t>
      </w:r>
      <w:r w:rsidRPr="005351ED">
        <w:rPr>
          <w:rFonts w:ascii="Palatino Linotype" w:eastAsia="Palatino Linotype" w:hAnsi="Palatino Linotype" w:cs="Palatino Linotype"/>
          <w:b/>
          <w:color w:val="000000"/>
          <w:sz w:val="24"/>
          <w:szCs w:val="24"/>
          <w:u w:val="single"/>
        </w:rPr>
        <w:t>posible ausencia</w:t>
      </w:r>
      <w:r w:rsidRPr="005351ED">
        <w:rPr>
          <w:rFonts w:ascii="Palatino Linotype" w:eastAsia="Palatino Linotype" w:hAnsi="Palatino Linotype" w:cs="Palatino Linotype"/>
          <w:color w:val="000000"/>
          <w:sz w:val="24"/>
          <w:szCs w:val="24"/>
        </w:rPr>
        <w:t xml:space="preserve"> de una respuesta en la solicitud constituye un acto que vulnera el derecho de manera continua y actualizable cada día en tanto, no se emita la respuesta a la que esté impuesto el </w:t>
      </w:r>
      <w:r w:rsidRPr="005351ED">
        <w:rPr>
          <w:rFonts w:ascii="Palatino Linotype" w:eastAsia="Palatino Linotype" w:hAnsi="Palatino Linotype" w:cs="Palatino Linotype"/>
          <w:b/>
          <w:color w:val="000000"/>
          <w:sz w:val="24"/>
          <w:szCs w:val="24"/>
        </w:rPr>
        <w:t>SUJETO OBLIGADO</w:t>
      </w:r>
      <w:r w:rsidRPr="005351ED">
        <w:rPr>
          <w:rFonts w:ascii="Palatino Linotype" w:eastAsia="Palatino Linotype" w:hAnsi="Palatino Linotype" w:cs="Palatino Linotype"/>
          <w:color w:val="000000"/>
          <w:sz w:val="24"/>
          <w:szCs w:val="24"/>
        </w:rPr>
        <w:t>.</w:t>
      </w:r>
    </w:p>
    <w:p w:rsidR="004B74C5" w:rsidRPr="005351ED" w:rsidRDefault="004B74C5" w:rsidP="004B74C5">
      <w:pPr>
        <w:tabs>
          <w:tab w:val="left" w:pos="284"/>
        </w:tabs>
        <w:rPr>
          <w:rFonts w:ascii="Palatino Linotype" w:eastAsia="Palatino Linotype" w:hAnsi="Palatino Linotype" w:cs="Palatino Linotype"/>
          <w:color w:val="000000"/>
          <w:sz w:val="24"/>
          <w:szCs w:val="24"/>
        </w:rPr>
      </w:pPr>
    </w:p>
    <w:p w:rsidR="004B74C5" w:rsidRPr="005351ED" w:rsidRDefault="004B74C5" w:rsidP="004B74C5">
      <w:pPr>
        <w:numPr>
          <w:ilvl w:val="0"/>
          <w:numId w:val="1"/>
        </w:numPr>
        <w:tabs>
          <w:tab w:val="left" w:pos="284"/>
        </w:tabs>
        <w:spacing w:after="240" w:line="360" w:lineRule="auto"/>
        <w:ind w:left="0" w:right="49" w:firstLine="0"/>
        <w:jc w:val="both"/>
        <w:rPr>
          <w:rFonts w:ascii="Palatino Linotype" w:eastAsia="Palatino Linotype" w:hAnsi="Palatino Linotype" w:cs="Palatino Linotype"/>
          <w:b/>
          <w:sz w:val="24"/>
          <w:szCs w:val="24"/>
        </w:rPr>
      </w:pPr>
      <w:r w:rsidRPr="005351ED">
        <w:rPr>
          <w:rFonts w:ascii="Palatino Linotype" w:eastAsia="Palatino Linotype" w:hAnsi="Palatino Linotype" w:cs="Palatino Linotype"/>
          <w:sz w:val="24"/>
          <w:szCs w:val="24"/>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B74C5" w:rsidRPr="005351ED" w:rsidRDefault="004B74C5" w:rsidP="004B74C5">
      <w:pPr>
        <w:pStyle w:val="Ttulo1"/>
        <w:rPr>
          <w:rFonts w:ascii="Palatino Linotype" w:eastAsia="Palatino Linotype" w:hAnsi="Palatino Linotype" w:cs="Palatino Linotype"/>
          <w:b/>
          <w:color w:val="000000"/>
          <w:sz w:val="24"/>
          <w:szCs w:val="24"/>
        </w:rPr>
      </w:pPr>
      <w:bookmarkStart w:id="6" w:name="_heading=h.tyjcwt" w:colFirst="0" w:colLast="0"/>
      <w:bookmarkEnd w:id="6"/>
      <w:r w:rsidRPr="005351ED">
        <w:rPr>
          <w:rFonts w:ascii="Palatino Linotype" w:eastAsia="Palatino Linotype" w:hAnsi="Palatino Linotype" w:cs="Palatino Linotype"/>
          <w:b/>
          <w:color w:val="000000"/>
          <w:sz w:val="24"/>
          <w:szCs w:val="24"/>
        </w:rPr>
        <w:t xml:space="preserve">TERCERO. Planteamiento de la Litis </w:t>
      </w:r>
    </w:p>
    <w:p w:rsidR="004B74C5" w:rsidRPr="005351ED" w:rsidRDefault="00814958" w:rsidP="004B74C5">
      <w:pPr>
        <w:numPr>
          <w:ilvl w:val="0"/>
          <w:numId w:val="1"/>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color w:val="000000"/>
          <w:sz w:val="24"/>
          <w:szCs w:val="24"/>
        </w:rPr>
      </w:pPr>
      <w:r w:rsidRPr="005351ED">
        <w:rPr>
          <w:rFonts w:ascii="Palatino Linotype" w:eastAsia="Palatino Linotype" w:hAnsi="Palatino Linotype" w:cs="Palatino Linotype"/>
          <w:color w:val="000000"/>
          <w:sz w:val="24"/>
          <w:szCs w:val="24"/>
        </w:rPr>
        <w:t xml:space="preserve">El recurrente solicitó el listado de los servidores públicos que labora en el Ayuntamiento de Teoloyucan. </w:t>
      </w:r>
    </w:p>
    <w:p w:rsidR="004B74C5" w:rsidRPr="005351ED" w:rsidRDefault="004B74C5" w:rsidP="004B74C5">
      <w:pPr>
        <w:pBdr>
          <w:top w:val="nil"/>
          <w:left w:val="nil"/>
          <w:bottom w:val="nil"/>
          <w:right w:val="nil"/>
          <w:between w:val="nil"/>
        </w:pBdr>
        <w:spacing w:line="360" w:lineRule="auto"/>
        <w:ind w:right="49"/>
        <w:jc w:val="both"/>
        <w:rPr>
          <w:rFonts w:ascii="Palatino Linotype" w:eastAsia="Palatino Linotype" w:hAnsi="Palatino Linotype" w:cs="Palatino Linotype"/>
          <w:i/>
          <w:color w:val="000000"/>
          <w:sz w:val="24"/>
          <w:szCs w:val="24"/>
        </w:rPr>
      </w:pPr>
    </w:p>
    <w:p w:rsidR="004B74C5" w:rsidRPr="005351ED" w:rsidRDefault="004B74C5" w:rsidP="004B74C5">
      <w:pPr>
        <w:numPr>
          <w:ilvl w:val="0"/>
          <w:numId w:val="1"/>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color w:val="000000"/>
          <w:sz w:val="24"/>
          <w:szCs w:val="24"/>
        </w:rPr>
      </w:pPr>
      <w:r w:rsidRPr="005351ED">
        <w:rPr>
          <w:rFonts w:ascii="Palatino Linotype" w:eastAsia="Palatino Linotype" w:hAnsi="Palatino Linotype" w:cs="Palatino Linotype"/>
          <w:color w:val="000000"/>
          <w:sz w:val="24"/>
          <w:szCs w:val="24"/>
        </w:rPr>
        <w:t>El Sujeto Obligado no entregó respuesta a la solicitud, motivo de inconformidad el recurrente.</w:t>
      </w:r>
    </w:p>
    <w:p w:rsidR="004B74C5" w:rsidRPr="005351ED" w:rsidRDefault="004B74C5" w:rsidP="004B74C5">
      <w:pPr>
        <w:numPr>
          <w:ilvl w:val="0"/>
          <w:numId w:val="1"/>
        </w:numPr>
        <w:tabs>
          <w:tab w:val="left" w:pos="284"/>
        </w:tabs>
        <w:spacing w:before="240" w:after="240" w:line="360" w:lineRule="auto"/>
        <w:ind w:left="0" w:firstLine="0"/>
        <w:jc w:val="both"/>
        <w:rPr>
          <w:rFonts w:ascii="Palatino Linotype" w:eastAsia="Palatino Linotype" w:hAnsi="Palatino Linotype" w:cs="Palatino Linotype"/>
          <w:i/>
          <w:sz w:val="24"/>
          <w:szCs w:val="24"/>
        </w:rPr>
      </w:pPr>
      <w:r w:rsidRPr="005351ED">
        <w:rPr>
          <w:rFonts w:ascii="Palatino Linotype" w:eastAsia="Palatino Linotype" w:hAnsi="Palatino Linotype" w:cs="Palatino Linotype"/>
          <w:sz w:val="24"/>
          <w:szCs w:val="24"/>
        </w:rPr>
        <w:t>Por lo tanto, el presente recurso de revisión se circunscribe en determinar si se actualiza las causales de procedencia</w:t>
      </w:r>
      <w:r w:rsidRPr="005351ED">
        <w:rPr>
          <w:rFonts w:ascii="Palatino Linotype" w:eastAsia="Palatino Linotype" w:hAnsi="Palatino Linotype" w:cs="Palatino Linotype"/>
          <w:b/>
          <w:sz w:val="24"/>
          <w:szCs w:val="24"/>
        </w:rPr>
        <w:t xml:space="preserve"> </w:t>
      </w:r>
      <w:r w:rsidRPr="005351ED">
        <w:rPr>
          <w:rFonts w:ascii="Palatino Linotype" w:eastAsia="Palatino Linotype" w:hAnsi="Palatino Linotype" w:cs="Palatino Linotype"/>
          <w:sz w:val="24"/>
          <w:szCs w:val="24"/>
        </w:rPr>
        <w:t xml:space="preserve">contenidas en el artículo 179 fracciones I y VII de la </w:t>
      </w:r>
      <w:r w:rsidRPr="005351ED">
        <w:rPr>
          <w:rFonts w:ascii="Palatino Linotype" w:eastAsia="Palatino Linotype" w:hAnsi="Palatino Linotype" w:cs="Palatino Linotype"/>
          <w:b/>
          <w:sz w:val="24"/>
          <w:szCs w:val="24"/>
        </w:rPr>
        <w:t>Ley de Transparencia y Acceso a la Información Pública del Estado de México y Municipios</w:t>
      </w:r>
      <w:r w:rsidRPr="005351ED">
        <w:rPr>
          <w:rFonts w:ascii="Palatino Linotype" w:eastAsia="Palatino Linotype" w:hAnsi="Palatino Linotype" w:cs="Palatino Linotype"/>
          <w:sz w:val="24"/>
          <w:szCs w:val="24"/>
        </w:rPr>
        <w:t xml:space="preserve">, que refieren la negativa de la información solicitada y la falta de respuesta a una solicitud de acceso a la información. </w:t>
      </w:r>
    </w:p>
    <w:p w:rsidR="004B74C5" w:rsidRPr="005351ED" w:rsidRDefault="004B74C5" w:rsidP="004B74C5">
      <w:pPr>
        <w:pStyle w:val="Ttulo1"/>
        <w:spacing w:before="0" w:line="360" w:lineRule="auto"/>
        <w:rPr>
          <w:rFonts w:ascii="Palatino Linotype" w:eastAsia="Palatino Linotype" w:hAnsi="Palatino Linotype" w:cs="Palatino Linotype"/>
          <w:b/>
          <w:color w:val="000000"/>
          <w:sz w:val="24"/>
          <w:szCs w:val="24"/>
        </w:rPr>
      </w:pPr>
      <w:bookmarkStart w:id="7" w:name="_heading=h.3dy6vkm" w:colFirst="0" w:colLast="0"/>
      <w:bookmarkEnd w:id="7"/>
      <w:r w:rsidRPr="005351ED">
        <w:rPr>
          <w:rFonts w:ascii="Palatino Linotype" w:eastAsia="Palatino Linotype" w:hAnsi="Palatino Linotype" w:cs="Palatino Linotype"/>
          <w:b/>
          <w:color w:val="000000"/>
          <w:sz w:val="24"/>
          <w:szCs w:val="24"/>
        </w:rPr>
        <w:lastRenderedPageBreak/>
        <w:t>CUARTO. Estudio y resolución del asunto</w:t>
      </w:r>
    </w:p>
    <w:p w:rsidR="004B74C5" w:rsidRPr="005351ED" w:rsidRDefault="004B74C5" w:rsidP="004B74C5">
      <w:pPr>
        <w:numPr>
          <w:ilvl w:val="0"/>
          <w:numId w:val="1"/>
        </w:numPr>
        <w:spacing w:line="360" w:lineRule="auto"/>
        <w:ind w:left="0" w:right="49" w:firstLine="0"/>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b/>
          <w:color w:val="000000"/>
          <w:sz w:val="24"/>
          <w:szCs w:val="24"/>
        </w:rPr>
      </w:pPr>
    </w:p>
    <w:p w:rsidR="004B74C5" w:rsidRPr="005351ED" w:rsidRDefault="004B74C5" w:rsidP="00DD40A8">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Recordemo</w:t>
      </w:r>
      <w:r w:rsidR="00DD40A8" w:rsidRPr="005351ED">
        <w:rPr>
          <w:rFonts w:ascii="Palatino Linotype" w:eastAsia="Palatino Linotype" w:hAnsi="Palatino Linotype" w:cs="Palatino Linotype"/>
          <w:color w:val="000000"/>
          <w:sz w:val="24"/>
          <w:szCs w:val="24"/>
        </w:rPr>
        <w:t xml:space="preserve">s que el Recurrente solicitó </w:t>
      </w:r>
      <w:r w:rsidR="00814958" w:rsidRPr="005351ED">
        <w:rPr>
          <w:rFonts w:ascii="Palatino Linotype" w:eastAsia="Palatino Linotype" w:hAnsi="Palatino Linotype" w:cs="Palatino Linotype"/>
          <w:color w:val="000000"/>
          <w:sz w:val="24"/>
          <w:szCs w:val="24"/>
        </w:rPr>
        <w:t>el listado de los servidores públicos que labora en el Ayuntamiento de Teoloyucan.</w:t>
      </w:r>
      <w:r w:rsidR="00DD40A8" w:rsidRPr="005351ED">
        <w:rPr>
          <w:rFonts w:ascii="Palatino Linotype" w:eastAsia="Palatino Linotype" w:hAnsi="Palatino Linotype" w:cs="Palatino Linotype"/>
          <w:color w:val="000000"/>
          <w:sz w:val="24"/>
          <w:szCs w:val="24"/>
        </w:rPr>
        <w:t xml:space="preserve"> </w:t>
      </w:r>
      <w:r w:rsidRPr="005351ED">
        <w:rPr>
          <w:rFonts w:ascii="Palatino Linotype" w:eastAsia="Palatino Linotype" w:hAnsi="Palatino Linotype" w:cs="Palatino Linotype"/>
          <w:color w:val="000000"/>
          <w:sz w:val="24"/>
          <w:szCs w:val="24"/>
        </w:rPr>
        <w:t>Posteriormente, derivado de la falta de respuesta por parte del Sujeto Obligado, el Recurrente interpuso recurso de revisión por la negativa de la información. Ante ello, el Sujeto Obligado remitió informe justificado en aras de resarcir el derecho de acceso a la información del Recu</w:t>
      </w:r>
      <w:r w:rsidR="00833FF8" w:rsidRPr="005351ED">
        <w:rPr>
          <w:rFonts w:ascii="Palatino Linotype" w:eastAsia="Palatino Linotype" w:hAnsi="Palatino Linotype" w:cs="Palatino Linotype"/>
          <w:color w:val="000000"/>
          <w:sz w:val="24"/>
          <w:szCs w:val="24"/>
        </w:rPr>
        <w:t>rrente, el cual contiene un listado con el nomb</w:t>
      </w:r>
      <w:r w:rsidR="00AC07FE" w:rsidRPr="005351ED">
        <w:rPr>
          <w:rFonts w:ascii="Palatino Linotype" w:eastAsia="Palatino Linotype" w:hAnsi="Palatino Linotype" w:cs="Palatino Linotype"/>
          <w:color w:val="000000"/>
          <w:sz w:val="24"/>
          <w:szCs w:val="24"/>
        </w:rPr>
        <w:t xml:space="preserve">re de 267 servidores públicos el cual </w:t>
      </w:r>
      <w:r w:rsidR="00833FF8" w:rsidRPr="005351ED">
        <w:rPr>
          <w:rFonts w:ascii="Palatino Linotype" w:eastAsia="Palatino Linotype" w:hAnsi="Palatino Linotype" w:cs="Palatino Linotype"/>
          <w:color w:val="000000"/>
          <w:sz w:val="24"/>
          <w:szCs w:val="24"/>
        </w:rPr>
        <w:t xml:space="preserve">no fue puesto a la vista del Recurrente. </w:t>
      </w:r>
    </w:p>
    <w:p w:rsidR="004B74C5" w:rsidRPr="005351ED" w:rsidRDefault="004B74C5" w:rsidP="004B74C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4B74C5" w:rsidRPr="005351ED" w:rsidRDefault="00833FF8"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MS Mincho" w:hAnsi="Palatino Linotype"/>
          <w:sz w:val="24"/>
          <w:szCs w:val="24"/>
        </w:rPr>
        <w:t>Ahora bien, primeramente d</w:t>
      </w:r>
      <w:r w:rsidR="004B74C5" w:rsidRPr="005351ED">
        <w:rPr>
          <w:rFonts w:ascii="Palatino Linotype" w:eastAsia="MS Mincho" w:hAnsi="Palatino Linotype"/>
          <w:sz w:val="24"/>
          <w:szCs w:val="24"/>
        </w:rPr>
        <w:t xml:space="preserve">ebemos mencionar que el acceso a la información es un derecho humano constitucional y convencionalmente reconocido y para tal efecto </w:t>
      </w:r>
      <w:r w:rsidR="004B74C5" w:rsidRPr="005351ED">
        <w:rPr>
          <w:rFonts w:ascii="Palatino Linotype" w:eastAsia="Calibri" w:hAnsi="Palatino Linotype"/>
          <w:sz w:val="24"/>
          <w:szCs w:val="24"/>
          <w:lang w:val="es-ES"/>
        </w:rPr>
        <w:t xml:space="preserve">el párrafo tercero del artículo primero de la Constitución Política de los Estados Unidos Mexicanos establece que el deber de todas las autoridades, </w:t>
      </w:r>
      <w:r w:rsidR="004B74C5" w:rsidRPr="005351ED">
        <w:rPr>
          <w:rFonts w:ascii="Palatino Linotype" w:eastAsia="Calibri" w:hAnsi="Palatino Linotype"/>
          <w:i/>
          <w:sz w:val="24"/>
          <w:szCs w:val="24"/>
          <w:lang w:val="es-ES"/>
        </w:rPr>
        <w:t xml:space="preserve">en el ámbito de sus atribuciones, de promover, respetar, proteger y </w:t>
      </w:r>
      <w:r w:rsidR="004B74C5" w:rsidRPr="005351ED">
        <w:rPr>
          <w:rFonts w:ascii="Palatino Linotype" w:eastAsia="Calibri" w:hAnsi="Palatino Linotype"/>
          <w:b/>
          <w:i/>
          <w:sz w:val="24"/>
          <w:szCs w:val="24"/>
          <w:lang w:val="es-ES"/>
        </w:rPr>
        <w:t>garantizar</w:t>
      </w:r>
      <w:r w:rsidR="004B74C5" w:rsidRPr="005351ED">
        <w:rPr>
          <w:rFonts w:ascii="Palatino Linotype" w:eastAsia="Calibri" w:hAnsi="Palatino Linotype"/>
          <w:i/>
          <w:sz w:val="24"/>
          <w:szCs w:val="24"/>
          <w:lang w:val="es-ES"/>
        </w:rPr>
        <w:t xml:space="preserve"> los derechos humanos. </w:t>
      </w:r>
      <w:r w:rsidR="004B74C5" w:rsidRPr="005351ED">
        <w:rPr>
          <w:rFonts w:ascii="Palatino Linotype" w:eastAsia="Calibri" w:hAnsi="Palatino Linotype"/>
          <w:b/>
          <w:i/>
          <w:sz w:val="24"/>
          <w:szCs w:val="24"/>
          <w:lang w:val="es-ES"/>
        </w:rPr>
        <w:t>En cuanto al derecho de acceso a la información, la Ley de Transparencia y Acceso a la Información Pública del Estado de México y Municipios prevé establece que e</w:t>
      </w:r>
      <w:r w:rsidR="004B74C5" w:rsidRPr="005351ED">
        <w:rPr>
          <w:rFonts w:ascii="Palatino Linotype" w:hAnsi="Palatino Linotype"/>
          <w:i/>
          <w:sz w:val="24"/>
          <w:szCs w:val="24"/>
        </w:rPr>
        <w:t xml:space="preserve">l procedimiento de acceso a la información es la garantía primaria del derecho en cuestión y se rige por los principios de simplicidad, rapidez y gratuidad del procedimiento, </w:t>
      </w:r>
      <w:r w:rsidR="004B74C5" w:rsidRPr="005351ED">
        <w:rPr>
          <w:rFonts w:ascii="Palatino Linotype" w:hAnsi="Palatino Linotype"/>
          <w:i/>
          <w:sz w:val="24"/>
          <w:szCs w:val="24"/>
        </w:rPr>
        <w:lastRenderedPageBreak/>
        <w:t>auxilio y orientación a los particulares</w:t>
      </w:r>
      <w:r w:rsidR="004B74C5" w:rsidRPr="005351ED">
        <w:rPr>
          <w:rStyle w:val="Refdenotaalpie"/>
          <w:i/>
          <w:sz w:val="24"/>
          <w:szCs w:val="24"/>
        </w:rPr>
        <w:footnoteReference w:id="1"/>
      </w:r>
      <w:r w:rsidR="004B74C5" w:rsidRPr="005351ED">
        <w:rPr>
          <w:rFonts w:ascii="Palatino Linotype" w:hAnsi="Palatino Linotype"/>
          <w:i/>
          <w:sz w:val="24"/>
          <w:szCs w:val="24"/>
        </w:rPr>
        <w:t xml:space="preserve">, </w:t>
      </w:r>
      <w:r w:rsidR="004B74C5" w:rsidRPr="005351ED">
        <w:rPr>
          <w:rFonts w:ascii="Palatino Linotype" w:hAnsi="Palatino Linotype"/>
          <w:sz w:val="24"/>
          <w:szCs w:val="24"/>
        </w:rPr>
        <w:t>asimismo establece</w:t>
      </w:r>
      <w:r w:rsidR="004B74C5" w:rsidRPr="005351ED">
        <w:rPr>
          <w:rFonts w:ascii="Palatino Linotype" w:hAnsi="Palatino Linotype"/>
          <w:i/>
          <w:sz w:val="24"/>
          <w:szCs w:val="24"/>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4B74C5" w:rsidRPr="005351ED" w:rsidRDefault="004B74C5" w:rsidP="004B74C5">
      <w:pPr>
        <w:pStyle w:val="Prrafodelista"/>
        <w:rPr>
          <w:rFonts w:ascii="Palatino Linotype" w:eastAsia="Calibri" w:hAnsi="Palatino Linotype" w:cs="Arial"/>
          <w:sz w:val="24"/>
        </w:rPr>
      </w:pPr>
    </w:p>
    <w:p w:rsidR="004B74C5" w:rsidRPr="005351ED" w:rsidRDefault="004B74C5" w:rsidP="004B74C5">
      <w:pPr>
        <w:pStyle w:val="Prrafodelista"/>
        <w:numPr>
          <w:ilvl w:val="0"/>
          <w:numId w:val="1"/>
        </w:numPr>
        <w:spacing w:line="360" w:lineRule="auto"/>
        <w:ind w:left="0" w:firstLine="0"/>
        <w:jc w:val="both"/>
        <w:rPr>
          <w:rFonts w:ascii="Palatino Linotype" w:eastAsia="Calibri" w:hAnsi="Palatino Linotype" w:cs="Arial"/>
          <w:sz w:val="24"/>
        </w:rPr>
      </w:pPr>
      <w:r w:rsidRPr="005351ED">
        <w:rPr>
          <w:rFonts w:ascii="Palatino Linotype" w:hAnsi="Palatino Linotype"/>
          <w:sz w:val="24"/>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4B74C5" w:rsidRPr="005351ED" w:rsidRDefault="004B74C5" w:rsidP="004B74C5">
      <w:pPr>
        <w:pStyle w:val="Prrafodelista"/>
        <w:rPr>
          <w:rFonts w:ascii="Palatino Linotype" w:hAnsi="Palatino Linotype"/>
          <w:sz w:val="24"/>
        </w:rPr>
      </w:pPr>
    </w:p>
    <w:p w:rsidR="004B74C5" w:rsidRPr="005351ED" w:rsidRDefault="004B74C5" w:rsidP="004B74C5">
      <w:pPr>
        <w:pStyle w:val="Prrafodelista"/>
        <w:numPr>
          <w:ilvl w:val="0"/>
          <w:numId w:val="1"/>
        </w:numPr>
        <w:spacing w:line="360" w:lineRule="auto"/>
        <w:ind w:left="0" w:firstLine="0"/>
        <w:jc w:val="both"/>
        <w:rPr>
          <w:rFonts w:ascii="Palatino Linotype" w:eastAsia="Calibri" w:hAnsi="Palatino Linotype" w:cs="Arial"/>
          <w:sz w:val="24"/>
        </w:rPr>
      </w:pPr>
      <w:r w:rsidRPr="005351ED">
        <w:rPr>
          <w:rFonts w:ascii="Palatino Linotype" w:hAnsi="Palatino Linotype"/>
          <w:sz w:val="24"/>
        </w:rPr>
        <w:t xml:space="preserve">Es así que, su obligación es </w:t>
      </w:r>
      <w:r w:rsidRPr="005351ED">
        <w:rPr>
          <w:rFonts w:ascii="Palatino Linotype" w:hAnsi="Palatino Linotype"/>
          <w:i/>
          <w:sz w:val="24"/>
        </w:rPr>
        <w:t>realizar, con efectividad, los trámites internos necesarios para la atención de las solicitudes de información</w:t>
      </w:r>
      <w:r w:rsidRPr="005351ED">
        <w:rPr>
          <w:rStyle w:val="Refdenotaalpie"/>
          <w:sz w:val="24"/>
        </w:rPr>
        <w:footnoteReference w:id="2"/>
      </w:r>
      <w:r w:rsidRPr="005351ED">
        <w:rPr>
          <w:rFonts w:ascii="Palatino Linotype" w:hAnsi="Palatino Linotype"/>
          <w:sz w:val="24"/>
        </w:rPr>
        <w:t>, es decir, deben otorgar respuestas concisas, contundentes y sobre todo que den la certeza de los actos que realizan.</w:t>
      </w:r>
    </w:p>
    <w:p w:rsidR="004B74C5" w:rsidRPr="005351ED" w:rsidRDefault="004B74C5" w:rsidP="004B74C5">
      <w:pPr>
        <w:pStyle w:val="Prrafodelista"/>
        <w:ind w:left="0"/>
        <w:rPr>
          <w:rFonts w:ascii="Palatino Linotype" w:eastAsia="Calibri" w:hAnsi="Palatino Linotype" w:cs="Arial"/>
          <w:sz w:val="24"/>
        </w:rPr>
      </w:pPr>
    </w:p>
    <w:p w:rsidR="004B74C5" w:rsidRPr="005351ED" w:rsidRDefault="004B74C5" w:rsidP="004B74C5">
      <w:pPr>
        <w:pStyle w:val="Prrafodelista"/>
        <w:numPr>
          <w:ilvl w:val="0"/>
          <w:numId w:val="1"/>
        </w:numPr>
        <w:spacing w:line="360" w:lineRule="auto"/>
        <w:ind w:left="0" w:firstLine="0"/>
        <w:jc w:val="both"/>
        <w:rPr>
          <w:rFonts w:ascii="Palatino Linotype" w:eastAsia="MS Mincho" w:hAnsi="Palatino Linotype"/>
          <w:sz w:val="24"/>
        </w:rPr>
      </w:pPr>
      <w:r w:rsidRPr="005351ED">
        <w:rPr>
          <w:rFonts w:ascii="Palatino Linotype" w:eastAsia="Palatino Linotype" w:hAnsi="Palatino Linotype" w:cs="Palatino Linotype"/>
          <w:sz w:val="24"/>
        </w:rPr>
        <w:t xml:space="preserve">Al respecto, es menester hacer referencia a lo establecido en los artículos 50, 53 fracciones II, IV y V, 58, 59 fracciones I y II, y 162 </w:t>
      </w:r>
      <w:r w:rsidRPr="005351ED">
        <w:rPr>
          <w:rFonts w:ascii="Palatino Linotype" w:eastAsia="Arial Unicode MS" w:hAnsi="Palatino Linotype" w:cs="Arial"/>
          <w:sz w:val="24"/>
          <w:lang w:eastAsia="en-US"/>
        </w:rPr>
        <w:t>de la Ley de Transparencia y Acceso a la Información del Estado de México y Municipios, que a la letra estipulan lo siguiente:</w:t>
      </w:r>
    </w:p>
    <w:p w:rsidR="004B74C5" w:rsidRPr="005351ED" w:rsidRDefault="004B74C5" w:rsidP="004B74C5">
      <w:pPr>
        <w:spacing w:line="360" w:lineRule="auto"/>
        <w:jc w:val="both"/>
        <w:rPr>
          <w:rFonts w:ascii="Palatino Linotype" w:eastAsia="Arial Unicode MS" w:hAnsi="Palatino Linotype" w:cs="Arial"/>
          <w:sz w:val="24"/>
          <w:szCs w:val="24"/>
          <w:lang w:eastAsia="en-US"/>
        </w:rPr>
      </w:pP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i/>
          <w:iCs/>
          <w:sz w:val="24"/>
          <w:szCs w:val="24"/>
        </w:rPr>
        <w:lastRenderedPageBreak/>
        <w:t xml:space="preserve">Artículo 50. </w:t>
      </w:r>
      <w:r w:rsidRPr="005351ED">
        <w:rPr>
          <w:rFonts w:ascii="Palatino Linotype" w:eastAsia="Palatino Linotype" w:hAnsi="Palatino Linotype" w:cs="Palatino Linotype"/>
          <w:i/>
          <w:iCs/>
          <w:sz w:val="24"/>
          <w:szCs w:val="24"/>
        </w:rPr>
        <w:t>Los sujetos obligados contarán con un área responsable para la atención de las solicitudes de información, a la que se le denominará Unidad de Transparencia.</w:t>
      </w:r>
    </w:p>
    <w:p w:rsidR="004B74C5" w:rsidRPr="005351ED" w:rsidRDefault="004B74C5" w:rsidP="004B74C5">
      <w:pPr>
        <w:ind w:left="851" w:right="822"/>
        <w:jc w:val="both"/>
        <w:rPr>
          <w:rFonts w:ascii="Palatino Linotype" w:eastAsia="Palatino Linotype" w:hAnsi="Palatino Linotype" w:cs="Palatino Linotype"/>
          <w:i/>
          <w:iCs/>
          <w:sz w:val="24"/>
          <w:szCs w:val="24"/>
        </w:rPr>
      </w:pP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i/>
          <w:iCs/>
          <w:sz w:val="24"/>
          <w:szCs w:val="24"/>
        </w:rPr>
        <w:t xml:space="preserve">Artículo 53. </w:t>
      </w:r>
      <w:r w:rsidRPr="005351ED">
        <w:rPr>
          <w:rFonts w:ascii="Palatino Linotype" w:eastAsia="Palatino Linotype" w:hAnsi="Palatino Linotype" w:cs="Palatino Linotype"/>
          <w:i/>
          <w:iCs/>
          <w:sz w:val="24"/>
          <w:szCs w:val="24"/>
        </w:rPr>
        <w:t>Las Unidades de Transparencia tendrán las siguientes funciones:</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i/>
          <w:iCs/>
          <w:sz w:val="24"/>
          <w:szCs w:val="24"/>
        </w:rPr>
        <w:t>(…)</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bCs/>
          <w:i/>
          <w:iCs/>
          <w:sz w:val="24"/>
          <w:szCs w:val="24"/>
        </w:rPr>
        <w:t>II.</w:t>
      </w:r>
      <w:r w:rsidRPr="005351ED">
        <w:rPr>
          <w:rFonts w:ascii="Palatino Linotype" w:eastAsia="Palatino Linotype" w:hAnsi="Palatino Linotype" w:cs="Palatino Linotype"/>
          <w:i/>
          <w:iCs/>
          <w:sz w:val="24"/>
          <w:szCs w:val="24"/>
        </w:rPr>
        <w:t xml:space="preserve"> Recibir, tramitar y dar respuesta a las solicitudes de acceso a la información;</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i/>
          <w:iCs/>
          <w:sz w:val="24"/>
          <w:szCs w:val="24"/>
        </w:rPr>
        <w:t>(…)</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bCs/>
          <w:i/>
          <w:iCs/>
          <w:sz w:val="24"/>
          <w:szCs w:val="24"/>
        </w:rPr>
        <w:t>IV.</w:t>
      </w:r>
      <w:r w:rsidRPr="005351ED">
        <w:rPr>
          <w:rFonts w:ascii="Palatino Linotype" w:eastAsia="Palatino Linotype" w:hAnsi="Palatino Linotype" w:cs="Palatino Linotype"/>
          <w:i/>
          <w:iCs/>
          <w:sz w:val="24"/>
          <w:szCs w:val="24"/>
        </w:rPr>
        <w:t xml:space="preserve"> Realizar, con efectividad, los trámites internos necesarios para la atención de las solicitudes de acceso a la información;</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bCs/>
          <w:i/>
          <w:iCs/>
          <w:sz w:val="24"/>
          <w:szCs w:val="24"/>
        </w:rPr>
        <w:t>V.</w:t>
      </w:r>
      <w:r w:rsidRPr="005351ED">
        <w:rPr>
          <w:rFonts w:ascii="Palatino Linotype" w:eastAsia="Palatino Linotype" w:hAnsi="Palatino Linotype" w:cs="Palatino Linotype"/>
          <w:i/>
          <w:iCs/>
          <w:sz w:val="24"/>
          <w:szCs w:val="24"/>
        </w:rPr>
        <w:t xml:space="preserve"> Entregar, en su caso, a los particulares la información solicitada;</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i/>
          <w:iCs/>
          <w:sz w:val="24"/>
          <w:szCs w:val="24"/>
        </w:rPr>
        <w:t>(…)</w:t>
      </w:r>
    </w:p>
    <w:p w:rsidR="004B74C5" w:rsidRPr="005351ED" w:rsidRDefault="004B74C5" w:rsidP="004B74C5">
      <w:pPr>
        <w:ind w:left="851" w:right="822"/>
        <w:jc w:val="both"/>
        <w:rPr>
          <w:rFonts w:ascii="Palatino Linotype" w:eastAsia="Palatino Linotype" w:hAnsi="Palatino Linotype" w:cs="Palatino Linotype"/>
          <w:i/>
          <w:iCs/>
          <w:sz w:val="24"/>
          <w:szCs w:val="24"/>
        </w:rPr>
      </w:pP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i/>
          <w:iCs/>
          <w:sz w:val="24"/>
          <w:szCs w:val="24"/>
        </w:rPr>
        <w:t xml:space="preserve">Artículo 58. </w:t>
      </w:r>
      <w:r w:rsidRPr="005351ED">
        <w:rPr>
          <w:rFonts w:ascii="Palatino Linotype" w:eastAsia="Palatino Linotype" w:hAnsi="Palatino Linotype" w:cs="Palatino Linotype"/>
          <w:i/>
          <w:iCs/>
          <w:sz w:val="24"/>
          <w:szCs w:val="24"/>
        </w:rPr>
        <w:t>Los servidores públicos habilitados serán designados por el titular del sujeto obligado a propuesta del responsable de la Unidad de Transparencia.</w:t>
      </w:r>
    </w:p>
    <w:p w:rsidR="004B74C5" w:rsidRPr="005351ED" w:rsidRDefault="004B74C5" w:rsidP="004B74C5">
      <w:pPr>
        <w:ind w:left="851" w:right="822"/>
        <w:jc w:val="both"/>
        <w:rPr>
          <w:rFonts w:ascii="Palatino Linotype" w:eastAsia="Palatino Linotype" w:hAnsi="Palatino Linotype" w:cs="Palatino Linotype"/>
          <w:i/>
          <w:iCs/>
          <w:sz w:val="24"/>
          <w:szCs w:val="24"/>
        </w:rPr>
      </w:pP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i/>
          <w:iCs/>
          <w:sz w:val="24"/>
          <w:szCs w:val="24"/>
        </w:rPr>
        <w:t xml:space="preserve">Artículo 59. </w:t>
      </w:r>
      <w:r w:rsidRPr="005351ED">
        <w:rPr>
          <w:rFonts w:ascii="Palatino Linotype" w:eastAsia="Palatino Linotype" w:hAnsi="Palatino Linotype" w:cs="Palatino Linotype"/>
          <w:i/>
          <w:iCs/>
          <w:sz w:val="24"/>
          <w:szCs w:val="24"/>
        </w:rPr>
        <w:t>Los servidores públicos habilitados tendrán las funciones siguientes:</w:t>
      </w:r>
    </w:p>
    <w:p w:rsidR="004B74C5" w:rsidRPr="005351ED" w:rsidRDefault="004B74C5" w:rsidP="004B74C5">
      <w:pPr>
        <w:ind w:left="851" w:right="822"/>
        <w:jc w:val="both"/>
        <w:rPr>
          <w:rFonts w:ascii="Palatino Linotype" w:eastAsia="Palatino Linotype" w:hAnsi="Palatino Linotype" w:cs="Palatino Linotype"/>
          <w:i/>
          <w:iCs/>
          <w:sz w:val="24"/>
          <w:szCs w:val="24"/>
        </w:rPr>
      </w:pP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bCs/>
          <w:i/>
          <w:iCs/>
          <w:sz w:val="24"/>
          <w:szCs w:val="24"/>
        </w:rPr>
        <w:t>I.</w:t>
      </w:r>
      <w:r w:rsidRPr="005351ED">
        <w:rPr>
          <w:rFonts w:ascii="Palatino Linotype" w:eastAsia="Palatino Linotype" w:hAnsi="Palatino Linotype" w:cs="Palatino Linotype"/>
          <w:i/>
          <w:iCs/>
          <w:sz w:val="24"/>
          <w:szCs w:val="24"/>
        </w:rPr>
        <w:t xml:space="preserve"> Localizar la información que le solicite la Unidad de Transparencia;</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bCs/>
          <w:i/>
          <w:iCs/>
          <w:sz w:val="24"/>
          <w:szCs w:val="24"/>
        </w:rPr>
        <w:t>II.</w:t>
      </w:r>
      <w:r w:rsidRPr="005351ED">
        <w:rPr>
          <w:rFonts w:ascii="Palatino Linotype" w:eastAsia="Palatino Linotype" w:hAnsi="Palatino Linotype" w:cs="Palatino Linotype"/>
          <w:i/>
          <w:iCs/>
          <w:sz w:val="24"/>
          <w:szCs w:val="24"/>
        </w:rPr>
        <w:t xml:space="preserve"> Proporcionar la información que obre en los archivos y que le sea solicitada por la Unidad de Transparencia;</w:t>
      </w: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i/>
          <w:iCs/>
          <w:sz w:val="24"/>
          <w:szCs w:val="24"/>
        </w:rPr>
        <w:t>(...)</w:t>
      </w:r>
    </w:p>
    <w:p w:rsidR="004B74C5" w:rsidRPr="005351ED" w:rsidRDefault="004B74C5" w:rsidP="004B74C5">
      <w:pPr>
        <w:ind w:left="851" w:right="822"/>
        <w:jc w:val="both"/>
        <w:rPr>
          <w:rFonts w:ascii="Palatino Linotype" w:eastAsia="Palatino Linotype" w:hAnsi="Palatino Linotype" w:cs="Palatino Linotype"/>
          <w:i/>
          <w:iCs/>
          <w:sz w:val="24"/>
          <w:szCs w:val="24"/>
        </w:rPr>
      </w:pPr>
    </w:p>
    <w:p w:rsidR="004B74C5" w:rsidRPr="005351ED" w:rsidRDefault="004B74C5" w:rsidP="004B74C5">
      <w:pPr>
        <w:ind w:left="851" w:right="822"/>
        <w:jc w:val="both"/>
        <w:rPr>
          <w:rFonts w:ascii="Palatino Linotype" w:eastAsia="Palatino Linotype" w:hAnsi="Palatino Linotype" w:cs="Palatino Linotype"/>
          <w:i/>
          <w:iCs/>
          <w:sz w:val="24"/>
          <w:szCs w:val="24"/>
        </w:rPr>
      </w:pPr>
      <w:r w:rsidRPr="005351ED">
        <w:rPr>
          <w:rFonts w:ascii="Palatino Linotype" w:eastAsia="Palatino Linotype" w:hAnsi="Palatino Linotype" w:cs="Palatino Linotype"/>
          <w:b/>
          <w:i/>
          <w:iCs/>
          <w:sz w:val="24"/>
          <w:szCs w:val="24"/>
        </w:rPr>
        <w:t xml:space="preserve">Artículo 162. </w:t>
      </w:r>
      <w:r w:rsidRPr="005351ED">
        <w:rPr>
          <w:rFonts w:ascii="Palatino Linotype" w:eastAsia="Palatino Linotype" w:hAnsi="Palatino Linotype" w:cs="Palatino Linotype"/>
          <w:i/>
          <w:iCs/>
          <w:sz w:val="24"/>
          <w:szCs w:val="24"/>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4B74C5" w:rsidRPr="005351ED" w:rsidRDefault="004B74C5" w:rsidP="004B74C5">
      <w:pPr>
        <w:spacing w:line="360" w:lineRule="auto"/>
        <w:jc w:val="both"/>
        <w:rPr>
          <w:rFonts w:ascii="Palatino Linotype" w:eastAsia="Palatino Linotype" w:hAnsi="Palatino Linotype" w:cs="Palatino Linotype"/>
          <w:sz w:val="24"/>
          <w:szCs w:val="24"/>
        </w:rPr>
      </w:pPr>
    </w:p>
    <w:p w:rsidR="004B74C5" w:rsidRPr="005351ED" w:rsidRDefault="004B74C5" w:rsidP="004B74C5">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5351ED">
        <w:rPr>
          <w:rFonts w:ascii="Palatino Linotype" w:eastAsia="Palatino Linotype" w:hAnsi="Palatino Linotype" w:cs="Palatino Linotype"/>
          <w:sz w:val="24"/>
        </w:rPr>
        <w:t xml:space="preserve">De los artículos citados se desprende que las Unidades de Transparencia de los sujetos obligados son las encargadas de tramitar internamente </w:t>
      </w:r>
      <w:r w:rsidRPr="005351ED">
        <w:rPr>
          <w:rFonts w:ascii="Palatino Linotype" w:eastAsia="Arial Unicode MS" w:hAnsi="Palatino Linotype" w:cs="Arial"/>
          <w:sz w:val="24"/>
          <w:lang w:eastAsia="en-US"/>
        </w:rPr>
        <w:t xml:space="preserve">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w:t>
      </w:r>
      <w:r w:rsidRPr="005351ED">
        <w:rPr>
          <w:rFonts w:ascii="Palatino Linotype" w:eastAsia="Arial Unicode MS" w:hAnsi="Palatino Linotype" w:cs="Arial"/>
          <w:sz w:val="24"/>
          <w:lang w:eastAsia="en-US"/>
        </w:rPr>
        <w:lastRenderedPageBreak/>
        <w:t>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4B74C5" w:rsidRPr="005351ED" w:rsidRDefault="004B74C5" w:rsidP="004B74C5">
      <w:pPr>
        <w:pStyle w:val="Prrafodelista"/>
        <w:spacing w:line="360" w:lineRule="auto"/>
        <w:ind w:left="0"/>
        <w:jc w:val="both"/>
        <w:rPr>
          <w:rFonts w:ascii="Palatino Linotype" w:eastAsia="Arial Unicode MS" w:hAnsi="Palatino Linotype" w:cs="Arial"/>
          <w:sz w:val="24"/>
          <w:lang w:eastAsia="en-US"/>
        </w:rPr>
      </w:pPr>
    </w:p>
    <w:p w:rsidR="004B74C5" w:rsidRPr="005351ED" w:rsidRDefault="004B74C5" w:rsidP="004B74C5">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5351ED">
        <w:rPr>
          <w:rFonts w:ascii="Palatino Linotype" w:eastAsia="Arial Unicode MS" w:hAnsi="Palatino Linotype" w:cs="Arial"/>
          <w:sz w:val="24"/>
          <w:lang w:eastAsia="en-US"/>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4B74C5" w:rsidRPr="005351ED" w:rsidRDefault="004B74C5" w:rsidP="004B74C5">
      <w:pPr>
        <w:pStyle w:val="Prrafodelista"/>
        <w:rPr>
          <w:rFonts w:ascii="Palatino Linotype" w:eastAsia="Arial Unicode MS" w:hAnsi="Palatino Linotype" w:cs="Arial"/>
          <w:sz w:val="24"/>
          <w:lang w:eastAsia="en-US"/>
        </w:rPr>
      </w:pPr>
    </w:p>
    <w:p w:rsidR="004B74C5" w:rsidRPr="005351ED" w:rsidRDefault="004B74C5" w:rsidP="004B74C5">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5351ED">
        <w:rPr>
          <w:rFonts w:ascii="Palatino Linotype" w:eastAsia="Arial Unicode MS" w:hAnsi="Palatino Linotype" w:cs="Arial"/>
          <w:sz w:val="24"/>
          <w:lang w:eastAsia="en-US"/>
        </w:rPr>
        <w:t xml:space="preserve">Ahora bien, recordemos que el Sujeto Obligado no </w:t>
      </w:r>
      <w:r w:rsidR="00833FF8" w:rsidRPr="005351ED">
        <w:rPr>
          <w:rFonts w:ascii="Palatino Linotype" w:eastAsia="Arial Unicode MS" w:hAnsi="Palatino Linotype" w:cs="Arial"/>
          <w:sz w:val="24"/>
          <w:lang w:eastAsia="en-US"/>
        </w:rPr>
        <w:t>entregó</w:t>
      </w:r>
      <w:r w:rsidRPr="005351ED">
        <w:rPr>
          <w:rFonts w:ascii="Palatino Linotype" w:eastAsia="Arial Unicode MS" w:hAnsi="Palatino Linotype" w:cs="Arial"/>
          <w:sz w:val="24"/>
          <w:lang w:eastAsia="en-US"/>
        </w:rPr>
        <w:t xml:space="preserve"> respuesta, sin embargo, a través de informe justificado se pronunció la Dirección de Administración, </w:t>
      </w:r>
      <w:r w:rsidR="00833FF8" w:rsidRPr="005351ED">
        <w:rPr>
          <w:rFonts w:ascii="Palatino Linotype" w:eastAsia="Arial Unicode MS" w:hAnsi="Palatino Linotype" w:cs="Arial"/>
          <w:sz w:val="24"/>
          <w:lang w:eastAsia="en-US"/>
        </w:rPr>
        <w:t xml:space="preserve">quien de acuerdo al artículo 147 del Reglamento Interior de la Administración Pública Municipal de Teoloyucan, Estado de México, es </w:t>
      </w:r>
      <w:r w:rsidR="00AC07FE" w:rsidRPr="005351ED">
        <w:rPr>
          <w:rFonts w:ascii="Palatino Linotype" w:eastAsia="Arial Unicode MS" w:hAnsi="Palatino Linotype" w:cs="Arial"/>
          <w:sz w:val="24"/>
          <w:lang w:eastAsia="en-US"/>
        </w:rPr>
        <w:t>la encargada de la selección, contratación y capacitación del personal que requieran las Dependencias de la administración municipal.</w:t>
      </w:r>
    </w:p>
    <w:p w:rsidR="00833FF8" w:rsidRPr="005351ED" w:rsidRDefault="00833FF8" w:rsidP="00833FF8">
      <w:pPr>
        <w:pStyle w:val="Prrafodelista"/>
        <w:spacing w:line="360" w:lineRule="auto"/>
        <w:ind w:left="0"/>
        <w:jc w:val="both"/>
        <w:rPr>
          <w:rFonts w:ascii="Palatino Linotype" w:eastAsia="Arial Unicode MS" w:hAnsi="Palatino Linotype" w:cs="Arial"/>
          <w:sz w:val="24"/>
          <w:lang w:eastAsia="en-US"/>
        </w:rPr>
      </w:pPr>
    </w:p>
    <w:p w:rsidR="00AC07FE" w:rsidRPr="005351ED" w:rsidRDefault="004B74C5" w:rsidP="00AC07FE">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5351ED">
        <w:rPr>
          <w:rFonts w:ascii="Palatino Linotype" w:eastAsia="Arial Unicode MS" w:hAnsi="Palatino Linotype" w:cs="Arial"/>
          <w:sz w:val="24"/>
          <w:lang w:eastAsia="en-US"/>
        </w:rPr>
        <w:t>En ese sentido, se puede advertir que el informe justificado fue entregado por el servidor público con facultades para generar, poseer y/o administrar la información solicitada, es decir, que el Sujeto Obligado dio cumplimiento al proceso de búsqueda estableci</w:t>
      </w:r>
      <w:r w:rsidR="00AC07FE" w:rsidRPr="005351ED">
        <w:rPr>
          <w:rFonts w:ascii="Palatino Linotype" w:eastAsia="Arial Unicode MS" w:hAnsi="Palatino Linotype" w:cs="Arial"/>
          <w:sz w:val="24"/>
          <w:lang w:eastAsia="en-US"/>
        </w:rPr>
        <w:t xml:space="preserve">do en la legislación aplicable, sin embargo, el informe justificado que contiene el listado de servidores públicos no fue puesto a la vista del Recurrente, </w:t>
      </w:r>
      <w:r w:rsidR="00736438" w:rsidRPr="005351ED">
        <w:rPr>
          <w:rFonts w:ascii="Palatino Linotype" w:eastAsia="Arial Unicode MS" w:hAnsi="Palatino Linotype" w:cs="Arial"/>
          <w:sz w:val="24"/>
          <w:lang w:eastAsia="en-US"/>
        </w:rPr>
        <w:t>por las siguientes razones.</w:t>
      </w:r>
      <w:r w:rsidR="00AC07FE" w:rsidRPr="005351ED">
        <w:rPr>
          <w:rFonts w:ascii="Palatino Linotype" w:eastAsia="Arial Unicode MS" w:hAnsi="Palatino Linotype" w:cs="Arial"/>
          <w:sz w:val="24"/>
          <w:lang w:eastAsia="en-US"/>
        </w:rPr>
        <w:t xml:space="preserve"> </w:t>
      </w:r>
    </w:p>
    <w:p w:rsidR="00AC07FE" w:rsidRPr="005351ED" w:rsidRDefault="00AC07FE" w:rsidP="00AC07FE">
      <w:pPr>
        <w:pStyle w:val="Prrafodelista"/>
        <w:rPr>
          <w:rFonts w:ascii="Palatino Linotype" w:eastAsia="Arial Unicode MS" w:hAnsi="Palatino Linotype" w:cs="Arial"/>
          <w:sz w:val="24"/>
          <w:lang w:eastAsia="en-US"/>
        </w:rPr>
      </w:pPr>
    </w:p>
    <w:p w:rsidR="002C1053" w:rsidRPr="005351ED" w:rsidRDefault="00736438" w:rsidP="002C1053">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5351ED">
        <w:rPr>
          <w:rFonts w:ascii="Palatino Linotype" w:eastAsia="Arial Unicode MS" w:hAnsi="Palatino Linotype" w:cs="Arial"/>
          <w:sz w:val="24"/>
          <w:lang w:eastAsia="en-US"/>
        </w:rPr>
        <w:lastRenderedPageBreak/>
        <w:t xml:space="preserve">Este Instituto ha reiterado que el nombre de los elementos de seguridad pública con actividades operativas es clasificado como reservado, y en este caso, no se tiene la certeza de que los nombres remitidos pertenecen o no a policías, por lo tanto, no fue posible poner a la vista del Recurrente el informe justificado, por tal razón, </w:t>
      </w:r>
      <w:r w:rsidR="002C1053" w:rsidRPr="005351ED">
        <w:rPr>
          <w:rFonts w:ascii="Palatino Linotype" w:eastAsia="Arial Unicode MS" w:hAnsi="Palatino Linotype" w:cs="Arial"/>
          <w:sz w:val="24"/>
          <w:lang w:eastAsia="en-US"/>
        </w:rPr>
        <w:t xml:space="preserve">con la información entregada no se puede dar por atendido el requerimiento del particular. </w:t>
      </w:r>
    </w:p>
    <w:p w:rsidR="002C1053" w:rsidRPr="005351ED" w:rsidRDefault="002C1053" w:rsidP="002C1053">
      <w:pPr>
        <w:pStyle w:val="Prrafodelista"/>
        <w:rPr>
          <w:rFonts w:ascii="Palatino Linotype" w:eastAsia="Calibri" w:hAnsi="Palatino Linotype"/>
          <w:sz w:val="24"/>
        </w:rPr>
      </w:pPr>
    </w:p>
    <w:p w:rsidR="002C1053" w:rsidRPr="005351ED" w:rsidRDefault="002C1053" w:rsidP="002C1053">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5351ED">
        <w:rPr>
          <w:rFonts w:ascii="Palatino Linotype" w:eastAsia="Calibri" w:hAnsi="Palatino Linotype"/>
          <w:sz w:val="24"/>
        </w:rPr>
        <w:t xml:space="preserve">Precisado lo anterior y en atención a que se observa que la información de la que se requiere acceso contiene información de los elementos de seguridad pública, es necesario señalar que las condiciones en las cuales se deberá entregar la información solicitada adquieren una especial naturaleza. </w:t>
      </w:r>
    </w:p>
    <w:p w:rsidR="002C1053" w:rsidRPr="005351ED" w:rsidRDefault="002C1053" w:rsidP="002C1053">
      <w:pPr>
        <w:pStyle w:val="Prrafodelista"/>
        <w:rPr>
          <w:rFonts w:ascii="Palatino Linotype" w:eastAsia="Calibri" w:hAnsi="Palatino Linotype"/>
          <w:sz w:val="24"/>
        </w:rPr>
      </w:pPr>
    </w:p>
    <w:p w:rsidR="002C1053" w:rsidRPr="005351ED" w:rsidRDefault="002C1053" w:rsidP="002C1053">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5351ED">
        <w:rPr>
          <w:rFonts w:ascii="Palatino Linotype" w:eastAsia="Calibri" w:hAnsi="Palatino Linotype"/>
          <w:sz w:val="24"/>
        </w:rPr>
        <w:t>En efecto</w:t>
      </w:r>
      <w:r w:rsidRPr="005351ED">
        <w:rPr>
          <w:rFonts w:ascii="Palatino Linotype" w:hAnsi="Palatino Linotype"/>
          <w:sz w:val="24"/>
        </w:rPr>
        <w:t xml:space="preserve">, este instituto advierte que otorgar acceso al nombre de policías operativos podría comprometer la integridad de los mismos, de conformidad con lo que establece el artículo 140 de la Ley de Transparencia y Acceso a la Información Pública del Estado de México y Municipios: </w:t>
      </w:r>
    </w:p>
    <w:p w:rsidR="002C1053" w:rsidRPr="005351ED" w:rsidRDefault="002C1053" w:rsidP="002C1053">
      <w:pPr>
        <w:spacing w:before="240" w:after="240" w:line="276" w:lineRule="auto"/>
        <w:ind w:left="567" w:right="616"/>
        <w:contextualSpacing/>
        <w:jc w:val="both"/>
        <w:rPr>
          <w:rFonts w:ascii="Palatino Linotype" w:hAnsi="Palatino Linotype"/>
          <w:i/>
          <w:sz w:val="24"/>
          <w:szCs w:val="24"/>
        </w:rPr>
      </w:pPr>
      <w:r w:rsidRPr="005351ED">
        <w:rPr>
          <w:rFonts w:ascii="Palatino Linotype" w:hAnsi="Palatino Linotype"/>
          <w:b/>
          <w:i/>
          <w:sz w:val="24"/>
          <w:szCs w:val="24"/>
        </w:rPr>
        <w:t>“Artículo 140.</w:t>
      </w:r>
      <w:r w:rsidRPr="005351ED">
        <w:rPr>
          <w:rFonts w:ascii="Palatino Linotype" w:hAnsi="Palatino Linotype"/>
          <w:i/>
          <w:sz w:val="24"/>
          <w:szCs w:val="24"/>
        </w:rPr>
        <w:t xml:space="preserve"> El acceso a la información pública será restringido excepcionalmente, cuando por razones de interés público, ésta sea clasificada como reservada, conforme a los criterios siguientes: </w:t>
      </w:r>
    </w:p>
    <w:p w:rsidR="002C1053" w:rsidRPr="005351ED" w:rsidRDefault="002C1053" w:rsidP="002C1053">
      <w:pPr>
        <w:spacing w:before="240" w:after="240" w:line="276" w:lineRule="auto"/>
        <w:ind w:left="567" w:right="616"/>
        <w:contextualSpacing/>
        <w:jc w:val="both"/>
        <w:rPr>
          <w:rFonts w:ascii="Palatino Linotype" w:hAnsi="Palatino Linotype"/>
          <w:i/>
          <w:sz w:val="24"/>
          <w:szCs w:val="24"/>
        </w:rPr>
      </w:pPr>
      <w:r w:rsidRPr="005351ED">
        <w:rPr>
          <w:rFonts w:ascii="Palatino Linotype" w:hAnsi="Palatino Linotype"/>
          <w:i/>
          <w:sz w:val="24"/>
          <w:szCs w:val="24"/>
        </w:rPr>
        <w:t xml:space="preserve">I. Comprometa la seguridad pública y cuente con un propósito genuino y un efecto demostrable; </w:t>
      </w:r>
    </w:p>
    <w:p w:rsidR="002C1053" w:rsidRPr="005351ED" w:rsidRDefault="002C1053" w:rsidP="002C1053">
      <w:pPr>
        <w:spacing w:before="240" w:after="240" w:line="276" w:lineRule="auto"/>
        <w:ind w:left="567" w:right="616"/>
        <w:contextualSpacing/>
        <w:jc w:val="both"/>
        <w:rPr>
          <w:rFonts w:ascii="Palatino Linotype" w:hAnsi="Palatino Linotype"/>
          <w:i/>
          <w:sz w:val="24"/>
          <w:szCs w:val="24"/>
        </w:rPr>
      </w:pPr>
      <w:r w:rsidRPr="005351ED">
        <w:rPr>
          <w:rFonts w:ascii="Palatino Linotype" w:hAnsi="Palatino Linotype"/>
          <w:i/>
          <w:sz w:val="24"/>
          <w:szCs w:val="24"/>
        </w:rPr>
        <w:t xml:space="preserve">II. Pueda menoscabar la conducción de las negociaciones y relaciones internacionales; </w:t>
      </w:r>
    </w:p>
    <w:p w:rsidR="002C1053" w:rsidRPr="005351ED" w:rsidRDefault="002C1053" w:rsidP="002C1053">
      <w:pPr>
        <w:spacing w:before="240" w:after="240" w:line="276" w:lineRule="auto"/>
        <w:ind w:left="567" w:right="616"/>
        <w:contextualSpacing/>
        <w:jc w:val="both"/>
        <w:rPr>
          <w:rFonts w:ascii="Palatino Linotype" w:hAnsi="Palatino Linotype"/>
          <w:i/>
          <w:sz w:val="24"/>
          <w:szCs w:val="24"/>
        </w:rPr>
      </w:pPr>
      <w:r w:rsidRPr="005351ED">
        <w:rPr>
          <w:rFonts w:ascii="Palatino Linotype" w:hAnsi="Palatino Linotype"/>
          <w:i/>
          <w:sz w:val="24"/>
          <w:szCs w:val="24"/>
        </w:rPr>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rsidR="002C1053" w:rsidRPr="005351ED" w:rsidRDefault="002C1053" w:rsidP="002C1053">
      <w:pPr>
        <w:spacing w:before="240" w:after="240" w:line="276" w:lineRule="auto"/>
        <w:ind w:left="567" w:right="616"/>
        <w:contextualSpacing/>
        <w:jc w:val="both"/>
        <w:rPr>
          <w:rFonts w:ascii="Palatino Linotype" w:hAnsi="Palatino Linotype"/>
          <w:b/>
          <w:i/>
          <w:sz w:val="24"/>
          <w:szCs w:val="24"/>
        </w:rPr>
      </w:pPr>
      <w:r w:rsidRPr="005351ED">
        <w:rPr>
          <w:rFonts w:ascii="Palatino Linotype" w:hAnsi="Palatino Linotype"/>
          <w:b/>
          <w:i/>
          <w:sz w:val="24"/>
          <w:szCs w:val="24"/>
        </w:rPr>
        <w:t>IV. Ponga en riesgo la vida, la seguridad o la salud de una persona física;</w:t>
      </w:r>
    </w:p>
    <w:p w:rsidR="002C1053" w:rsidRPr="005351ED" w:rsidRDefault="002C1053" w:rsidP="002C1053">
      <w:pPr>
        <w:spacing w:before="240" w:after="240" w:line="276" w:lineRule="auto"/>
        <w:ind w:left="567" w:right="616"/>
        <w:contextualSpacing/>
        <w:jc w:val="both"/>
        <w:rPr>
          <w:rFonts w:ascii="Palatino Linotype" w:eastAsia="Calibri" w:hAnsi="Palatino Linotype"/>
          <w:i/>
          <w:sz w:val="24"/>
          <w:szCs w:val="24"/>
        </w:rPr>
      </w:pPr>
      <w:r w:rsidRPr="005351ED">
        <w:rPr>
          <w:rFonts w:ascii="Palatino Linotype" w:hAnsi="Palatino Linotype"/>
          <w:i/>
          <w:sz w:val="24"/>
          <w:szCs w:val="24"/>
        </w:rPr>
        <w:t xml:space="preserve"> (…)” (Sic)</w:t>
      </w:r>
    </w:p>
    <w:p w:rsidR="002C1053" w:rsidRPr="005351ED" w:rsidRDefault="002C1053" w:rsidP="002C1053">
      <w:pPr>
        <w:pStyle w:val="Prrafodelista"/>
        <w:numPr>
          <w:ilvl w:val="0"/>
          <w:numId w:val="1"/>
        </w:numPr>
        <w:tabs>
          <w:tab w:val="left" w:pos="0"/>
        </w:tabs>
        <w:spacing w:after="160" w:line="360" w:lineRule="auto"/>
        <w:ind w:left="0" w:firstLine="0"/>
        <w:jc w:val="both"/>
        <w:rPr>
          <w:rFonts w:ascii="Palatino Linotype" w:hAnsi="Palatino Linotype"/>
          <w:sz w:val="24"/>
        </w:rPr>
      </w:pPr>
      <w:r w:rsidRPr="005351ED">
        <w:rPr>
          <w:rFonts w:ascii="Palatino Linotype" w:hAnsi="Palatino Linotype"/>
          <w:sz w:val="24"/>
        </w:rPr>
        <w:lastRenderedPageBreak/>
        <w:t>En este contexto, este Pleno considera que dar a conocer los nombres de servidores públicos que realizan funciones en materia de seguridad, tal como es el caso de los policías, los vuelve identificables y posiblemente reconocibles para grupos delictivos</w:t>
      </w:r>
      <w:r w:rsidRPr="005351ED">
        <w:rPr>
          <w:rFonts w:ascii="Palatino Linotype" w:hAnsi="Palatino Linotype" w:cs="Tahoma"/>
          <w:bCs/>
          <w:sz w:val="24"/>
        </w:rPr>
        <w:t xml:space="preserve">; así, dicha información puede ser utilizada para </w:t>
      </w:r>
      <w:r w:rsidRPr="005351ED">
        <w:rPr>
          <w:rFonts w:ascii="Palatino Linotype" w:hAnsi="Palatino Linotype" w:cs="Tahoma"/>
          <w:b/>
          <w:bCs/>
          <w:sz w:val="24"/>
        </w:rPr>
        <w:t xml:space="preserve">vulnerar la vida, seguridad o salud de dichos elementos, incluso la de sus familias o entorno social, </w:t>
      </w:r>
      <w:r w:rsidRPr="005351ED">
        <w:rPr>
          <w:rFonts w:ascii="Palatino Linotype" w:hAnsi="Palatino Linotype" w:cs="Tahoma"/>
          <w:bCs/>
          <w:sz w:val="24"/>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2C1053" w:rsidRPr="005351ED" w:rsidRDefault="002C1053" w:rsidP="002C1053">
      <w:pPr>
        <w:spacing w:line="360" w:lineRule="auto"/>
        <w:contextualSpacing/>
        <w:jc w:val="both"/>
        <w:rPr>
          <w:rFonts w:ascii="Palatino Linotype" w:hAnsi="Palatino Linotype"/>
          <w:sz w:val="24"/>
          <w:szCs w:val="24"/>
        </w:rPr>
      </w:pPr>
    </w:p>
    <w:p w:rsidR="002C1053" w:rsidRPr="005351ED" w:rsidRDefault="002C1053" w:rsidP="002C1053">
      <w:pPr>
        <w:numPr>
          <w:ilvl w:val="0"/>
          <w:numId w:val="1"/>
        </w:numPr>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t xml:space="preserve">En ese sentido, el proporcionar el nombre de los elementos policiales operativos, pone en riesgo de manera directa la vida y la seguridad de dicho servidor, siendo obligación de la Institución protegerla en todo momento para salvaguarda de sus integrantes. </w:t>
      </w:r>
    </w:p>
    <w:p w:rsidR="002C1053" w:rsidRPr="005351ED" w:rsidRDefault="002C1053" w:rsidP="002C1053">
      <w:pPr>
        <w:spacing w:line="360" w:lineRule="auto"/>
        <w:rPr>
          <w:rFonts w:ascii="Palatino Linotype" w:eastAsia="Calibri" w:hAnsi="Palatino Linotype" w:cs="Tahoma"/>
          <w:bCs/>
          <w:sz w:val="24"/>
          <w:szCs w:val="24"/>
        </w:rPr>
      </w:pPr>
    </w:p>
    <w:p w:rsidR="002C1053" w:rsidRPr="005351ED" w:rsidRDefault="002C1053" w:rsidP="002C1053">
      <w:pPr>
        <w:numPr>
          <w:ilvl w:val="0"/>
          <w:numId w:val="1"/>
        </w:numPr>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t xml:space="preserve">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 </w:t>
      </w:r>
    </w:p>
    <w:p w:rsidR="002C1053" w:rsidRPr="005351ED" w:rsidRDefault="002C1053" w:rsidP="002C1053">
      <w:pPr>
        <w:spacing w:line="360" w:lineRule="auto"/>
        <w:contextualSpacing/>
        <w:jc w:val="both"/>
        <w:rPr>
          <w:rFonts w:ascii="Palatino Linotype" w:eastAsia="Calibri" w:hAnsi="Palatino Linotype" w:cs="Tahoma"/>
          <w:bCs/>
          <w:sz w:val="24"/>
          <w:szCs w:val="24"/>
        </w:rPr>
      </w:pPr>
    </w:p>
    <w:p w:rsidR="002C1053" w:rsidRPr="005351ED" w:rsidRDefault="002C1053" w:rsidP="002C1053">
      <w:pPr>
        <w:numPr>
          <w:ilvl w:val="0"/>
          <w:numId w:val="1"/>
        </w:numPr>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t xml:space="preserve">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w:t>
      </w:r>
      <w:r w:rsidRPr="005351ED">
        <w:rPr>
          <w:rFonts w:ascii="Palatino Linotype" w:eastAsia="Calibri" w:hAnsi="Palatino Linotype" w:cs="Tahoma"/>
          <w:bCs/>
          <w:sz w:val="24"/>
          <w:szCs w:val="24"/>
        </w:rPr>
        <w:lastRenderedPageBreak/>
        <w:t>operativos e incluso documentación emitida por el</w:t>
      </w:r>
      <w:r w:rsidRPr="005351ED">
        <w:rPr>
          <w:rFonts w:ascii="Palatino Linotype" w:eastAsia="Calibri" w:hAnsi="Palatino Linotype" w:cs="Tahoma"/>
          <w:b/>
          <w:bCs/>
          <w:sz w:val="24"/>
          <w:szCs w:val="24"/>
        </w:rPr>
        <w:t xml:space="preserve"> SUJETO OBLIGADO</w:t>
      </w:r>
      <w:r w:rsidRPr="005351ED">
        <w:rPr>
          <w:rFonts w:ascii="Palatino Linotype" w:eastAsia="Calibri" w:hAnsi="Palatino Linotype" w:cs="Tahoma"/>
          <w:bCs/>
          <w:sz w:val="24"/>
          <w:szCs w:val="24"/>
        </w:rPr>
        <w:t>, colocando en inminente riesgo la vida de todos los integrantes, menoscabando así las actividades de prevención del delito y combate a la delincuencia.</w:t>
      </w:r>
    </w:p>
    <w:p w:rsidR="002C1053" w:rsidRPr="005351ED" w:rsidRDefault="002C1053" w:rsidP="002C1053">
      <w:pPr>
        <w:spacing w:line="360" w:lineRule="auto"/>
        <w:contextualSpacing/>
        <w:jc w:val="both"/>
        <w:rPr>
          <w:rFonts w:ascii="Palatino Linotype" w:eastAsia="Calibri" w:hAnsi="Palatino Linotype" w:cs="Tahoma"/>
          <w:bCs/>
          <w:sz w:val="24"/>
          <w:szCs w:val="24"/>
        </w:rPr>
      </w:pPr>
    </w:p>
    <w:p w:rsidR="002C1053" w:rsidRPr="005351ED" w:rsidRDefault="002C1053" w:rsidP="002C1053">
      <w:pPr>
        <w:numPr>
          <w:ilvl w:val="0"/>
          <w:numId w:val="1"/>
        </w:numPr>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t xml:space="preserve">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 </w:t>
      </w:r>
    </w:p>
    <w:p w:rsidR="002C1053" w:rsidRPr="005351ED" w:rsidRDefault="002C1053" w:rsidP="002C1053">
      <w:pPr>
        <w:spacing w:line="360" w:lineRule="auto"/>
        <w:contextualSpacing/>
        <w:jc w:val="both"/>
        <w:rPr>
          <w:rFonts w:ascii="Palatino Linotype" w:eastAsia="Calibri" w:hAnsi="Palatino Linotype" w:cs="Tahoma"/>
          <w:bCs/>
          <w:sz w:val="24"/>
          <w:szCs w:val="24"/>
        </w:rPr>
      </w:pPr>
    </w:p>
    <w:p w:rsidR="002C1053" w:rsidRPr="005351ED" w:rsidRDefault="002C1053" w:rsidP="002C1053">
      <w:pPr>
        <w:numPr>
          <w:ilvl w:val="0"/>
          <w:numId w:val="1"/>
        </w:numPr>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t xml:space="preserve">El dar el nombre de los servidores públicos operativos pone en riesgo sus vidas y seguridad, ya que pueden ser identificarles, provocando que se utilice la información para amenazar, intimidar o extorsionar al integrante.  </w:t>
      </w:r>
    </w:p>
    <w:p w:rsidR="002C1053" w:rsidRPr="005351ED" w:rsidRDefault="002C1053" w:rsidP="002C1053">
      <w:pPr>
        <w:spacing w:line="360" w:lineRule="auto"/>
        <w:contextualSpacing/>
        <w:jc w:val="both"/>
        <w:rPr>
          <w:rFonts w:ascii="Palatino Linotype" w:eastAsia="Calibri" w:hAnsi="Palatino Linotype" w:cs="Tahoma"/>
          <w:bCs/>
          <w:sz w:val="24"/>
          <w:szCs w:val="24"/>
        </w:rPr>
      </w:pPr>
    </w:p>
    <w:p w:rsidR="002C1053" w:rsidRPr="005351ED" w:rsidRDefault="002C1053" w:rsidP="002C1053">
      <w:pPr>
        <w:numPr>
          <w:ilvl w:val="0"/>
          <w:numId w:val="1"/>
        </w:numPr>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t xml:space="preserve">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 </w:t>
      </w:r>
    </w:p>
    <w:p w:rsidR="002C1053" w:rsidRPr="005351ED" w:rsidRDefault="002C1053" w:rsidP="002C1053">
      <w:pPr>
        <w:spacing w:line="360" w:lineRule="auto"/>
        <w:contextualSpacing/>
        <w:jc w:val="both"/>
        <w:rPr>
          <w:rFonts w:ascii="Palatino Linotype" w:eastAsia="Calibri" w:hAnsi="Palatino Linotype" w:cs="Tahoma"/>
          <w:bCs/>
          <w:sz w:val="24"/>
          <w:szCs w:val="24"/>
        </w:rPr>
      </w:pPr>
    </w:p>
    <w:p w:rsidR="002C1053" w:rsidRDefault="002C1053" w:rsidP="002C1053">
      <w:pPr>
        <w:numPr>
          <w:ilvl w:val="0"/>
          <w:numId w:val="1"/>
        </w:numPr>
        <w:tabs>
          <w:tab w:val="left" w:pos="0"/>
        </w:tabs>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lastRenderedPageBreak/>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5351ED" w:rsidRPr="005351ED" w:rsidRDefault="005351ED" w:rsidP="005351ED">
      <w:pPr>
        <w:tabs>
          <w:tab w:val="left" w:pos="0"/>
        </w:tabs>
        <w:spacing w:after="160" w:line="360" w:lineRule="auto"/>
        <w:contextualSpacing/>
        <w:jc w:val="both"/>
        <w:rPr>
          <w:rFonts w:ascii="Palatino Linotype" w:eastAsia="Calibri" w:hAnsi="Palatino Linotype" w:cs="Tahoma"/>
          <w:bCs/>
          <w:sz w:val="24"/>
          <w:szCs w:val="24"/>
        </w:rPr>
      </w:pPr>
    </w:p>
    <w:p w:rsidR="002C1053" w:rsidRPr="005351ED" w:rsidRDefault="002C1053" w:rsidP="002C1053">
      <w:pPr>
        <w:numPr>
          <w:ilvl w:val="0"/>
          <w:numId w:val="1"/>
        </w:numPr>
        <w:tabs>
          <w:tab w:val="left" w:pos="0"/>
        </w:tabs>
        <w:spacing w:after="160" w:line="360" w:lineRule="auto"/>
        <w:ind w:left="0" w:firstLine="0"/>
        <w:contextualSpacing/>
        <w:jc w:val="both"/>
        <w:rPr>
          <w:rFonts w:ascii="Palatino Linotype" w:eastAsia="Calibri" w:hAnsi="Palatino Linotype" w:cs="Tahoma"/>
          <w:bCs/>
          <w:sz w:val="24"/>
          <w:szCs w:val="24"/>
        </w:rPr>
      </w:pPr>
      <w:r w:rsidRPr="005351ED">
        <w:rPr>
          <w:rFonts w:ascii="Palatino Linotype" w:eastAsia="Calibri" w:hAnsi="Palatino Linotype" w:cs="Tahoma"/>
          <w:bCs/>
          <w:sz w:val="24"/>
          <w:szCs w:val="24"/>
        </w:rPr>
        <w:t xml:space="preserve">Por lo que, el derecho a la vida y seguridad nacional tiene una-primacía que el derecho al acceso a la información, por lo que el bien jurídico a salvaguardarse primordialmente, es la vida y la seguridad de los servidores públicos encargados de la seguridad pública. </w:t>
      </w:r>
    </w:p>
    <w:p w:rsidR="002C1053" w:rsidRPr="005351ED" w:rsidRDefault="002C1053" w:rsidP="002C1053">
      <w:pPr>
        <w:tabs>
          <w:tab w:val="left" w:pos="0"/>
        </w:tabs>
        <w:spacing w:line="360" w:lineRule="auto"/>
        <w:contextualSpacing/>
        <w:jc w:val="both"/>
        <w:rPr>
          <w:rFonts w:ascii="Palatino Linotype" w:eastAsia="Calibri" w:hAnsi="Palatino Linotype" w:cs="Tahoma"/>
          <w:bCs/>
          <w:sz w:val="24"/>
          <w:szCs w:val="24"/>
        </w:rPr>
      </w:pPr>
    </w:p>
    <w:p w:rsidR="002C1053" w:rsidRPr="005351ED" w:rsidRDefault="002C1053" w:rsidP="002C1053">
      <w:pPr>
        <w:numPr>
          <w:ilvl w:val="0"/>
          <w:numId w:val="1"/>
        </w:numPr>
        <w:tabs>
          <w:tab w:val="left" w:pos="0"/>
        </w:tabs>
        <w:spacing w:after="160" w:line="360" w:lineRule="auto"/>
        <w:ind w:left="0" w:firstLine="0"/>
        <w:contextualSpacing/>
        <w:jc w:val="both"/>
        <w:rPr>
          <w:rFonts w:ascii="Palatino Linotype" w:eastAsia="MS Mincho" w:hAnsi="Palatino Linotype" w:cs="Arial"/>
          <w:sz w:val="24"/>
          <w:szCs w:val="24"/>
        </w:rPr>
      </w:pPr>
      <w:r w:rsidRPr="005351ED">
        <w:rPr>
          <w:rFonts w:ascii="Palatino Linotype" w:eastAsia="MS Mincho" w:hAnsi="Palatino Linotype" w:cs="Arial"/>
          <w:sz w:val="24"/>
          <w:szCs w:val="24"/>
          <w:lang w:val="es-ES_tradnl"/>
        </w:rPr>
        <w:t xml:space="preserve">Al respecto, cabe hacer mención que el artículo 81 fracción III de la Ley de Seguridad del Estado de México, establece lo siguiente: </w:t>
      </w:r>
    </w:p>
    <w:p w:rsidR="002C1053" w:rsidRPr="005351ED" w:rsidRDefault="002C1053" w:rsidP="002C1053">
      <w:pPr>
        <w:spacing w:line="276" w:lineRule="auto"/>
        <w:ind w:left="720" w:right="567"/>
        <w:contextualSpacing/>
        <w:jc w:val="both"/>
        <w:rPr>
          <w:rFonts w:ascii="Palatino Linotype" w:eastAsia="MS Mincho" w:hAnsi="Palatino Linotype" w:cs="Arial"/>
          <w:i/>
          <w:sz w:val="24"/>
          <w:szCs w:val="24"/>
          <w:lang w:val="es-ES_tradnl"/>
        </w:rPr>
      </w:pPr>
      <w:r w:rsidRPr="005351ED">
        <w:rPr>
          <w:rFonts w:ascii="Palatino Linotype" w:eastAsia="MS Mincho" w:hAnsi="Palatino Linotype" w:cs="Arial"/>
          <w:i/>
          <w:sz w:val="24"/>
          <w:szCs w:val="24"/>
          <w:lang w:val="es-ES_tradnl"/>
        </w:rPr>
        <w:t>“</w:t>
      </w:r>
      <w:r w:rsidRPr="005351ED">
        <w:rPr>
          <w:rFonts w:ascii="Palatino Linotype" w:eastAsia="MS Mincho" w:hAnsi="Palatino Linotype" w:cs="Arial"/>
          <w:b/>
          <w:i/>
          <w:sz w:val="24"/>
          <w:szCs w:val="24"/>
          <w:lang w:val="es-ES_tradnl"/>
        </w:rPr>
        <w:t>Artículo 81.-</w:t>
      </w:r>
      <w:r w:rsidRPr="005351ED">
        <w:rPr>
          <w:rFonts w:ascii="Palatino Linotype" w:eastAsia="MS Mincho" w:hAnsi="Palatino Linotype" w:cs="Arial"/>
          <w:i/>
          <w:sz w:val="24"/>
          <w:szCs w:val="24"/>
          <w:lang w:val="es-ES_tradnl"/>
        </w:rPr>
        <w:t xml:space="preserve"> </w:t>
      </w:r>
      <w:r w:rsidRPr="005351ED">
        <w:rPr>
          <w:rFonts w:ascii="Palatino Linotype" w:eastAsia="MS Mincho" w:hAnsi="Palatino Linotype" w:cs="Arial"/>
          <w:b/>
          <w:i/>
          <w:sz w:val="24"/>
          <w:szCs w:val="24"/>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5351ED">
        <w:rPr>
          <w:rFonts w:ascii="Palatino Linotype" w:eastAsia="MS Mincho" w:hAnsi="Palatino Linotype" w:cs="Arial"/>
          <w:i/>
          <w:sz w:val="24"/>
          <w:szCs w:val="24"/>
          <w:lang w:val="es-ES_tradnl"/>
        </w:rPr>
        <w:t xml:space="preserve"> en los casos siguientes:</w:t>
      </w:r>
    </w:p>
    <w:p w:rsidR="002C1053" w:rsidRPr="005351ED" w:rsidRDefault="002C1053" w:rsidP="002C1053">
      <w:pPr>
        <w:spacing w:line="276" w:lineRule="auto"/>
        <w:ind w:left="720" w:right="567"/>
        <w:contextualSpacing/>
        <w:jc w:val="both"/>
        <w:rPr>
          <w:rFonts w:ascii="Palatino Linotype" w:eastAsia="MS Mincho" w:hAnsi="Palatino Linotype" w:cs="Arial"/>
          <w:i/>
          <w:sz w:val="24"/>
          <w:szCs w:val="24"/>
          <w:lang w:val="es-ES_tradnl"/>
        </w:rPr>
      </w:pPr>
      <w:r w:rsidRPr="005351ED">
        <w:rPr>
          <w:rFonts w:ascii="Palatino Linotype" w:eastAsia="MS Mincho" w:hAnsi="Palatino Linotype" w:cs="Arial"/>
          <w:i/>
          <w:sz w:val="24"/>
          <w:szCs w:val="24"/>
          <w:lang w:val="es-ES_tradnl"/>
        </w:rPr>
        <w:t>…</w:t>
      </w:r>
    </w:p>
    <w:p w:rsidR="002C1053" w:rsidRPr="005351ED" w:rsidRDefault="002C1053" w:rsidP="002C1053">
      <w:pPr>
        <w:spacing w:line="276" w:lineRule="auto"/>
        <w:ind w:left="720" w:right="567"/>
        <w:contextualSpacing/>
        <w:jc w:val="both"/>
        <w:rPr>
          <w:rFonts w:ascii="Palatino Linotype" w:eastAsia="MS Mincho" w:hAnsi="Palatino Linotype" w:cs="Arial"/>
          <w:i/>
          <w:sz w:val="24"/>
          <w:szCs w:val="24"/>
          <w:lang w:val="es-ES_tradnl"/>
        </w:rPr>
      </w:pPr>
      <w:r w:rsidRPr="005351ED">
        <w:rPr>
          <w:rFonts w:ascii="Palatino Linotype" w:eastAsia="MS Mincho" w:hAnsi="Palatino Linotype" w:cs="Arial"/>
          <w:b/>
          <w:i/>
          <w:sz w:val="24"/>
          <w:szCs w:val="24"/>
          <w:lang w:val="es-ES_tradnl"/>
        </w:rPr>
        <w:lastRenderedPageBreak/>
        <w:t>III.</w:t>
      </w:r>
      <w:r w:rsidRPr="005351ED">
        <w:rPr>
          <w:rFonts w:ascii="Palatino Linotype" w:eastAsia="MS Mincho" w:hAnsi="Palatino Linotype" w:cs="Arial"/>
          <w:i/>
          <w:sz w:val="24"/>
          <w:szCs w:val="24"/>
          <w:lang w:val="es-ES_tradnl"/>
        </w:rPr>
        <w:t xml:space="preserve"> </w:t>
      </w:r>
      <w:r w:rsidRPr="005351ED">
        <w:rPr>
          <w:rFonts w:ascii="Palatino Linotype" w:eastAsia="MS Mincho" w:hAnsi="Palatino Linotype" w:cs="Arial"/>
          <w:b/>
          <w:i/>
          <w:sz w:val="24"/>
          <w:szCs w:val="24"/>
          <w:lang w:val="es-ES_tradnl"/>
        </w:rPr>
        <w:t>La relativa a servidores públicos miembros de las instituciones de seguridad pública, cuya revelación pueda poner en riesgo su vida e integridad física con motivo de sus funciones;</w:t>
      </w:r>
      <w:r w:rsidRPr="005351ED">
        <w:rPr>
          <w:rFonts w:ascii="Palatino Linotype" w:eastAsia="MS Mincho" w:hAnsi="Palatino Linotype" w:cs="Arial"/>
          <w:i/>
          <w:sz w:val="24"/>
          <w:szCs w:val="24"/>
          <w:lang w:val="es-ES_tradnl"/>
        </w:rPr>
        <w:t>”</w:t>
      </w:r>
    </w:p>
    <w:p w:rsidR="002C1053" w:rsidRPr="005351ED" w:rsidRDefault="002C1053" w:rsidP="002C1053">
      <w:pPr>
        <w:spacing w:line="276" w:lineRule="auto"/>
        <w:ind w:left="720" w:right="851"/>
        <w:contextualSpacing/>
        <w:jc w:val="both"/>
        <w:rPr>
          <w:rFonts w:ascii="Palatino Linotype" w:eastAsia="MS Mincho" w:hAnsi="Palatino Linotype" w:cs="Arial"/>
          <w:sz w:val="24"/>
          <w:szCs w:val="24"/>
          <w:lang w:val="es-ES_tradnl"/>
        </w:rPr>
      </w:pPr>
      <w:r w:rsidRPr="005351ED">
        <w:rPr>
          <w:rFonts w:ascii="Palatino Linotype" w:eastAsia="MS Mincho" w:hAnsi="Palatino Linotype" w:cs="Arial"/>
          <w:sz w:val="24"/>
          <w:szCs w:val="24"/>
          <w:lang w:val="es-ES_tradnl"/>
        </w:rPr>
        <w:t>(Énfasis añadido)</w:t>
      </w:r>
    </w:p>
    <w:p w:rsidR="002C1053" w:rsidRPr="005351ED" w:rsidRDefault="002C1053" w:rsidP="002C1053">
      <w:pPr>
        <w:spacing w:line="360" w:lineRule="auto"/>
        <w:contextualSpacing/>
        <w:jc w:val="both"/>
        <w:rPr>
          <w:rFonts w:ascii="Palatino Linotype" w:eastAsia="MS Mincho" w:hAnsi="Palatino Linotype" w:cs="Arial"/>
          <w:sz w:val="24"/>
          <w:szCs w:val="24"/>
        </w:rPr>
      </w:pPr>
    </w:p>
    <w:p w:rsidR="002C1053" w:rsidRPr="005351ED" w:rsidRDefault="002C1053" w:rsidP="002C1053">
      <w:pPr>
        <w:numPr>
          <w:ilvl w:val="0"/>
          <w:numId w:val="1"/>
        </w:numPr>
        <w:tabs>
          <w:tab w:val="left" w:pos="0"/>
        </w:tabs>
        <w:spacing w:after="160" w:line="360" w:lineRule="auto"/>
        <w:ind w:left="0" w:firstLine="0"/>
        <w:contextualSpacing/>
        <w:jc w:val="both"/>
        <w:rPr>
          <w:rFonts w:ascii="Palatino Linotype" w:eastAsia="MS Mincho" w:hAnsi="Palatino Linotype" w:cs="Arial"/>
          <w:sz w:val="24"/>
          <w:szCs w:val="24"/>
        </w:rPr>
      </w:pPr>
      <w:r w:rsidRPr="005351ED">
        <w:rPr>
          <w:rFonts w:ascii="Palatino Linotype" w:hAnsi="Palatino Linotype" w:cs="Arial"/>
          <w:sz w:val="24"/>
          <w:szCs w:val="24"/>
        </w:rPr>
        <w:t>Argumento que se fortalece con lo estipulado en el criterio número 6-09, del Instituto Nacional de Transparencia, Acceso a la Información y Protección de Datos Personales, antes (INAI)</w:t>
      </w:r>
      <w:r w:rsidRPr="005351ED">
        <w:rPr>
          <w:rFonts w:ascii="Palatino Linotype" w:hAnsi="Palatino Linotype" w:cs="Arial"/>
          <w:b/>
          <w:bCs/>
          <w:sz w:val="24"/>
          <w:szCs w:val="24"/>
        </w:rPr>
        <w:t xml:space="preserve">, </w:t>
      </w:r>
      <w:r w:rsidRPr="005351ED">
        <w:rPr>
          <w:rFonts w:ascii="Palatino Linotype" w:hAnsi="Palatino Linotype" w:cs="Arial"/>
          <w:sz w:val="24"/>
          <w:szCs w:val="24"/>
        </w:rPr>
        <w:t xml:space="preserve">el cual refiere: </w:t>
      </w:r>
    </w:p>
    <w:p w:rsidR="002C1053" w:rsidRPr="005351ED" w:rsidRDefault="002C1053" w:rsidP="002C1053">
      <w:pPr>
        <w:autoSpaceDE w:val="0"/>
        <w:autoSpaceDN w:val="0"/>
        <w:adjustRightInd w:val="0"/>
        <w:spacing w:line="276" w:lineRule="auto"/>
        <w:ind w:left="720" w:right="567"/>
        <w:contextualSpacing/>
        <w:jc w:val="center"/>
        <w:rPr>
          <w:rFonts w:ascii="Palatino Linotype" w:hAnsi="Palatino Linotype" w:cs="Arial"/>
          <w:i/>
          <w:sz w:val="24"/>
          <w:szCs w:val="24"/>
        </w:rPr>
      </w:pPr>
      <w:r w:rsidRPr="005351ED">
        <w:rPr>
          <w:rFonts w:ascii="Palatino Linotype" w:hAnsi="Palatino Linotype" w:cs="Arial"/>
          <w:b/>
          <w:bCs/>
          <w:i/>
          <w:sz w:val="24"/>
          <w:szCs w:val="24"/>
        </w:rPr>
        <w:t>“Criterio 6-09</w:t>
      </w:r>
    </w:p>
    <w:p w:rsidR="002C1053" w:rsidRPr="005351ED" w:rsidRDefault="002C1053" w:rsidP="002C1053">
      <w:pPr>
        <w:autoSpaceDE w:val="0"/>
        <w:autoSpaceDN w:val="0"/>
        <w:adjustRightInd w:val="0"/>
        <w:spacing w:line="276" w:lineRule="auto"/>
        <w:ind w:left="720" w:right="567"/>
        <w:contextualSpacing/>
        <w:jc w:val="both"/>
        <w:rPr>
          <w:rFonts w:ascii="Palatino Linotype" w:hAnsi="Palatino Linotype" w:cs="Arial"/>
          <w:i/>
          <w:sz w:val="24"/>
          <w:szCs w:val="24"/>
        </w:rPr>
      </w:pPr>
      <w:r w:rsidRPr="005351ED">
        <w:rPr>
          <w:rFonts w:ascii="Palatino Linotype" w:hAnsi="Palatino Linotype" w:cs="Arial"/>
          <w:b/>
          <w:bCs/>
          <w:i/>
          <w:sz w:val="24"/>
          <w:szCs w:val="24"/>
        </w:rPr>
        <w:t xml:space="preserve">Nombres de servidores públicos dedicados a actividades en materia de seguridad, por excepción pueden considerarse información reservada. </w:t>
      </w:r>
      <w:r w:rsidRPr="005351ED">
        <w:rPr>
          <w:rFonts w:ascii="Palatino Linotype" w:hAnsi="Palatino Linotype" w:cs="Arial"/>
          <w:bCs/>
          <w:i/>
          <w:sz w:val="24"/>
          <w:szCs w:val="24"/>
        </w:rPr>
        <w:t xml:space="preserve">De conformidad con el artículo 7, fracciones I y III de la Ley Federal de Transparencia y Acceso a la Información Pública Gubernamental </w:t>
      </w:r>
      <w:r w:rsidRPr="005351ED">
        <w:rPr>
          <w:rFonts w:ascii="Palatino Linotype" w:hAnsi="Palatino Linotype" w:cs="Arial"/>
          <w:b/>
          <w:bCs/>
          <w:i/>
          <w:sz w:val="24"/>
          <w:szCs w:val="24"/>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5351ED">
        <w:rPr>
          <w:rFonts w:ascii="Palatino Linotype" w:hAnsi="Palatino Linotype" w:cs="Arial"/>
          <w:bCs/>
          <w:i/>
          <w:sz w:val="24"/>
          <w:szCs w:val="24"/>
        </w:rPr>
        <w:t xml:space="preserve">.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5351ED">
        <w:rPr>
          <w:rFonts w:ascii="Palatino Linotype" w:hAnsi="Palatino Linotype" w:cs="Arial"/>
          <w:b/>
          <w:bCs/>
          <w:i/>
          <w:sz w:val="24"/>
          <w:szCs w:val="24"/>
        </w:rPr>
        <w:t>el artículo 13, fracción I de la ley de referencia se establece que podrá clasificarse aquella información cuya difusión pueda comprometer la seguridad nacional y pública</w:t>
      </w:r>
      <w:r w:rsidRPr="005351ED">
        <w:rPr>
          <w:rFonts w:ascii="Palatino Linotype" w:hAnsi="Palatino Linotype" w:cs="Arial"/>
          <w:bCs/>
          <w:i/>
          <w:sz w:val="24"/>
          <w:szCs w:val="24"/>
        </w:rPr>
        <w:t xml:space="preserve">.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5351ED">
        <w:rPr>
          <w:rFonts w:ascii="Palatino Linotype" w:hAnsi="Palatino Linotype" w:cs="Arial"/>
          <w:b/>
          <w:bCs/>
          <w:i/>
          <w:sz w:val="24"/>
          <w:szCs w:val="24"/>
        </w:rPr>
        <w:t>por lo que la reserva de la relación de los nombres y las funciones que desempeñan los servidores públicos que prestan sus servicios en áreas de seguridad nacional o pública</w:t>
      </w:r>
      <w:r w:rsidRPr="005351ED">
        <w:rPr>
          <w:rFonts w:ascii="Palatino Linotype" w:hAnsi="Palatino Linotype" w:cs="Arial"/>
          <w:bCs/>
          <w:i/>
          <w:sz w:val="24"/>
          <w:szCs w:val="24"/>
        </w:rPr>
        <w:t xml:space="preserve">, puede </w:t>
      </w:r>
      <w:r w:rsidRPr="005351ED">
        <w:rPr>
          <w:rFonts w:ascii="Palatino Linotype" w:hAnsi="Palatino Linotype" w:cs="Arial"/>
          <w:bCs/>
          <w:i/>
          <w:sz w:val="24"/>
          <w:szCs w:val="24"/>
        </w:rPr>
        <w:lastRenderedPageBreak/>
        <w:t>llegar a constituirse en un componente fundamental en el esfuerzo que realiza el Estado Mexicano para garantizar la seguridad del país en sus diferentes vertientes</w:t>
      </w:r>
      <w:r w:rsidRPr="005351ED">
        <w:rPr>
          <w:rFonts w:ascii="Palatino Linotype" w:hAnsi="Palatino Linotype" w:cs="Arial"/>
          <w:i/>
          <w:sz w:val="24"/>
          <w:szCs w:val="24"/>
        </w:rPr>
        <w:t>” (Sic)</w:t>
      </w:r>
    </w:p>
    <w:p w:rsidR="002C1053" w:rsidRPr="005351ED" w:rsidRDefault="002C1053" w:rsidP="002C1053">
      <w:pPr>
        <w:tabs>
          <w:tab w:val="left" w:pos="3583"/>
        </w:tabs>
        <w:autoSpaceDE w:val="0"/>
        <w:autoSpaceDN w:val="0"/>
        <w:adjustRightInd w:val="0"/>
        <w:spacing w:line="276" w:lineRule="auto"/>
        <w:ind w:left="720" w:right="567"/>
        <w:contextualSpacing/>
        <w:jc w:val="both"/>
        <w:rPr>
          <w:rFonts w:ascii="Palatino Linotype" w:hAnsi="Palatino Linotype" w:cs="Arial"/>
          <w:sz w:val="24"/>
          <w:szCs w:val="24"/>
        </w:rPr>
      </w:pPr>
      <w:r w:rsidRPr="005351ED">
        <w:rPr>
          <w:rFonts w:ascii="Palatino Linotype" w:hAnsi="Palatino Linotype" w:cs="Arial"/>
          <w:sz w:val="24"/>
          <w:szCs w:val="24"/>
        </w:rPr>
        <w:t>(Énfasis añadido).</w:t>
      </w:r>
    </w:p>
    <w:p w:rsidR="002C1053" w:rsidRPr="005351ED" w:rsidRDefault="002C1053" w:rsidP="002C1053">
      <w:pPr>
        <w:spacing w:before="240" w:after="240" w:line="360" w:lineRule="auto"/>
        <w:ind w:right="49"/>
        <w:contextualSpacing/>
        <w:jc w:val="both"/>
        <w:rPr>
          <w:rFonts w:ascii="Palatino Linotype" w:eastAsia="Calibri" w:hAnsi="Palatino Linotype"/>
          <w:sz w:val="24"/>
          <w:szCs w:val="24"/>
        </w:rPr>
      </w:pPr>
    </w:p>
    <w:p w:rsidR="002C1053" w:rsidRPr="005351ED" w:rsidRDefault="00DE502A" w:rsidP="002C1053">
      <w:pPr>
        <w:numPr>
          <w:ilvl w:val="0"/>
          <w:numId w:val="1"/>
        </w:numPr>
        <w:spacing w:before="240" w:after="240" w:line="360" w:lineRule="auto"/>
        <w:ind w:left="0" w:right="49" w:firstLine="0"/>
        <w:contextualSpacing/>
        <w:jc w:val="both"/>
        <w:rPr>
          <w:rFonts w:ascii="Palatino Linotype" w:eastAsia="Calibri" w:hAnsi="Palatino Linotype"/>
          <w:sz w:val="24"/>
          <w:szCs w:val="24"/>
        </w:rPr>
      </w:pPr>
      <w:r w:rsidRPr="005351ED">
        <w:rPr>
          <w:rFonts w:ascii="Palatino Linotype" w:hAnsi="Palatino Linotype"/>
          <w:sz w:val="24"/>
          <w:szCs w:val="24"/>
        </w:rPr>
        <w:t>L</w:t>
      </w:r>
      <w:r w:rsidR="002C1053" w:rsidRPr="005351ED">
        <w:rPr>
          <w:rFonts w:ascii="Palatino Linotype" w:hAnsi="Palatino Linotype"/>
          <w:sz w:val="24"/>
          <w:szCs w:val="24"/>
        </w:rPr>
        <w:t xml:space="preserve">a Ley de Transparencia y Acceso a la Información Pública del Estado de México y Municipios señala que para la clasificación formal de la información solicitada, el </w:t>
      </w:r>
      <w:r w:rsidR="002C1053" w:rsidRPr="005351ED">
        <w:rPr>
          <w:rFonts w:ascii="Palatino Linotype" w:hAnsi="Palatino Linotype"/>
          <w:b/>
          <w:sz w:val="24"/>
          <w:szCs w:val="24"/>
        </w:rPr>
        <w:t>SUJETO OBLIGADO</w:t>
      </w:r>
      <w:r w:rsidR="002C1053" w:rsidRPr="005351ED">
        <w:rPr>
          <w:rFonts w:ascii="Palatino Linotype" w:hAnsi="Palatino Linotype"/>
          <w:sz w:val="24"/>
          <w:szCs w:val="24"/>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“Artículo 49</w:t>
      </w:r>
      <w:r w:rsidRPr="005351ED">
        <w:rPr>
          <w:rFonts w:ascii="Palatino Linotype" w:hAnsi="Palatino Linotype"/>
          <w:i/>
          <w:sz w:val="24"/>
          <w:szCs w:val="24"/>
        </w:rPr>
        <w:t xml:space="preserve">. Los Comités de Transparencia tendrán las siguientes atribuciones: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VIII. Aprobar, modificar o revocar la clasificación de la información;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Artículo 132</w:t>
      </w:r>
      <w:r w:rsidRPr="005351ED">
        <w:rPr>
          <w:rFonts w:ascii="Palatino Linotype" w:hAnsi="Palatino Linotype"/>
          <w:i/>
          <w:sz w:val="24"/>
          <w:szCs w:val="24"/>
        </w:rPr>
        <w:t xml:space="preserve">. La clasificación de la información se llevará a cabo en el momento en que: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I. Se reciba una solicitud de acceso a la información;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II. Se determine mediante resolución de autoridad competente; o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III. Se generen versiones públicas para dar cumplimiento a las obligaciones de transparencia previstas en esta Ley.”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Cuarto.</w:t>
      </w:r>
      <w:r w:rsidRPr="005351ED">
        <w:rPr>
          <w:rFonts w:ascii="Palatino Linotype" w:hAnsi="Palatino Linotype"/>
          <w:i/>
          <w:sz w:val="24"/>
          <w:szCs w:val="24"/>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w:t>
      </w:r>
      <w:r w:rsidRPr="005351ED">
        <w:rPr>
          <w:rFonts w:ascii="Palatino Linotype" w:hAnsi="Palatino Linotype"/>
          <w:i/>
          <w:sz w:val="24"/>
          <w:szCs w:val="24"/>
        </w:rPr>
        <w:lastRenderedPageBreak/>
        <w:t xml:space="preserve">Ley General. Los Sujetos Obligados deberán aplicar, de manera estricta, las excepciones al derecho de acceso a la información y sólo podrán invocarlas cuando acrediten su procedencia.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Quinto.</w:t>
      </w:r>
      <w:r w:rsidRPr="005351ED">
        <w:rPr>
          <w:rFonts w:ascii="Palatino Linotype" w:hAnsi="Palatino Linotype"/>
          <w:i/>
          <w:sz w:val="24"/>
          <w:szCs w:val="24"/>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Sexto.</w:t>
      </w:r>
      <w:r w:rsidRPr="005351ED">
        <w:rPr>
          <w:rFonts w:ascii="Palatino Linotype" w:hAnsi="Palatino Linotype"/>
          <w:i/>
          <w:sz w:val="24"/>
          <w:szCs w:val="24"/>
        </w:rPr>
        <w:t xml:space="preserve"> Los Sujetos Obligados no podrán emitir acuerdos de carácter general ni particular que clasifiquen documentos o expedientes como reservados, ni clasificar documentos antes de que se genere la información o cuando éstos no obren en sus archivos.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La clasificación de información se realizará conforme a un análisis caso por caso, mediante la aplicación de la prueba de daño y de interés público.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Séptimo.</w:t>
      </w:r>
      <w:r w:rsidRPr="005351ED">
        <w:rPr>
          <w:rFonts w:ascii="Palatino Linotype" w:hAnsi="Palatino Linotype"/>
          <w:i/>
          <w:sz w:val="24"/>
          <w:szCs w:val="24"/>
        </w:rPr>
        <w:t xml:space="preserve"> La clasificación de la información se llevará a cabo en el momento en que: I. Se reciba una solicitud de acceso a la información;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II. Se determine mediante resolución de autoridad competente, o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III. Se generen versiones públicas para dar cumplimiento a las obligaciones de transparencia previstas en la Ley General, la Ley Federal y las correspondientes de las entidades federativas.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Los titulares de las áreas deberán revisar la clasificación al momento de la recepción de una solicitud de acceso a la información, para verificar si encuadra en una causal de reserva o de confidencialidad.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lastRenderedPageBreak/>
        <w:t>Octavo.</w:t>
      </w:r>
      <w:r w:rsidRPr="005351ED">
        <w:rPr>
          <w:rFonts w:ascii="Palatino Linotype" w:hAnsi="Palatino Linotype"/>
          <w:i/>
          <w:sz w:val="24"/>
          <w:szCs w:val="24"/>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Para motivar la clasificación se deberán señalar las razones o circunstancias especiales que lo llevaron a concluir que el caso particular se ajusta al supuesto previsto por la norma legal invocada como fundamento.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En caso de referirse a información reservada, la motivación de la clasificación también deberá comprender las circunstancias que justifican el establecimiento de determinado plazo de reserva.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Tratándose de información clasificada como confidencial respecto de la cual se haya determinado su conservación permanente por tener valor histórico, ésta conservará tal carácter de conformidad con la normativa aplicable en materia de archivos.</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t xml:space="preserve">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Décimo</w:t>
      </w:r>
      <w:r w:rsidRPr="005351ED">
        <w:rPr>
          <w:rFonts w:ascii="Palatino Linotype" w:hAnsi="Palatino Linotype"/>
          <w:i/>
          <w:sz w:val="24"/>
          <w:szCs w:val="24"/>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i/>
          <w:sz w:val="24"/>
          <w:szCs w:val="24"/>
        </w:rPr>
        <w:lastRenderedPageBreak/>
        <w:t xml:space="preserve">En ausencia de los titulares de las áreas, la información será clasificada o desclasificada por la persona que lo supla, en términos de la normativa que rija la actuación del sujeto obligado. </w:t>
      </w:r>
    </w:p>
    <w:p w:rsidR="002C1053" w:rsidRPr="005351ED" w:rsidRDefault="002C1053" w:rsidP="002C1053">
      <w:pPr>
        <w:spacing w:line="276" w:lineRule="auto"/>
        <w:ind w:left="720" w:right="538"/>
        <w:contextualSpacing/>
        <w:jc w:val="both"/>
        <w:rPr>
          <w:rFonts w:ascii="Palatino Linotype" w:hAnsi="Palatino Linotype"/>
          <w:i/>
          <w:sz w:val="24"/>
          <w:szCs w:val="24"/>
        </w:rPr>
      </w:pPr>
    </w:p>
    <w:p w:rsidR="002C1053" w:rsidRPr="005351ED" w:rsidRDefault="002C1053" w:rsidP="002C1053">
      <w:pPr>
        <w:spacing w:line="276" w:lineRule="auto"/>
        <w:ind w:left="720" w:right="538"/>
        <w:contextualSpacing/>
        <w:jc w:val="both"/>
        <w:rPr>
          <w:rFonts w:ascii="Palatino Linotype" w:hAnsi="Palatino Linotype"/>
          <w:i/>
          <w:sz w:val="24"/>
          <w:szCs w:val="24"/>
        </w:rPr>
      </w:pPr>
      <w:r w:rsidRPr="005351ED">
        <w:rPr>
          <w:rFonts w:ascii="Palatino Linotype" w:hAnsi="Palatino Linotype"/>
          <w:b/>
          <w:i/>
          <w:sz w:val="24"/>
          <w:szCs w:val="24"/>
        </w:rPr>
        <w:t>Décimo primero</w:t>
      </w:r>
      <w:r w:rsidRPr="005351ED">
        <w:rPr>
          <w:rFonts w:ascii="Palatino Linotype" w:hAnsi="Palatino Linotype"/>
          <w:i/>
          <w:sz w:val="24"/>
          <w:szCs w:val="24"/>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2C1053" w:rsidRPr="005351ED" w:rsidRDefault="002C1053" w:rsidP="002C1053">
      <w:pPr>
        <w:spacing w:line="360" w:lineRule="auto"/>
        <w:ind w:left="720" w:right="538"/>
        <w:contextualSpacing/>
        <w:jc w:val="both"/>
        <w:rPr>
          <w:rFonts w:ascii="Palatino Linotype" w:hAnsi="Palatino Linotype"/>
          <w:i/>
          <w:sz w:val="24"/>
          <w:szCs w:val="24"/>
        </w:rPr>
      </w:pPr>
    </w:p>
    <w:p w:rsidR="002C1053" w:rsidRPr="005351ED" w:rsidRDefault="002C1053" w:rsidP="002C1053">
      <w:pPr>
        <w:pStyle w:val="Prrafodelista"/>
        <w:numPr>
          <w:ilvl w:val="0"/>
          <w:numId w:val="1"/>
        </w:numPr>
        <w:spacing w:line="360" w:lineRule="auto"/>
        <w:ind w:left="0" w:right="538" w:firstLine="0"/>
        <w:jc w:val="both"/>
        <w:rPr>
          <w:rFonts w:ascii="Palatino Linotype" w:hAnsi="Palatino Linotype"/>
          <w:i/>
          <w:sz w:val="24"/>
        </w:rPr>
      </w:pPr>
      <w:r w:rsidRPr="005351ED">
        <w:rPr>
          <w:rFonts w:ascii="Palatino Linotype" w:hAnsi="Palatino Linotype"/>
          <w:sz w:val="24"/>
        </w:rPr>
        <w:t xml:space="preserve">En tal contexto se deberá proceder a la clasificación de los nombres de los elementos de policía que realicen actividades operativas en campo. </w:t>
      </w:r>
    </w:p>
    <w:p w:rsidR="004B74C5" w:rsidRPr="005351ED" w:rsidRDefault="004B74C5" w:rsidP="002C1053">
      <w:pPr>
        <w:pStyle w:val="Prrafodelista"/>
        <w:spacing w:line="360" w:lineRule="auto"/>
        <w:ind w:left="0"/>
        <w:jc w:val="both"/>
        <w:rPr>
          <w:rFonts w:ascii="Palatino Linotype" w:eastAsia="Arial Unicode MS" w:hAnsi="Palatino Linotype" w:cs="Arial"/>
          <w:sz w:val="24"/>
          <w:lang w:eastAsia="en-US"/>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lang w:val="es-ES"/>
        </w:rPr>
      </w:pPr>
      <w:r w:rsidRPr="005351ED">
        <w:rPr>
          <w:rFonts w:ascii="Palatino Linotype" w:hAnsi="Palatino Linotype" w:cs="Arial"/>
          <w:sz w:val="24"/>
          <w:szCs w:val="24"/>
          <w:lang w:val="es-ES"/>
        </w:rPr>
        <w:t xml:space="preserve">Derivado de lo anteriormente señalado, se concluye que </w:t>
      </w:r>
      <w:r w:rsidRPr="005351ED">
        <w:rPr>
          <w:rFonts w:ascii="Palatino Linotype" w:eastAsia="Palatino Linotype" w:hAnsi="Palatino Linotype" w:cs="Palatino Linotype"/>
          <w:sz w:val="24"/>
          <w:szCs w:val="24"/>
        </w:rPr>
        <w:t xml:space="preserve">resultan fundadas las razones o motivos de inconformidad hechos valer por el </w:t>
      </w:r>
      <w:r w:rsidRPr="005351ED">
        <w:rPr>
          <w:rFonts w:ascii="Palatino Linotype" w:eastAsia="Palatino Linotype" w:hAnsi="Palatino Linotype" w:cs="Palatino Linotype"/>
          <w:b/>
          <w:sz w:val="24"/>
          <w:szCs w:val="24"/>
        </w:rPr>
        <w:t>RECURRENTE</w:t>
      </w:r>
      <w:r w:rsidRPr="005351ED">
        <w:rPr>
          <w:rFonts w:ascii="Palatino Linotype" w:eastAsia="Palatino Linotype" w:hAnsi="Palatino Linotype" w:cs="Palatino Linotype"/>
          <w:sz w:val="24"/>
          <w:szCs w:val="24"/>
        </w:rPr>
        <w:t xml:space="preserve"> dentro del recurso de revisión </w:t>
      </w:r>
      <w:r w:rsidR="002C1053" w:rsidRPr="005351ED">
        <w:rPr>
          <w:rFonts w:ascii="Palatino Linotype" w:eastAsia="Palatino Linotype" w:hAnsi="Palatino Linotype" w:cs="Palatino Linotype"/>
          <w:b/>
          <w:sz w:val="24"/>
          <w:szCs w:val="24"/>
        </w:rPr>
        <w:t>07998</w:t>
      </w:r>
      <w:r w:rsidRPr="005351ED">
        <w:rPr>
          <w:rFonts w:ascii="Palatino Linotype" w:eastAsia="Palatino Linotype" w:hAnsi="Palatino Linotype" w:cs="Palatino Linotype"/>
          <w:b/>
          <w:sz w:val="24"/>
          <w:szCs w:val="24"/>
        </w:rPr>
        <w:t>/INFOEM/IP/RR/2025</w:t>
      </w:r>
      <w:r w:rsidRPr="005351ED">
        <w:rPr>
          <w:rFonts w:ascii="Palatino Linotype" w:eastAsia="Palatino Linotype" w:hAnsi="Palatino Linotype" w:cs="Palatino Linotype"/>
          <w:sz w:val="24"/>
          <w:szCs w:val="24"/>
        </w:rPr>
        <w:t xml:space="preserve">; por ello, es procedente </w:t>
      </w:r>
      <w:r w:rsidRPr="005351ED">
        <w:rPr>
          <w:rFonts w:ascii="Palatino Linotype" w:eastAsia="Palatino Linotype" w:hAnsi="Palatino Linotype" w:cs="Palatino Linotype"/>
          <w:b/>
          <w:sz w:val="24"/>
          <w:szCs w:val="24"/>
        </w:rPr>
        <w:t>ORDENAR</w:t>
      </w:r>
      <w:r w:rsidRPr="005351ED">
        <w:rPr>
          <w:rFonts w:ascii="Palatino Linotype" w:eastAsia="Palatino Linotype" w:hAnsi="Palatino Linotype" w:cs="Palatino Linotype"/>
          <w:sz w:val="24"/>
          <w:szCs w:val="24"/>
        </w:rPr>
        <w:t xml:space="preserve"> al </w:t>
      </w:r>
      <w:r w:rsidRPr="005351ED">
        <w:rPr>
          <w:rFonts w:ascii="Palatino Linotype" w:eastAsia="Palatino Linotype" w:hAnsi="Palatino Linotype" w:cs="Palatino Linotype"/>
          <w:b/>
          <w:sz w:val="24"/>
          <w:szCs w:val="24"/>
        </w:rPr>
        <w:t>SUJETO OBLIGADO</w:t>
      </w:r>
      <w:r w:rsidRPr="005351ED">
        <w:rPr>
          <w:rFonts w:ascii="Palatino Linotype" w:eastAsia="Palatino Linotype" w:hAnsi="Palatino Linotype" w:cs="Palatino Linotype"/>
          <w:sz w:val="24"/>
          <w:szCs w:val="24"/>
        </w:rPr>
        <w:t>, de ser procedente en versión pública, la entrega de lo siguiente:</w:t>
      </w:r>
    </w:p>
    <w:p w:rsidR="004B74C5" w:rsidRPr="005351ED" w:rsidRDefault="002C1053" w:rsidP="002C1053">
      <w:pPr>
        <w:pStyle w:val="Prrafodelista"/>
        <w:numPr>
          <w:ilvl w:val="0"/>
          <w:numId w:val="13"/>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color w:val="000000"/>
          <w:sz w:val="24"/>
          <w:lang w:val="es-ES"/>
        </w:rPr>
      </w:pPr>
      <w:r w:rsidRPr="005351ED">
        <w:rPr>
          <w:rFonts w:ascii="Palatino Linotype" w:eastAsia="Palatino Linotype" w:hAnsi="Palatino Linotype" w:cs="Palatino Linotype"/>
          <w:b/>
          <w:color w:val="000000"/>
          <w:sz w:val="24"/>
          <w:lang w:val="es-ES"/>
        </w:rPr>
        <w:t>Soporte documental donde conste el nombre de los servidores públicos adscritos al Ayuntamiento de Teoloyucan al nueve de junio de dos mil veinticinco.</w:t>
      </w:r>
    </w:p>
    <w:p w:rsidR="002C1053" w:rsidRPr="005351ED" w:rsidRDefault="002C1053" w:rsidP="002C1053">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sz w:val="24"/>
          <w:lang w:val="es-ES"/>
        </w:rPr>
      </w:pPr>
    </w:p>
    <w:p w:rsidR="004B74C5" w:rsidRPr="005351ED" w:rsidRDefault="004B74C5" w:rsidP="004B74C5">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lang w:val="es-ES"/>
        </w:rPr>
      </w:pPr>
      <w:r w:rsidRPr="005351ED">
        <w:rPr>
          <w:rFonts w:ascii="Palatino Linotype" w:eastAsia="Palatino Linotype" w:hAnsi="Palatino Linotype" w:cs="Palatino Linotype"/>
          <w:color w:val="000000"/>
          <w:sz w:val="24"/>
          <w:szCs w:val="24"/>
        </w:rPr>
        <w:t xml:space="preserve">Asimismo, es indispensable destacar que la información que se está ordenando su entrega al </w:t>
      </w:r>
      <w:r w:rsidRPr="005351ED">
        <w:rPr>
          <w:rFonts w:ascii="Palatino Linotype" w:eastAsia="Palatino Linotype" w:hAnsi="Palatino Linotype" w:cs="Palatino Linotype"/>
          <w:b/>
          <w:color w:val="000000"/>
          <w:sz w:val="24"/>
          <w:szCs w:val="24"/>
        </w:rPr>
        <w:t>RECURRENTE</w:t>
      </w:r>
      <w:r w:rsidRPr="005351ED">
        <w:rPr>
          <w:rFonts w:ascii="Palatino Linotype" w:eastAsia="Palatino Linotype" w:hAnsi="Palatino Linotype" w:cs="Palatino Linotype"/>
          <w:color w:val="000000"/>
          <w:sz w:val="24"/>
          <w:szCs w:val="24"/>
        </w:rPr>
        <w:t>, deberá realizar en su caso una versión pública, esto es, el</w:t>
      </w:r>
      <w:r w:rsidRPr="005351ED">
        <w:rPr>
          <w:rFonts w:ascii="Palatino Linotype" w:eastAsia="Palatino Linotype" w:hAnsi="Palatino Linotype" w:cs="Palatino Linotype"/>
          <w:b/>
          <w:color w:val="000000"/>
          <w:sz w:val="24"/>
          <w:szCs w:val="24"/>
        </w:rPr>
        <w:t xml:space="preserve"> SUJETO OBLIGADO</w:t>
      </w:r>
      <w:r w:rsidRPr="005351ED">
        <w:rPr>
          <w:rFonts w:ascii="Palatino Linotype" w:eastAsia="Palatino Linotype" w:hAnsi="Palatino Linotype" w:cs="Palatino Linotype"/>
          <w:color w:val="000000"/>
          <w:sz w:val="24"/>
          <w:szCs w:val="24"/>
        </w:rPr>
        <w:t xml:space="preserve"> omitirá, eliminará o suprimirá la información personal </w:t>
      </w:r>
    </w:p>
    <w:p w:rsidR="004B74C5" w:rsidRPr="005351ED" w:rsidRDefault="004B74C5" w:rsidP="004B74C5">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sz w:val="24"/>
          <w:szCs w:val="24"/>
        </w:rPr>
      </w:pPr>
    </w:p>
    <w:p w:rsidR="004B74C5" w:rsidRPr="005351ED" w:rsidRDefault="004B74C5" w:rsidP="004B74C5">
      <w:pPr>
        <w:keepNext/>
        <w:keepLines/>
        <w:spacing w:line="256" w:lineRule="auto"/>
        <w:rPr>
          <w:rFonts w:ascii="Palatino Linotype" w:eastAsia="Palatino Linotype" w:hAnsi="Palatino Linotype" w:cs="Palatino Linotype"/>
          <w:b/>
          <w:sz w:val="24"/>
          <w:szCs w:val="24"/>
        </w:rPr>
      </w:pPr>
      <w:bookmarkStart w:id="8" w:name="_heading=h.1t3h5sf" w:colFirst="0" w:colLast="0"/>
      <w:bookmarkEnd w:id="8"/>
      <w:r w:rsidRPr="005351ED">
        <w:rPr>
          <w:rFonts w:ascii="Palatino Linotype" w:eastAsia="Palatino Linotype" w:hAnsi="Palatino Linotype" w:cs="Palatino Linotype"/>
          <w:b/>
          <w:sz w:val="24"/>
          <w:szCs w:val="24"/>
        </w:rPr>
        <w:lastRenderedPageBreak/>
        <w:t>QUINTO. DE LA VERSIÓN PÚBLICA.</w:t>
      </w:r>
    </w:p>
    <w:p w:rsidR="004B74C5" w:rsidRPr="005351ED" w:rsidRDefault="004B74C5" w:rsidP="004B74C5">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Debe destacarse que, debido a la naturaleza de la información solicitada</w:t>
      </w:r>
      <w:r w:rsidRPr="005351ED">
        <w:rPr>
          <w:rFonts w:ascii="Palatino Linotype" w:eastAsia="Palatino Linotype" w:hAnsi="Palatino Linotype" w:cs="Palatino Linotype"/>
          <w:b/>
          <w:color w:val="000000"/>
          <w:sz w:val="24"/>
          <w:szCs w:val="24"/>
        </w:rPr>
        <w:t xml:space="preserve">, </w:t>
      </w:r>
      <w:r w:rsidRPr="005351ED">
        <w:rPr>
          <w:rFonts w:ascii="Palatino Linotype" w:eastAsia="Palatino Linotype" w:hAnsi="Palatino Linotype" w:cs="Palatino Linotype"/>
          <w:color w:val="000000"/>
          <w:sz w:val="24"/>
          <w:szCs w:val="24"/>
        </w:rPr>
        <w:t xml:space="preserve">eventualmente pudiera obrar datos personales susceptibles de protegerse, así como información susceptible de clasificarse como reservada, el </w:t>
      </w:r>
      <w:r w:rsidRPr="005351ED">
        <w:rPr>
          <w:rFonts w:ascii="Palatino Linotype" w:eastAsia="Palatino Linotype" w:hAnsi="Palatino Linotype" w:cs="Palatino Linotype"/>
          <w:b/>
          <w:color w:val="000000"/>
          <w:sz w:val="24"/>
          <w:szCs w:val="24"/>
        </w:rPr>
        <w:t xml:space="preserve">Sujeto Obligado </w:t>
      </w:r>
      <w:r w:rsidRPr="005351ED">
        <w:rPr>
          <w:rFonts w:ascii="Palatino Linotype" w:eastAsia="Palatino Linotype" w:hAnsi="Palatino Linotype" w:cs="Palatino Linotype"/>
          <w:color w:val="000000"/>
          <w:sz w:val="24"/>
          <w:szCs w:val="24"/>
        </w:rPr>
        <w:t>deberá de hacer la adecuada versión pública, protegiendo los datos que no son susceptibles de ser proporcionados.</w:t>
      </w:r>
    </w:p>
    <w:p w:rsidR="004B74C5" w:rsidRPr="005351ED" w:rsidRDefault="004B74C5" w:rsidP="004B74C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7513"/>
      </w:tblGrid>
      <w:tr w:rsidR="004B74C5" w:rsidRPr="005351ED" w:rsidTr="005351ED">
        <w:tc>
          <w:tcPr>
            <w:tcW w:w="2547"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a) Requisitos previos.</w:t>
            </w:r>
          </w:p>
        </w:tc>
        <w:tc>
          <w:tcPr>
            <w:tcW w:w="7513"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4B74C5" w:rsidRPr="005351ED" w:rsidRDefault="004B74C5" w:rsidP="00E00C7A">
            <w:pPr>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5351ED">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5351ED">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4B74C5" w:rsidRPr="005351ED" w:rsidTr="005351ED">
        <w:tc>
          <w:tcPr>
            <w:tcW w:w="2547"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lastRenderedPageBreak/>
              <w:t>b) Supuestos de clasificación.</w:t>
            </w:r>
          </w:p>
        </w:tc>
        <w:tc>
          <w:tcPr>
            <w:tcW w:w="7513"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B74C5" w:rsidRPr="005351ED" w:rsidRDefault="004B74C5" w:rsidP="00E00C7A">
            <w:pPr>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color w:val="000000"/>
                <w:sz w:val="24"/>
                <w:szCs w:val="24"/>
              </w:rPr>
              <w:t>El Sujeto Obligado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B74C5" w:rsidRPr="005351ED" w:rsidTr="005351ED">
        <w:tc>
          <w:tcPr>
            <w:tcW w:w="2547"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c) Formalidades para emitir el acuerdo de clasificación.</w:t>
            </w:r>
          </w:p>
        </w:tc>
        <w:tc>
          <w:tcPr>
            <w:tcW w:w="7513"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Es necesario que </w:t>
            </w:r>
            <w:r w:rsidRPr="005351ED">
              <w:rPr>
                <w:rFonts w:ascii="Palatino Linotype" w:eastAsia="Palatino Linotype" w:hAnsi="Palatino Linotype" w:cs="Palatino Linotype"/>
                <w:color w:val="000000"/>
                <w:sz w:val="24"/>
                <w:szCs w:val="24"/>
                <w:u w:val="single"/>
              </w:rPr>
              <w:t>el acto reúna con los requisitos elementales</w:t>
            </w:r>
            <w:r w:rsidRPr="005351ED">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4B74C5" w:rsidRPr="005351ED" w:rsidRDefault="004B74C5" w:rsidP="00E00C7A">
            <w:pPr>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color w:val="000000"/>
                <w:sz w:val="24"/>
                <w:szCs w:val="24"/>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B74C5" w:rsidRPr="005351ED" w:rsidTr="005351ED">
        <w:tc>
          <w:tcPr>
            <w:tcW w:w="2547"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rPr>
                <w:rFonts w:ascii="Palatino Linotype" w:eastAsia="Palatino Linotype" w:hAnsi="Palatino Linotype" w:cs="Palatino Linotype"/>
                <w:sz w:val="24"/>
                <w:szCs w:val="24"/>
              </w:rPr>
            </w:pPr>
          </w:p>
          <w:p w:rsidR="004B74C5" w:rsidRPr="005351ED" w:rsidRDefault="004B74C5" w:rsidP="00E00C7A">
            <w:pPr>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color w:val="000000"/>
                <w:sz w:val="24"/>
                <w:szCs w:val="24"/>
              </w:rPr>
              <w:t xml:space="preserve">d) Requisitos de fondo del acuerdo de clasificación. </w:t>
            </w:r>
          </w:p>
        </w:tc>
        <w:tc>
          <w:tcPr>
            <w:tcW w:w="7513"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Sujetos Obligados, por lo que deberán fundar y motivar debidamente la clasificación. </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Ahora bien, </w:t>
            </w:r>
            <w:r w:rsidRPr="005351ED">
              <w:rPr>
                <w:rFonts w:ascii="Palatino Linotype" w:eastAsia="Palatino Linotype" w:hAnsi="Palatino Linotype" w:cs="Palatino Linotype"/>
                <w:color w:val="000000"/>
                <w:sz w:val="24"/>
                <w:szCs w:val="24"/>
                <w:u w:val="single"/>
              </w:rPr>
              <w:t>para cada caso además de fundar y motivar</w:t>
            </w:r>
            <w:r w:rsidRPr="005351ED">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B74C5" w:rsidRPr="005351ED" w:rsidTr="005351ED">
        <w:tc>
          <w:tcPr>
            <w:tcW w:w="2547"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ind w:right="49"/>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513" w:type="dxa"/>
            <w:tcBorders>
              <w:top w:val="single" w:sz="4" w:space="0" w:color="BFBFBF"/>
              <w:left w:val="single" w:sz="4" w:space="0" w:color="BFBFBF"/>
              <w:bottom w:val="single" w:sz="4" w:space="0" w:color="BFBFBF"/>
              <w:right w:val="single" w:sz="4" w:space="0" w:color="BFBFBF"/>
            </w:tcBorders>
          </w:tcPr>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4B74C5" w:rsidRPr="005351ED" w:rsidRDefault="004B74C5" w:rsidP="00E00C7A">
            <w:pPr>
              <w:spacing w:line="360" w:lineRule="auto"/>
              <w:ind w:right="49"/>
              <w:jc w:val="both"/>
              <w:rPr>
                <w:rFonts w:ascii="Palatino Linotype" w:eastAsia="Palatino Linotype" w:hAnsi="Palatino Linotype" w:cs="Palatino Linotype"/>
                <w:color w:val="000000"/>
                <w:sz w:val="24"/>
                <w:szCs w:val="24"/>
              </w:rPr>
            </w:pPr>
            <w:r w:rsidRPr="005351ED">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w:t>
            </w:r>
            <w:r w:rsidRPr="005351ED">
              <w:rPr>
                <w:rFonts w:ascii="Palatino Linotype" w:eastAsia="Palatino Linotype" w:hAnsi="Palatino Linotype" w:cs="Palatino Linotype"/>
                <w:color w:val="000000"/>
                <w:sz w:val="24"/>
                <w:szCs w:val="24"/>
              </w:rPr>
              <w:lastRenderedPageBreak/>
              <w:t xml:space="preserve">recientemente ha discutido la Suprema Corte de Justicia de la Nación, los servidores públicos nos encontramos sujetos a un régimen menor de protección. </w:t>
            </w:r>
          </w:p>
          <w:p w:rsidR="004B74C5" w:rsidRPr="005351ED" w:rsidRDefault="004B74C5" w:rsidP="00E00C7A">
            <w:pPr>
              <w:spacing w:line="360" w:lineRule="auto"/>
              <w:rPr>
                <w:rFonts w:ascii="Palatino Linotype" w:eastAsia="Palatino Linotype" w:hAnsi="Palatino Linotype" w:cs="Palatino Linotype"/>
                <w:sz w:val="24"/>
                <w:szCs w:val="24"/>
              </w:rPr>
            </w:pPr>
            <w:r w:rsidRPr="005351ED">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B74C5" w:rsidRPr="005351ED" w:rsidRDefault="004B74C5" w:rsidP="004B74C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4B74C5" w:rsidRDefault="004B74C5" w:rsidP="004B74C5">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bookmarkStart w:id="9" w:name="_heading=h.4d34og8" w:colFirst="0" w:colLast="0"/>
      <w:bookmarkEnd w:id="9"/>
      <w:r w:rsidRPr="005351ED">
        <w:rPr>
          <w:rFonts w:ascii="Palatino Linotype" w:eastAsia="Palatino Linotype" w:hAnsi="Palatino Linotype" w:cs="Palatino Linotype"/>
          <w:color w:val="000000"/>
          <w:sz w:val="24"/>
          <w:szCs w:val="24"/>
        </w:rPr>
        <w:t xml:space="preserve">Por lo anteriormente expuesto y fundado, este </w:t>
      </w:r>
      <w:r w:rsidRPr="005351ED">
        <w:rPr>
          <w:rFonts w:ascii="Palatino Linotype" w:eastAsia="Palatino Linotype" w:hAnsi="Palatino Linotype" w:cs="Palatino Linotype"/>
          <w:b/>
          <w:color w:val="000000"/>
          <w:sz w:val="24"/>
          <w:szCs w:val="24"/>
        </w:rPr>
        <w:t>ÓRGANO GARANTE</w:t>
      </w:r>
      <w:r w:rsidRPr="005351ED">
        <w:rPr>
          <w:rFonts w:ascii="Palatino Linotype" w:eastAsia="Palatino Linotype" w:hAnsi="Palatino Linotype" w:cs="Palatino Linotype"/>
          <w:color w:val="000000"/>
          <w:sz w:val="24"/>
          <w:szCs w:val="24"/>
        </w:rPr>
        <w:t xml:space="preserve"> emite los siguientes:</w:t>
      </w:r>
    </w:p>
    <w:p w:rsidR="005351ED" w:rsidRPr="005351ED" w:rsidRDefault="005351ED" w:rsidP="005351ED">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4B74C5" w:rsidRPr="005351ED" w:rsidRDefault="004B74C5" w:rsidP="004B74C5">
      <w:pPr>
        <w:pStyle w:val="Ttulo1"/>
        <w:spacing w:before="0" w:line="360" w:lineRule="auto"/>
        <w:jc w:val="center"/>
        <w:rPr>
          <w:rFonts w:ascii="Palatino Linotype" w:eastAsia="Palatino Linotype" w:hAnsi="Palatino Linotype" w:cs="Palatino Linotype"/>
          <w:b/>
          <w:color w:val="000000"/>
          <w:sz w:val="24"/>
          <w:szCs w:val="24"/>
        </w:rPr>
      </w:pPr>
      <w:bookmarkStart w:id="10" w:name="_heading=h.2s8eyo1" w:colFirst="0" w:colLast="0"/>
      <w:bookmarkEnd w:id="10"/>
      <w:r w:rsidRPr="005351ED">
        <w:rPr>
          <w:rFonts w:ascii="Palatino Linotype" w:eastAsia="Palatino Linotype" w:hAnsi="Palatino Linotype" w:cs="Palatino Linotype"/>
          <w:b/>
          <w:color w:val="000000"/>
          <w:sz w:val="24"/>
          <w:szCs w:val="24"/>
        </w:rPr>
        <w:t>R E S O L U T I V O S</w:t>
      </w:r>
    </w:p>
    <w:p w:rsidR="004B74C5" w:rsidRPr="005351ED" w:rsidRDefault="004B74C5" w:rsidP="004B74C5">
      <w:pPr>
        <w:rPr>
          <w:rFonts w:ascii="Palatino Linotype" w:eastAsia="Palatino Linotype" w:hAnsi="Palatino Linotype" w:cs="Palatino Linotype"/>
          <w:sz w:val="24"/>
          <w:szCs w:val="24"/>
        </w:rPr>
      </w:pPr>
    </w:p>
    <w:p w:rsidR="004B74C5" w:rsidRPr="005351ED" w:rsidRDefault="004B74C5" w:rsidP="004B74C5">
      <w:pPr>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b/>
          <w:sz w:val="24"/>
          <w:szCs w:val="24"/>
        </w:rPr>
        <w:t xml:space="preserve">PRIMERO. </w:t>
      </w:r>
      <w:r w:rsidRPr="005351ED">
        <w:rPr>
          <w:rFonts w:ascii="Palatino Linotype" w:eastAsia="Palatino Linotype" w:hAnsi="Palatino Linotype" w:cs="Palatino Linotype"/>
          <w:sz w:val="24"/>
          <w:szCs w:val="24"/>
        </w:rPr>
        <w:t>Resultan fundadas las</w:t>
      </w:r>
      <w:r w:rsidRPr="005351ED">
        <w:rPr>
          <w:rFonts w:ascii="Palatino Linotype" w:eastAsia="Palatino Linotype" w:hAnsi="Palatino Linotype" w:cs="Palatino Linotype"/>
          <w:b/>
          <w:sz w:val="24"/>
          <w:szCs w:val="24"/>
        </w:rPr>
        <w:t xml:space="preserve"> </w:t>
      </w:r>
      <w:r w:rsidRPr="005351ED">
        <w:rPr>
          <w:rFonts w:ascii="Palatino Linotype" w:eastAsia="Palatino Linotype" w:hAnsi="Palatino Linotype" w:cs="Palatino Linotype"/>
          <w:sz w:val="24"/>
          <w:szCs w:val="24"/>
        </w:rPr>
        <w:t>razones o motivos de inconformidad hechos valer en el recurso de revisión</w:t>
      </w:r>
      <w:r w:rsidR="002C1053" w:rsidRPr="005351ED">
        <w:rPr>
          <w:rFonts w:ascii="Palatino Linotype" w:eastAsia="Palatino Linotype" w:hAnsi="Palatino Linotype" w:cs="Palatino Linotype"/>
          <w:b/>
          <w:sz w:val="24"/>
          <w:szCs w:val="24"/>
        </w:rPr>
        <w:t> 07998</w:t>
      </w:r>
      <w:r w:rsidRPr="005351ED">
        <w:rPr>
          <w:rFonts w:ascii="Palatino Linotype" w:eastAsia="Palatino Linotype" w:hAnsi="Palatino Linotype" w:cs="Palatino Linotype"/>
          <w:b/>
          <w:sz w:val="24"/>
          <w:szCs w:val="24"/>
        </w:rPr>
        <w:t xml:space="preserve">/INFOEM/IP/RR/2025 </w:t>
      </w:r>
      <w:r w:rsidRPr="005351ED">
        <w:rPr>
          <w:rFonts w:ascii="Palatino Linotype" w:eastAsia="Palatino Linotype" w:hAnsi="Palatino Linotype" w:cs="Palatino Linotype"/>
          <w:sz w:val="24"/>
          <w:szCs w:val="24"/>
        </w:rPr>
        <w:t xml:space="preserve">en términos del </w:t>
      </w:r>
      <w:r w:rsidRPr="005351ED">
        <w:rPr>
          <w:rFonts w:ascii="Palatino Linotype" w:eastAsia="Palatino Linotype" w:hAnsi="Palatino Linotype" w:cs="Palatino Linotype"/>
          <w:b/>
          <w:sz w:val="24"/>
          <w:szCs w:val="24"/>
        </w:rPr>
        <w:t xml:space="preserve">Considerando CUARTO y QUINTO </w:t>
      </w:r>
      <w:r w:rsidRPr="005351ED">
        <w:rPr>
          <w:rFonts w:ascii="Palatino Linotype" w:eastAsia="Palatino Linotype" w:hAnsi="Palatino Linotype" w:cs="Palatino Linotype"/>
          <w:sz w:val="24"/>
          <w:szCs w:val="24"/>
        </w:rPr>
        <w:t>de la presente resolución.</w:t>
      </w:r>
    </w:p>
    <w:p w:rsidR="004B74C5" w:rsidRPr="005351ED" w:rsidRDefault="004B74C5" w:rsidP="004B74C5">
      <w:pPr>
        <w:spacing w:line="360" w:lineRule="auto"/>
        <w:jc w:val="both"/>
        <w:rPr>
          <w:rFonts w:ascii="Palatino Linotype" w:eastAsia="Palatino Linotype" w:hAnsi="Palatino Linotype" w:cs="Palatino Linotype"/>
          <w:b/>
          <w:sz w:val="24"/>
          <w:szCs w:val="24"/>
        </w:rPr>
      </w:pPr>
    </w:p>
    <w:p w:rsidR="004B74C5" w:rsidRPr="005351ED" w:rsidRDefault="004B74C5" w:rsidP="004B74C5">
      <w:pPr>
        <w:spacing w:line="360" w:lineRule="auto"/>
        <w:ind w:right="48"/>
        <w:jc w:val="both"/>
        <w:rPr>
          <w:rFonts w:ascii="Palatino Linotype" w:eastAsia="Palatino Linotype" w:hAnsi="Palatino Linotype" w:cs="Palatino Linotype"/>
          <w:sz w:val="24"/>
          <w:szCs w:val="24"/>
        </w:rPr>
      </w:pPr>
      <w:bookmarkStart w:id="11" w:name="_heading=h.17dp8vu" w:colFirst="0" w:colLast="0"/>
      <w:bookmarkEnd w:id="11"/>
      <w:r w:rsidRPr="005351ED">
        <w:rPr>
          <w:rFonts w:ascii="Palatino Linotype" w:eastAsia="Palatino Linotype" w:hAnsi="Palatino Linotype" w:cs="Palatino Linotype"/>
          <w:b/>
          <w:sz w:val="24"/>
          <w:szCs w:val="24"/>
        </w:rPr>
        <w:t>SEGUNDO.</w:t>
      </w:r>
      <w:r w:rsidRPr="005351ED">
        <w:rPr>
          <w:rFonts w:ascii="Palatino Linotype" w:eastAsia="Palatino Linotype" w:hAnsi="Palatino Linotype" w:cs="Palatino Linotype"/>
          <w:color w:val="2F5496"/>
          <w:sz w:val="24"/>
          <w:szCs w:val="24"/>
        </w:rPr>
        <w:t xml:space="preserve"> </w:t>
      </w:r>
      <w:r w:rsidRPr="005351ED">
        <w:rPr>
          <w:rFonts w:ascii="Palatino Linotype" w:eastAsia="Palatino Linotype" w:hAnsi="Palatino Linotype" w:cs="Palatino Linotype"/>
          <w:sz w:val="24"/>
          <w:szCs w:val="24"/>
        </w:rPr>
        <w:t>Se</w:t>
      </w:r>
      <w:r w:rsidRPr="005351ED">
        <w:rPr>
          <w:rFonts w:ascii="Palatino Linotype" w:eastAsia="Palatino Linotype" w:hAnsi="Palatino Linotype" w:cs="Palatino Linotype"/>
          <w:b/>
          <w:sz w:val="24"/>
          <w:szCs w:val="24"/>
        </w:rPr>
        <w:t xml:space="preserve"> ORDENA </w:t>
      </w:r>
      <w:r w:rsidRPr="005351ED">
        <w:rPr>
          <w:rFonts w:ascii="Palatino Linotype" w:eastAsia="Palatino Linotype" w:hAnsi="Palatino Linotype" w:cs="Palatino Linotype"/>
          <w:sz w:val="24"/>
          <w:szCs w:val="24"/>
        </w:rPr>
        <w:t xml:space="preserve">al </w:t>
      </w:r>
      <w:r w:rsidR="002C1053" w:rsidRPr="005351ED">
        <w:rPr>
          <w:rFonts w:ascii="Palatino Linotype" w:eastAsia="Palatino Linotype" w:hAnsi="Palatino Linotype" w:cs="Palatino Linotype"/>
          <w:b/>
          <w:sz w:val="24"/>
          <w:szCs w:val="24"/>
        </w:rPr>
        <w:t>Ayuntamiento de Teoloyucan</w:t>
      </w:r>
      <w:r w:rsidRPr="005351ED">
        <w:rPr>
          <w:rFonts w:ascii="Palatino Linotype" w:eastAsia="Palatino Linotype" w:hAnsi="Palatino Linotype" w:cs="Palatino Linotype"/>
          <w:b/>
          <w:sz w:val="24"/>
          <w:szCs w:val="24"/>
        </w:rPr>
        <w:t xml:space="preserve">, </w:t>
      </w:r>
      <w:r w:rsidRPr="005351ED">
        <w:rPr>
          <w:rFonts w:ascii="Palatino Linotype" w:eastAsia="Palatino Linotype" w:hAnsi="Palatino Linotype" w:cs="Palatino Linotype"/>
          <w:sz w:val="24"/>
          <w:szCs w:val="24"/>
        </w:rPr>
        <w:t xml:space="preserve">dar atención a la solicitud de información </w:t>
      </w:r>
      <w:r w:rsidR="002C1053" w:rsidRPr="005351ED">
        <w:rPr>
          <w:rFonts w:ascii="Palatino Linotype" w:eastAsia="Palatino Linotype" w:hAnsi="Palatino Linotype" w:cs="Palatino Linotype"/>
          <w:b/>
          <w:bCs/>
          <w:sz w:val="24"/>
          <w:szCs w:val="24"/>
        </w:rPr>
        <w:t>00866/TEOLOYU/IP/2025</w:t>
      </w:r>
      <w:r w:rsidRPr="005351ED">
        <w:rPr>
          <w:rFonts w:ascii="Palatino Linotype" w:eastAsia="Palatino Linotype" w:hAnsi="Palatino Linotype" w:cs="Palatino Linotype"/>
          <w:b/>
          <w:sz w:val="24"/>
          <w:szCs w:val="24"/>
        </w:rPr>
        <w:t xml:space="preserve">, </w:t>
      </w:r>
      <w:r w:rsidRPr="005351ED">
        <w:rPr>
          <w:rFonts w:ascii="Palatino Linotype" w:eastAsia="Palatino Linotype" w:hAnsi="Palatino Linotype" w:cs="Palatino Linotype"/>
          <w:sz w:val="24"/>
          <w:szCs w:val="24"/>
        </w:rPr>
        <w:t xml:space="preserve">y entregar vía Sistema de Acceso a la Información Mexiquense </w:t>
      </w:r>
      <w:r w:rsidRPr="005351ED">
        <w:rPr>
          <w:rFonts w:ascii="Palatino Linotype" w:eastAsia="Palatino Linotype" w:hAnsi="Palatino Linotype" w:cs="Palatino Linotype"/>
          <w:b/>
          <w:sz w:val="24"/>
          <w:szCs w:val="24"/>
        </w:rPr>
        <w:t xml:space="preserve">(SAIMEX), </w:t>
      </w:r>
      <w:r w:rsidRPr="005351ED">
        <w:rPr>
          <w:rFonts w:ascii="Palatino Linotype" w:eastAsia="Palatino Linotype" w:hAnsi="Palatino Linotype" w:cs="Palatino Linotype"/>
          <w:sz w:val="24"/>
          <w:szCs w:val="24"/>
        </w:rPr>
        <w:t>de ser procedente en versión pública, la siguiente información:</w:t>
      </w:r>
    </w:p>
    <w:p w:rsidR="004B74C5" w:rsidRPr="005351ED" w:rsidRDefault="004B74C5" w:rsidP="004B74C5">
      <w:pPr>
        <w:spacing w:line="360" w:lineRule="auto"/>
        <w:ind w:right="822"/>
        <w:jc w:val="both"/>
        <w:rPr>
          <w:rFonts w:ascii="Palatino Linotype" w:eastAsia="Palatino Linotype" w:hAnsi="Palatino Linotype" w:cs="Palatino Linotype"/>
          <w:b/>
          <w:color w:val="000000"/>
          <w:sz w:val="24"/>
          <w:szCs w:val="24"/>
        </w:rPr>
      </w:pPr>
    </w:p>
    <w:p w:rsidR="002C1053" w:rsidRPr="005351ED" w:rsidRDefault="002C1053" w:rsidP="002C1053">
      <w:pPr>
        <w:pStyle w:val="Prrafodelista"/>
        <w:numPr>
          <w:ilvl w:val="7"/>
          <w:numId w:val="1"/>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color w:val="000000"/>
          <w:sz w:val="24"/>
          <w:lang w:val="es-ES"/>
        </w:rPr>
      </w:pPr>
      <w:r w:rsidRPr="005351ED">
        <w:rPr>
          <w:rFonts w:ascii="Palatino Linotype" w:eastAsia="Palatino Linotype" w:hAnsi="Palatino Linotype" w:cs="Palatino Linotype"/>
          <w:b/>
          <w:color w:val="000000"/>
          <w:sz w:val="24"/>
          <w:lang w:val="es-ES"/>
        </w:rPr>
        <w:lastRenderedPageBreak/>
        <w:t>Soporte documental donde conste el nombre de los servidores públicos adscritos al Ayuntamiento de Teoloyucan al nueve de junio de dos mil veinticinco.</w:t>
      </w:r>
    </w:p>
    <w:p w:rsidR="002C1053" w:rsidRPr="005351ED" w:rsidRDefault="002C1053" w:rsidP="002C1053">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b/>
          <w:color w:val="000000"/>
          <w:sz w:val="24"/>
        </w:rPr>
      </w:pPr>
    </w:p>
    <w:p w:rsidR="004B74C5" w:rsidRPr="005351ED" w:rsidRDefault="004B74C5" w:rsidP="004B74C5">
      <w:pPr>
        <w:spacing w:line="360" w:lineRule="auto"/>
        <w:ind w:right="40"/>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del recurrente.</w:t>
      </w:r>
    </w:p>
    <w:p w:rsidR="004B74C5" w:rsidRPr="005351ED" w:rsidRDefault="004B74C5" w:rsidP="004B74C5">
      <w:pPr>
        <w:spacing w:line="360" w:lineRule="auto"/>
        <w:ind w:right="40"/>
        <w:jc w:val="both"/>
        <w:rPr>
          <w:rFonts w:ascii="Palatino Linotype" w:eastAsia="Palatino Linotype" w:hAnsi="Palatino Linotype" w:cs="Palatino Linotype"/>
          <w:sz w:val="24"/>
          <w:szCs w:val="24"/>
        </w:rPr>
      </w:pPr>
    </w:p>
    <w:p w:rsidR="004B74C5" w:rsidRPr="005351ED" w:rsidRDefault="004B74C5" w:rsidP="004B74C5">
      <w:pPr>
        <w:tabs>
          <w:tab w:val="left" w:pos="8080"/>
        </w:tabs>
        <w:spacing w:line="360" w:lineRule="auto"/>
        <w:ind w:right="49"/>
        <w:jc w:val="both"/>
        <w:rPr>
          <w:rFonts w:ascii="Palatino Linotype" w:eastAsia="Palatino Linotype" w:hAnsi="Palatino Linotype" w:cs="Palatino Linotype"/>
          <w:b/>
          <w:sz w:val="24"/>
          <w:szCs w:val="24"/>
        </w:rPr>
      </w:pPr>
      <w:r w:rsidRPr="005351ED">
        <w:rPr>
          <w:rFonts w:ascii="Palatino Linotype" w:eastAsia="Palatino Linotype" w:hAnsi="Palatino Linotype" w:cs="Palatino Linotype"/>
          <w:b/>
          <w:sz w:val="24"/>
          <w:szCs w:val="24"/>
        </w:rPr>
        <w:t xml:space="preserve">TERCERO. </w:t>
      </w:r>
      <w:r w:rsidRPr="005351ED">
        <w:rPr>
          <w:rFonts w:ascii="Palatino Linotype" w:eastAsia="Palatino Linotype" w:hAnsi="Palatino Linotype" w:cs="Palatino Linotype"/>
          <w:b/>
          <w:color w:val="000000"/>
          <w:sz w:val="24"/>
          <w:szCs w:val="24"/>
        </w:rPr>
        <w:t>Notifíquese</w:t>
      </w:r>
      <w:r w:rsidRPr="005351ED">
        <w:rPr>
          <w:rFonts w:ascii="Palatino Linotype" w:eastAsia="Palatino Linotype" w:hAnsi="Palatino Linotype" w:cs="Palatino Linotype"/>
          <w:color w:val="000000"/>
          <w:sz w:val="24"/>
          <w:szCs w:val="24"/>
        </w:rPr>
        <w:t xml:space="preserve"> al </w:t>
      </w:r>
      <w:r w:rsidRPr="005351ED">
        <w:rPr>
          <w:rFonts w:ascii="Palatino Linotype" w:eastAsia="Palatino Linotype" w:hAnsi="Palatino Linotype" w:cs="Palatino Linotype"/>
          <w:color w:val="222222"/>
          <w:sz w:val="24"/>
          <w:szCs w:val="24"/>
        </w:rPr>
        <w:t xml:space="preserve">Titular de la Unidad de Transparencia del </w:t>
      </w:r>
      <w:r w:rsidRPr="005351ED">
        <w:rPr>
          <w:rFonts w:ascii="Palatino Linotype" w:eastAsia="Palatino Linotype" w:hAnsi="Palatino Linotype" w:cs="Palatino Linotype"/>
          <w:b/>
          <w:color w:val="222222"/>
          <w:sz w:val="24"/>
          <w:szCs w:val="24"/>
        </w:rPr>
        <w:t>SUJETO OBLIGADO</w:t>
      </w:r>
      <w:r w:rsidRPr="005351ED">
        <w:rPr>
          <w:rFonts w:ascii="Palatino Linotype" w:eastAsia="Palatino Linotype" w:hAnsi="Palatino Linotype" w:cs="Palatino Linotype"/>
          <w:color w:val="222222"/>
          <w:sz w:val="24"/>
          <w:szCs w:val="24"/>
        </w:rPr>
        <w:t xml:space="preserve">, vía SAIMEX, la presente resolución, para que conforme al artículo 186 último párrafo, 189 segundo párrafo y 194 de la Ley de Transparencia y Acceso a la Información Pública del Estado de México y Municipios </w:t>
      </w:r>
      <w:r w:rsidRPr="005351ED">
        <w:rPr>
          <w:rFonts w:ascii="Palatino Linotype" w:eastAsia="Palatino Linotype" w:hAnsi="Palatino Linotype" w:cs="Palatino Linotype"/>
          <w:b/>
          <w:color w:val="222222"/>
          <w:sz w:val="24"/>
          <w:szCs w:val="24"/>
        </w:rPr>
        <w:t>dé cumplimiento a lo ordenado dentro del plazo de diez días hábiles</w:t>
      </w:r>
      <w:r w:rsidRPr="005351ED">
        <w:rPr>
          <w:rFonts w:ascii="Palatino Linotype" w:eastAsia="Palatino Linotype" w:hAnsi="Palatino Linotype" w:cs="Palatino Linotype"/>
          <w:color w:val="222222"/>
          <w:sz w:val="24"/>
          <w:szCs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5351ED">
        <w:rPr>
          <w:rFonts w:ascii="Palatino Linotype" w:eastAsia="Palatino Linotype" w:hAnsi="Palatino Linotype" w:cs="Palatino Linotype"/>
          <w:sz w:val="24"/>
          <w:szCs w:val="24"/>
        </w:rPr>
        <w:t>.</w:t>
      </w:r>
    </w:p>
    <w:p w:rsidR="004B74C5" w:rsidRPr="005351ED" w:rsidRDefault="004B74C5" w:rsidP="004B74C5">
      <w:pPr>
        <w:shd w:val="clear" w:color="auto" w:fill="FFFFFF"/>
        <w:spacing w:line="360" w:lineRule="auto"/>
        <w:jc w:val="both"/>
        <w:rPr>
          <w:rFonts w:ascii="Palatino Linotype" w:eastAsia="Palatino Linotype" w:hAnsi="Palatino Linotype" w:cs="Palatino Linotype"/>
          <w:b/>
          <w:sz w:val="24"/>
          <w:szCs w:val="24"/>
        </w:rPr>
      </w:pPr>
    </w:p>
    <w:p w:rsidR="004B74C5" w:rsidRPr="005351ED" w:rsidRDefault="004B74C5" w:rsidP="004B74C5">
      <w:pPr>
        <w:shd w:val="clear" w:color="auto" w:fill="FFFFFF"/>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b/>
          <w:sz w:val="24"/>
          <w:szCs w:val="24"/>
        </w:rPr>
        <w:t xml:space="preserve">CUARTO. </w:t>
      </w:r>
      <w:r w:rsidRPr="005351ED">
        <w:rPr>
          <w:rFonts w:ascii="Palatino Linotype" w:eastAsia="Palatino Linotype" w:hAnsi="Palatino Linotype" w:cs="Palatino Linotype"/>
          <w:sz w:val="24"/>
          <w:szCs w:val="24"/>
        </w:rPr>
        <w:t xml:space="preserve">Notifíquese al </w:t>
      </w:r>
      <w:r w:rsidRPr="005351ED">
        <w:rPr>
          <w:rFonts w:ascii="Palatino Linotype" w:eastAsia="Palatino Linotype" w:hAnsi="Palatino Linotype" w:cs="Palatino Linotype"/>
          <w:b/>
          <w:sz w:val="24"/>
          <w:szCs w:val="24"/>
        </w:rPr>
        <w:t xml:space="preserve">RECURRENTE </w:t>
      </w:r>
      <w:r w:rsidRPr="005351ED">
        <w:rPr>
          <w:rFonts w:ascii="Palatino Linotype" w:eastAsia="Palatino Linotype" w:hAnsi="Palatino Linotype" w:cs="Palatino Linotype"/>
          <w:sz w:val="24"/>
          <w:szCs w:val="24"/>
        </w:rPr>
        <w:t>la presente resolución vía Sistema de Acceso a Información Mexiquense (SAIMEX).</w:t>
      </w:r>
    </w:p>
    <w:p w:rsidR="004B74C5" w:rsidRPr="005351ED" w:rsidRDefault="004B74C5" w:rsidP="004B74C5">
      <w:pPr>
        <w:shd w:val="clear" w:color="auto" w:fill="FFFFFF"/>
        <w:spacing w:line="360" w:lineRule="auto"/>
        <w:jc w:val="both"/>
        <w:rPr>
          <w:rFonts w:ascii="Palatino Linotype" w:eastAsia="Palatino Linotype" w:hAnsi="Palatino Linotype" w:cs="Palatino Linotype"/>
          <w:sz w:val="24"/>
          <w:szCs w:val="24"/>
        </w:rPr>
      </w:pPr>
    </w:p>
    <w:p w:rsidR="004B74C5" w:rsidRPr="005351ED" w:rsidRDefault="004B74C5" w:rsidP="004B74C5">
      <w:pPr>
        <w:shd w:val="clear" w:color="auto" w:fill="FFFFFF"/>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b/>
          <w:sz w:val="24"/>
          <w:szCs w:val="24"/>
        </w:rPr>
        <w:lastRenderedPageBreak/>
        <w:t>QUINTO.</w:t>
      </w:r>
      <w:r w:rsidRPr="005351ED">
        <w:rPr>
          <w:rFonts w:ascii="Palatino Linotype" w:eastAsia="Palatino Linotype" w:hAnsi="Palatino Linotype" w:cs="Palatino Linotype"/>
          <w:sz w:val="24"/>
          <w:szCs w:val="24"/>
        </w:rPr>
        <w:t xml:space="preserve"> Se hace del conocimiento del </w:t>
      </w:r>
      <w:r w:rsidRPr="005351ED">
        <w:rPr>
          <w:rFonts w:ascii="Palatino Linotype" w:eastAsia="Palatino Linotype" w:hAnsi="Palatino Linotype" w:cs="Palatino Linotype"/>
          <w:b/>
          <w:sz w:val="24"/>
          <w:szCs w:val="24"/>
        </w:rPr>
        <w:t xml:space="preserve">RECURRENTE </w:t>
      </w:r>
      <w:r w:rsidRPr="005351ED">
        <w:rPr>
          <w:rFonts w:ascii="Palatino Linotype" w:eastAsia="Palatino Linotype" w:hAnsi="Palatino Linotype" w:cs="Palatino Linotype"/>
          <w:sz w:val="24"/>
          <w:szCs w:val="24"/>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4B74C5" w:rsidRPr="005351ED" w:rsidRDefault="004B74C5" w:rsidP="004B74C5">
      <w:pPr>
        <w:shd w:val="clear" w:color="auto" w:fill="FFFFFF"/>
        <w:spacing w:line="360" w:lineRule="auto"/>
        <w:jc w:val="both"/>
        <w:rPr>
          <w:rFonts w:ascii="Palatino Linotype" w:eastAsia="Palatino Linotype" w:hAnsi="Palatino Linotype" w:cs="Palatino Linotype"/>
          <w:sz w:val="24"/>
          <w:szCs w:val="24"/>
        </w:rPr>
      </w:pPr>
    </w:p>
    <w:p w:rsidR="004B74C5" w:rsidRPr="005351ED" w:rsidRDefault="004B74C5" w:rsidP="004B74C5">
      <w:pPr>
        <w:spacing w:line="360" w:lineRule="auto"/>
        <w:jc w:val="both"/>
        <w:rPr>
          <w:rFonts w:ascii="Palatino Linotype" w:eastAsia="Palatino Linotype" w:hAnsi="Palatino Linotype" w:cs="Palatino Linotype"/>
          <w:sz w:val="24"/>
          <w:szCs w:val="24"/>
        </w:rPr>
      </w:pPr>
      <w:r w:rsidRPr="005351ED">
        <w:rPr>
          <w:rFonts w:ascii="Palatino Linotype" w:eastAsia="Palatino Linotype" w:hAnsi="Palatino Linotype" w:cs="Palatino Linotype"/>
          <w:b/>
          <w:sz w:val="24"/>
          <w:szCs w:val="24"/>
        </w:rPr>
        <w:t xml:space="preserve">SEXTO. </w:t>
      </w:r>
      <w:r w:rsidRPr="005351ED">
        <w:rPr>
          <w:rFonts w:ascii="Palatino Linotype" w:eastAsia="Palatino Linotype" w:hAnsi="Palatino Linotype" w:cs="Palatino Linotype"/>
          <w:sz w:val="24"/>
          <w:szCs w:val="24"/>
        </w:rPr>
        <w:t>Hágase del conocimiento del</w:t>
      </w:r>
      <w:r w:rsidRPr="005351ED">
        <w:rPr>
          <w:rFonts w:ascii="Palatino Linotype" w:eastAsia="Palatino Linotype" w:hAnsi="Palatino Linotype" w:cs="Palatino Linotype"/>
          <w:b/>
          <w:sz w:val="24"/>
          <w:szCs w:val="24"/>
        </w:rPr>
        <w:t xml:space="preserve"> RECURRENTE</w:t>
      </w:r>
      <w:r w:rsidRPr="005351ED">
        <w:rPr>
          <w:rFonts w:ascii="Palatino Linotype" w:eastAsia="Palatino Linotype" w:hAnsi="Palatino Linotype" w:cs="Palatino Linotype"/>
          <w:sz w:val="24"/>
          <w:szCs w:val="24"/>
        </w:rPr>
        <w:t xml:space="preserve"> que la respuesta que dé el</w:t>
      </w:r>
      <w:r w:rsidRPr="005351ED">
        <w:rPr>
          <w:rFonts w:ascii="Palatino Linotype" w:eastAsia="Palatino Linotype" w:hAnsi="Palatino Linotype" w:cs="Palatino Linotype"/>
          <w:b/>
          <w:sz w:val="24"/>
          <w:szCs w:val="24"/>
        </w:rPr>
        <w:t xml:space="preserve"> SUJETO OBLIGADO</w:t>
      </w:r>
      <w:r w:rsidRPr="005351ED">
        <w:rPr>
          <w:rFonts w:ascii="Palatino Linotype" w:eastAsia="Palatino Linotype" w:hAnsi="Palatino Linotype" w:cs="Palatino Linotype"/>
          <w:sz w:val="24"/>
          <w:szCs w:val="24"/>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p>
    <w:p w:rsidR="004B74C5" w:rsidRPr="005351ED" w:rsidRDefault="004B74C5" w:rsidP="004B74C5">
      <w:pPr>
        <w:spacing w:line="360" w:lineRule="auto"/>
        <w:jc w:val="both"/>
        <w:rPr>
          <w:rFonts w:ascii="Palatino Linotype" w:eastAsia="Palatino Linotype" w:hAnsi="Palatino Linotype" w:cs="Palatino Linotype"/>
          <w:sz w:val="24"/>
          <w:szCs w:val="24"/>
        </w:rPr>
      </w:pPr>
    </w:p>
    <w:p w:rsidR="004B74C5" w:rsidRPr="005351ED" w:rsidRDefault="004B74C5" w:rsidP="004B74C5">
      <w:pPr>
        <w:spacing w:line="360" w:lineRule="auto"/>
        <w:jc w:val="both"/>
        <w:rPr>
          <w:rFonts w:ascii="Palatino Linotype" w:eastAsia="Palatino Linotype" w:hAnsi="Palatino Linotype" w:cs="Palatino Linotype"/>
          <w:b/>
          <w:sz w:val="24"/>
          <w:szCs w:val="24"/>
        </w:rPr>
      </w:pPr>
      <w:r w:rsidRPr="005351ED">
        <w:rPr>
          <w:rFonts w:ascii="Palatino Linotype" w:eastAsia="Palatino Linotype" w:hAnsi="Palatino Linotype" w:cs="Palatino Linotype"/>
          <w:b/>
          <w:sz w:val="24"/>
          <w:szCs w:val="24"/>
        </w:rPr>
        <w:t>SÉPTIMO.</w:t>
      </w:r>
      <w:r w:rsidRPr="005351ED">
        <w:rPr>
          <w:rFonts w:ascii="Palatino Linotype" w:eastAsia="Palatino Linotype" w:hAnsi="Palatino Linotype" w:cs="Palatino Linotype"/>
          <w:sz w:val="24"/>
          <w:szCs w:val="24"/>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w:t>
      </w:r>
      <w:r w:rsidRPr="005351ED">
        <w:rPr>
          <w:rFonts w:ascii="Palatino Linotype" w:eastAsia="Palatino Linotype" w:hAnsi="Palatino Linotype" w:cs="Palatino Linotype"/>
          <w:b/>
          <w:sz w:val="24"/>
          <w:szCs w:val="24"/>
        </w:rPr>
        <w:t>Considerando SEXTO</w:t>
      </w:r>
      <w:r w:rsidRPr="005351ED">
        <w:rPr>
          <w:rFonts w:ascii="Palatino Linotype" w:eastAsia="Palatino Linotype" w:hAnsi="Palatino Linotype" w:cs="Palatino Linotype"/>
          <w:sz w:val="24"/>
          <w:szCs w:val="24"/>
        </w:rPr>
        <w:t xml:space="preserve"> de la presente Resolución</w:t>
      </w:r>
      <w:r w:rsidRPr="005351ED">
        <w:rPr>
          <w:rFonts w:ascii="Palatino Linotype" w:eastAsia="Palatino Linotype" w:hAnsi="Palatino Linotype" w:cs="Palatino Linotype"/>
          <w:b/>
          <w:sz w:val="24"/>
          <w:szCs w:val="24"/>
        </w:rPr>
        <w:t>.</w:t>
      </w:r>
    </w:p>
    <w:p w:rsidR="004B74C5" w:rsidRPr="005351ED" w:rsidRDefault="004B74C5" w:rsidP="004B74C5">
      <w:pPr>
        <w:spacing w:line="360" w:lineRule="auto"/>
        <w:jc w:val="both"/>
        <w:rPr>
          <w:rFonts w:ascii="Palatino Linotype" w:eastAsia="Palatino Linotype" w:hAnsi="Palatino Linotype" w:cs="Palatino Linotype"/>
          <w:b/>
          <w:sz w:val="24"/>
          <w:szCs w:val="24"/>
        </w:rPr>
      </w:pPr>
    </w:p>
    <w:p w:rsidR="00F12948" w:rsidRPr="005351ED" w:rsidRDefault="00F12948" w:rsidP="00F12948">
      <w:pPr>
        <w:spacing w:before="240" w:after="240" w:line="360" w:lineRule="auto"/>
        <w:ind w:firstLine="1"/>
        <w:jc w:val="both"/>
        <w:rPr>
          <w:rFonts w:ascii="Palatino Linotype" w:hAnsi="Palatino Linotype"/>
          <w:sz w:val="24"/>
          <w:szCs w:val="24"/>
        </w:rPr>
      </w:pPr>
      <w:bookmarkStart w:id="12" w:name="_Hlk99014733"/>
      <w:r w:rsidRPr="005351ED">
        <w:rPr>
          <w:rFonts w:ascii="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A00D69" w:rsidRPr="005351ED">
        <w:rPr>
          <w:rFonts w:ascii="Palatino Linotype" w:hAnsi="Palatino Linotype" w:cs="Palatino Linotype"/>
          <w:sz w:val="24"/>
          <w:szCs w:val="24"/>
        </w:rPr>
        <w:t xml:space="preserve"> </w:t>
      </w:r>
      <w:r w:rsidR="00A00D69" w:rsidRPr="005351ED">
        <w:rPr>
          <w:rFonts w:ascii="Palatino Linotype" w:hAnsi="Palatino Linotype"/>
          <w:sz w:val="24"/>
          <w:szCs w:val="24"/>
        </w:rPr>
        <w:t>EMITIENDO VOTO PARTICULAR</w:t>
      </w:r>
      <w:r w:rsidRPr="005351ED">
        <w:rPr>
          <w:rFonts w:ascii="Palatino Linotype" w:hAnsi="Palatino Linotype" w:cs="Palatino Linotype"/>
          <w:sz w:val="24"/>
          <w:szCs w:val="24"/>
        </w:rPr>
        <w:t xml:space="preserve"> Y GUADALUPE RAMÍREZ PEÑA</w:t>
      </w:r>
      <w:r w:rsidR="00A00D69" w:rsidRPr="005351ED">
        <w:rPr>
          <w:rFonts w:ascii="Palatino Linotype" w:hAnsi="Palatino Linotype" w:cs="Palatino Linotype"/>
          <w:sz w:val="24"/>
          <w:szCs w:val="24"/>
        </w:rPr>
        <w:t xml:space="preserve"> </w:t>
      </w:r>
      <w:r w:rsidR="00A00D69" w:rsidRPr="005351ED">
        <w:rPr>
          <w:rFonts w:ascii="Palatino Linotype" w:hAnsi="Palatino Linotype"/>
          <w:sz w:val="24"/>
          <w:szCs w:val="24"/>
        </w:rPr>
        <w:t>EMITIENDO VOTO PARTICULAR</w:t>
      </w:r>
      <w:r w:rsidRPr="005351ED">
        <w:rPr>
          <w:rFonts w:ascii="Palatino Linotype" w:hAnsi="Palatino Linotype" w:cs="Palatino Linotype"/>
          <w:sz w:val="24"/>
          <w:szCs w:val="24"/>
        </w:rPr>
        <w:t xml:space="preserve">; EN LA OCTAVA SESIÓN ORDINARIA, CELEBRADA EL CINCO (05) DE </w:t>
      </w:r>
      <w:r w:rsidRPr="005351ED">
        <w:rPr>
          <w:rFonts w:ascii="Palatino Linotype" w:hAnsi="Palatino Linotype" w:cs="Palatino Linotype"/>
          <w:sz w:val="24"/>
          <w:szCs w:val="24"/>
        </w:rPr>
        <w:lastRenderedPageBreak/>
        <w:t xml:space="preserve">MARZO DE DOS MIL VEINTISÉIS, ANTE EL SECRETARIO TÉCNICO DEL PLENO </w:t>
      </w:r>
      <w:r w:rsidRPr="005351ED">
        <w:rPr>
          <w:rFonts w:ascii="Palatino Linotype" w:hAnsi="Palatino Linotype" w:cs="Palatino Linotype"/>
          <w:color w:val="000000" w:themeColor="text1"/>
          <w:sz w:val="24"/>
          <w:szCs w:val="24"/>
        </w:rPr>
        <w:t>ALEXIS TAPIA RAMÍREZ.</w:t>
      </w:r>
    </w:p>
    <w:bookmarkEnd w:id="12"/>
    <w:p w:rsidR="004B74C5" w:rsidRPr="005351ED" w:rsidRDefault="004B74C5" w:rsidP="004B74C5">
      <w:pPr>
        <w:spacing w:before="240" w:after="360" w:line="360" w:lineRule="auto"/>
        <w:jc w:val="both"/>
        <w:rPr>
          <w:rFonts w:ascii="Palatino Linotype" w:eastAsia="Palatino Linotype" w:hAnsi="Palatino Linotype" w:cs="Palatino Linotype"/>
          <w:color w:val="222222"/>
          <w:sz w:val="24"/>
          <w:szCs w:val="24"/>
        </w:rPr>
      </w:pPr>
    </w:p>
    <w:p w:rsidR="004B74C5" w:rsidRPr="005351ED" w:rsidRDefault="004B74C5" w:rsidP="004B74C5">
      <w:pPr>
        <w:spacing w:before="240" w:after="360" w:line="360" w:lineRule="auto"/>
        <w:jc w:val="both"/>
        <w:rPr>
          <w:rFonts w:ascii="Palatino Linotype" w:eastAsia="Palatino Linotype" w:hAnsi="Palatino Linotype" w:cs="Palatino Linotype"/>
          <w:color w:val="222222"/>
          <w:sz w:val="24"/>
          <w:szCs w:val="24"/>
        </w:rPr>
      </w:pPr>
    </w:p>
    <w:p w:rsidR="004B74C5" w:rsidRPr="005351ED" w:rsidRDefault="004B74C5" w:rsidP="004B74C5">
      <w:pPr>
        <w:spacing w:before="240" w:after="360" w:line="360" w:lineRule="auto"/>
        <w:jc w:val="both"/>
        <w:rPr>
          <w:rFonts w:ascii="Palatino Linotype" w:eastAsia="Palatino Linotype" w:hAnsi="Palatino Linotype" w:cs="Palatino Linotype"/>
          <w:color w:val="222222"/>
          <w:sz w:val="24"/>
          <w:szCs w:val="24"/>
        </w:rPr>
      </w:pPr>
    </w:p>
    <w:p w:rsidR="004B74C5" w:rsidRPr="005351ED" w:rsidRDefault="004B74C5" w:rsidP="004B74C5">
      <w:pPr>
        <w:spacing w:before="240" w:after="360" w:line="360" w:lineRule="auto"/>
        <w:jc w:val="both"/>
        <w:rPr>
          <w:rFonts w:ascii="Palatino Linotype" w:eastAsia="Palatino Linotype" w:hAnsi="Palatino Linotype" w:cs="Palatino Linotype"/>
          <w:color w:val="222222"/>
          <w:sz w:val="24"/>
          <w:szCs w:val="24"/>
        </w:rPr>
      </w:pPr>
    </w:p>
    <w:p w:rsidR="004B74C5" w:rsidRDefault="004B74C5" w:rsidP="004B74C5">
      <w:pPr>
        <w:spacing w:before="240" w:after="360" w:line="360" w:lineRule="auto"/>
        <w:jc w:val="both"/>
        <w:rPr>
          <w:rFonts w:ascii="Palatino Linotype" w:eastAsia="Palatino Linotype" w:hAnsi="Palatino Linotype" w:cs="Palatino Linotype"/>
          <w:color w:val="222222"/>
          <w:sz w:val="24"/>
          <w:szCs w:val="24"/>
        </w:rPr>
      </w:pPr>
    </w:p>
    <w:p w:rsidR="005351ED" w:rsidRDefault="005351ED" w:rsidP="004B74C5">
      <w:pPr>
        <w:spacing w:before="240" w:after="360" w:line="360" w:lineRule="auto"/>
        <w:jc w:val="both"/>
        <w:rPr>
          <w:rFonts w:ascii="Palatino Linotype" w:eastAsia="Palatino Linotype" w:hAnsi="Palatino Linotype" w:cs="Palatino Linotype"/>
          <w:color w:val="222222"/>
          <w:sz w:val="24"/>
          <w:szCs w:val="24"/>
        </w:rPr>
      </w:pPr>
    </w:p>
    <w:p w:rsidR="005351ED" w:rsidRDefault="005351ED" w:rsidP="004B74C5">
      <w:pPr>
        <w:spacing w:before="240" w:after="360" w:line="360" w:lineRule="auto"/>
        <w:jc w:val="both"/>
        <w:rPr>
          <w:rFonts w:ascii="Palatino Linotype" w:eastAsia="Palatino Linotype" w:hAnsi="Palatino Linotype" w:cs="Palatino Linotype"/>
          <w:color w:val="222222"/>
          <w:sz w:val="24"/>
          <w:szCs w:val="24"/>
        </w:rPr>
      </w:pPr>
    </w:p>
    <w:p w:rsidR="005351ED" w:rsidRDefault="005351ED" w:rsidP="004B74C5">
      <w:pPr>
        <w:spacing w:before="240" w:after="360" w:line="360" w:lineRule="auto"/>
        <w:jc w:val="both"/>
        <w:rPr>
          <w:rFonts w:ascii="Palatino Linotype" w:eastAsia="Palatino Linotype" w:hAnsi="Palatino Linotype" w:cs="Palatino Linotype"/>
          <w:color w:val="222222"/>
          <w:sz w:val="24"/>
          <w:szCs w:val="24"/>
        </w:rPr>
      </w:pPr>
    </w:p>
    <w:p w:rsidR="005351ED" w:rsidRDefault="005351ED" w:rsidP="004B74C5">
      <w:pPr>
        <w:spacing w:before="240" w:after="360" w:line="360" w:lineRule="auto"/>
        <w:jc w:val="both"/>
        <w:rPr>
          <w:rFonts w:ascii="Palatino Linotype" w:eastAsia="Palatino Linotype" w:hAnsi="Palatino Linotype" w:cs="Palatino Linotype"/>
          <w:color w:val="222222"/>
          <w:sz w:val="24"/>
          <w:szCs w:val="24"/>
        </w:rPr>
      </w:pPr>
    </w:p>
    <w:p w:rsidR="005351ED" w:rsidRDefault="005351ED" w:rsidP="004B74C5">
      <w:pPr>
        <w:spacing w:before="240" w:after="360" w:line="360" w:lineRule="auto"/>
        <w:jc w:val="both"/>
        <w:rPr>
          <w:rFonts w:ascii="Palatino Linotype" w:eastAsia="Palatino Linotype" w:hAnsi="Palatino Linotype" w:cs="Palatino Linotype"/>
          <w:color w:val="222222"/>
          <w:sz w:val="24"/>
          <w:szCs w:val="24"/>
        </w:rPr>
      </w:pPr>
    </w:p>
    <w:p w:rsidR="005351ED" w:rsidRPr="005351ED" w:rsidRDefault="005351ED" w:rsidP="004B74C5">
      <w:pPr>
        <w:spacing w:before="240" w:after="360" w:line="360" w:lineRule="auto"/>
        <w:jc w:val="both"/>
        <w:rPr>
          <w:rFonts w:ascii="Palatino Linotype" w:eastAsia="Palatino Linotype" w:hAnsi="Palatino Linotype" w:cs="Palatino Linotype"/>
          <w:color w:val="222222"/>
          <w:sz w:val="24"/>
          <w:szCs w:val="24"/>
        </w:rPr>
      </w:pPr>
    </w:p>
    <w:p w:rsidR="004B74C5" w:rsidRPr="005351ED" w:rsidRDefault="004B74C5" w:rsidP="004B74C5">
      <w:pPr>
        <w:spacing w:before="240" w:after="360" w:line="360" w:lineRule="auto"/>
        <w:jc w:val="both"/>
        <w:rPr>
          <w:rFonts w:ascii="Palatino Linotype" w:eastAsia="Palatino Linotype" w:hAnsi="Palatino Linotype" w:cs="Palatino Linotype"/>
          <w:color w:val="222222"/>
          <w:sz w:val="24"/>
          <w:szCs w:val="24"/>
        </w:rPr>
      </w:pPr>
    </w:p>
    <w:p w:rsidR="004B74C5" w:rsidRPr="005351ED" w:rsidRDefault="004B74C5" w:rsidP="004B74C5">
      <w:pPr>
        <w:spacing w:before="240" w:after="360" w:line="360" w:lineRule="auto"/>
        <w:jc w:val="both"/>
        <w:rPr>
          <w:rFonts w:ascii="Palatino Linotype" w:eastAsia="Palatino Linotype" w:hAnsi="Palatino Linotype" w:cs="Palatino Linotype"/>
          <w:color w:val="222222"/>
          <w:sz w:val="24"/>
          <w:szCs w:val="24"/>
        </w:rPr>
      </w:pPr>
    </w:p>
    <w:p w:rsidR="004B74C5" w:rsidRPr="005351ED" w:rsidRDefault="004B74C5" w:rsidP="004B74C5">
      <w:pPr>
        <w:rPr>
          <w:rFonts w:ascii="Palatino Linotype" w:eastAsia="Palatino Linotype" w:hAnsi="Palatino Linotype" w:cs="Palatino Linotype"/>
          <w:sz w:val="24"/>
          <w:szCs w:val="24"/>
        </w:rPr>
      </w:pPr>
    </w:p>
    <w:p w:rsidR="004B74C5" w:rsidRPr="005351ED" w:rsidRDefault="004B74C5" w:rsidP="004B74C5">
      <w:pPr>
        <w:rPr>
          <w:sz w:val="24"/>
          <w:szCs w:val="24"/>
        </w:rPr>
      </w:pPr>
    </w:p>
    <w:p w:rsidR="004B74C5" w:rsidRPr="005351ED" w:rsidRDefault="004B74C5" w:rsidP="004B74C5">
      <w:pPr>
        <w:rPr>
          <w:sz w:val="24"/>
          <w:szCs w:val="24"/>
        </w:rPr>
      </w:pPr>
    </w:p>
    <w:p w:rsidR="004B74C5" w:rsidRPr="005351ED" w:rsidRDefault="004B74C5" w:rsidP="004B74C5">
      <w:pPr>
        <w:rPr>
          <w:sz w:val="24"/>
          <w:szCs w:val="24"/>
        </w:rPr>
      </w:pPr>
    </w:p>
    <w:p w:rsidR="004B74C5" w:rsidRPr="005351ED" w:rsidRDefault="004B74C5" w:rsidP="004B74C5">
      <w:pPr>
        <w:rPr>
          <w:sz w:val="24"/>
          <w:szCs w:val="24"/>
        </w:rPr>
      </w:pPr>
    </w:p>
    <w:p w:rsidR="009C3BC2" w:rsidRPr="005351ED" w:rsidRDefault="000A3CBC">
      <w:pPr>
        <w:rPr>
          <w:sz w:val="24"/>
          <w:szCs w:val="24"/>
        </w:rPr>
      </w:pPr>
      <w:r w:rsidRPr="005351ED">
        <w:rPr>
          <w:sz w:val="24"/>
          <w:szCs w:val="24"/>
        </w:rPr>
        <w:t xml:space="preserve"> </w:t>
      </w:r>
    </w:p>
    <w:sectPr w:rsidR="009C3BC2" w:rsidRPr="005351ED" w:rsidSect="005351ED">
      <w:headerReference w:type="even" r:id="rId8"/>
      <w:headerReference w:type="default" r:id="rId9"/>
      <w:footerReference w:type="default" r:id="rId10"/>
      <w:headerReference w:type="first" r:id="rId11"/>
      <w:footerReference w:type="first" r:id="rId12"/>
      <w:pgSz w:w="12240" w:h="15840"/>
      <w:pgMar w:top="80" w:right="75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456" w:rsidRDefault="009D5456" w:rsidP="004B74C5">
      <w:r>
        <w:separator/>
      </w:r>
    </w:p>
  </w:endnote>
  <w:endnote w:type="continuationSeparator" w:id="0">
    <w:p w:rsidR="009D5456" w:rsidRDefault="009D5456" w:rsidP="004B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FF8" w:rsidRDefault="00833FF8">
    <w:pPr>
      <w:pBdr>
        <w:top w:val="nil"/>
        <w:left w:val="nil"/>
        <w:bottom w:val="nil"/>
        <w:right w:val="nil"/>
        <w:between w:val="nil"/>
      </w:pBdr>
      <w:tabs>
        <w:tab w:val="center" w:pos="4419"/>
        <w:tab w:val="right" w:pos="8838"/>
      </w:tabs>
      <w:jc w:val="right"/>
      <w:rPr>
        <w:color w:val="000000"/>
      </w:rPr>
    </w:pPr>
  </w:p>
  <w:p w:rsidR="00833FF8" w:rsidRPr="005351ED" w:rsidRDefault="00833FF8">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5351ED">
      <w:rPr>
        <w:rFonts w:ascii="Palatino Linotype" w:hAnsi="Palatino Linotype"/>
        <w:b/>
        <w:color w:val="000000"/>
        <w:sz w:val="22"/>
        <w:szCs w:val="22"/>
      </w:rPr>
      <w:t xml:space="preserve">Página </w:t>
    </w:r>
    <w:r w:rsidRPr="005351ED">
      <w:rPr>
        <w:rFonts w:ascii="Palatino Linotype" w:hAnsi="Palatino Linotype"/>
        <w:b/>
        <w:color w:val="000000"/>
        <w:sz w:val="22"/>
        <w:szCs w:val="22"/>
      </w:rPr>
      <w:fldChar w:fldCharType="begin"/>
    </w:r>
    <w:r w:rsidRPr="005351ED">
      <w:rPr>
        <w:rFonts w:ascii="Palatino Linotype" w:hAnsi="Palatino Linotype"/>
        <w:b/>
        <w:color w:val="000000"/>
        <w:sz w:val="22"/>
        <w:szCs w:val="22"/>
      </w:rPr>
      <w:instrText>PAGE</w:instrText>
    </w:r>
    <w:r w:rsidRPr="005351ED">
      <w:rPr>
        <w:rFonts w:ascii="Palatino Linotype" w:hAnsi="Palatino Linotype"/>
        <w:b/>
        <w:color w:val="000000"/>
        <w:sz w:val="22"/>
        <w:szCs w:val="22"/>
      </w:rPr>
      <w:fldChar w:fldCharType="separate"/>
    </w:r>
    <w:r w:rsidR="005351ED">
      <w:rPr>
        <w:rFonts w:ascii="Palatino Linotype" w:hAnsi="Palatino Linotype"/>
        <w:b/>
        <w:noProof/>
        <w:color w:val="000000"/>
        <w:sz w:val="22"/>
        <w:szCs w:val="22"/>
      </w:rPr>
      <w:t>21</w:t>
    </w:r>
    <w:r w:rsidRPr="005351ED">
      <w:rPr>
        <w:rFonts w:ascii="Palatino Linotype" w:hAnsi="Palatino Linotype"/>
        <w:b/>
        <w:color w:val="000000"/>
        <w:sz w:val="22"/>
        <w:szCs w:val="22"/>
      </w:rPr>
      <w:fldChar w:fldCharType="end"/>
    </w:r>
    <w:r w:rsidRPr="005351ED">
      <w:rPr>
        <w:rFonts w:ascii="Palatino Linotype" w:hAnsi="Palatino Linotype"/>
        <w:b/>
        <w:color w:val="000000"/>
        <w:sz w:val="22"/>
        <w:szCs w:val="22"/>
      </w:rPr>
      <w:t xml:space="preserve"> de </w:t>
    </w:r>
    <w:r w:rsidRPr="005351ED">
      <w:rPr>
        <w:rFonts w:ascii="Palatino Linotype" w:hAnsi="Palatino Linotype"/>
        <w:b/>
        <w:color w:val="000000"/>
        <w:sz w:val="22"/>
        <w:szCs w:val="22"/>
      </w:rPr>
      <w:fldChar w:fldCharType="begin"/>
    </w:r>
    <w:r w:rsidRPr="005351ED">
      <w:rPr>
        <w:rFonts w:ascii="Palatino Linotype" w:hAnsi="Palatino Linotype"/>
        <w:b/>
        <w:color w:val="000000"/>
        <w:sz w:val="22"/>
        <w:szCs w:val="22"/>
      </w:rPr>
      <w:instrText>NUMPAGES</w:instrText>
    </w:r>
    <w:r w:rsidRPr="005351ED">
      <w:rPr>
        <w:rFonts w:ascii="Palatino Linotype" w:hAnsi="Palatino Linotype"/>
        <w:b/>
        <w:color w:val="000000"/>
        <w:sz w:val="22"/>
        <w:szCs w:val="22"/>
      </w:rPr>
      <w:fldChar w:fldCharType="separate"/>
    </w:r>
    <w:r w:rsidR="005351ED">
      <w:rPr>
        <w:rFonts w:ascii="Palatino Linotype" w:hAnsi="Palatino Linotype"/>
        <w:b/>
        <w:noProof/>
        <w:color w:val="000000"/>
        <w:sz w:val="22"/>
        <w:szCs w:val="22"/>
      </w:rPr>
      <w:t>28</w:t>
    </w:r>
    <w:r w:rsidRPr="005351ED">
      <w:rPr>
        <w:rFonts w:ascii="Palatino Linotype" w:hAnsi="Palatino Linotype"/>
        <w:b/>
        <w:color w:val="000000"/>
        <w:sz w:val="22"/>
        <w:szCs w:val="22"/>
      </w:rPr>
      <w:fldChar w:fldCharType="end"/>
    </w:r>
  </w:p>
  <w:p w:rsidR="00833FF8" w:rsidRDefault="00833FF8">
    <w:pPr>
      <w:pBdr>
        <w:top w:val="nil"/>
        <w:left w:val="nil"/>
        <w:bottom w:val="nil"/>
        <w:right w:val="nil"/>
        <w:between w:val="nil"/>
      </w:pBdr>
      <w:tabs>
        <w:tab w:val="center" w:pos="4419"/>
        <w:tab w:val="right" w:pos="8838"/>
      </w:tabs>
      <w:rPr>
        <w:color w:val="000000"/>
      </w:rPr>
    </w:pPr>
  </w:p>
  <w:p w:rsidR="00833FF8" w:rsidRDefault="00833FF8"/>
  <w:p w:rsidR="00833FF8" w:rsidRDefault="00833FF8"/>
  <w:p w:rsidR="00833FF8" w:rsidRDefault="00833F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FF8" w:rsidRPr="005351ED" w:rsidRDefault="00833FF8">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5351ED">
      <w:rPr>
        <w:rFonts w:ascii="Palatino Linotype" w:hAnsi="Palatino Linotype"/>
        <w:b/>
        <w:color w:val="000000"/>
        <w:sz w:val="22"/>
        <w:szCs w:val="22"/>
      </w:rPr>
      <w:t xml:space="preserve">Página </w:t>
    </w:r>
    <w:r w:rsidRPr="005351ED">
      <w:rPr>
        <w:rFonts w:ascii="Palatino Linotype" w:hAnsi="Palatino Linotype"/>
        <w:b/>
        <w:color w:val="000000"/>
        <w:sz w:val="22"/>
        <w:szCs w:val="22"/>
      </w:rPr>
      <w:fldChar w:fldCharType="begin"/>
    </w:r>
    <w:r w:rsidRPr="005351ED">
      <w:rPr>
        <w:rFonts w:ascii="Palatino Linotype" w:hAnsi="Palatino Linotype"/>
        <w:b/>
        <w:color w:val="000000"/>
        <w:sz w:val="22"/>
        <w:szCs w:val="22"/>
      </w:rPr>
      <w:instrText>PAGE</w:instrText>
    </w:r>
    <w:r w:rsidRPr="005351ED">
      <w:rPr>
        <w:rFonts w:ascii="Palatino Linotype" w:hAnsi="Palatino Linotype"/>
        <w:b/>
        <w:color w:val="000000"/>
        <w:sz w:val="22"/>
        <w:szCs w:val="22"/>
      </w:rPr>
      <w:fldChar w:fldCharType="separate"/>
    </w:r>
    <w:r w:rsidR="005351ED">
      <w:rPr>
        <w:rFonts w:ascii="Palatino Linotype" w:hAnsi="Palatino Linotype"/>
        <w:b/>
        <w:noProof/>
        <w:color w:val="000000"/>
        <w:sz w:val="22"/>
        <w:szCs w:val="22"/>
      </w:rPr>
      <w:t>1</w:t>
    </w:r>
    <w:r w:rsidRPr="005351ED">
      <w:rPr>
        <w:rFonts w:ascii="Palatino Linotype" w:hAnsi="Palatino Linotype"/>
        <w:b/>
        <w:color w:val="000000"/>
        <w:sz w:val="22"/>
        <w:szCs w:val="22"/>
      </w:rPr>
      <w:fldChar w:fldCharType="end"/>
    </w:r>
    <w:r w:rsidRPr="005351ED">
      <w:rPr>
        <w:rFonts w:ascii="Palatino Linotype" w:hAnsi="Palatino Linotype"/>
        <w:b/>
        <w:color w:val="000000"/>
        <w:sz w:val="22"/>
        <w:szCs w:val="22"/>
      </w:rPr>
      <w:t xml:space="preserve"> de </w:t>
    </w:r>
    <w:r w:rsidRPr="005351ED">
      <w:rPr>
        <w:rFonts w:ascii="Palatino Linotype" w:hAnsi="Palatino Linotype"/>
        <w:b/>
        <w:color w:val="000000"/>
        <w:sz w:val="22"/>
        <w:szCs w:val="22"/>
      </w:rPr>
      <w:fldChar w:fldCharType="begin"/>
    </w:r>
    <w:r w:rsidRPr="005351ED">
      <w:rPr>
        <w:rFonts w:ascii="Palatino Linotype" w:hAnsi="Palatino Linotype"/>
        <w:b/>
        <w:color w:val="000000"/>
        <w:sz w:val="22"/>
        <w:szCs w:val="22"/>
      </w:rPr>
      <w:instrText>NUMPAGES</w:instrText>
    </w:r>
    <w:r w:rsidRPr="005351ED">
      <w:rPr>
        <w:rFonts w:ascii="Palatino Linotype" w:hAnsi="Palatino Linotype"/>
        <w:b/>
        <w:color w:val="000000"/>
        <w:sz w:val="22"/>
        <w:szCs w:val="22"/>
      </w:rPr>
      <w:fldChar w:fldCharType="separate"/>
    </w:r>
    <w:r w:rsidR="005351ED">
      <w:rPr>
        <w:rFonts w:ascii="Palatino Linotype" w:hAnsi="Palatino Linotype"/>
        <w:b/>
        <w:noProof/>
        <w:color w:val="000000"/>
        <w:sz w:val="22"/>
        <w:szCs w:val="22"/>
      </w:rPr>
      <w:t>28</w:t>
    </w:r>
    <w:r w:rsidRPr="005351ED">
      <w:rPr>
        <w:rFonts w:ascii="Palatino Linotype" w:hAnsi="Palatino Linotype"/>
        <w:b/>
        <w:color w:val="000000"/>
        <w:sz w:val="22"/>
        <w:szCs w:val="22"/>
      </w:rPr>
      <w:fldChar w:fldCharType="end"/>
    </w:r>
  </w:p>
  <w:p w:rsidR="00833FF8" w:rsidRDefault="00833FF8">
    <w:pPr>
      <w:pBdr>
        <w:top w:val="nil"/>
        <w:left w:val="nil"/>
        <w:bottom w:val="nil"/>
        <w:right w:val="nil"/>
        <w:between w:val="nil"/>
      </w:pBdr>
      <w:tabs>
        <w:tab w:val="center" w:pos="4419"/>
        <w:tab w:val="right" w:pos="8838"/>
      </w:tabs>
      <w:rPr>
        <w:color w:val="000000"/>
      </w:rPr>
    </w:pPr>
  </w:p>
  <w:p w:rsidR="00833FF8" w:rsidRDefault="00833FF8"/>
  <w:p w:rsidR="00833FF8" w:rsidRDefault="00833FF8"/>
  <w:p w:rsidR="00833FF8" w:rsidRDefault="00833F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456" w:rsidRDefault="009D5456" w:rsidP="004B74C5">
      <w:r>
        <w:separator/>
      </w:r>
    </w:p>
  </w:footnote>
  <w:footnote w:type="continuationSeparator" w:id="0">
    <w:p w:rsidR="009D5456" w:rsidRDefault="009D5456" w:rsidP="004B74C5">
      <w:r>
        <w:continuationSeparator/>
      </w:r>
    </w:p>
  </w:footnote>
  <w:footnote w:id="1">
    <w:p w:rsidR="00833FF8" w:rsidRDefault="00833FF8" w:rsidP="004B74C5">
      <w:pPr>
        <w:pStyle w:val="Textonotapie"/>
      </w:pPr>
      <w:r>
        <w:rPr>
          <w:rStyle w:val="Refdenotaalpie"/>
        </w:rPr>
        <w:footnoteRef/>
      </w:r>
      <w:r>
        <w:t xml:space="preserve"> Artículo 150. Ley de Transparencia y Acceso a la Información Pública del Estado de México y Municipios.</w:t>
      </w:r>
    </w:p>
    <w:p w:rsidR="00833FF8" w:rsidRDefault="00833FF8" w:rsidP="004B74C5">
      <w:pPr>
        <w:pStyle w:val="Textonotapie"/>
      </w:pPr>
      <w:r>
        <w:t>Artículo 151. Ibídem.</w:t>
      </w:r>
    </w:p>
  </w:footnote>
  <w:footnote w:id="2">
    <w:p w:rsidR="00833FF8" w:rsidRDefault="00833FF8" w:rsidP="004B74C5">
      <w:pPr>
        <w:pStyle w:val="Textonotapie"/>
      </w:pPr>
      <w:r>
        <w:rPr>
          <w:rStyle w:val="Refdenotaalpie"/>
        </w:rPr>
        <w:footnoteRef/>
      </w:r>
      <w:r>
        <w:t xml:space="preserve"> Fracción IV. Artículo 53.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FF8" w:rsidRDefault="009D545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216;mso-position-horizontal:center;mso-position-horizontal-relative:margin;mso-position-vertical:center;mso-position-vertical-relative:margin">
          <v:imagedata r:id="rId1" o:title="image1"/>
          <w10:wrap anchorx="margin" anchory="margin"/>
        </v:shape>
      </w:pict>
    </w:r>
  </w:p>
  <w:p w:rsidR="00833FF8" w:rsidRDefault="00833FF8"/>
  <w:p w:rsidR="00833FF8" w:rsidRDefault="00833FF8"/>
  <w:p w:rsidR="00833FF8" w:rsidRDefault="00833F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1843"/>
      <w:gridCol w:w="8505"/>
    </w:tblGrid>
    <w:tr w:rsidR="00833FF8" w:rsidTr="005351ED">
      <w:trPr>
        <w:trHeight w:val="1435"/>
      </w:trPr>
      <w:tc>
        <w:tcPr>
          <w:tcW w:w="1843" w:type="dxa"/>
          <w:shd w:val="clear" w:color="auto" w:fill="auto"/>
        </w:tcPr>
        <w:p w:rsidR="00833FF8" w:rsidRDefault="00833FF8">
          <w:pPr>
            <w:tabs>
              <w:tab w:val="right" w:pos="4273"/>
            </w:tabs>
            <w:rPr>
              <w:rFonts w:ascii="Garamond" w:eastAsia="Garamond" w:hAnsi="Garamond" w:cs="Garamond"/>
              <w:sz w:val="16"/>
              <w:szCs w:val="16"/>
            </w:rPr>
          </w:pPr>
        </w:p>
      </w:tc>
      <w:tc>
        <w:tcPr>
          <w:tcW w:w="8505" w:type="dxa"/>
          <w:shd w:val="clear" w:color="auto" w:fill="auto"/>
        </w:tcPr>
        <w:tbl>
          <w:tblPr>
            <w:tblW w:w="7378" w:type="dxa"/>
            <w:tblInd w:w="1735" w:type="dxa"/>
            <w:tblBorders>
              <w:top w:val="nil"/>
              <w:left w:val="nil"/>
              <w:bottom w:val="nil"/>
              <w:right w:val="nil"/>
              <w:insideH w:val="nil"/>
              <w:insideV w:val="nil"/>
            </w:tblBorders>
            <w:tblLayout w:type="fixed"/>
            <w:tblLook w:val="0400" w:firstRow="0" w:lastRow="0" w:firstColumn="0" w:lastColumn="0" w:noHBand="0" w:noVBand="1"/>
          </w:tblPr>
          <w:tblGrid>
            <w:gridCol w:w="2834"/>
            <w:gridCol w:w="4544"/>
          </w:tblGrid>
          <w:tr w:rsidR="00833FF8" w:rsidTr="005351ED">
            <w:trPr>
              <w:trHeight w:val="338"/>
            </w:trPr>
            <w:tc>
              <w:tcPr>
                <w:tcW w:w="2834" w:type="dxa"/>
              </w:tcPr>
              <w:p w:rsidR="00833FF8" w:rsidRPr="005351ED" w:rsidRDefault="00833FF8">
                <w:pPr>
                  <w:tabs>
                    <w:tab w:val="right" w:pos="8838"/>
                  </w:tabs>
                  <w:ind w:right="-105"/>
                  <w:rPr>
                    <w:rFonts w:ascii="Palatino Linotype" w:eastAsia="Palatino Linotype" w:hAnsi="Palatino Linotype" w:cs="Palatino Linotype"/>
                    <w:b/>
                    <w:sz w:val="24"/>
                    <w:szCs w:val="24"/>
                  </w:rPr>
                </w:pPr>
                <w:r w:rsidRPr="005351ED">
                  <w:rPr>
                    <w:rFonts w:ascii="Palatino Linotype" w:eastAsia="Palatino Linotype" w:hAnsi="Palatino Linotype" w:cs="Palatino Linotype"/>
                    <w:b/>
                    <w:sz w:val="24"/>
                    <w:szCs w:val="24"/>
                  </w:rPr>
                  <w:t>Recurso de Revisión:</w:t>
                </w:r>
              </w:p>
            </w:tc>
            <w:tc>
              <w:tcPr>
                <w:tcW w:w="4544" w:type="dxa"/>
              </w:tcPr>
              <w:p w:rsidR="00833FF8" w:rsidRPr="005351ED" w:rsidRDefault="00833FF8" w:rsidP="005351ED">
                <w:pPr>
                  <w:tabs>
                    <w:tab w:val="right" w:pos="8838"/>
                  </w:tabs>
                  <w:ind w:right="-105" w:hanging="101"/>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07998/INFOEM/IP/RR/2025</w:t>
                </w:r>
              </w:p>
            </w:tc>
          </w:tr>
          <w:tr w:rsidR="00833FF8" w:rsidTr="005351ED">
            <w:trPr>
              <w:trHeight w:val="283"/>
            </w:trPr>
            <w:tc>
              <w:tcPr>
                <w:tcW w:w="2834" w:type="dxa"/>
              </w:tcPr>
              <w:p w:rsidR="00833FF8" w:rsidRPr="005351ED" w:rsidRDefault="00833FF8">
                <w:pPr>
                  <w:tabs>
                    <w:tab w:val="right" w:pos="8838"/>
                  </w:tabs>
                  <w:ind w:right="-105"/>
                  <w:rPr>
                    <w:rFonts w:ascii="Palatino Linotype" w:eastAsia="Palatino Linotype" w:hAnsi="Palatino Linotype" w:cs="Palatino Linotype"/>
                    <w:b/>
                    <w:sz w:val="24"/>
                    <w:szCs w:val="24"/>
                  </w:rPr>
                </w:pPr>
                <w:bookmarkStart w:id="13" w:name="_heading=h.3rdcrjn" w:colFirst="0" w:colLast="0"/>
                <w:bookmarkEnd w:id="13"/>
                <w:r w:rsidRPr="005351ED">
                  <w:rPr>
                    <w:rFonts w:ascii="Palatino Linotype" w:eastAsia="Palatino Linotype" w:hAnsi="Palatino Linotype" w:cs="Palatino Linotype"/>
                    <w:b/>
                    <w:sz w:val="24"/>
                    <w:szCs w:val="24"/>
                  </w:rPr>
                  <w:t>Sujeto Obligado:</w:t>
                </w:r>
              </w:p>
            </w:tc>
            <w:tc>
              <w:tcPr>
                <w:tcW w:w="4544" w:type="dxa"/>
              </w:tcPr>
              <w:p w:rsidR="00833FF8" w:rsidRPr="005351ED" w:rsidRDefault="005351ED" w:rsidP="005351ED">
                <w:pPr>
                  <w:tabs>
                    <w:tab w:val="right" w:pos="8838"/>
                  </w:tabs>
                  <w:ind w:left="-113" w:right="750"/>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Ayuntamiento de </w:t>
                </w:r>
                <w:r w:rsidR="00833FF8" w:rsidRPr="005351ED">
                  <w:rPr>
                    <w:rFonts w:ascii="Palatino Linotype" w:eastAsia="Palatino Linotype" w:hAnsi="Palatino Linotype" w:cs="Palatino Linotype"/>
                    <w:sz w:val="24"/>
                    <w:szCs w:val="24"/>
                  </w:rPr>
                  <w:t>Teoloyucan</w:t>
                </w:r>
              </w:p>
            </w:tc>
          </w:tr>
          <w:tr w:rsidR="00833FF8" w:rsidTr="005351ED">
            <w:trPr>
              <w:trHeight w:val="283"/>
            </w:trPr>
            <w:tc>
              <w:tcPr>
                <w:tcW w:w="2834" w:type="dxa"/>
              </w:tcPr>
              <w:p w:rsidR="00833FF8" w:rsidRPr="005351ED" w:rsidRDefault="00833FF8">
                <w:pPr>
                  <w:tabs>
                    <w:tab w:val="right" w:pos="8838"/>
                  </w:tabs>
                  <w:ind w:right="-105"/>
                  <w:rPr>
                    <w:rFonts w:ascii="Palatino Linotype" w:eastAsia="Palatino Linotype" w:hAnsi="Palatino Linotype" w:cs="Palatino Linotype"/>
                    <w:b/>
                    <w:sz w:val="24"/>
                    <w:szCs w:val="24"/>
                  </w:rPr>
                </w:pPr>
                <w:r w:rsidRPr="005351ED">
                  <w:rPr>
                    <w:rFonts w:ascii="Palatino Linotype" w:eastAsia="Palatino Linotype" w:hAnsi="Palatino Linotype" w:cs="Palatino Linotype"/>
                    <w:b/>
                    <w:sz w:val="24"/>
                    <w:szCs w:val="24"/>
                  </w:rPr>
                  <w:t>Comisionada Ponente:</w:t>
                </w:r>
              </w:p>
            </w:tc>
            <w:tc>
              <w:tcPr>
                <w:tcW w:w="4544" w:type="dxa"/>
              </w:tcPr>
              <w:p w:rsidR="00833FF8" w:rsidRPr="005351ED" w:rsidRDefault="00833FF8" w:rsidP="005351ED">
                <w:pPr>
                  <w:tabs>
                    <w:tab w:val="right" w:pos="8838"/>
                  </w:tabs>
                  <w:ind w:left="-113" w:right="1174"/>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María del Rosario Mejía Ayala</w:t>
                </w:r>
              </w:p>
            </w:tc>
          </w:tr>
        </w:tbl>
        <w:p w:rsidR="00833FF8" w:rsidRDefault="00833FF8">
          <w:pPr>
            <w:tabs>
              <w:tab w:val="right" w:pos="8838"/>
            </w:tabs>
            <w:ind w:left="-28"/>
            <w:jc w:val="both"/>
            <w:rPr>
              <w:rFonts w:ascii="Arial" w:eastAsia="Arial" w:hAnsi="Arial" w:cs="Arial"/>
              <w:b/>
              <w:sz w:val="22"/>
              <w:szCs w:val="22"/>
            </w:rPr>
          </w:pPr>
        </w:p>
      </w:tc>
    </w:tr>
  </w:tbl>
  <w:p w:rsidR="00833FF8" w:rsidRPr="005351ED" w:rsidRDefault="009D5456" w:rsidP="005351ED">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6.95pt;margin-top:-137.15pt;width:663.5pt;height:12in;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1560"/>
      <w:gridCol w:w="8930"/>
    </w:tblGrid>
    <w:tr w:rsidR="00833FF8" w:rsidTr="005351ED">
      <w:trPr>
        <w:trHeight w:val="1435"/>
      </w:trPr>
      <w:tc>
        <w:tcPr>
          <w:tcW w:w="1560" w:type="dxa"/>
          <w:shd w:val="clear" w:color="auto" w:fill="auto"/>
        </w:tcPr>
        <w:p w:rsidR="00833FF8" w:rsidRDefault="00833FF8">
          <w:pPr>
            <w:tabs>
              <w:tab w:val="right" w:pos="4273"/>
            </w:tabs>
            <w:rPr>
              <w:rFonts w:ascii="Garamond" w:eastAsia="Garamond" w:hAnsi="Garamond" w:cs="Garamond"/>
              <w:sz w:val="22"/>
              <w:szCs w:val="22"/>
            </w:rPr>
          </w:pPr>
        </w:p>
      </w:tc>
      <w:tc>
        <w:tcPr>
          <w:tcW w:w="8930" w:type="dxa"/>
          <w:shd w:val="clear" w:color="auto" w:fill="auto"/>
        </w:tcPr>
        <w:tbl>
          <w:tblPr>
            <w:tblW w:w="10738" w:type="dxa"/>
            <w:tblInd w:w="2160" w:type="dxa"/>
            <w:tblBorders>
              <w:top w:val="nil"/>
              <w:left w:val="nil"/>
              <w:bottom w:val="nil"/>
              <w:right w:val="nil"/>
              <w:insideH w:val="nil"/>
              <w:insideV w:val="nil"/>
            </w:tblBorders>
            <w:tblLayout w:type="fixed"/>
            <w:tblLook w:val="0400" w:firstRow="0" w:lastRow="0" w:firstColumn="0" w:lastColumn="0" w:noHBand="0" w:noVBand="1"/>
          </w:tblPr>
          <w:tblGrid>
            <w:gridCol w:w="2690"/>
            <w:gridCol w:w="4646"/>
            <w:gridCol w:w="3402"/>
          </w:tblGrid>
          <w:tr w:rsidR="00833FF8" w:rsidTr="005351ED">
            <w:trPr>
              <w:trHeight w:val="144"/>
            </w:trPr>
            <w:tc>
              <w:tcPr>
                <w:tcW w:w="2690" w:type="dxa"/>
              </w:tcPr>
              <w:p w:rsidR="00833FF8" w:rsidRPr="005351ED" w:rsidRDefault="00833FF8">
                <w:pPr>
                  <w:tabs>
                    <w:tab w:val="right" w:pos="8838"/>
                  </w:tabs>
                  <w:ind w:left="-74" w:right="-105"/>
                  <w:rPr>
                    <w:rFonts w:ascii="Palatino Linotype" w:eastAsia="Palatino Linotype" w:hAnsi="Palatino Linotype" w:cs="Palatino Linotype"/>
                    <w:b/>
                    <w:sz w:val="24"/>
                    <w:szCs w:val="24"/>
                  </w:rPr>
                </w:pPr>
                <w:bookmarkStart w:id="14" w:name="_heading=h.26in1rg" w:colFirst="0" w:colLast="0"/>
                <w:bookmarkEnd w:id="14"/>
                <w:r w:rsidRPr="005351ED">
                  <w:rPr>
                    <w:rFonts w:ascii="Palatino Linotype" w:eastAsia="Palatino Linotype" w:hAnsi="Palatino Linotype" w:cs="Palatino Linotype"/>
                    <w:b/>
                    <w:sz w:val="24"/>
                    <w:szCs w:val="24"/>
                  </w:rPr>
                  <w:t>Recurso de Revisión:</w:t>
                </w:r>
              </w:p>
            </w:tc>
            <w:tc>
              <w:tcPr>
                <w:tcW w:w="4646" w:type="dxa"/>
              </w:tcPr>
              <w:p w:rsidR="00833FF8" w:rsidRPr="005351ED" w:rsidRDefault="00833FF8" w:rsidP="005351ED">
                <w:pPr>
                  <w:tabs>
                    <w:tab w:val="right" w:pos="8838"/>
                  </w:tabs>
                  <w:ind w:left="-3" w:right="-105"/>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07998/INFOEM/IP/RR/2025</w:t>
                </w:r>
              </w:p>
            </w:tc>
            <w:tc>
              <w:tcPr>
                <w:tcW w:w="3402" w:type="dxa"/>
              </w:tcPr>
              <w:p w:rsidR="00833FF8" w:rsidRDefault="00833FF8">
                <w:pPr>
                  <w:tabs>
                    <w:tab w:val="right" w:pos="8838"/>
                  </w:tabs>
                  <w:ind w:left="-74" w:right="-105"/>
                  <w:jc w:val="both"/>
                  <w:rPr>
                    <w:rFonts w:ascii="Palatino Linotype" w:eastAsia="Palatino Linotype" w:hAnsi="Palatino Linotype" w:cs="Palatino Linotype"/>
                    <w:sz w:val="22"/>
                    <w:szCs w:val="22"/>
                  </w:rPr>
                </w:pPr>
              </w:p>
            </w:tc>
          </w:tr>
          <w:tr w:rsidR="00833FF8" w:rsidTr="005351ED">
            <w:trPr>
              <w:trHeight w:val="144"/>
            </w:trPr>
            <w:tc>
              <w:tcPr>
                <w:tcW w:w="2690" w:type="dxa"/>
              </w:tcPr>
              <w:p w:rsidR="00833FF8" w:rsidRPr="005351ED" w:rsidRDefault="00833FF8">
                <w:pPr>
                  <w:tabs>
                    <w:tab w:val="right" w:pos="8838"/>
                  </w:tabs>
                  <w:ind w:left="-74" w:right="-105"/>
                  <w:rPr>
                    <w:rFonts w:ascii="Palatino Linotype" w:eastAsia="Palatino Linotype" w:hAnsi="Palatino Linotype" w:cs="Palatino Linotype"/>
                    <w:b/>
                    <w:sz w:val="24"/>
                    <w:szCs w:val="24"/>
                  </w:rPr>
                </w:pPr>
                <w:bookmarkStart w:id="15" w:name="_heading=h.lnxbz9" w:colFirst="0" w:colLast="0"/>
                <w:bookmarkEnd w:id="15"/>
                <w:r w:rsidRPr="005351ED">
                  <w:rPr>
                    <w:rFonts w:ascii="Palatino Linotype" w:eastAsia="Palatino Linotype" w:hAnsi="Palatino Linotype" w:cs="Palatino Linotype"/>
                    <w:b/>
                    <w:sz w:val="24"/>
                    <w:szCs w:val="24"/>
                  </w:rPr>
                  <w:t>Recurrente:</w:t>
                </w:r>
              </w:p>
            </w:tc>
            <w:tc>
              <w:tcPr>
                <w:tcW w:w="4646" w:type="dxa"/>
              </w:tcPr>
              <w:p w:rsidR="00833FF8" w:rsidRPr="005351ED" w:rsidRDefault="00833FF8" w:rsidP="005351ED">
                <w:pPr>
                  <w:tabs>
                    <w:tab w:val="left" w:pos="3122"/>
                    <w:tab w:val="right" w:pos="8838"/>
                  </w:tabs>
                  <w:ind w:right="1457"/>
                  <w:rPr>
                    <w:rFonts w:ascii="Palatino Linotype" w:eastAsia="Palatino Linotype" w:hAnsi="Palatino Linotype" w:cs="Palatino Linotype"/>
                    <w:sz w:val="24"/>
                    <w:szCs w:val="24"/>
                  </w:rPr>
                </w:pPr>
              </w:p>
            </w:tc>
            <w:tc>
              <w:tcPr>
                <w:tcW w:w="3402" w:type="dxa"/>
              </w:tcPr>
              <w:p w:rsidR="00833FF8" w:rsidRDefault="00833FF8">
                <w:pPr>
                  <w:tabs>
                    <w:tab w:val="left" w:pos="3122"/>
                    <w:tab w:val="right" w:pos="8838"/>
                  </w:tabs>
                  <w:ind w:right="-105"/>
                  <w:jc w:val="both"/>
                  <w:rPr>
                    <w:rFonts w:ascii="Palatino Linotype" w:eastAsia="Palatino Linotype" w:hAnsi="Palatino Linotype" w:cs="Palatino Linotype"/>
                    <w:sz w:val="22"/>
                    <w:szCs w:val="22"/>
                  </w:rPr>
                </w:pPr>
              </w:p>
            </w:tc>
          </w:tr>
          <w:tr w:rsidR="00833FF8" w:rsidTr="005351ED">
            <w:trPr>
              <w:trHeight w:val="283"/>
            </w:trPr>
            <w:tc>
              <w:tcPr>
                <w:tcW w:w="2690" w:type="dxa"/>
              </w:tcPr>
              <w:p w:rsidR="00833FF8" w:rsidRPr="005351ED" w:rsidRDefault="00833FF8">
                <w:pPr>
                  <w:tabs>
                    <w:tab w:val="right" w:pos="8838"/>
                  </w:tabs>
                  <w:ind w:left="-74" w:right="-105"/>
                  <w:rPr>
                    <w:rFonts w:ascii="Palatino Linotype" w:eastAsia="Palatino Linotype" w:hAnsi="Palatino Linotype" w:cs="Palatino Linotype"/>
                    <w:b/>
                    <w:sz w:val="24"/>
                    <w:szCs w:val="24"/>
                  </w:rPr>
                </w:pPr>
                <w:r w:rsidRPr="005351ED">
                  <w:rPr>
                    <w:rFonts w:ascii="Palatino Linotype" w:eastAsia="Palatino Linotype" w:hAnsi="Palatino Linotype" w:cs="Palatino Linotype"/>
                    <w:b/>
                    <w:sz w:val="24"/>
                    <w:szCs w:val="24"/>
                  </w:rPr>
                  <w:t>Sujeto Obligado:</w:t>
                </w:r>
              </w:p>
            </w:tc>
            <w:tc>
              <w:tcPr>
                <w:tcW w:w="4646" w:type="dxa"/>
              </w:tcPr>
              <w:p w:rsidR="00833FF8" w:rsidRPr="005351ED" w:rsidRDefault="005351ED" w:rsidP="005351ED">
                <w:pPr>
                  <w:tabs>
                    <w:tab w:val="right" w:pos="8838"/>
                  </w:tabs>
                  <w:ind w:left="-3" w:right="131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Ayuntamiento de</w:t>
                </w:r>
                <w:r w:rsidR="00833FF8" w:rsidRPr="005351ED">
                  <w:rPr>
                    <w:rFonts w:ascii="Palatino Linotype" w:eastAsia="Palatino Linotype" w:hAnsi="Palatino Linotype" w:cs="Palatino Linotype"/>
                    <w:sz w:val="24"/>
                    <w:szCs w:val="24"/>
                  </w:rPr>
                  <w:t>Teoloyucan</w:t>
                </w:r>
              </w:p>
            </w:tc>
            <w:tc>
              <w:tcPr>
                <w:tcW w:w="3402" w:type="dxa"/>
              </w:tcPr>
              <w:p w:rsidR="00833FF8" w:rsidRDefault="00833FF8">
                <w:pPr>
                  <w:tabs>
                    <w:tab w:val="left" w:pos="2834"/>
                    <w:tab w:val="right" w:pos="8838"/>
                  </w:tabs>
                  <w:ind w:left="-74" w:right="-105"/>
                  <w:jc w:val="both"/>
                  <w:rPr>
                    <w:rFonts w:ascii="Palatino Linotype" w:eastAsia="Palatino Linotype" w:hAnsi="Palatino Linotype" w:cs="Palatino Linotype"/>
                    <w:sz w:val="22"/>
                    <w:szCs w:val="22"/>
                  </w:rPr>
                </w:pPr>
              </w:p>
            </w:tc>
          </w:tr>
          <w:tr w:rsidR="00833FF8" w:rsidTr="005351ED">
            <w:trPr>
              <w:trHeight w:val="283"/>
            </w:trPr>
            <w:tc>
              <w:tcPr>
                <w:tcW w:w="2690" w:type="dxa"/>
              </w:tcPr>
              <w:p w:rsidR="00833FF8" w:rsidRPr="005351ED" w:rsidRDefault="00833FF8">
                <w:pPr>
                  <w:tabs>
                    <w:tab w:val="right" w:pos="8838"/>
                  </w:tabs>
                  <w:ind w:left="-74" w:right="-105"/>
                  <w:rPr>
                    <w:rFonts w:ascii="Palatino Linotype" w:eastAsia="Palatino Linotype" w:hAnsi="Palatino Linotype" w:cs="Palatino Linotype"/>
                    <w:b/>
                    <w:sz w:val="24"/>
                    <w:szCs w:val="24"/>
                  </w:rPr>
                </w:pPr>
                <w:r w:rsidRPr="005351ED">
                  <w:rPr>
                    <w:rFonts w:ascii="Palatino Linotype" w:eastAsia="Palatino Linotype" w:hAnsi="Palatino Linotype" w:cs="Palatino Linotype"/>
                    <w:b/>
                    <w:sz w:val="24"/>
                    <w:szCs w:val="24"/>
                  </w:rPr>
                  <w:t>Comisionada Ponente:</w:t>
                </w:r>
              </w:p>
            </w:tc>
            <w:tc>
              <w:tcPr>
                <w:tcW w:w="4646" w:type="dxa"/>
              </w:tcPr>
              <w:p w:rsidR="00833FF8" w:rsidRPr="005351ED" w:rsidRDefault="00833FF8" w:rsidP="005351ED">
                <w:pPr>
                  <w:tabs>
                    <w:tab w:val="right" w:pos="8838"/>
                  </w:tabs>
                  <w:ind w:left="-3" w:right="-105"/>
                  <w:rPr>
                    <w:rFonts w:ascii="Palatino Linotype" w:eastAsia="Palatino Linotype" w:hAnsi="Palatino Linotype" w:cs="Palatino Linotype"/>
                    <w:sz w:val="24"/>
                    <w:szCs w:val="24"/>
                  </w:rPr>
                </w:pPr>
                <w:r w:rsidRPr="005351ED">
                  <w:rPr>
                    <w:rFonts w:ascii="Palatino Linotype" w:eastAsia="Palatino Linotype" w:hAnsi="Palatino Linotype" w:cs="Palatino Linotype"/>
                    <w:sz w:val="24"/>
                    <w:szCs w:val="24"/>
                  </w:rPr>
                  <w:t>María del Rosario Mejía Ayala</w:t>
                </w:r>
              </w:p>
            </w:tc>
            <w:tc>
              <w:tcPr>
                <w:tcW w:w="3402" w:type="dxa"/>
              </w:tcPr>
              <w:p w:rsidR="00833FF8" w:rsidRDefault="00833FF8">
                <w:pPr>
                  <w:tabs>
                    <w:tab w:val="right" w:pos="8838"/>
                  </w:tabs>
                  <w:ind w:left="-74" w:right="-105"/>
                  <w:jc w:val="both"/>
                  <w:rPr>
                    <w:rFonts w:ascii="Palatino Linotype" w:eastAsia="Palatino Linotype" w:hAnsi="Palatino Linotype" w:cs="Palatino Linotype"/>
                    <w:sz w:val="22"/>
                    <w:szCs w:val="22"/>
                  </w:rPr>
                </w:pPr>
              </w:p>
            </w:tc>
          </w:tr>
        </w:tbl>
        <w:p w:rsidR="00833FF8" w:rsidRDefault="00833FF8">
          <w:pPr>
            <w:tabs>
              <w:tab w:val="right" w:pos="8838"/>
            </w:tabs>
            <w:ind w:left="-28"/>
            <w:jc w:val="both"/>
            <w:rPr>
              <w:rFonts w:ascii="Arial" w:eastAsia="Arial" w:hAnsi="Arial" w:cs="Arial"/>
              <w:b/>
              <w:sz w:val="22"/>
              <w:szCs w:val="22"/>
            </w:rPr>
          </w:pPr>
        </w:p>
      </w:tc>
    </w:tr>
  </w:tbl>
  <w:p w:rsidR="00833FF8" w:rsidRPr="005351ED" w:rsidRDefault="009D5456" w:rsidP="005351ED">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0.2pt;margin-top:-141.75pt;width:663.5pt;height:12in;z-index:-25165516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B0D55"/>
    <w:multiLevelType w:val="hybridMultilevel"/>
    <w:tmpl w:val="0186D16E"/>
    <w:lvl w:ilvl="0" w:tplc="0E9E1CB8">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2E2842"/>
    <w:multiLevelType w:val="hybridMultilevel"/>
    <w:tmpl w:val="5854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B85FFE"/>
    <w:multiLevelType w:val="hybridMultilevel"/>
    <w:tmpl w:val="CDE8D01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85D6F45"/>
    <w:multiLevelType w:val="hybridMultilevel"/>
    <w:tmpl w:val="9D3C8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B20654"/>
    <w:multiLevelType w:val="hybridMultilevel"/>
    <w:tmpl w:val="6200ED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4046A8"/>
    <w:multiLevelType w:val="multilevel"/>
    <w:tmpl w:val="9C4C8BD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317490"/>
    <w:multiLevelType w:val="hybridMultilevel"/>
    <w:tmpl w:val="8AB0FB78"/>
    <w:lvl w:ilvl="0" w:tplc="92BE0B36">
      <w:start w:val="1"/>
      <w:numFmt w:val="decimal"/>
      <w:lvlText w:val="%1."/>
      <w:lvlJc w:val="left"/>
      <w:pPr>
        <w:ind w:left="644" w:hanging="360"/>
      </w:pPr>
      <w:rPr>
        <w:rFonts w:ascii="Palatino Linotype" w:hAnsi="Palatino Linotype" w:hint="default"/>
        <w:b/>
        <w:i w:val="0"/>
        <w:color w:val="auto"/>
        <w:sz w:val="24"/>
      </w:rPr>
    </w:lvl>
    <w:lvl w:ilvl="1" w:tplc="080A0013">
      <w:start w:val="1"/>
      <w:numFmt w:val="upperRoman"/>
      <w:lvlText w:val="%2."/>
      <w:lvlJc w:val="right"/>
      <w:pPr>
        <w:ind w:left="7525" w:hanging="720"/>
      </w:pPr>
      <w:rPr>
        <w:rFonts w:hint="default"/>
      </w:rPr>
    </w:lvl>
    <w:lvl w:ilvl="2" w:tplc="362EE9DC">
      <w:start w:val="4"/>
      <w:numFmt w:val="lowerLetter"/>
      <w:lvlText w:val="%3)"/>
      <w:lvlJc w:val="left"/>
      <w:pPr>
        <w:ind w:left="2340" w:hanging="360"/>
      </w:pPr>
      <w:rPr>
        <w:rFonts w:hint="default"/>
      </w:rPr>
    </w:lvl>
    <w:lvl w:ilvl="3" w:tplc="080A000F">
      <w:start w:val="1"/>
      <w:numFmt w:val="decimal"/>
      <w:lvlText w:val="%4."/>
      <w:lvlJc w:val="left"/>
      <w:pPr>
        <w:ind w:left="2880" w:hanging="360"/>
      </w:pPr>
    </w:lvl>
    <w:lvl w:ilvl="4" w:tplc="3B14BCD2">
      <w:start w:val="104"/>
      <w:numFmt w:val="decimal"/>
      <w:lvlText w:val="%5"/>
      <w:lvlJc w:val="left"/>
      <w:pPr>
        <w:ind w:left="3600" w:hanging="360"/>
      </w:pPr>
      <w:rPr>
        <w:rFonts w:hint="default"/>
        <w:b/>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8026C73"/>
    <w:multiLevelType w:val="hybridMultilevel"/>
    <w:tmpl w:val="C510A1A8"/>
    <w:lvl w:ilvl="0" w:tplc="8CA4E51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0F2868"/>
    <w:multiLevelType w:val="hybridMultilevel"/>
    <w:tmpl w:val="B0568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99A6497"/>
    <w:multiLevelType w:val="hybridMultilevel"/>
    <w:tmpl w:val="A838D5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D4512DF"/>
    <w:multiLevelType w:val="hybridMultilevel"/>
    <w:tmpl w:val="5D10B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ED206AE"/>
    <w:multiLevelType w:val="hybridMultilevel"/>
    <w:tmpl w:val="644661F6"/>
    <w:lvl w:ilvl="0" w:tplc="37263B90">
      <w:numFmt w:val="bullet"/>
      <w:lvlText w:val="-"/>
      <w:lvlJc w:val="left"/>
      <w:pPr>
        <w:ind w:left="720" w:hanging="360"/>
      </w:pPr>
      <w:rPr>
        <w:rFonts w:ascii="Palatino Linotype" w:eastAsia="Palatino Linotype" w:hAnsi="Palatino Linotype" w:cs="Palatino Linotype" w:hint="default"/>
        <w:color w:val="000000"/>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FD155EF"/>
    <w:multiLevelType w:val="hybridMultilevel"/>
    <w:tmpl w:val="54D49C84"/>
    <w:lvl w:ilvl="0" w:tplc="4AE6BC5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13"/>
  </w:num>
  <w:num w:numId="5">
    <w:abstractNumId w:val="0"/>
  </w:num>
  <w:num w:numId="6">
    <w:abstractNumId w:val="8"/>
  </w:num>
  <w:num w:numId="7">
    <w:abstractNumId w:val="11"/>
  </w:num>
  <w:num w:numId="8">
    <w:abstractNumId w:val="3"/>
  </w:num>
  <w:num w:numId="9">
    <w:abstractNumId w:val="4"/>
  </w:num>
  <w:num w:numId="10">
    <w:abstractNumId w:val="1"/>
  </w:num>
  <w:num w:numId="11">
    <w:abstractNumId w:val="12"/>
  </w:num>
  <w:num w:numId="12">
    <w:abstractNumId w:val="6"/>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C5"/>
    <w:rsid w:val="00020765"/>
    <w:rsid w:val="000A3CBC"/>
    <w:rsid w:val="002C1053"/>
    <w:rsid w:val="002C72B5"/>
    <w:rsid w:val="003725A0"/>
    <w:rsid w:val="00412274"/>
    <w:rsid w:val="00412CB7"/>
    <w:rsid w:val="004B74C5"/>
    <w:rsid w:val="004C4670"/>
    <w:rsid w:val="005351ED"/>
    <w:rsid w:val="005924A8"/>
    <w:rsid w:val="00723C8C"/>
    <w:rsid w:val="00736438"/>
    <w:rsid w:val="00782D40"/>
    <w:rsid w:val="00814958"/>
    <w:rsid w:val="00833FF8"/>
    <w:rsid w:val="00837CC7"/>
    <w:rsid w:val="00862CD2"/>
    <w:rsid w:val="00937C7A"/>
    <w:rsid w:val="00970212"/>
    <w:rsid w:val="009C3BC2"/>
    <w:rsid w:val="009D5456"/>
    <w:rsid w:val="009F61F9"/>
    <w:rsid w:val="00A00D69"/>
    <w:rsid w:val="00AB5655"/>
    <w:rsid w:val="00AC07FE"/>
    <w:rsid w:val="00AC77E8"/>
    <w:rsid w:val="00D0039F"/>
    <w:rsid w:val="00DD40A8"/>
    <w:rsid w:val="00DE502A"/>
    <w:rsid w:val="00E00C7A"/>
    <w:rsid w:val="00F129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1A58C34-9229-4D75-ABFC-E74091FF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4C5"/>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4B74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B74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4B74C5"/>
    <w:pPr>
      <w:keepNext/>
      <w:keepLines/>
      <w:spacing w:before="40"/>
      <w:outlineLvl w:val="2"/>
    </w:pPr>
    <w:rPr>
      <w:rFonts w:asciiTheme="majorHAnsi" w:eastAsiaTheme="majorEastAsia" w:hAnsiTheme="majorHAnsi" w:cstheme="majorBidi"/>
      <w:color w:val="1F4D78" w:themeColor="accent1" w:themeShade="7F"/>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74C5"/>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4B74C5"/>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4B74C5"/>
    <w:rPr>
      <w:rFonts w:asciiTheme="majorHAnsi" w:eastAsiaTheme="majorEastAsia" w:hAnsiTheme="majorHAnsi" w:cstheme="majorBidi"/>
      <w:color w:val="1F4D78" w:themeColor="accent1" w:themeShade="7F"/>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B74C5"/>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4B74C5"/>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4B74C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4B74C5"/>
    <w:rPr>
      <w:rFonts w:asciiTheme="minorHAnsi" w:eastAsiaTheme="minorHAnsi" w:hAnsiTheme="minorHAnsi" w:cstheme="minorBid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4B74C5"/>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4B74C5"/>
    <w:rPr>
      <w:vertAlign w:val="superscript"/>
    </w:rPr>
  </w:style>
  <w:style w:type="table" w:styleId="Tabladecuadrcula4-nfasis3">
    <w:name w:val="Grid Table 4 Accent 3"/>
    <w:basedOn w:val="Tablanormal"/>
    <w:uiPriority w:val="49"/>
    <w:rsid w:val="004B74C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Fuentedeprrafopredeter"/>
    <w:rsid w:val="004B74C5"/>
  </w:style>
  <w:style w:type="paragraph" w:styleId="Piedepgina">
    <w:name w:val="footer"/>
    <w:basedOn w:val="Normal"/>
    <w:link w:val="PiedepginaCar"/>
    <w:uiPriority w:val="99"/>
    <w:unhideWhenUsed/>
    <w:rsid w:val="009F61F9"/>
    <w:pPr>
      <w:tabs>
        <w:tab w:val="center" w:pos="4419"/>
        <w:tab w:val="right" w:pos="8838"/>
      </w:tabs>
    </w:pPr>
  </w:style>
  <w:style w:type="character" w:customStyle="1" w:styleId="PiedepginaCar">
    <w:name w:val="Pie de página Car"/>
    <w:basedOn w:val="Fuentedeprrafopredeter"/>
    <w:link w:val="Piedepgina"/>
    <w:uiPriority w:val="99"/>
    <w:rsid w:val="009F61F9"/>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imex.org.mx/saimex/solicitud/downloadAttach/2502264.pa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28</Pages>
  <Words>6329</Words>
  <Characters>34815</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10</cp:revision>
  <cp:lastPrinted>2026-03-06T19:25:00Z</cp:lastPrinted>
  <dcterms:created xsi:type="dcterms:W3CDTF">2026-03-03T18:12:00Z</dcterms:created>
  <dcterms:modified xsi:type="dcterms:W3CDTF">2026-03-11T23:11:00Z</dcterms:modified>
</cp:coreProperties>
</file>