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FC0" w:rsidRPr="000F1B8C" w:rsidRDefault="00A34724">
      <w:pPr>
        <w:tabs>
          <w:tab w:val="left" w:pos="3465"/>
        </w:tabs>
        <w:spacing w:line="360" w:lineRule="auto"/>
        <w:ind w:right="49"/>
        <w:jc w:val="both"/>
        <w:rPr>
          <w:rFonts w:ascii="Palatino Linotype" w:eastAsia="Palatino Linotype" w:hAnsi="Palatino Linotype" w:cs="Palatino Linotype"/>
          <w:szCs w:val="22"/>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0F1B8C">
        <w:rPr>
          <w:rFonts w:ascii="Palatino Linotype" w:eastAsia="Palatino Linotype" w:hAnsi="Palatino Linotype" w:cs="Palatino Linotype"/>
          <w:b/>
          <w:bCs/>
          <w:szCs w:val="22"/>
        </w:rPr>
        <w:t xml:space="preserve">catorce </w:t>
      </w:r>
      <w:r w:rsidR="00B210F9" w:rsidRPr="000F1B8C">
        <w:rPr>
          <w:rFonts w:ascii="Palatino Linotype" w:eastAsia="Palatino Linotype" w:hAnsi="Palatino Linotype" w:cs="Palatino Linotype"/>
          <w:b/>
          <w:bCs/>
          <w:szCs w:val="22"/>
        </w:rPr>
        <w:t xml:space="preserve">(14) </w:t>
      </w:r>
      <w:r w:rsidRPr="000F1B8C">
        <w:rPr>
          <w:rFonts w:ascii="Palatino Linotype" w:eastAsia="Palatino Linotype" w:hAnsi="Palatino Linotype" w:cs="Palatino Linotype"/>
          <w:b/>
          <w:bCs/>
          <w:szCs w:val="22"/>
        </w:rPr>
        <w:t>de enero de dos mil veintiséis</w:t>
      </w:r>
      <w:r w:rsidRPr="000F1B8C">
        <w:rPr>
          <w:rFonts w:ascii="Palatino Linotype" w:eastAsia="Palatino Linotype" w:hAnsi="Palatino Linotype" w:cs="Palatino Linotype"/>
          <w:szCs w:val="22"/>
        </w:rPr>
        <w:t>.</w:t>
      </w:r>
    </w:p>
    <w:p w:rsidR="00E96FC0" w:rsidRDefault="00E96FC0">
      <w:pPr>
        <w:tabs>
          <w:tab w:val="left" w:pos="3465"/>
        </w:tabs>
        <w:spacing w:line="360" w:lineRule="auto"/>
        <w:ind w:right="49"/>
        <w:jc w:val="both"/>
        <w:rPr>
          <w:rFonts w:ascii="Palatino Linotype" w:eastAsia="Palatino Linotype" w:hAnsi="Palatino Linotype" w:cs="Palatino Linotype"/>
        </w:rPr>
      </w:pPr>
    </w:p>
    <w:p w:rsidR="00E96FC0" w:rsidRDefault="00A3472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bCs/>
        </w:rPr>
        <w:t xml:space="preserve">VISTAS </w:t>
      </w:r>
      <w:r>
        <w:rPr>
          <w:rFonts w:ascii="Palatino Linotype" w:eastAsia="Palatino Linotype" w:hAnsi="Palatino Linotype" w:cs="Palatino Linotype"/>
        </w:rPr>
        <w:t xml:space="preserve">las constancias para resolver el Recurso de Revisión </w:t>
      </w:r>
      <w:r>
        <w:rPr>
          <w:rFonts w:ascii="Palatino Linotype" w:eastAsia="Palatino Linotype" w:hAnsi="Palatino Linotype" w:cs="Palatino Linotype"/>
          <w:b/>
          <w:bCs/>
        </w:rPr>
        <w:t>11193/INFOEM/IP/RR/2025,</w:t>
      </w:r>
      <w:r>
        <w:rPr>
          <w:rFonts w:ascii="Palatino Linotype" w:eastAsia="Palatino Linotype" w:hAnsi="Palatino Linotype" w:cs="Palatino Linotype"/>
        </w:rPr>
        <w:t xml:space="preserve"> presentado por </w:t>
      </w:r>
      <w:r w:rsidR="00360D41">
        <w:rPr>
          <w:rFonts w:ascii="Palatino Linotype" w:eastAsia="Palatino Linotype" w:hAnsi="Palatino Linotype" w:cs="Palatino Linotype"/>
          <w:b/>
          <w:bCs/>
          <w:iCs/>
        </w:rPr>
        <w:t>XXXX</w:t>
      </w:r>
      <w:r>
        <w:rPr>
          <w:rFonts w:ascii="Palatino Linotype" w:eastAsia="Palatino Linotype" w:hAnsi="Palatino Linotype" w:cs="Palatino Linotype"/>
          <w:b/>
          <w:bCs/>
        </w:rPr>
        <w:t>,</w:t>
      </w:r>
      <w:r>
        <w:rPr>
          <w:rFonts w:ascii="Palatino Linotype" w:eastAsia="Palatino Linotype" w:hAnsi="Palatino Linotype" w:cs="Palatino Linotype"/>
        </w:rPr>
        <w:t xml:space="preserve"> a quien en lo sucesivo se denominará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en contra de la respuesta otorgada a la solicitud de información con número de folio </w:t>
      </w:r>
      <w:r>
        <w:rPr>
          <w:rFonts w:ascii="Palatino Linotype" w:eastAsia="Palatino Linotype" w:hAnsi="Palatino Linotype" w:cs="Palatino Linotype"/>
          <w:b/>
          <w:bCs/>
        </w:rPr>
        <w:t>00138/AMECAMEC/IP/2025</w:t>
      </w:r>
      <w:r>
        <w:rPr>
          <w:rFonts w:ascii="Palatino Linotype" w:eastAsia="Palatino Linotype" w:hAnsi="Palatino Linotype" w:cs="Palatino Linotype"/>
        </w:rPr>
        <w:t xml:space="preserve">, por parte de la </w:t>
      </w:r>
      <w:r>
        <w:rPr>
          <w:rFonts w:ascii="Palatino Linotype" w:eastAsia="Palatino Linotype" w:hAnsi="Palatino Linotype" w:cs="Palatino Linotype"/>
          <w:b/>
          <w:bCs/>
        </w:rPr>
        <w:t xml:space="preserve">Ayuntamiento de Amecameca, </w:t>
      </w:r>
      <w:r>
        <w:rPr>
          <w:rFonts w:ascii="Palatino Linotype" w:eastAsia="Palatino Linotype" w:hAnsi="Palatino Linotype" w:cs="Palatino Linotype"/>
        </w:rPr>
        <w:t xml:space="preserve">en adelante </w:t>
      </w:r>
      <w:r>
        <w:rPr>
          <w:rFonts w:ascii="Palatino Linotype" w:eastAsia="Palatino Linotype" w:hAnsi="Palatino Linotype" w:cs="Palatino Linotype"/>
          <w:b/>
          <w:bCs/>
        </w:rPr>
        <w:t>EL SUJETO OBLIGADO,</w:t>
      </w:r>
      <w:r>
        <w:rPr>
          <w:rFonts w:ascii="Palatino Linotype" w:eastAsia="Palatino Linotype" w:hAnsi="Palatino Linotype" w:cs="Palatino Linotype"/>
        </w:rPr>
        <w:t xml:space="preserve"> se emite la presente Resolución con base en los siguientes:</w:t>
      </w:r>
    </w:p>
    <w:p w:rsidR="00E96FC0" w:rsidRDefault="00E96FC0">
      <w:pPr>
        <w:spacing w:line="360" w:lineRule="auto"/>
        <w:ind w:right="49"/>
        <w:jc w:val="both"/>
        <w:rPr>
          <w:rFonts w:ascii="Palatino Linotype" w:eastAsia="Palatino Linotype" w:hAnsi="Palatino Linotype" w:cs="Palatino Linotype"/>
        </w:rPr>
      </w:pPr>
    </w:p>
    <w:p w:rsidR="00E96FC0" w:rsidRDefault="00A34724">
      <w:pPr>
        <w:pStyle w:val="Ttulo1"/>
        <w:spacing w:before="0" w:line="360" w:lineRule="auto"/>
        <w:ind w:right="49"/>
        <w:jc w:val="center"/>
        <w:rPr>
          <w:rFonts w:ascii="Palatino Linotype" w:eastAsia="Palatino Linotype" w:hAnsi="Palatino Linotype" w:cs="Palatino Linotype"/>
          <w:b/>
          <w:bCs/>
          <w:color w:val="000000"/>
          <w:sz w:val="24"/>
          <w:szCs w:val="24"/>
        </w:rPr>
      </w:pPr>
      <w:bookmarkStart w:id="1" w:name="_heading=h.gjdgxs" w:colFirst="0" w:colLast="0"/>
      <w:bookmarkEnd w:id="1"/>
      <w:r>
        <w:rPr>
          <w:rFonts w:ascii="Palatino Linotype" w:eastAsia="Palatino Linotype" w:hAnsi="Palatino Linotype" w:cs="Palatino Linotype"/>
          <w:b/>
          <w:bCs/>
          <w:color w:val="000000"/>
          <w:sz w:val="24"/>
          <w:szCs w:val="24"/>
        </w:rPr>
        <w:t>A N T E C E D E N T E S</w:t>
      </w:r>
    </w:p>
    <w:p w:rsidR="00E96FC0" w:rsidRDefault="00E96FC0">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u w:val="single"/>
        </w:rPr>
      </w:pPr>
    </w:p>
    <w:p w:rsidR="00E96FC0" w:rsidRDefault="00A3472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día</w:t>
      </w:r>
      <w:r>
        <w:rPr>
          <w:rFonts w:ascii="Palatino Linotype" w:eastAsia="Palatino Linotype" w:hAnsi="Palatino Linotype" w:cs="Palatino Linotype"/>
          <w:b/>
          <w:bCs/>
          <w:color w:val="000000"/>
        </w:rPr>
        <w:t xml:space="preserve"> nueve de septiembre dos mil veinticinco</w:t>
      </w:r>
      <w:r>
        <w:rPr>
          <w:rFonts w:ascii="Palatino Linotype" w:eastAsia="Palatino Linotype" w:hAnsi="Palatino Linotype" w:cs="Palatino Linotype"/>
          <w:color w:val="000000"/>
        </w:rPr>
        <w:t>,</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se presentó ante el Sujeto Obligado vía Sistema de Acceso a la Información Mexiquense, en adelante (SAIMEX), la siguiente solicitud de información pública:</w:t>
      </w:r>
    </w:p>
    <w:p w:rsidR="00E96FC0" w:rsidRDefault="00E96FC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E96FC0" w:rsidRDefault="00A34724">
      <w:pPr>
        <w:pBdr>
          <w:top w:val="nil"/>
          <w:left w:val="nil"/>
          <w:bottom w:val="nil"/>
          <w:right w:val="nil"/>
          <w:between w:val="nil"/>
        </w:pBdr>
        <w:spacing w:line="360" w:lineRule="auto"/>
        <w:ind w:left="425" w:right="333"/>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i/>
          <w:iCs/>
        </w:rPr>
        <w:t>Solicito los recibos de nómina de la 1ra quincena de enero del 2025 al 30 de agosto del 2025, en formato pdf de todos los servidores públicos adscritos al ayuntamiento de Amecameca así como los del sistema DIF y el Imcufide.</w:t>
      </w:r>
      <w:r>
        <w:rPr>
          <w:rFonts w:ascii="Palatino Linotype" w:eastAsia="Palatino Linotype" w:hAnsi="Palatino Linotype" w:cs="Palatino Linotype"/>
          <w:i/>
          <w:iCs/>
          <w:color w:val="000000"/>
        </w:rPr>
        <w:t>”</w:t>
      </w:r>
    </w:p>
    <w:p w:rsidR="00E96FC0" w:rsidRDefault="00E96FC0">
      <w:pPr>
        <w:pBdr>
          <w:top w:val="nil"/>
          <w:left w:val="nil"/>
          <w:bottom w:val="nil"/>
          <w:right w:val="nil"/>
          <w:between w:val="nil"/>
        </w:pBdr>
        <w:spacing w:line="360" w:lineRule="auto"/>
        <w:ind w:left="425" w:right="49"/>
        <w:jc w:val="both"/>
        <w:rPr>
          <w:rFonts w:ascii="Palatino Linotype" w:eastAsia="Palatino Linotype" w:hAnsi="Palatino Linotype" w:cs="Palatino Linotype"/>
          <w:color w:val="000000"/>
        </w:rPr>
      </w:pPr>
    </w:p>
    <w:p w:rsidR="00E96FC0" w:rsidRDefault="00A34724">
      <w:pPr>
        <w:numPr>
          <w:ilvl w:val="0"/>
          <w:numId w:val="2"/>
        </w:num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w:t>
      </w:r>
      <w:r>
        <w:rPr>
          <w:rFonts w:ascii="Palatino Linotype" w:eastAsia="Palatino Linotype" w:hAnsi="Palatino Linotype" w:cs="Palatino Linotype"/>
          <w:b/>
          <w:bCs/>
          <w:color w:val="000000"/>
        </w:rPr>
        <w:t>a través de SAIMEX</w:t>
      </w:r>
    </w:p>
    <w:p w:rsidR="00E96FC0" w:rsidRDefault="00A3472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bCs/>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treinta </w:t>
      </w:r>
      <w:r>
        <w:rPr>
          <w:rFonts w:ascii="Palatino Linotype" w:eastAsia="Palatino Linotype" w:hAnsi="Palatino Linotype" w:cs="Palatino Linotype"/>
          <w:color w:val="000000"/>
        </w:rPr>
        <w:t>septiembre</w:t>
      </w:r>
      <w:r>
        <w:rPr>
          <w:rFonts w:ascii="Palatino Linotype" w:eastAsia="Palatino Linotype" w:hAnsi="Palatino Linotype" w:cs="Palatino Linotype"/>
          <w:b/>
          <w:bCs/>
          <w:color w:val="000000"/>
        </w:rPr>
        <w:t xml:space="preserve"> de dos mil veinticinco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 xml:space="preserve">dio respuesta a la solicitud de acceso a la información a través de SAIMEX, mediante diez </w:t>
      </w:r>
      <w:r>
        <w:rPr>
          <w:rFonts w:ascii="Palatino Linotype" w:eastAsia="Palatino Linotype" w:hAnsi="Palatino Linotype" w:cs="Palatino Linotype"/>
        </w:rPr>
        <w:lastRenderedPageBreak/>
        <w:t xml:space="preserve">archivos denominados MARZO.pdf, ENERO.pdf, FEBRERO.pdf, OF 524.pdf, ABRIL.pdf, MAYO.pdf, JUNIO.pdf, JULIO.pdf, AGOSTO.pdf y, respuesta 2025.pdf, cuyo contenido ya es del conocimiento de las partes, el cual de manera general corresponde a recibos de nómina de los meses de enero a agosto del año en curso del personal adscrito a diversas áreas de la estructura orgánica del Ayuntamiento de Amecameca. Asimismo, mediante escrito dentro del mismo SAIMEX, se informó lo siguiente: </w:t>
      </w:r>
      <w:r>
        <w:rPr>
          <w:rFonts w:ascii="Palatino Linotype" w:eastAsia="Palatino Linotype" w:hAnsi="Palatino Linotype" w:cs="Palatino Linotype"/>
          <w:i/>
          <w:iCs/>
        </w:rPr>
        <w:t>“En cuanto a los recibos del Sistema DIF y del IMCUFIDE, se sugiere dirigir la solicitud a las instancias correspondientes, toda vez que esta Coordinación no cuenta con dicha información.”</w:t>
      </w:r>
    </w:p>
    <w:p w:rsidR="00E96FC0" w:rsidRDefault="00E96FC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bCs/>
        </w:rPr>
      </w:pPr>
    </w:p>
    <w:p w:rsidR="00E96FC0" w:rsidRDefault="00A3472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rPr>
        <w:t xml:space="preserve">treinta de septiembre de dos mil veinticinco, </w:t>
      </w:r>
      <w:r>
        <w:rPr>
          <w:rFonts w:ascii="Palatino Linotype" w:eastAsia="Palatino Linotype" w:hAnsi="Palatino Linotype" w:cs="Palatino Linotype"/>
        </w:rPr>
        <w:t xml:space="preserve">la parte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bCs/>
        </w:rPr>
        <w:t xml:space="preserve">SAIMEX, </w:t>
      </w:r>
      <w:r>
        <w:rPr>
          <w:rFonts w:ascii="Palatino Linotype" w:eastAsia="Palatino Linotype" w:hAnsi="Palatino Linotype" w:cs="Palatino Linotype"/>
        </w:rPr>
        <w:t>en donde se manifestó lo siguiente:</w:t>
      </w:r>
    </w:p>
    <w:p w:rsidR="00E96FC0" w:rsidRDefault="00E96FC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E96FC0" w:rsidRPr="000F1B8C" w:rsidRDefault="000F1B8C" w:rsidP="000F1B8C">
      <w:pPr>
        <w:pStyle w:val="Prrafodelista"/>
        <w:numPr>
          <w:ilvl w:val="0"/>
          <w:numId w:val="8"/>
        </w:numPr>
        <w:tabs>
          <w:tab w:val="left" w:pos="2745"/>
        </w:tabs>
        <w:spacing w:line="360" w:lineRule="auto"/>
        <w:ind w:right="616"/>
        <w:jc w:val="both"/>
        <w:rPr>
          <w:rFonts w:ascii="Palatino Linotype" w:eastAsia="Palatino Linotype" w:hAnsi="Palatino Linotype" w:cs="Palatino Linotype"/>
          <w:b/>
          <w:bCs/>
        </w:rPr>
      </w:pPr>
      <w:r w:rsidRPr="000F1B8C">
        <w:rPr>
          <w:rFonts w:ascii="Palatino Linotype" w:eastAsia="Palatino Linotype" w:hAnsi="Palatino Linotype" w:cs="Palatino Linotype"/>
          <w:b/>
          <w:bCs/>
        </w:rPr>
        <w:t xml:space="preserve">ACTO IMPUGNADO: </w:t>
      </w:r>
    </w:p>
    <w:p w:rsidR="00E96FC0" w:rsidRDefault="00A34724">
      <w:pPr>
        <w:tabs>
          <w:tab w:val="left" w:pos="2745"/>
        </w:tabs>
        <w:spacing w:line="360" w:lineRule="auto"/>
        <w:ind w:left="851" w:right="616"/>
        <w:jc w:val="both"/>
        <w:rPr>
          <w:rFonts w:ascii="Palatino Linotype" w:eastAsia="Palatino Linotype" w:hAnsi="Palatino Linotype" w:cs="Palatino Linotype"/>
          <w:i/>
          <w:iCs/>
        </w:rPr>
      </w:pPr>
      <w:r>
        <w:rPr>
          <w:rFonts w:ascii="Palatino Linotype" w:eastAsia="Palatino Linotype" w:hAnsi="Palatino Linotype" w:cs="Palatino Linotype"/>
          <w:i/>
          <w:iCs/>
        </w:rPr>
        <w:t>“No envian la informacion completa”</w:t>
      </w:r>
    </w:p>
    <w:p w:rsidR="00E96FC0" w:rsidRDefault="00E96FC0">
      <w:pPr>
        <w:tabs>
          <w:tab w:val="left" w:pos="2745"/>
        </w:tabs>
        <w:spacing w:line="360" w:lineRule="auto"/>
        <w:ind w:left="851" w:right="616"/>
        <w:jc w:val="both"/>
        <w:rPr>
          <w:rFonts w:ascii="Palatino Linotype" w:eastAsia="Palatino Linotype" w:hAnsi="Palatino Linotype" w:cs="Palatino Linotype"/>
          <w:i/>
          <w:iCs/>
        </w:rPr>
      </w:pPr>
    </w:p>
    <w:p w:rsidR="00E96FC0" w:rsidRPr="000F1B8C" w:rsidRDefault="000F1B8C" w:rsidP="000F1B8C">
      <w:pPr>
        <w:pStyle w:val="Prrafodelista"/>
        <w:numPr>
          <w:ilvl w:val="0"/>
          <w:numId w:val="8"/>
        </w:numPr>
        <w:spacing w:line="360" w:lineRule="auto"/>
        <w:ind w:right="616"/>
        <w:jc w:val="both"/>
        <w:rPr>
          <w:rFonts w:ascii="Palatino Linotype" w:eastAsia="Palatino Linotype" w:hAnsi="Palatino Linotype" w:cs="Palatino Linotype"/>
        </w:rPr>
      </w:pPr>
      <w:bookmarkStart w:id="2" w:name="_heading=h.30j0zll" w:colFirst="0" w:colLast="0"/>
      <w:bookmarkEnd w:id="2"/>
      <w:r w:rsidRPr="000F1B8C">
        <w:rPr>
          <w:rFonts w:ascii="Palatino Linotype" w:eastAsia="Palatino Linotype" w:hAnsi="Palatino Linotype" w:cs="Palatino Linotype"/>
          <w:b/>
          <w:bCs/>
        </w:rPr>
        <w:t>RAZONES O MOTIVOS DE INCONFORMIDAD</w:t>
      </w:r>
      <w:r w:rsidRPr="000F1B8C">
        <w:rPr>
          <w:rFonts w:ascii="Palatino Linotype" w:eastAsia="Palatino Linotype" w:hAnsi="Palatino Linotype" w:cs="Palatino Linotype"/>
        </w:rPr>
        <w:t>:</w:t>
      </w:r>
    </w:p>
    <w:p w:rsidR="00E96FC0" w:rsidRDefault="00A34724">
      <w:pPr>
        <w:tabs>
          <w:tab w:val="left" w:pos="2745"/>
        </w:tabs>
        <w:spacing w:line="360" w:lineRule="auto"/>
        <w:ind w:left="851" w:right="616"/>
        <w:jc w:val="both"/>
        <w:rPr>
          <w:rFonts w:ascii="Palatino Linotype" w:eastAsia="Palatino Linotype" w:hAnsi="Palatino Linotype" w:cs="Palatino Linotype"/>
          <w:i/>
          <w:iCs/>
        </w:rPr>
      </w:pPr>
      <w:r>
        <w:rPr>
          <w:rFonts w:ascii="Palatino Linotype" w:eastAsia="Palatino Linotype" w:hAnsi="Palatino Linotype" w:cs="Palatino Linotype"/>
          <w:i/>
          <w:iCs/>
        </w:rPr>
        <w:t>“No envian recibos de nomina del personal de seguridad publica. los del personal del DIF y del IMCUFIDE mencionan que debo solicitarlos a esas dependencia, pero el personal de seguirdad publica no es este caso, ya que ellos se encuentran adscritos al ayuntamiento. tampoco hacen entrega del acta de clasificacion</w:t>
      </w:r>
      <w:r>
        <w:rPr>
          <w:rFonts w:ascii="Palatino Linotype" w:eastAsia="Palatino Linotype" w:hAnsi="Palatino Linotype" w:cs="Palatino Linotype"/>
          <w:b/>
          <w:bCs/>
          <w:i/>
          <w:iCs/>
        </w:rPr>
        <w:t>”</w:t>
      </w:r>
    </w:p>
    <w:p w:rsidR="00E96FC0" w:rsidRDefault="00E96FC0">
      <w:pPr>
        <w:pBdr>
          <w:top w:val="nil"/>
          <w:left w:val="nil"/>
          <w:bottom w:val="nil"/>
          <w:right w:val="nil"/>
          <w:between w:val="nil"/>
        </w:pBdr>
        <w:spacing w:line="360" w:lineRule="auto"/>
        <w:ind w:left="709" w:right="49"/>
        <w:jc w:val="both"/>
        <w:rPr>
          <w:rFonts w:ascii="Palatino Linotype" w:eastAsia="Palatino Linotype" w:hAnsi="Palatino Linotype" w:cs="Palatino Linotype"/>
          <w:i/>
          <w:iCs/>
          <w:color w:val="000000"/>
        </w:rPr>
      </w:pP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Con fecha</w:t>
      </w:r>
      <w:r>
        <w:rPr>
          <w:rFonts w:ascii="Palatino Linotype" w:eastAsia="Palatino Linotype" w:hAnsi="Palatino Linotype" w:cs="Palatino Linotype"/>
          <w:b/>
          <w:bCs/>
        </w:rPr>
        <w:t xml:space="preserve"> dos de octubre dos mil veinticinco,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w:t>
      </w:r>
      <w:r>
        <w:rPr>
          <w:rFonts w:ascii="Palatino Linotype" w:eastAsia="Palatino Linotype" w:hAnsi="Palatino Linotype" w:cs="Palatino Linotype"/>
        </w:rPr>
        <w:lastRenderedPageBreak/>
        <w:t xml:space="preserve">máximo de siete días hábiles para que las partes manifestaran lo que a su derecho resultara conveniente, ofrecieran pruebas, formularan alegatos y 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presentara su informe justificado.</w:t>
      </w:r>
    </w:p>
    <w:p w:rsidR="00E96FC0" w:rsidRDefault="00E96FC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rPr>
      </w:pPr>
      <w:bookmarkStart w:id="3" w:name="_heading=h.6pycryhnpqa0" w:colFirst="0" w:colLast="0"/>
      <w:bookmarkEnd w:id="3"/>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SUJETO </w:t>
      </w:r>
      <w:r>
        <w:rPr>
          <w:rFonts w:ascii="Palatino Linotype" w:eastAsia="Palatino Linotype" w:hAnsi="Palatino Linotype" w:cs="Palatino Linotype"/>
          <w:b/>
          <w:bCs/>
        </w:rPr>
        <w:t>OBLIGADO</w:t>
      </w:r>
      <w:r>
        <w:rPr>
          <w:rFonts w:ascii="Palatino Linotype" w:eastAsia="Palatino Linotype" w:hAnsi="Palatino Linotype" w:cs="Palatino Linotype"/>
          <w:b/>
          <w:bCs/>
          <w:color w:val="000000"/>
        </w:rPr>
        <w:t xml:space="preserve"> e</w:t>
      </w:r>
      <w:r>
        <w:rPr>
          <w:rFonts w:ascii="Palatino Linotype" w:eastAsia="Palatino Linotype" w:hAnsi="Palatino Linotype" w:cs="Palatino Linotype"/>
          <w:color w:val="000000"/>
        </w:rPr>
        <w:t xml:space="preserve">n los días </w:t>
      </w:r>
      <w:r>
        <w:rPr>
          <w:rFonts w:ascii="Palatino Linotype" w:eastAsia="Palatino Linotype" w:hAnsi="Palatino Linotype" w:cs="Palatino Linotype"/>
          <w:b/>
          <w:bCs/>
          <w:color w:val="000000"/>
        </w:rPr>
        <w:t xml:space="preserve">once, catorce y veinticinco de octubre de dos </w:t>
      </w:r>
      <w:r>
        <w:rPr>
          <w:rFonts w:ascii="Palatino Linotype" w:eastAsia="Palatino Linotype" w:hAnsi="Palatino Linotype" w:cs="Palatino Linotype"/>
        </w:rPr>
        <w:t>mil</w:t>
      </w:r>
      <w:r>
        <w:rPr>
          <w:rFonts w:ascii="Palatino Linotype" w:eastAsia="Palatino Linotype" w:hAnsi="Palatino Linotype" w:cs="Palatino Linotype"/>
          <w:b/>
          <w:bCs/>
          <w:color w:val="000000"/>
        </w:rPr>
        <w:t xml:space="preserve"> veinticinco </w:t>
      </w:r>
      <w:r>
        <w:rPr>
          <w:rFonts w:ascii="Palatino Linotype" w:eastAsia="Palatino Linotype" w:hAnsi="Palatino Linotype" w:cs="Palatino Linotype"/>
          <w:color w:val="000000"/>
        </w:rPr>
        <w:t xml:space="preserve">rindió informe justificado por medio de tres archivos denominados </w:t>
      </w:r>
      <w:r>
        <w:rPr>
          <w:rFonts w:ascii="Palatino Linotype" w:eastAsia="Palatino Linotype" w:hAnsi="Palatino Linotype" w:cs="Palatino Linotype"/>
          <w:i/>
          <w:iCs/>
          <w:color w:val="000000"/>
        </w:rPr>
        <w:t>00138.pdf</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0143sol..pdf</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i/>
          <w:iCs/>
          <w:color w:val="000000"/>
        </w:rPr>
        <w:t>TRASPARENCIA.zip</w:t>
      </w:r>
      <w:r>
        <w:rPr>
          <w:rFonts w:ascii="Palatino Linotype" w:eastAsia="Palatino Linotype" w:hAnsi="Palatino Linotype" w:cs="Palatino Linotype"/>
          <w:color w:val="000000"/>
        </w:rPr>
        <w:t xml:space="preserve">, que contiene un acta suscrita por el Comité de Transparencia por medio de la cual se clasifican los recibos de nómina del personal operativo adscrito a la Dirección de Seguridad Pública y Tránsito Municipal; un oficio por medio del cual el Ayuntamiento de Amecameca, informa al solicitante que no es </w:t>
      </w:r>
      <w:r>
        <w:rPr>
          <w:rFonts w:ascii="Palatino Linotype" w:eastAsia="Palatino Linotype" w:hAnsi="Palatino Linotype" w:cs="Palatino Linotype"/>
        </w:rPr>
        <w:t>competente</w:t>
      </w:r>
      <w:r>
        <w:rPr>
          <w:rFonts w:ascii="Palatino Linotype" w:eastAsia="Palatino Linotype" w:hAnsi="Palatino Linotype" w:cs="Palatino Linotype"/>
          <w:color w:val="000000"/>
        </w:rPr>
        <w:t xml:space="preserve"> de entregar información relacionada con el </w:t>
      </w:r>
      <w:r>
        <w:rPr>
          <w:rFonts w:ascii="Palatino Linotype" w:eastAsia="Palatino Linotype" w:hAnsi="Palatino Linotype" w:cs="Palatino Linotype"/>
        </w:rPr>
        <w:t>SMDIF</w:t>
      </w:r>
      <w:r>
        <w:rPr>
          <w:rFonts w:ascii="Palatino Linotype" w:eastAsia="Palatino Linotype" w:hAnsi="Palatino Linotype" w:cs="Palatino Linotype"/>
          <w:color w:val="000000"/>
        </w:rPr>
        <w:t xml:space="preserve"> de Amecameca por corresponder a un Sujeto Obligado diverso y un archivo comprimido que a su vez contiene carpetas con diversas con recibos de nómina de personal adscrito a diversas áreas de la estructura orgánica del Ayuntamiento, que no fue puesto a la vista del solicitante; toda vez que obran datos personales susceptibles de haber sido protegidos.</w:t>
      </w:r>
      <w:r>
        <w:rPr>
          <w:rFonts w:ascii="Palatino Linotype" w:eastAsia="Palatino Linotype" w:hAnsi="Palatino Linotype" w:cs="Palatino Linotype"/>
        </w:rPr>
        <w:t xml:space="preserve"> Por su parte el solicitante fue omiso en realizar manifestaciones que a su derecho conviniera y asistiera.</w:t>
      </w:r>
    </w:p>
    <w:p w:rsidR="000F1B8C" w:rsidRDefault="000F1B8C">
      <w:pPr>
        <w:pBdr>
          <w:top w:val="nil"/>
          <w:left w:val="nil"/>
          <w:bottom w:val="nil"/>
          <w:right w:val="nil"/>
          <w:between w:val="nil"/>
        </w:pBdr>
        <w:spacing w:line="360" w:lineRule="auto"/>
        <w:ind w:left="720" w:right="49"/>
        <w:jc w:val="center"/>
        <w:rPr>
          <w:rFonts w:ascii="Palatino Linotype" w:eastAsia="Palatino Linotype" w:hAnsi="Palatino Linotype" w:cs="Palatino Linotype"/>
          <w:b/>
          <w:bCs/>
          <w:color w:val="000000"/>
        </w:rPr>
      </w:pPr>
    </w:p>
    <w:p w:rsidR="00E96FC0" w:rsidRDefault="00A34724">
      <w:pPr>
        <w:pBdr>
          <w:top w:val="nil"/>
          <w:left w:val="nil"/>
          <w:bottom w:val="nil"/>
          <w:right w:val="nil"/>
          <w:between w:val="nil"/>
        </w:pBdr>
        <w:spacing w:line="360" w:lineRule="auto"/>
        <w:ind w:right="49"/>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 O N S I D E R A C I O N E S</w:t>
      </w:r>
    </w:p>
    <w:p w:rsidR="00E96FC0" w:rsidRDefault="00E96FC0">
      <w:pPr>
        <w:pBdr>
          <w:top w:val="nil"/>
          <w:left w:val="nil"/>
          <w:bottom w:val="nil"/>
          <w:right w:val="nil"/>
          <w:between w:val="nil"/>
        </w:pBdr>
        <w:spacing w:line="360" w:lineRule="auto"/>
        <w:ind w:right="49"/>
        <w:jc w:val="center"/>
        <w:rPr>
          <w:rFonts w:ascii="Palatino Linotype" w:eastAsia="Palatino Linotype" w:hAnsi="Palatino Linotype" w:cs="Palatino Linotype"/>
          <w:b/>
          <w:bCs/>
          <w:color w:val="000000"/>
        </w:rPr>
      </w:pPr>
    </w:p>
    <w:p w:rsidR="00E96FC0" w:rsidRDefault="00A34724">
      <w:pPr>
        <w:pStyle w:val="Ttulo2"/>
        <w:spacing w:before="0" w:line="360" w:lineRule="auto"/>
        <w:ind w:right="49"/>
        <w:rPr>
          <w:rFonts w:ascii="Palatino Linotype" w:eastAsia="Palatino Linotype" w:hAnsi="Palatino Linotype" w:cs="Palatino Linotype"/>
          <w:b/>
          <w:bCs/>
          <w:color w:val="000000"/>
          <w:sz w:val="24"/>
          <w:szCs w:val="24"/>
        </w:rPr>
      </w:pPr>
      <w:bookmarkStart w:id="4" w:name="_heading=h.3znysh7" w:colFirst="0" w:colLast="0"/>
      <w:bookmarkEnd w:id="4"/>
      <w:r>
        <w:rPr>
          <w:rFonts w:ascii="Palatino Linotype" w:eastAsia="Palatino Linotype" w:hAnsi="Palatino Linotype" w:cs="Palatino Linotype"/>
          <w:b/>
          <w:bCs/>
          <w:color w:val="000000"/>
          <w:sz w:val="24"/>
          <w:szCs w:val="24"/>
        </w:rPr>
        <w:t>PRIMERO. Competencia</w:t>
      </w: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w:t>
      </w:r>
      <w:r>
        <w:rPr>
          <w:rFonts w:ascii="Palatino Linotype" w:eastAsia="Palatino Linotype" w:hAnsi="Palatino Linotype" w:cs="Palatino Linotype"/>
        </w:rPr>
        <w:t>trigésimo</w:t>
      </w:r>
      <w:r>
        <w:rPr>
          <w:rFonts w:ascii="Palatino Linotype" w:eastAsia="Palatino Linotype" w:hAnsi="Palatino Linotype" w:cs="Palatino Linotype"/>
          <w:color w:val="000000"/>
        </w:rPr>
        <w:t xml:space="preserve"> séptimo, trigésimo octavo y trigésimo noveno fracciones IV y V de la </w:t>
      </w:r>
      <w:r>
        <w:rPr>
          <w:rFonts w:ascii="Palatino Linotype" w:eastAsia="Palatino Linotype" w:hAnsi="Palatino Linotype" w:cs="Palatino Linotype"/>
          <w:color w:val="000000"/>
        </w:rPr>
        <w:lastRenderedPageBreak/>
        <w:t>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E96FC0" w:rsidRDefault="00E96FC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E96FC0" w:rsidRDefault="00A34724">
      <w:pPr>
        <w:pStyle w:val="Ttulo2"/>
        <w:spacing w:before="0" w:line="360" w:lineRule="auto"/>
        <w:ind w:right="49"/>
        <w:rPr>
          <w:rFonts w:ascii="Palatino Linotype" w:eastAsia="Palatino Linotype" w:hAnsi="Palatino Linotype" w:cs="Palatino Linotype"/>
          <w:b/>
          <w:bCs/>
          <w:color w:val="000000"/>
          <w:sz w:val="24"/>
          <w:szCs w:val="24"/>
        </w:rPr>
      </w:pPr>
      <w:bookmarkStart w:id="5" w:name="_heading=h.2et92p0" w:colFirst="0" w:colLast="0"/>
      <w:bookmarkEnd w:id="5"/>
      <w:r>
        <w:rPr>
          <w:rFonts w:ascii="Palatino Linotype" w:eastAsia="Palatino Linotype" w:hAnsi="Palatino Linotype" w:cs="Palatino Linotype"/>
          <w:b/>
          <w:bCs/>
          <w:color w:val="000000"/>
          <w:sz w:val="24"/>
          <w:szCs w:val="24"/>
        </w:rPr>
        <w:t>SEGUNDO. Procedencia.</w:t>
      </w: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Este Órgano Garante considera que el medio de impugnación reúne los requisitos de </w:t>
      </w:r>
      <w:r>
        <w:rPr>
          <w:rFonts w:ascii="Palatino Linotype" w:eastAsia="Palatino Linotype" w:hAnsi="Palatino Linotype" w:cs="Palatino Linotype"/>
          <w:color w:val="000000"/>
        </w:rPr>
        <w:t>procedencia</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E96FC0" w:rsidRDefault="00E96FC0">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es de suma importancia señalar que la parte recurrente no proporciona un </w:t>
      </w:r>
      <w:r>
        <w:rPr>
          <w:rFonts w:ascii="Palatino Linotype" w:eastAsia="Palatino Linotype" w:hAnsi="Palatino Linotype" w:cs="Palatino Linotype"/>
          <w:u w:val="single"/>
        </w:rPr>
        <w:t>nombre completo</w:t>
      </w:r>
      <w:r>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96FC0" w:rsidRDefault="00A34724">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Las solicitudes anónimas</w:t>
      </w:r>
      <w:r>
        <w:rPr>
          <w:rFonts w:ascii="Palatino Linotype" w:eastAsia="Palatino Linotype" w:hAnsi="Palatino Linotype" w:cs="Palatino Linotype"/>
          <w:i/>
          <w:iCs/>
        </w:rPr>
        <w:t xml:space="preserve">, con nombre incompleto o seudónimo </w:t>
      </w:r>
      <w:r>
        <w:rPr>
          <w:rFonts w:ascii="Palatino Linotype" w:eastAsia="Palatino Linotype" w:hAnsi="Palatino Linotype" w:cs="Palatino Linotype"/>
          <w:b/>
          <w:bCs/>
          <w:i/>
          <w:iCs/>
        </w:rPr>
        <w:t>serán procedentes para su trámite por parte del sujeto obligado ante quien se presente</w:t>
      </w:r>
      <w:r>
        <w:rPr>
          <w:rFonts w:ascii="Palatino Linotype" w:eastAsia="Palatino Linotype" w:hAnsi="Palatino Linotype" w:cs="Palatino Linotype"/>
          <w:i/>
          <w:iCs/>
        </w:rPr>
        <w:t>. No podrá requerirse información adicional con motivo del nombre proporcionado por el solicitante."</w:t>
      </w:r>
    </w:p>
    <w:p w:rsidR="00E96FC0" w:rsidRDefault="00E96FC0">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Finalmente, el escrito contiene las formalidades previstas por el artículo 180 último párrafo de la citada Ley de la Materia, por lo que es procedente que este Instituto conozca y resuelva el presente Recurso de Revisión.</w:t>
      </w:r>
    </w:p>
    <w:p w:rsidR="00E96FC0" w:rsidRDefault="00E96FC0">
      <w:pPr>
        <w:pBdr>
          <w:top w:val="nil"/>
          <w:left w:val="nil"/>
          <w:bottom w:val="nil"/>
          <w:right w:val="nil"/>
          <w:between w:val="nil"/>
        </w:pBdr>
        <w:spacing w:line="360" w:lineRule="auto"/>
        <w:ind w:right="49"/>
        <w:rPr>
          <w:rFonts w:ascii="Palatino Linotype" w:eastAsia="Palatino Linotype" w:hAnsi="Palatino Linotype" w:cs="Palatino Linotype"/>
          <w:color w:val="000000"/>
        </w:rPr>
      </w:pPr>
    </w:p>
    <w:p w:rsidR="00E96FC0" w:rsidRDefault="00A34724">
      <w:pPr>
        <w:pStyle w:val="Ttulo2"/>
        <w:tabs>
          <w:tab w:val="left" w:pos="284"/>
          <w:tab w:val="left" w:pos="426"/>
        </w:tabs>
        <w:spacing w:before="0" w:line="360" w:lineRule="auto"/>
        <w:rPr>
          <w:rFonts w:ascii="Palatino Linotype" w:eastAsia="Palatino Linotype" w:hAnsi="Palatino Linotype" w:cs="Palatino Linotype"/>
          <w:b/>
          <w:bCs/>
          <w:color w:val="000000"/>
          <w:sz w:val="24"/>
          <w:szCs w:val="24"/>
        </w:rPr>
      </w:pPr>
      <w:bookmarkStart w:id="6" w:name="_heading=h.tyjcwt" w:colFirst="0" w:colLast="0"/>
      <w:bookmarkEnd w:id="6"/>
      <w:r>
        <w:rPr>
          <w:rFonts w:ascii="Palatino Linotype" w:eastAsia="Palatino Linotype" w:hAnsi="Palatino Linotype" w:cs="Palatino Linotype"/>
          <w:b/>
          <w:bCs/>
          <w:color w:val="000000"/>
          <w:sz w:val="24"/>
          <w:szCs w:val="24"/>
        </w:rPr>
        <w:t xml:space="preserve">TERCERO. Del planteamiento de la </w:t>
      </w:r>
      <w:r>
        <w:rPr>
          <w:rFonts w:ascii="Palatino Linotype" w:eastAsia="Palatino Linotype" w:hAnsi="Palatino Linotype" w:cs="Palatino Linotype"/>
          <w:b/>
          <w:bCs/>
          <w:i/>
          <w:iCs/>
          <w:color w:val="000000"/>
          <w:sz w:val="24"/>
          <w:szCs w:val="24"/>
        </w:rPr>
        <w:t>Litis.</w:t>
      </w: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Se solicitó tener acceso, a la información que a continuación se simplifica:</w:t>
      </w:r>
    </w:p>
    <w:p w:rsidR="00E96FC0" w:rsidRDefault="00A34724">
      <w:pPr>
        <w:numPr>
          <w:ilvl w:val="0"/>
          <w:numId w:val="4"/>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Recibos de nómina de la primera quincena de enero de 2025 al 30 de agosto del 2025, en formato PDF de todos los servidores públicos adscritos al Ayuntamiento, Sistema DIF e, IMCUFIDE. </w:t>
      </w:r>
    </w:p>
    <w:p w:rsidR="00E96FC0" w:rsidRDefault="00E96FC0">
      <w:pPr>
        <w:pBdr>
          <w:top w:val="nil"/>
          <w:left w:val="nil"/>
          <w:bottom w:val="nil"/>
          <w:right w:val="nil"/>
          <w:between w:val="nil"/>
        </w:pBdr>
        <w:spacing w:line="360" w:lineRule="auto"/>
        <w:ind w:left="1080" w:right="567"/>
        <w:jc w:val="both"/>
        <w:rPr>
          <w:rFonts w:ascii="Palatino Linotype" w:eastAsia="Palatino Linotype" w:hAnsi="Palatino Linotype" w:cs="Palatino Linotype"/>
          <w:b/>
          <w:bCs/>
          <w:color w:val="000000"/>
        </w:rPr>
      </w:pP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Inconforme con la respuesta, el solicitante interpuso recurso de revisión de manera general en contra de la negativa a la entrega de la información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179, fracción I, de la Ley de Transparencia y Acceso a la Información Pública del Estado de México y Municipios; fracción que determina la hipótesis relativa a la negativa de la entrega de la información; contexto del cual se dolió el Recurrente al momento de interponer su inconformidad. De modo tal que el presente recurso de revisión se abocará en determinar si el Sujeto Obligado con su respuesta ciertamente actualiza la causal de procedencia señalada. </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pPr>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t>CUARTO. Del estudio y resolución del asunto.</w:t>
      </w: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w:t>
      </w:r>
      <w:r>
        <w:rPr>
          <w:rFonts w:ascii="Palatino Linotype" w:eastAsia="Palatino Linotype" w:hAnsi="Palatino Linotype" w:cs="Palatino Linotype"/>
        </w:rPr>
        <w:lastRenderedPageBreak/>
        <w:t>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E96FC0" w:rsidRDefault="00E96FC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bookmarkStart w:id="7" w:name="_heading=h.xd8kn24bspkc" w:colFirst="0" w:colLast="0"/>
      <w:bookmarkEnd w:id="7"/>
      <w:r>
        <w:rPr>
          <w:rFonts w:ascii="Palatino Linotype" w:eastAsia="Palatino Linotype" w:hAnsi="Palatino Linotype" w:cs="Palatino Linotype"/>
        </w:rPr>
        <w:lastRenderedPageBreak/>
        <w:t>Dicho lo anterior es necesario traer a contexto los motivos de inconformidad; toda vez que estos son tendentes a impugnar la entrega de información incompleta por no remitir lo relativo a los recibos de nómina del personal de seguridad pública, Sistema Municipal para el Desarrollo Integral de la Familia (DIF) y del Instituto Municipal de Cultura Física y Deporte (IMCUFIDE).</w:t>
      </w:r>
    </w:p>
    <w:p w:rsidR="00E96FC0" w:rsidRDefault="00E96FC0">
      <w:pPr>
        <w:pBdr>
          <w:top w:val="nil"/>
          <w:left w:val="nil"/>
          <w:bottom w:val="nil"/>
          <w:right w:val="nil"/>
          <w:between w:val="nil"/>
        </w:pBdr>
        <w:ind w:left="720"/>
        <w:rPr>
          <w:rFonts w:ascii="Palatino Linotype" w:eastAsia="Palatino Linotype" w:hAnsi="Palatino Linotype" w:cs="Palatino Linotype"/>
          <w:color w:val="000000"/>
        </w:rPr>
      </w:pP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decir que existen actos consentidos respecto de la información que ya le fue entregada en calidad de respuesta. De tal forma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rsidR="00E96FC0" w:rsidRDefault="00E96FC0">
      <w:pPr>
        <w:pBdr>
          <w:top w:val="nil"/>
          <w:left w:val="nil"/>
          <w:bottom w:val="nil"/>
          <w:right w:val="nil"/>
          <w:between w:val="nil"/>
        </w:pBdr>
        <w:ind w:left="720"/>
        <w:rPr>
          <w:rFonts w:ascii="Palatino Linotype" w:eastAsia="Palatino Linotype" w:hAnsi="Palatino Linotype" w:cs="Palatino Linotype"/>
          <w:color w:val="000000"/>
        </w:rPr>
      </w:pP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rsidR="00E96FC0" w:rsidRDefault="00A34724">
      <w:pPr>
        <w:tabs>
          <w:tab w:val="left" w:pos="851"/>
        </w:tabs>
        <w:ind w:left="851" w:right="616"/>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“ACTOS CONSENTIDOS. SON LOS QUE NO SE IMPUGNAN MEDIANTE EL RECURSO IDÓNEO. </w:t>
      </w:r>
      <w:r>
        <w:rPr>
          <w:rFonts w:ascii="Palatino Linotype" w:eastAsia="Palatino Linotype" w:hAnsi="Palatino Linotype" w:cs="Palatino Linotype"/>
          <w:i/>
          <w:iC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E96FC0" w:rsidRDefault="00E96FC0">
      <w:pPr>
        <w:tabs>
          <w:tab w:val="left" w:pos="851"/>
        </w:tabs>
        <w:ind w:left="851" w:right="616"/>
        <w:jc w:val="both"/>
        <w:rPr>
          <w:rFonts w:ascii="Palatino Linotype" w:eastAsia="Palatino Linotype" w:hAnsi="Palatino Linotype" w:cs="Palatino Linotype"/>
          <w:i/>
          <w:iCs/>
        </w:rPr>
      </w:pP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la interpretación del criterio antes citado, se advierte que cuando el particular impugnó la respuesta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no expresó razón o motivo de inconformidad en contra de todos los rubros solicitados, por tanto estos deben declararse </w:t>
      </w:r>
      <w:r>
        <w:rPr>
          <w:rFonts w:ascii="Palatino Linotype" w:eastAsia="Palatino Linotype" w:hAnsi="Palatino Linotype" w:cs="Palatino Linotype"/>
        </w:rPr>
        <w:lastRenderedPageBreak/>
        <w:t xml:space="preserve">atendidos, pues se entiende que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está conforme con la respuesta proporcionada por </w:t>
      </w:r>
      <w:r>
        <w:rPr>
          <w:rFonts w:ascii="Palatino Linotype" w:eastAsia="Palatino Linotype" w:hAnsi="Palatino Linotype" w:cs="Palatino Linotype"/>
          <w:b/>
          <w:bCs/>
        </w:rPr>
        <w:t>EL SUJETO OBLIGADO,</w:t>
      </w:r>
      <w:r>
        <w:rPr>
          <w:rFonts w:ascii="Palatino Linotype" w:eastAsia="Palatino Linotype" w:hAnsi="Palatino Linotype" w:cs="Palatino Linotype"/>
        </w:rPr>
        <w:t xml:space="preserve"> al no contravenir la misma. </w:t>
      </w:r>
    </w:p>
    <w:p w:rsidR="00E96FC0" w:rsidRDefault="00E96FC0">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rsidR="00E96FC0" w:rsidRDefault="00A34724">
      <w:pPr>
        <w:tabs>
          <w:tab w:val="left" w:pos="7937"/>
          <w:tab w:val="left" w:pos="8222"/>
        </w:tabs>
        <w:ind w:left="851" w:right="90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“REVISIÓN EN AMPARO. LOS RESOLUTIVOS NO COMBATIDOS DEBEN DECLARARSE FIRMES. </w:t>
      </w:r>
      <w:r>
        <w:rPr>
          <w:rFonts w:ascii="Palatino Linotype" w:eastAsia="Palatino Linotype" w:hAnsi="Palatino Linotype" w:cs="Palatino Linotype"/>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E96FC0" w:rsidRDefault="00E96FC0">
      <w:pPr>
        <w:tabs>
          <w:tab w:val="left" w:pos="7937"/>
          <w:tab w:val="left" w:pos="8222"/>
        </w:tabs>
        <w:ind w:left="851" w:right="901"/>
        <w:jc w:val="both"/>
        <w:rPr>
          <w:rFonts w:ascii="Palatino Linotype" w:eastAsia="Palatino Linotype" w:hAnsi="Palatino Linotype" w:cs="Palatino Linotype"/>
          <w:i/>
          <w:iCs/>
        </w:rPr>
      </w:pP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que los demás fundamentos remitidos en respuesta. Se consideran un acto consentido y, en consecuencia, este Órgano Resolutor no entrará al estudio del mismo por las razones hasta aquí expuestas. </w:t>
      </w:r>
    </w:p>
    <w:p w:rsidR="00E96FC0" w:rsidRDefault="00E96FC0">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E96FC0" w:rsidRDefault="00A34724">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Luego entonces, respecto de los rubros que si fueron impugnados conviene primeramente referir el tocante al Sistema Municipal para el Desarrollo Integral de la Familia (DIF), de la que se declinó la competencia por parte del Ayuntamiento. Corresponde a un contexto que se confirma en razón que en materia de acceso a la información pública en el Estado de México, el Sistema Municipal para el Desarrollo Integral de la Familia de Amecameca ciertamente es un sujeto obligado diverso en el vigente Padrón de Sujetos Obligados, como se observa:</w:t>
      </w:r>
    </w:p>
    <w:p w:rsidR="00E96FC0" w:rsidRDefault="00E96FC0">
      <w:pPr>
        <w:pBdr>
          <w:top w:val="nil"/>
          <w:left w:val="nil"/>
          <w:bottom w:val="nil"/>
          <w:right w:val="nil"/>
          <w:between w:val="nil"/>
        </w:pBdr>
        <w:ind w:left="720"/>
        <w:rPr>
          <w:rFonts w:ascii="Palatino Linotype" w:eastAsia="Palatino Linotype" w:hAnsi="Palatino Linotype" w:cs="Palatino Linotype"/>
          <w:color w:val="000000"/>
        </w:rPr>
      </w:pPr>
    </w:p>
    <w:p w:rsidR="00E96FC0" w:rsidRDefault="00A34724">
      <w:pPr>
        <w:pBdr>
          <w:top w:val="nil"/>
          <w:left w:val="nil"/>
          <w:bottom w:val="nil"/>
          <w:right w:val="nil"/>
          <w:between w:val="nil"/>
        </w:pBd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2130" cy="1873250"/>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612130" cy="1873250"/>
                    </a:xfrm>
                    <a:prstGeom prst="rect">
                      <a:avLst/>
                    </a:prstGeom>
                    <a:ln/>
                  </pic:spPr>
                </pic:pic>
              </a:graphicData>
            </a:graphic>
          </wp:inline>
        </w:drawing>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De modo tal que deviene improcedente el motivo de inconformidad de referencia. Consecutivamente, de los recibos de nómina del personal adscrito al Instituto Municipal de Cultura Física y Deporte (IMCUFIDE), corresponde a información que si resultaba susceptible de ser entregada.</w:t>
      </w:r>
    </w:p>
    <w:p w:rsidR="00E96FC0" w:rsidRDefault="00E96FC0">
      <w:pPr>
        <w:spacing w:line="360" w:lineRule="auto"/>
        <w:ind w:right="49"/>
        <w:jc w:val="both"/>
        <w:rPr>
          <w:rFonts w:ascii="Palatino Linotype" w:eastAsia="Palatino Linotype" w:hAnsi="Palatino Linotype" w:cs="Palatino Linotype"/>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si bien en la respuesta inicial no se remitió dicho soporte documental, en un hecho posterior en calidad de informe justificado, se remitió a través del  archivo denominado </w:t>
      </w:r>
      <w:r>
        <w:rPr>
          <w:rFonts w:ascii="Palatino Linotype" w:eastAsia="Palatino Linotype" w:hAnsi="Palatino Linotype" w:cs="Palatino Linotype"/>
          <w:b/>
          <w:bCs/>
          <w:i/>
          <w:iCs/>
        </w:rPr>
        <w:t>TRASPARENCIA.zip</w:t>
      </w:r>
      <w:r>
        <w:rPr>
          <w:rFonts w:ascii="Palatino Linotype" w:eastAsia="Palatino Linotype" w:hAnsi="Palatino Linotype" w:cs="Palatino Linotype"/>
        </w:rPr>
        <w:t xml:space="preserve">, sub carpeta </w:t>
      </w:r>
      <w:r>
        <w:rPr>
          <w:rFonts w:ascii="Palatino Linotype" w:eastAsia="Palatino Linotype" w:hAnsi="Palatino Linotype" w:cs="Palatino Linotype"/>
          <w:b/>
          <w:bCs/>
          <w:i/>
          <w:iCs/>
        </w:rPr>
        <w:t>CFDI  IMCUFIDE 2025</w:t>
      </w:r>
      <w:r>
        <w:rPr>
          <w:rFonts w:ascii="Palatino Linotype" w:eastAsia="Palatino Linotype" w:hAnsi="Palatino Linotype" w:cs="Palatino Linotype"/>
        </w:rPr>
        <w:t>, los recibos de nómina del personal adscrito a ese Instituto de los meses de enero a agosto del año en curso. No obstante no pudo ser puesto a disposición del solicitante la información de referencia, toda vez que en los recibos de nómina contenidos en dicha sub carpeta, algunos tienen a la vista datos personales como lo son de manera enunciativa mas no limitativa: RFC, CURP y clave ISSEMYM. Luego entonces lo procedente es remitir dicho soporte documental en una correcta versión pública de conformidad al Considerando siguiente.</w:t>
      </w:r>
    </w:p>
    <w:p w:rsidR="00E96FC0" w:rsidRDefault="00E96FC0">
      <w:pPr>
        <w:rPr>
          <w:rFonts w:ascii="Palatino Linotype" w:eastAsia="Palatino Linotype" w:hAnsi="Palatino Linotype" w:cs="Palatino Linotype"/>
        </w:rPr>
      </w:pP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otro lado, si bien es información que evidentemente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genera, posee y administra tan es así que ya pretendió dar cumplimiento en calidad de informe justificado, no es óbice para realizar las siguientes precisiones.</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Que en nuestra legislación no existe como tal una definición de nómina;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“NÓMINA: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360D41" w:rsidRDefault="00360D41">
      <w:pPr>
        <w:spacing w:line="360" w:lineRule="auto"/>
        <w:ind w:left="851" w:right="900"/>
        <w:jc w:val="both"/>
        <w:rPr>
          <w:rFonts w:ascii="Palatino Linotype" w:eastAsia="Palatino Linotype" w:hAnsi="Palatino Linotype" w:cs="Palatino Linotype"/>
          <w:i/>
          <w:iCs/>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Aunado a lo anterior, debe destacarse que dicho término es mencionado en diferentes ordenamientos legales, tal es el caso del artículo 804 de la Ley Federal de Trabajo, fracción II que establece:</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“Artículo 804.- El patrón tiene obligación de conservar y exhibir en juicio los documentos que a continuación se precisan:</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II. Listas de raya o nómina de personal, cuando se lleven en el centro de trabajo; o recibos de pagos de salarios;</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E96FC0" w:rsidRDefault="00E96FC0">
      <w:pPr>
        <w:spacing w:line="360" w:lineRule="auto"/>
        <w:ind w:left="851" w:right="900"/>
        <w:jc w:val="both"/>
        <w:rPr>
          <w:rFonts w:ascii="Palatino Linotype" w:eastAsia="Palatino Linotype" w:hAnsi="Palatino Linotype" w:cs="Palatino Linotype"/>
          <w:i/>
          <w:iCs/>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De lo anteriormente señalado, se puede llegar a la conclusión de que la nómina o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rsidR="00E96FC0" w:rsidRDefault="00E96FC0">
      <w:pPr>
        <w:spacing w:line="360" w:lineRule="auto"/>
        <w:ind w:right="49"/>
        <w:jc w:val="both"/>
        <w:rPr>
          <w:rFonts w:ascii="Palatino Linotype" w:eastAsia="Palatino Linotype" w:hAnsi="Palatino Linotype" w:cs="Palatino Linotype"/>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De ahí que, el artículo 50 de la Ley del Trabajo de los Servidores Públicos del Estado y Municipios, dispone literalmente lo siguiente:</w:t>
      </w:r>
    </w:p>
    <w:p w:rsidR="00E96FC0" w:rsidRDefault="00A34724">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50</w:t>
      </w:r>
      <w:r>
        <w:rPr>
          <w:rFonts w:ascii="Palatino Linotype" w:eastAsia="Palatino Linotype" w:hAnsi="Palatino Linotype" w:cs="Palatino Linotype"/>
          <w:i/>
          <w:iCs/>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E96FC0" w:rsidRDefault="00A34724">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i/>
          <w:iCs/>
        </w:rPr>
        <w:t>Iguales consecuencias se generarán para todos los servidores públicos, cuando la relación de trabajo se formalice mediante un contrato o por encontrarse en lista de raya.”</w:t>
      </w:r>
    </w:p>
    <w:p w:rsidR="00360D41" w:rsidRDefault="00360D41">
      <w:pPr>
        <w:spacing w:line="360" w:lineRule="auto"/>
        <w:ind w:left="851" w:right="851"/>
        <w:jc w:val="both"/>
        <w:rPr>
          <w:rFonts w:ascii="Palatino Linotype" w:eastAsia="Palatino Linotype" w:hAnsi="Palatino Linotype" w:cs="Palatino Linotype"/>
          <w:i/>
          <w:iCs/>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De lo anterior, se advierte que la relación laboral entre un servidor público y el Estado se formaliza mediante nombramiento, contrato o formato único de movimientos de personal.</w:t>
      </w:r>
    </w:p>
    <w:p w:rsidR="00E96FC0" w:rsidRDefault="00E96FC0">
      <w:pPr>
        <w:spacing w:line="360" w:lineRule="auto"/>
        <w:ind w:right="49"/>
        <w:jc w:val="both"/>
        <w:rPr>
          <w:rFonts w:ascii="Palatino Linotype" w:eastAsia="Palatino Linotype" w:hAnsi="Palatino Linotype" w:cs="Palatino Linotype"/>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Ahora bien, tratándose de servidores públicos, la Ley del Trabajo de los Servidores Públicos del Estado y Municipios, en su artículo 220-K fracciones II y IV y último párrafo, establecen lo siguiente:</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“ARTÍCULO 220 K.- La institución o dependencia pública tiene la obligación de conservar y exhibir en el proceso los documentos que a continuación se precisan: … </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 Recibos de pagos de salarios o las constancias documentales del pago de salario cuando sea por depósito o mediante información electrónica; </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IV. </w:t>
      </w:r>
      <w:r>
        <w:rPr>
          <w:rFonts w:ascii="Palatino Linotype" w:eastAsia="Palatino Linotype" w:hAnsi="Palatino Linotype" w:cs="Palatino Linotype"/>
          <w:i/>
          <w:iCs/>
          <w:u w:val="single"/>
        </w:rPr>
        <w:t>Recibos o las constancias de depósito</w:t>
      </w:r>
      <w:r>
        <w:rPr>
          <w:rFonts w:ascii="Palatino Linotype" w:eastAsia="Palatino Linotype" w:hAnsi="Palatino Linotype" w:cs="Palatino Linotype"/>
          <w:i/>
          <w:iCs/>
        </w:rPr>
        <w:t xml:space="preserve"> o del medio de información magnética o electrónica que sean utilizadas para el </w:t>
      </w:r>
      <w:r>
        <w:rPr>
          <w:rFonts w:ascii="Palatino Linotype" w:eastAsia="Palatino Linotype" w:hAnsi="Palatino Linotype" w:cs="Palatino Linotype"/>
          <w:i/>
          <w:iCs/>
          <w:u w:val="single"/>
        </w:rPr>
        <w:t xml:space="preserve">pago de salarios, prima vacacional, aguinaldo </w:t>
      </w:r>
      <w:r>
        <w:rPr>
          <w:rFonts w:ascii="Palatino Linotype" w:eastAsia="Palatino Linotype" w:hAnsi="Palatino Linotype" w:cs="Palatino Linotype"/>
          <w:i/>
          <w:iCs/>
        </w:rPr>
        <w:t xml:space="preserve">y demás prestaciones establecidas en la presente ley; y </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E96FC0" w:rsidRDefault="00E96FC0">
      <w:pPr>
        <w:spacing w:line="360" w:lineRule="auto"/>
        <w:ind w:left="851" w:right="900"/>
        <w:jc w:val="both"/>
        <w:rPr>
          <w:rFonts w:ascii="Palatino Linotype" w:eastAsia="Palatino Linotype" w:hAnsi="Palatino Linotype" w:cs="Palatino Linotype"/>
          <w:i/>
          <w:iCs/>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sentido, se advierte que toda institución pública o dependencia pública del Estado de México debe conservar los recibos o constancias de pago de s</w:t>
      </w:r>
      <w:r>
        <w:rPr>
          <w:rFonts w:ascii="Palatino Linotype" w:eastAsia="Palatino Linotype" w:hAnsi="Palatino Linotype" w:cs="Palatino Linotype"/>
          <w:u w:val="single"/>
        </w:rPr>
        <w:t xml:space="preserve">alarios </w:t>
      </w:r>
      <w:r>
        <w:rPr>
          <w:rFonts w:ascii="Palatino Linotype" w:eastAsia="Palatino Linotype" w:hAnsi="Palatino Linotype" w:cs="Palatino Linotype"/>
        </w:rPr>
        <w:t>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E96FC0" w:rsidRDefault="00E96FC0">
      <w:pPr>
        <w:spacing w:line="360" w:lineRule="auto"/>
        <w:ind w:right="49"/>
        <w:jc w:val="both"/>
        <w:rPr>
          <w:rFonts w:ascii="Palatino Linotype" w:eastAsia="Palatino Linotype" w:hAnsi="Palatino Linotype" w:cs="Palatino Linotype"/>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Pr>
          <w:rFonts w:ascii="Palatino Linotype" w:eastAsia="Palatino Linotype" w:hAnsi="Palatino Linotype" w:cs="Palatino Linotype"/>
          <w:b/>
          <w:bCs/>
        </w:rPr>
        <w:t>SUJETO OBLIGADO</w:t>
      </w:r>
      <w:r>
        <w:rPr>
          <w:rFonts w:ascii="Palatino Linotype" w:eastAsia="Palatino Linotype" w:hAnsi="Palatino Linotype" w:cs="Palatino Linotype"/>
        </w:rPr>
        <w:t>, es considerado como ente fiscalizable, como así lo señala el artículo 4 fracción II de la Ley de Fiscalización Superior del Estado de México, el cual señala:</w:t>
      </w:r>
    </w:p>
    <w:p w:rsidR="00E96FC0" w:rsidRDefault="00A34724">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“Artículo 4. </w:t>
      </w:r>
      <w:r>
        <w:rPr>
          <w:rFonts w:ascii="Palatino Linotype" w:eastAsia="Palatino Linotype" w:hAnsi="Palatino Linotype" w:cs="Palatino Linotype"/>
          <w:i/>
          <w:iCs/>
        </w:rPr>
        <w:t>Son sujetos de fiscalización:</w:t>
      </w:r>
    </w:p>
    <w:p w:rsidR="00E96FC0" w:rsidRDefault="00A34724">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E96FC0" w:rsidRDefault="00A34724">
      <w:pPr>
        <w:spacing w:line="360" w:lineRule="auto"/>
        <w:ind w:left="360" w:right="851"/>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Los municipios del Estado de México…” </w:t>
      </w:r>
    </w:p>
    <w:p w:rsidR="00E96FC0" w:rsidRDefault="00E96FC0">
      <w:pPr>
        <w:spacing w:line="360" w:lineRule="auto"/>
        <w:ind w:left="851" w:right="851"/>
        <w:jc w:val="both"/>
        <w:rPr>
          <w:rFonts w:ascii="Palatino Linotype" w:eastAsia="Palatino Linotype" w:hAnsi="Palatino Linotype" w:cs="Palatino Linotype"/>
          <w:b/>
          <w:bCs/>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2021, como así se advierte a continuación:</w:t>
      </w:r>
    </w:p>
    <w:p w:rsidR="00E96FC0" w:rsidRDefault="00A34724">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“Artículo 8. </w:t>
      </w:r>
      <w:r>
        <w:rPr>
          <w:rFonts w:ascii="Palatino Linotype" w:eastAsia="Palatino Linotype" w:hAnsi="Palatino Linotype" w:cs="Palatino Linotype"/>
          <w:i/>
          <w:iCs/>
        </w:rPr>
        <w:t>El Órgano Superior tendrá las siguientes atribuciones:</w:t>
      </w:r>
    </w:p>
    <w:p w:rsidR="00E96FC0" w:rsidRDefault="00A34724">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E96FC0" w:rsidRDefault="00A34724">
      <w:pPr>
        <w:spacing w:line="360" w:lineRule="auto"/>
        <w:ind w:left="851" w:right="851"/>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lastRenderedPageBreak/>
        <w:t>XI. Establecer los lineamientos</w:t>
      </w:r>
      <w:r>
        <w:rPr>
          <w:rFonts w:ascii="Palatino Linotype" w:eastAsia="Palatino Linotype" w:hAnsi="Palatino Linotype" w:cs="Palatino Linotype"/>
          <w:i/>
          <w:iCs/>
        </w:rPr>
        <w:t xml:space="preserve">, criterios, procedimientos, métodos y sistemas </w:t>
      </w:r>
      <w:r>
        <w:rPr>
          <w:rFonts w:ascii="Palatino Linotype" w:eastAsia="Palatino Linotype" w:hAnsi="Palatino Linotype" w:cs="Palatino Linotype"/>
          <w:b/>
          <w:bCs/>
          <w:i/>
          <w:iCs/>
        </w:rPr>
        <w:t>para las acciones de control y evaluación, necesarios para la fiscalización de las cuentas públicas y los informes trimestrales</w:t>
      </w:r>
      <w:r>
        <w:rPr>
          <w:rFonts w:ascii="Palatino Linotype" w:eastAsia="Palatino Linotype" w:hAnsi="Palatino Linotype" w:cs="Palatino Linotype"/>
          <w:i/>
          <w:iCs/>
        </w:rPr>
        <w:t>…</w:t>
      </w:r>
      <w:r>
        <w:rPr>
          <w:rFonts w:ascii="Palatino Linotype" w:eastAsia="Palatino Linotype" w:hAnsi="Palatino Linotype" w:cs="Palatino Linotype"/>
        </w:rPr>
        <w:t>” (</w:t>
      </w:r>
      <w:r>
        <w:rPr>
          <w:rFonts w:ascii="Palatino Linotype" w:eastAsia="Palatino Linotype" w:hAnsi="Palatino Linotype" w:cs="Palatino Linotype"/>
          <w:i/>
          <w:iCs/>
        </w:rPr>
        <w:t>Sic)</w:t>
      </w:r>
    </w:p>
    <w:p w:rsidR="00E96FC0" w:rsidRDefault="00E96FC0">
      <w:pPr>
        <w:spacing w:line="360" w:lineRule="auto"/>
        <w:ind w:left="851" w:right="851"/>
        <w:jc w:val="both"/>
        <w:rPr>
          <w:rFonts w:ascii="Palatino Linotype" w:eastAsia="Palatino Linotype" w:hAnsi="Palatino Linotype" w:cs="Palatino Linotype"/>
          <w:b/>
          <w:bCs/>
          <w:i/>
          <w:iCs/>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rsidR="00E96FC0" w:rsidRDefault="00A34724">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3558269" cy="2761189"/>
            <wp:effectExtent l="0" t="0" r="0" b="0"/>
            <wp:docPr id="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35982" t="17910" r="21360" b="2999"/>
                    <a:stretch>
                      <a:fillRect/>
                    </a:stretch>
                  </pic:blipFill>
                  <pic:spPr>
                    <a:xfrm>
                      <a:off x="0" y="0"/>
                      <a:ext cx="3558269" cy="2761189"/>
                    </a:xfrm>
                    <a:prstGeom prst="rect">
                      <a:avLst/>
                    </a:prstGeom>
                    <a:ln/>
                  </pic:spPr>
                </pic:pic>
              </a:graphicData>
            </a:graphic>
          </wp:inline>
        </w:drawing>
      </w:r>
    </w:p>
    <w:p w:rsidR="00E96FC0" w:rsidRDefault="00A34724">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429542" cy="2567355"/>
            <wp:effectExtent l="0" t="0" r="0" b="0"/>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2360" t="20324" r="3937" b="4206"/>
                    <a:stretch>
                      <a:fillRect/>
                    </a:stretch>
                  </pic:blipFill>
                  <pic:spPr>
                    <a:xfrm>
                      <a:off x="0" y="0"/>
                      <a:ext cx="4429542" cy="2567355"/>
                    </a:xfrm>
                    <a:prstGeom prst="rect">
                      <a:avLst/>
                    </a:prstGeom>
                    <a:ln/>
                  </pic:spPr>
                </pic:pic>
              </a:graphicData>
            </a:graphic>
          </wp:inline>
        </w:drawing>
      </w:r>
    </w:p>
    <w:p w:rsidR="00E96FC0" w:rsidRDefault="00A34724">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526546" cy="2414108"/>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23987" t="26966" r="3145" b="13261"/>
                    <a:stretch>
                      <a:fillRect/>
                    </a:stretch>
                  </pic:blipFill>
                  <pic:spPr>
                    <a:xfrm>
                      <a:off x="0" y="0"/>
                      <a:ext cx="4526546" cy="2414108"/>
                    </a:xfrm>
                    <a:prstGeom prst="rect">
                      <a:avLst/>
                    </a:prstGeom>
                    <a:ln/>
                  </pic:spPr>
                </pic:pic>
              </a:graphicData>
            </a:graphic>
          </wp:inline>
        </w:drawing>
      </w:r>
    </w:p>
    <w:p w:rsidR="00E96FC0" w:rsidRDefault="00A34724">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665703" cy="2083512"/>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2516" t="21936" r="4391" b="21511"/>
                    <a:stretch>
                      <a:fillRect/>
                    </a:stretch>
                  </pic:blipFill>
                  <pic:spPr>
                    <a:xfrm>
                      <a:off x="0" y="0"/>
                      <a:ext cx="4665703" cy="2083512"/>
                    </a:xfrm>
                    <a:prstGeom prst="rect">
                      <a:avLst/>
                    </a:prstGeom>
                    <a:ln/>
                  </pic:spPr>
                </pic:pic>
              </a:graphicData>
            </a:graphic>
          </wp:inline>
        </w:drawing>
      </w:r>
    </w:p>
    <w:p w:rsidR="00E96FC0" w:rsidRDefault="00A34724">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342681" cy="2560543"/>
            <wp:effectExtent l="0" t="0" r="0" b="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36205" t="14489" r="18081"/>
                    <a:stretch>
                      <a:fillRect/>
                    </a:stretch>
                  </pic:blipFill>
                  <pic:spPr>
                    <a:xfrm>
                      <a:off x="0" y="0"/>
                      <a:ext cx="4342681" cy="2560543"/>
                    </a:xfrm>
                    <a:prstGeom prst="rect">
                      <a:avLst/>
                    </a:prstGeom>
                    <a:ln/>
                  </pic:spPr>
                </pic:pic>
              </a:graphicData>
            </a:graphic>
          </wp:inline>
        </w:drawing>
      </w:r>
    </w:p>
    <w:p w:rsidR="00E96FC0" w:rsidRDefault="00A34724">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345014" cy="3183904"/>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37791" t="16704" r="16949" b="2191"/>
                    <a:stretch>
                      <a:fillRect/>
                    </a:stretch>
                  </pic:blipFill>
                  <pic:spPr>
                    <a:xfrm>
                      <a:off x="0" y="0"/>
                      <a:ext cx="4345014" cy="3183904"/>
                    </a:xfrm>
                    <a:prstGeom prst="rect">
                      <a:avLst/>
                    </a:prstGeom>
                    <a:ln/>
                  </pic:spPr>
                </pic:pic>
              </a:graphicData>
            </a:graphic>
          </wp:inline>
        </w:drawing>
      </w:r>
    </w:p>
    <w:p w:rsidR="00E96FC0" w:rsidRDefault="00E96FC0">
      <w:pPr>
        <w:spacing w:line="360" w:lineRule="auto"/>
        <w:jc w:val="both"/>
        <w:rPr>
          <w:rFonts w:ascii="Palatino Linotype" w:eastAsia="Palatino Linotype" w:hAnsi="Palatino Linotype" w:cs="Palatino Linotype"/>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observancia a las imágenes anteriores, se acredita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genera la información solicitada y remitirla al Órgano Superior de Fiscalización del Estado de México, para su respectiva revisión y fiscalización.</w:t>
      </w:r>
    </w:p>
    <w:p w:rsidR="00360D41" w:rsidRDefault="00360D41" w:rsidP="00360D41">
      <w:pPr>
        <w:spacing w:line="360" w:lineRule="auto"/>
        <w:ind w:right="49"/>
        <w:jc w:val="both"/>
        <w:rPr>
          <w:rFonts w:ascii="Palatino Linotype" w:eastAsia="Palatino Linotype" w:hAnsi="Palatino Linotype" w:cs="Palatino Linotype"/>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los recibos de nómina, es el documento que contiene los salarios de todos los funcionarios de la administración pública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y que debió haber</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generado, administrado o poseído de acuerdo a lo establecido en el presente considerando; por lo que resulta procedente ordenar al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su entrega salvaguardando los datos personales que contenga, de conformidad con el considerando quinto. </w:t>
      </w:r>
    </w:p>
    <w:p w:rsidR="00E96FC0" w:rsidRDefault="00E96FC0">
      <w:pPr>
        <w:spacing w:line="360" w:lineRule="auto"/>
        <w:ind w:right="51"/>
        <w:jc w:val="both"/>
        <w:rPr>
          <w:rFonts w:ascii="Palatino Linotype" w:eastAsia="Palatino Linotype" w:hAnsi="Palatino Linotype" w:cs="Palatino Linotype"/>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E96FC0" w:rsidRDefault="00A34724">
      <w:pPr>
        <w:spacing w:line="360" w:lineRule="auto"/>
        <w:ind w:left="851" w:right="851"/>
        <w:jc w:val="both"/>
        <w:rPr>
          <w:rFonts w:ascii="Palatino Linotype" w:eastAsia="Palatino Linotype" w:hAnsi="Palatino Linotype" w:cs="Palatino Linotype"/>
          <w:i/>
          <w:iCs/>
          <w:u w:val="single"/>
        </w:rPr>
      </w:pPr>
      <w:r>
        <w:rPr>
          <w:rFonts w:ascii="Palatino Linotype" w:eastAsia="Palatino Linotype" w:hAnsi="Palatino Linotype" w:cs="Palatino Linotype"/>
          <w:b/>
          <w:bCs/>
          <w:i/>
          <w:iCs/>
          <w:u w:val="single"/>
        </w:rPr>
        <w:t>“Artículo 7. El Estado de México garantizará el efectivo acceso de toda persona a la información en posesión de cualquier entidad,</w:t>
      </w:r>
      <w:r>
        <w:rPr>
          <w:rFonts w:ascii="Palatino Linotype" w:eastAsia="Palatino Linotype" w:hAnsi="Palatino Linotype" w:cs="Palatino Linotype"/>
          <w:i/>
          <w:iCs/>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bCs/>
          <w:i/>
          <w:iCs/>
          <w:u w:val="single"/>
        </w:rPr>
        <w:t>que reciba y ejerza recursos públicos</w:t>
      </w:r>
      <w:r>
        <w:rPr>
          <w:rFonts w:ascii="Palatino Linotype" w:eastAsia="Palatino Linotype" w:hAnsi="Palatino Linotype" w:cs="Palatino Linotype"/>
          <w:i/>
          <w:iCs/>
        </w:rPr>
        <w:t xml:space="preserve"> o realice actos de autoridad </w:t>
      </w:r>
      <w:r>
        <w:rPr>
          <w:rFonts w:ascii="Palatino Linotype" w:eastAsia="Palatino Linotype" w:hAnsi="Palatino Linotype" w:cs="Palatino Linotype"/>
          <w:b/>
          <w:bCs/>
          <w:i/>
          <w:iCs/>
          <w:u w:val="single"/>
        </w:rPr>
        <w:t>en el ámbito de competencia del Estado de México y sus municipios</w:t>
      </w:r>
      <w:r>
        <w:rPr>
          <w:rFonts w:ascii="Palatino Linotype" w:eastAsia="Palatino Linotype" w:hAnsi="Palatino Linotype" w:cs="Palatino Linotype"/>
          <w:i/>
          <w:iCs/>
          <w:u w:val="single"/>
        </w:rPr>
        <w:t>.</w:t>
      </w:r>
    </w:p>
    <w:p w:rsidR="00E96FC0" w:rsidRDefault="00A34724">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i/>
          <w:iCs/>
        </w:rPr>
        <w:t>Artículo 23. Son sujetos obligados a transparentar y permitir el acceso a su información y proteger los datos personales que obren en su poder:</w:t>
      </w:r>
    </w:p>
    <w:p w:rsidR="00E96FC0" w:rsidRDefault="00A34724">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E96FC0" w:rsidRDefault="00A34724">
      <w:pPr>
        <w:spacing w:line="360" w:lineRule="auto"/>
        <w:ind w:left="851" w:right="851"/>
        <w:jc w:val="both"/>
        <w:rPr>
          <w:rFonts w:ascii="Palatino Linotype" w:eastAsia="Palatino Linotype" w:hAnsi="Palatino Linotype" w:cs="Palatino Linotype"/>
          <w:b/>
          <w:bCs/>
          <w:i/>
          <w:iCs/>
          <w:u w:val="single"/>
        </w:rPr>
      </w:pPr>
      <w:r>
        <w:rPr>
          <w:rFonts w:ascii="Palatino Linotype" w:eastAsia="Palatino Linotype" w:hAnsi="Palatino Linotype" w:cs="Palatino Linotype"/>
          <w:b/>
          <w:bCs/>
          <w:i/>
          <w:iCs/>
          <w:u w:val="single"/>
        </w:rPr>
        <w:t>IV. Los ayuntamientos y las dependencias, organismos, órganos y entidades de la administración municipal;</w:t>
      </w:r>
    </w:p>
    <w:p w:rsidR="00E96FC0" w:rsidRDefault="00A34724">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E96FC0" w:rsidRDefault="00A34724">
      <w:pPr>
        <w:spacing w:line="360" w:lineRule="auto"/>
        <w:ind w:left="851" w:right="851"/>
        <w:jc w:val="both"/>
        <w:rPr>
          <w:rFonts w:ascii="Palatino Linotype" w:eastAsia="Palatino Linotype" w:hAnsi="Palatino Linotype" w:cs="Palatino Linotype"/>
          <w:b/>
          <w:bCs/>
          <w:i/>
          <w:iCs/>
          <w:u w:val="single"/>
        </w:rPr>
      </w:pPr>
      <w:r>
        <w:rPr>
          <w:rFonts w:ascii="Palatino Linotype" w:eastAsia="Palatino Linotype" w:hAnsi="Palatino Linotype" w:cs="Palatino Linotype"/>
          <w:b/>
          <w:bCs/>
          <w:i/>
          <w:iCs/>
          <w:u w:val="single"/>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96FC0" w:rsidRDefault="00A34724">
      <w:pPr>
        <w:spacing w:line="360" w:lineRule="auto"/>
        <w:ind w:left="851" w:right="851"/>
        <w:jc w:val="both"/>
        <w:rPr>
          <w:rFonts w:ascii="Palatino Linotype" w:eastAsia="Palatino Linotype" w:hAnsi="Palatino Linotype" w:cs="Palatino Linotype"/>
          <w:b/>
          <w:bCs/>
          <w:i/>
          <w:iCs/>
        </w:rPr>
      </w:pPr>
      <w:r>
        <w:rPr>
          <w:rFonts w:ascii="Palatino Linotype" w:eastAsia="Palatino Linotype" w:hAnsi="Palatino Linotype" w:cs="Palatino Linotype"/>
          <w:i/>
          <w:iCs/>
        </w:rPr>
        <w:t>Los servidores públicos deberán transparentar sus acciones así como garantizar y respetar el derecho de acceso a la información pública.”</w:t>
      </w:r>
    </w:p>
    <w:p w:rsidR="00E96FC0" w:rsidRDefault="00E96FC0">
      <w:pPr>
        <w:spacing w:line="360" w:lineRule="auto"/>
        <w:jc w:val="both"/>
        <w:rPr>
          <w:rFonts w:ascii="Palatino Linotype" w:eastAsia="Palatino Linotype" w:hAnsi="Palatino Linotype" w:cs="Palatino Linotype"/>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bCs/>
        </w:rPr>
        <w:t>01/2003</w:t>
      </w:r>
      <w:r>
        <w:rPr>
          <w:rFonts w:ascii="Palatino Linotype" w:eastAsia="Palatino Linotype" w:hAnsi="Palatino Linotype" w:cs="Palatino Linotype"/>
        </w:rPr>
        <w:t xml:space="preserve"> y </w:t>
      </w:r>
      <w:r>
        <w:rPr>
          <w:rFonts w:ascii="Palatino Linotype" w:eastAsia="Palatino Linotype" w:hAnsi="Palatino Linotype" w:cs="Palatino Linotype"/>
          <w:b/>
          <w:bCs/>
        </w:rPr>
        <w:t>02/2003</w:t>
      </w:r>
      <w:r>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E96FC0" w:rsidRDefault="00A34724">
      <w:pPr>
        <w:spacing w:line="360" w:lineRule="auto"/>
        <w:ind w:left="851" w:right="851"/>
        <w:rPr>
          <w:rFonts w:ascii="Palatino Linotype" w:eastAsia="Palatino Linotype" w:hAnsi="Palatino Linotype" w:cs="Palatino Linotype"/>
          <w:b/>
          <w:bCs/>
          <w:i/>
          <w:iCs/>
        </w:rPr>
      </w:pPr>
      <w:r>
        <w:rPr>
          <w:rFonts w:ascii="Palatino Linotype" w:eastAsia="Palatino Linotype" w:hAnsi="Palatino Linotype" w:cs="Palatino Linotype"/>
          <w:b/>
          <w:bCs/>
          <w:i/>
          <w:iCs/>
        </w:rPr>
        <w:t>“Criterio 01/2003.</w:t>
      </w:r>
    </w:p>
    <w:p w:rsidR="00E96FC0" w:rsidRDefault="00A34724">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b/>
          <w:bCs/>
          <w:i/>
          <w:iCs/>
        </w:rPr>
        <w:t>INGRESOS DE LOS SERVIDORES PÚBLICOS. CONSTITUYEN INFORMACIÓN PÚBLICA AÚN Y CUANDO SU DIFUSIÓN PUEDE AFECTAR LA VIDA O LA SEGURIDAD DE AQUELLOS.</w:t>
      </w:r>
      <w:r>
        <w:rPr>
          <w:rFonts w:ascii="Palatino Linotype" w:eastAsia="Palatino Linotype" w:hAnsi="Palatino Linotype" w:cs="Palatino Linotype"/>
          <w:i/>
          <w:iCs/>
        </w:rPr>
        <w:t xml:space="preserve"> </w:t>
      </w:r>
    </w:p>
    <w:p w:rsidR="00E96FC0" w:rsidRDefault="00A34724">
      <w:pPr>
        <w:spacing w:line="360" w:lineRule="auto"/>
        <w:ind w:left="851" w:right="851"/>
        <w:jc w:val="both"/>
        <w:rPr>
          <w:rFonts w:ascii="Palatino Linotype" w:eastAsia="Palatino Linotype" w:hAnsi="Palatino Linotype" w:cs="Palatino Linotype"/>
          <w:i/>
          <w:iCs/>
          <w:u w:val="single"/>
        </w:rPr>
      </w:pPr>
      <w:r>
        <w:rPr>
          <w:rFonts w:ascii="Palatino Linotype" w:eastAsia="Palatino Linotype" w:hAnsi="Palatino Linotype" w:cs="Palatino Linotype"/>
          <w:i/>
          <w:iCs/>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bCs/>
          <w:i/>
          <w:iCs/>
          <w:u w:val="single"/>
        </w:rPr>
        <w:t xml:space="preserve">deben publicarse en medios remotos o locales de </w:t>
      </w:r>
      <w:r>
        <w:rPr>
          <w:rFonts w:ascii="Palatino Linotype" w:eastAsia="Palatino Linotype" w:hAnsi="Palatino Linotype" w:cs="Palatino Linotype"/>
          <w:b/>
          <w:bCs/>
          <w:i/>
          <w:iCs/>
          <w:u w:val="single"/>
        </w:rPr>
        <w:lastRenderedPageBreak/>
        <w:t>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iCs/>
          <w:u w:val="single"/>
        </w:rPr>
        <w:t>…”</w:t>
      </w:r>
    </w:p>
    <w:p w:rsidR="00E96FC0" w:rsidRDefault="00E96FC0">
      <w:pPr>
        <w:spacing w:line="360" w:lineRule="auto"/>
        <w:ind w:left="851" w:right="851"/>
        <w:jc w:val="both"/>
        <w:rPr>
          <w:rFonts w:ascii="Palatino Linotype" w:eastAsia="Palatino Linotype" w:hAnsi="Palatino Linotype" w:cs="Palatino Linotype"/>
          <w:i/>
          <w:iCs/>
        </w:rPr>
      </w:pPr>
    </w:p>
    <w:p w:rsidR="00E96FC0" w:rsidRDefault="00A34724">
      <w:pPr>
        <w:spacing w:line="360" w:lineRule="auto"/>
        <w:ind w:left="851" w:right="851"/>
        <w:rPr>
          <w:rFonts w:ascii="Palatino Linotype" w:eastAsia="Palatino Linotype" w:hAnsi="Palatino Linotype" w:cs="Palatino Linotype"/>
          <w:b/>
          <w:bCs/>
          <w:i/>
          <w:iCs/>
        </w:rPr>
      </w:pPr>
      <w:r>
        <w:rPr>
          <w:rFonts w:ascii="Palatino Linotype" w:eastAsia="Palatino Linotype" w:hAnsi="Palatino Linotype" w:cs="Palatino Linotype"/>
          <w:b/>
          <w:bCs/>
          <w:i/>
          <w:iCs/>
        </w:rPr>
        <w:t>“Criterio 02/2003.</w:t>
      </w:r>
    </w:p>
    <w:p w:rsidR="00E96FC0" w:rsidRDefault="00A34724">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b/>
          <w:bCs/>
          <w:i/>
          <w:iCs/>
        </w:rPr>
        <w:t>INGRESOS DE LOS SERVIDORES PÚBLICOS, SON INFORMACIÓN PÚBLICA AÚN Y CUANDO CONSTITUYEN DATOS PERSONALES QUE SE REFIEREN AL PATRIMONIO DE AQUÉLLOS.</w:t>
      </w:r>
      <w:r>
        <w:rPr>
          <w:rFonts w:ascii="Palatino Linotype" w:eastAsia="Palatino Linotype" w:hAnsi="Palatino Linotype" w:cs="Palatino Linotype"/>
          <w:i/>
          <w:iCs/>
        </w:rPr>
        <w:t xml:space="preserve"> </w:t>
      </w:r>
    </w:p>
    <w:p w:rsidR="00E96FC0" w:rsidRDefault="00A34724">
      <w:pPr>
        <w:spacing w:line="360" w:lineRule="auto"/>
        <w:ind w:left="851" w:right="851"/>
        <w:jc w:val="both"/>
        <w:rPr>
          <w:rFonts w:ascii="Palatino Linotype" w:eastAsia="Palatino Linotype" w:hAnsi="Palatino Linotype" w:cs="Palatino Linotype"/>
          <w:b/>
          <w:bCs/>
          <w:i/>
          <w:iCs/>
        </w:rPr>
      </w:pPr>
      <w:r>
        <w:rPr>
          <w:rFonts w:ascii="Palatino Linotype" w:eastAsia="Palatino Linotype" w:hAnsi="Palatino Linotype" w:cs="Palatino Linotype"/>
          <w:i/>
          <w:iCs/>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bCs/>
          <w:i/>
          <w:iCs/>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iCs/>
        </w:rPr>
        <w:t xml:space="preserve"> el sistema de compensación…” </w:t>
      </w:r>
    </w:p>
    <w:p w:rsidR="00E96FC0" w:rsidRDefault="00E96FC0">
      <w:pPr>
        <w:spacing w:line="360" w:lineRule="auto"/>
        <w:jc w:val="both"/>
        <w:rPr>
          <w:rFonts w:ascii="Palatino Linotype" w:eastAsia="Palatino Linotype" w:hAnsi="Palatino Linotype" w:cs="Palatino Linotype"/>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el artículo 70 de la Ley General de Transparencia y Acceso a la Información Pública dispone lo siguiente: </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E96FC0" w:rsidRDefault="00E96FC0">
      <w:pPr>
        <w:spacing w:line="360" w:lineRule="auto"/>
        <w:jc w:val="both"/>
        <w:rPr>
          <w:rFonts w:ascii="Palatino Linotype" w:eastAsia="Palatino Linotype" w:hAnsi="Palatino Linotype" w:cs="Palatino Linotype"/>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VIII. La remuneración bruta y neta de todos los servidores públicos de base o de confianza, de todas las percepciones, incluyendo sueldos, prestaciones, </w:t>
      </w:r>
      <w:r>
        <w:rPr>
          <w:rFonts w:ascii="Palatino Linotype" w:eastAsia="Palatino Linotype" w:hAnsi="Palatino Linotype" w:cs="Palatino Linotype"/>
          <w:i/>
          <w:iCs/>
        </w:rPr>
        <w:lastRenderedPageBreak/>
        <w:t>gratificaciones, primas, comisiones, dietas, bonos, estímulos, ingresos y sistemas de compensación, señalando la periodicidad de dicha remuneración;”</w:t>
      </w:r>
    </w:p>
    <w:p w:rsidR="00E96FC0" w:rsidRDefault="00E96FC0">
      <w:pPr>
        <w:spacing w:line="360" w:lineRule="auto"/>
        <w:jc w:val="both"/>
        <w:rPr>
          <w:rFonts w:ascii="Palatino Linotype" w:eastAsia="Palatino Linotype" w:hAnsi="Palatino Linotype" w:cs="Palatino Linotype"/>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 siendo procedente la entrega del soporte documental requerido en el rubro de mérito.</w:t>
      </w:r>
    </w:p>
    <w:p w:rsidR="00E96FC0" w:rsidRDefault="00E96FC0">
      <w:pPr>
        <w:spacing w:line="360" w:lineRule="auto"/>
        <w:ind w:right="49"/>
        <w:jc w:val="both"/>
        <w:rPr>
          <w:rFonts w:ascii="Palatino Linotype" w:eastAsia="Palatino Linotype" w:hAnsi="Palatino Linotype" w:cs="Palatino Linotype"/>
          <w:color w:val="000000"/>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Seguidamente, respecto del motivo de inconformidad relativo a no enviar recibos de nómina del personal de seguridad pública,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 manera posterior a la interposición del recurso de revisión, en informe justificado, la clasificó como reserva por un periodo de 5 años, misma que se desestima, toda vez que corresponde a información pública, aunque ciertamente con limitantes, toda vez que los nombres de los policías adscritos al área de seguridad pública es aquella susceptible de ser reservada, no así en su totalidad los recibos de nómina.</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artículo 4° de la Ley de Seguridad del Estado de México prevé que la función de </w:t>
      </w:r>
      <w:r>
        <w:rPr>
          <w:rFonts w:ascii="Palatino Linotype" w:eastAsia="Palatino Linotype" w:hAnsi="Palatino Linotype" w:cs="Palatino Linotype"/>
          <w:color w:val="000000"/>
        </w:rPr>
        <w:t>seguridad</w:t>
      </w:r>
      <w:r>
        <w:rPr>
          <w:rFonts w:ascii="Palatino Linotype" w:eastAsia="Palatino Linotype" w:hAnsi="Palatino Linotype" w:cs="Palatino Linotype"/>
        </w:rPr>
        <w:t xml:space="preserve">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w:t>
      </w:r>
      <w:r>
        <w:rPr>
          <w:rFonts w:ascii="Palatino Linotype" w:eastAsia="Palatino Linotype" w:hAnsi="Palatino Linotype" w:cs="Palatino Linotype"/>
        </w:rPr>
        <w:lastRenderedPageBreak/>
        <w:t>administrativas, y de las demás autoridades de las instancias encargadas de aplicar las infracciones administrativas.</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En ese contexto, el artículo 6, fracciones XI y XII de dicho ordenamiento jurídico, establece los siguientes conceptos:</w:t>
      </w:r>
    </w:p>
    <w:p w:rsidR="00E96FC0" w:rsidRDefault="00A34724">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Instituciones Policiales: </w:t>
      </w:r>
      <w:r>
        <w:rPr>
          <w:rFonts w:ascii="Palatino Linotype" w:eastAsia="Palatino Linotype" w:hAnsi="Palatino Linotype" w:cs="Palatino Linotype"/>
          <w:color w:val="000000"/>
        </w:rPr>
        <w:t xml:space="preserve">Son los cuerpos de policía, de vigilancia y custodia de los establecimientos penitenciarios, detención preventiva, centros de arraigo y en general, </w:t>
      </w:r>
      <w:r>
        <w:rPr>
          <w:rFonts w:ascii="Palatino Linotype" w:eastAsia="Palatino Linotype" w:hAnsi="Palatino Linotype" w:cs="Palatino Linotype"/>
          <w:b/>
          <w:bCs/>
          <w:color w:val="000000"/>
        </w:rPr>
        <w:t>todas las dependencias encargadas de la seguridad pública a nivel</w:t>
      </w:r>
      <w:r>
        <w:rPr>
          <w:rFonts w:ascii="Palatino Linotype" w:eastAsia="Palatino Linotype" w:hAnsi="Palatino Linotype" w:cs="Palatino Linotype"/>
          <w:color w:val="000000"/>
        </w:rPr>
        <w:t xml:space="preserve"> estatal y </w:t>
      </w:r>
      <w:r>
        <w:rPr>
          <w:rFonts w:ascii="Palatino Linotype" w:eastAsia="Palatino Linotype" w:hAnsi="Palatino Linotype" w:cs="Palatino Linotype"/>
          <w:b/>
          <w:bCs/>
          <w:color w:val="000000"/>
        </w:rPr>
        <w:t>municipal.</w:t>
      </w:r>
    </w:p>
    <w:p w:rsidR="00E96FC0" w:rsidRDefault="00A34724">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Instituciones de Seguridad Pública: </w:t>
      </w:r>
      <w:r>
        <w:rPr>
          <w:rFonts w:ascii="Palatino Linotype" w:eastAsia="Palatino Linotype" w:hAnsi="Palatino Linotype" w:cs="Palatino Linotype"/>
          <w:color w:val="000000"/>
        </w:rPr>
        <w:t xml:space="preserve">Instituciones Policiales, Procuración de Justicia, Sistema Penitenciario y </w:t>
      </w:r>
      <w:r>
        <w:rPr>
          <w:rFonts w:ascii="Palatino Linotype" w:eastAsia="Palatino Linotype" w:hAnsi="Palatino Linotype" w:cs="Palatino Linotype"/>
          <w:b/>
          <w:bCs/>
          <w:color w:val="000000"/>
        </w:rPr>
        <w:t xml:space="preserve">dependencias encargadas de la seguridad pública a nivel </w:t>
      </w:r>
      <w:r>
        <w:rPr>
          <w:rFonts w:ascii="Palatino Linotype" w:eastAsia="Palatino Linotype" w:hAnsi="Palatino Linotype" w:cs="Palatino Linotype"/>
          <w:color w:val="000000"/>
        </w:rPr>
        <w:t xml:space="preserve">estatal y </w:t>
      </w:r>
      <w:r>
        <w:rPr>
          <w:rFonts w:ascii="Palatino Linotype" w:eastAsia="Palatino Linotype" w:hAnsi="Palatino Linotype" w:cs="Palatino Linotype"/>
          <w:b/>
          <w:bCs/>
          <w:color w:val="000000"/>
        </w:rPr>
        <w:t>municipal.</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b/>
          <w:bCs/>
          <w:color w:val="000000"/>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Conforme a lo anterior, se puede deducir que la Dirección de Seguridad Pública y Tránsito Municipal, es una institución de seguridad pública, pues tiene como atribución principal resguardar el orden público y la paz social, la prevención de delitos y la inhibición de manifestaciones de conductas antisociales.</w:t>
      </w:r>
    </w:p>
    <w:p w:rsidR="00E96FC0" w:rsidRDefault="00E96FC0">
      <w:pPr>
        <w:spacing w:line="360" w:lineRule="auto"/>
        <w:jc w:val="both"/>
        <w:rPr>
          <w:rFonts w:ascii="Palatino Linotype" w:eastAsia="Palatino Linotype" w:hAnsi="Palatino Linotype" w:cs="Palatino Linotype"/>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Además, 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desempeña funciones de mando), entre los cuales, se encuentra la Policía Municipal.</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rsidR="00E96FC0" w:rsidRDefault="00E96FC0">
      <w:pPr>
        <w:spacing w:line="360" w:lineRule="auto"/>
        <w:jc w:val="both"/>
        <w:rPr>
          <w:rFonts w:ascii="Palatino Linotype" w:eastAsia="Palatino Linotype" w:hAnsi="Palatino Linotype" w:cs="Palatino Linotype"/>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E96FC0" w:rsidRDefault="00E96FC0">
      <w:pPr>
        <w:spacing w:line="360" w:lineRule="auto"/>
        <w:jc w:val="both"/>
        <w:rPr>
          <w:rFonts w:ascii="Palatino Linotype" w:eastAsia="Palatino Linotype" w:hAnsi="Palatino Linotype" w:cs="Palatino Linotype"/>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tal situación, se considera que dar a conocer el nombre de los elementos operativos, que incluye a los policías municipales, puede poner en riesgo la vida, seguridad y salud de estos, de sus familias e incluso su entorno social, pues al hacerlos </w:t>
      </w:r>
      <w:r>
        <w:rPr>
          <w:rFonts w:ascii="Palatino Linotype" w:eastAsia="Palatino Linotype" w:hAnsi="Palatino Linotype" w:cs="Palatino Linotype"/>
        </w:rPr>
        <w:lastRenderedPageBreak/>
        <w:t>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tales consideraciones, de ser el caso que en el soporte documental a entregar, obraran nombres de policías, resultara procedente la reserva del nombre de los elementos operativos de </w:t>
      </w:r>
      <w:r>
        <w:rPr>
          <w:rFonts w:ascii="Palatino Linotype" w:eastAsia="Palatino Linotype" w:hAnsi="Palatino Linotype" w:cs="Palatino Linotype"/>
          <w:u w:val="single"/>
        </w:rPr>
        <w:t>Dirección de Seguridad Pública y Tránsito Municipal de Amecameca</w:t>
      </w:r>
      <w:r>
        <w:rPr>
          <w:rFonts w:ascii="Palatino Linotype" w:eastAsia="Palatino Linotype" w:hAnsi="Palatino Linotype" w:cs="Palatino Linotype"/>
        </w:rPr>
        <w:t xml:space="preserve">, en términos del artículo 140, fracción IV, de de la Ley de Transparencia y Acceso a la Información Pública del Estado de México y Municipios. </w:t>
      </w:r>
    </w:p>
    <w:p w:rsidR="00E96FC0" w:rsidRDefault="00E96FC0">
      <w:pPr>
        <w:pBdr>
          <w:top w:val="nil"/>
          <w:left w:val="nil"/>
          <w:bottom w:val="nil"/>
          <w:right w:val="nil"/>
          <w:between w:val="nil"/>
        </w:pBdr>
        <w:ind w:left="720"/>
        <w:rPr>
          <w:rFonts w:ascii="Palatino Linotype" w:eastAsia="Palatino Linotype" w:hAnsi="Palatino Linotype" w:cs="Palatino Linotype"/>
          <w:color w:val="000000"/>
        </w:rPr>
      </w:pPr>
    </w:p>
    <w:p w:rsidR="00E96FC0" w:rsidRPr="00F34F93" w:rsidRDefault="00A34724" w:rsidP="00F34F93">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34F93">
        <w:rPr>
          <w:rFonts w:ascii="Palatino Linotype" w:eastAsia="Palatino Linotype" w:hAnsi="Palatino Linotype" w:cs="Palatino Linotype"/>
          <w:color w:val="000000"/>
        </w:rPr>
        <w:t xml:space="preserve">Con la determinación anterior, se estima quedara por colmado el derecho de acceso a la información del ahora Recurrente; toda vez que el Derecho que tutela este Órgano Garante corresponde a la  </w:t>
      </w:r>
      <w:r w:rsidRPr="00F34F93">
        <w:rPr>
          <w:rFonts w:ascii="Palatino Linotype" w:eastAsia="Palatino Linotype" w:hAnsi="Palatino Linotype" w:cs="Palatino Linotype"/>
          <w:i/>
          <w:iCs/>
          <w:color w:val="000000"/>
        </w:rPr>
        <w:t>igualdad de oportunidades para recibir, buscar e impartir información</w:t>
      </w:r>
      <w:r>
        <w:rPr>
          <w:i/>
          <w:iCs/>
          <w:vertAlign w:val="superscript"/>
        </w:rPr>
        <w:footnoteReference w:id="1"/>
      </w:r>
      <w:r w:rsidRPr="00F34F93">
        <w:rPr>
          <w:rFonts w:ascii="Palatino Linotype" w:eastAsia="Palatino Linotype" w:hAnsi="Palatino Linotype" w:cs="Palatino Linotype"/>
          <w:i/>
          <w:iCs/>
          <w:color w:val="000000"/>
        </w:rPr>
        <w:t xml:space="preserve"> en posesión de cualquier autoridad, entidad, órgano y organismo de los </w:t>
      </w:r>
      <w:r w:rsidRPr="00F34F93">
        <w:rPr>
          <w:rFonts w:ascii="Palatino Linotype" w:eastAsia="Palatino Linotype" w:hAnsi="Palatino Linotype" w:cs="Palatino Linotype"/>
          <w:color w:val="000000"/>
        </w:rPr>
        <w:t>poderes</w:t>
      </w:r>
      <w:r w:rsidRPr="00F34F93">
        <w:rPr>
          <w:rFonts w:ascii="Palatino Linotype" w:eastAsia="Palatino Linotype" w:hAnsi="Palatino Linotype" w:cs="Palatino Linotype"/>
          <w:i/>
          <w:iCs/>
          <w:color w:val="000000"/>
        </w:rPr>
        <w:t xml:space="preserve"> Ejecutivo, Legislativo y Judicial, órganos autónomos, partidos políticos, </w:t>
      </w:r>
      <w:r w:rsidRPr="00F34F93">
        <w:rPr>
          <w:rFonts w:ascii="Palatino Linotype" w:eastAsia="Palatino Linotype" w:hAnsi="Palatino Linotype" w:cs="Palatino Linotype"/>
          <w:color w:val="000000"/>
        </w:rPr>
        <w:t>fideicomisos</w:t>
      </w:r>
      <w:r w:rsidRPr="00F34F93">
        <w:rPr>
          <w:rFonts w:ascii="Palatino Linotype" w:eastAsia="Palatino Linotype" w:hAnsi="Palatino Linotype" w:cs="Palatino Linotype"/>
          <w:i/>
          <w:iCs/>
          <w:color w:val="000000"/>
        </w:rPr>
        <w:t>, y fondos públicos, así como de cualquier persona física, moral o sindicato que reciba y ejerza recursos públicos o realice actos de autoridad en el ámbito federal, estatal y municipal</w:t>
      </w:r>
      <w:r>
        <w:rPr>
          <w:vertAlign w:val="superscript"/>
        </w:rPr>
        <w:footnoteReference w:id="2"/>
      </w:r>
      <w:r w:rsidRPr="00F34F93">
        <w:rPr>
          <w:rFonts w:ascii="Palatino Linotype" w:eastAsia="Palatino Linotype" w:hAnsi="Palatino Linotype" w:cs="Palatino Linotype"/>
          <w:i/>
          <w:iCs/>
          <w:color w:val="000000"/>
        </w:rPr>
        <w:t xml:space="preserve"> </w:t>
      </w:r>
      <w:r w:rsidRPr="00F34F93">
        <w:rPr>
          <w:rFonts w:ascii="Palatino Linotype" w:eastAsia="Palatino Linotype" w:hAnsi="Palatino Linotype" w:cs="Palatino Linotype"/>
          <w:color w:val="000000"/>
        </w:rPr>
        <w:t xml:space="preserve">que se constituye como una herramienta fundamental para </w:t>
      </w:r>
      <w:r w:rsidRPr="00F34F93">
        <w:rPr>
          <w:rFonts w:ascii="Palatino Linotype" w:eastAsia="Palatino Linotype" w:hAnsi="Palatino Linotype" w:cs="Palatino Linotype"/>
          <w:i/>
          <w:iCs/>
          <w:color w:val="000000"/>
        </w:rPr>
        <w:t>ejercer control democrático de las gestiones estatales, de forma tal que puedan cuestionar, indagar y considerar si se está dando un adecuado cumplimiento de las funciones públicas,</w:t>
      </w:r>
      <w:r>
        <w:rPr>
          <w:i/>
          <w:iCs/>
          <w:vertAlign w:val="superscript"/>
        </w:rPr>
        <w:footnoteReference w:id="3"/>
      </w:r>
      <w:r w:rsidRPr="00F34F93">
        <w:rPr>
          <w:rFonts w:ascii="Palatino Linotype" w:eastAsia="Palatino Linotype" w:hAnsi="Palatino Linotype" w:cs="Palatino Linotype"/>
          <w:color w:val="000000"/>
        </w:rPr>
        <w:t>fomentando</w:t>
      </w:r>
      <w:r w:rsidRPr="00F34F93">
        <w:rPr>
          <w:rFonts w:ascii="Palatino Linotype" w:eastAsia="Palatino Linotype" w:hAnsi="Palatino Linotype" w:cs="Palatino Linotype"/>
          <w:i/>
          <w:iCs/>
          <w:color w:val="000000"/>
        </w:rPr>
        <w:t xml:space="preserve"> la transparencia de las actividades estatales y</w:t>
      </w:r>
      <w:r w:rsidRPr="00F34F93">
        <w:rPr>
          <w:rFonts w:ascii="Palatino Linotype" w:eastAsia="Palatino Linotype" w:hAnsi="Palatino Linotype" w:cs="Palatino Linotype"/>
          <w:color w:val="000000"/>
        </w:rPr>
        <w:t xml:space="preserve"> promoviendo</w:t>
      </w:r>
      <w:r w:rsidRPr="00F34F93">
        <w:rPr>
          <w:rFonts w:ascii="Palatino Linotype" w:eastAsia="Palatino Linotype" w:hAnsi="Palatino Linotype" w:cs="Palatino Linotype"/>
          <w:i/>
          <w:iCs/>
          <w:color w:val="000000"/>
        </w:rPr>
        <w:t xml:space="preserve"> la </w:t>
      </w:r>
      <w:r w:rsidRPr="00F34F93">
        <w:rPr>
          <w:rFonts w:ascii="Palatino Linotype" w:eastAsia="Palatino Linotype" w:hAnsi="Palatino Linotype" w:cs="Palatino Linotype"/>
          <w:i/>
          <w:iCs/>
          <w:color w:val="000000"/>
        </w:rPr>
        <w:lastRenderedPageBreak/>
        <w:t>responsabilidad de los funcionarios sobre su gestión pública</w:t>
      </w:r>
      <w:r>
        <w:rPr>
          <w:i/>
          <w:iCs/>
          <w:vertAlign w:val="superscript"/>
        </w:rPr>
        <w:footnoteReference w:id="4"/>
      </w:r>
      <w:r w:rsidRPr="00F34F93">
        <w:rPr>
          <w:rFonts w:ascii="Palatino Linotype" w:eastAsia="Palatino Linotype" w:hAnsi="Palatino Linotype" w:cs="Palatino Linotype"/>
          <w:i/>
          <w:iCs/>
          <w:color w:val="000000"/>
        </w:rPr>
        <w:t xml:space="preserve"> </w:t>
      </w:r>
      <w:r w:rsidRPr="00F34F93">
        <w:rPr>
          <w:rFonts w:ascii="Palatino Linotype" w:eastAsia="Palatino Linotype" w:hAnsi="Palatino Linotype" w:cs="Palatino Linotype"/>
          <w:color w:val="000000"/>
        </w:rPr>
        <w:t>que permite</w:t>
      </w:r>
      <w:r w:rsidRPr="00F34F93">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r>
        <w:rPr>
          <w:i/>
          <w:iCs/>
          <w:vertAlign w:val="superscript"/>
        </w:rPr>
        <w:footnoteReference w:id="5"/>
      </w:r>
      <w:r w:rsidRPr="00F34F93">
        <w:rPr>
          <w:rFonts w:ascii="Palatino Linotype" w:eastAsia="Palatino Linotype" w:hAnsi="Palatino Linotype" w:cs="Palatino Linotype"/>
          <w:color w:val="000000"/>
        </w:rPr>
        <w:t xml:space="preserve"> ” </w:t>
      </w:r>
    </w:p>
    <w:p w:rsidR="00E96FC0" w:rsidRDefault="00E96FC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E96FC0" w:rsidRDefault="00A34724">
      <w:pPr>
        <w:spacing w:line="360" w:lineRule="auto"/>
        <w:ind w:left="426" w:right="567"/>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“CRITERIO 0002-11</w:t>
      </w:r>
    </w:p>
    <w:p w:rsidR="00E96FC0" w:rsidRDefault="00A34724">
      <w:pPr>
        <w:spacing w:line="360" w:lineRule="auto"/>
        <w:ind w:left="425"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INFORMACIÓN PÚBLICA, CONCEPTO DE, EN MATERIA DE TRANSPARENCIA. INTERPRETACIÓN TEMÁTICA DE LOS ARTÍCULOS 2, FRACCIÓN V, XV, Y XVI, 3, 4,11 Y 41.</w:t>
      </w:r>
      <w:r>
        <w:rPr>
          <w:rFonts w:ascii="Palatino Linotype" w:eastAsia="Palatino Linotype" w:hAnsi="Palatino Linotype" w:cs="Palatino Linotype"/>
          <w:i/>
          <w:iCs/>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96FC0" w:rsidRDefault="00A34724">
      <w:pPr>
        <w:spacing w:line="360" w:lineRule="auto"/>
        <w:ind w:left="425"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En consecuencia el acceso a la información se refiere a que se cumplan cualquiera de los siguientes tres supuestos:</w:t>
      </w:r>
    </w:p>
    <w:p w:rsidR="00E96FC0" w:rsidRDefault="00A34724">
      <w:pPr>
        <w:spacing w:line="360" w:lineRule="auto"/>
        <w:ind w:left="425"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Que se trate de información registrada en cualquier soporte documental, que en ejercicio de las atribuciones conferidas, sea generada por los Sujetos Obligados;</w:t>
      </w:r>
    </w:p>
    <w:p w:rsidR="00E96FC0" w:rsidRDefault="00A34724">
      <w:pPr>
        <w:spacing w:line="360" w:lineRule="auto"/>
        <w:ind w:left="425"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Que se trate de información registrada en cualquier soporte documental, que en ejercicio de las atribuciones conferidas, sea administrada por los Sujetos Obligados, y</w:t>
      </w:r>
    </w:p>
    <w:p w:rsidR="00E96FC0" w:rsidRDefault="00A34724">
      <w:pPr>
        <w:spacing w:line="360" w:lineRule="auto"/>
        <w:ind w:left="425"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Que se trate de información registrada en cualquier soporte documental, que en ejercicio de las atribuciones conferidas, se encuentre en posesión de los Sujetos Obligados.”</w:t>
      </w:r>
    </w:p>
    <w:p w:rsidR="00E96FC0" w:rsidRDefault="00E96FC0">
      <w:pPr>
        <w:spacing w:line="360" w:lineRule="auto"/>
        <w:jc w:val="both"/>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todos los actos de autoridad que realicen los Sujetos Obligados </w:t>
      </w:r>
      <w:r>
        <w:rPr>
          <w:rFonts w:ascii="Palatino Linotype" w:eastAsia="Palatino Linotype" w:hAnsi="Palatino Linotype" w:cs="Palatino Linotype"/>
          <w:b/>
          <w:bCs/>
          <w:color w:val="000000"/>
        </w:rPr>
        <w:t xml:space="preserve">deben </w:t>
      </w:r>
      <w:r>
        <w:rPr>
          <w:rFonts w:ascii="Palatino Linotype" w:eastAsia="Palatino Linotype" w:hAnsi="Palatino Linotype" w:cs="Palatino Linotype"/>
          <w:color w:val="000000"/>
        </w:rPr>
        <w:t>estar</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E96FC0" w:rsidRDefault="00E96FC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rsidR="00E96FC0" w:rsidRDefault="00A34724">
      <w:pPr>
        <w:spacing w:line="360" w:lineRule="auto"/>
        <w:ind w:left="425" w:right="333"/>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xml:space="preserve">“Artículo 4. </w:t>
      </w:r>
      <w:r>
        <w:rPr>
          <w:rFonts w:ascii="Palatino Linotype" w:eastAsia="Palatino Linotype" w:hAnsi="Palatino Linotype" w:cs="Palatino Linotype"/>
          <w:i/>
          <w:iCs/>
          <w:color w:val="000000"/>
        </w:rPr>
        <w:t>El derecho humano de acceso a la información pública es la prerrogativa de las personas para buscar, difundir, investigar, recabar, recibir y solicitar información pública, sin necesidad de acreditar personalidad ni interés jurídico.</w:t>
      </w:r>
    </w:p>
    <w:p w:rsidR="00E96FC0" w:rsidRDefault="00A34724">
      <w:pPr>
        <w:spacing w:line="360" w:lineRule="auto"/>
        <w:ind w:left="426" w:right="333"/>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Toda la información</w:t>
      </w:r>
      <w:r>
        <w:rPr>
          <w:rFonts w:ascii="Palatino Linotype" w:eastAsia="Palatino Linotype" w:hAnsi="Palatino Linotype" w:cs="Palatino Linotype"/>
          <w:i/>
          <w:iCs/>
          <w:color w:val="000000"/>
        </w:rPr>
        <w:t xml:space="preserve"> generada, obtenida, adquirida, transformada, administrada o </w:t>
      </w:r>
      <w:r>
        <w:rPr>
          <w:rFonts w:ascii="Palatino Linotype" w:eastAsia="Palatino Linotype" w:hAnsi="Palatino Linotype" w:cs="Palatino Linotype"/>
          <w:b/>
          <w:bCs/>
          <w:i/>
          <w:iCs/>
          <w:color w:val="000000"/>
        </w:rPr>
        <w:t>en posesión de los sujetos obligados es pública</w:t>
      </w:r>
      <w:r>
        <w:rPr>
          <w:rFonts w:ascii="Palatino Linotype" w:eastAsia="Palatino Linotype" w:hAnsi="Palatino Linotype" w:cs="Palatino Linotype"/>
          <w:i/>
          <w:iCs/>
          <w:color w:val="000000"/>
        </w:rPr>
        <w:t xml:space="preserve"> y accesible de manera permanente a cualquier persona, en los términos y condiciones que se establezcan en los tratados internacionales de los que el Estado mexicano sea parte, en la Ley General, la presente Ley </w:t>
      </w:r>
      <w:r>
        <w:rPr>
          <w:rFonts w:ascii="Palatino Linotype" w:eastAsia="Palatino Linotype" w:hAnsi="Palatino Linotype" w:cs="Palatino Linotype"/>
          <w:i/>
          <w:iCs/>
          <w:color w:val="000000"/>
        </w:rPr>
        <w:lastRenderedPageBreak/>
        <w:t>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96FC0" w:rsidRDefault="00A34724">
      <w:pPr>
        <w:spacing w:line="360" w:lineRule="auto"/>
        <w:ind w:left="426" w:right="333"/>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Los sujetos obligados deben poner en práctica, políticas y programas de acceso a la información que se apeguen a criterios de publicidad, veracidad, oportunidad, precisión y suficiencia en beneficio de los solicitantes.”</w:t>
      </w:r>
    </w:p>
    <w:p w:rsidR="00E96FC0" w:rsidRDefault="00E96FC0">
      <w:pPr>
        <w:spacing w:line="360" w:lineRule="auto"/>
        <w:jc w:val="both"/>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E96FC0" w:rsidRDefault="00E96FC0">
      <w:pPr>
        <w:spacing w:line="360" w:lineRule="auto"/>
        <w:jc w:val="both"/>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E96FC0" w:rsidRDefault="00A34724">
      <w:pPr>
        <w:pBdr>
          <w:top w:val="nil"/>
          <w:left w:val="nil"/>
          <w:bottom w:val="nil"/>
          <w:right w:val="nil"/>
          <w:between w:val="nil"/>
        </w:pBdr>
        <w:tabs>
          <w:tab w:val="left" w:pos="851"/>
        </w:tabs>
        <w:spacing w:line="360" w:lineRule="auto"/>
        <w:ind w:left="425" w:right="425"/>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lastRenderedPageBreak/>
        <w:t>“ACCESO A LA INFORMACIÓN. IMPLICACIÓN DEL PRINCIPIO DE MÁXIMA PUBLICIDAD EN EL DERECHO FUNDAMENTAL RELATIVO.</w:t>
      </w:r>
      <w:r>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E96FC0" w:rsidRDefault="00E96FC0">
      <w:pPr>
        <w:spacing w:line="360" w:lineRule="auto"/>
        <w:rPr>
          <w:rFonts w:ascii="Palatino Linotype" w:eastAsia="Palatino Linotype" w:hAnsi="Palatino Linotype" w:cs="Palatino Linotype"/>
          <w:b/>
          <w:bCs/>
        </w:rPr>
      </w:pPr>
      <w:bookmarkStart w:id="8" w:name="_heading=h.5nggcpd31m3w" w:colFirst="0" w:colLast="0"/>
      <w:bookmarkEnd w:id="8"/>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Finalmente, no pasa desapercibido que de las constancias que obran  en el expediente electrónico en que se actúa, concretamente en el archivo de respuesta </w:t>
      </w:r>
      <w:r>
        <w:rPr>
          <w:rFonts w:ascii="Palatino Linotype" w:eastAsia="Palatino Linotype" w:hAnsi="Palatino Linotype" w:cs="Palatino Linotype"/>
          <w:b/>
          <w:bCs/>
          <w:color w:val="000000"/>
        </w:rPr>
        <w:t>TRASPARENCIA.zip</w:t>
      </w:r>
      <w:r>
        <w:rPr>
          <w:rFonts w:ascii="Palatino Linotype" w:eastAsia="Palatino Linotype" w:hAnsi="Palatino Linotype" w:cs="Palatino Linotype"/>
          <w:color w:val="000000"/>
        </w:rPr>
        <w:t xml:space="preserve">, subcarpetas: TRASPARENCIA / CFDI  IMCUFIDE 2025 / ENERO, se logra advertir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dejó visible de manera enunciativa mas no limitativa el CURP, RFC y clave ISSEMYM, de los servidores públicos, lo que contraviene lo determinado por el artículo 143, fracción I, de la Ley de Transparencia y Acceso a la Información Pública del Estado de México y Municipios, y, por lo tanto, inobservó la Ley de Transparencia y Acceso a la Información Pública del Estado de México y Municipios y la Ley de Protección de Datos Personales en Posesión de Sujetos Obligados del Estado de México y Municipios. </w:t>
      </w:r>
    </w:p>
    <w:p w:rsidR="00E96FC0" w:rsidRDefault="00E96FC0">
      <w:pPr>
        <w:spacing w:line="360" w:lineRule="auto"/>
        <w:jc w:val="both"/>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rsidR="00E96FC0" w:rsidRDefault="00E96FC0">
      <w:pPr>
        <w:spacing w:line="360" w:lineRule="auto"/>
        <w:rPr>
          <w:rFonts w:ascii="Palatino Linotype" w:eastAsia="Palatino Linotype" w:hAnsi="Palatino Linotype" w:cs="Palatino Linotype"/>
          <w:b/>
          <w:bCs/>
        </w:rPr>
      </w:pPr>
    </w:p>
    <w:p w:rsidR="00E96FC0" w:rsidRDefault="00A34724">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QUINTO. De la versión pública.</w:t>
      </w: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Finalmente, debe señalarse que dada la propia y especial naturaleza de lo solicitado, eminentemente contiene múltiples datos personales que deberán ser protegidos como ya quedó asentado en el Considerando anterior del presente proveído. Para dar </w:t>
      </w:r>
      <w:r>
        <w:rPr>
          <w:rFonts w:ascii="Palatino Linotype" w:eastAsia="Palatino Linotype" w:hAnsi="Palatino Linotype" w:cs="Palatino Linotype"/>
          <w:color w:val="000000"/>
        </w:rPr>
        <w:lastRenderedPageBreak/>
        <w:t xml:space="preserve">cumplimiento a la presente resolución, contengan datos que deban ser clasificados,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E96FC0" w:rsidRDefault="00E96FC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E96FC0" w:rsidRDefault="00A34724">
      <w:pPr>
        <w:spacing w:line="360" w:lineRule="auto"/>
        <w:ind w:left="993" w:right="1041"/>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 “Artículo 3. Para los efectos de la presente Ley se entenderá por:</w:t>
      </w:r>
    </w:p>
    <w:p w:rsidR="00E96FC0" w:rsidRDefault="00A34724">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IX. Datos personales:</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La información concerniente a una persona, identificada o identificable</w:t>
      </w:r>
      <w:r>
        <w:rPr>
          <w:rFonts w:ascii="Palatino Linotype" w:eastAsia="Palatino Linotype" w:hAnsi="Palatino Linotype" w:cs="Palatino Linotype"/>
          <w:i/>
          <w:iCs/>
        </w:rPr>
        <w:t xml:space="preserve"> según lo dispuesto por la Ley de Protección de Datos Personales del Estado de México;</w:t>
      </w:r>
    </w:p>
    <w:p w:rsidR="00E96FC0" w:rsidRDefault="00A34724">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XX. Información clasificada:</w:t>
      </w:r>
      <w:r>
        <w:rPr>
          <w:rFonts w:ascii="Palatino Linotype" w:eastAsia="Palatino Linotype" w:hAnsi="Palatino Linotype" w:cs="Palatino Linotype"/>
          <w:i/>
          <w:iCs/>
        </w:rPr>
        <w:t xml:space="preserve"> Aquella considerada por la presente Ley como reservada o confidencial;</w:t>
      </w:r>
    </w:p>
    <w:p w:rsidR="00E96FC0" w:rsidRDefault="00A34724">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XXXII. Protección de Datos Personales:</w:t>
      </w:r>
      <w:r>
        <w:rPr>
          <w:rFonts w:ascii="Palatino Linotype" w:eastAsia="Palatino Linotype" w:hAnsi="Palatino Linotype" w:cs="Palatino Linotype"/>
          <w:i/>
          <w:iCs/>
        </w:rPr>
        <w:t xml:space="preserve"> Derecho humano que tutela la privacidad de datos personales en poder de los sujetos obligados y sujetos particulares;</w:t>
      </w:r>
    </w:p>
    <w:p w:rsidR="00E96FC0" w:rsidRDefault="00A34724">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XLV. Versión pública</w:t>
      </w:r>
      <w:r>
        <w:rPr>
          <w:rFonts w:ascii="Palatino Linotype" w:eastAsia="Palatino Linotype" w:hAnsi="Palatino Linotype" w:cs="Palatino Linotype"/>
          <w:i/>
          <w:iCs/>
        </w:rPr>
        <w:t>: Documento en el que se elimine, suprime o borra la información clasificada como reservada o confidencial para permitir su acceso.”</w:t>
      </w:r>
    </w:p>
    <w:p w:rsidR="00E96FC0" w:rsidRDefault="00E96FC0">
      <w:pPr>
        <w:spacing w:line="360" w:lineRule="auto"/>
        <w:ind w:left="993" w:right="1041"/>
        <w:jc w:val="both"/>
        <w:rPr>
          <w:rFonts w:ascii="Palatino Linotype" w:eastAsia="Palatino Linotype" w:hAnsi="Palatino Linotype" w:cs="Palatino Linotype"/>
          <w:i/>
          <w:iCs/>
        </w:rPr>
      </w:pPr>
    </w:p>
    <w:p w:rsidR="00E96FC0" w:rsidRDefault="00A34724">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6.</w:t>
      </w:r>
      <w:r>
        <w:rPr>
          <w:rFonts w:ascii="Palatino Linotype" w:eastAsia="Palatino Linotype" w:hAnsi="Palatino Linotype" w:cs="Palatino Linotype"/>
          <w:i/>
          <w:iCs/>
        </w:rPr>
        <w:t xml:space="preserve"> Los datos personales son irrenunciables, intransferibles e indelegables, por lo que los sujetos obligados no deberán proporcionar o hacer </w:t>
      </w:r>
      <w:r>
        <w:rPr>
          <w:rFonts w:ascii="Palatino Linotype" w:eastAsia="Palatino Linotype" w:hAnsi="Palatino Linotype" w:cs="Palatino Linotype"/>
          <w:i/>
          <w:iCs/>
        </w:rPr>
        <w:lastRenderedPageBreak/>
        <w:t>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E96FC0" w:rsidRDefault="00E96FC0">
      <w:pPr>
        <w:spacing w:line="360" w:lineRule="auto"/>
        <w:ind w:left="993" w:right="1041"/>
        <w:jc w:val="both"/>
        <w:rPr>
          <w:rFonts w:ascii="Palatino Linotype" w:eastAsia="Palatino Linotype" w:hAnsi="Palatino Linotype" w:cs="Palatino Linotype"/>
          <w:i/>
          <w:iCs/>
        </w:rPr>
      </w:pPr>
    </w:p>
    <w:p w:rsidR="00E96FC0" w:rsidRDefault="00A34724">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 </w:t>
      </w:r>
      <w:r>
        <w:rPr>
          <w:rFonts w:ascii="Palatino Linotype" w:eastAsia="Palatino Linotype" w:hAnsi="Palatino Linotype" w:cs="Palatino Linotype"/>
          <w:b/>
          <w:bCs/>
          <w:i/>
          <w:iCs/>
        </w:rPr>
        <w:t>Artículo 49.</w:t>
      </w:r>
      <w:r>
        <w:rPr>
          <w:rFonts w:ascii="Palatino Linotype" w:eastAsia="Palatino Linotype" w:hAnsi="Palatino Linotype" w:cs="Palatino Linotype"/>
          <w:i/>
          <w:iCs/>
        </w:rPr>
        <w:t> Los Comités de Transparencia tendrán las siguientes atribuciones:</w:t>
      </w:r>
    </w:p>
    <w:p w:rsidR="00E96FC0" w:rsidRDefault="00A34724">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E96FC0" w:rsidRDefault="00A34724">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VIII</w:t>
      </w:r>
      <w:r>
        <w:rPr>
          <w:rFonts w:ascii="Palatino Linotype" w:eastAsia="Palatino Linotype" w:hAnsi="Palatino Linotype" w:cs="Palatino Linotype"/>
          <w:i/>
          <w:iCs/>
        </w:rPr>
        <w:t>. Aprobar, modificar o revocar la clasificación de la información;</w:t>
      </w:r>
    </w:p>
    <w:p w:rsidR="00E96FC0" w:rsidRDefault="00A34724">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E96FC0" w:rsidRDefault="00A34724">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Artículo 91. </w:t>
      </w:r>
      <w:r>
        <w:rPr>
          <w:rFonts w:ascii="Palatino Linotype" w:eastAsia="Palatino Linotype" w:hAnsi="Palatino Linotype" w:cs="Palatino Linotype"/>
          <w:i/>
          <w:iCs/>
        </w:rPr>
        <w:t>El acceso a la información pública será restringido excepcionalmente, cuando ésta sea clasificada como reservada o confidencial.</w:t>
      </w:r>
    </w:p>
    <w:p w:rsidR="00E96FC0" w:rsidRDefault="00E96FC0">
      <w:pPr>
        <w:spacing w:line="360" w:lineRule="auto"/>
        <w:ind w:left="993" w:right="1041"/>
        <w:jc w:val="both"/>
        <w:rPr>
          <w:rFonts w:ascii="Palatino Linotype" w:eastAsia="Palatino Linotype" w:hAnsi="Palatino Linotype" w:cs="Palatino Linotype"/>
          <w:i/>
          <w:iCs/>
        </w:rPr>
      </w:pPr>
    </w:p>
    <w:p w:rsidR="00E96FC0" w:rsidRDefault="00A34724">
      <w:pPr>
        <w:spacing w:line="360" w:lineRule="auto"/>
        <w:ind w:left="993" w:right="1041"/>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“Artículo 137.</w:t>
      </w:r>
      <w:r>
        <w:rPr>
          <w:rFonts w:ascii="Palatino Linotype" w:eastAsia="Palatino Linotype" w:hAnsi="Palatino Linotype" w:cs="Palatino Linotype"/>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96FC0" w:rsidRDefault="00E96FC0">
      <w:pPr>
        <w:spacing w:line="360" w:lineRule="auto"/>
        <w:ind w:left="993" w:right="1041"/>
        <w:jc w:val="both"/>
        <w:rPr>
          <w:rFonts w:ascii="Palatino Linotype" w:eastAsia="Palatino Linotype" w:hAnsi="Palatino Linotype" w:cs="Palatino Linotype"/>
          <w:b/>
          <w:bCs/>
          <w:i/>
          <w:iCs/>
        </w:rPr>
      </w:pPr>
    </w:p>
    <w:p w:rsidR="00E96FC0" w:rsidRDefault="00A34724">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143</w:t>
      </w:r>
      <w:r>
        <w:rPr>
          <w:rFonts w:ascii="Palatino Linotype" w:eastAsia="Palatino Linotype" w:hAnsi="Palatino Linotype" w:cs="Palatino Linotype"/>
          <w:i/>
          <w:iCs/>
        </w:rPr>
        <w:t>. Para los efectos de esta Ley se considera información confidencial, la clasificada como tal, de manera permanente, por su naturaleza, cuando:</w:t>
      </w:r>
    </w:p>
    <w:p w:rsidR="00E96FC0" w:rsidRDefault="00A34724">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b/>
          <w:bCs/>
          <w:i/>
          <w:iCs/>
        </w:rPr>
        <w:lastRenderedPageBreak/>
        <w:t>I.</w:t>
      </w:r>
      <w:r>
        <w:rPr>
          <w:rFonts w:ascii="Palatino Linotype" w:eastAsia="Palatino Linotype" w:hAnsi="Palatino Linotype" w:cs="Palatino Linotype"/>
          <w:i/>
          <w:iCs/>
        </w:rPr>
        <w:t xml:space="preserve"> Se refiera a la información privada y los datos personales concernientes a una persona física o jurídica colectiva identificada o identificable;</w:t>
      </w:r>
    </w:p>
    <w:p w:rsidR="00E96FC0" w:rsidRDefault="00A34724">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II. Los secretos bancario, fiduciario, industrial, comercial, fiscal, bursátil y postal, cuya titularidad corresponda a particulares, sujetos de derecho internacional o a sujetos obligados cuando no involucren el ejercicio de recursos públicos; y</w:t>
      </w:r>
    </w:p>
    <w:p w:rsidR="00E96FC0" w:rsidRDefault="00A34724">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III. La que presenten los particulares a los sujetos obligados, de conformidad con lo dispuesto por las leyes o los tratados internacionales.” </w:t>
      </w:r>
    </w:p>
    <w:p w:rsidR="00E96FC0" w:rsidRDefault="00E96FC0">
      <w:pPr>
        <w:spacing w:line="360" w:lineRule="auto"/>
        <w:ind w:left="993" w:right="1041"/>
        <w:jc w:val="both"/>
        <w:rPr>
          <w:rFonts w:ascii="Palatino Linotype" w:eastAsia="Palatino Linotype" w:hAnsi="Palatino Linotype" w:cs="Palatino Linotype"/>
          <w:i/>
          <w:iCs/>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E96FC0" w:rsidRDefault="00E96FC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Datos que deberá clasificar como confidenciales por tratarse precisamente de información privada, puesto que los datos personales son irrenunciables, intransferibles e </w:t>
      </w:r>
      <w:r>
        <w:rPr>
          <w:rFonts w:ascii="Palatino Linotype" w:eastAsia="Palatino Linotype" w:hAnsi="Palatino Linotype" w:cs="Palatino Linotype"/>
          <w:color w:val="000000"/>
        </w:rPr>
        <w:lastRenderedPageBreak/>
        <w:t>indelegables y los Sujetos Obligados no deberán hacer entrega de los mismos a personas ajenas a su titular.</w:t>
      </w:r>
    </w:p>
    <w:p w:rsidR="00E96FC0" w:rsidRDefault="00E96FC0">
      <w:pPr>
        <w:spacing w:line="360" w:lineRule="auto"/>
        <w:ind w:right="50"/>
        <w:jc w:val="both"/>
        <w:rPr>
          <w:rFonts w:ascii="Palatino Linotype" w:eastAsia="Palatino Linotype" w:hAnsi="Palatino Linotype" w:cs="Palatino Linotype"/>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E96FC0" w:rsidRDefault="00A34724">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49.</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Los Comités de Transparencia</w:t>
      </w:r>
      <w:r>
        <w:rPr>
          <w:rFonts w:ascii="Palatino Linotype" w:eastAsia="Palatino Linotype" w:hAnsi="Palatino Linotype" w:cs="Palatino Linotype"/>
          <w:i/>
          <w:iCs/>
        </w:rPr>
        <w:t xml:space="preserve"> tendrán las siguientes atribuciones:</w:t>
      </w:r>
    </w:p>
    <w:p w:rsidR="00E96FC0" w:rsidRDefault="00A34724">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t>VIII. Aprobar, modificar o revocar la clasificación de la información</w:t>
      </w:r>
      <w:r>
        <w:rPr>
          <w:rFonts w:ascii="Palatino Linotype" w:eastAsia="Palatino Linotype" w:hAnsi="Palatino Linotype" w:cs="Palatino Linotype"/>
          <w:i/>
          <w:iCs/>
        </w:rPr>
        <w:t>…”</w:t>
      </w:r>
    </w:p>
    <w:p w:rsidR="00E96FC0" w:rsidRDefault="00A34724">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53.</w:t>
      </w:r>
      <w:r>
        <w:rPr>
          <w:rFonts w:ascii="Palatino Linotype" w:eastAsia="Palatino Linotype" w:hAnsi="Palatino Linotype" w:cs="Palatino Linotype"/>
          <w:i/>
          <w:iCs/>
        </w:rPr>
        <w:t xml:space="preserve"> Las </w:t>
      </w:r>
      <w:r>
        <w:rPr>
          <w:rFonts w:ascii="Palatino Linotype" w:eastAsia="Palatino Linotype" w:hAnsi="Palatino Linotype" w:cs="Palatino Linotype"/>
          <w:b/>
          <w:bCs/>
          <w:i/>
          <w:iCs/>
        </w:rPr>
        <w:t>Unidades de Transparencia</w:t>
      </w:r>
      <w:r>
        <w:rPr>
          <w:rFonts w:ascii="Palatino Linotype" w:eastAsia="Palatino Linotype" w:hAnsi="Palatino Linotype" w:cs="Palatino Linotype"/>
          <w:i/>
          <w:iCs/>
        </w:rPr>
        <w:t xml:space="preserve"> tendrán las siguientes </w:t>
      </w:r>
      <w:r>
        <w:rPr>
          <w:rFonts w:ascii="Palatino Linotype" w:eastAsia="Palatino Linotype" w:hAnsi="Palatino Linotype" w:cs="Palatino Linotype"/>
          <w:b/>
          <w:bCs/>
          <w:i/>
          <w:iCs/>
        </w:rPr>
        <w:t>funciones</w:t>
      </w:r>
      <w:r>
        <w:rPr>
          <w:rFonts w:ascii="Palatino Linotype" w:eastAsia="Palatino Linotype" w:hAnsi="Palatino Linotype" w:cs="Palatino Linotype"/>
          <w:i/>
          <w:iCs/>
        </w:rPr>
        <w:t>:</w:t>
      </w:r>
    </w:p>
    <w:p w:rsidR="00E96FC0" w:rsidRDefault="00A34724">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t>X. Presentar ante el Comité, el proyecto de clasificación de información</w:t>
      </w:r>
      <w:r>
        <w:rPr>
          <w:rFonts w:ascii="Palatino Linotype" w:eastAsia="Palatino Linotype" w:hAnsi="Palatino Linotype" w:cs="Palatino Linotype"/>
          <w:i/>
          <w:iCs/>
        </w:rPr>
        <w:t xml:space="preserve">…” </w:t>
      </w:r>
    </w:p>
    <w:p w:rsidR="00E96FC0" w:rsidRDefault="00A34724">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59.</w:t>
      </w:r>
      <w:r>
        <w:rPr>
          <w:rFonts w:ascii="Palatino Linotype" w:eastAsia="Palatino Linotype" w:hAnsi="Palatino Linotype" w:cs="Palatino Linotype"/>
          <w:i/>
          <w:iCs/>
        </w:rPr>
        <w:t xml:space="preserve"> Los </w:t>
      </w:r>
      <w:r>
        <w:rPr>
          <w:rFonts w:ascii="Palatino Linotype" w:eastAsia="Palatino Linotype" w:hAnsi="Palatino Linotype" w:cs="Palatino Linotype"/>
          <w:b/>
          <w:bCs/>
          <w:i/>
          <w:iCs/>
        </w:rPr>
        <w:t>servidores públicos habilitados</w:t>
      </w:r>
      <w:r>
        <w:rPr>
          <w:rFonts w:ascii="Palatino Linotype" w:eastAsia="Palatino Linotype" w:hAnsi="Palatino Linotype" w:cs="Palatino Linotype"/>
          <w:i/>
          <w:iCs/>
        </w:rPr>
        <w:t xml:space="preserve"> tendrán las </w:t>
      </w:r>
      <w:r>
        <w:rPr>
          <w:rFonts w:ascii="Palatino Linotype" w:eastAsia="Palatino Linotype" w:hAnsi="Palatino Linotype" w:cs="Palatino Linotype"/>
          <w:b/>
          <w:bCs/>
          <w:i/>
          <w:iCs/>
        </w:rPr>
        <w:t>funciones</w:t>
      </w:r>
      <w:r>
        <w:rPr>
          <w:rFonts w:ascii="Palatino Linotype" w:eastAsia="Palatino Linotype" w:hAnsi="Palatino Linotype" w:cs="Palatino Linotype"/>
          <w:i/>
          <w:iCs/>
        </w:rPr>
        <w:t xml:space="preserve"> siguientes:</w:t>
      </w:r>
    </w:p>
    <w:p w:rsidR="00E96FC0" w:rsidRDefault="00A34724">
      <w:pPr>
        <w:spacing w:line="360" w:lineRule="auto"/>
        <w:ind w:left="851" w:right="1043"/>
        <w:jc w:val="both"/>
        <w:rPr>
          <w:rFonts w:ascii="Palatino Linotype" w:eastAsia="Palatino Linotype" w:hAnsi="Palatino Linotype" w:cs="Palatino Linotype"/>
          <w:i/>
          <w:iCs/>
        </w:rPr>
      </w:pPr>
      <w:r>
        <w:rPr>
          <w:rFonts w:ascii="Palatino Linotype" w:eastAsia="Palatino Linotype" w:hAnsi="Palatino Linotype" w:cs="Palatino Linotype"/>
          <w:b/>
          <w:bCs/>
          <w:i/>
          <w:iCs/>
        </w:rPr>
        <w:t>V. Integrar y presentar al responsable de la Unidad de Transparencia la propuesta de clasificación de información</w:t>
      </w:r>
      <w:r>
        <w:rPr>
          <w:rFonts w:ascii="Palatino Linotype" w:eastAsia="Palatino Linotype" w:hAnsi="Palatino Linotype" w:cs="Palatino Linotype"/>
          <w:i/>
          <w:iCs/>
        </w:rPr>
        <w:t>, la cual tendrá los fundamentos y argumentos en que se basa dicha propuesta…”</w:t>
      </w:r>
    </w:p>
    <w:p w:rsidR="00E96FC0" w:rsidRDefault="00E96FC0">
      <w:pPr>
        <w:spacing w:line="360" w:lineRule="auto"/>
        <w:ind w:left="851" w:right="1043"/>
        <w:jc w:val="both"/>
        <w:rPr>
          <w:rFonts w:ascii="Palatino Linotype" w:eastAsia="Palatino Linotype" w:hAnsi="Palatino Linotype" w:cs="Palatino Linotype"/>
          <w:i/>
          <w:iCs/>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Denotándose de dichos elementos normativos que el determinar la clasificación de la información es un trabajo en conjunto tanto de los Servidores Públicos Habilitados, de </w:t>
      </w:r>
      <w:r>
        <w:rPr>
          <w:rFonts w:ascii="Palatino Linotype" w:eastAsia="Palatino Linotype" w:hAnsi="Palatino Linotype" w:cs="Palatino Linotype"/>
          <w:color w:val="000000"/>
        </w:rPr>
        <w:lastRenderedPageBreak/>
        <w:t>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E96FC0" w:rsidRDefault="00E96FC0">
      <w:pPr>
        <w:spacing w:line="360" w:lineRule="auto"/>
        <w:jc w:val="both"/>
        <w:rPr>
          <w:rFonts w:ascii="Palatino Linotype" w:eastAsia="Palatino Linotype" w:hAnsi="Palatino Linotype" w:cs="Palatino Linotype"/>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lo cual, a su vez en el caso de información de carácter confidencial, se debe atender a lo que señala el artículo 149 de la Ley de Transparencia Local vigente, que se lee como sigue:</w:t>
      </w:r>
    </w:p>
    <w:p w:rsidR="00E96FC0" w:rsidRDefault="00A34724">
      <w:pPr>
        <w:spacing w:line="360" w:lineRule="auto"/>
        <w:ind w:left="993" w:right="1041"/>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149.</w:t>
      </w:r>
      <w:r>
        <w:rPr>
          <w:rFonts w:ascii="Palatino Linotype" w:eastAsia="Palatino Linotype" w:hAnsi="Palatino Linotype" w:cs="Palatino Linotype"/>
          <w:i/>
          <w:iCs/>
        </w:rPr>
        <w:t xml:space="preserve"> El </w:t>
      </w:r>
      <w:r>
        <w:rPr>
          <w:rFonts w:ascii="Palatino Linotype" w:eastAsia="Palatino Linotype" w:hAnsi="Palatino Linotype" w:cs="Palatino Linotype"/>
          <w:b/>
          <w:bCs/>
          <w:i/>
          <w:iCs/>
        </w:rPr>
        <w:t>acuerdo que clasifique la información como confidencial</w:t>
      </w:r>
      <w:r>
        <w:rPr>
          <w:rFonts w:ascii="Palatino Linotype" w:eastAsia="Palatino Linotype" w:hAnsi="Palatino Linotype" w:cs="Palatino Linotype"/>
          <w:i/>
          <w:iCs/>
        </w:rPr>
        <w:t xml:space="preserve"> deberá contener un razonamiento lógico en el que demuestre que la información se encuentra en alguna o algunas de las hipótesis previstas en la presente Ley.”</w:t>
      </w: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F34F93" w:rsidRDefault="00F34F93" w:rsidP="00F34F9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bCs/>
          <w:color w:val="000000"/>
        </w:rPr>
        <w:t>Registro Federal de Contribuyentes</w:t>
      </w:r>
      <w:r>
        <w:rPr>
          <w:rFonts w:ascii="Palatino Linotype" w:eastAsia="Palatino Linotype" w:hAnsi="Palatino Linotype" w:cs="Palatino Linotype"/>
          <w:color w:val="000000"/>
        </w:rPr>
        <w:t xml:space="preserve"> (RFC), la </w:t>
      </w:r>
      <w:r>
        <w:rPr>
          <w:rFonts w:ascii="Palatino Linotype" w:eastAsia="Palatino Linotype" w:hAnsi="Palatino Linotype" w:cs="Palatino Linotype"/>
          <w:b/>
          <w:bCs/>
          <w:color w:val="000000"/>
        </w:rPr>
        <w:t>Clave Única de Registro de Población</w:t>
      </w:r>
      <w:r>
        <w:rPr>
          <w:rFonts w:ascii="Palatino Linotype" w:eastAsia="Palatino Linotype" w:hAnsi="Palatino Linotype" w:cs="Palatino Linotype"/>
          <w:color w:val="000000"/>
        </w:rPr>
        <w:t xml:space="preserve"> (CURP), la </w:t>
      </w:r>
      <w:r>
        <w:rPr>
          <w:rFonts w:ascii="Palatino Linotype" w:eastAsia="Palatino Linotype" w:hAnsi="Palatino Linotype" w:cs="Palatino Linotype"/>
          <w:b/>
          <w:bCs/>
          <w:color w:val="000000"/>
        </w:rPr>
        <w:t>Clave de cualquier tipo de seguridad social</w:t>
      </w:r>
      <w:r>
        <w:rPr>
          <w:rFonts w:ascii="Palatino Linotype" w:eastAsia="Palatino Linotype" w:hAnsi="Palatino Linotype" w:cs="Palatino Linotype"/>
          <w:color w:val="000000"/>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cuanto hace al </w:t>
      </w:r>
      <w:r>
        <w:rPr>
          <w:rFonts w:ascii="Palatino Linotype" w:eastAsia="Palatino Linotype" w:hAnsi="Palatino Linotype" w:cs="Palatino Linotype"/>
          <w:b/>
          <w:bCs/>
          <w:color w:val="000000"/>
        </w:rPr>
        <w:t>Registro Federal de Contribuyentes (RFC),</w:t>
      </w:r>
      <w:r>
        <w:rPr>
          <w:rFonts w:ascii="Palatino Linotype" w:eastAsia="Palatino Linotype" w:hAnsi="Palatino Linotype" w:cs="Palatino Linotype"/>
          <w:color w:val="000000"/>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E96FC0" w:rsidRDefault="00E96FC0">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Lo anterior es compartido por el entonces Instituto Federal de Acceso a la Información Pública y Protección de Datos Personales (IFAI) a través del Criterio </w:t>
      </w:r>
      <w:r>
        <w:rPr>
          <w:rFonts w:ascii="Palatino Linotype" w:eastAsia="Palatino Linotype" w:hAnsi="Palatino Linotype" w:cs="Palatino Linotype"/>
          <w:color w:val="000000"/>
          <w:highlight w:val="white"/>
        </w:rPr>
        <w:t xml:space="preserve">19/17, </w:t>
      </w:r>
      <w:r>
        <w:rPr>
          <w:rFonts w:ascii="Palatino Linotype" w:eastAsia="Palatino Linotype" w:hAnsi="Palatino Linotype" w:cs="Palatino Linotype"/>
          <w:color w:val="000000"/>
        </w:rPr>
        <w:t>el cual es del tenor literal siguiente:</w:t>
      </w:r>
    </w:p>
    <w:p w:rsidR="00E96FC0" w:rsidRDefault="00A34724">
      <w:pPr>
        <w:spacing w:line="360" w:lineRule="auto"/>
        <w:ind w:left="851" w:right="900"/>
        <w:jc w:val="both"/>
        <w:rPr>
          <w:rFonts w:ascii="Palatino Linotype" w:eastAsia="Palatino Linotype" w:hAnsi="Palatino Linotype" w:cs="Palatino Linotype"/>
          <w:i/>
          <w:iCs/>
        </w:rPr>
      </w:pPr>
      <w:r>
        <w:rPr>
          <w:rFonts w:ascii="Palatino Linotype" w:eastAsia="Palatino Linotype" w:hAnsi="Palatino Linotype" w:cs="Palatino Linotype"/>
          <w:b/>
          <w:bCs/>
          <w:i/>
          <w:iCs/>
        </w:rPr>
        <w:t>“Registro Federal de Contribuyentes (RFC) de personas físicas</w:t>
      </w:r>
      <w:r>
        <w:rPr>
          <w:rFonts w:ascii="Palatino Linotype" w:eastAsia="Palatino Linotype" w:hAnsi="Palatino Linotype" w:cs="Palatino Linotype"/>
          <w:i/>
          <w:iCs/>
        </w:rPr>
        <w:t>. El RFC es una clave de carácter fiscal, única e irrepetible, que permite identificar al titular, su edad y fecha de nacimiento, por lo que es un dato personal de carácter confidencial.”</w:t>
      </w:r>
    </w:p>
    <w:p w:rsidR="00E96FC0" w:rsidRDefault="00E96FC0">
      <w:pPr>
        <w:spacing w:line="360" w:lineRule="auto"/>
        <w:ind w:left="851" w:right="900"/>
        <w:jc w:val="both"/>
        <w:rPr>
          <w:rFonts w:ascii="Palatino Linotype" w:eastAsia="Palatino Linotype" w:hAnsi="Palatino Linotype" w:cs="Palatino Linotype"/>
          <w:i/>
          <w:iCs/>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E96FC0" w:rsidRDefault="00E96FC0">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E96FC0" w:rsidRPr="00360D41" w:rsidRDefault="00A34724" w:rsidP="00360D4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igual manera la </w:t>
      </w:r>
      <w:r>
        <w:rPr>
          <w:rFonts w:ascii="Palatino Linotype" w:eastAsia="Palatino Linotype" w:hAnsi="Palatino Linotype" w:cs="Palatino Linotype"/>
          <w:b/>
          <w:bCs/>
          <w:color w:val="000000"/>
        </w:rPr>
        <w:t>Clave Única de Registro de Población (CURP)</w:t>
      </w:r>
      <w:r>
        <w:rPr>
          <w:rFonts w:ascii="Palatino Linotype" w:eastAsia="Palatino Linotype" w:hAnsi="Palatino Linotype" w:cs="Palatino Linotype"/>
          <w:color w:val="000000"/>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Argumento que es compartido por el Instituto </w:t>
      </w:r>
      <w:r>
        <w:rPr>
          <w:rFonts w:ascii="Palatino Linotype" w:eastAsia="Palatino Linotype" w:hAnsi="Palatino Linotype" w:cs="Palatino Linotype"/>
          <w:color w:val="000000"/>
          <w:highlight w:val="white"/>
        </w:rPr>
        <w:t xml:space="preserve">Nacional de Transparencia, Acceso a la </w:t>
      </w:r>
      <w:r>
        <w:rPr>
          <w:rFonts w:ascii="Palatino Linotype" w:eastAsia="Palatino Linotype" w:hAnsi="Palatino Linotype" w:cs="Palatino Linotype"/>
          <w:color w:val="000000"/>
        </w:rPr>
        <w:t>Información</w:t>
      </w:r>
      <w:r>
        <w:rPr>
          <w:rFonts w:ascii="Palatino Linotype" w:eastAsia="Palatino Linotype" w:hAnsi="Palatino Linotype" w:cs="Palatino Linotype"/>
          <w:color w:val="000000"/>
          <w:highlight w:val="white"/>
        </w:rPr>
        <w:t xml:space="preserve"> y Protección de Datos Personales, INAI</w:t>
      </w:r>
      <w:r>
        <w:rPr>
          <w:rFonts w:ascii="Palatino Linotype" w:eastAsia="Palatino Linotype" w:hAnsi="Palatino Linotype" w:cs="Palatino Linotype"/>
          <w:b/>
          <w:bCs/>
          <w:color w:val="000000"/>
        </w:rPr>
        <w:t xml:space="preserve">, conforme al </w:t>
      </w:r>
      <w:r>
        <w:rPr>
          <w:rFonts w:ascii="Palatino Linotype" w:eastAsia="Palatino Linotype" w:hAnsi="Palatino Linotype" w:cs="Palatino Linotype"/>
          <w:color w:val="000000"/>
        </w:rPr>
        <w:t xml:space="preserve">criterio 18/17, el cual refiere: </w:t>
      </w:r>
    </w:p>
    <w:p w:rsidR="00E96FC0" w:rsidRDefault="00A34724">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“Clave Única de Registro de Población (CURP). </w:t>
      </w:r>
      <w:r>
        <w:rPr>
          <w:rFonts w:ascii="Palatino Linotype" w:eastAsia="Palatino Linotype" w:hAnsi="Palatino Linotype" w:cs="Palatino Linotype"/>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96FC0" w:rsidRDefault="00E96FC0">
      <w:pPr>
        <w:spacing w:line="360" w:lineRule="auto"/>
        <w:ind w:left="851" w:right="851"/>
        <w:jc w:val="both"/>
        <w:rPr>
          <w:rFonts w:ascii="Palatino Linotype" w:eastAsia="Palatino Linotype" w:hAnsi="Palatino Linotype" w:cs="Palatino Linotype"/>
          <w:i/>
          <w:iCs/>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cuanto hace a la </w:t>
      </w:r>
      <w:r>
        <w:rPr>
          <w:rFonts w:ascii="Palatino Linotype" w:eastAsia="Palatino Linotype" w:hAnsi="Palatino Linotype" w:cs="Palatino Linotype"/>
          <w:b/>
          <w:bCs/>
          <w:color w:val="000000"/>
        </w:rPr>
        <w:t xml:space="preserve">Clave de cualquier tipo de seguridad social (ISSEMyM, u otros), </w:t>
      </w:r>
      <w:r>
        <w:rPr>
          <w:rFonts w:ascii="Palatino Linotype" w:eastAsia="Palatino Linotype" w:hAnsi="Palatino Linotype" w:cs="Palatino Linotype"/>
          <w:color w:val="000000"/>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E96FC0" w:rsidRDefault="00E96FC0">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u w:val="single"/>
        </w:rPr>
      </w:pPr>
      <w:r>
        <w:rPr>
          <w:rFonts w:ascii="Palatino Linotype" w:eastAsia="Palatino Linotype" w:hAnsi="Palatino Linotype" w:cs="Palatino Linotype"/>
          <w:color w:val="000000"/>
        </w:rPr>
        <w:t xml:space="preserve">El artículo 9° del mismo ordenamiento, dispone que el ISSEMYM expedirá documentos de identificación para facilitar el acceso a las prestaciones a que tengan derecho. En este orden de ideas, el artículo 158, fracción I del Reglamento de Servicios de </w:t>
      </w:r>
      <w:r>
        <w:rPr>
          <w:rFonts w:ascii="Palatino Linotype" w:eastAsia="Palatino Linotype" w:hAnsi="Palatino Linotype" w:cs="Palatino Linotype"/>
          <w:color w:val="000000"/>
        </w:rPr>
        <w:lastRenderedPageBreak/>
        <w:t xml:space="preserve">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Pr>
          <w:rFonts w:ascii="Palatino Linotype" w:eastAsia="Palatino Linotype" w:hAnsi="Palatino Linotype" w:cs="Palatino Linotype"/>
          <w:color w:val="000000"/>
          <w:u w:val="single"/>
        </w:rPr>
        <w:t>se le asigna una clave para hacer identificable al trabajador con el objetivo de poder proporcionar los servicios que brinda el ISSEMYM.</w:t>
      </w:r>
    </w:p>
    <w:p w:rsidR="00E96FC0" w:rsidRDefault="00E96FC0">
      <w:pPr>
        <w:spacing w:line="360" w:lineRule="auto"/>
        <w:jc w:val="both"/>
        <w:rPr>
          <w:rFonts w:ascii="Palatino Linotype" w:eastAsia="Palatino Linotype" w:hAnsi="Palatino Linotype" w:cs="Palatino Linotype"/>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E96FC0" w:rsidRDefault="00E96FC0">
      <w:pPr>
        <w:spacing w:line="360" w:lineRule="auto"/>
        <w:jc w:val="both"/>
        <w:rPr>
          <w:rFonts w:ascii="Palatino Linotype" w:eastAsia="Palatino Linotype" w:hAnsi="Palatino Linotype" w:cs="Palatino Linotype"/>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Respecto de los </w:t>
      </w:r>
      <w:r>
        <w:rPr>
          <w:rFonts w:ascii="Palatino Linotype" w:eastAsia="Palatino Linotype" w:hAnsi="Palatino Linotype" w:cs="Palatino Linotype"/>
          <w:b/>
          <w:bCs/>
          <w:color w:val="000000"/>
        </w:rPr>
        <w:t>préstamos o descuentos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de carácter personal</w:t>
      </w:r>
      <w:r>
        <w:rPr>
          <w:rFonts w:ascii="Palatino Linotype" w:eastAsia="Palatino Linotype" w:hAnsi="Palatino Linotype" w:cs="Palatino Linotype"/>
          <w:color w:val="000000"/>
        </w:rPr>
        <w:t xml:space="preserve">,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w:t>
      </w:r>
      <w:r>
        <w:rPr>
          <w:rFonts w:ascii="Palatino Linotype" w:eastAsia="Palatino Linotype" w:hAnsi="Palatino Linotype" w:cs="Palatino Linotype"/>
          <w:color w:val="000000"/>
        </w:rPr>
        <w:lastRenderedPageBreak/>
        <w:t>con ello se violentaría la protección de información confidencial, porque incide en la intimidad de un individuo identificado.</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el artículo 84 de la Ley del Trabajo de los Servidores Públicos del Estado y Municipios, señala:</w:t>
      </w:r>
    </w:p>
    <w:p w:rsidR="00E96FC0" w:rsidRDefault="00A34724">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ARTICULO 84. Sólo podrán hacerse retenciones, descuentos o deducciones al sueldo de los servidores públicos por concepto de:</w:t>
      </w:r>
    </w:p>
    <w:p w:rsidR="00E96FC0" w:rsidRDefault="00A34724">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iCs/>
        </w:rPr>
        <w:t>I. Gravámenes fiscales relacionados con el sueldo;</w:t>
      </w:r>
    </w:p>
    <w:p w:rsidR="00E96FC0" w:rsidRDefault="00A34724">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b/>
          <w:bCs/>
          <w:i/>
          <w:iCs/>
        </w:rPr>
        <w:t>II. Deudas contraídas con las instituciones públicas o dependencias</w:t>
      </w:r>
      <w:r>
        <w:rPr>
          <w:rFonts w:ascii="Palatino Linotype" w:eastAsia="Palatino Linotype" w:hAnsi="Palatino Linotype" w:cs="Palatino Linotype"/>
          <w:i/>
          <w:iCs/>
        </w:rPr>
        <w:t xml:space="preserve"> por concepto de anticipos de sueldo, pagos hechos con exceso, errores o pérdidas debidamente comprobados;</w:t>
      </w:r>
    </w:p>
    <w:p w:rsidR="00E96FC0" w:rsidRDefault="00A34724">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b/>
          <w:bCs/>
          <w:i/>
          <w:iCs/>
        </w:rPr>
        <w:t>III. Cuotas sindicales</w:t>
      </w:r>
      <w:r>
        <w:rPr>
          <w:rFonts w:ascii="Palatino Linotype" w:eastAsia="Palatino Linotype" w:hAnsi="Palatino Linotype" w:cs="Palatino Linotype"/>
          <w:i/>
          <w:iCs/>
        </w:rPr>
        <w:t>;</w:t>
      </w:r>
    </w:p>
    <w:p w:rsidR="00E96FC0" w:rsidRDefault="00A34724">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iCs/>
        </w:rPr>
        <w:t>IV. Cuotas de aportación a fondos para la constitución de cooperativas y de cajas de ahorro, siempre que el servidor público hubiese manifestado previamente, de manera expresa, su conformidad;</w:t>
      </w:r>
    </w:p>
    <w:p w:rsidR="00E96FC0" w:rsidRDefault="00A34724">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iCs/>
        </w:rPr>
        <w:t>V. Descuentos ordenados por el Instituto de Seguridad Social del Estado de México y Municipios, con motivo de cuotas y obligaciones contraídas con éste por los servidores públicos;</w:t>
      </w:r>
    </w:p>
    <w:p w:rsidR="00E96FC0" w:rsidRDefault="00A34724">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b/>
          <w:bCs/>
          <w:i/>
          <w:iCs/>
        </w:rPr>
        <w:t>VI. Obligaciones a cargo del servidor público con las que haya consentido</w:t>
      </w:r>
      <w:r>
        <w:rPr>
          <w:rFonts w:ascii="Palatino Linotype" w:eastAsia="Palatino Linotype" w:hAnsi="Palatino Linotype" w:cs="Palatino Linotype"/>
          <w:i/>
          <w:iCs/>
        </w:rPr>
        <w:t>, derivadas de la adquisición o del uso de habitaciones consideradas como de interés social;</w:t>
      </w:r>
    </w:p>
    <w:p w:rsidR="00E96FC0" w:rsidRDefault="00A34724">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iCs/>
        </w:rPr>
        <w:t>VII. Faltas de puntualidad o de asistencia injustificadas;</w:t>
      </w:r>
    </w:p>
    <w:p w:rsidR="00E96FC0" w:rsidRDefault="00A34724">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b/>
          <w:bCs/>
          <w:i/>
          <w:iCs/>
        </w:rPr>
        <w:t>VIII. Pensiones alimenticias ordenadas por la autoridad judicial;</w:t>
      </w:r>
      <w:r>
        <w:rPr>
          <w:rFonts w:ascii="Palatino Linotype" w:eastAsia="Palatino Linotype" w:hAnsi="Palatino Linotype" w:cs="Palatino Linotype"/>
          <w:i/>
          <w:iCs/>
        </w:rPr>
        <w:t xml:space="preserve"> o</w:t>
      </w:r>
    </w:p>
    <w:p w:rsidR="00E96FC0" w:rsidRDefault="00A34724">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b/>
          <w:bCs/>
          <w:i/>
          <w:iCs/>
        </w:rPr>
        <w:lastRenderedPageBreak/>
        <w:t>IX. Cualquier otro convenido con instituciones de servicios y aceptado por el servidor público.</w:t>
      </w:r>
    </w:p>
    <w:p w:rsidR="00E96FC0" w:rsidRDefault="00A34724">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i/>
          <w:iC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E96FC0" w:rsidRDefault="00A34724">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E96FC0" w:rsidRDefault="00E96FC0">
      <w:pPr>
        <w:spacing w:line="360" w:lineRule="auto"/>
        <w:ind w:left="851" w:right="902"/>
        <w:jc w:val="both"/>
        <w:rPr>
          <w:rFonts w:ascii="Palatino Linotype" w:eastAsia="Palatino Linotype" w:hAnsi="Palatino Linotype" w:cs="Palatino Linotype"/>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bCs/>
          <w:color w:val="000000"/>
        </w:rPr>
        <w:t>únicamente inciden en su vida privada</w:t>
      </w:r>
      <w:r>
        <w:rPr>
          <w:rFonts w:ascii="Palatino Linotype" w:eastAsia="Palatino Linotype" w:hAnsi="Palatino Linotype" w:cs="Palatino Linotype"/>
          <w:color w:val="000000"/>
        </w:rPr>
        <w:t>. De este modo, descuentos por pensiones alimenticias o créditos adquiridos con instituciones privadas o públicas pero que fueron contraídas en forma individual, son información que debe clasificarse como confidencial</w:t>
      </w:r>
    </w:p>
    <w:p w:rsidR="00E96FC0" w:rsidRDefault="00E96FC0">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E96FC0" w:rsidRPr="00360D41" w:rsidRDefault="00A34724" w:rsidP="00360D4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Sirven de sustento a lo anterior, las tesis jurisprudenciales </w:t>
      </w:r>
      <w:r>
        <w:rPr>
          <w:rFonts w:ascii="Palatino Linotype" w:eastAsia="Palatino Linotype" w:hAnsi="Palatino Linotype" w:cs="Palatino Linotype"/>
          <w:i/>
          <w:iCs/>
          <w:color w:val="000000"/>
        </w:rPr>
        <w:t xml:space="preserve">P. LX/2000 </w:t>
      </w:r>
      <w:r>
        <w:rPr>
          <w:rFonts w:ascii="Palatino Linotype" w:eastAsia="Palatino Linotype" w:hAnsi="Palatino Linotype" w:cs="Palatino Linotype"/>
          <w:color w:val="000000"/>
        </w:rPr>
        <w:t xml:space="preserve">y </w:t>
      </w:r>
      <w:r>
        <w:rPr>
          <w:rFonts w:ascii="Palatino Linotype" w:eastAsia="Palatino Linotype" w:hAnsi="Palatino Linotype" w:cs="Palatino Linotype"/>
          <w:i/>
          <w:iCs/>
          <w:color w:val="000000"/>
        </w:rPr>
        <w:t>2a. XLIII/2008</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emitidas por el Peno y la Segunda Sala de la Suprema Corte de Justicia de la Nación, respectivamente, que son del tenor literal siguiente:</w:t>
      </w:r>
    </w:p>
    <w:p w:rsidR="00E96FC0" w:rsidRDefault="00A34724">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iC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iCs/>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bCs/>
          <w:i/>
          <w:iCs/>
        </w:rPr>
        <w:t xml:space="preserve">mientras que por lo que </w:t>
      </w:r>
      <w:r>
        <w:rPr>
          <w:rFonts w:ascii="Palatino Linotype" w:eastAsia="Palatino Linotype" w:hAnsi="Palatino Linotype" w:cs="Palatino Linotype"/>
          <w:b/>
          <w:bCs/>
          <w:i/>
          <w:iCs/>
        </w:rPr>
        <w:lastRenderedPageBreak/>
        <w:t>respecta a la protección de la persona existen normas que protegen el derecho a la vida o a la privacidad de los gobernados</w:t>
      </w:r>
      <w:r>
        <w:rPr>
          <w:rFonts w:ascii="Palatino Linotype" w:eastAsia="Palatino Linotype" w:hAnsi="Palatino Linotype" w:cs="Palatino Linotype"/>
          <w:i/>
          <w:iCs/>
        </w:rPr>
        <w:t>.”</w:t>
      </w:r>
    </w:p>
    <w:p w:rsidR="00E96FC0" w:rsidRDefault="00E96FC0">
      <w:pPr>
        <w:spacing w:line="360" w:lineRule="auto"/>
        <w:ind w:left="851" w:right="851"/>
        <w:jc w:val="both"/>
        <w:rPr>
          <w:rFonts w:ascii="Palatino Linotype" w:eastAsia="Palatino Linotype" w:hAnsi="Palatino Linotype" w:cs="Palatino Linotype"/>
          <w:i/>
          <w:iCs/>
        </w:rPr>
      </w:pPr>
    </w:p>
    <w:p w:rsidR="00E96FC0" w:rsidRDefault="00A34724">
      <w:pPr>
        <w:spacing w:line="360" w:lineRule="auto"/>
        <w:ind w:left="851" w:right="851"/>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“TRANSPARENCIA Y ACCESO A LA INFORMACIÓN PÚBLICA GUBERNAMENTAL. EL ARTÍCULO 14, FRACCIÓN I, DE LA LEY FEDERAL RELATIVA, NO VIOLA LA GARANTÍA DE ACCESO A LA INFORMACIÓN. </w:t>
      </w:r>
      <w:r>
        <w:rPr>
          <w:rFonts w:ascii="Palatino Linotype" w:eastAsia="Palatino Linotype" w:hAnsi="Palatino Linotype" w:cs="Palatino Linotype"/>
          <w:i/>
          <w:iC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bCs/>
          <w:i/>
          <w:iCs/>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w:t>
      </w:r>
      <w:r>
        <w:rPr>
          <w:rFonts w:ascii="Palatino Linotype" w:eastAsia="Palatino Linotype" w:hAnsi="Palatino Linotype" w:cs="Palatino Linotype"/>
          <w:b/>
          <w:bCs/>
          <w:i/>
          <w:iCs/>
        </w:rPr>
        <w:lastRenderedPageBreak/>
        <w:t>exista proporcionalidad y congruencia entre el derecho fundamental de que se trata y la razón que motive la restricción legislativa correspondiente,</w:t>
      </w:r>
      <w:r>
        <w:rPr>
          <w:rFonts w:ascii="Palatino Linotype" w:eastAsia="Palatino Linotype" w:hAnsi="Palatino Linotype" w:cs="Palatino Linotype"/>
          <w:i/>
          <w:iC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E96FC0" w:rsidRDefault="00E96FC0">
      <w:pPr>
        <w:spacing w:line="360" w:lineRule="auto"/>
        <w:ind w:left="851" w:right="851"/>
        <w:jc w:val="both"/>
        <w:rPr>
          <w:rFonts w:ascii="Palatino Linotype" w:eastAsia="Palatino Linotype" w:hAnsi="Palatino Linotype" w:cs="Palatino Linotype"/>
          <w:i/>
          <w:iCs/>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También,</w:t>
      </w:r>
      <w:r>
        <w:rPr>
          <w:rFonts w:ascii="Palatino Linotype" w:eastAsia="Palatino Linotype" w:hAnsi="Palatino Linotype" w:cs="Palatino Linotype"/>
          <w:b/>
          <w:bCs/>
          <w:color w:val="000000"/>
        </w:rPr>
        <w:t xml:space="preserve"> el número de cuenta bancario</w:t>
      </w:r>
      <w:r>
        <w:rPr>
          <w:rFonts w:ascii="Palatino Linotype" w:eastAsia="Palatino Linotype" w:hAnsi="Palatino Linotype" w:cs="Palatino Linotype"/>
          <w:color w:val="000000"/>
        </w:rPr>
        <w:t>, en el Criterio 10/17 emitido por el Pleno del Instituto Nacional de Transparencia, Acceso a la Información y Protección de Datos Personales  se establece lo siguiente:</w:t>
      </w:r>
    </w:p>
    <w:p w:rsidR="00E96FC0" w:rsidRDefault="00A34724">
      <w:pPr>
        <w:shd w:val="clear" w:color="auto" w:fill="FFFFFF"/>
        <w:spacing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bCs/>
          <w:i/>
          <w:iCs/>
        </w:rPr>
        <w:t>Cuentas bancarias y/o CLABE interbancaria de personas físicas y morales privadas.</w:t>
      </w:r>
      <w:r>
        <w:rPr>
          <w:rFonts w:ascii="Palatino Linotype" w:eastAsia="Palatino Linotype" w:hAnsi="Palatino Linotype" w:cs="Palatino Linotype"/>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rPr>
        <w:t>.”</w:t>
      </w:r>
    </w:p>
    <w:p w:rsidR="00E96FC0" w:rsidRDefault="00E96FC0">
      <w:pPr>
        <w:spacing w:line="360" w:lineRule="auto"/>
        <w:jc w:val="both"/>
        <w:rPr>
          <w:rFonts w:ascii="Palatino Linotype" w:eastAsia="Palatino Linotype" w:hAnsi="Palatino Linotype" w:cs="Palatino Linotype"/>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w:t>
      </w:r>
      <w:r>
        <w:rPr>
          <w:rFonts w:ascii="Palatino Linotype" w:eastAsia="Palatino Linotype" w:hAnsi="Palatino Linotype" w:cs="Palatino Linotype"/>
          <w:color w:val="000000"/>
        </w:rPr>
        <w:lastRenderedPageBreak/>
        <w:t>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E96FC0" w:rsidRDefault="00E96FC0">
      <w:pPr>
        <w:spacing w:line="360" w:lineRule="auto"/>
        <w:ind w:right="-93"/>
        <w:jc w:val="both"/>
        <w:rPr>
          <w:rFonts w:ascii="Palatino Linotype" w:eastAsia="Palatino Linotype" w:hAnsi="Palatino Linotype" w:cs="Palatino Linotype"/>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Código de barras bidimensional (QR)</w:t>
      </w:r>
      <w:r>
        <w:rPr>
          <w:rFonts w:ascii="Palatino Linotype" w:eastAsia="Palatino Linotype" w:hAnsi="Palatino Linotype" w:cs="Palatino Linotype"/>
          <w:color w:val="000000"/>
        </w:rPr>
        <w:t xml:space="preserve">, resulta necesario señalar que los comprobantes fiscales digitales por Internet, deben de incluir un código bidimensional conforme al formato </w:t>
      </w:r>
      <w:r>
        <w:rPr>
          <w:rFonts w:ascii="Palatino Linotype" w:eastAsia="Palatino Linotype" w:hAnsi="Palatino Linotype" w:cs="Palatino Linotype"/>
          <w:i/>
          <w:iCs/>
          <w:color w:val="000000"/>
        </w:rPr>
        <w:t>QR Code (Quick Response Code)</w:t>
      </w:r>
      <w:r>
        <w:rPr>
          <w:rFonts w:ascii="Palatino Linotype" w:eastAsia="Palatino Linotype" w:hAnsi="Palatino Linotype" w:cs="Palatino Linotype"/>
          <w:color w:val="000000"/>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5">
        <w:r>
          <w:rPr>
            <w:rFonts w:ascii="Palatino Linotype" w:eastAsia="Palatino Linotype" w:hAnsi="Palatino Linotype" w:cs="Palatino Linotype"/>
            <w:color w:val="0000FF"/>
            <w:u w:val="single"/>
          </w:rPr>
          <w:t>http://dof.gob.mx/nota_detalle.php?codigo=5492254&amp;fecha=28/07/2017</w:t>
        </w:r>
      </w:hyperlink>
      <w:r>
        <w:rPr>
          <w:rFonts w:ascii="Palatino Linotype" w:eastAsia="Palatino Linotype" w:hAnsi="Palatino Linotype" w:cs="Palatino Linotype"/>
          <w:color w:val="000000"/>
        </w:rPr>
        <w:t xml:space="preserve">. Incluso con la captura de dicho código, a través de la aplicación móvil del Servicio de Administración Tributaria, permite el acceso al Registro Federal de Contribuyentes, como del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como de la persona física o moral correspondiente.</w:t>
      </w:r>
    </w:p>
    <w:p w:rsidR="00E96FC0" w:rsidRDefault="00E96FC0">
      <w:pPr>
        <w:spacing w:line="360" w:lineRule="auto"/>
        <w:ind w:right="-93"/>
        <w:jc w:val="both"/>
        <w:rPr>
          <w:rFonts w:ascii="Palatino Linotype" w:eastAsia="Palatino Linotype" w:hAnsi="Palatino Linotype" w:cs="Palatino Linotype"/>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tales circunstancias, se considera que se actualiza la causal de clasificación prevista </w:t>
      </w:r>
      <w:r>
        <w:rPr>
          <w:rFonts w:ascii="Palatino Linotype" w:eastAsia="Palatino Linotype" w:hAnsi="Palatino Linotype" w:cs="Palatino Linotype"/>
          <w:color w:val="222222"/>
        </w:rPr>
        <w:t>en</w:t>
      </w:r>
      <w:r>
        <w:rPr>
          <w:rFonts w:ascii="Palatino Linotype" w:eastAsia="Palatino Linotype" w:hAnsi="Palatino Linotype" w:cs="Palatino Linotype"/>
          <w:color w:val="000000"/>
        </w:rPr>
        <w:t xml:space="preserve"> el artículo 143, fracción I de la Ley de la materia, toda vez que el Registro Federal de Contribuyentes corresponde a los servidores públicos, pues como se señaló en párrafos anteriores el mismo hace identificable o identificada al mismo.</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Por otra parte y respecto a</w:t>
      </w:r>
      <w:r>
        <w:rPr>
          <w:rFonts w:ascii="Palatino Linotype" w:eastAsia="Palatino Linotype" w:hAnsi="Palatino Linotype" w:cs="Palatino Linotype"/>
          <w:b/>
          <w:bCs/>
          <w:color w:val="222222"/>
        </w:rPr>
        <w:t xml:space="preserve"> la clave de seguridad social y en su caso clave o número del servidor público –trabajador-,</w:t>
      </w:r>
      <w:r>
        <w:rPr>
          <w:rFonts w:ascii="Palatino Linotype" w:eastAsia="Palatino Linotype" w:hAnsi="Palatino Linotype" w:cs="Palatino Linotype"/>
          <w:color w:val="222222"/>
        </w:rPr>
        <w:t xml:space="preserve"> en virtud de que su divulgación no aporta a la transparencia o a la rendición de cuentas y sí provoca una transgresión a la vida privada e </w:t>
      </w:r>
      <w:r>
        <w:rPr>
          <w:rFonts w:ascii="Palatino Linotype" w:eastAsia="Palatino Linotype" w:hAnsi="Palatino Linotype" w:cs="Palatino Linotype"/>
          <w:color w:val="222222"/>
        </w:rPr>
        <w:lastRenderedPageBreak/>
        <w:t>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E96FC0" w:rsidRDefault="00A34724">
      <w:pPr>
        <w:shd w:val="clear" w:color="auto" w:fill="FFFFFF"/>
        <w:spacing w:line="360" w:lineRule="auto"/>
        <w:ind w:left="567" w:right="900"/>
        <w:jc w:val="both"/>
        <w:rPr>
          <w:rFonts w:ascii="Palatino Linotype" w:eastAsia="Palatino Linotype" w:hAnsi="Palatino Linotype" w:cs="Palatino Linotype"/>
          <w:color w:val="222222"/>
        </w:rPr>
      </w:pPr>
      <w:r>
        <w:rPr>
          <w:rFonts w:ascii="Palatino Linotype" w:eastAsia="Palatino Linotype" w:hAnsi="Palatino Linotype" w:cs="Palatino Linotype"/>
          <w:b/>
          <w:bCs/>
          <w:i/>
          <w:iCs/>
          <w:color w:val="222222"/>
        </w:rPr>
        <w:t>“El número de ficha de identificación única de los trabajadores es información de carácter confidencial.</w:t>
      </w:r>
      <w:r>
        <w:rPr>
          <w:rFonts w:ascii="Palatino Linotype" w:eastAsia="Palatino Linotype" w:hAnsi="Palatino Linotype" w:cs="Palatino Linotype"/>
          <w:i/>
          <w:iCs/>
          <w:color w:val="222222"/>
        </w:rPr>
        <w:t> </w:t>
      </w:r>
      <w:r>
        <w:rPr>
          <w:rFonts w:ascii="Palatino Linotype" w:eastAsia="Palatino Linotype" w:hAnsi="Palatino Linotype" w:cs="Palatino Linotype"/>
          <w:i/>
          <w:iCs/>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iCs/>
          <w:color w:val="222222"/>
        </w:rPr>
        <w:t>, </w:t>
      </w:r>
      <w:r>
        <w:rPr>
          <w:rFonts w:ascii="Palatino Linotype" w:eastAsia="Palatino Linotype" w:hAnsi="Palatino Linotype" w:cs="Palatino Linotype"/>
          <w:i/>
          <w:iCs/>
          <w:color w:val="222222"/>
          <w:u w:val="single"/>
        </w:rPr>
        <w:t>dicha información es susceptible de clasificarse con el carácter de confidencial</w:t>
      </w:r>
      <w:r>
        <w:rPr>
          <w:rFonts w:ascii="Palatino Linotype" w:eastAsia="Palatino Linotype" w:hAnsi="Palatino Linotype" w:cs="Palatino Linotype"/>
          <w:i/>
          <w:iCs/>
          <w:color w:val="222222"/>
        </w:rPr>
        <w:t xml:space="preserve">, en términos de lo establecido en el artículo 18, fracción II de la Ley Federal de Transparencia y Acceso a la Información Pública Gubernamental, en virtud de que a través de la misma es posible conocer información personal de su titular.” </w:t>
      </w:r>
    </w:p>
    <w:p w:rsidR="00E96FC0" w:rsidRDefault="00E96FC0">
      <w:pPr>
        <w:spacing w:line="360" w:lineRule="auto"/>
        <w:ind w:right="-93"/>
        <w:jc w:val="both"/>
        <w:rPr>
          <w:rFonts w:ascii="Palatino Linotype" w:eastAsia="Palatino Linotype" w:hAnsi="Palatino Linotype" w:cs="Palatino Linotype"/>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w:t>
      </w:r>
      <w:r>
        <w:rPr>
          <w:rFonts w:ascii="Palatino Linotype" w:eastAsia="Palatino Linotype" w:hAnsi="Palatino Linotype" w:cs="Palatino Linotype"/>
          <w:color w:val="222222"/>
        </w:rPr>
        <w:t>respecto</w:t>
      </w:r>
      <w:r>
        <w:rPr>
          <w:rFonts w:ascii="Palatino Linotype" w:eastAsia="Palatino Linotype" w:hAnsi="Palatino Linotype" w:cs="Palatino Linotype"/>
          <w:color w:val="000000"/>
        </w:rPr>
        <w:t xml:space="preserve">, es de señalar que </w:t>
      </w:r>
      <w:r>
        <w:rPr>
          <w:rFonts w:ascii="Palatino Linotype" w:eastAsia="Palatino Linotype" w:hAnsi="Palatino Linotype" w:cs="Palatino Linotype"/>
          <w:b/>
          <w:bCs/>
          <w:color w:val="000000"/>
        </w:rPr>
        <w:t xml:space="preserve">la firma </w:t>
      </w:r>
      <w:r>
        <w:rPr>
          <w:rFonts w:ascii="Palatino Linotype" w:eastAsia="Palatino Linotype" w:hAnsi="Palatino Linotype" w:cs="Palatino Linotype"/>
          <w:color w:val="000000"/>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E96FC0" w:rsidRDefault="00E96FC0">
      <w:pPr>
        <w:spacing w:line="360" w:lineRule="auto"/>
        <w:ind w:right="-93"/>
        <w:jc w:val="both"/>
        <w:rPr>
          <w:rFonts w:ascii="Palatino Linotype" w:eastAsia="Palatino Linotype" w:hAnsi="Palatino Linotype" w:cs="Palatino Linotype"/>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E96FC0" w:rsidRDefault="00E96FC0">
      <w:pPr>
        <w:spacing w:line="360" w:lineRule="auto"/>
        <w:ind w:right="-93"/>
        <w:jc w:val="both"/>
        <w:rPr>
          <w:rFonts w:ascii="Palatino Linotype" w:eastAsia="Palatino Linotype" w:hAnsi="Palatino Linotype" w:cs="Palatino Linotype"/>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sustento a lo anterior el Criterio de Interpretación 02/19 emitido por el Instituto Nacional de Transparencia, Acceso a la Información y Protección de Datos Personales, cuyo rubro y texto establecen lo siguiente:</w:t>
      </w:r>
    </w:p>
    <w:p w:rsidR="00E96FC0" w:rsidRDefault="00A34724">
      <w:pPr>
        <w:spacing w:line="360" w:lineRule="auto"/>
        <w:ind w:left="1134" w:right="1041"/>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FIRMA Y RÚBRICA DE SERVIDORES PÚBLICOS.</w:t>
      </w:r>
      <w:r>
        <w:rPr>
          <w:rFonts w:ascii="Palatino Linotype" w:eastAsia="Palatino Linotype" w:hAnsi="Palatino Linotype" w:cs="Palatino Linotype"/>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E96FC0" w:rsidRDefault="00E96FC0">
      <w:pPr>
        <w:spacing w:line="360" w:lineRule="auto"/>
        <w:ind w:left="1134" w:right="1041"/>
        <w:jc w:val="both"/>
        <w:rPr>
          <w:rFonts w:ascii="Palatino Linotype" w:eastAsia="Palatino Linotype" w:hAnsi="Palatino Linotype" w:cs="Palatino Linotype"/>
          <w:i/>
          <w:iCs/>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rPr>
        <w:t xml:space="preserve">Al respecto, se destaca que la versión pública que elabore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Pr>
          <w:rFonts w:ascii="Palatino Linotype" w:eastAsia="Palatino Linotype" w:hAnsi="Palatino Linotype" w:cs="Palatino Linotype"/>
          <w:color w:val="000000"/>
          <w:highlight w:val="white"/>
        </w:rPr>
        <w:t>.</w:t>
      </w:r>
    </w:p>
    <w:p w:rsidR="00E96FC0" w:rsidRDefault="00E96FC0">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highlight w:val="white"/>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Efectivamente, cuando se clasifica información como confidencial o reservada es importante someterlo al Comité de Transparencia, quien debe confirmar, modificar o revocar la clasificación.</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bCs/>
          <w:color w:val="000000"/>
        </w:rPr>
        <w:t>RECURRENTE.</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E96FC0" w:rsidRDefault="00E96FC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Entorno a lo que aquí nos interesa, los Lineamientos Quincuagésimo sexto, Quincuagésimo séptimo y Quincuagésimo octavo, establecen lo siguiente:</w:t>
      </w:r>
    </w:p>
    <w:p w:rsidR="00E96FC0" w:rsidRDefault="00A34724">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“Quincuagésimo sexto</w:t>
      </w:r>
      <w:r>
        <w:rPr>
          <w:rFonts w:ascii="Palatino Linotype" w:eastAsia="Palatino Linotype" w:hAnsi="Palatino Linotype" w:cs="Palatino Linotype"/>
          <w:b/>
          <w:bCs/>
          <w:i/>
          <w:iCs/>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E96FC0" w:rsidRDefault="00A34724">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Quincuagésimo séptimo. Se considera, en principio, como información pública y no podrá omitirse de las versiones públicas la siguiente: </w:t>
      </w:r>
    </w:p>
    <w:p w:rsidR="00E96FC0" w:rsidRDefault="00A34724">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 La relativa a las Obligaciones de Transparencia que contempla el Título V de la Ley General y las demás disposiciones legales aplicables; </w:t>
      </w:r>
    </w:p>
    <w:p w:rsidR="00E96FC0" w:rsidRDefault="00A34724">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 El nombre de los servidores públicos en los documentos, y sus firmas autógrafas, cuando sean utilizados en el ejercicio de las facultades conferidas para el desempeño del servicio público, y </w:t>
      </w:r>
    </w:p>
    <w:p w:rsidR="00E96FC0" w:rsidRDefault="00A34724">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rsidR="00E96FC0" w:rsidRDefault="00A34724">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Lo anterior, siempre y cuando no se acredite alguna causal de clasificación, prevista en las leyes o en los tratados internaciones suscritos por el Estado mexicano. </w:t>
      </w:r>
    </w:p>
    <w:p w:rsidR="00E96FC0" w:rsidRDefault="00A34724">
      <w:pPr>
        <w:spacing w:line="360" w:lineRule="auto"/>
        <w:ind w:left="851" w:right="902"/>
        <w:jc w:val="both"/>
        <w:rPr>
          <w:rFonts w:ascii="Palatino Linotype" w:eastAsia="Palatino Linotype" w:hAnsi="Palatino Linotype" w:cs="Palatino Linotype"/>
          <w:i/>
          <w:iCs/>
        </w:rPr>
      </w:pPr>
      <w:r>
        <w:rPr>
          <w:rFonts w:ascii="Palatino Linotype" w:eastAsia="Palatino Linotype" w:hAnsi="Palatino Linotype" w:cs="Palatino Linotype"/>
          <w:i/>
          <w:iCs/>
        </w:rPr>
        <w:t>Quincuagésimo octavo. Los sujetos obligados garantizarán que los sistemas o medios empleados para eliminar la información en las versiones públicas no permitan la recuperación o visualización de la misma.”</w:t>
      </w:r>
    </w:p>
    <w:p w:rsidR="00E96FC0" w:rsidRDefault="00E96FC0">
      <w:pPr>
        <w:spacing w:line="360" w:lineRule="auto"/>
        <w:ind w:left="851" w:right="902"/>
        <w:jc w:val="both"/>
        <w:rPr>
          <w:rFonts w:ascii="Palatino Linotype" w:eastAsia="Palatino Linotype" w:hAnsi="Palatino Linotype" w:cs="Palatino Linotype"/>
          <w:i/>
          <w:iCs/>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w:t>
      </w:r>
      <w:r>
        <w:rPr>
          <w:rFonts w:ascii="Palatino Linotype" w:eastAsia="Palatino Linotype" w:hAnsi="Palatino Linotype" w:cs="Palatino Linotype"/>
          <w:b/>
          <w:bCs/>
          <w:color w:val="000000"/>
        </w:rPr>
        <w:t xml:space="preserve">la entrega de documentos en su versión pública debe </w:t>
      </w:r>
      <w:r>
        <w:rPr>
          <w:rFonts w:ascii="Palatino Linotype" w:eastAsia="Palatino Linotype" w:hAnsi="Palatino Linotype" w:cs="Palatino Linotype"/>
          <w:color w:val="000000"/>
        </w:rPr>
        <w:t>acompañarse</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necesariamente</w:t>
      </w:r>
      <w:r>
        <w:rPr>
          <w:rFonts w:ascii="Palatino Linotype" w:eastAsia="Palatino Linotype" w:hAnsi="Palatino Linotype" w:cs="Palatino Linotype"/>
          <w:b/>
          <w:bCs/>
          <w:color w:val="000000"/>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Pr>
          <w:rFonts w:ascii="Palatino Linotype" w:eastAsia="Palatino Linotype" w:hAnsi="Palatino Linotype" w:cs="Palatino Linotype"/>
          <w:color w:val="000000"/>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E96FC0" w:rsidRDefault="00E96FC0">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sujetos obligados</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w:t>
      </w:r>
      <w:r>
        <w:rPr>
          <w:rFonts w:ascii="Palatino Linotype" w:eastAsia="Palatino Linotype" w:hAnsi="Palatino Linotype" w:cs="Palatino Linotype"/>
          <w:color w:val="000000"/>
        </w:rPr>
        <w:lastRenderedPageBreak/>
        <w:t>la clasificación de la información, se deben seguir una serie de pasos y procedimientos, por lo que es menester reiterar los mismos:</w:t>
      </w:r>
    </w:p>
    <w:p w:rsidR="00E96FC0" w:rsidRDefault="00E96FC0">
      <w:pPr>
        <w:tabs>
          <w:tab w:val="left" w:pos="284"/>
        </w:tabs>
        <w:spacing w:line="360" w:lineRule="auto"/>
        <w:ind w:right="49"/>
        <w:jc w:val="both"/>
        <w:rPr>
          <w:rFonts w:ascii="Palatino Linotype" w:eastAsia="Palatino Linotype" w:hAnsi="Palatino Linotype" w:cs="Palatino Linotype"/>
          <w:color w:val="000000"/>
        </w:rPr>
      </w:pPr>
    </w:p>
    <w:tbl>
      <w:tblPr>
        <w:tblStyle w:val="a4"/>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945"/>
      </w:tblGrid>
      <w:tr w:rsidR="00E96FC0" w:rsidTr="00F34F93">
        <w:tc>
          <w:tcPr>
            <w:tcW w:w="2689" w:type="dxa"/>
          </w:tcPr>
          <w:p w:rsidR="00E96FC0" w:rsidRDefault="00A34724">
            <w:pPr>
              <w:tabs>
                <w:tab w:val="left" w:pos="284"/>
              </w:tabs>
              <w:rPr>
                <w:rFonts w:ascii="Palatino Linotype" w:eastAsia="Palatino Linotype" w:hAnsi="Palatino Linotype" w:cs="Palatino Linotype"/>
              </w:rPr>
            </w:pPr>
            <w:r>
              <w:rPr>
                <w:rFonts w:ascii="Palatino Linotype" w:eastAsia="Palatino Linotype" w:hAnsi="Palatino Linotype" w:cs="Palatino Linotype"/>
              </w:rPr>
              <w:t>a) Requisitos previos.</w:t>
            </w:r>
          </w:p>
        </w:tc>
        <w:tc>
          <w:tcPr>
            <w:tcW w:w="6945" w:type="dxa"/>
          </w:tcPr>
          <w:p w:rsidR="00E96FC0" w:rsidRDefault="00A34724">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E96FC0" w:rsidRDefault="00A34724">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E96FC0" w:rsidRDefault="00A34724">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E96FC0" w:rsidRDefault="00A34724">
            <w:pPr>
              <w:tabs>
                <w:tab w:val="left" w:pos="284"/>
              </w:tabs>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u w:val="single"/>
              </w:rPr>
              <w:t>no se puede hacer un acuerdo para clasificar de manera general todos los documentos de un expediente o área, sin</w:t>
            </w:r>
            <w:r>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E96FC0" w:rsidRDefault="00E96FC0">
            <w:pPr>
              <w:tabs>
                <w:tab w:val="left" w:pos="284"/>
              </w:tabs>
              <w:jc w:val="both"/>
              <w:rPr>
                <w:rFonts w:ascii="Palatino Linotype" w:eastAsia="Palatino Linotype" w:hAnsi="Palatino Linotype" w:cs="Palatino Linotype"/>
              </w:rPr>
            </w:pPr>
          </w:p>
        </w:tc>
      </w:tr>
      <w:tr w:rsidR="00E96FC0" w:rsidTr="00F34F93">
        <w:tc>
          <w:tcPr>
            <w:tcW w:w="2689" w:type="dxa"/>
          </w:tcPr>
          <w:p w:rsidR="00E96FC0" w:rsidRDefault="00A34724">
            <w:pPr>
              <w:tabs>
                <w:tab w:val="left" w:pos="284"/>
              </w:tabs>
              <w:rPr>
                <w:rFonts w:ascii="Palatino Linotype" w:eastAsia="Palatino Linotype" w:hAnsi="Palatino Linotype" w:cs="Palatino Linotype"/>
              </w:rPr>
            </w:pPr>
            <w:r>
              <w:rPr>
                <w:rFonts w:ascii="Palatino Linotype" w:eastAsia="Palatino Linotype" w:hAnsi="Palatino Linotype" w:cs="Palatino Linotype"/>
              </w:rPr>
              <w:t>b) Supuestos de clasificación.</w:t>
            </w:r>
          </w:p>
        </w:tc>
        <w:tc>
          <w:tcPr>
            <w:tcW w:w="6945" w:type="dxa"/>
          </w:tcPr>
          <w:p w:rsidR="00E96FC0" w:rsidRDefault="00A34724">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E96FC0" w:rsidRDefault="00A34724">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96FC0" w:rsidRDefault="00A34724">
            <w:pPr>
              <w:tabs>
                <w:tab w:val="left" w:pos="284"/>
              </w:tabs>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E96FC0" w:rsidRDefault="00E96FC0">
            <w:pPr>
              <w:tabs>
                <w:tab w:val="left" w:pos="284"/>
              </w:tabs>
              <w:jc w:val="both"/>
              <w:rPr>
                <w:rFonts w:ascii="Palatino Linotype" w:eastAsia="Palatino Linotype" w:hAnsi="Palatino Linotype" w:cs="Palatino Linotype"/>
              </w:rPr>
            </w:pPr>
          </w:p>
        </w:tc>
      </w:tr>
      <w:tr w:rsidR="00E96FC0" w:rsidTr="00F34F93">
        <w:tc>
          <w:tcPr>
            <w:tcW w:w="2689" w:type="dxa"/>
          </w:tcPr>
          <w:p w:rsidR="00E96FC0" w:rsidRDefault="00A34724">
            <w:pPr>
              <w:tabs>
                <w:tab w:val="left" w:pos="284"/>
              </w:tabs>
              <w:rPr>
                <w:rFonts w:ascii="Palatino Linotype" w:eastAsia="Palatino Linotype" w:hAnsi="Palatino Linotype" w:cs="Palatino Linotype"/>
              </w:rPr>
            </w:pPr>
            <w:r>
              <w:rPr>
                <w:rFonts w:ascii="Palatino Linotype" w:eastAsia="Palatino Linotype" w:hAnsi="Palatino Linotype" w:cs="Palatino Linotype"/>
              </w:rPr>
              <w:lastRenderedPageBreak/>
              <w:t>c) Formalidades para emitir el acuerdo de clasificación.</w:t>
            </w:r>
          </w:p>
        </w:tc>
        <w:tc>
          <w:tcPr>
            <w:tcW w:w="6945" w:type="dxa"/>
          </w:tcPr>
          <w:p w:rsidR="00E96FC0" w:rsidRDefault="00A34724">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E96FC0" w:rsidRDefault="00A34724">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necesario que </w:t>
            </w:r>
            <w:r>
              <w:rPr>
                <w:rFonts w:ascii="Palatino Linotype" w:eastAsia="Palatino Linotype" w:hAnsi="Palatino Linotype" w:cs="Palatino Linotype"/>
                <w:b/>
                <w:bCs/>
                <w:color w:val="000000"/>
                <w:u w:val="single"/>
              </w:rPr>
              <w:t>el acto reúna con los requisitos elementales</w:t>
            </w:r>
            <w:r>
              <w:rPr>
                <w:rFonts w:ascii="Palatino Linotype" w:eastAsia="Palatino Linotype" w:hAnsi="Palatino Linotype" w:cs="Palatino Linotype"/>
                <w:color w:val="000000"/>
              </w:rPr>
              <w:t>, entre ellos, que la autoridad que va a emitir el acto de autoridad sea la legalmente facultada para ello.</w:t>
            </w:r>
          </w:p>
          <w:p w:rsidR="00E96FC0" w:rsidRDefault="00A34724">
            <w:pPr>
              <w:tabs>
                <w:tab w:val="left" w:pos="284"/>
              </w:tabs>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E96FC0" w:rsidRDefault="00E96FC0">
            <w:pPr>
              <w:tabs>
                <w:tab w:val="left" w:pos="284"/>
              </w:tabs>
              <w:jc w:val="both"/>
              <w:rPr>
                <w:rFonts w:ascii="Palatino Linotype" w:eastAsia="Palatino Linotype" w:hAnsi="Palatino Linotype" w:cs="Palatino Linotype"/>
              </w:rPr>
            </w:pPr>
          </w:p>
        </w:tc>
      </w:tr>
      <w:tr w:rsidR="00E96FC0" w:rsidTr="00F34F93">
        <w:tc>
          <w:tcPr>
            <w:tcW w:w="2689" w:type="dxa"/>
          </w:tcPr>
          <w:p w:rsidR="00E96FC0" w:rsidRDefault="00E96FC0">
            <w:pPr>
              <w:tabs>
                <w:tab w:val="left" w:pos="284"/>
              </w:tabs>
              <w:rPr>
                <w:rFonts w:ascii="Palatino Linotype" w:eastAsia="Palatino Linotype" w:hAnsi="Palatino Linotype" w:cs="Palatino Linotype"/>
              </w:rPr>
            </w:pPr>
          </w:p>
          <w:p w:rsidR="00E96FC0" w:rsidRDefault="00A34724">
            <w:pPr>
              <w:tabs>
                <w:tab w:val="left" w:pos="284"/>
              </w:tabs>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 Requisitos de fondo del acuerdo de clasificación. </w:t>
            </w:r>
          </w:p>
        </w:tc>
        <w:tc>
          <w:tcPr>
            <w:tcW w:w="6945" w:type="dxa"/>
          </w:tcPr>
          <w:p w:rsidR="00E96FC0" w:rsidRDefault="00A34724">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color w:val="000000"/>
              </w:rPr>
              <w:t>Sujetos Obligados</w:t>
            </w:r>
            <w:r>
              <w:rPr>
                <w:rFonts w:ascii="Palatino Linotype" w:eastAsia="Palatino Linotype" w:hAnsi="Palatino Linotype" w:cs="Palatino Linotype"/>
                <w:color w:val="000000"/>
              </w:rPr>
              <w:t xml:space="preserve">, por lo que deberán fundar y motivar debidamente la clasificación. </w:t>
            </w:r>
          </w:p>
          <w:p w:rsidR="00E96FC0" w:rsidRDefault="00A34724">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desprende que para una correcta </w:t>
            </w:r>
            <w:r>
              <w:rPr>
                <w:rFonts w:ascii="Palatino Linotype" w:eastAsia="Palatino Linotype" w:hAnsi="Palatino Linotype" w:cs="Palatino Linotype"/>
                <w:b/>
                <w:bCs/>
                <w:color w:val="000000"/>
              </w:rPr>
              <w:t>clasificación total o parcial</w:t>
            </w:r>
            <w:r>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considerando que todo acto </w:t>
            </w:r>
            <w:r>
              <w:rPr>
                <w:rFonts w:ascii="Palatino Linotype" w:eastAsia="Palatino Linotype" w:hAnsi="Palatino Linotype" w:cs="Palatino Linotype"/>
                <w:color w:val="000000"/>
              </w:rPr>
              <w:lastRenderedPageBreak/>
              <w:t>que la autoridad pronuncie en el ejercicio de sus atribuciones, debe expresar los fundamentos legales que le dieron origen y las razones por las que se deben aplicar al caso concreto.</w:t>
            </w:r>
          </w:p>
          <w:p w:rsidR="00E96FC0" w:rsidRDefault="00A34724">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96FC0" w:rsidRDefault="00A34724">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E96FC0" w:rsidRDefault="00A34724">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w:t>
            </w:r>
            <w:r>
              <w:rPr>
                <w:rFonts w:ascii="Palatino Linotype" w:eastAsia="Palatino Linotype" w:hAnsi="Palatino Linotype" w:cs="Palatino Linotype"/>
                <w:b/>
                <w:bCs/>
                <w:color w:val="000000"/>
                <w:u w:val="single"/>
              </w:rPr>
              <w:t>para cada caso además de fundar y motivar</w:t>
            </w:r>
            <w:r>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E96FC0" w:rsidRDefault="00E96FC0">
            <w:pPr>
              <w:tabs>
                <w:tab w:val="left" w:pos="284"/>
              </w:tabs>
              <w:ind w:right="49"/>
              <w:jc w:val="both"/>
              <w:rPr>
                <w:rFonts w:ascii="Palatino Linotype" w:eastAsia="Palatino Linotype" w:hAnsi="Palatino Linotype" w:cs="Palatino Linotype"/>
                <w:color w:val="000000"/>
              </w:rPr>
            </w:pPr>
          </w:p>
        </w:tc>
      </w:tr>
      <w:tr w:rsidR="00E96FC0" w:rsidTr="00F34F93">
        <w:tc>
          <w:tcPr>
            <w:tcW w:w="2689" w:type="dxa"/>
          </w:tcPr>
          <w:p w:rsidR="00E96FC0" w:rsidRDefault="00A34724">
            <w:pPr>
              <w:tabs>
                <w:tab w:val="left" w:pos="284"/>
              </w:tabs>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 Condiciones especiales de la clasificación de la información como confidencial. </w:t>
            </w:r>
          </w:p>
        </w:tc>
        <w:tc>
          <w:tcPr>
            <w:tcW w:w="6945" w:type="dxa"/>
          </w:tcPr>
          <w:p w:rsidR="00E96FC0" w:rsidRDefault="00A34724">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E96FC0" w:rsidRDefault="00A34724">
            <w:pPr>
              <w:tabs>
                <w:tab w:val="left" w:pos="284"/>
              </w:tabs>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96FC0" w:rsidRDefault="00A34724">
            <w:pPr>
              <w:tabs>
                <w:tab w:val="left" w:pos="284"/>
              </w:tabs>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Pero si la información que se pretende clasificar como confidencial no se encuentra en los supuestos de los artículos </w:t>
            </w:r>
            <w:r>
              <w:rPr>
                <w:rFonts w:ascii="Palatino Linotype" w:eastAsia="Palatino Linotype" w:hAnsi="Palatino Linotype" w:cs="Palatino Linotype"/>
                <w:color w:val="000000"/>
              </w:rPr>
              <w:lastRenderedPageBreak/>
              <w:t>señalados y es posible, se deberá consultar al titular de los datos si permite o no el acceso. De no ser posible, la realización de la consulta, procede, fundando y motivando, la clasificación.</w:t>
            </w:r>
          </w:p>
          <w:p w:rsidR="00E96FC0" w:rsidRDefault="00E96FC0">
            <w:pPr>
              <w:tabs>
                <w:tab w:val="left" w:pos="284"/>
              </w:tabs>
              <w:rPr>
                <w:rFonts w:ascii="Palatino Linotype" w:eastAsia="Palatino Linotype" w:hAnsi="Palatino Linotype" w:cs="Palatino Linotype"/>
              </w:rPr>
            </w:pPr>
          </w:p>
        </w:tc>
      </w:tr>
    </w:tbl>
    <w:p w:rsidR="00E96FC0" w:rsidRDefault="00E96FC0">
      <w:pPr>
        <w:tabs>
          <w:tab w:val="left" w:pos="284"/>
        </w:tabs>
        <w:spacing w:line="360" w:lineRule="auto"/>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E96FC0" w:rsidRDefault="00E96FC0">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96FC0" w:rsidRDefault="00A34724" w:rsidP="00F34F9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expuesto y fundado, este Órgano Garante emite los siguientes: </w:t>
      </w:r>
    </w:p>
    <w:p w:rsidR="00E96FC0" w:rsidRDefault="00E96FC0">
      <w:pPr>
        <w:rPr>
          <w:rFonts w:ascii="Palatino Linotype" w:eastAsia="Palatino Linotype" w:hAnsi="Palatino Linotype" w:cs="Palatino Linotype"/>
        </w:rPr>
      </w:pPr>
    </w:p>
    <w:p w:rsidR="00F34F93" w:rsidRDefault="00F34F93">
      <w:pPr>
        <w:rPr>
          <w:rFonts w:ascii="Palatino Linotype" w:eastAsia="Palatino Linotype" w:hAnsi="Palatino Linotype" w:cs="Palatino Linotype"/>
        </w:rPr>
      </w:pPr>
    </w:p>
    <w:p w:rsidR="00E96FC0" w:rsidRDefault="00A34724">
      <w:pPr>
        <w:pStyle w:val="Ttulo1"/>
        <w:spacing w:before="0" w:line="360" w:lineRule="auto"/>
        <w:jc w:val="center"/>
        <w:rPr>
          <w:rFonts w:ascii="Palatino Linotype" w:eastAsia="Palatino Linotype" w:hAnsi="Palatino Linotype" w:cs="Palatino Linotype"/>
          <w:b/>
          <w:bCs/>
          <w:color w:val="000000"/>
          <w:sz w:val="24"/>
          <w:szCs w:val="24"/>
        </w:rPr>
      </w:pPr>
      <w:bookmarkStart w:id="9" w:name="_heading=h.sihszt5q6iiu" w:colFirst="0" w:colLast="0"/>
      <w:bookmarkEnd w:id="9"/>
      <w:r>
        <w:rPr>
          <w:rFonts w:ascii="Palatino Linotype" w:eastAsia="Palatino Linotype" w:hAnsi="Palatino Linotype" w:cs="Palatino Linotype"/>
          <w:b/>
          <w:bCs/>
          <w:color w:val="000000"/>
          <w:sz w:val="24"/>
          <w:szCs w:val="24"/>
        </w:rPr>
        <w:t>R E S O L U T I V O S</w:t>
      </w:r>
    </w:p>
    <w:p w:rsidR="00E96FC0" w:rsidRDefault="00E96FC0">
      <w:pPr>
        <w:spacing w:line="360" w:lineRule="auto"/>
        <w:rPr>
          <w:rFonts w:ascii="Palatino Linotype" w:eastAsia="Palatino Linotype" w:hAnsi="Palatino Linotype" w:cs="Palatino Linotype"/>
        </w:rPr>
      </w:pPr>
    </w:p>
    <w:p w:rsidR="00E96FC0" w:rsidRDefault="00A3472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PRIMERO</w:t>
      </w:r>
      <w:r>
        <w:rPr>
          <w:rFonts w:ascii="Palatino Linotype" w:eastAsia="Palatino Linotype" w:hAnsi="Palatino Linotype" w:cs="Palatino Linotype"/>
        </w:rPr>
        <w:t>. Resultan parcialmente fundadas las</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bCs/>
          <w:color w:val="000000"/>
        </w:rPr>
        <w:t>11193/INFOEM/IP/RR/2025</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bCs/>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bCs/>
        </w:rPr>
        <w:t>CUARTO</w:t>
      </w:r>
      <w:r>
        <w:rPr>
          <w:rFonts w:ascii="Palatino Linotype" w:eastAsia="Palatino Linotype" w:hAnsi="Palatino Linotype" w:cs="Palatino Linotype"/>
        </w:rPr>
        <w:t xml:space="preserve"> y </w:t>
      </w:r>
      <w:r>
        <w:rPr>
          <w:rFonts w:ascii="Palatino Linotype" w:eastAsia="Palatino Linotype" w:hAnsi="Palatino Linotype" w:cs="Palatino Linotype"/>
          <w:b/>
          <w:bCs/>
        </w:rPr>
        <w:t xml:space="preserve">QUINTO </w:t>
      </w:r>
      <w:r>
        <w:rPr>
          <w:rFonts w:ascii="Palatino Linotype" w:eastAsia="Palatino Linotype" w:hAnsi="Palatino Linotype" w:cs="Palatino Linotype"/>
        </w:rPr>
        <w:t>de la presente Resolución.</w:t>
      </w:r>
    </w:p>
    <w:p w:rsidR="00E96FC0" w:rsidRDefault="00E96FC0">
      <w:pPr>
        <w:spacing w:line="360" w:lineRule="auto"/>
        <w:jc w:val="both"/>
        <w:rPr>
          <w:rFonts w:ascii="Palatino Linotype" w:eastAsia="Palatino Linotype" w:hAnsi="Palatino Linotype" w:cs="Palatino Linotype"/>
        </w:rPr>
      </w:pPr>
    </w:p>
    <w:p w:rsidR="00E96FC0" w:rsidRDefault="00A34724">
      <w:pPr>
        <w:spacing w:line="360" w:lineRule="auto"/>
        <w:jc w:val="both"/>
        <w:rPr>
          <w:rFonts w:ascii="Palatino Linotype" w:eastAsia="Palatino Linotype" w:hAnsi="Palatino Linotype" w:cs="Palatino Linotype"/>
        </w:rPr>
      </w:pPr>
      <w:bookmarkStart w:id="10" w:name="_heading=h.rezyduydjgsr" w:colFirst="0" w:colLast="0"/>
      <w:bookmarkEnd w:id="10"/>
      <w:r>
        <w:rPr>
          <w:rFonts w:ascii="Palatino Linotype" w:eastAsia="Palatino Linotype" w:hAnsi="Palatino Linotype" w:cs="Palatino Linotype"/>
          <w:b/>
          <w:bCs/>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bCs/>
          <w:color w:val="000000"/>
        </w:rPr>
        <w:t xml:space="preserve">MODIFICA </w:t>
      </w:r>
      <w:r w:rsidR="00B210F9">
        <w:rPr>
          <w:rFonts w:ascii="Palatino Linotype" w:eastAsia="Palatino Linotype" w:hAnsi="Palatino Linotype" w:cs="Palatino Linotype"/>
          <w:color w:val="000000"/>
        </w:rPr>
        <w:t>la respuesta emitida por 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rPr>
        <w:t>Ayuntamiento de Amecameca</w:t>
      </w:r>
      <w:r>
        <w:rPr>
          <w:rFonts w:ascii="Palatino Linotype" w:eastAsia="Palatino Linotype" w:hAnsi="Palatino Linotype" w:cs="Palatino Linotype"/>
          <w:color w:val="000000"/>
        </w:rPr>
        <w:t xml:space="preserve"> y se </w:t>
      </w:r>
      <w:r>
        <w:rPr>
          <w:rFonts w:ascii="Palatino Linotype" w:eastAsia="Palatino Linotype" w:hAnsi="Palatino Linotype" w:cs="Palatino Linotype"/>
          <w:b/>
          <w:bCs/>
          <w:color w:val="000000"/>
        </w:rPr>
        <w:t>ORDENA</w:t>
      </w:r>
      <w:r>
        <w:rPr>
          <w:rFonts w:ascii="Palatino Linotype" w:eastAsia="Palatino Linotype" w:hAnsi="Palatino Linotype" w:cs="Palatino Linotype"/>
          <w:color w:val="000000"/>
        </w:rPr>
        <w:t xml:space="preserve"> entregar vía Sistema de Acceso a la Información Mexiquense (SAIMEX), en versión pública, la siguiente información</w:t>
      </w:r>
      <w:r>
        <w:rPr>
          <w:rFonts w:ascii="Palatino Linotype" w:eastAsia="Palatino Linotype" w:hAnsi="Palatino Linotype" w:cs="Palatino Linotype"/>
        </w:rPr>
        <w:t>:</w:t>
      </w:r>
    </w:p>
    <w:p w:rsidR="00E96FC0" w:rsidRDefault="00E96FC0">
      <w:pPr>
        <w:pBdr>
          <w:top w:val="nil"/>
          <w:left w:val="nil"/>
          <w:bottom w:val="nil"/>
          <w:right w:val="nil"/>
          <w:between w:val="nil"/>
        </w:pBdr>
        <w:tabs>
          <w:tab w:val="left" w:pos="8080"/>
        </w:tabs>
        <w:spacing w:line="360" w:lineRule="auto"/>
        <w:ind w:left="709" w:right="474"/>
        <w:jc w:val="both"/>
        <w:rPr>
          <w:rFonts w:ascii="Palatino Linotype" w:eastAsia="Palatino Linotype" w:hAnsi="Palatino Linotype" w:cs="Palatino Linotype"/>
          <w:i/>
          <w:iCs/>
          <w:color w:val="000000"/>
        </w:rPr>
      </w:pPr>
    </w:p>
    <w:p w:rsidR="00E96FC0" w:rsidRDefault="00A34724">
      <w:pPr>
        <w:numPr>
          <w:ilvl w:val="0"/>
          <w:numId w:val="3"/>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Recibos de nómina de los servidores públicos adscritos a la Dirección de Seguridad Pública y Tránsito Municipal y, del Instituto Municipal de </w:t>
      </w:r>
      <w:r>
        <w:rPr>
          <w:rFonts w:ascii="Palatino Linotype" w:eastAsia="Palatino Linotype" w:hAnsi="Palatino Linotype" w:cs="Palatino Linotype"/>
          <w:b/>
          <w:bCs/>
          <w:color w:val="000000"/>
        </w:rPr>
        <w:lastRenderedPageBreak/>
        <w:t>Cultura Física y Deporte, de las quincenas de los meses de enero a agosto del Ejercicio Fiscal 2025.</w:t>
      </w:r>
    </w:p>
    <w:p w:rsidR="00E96FC0" w:rsidRDefault="00E96FC0">
      <w:pPr>
        <w:pBdr>
          <w:top w:val="nil"/>
          <w:left w:val="nil"/>
          <w:bottom w:val="nil"/>
          <w:right w:val="nil"/>
          <w:between w:val="nil"/>
        </w:pBdr>
        <w:spacing w:line="360" w:lineRule="auto"/>
        <w:ind w:left="1080" w:right="567"/>
        <w:jc w:val="both"/>
        <w:rPr>
          <w:rFonts w:ascii="Palatino Linotype" w:eastAsia="Palatino Linotype" w:hAnsi="Palatino Linotype" w:cs="Palatino Linotype"/>
          <w:b/>
          <w:bCs/>
          <w:color w:val="000000"/>
        </w:rPr>
      </w:pPr>
    </w:p>
    <w:p w:rsidR="00E96FC0" w:rsidRDefault="00A34724">
      <w:pPr>
        <w:tabs>
          <w:tab w:val="left" w:pos="808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rPr>
        <w:t>.</w:t>
      </w:r>
    </w:p>
    <w:p w:rsidR="00E96FC0" w:rsidRDefault="00E96FC0">
      <w:pPr>
        <w:tabs>
          <w:tab w:val="left" w:pos="8080"/>
        </w:tabs>
        <w:spacing w:line="360" w:lineRule="auto"/>
        <w:ind w:right="49"/>
        <w:jc w:val="both"/>
        <w:rPr>
          <w:rFonts w:ascii="Palatino Linotype" w:eastAsia="Palatino Linotype" w:hAnsi="Palatino Linotype" w:cs="Palatino Linotype"/>
        </w:rPr>
      </w:pPr>
    </w:p>
    <w:p w:rsidR="00E96FC0" w:rsidRDefault="00A3472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TERCERO. Notifíquese </w:t>
      </w:r>
      <w:r>
        <w:rPr>
          <w:rFonts w:ascii="Palatino Linotype" w:eastAsia="Palatino Linotype" w:hAnsi="Palatino Linotype" w:cs="Palatino Linotype"/>
        </w:rPr>
        <w:t xml:space="preserve">la presente Resolución al Titular de la Unidad de Transparencia del Sujeto Obligado vía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rPr>
        <w:t>dé cumplimiento a lo ordenado dentro del plazo de diez días hábiles</w:t>
      </w:r>
      <w:r>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96FC0" w:rsidRDefault="00E96FC0">
      <w:pPr>
        <w:spacing w:line="360" w:lineRule="auto"/>
        <w:jc w:val="both"/>
        <w:rPr>
          <w:rFonts w:ascii="Palatino Linotype" w:eastAsia="Palatino Linotype" w:hAnsi="Palatino Linotype" w:cs="Palatino Linotype"/>
        </w:rPr>
      </w:pPr>
    </w:p>
    <w:p w:rsidR="00E96FC0" w:rsidRDefault="00A3472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rPr>
        <w:lastRenderedPageBreak/>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E96FC0" w:rsidRDefault="00E96FC0">
      <w:pPr>
        <w:spacing w:line="360" w:lineRule="auto"/>
        <w:jc w:val="both"/>
        <w:rPr>
          <w:rFonts w:ascii="Palatino Linotype" w:eastAsia="Palatino Linotype" w:hAnsi="Palatino Linotype" w:cs="Palatino Linotype"/>
        </w:rPr>
      </w:pPr>
    </w:p>
    <w:p w:rsidR="00E96FC0" w:rsidRDefault="00A34724">
      <w:pPr>
        <w:tabs>
          <w:tab w:val="left" w:pos="8080"/>
        </w:tabs>
        <w:spacing w:line="360" w:lineRule="auto"/>
        <w:ind w:right="49"/>
        <w:jc w:val="both"/>
        <w:rPr>
          <w:rFonts w:ascii="Palatino Linotype" w:eastAsia="Palatino Linotype" w:hAnsi="Palatino Linotype" w:cs="Palatino Linotype"/>
        </w:rPr>
      </w:pPr>
      <w:bookmarkStart w:id="11" w:name="_heading=h.tqdajdbjneze" w:colFirst="0" w:colLast="0"/>
      <w:bookmarkEnd w:id="11"/>
      <w:r>
        <w:rPr>
          <w:rFonts w:ascii="Palatino Linotype" w:eastAsia="Palatino Linotype" w:hAnsi="Palatino Linotype" w:cs="Palatino Linotype"/>
          <w:b/>
          <w:bCs/>
        </w:rPr>
        <w:t xml:space="preserve">QUINTO. </w:t>
      </w:r>
      <w:r>
        <w:rPr>
          <w:rFonts w:ascii="Palatino Linotype" w:eastAsia="Palatino Linotype" w:hAnsi="Palatino Linotype" w:cs="Palatino Linotype"/>
        </w:rPr>
        <w:t xml:space="preserve">Notifíquese al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la presente Resolución, vía </w:t>
      </w:r>
      <w:r>
        <w:rPr>
          <w:rFonts w:ascii="Palatino Linotype" w:eastAsia="Palatino Linotype" w:hAnsi="Palatino Linotype" w:cs="Palatino Linotype"/>
          <w:b/>
          <w:bCs/>
        </w:rPr>
        <w:t>SAIMEX</w:t>
      </w:r>
      <w:r>
        <w:rPr>
          <w:rFonts w:ascii="Palatino Linotype" w:eastAsia="Palatino Linotype" w:hAnsi="Palatino Linotype" w:cs="Palatino Linotype"/>
        </w:rPr>
        <w:t>.</w:t>
      </w:r>
    </w:p>
    <w:p w:rsidR="00B210F9" w:rsidRDefault="00B210F9">
      <w:pPr>
        <w:tabs>
          <w:tab w:val="left" w:pos="8080"/>
        </w:tabs>
        <w:spacing w:line="360" w:lineRule="auto"/>
        <w:ind w:right="49"/>
        <w:jc w:val="both"/>
        <w:rPr>
          <w:rFonts w:ascii="Palatino Linotype" w:eastAsia="Palatino Linotype" w:hAnsi="Palatino Linotype" w:cs="Palatino Linotype"/>
        </w:rPr>
      </w:pPr>
    </w:p>
    <w:p w:rsidR="00E96FC0" w:rsidRDefault="00A34724">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SEXTO. </w:t>
      </w:r>
      <w:r>
        <w:rPr>
          <w:rFonts w:ascii="Palatino Linotype" w:eastAsia="Palatino Linotype" w:hAnsi="Palatino Linotype" w:cs="Palatino Linotype"/>
        </w:rPr>
        <w:t>Se hace del conocimiento del</w:t>
      </w:r>
      <w:r>
        <w:rPr>
          <w:rFonts w:ascii="Palatino Linotype" w:eastAsia="Palatino Linotype" w:hAnsi="Palatino Linotype" w:cs="Palatino Linotype"/>
          <w:b/>
          <w:bCs/>
        </w:rPr>
        <w:t xml:space="preserve"> RECURRENTE </w:t>
      </w:r>
      <w:r>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E96FC0" w:rsidRDefault="00E96FC0">
      <w:pPr>
        <w:shd w:val="clear" w:color="auto" w:fill="FFFFFF"/>
        <w:spacing w:line="360" w:lineRule="auto"/>
        <w:jc w:val="both"/>
        <w:rPr>
          <w:rFonts w:ascii="Palatino Linotype" w:eastAsia="Palatino Linotype" w:hAnsi="Palatino Linotype" w:cs="Palatino Linotype"/>
        </w:rPr>
      </w:pPr>
    </w:p>
    <w:p w:rsidR="00E96FC0" w:rsidRDefault="00A34724">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b/>
          <w:bCs/>
        </w:rPr>
        <w:t xml:space="preserve">SÉPTIMO. </w:t>
      </w:r>
      <w:r>
        <w:rPr>
          <w:rFonts w:ascii="Palatino Linotype" w:eastAsia="Palatino Linotype" w:hAnsi="Palatino Linotype" w:cs="Palatino Linotype"/>
        </w:rPr>
        <w:t xml:space="preserve">Con fundamento en lo dispuesto en el artículo 24, fracciones XI, XII y XIII del Reglamento Interior del Instituto de Transparencia, Acceso a la Información Pública y Protección de Datos Personales del Estado de México y Municipios, </w:t>
      </w:r>
      <w:r>
        <w:rPr>
          <w:rFonts w:ascii="Palatino Linotype" w:eastAsia="Palatino Linotype" w:hAnsi="Palatino Linotype" w:cs="Palatino Linotype"/>
          <w:b/>
          <w:bCs/>
        </w:rPr>
        <w:t>gírese oficio</w:t>
      </w:r>
      <w:r>
        <w:rPr>
          <w:rFonts w:ascii="Palatino Linotype" w:eastAsia="Palatino Linotype" w:hAnsi="Palatino Linotype" w:cs="Palatino Linotype"/>
        </w:rPr>
        <w:t xml:space="preserve"> a la Dirección General de Protección de Datos Personales de este Instituto, en términos de lo dispuesto en el Considerando </w:t>
      </w:r>
      <w:r>
        <w:rPr>
          <w:rFonts w:ascii="Palatino Linotype" w:eastAsia="Palatino Linotype" w:hAnsi="Palatino Linotype" w:cs="Palatino Linotype"/>
          <w:b/>
          <w:bCs/>
        </w:rPr>
        <w:t>CUARTO</w:t>
      </w:r>
      <w:r>
        <w:rPr>
          <w:rFonts w:ascii="Palatino Linotype" w:eastAsia="Palatino Linotype" w:hAnsi="Palatino Linotype" w:cs="Palatino Linotype"/>
        </w:rPr>
        <w:t xml:space="preserve"> de la presente Resolución.</w:t>
      </w:r>
    </w:p>
    <w:p w:rsidR="00E96FC0" w:rsidRDefault="00E96FC0">
      <w:pPr>
        <w:shd w:val="clear" w:color="auto" w:fill="FFFFFF"/>
        <w:spacing w:line="360" w:lineRule="auto"/>
        <w:ind w:right="-716"/>
        <w:jc w:val="both"/>
        <w:rPr>
          <w:rFonts w:ascii="Palatino Linotype" w:eastAsia="Palatino Linotype" w:hAnsi="Palatino Linotype" w:cs="Palatino Linotype"/>
        </w:rPr>
      </w:pPr>
      <w:bookmarkStart w:id="12" w:name="_heading=h.umwzv6bq3ggs" w:colFirst="0" w:colLast="0"/>
      <w:bookmarkEnd w:id="12"/>
    </w:p>
    <w:p w:rsidR="00E96FC0" w:rsidRDefault="00A34724" w:rsidP="00B210F9">
      <w:pPr>
        <w:spacing w:line="360" w:lineRule="auto"/>
        <w:ind w:right="-234"/>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32C3D">
        <w:rPr>
          <w:rFonts w:ascii="Palatino Linotype" w:eastAsia="Palatino Linotype" w:hAnsi="Palatino Linotype" w:cs="Palatino Linotype"/>
        </w:rPr>
        <w:t xml:space="preserve"> </w:t>
      </w:r>
      <w:r w:rsidR="00E32C3D">
        <w:rPr>
          <w:rFonts w:ascii="Palatino Linotype" w:eastAsia="Palatino Linotype" w:hAnsi="Palatino Linotype" w:cs="Palatino Linotype"/>
          <w:color w:val="000000" w:themeColor="text1"/>
        </w:rPr>
        <w:t>EMITIENDO VOTO PARTICULAR</w:t>
      </w:r>
      <w:r>
        <w:rPr>
          <w:rFonts w:ascii="Palatino Linotype" w:eastAsia="Palatino Linotype" w:hAnsi="Palatino Linotype" w:cs="Palatino Linotype"/>
        </w:rPr>
        <w:t xml:space="preserve"> Y GUADALUPE RAMÍREZ PEÑA</w:t>
      </w:r>
      <w:r w:rsidR="00E32C3D">
        <w:rPr>
          <w:rFonts w:ascii="Palatino Linotype" w:eastAsia="Palatino Linotype" w:hAnsi="Palatino Linotype" w:cs="Palatino Linotype"/>
        </w:rPr>
        <w:t xml:space="preserve"> </w:t>
      </w:r>
      <w:r w:rsidR="00E32C3D">
        <w:rPr>
          <w:rFonts w:ascii="Palatino Linotype" w:eastAsia="Palatino Linotype" w:hAnsi="Palatino Linotype" w:cs="Palatino Linotype"/>
          <w:color w:val="000000" w:themeColor="text1"/>
        </w:rPr>
        <w:t>EMITIENDO VOTO PARTICULAR</w:t>
      </w:r>
      <w:r>
        <w:rPr>
          <w:rFonts w:ascii="Palatino Linotype" w:eastAsia="Palatino Linotype" w:hAnsi="Palatino Linotype" w:cs="Palatino Linotype"/>
        </w:rPr>
        <w:t xml:space="preserve">; EN LA PRIMERA SESIÓN ORDINARIA, CELEBRADA </w:t>
      </w:r>
      <w:r>
        <w:rPr>
          <w:rFonts w:ascii="Palatino Linotype" w:eastAsia="Palatino Linotype" w:hAnsi="Palatino Linotype" w:cs="Palatino Linotype"/>
        </w:rPr>
        <w:lastRenderedPageBreak/>
        <w:t>EL CATORCE (14) DE ENERO DE DOS MIL VEINTISÉIS, ANTE EL SECRETARIO TÉCNICO DEL PLENO ALEXIS TAPIA RAMÍREZ.</w:t>
      </w:r>
    </w:p>
    <w:p w:rsidR="00E96FC0" w:rsidRDefault="00E96FC0">
      <w:pPr>
        <w:shd w:val="clear" w:color="auto" w:fill="FFFFFF"/>
        <w:spacing w:line="360" w:lineRule="auto"/>
        <w:ind w:right="49"/>
        <w:jc w:val="both"/>
        <w:rPr>
          <w:rFonts w:ascii="Palatino Linotype" w:eastAsia="Palatino Linotype" w:hAnsi="Palatino Linotype" w:cs="Palatino Linotype"/>
        </w:rPr>
      </w:pPr>
    </w:p>
    <w:p w:rsidR="00E96FC0" w:rsidRDefault="00E96FC0">
      <w:pPr>
        <w:spacing w:line="360" w:lineRule="auto"/>
        <w:ind w:right="49"/>
        <w:jc w:val="both"/>
        <w:rPr>
          <w:rFonts w:ascii="Palatino Linotype" w:eastAsia="Palatino Linotype" w:hAnsi="Palatino Linotype" w:cs="Palatino Linotype"/>
        </w:rPr>
      </w:pPr>
    </w:p>
    <w:p w:rsidR="00E96FC0" w:rsidRDefault="00E96FC0">
      <w:pPr>
        <w:spacing w:line="360" w:lineRule="auto"/>
        <w:ind w:right="49"/>
        <w:jc w:val="both"/>
        <w:rPr>
          <w:rFonts w:ascii="Palatino Linotype" w:eastAsia="Palatino Linotype" w:hAnsi="Palatino Linotype" w:cs="Palatino Linotype"/>
        </w:rPr>
      </w:pPr>
    </w:p>
    <w:p w:rsidR="00E96FC0" w:rsidRDefault="00E96FC0">
      <w:pPr>
        <w:spacing w:line="360" w:lineRule="auto"/>
        <w:ind w:right="49"/>
        <w:jc w:val="both"/>
        <w:rPr>
          <w:rFonts w:ascii="Palatino Linotype" w:eastAsia="Palatino Linotype" w:hAnsi="Palatino Linotype" w:cs="Palatino Linotype"/>
        </w:rPr>
      </w:pPr>
    </w:p>
    <w:p w:rsidR="00E96FC0" w:rsidRDefault="00E96FC0">
      <w:pPr>
        <w:spacing w:line="360" w:lineRule="auto"/>
        <w:ind w:right="49"/>
        <w:jc w:val="both"/>
        <w:rPr>
          <w:rFonts w:ascii="Palatino Linotype" w:eastAsia="Palatino Linotype" w:hAnsi="Palatino Linotype" w:cs="Palatino Linotype"/>
        </w:rPr>
      </w:pPr>
    </w:p>
    <w:p w:rsidR="00E96FC0" w:rsidRDefault="00E96FC0">
      <w:pPr>
        <w:spacing w:line="360" w:lineRule="auto"/>
        <w:ind w:right="49"/>
        <w:jc w:val="both"/>
        <w:rPr>
          <w:rFonts w:ascii="Palatino Linotype" w:eastAsia="Palatino Linotype" w:hAnsi="Palatino Linotype" w:cs="Palatino Linotype"/>
        </w:rPr>
      </w:pPr>
    </w:p>
    <w:p w:rsidR="00E96FC0" w:rsidRDefault="00E96FC0">
      <w:pPr>
        <w:spacing w:line="360" w:lineRule="auto"/>
        <w:ind w:right="49"/>
        <w:jc w:val="both"/>
        <w:rPr>
          <w:rFonts w:ascii="Palatino Linotype" w:eastAsia="Palatino Linotype" w:hAnsi="Palatino Linotype" w:cs="Palatino Linotype"/>
        </w:rPr>
      </w:pPr>
    </w:p>
    <w:p w:rsidR="00E96FC0" w:rsidRDefault="00E96FC0">
      <w:pPr>
        <w:spacing w:line="360" w:lineRule="auto"/>
        <w:ind w:right="49"/>
        <w:rPr>
          <w:rFonts w:ascii="Palatino Linotype" w:eastAsia="Palatino Linotype" w:hAnsi="Palatino Linotype" w:cs="Palatino Linotype"/>
        </w:rPr>
      </w:pPr>
    </w:p>
    <w:p w:rsidR="00E96FC0" w:rsidRDefault="00E96FC0">
      <w:pPr>
        <w:spacing w:line="360" w:lineRule="auto"/>
        <w:ind w:right="49"/>
        <w:rPr>
          <w:rFonts w:ascii="Palatino Linotype" w:eastAsia="Palatino Linotype" w:hAnsi="Palatino Linotype" w:cs="Palatino Linotype"/>
        </w:rPr>
      </w:pPr>
    </w:p>
    <w:p w:rsidR="00E96FC0" w:rsidRDefault="00E96FC0">
      <w:pPr>
        <w:spacing w:line="360" w:lineRule="auto"/>
        <w:ind w:right="49"/>
        <w:rPr>
          <w:rFonts w:ascii="Palatino Linotype" w:eastAsia="Palatino Linotype" w:hAnsi="Palatino Linotype" w:cs="Palatino Linotype"/>
        </w:rPr>
      </w:pPr>
    </w:p>
    <w:p w:rsidR="00E96FC0" w:rsidRDefault="00E96FC0">
      <w:pPr>
        <w:spacing w:line="360" w:lineRule="auto"/>
        <w:ind w:right="49"/>
        <w:rPr>
          <w:rFonts w:ascii="Palatino Linotype" w:eastAsia="Palatino Linotype" w:hAnsi="Palatino Linotype" w:cs="Palatino Linotype"/>
        </w:rPr>
      </w:pPr>
    </w:p>
    <w:p w:rsidR="00E96FC0" w:rsidRDefault="00E96FC0">
      <w:pPr>
        <w:spacing w:line="360" w:lineRule="auto"/>
        <w:ind w:right="49"/>
        <w:rPr>
          <w:rFonts w:ascii="Palatino Linotype" w:eastAsia="Palatino Linotype" w:hAnsi="Palatino Linotype" w:cs="Palatino Linotype"/>
        </w:rPr>
      </w:pPr>
    </w:p>
    <w:p w:rsidR="00E96FC0" w:rsidRDefault="00E96FC0">
      <w:pPr>
        <w:spacing w:line="360" w:lineRule="auto"/>
        <w:ind w:right="49"/>
        <w:rPr>
          <w:rFonts w:ascii="Palatino Linotype" w:eastAsia="Palatino Linotype" w:hAnsi="Palatino Linotype" w:cs="Palatino Linotype"/>
        </w:rPr>
      </w:pPr>
    </w:p>
    <w:p w:rsidR="00E96FC0" w:rsidRDefault="00E96FC0">
      <w:pPr>
        <w:spacing w:line="360" w:lineRule="auto"/>
        <w:ind w:right="49"/>
        <w:rPr>
          <w:rFonts w:ascii="Palatino Linotype" w:eastAsia="Palatino Linotype" w:hAnsi="Palatino Linotype" w:cs="Palatino Linotype"/>
        </w:rPr>
      </w:pPr>
    </w:p>
    <w:p w:rsidR="00E96FC0" w:rsidRDefault="00A34724">
      <w:pPr>
        <w:tabs>
          <w:tab w:val="left" w:pos="3374"/>
        </w:tabs>
        <w:spacing w:line="360" w:lineRule="auto"/>
        <w:ind w:right="49"/>
        <w:rPr>
          <w:rFonts w:ascii="Palatino Linotype" w:eastAsia="Palatino Linotype" w:hAnsi="Palatino Linotype" w:cs="Palatino Linotype"/>
        </w:rPr>
      </w:pPr>
      <w:r>
        <w:rPr>
          <w:rFonts w:ascii="Palatino Linotype" w:eastAsia="Palatino Linotype" w:hAnsi="Palatino Linotype" w:cs="Palatino Linotype"/>
        </w:rPr>
        <w:tab/>
      </w:r>
    </w:p>
    <w:p w:rsidR="00E96FC0" w:rsidRDefault="00E96FC0">
      <w:pPr>
        <w:tabs>
          <w:tab w:val="left" w:pos="3374"/>
        </w:tabs>
        <w:spacing w:line="360" w:lineRule="auto"/>
        <w:ind w:right="49"/>
        <w:rPr>
          <w:rFonts w:ascii="Palatino Linotype" w:eastAsia="Palatino Linotype" w:hAnsi="Palatino Linotype" w:cs="Palatino Linotype"/>
        </w:rPr>
      </w:pPr>
    </w:p>
    <w:p w:rsidR="00E96FC0" w:rsidRDefault="00E96FC0">
      <w:pPr>
        <w:tabs>
          <w:tab w:val="left" w:pos="3374"/>
        </w:tabs>
        <w:spacing w:line="360" w:lineRule="auto"/>
        <w:ind w:right="49"/>
        <w:rPr>
          <w:rFonts w:ascii="Palatino Linotype" w:eastAsia="Palatino Linotype" w:hAnsi="Palatino Linotype" w:cs="Palatino Linotype"/>
        </w:rPr>
      </w:pPr>
    </w:p>
    <w:p w:rsidR="00E96FC0" w:rsidRDefault="00E96FC0">
      <w:pPr>
        <w:tabs>
          <w:tab w:val="left" w:pos="3374"/>
        </w:tabs>
        <w:spacing w:line="360" w:lineRule="auto"/>
        <w:ind w:right="49"/>
        <w:rPr>
          <w:rFonts w:ascii="Palatino Linotype" w:eastAsia="Palatino Linotype" w:hAnsi="Palatino Linotype" w:cs="Palatino Linotype"/>
        </w:rPr>
      </w:pPr>
    </w:p>
    <w:p w:rsidR="00E96FC0" w:rsidRDefault="00E96FC0">
      <w:pPr>
        <w:tabs>
          <w:tab w:val="left" w:pos="3374"/>
        </w:tabs>
        <w:spacing w:line="360" w:lineRule="auto"/>
        <w:ind w:right="49"/>
        <w:rPr>
          <w:rFonts w:ascii="Palatino Linotype" w:eastAsia="Palatino Linotype" w:hAnsi="Palatino Linotype" w:cs="Palatino Linotype"/>
        </w:rPr>
      </w:pPr>
    </w:p>
    <w:p w:rsidR="00E96FC0" w:rsidRDefault="00E96FC0">
      <w:pPr>
        <w:tabs>
          <w:tab w:val="left" w:pos="3374"/>
        </w:tabs>
        <w:spacing w:line="360" w:lineRule="auto"/>
        <w:ind w:right="49"/>
        <w:rPr>
          <w:rFonts w:ascii="Palatino Linotype" w:eastAsia="Palatino Linotype" w:hAnsi="Palatino Linotype" w:cs="Palatino Linotype"/>
        </w:rPr>
      </w:pPr>
    </w:p>
    <w:p w:rsidR="00E96FC0" w:rsidRDefault="00E96FC0">
      <w:pPr>
        <w:tabs>
          <w:tab w:val="left" w:pos="3374"/>
        </w:tabs>
        <w:spacing w:line="360" w:lineRule="auto"/>
        <w:ind w:right="49"/>
        <w:rPr>
          <w:rFonts w:ascii="Palatino Linotype" w:eastAsia="Palatino Linotype" w:hAnsi="Palatino Linotype" w:cs="Palatino Linotype"/>
        </w:rPr>
      </w:pPr>
    </w:p>
    <w:p w:rsidR="00E96FC0" w:rsidRDefault="00E96FC0">
      <w:pPr>
        <w:tabs>
          <w:tab w:val="left" w:pos="3374"/>
        </w:tabs>
        <w:spacing w:line="360" w:lineRule="auto"/>
        <w:ind w:right="49"/>
        <w:rPr>
          <w:rFonts w:ascii="Palatino Linotype" w:eastAsia="Palatino Linotype" w:hAnsi="Palatino Linotype" w:cs="Palatino Linotype"/>
        </w:rPr>
      </w:pPr>
    </w:p>
    <w:p w:rsidR="00E96FC0" w:rsidRDefault="00E96FC0">
      <w:pPr>
        <w:tabs>
          <w:tab w:val="left" w:pos="3374"/>
        </w:tabs>
        <w:spacing w:line="360" w:lineRule="auto"/>
        <w:ind w:right="49"/>
        <w:rPr>
          <w:rFonts w:ascii="Palatino Linotype" w:eastAsia="Palatino Linotype" w:hAnsi="Palatino Linotype" w:cs="Palatino Linotype"/>
        </w:rPr>
      </w:pPr>
    </w:p>
    <w:p w:rsidR="00E96FC0" w:rsidRDefault="00E96FC0">
      <w:pPr>
        <w:spacing w:line="360" w:lineRule="auto"/>
        <w:ind w:right="49"/>
        <w:rPr>
          <w:rFonts w:ascii="Palatino Linotype" w:eastAsia="Palatino Linotype" w:hAnsi="Palatino Linotype" w:cs="Palatino Linotype"/>
        </w:rPr>
      </w:pPr>
    </w:p>
    <w:sectPr w:rsidR="00E96FC0" w:rsidSect="000F1B8C">
      <w:headerReference w:type="even" r:id="rId16"/>
      <w:headerReference w:type="default" r:id="rId17"/>
      <w:footerReference w:type="default" r:id="rId18"/>
      <w:headerReference w:type="first" r:id="rId19"/>
      <w:footerReference w:type="first" r:id="rId20"/>
      <w:pgSz w:w="12240" w:h="15840"/>
      <w:pgMar w:top="2268" w:right="104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6E3" w:rsidRDefault="00BB76E3">
      <w:r>
        <w:separator/>
      </w:r>
    </w:p>
  </w:endnote>
  <w:endnote w:type="continuationSeparator" w:id="0">
    <w:p w:rsidR="00BB76E3" w:rsidRDefault="00BB7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4E2DCF27-2761-4152-8D3D-6564CA707B24}"/>
    <w:embedBold r:id="rId2" w:fontKey="{D6839C40-5419-476C-A952-AE58E9090A5A}"/>
    <w:embedItalic r:id="rId3" w:fontKey="{6B31864A-0031-493C-9B34-A4CA942962E3}"/>
    <w:embedBoldItalic r:id="rId4" w:fontKey="{37CE0190-0BC5-4E98-8B1E-2050967A44C3}"/>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5" w:fontKey="{FFB17A56-880B-4D31-8CEF-2DA6BD9AF25C}"/>
  </w:font>
  <w:font w:name="Calibri">
    <w:panose1 w:val="020F0502020204030204"/>
    <w:charset w:val="00"/>
    <w:family w:val="swiss"/>
    <w:pitch w:val="variable"/>
    <w:sig w:usb0="E4002EFF" w:usb1="C200247B" w:usb2="00000009" w:usb3="00000000" w:csb0="000001FF" w:csb1="00000000"/>
    <w:embedRegular r:id="rId6" w:fontKey="{A4E71381-0513-4088-9EBB-1BB53FDA5A56}"/>
    <w:embedBold r:id="rId7" w:fontKey="{3CC985D7-7FE2-439A-BED5-40F1245927B0}"/>
    <w:embedItalic r:id="rId8" w:fontKey="{275E54C0-5A30-4E59-A08C-3E0A982D35B9}"/>
  </w:font>
  <w:font w:name="Calibri Light">
    <w:panose1 w:val="020F0302020204030204"/>
    <w:charset w:val="00"/>
    <w:family w:val="swiss"/>
    <w:pitch w:val="variable"/>
    <w:sig w:usb0="E4002EFF" w:usb1="C200247B" w:usb2="00000009" w:usb3="00000000" w:csb0="000001FF" w:csb1="00000000"/>
    <w:embedRegular r:id="rId9" w:fontKey="{7C197D95-377C-4882-98F7-AA4638CFF39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422FEB6E-EC00-4C68-9F0D-7E9B1356EF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C0" w:rsidRDefault="00A3472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360D41">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360D41">
      <w:rPr>
        <w:rFonts w:ascii="Palatino Linotype" w:eastAsia="Palatino Linotype" w:hAnsi="Palatino Linotype" w:cs="Palatino Linotype"/>
        <w:noProof/>
        <w:color w:val="000000"/>
        <w:sz w:val="20"/>
        <w:szCs w:val="20"/>
      </w:rPr>
      <w:t>57</w:t>
    </w:r>
    <w:r>
      <w:rPr>
        <w:rFonts w:ascii="Palatino Linotype" w:eastAsia="Palatino Linotype" w:hAnsi="Palatino Linotype" w:cs="Palatino Linotype"/>
        <w:color w:val="000000"/>
        <w:sz w:val="20"/>
        <w:szCs w:val="20"/>
      </w:rPr>
      <w:fldChar w:fldCharType="end"/>
    </w:r>
  </w:p>
  <w:p w:rsidR="00E96FC0" w:rsidRDefault="00E96FC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C0" w:rsidRPr="000F1B8C" w:rsidRDefault="00A3472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0F1B8C">
      <w:rPr>
        <w:rFonts w:ascii="Palatino Linotype" w:eastAsia="Palatino Linotype" w:hAnsi="Palatino Linotype" w:cs="Palatino Linotype"/>
        <w:color w:val="000000"/>
        <w:sz w:val="22"/>
        <w:szCs w:val="20"/>
      </w:rPr>
      <w:t xml:space="preserve">Página </w:t>
    </w:r>
    <w:r w:rsidRPr="000F1B8C">
      <w:rPr>
        <w:rFonts w:ascii="Palatino Linotype" w:eastAsia="Palatino Linotype" w:hAnsi="Palatino Linotype" w:cs="Palatino Linotype"/>
        <w:color w:val="000000"/>
        <w:sz w:val="22"/>
        <w:szCs w:val="20"/>
      </w:rPr>
      <w:fldChar w:fldCharType="begin"/>
    </w:r>
    <w:r w:rsidRPr="000F1B8C">
      <w:rPr>
        <w:rFonts w:ascii="Palatino Linotype" w:eastAsia="Palatino Linotype" w:hAnsi="Palatino Linotype" w:cs="Palatino Linotype"/>
        <w:color w:val="000000"/>
        <w:sz w:val="22"/>
        <w:szCs w:val="20"/>
      </w:rPr>
      <w:instrText>PAGE</w:instrText>
    </w:r>
    <w:r w:rsidRPr="000F1B8C">
      <w:rPr>
        <w:rFonts w:ascii="Palatino Linotype" w:eastAsia="Palatino Linotype" w:hAnsi="Palatino Linotype" w:cs="Palatino Linotype"/>
        <w:color w:val="000000"/>
        <w:sz w:val="22"/>
        <w:szCs w:val="20"/>
      </w:rPr>
      <w:fldChar w:fldCharType="separate"/>
    </w:r>
    <w:r w:rsidR="00360D41">
      <w:rPr>
        <w:rFonts w:ascii="Palatino Linotype" w:eastAsia="Palatino Linotype" w:hAnsi="Palatino Linotype" w:cs="Palatino Linotype"/>
        <w:noProof/>
        <w:color w:val="000000"/>
        <w:sz w:val="22"/>
        <w:szCs w:val="20"/>
      </w:rPr>
      <w:t>1</w:t>
    </w:r>
    <w:r w:rsidRPr="000F1B8C">
      <w:rPr>
        <w:rFonts w:ascii="Palatino Linotype" w:eastAsia="Palatino Linotype" w:hAnsi="Palatino Linotype" w:cs="Palatino Linotype"/>
        <w:color w:val="000000"/>
        <w:sz w:val="22"/>
        <w:szCs w:val="20"/>
      </w:rPr>
      <w:fldChar w:fldCharType="end"/>
    </w:r>
    <w:r w:rsidRPr="000F1B8C">
      <w:rPr>
        <w:rFonts w:ascii="Palatino Linotype" w:eastAsia="Palatino Linotype" w:hAnsi="Palatino Linotype" w:cs="Palatino Linotype"/>
        <w:color w:val="000000"/>
        <w:sz w:val="22"/>
        <w:szCs w:val="20"/>
      </w:rPr>
      <w:t xml:space="preserve"> de </w:t>
    </w:r>
    <w:r w:rsidRPr="000F1B8C">
      <w:rPr>
        <w:rFonts w:ascii="Palatino Linotype" w:eastAsia="Palatino Linotype" w:hAnsi="Palatino Linotype" w:cs="Palatino Linotype"/>
        <w:color w:val="000000"/>
        <w:sz w:val="22"/>
        <w:szCs w:val="20"/>
      </w:rPr>
      <w:fldChar w:fldCharType="begin"/>
    </w:r>
    <w:r w:rsidRPr="000F1B8C">
      <w:rPr>
        <w:rFonts w:ascii="Palatino Linotype" w:eastAsia="Palatino Linotype" w:hAnsi="Palatino Linotype" w:cs="Palatino Linotype"/>
        <w:color w:val="000000"/>
        <w:sz w:val="22"/>
        <w:szCs w:val="20"/>
      </w:rPr>
      <w:instrText>NUMPAGES</w:instrText>
    </w:r>
    <w:r w:rsidRPr="000F1B8C">
      <w:rPr>
        <w:rFonts w:ascii="Palatino Linotype" w:eastAsia="Palatino Linotype" w:hAnsi="Palatino Linotype" w:cs="Palatino Linotype"/>
        <w:color w:val="000000"/>
        <w:sz w:val="22"/>
        <w:szCs w:val="20"/>
      </w:rPr>
      <w:fldChar w:fldCharType="separate"/>
    </w:r>
    <w:r w:rsidR="00360D41">
      <w:rPr>
        <w:rFonts w:ascii="Palatino Linotype" w:eastAsia="Palatino Linotype" w:hAnsi="Palatino Linotype" w:cs="Palatino Linotype"/>
        <w:noProof/>
        <w:color w:val="000000"/>
        <w:sz w:val="22"/>
        <w:szCs w:val="20"/>
      </w:rPr>
      <w:t>57</w:t>
    </w:r>
    <w:r w:rsidRPr="000F1B8C">
      <w:rPr>
        <w:rFonts w:ascii="Palatino Linotype" w:eastAsia="Palatino Linotype" w:hAnsi="Palatino Linotype" w:cs="Palatino Linotype"/>
        <w:color w:val="000000"/>
        <w:sz w:val="22"/>
        <w:szCs w:val="20"/>
      </w:rPr>
      <w:fldChar w:fldCharType="end"/>
    </w:r>
  </w:p>
  <w:p w:rsidR="00E96FC0" w:rsidRDefault="00E96FC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6E3" w:rsidRDefault="00BB76E3">
      <w:r>
        <w:separator/>
      </w:r>
    </w:p>
  </w:footnote>
  <w:footnote w:type="continuationSeparator" w:id="0">
    <w:p w:rsidR="00BB76E3" w:rsidRDefault="00BB76E3">
      <w:r>
        <w:continuationSeparator/>
      </w:r>
    </w:p>
  </w:footnote>
  <w:footnote w:id="1">
    <w:p w:rsidR="00E96FC0" w:rsidRDefault="00A34724">
      <w:pPr>
        <w:pBdr>
          <w:top w:val="nil"/>
          <w:left w:val="nil"/>
          <w:bottom w:val="nil"/>
          <w:right w:val="nil"/>
          <w:between w:val="nil"/>
        </w:pBdr>
        <w:rPr>
          <w:rFonts w:ascii="Palatino Linotype" w:eastAsia="Palatino Linotype" w:hAnsi="Palatino Linotype" w:cs="Palatino Linotype"/>
          <w:color w:val="000000"/>
          <w:sz w:val="22"/>
          <w:szCs w:val="22"/>
        </w:rPr>
      </w:pPr>
      <w:r>
        <w:rPr>
          <w:vertAlign w:val="superscript"/>
        </w:rPr>
        <w:footnoteRef/>
      </w:r>
      <w:r>
        <w:rPr>
          <w:rFonts w:ascii="Palatino Linotype" w:eastAsia="Palatino Linotype" w:hAnsi="Palatino Linotype" w:cs="Palatino Linotype"/>
          <w:color w:val="000000"/>
          <w:sz w:val="22"/>
          <w:szCs w:val="22"/>
        </w:rPr>
        <w:t xml:space="preserve"> Convención Americana sobre Derechos Humanos. Artículo 13.</w:t>
      </w:r>
    </w:p>
  </w:footnote>
  <w:footnote w:id="2">
    <w:p w:rsidR="00E96FC0" w:rsidRDefault="00A34724">
      <w:pPr>
        <w:pBdr>
          <w:top w:val="nil"/>
          <w:left w:val="nil"/>
          <w:bottom w:val="nil"/>
          <w:right w:val="nil"/>
          <w:between w:val="nil"/>
        </w:pBdr>
        <w:rPr>
          <w:rFonts w:ascii="Palatino Linotype" w:eastAsia="Palatino Linotype" w:hAnsi="Palatino Linotype" w:cs="Palatino Linotype"/>
          <w:color w:val="000000"/>
          <w:sz w:val="22"/>
          <w:szCs w:val="22"/>
        </w:rPr>
      </w:pPr>
      <w:r>
        <w:rPr>
          <w:vertAlign w:val="superscript"/>
        </w:rPr>
        <w:footnoteRef/>
      </w:r>
      <w:r>
        <w:rPr>
          <w:rFonts w:ascii="Palatino Linotype" w:eastAsia="Palatino Linotype" w:hAnsi="Palatino Linotype" w:cs="Palatino Linotype"/>
          <w:color w:val="000000"/>
          <w:sz w:val="22"/>
          <w:szCs w:val="22"/>
        </w:rPr>
        <w:t xml:space="preserve"> Constitución Política de los Estados Unidos Mexicanos. Artículo sexto, sección A, Fracción I.</w:t>
      </w:r>
    </w:p>
  </w:footnote>
  <w:footnote w:id="3">
    <w:p w:rsidR="00E96FC0" w:rsidRDefault="00A34724">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E96FC0" w:rsidRDefault="00A34724">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E96FC0" w:rsidRDefault="00A34724">
      <w:pPr>
        <w:pBdr>
          <w:top w:val="nil"/>
          <w:left w:val="nil"/>
          <w:bottom w:val="nil"/>
          <w:right w:val="nil"/>
          <w:between w:val="nil"/>
        </w:pBdr>
        <w:rPr>
          <w:color w:val="00000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E96FC0" w:rsidRDefault="00A34724">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E96FC0" w:rsidRDefault="00A34724">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E96FC0" w:rsidRDefault="00A34724">
      <w:pPr>
        <w:pBdr>
          <w:top w:val="nil"/>
          <w:left w:val="nil"/>
          <w:bottom w:val="nil"/>
          <w:right w:val="nil"/>
          <w:between w:val="nil"/>
        </w:pBdr>
        <w:rPr>
          <w:color w:val="000000"/>
        </w:rPr>
      </w:pPr>
      <w:r>
        <w:rPr>
          <w:color w:val="00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FC0" w:rsidRDefault="00BB76E3">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6519" w:type="dxa"/>
      <w:tblInd w:w="3261" w:type="dxa"/>
      <w:tblLayout w:type="fixed"/>
      <w:tblLook w:val="0400" w:firstRow="0" w:lastRow="0" w:firstColumn="0" w:lastColumn="0" w:noHBand="0" w:noVBand="1"/>
    </w:tblPr>
    <w:tblGrid>
      <w:gridCol w:w="2976"/>
      <w:gridCol w:w="3543"/>
    </w:tblGrid>
    <w:tr w:rsidR="00E96FC0" w:rsidTr="000F1B8C">
      <w:trPr>
        <w:trHeight w:val="227"/>
      </w:trPr>
      <w:tc>
        <w:tcPr>
          <w:tcW w:w="2976" w:type="dxa"/>
          <w:vAlign w:val="center"/>
        </w:tcPr>
        <w:p w:rsidR="00E96FC0" w:rsidRPr="000F1B8C" w:rsidRDefault="00A34724">
          <w:pPr>
            <w:ind w:right="34"/>
            <w:jc w:val="right"/>
            <w:rPr>
              <w:rFonts w:ascii="Palatino Linotype" w:eastAsia="Palatino Linotype" w:hAnsi="Palatino Linotype" w:cs="Palatino Linotype"/>
              <w:b/>
              <w:bCs/>
              <w:szCs w:val="22"/>
            </w:rPr>
          </w:pPr>
          <w:r w:rsidRPr="000F1B8C">
            <w:rPr>
              <w:rFonts w:ascii="Palatino Linotype" w:eastAsia="Palatino Linotype" w:hAnsi="Palatino Linotype" w:cs="Palatino Linotype"/>
              <w:b/>
              <w:bCs/>
              <w:szCs w:val="22"/>
            </w:rPr>
            <w:t>Recurso de Revisión:</w:t>
          </w:r>
        </w:p>
      </w:tc>
      <w:tc>
        <w:tcPr>
          <w:tcW w:w="3543" w:type="dxa"/>
          <w:vAlign w:val="center"/>
        </w:tcPr>
        <w:p w:rsidR="00E96FC0" w:rsidRPr="000F1B8C" w:rsidRDefault="00A34724">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0F1B8C">
            <w:rPr>
              <w:rFonts w:ascii="Palatino Linotype" w:eastAsia="Palatino Linotype" w:hAnsi="Palatino Linotype" w:cs="Palatino Linotype"/>
              <w:color w:val="000000"/>
              <w:szCs w:val="22"/>
            </w:rPr>
            <w:t>11193/INFOEM/IP/RR/2025</w:t>
          </w:r>
        </w:p>
      </w:tc>
    </w:tr>
    <w:tr w:rsidR="00E96FC0" w:rsidTr="000F1B8C">
      <w:trPr>
        <w:trHeight w:val="242"/>
      </w:trPr>
      <w:tc>
        <w:tcPr>
          <w:tcW w:w="2976" w:type="dxa"/>
          <w:vAlign w:val="center"/>
        </w:tcPr>
        <w:p w:rsidR="00E96FC0" w:rsidRPr="000F1B8C" w:rsidRDefault="00A34724">
          <w:pPr>
            <w:ind w:right="34"/>
            <w:jc w:val="right"/>
            <w:rPr>
              <w:rFonts w:ascii="Palatino Linotype" w:eastAsia="Palatino Linotype" w:hAnsi="Palatino Linotype" w:cs="Palatino Linotype"/>
              <w:b/>
              <w:bCs/>
              <w:szCs w:val="22"/>
            </w:rPr>
          </w:pPr>
          <w:r w:rsidRPr="000F1B8C">
            <w:rPr>
              <w:rFonts w:ascii="Palatino Linotype" w:eastAsia="Palatino Linotype" w:hAnsi="Palatino Linotype" w:cs="Palatino Linotype"/>
              <w:b/>
              <w:bCs/>
              <w:szCs w:val="22"/>
            </w:rPr>
            <w:t>Sujeto Obligado:</w:t>
          </w:r>
        </w:p>
      </w:tc>
      <w:tc>
        <w:tcPr>
          <w:tcW w:w="3543" w:type="dxa"/>
          <w:vAlign w:val="center"/>
        </w:tcPr>
        <w:p w:rsidR="00E96FC0" w:rsidRPr="000F1B8C" w:rsidRDefault="00A34724">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0F1B8C">
            <w:rPr>
              <w:rFonts w:ascii="Palatino Linotype" w:eastAsia="Palatino Linotype" w:hAnsi="Palatino Linotype" w:cs="Palatino Linotype"/>
              <w:color w:val="000000"/>
              <w:szCs w:val="22"/>
            </w:rPr>
            <w:t>Ayuntamiento de Amecameca</w:t>
          </w:r>
        </w:p>
      </w:tc>
    </w:tr>
    <w:tr w:rsidR="00E96FC0" w:rsidTr="000F1B8C">
      <w:trPr>
        <w:trHeight w:val="342"/>
      </w:trPr>
      <w:tc>
        <w:tcPr>
          <w:tcW w:w="2976" w:type="dxa"/>
          <w:vAlign w:val="center"/>
        </w:tcPr>
        <w:p w:rsidR="00E96FC0" w:rsidRPr="000F1B8C" w:rsidRDefault="00A34724">
          <w:pPr>
            <w:ind w:right="34"/>
            <w:jc w:val="right"/>
            <w:rPr>
              <w:rFonts w:ascii="Palatino Linotype" w:eastAsia="Palatino Linotype" w:hAnsi="Palatino Linotype" w:cs="Palatino Linotype"/>
              <w:b/>
              <w:bCs/>
              <w:szCs w:val="22"/>
            </w:rPr>
          </w:pPr>
          <w:r w:rsidRPr="000F1B8C">
            <w:rPr>
              <w:rFonts w:ascii="Palatino Linotype" w:eastAsia="Palatino Linotype" w:hAnsi="Palatino Linotype" w:cs="Palatino Linotype"/>
              <w:b/>
              <w:bCs/>
              <w:szCs w:val="22"/>
            </w:rPr>
            <w:t>Comisionada Ponente:</w:t>
          </w:r>
        </w:p>
      </w:tc>
      <w:tc>
        <w:tcPr>
          <w:tcW w:w="3543" w:type="dxa"/>
          <w:vAlign w:val="center"/>
        </w:tcPr>
        <w:p w:rsidR="00E96FC0" w:rsidRPr="000F1B8C" w:rsidRDefault="00A34724">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0F1B8C">
            <w:rPr>
              <w:rFonts w:ascii="Palatino Linotype" w:eastAsia="Palatino Linotype" w:hAnsi="Palatino Linotype" w:cs="Palatino Linotype"/>
              <w:color w:val="000000"/>
              <w:szCs w:val="22"/>
            </w:rPr>
            <w:t>María del Rosario Mejía Ayala</w:t>
          </w:r>
        </w:p>
      </w:tc>
    </w:tr>
  </w:tbl>
  <w:p w:rsidR="00E96FC0" w:rsidRDefault="00BB76E3">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0.05pt;margin-top:-131.15pt;width:609.4pt;height:793.75pt;z-index:-251659776;mso-position-horizontal-relative:margin;mso-position-vertical-relative:margin">
          <v:imagedata r:id="rId1" o:title="image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6660" w:type="dxa"/>
      <w:tblInd w:w="3261" w:type="dxa"/>
      <w:tblLayout w:type="fixed"/>
      <w:tblLook w:val="0400" w:firstRow="0" w:lastRow="0" w:firstColumn="0" w:lastColumn="0" w:noHBand="0" w:noVBand="1"/>
    </w:tblPr>
    <w:tblGrid>
      <w:gridCol w:w="2977"/>
      <w:gridCol w:w="3683"/>
    </w:tblGrid>
    <w:tr w:rsidR="00E96FC0" w:rsidTr="000F1B8C">
      <w:trPr>
        <w:trHeight w:val="227"/>
      </w:trPr>
      <w:tc>
        <w:tcPr>
          <w:tcW w:w="2977" w:type="dxa"/>
          <w:vAlign w:val="center"/>
        </w:tcPr>
        <w:p w:rsidR="00E96FC0" w:rsidRPr="000F1B8C" w:rsidRDefault="00A34724">
          <w:pPr>
            <w:jc w:val="right"/>
            <w:rPr>
              <w:rFonts w:ascii="Palatino Linotype" w:eastAsia="Palatino Linotype" w:hAnsi="Palatino Linotype" w:cs="Palatino Linotype"/>
              <w:b/>
              <w:bCs/>
              <w:szCs w:val="22"/>
            </w:rPr>
          </w:pPr>
          <w:r w:rsidRPr="000F1B8C">
            <w:rPr>
              <w:rFonts w:ascii="Palatino Linotype" w:eastAsia="Palatino Linotype" w:hAnsi="Palatino Linotype" w:cs="Palatino Linotype"/>
              <w:b/>
              <w:bCs/>
              <w:szCs w:val="22"/>
            </w:rPr>
            <w:t>Recurso de Revisión:</w:t>
          </w:r>
        </w:p>
      </w:tc>
      <w:tc>
        <w:tcPr>
          <w:tcW w:w="3683" w:type="dxa"/>
          <w:vAlign w:val="center"/>
        </w:tcPr>
        <w:p w:rsidR="00E96FC0" w:rsidRPr="000F1B8C" w:rsidRDefault="00A34724">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0F1B8C">
            <w:rPr>
              <w:rFonts w:ascii="Palatino Linotype" w:eastAsia="Palatino Linotype" w:hAnsi="Palatino Linotype" w:cs="Palatino Linotype"/>
              <w:color w:val="000000"/>
              <w:szCs w:val="22"/>
            </w:rPr>
            <w:t>11193/INFOEM/IP/RR/2025</w:t>
          </w:r>
        </w:p>
      </w:tc>
    </w:tr>
    <w:tr w:rsidR="00E96FC0" w:rsidTr="000F1B8C">
      <w:trPr>
        <w:trHeight w:val="242"/>
      </w:trPr>
      <w:tc>
        <w:tcPr>
          <w:tcW w:w="2977" w:type="dxa"/>
          <w:vAlign w:val="center"/>
        </w:tcPr>
        <w:p w:rsidR="00E96FC0" w:rsidRPr="000F1B8C" w:rsidRDefault="00A34724">
          <w:pPr>
            <w:jc w:val="right"/>
            <w:rPr>
              <w:rFonts w:ascii="Palatino Linotype" w:eastAsia="Palatino Linotype" w:hAnsi="Palatino Linotype" w:cs="Palatino Linotype"/>
              <w:b/>
              <w:bCs/>
              <w:szCs w:val="22"/>
            </w:rPr>
          </w:pPr>
          <w:r w:rsidRPr="000F1B8C">
            <w:rPr>
              <w:rFonts w:ascii="Palatino Linotype" w:eastAsia="Palatino Linotype" w:hAnsi="Palatino Linotype" w:cs="Palatino Linotype"/>
              <w:b/>
              <w:bCs/>
              <w:szCs w:val="22"/>
            </w:rPr>
            <w:t>Recurrente:</w:t>
          </w:r>
        </w:p>
      </w:tc>
      <w:tc>
        <w:tcPr>
          <w:tcW w:w="3683" w:type="dxa"/>
        </w:tcPr>
        <w:p w:rsidR="00E96FC0" w:rsidRPr="000F1B8C" w:rsidRDefault="00360D41">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Cs w:val="22"/>
              <w:highlight w:val="green"/>
            </w:rPr>
          </w:pPr>
          <w:r>
            <w:rPr>
              <w:rFonts w:ascii="Palatino Linotype" w:eastAsia="Palatino Linotype" w:hAnsi="Palatino Linotype" w:cs="Palatino Linotype"/>
              <w:color w:val="000000"/>
              <w:szCs w:val="22"/>
            </w:rPr>
            <w:t>XXXX</w:t>
          </w:r>
        </w:p>
      </w:tc>
    </w:tr>
    <w:tr w:rsidR="00E96FC0" w:rsidTr="000F1B8C">
      <w:trPr>
        <w:trHeight w:val="342"/>
      </w:trPr>
      <w:tc>
        <w:tcPr>
          <w:tcW w:w="2977" w:type="dxa"/>
          <w:vAlign w:val="center"/>
        </w:tcPr>
        <w:p w:rsidR="00E96FC0" w:rsidRPr="000F1B8C" w:rsidRDefault="00A34724">
          <w:pPr>
            <w:jc w:val="right"/>
            <w:rPr>
              <w:rFonts w:ascii="Palatino Linotype" w:eastAsia="Palatino Linotype" w:hAnsi="Palatino Linotype" w:cs="Palatino Linotype"/>
              <w:b/>
              <w:bCs/>
              <w:szCs w:val="22"/>
            </w:rPr>
          </w:pPr>
          <w:r w:rsidRPr="000F1B8C">
            <w:rPr>
              <w:rFonts w:ascii="Palatino Linotype" w:eastAsia="Palatino Linotype" w:hAnsi="Palatino Linotype" w:cs="Palatino Linotype"/>
              <w:b/>
              <w:bCs/>
              <w:szCs w:val="22"/>
            </w:rPr>
            <w:t>Sujeto Obligado:</w:t>
          </w:r>
        </w:p>
      </w:tc>
      <w:tc>
        <w:tcPr>
          <w:tcW w:w="3683" w:type="dxa"/>
          <w:vAlign w:val="center"/>
        </w:tcPr>
        <w:p w:rsidR="00E96FC0" w:rsidRPr="000F1B8C" w:rsidRDefault="00A34724">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0F1B8C">
            <w:rPr>
              <w:rFonts w:ascii="Palatino Linotype" w:eastAsia="Palatino Linotype" w:hAnsi="Palatino Linotype" w:cs="Palatino Linotype"/>
              <w:color w:val="000000"/>
              <w:szCs w:val="22"/>
            </w:rPr>
            <w:t>Ayuntamiento de Amecameca</w:t>
          </w:r>
        </w:p>
      </w:tc>
    </w:tr>
    <w:tr w:rsidR="00E96FC0" w:rsidTr="000F1B8C">
      <w:trPr>
        <w:trHeight w:val="342"/>
      </w:trPr>
      <w:tc>
        <w:tcPr>
          <w:tcW w:w="2977" w:type="dxa"/>
          <w:vAlign w:val="center"/>
        </w:tcPr>
        <w:p w:rsidR="00E96FC0" w:rsidRPr="000F1B8C" w:rsidRDefault="00A34724">
          <w:pPr>
            <w:jc w:val="right"/>
            <w:rPr>
              <w:rFonts w:ascii="Palatino Linotype" w:eastAsia="Palatino Linotype" w:hAnsi="Palatino Linotype" w:cs="Palatino Linotype"/>
              <w:b/>
              <w:bCs/>
              <w:szCs w:val="22"/>
            </w:rPr>
          </w:pPr>
          <w:r w:rsidRPr="000F1B8C">
            <w:rPr>
              <w:rFonts w:ascii="Palatino Linotype" w:eastAsia="Palatino Linotype" w:hAnsi="Palatino Linotype" w:cs="Palatino Linotype"/>
              <w:b/>
              <w:bCs/>
              <w:szCs w:val="22"/>
            </w:rPr>
            <w:t>Comisionada Ponente:</w:t>
          </w:r>
        </w:p>
      </w:tc>
      <w:tc>
        <w:tcPr>
          <w:tcW w:w="3683" w:type="dxa"/>
          <w:vAlign w:val="center"/>
        </w:tcPr>
        <w:p w:rsidR="00E96FC0" w:rsidRPr="000F1B8C" w:rsidRDefault="00A34724">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0F1B8C">
            <w:rPr>
              <w:rFonts w:ascii="Palatino Linotype" w:eastAsia="Palatino Linotype" w:hAnsi="Palatino Linotype" w:cs="Palatino Linotype"/>
              <w:color w:val="000000"/>
              <w:szCs w:val="22"/>
            </w:rPr>
            <w:t>María del Rosario Mejía Ayala</w:t>
          </w:r>
        </w:p>
      </w:tc>
    </w:tr>
  </w:tbl>
  <w:p w:rsidR="00E96FC0" w:rsidRDefault="00BB76E3">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0.6pt;margin-top:-119.3pt;width:609.4pt;height:793.75pt;z-index:-251658752;mso-position-horizontal-relative:margin;mso-position-vertical-relative:margin">
          <v:imagedata r:id="rId1" o:title="image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714A20"/>
    <w:multiLevelType w:val="multilevel"/>
    <w:tmpl w:val="D9DAF994"/>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5AC0FE5"/>
    <w:multiLevelType w:val="multilevel"/>
    <w:tmpl w:val="E5E057CE"/>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8B4EFA"/>
    <w:multiLevelType w:val="hybridMultilevel"/>
    <w:tmpl w:val="AC40C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0886B5C"/>
    <w:multiLevelType w:val="multilevel"/>
    <w:tmpl w:val="D25A67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2A5678E"/>
    <w:multiLevelType w:val="multilevel"/>
    <w:tmpl w:val="25601924"/>
    <w:lvl w:ilvl="0">
      <w:start w:val="24"/>
      <w:numFmt w:val="decimal"/>
      <w:lvlText w:val="%1."/>
      <w:lvlJc w:val="left"/>
      <w:pPr>
        <w:ind w:left="360"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9665825"/>
    <w:multiLevelType w:val="multilevel"/>
    <w:tmpl w:val="B3B6E7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D06295"/>
    <w:multiLevelType w:val="multilevel"/>
    <w:tmpl w:val="56CE93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7210D39"/>
    <w:multiLevelType w:val="multilevel"/>
    <w:tmpl w:val="F5F09716"/>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1"/>
  </w:num>
  <w:num w:numId="2">
    <w:abstractNumId w:val="7"/>
  </w:num>
  <w:num w:numId="3">
    <w:abstractNumId w:val="5"/>
  </w:num>
  <w:num w:numId="4">
    <w:abstractNumId w:val="3"/>
  </w:num>
  <w:num w:numId="5">
    <w:abstractNumId w:val="4"/>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FC0"/>
    <w:rsid w:val="000F1B8C"/>
    <w:rsid w:val="00163179"/>
    <w:rsid w:val="003045C0"/>
    <w:rsid w:val="00360D41"/>
    <w:rsid w:val="005A4B09"/>
    <w:rsid w:val="007E79DC"/>
    <w:rsid w:val="008A48E1"/>
    <w:rsid w:val="00A34724"/>
    <w:rsid w:val="00B210F9"/>
    <w:rsid w:val="00BB76E3"/>
    <w:rsid w:val="00CB7F19"/>
    <w:rsid w:val="00D02E5B"/>
    <w:rsid w:val="00D15781"/>
    <w:rsid w:val="00E32C3D"/>
    <w:rsid w:val="00E96FC0"/>
    <w:rsid w:val="00F34F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C20A9F8-149F-4180-903C-16AF9D115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qForma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uiPriority w:val="22"/>
    <w:qFormat/>
    <w:rsid w:val="003F5071"/>
    <w:rPr>
      <w:b/>
      <w:bC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paragraph" w:customStyle="1" w:styleId="Citas">
    <w:name w:val="Citas"/>
    <w:basedOn w:val="Normal"/>
    <w:qFormat/>
    <w:rsid w:val="00E803A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F37A04"/>
    <w:pPr>
      <w:spacing w:before="240" w:after="160" w:line="360" w:lineRule="auto"/>
      <w:ind w:left="851" w:right="851"/>
      <w:jc w:val="both"/>
    </w:pPr>
    <w:rPr>
      <w:rFonts w:ascii="Palatino Linotype" w:eastAsia="Times New Roman" w:hAnsi="Palatino Linotype" w:cs="Times New Roman"/>
      <w:i/>
      <w:sz w:val="22"/>
      <w:lang w:val="es-MX" w:eastAsia="en-US"/>
    </w:rPr>
  </w:style>
  <w:style w:type="paragraph" w:styleId="NormalWeb">
    <w:name w:val="Normal (Web)"/>
    <w:basedOn w:val="Normal"/>
    <w:uiPriority w:val="99"/>
    <w:rsid w:val="00151F2D"/>
    <w:pPr>
      <w:spacing w:before="100" w:beforeAutospacing="1" w:after="100" w:afterAutospacing="1"/>
    </w:pPr>
    <w:rPr>
      <w:rFonts w:ascii="Times New Roman" w:eastAsia="Times New Roman" w:hAnsi="Times New Roman" w:cs="Times New Roman"/>
      <w:lang w:val="es-MX"/>
    </w:r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7137AB"/>
    <w:pPr>
      <w:numPr>
        <w:numId w:val="7"/>
      </w:numPr>
      <w:contextualSpacing/>
    </w:pPr>
    <w:rPr>
      <w:rFonts w:ascii="Times New Roman" w:eastAsia="Times New Roman" w:hAnsi="Times New Roman" w:cs="Times New Roman"/>
      <w:sz w:val="20"/>
      <w:szCs w:val="20"/>
      <w:lang w:val="es-MX"/>
    </w:rPr>
  </w:style>
  <w:style w:type="paragraph" w:customStyle="1" w:styleId="paragraph">
    <w:name w:val="paragraph"/>
    <w:basedOn w:val="Normal"/>
    <w:rsid w:val="008330D2"/>
    <w:pPr>
      <w:spacing w:before="100" w:beforeAutospacing="1" w:after="100" w:afterAutospacing="1"/>
    </w:pPr>
    <w:rPr>
      <w:rFonts w:ascii="Times New Roman" w:eastAsia="Times New Roman" w:hAnsi="Times New Roman" w:cs="Times New Roman"/>
      <w:lang w:val="es-MX"/>
    </w:rPr>
  </w:style>
  <w:style w:type="paragraph" w:customStyle="1" w:styleId="rtejustify">
    <w:name w:val="rtejustify"/>
    <w:basedOn w:val="Normal"/>
    <w:rsid w:val="00924256"/>
    <w:pPr>
      <w:spacing w:before="100" w:beforeAutospacing="1" w:after="100" w:afterAutospacing="1"/>
    </w:pPr>
    <w:rPr>
      <w:rFonts w:ascii="Times New Roman" w:eastAsia="Times New Roman" w:hAnsi="Times New Roman" w:cs="Times New Roman"/>
      <w:lang w:val="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of.gob.mx/nota_detalle.php?codigo=5492254&amp;fecha=28/07/2017"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zrBkv9JHh2QTxpi7ydg4v/tiVA==">CgMxLjAyCGguZ2pkZ3hzMgloLjMwajB6bGwyDmguNnB5Y3J5aG5wcWEwMgloLjN6bnlzaDcyCWguMmV0OTJwMDIIaC50eWpjd3QyDmgueGQ4a24yNGJzcGtjMg5oLjVuZ2djcGQzMW0zdzIOaC5zaWhzenQ1cTZpaXUyDmgucmV6eWR1eWRqZ3NyMg5oLnRxZGFqZGJqbmV6ZTIOaC51bXd6djZicTNnZ3M4AHIhMVYtdVdqSGFmVzZRZ3ZmVlo5VG9zN3JPS1Q5M29oczNy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57</Pages>
  <Words>12766</Words>
  <Characters>70215</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12</cp:revision>
  <cp:lastPrinted>2026-01-16T16:31:00Z</cp:lastPrinted>
  <dcterms:created xsi:type="dcterms:W3CDTF">2025-12-16T19:33:00Z</dcterms:created>
  <dcterms:modified xsi:type="dcterms:W3CDTF">2026-01-29T23:03:00Z</dcterms:modified>
</cp:coreProperties>
</file>