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31F6B736" w:rsidR="00611EC6" w:rsidRPr="00425A58" w:rsidRDefault="00947C3B" w:rsidP="00AE423B">
      <w:pPr>
        <w:tabs>
          <w:tab w:val="left" w:pos="3465"/>
        </w:tabs>
        <w:spacing w:line="360" w:lineRule="auto"/>
        <w:jc w:val="both"/>
        <w:rPr>
          <w:rFonts w:ascii="Palatino Linotype" w:hAnsi="Palatino Linotype"/>
          <w:color w:val="000000" w:themeColor="text1"/>
          <w:lang w:val="es-MX"/>
        </w:rPr>
      </w:pPr>
      <w:bookmarkStart w:id="0" w:name="_GoBack"/>
      <w:bookmarkEnd w:id="0"/>
      <w:r w:rsidRPr="00425A5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6111E6">
        <w:rPr>
          <w:rFonts w:ascii="Palatino Linotype" w:hAnsi="Palatino Linotype"/>
          <w:color w:val="000000" w:themeColor="text1"/>
        </w:rPr>
        <w:t>quince</w:t>
      </w:r>
      <w:r w:rsidR="00784D8F">
        <w:rPr>
          <w:rFonts w:ascii="Palatino Linotype" w:hAnsi="Palatino Linotype"/>
          <w:color w:val="000000" w:themeColor="text1"/>
        </w:rPr>
        <w:t xml:space="preserve"> (15)</w:t>
      </w:r>
      <w:r w:rsidR="006111E6">
        <w:rPr>
          <w:rFonts w:ascii="Palatino Linotype" w:hAnsi="Palatino Linotype"/>
          <w:color w:val="000000" w:themeColor="text1"/>
        </w:rPr>
        <w:t xml:space="preserve"> de abril</w:t>
      </w:r>
      <w:r w:rsidR="00C86A6F" w:rsidRPr="00425A58">
        <w:rPr>
          <w:rFonts w:ascii="Palatino Linotype" w:hAnsi="Palatino Linotype"/>
          <w:color w:val="000000" w:themeColor="text1"/>
        </w:rPr>
        <w:t xml:space="preserve"> de </w:t>
      </w:r>
      <w:r w:rsidR="00C3129D" w:rsidRPr="00425A58">
        <w:rPr>
          <w:rFonts w:ascii="Palatino Linotype" w:hAnsi="Palatino Linotype"/>
          <w:color w:val="000000" w:themeColor="text1"/>
        </w:rPr>
        <w:t>dos mil veintiséis</w:t>
      </w:r>
      <w:r w:rsidR="00611EC6" w:rsidRPr="00425A58">
        <w:rPr>
          <w:rFonts w:ascii="Palatino Linotype" w:hAnsi="Palatino Linotype"/>
          <w:color w:val="000000" w:themeColor="text1"/>
        </w:rPr>
        <w:t>.</w:t>
      </w:r>
    </w:p>
    <w:p w14:paraId="70BA5E97" w14:textId="77777777" w:rsidR="00947C3B" w:rsidRPr="00425A58" w:rsidRDefault="00947C3B" w:rsidP="00AE423B">
      <w:pPr>
        <w:tabs>
          <w:tab w:val="left" w:pos="3465"/>
        </w:tabs>
        <w:spacing w:line="360" w:lineRule="auto"/>
        <w:jc w:val="both"/>
        <w:rPr>
          <w:rFonts w:ascii="Palatino Linotype" w:hAnsi="Palatino Linotype"/>
        </w:rPr>
      </w:pPr>
    </w:p>
    <w:p w14:paraId="38CBC7E2" w14:textId="5FFFE964" w:rsidR="00947C3B" w:rsidRPr="00425A58" w:rsidRDefault="00947C3B" w:rsidP="009B03F5">
      <w:pPr>
        <w:pStyle w:val="Prrafodelista"/>
        <w:spacing w:line="360" w:lineRule="auto"/>
        <w:ind w:left="0"/>
        <w:jc w:val="both"/>
        <w:rPr>
          <w:rFonts w:ascii="Palatino Linotype" w:hAnsi="Palatino Linotype"/>
        </w:rPr>
      </w:pPr>
      <w:r w:rsidRPr="009B03F5">
        <w:rPr>
          <w:rFonts w:ascii="Palatino Linotype" w:hAnsi="Palatino Linotype"/>
          <w:b/>
        </w:rPr>
        <w:t>VISTO</w:t>
      </w:r>
      <w:r w:rsidRPr="009B03F5">
        <w:rPr>
          <w:rFonts w:ascii="Palatino Linotype" w:hAnsi="Palatino Linotype"/>
        </w:rPr>
        <w:t xml:space="preserve"> el expediente electrónico formado con motivo del </w:t>
      </w:r>
      <w:r w:rsidR="006F721C" w:rsidRPr="009B03F5">
        <w:rPr>
          <w:rFonts w:ascii="Palatino Linotype" w:hAnsi="Palatino Linotype"/>
        </w:rPr>
        <w:t>Recurso de R</w:t>
      </w:r>
      <w:r w:rsidRPr="009B03F5">
        <w:rPr>
          <w:rFonts w:ascii="Palatino Linotype" w:hAnsi="Palatino Linotype"/>
        </w:rPr>
        <w:t xml:space="preserve">evisión </w:t>
      </w:r>
      <w:r w:rsidR="00BA6E96">
        <w:rPr>
          <w:rFonts w:ascii="Palatino Linotype" w:eastAsiaTheme="minorHAnsi" w:hAnsi="Palatino Linotype" w:cs="Consolas"/>
          <w:b/>
          <w:color w:val="000000"/>
          <w:lang w:val="es-MX" w:eastAsia="en-US"/>
        </w:rPr>
        <w:t>13143/INFOEM/IP/RR/2025</w:t>
      </w:r>
      <w:r w:rsidRPr="009B03F5">
        <w:rPr>
          <w:rFonts w:ascii="Palatino Linotype" w:hAnsi="Palatino Linotype"/>
        </w:rPr>
        <w:t>,</w:t>
      </w:r>
      <w:r w:rsidRPr="009B03F5">
        <w:rPr>
          <w:rFonts w:ascii="Palatino Linotype" w:hAnsi="Palatino Linotype" w:cs="Arial"/>
          <w:b/>
          <w:bCs/>
        </w:rPr>
        <w:t xml:space="preserve"> </w:t>
      </w:r>
      <w:r w:rsidRPr="009B03F5">
        <w:rPr>
          <w:rFonts w:ascii="Palatino Linotype" w:hAnsi="Palatino Linotype"/>
        </w:rPr>
        <w:t xml:space="preserve">promovido por </w:t>
      </w:r>
      <w:r w:rsidR="001631AB">
        <w:rPr>
          <w:rFonts w:ascii="Palatino Linotype" w:hAnsi="Palatino Linotype"/>
          <w:b/>
        </w:rPr>
        <w:t>XXXX</w:t>
      </w:r>
      <w:r w:rsidRPr="009B03F5">
        <w:rPr>
          <w:rFonts w:ascii="Palatino Linotype" w:hAnsi="Palatino Linotype"/>
          <w:b/>
        </w:rPr>
        <w:t>,</w:t>
      </w:r>
      <w:r w:rsidRPr="009B03F5">
        <w:rPr>
          <w:rFonts w:ascii="Palatino Linotype" w:hAnsi="Palatino Linotype"/>
        </w:rPr>
        <w:t xml:space="preserve"> a quien en lo sucesivo se le identificará como </w:t>
      </w:r>
      <w:r w:rsidR="00C862A5" w:rsidRPr="009B03F5">
        <w:rPr>
          <w:rFonts w:ascii="Palatino Linotype" w:hAnsi="Palatino Linotype"/>
          <w:b/>
        </w:rPr>
        <w:t>EL RECURRENTE</w:t>
      </w:r>
      <w:r w:rsidRPr="009B03F5">
        <w:rPr>
          <w:rFonts w:ascii="Palatino Linotype" w:hAnsi="Palatino Linotype" w:cs="Arial"/>
        </w:rPr>
        <w:t xml:space="preserve">, en contra de la respuesta del </w:t>
      </w:r>
      <w:r w:rsidR="00415B80">
        <w:rPr>
          <w:rFonts w:ascii="Palatino Linotype" w:hAnsi="Palatino Linotype" w:cs="Arial"/>
          <w:b/>
          <w:bCs/>
        </w:rPr>
        <w:t>Ayuntamiento de Toluca</w:t>
      </w:r>
      <w:r w:rsidRPr="006111E6">
        <w:rPr>
          <w:rFonts w:ascii="Palatino Linotype" w:hAnsi="Palatino Linotype" w:cs="Arial"/>
        </w:rPr>
        <w:t>,</w:t>
      </w:r>
      <w:r w:rsidRPr="009B03F5">
        <w:rPr>
          <w:rFonts w:ascii="Palatino Linotype" w:hAnsi="Palatino Linotype"/>
          <w:b/>
        </w:rPr>
        <w:t xml:space="preserve"> </w:t>
      </w:r>
      <w:r w:rsidRPr="009B03F5">
        <w:rPr>
          <w:rFonts w:ascii="Palatino Linotype" w:hAnsi="Palatino Linotype"/>
        </w:rPr>
        <w:t>en lo sucesivo el</w:t>
      </w:r>
      <w:r w:rsidRPr="009B03F5">
        <w:rPr>
          <w:rFonts w:ascii="Palatino Linotype" w:hAnsi="Palatino Linotype"/>
          <w:b/>
        </w:rPr>
        <w:t xml:space="preserve"> SUJETO OBLIGA</w:t>
      </w:r>
      <w:r w:rsidRPr="00425A58">
        <w:rPr>
          <w:rFonts w:ascii="Palatino Linotype" w:hAnsi="Palatino Linotype"/>
          <w:b/>
        </w:rPr>
        <w:t>DO</w:t>
      </w:r>
      <w:r w:rsidRPr="00425A58">
        <w:rPr>
          <w:rFonts w:ascii="Palatino Linotype" w:hAnsi="Palatino Linotype"/>
        </w:rPr>
        <w:t xml:space="preserve">, se procede a dictar la presente </w:t>
      </w:r>
      <w:r w:rsidR="009366E5" w:rsidRPr="00425A58">
        <w:rPr>
          <w:rFonts w:ascii="Palatino Linotype" w:hAnsi="Palatino Linotype"/>
        </w:rPr>
        <w:t>R</w:t>
      </w:r>
      <w:r w:rsidRPr="00425A58">
        <w:rPr>
          <w:rFonts w:ascii="Palatino Linotype" w:hAnsi="Palatino Linotype"/>
        </w:rPr>
        <w:t>esolución, con base en los siguientes:</w:t>
      </w:r>
    </w:p>
    <w:p w14:paraId="7CBFFAD8" w14:textId="77777777" w:rsidR="00947C3B" w:rsidRPr="00425A58" w:rsidRDefault="00947C3B" w:rsidP="00AE423B">
      <w:pPr>
        <w:spacing w:line="360" w:lineRule="auto"/>
        <w:jc w:val="both"/>
        <w:rPr>
          <w:rFonts w:ascii="Palatino Linotype" w:hAnsi="Palatino Linotype"/>
        </w:rPr>
      </w:pPr>
    </w:p>
    <w:p w14:paraId="6C073730" w14:textId="16F8C798" w:rsidR="00947C3B" w:rsidRPr="00425A58" w:rsidRDefault="00947C3B" w:rsidP="00AE423B">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425A58">
        <w:rPr>
          <w:rFonts w:ascii="Palatino Linotype" w:hAnsi="Palatino Linotype"/>
          <w:b/>
          <w:color w:val="000000" w:themeColor="text1"/>
          <w:sz w:val="24"/>
          <w:szCs w:val="24"/>
        </w:rPr>
        <w:t>A</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N</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T</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E</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C</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E</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D</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E</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N</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T</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E</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S</w:t>
      </w:r>
      <w:bookmarkEnd w:id="1"/>
      <w:bookmarkEnd w:id="2"/>
      <w:bookmarkEnd w:id="3"/>
    </w:p>
    <w:p w14:paraId="6BDD1D0D" w14:textId="77777777" w:rsidR="00947C3B" w:rsidRPr="00425A58" w:rsidRDefault="00947C3B" w:rsidP="00AE423B">
      <w:pPr>
        <w:pStyle w:val="Prrafodelista"/>
        <w:spacing w:line="360" w:lineRule="auto"/>
        <w:ind w:left="0"/>
        <w:jc w:val="both"/>
        <w:rPr>
          <w:rFonts w:ascii="Palatino Linotype" w:eastAsia="Calibri" w:hAnsi="Palatino Linotype" w:cs="Arial"/>
          <w:lang w:val="es-ES"/>
        </w:rPr>
      </w:pPr>
    </w:p>
    <w:p w14:paraId="1CB07C3A" w14:textId="3495022A" w:rsidR="00947C3B" w:rsidRPr="00425A58" w:rsidRDefault="00947C3B" w:rsidP="00AE423B">
      <w:pPr>
        <w:pStyle w:val="Prrafodelista"/>
        <w:numPr>
          <w:ilvl w:val="0"/>
          <w:numId w:val="1"/>
        </w:numPr>
        <w:spacing w:line="360" w:lineRule="auto"/>
        <w:ind w:left="0" w:firstLine="0"/>
        <w:jc w:val="both"/>
        <w:rPr>
          <w:rFonts w:ascii="Palatino Linotype" w:eastAsia="Calibri" w:hAnsi="Palatino Linotype" w:cs="Arial"/>
          <w:lang w:val="es-ES"/>
        </w:rPr>
      </w:pPr>
      <w:r w:rsidRPr="00425A58">
        <w:rPr>
          <w:rFonts w:ascii="Palatino Linotype" w:eastAsia="Calibri" w:hAnsi="Palatino Linotype" w:cs="Arial"/>
          <w:lang w:val="es-ES"/>
        </w:rPr>
        <w:t xml:space="preserve">El día </w:t>
      </w:r>
      <w:r w:rsidR="00415B80" w:rsidRPr="00415B80">
        <w:rPr>
          <w:rFonts w:ascii="Palatino Linotype" w:eastAsia="Calibri" w:hAnsi="Palatino Linotype" w:cs="Arial"/>
          <w:b/>
          <w:lang w:val="es-ES"/>
        </w:rPr>
        <w:t>veintisiete</w:t>
      </w:r>
      <w:r w:rsidR="00C86A6F" w:rsidRPr="00425A58">
        <w:rPr>
          <w:rFonts w:ascii="Palatino Linotype" w:eastAsia="Calibri" w:hAnsi="Palatino Linotype" w:cs="Arial"/>
          <w:b/>
          <w:lang w:val="es-ES"/>
        </w:rPr>
        <w:t xml:space="preserve"> de </w:t>
      </w:r>
      <w:r w:rsidR="00415B80">
        <w:rPr>
          <w:rFonts w:ascii="Palatino Linotype" w:eastAsia="Calibri" w:hAnsi="Palatino Linotype" w:cs="Arial"/>
          <w:b/>
          <w:lang w:val="es-ES"/>
        </w:rPr>
        <w:t>octubre</w:t>
      </w:r>
      <w:r w:rsidR="000A7AAB">
        <w:rPr>
          <w:rFonts w:ascii="Palatino Linotype" w:eastAsia="Calibri" w:hAnsi="Palatino Linotype" w:cs="Arial"/>
          <w:b/>
          <w:lang w:val="es-ES"/>
        </w:rPr>
        <w:t xml:space="preserve"> </w:t>
      </w:r>
      <w:r w:rsidR="00C86A6F" w:rsidRPr="00425A58">
        <w:rPr>
          <w:rFonts w:ascii="Palatino Linotype" w:eastAsia="Calibri" w:hAnsi="Palatino Linotype" w:cs="Arial"/>
          <w:b/>
          <w:lang w:val="es-ES"/>
        </w:rPr>
        <w:t>dos mil veinticinco</w:t>
      </w:r>
      <w:r w:rsidRPr="00425A58">
        <w:rPr>
          <w:rFonts w:ascii="Palatino Linotype" w:hAnsi="Palatino Linotype"/>
          <w:b/>
        </w:rPr>
        <w:t xml:space="preserve">, </w:t>
      </w:r>
      <w:r w:rsidRPr="00425A58">
        <w:rPr>
          <w:rFonts w:ascii="Palatino Linotype" w:eastAsia="Calibri" w:hAnsi="Palatino Linotype" w:cs="Arial"/>
          <w:lang w:val="es-ES"/>
        </w:rPr>
        <w:t xml:space="preserve">se presentó ante el </w:t>
      </w:r>
      <w:r w:rsidRPr="00425A58">
        <w:rPr>
          <w:rFonts w:ascii="Palatino Linotype" w:eastAsia="Calibri" w:hAnsi="Palatino Linotype" w:cs="Arial"/>
          <w:b/>
          <w:lang w:val="es-ES"/>
        </w:rPr>
        <w:t>SUJETO OBLIGADO</w:t>
      </w:r>
      <w:r w:rsidRPr="00425A58">
        <w:rPr>
          <w:rFonts w:ascii="Palatino Linotype" w:eastAsia="Calibri" w:hAnsi="Palatino Linotype" w:cs="Arial"/>
        </w:rPr>
        <w:t xml:space="preserve"> vía </w:t>
      </w:r>
      <w:r w:rsidR="00D177AD" w:rsidRPr="00425A58">
        <w:rPr>
          <w:rFonts w:ascii="Palatino Linotype" w:eastAsia="Calibri" w:hAnsi="Palatino Linotype" w:cs="Arial"/>
        </w:rPr>
        <w:t>Sistema de Acceso a la Información Mexiquense (</w:t>
      </w:r>
      <w:r w:rsidRPr="00425A58">
        <w:rPr>
          <w:rFonts w:ascii="Palatino Linotype" w:eastAsia="Calibri" w:hAnsi="Palatino Linotype" w:cs="Arial"/>
          <w:lang w:val="es-ES"/>
        </w:rPr>
        <w:t>SAIMEX</w:t>
      </w:r>
      <w:r w:rsidR="00D177AD" w:rsidRPr="00425A58">
        <w:rPr>
          <w:rFonts w:ascii="Palatino Linotype" w:eastAsia="Calibri" w:hAnsi="Palatino Linotype" w:cs="Arial"/>
          <w:lang w:val="es-ES"/>
        </w:rPr>
        <w:t>)</w:t>
      </w:r>
      <w:r w:rsidRPr="00425A58">
        <w:rPr>
          <w:rFonts w:ascii="Palatino Linotype" w:eastAsia="Calibri" w:hAnsi="Palatino Linotype" w:cs="Arial"/>
          <w:lang w:val="es-ES"/>
        </w:rPr>
        <w:t xml:space="preserve">, la </w:t>
      </w:r>
      <w:r w:rsidR="00ED6C32" w:rsidRPr="00425A58">
        <w:rPr>
          <w:rFonts w:ascii="Palatino Linotype" w:eastAsia="Calibri" w:hAnsi="Palatino Linotype" w:cs="Arial"/>
          <w:lang w:val="es-ES"/>
        </w:rPr>
        <w:t>S</w:t>
      </w:r>
      <w:r w:rsidRPr="00425A58">
        <w:rPr>
          <w:rFonts w:ascii="Palatino Linotype" w:eastAsia="Calibri" w:hAnsi="Palatino Linotype" w:cs="Arial"/>
          <w:lang w:val="es-ES"/>
        </w:rPr>
        <w:t xml:space="preserve">olicitud de </w:t>
      </w:r>
      <w:r w:rsidR="00ED6C32" w:rsidRPr="00425A58">
        <w:rPr>
          <w:rFonts w:ascii="Palatino Linotype" w:eastAsia="Calibri" w:hAnsi="Palatino Linotype" w:cs="Arial"/>
          <w:lang w:val="es-ES"/>
        </w:rPr>
        <w:t>Información P</w:t>
      </w:r>
      <w:r w:rsidRPr="00425A58">
        <w:rPr>
          <w:rFonts w:ascii="Palatino Linotype" w:eastAsia="Calibri" w:hAnsi="Palatino Linotype" w:cs="Arial"/>
          <w:lang w:val="es-ES"/>
        </w:rPr>
        <w:t>ública registrada con el número</w:t>
      </w:r>
      <w:r w:rsidRPr="00425A58">
        <w:rPr>
          <w:rFonts w:ascii="Palatino Linotype" w:hAnsi="Palatino Linotype"/>
          <w:b/>
          <w:bCs/>
          <w:color w:val="000000" w:themeColor="text1"/>
        </w:rPr>
        <w:t xml:space="preserve"> </w:t>
      </w:r>
      <w:r w:rsidR="00415B80">
        <w:rPr>
          <w:rFonts w:ascii="Palatino Linotype" w:hAnsi="Palatino Linotype"/>
          <w:b/>
          <w:bCs/>
          <w:color w:val="000000" w:themeColor="text1"/>
        </w:rPr>
        <w:t>05363/TOLUCA/IP/2025</w:t>
      </w:r>
      <w:r w:rsidRPr="00425A58">
        <w:rPr>
          <w:rFonts w:ascii="Palatino Linotype" w:hAnsi="Palatino Linotype"/>
          <w:b/>
          <w:bCs/>
          <w:color w:val="000000" w:themeColor="text1"/>
        </w:rPr>
        <w:t xml:space="preserve">; </w:t>
      </w:r>
      <w:r w:rsidRPr="00425A58">
        <w:rPr>
          <w:rFonts w:ascii="Palatino Linotype" w:eastAsia="Calibri" w:hAnsi="Palatino Linotype" w:cs="Arial"/>
          <w:lang w:val="es-ES"/>
        </w:rPr>
        <w:t>mediante la cual se solicitó la siguiente información:</w:t>
      </w:r>
    </w:p>
    <w:p w14:paraId="6B526C57" w14:textId="77777777" w:rsidR="005F346E" w:rsidRPr="00425A58" w:rsidRDefault="005F346E" w:rsidP="00AE423B">
      <w:pPr>
        <w:pStyle w:val="Prrafodelista"/>
        <w:spacing w:line="360" w:lineRule="auto"/>
        <w:ind w:left="0"/>
        <w:jc w:val="both"/>
        <w:rPr>
          <w:rFonts w:ascii="Palatino Linotype" w:eastAsia="Calibri" w:hAnsi="Palatino Linotype" w:cs="Arial"/>
          <w:lang w:val="es-ES"/>
        </w:rPr>
      </w:pPr>
    </w:p>
    <w:p w14:paraId="399A8454" w14:textId="1C12CB9A" w:rsidR="00947C3B" w:rsidRPr="00096A20" w:rsidRDefault="00C86A6F" w:rsidP="00096A20">
      <w:pPr>
        <w:autoSpaceDE w:val="0"/>
        <w:autoSpaceDN w:val="0"/>
        <w:adjustRightInd w:val="0"/>
        <w:spacing w:line="360" w:lineRule="auto"/>
        <w:ind w:left="426" w:right="425"/>
        <w:jc w:val="both"/>
        <w:rPr>
          <w:rFonts w:ascii="Palatino Linotype" w:hAnsi="Palatino Linotype"/>
          <w:i/>
        </w:rPr>
      </w:pPr>
      <w:r w:rsidRPr="00096A20">
        <w:rPr>
          <w:rFonts w:ascii="Palatino Linotype" w:hAnsi="Palatino Linotype"/>
          <w:i/>
        </w:rPr>
        <w:t>“</w:t>
      </w:r>
      <w:r w:rsidR="00415B80" w:rsidRPr="00415B80">
        <w:rPr>
          <w:rFonts w:ascii="Palatino Linotype" w:eastAsiaTheme="minorHAnsi" w:hAnsi="Palatino Linotype" w:cs="Consolas"/>
          <w:i/>
          <w:color w:val="000000"/>
          <w:lang w:val="es-MX" w:eastAsia="en-US"/>
        </w:rPr>
        <w:t xml:space="preserve">Solicito información documental sobre todas las campañas de comunicación, difusión o publicidad realizadas por el Ayuntamiento de Toluca durante el ejercicio 2025. Requiero, con base en los registros que obren en los archivos de Comunicación Social o áreas equivalentes: a) Nombre o tema de cada campaña. b) Objetivo o mensaje principal. c) Periodo de difusión. d) Medios de comunicación o plataformas contratadas (radio, televisión, prensa, redes sociales, espectaculares, etc.). e) Proveedor o empresa responsable. f) Monto individual </w:t>
      </w:r>
      <w:r w:rsidR="00415B80" w:rsidRPr="00415B80">
        <w:rPr>
          <w:rFonts w:ascii="Palatino Linotype" w:eastAsiaTheme="minorHAnsi" w:hAnsi="Palatino Linotype" w:cs="Consolas"/>
          <w:i/>
          <w:color w:val="000000"/>
          <w:lang w:val="es-MX" w:eastAsia="en-US"/>
        </w:rPr>
        <w:lastRenderedPageBreak/>
        <w:t>pagado y partida presupuestal utilizada. En caso de existir documentación complementaria (oficios de autorización, contratos, facturas), solicito copia simple o versión pública. Solicito se realice búsqueda en todas las áreas competentes y se aplique el principio de máxima publicidad conforme a los artículos 5, 6 y 11 de la Ley de Transparencia del Estado de México y Municipios.</w:t>
      </w:r>
      <w:r w:rsidR="00947C3B" w:rsidRPr="00096A20">
        <w:rPr>
          <w:rFonts w:ascii="Palatino Linotype" w:hAnsi="Palatino Linotype"/>
          <w:i/>
        </w:rPr>
        <w:t>”</w:t>
      </w:r>
    </w:p>
    <w:p w14:paraId="7AD5871D" w14:textId="77777777" w:rsidR="009E5F74" w:rsidRPr="00425A58" w:rsidRDefault="009E5F74" w:rsidP="00AE423B">
      <w:pPr>
        <w:pStyle w:val="Prrafodelista"/>
        <w:spacing w:line="360" w:lineRule="auto"/>
        <w:ind w:left="426" w:right="474"/>
        <w:jc w:val="both"/>
        <w:rPr>
          <w:rFonts w:ascii="Palatino Linotype" w:hAnsi="Palatino Linotype"/>
          <w:i/>
        </w:rPr>
      </w:pPr>
    </w:p>
    <w:p w14:paraId="3D5318FE" w14:textId="67ABC034" w:rsidR="00F46CF8" w:rsidRDefault="00F443D1" w:rsidP="00AE423B">
      <w:pPr>
        <w:pStyle w:val="Prrafodelista"/>
        <w:numPr>
          <w:ilvl w:val="0"/>
          <w:numId w:val="3"/>
        </w:numPr>
        <w:spacing w:line="360" w:lineRule="auto"/>
        <w:ind w:left="709" w:hanging="284"/>
        <w:jc w:val="both"/>
        <w:rPr>
          <w:rFonts w:ascii="Palatino Linotype" w:hAnsi="Palatino Linotype" w:cs="Arial"/>
          <w:lang w:val="es-ES"/>
        </w:rPr>
      </w:pPr>
      <w:r w:rsidRPr="00425A58">
        <w:rPr>
          <w:rFonts w:ascii="Palatino Linotype" w:hAnsi="Palatino Linotype" w:cs="Arial"/>
          <w:lang w:val="es-ES"/>
        </w:rPr>
        <w:t>Modalidad de entrega de la información</w:t>
      </w:r>
      <w:r w:rsidR="00F46CF8" w:rsidRPr="00425A58">
        <w:rPr>
          <w:rFonts w:ascii="Palatino Linotype" w:hAnsi="Palatino Linotype" w:cs="Arial"/>
          <w:lang w:val="es-ES"/>
        </w:rPr>
        <w:t xml:space="preserve">: </w:t>
      </w:r>
      <w:r w:rsidR="00BC2E4D" w:rsidRPr="00425A58">
        <w:rPr>
          <w:rFonts w:ascii="Palatino Linotype" w:hAnsi="Palatino Linotype" w:cs="Arial"/>
          <w:lang w:val="es-ES"/>
        </w:rPr>
        <w:t>Vía SAIMEX</w:t>
      </w:r>
      <w:r w:rsidR="001B7993" w:rsidRPr="00425A58">
        <w:rPr>
          <w:rFonts w:ascii="Palatino Linotype" w:hAnsi="Palatino Linotype" w:cs="Arial"/>
          <w:lang w:val="es-ES"/>
        </w:rPr>
        <w:t>.</w:t>
      </w:r>
    </w:p>
    <w:p w14:paraId="417AC94E" w14:textId="77777777" w:rsidR="00FD62C5" w:rsidRPr="00FD62C5" w:rsidRDefault="00FD62C5" w:rsidP="00FD62C5">
      <w:pPr>
        <w:pStyle w:val="Prrafodelista"/>
        <w:spacing w:line="360" w:lineRule="auto"/>
        <w:ind w:left="0"/>
        <w:jc w:val="both"/>
        <w:rPr>
          <w:rFonts w:ascii="Palatino Linotype" w:eastAsia="Palatino Linotype" w:hAnsi="Palatino Linotype" w:cs="Palatino Linotype"/>
          <w:bCs/>
          <w:color w:val="000000"/>
        </w:rPr>
      </w:pPr>
    </w:p>
    <w:p w14:paraId="1867221F" w14:textId="10AB072E" w:rsidR="009059B4" w:rsidRPr="00D63195" w:rsidRDefault="00FD62C5" w:rsidP="006973C5">
      <w:pPr>
        <w:pStyle w:val="Prrafodelista"/>
        <w:numPr>
          <w:ilvl w:val="0"/>
          <w:numId w:val="1"/>
        </w:numPr>
        <w:spacing w:line="360" w:lineRule="auto"/>
        <w:ind w:left="0" w:firstLine="0"/>
        <w:jc w:val="both"/>
        <w:rPr>
          <w:rFonts w:ascii="Palatino Linotype" w:eastAsia="Palatino Linotype" w:hAnsi="Palatino Linotype" w:cs="Palatino Linotype"/>
          <w:b/>
          <w:color w:val="000000"/>
        </w:rPr>
      </w:pPr>
      <w:r w:rsidRPr="00D63195">
        <w:rPr>
          <w:rFonts w:ascii="Palatino Linotype" w:eastAsia="Palatino Linotype" w:hAnsi="Palatino Linotype" w:cs="Palatino Linotype"/>
          <w:bCs/>
          <w:color w:val="000000"/>
        </w:rPr>
        <w:t xml:space="preserve">El </w:t>
      </w:r>
      <w:r w:rsidR="00D23224" w:rsidRPr="00D63195">
        <w:rPr>
          <w:rFonts w:ascii="Palatino Linotype" w:eastAsia="Palatino Linotype" w:hAnsi="Palatino Linotype" w:cs="Palatino Linotype"/>
          <w:b/>
          <w:color w:val="000000"/>
        </w:rPr>
        <w:t>veintitrés de junio</w:t>
      </w:r>
      <w:r w:rsidRPr="00D63195">
        <w:rPr>
          <w:rFonts w:ascii="Palatino Linotype" w:eastAsia="Palatino Linotype" w:hAnsi="Palatino Linotype" w:cs="Palatino Linotype"/>
          <w:b/>
          <w:color w:val="000000"/>
        </w:rPr>
        <w:t xml:space="preserve"> de dos mil veinticinco</w:t>
      </w:r>
      <w:r w:rsidRPr="00D63195">
        <w:rPr>
          <w:rFonts w:ascii="Palatino Linotype" w:eastAsia="Palatino Linotype" w:hAnsi="Palatino Linotype" w:cs="Palatino Linotype"/>
          <w:bCs/>
          <w:color w:val="000000"/>
        </w:rPr>
        <w:t xml:space="preserve">, </w:t>
      </w:r>
      <w:r w:rsidR="00600CAF" w:rsidRPr="00D63195">
        <w:rPr>
          <w:rFonts w:ascii="Palatino Linotype" w:eastAsia="Palatino Linotype" w:hAnsi="Palatino Linotype" w:cs="Palatino Linotype"/>
          <w:color w:val="000000"/>
        </w:rPr>
        <w:t xml:space="preserve">el </w:t>
      </w:r>
      <w:r w:rsidR="00600CAF" w:rsidRPr="00D63195">
        <w:rPr>
          <w:rFonts w:ascii="Palatino Linotype" w:eastAsia="Palatino Linotype" w:hAnsi="Palatino Linotype" w:cs="Palatino Linotype"/>
          <w:b/>
          <w:color w:val="000000"/>
        </w:rPr>
        <w:t>SUJETO OBLIGADO</w:t>
      </w:r>
      <w:r w:rsidR="00600CAF" w:rsidRPr="00D63195">
        <w:rPr>
          <w:rFonts w:ascii="Palatino Linotype" w:eastAsia="Palatino Linotype" w:hAnsi="Palatino Linotype" w:cs="Palatino Linotype"/>
          <w:color w:val="000000"/>
        </w:rPr>
        <w:t xml:space="preserve"> </w:t>
      </w:r>
      <w:r w:rsidR="00EF74C9">
        <w:rPr>
          <w:rFonts w:ascii="Palatino Linotype" w:eastAsia="Palatino Linotype" w:hAnsi="Palatino Linotype" w:cs="Palatino Linotype"/>
          <w:color w:val="000000"/>
        </w:rPr>
        <w:t xml:space="preserve">dio respuesta </w:t>
      </w:r>
      <w:r w:rsidR="00EF74C9" w:rsidRPr="00EF74C9">
        <w:rPr>
          <w:rFonts w:ascii="Palatino Linotype" w:hAnsi="Palatino Linotype" w:cs="Arial"/>
        </w:rPr>
        <w:t xml:space="preserve">mediante un archivo denominado </w:t>
      </w:r>
      <w:r w:rsidR="00415B80" w:rsidRPr="00415B80">
        <w:rPr>
          <w:rFonts w:ascii="Palatino Linotype" w:hAnsi="Palatino Linotype" w:cs="Arial"/>
          <w:b/>
          <w:bCs/>
          <w:i/>
          <w:iCs/>
        </w:rPr>
        <w:t>05363.pdf, NOTIF. CIUDADANO S. 5363.pdf, y oficio 05363..pdf</w:t>
      </w:r>
      <w:r w:rsidR="00EF74C9" w:rsidRPr="00EF74C9">
        <w:rPr>
          <w:rFonts w:ascii="Palatino Linotype" w:hAnsi="Palatino Linotype" w:cs="Arial"/>
        </w:rPr>
        <w:t xml:space="preserve">, </w:t>
      </w:r>
      <w:r w:rsidR="006973C5" w:rsidRPr="006973C5">
        <w:rPr>
          <w:rFonts w:ascii="Palatino Linotype" w:hAnsi="Palatino Linotype" w:cs="Arial"/>
        </w:rPr>
        <w:t>que corresponde a un oficio signado por el Tesorero Municipal, mediante el cual informa de la imposibilidad temporal de entregar lo solicitado por formar parte de la integración del cuarto informe trimestral del ejercicio fiscal 2025, cuyo periodo de entrega se encuentra en curso; dos oficios signados por la Directora General de Administración y la Directora de Recursos Materiales, quienes informan de dos enlaces del Portal de Información Publica Mexiquense (IPOMEX), en los que refieren se localiza la información relativa a erogaciones de recursos por contratación de servicios y los resultados de procedimientos de adjudicación; y un oficio signado por el Coordinador General de Comunicación Social, quien informa que los incisos a), b) y c) de la solicitud, se pueden localizar en la página de Facebook del Ayuntamiento de Toluca, adjuntando dicho enlace.</w:t>
      </w:r>
    </w:p>
    <w:p w14:paraId="28293858" w14:textId="77777777" w:rsidR="00006A19" w:rsidRPr="00425A58" w:rsidRDefault="00006A19" w:rsidP="00AE423B">
      <w:pPr>
        <w:pStyle w:val="Prrafodelista"/>
        <w:spacing w:line="360" w:lineRule="auto"/>
        <w:ind w:left="0"/>
        <w:jc w:val="both"/>
        <w:rPr>
          <w:rFonts w:ascii="Palatino Linotype" w:eastAsia="Palatino Linotype" w:hAnsi="Palatino Linotype" w:cs="Palatino Linotype"/>
          <w:b/>
          <w:color w:val="000000"/>
        </w:rPr>
      </w:pPr>
    </w:p>
    <w:p w14:paraId="7231C6E3" w14:textId="2D1947C9" w:rsidR="00C86A6F" w:rsidRPr="00425A58" w:rsidRDefault="005B3CB5" w:rsidP="00AE423B">
      <w:pPr>
        <w:pStyle w:val="Prrafodelista"/>
        <w:numPr>
          <w:ilvl w:val="0"/>
          <w:numId w:val="1"/>
        </w:numPr>
        <w:spacing w:line="360" w:lineRule="auto"/>
        <w:ind w:left="0" w:firstLine="0"/>
        <w:jc w:val="both"/>
        <w:rPr>
          <w:rFonts w:ascii="Palatino Linotype" w:hAnsi="Palatino Linotype" w:cs="Arial"/>
        </w:rPr>
      </w:pPr>
      <w:r w:rsidRPr="00425A58">
        <w:rPr>
          <w:rFonts w:ascii="Palatino Linotype" w:hAnsi="Palatino Linotype" w:cs="Arial"/>
          <w:bCs/>
        </w:rPr>
        <w:lastRenderedPageBreak/>
        <w:t>Inconforme con la respuesta emitida</w:t>
      </w:r>
      <w:r w:rsidR="00C86A6F" w:rsidRPr="00425A58">
        <w:rPr>
          <w:rFonts w:ascii="Palatino Linotype" w:hAnsi="Palatino Linotype" w:cs="Arial"/>
        </w:rPr>
        <w:t xml:space="preserve">, </w:t>
      </w:r>
      <w:r w:rsidR="003A4C01" w:rsidRPr="00425A58">
        <w:rPr>
          <w:rFonts w:ascii="Palatino Linotype" w:hAnsi="Palatino Linotype" w:cs="Arial"/>
        </w:rPr>
        <w:t xml:space="preserve">el </w:t>
      </w:r>
      <w:r w:rsidR="006973C5">
        <w:rPr>
          <w:rFonts w:ascii="Palatino Linotype" w:hAnsi="Palatino Linotype" w:cs="Arial"/>
          <w:b/>
        </w:rPr>
        <w:t>veinte de noviembre</w:t>
      </w:r>
      <w:r w:rsidR="003A4C01" w:rsidRPr="00425A58">
        <w:rPr>
          <w:rFonts w:ascii="Palatino Linotype" w:hAnsi="Palatino Linotype" w:cs="Arial"/>
          <w:b/>
        </w:rPr>
        <w:t xml:space="preserve"> de dos mil veinticinco</w:t>
      </w:r>
      <w:r w:rsidR="003A4C01" w:rsidRPr="00425A58">
        <w:rPr>
          <w:rFonts w:ascii="Palatino Linotype" w:hAnsi="Palatino Linotype" w:cs="Arial"/>
        </w:rPr>
        <w:t xml:space="preserve">, </w:t>
      </w:r>
      <w:r w:rsidR="00C86A6F" w:rsidRPr="00425A58">
        <w:rPr>
          <w:rFonts w:ascii="Palatino Linotype" w:hAnsi="Palatino Linotype" w:cs="Arial"/>
        </w:rPr>
        <w:t xml:space="preserve">la parte </w:t>
      </w:r>
      <w:r w:rsidRPr="00425A58">
        <w:rPr>
          <w:rFonts w:ascii="Palatino Linotype" w:hAnsi="Palatino Linotype" w:cs="Arial"/>
          <w:b/>
        </w:rPr>
        <w:t>RECURRENTE</w:t>
      </w:r>
      <w:r w:rsidRPr="00425A58">
        <w:rPr>
          <w:rFonts w:ascii="Palatino Linotype" w:hAnsi="Palatino Linotype" w:cs="Arial"/>
        </w:rPr>
        <w:t xml:space="preserve"> </w:t>
      </w:r>
      <w:r w:rsidR="00C86A6F" w:rsidRPr="00425A58">
        <w:rPr>
          <w:rFonts w:ascii="Palatino Linotype" w:hAnsi="Palatino Linotype" w:cs="Arial"/>
        </w:rPr>
        <w:t>interpuso su Recurso de Revisión, señalando como acto impugnado y razones o motivos de inconformidad, lo siguiente:</w:t>
      </w:r>
    </w:p>
    <w:p w14:paraId="63133CBC" w14:textId="77777777" w:rsidR="007D6876" w:rsidRPr="00425A58" w:rsidRDefault="007D6876" w:rsidP="00AE423B">
      <w:pPr>
        <w:pStyle w:val="Prrafodelista"/>
        <w:spacing w:line="360" w:lineRule="auto"/>
        <w:ind w:left="0"/>
        <w:jc w:val="both"/>
        <w:rPr>
          <w:rFonts w:ascii="Palatino Linotype" w:hAnsi="Palatino Linotype" w:cs="Arial"/>
          <w:i/>
          <w:color w:val="000000" w:themeColor="text1"/>
        </w:rPr>
      </w:pPr>
    </w:p>
    <w:p w14:paraId="5D8BD90A" w14:textId="77777777" w:rsidR="00D5494C" w:rsidRPr="00425A58" w:rsidRDefault="00D5494C" w:rsidP="00AE423B">
      <w:pPr>
        <w:pStyle w:val="Prrafodelista"/>
        <w:spacing w:line="360" w:lineRule="auto"/>
        <w:ind w:left="426" w:right="426"/>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425A58">
        <w:rPr>
          <w:rStyle w:val="Ttulo2Car"/>
          <w:rFonts w:ascii="Palatino Linotype" w:hAnsi="Palatino Linotype"/>
          <w:b/>
          <w:color w:val="000000" w:themeColor="text1"/>
          <w:sz w:val="24"/>
          <w:szCs w:val="24"/>
        </w:rPr>
        <w:t>ACTO IMPUGNADO:</w:t>
      </w:r>
    </w:p>
    <w:p w14:paraId="332B30C8" w14:textId="1DE12FC5" w:rsidR="00961A06" w:rsidRPr="00425A58" w:rsidRDefault="00D5494C" w:rsidP="00AE423B">
      <w:pPr>
        <w:pStyle w:val="Prrafodelista"/>
        <w:spacing w:line="360" w:lineRule="auto"/>
        <w:ind w:left="426" w:right="426"/>
        <w:jc w:val="both"/>
        <w:rPr>
          <w:rStyle w:val="Ttulo2Car"/>
          <w:rFonts w:ascii="Palatino Linotype" w:hAnsi="Palatino Linotype"/>
          <w:i/>
          <w:color w:val="000000" w:themeColor="text1"/>
          <w:sz w:val="24"/>
          <w:szCs w:val="24"/>
        </w:rPr>
      </w:pPr>
      <w:r w:rsidRPr="00425A58">
        <w:rPr>
          <w:rStyle w:val="Ttulo2Car"/>
          <w:rFonts w:ascii="Palatino Linotype" w:hAnsi="Palatino Linotype"/>
          <w:i/>
          <w:color w:val="000000" w:themeColor="text1"/>
          <w:sz w:val="24"/>
          <w:szCs w:val="24"/>
        </w:rPr>
        <w:t>“</w:t>
      </w:r>
      <w:r w:rsidR="006973C5" w:rsidRPr="006973C5">
        <w:rPr>
          <w:rStyle w:val="Ttulo2Car"/>
          <w:rFonts w:ascii="Palatino Linotype" w:hAnsi="Palatino Linotype"/>
          <w:i/>
          <w:color w:val="000000" w:themeColor="text1"/>
          <w:sz w:val="24"/>
          <w:szCs w:val="24"/>
        </w:rPr>
        <w:t>Se impugna la respuesta insatisfactoria, incompleta y negatoria a la solicitud de información pública con folio 05363/TOLUCA/IP/2025, proporcionada por el H. Ayuntamiento de Toluca a través de las siguientes unidades administrativas: Oficio 200012000/2013/2025 de la Coordinación General de Comunicación Social, que se limitó a remitir al solicitante a la página de Facebook oficial, sin proporcionar el desglose específico de campañas, objetivos, períodos, medios, proveedores, montos o documentación comprobatoria. Oficio 206010000/6678/2025 de la Dirección General de Administración, que remitió al sistema IPOMEX sin garantizar que toda la información solicitada esté disponible de manera clara, desglosada y accesible. Oficio 202010000/03615/2025 de la Tesorería Municipal, que nuevamente respondió de manera genérica refiriéndose a los informes trimestrales y lineamientos del OSFEM, sin proporcionar la información concreta solicitada.</w:t>
      </w:r>
      <w:r w:rsidRPr="00425A58">
        <w:rPr>
          <w:rStyle w:val="Ttulo2Car"/>
          <w:rFonts w:ascii="Palatino Linotype" w:hAnsi="Palatino Linotype"/>
          <w:i/>
          <w:color w:val="000000" w:themeColor="text1"/>
          <w:sz w:val="24"/>
          <w:szCs w:val="24"/>
        </w:rPr>
        <w:t>”</w:t>
      </w:r>
    </w:p>
    <w:p w14:paraId="0E3238EF" w14:textId="77777777" w:rsidR="00EA6CE3" w:rsidRPr="00425A58" w:rsidRDefault="00EA6CE3" w:rsidP="00AE423B">
      <w:pPr>
        <w:pStyle w:val="Prrafodelista"/>
        <w:spacing w:line="360" w:lineRule="auto"/>
        <w:ind w:left="426" w:right="426"/>
        <w:jc w:val="both"/>
        <w:rPr>
          <w:rStyle w:val="Ttulo2Car"/>
          <w:rFonts w:ascii="Palatino Linotype" w:hAnsi="Palatino Linotype"/>
          <w:i/>
          <w:color w:val="000000" w:themeColor="text1"/>
          <w:sz w:val="24"/>
          <w:szCs w:val="24"/>
        </w:rPr>
      </w:pPr>
    </w:p>
    <w:p w14:paraId="39314BF0" w14:textId="77777777" w:rsidR="00942B6E" w:rsidRPr="00425A58" w:rsidRDefault="00942B6E" w:rsidP="00AE423B">
      <w:pPr>
        <w:pStyle w:val="Prrafodelista"/>
        <w:spacing w:line="360" w:lineRule="auto"/>
        <w:ind w:left="426" w:right="426"/>
        <w:jc w:val="both"/>
        <w:rPr>
          <w:rStyle w:val="Ttulo2Car"/>
          <w:rFonts w:ascii="Palatino Linotype" w:hAnsi="Palatino Linotype"/>
          <w:b/>
          <w:color w:val="000000" w:themeColor="text1"/>
          <w:sz w:val="24"/>
          <w:szCs w:val="24"/>
        </w:rPr>
      </w:pPr>
      <w:r w:rsidRPr="00425A58">
        <w:rPr>
          <w:rStyle w:val="Ttulo2Car"/>
          <w:rFonts w:ascii="Palatino Linotype" w:hAnsi="Palatino Linotype"/>
          <w:b/>
          <w:color w:val="000000" w:themeColor="text1"/>
          <w:sz w:val="24"/>
          <w:szCs w:val="24"/>
        </w:rPr>
        <w:t>RAZONES O MOTIVOS DE LA INCONFORMIDAD</w:t>
      </w:r>
      <w:r w:rsidRPr="00425A58">
        <w:rPr>
          <w:rStyle w:val="Ttulo2Car"/>
          <w:rFonts w:ascii="Palatino Linotype" w:hAnsi="Palatino Linotype"/>
          <w:b/>
          <w:color w:val="000000" w:themeColor="text1"/>
          <w:sz w:val="24"/>
          <w:szCs w:val="24"/>
        </w:rPr>
        <w:tab/>
      </w:r>
    </w:p>
    <w:p w14:paraId="66898454" w14:textId="1B96F464" w:rsidR="00942B6E" w:rsidRPr="00425A58" w:rsidRDefault="00942B6E" w:rsidP="00AE423B">
      <w:pPr>
        <w:pStyle w:val="Prrafodelista"/>
        <w:spacing w:line="360" w:lineRule="auto"/>
        <w:ind w:left="426" w:right="426"/>
        <w:jc w:val="both"/>
        <w:rPr>
          <w:rStyle w:val="Ttulo2Car"/>
          <w:rFonts w:ascii="Palatino Linotype" w:hAnsi="Palatino Linotype"/>
          <w:i/>
          <w:color w:val="000000" w:themeColor="text1"/>
          <w:sz w:val="24"/>
          <w:szCs w:val="24"/>
        </w:rPr>
      </w:pPr>
      <w:r w:rsidRPr="00425A58">
        <w:rPr>
          <w:rStyle w:val="Ttulo2Car"/>
          <w:rFonts w:ascii="Palatino Linotype" w:hAnsi="Palatino Linotype"/>
          <w:i/>
          <w:color w:val="000000" w:themeColor="text1"/>
          <w:sz w:val="24"/>
          <w:szCs w:val="24"/>
        </w:rPr>
        <w:t>“</w:t>
      </w:r>
      <w:r w:rsidR="006973C5" w:rsidRPr="006973C5">
        <w:rPr>
          <w:rStyle w:val="Ttulo2Car"/>
          <w:rFonts w:ascii="Palatino Linotype" w:hAnsi="Palatino Linotype"/>
          <w:i/>
          <w:color w:val="000000" w:themeColor="text1"/>
          <w:sz w:val="24"/>
          <w:szCs w:val="24"/>
        </w:rPr>
        <w:t xml:space="preserve">Las respuestas recibidas son indebidas por los siguientes motivos: La Coordinación de Comunicación Social incumplió con su obligación de proporcionar información sustantiva. Remitir a un sitio de redes sociales (Facebook) no sustituye la obligación de entregar un desglose documentado de las campañas, sus objetivos, períodos, medios utilizados, </w:t>
      </w:r>
      <w:r w:rsidR="006973C5" w:rsidRPr="006973C5">
        <w:rPr>
          <w:rStyle w:val="Ttulo2Car"/>
          <w:rFonts w:ascii="Palatino Linotype" w:hAnsi="Palatino Linotype"/>
          <w:i/>
          <w:color w:val="000000" w:themeColor="text1"/>
          <w:sz w:val="24"/>
          <w:szCs w:val="24"/>
        </w:rPr>
        <w:lastRenderedPageBreak/>
        <w:t>proveedores y montos ejercidos. Esta unidad es la principal responsable de la información solicitada y no puede eludir su obligación alegando que “no recopila” dicha información. La Dirección de Administración y la Tesorería Municipal no integraron la información solicitada. Aunque remitieron al portal IPOMEX, no garantizaron que toda la información esté disponible de manera clara, desglosada y accesible. Tampoco indicaron cómo acceder específicamente a los datos solicitados dentro de dicho portal. No se realizó una búsqueda exhaustiva en todas las áreas competentes. Las respuestas reflejan una falta de coordinación entre las unidades administrativas, incumpliendo con el deber de documentar y poner a disposición la información de manera integral. Se violó el principio de máxima publicidad (Art. 5 LTAIPHEM) y el deber de documentar el gasto público (Art. 11 LTAIPHEM). Las unidades administrativas actuaron de forma restrictiva, omitiendo proporcionar la información específica solicitada y evadiendo su responsabilidad de transparentar el uso de recursos públicos en comunicación social. PETICIONES Se declare fundado el presente recurso de revisión. Se ordene al H. Ayuntamiento de Toluca que proporcione, de manera completa y desglosada, la información solicitada sobre las campañas de comunicación, difusión o publicidad del ejercicio 2025, incluyendo: Nombre o tema de cada campaña. Objetivo o mensaje principal. Período de difusión. Medios o plataformas contratadas. Proveedor o empresa responsable. Monto individual pagado y partida presupuestal utilizada. Contratos, facturas y comprobantes de pago correspondientes. Se realice una búsqueda exhaustiva en todas las unidades administrativas competentes, incluyendo Comunicación Social, Tesorería y Administración. Se sancione, en su caso, a los servidores públicos que incurrieron en omisiones o negativas injustificadas.</w:t>
      </w:r>
      <w:r w:rsidRPr="00425A58">
        <w:rPr>
          <w:rStyle w:val="Ttulo2Car"/>
          <w:rFonts w:ascii="Palatino Linotype" w:hAnsi="Palatino Linotype"/>
          <w:i/>
          <w:color w:val="000000" w:themeColor="text1"/>
          <w:sz w:val="24"/>
          <w:szCs w:val="24"/>
        </w:rPr>
        <w:t>”</w:t>
      </w:r>
    </w:p>
    <w:p w14:paraId="0EE8D61B" w14:textId="77777777" w:rsidR="00067EAC" w:rsidRPr="00425A58" w:rsidRDefault="00067EAC" w:rsidP="00AE423B">
      <w:pPr>
        <w:pStyle w:val="Prrafodelista"/>
        <w:spacing w:line="360" w:lineRule="auto"/>
        <w:ind w:left="426" w:right="426"/>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2D573391" w:rsidR="00947C3B" w:rsidRPr="00425A58" w:rsidRDefault="00947C3B" w:rsidP="00AE423B">
      <w:pPr>
        <w:pStyle w:val="Prrafodelista"/>
        <w:numPr>
          <w:ilvl w:val="0"/>
          <w:numId w:val="1"/>
        </w:numPr>
        <w:spacing w:line="360" w:lineRule="auto"/>
        <w:ind w:left="0" w:firstLine="0"/>
        <w:jc w:val="both"/>
        <w:rPr>
          <w:rFonts w:ascii="Palatino Linotype" w:hAnsi="Palatino Linotype"/>
          <w:i/>
        </w:rPr>
      </w:pPr>
      <w:r w:rsidRPr="00425A58">
        <w:rPr>
          <w:rFonts w:ascii="Palatino Linotype" w:eastAsia="Calibri" w:hAnsi="Palatino Linotype" w:cs="Arial"/>
          <w:lang w:val="es-ES"/>
        </w:rPr>
        <w:lastRenderedPageBreak/>
        <w:t xml:space="preserve">La Comisionada Ponente con fundamento en lo dispuesto por el artículo 185 fracción II de la ley de la materia, a través del acuerdo de admisión de fecha </w:t>
      </w:r>
      <w:r w:rsidR="00C4658E">
        <w:rPr>
          <w:rFonts w:ascii="Palatino Linotype" w:eastAsia="Calibri" w:hAnsi="Palatino Linotype" w:cs="Arial"/>
          <w:b/>
          <w:lang w:val="es-ES"/>
        </w:rPr>
        <w:t xml:space="preserve">veinticuatro </w:t>
      </w:r>
      <w:r w:rsidR="00362FF4" w:rsidRPr="00425A58">
        <w:rPr>
          <w:rFonts w:ascii="Palatino Linotype" w:eastAsia="Calibri" w:hAnsi="Palatino Linotype" w:cs="Arial"/>
          <w:b/>
          <w:lang w:val="es-ES"/>
        </w:rPr>
        <w:t xml:space="preserve">de </w:t>
      </w:r>
      <w:r w:rsidR="007D58A9">
        <w:rPr>
          <w:rFonts w:ascii="Palatino Linotype" w:eastAsia="Calibri" w:hAnsi="Palatino Linotype" w:cs="Arial"/>
          <w:b/>
          <w:lang w:val="es-ES"/>
        </w:rPr>
        <w:t>noviembre</w:t>
      </w:r>
      <w:r w:rsidR="005F78BC" w:rsidRPr="00425A58">
        <w:rPr>
          <w:rFonts w:ascii="Palatino Linotype" w:eastAsia="Calibri" w:hAnsi="Palatino Linotype" w:cs="Arial"/>
          <w:b/>
          <w:lang w:val="es-ES"/>
        </w:rPr>
        <w:t xml:space="preserve"> </w:t>
      </w:r>
      <w:r w:rsidR="005E75E6" w:rsidRPr="00425A58">
        <w:rPr>
          <w:rFonts w:ascii="Palatino Linotype" w:eastAsia="Calibri" w:hAnsi="Palatino Linotype" w:cs="Arial"/>
          <w:b/>
          <w:lang w:val="es-ES"/>
        </w:rPr>
        <w:t xml:space="preserve">dos mil </w:t>
      </w:r>
      <w:r w:rsidR="00067EAC" w:rsidRPr="00425A58">
        <w:rPr>
          <w:rFonts w:ascii="Palatino Linotype" w:eastAsia="Calibri" w:hAnsi="Palatino Linotype" w:cs="Arial"/>
          <w:b/>
          <w:lang w:val="es-ES"/>
        </w:rPr>
        <w:t>vein</w:t>
      </w:r>
      <w:r w:rsidR="00DA5EB8" w:rsidRPr="00425A58">
        <w:rPr>
          <w:rFonts w:ascii="Palatino Linotype" w:eastAsia="Calibri" w:hAnsi="Palatino Linotype" w:cs="Arial"/>
          <w:b/>
          <w:lang w:val="es-ES"/>
        </w:rPr>
        <w:t>ticinco</w:t>
      </w:r>
      <w:r w:rsidRPr="00425A58">
        <w:rPr>
          <w:rFonts w:ascii="Palatino Linotype" w:eastAsia="Calibri" w:hAnsi="Palatino Linotype" w:cs="Arial"/>
          <w:lang w:val="es-ES"/>
        </w:rPr>
        <w:t xml:space="preserve">, puso a disposición de las partes el expediente electrónico </w:t>
      </w:r>
      <w:r w:rsidRPr="00425A58">
        <w:rPr>
          <w:rFonts w:ascii="Palatino Linotype" w:eastAsia="Calibri" w:hAnsi="Palatino Linotype" w:cs="Arial"/>
        </w:rPr>
        <w:t xml:space="preserve">vía </w:t>
      </w:r>
      <w:r w:rsidRPr="00425A58">
        <w:rPr>
          <w:rFonts w:ascii="Palatino Linotype" w:eastAsia="Calibri" w:hAnsi="Palatino Linotype" w:cs="Arial"/>
          <w:b/>
          <w:lang w:val="es-ES"/>
        </w:rPr>
        <w:t xml:space="preserve">SAIMEX </w:t>
      </w:r>
      <w:r w:rsidRPr="00425A58">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Pr="00425A58">
        <w:rPr>
          <w:rFonts w:ascii="Palatino Linotype" w:eastAsia="Calibri" w:hAnsi="Palatino Linotype" w:cs="Arial"/>
          <w:b/>
          <w:lang w:val="es-ES"/>
        </w:rPr>
        <w:t>SUJETO OBLIGADO</w:t>
      </w:r>
      <w:r w:rsidRPr="00425A58">
        <w:rPr>
          <w:rFonts w:ascii="Palatino Linotype" w:eastAsia="Calibri" w:hAnsi="Palatino Linotype" w:cs="Arial"/>
          <w:lang w:val="es-ES"/>
        </w:rPr>
        <w:t xml:space="preserve"> presentará el Informe Justificado procedente.</w:t>
      </w:r>
    </w:p>
    <w:p w14:paraId="198F57DF" w14:textId="31E3412C" w:rsidR="00947C3B" w:rsidRPr="00425A58" w:rsidRDefault="00947C3B" w:rsidP="00AE423B">
      <w:pPr>
        <w:pStyle w:val="Prrafodelista"/>
        <w:spacing w:line="360" w:lineRule="auto"/>
        <w:ind w:left="0"/>
        <w:jc w:val="both"/>
        <w:rPr>
          <w:rFonts w:ascii="Palatino Linotype" w:hAnsi="Palatino Linotype"/>
        </w:rPr>
      </w:pPr>
    </w:p>
    <w:p w14:paraId="06973C56" w14:textId="6BC19D9D" w:rsidR="004C3E30" w:rsidRPr="00425A58" w:rsidRDefault="00D177AD" w:rsidP="007D58A9">
      <w:pPr>
        <w:pStyle w:val="Prrafodelista"/>
        <w:numPr>
          <w:ilvl w:val="0"/>
          <w:numId w:val="1"/>
        </w:numPr>
        <w:spacing w:line="360" w:lineRule="auto"/>
        <w:ind w:left="0" w:firstLine="0"/>
        <w:jc w:val="both"/>
        <w:rPr>
          <w:rFonts w:ascii="Palatino Linotype" w:hAnsi="Palatino Linotype"/>
          <w:color w:val="000000"/>
        </w:rPr>
      </w:pPr>
      <w:r w:rsidRPr="00425A58">
        <w:rPr>
          <w:rFonts w:ascii="Palatino Linotype" w:hAnsi="Palatino Linotype"/>
          <w:color w:val="000000"/>
        </w:rPr>
        <w:t xml:space="preserve">El </w:t>
      </w:r>
      <w:r w:rsidRPr="00425A58">
        <w:rPr>
          <w:rFonts w:ascii="Palatino Linotype" w:hAnsi="Palatino Linotype"/>
          <w:b/>
          <w:color w:val="000000"/>
        </w:rPr>
        <w:t xml:space="preserve">SUJETO </w:t>
      </w:r>
      <w:r w:rsidRPr="00425A58">
        <w:rPr>
          <w:rFonts w:ascii="Palatino Linotype" w:eastAsia="Calibri" w:hAnsi="Palatino Linotype" w:cs="Arial"/>
          <w:b/>
          <w:lang w:val="es-ES"/>
        </w:rPr>
        <w:t>OBLIGADO</w:t>
      </w:r>
      <w:r w:rsidRPr="00425A58">
        <w:rPr>
          <w:rFonts w:ascii="Palatino Linotype" w:hAnsi="Palatino Linotype"/>
          <w:color w:val="000000"/>
        </w:rPr>
        <w:t xml:space="preserve"> </w:t>
      </w:r>
      <w:r w:rsidR="007D58A9" w:rsidRPr="007D58A9">
        <w:rPr>
          <w:rFonts w:ascii="Palatino Linotype" w:hAnsi="Palatino Linotype"/>
          <w:color w:val="000000"/>
        </w:rPr>
        <w:t>los días tres, cinco, y dieciocho de diciembre de dos mil veinticinco, rindió informe justificado a través de cuatro archivos en los que se pronuncian los servidores públicos</w:t>
      </w:r>
      <w:r w:rsidR="007D58A9">
        <w:rPr>
          <w:rFonts w:ascii="Palatino Linotype" w:hAnsi="Palatino Linotype"/>
          <w:color w:val="000000"/>
        </w:rPr>
        <w:t xml:space="preserve"> habilitados que inicialmente dieron atención a la solicitud de información</w:t>
      </w:r>
      <w:r w:rsidR="007D58A9" w:rsidRPr="007D58A9">
        <w:rPr>
          <w:rFonts w:ascii="Palatino Linotype" w:hAnsi="Palatino Linotype"/>
          <w:color w:val="000000"/>
        </w:rPr>
        <w:t>, en los que toralmente, confirman sus respuestas iniciales.</w:t>
      </w:r>
      <w:r w:rsidR="003310EF" w:rsidRPr="00425A58">
        <w:rPr>
          <w:rFonts w:ascii="Palatino Linotype" w:hAnsi="Palatino Linotype"/>
          <w:color w:val="000000"/>
        </w:rPr>
        <w:t xml:space="preserve"> Por su parte el </w:t>
      </w:r>
      <w:r w:rsidR="003310EF" w:rsidRPr="00425A58">
        <w:rPr>
          <w:rFonts w:ascii="Palatino Linotype" w:hAnsi="Palatino Linotype"/>
          <w:b/>
          <w:color w:val="000000"/>
        </w:rPr>
        <w:t>RECURRENTE</w:t>
      </w:r>
      <w:r w:rsidR="003310EF" w:rsidRPr="00425A58">
        <w:rPr>
          <w:rFonts w:ascii="Palatino Linotype" w:hAnsi="Palatino Linotype"/>
          <w:color w:val="000000"/>
        </w:rPr>
        <w:t xml:space="preserve"> no realizó manifestaciones que a su derecho conviniera y asistiera.</w:t>
      </w:r>
    </w:p>
    <w:p w14:paraId="548F5806" w14:textId="77777777" w:rsidR="006A284C" w:rsidRPr="00425A58" w:rsidRDefault="006A284C" w:rsidP="00AE423B">
      <w:pPr>
        <w:pStyle w:val="Prrafodelista"/>
        <w:spacing w:line="360" w:lineRule="auto"/>
        <w:rPr>
          <w:rFonts w:ascii="Palatino Linotype" w:hAnsi="Palatino Linotype"/>
          <w:color w:val="000000"/>
        </w:rPr>
      </w:pPr>
    </w:p>
    <w:p w14:paraId="000B9257" w14:textId="53DF187E" w:rsidR="006A284C" w:rsidRPr="00425A58" w:rsidRDefault="006A284C" w:rsidP="00AE423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 xml:space="preserve">El </w:t>
      </w:r>
      <w:r w:rsidR="007D58A9">
        <w:rPr>
          <w:rFonts w:ascii="Palatino Linotype" w:eastAsia="Palatino Linotype" w:hAnsi="Palatino Linotype" w:cs="Palatino Linotype"/>
          <w:b/>
          <w:color w:val="000000"/>
        </w:rPr>
        <w:t>siete de abril</w:t>
      </w:r>
      <w:r w:rsidR="00A148AD">
        <w:rPr>
          <w:rFonts w:ascii="Palatino Linotype" w:eastAsia="Palatino Linotype" w:hAnsi="Palatino Linotype" w:cs="Palatino Linotype"/>
          <w:b/>
          <w:color w:val="000000"/>
        </w:rPr>
        <w:t xml:space="preserve"> </w:t>
      </w:r>
      <w:r w:rsidRPr="00425A58">
        <w:rPr>
          <w:rFonts w:ascii="Palatino Linotype" w:eastAsia="Palatino Linotype" w:hAnsi="Palatino Linotype" w:cs="Palatino Linotype"/>
          <w:b/>
          <w:color w:val="000000"/>
        </w:rPr>
        <w:t>de</w:t>
      </w:r>
      <w:r w:rsidR="00A148AD">
        <w:rPr>
          <w:rFonts w:ascii="Palatino Linotype" w:eastAsia="Palatino Linotype" w:hAnsi="Palatino Linotype" w:cs="Palatino Linotype"/>
          <w:b/>
          <w:color w:val="000000"/>
        </w:rPr>
        <w:t xml:space="preserve"> dos mil veinticinco</w:t>
      </w:r>
      <w:r w:rsidRPr="00425A58">
        <w:rPr>
          <w:rFonts w:ascii="Palatino Linotype" w:eastAsia="Palatino Linotype" w:hAnsi="Palatino Linotype" w:cs="Palatino Linotype"/>
          <w:color w:val="000000"/>
        </w:rPr>
        <w:t xml:space="preserve">, con fundamento en el artículo 181, tercer párrafo, de la Ley de Transparencia y Acceso a la Información Pública del Estado de México y Municipios se </w:t>
      </w:r>
      <w:r w:rsidRPr="00425A58">
        <w:rPr>
          <w:rFonts w:ascii="Palatino Linotype" w:hAnsi="Palatino Linotype"/>
          <w:color w:val="000000"/>
        </w:rPr>
        <w:t>notificó</w:t>
      </w:r>
      <w:r w:rsidRPr="00425A58">
        <w:rPr>
          <w:rFonts w:ascii="Palatino Linotype" w:eastAsia="Palatino Linotype" w:hAnsi="Palatino Linotype" w:cs="Palatino Linotype"/>
          <w:color w:val="000000"/>
        </w:rPr>
        <w:t xml:space="preserve"> que el plazo de treinta días para resolver el </w:t>
      </w:r>
      <w:r w:rsidR="00ED6C32" w:rsidRPr="00425A58">
        <w:rPr>
          <w:rFonts w:ascii="Palatino Linotype" w:eastAsia="Palatino Linotype" w:hAnsi="Palatino Linotype" w:cs="Palatino Linotype"/>
          <w:color w:val="000000"/>
        </w:rPr>
        <w:t>Recurso de R</w:t>
      </w:r>
      <w:r w:rsidRPr="00425A58">
        <w:rPr>
          <w:rFonts w:ascii="Palatino Linotype" w:eastAsia="Palatino Linotype" w:hAnsi="Palatino Linotype" w:cs="Palatino Linotype"/>
          <w:color w:val="000000"/>
        </w:rPr>
        <w:t>evisión sería ampliado por un periodo de quince días hábiles adicionales.</w:t>
      </w:r>
    </w:p>
    <w:p w14:paraId="05248D4E" w14:textId="77777777" w:rsidR="00362FF4" w:rsidRPr="00425A58" w:rsidRDefault="00362FF4" w:rsidP="00362FF4">
      <w:pPr>
        <w:pStyle w:val="Prrafodelista"/>
        <w:rPr>
          <w:rFonts w:ascii="Palatino Linotype" w:eastAsia="Palatino Linotype" w:hAnsi="Palatino Linotype" w:cs="Palatino Linotype"/>
          <w:color w:val="000000"/>
        </w:rPr>
      </w:pPr>
    </w:p>
    <w:p w14:paraId="49962870" w14:textId="06907128" w:rsidR="006A284C" w:rsidRPr="00425A58" w:rsidRDefault="006A284C" w:rsidP="00AE423B">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425A58">
        <w:rPr>
          <w:rFonts w:ascii="Palatino Linotype" w:eastAsia="Palatino Linotype" w:hAnsi="Palatino Linotype" w:cs="Palatino Linotype"/>
          <w:color w:val="000000"/>
        </w:rPr>
        <w:t xml:space="preserve">Este </w:t>
      </w:r>
      <w:r w:rsidR="006F721C" w:rsidRPr="00425A58">
        <w:rPr>
          <w:rFonts w:ascii="Palatino Linotype" w:eastAsia="Palatino Linotype" w:hAnsi="Palatino Linotype" w:cs="Palatino Linotype"/>
          <w:color w:val="000000"/>
        </w:rPr>
        <w:t>O</w:t>
      </w:r>
      <w:r w:rsidRPr="00425A58">
        <w:rPr>
          <w:rFonts w:ascii="Palatino Linotype" w:eastAsia="Palatino Linotype" w:hAnsi="Palatino Linotype" w:cs="Palatino Linotype"/>
          <w:color w:val="000000"/>
        </w:rPr>
        <w:t xml:space="preserve">rganismo </w:t>
      </w:r>
      <w:r w:rsidR="006F721C" w:rsidRPr="00425A58">
        <w:rPr>
          <w:rFonts w:ascii="Palatino Linotype" w:eastAsia="Palatino Linotype" w:hAnsi="Palatino Linotype" w:cs="Palatino Linotype"/>
          <w:color w:val="000000"/>
        </w:rPr>
        <w:t>G</w:t>
      </w:r>
      <w:r w:rsidRPr="00425A58">
        <w:rPr>
          <w:rFonts w:ascii="Palatino Linotype" w:eastAsia="Palatino Linotype" w:hAnsi="Palatino Linotype" w:cs="Palatino Linotype"/>
          <w:color w:val="000000"/>
        </w:rPr>
        <w:t>arante no pasa por alto explicar que la dilación en la resolución del presente asunto encuentra su justificación en que, el alto número de recursos de revisión recibidos ha incrementado el número de medios de impugnación que deben resolverse por este instituto, circunstancia atípica que ha rebasado las capacidades técnicas y humanas del personal encargado de la elaboración de resoluciones a dichos medios de impugnación.</w:t>
      </w:r>
    </w:p>
    <w:p w14:paraId="10B3D130" w14:textId="77777777" w:rsidR="00C96D93" w:rsidRPr="00425A58" w:rsidRDefault="00C96D93" w:rsidP="00AE423B">
      <w:pPr>
        <w:pStyle w:val="Prrafodelista"/>
        <w:spacing w:line="360" w:lineRule="auto"/>
        <w:rPr>
          <w:rFonts w:ascii="Palatino Linotype" w:eastAsia="Palatino Linotype" w:hAnsi="Palatino Linotype" w:cs="Palatino Linotype"/>
          <w:color w:val="000000"/>
        </w:rPr>
      </w:pPr>
    </w:p>
    <w:p w14:paraId="57D0B568" w14:textId="610DD68D" w:rsidR="003B2BC8" w:rsidRDefault="00CA3F0F" w:rsidP="001F2F64">
      <w:pPr>
        <w:pStyle w:val="Prrafodelista"/>
        <w:numPr>
          <w:ilvl w:val="0"/>
          <w:numId w:val="1"/>
        </w:numPr>
        <w:spacing w:line="360" w:lineRule="auto"/>
        <w:ind w:left="0" w:firstLine="0"/>
        <w:jc w:val="both"/>
        <w:rPr>
          <w:rFonts w:ascii="Palatino Linotype" w:eastAsia="Palatino Linotype" w:hAnsi="Palatino Linotype" w:cs="Palatino Linotype"/>
          <w:color w:val="000000"/>
        </w:rPr>
      </w:pPr>
      <w:r w:rsidRPr="00A148AD">
        <w:rPr>
          <w:rFonts w:ascii="Palatino Linotype" w:eastAsia="Palatino Linotype" w:hAnsi="Palatino Linotype" w:cs="Palatino Linotype"/>
          <w:color w:val="000000"/>
        </w:rPr>
        <w:lastRenderedPageBreak/>
        <w:t>Seguidamente</w:t>
      </w:r>
      <w:r w:rsidR="005F78BC" w:rsidRPr="00A148AD">
        <w:rPr>
          <w:rFonts w:ascii="Palatino Linotype" w:eastAsia="Palatino Linotype" w:hAnsi="Palatino Linotype" w:cs="Palatino Linotype"/>
          <w:color w:val="000000"/>
        </w:rPr>
        <w:t xml:space="preserve"> al no existir pendientes o diligencia por desahogar,</w:t>
      </w:r>
      <w:r w:rsidRPr="00A148AD">
        <w:rPr>
          <w:rFonts w:ascii="Palatino Linotype" w:eastAsia="Palatino Linotype" w:hAnsi="Palatino Linotype" w:cs="Palatino Linotype"/>
          <w:color w:val="000000"/>
        </w:rPr>
        <w:t xml:space="preserve"> mediante Acuerdo de </w:t>
      </w:r>
      <w:r w:rsidR="007D58A9">
        <w:rPr>
          <w:rFonts w:ascii="Palatino Linotype" w:eastAsia="Palatino Linotype" w:hAnsi="Palatino Linotype" w:cs="Palatino Linotype"/>
          <w:color w:val="000000"/>
        </w:rPr>
        <w:t>fecha trece de abril</w:t>
      </w:r>
      <w:r w:rsidR="00C96D93" w:rsidRPr="00A148AD">
        <w:rPr>
          <w:rFonts w:ascii="Palatino Linotype" w:eastAsia="Palatino Linotype" w:hAnsi="Palatino Linotype" w:cs="Palatino Linotype"/>
          <w:color w:val="000000"/>
        </w:rPr>
        <w:t xml:space="preserve"> </w:t>
      </w:r>
      <w:r w:rsidR="00CE6F0C" w:rsidRPr="00A148AD">
        <w:rPr>
          <w:rFonts w:ascii="Palatino Linotype" w:eastAsia="Palatino Linotype" w:hAnsi="Palatino Linotype" w:cs="Palatino Linotype"/>
          <w:color w:val="000000"/>
        </w:rPr>
        <w:t xml:space="preserve">se </w:t>
      </w:r>
      <w:r w:rsidRPr="00A148AD">
        <w:rPr>
          <w:rFonts w:ascii="Palatino Linotype" w:eastAsia="Palatino Linotype" w:hAnsi="Palatino Linotype" w:cs="Palatino Linotype"/>
          <w:color w:val="000000"/>
        </w:rPr>
        <w:t>decretó el cierre de instrucc</w:t>
      </w:r>
      <w:r w:rsidR="007D58A9">
        <w:rPr>
          <w:rFonts w:ascii="Palatino Linotype" w:eastAsia="Palatino Linotype" w:hAnsi="Palatino Linotype" w:cs="Palatino Linotype"/>
          <w:color w:val="000000"/>
        </w:rPr>
        <w:t xml:space="preserve">ión, por lo que: </w:t>
      </w:r>
    </w:p>
    <w:p w14:paraId="3A8D7BD9" w14:textId="77777777" w:rsidR="003B75EA" w:rsidRPr="00A148AD" w:rsidRDefault="003B75EA" w:rsidP="003B75EA">
      <w:pPr>
        <w:pStyle w:val="Prrafodelista"/>
        <w:spacing w:line="360" w:lineRule="auto"/>
        <w:ind w:left="0"/>
        <w:jc w:val="both"/>
        <w:rPr>
          <w:rFonts w:ascii="Palatino Linotype" w:eastAsia="Palatino Linotype" w:hAnsi="Palatino Linotype" w:cs="Palatino Linotype"/>
          <w:color w:val="000000"/>
        </w:rPr>
      </w:pPr>
    </w:p>
    <w:p w14:paraId="6967D00B" w14:textId="17B0ACDC" w:rsidR="00947C3B" w:rsidRPr="00425A58" w:rsidRDefault="00947C3B" w:rsidP="00AE423B">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425A58">
        <w:rPr>
          <w:rFonts w:ascii="Palatino Linotype" w:hAnsi="Palatino Linotype"/>
          <w:b/>
          <w:color w:val="000000" w:themeColor="text1"/>
          <w:sz w:val="24"/>
          <w:szCs w:val="24"/>
        </w:rPr>
        <w:t>C</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O</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N</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S</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I</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D</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E</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R</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A</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N</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D</w:t>
      </w:r>
      <w:r w:rsidR="00784D8F">
        <w:rPr>
          <w:rFonts w:ascii="Palatino Linotype" w:hAnsi="Palatino Linotype"/>
          <w:b/>
          <w:color w:val="000000" w:themeColor="text1"/>
          <w:sz w:val="24"/>
          <w:szCs w:val="24"/>
        </w:rPr>
        <w:t xml:space="preserve"> </w:t>
      </w:r>
      <w:r w:rsidRPr="00425A58">
        <w:rPr>
          <w:rFonts w:ascii="Palatino Linotype" w:hAnsi="Palatino Linotype"/>
          <w:b/>
          <w:color w:val="000000" w:themeColor="text1"/>
          <w:sz w:val="24"/>
          <w:szCs w:val="24"/>
        </w:rPr>
        <w:t>O</w:t>
      </w:r>
      <w:bookmarkEnd w:id="63"/>
      <w:bookmarkEnd w:id="64"/>
    </w:p>
    <w:p w14:paraId="4EA515D4" w14:textId="77777777" w:rsidR="00947C3B" w:rsidRPr="00425A58" w:rsidRDefault="00947C3B" w:rsidP="00AE423B">
      <w:pPr>
        <w:pStyle w:val="Ttulo2"/>
        <w:spacing w:before="0" w:line="360" w:lineRule="auto"/>
        <w:rPr>
          <w:rFonts w:ascii="Palatino Linotype" w:hAnsi="Palatino Linotype"/>
          <w:b/>
          <w:color w:val="auto"/>
          <w:sz w:val="24"/>
          <w:szCs w:val="24"/>
        </w:rPr>
      </w:pPr>
      <w:bookmarkStart w:id="65" w:name="_Toc491791303"/>
      <w:bookmarkStart w:id="66" w:name="_Toc83128579"/>
    </w:p>
    <w:p w14:paraId="2E434C12" w14:textId="77777777" w:rsidR="00947C3B" w:rsidRPr="00425A58" w:rsidRDefault="00947C3B" w:rsidP="00AE423B">
      <w:pPr>
        <w:pStyle w:val="Ttulo2"/>
        <w:spacing w:before="0" w:line="360" w:lineRule="auto"/>
        <w:rPr>
          <w:rFonts w:ascii="Palatino Linotype" w:hAnsi="Palatino Linotype"/>
          <w:b/>
          <w:color w:val="auto"/>
          <w:sz w:val="24"/>
          <w:szCs w:val="24"/>
        </w:rPr>
      </w:pPr>
      <w:r w:rsidRPr="00425A58">
        <w:rPr>
          <w:rFonts w:ascii="Palatino Linotype" w:hAnsi="Palatino Linotype"/>
          <w:b/>
          <w:color w:val="auto"/>
          <w:sz w:val="24"/>
          <w:szCs w:val="24"/>
        </w:rPr>
        <w:t>PRIMERO. De la competencia</w:t>
      </w:r>
      <w:bookmarkEnd w:id="65"/>
      <w:bookmarkEnd w:id="66"/>
    </w:p>
    <w:p w14:paraId="66CA1126" w14:textId="31E37E13" w:rsidR="00947C3B" w:rsidRPr="00425A58" w:rsidRDefault="009D3E7B" w:rsidP="00AE423B">
      <w:pPr>
        <w:pStyle w:val="Prrafodelista"/>
        <w:numPr>
          <w:ilvl w:val="0"/>
          <w:numId w:val="1"/>
        </w:numPr>
        <w:spacing w:line="360" w:lineRule="auto"/>
        <w:ind w:left="0" w:firstLine="0"/>
        <w:jc w:val="both"/>
        <w:rPr>
          <w:rFonts w:ascii="Palatino Linotype" w:hAnsi="Palatino Linotype"/>
          <w:color w:val="000000" w:themeColor="text1"/>
        </w:rPr>
      </w:pPr>
      <w:r w:rsidRPr="00425A58">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w:t>
      </w:r>
      <w:r w:rsidRPr="00425A58">
        <w:rPr>
          <w:rFonts w:ascii="Palatino Linotype" w:eastAsia="Palatino Linotype" w:hAnsi="Palatino Linotype" w:cs="Palatino Linotype"/>
          <w:color w:val="000000"/>
        </w:rPr>
        <w:t>trigésimo</w:t>
      </w:r>
      <w:r w:rsidRPr="00425A58">
        <w:rPr>
          <w:rFonts w:ascii="Palatino Linotype" w:hAnsi="Palatino Linotype"/>
          <w:color w:val="000000" w:themeColor="text1"/>
        </w:rPr>
        <w:t xml:space="preserve">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4166AF" w14:textId="77777777" w:rsidR="00C47088" w:rsidRPr="00425A58" w:rsidRDefault="00C47088" w:rsidP="00AE423B">
      <w:pPr>
        <w:spacing w:line="360" w:lineRule="auto"/>
        <w:contextualSpacing/>
        <w:jc w:val="both"/>
        <w:rPr>
          <w:rFonts w:ascii="Palatino Linotype" w:hAnsi="Palatino Linotype"/>
          <w:color w:val="000000" w:themeColor="text1"/>
        </w:rPr>
      </w:pPr>
    </w:p>
    <w:p w14:paraId="4678A3EE" w14:textId="1F5DA7A0" w:rsidR="00947C3B" w:rsidRPr="00425A58" w:rsidRDefault="00947C3B" w:rsidP="00AE423B">
      <w:pPr>
        <w:spacing w:line="360" w:lineRule="auto"/>
        <w:contextualSpacing/>
        <w:jc w:val="both"/>
        <w:rPr>
          <w:rFonts w:ascii="Palatino Linotype" w:hAnsi="Palatino Linotype"/>
          <w:b/>
        </w:rPr>
      </w:pPr>
      <w:r w:rsidRPr="00425A58">
        <w:rPr>
          <w:rFonts w:ascii="Palatino Linotype" w:hAnsi="Palatino Linotype"/>
          <w:color w:val="000000" w:themeColor="text1"/>
        </w:rPr>
        <w:t xml:space="preserve"> </w:t>
      </w:r>
      <w:bookmarkStart w:id="67" w:name="_Toc491791304"/>
      <w:bookmarkStart w:id="68" w:name="_Toc83128580"/>
      <w:r w:rsidRPr="00425A58">
        <w:rPr>
          <w:rFonts w:ascii="Palatino Linotype" w:hAnsi="Palatino Linotype"/>
          <w:b/>
        </w:rPr>
        <w:t>SEGUNDO. De la oportunidad y procedencia.</w:t>
      </w:r>
      <w:bookmarkEnd w:id="67"/>
      <w:bookmarkEnd w:id="68"/>
    </w:p>
    <w:p w14:paraId="60E72AD3" w14:textId="77777777" w:rsidR="00A72EED" w:rsidRPr="008602B5" w:rsidRDefault="00A72EED" w:rsidP="00AE423B">
      <w:pPr>
        <w:numPr>
          <w:ilvl w:val="0"/>
          <w:numId w:val="1"/>
        </w:numPr>
        <w:spacing w:line="360" w:lineRule="auto"/>
        <w:ind w:left="0" w:firstLine="0"/>
        <w:contextualSpacing/>
        <w:jc w:val="both"/>
        <w:rPr>
          <w:rFonts w:ascii="Palatino Linotype" w:hAnsi="Palatino Linotype"/>
        </w:rPr>
      </w:pPr>
      <w:r w:rsidRPr="00425A58">
        <w:rPr>
          <w:rFonts w:ascii="Palatino Linotype" w:eastAsia="Calibri" w:hAnsi="Palatino Linotype" w:cs="Arial"/>
        </w:rPr>
        <w:t xml:space="preserve">Este Órgano Garante considera que el medio de impugnación reúne los requisitos de procedencia </w:t>
      </w:r>
      <w:r w:rsidRPr="00425A58">
        <w:rPr>
          <w:rFonts w:ascii="Palatino Linotype" w:eastAsia="Calibri" w:hAnsi="Palatino Linotype" w:cs="Tahoma"/>
          <w:color w:val="000000"/>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425A58">
        <w:rPr>
          <w:rFonts w:ascii="Palatino Linotype" w:eastAsia="Calibri" w:hAnsi="Palatino Linotype" w:cs="Tahoma"/>
          <w:b/>
          <w:color w:val="000000"/>
          <w:lang w:eastAsia="es-MX"/>
        </w:rPr>
        <w:t>LA RECURRENTE</w:t>
      </w:r>
      <w:r w:rsidRPr="00425A58">
        <w:rPr>
          <w:rFonts w:ascii="Palatino Linotype" w:eastAsia="Calibri" w:hAnsi="Palatino Linotype" w:cs="Tahoma"/>
          <w:color w:val="000000"/>
          <w:lang w:eastAsia="es-MX"/>
        </w:rPr>
        <w:t xml:space="preserve"> ante otra instancia.</w:t>
      </w:r>
    </w:p>
    <w:p w14:paraId="6E0E0053" w14:textId="77777777" w:rsidR="008602B5" w:rsidRPr="00425A58" w:rsidRDefault="008602B5" w:rsidP="008602B5">
      <w:pPr>
        <w:spacing w:line="360" w:lineRule="auto"/>
        <w:contextualSpacing/>
        <w:jc w:val="both"/>
        <w:rPr>
          <w:rFonts w:ascii="Palatino Linotype" w:hAnsi="Palatino Linotype"/>
        </w:rPr>
      </w:pPr>
    </w:p>
    <w:p w14:paraId="2D05FE01" w14:textId="77777777" w:rsidR="00A72EED" w:rsidRPr="00425A58" w:rsidRDefault="00A72EED" w:rsidP="00AE423B">
      <w:pPr>
        <w:numPr>
          <w:ilvl w:val="0"/>
          <w:numId w:val="1"/>
        </w:numPr>
        <w:spacing w:line="360" w:lineRule="auto"/>
        <w:ind w:left="0" w:firstLine="0"/>
        <w:contextualSpacing/>
        <w:jc w:val="both"/>
        <w:rPr>
          <w:rFonts w:ascii="Palatino Linotype" w:eastAsia="Calibri" w:hAnsi="Palatino Linotype" w:cs="Arial"/>
        </w:rPr>
      </w:pPr>
      <w:r w:rsidRPr="00425A58">
        <w:rPr>
          <w:rFonts w:ascii="Palatino Linotype" w:eastAsia="Calibri" w:hAnsi="Palatino Linotype" w:cs="Arial"/>
        </w:rPr>
        <w:lastRenderedPageBreak/>
        <w:t>Finalmente, el escrito contiene las formalidades previstas por el artículo 180 último párrafo de la citada Ley de la materia, por lo que es procedente que este Instituto conozca y resuelva el presente Recurso.</w:t>
      </w:r>
    </w:p>
    <w:p w14:paraId="046CEAC8" w14:textId="77777777" w:rsidR="00ED6C32" w:rsidRPr="00425A58" w:rsidRDefault="00ED6C32" w:rsidP="00AE423B">
      <w:pPr>
        <w:spacing w:line="360" w:lineRule="auto"/>
        <w:contextualSpacing/>
        <w:jc w:val="both"/>
        <w:rPr>
          <w:rFonts w:ascii="Palatino Linotype" w:eastAsia="Calibri" w:hAnsi="Palatino Linotype" w:cs="Arial"/>
        </w:rPr>
      </w:pPr>
    </w:p>
    <w:p w14:paraId="016C3D4C" w14:textId="77777777" w:rsidR="00947C3B" w:rsidRPr="00425A58" w:rsidRDefault="00947C3B" w:rsidP="00AE423B">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425A58">
        <w:rPr>
          <w:rFonts w:ascii="Palatino Linotype" w:hAnsi="Palatino Linotype"/>
          <w:b/>
          <w:color w:val="000000" w:themeColor="text1"/>
          <w:sz w:val="24"/>
          <w:szCs w:val="24"/>
        </w:rPr>
        <w:t xml:space="preserve">TERCERO. </w:t>
      </w:r>
      <w:bookmarkEnd w:id="69"/>
      <w:bookmarkEnd w:id="70"/>
      <w:bookmarkEnd w:id="71"/>
      <w:bookmarkEnd w:id="72"/>
      <w:r w:rsidRPr="00425A58">
        <w:rPr>
          <w:rFonts w:ascii="Palatino Linotype" w:hAnsi="Palatino Linotype"/>
          <w:b/>
          <w:color w:val="000000" w:themeColor="text1"/>
          <w:sz w:val="24"/>
          <w:szCs w:val="24"/>
        </w:rPr>
        <w:t>Del planteamiento de la</w:t>
      </w:r>
      <w:r w:rsidRPr="00425A58">
        <w:rPr>
          <w:rFonts w:ascii="Palatino Linotype" w:hAnsi="Palatino Linotype"/>
          <w:b/>
          <w:i/>
          <w:color w:val="000000" w:themeColor="text1"/>
          <w:sz w:val="24"/>
          <w:szCs w:val="24"/>
        </w:rPr>
        <w:t xml:space="preserve"> Litis</w:t>
      </w:r>
    </w:p>
    <w:p w14:paraId="0E599386" w14:textId="45F0EF7D" w:rsidR="00947C3B" w:rsidRPr="00425A58" w:rsidRDefault="00947C3B" w:rsidP="00AE423B">
      <w:pPr>
        <w:pStyle w:val="Prrafodelista"/>
        <w:numPr>
          <w:ilvl w:val="0"/>
          <w:numId w:val="1"/>
        </w:numPr>
        <w:spacing w:line="360" w:lineRule="auto"/>
        <w:ind w:left="0" w:firstLine="0"/>
        <w:jc w:val="both"/>
        <w:rPr>
          <w:rFonts w:ascii="Palatino Linotype" w:hAnsi="Palatino Linotype" w:cs="Arial"/>
        </w:rPr>
      </w:pPr>
      <w:r w:rsidRPr="00425A58">
        <w:rPr>
          <w:rFonts w:ascii="Palatino Linotype" w:hAnsi="Palatino Linotype" w:cs="Arial"/>
        </w:rPr>
        <w:t xml:space="preserve">Se </w:t>
      </w:r>
      <w:r w:rsidRPr="00425A58">
        <w:rPr>
          <w:rFonts w:ascii="Palatino Linotype" w:eastAsia="Calibri" w:hAnsi="Palatino Linotype" w:cs="Arial"/>
        </w:rPr>
        <w:t>solicitó</w:t>
      </w:r>
      <w:r w:rsidRPr="00425A58">
        <w:rPr>
          <w:rFonts w:ascii="Palatino Linotype" w:hAnsi="Palatino Linotype" w:cs="Arial"/>
        </w:rPr>
        <w:t xml:space="preserve"> tener acceso, a la información</w:t>
      </w:r>
      <w:r w:rsidR="00432F10" w:rsidRPr="00425A58">
        <w:rPr>
          <w:rFonts w:ascii="Palatino Linotype" w:hAnsi="Palatino Linotype" w:cs="Arial"/>
        </w:rPr>
        <w:t xml:space="preserve"> que a continuación se desagrega:</w:t>
      </w:r>
    </w:p>
    <w:p w14:paraId="2489F0F1" w14:textId="77777777" w:rsidR="00E62D2E" w:rsidRDefault="007D58A9" w:rsidP="007D58A9">
      <w:pPr>
        <w:pStyle w:val="Prrafodelista"/>
        <w:numPr>
          <w:ilvl w:val="0"/>
          <w:numId w:val="2"/>
        </w:numPr>
        <w:spacing w:line="360" w:lineRule="auto"/>
        <w:ind w:right="851"/>
        <w:jc w:val="both"/>
        <w:rPr>
          <w:rFonts w:ascii="Palatino Linotype" w:hAnsi="Palatino Linotype" w:cs="Arial"/>
          <w:b/>
        </w:rPr>
      </w:pPr>
      <w:r>
        <w:rPr>
          <w:rFonts w:ascii="Palatino Linotype" w:hAnsi="Palatino Linotype" w:cs="Arial"/>
          <w:b/>
        </w:rPr>
        <w:t xml:space="preserve">Información documental sobre </w:t>
      </w:r>
      <w:r w:rsidRPr="007D58A9">
        <w:rPr>
          <w:rFonts w:ascii="Palatino Linotype" w:hAnsi="Palatino Linotype" w:cs="Arial"/>
          <w:b/>
        </w:rPr>
        <w:t xml:space="preserve">las campañas de comunicación, difusión o publicidad </w:t>
      </w:r>
      <w:r w:rsidR="00E62D2E">
        <w:rPr>
          <w:rFonts w:ascii="Palatino Linotype" w:hAnsi="Palatino Linotype" w:cs="Arial"/>
          <w:b/>
        </w:rPr>
        <w:t xml:space="preserve">en </w:t>
      </w:r>
      <w:r w:rsidRPr="007D58A9">
        <w:rPr>
          <w:rFonts w:ascii="Palatino Linotype" w:hAnsi="Palatino Linotype" w:cs="Arial"/>
          <w:b/>
        </w:rPr>
        <w:t xml:space="preserve">el </w:t>
      </w:r>
      <w:r w:rsidR="00E62D2E">
        <w:rPr>
          <w:rFonts w:ascii="Palatino Linotype" w:hAnsi="Palatino Linotype" w:cs="Arial"/>
          <w:b/>
        </w:rPr>
        <w:t>E</w:t>
      </w:r>
      <w:r w:rsidRPr="007D58A9">
        <w:rPr>
          <w:rFonts w:ascii="Palatino Linotype" w:hAnsi="Palatino Linotype" w:cs="Arial"/>
          <w:b/>
        </w:rPr>
        <w:t xml:space="preserve">jercicio </w:t>
      </w:r>
      <w:r w:rsidR="00E62D2E">
        <w:rPr>
          <w:rFonts w:ascii="Palatino Linotype" w:hAnsi="Palatino Linotype" w:cs="Arial"/>
          <w:b/>
        </w:rPr>
        <w:t>Fiscal 2025, de manera enunciativa mas no limitativa:</w:t>
      </w:r>
    </w:p>
    <w:p w14:paraId="74BB0F16" w14:textId="77777777" w:rsidR="00E62D2E" w:rsidRDefault="007D58A9" w:rsidP="00E62D2E">
      <w:pPr>
        <w:pStyle w:val="Prrafodelista"/>
        <w:numPr>
          <w:ilvl w:val="0"/>
          <w:numId w:val="3"/>
        </w:numPr>
        <w:spacing w:line="360" w:lineRule="auto"/>
        <w:ind w:right="851"/>
        <w:jc w:val="both"/>
        <w:rPr>
          <w:rFonts w:ascii="Palatino Linotype" w:hAnsi="Palatino Linotype" w:cs="Arial"/>
          <w:b/>
        </w:rPr>
      </w:pPr>
      <w:r w:rsidRPr="007D58A9">
        <w:rPr>
          <w:rFonts w:ascii="Palatino Linotype" w:hAnsi="Palatino Linotype" w:cs="Arial"/>
          <w:b/>
        </w:rPr>
        <w:t xml:space="preserve">Nombre o tema de cada campaña. </w:t>
      </w:r>
    </w:p>
    <w:p w14:paraId="1784A683" w14:textId="77777777" w:rsidR="00E62D2E" w:rsidRDefault="007D58A9" w:rsidP="00E62D2E">
      <w:pPr>
        <w:pStyle w:val="Prrafodelista"/>
        <w:numPr>
          <w:ilvl w:val="0"/>
          <w:numId w:val="3"/>
        </w:numPr>
        <w:spacing w:line="360" w:lineRule="auto"/>
        <w:ind w:right="851"/>
        <w:jc w:val="both"/>
        <w:rPr>
          <w:rFonts w:ascii="Palatino Linotype" w:hAnsi="Palatino Linotype" w:cs="Arial"/>
          <w:b/>
        </w:rPr>
      </w:pPr>
      <w:r w:rsidRPr="007D58A9">
        <w:rPr>
          <w:rFonts w:ascii="Palatino Linotype" w:hAnsi="Palatino Linotype" w:cs="Arial"/>
          <w:b/>
        </w:rPr>
        <w:t>Objetivo o mensaje principal.</w:t>
      </w:r>
    </w:p>
    <w:p w14:paraId="46720457" w14:textId="77777777" w:rsidR="00E62D2E" w:rsidRDefault="007D58A9" w:rsidP="00E62D2E">
      <w:pPr>
        <w:pStyle w:val="Prrafodelista"/>
        <w:numPr>
          <w:ilvl w:val="0"/>
          <w:numId w:val="3"/>
        </w:numPr>
        <w:spacing w:line="360" w:lineRule="auto"/>
        <w:ind w:right="851"/>
        <w:jc w:val="both"/>
        <w:rPr>
          <w:rFonts w:ascii="Palatino Linotype" w:hAnsi="Palatino Linotype" w:cs="Arial"/>
          <w:b/>
        </w:rPr>
      </w:pPr>
      <w:r w:rsidRPr="007D58A9">
        <w:rPr>
          <w:rFonts w:ascii="Palatino Linotype" w:hAnsi="Palatino Linotype" w:cs="Arial"/>
          <w:b/>
        </w:rPr>
        <w:t>Periodo de difusión.</w:t>
      </w:r>
    </w:p>
    <w:p w14:paraId="0F8D2CD3" w14:textId="77777777" w:rsidR="00E62D2E" w:rsidRDefault="007D58A9" w:rsidP="00E62D2E">
      <w:pPr>
        <w:pStyle w:val="Prrafodelista"/>
        <w:numPr>
          <w:ilvl w:val="0"/>
          <w:numId w:val="3"/>
        </w:numPr>
        <w:spacing w:line="360" w:lineRule="auto"/>
        <w:ind w:right="851"/>
        <w:jc w:val="both"/>
        <w:rPr>
          <w:rFonts w:ascii="Palatino Linotype" w:hAnsi="Palatino Linotype" w:cs="Arial"/>
          <w:b/>
        </w:rPr>
      </w:pPr>
      <w:r w:rsidRPr="007D58A9">
        <w:rPr>
          <w:rFonts w:ascii="Palatino Linotype" w:hAnsi="Palatino Linotype" w:cs="Arial"/>
          <w:b/>
        </w:rPr>
        <w:t>Medios de comunicación o plataformas contratadas (radio, televisión, prensa, redes sociales, espectaculares, etc.).</w:t>
      </w:r>
    </w:p>
    <w:p w14:paraId="36A4A76E" w14:textId="77777777" w:rsidR="00E62D2E" w:rsidRDefault="007D58A9" w:rsidP="00E62D2E">
      <w:pPr>
        <w:pStyle w:val="Prrafodelista"/>
        <w:numPr>
          <w:ilvl w:val="0"/>
          <w:numId w:val="3"/>
        </w:numPr>
        <w:spacing w:line="360" w:lineRule="auto"/>
        <w:ind w:right="851"/>
        <w:jc w:val="both"/>
        <w:rPr>
          <w:rFonts w:ascii="Palatino Linotype" w:hAnsi="Palatino Linotype" w:cs="Arial"/>
          <w:b/>
        </w:rPr>
      </w:pPr>
      <w:r w:rsidRPr="007D58A9">
        <w:rPr>
          <w:rFonts w:ascii="Palatino Linotype" w:hAnsi="Palatino Linotype" w:cs="Arial"/>
          <w:b/>
        </w:rPr>
        <w:t xml:space="preserve">Proveedor o empresa responsable. </w:t>
      </w:r>
    </w:p>
    <w:p w14:paraId="3414F560" w14:textId="77777777" w:rsidR="00E62D2E" w:rsidRDefault="007D58A9" w:rsidP="00E62D2E">
      <w:pPr>
        <w:pStyle w:val="Prrafodelista"/>
        <w:numPr>
          <w:ilvl w:val="0"/>
          <w:numId w:val="3"/>
        </w:numPr>
        <w:spacing w:line="360" w:lineRule="auto"/>
        <w:ind w:right="851"/>
        <w:jc w:val="both"/>
        <w:rPr>
          <w:rFonts w:ascii="Palatino Linotype" w:hAnsi="Palatino Linotype" w:cs="Arial"/>
          <w:b/>
        </w:rPr>
      </w:pPr>
      <w:r w:rsidRPr="007D58A9">
        <w:rPr>
          <w:rFonts w:ascii="Palatino Linotype" w:hAnsi="Palatino Linotype" w:cs="Arial"/>
          <w:b/>
        </w:rPr>
        <w:t>Monto individual pagado y partida presupuestal utili</w:t>
      </w:r>
      <w:r w:rsidR="00E62D2E">
        <w:rPr>
          <w:rFonts w:ascii="Palatino Linotype" w:hAnsi="Palatino Linotype" w:cs="Arial"/>
          <w:b/>
        </w:rPr>
        <w:t>zada.</w:t>
      </w:r>
    </w:p>
    <w:p w14:paraId="36100487" w14:textId="7C25824C" w:rsidR="00E62D2E" w:rsidRDefault="00E62D2E" w:rsidP="00E62D2E">
      <w:pPr>
        <w:pStyle w:val="Prrafodelista"/>
        <w:numPr>
          <w:ilvl w:val="0"/>
          <w:numId w:val="3"/>
        </w:numPr>
        <w:spacing w:line="360" w:lineRule="auto"/>
        <w:ind w:right="851"/>
        <w:jc w:val="both"/>
        <w:rPr>
          <w:rFonts w:ascii="Palatino Linotype" w:hAnsi="Palatino Linotype" w:cs="Arial"/>
          <w:b/>
        </w:rPr>
      </w:pPr>
      <w:r>
        <w:rPr>
          <w:rFonts w:ascii="Palatino Linotype" w:hAnsi="Palatino Linotype" w:cs="Arial"/>
          <w:b/>
        </w:rPr>
        <w:t xml:space="preserve">Cualquier </w:t>
      </w:r>
      <w:r w:rsidR="007D58A9" w:rsidRPr="007D58A9">
        <w:rPr>
          <w:rFonts w:ascii="Palatino Linotype" w:hAnsi="Palatino Linotype" w:cs="Arial"/>
          <w:b/>
        </w:rPr>
        <w:t>documentación complementaria (oficios de autorización</w:t>
      </w:r>
      <w:r>
        <w:rPr>
          <w:rFonts w:ascii="Palatino Linotype" w:hAnsi="Palatino Linotype" w:cs="Arial"/>
          <w:b/>
        </w:rPr>
        <w:t>, contratos, facturas)</w:t>
      </w:r>
    </w:p>
    <w:p w14:paraId="1DA71AD3" w14:textId="77777777" w:rsidR="00E62D2E" w:rsidRPr="00E62D2E" w:rsidRDefault="00E62D2E" w:rsidP="00E62D2E">
      <w:pPr>
        <w:pStyle w:val="Prrafodelista"/>
        <w:spacing w:line="360" w:lineRule="auto"/>
        <w:ind w:left="0"/>
        <w:jc w:val="both"/>
        <w:rPr>
          <w:rFonts w:ascii="Palatino Linotype" w:eastAsia="MS Mincho" w:hAnsi="Palatino Linotype" w:cs="Arial"/>
        </w:rPr>
      </w:pPr>
    </w:p>
    <w:p w14:paraId="08D07717" w14:textId="69F86C61" w:rsidR="00947C3B" w:rsidRPr="00425A58" w:rsidRDefault="00947C3B" w:rsidP="00AE423B">
      <w:pPr>
        <w:pStyle w:val="Prrafodelista"/>
        <w:numPr>
          <w:ilvl w:val="0"/>
          <w:numId w:val="1"/>
        </w:numPr>
        <w:spacing w:line="360" w:lineRule="auto"/>
        <w:ind w:left="0" w:firstLine="0"/>
        <w:jc w:val="both"/>
        <w:rPr>
          <w:rFonts w:ascii="Palatino Linotype" w:eastAsia="MS Mincho" w:hAnsi="Palatino Linotype" w:cs="Arial"/>
        </w:rPr>
      </w:pPr>
      <w:r w:rsidRPr="00425A58">
        <w:rPr>
          <w:rFonts w:ascii="Palatino Linotype" w:hAnsi="Palatino Linotype" w:cs="Arial"/>
        </w:rPr>
        <w:t xml:space="preserve">En respuesta, el </w:t>
      </w:r>
      <w:r w:rsidRPr="00425A58">
        <w:rPr>
          <w:rFonts w:ascii="Palatino Linotype" w:hAnsi="Palatino Linotype" w:cs="Arial"/>
          <w:b/>
        </w:rPr>
        <w:t xml:space="preserve">SUJETO OBLIGADO </w:t>
      </w:r>
      <w:r w:rsidR="007B20F5" w:rsidRPr="00425A58">
        <w:rPr>
          <w:rFonts w:ascii="Palatino Linotype" w:hAnsi="Palatino Linotype" w:cs="Arial"/>
        </w:rPr>
        <w:t xml:space="preserve">remitió </w:t>
      </w:r>
      <w:r w:rsidR="00460CFE">
        <w:rPr>
          <w:rFonts w:ascii="Palatino Linotype" w:hAnsi="Palatino Linotype" w:cs="Arial"/>
        </w:rPr>
        <w:t>e</w:t>
      </w:r>
      <w:r w:rsidR="00822FD3" w:rsidRPr="00425A58">
        <w:rPr>
          <w:rFonts w:ascii="Palatino Linotype" w:hAnsi="Palatino Linotype" w:cs="Arial"/>
        </w:rPr>
        <w:t>l</w:t>
      </w:r>
      <w:r w:rsidR="003C7116" w:rsidRPr="00425A58">
        <w:rPr>
          <w:rFonts w:ascii="Palatino Linotype" w:hAnsi="Palatino Linotype" w:cs="Arial"/>
        </w:rPr>
        <w:t xml:space="preserve"> archivo</w:t>
      </w:r>
      <w:r w:rsidR="00CF045D" w:rsidRPr="00425A58">
        <w:rPr>
          <w:rFonts w:ascii="Palatino Linotype" w:hAnsi="Palatino Linotype" w:cs="Arial"/>
        </w:rPr>
        <w:t xml:space="preserve"> ya descrito</w:t>
      </w:r>
      <w:r w:rsidR="00B77121" w:rsidRPr="00425A58">
        <w:rPr>
          <w:rFonts w:ascii="Palatino Linotype" w:hAnsi="Palatino Linotype" w:cs="Arial"/>
        </w:rPr>
        <w:t xml:space="preserve"> en el </w:t>
      </w:r>
      <w:r w:rsidR="00B77121" w:rsidRPr="00425A58">
        <w:rPr>
          <w:rFonts w:ascii="Palatino Linotype" w:eastAsia="Calibri" w:hAnsi="Palatino Linotype" w:cs="Arial"/>
        </w:rPr>
        <w:t>anterior</w:t>
      </w:r>
      <w:r w:rsidR="00B77121" w:rsidRPr="00425A58">
        <w:rPr>
          <w:rFonts w:ascii="Palatino Linotype" w:hAnsi="Palatino Linotype" w:cs="Arial"/>
        </w:rPr>
        <w:t xml:space="preserve"> Párrafo 2; n</w:t>
      </w:r>
      <w:r w:rsidR="008A7A76" w:rsidRPr="00425A58">
        <w:rPr>
          <w:rFonts w:ascii="Palatino Linotype" w:eastAsia="MS Mincho" w:hAnsi="Palatino Linotype" w:cs="Arial"/>
        </w:rPr>
        <w:t>o obstante el particular se inconform</w:t>
      </w:r>
      <w:r w:rsidR="003C7116" w:rsidRPr="00425A58">
        <w:rPr>
          <w:rFonts w:ascii="Palatino Linotype" w:eastAsia="MS Mincho" w:hAnsi="Palatino Linotype" w:cs="Arial"/>
        </w:rPr>
        <w:t>ó</w:t>
      </w:r>
      <w:r w:rsidR="00E62D2E">
        <w:rPr>
          <w:rFonts w:ascii="Palatino Linotype" w:eastAsia="MS Mincho" w:hAnsi="Palatino Linotype" w:cs="Arial"/>
        </w:rPr>
        <w:t xml:space="preserve"> </w:t>
      </w:r>
      <w:r w:rsidR="00E62D2E" w:rsidRPr="00E62D2E">
        <w:rPr>
          <w:rFonts w:ascii="Palatino Linotype" w:eastAsia="MS Mincho" w:hAnsi="Palatino Linotype" w:cs="Arial"/>
          <w:i/>
        </w:rPr>
        <w:t>grosso modo</w:t>
      </w:r>
      <w:r w:rsidR="000E6238" w:rsidRPr="00425A58">
        <w:rPr>
          <w:rFonts w:ascii="Palatino Linotype" w:eastAsia="MS Mincho" w:hAnsi="Palatino Linotype" w:cs="Arial"/>
        </w:rPr>
        <w:t xml:space="preserve">, </w:t>
      </w:r>
      <w:r w:rsidR="003C7116" w:rsidRPr="00425A58">
        <w:rPr>
          <w:rFonts w:ascii="Palatino Linotype" w:eastAsia="MS Mincho" w:hAnsi="Palatino Linotype" w:cs="Arial"/>
        </w:rPr>
        <w:t xml:space="preserve">por </w:t>
      </w:r>
      <w:r w:rsidR="00B70988" w:rsidRPr="00425A58">
        <w:rPr>
          <w:rFonts w:ascii="Palatino Linotype" w:eastAsia="MS Mincho" w:hAnsi="Palatino Linotype" w:cs="Arial"/>
        </w:rPr>
        <w:t xml:space="preserve">la </w:t>
      </w:r>
      <w:r w:rsidR="00E375EF">
        <w:rPr>
          <w:rFonts w:ascii="Palatino Linotype" w:eastAsia="MS Mincho" w:hAnsi="Palatino Linotype" w:cs="Arial"/>
        </w:rPr>
        <w:t>negativa a la entrega de la información</w:t>
      </w:r>
      <w:r w:rsidR="000E6238" w:rsidRPr="00425A58">
        <w:rPr>
          <w:rFonts w:ascii="Palatino Linotype" w:eastAsia="MS Mincho" w:hAnsi="Palatino Linotype" w:cs="Arial"/>
        </w:rPr>
        <w:t>; e</w:t>
      </w:r>
      <w:r w:rsidRPr="00425A58">
        <w:rPr>
          <w:rFonts w:ascii="Palatino Linotype" w:eastAsia="MS Mincho" w:hAnsi="Palatino Linotype" w:cs="Arial"/>
        </w:rPr>
        <w:t xml:space="preserve">n </w:t>
      </w:r>
      <w:r w:rsidRPr="00425A58">
        <w:rPr>
          <w:rFonts w:ascii="Palatino Linotype" w:hAnsi="Palatino Linotype" w:cs="Arial"/>
          <w:lang w:eastAsia="es-MX"/>
        </w:rPr>
        <w:t>dichas</w:t>
      </w:r>
      <w:r w:rsidRPr="00425A58">
        <w:rPr>
          <w:rFonts w:ascii="Palatino Linotype" w:eastAsia="Times New Roman" w:hAnsi="Palatino Linotype" w:cs="Arial"/>
        </w:rPr>
        <w:t xml:space="preserve"> condiciones, la </w:t>
      </w:r>
      <w:r w:rsidRPr="00425A58">
        <w:rPr>
          <w:rFonts w:ascii="Palatino Linotype" w:eastAsia="Times New Roman" w:hAnsi="Palatino Linotype" w:cs="Arial"/>
          <w:i/>
        </w:rPr>
        <w:t>Litis</w:t>
      </w:r>
      <w:r w:rsidR="003C4C55" w:rsidRPr="00425A58">
        <w:rPr>
          <w:rFonts w:ascii="Palatino Linotype" w:eastAsia="Times New Roman" w:hAnsi="Palatino Linotype" w:cs="Arial"/>
        </w:rPr>
        <w:t xml:space="preserve"> a resolver en el</w:t>
      </w:r>
      <w:r w:rsidRPr="00425A58">
        <w:rPr>
          <w:rFonts w:ascii="Palatino Linotype" w:eastAsia="Times New Roman" w:hAnsi="Palatino Linotype" w:cs="Arial"/>
        </w:rPr>
        <w:t xml:space="preserve"> recurso</w:t>
      </w:r>
      <w:r w:rsidR="003C4C55" w:rsidRPr="00425A58">
        <w:rPr>
          <w:rFonts w:ascii="Palatino Linotype" w:eastAsia="Times New Roman" w:hAnsi="Palatino Linotype" w:cs="Arial"/>
        </w:rPr>
        <w:t xml:space="preserve"> de revisión</w:t>
      </w:r>
      <w:r w:rsidRPr="00425A58">
        <w:rPr>
          <w:rFonts w:ascii="Palatino Linotype" w:eastAsia="Times New Roman" w:hAnsi="Palatino Linotype" w:cs="Arial"/>
        </w:rPr>
        <w:t xml:space="preserve"> se circunscribe a determinar si </w:t>
      </w:r>
      <w:r w:rsidRPr="00425A58">
        <w:rPr>
          <w:rFonts w:ascii="Palatino Linotype" w:hAnsi="Palatino Linotype" w:cs="Arial"/>
        </w:rPr>
        <w:t>se</w:t>
      </w:r>
      <w:r w:rsidRPr="00425A58">
        <w:rPr>
          <w:rFonts w:ascii="Palatino Linotype" w:eastAsia="MS Mincho" w:hAnsi="Palatino Linotype" w:cs="Arial"/>
        </w:rPr>
        <w:t xml:space="preserve"> actualiza la </w:t>
      </w:r>
      <w:r w:rsidR="00822FD3" w:rsidRPr="00425A58">
        <w:rPr>
          <w:rFonts w:ascii="Palatino Linotype" w:eastAsia="MS Mincho" w:hAnsi="Palatino Linotype" w:cs="Arial"/>
        </w:rPr>
        <w:t>causal</w:t>
      </w:r>
      <w:r w:rsidRPr="00425A58">
        <w:rPr>
          <w:rFonts w:ascii="Palatino Linotype" w:eastAsia="MS Mincho" w:hAnsi="Palatino Linotype" w:cs="Arial"/>
        </w:rPr>
        <w:t xml:space="preserve"> de procedencia prevista en el artículo 179, </w:t>
      </w:r>
      <w:r w:rsidR="00822FD3" w:rsidRPr="00425A58">
        <w:rPr>
          <w:rFonts w:ascii="Palatino Linotype" w:eastAsia="MS Mincho" w:hAnsi="Palatino Linotype" w:cs="Arial"/>
          <w:b/>
        </w:rPr>
        <w:lastRenderedPageBreak/>
        <w:t>fracción</w:t>
      </w:r>
      <w:r w:rsidRPr="00425A58">
        <w:rPr>
          <w:rFonts w:ascii="Palatino Linotype" w:eastAsia="MS Mincho" w:hAnsi="Palatino Linotype" w:cs="Arial"/>
          <w:b/>
        </w:rPr>
        <w:t xml:space="preserve"> </w:t>
      </w:r>
      <w:r w:rsidR="00E375EF">
        <w:rPr>
          <w:rFonts w:ascii="Palatino Linotype" w:eastAsia="MS Mincho" w:hAnsi="Palatino Linotype" w:cs="Arial"/>
          <w:b/>
        </w:rPr>
        <w:t>I</w:t>
      </w:r>
      <w:r w:rsidR="005F239F" w:rsidRPr="00425A58">
        <w:rPr>
          <w:rFonts w:ascii="Palatino Linotype" w:eastAsia="MS Mincho" w:hAnsi="Palatino Linotype" w:cs="Arial"/>
          <w:b/>
        </w:rPr>
        <w:t xml:space="preserve"> </w:t>
      </w:r>
      <w:r w:rsidRPr="00425A58">
        <w:rPr>
          <w:rFonts w:ascii="Palatino Linotype" w:eastAsia="MS Mincho" w:hAnsi="Palatino Linotype" w:cs="Arial"/>
        </w:rPr>
        <w:t xml:space="preserve">de la </w:t>
      </w:r>
      <w:r w:rsidRPr="00425A58">
        <w:rPr>
          <w:rFonts w:ascii="Palatino Linotype" w:eastAsia="MS Mincho" w:hAnsi="Palatino Linotype" w:cs="Arial"/>
          <w:b/>
        </w:rPr>
        <w:t>Ley de Transparencia y Acceso a la Información Pública del Estado de México y Municipios</w:t>
      </w:r>
      <w:r w:rsidRPr="00425A58">
        <w:rPr>
          <w:rFonts w:ascii="Palatino Linotype" w:eastAsia="MS Mincho" w:hAnsi="Palatino Linotype" w:cs="Arial"/>
        </w:rPr>
        <w:t xml:space="preserve">; </w:t>
      </w:r>
      <w:r w:rsidR="008E2C92" w:rsidRPr="00425A58">
        <w:rPr>
          <w:rFonts w:ascii="Palatino Linotype" w:eastAsia="Times New Roman" w:hAnsi="Palatino Linotype" w:cs="Arial"/>
          <w:color w:val="000000" w:themeColor="text1"/>
          <w:lang w:val="es-ES" w:eastAsia="es-MX"/>
        </w:rPr>
        <w:t>fracción</w:t>
      </w:r>
      <w:r w:rsidRPr="00425A58">
        <w:rPr>
          <w:rFonts w:ascii="Palatino Linotype" w:eastAsia="Times New Roman" w:hAnsi="Palatino Linotype" w:cs="Arial"/>
          <w:color w:val="000000" w:themeColor="text1"/>
          <w:lang w:val="es-ES" w:eastAsia="es-MX"/>
        </w:rPr>
        <w:t xml:space="preserve"> que</w:t>
      </w:r>
      <w:r w:rsidR="00E0091E" w:rsidRPr="00425A58">
        <w:rPr>
          <w:rFonts w:ascii="Palatino Linotype" w:eastAsia="Times New Roman" w:hAnsi="Palatino Linotype" w:cs="Arial"/>
          <w:color w:val="000000" w:themeColor="text1"/>
          <w:lang w:val="es-ES" w:eastAsia="es-MX"/>
        </w:rPr>
        <w:t xml:space="preserve"> determina la</w:t>
      </w:r>
      <w:r w:rsidR="005F239F" w:rsidRPr="00425A58">
        <w:rPr>
          <w:rFonts w:ascii="Palatino Linotype" w:eastAsia="Times New Roman" w:hAnsi="Palatino Linotype" w:cs="Arial"/>
          <w:color w:val="000000" w:themeColor="text1"/>
          <w:lang w:val="es-ES" w:eastAsia="es-MX"/>
        </w:rPr>
        <w:t>s</w:t>
      </w:r>
      <w:r w:rsidRPr="00425A58">
        <w:rPr>
          <w:rFonts w:ascii="Palatino Linotype" w:eastAsia="Times New Roman" w:hAnsi="Palatino Linotype" w:cs="Arial"/>
          <w:color w:val="000000" w:themeColor="text1"/>
          <w:lang w:val="es-ES" w:eastAsia="es-MX"/>
        </w:rPr>
        <w:t xml:space="preserve"> hipótesis jurídica relativa a </w:t>
      </w:r>
      <w:r w:rsidR="00E0091E" w:rsidRPr="00425A58">
        <w:rPr>
          <w:rFonts w:ascii="Palatino Linotype" w:eastAsia="Times New Roman" w:hAnsi="Palatino Linotype" w:cs="Arial"/>
          <w:color w:val="000000" w:themeColor="text1"/>
          <w:lang w:val="es-ES" w:eastAsia="es-MX"/>
        </w:rPr>
        <w:t>la</w:t>
      </w:r>
      <w:r w:rsidR="00822FD3" w:rsidRPr="00425A58">
        <w:rPr>
          <w:rFonts w:ascii="Palatino Linotype" w:eastAsia="Times New Roman" w:hAnsi="Palatino Linotype" w:cs="Arial"/>
          <w:color w:val="000000" w:themeColor="text1"/>
          <w:lang w:val="es-ES" w:eastAsia="es-MX"/>
        </w:rPr>
        <w:t xml:space="preserve"> </w:t>
      </w:r>
      <w:r w:rsidR="002E7AAA">
        <w:rPr>
          <w:rFonts w:ascii="Palatino Linotype" w:eastAsia="Times New Roman" w:hAnsi="Palatino Linotype" w:cs="Arial"/>
          <w:color w:val="000000" w:themeColor="text1"/>
          <w:lang w:val="es-ES" w:eastAsia="es-MX"/>
        </w:rPr>
        <w:t>negativa de entrega de la información</w:t>
      </w:r>
      <w:r w:rsidR="00E0091E" w:rsidRPr="00425A58">
        <w:rPr>
          <w:rFonts w:ascii="Palatino Linotype" w:eastAsia="Times New Roman" w:hAnsi="Palatino Linotype" w:cs="Arial"/>
          <w:color w:val="000000" w:themeColor="text1"/>
          <w:lang w:val="es-ES" w:eastAsia="es-MX"/>
        </w:rPr>
        <w:t>;</w:t>
      </w:r>
      <w:r w:rsidRPr="00425A58">
        <w:rPr>
          <w:rFonts w:ascii="Palatino Linotype" w:eastAsia="Times New Roman" w:hAnsi="Palatino Linotype" w:cs="Arial"/>
          <w:color w:val="000000" w:themeColor="text1"/>
          <w:lang w:val="es-ES" w:eastAsia="es-MX"/>
        </w:rPr>
        <w:t xml:space="preserve"> </w:t>
      </w:r>
      <w:r w:rsidRPr="00425A58">
        <w:rPr>
          <w:rFonts w:ascii="Palatino Linotype" w:eastAsia="MS Mincho" w:hAnsi="Palatino Linotype" w:cs="Arial"/>
        </w:rPr>
        <w:t xml:space="preserve">contexto del cual se dolió </w:t>
      </w:r>
      <w:r w:rsidR="00C862A5" w:rsidRPr="00425A58">
        <w:rPr>
          <w:rFonts w:ascii="Palatino Linotype" w:eastAsia="MS Mincho" w:hAnsi="Palatino Linotype" w:cs="Arial"/>
          <w:b/>
        </w:rPr>
        <w:t>EL RECURRENTE</w:t>
      </w:r>
      <w:r w:rsidRPr="00425A58">
        <w:rPr>
          <w:rFonts w:ascii="Palatino Linotype" w:eastAsia="MS Mincho" w:hAnsi="Palatino Linotype" w:cs="Arial"/>
          <w:b/>
        </w:rPr>
        <w:t xml:space="preserve"> </w:t>
      </w:r>
      <w:r w:rsidRPr="00425A58">
        <w:rPr>
          <w:rFonts w:ascii="Palatino Linotype" w:eastAsia="MS Mincho" w:hAnsi="Palatino Linotype" w:cs="Arial"/>
        </w:rPr>
        <w:t>al momento de interponer su inconformidad.</w:t>
      </w:r>
      <w:r w:rsidRPr="00425A58">
        <w:rPr>
          <w:rFonts w:ascii="Palatino Linotype" w:eastAsia="Times New Roman" w:hAnsi="Palatino Linotype" w:cs="Arial"/>
          <w:color w:val="000000" w:themeColor="text1"/>
          <w:lang w:val="es-ES" w:eastAsia="es-MX"/>
        </w:rPr>
        <w:t xml:space="preserve"> </w:t>
      </w:r>
    </w:p>
    <w:p w14:paraId="40755C56" w14:textId="77777777" w:rsidR="00947C3B" w:rsidRPr="00425A58" w:rsidRDefault="00947C3B" w:rsidP="00AE423B">
      <w:pPr>
        <w:pStyle w:val="Prrafodelista"/>
        <w:spacing w:line="360" w:lineRule="auto"/>
        <w:rPr>
          <w:rFonts w:ascii="Palatino Linotype" w:eastAsia="Times New Roman" w:hAnsi="Palatino Linotype" w:cs="Arial"/>
          <w:color w:val="000000" w:themeColor="text1"/>
          <w:lang w:val="es-ES" w:eastAsia="es-MX"/>
        </w:rPr>
      </w:pPr>
    </w:p>
    <w:p w14:paraId="716424CF" w14:textId="269AC9B4" w:rsidR="00947C3B" w:rsidRPr="00425A58" w:rsidRDefault="00947C3B" w:rsidP="00AE423B">
      <w:pPr>
        <w:numPr>
          <w:ilvl w:val="0"/>
          <w:numId w:val="1"/>
        </w:numPr>
        <w:spacing w:line="360" w:lineRule="auto"/>
        <w:ind w:left="0" w:firstLine="0"/>
        <w:contextualSpacing/>
        <w:jc w:val="both"/>
        <w:rPr>
          <w:rFonts w:ascii="Palatino Linotype" w:eastAsia="MS Mincho" w:hAnsi="Palatino Linotype" w:cs="Arial"/>
        </w:rPr>
      </w:pPr>
      <w:r w:rsidRPr="00425A58">
        <w:rPr>
          <w:rFonts w:ascii="Palatino Linotype" w:eastAsia="Times New Roman" w:hAnsi="Palatino Linotype" w:cs="Arial"/>
          <w:color w:val="000000" w:themeColor="text1"/>
          <w:lang w:val="es-ES" w:eastAsia="es-MX"/>
        </w:rPr>
        <w:t xml:space="preserve">De modo tal </w:t>
      </w:r>
      <w:r w:rsidR="00DC3309" w:rsidRPr="00425A58">
        <w:rPr>
          <w:rFonts w:ascii="Palatino Linotype" w:hAnsi="Palatino Linotype" w:cs="Arial"/>
          <w:color w:val="000000" w:themeColor="text1"/>
        </w:rPr>
        <w:t>que el presente Recurso de R</w:t>
      </w:r>
      <w:r w:rsidRPr="00425A58">
        <w:rPr>
          <w:rFonts w:ascii="Palatino Linotype" w:hAnsi="Palatino Linotype" w:cs="Arial"/>
          <w:color w:val="000000" w:themeColor="text1"/>
        </w:rPr>
        <w:t xml:space="preserve">evisión se abocara en determinar si el </w:t>
      </w:r>
      <w:r w:rsidRPr="00425A58">
        <w:rPr>
          <w:rFonts w:ascii="Palatino Linotype" w:hAnsi="Palatino Linotype" w:cs="Arial"/>
          <w:b/>
          <w:color w:val="000000" w:themeColor="text1"/>
        </w:rPr>
        <w:t>SUJETO</w:t>
      </w:r>
      <w:r w:rsidRPr="00425A58">
        <w:rPr>
          <w:rFonts w:ascii="Palatino Linotype" w:hAnsi="Palatino Linotype" w:cs="Arial"/>
          <w:color w:val="000000" w:themeColor="text1"/>
        </w:rPr>
        <w:t xml:space="preserve"> </w:t>
      </w:r>
      <w:r w:rsidRPr="00425A58">
        <w:rPr>
          <w:rFonts w:ascii="Palatino Linotype" w:hAnsi="Palatino Linotype" w:cs="Arial"/>
          <w:b/>
          <w:color w:val="000000" w:themeColor="text1"/>
        </w:rPr>
        <w:t>OBLIGADO</w:t>
      </w:r>
      <w:r w:rsidRPr="00425A58">
        <w:rPr>
          <w:rFonts w:ascii="Palatino Linotype" w:hAnsi="Palatino Linotype" w:cs="Arial"/>
          <w:color w:val="000000" w:themeColor="text1"/>
        </w:rPr>
        <w:t xml:space="preserve"> con su respuesta ciertamente </w:t>
      </w:r>
      <w:r w:rsidRPr="00425A58">
        <w:rPr>
          <w:rFonts w:ascii="Palatino Linotype" w:eastAsia="Times New Roman" w:hAnsi="Palatino Linotype"/>
          <w:color w:val="000000" w:themeColor="text1"/>
        </w:rPr>
        <w:t>actualiza la</w:t>
      </w:r>
      <w:r w:rsidR="008A5B46" w:rsidRPr="00425A58">
        <w:rPr>
          <w:rFonts w:ascii="Palatino Linotype" w:eastAsia="Times New Roman" w:hAnsi="Palatino Linotype"/>
          <w:color w:val="000000" w:themeColor="text1"/>
        </w:rPr>
        <w:t xml:space="preserve"> causal</w:t>
      </w:r>
      <w:r w:rsidRPr="00425A58">
        <w:rPr>
          <w:rFonts w:ascii="Palatino Linotype" w:eastAsia="Times New Roman" w:hAnsi="Palatino Linotype"/>
          <w:color w:val="000000" w:themeColor="text1"/>
        </w:rPr>
        <w:t xml:space="preserve"> de procedencia</w:t>
      </w:r>
      <w:r w:rsidRPr="00425A58">
        <w:rPr>
          <w:rFonts w:ascii="Palatino Linotype" w:eastAsia="Times New Roman" w:hAnsi="Palatino Linotype"/>
          <w:b/>
          <w:color w:val="000000" w:themeColor="text1"/>
        </w:rPr>
        <w:t xml:space="preserve"> </w:t>
      </w:r>
      <w:r w:rsidR="008A5B46" w:rsidRPr="00425A58">
        <w:rPr>
          <w:rFonts w:ascii="Palatino Linotype" w:eastAsia="Times New Roman" w:hAnsi="Palatino Linotype" w:cs="Arial"/>
          <w:color w:val="000000" w:themeColor="text1"/>
          <w:lang w:eastAsia="es-MX"/>
        </w:rPr>
        <w:t>antes señalada</w:t>
      </w:r>
      <w:r w:rsidRPr="00425A58">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4C43F348" w14:textId="77777777" w:rsidR="009707D0" w:rsidRPr="00425A58" w:rsidRDefault="009707D0" w:rsidP="009707D0">
      <w:pPr>
        <w:pStyle w:val="Prrafodelista"/>
        <w:rPr>
          <w:rFonts w:ascii="Palatino Linotype" w:eastAsia="MS Mincho" w:hAnsi="Palatino Linotype" w:cs="Arial"/>
        </w:rPr>
      </w:pPr>
    </w:p>
    <w:p w14:paraId="51CABBAB" w14:textId="77777777" w:rsidR="00947C3B" w:rsidRPr="00425A58" w:rsidRDefault="00947C3B" w:rsidP="00AE423B">
      <w:pPr>
        <w:pStyle w:val="Ttulo2"/>
        <w:spacing w:before="0" w:line="360" w:lineRule="auto"/>
        <w:rPr>
          <w:rFonts w:ascii="Palatino Linotype" w:hAnsi="Palatino Linotype"/>
          <w:b/>
          <w:color w:val="000000" w:themeColor="text1"/>
          <w:sz w:val="24"/>
          <w:szCs w:val="24"/>
        </w:rPr>
      </w:pPr>
      <w:r w:rsidRPr="00425A58">
        <w:rPr>
          <w:rFonts w:ascii="Palatino Linotype" w:hAnsi="Palatino Linotype"/>
          <w:b/>
          <w:color w:val="000000" w:themeColor="text1"/>
          <w:sz w:val="24"/>
          <w:szCs w:val="24"/>
        </w:rPr>
        <w:t>CUARTO. Del estudio y resolución del estudio</w:t>
      </w:r>
    </w:p>
    <w:p w14:paraId="23FA3F75" w14:textId="77777777" w:rsidR="008176E4" w:rsidRPr="00425A58" w:rsidRDefault="008176E4"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425A58">
        <w:rPr>
          <w:rFonts w:ascii="Palatino Linotype" w:eastAsia="Times New Roman" w:hAnsi="Palatino Linotype" w:cs="Arial"/>
          <w:color w:val="000000" w:themeColor="text1"/>
          <w:lang w:val="es-ES" w:eastAsia="es-MX"/>
        </w:rPr>
        <w:t>Transparencia</w:t>
      </w:r>
      <w:r w:rsidRPr="00425A58">
        <w:rPr>
          <w:rFonts w:ascii="Palatino Linotype" w:eastAsia="Palatino Linotype" w:hAnsi="Palatino Linotype" w:cs="Palatino Linotype"/>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1240C85" w14:textId="77777777" w:rsidR="004D0A62" w:rsidRPr="00425A58" w:rsidRDefault="004D0A62" w:rsidP="00AE423B">
      <w:pPr>
        <w:spacing w:line="360" w:lineRule="auto"/>
        <w:contextualSpacing/>
        <w:jc w:val="both"/>
        <w:rPr>
          <w:rFonts w:ascii="Palatino Linotype" w:eastAsia="Palatino Linotype" w:hAnsi="Palatino Linotype" w:cs="Palatino Linotype"/>
        </w:rPr>
      </w:pPr>
    </w:p>
    <w:p w14:paraId="77804037" w14:textId="77777777" w:rsidR="008176E4" w:rsidRPr="00425A58" w:rsidRDefault="008176E4"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425A58" w:rsidRDefault="008176E4" w:rsidP="00AE423B">
      <w:pPr>
        <w:spacing w:line="360" w:lineRule="auto"/>
        <w:rPr>
          <w:rFonts w:ascii="Palatino Linotype" w:eastAsia="Palatino Linotype" w:hAnsi="Palatino Linotype" w:cs="Palatino Linotype"/>
        </w:rPr>
      </w:pPr>
    </w:p>
    <w:p w14:paraId="768EDD26" w14:textId="0740E9A9" w:rsidR="005F346E" w:rsidRPr="00425A58" w:rsidRDefault="008176E4" w:rsidP="00AE423B">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094371AE" w14:textId="77777777" w:rsidR="00362AAF" w:rsidRPr="00425A58" w:rsidRDefault="00362AAF" w:rsidP="00AE423B">
      <w:pPr>
        <w:pStyle w:val="Prrafodelista"/>
        <w:tabs>
          <w:tab w:val="left" w:pos="567"/>
        </w:tabs>
        <w:spacing w:line="360" w:lineRule="auto"/>
        <w:ind w:left="0"/>
        <w:jc w:val="both"/>
        <w:rPr>
          <w:rFonts w:ascii="Palatino Linotype" w:hAnsi="Palatino Linotype" w:cs="Arial"/>
        </w:rPr>
      </w:pPr>
    </w:p>
    <w:p w14:paraId="45917A12" w14:textId="77777777" w:rsidR="002F60F1" w:rsidRPr="00987A13" w:rsidRDefault="002B117D" w:rsidP="002F60F1">
      <w:pPr>
        <w:numPr>
          <w:ilvl w:val="0"/>
          <w:numId w:val="1"/>
        </w:numPr>
        <w:spacing w:line="360" w:lineRule="auto"/>
        <w:ind w:left="0" w:firstLine="0"/>
        <w:contextualSpacing/>
        <w:jc w:val="both"/>
        <w:rPr>
          <w:rFonts w:ascii="Palatino Linotype" w:eastAsia="Palatino Linotype" w:hAnsi="Palatino Linotype" w:cs="Palatino Linotype"/>
        </w:rPr>
      </w:pPr>
      <w:r w:rsidRPr="00425A58">
        <w:rPr>
          <w:rFonts w:ascii="Palatino Linotype" w:eastAsia="Palatino Linotype" w:hAnsi="Palatino Linotype" w:cs="Palatino Linotype"/>
        </w:rPr>
        <w:t xml:space="preserve">Acotado lo anterior, es dable primeramente </w:t>
      </w:r>
      <w:r w:rsidR="00027E0A" w:rsidRPr="00425A58">
        <w:rPr>
          <w:rFonts w:ascii="Palatino Linotype" w:eastAsia="Palatino Linotype" w:hAnsi="Palatino Linotype" w:cs="Palatino Linotype"/>
        </w:rPr>
        <w:t>recordar</w:t>
      </w:r>
      <w:r w:rsidR="0094220B" w:rsidRPr="00425A58">
        <w:rPr>
          <w:rFonts w:ascii="Palatino Linotype" w:eastAsia="Palatino Linotype" w:hAnsi="Palatino Linotype" w:cs="Palatino Linotype"/>
        </w:rPr>
        <w:t xml:space="preserve"> </w:t>
      </w:r>
      <w:r w:rsidR="004D0A62" w:rsidRPr="00425A58">
        <w:rPr>
          <w:rFonts w:ascii="Palatino Linotype" w:eastAsia="Palatino Linotype" w:hAnsi="Palatino Linotype" w:cs="Palatino Linotype"/>
        </w:rPr>
        <w:t>l</w:t>
      </w:r>
      <w:r w:rsidR="00793E1E">
        <w:rPr>
          <w:rFonts w:ascii="Palatino Linotype" w:eastAsia="Palatino Linotype" w:hAnsi="Palatino Linotype" w:cs="Palatino Linotype"/>
        </w:rPr>
        <w:t xml:space="preserve">a respuesta que versó </w:t>
      </w:r>
      <w:r w:rsidR="00E62D2E">
        <w:rPr>
          <w:rFonts w:ascii="Palatino Linotype" w:eastAsia="Palatino Linotype" w:hAnsi="Palatino Linotype" w:cs="Palatino Linotype"/>
        </w:rPr>
        <w:t>de manera general en la entrega de enlaces de Internet</w:t>
      </w:r>
      <w:r w:rsidR="002F60F1">
        <w:rPr>
          <w:rFonts w:ascii="Palatino Linotype" w:eastAsia="Palatino Linotype" w:hAnsi="Palatino Linotype" w:cs="Palatino Linotype"/>
        </w:rPr>
        <w:t xml:space="preserve">. Al respecto primeramente señalar que el derecho de acceso a la información, ciertamente se puede colmar con la entrega de un enlace de Internet, si la información requerida ya obra publicada en fuentes de acceso público, </w:t>
      </w:r>
      <w:r w:rsidR="002F60F1" w:rsidRPr="00987A13">
        <w:rPr>
          <w:rFonts w:ascii="Palatino Linotype" w:eastAsia="Palatino Linotype" w:hAnsi="Palatino Linotype" w:cs="Palatino Linotype"/>
        </w:rPr>
        <w:t>debiéndose para tal efecto cumplirse con las condiciones que establece la Ley de la Materia.</w:t>
      </w:r>
    </w:p>
    <w:p w14:paraId="4B32DCA4" w14:textId="77777777" w:rsidR="002F60F1" w:rsidRPr="00172F33" w:rsidRDefault="002F60F1" w:rsidP="002F60F1">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lastRenderedPageBreak/>
        <w:t>Lo anterior en virtud que</w:t>
      </w:r>
      <w:r w:rsidRPr="00987A13">
        <w:rPr>
          <w:rFonts w:ascii="Palatino Linotype" w:eastAsia="Palatino Linotype" w:hAnsi="Palatino Linotype" w:cs="Palatino Linotype"/>
        </w:rPr>
        <w:t xml:space="preserve"> los artículos 11 y 161 de la Ley de Transparencia Estatal, señalan las características que debe disfrutar toda información entregada por los sujetos obligados desde el momento de su generación, publicación y entrega vía hipervínculo, así como la forma en que se deberá consultar la información, señalando una fuente precisa y concreta, como se observa a continuación:</w:t>
      </w:r>
    </w:p>
    <w:p w14:paraId="43CD920F" w14:textId="77777777" w:rsidR="002F60F1" w:rsidRPr="00987A13" w:rsidRDefault="002F60F1" w:rsidP="002F60F1">
      <w:pPr>
        <w:pBdr>
          <w:top w:val="nil"/>
          <w:left w:val="nil"/>
          <w:bottom w:val="nil"/>
          <w:right w:val="nil"/>
          <w:between w:val="nil"/>
        </w:pBdr>
        <w:spacing w:line="360" w:lineRule="auto"/>
        <w:ind w:left="567" w:right="567"/>
        <w:jc w:val="both"/>
        <w:rPr>
          <w:rFonts w:ascii="Palatino Linotype" w:eastAsia="Palatino Linotype" w:hAnsi="Palatino Linotype" w:cs="Palatino Linotype"/>
          <w:i/>
          <w:iCs/>
          <w:color w:val="000000"/>
        </w:rPr>
      </w:pPr>
      <w:r w:rsidRPr="00987A13">
        <w:rPr>
          <w:rFonts w:ascii="Palatino Linotype" w:eastAsia="Palatino Linotype" w:hAnsi="Palatino Linotype" w:cs="Palatino Linotype"/>
          <w:b/>
          <w:bCs/>
          <w:i/>
          <w:iCs/>
          <w:color w:val="000000"/>
        </w:rPr>
        <w:t>Artículo 11.</w:t>
      </w:r>
      <w:r w:rsidRPr="00987A13">
        <w:rPr>
          <w:rFonts w:ascii="Palatino Linotype" w:eastAsia="Palatino Linotype" w:hAnsi="Palatino Linotype" w:cs="Palatino Linotype"/>
          <w:i/>
          <w:iCs/>
          <w:color w:val="000000"/>
        </w:rPr>
        <w:t xml:space="preserve"> </w:t>
      </w:r>
      <w:r w:rsidRPr="00987A13">
        <w:rPr>
          <w:rFonts w:ascii="Palatino Linotype" w:eastAsia="Palatino Linotype" w:hAnsi="Palatino Linotype" w:cs="Palatino Linotype"/>
          <w:b/>
          <w:bCs/>
          <w:i/>
          <w:iCs/>
          <w:color w:val="000000"/>
          <w:u w:val="single"/>
        </w:rPr>
        <w:t>En la generación, publicación y entrega de información se deberá garantizar que ésta sea accesible</w:t>
      </w:r>
      <w:r w:rsidRPr="00987A13">
        <w:rPr>
          <w:rFonts w:ascii="Palatino Linotype" w:eastAsia="Palatino Linotype" w:hAnsi="Palatino Linotype" w:cs="Palatino Linotype"/>
          <w:i/>
          <w:iCs/>
          <w:color w:val="000000"/>
        </w:rPr>
        <w:t>,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4069101B" w14:textId="77777777" w:rsidR="002F60F1" w:rsidRPr="00987A13" w:rsidRDefault="002F60F1" w:rsidP="002F60F1">
      <w:pPr>
        <w:pBdr>
          <w:top w:val="nil"/>
          <w:left w:val="nil"/>
          <w:bottom w:val="nil"/>
          <w:right w:val="nil"/>
          <w:between w:val="nil"/>
        </w:pBdr>
        <w:spacing w:line="360" w:lineRule="auto"/>
        <w:ind w:left="567" w:right="567"/>
        <w:jc w:val="both"/>
        <w:rPr>
          <w:rFonts w:ascii="Palatino Linotype" w:eastAsia="Palatino Linotype" w:hAnsi="Palatino Linotype" w:cs="Palatino Linotype"/>
          <w:i/>
          <w:iCs/>
          <w:color w:val="000000"/>
        </w:rPr>
      </w:pPr>
      <w:r w:rsidRPr="00987A13">
        <w:rPr>
          <w:rFonts w:ascii="Palatino Linotype" w:eastAsia="Palatino Linotype" w:hAnsi="Palatino Linotype" w:cs="Palatino Linotype"/>
          <w:i/>
          <w:iCs/>
          <w:color w:val="000000"/>
        </w:rPr>
        <w:t>(…)</w:t>
      </w:r>
    </w:p>
    <w:p w14:paraId="199BC0AA" w14:textId="77777777" w:rsidR="002F60F1" w:rsidRPr="00987A13" w:rsidRDefault="002F60F1" w:rsidP="002F60F1">
      <w:pPr>
        <w:pBdr>
          <w:top w:val="nil"/>
          <w:left w:val="nil"/>
          <w:bottom w:val="nil"/>
          <w:right w:val="nil"/>
          <w:between w:val="nil"/>
        </w:pBdr>
        <w:spacing w:line="360" w:lineRule="auto"/>
        <w:ind w:left="567" w:right="567"/>
        <w:jc w:val="both"/>
        <w:rPr>
          <w:rFonts w:ascii="Palatino Linotype" w:eastAsia="Palatino Linotype" w:hAnsi="Palatino Linotype" w:cs="Palatino Linotype"/>
          <w:i/>
          <w:iCs/>
          <w:color w:val="000000"/>
        </w:rPr>
      </w:pPr>
    </w:p>
    <w:p w14:paraId="073AFFF8" w14:textId="77777777" w:rsidR="002F60F1" w:rsidRPr="00987A13" w:rsidRDefault="002F60F1" w:rsidP="002F60F1">
      <w:pPr>
        <w:pBdr>
          <w:top w:val="nil"/>
          <w:left w:val="nil"/>
          <w:bottom w:val="nil"/>
          <w:right w:val="nil"/>
          <w:between w:val="nil"/>
        </w:pBdr>
        <w:spacing w:line="360" w:lineRule="auto"/>
        <w:ind w:left="567" w:right="567"/>
        <w:jc w:val="both"/>
        <w:rPr>
          <w:rFonts w:ascii="Palatino Linotype" w:eastAsia="Palatino Linotype" w:hAnsi="Palatino Linotype" w:cs="Palatino Linotype"/>
          <w:b/>
          <w:bCs/>
          <w:i/>
          <w:iCs/>
          <w:color w:val="000000"/>
          <w:u w:val="single"/>
        </w:rPr>
      </w:pPr>
      <w:r w:rsidRPr="00987A13">
        <w:rPr>
          <w:rFonts w:ascii="Palatino Linotype" w:eastAsia="Palatino Linotype" w:hAnsi="Palatino Linotype" w:cs="Palatino Linotype"/>
          <w:b/>
          <w:bCs/>
          <w:i/>
          <w:iCs/>
          <w:color w:val="000000"/>
        </w:rPr>
        <w:t>Artículo 161.</w:t>
      </w:r>
      <w:r w:rsidRPr="00987A13">
        <w:rPr>
          <w:rFonts w:ascii="Palatino Linotype" w:eastAsia="Palatino Linotype" w:hAnsi="Palatino Linotype" w:cs="Palatino Linotype"/>
          <w:i/>
          <w:iCs/>
          <w:color w:val="000000"/>
        </w:rPr>
        <w:t xml:space="preserve"> </w:t>
      </w:r>
      <w:r w:rsidRPr="00987A13">
        <w:rPr>
          <w:rFonts w:ascii="Palatino Linotype" w:eastAsia="Palatino Linotype" w:hAnsi="Palatino Linotype" w:cs="Palatino Linotype"/>
          <w:b/>
          <w:bCs/>
          <w:i/>
          <w:iCs/>
          <w:color w:val="000000"/>
          <w:u w:val="single"/>
        </w:rPr>
        <w:t>Cuando la información requerida por el solicitante ya esté</w:t>
      </w:r>
      <w:r w:rsidRPr="00987A13">
        <w:rPr>
          <w:rFonts w:ascii="Palatino Linotype" w:eastAsia="Palatino Linotype" w:hAnsi="Palatino Linotype" w:cs="Palatino Linotype"/>
          <w:i/>
          <w:iCs/>
          <w:color w:val="000000"/>
        </w:rPr>
        <w:t xml:space="preserve"> disponible al público en medios impresos, tales como libros, compendios, trípticos, registros públicos, en formatos electrónicos </w:t>
      </w:r>
      <w:r w:rsidRPr="00987A13">
        <w:rPr>
          <w:rFonts w:ascii="Palatino Linotype" w:eastAsia="Palatino Linotype" w:hAnsi="Palatino Linotype" w:cs="Palatino Linotype"/>
          <w:b/>
          <w:bCs/>
          <w:i/>
          <w:iCs/>
          <w:color w:val="000000"/>
          <w:u w:val="single"/>
        </w:rPr>
        <w:t>disponibles en Internet</w:t>
      </w:r>
      <w:r w:rsidRPr="00987A13">
        <w:rPr>
          <w:rFonts w:ascii="Palatino Linotype" w:eastAsia="Palatino Linotype" w:hAnsi="Palatino Linotype" w:cs="Palatino Linotype"/>
          <w:i/>
          <w:iCs/>
          <w:color w:val="000000"/>
        </w:rPr>
        <w:t xml:space="preserve"> o en cualquier otro medio, </w:t>
      </w:r>
      <w:r w:rsidRPr="00987A13">
        <w:rPr>
          <w:rFonts w:ascii="Palatino Linotype" w:eastAsia="Palatino Linotype" w:hAnsi="Palatino Linotype" w:cs="Palatino Linotype"/>
          <w:b/>
          <w:bCs/>
          <w:i/>
          <w:iCs/>
          <w:color w:val="000000"/>
          <w:u w:val="single"/>
        </w:rPr>
        <w:t>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Pr>
          <w:rFonts w:ascii="Palatino Linotype" w:eastAsia="Palatino Linotype" w:hAnsi="Palatino Linotype" w:cs="Palatino Linotype"/>
          <w:b/>
          <w:bCs/>
          <w:i/>
          <w:iCs/>
          <w:color w:val="000000"/>
          <w:u w:val="single"/>
        </w:rPr>
        <w:t>”</w:t>
      </w:r>
    </w:p>
    <w:p w14:paraId="7D7A8822" w14:textId="77777777" w:rsidR="002F60F1" w:rsidRPr="00987A13" w:rsidRDefault="002F60F1" w:rsidP="002F60F1">
      <w:pPr>
        <w:pBdr>
          <w:top w:val="nil"/>
          <w:left w:val="nil"/>
          <w:bottom w:val="nil"/>
          <w:right w:val="nil"/>
          <w:between w:val="nil"/>
        </w:pBdr>
        <w:spacing w:line="360" w:lineRule="auto"/>
        <w:ind w:left="426" w:right="567"/>
        <w:jc w:val="both"/>
        <w:rPr>
          <w:rFonts w:ascii="Palatino Linotype" w:eastAsia="Palatino Linotype" w:hAnsi="Palatino Linotype" w:cs="Palatino Linotype"/>
          <w:i/>
          <w:iCs/>
          <w:color w:val="000000"/>
        </w:rPr>
      </w:pPr>
    </w:p>
    <w:p w14:paraId="60C585A6" w14:textId="77777777" w:rsidR="002F60F1" w:rsidRPr="00987A13" w:rsidRDefault="002F60F1" w:rsidP="002F60F1">
      <w:pPr>
        <w:numPr>
          <w:ilvl w:val="0"/>
          <w:numId w:val="1"/>
        </w:numPr>
        <w:spacing w:line="360" w:lineRule="auto"/>
        <w:ind w:left="0" w:firstLine="0"/>
        <w:contextualSpacing/>
        <w:jc w:val="both"/>
        <w:rPr>
          <w:rFonts w:ascii="Palatino Linotype" w:eastAsia="Palatino Linotype" w:hAnsi="Palatino Linotype" w:cs="Palatino Linotype"/>
        </w:rPr>
      </w:pPr>
      <w:r w:rsidRPr="00987A13">
        <w:rPr>
          <w:rFonts w:ascii="Palatino Linotype" w:eastAsia="Palatino Linotype" w:hAnsi="Palatino Linotype" w:cs="Palatino Linotype"/>
        </w:rPr>
        <w:lastRenderedPageBreak/>
        <w:t xml:space="preserve">De los artículos transcritos, se establecen las características que debe tener la </w:t>
      </w:r>
      <w:r w:rsidRPr="00987A13">
        <w:rPr>
          <w:rFonts w:ascii="Palatino Linotype" w:eastAsia="Palatino Linotype" w:hAnsi="Palatino Linotype" w:cs="Palatino Linotype"/>
          <w:color w:val="000000"/>
        </w:rPr>
        <w:t>información</w:t>
      </w:r>
      <w:r w:rsidRPr="00987A13">
        <w:rPr>
          <w:rFonts w:ascii="Palatino Linotype" w:eastAsia="Palatino Linotype" w:hAnsi="Palatino Linotype" w:cs="Palatino Linotype"/>
        </w:rPr>
        <w:t xml:space="preserve"> desde </w:t>
      </w:r>
      <w:r w:rsidRPr="002F60F1">
        <w:rPr>
          <w:rFonts w:ascii="Palatino Linotype" w:eastAsia="Palatino Linotype" w:hAnsi="Palatino Linotype" w:cs="Palatino Linotype"/>
          <w:color w:val="000000"/>
        </w:rPr>
        <w:t>el</w:t>
      </w:r>
      <w:r w:rsidRPr="00987A13">
        <w:rPr>
          <w:rFonts w:ascii="Palatino Linotype" w:eastAsia="Palatino Linotype" w:hAnsi="Palatino Linotype" w:cs="Palatino Linotype"/>
        </w:rPr>
        <w:t xml:space="preserve"> momento de su generación, publicación y entrega, de igual manera se </w:t>
      </w:r>
      <w:r w:rsidRPr="00987A13">
        <w:rPr>
          <w:rFonts w:ascii="Palatino Linotype" w:eastAsia="Palatino Linotype" w:hAnsi="Palatino Linotype" w:cs="Palatino Linotype"/>
          <w:color w:val="000000"/>
        </w:rPr>
        <w:t>contempla</w:t>
      </w:r>
      <w:r w:rsidRPr="00987A13">
        <w:rPr>
          <w:rFonts w:ascii="Palatino Linotype" w:eastAsia="Palatino Linotype" w:hAnsi="Palatino Linotype" w:cs="Palatino Linotype"/>
        </w:rPr>
        <w:t xml:space="preserve"> el procedimiento a seguir por los sujetos obligados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14A5108B" w14:textId="77777777" w:rsidR="002F60F1" w:rsidRPr="00987A13" w:rsidRDefault="002F60F1" w:rsidP="002F60F1">
      <w:pPr>
        <w:numPr>
          <w:ilvl w:val="0"/>
          <w:numId w:val="26"/>
        </w:numPr>
        <w:pBdr>
          <w:top w:val="nil"/>
          <w:left w:val="nil"/>
          <w:bottom w:val="nil"/>
          <w:right w:val="nil"/>
          <w:between w:val="nil"/>
        </w:pBdr>
        <w:spacing w:line="360" w:lineRule="auto"/>
        <w:ind w:hanging="425"/>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La fuente,</w:t>
      </w:r>
    </w:p>
    <w:p w14:paraId="1B7852CE" w14:textId="77777777" w:rsidR="002F60F1" w:rsidRPr="00987A13" w:rsidRDefault="002F60F1" w:rsidP="002F60F1">
      <w:pPr>
        <w:numPr>
          <w:ilvl w:val="0"/>
          <w:numId w:val="26"/>
        </w:numPr>
        <w:pBdr>
          <w:top w:val="nil"/>
          <w:left w:val="nil"/>
          <w:bottom w:val="nil"/>
          <w:right w:val="nil"/>
          <w:between w:val="nil"/>
        </w:pBdr>
        <w:spacing w:line="360" w:lineRule="auto"/>
        <w:ind w:hanging="425"/>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El lugar, y</w:t>
      </w:r>
    </w:p>
    <w:p w14:paraId="720D660D" w14:textId="77777777" w:rsidR="002F60F1" w:rsidRPr="00987A13" w:rsidRDefault="002F60F1" w:rsidP="002F60F1">
      <w:pPr>
        <w:numPr>
          <w:ilvl w:val="0"/>
          <w:numId w:val="26"/>
        </w:numPr>
        <w:pBdr>
          <w:top w:val="nil"/>
          <w:left w:val="nil"/>
          <w:bottom w:val="nil"/>
          <w:right w:val="nil"/>
          <w:between w:val="nil"/>
        </w:pBdr>
        <w:spacing w:line="360" w:lineRule="auto"/>
        <w:ind w:hanging="425"/>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La forma. </w:t>
      </w:r>
    </w:p>
    <w:p w14:paraId="0710E9ED" w14:textId="77777777" w:rsidR="002F60F1" w:rsidRPr="00987A13" w:rsidRDefault="002F60F1" w:rsidP="002F60F1">
      <w:pPr>
        <w:spacing w:line="360" w:lineRule="auto"/>
        <w:jc w:val="both"/>
        <w:rPr>
          <w:rFonts w:ascii="Palatino Linotype" w:eastAsia="Palatino Linotype" w:hAnsi="Palatino Linotype" w:cs="Palatino Linotype"/>
        </w:rPr>
      </w:pPr>
    </w:p>
    <w:p w14:paraId="2EEADD79" w14:textId="77777777" w:rsidR="002F60F1" w:rsidRPr="00987A13" w:rsidRDefault="002F60F1" w:rsidP="002F60F1">
      <w:pPr>
        <w:numPr>
          <w:ilvl w:val="0"/>
          <w:numId w:val="1"/>
        </w:numPr>
        <w:spacing w:line="360" w:lineRule="auto"/>
        <w:ind w:left="0" w:firstLine="0"/>
        <w:contextualSpacing/>
        <w:jc w:val="both"/>
        <w:rPr>
          <w:rFonts w:ascii="Palatino Linotype" w:eastAsia="Palatino Linotype" w:hAnsi="Palatino Linotype" w:cs="Palatino Linotype"/>
        </w:rPr>
      </w:pPr>
      <w:r w:rsidRPr="00987A13">
        <w:rPr>
          <w:rFonts w:ascii="Palatino Linotype" w:eastAsia="Palatino Linotype" w:hAnsi="Palatino Linotype" w:cs="Palatino Linotype"/>
        </w:rPr>
        <w:t>Asimismo, se establece que la fuente de la información deberá ser:</w:t>
      </w:r>
    </w:p>
    <w:p w14:paraId="2D0E39FB" w14:textId="77777777" w:rsidR="002F60F1" w:rsidRPr="00987A13" w:rsidRDefault="002F60F1" w:rsidP="002F60F1">
      <w:pPr>
        <w:numPr>
          <w:ilvl w:val="0"/>
          <w:numId w:val="27"/>
        </w:numPr>
        <w:pBdr>
          <w:top w:val="nil"/>
          <w:left w:val="nil"/>
          <w:bottom w:val="nil"/>
          <w:right w:val="nil"/>
          <w:between w:val="nil"/>
        </w:pBdr>
        <w:spacing w:line="360" w:lineRule="auto"/>
        <w:ind w:hanging="425"/>
        <w:jc w:val="both"/>
        <w:rPr>
          <w:rFonts w:ascii="Palatino Linotype" w:eastAsia="Palatino Linotype" w:hAnsi="Palatino Linotype" w:cs="Palatino Linotype"/>
          <w:b/>
          <w:bCs/>
          <w:color w:val="000000"/>
        </w:rPr>
      </w:pPr>
      <w:r w:rsidRPr="00987A13">
        <w:rPr>
          <w:rFonts w:ascii="Palatino Linotype" w:eastAsia="Palatino Linotype" w:hAnsi="Palatino Linotype" w:cs="Palatino Linotype"/>
          <w:b/>
          <w:bCs/>
          <w:color w:val="000000"/>
        </w:rPr>
        <w:t>Precisa,</w:t>
      </w:r>
    </w:p>
    <w:p w14:paraId="15D324E9" w14:textId="77777777" w:rsidR="002F60F1" w:rsidRPr="00987A13" w:rsidRDefault="002F60F1" w:rsidP="002F60F1">
      <w:pPr>
        <w:numPr>
          <w:ilvl w:val="0"/>
          <w:numId w:val="27"/>
        </w:numPr>
        <w:pBdr>
          <w:top w:val="nil"/>
          <w:left w:val="nil"/>
          <w:bottom w:val="nil"/>
          <w:right w:val="nil"/>
          <w:between w:val="nil"/>
        </w:pBdr>
        <w:spacing w:line="360" w:lineRule="auto"/>
        <w:ind w:hanging="425"/>
        <w:jc w:val="both"/>
        <w:rPr>
          <w:rFonts w:ascii="Palatino Linotype" w:eastAsia="Palatino Linotype" w:hAnsi="Palatino Linotype" w:cs="Palatino Linotype"/>
          <w:b/>
          <w:bCs/>
          <w:color w:val="000000"/>
        </w:rPr>
      </w:pPr>
      <w:r w:rsidRPr="00987A13">
        <w:rPr>
          <w:rFonts w:ascii="Palatino Linotype" w:eastAsia="Palatino Linotype" w:hAnsi="Palatino Linotype" w:cs="Palatino Linotype"/>
          <w:b/>
          <w:bCs/>
          <w:color w:val="000000"/>
        </w:rPr>
        <w:t>Concreta,</w:t>
      </w:r>
    </w:p>
    <w:p w14:paraId="603BB724" w14:textId="77777777" w:rsidR="002F60F1" w:rsidRPr="00987A13" w:rsidRDefault="002F60F1" w:rsidP="002F60F1">
      <w:pPr>
        <w:numPr>
          <w:ilvl w:val="0"/>
          <w:numId w:val="27"/>
        </w:numPr>
        <w:pBdr>
          <w:top w:val="nil"/>
          <w:left w:val="nil"/>
          <w:bottom w:val="nil"/>
          <w:right w:val="nil"/>
          <w:between w:val="nil"/>
        </w:pBdr>
        <w:spacing w:line="360" w:lineRule="auto"/>
        <w:ind w:hanging="425"/>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Y no debe implicar que el solicitante realice una búsqueda en toda la información que se encuentre disponible.</w:t>
      </w:r>
    </w:p>
    <w:p w14:paraId="6DEDB844" w14:textId="77777777" w:rsidR="002F60F1" w:rsidRPr="00987A13" w:rsidRDefault="002F60F1" w:rsidP="002F60F1">
      <w:pPr>
        <w:spacing w:line="360" w:lineRule="auto"/>
        <w:jc w:val="both"/>
        <w:rPr>
          <w:rFonts w:ascii="Palatino Linotype" w:eastAsia="Palatino Linotype" w:hAnsi="Palatino Linotype" w:cs="Palatino Linotype"/>
        </w:rPr>
      </w:pPr>
    </w:p>
    <w:p w14:paraId="53C300E3" w14:textId="2DD7302A" w:rsidR="002F60F1" w:rsidRDefault="002F60F1" w:rsidP="002F60F1">
      <w:pPr>
        <w:numPr>
          <w:ilvl w:val="0"/>
          <w:numId w:val="1"/>
        </w:numPr>
        <w:spacing w:line="360" w:lineRule="auto"/>
        <w:ind w:left="0" w:firstLine="0"/>
        <w:contextualSpacing/>
        <w:jc w:val="both"/>
        <w:rPr>
          <w:rFonts w:ascii="Palatino Linotype" w:eastAsia="Palatino Linotype" w:hAnsi="Palatino Linotype" w:cs="Palatino Linotype"/>
        </w:rPr>
      </w:pPr>
      <w:r w:rsidRPr="00987A13">
        <w:rPr>
          <w:rFonts w:ascii="Palatino Linotype" w:eastAsia="Palatino Linotype" w:hAnsi="Palatino Linotype" w:cs="Palatino Linotype"/>
        </w:rPr>
        <w:t xml:space="preserve">Imperativos legales que establecen el procedimiento que debe seguir el Sujeto Obligado para que pueda tomarse como válida su orientación sobre la forma en que puede consultar la información requerida, y que, en el caso en concreto, si acontece, derivado que </w:t>
      </w:r>
      <w:r w:rsidR="00363F3C">
        <w:rPr>
          <w:rFonts w:ascii="Palatino Linotype" w:eastAsia="Palatino Linotype" w:hAnsi="Palatino Linotype" w:cs="Palatino Linotype"/>
        </w:rPr>
        <w:t xml:space="preserve">los </w:t>
      </w:r>
      <w:r w:rsidRPr="00987A13">
        <w:rPr>
          <w:rFonts w:ascii="Palatino Linotype" w:eastAsia="Palatino Linotype" w:hAnsi="Palatino Linotype" w:cs="Palatino Linotype"/>
        </w:rPr>
        <w:t>enlace</w:t>
      </w:r>
      <w:r w:rsidR="00363F3C">
        <w:rPr>
          <w:rFonts w:ascii="Palatino Linotype" w:eastAsia="Palatino Linotype" w:hAnsi="Palatino Linotype" w:cs="Palatino Linotype"/>
        </w:rPr>
        <w:t>s</w:t>
      </w:r>
      <w:r w:rsidRPr="00987A13">
        <w:rPr>
          <w:rFonts w:ascii="Palatino Linotype" w:eastAsia="Palatino Linotype" w:hAnsi="Palatino Linotype" w:cs="Palatino Linotype"/>
        </w:rPr>
        <w:t xml:space="preserve"> se encuentra en formato abierto, es decir que basta con colocar el cursor sobre el enlace para que se active el hipervínculo y con solo dar clic dirija al contenido del enlace, </w:t>
      </w:r>
      <w:r>
        <w:rPr>
          <w:rFonts w:ascii="Palatino Linotype" w:eastAsia="Palatino Linotype" w:hAnsi="Palatino Linotype" w:cs="Palatino Linotype"/>
        </w:rPr>
        <w:t>obteniendo l</w:t>
      </w:r>
      <w:r w:rsidR="00363F3C">
        <w:rPr>
          <w:rFonts w:ascii="Palatino Linotype" w:eastAsia="Palatino Linotype" w:hAnsi="Palatino Linotype" w:cs="Palatino Linotype"/>
        </w:rPr>
        <w:t>os</w:t>
      </w:r>
      <w:r>
        <w:rPr>
          <w:rFonts w:ascii="Palatino Linotype" w:eastAsia="Palatino Linotype" w:hAnsi="Palatino Linotype" w:cs="Palatino Linotype"/>
        </w:rPr>
        <w:t xml:space="preserve"> siguiente</w:t>
      </w:r>
      <w:r w:rsidR="00363F3C">
        <w:rPr>
          <w:rFonts w:ascii="Palatino Linotype" w:eastAsia="Palatino Linotype" w:hAnsi="Palatino Linotype" w:cs="Palatino Linotype"/>
        </w:rPr>
        <w:t>s</w:t>
      </w:r>
      <w:r>
        <w:rPr>
          <w:rFonts w:ascii="Palatino Linotype" w:eastAsia="Palatino Linotype" w:hAnsi="Palatino Linotype" w:cs="Palatino Linotype"/>
        </w:rPr>
        <w:t xml:space="preserve"> resultado</w:t>
      </w:r>
      <w:r w:rsidR="00363F3C">
        <w:rPr>
          <w:rFonts w:ascii="Palatino Linotype" w:eastAsia="Palatino Linotype" w:hAnsi="Palatino Linotype" w:cs="Palatino Linotype"/>
        </w:rPr>
        <w:t>s</w:t>
      </w:r>
      <w:r>
        <w:rPr>
          <w:rFonts w:ascii="Palatino Linotype" w:eastAsia="Palatino Linotype" w:hAnsi="Palatino Linotype" w:cs="Palatino Linotype"/>
        </w:rPr>
        <w:t>:</w:t>
      </w:r>
    </w:p>
    <w:p w14:paraId="335F8AAF" w14:textId="0447CAF5" w:rsidR="00363F3C" w:rsidRDefault="00363F3C" w:rsidP="00363F3C">
      <w:pPr>
        <w:spacing w:line="360" w:lineRule="auto"/>
        <w:contextualSpacing/>
        <w:jc w:val="center"/>
        <w:rPr>
          <w:rFonts w:ascii="Palatino Linotype" w:eastAsia="Palatino Linotype" w:hAnsi="Palatino Linotype" w:cs="Palatino Linotype"/>
        </w:rPr>
      </w:pPr>
      <w:r w:rsidRPr="00363F3C">
        <w:rPr>
          <w:rFonts w:ascii="Palatino Linotype" w:eastAsia="Palatino Linotype" w:hAnsi="Palatino Linotype" w:cs="Palatino Linotype"/>
          <w:noProof/>
          <w:lang w:val="es-MX" w:eastAsia="es-MX"/>
        </w:rPr>
        <w:lastRenderedPageBreak/>
        <w:drawing>
          <wp:inline distT="0" distB="0" distL="0" distR="0" wp14:anchorId="5141C450" wp14:editId="72B608E4">
            <wp:extent cx="5581015" cy="1816735"/>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1015" cy="1816735"/>
                    </a:xfrm>
                    <a:prstGeom prst="rect">
                      <a:avLst/>
                    </a:prstGeom>
                  </pic:spPr>
                </pic:pic>
              </a:graphicData>
            </a:graphic>
          </wp:inline>
        </w:drawing>
      </w:r>
    </w:p>
    <w:p w14:paraId="4C801A13" w14:textId="70F83573" w:rsidR="00363F3C" w:rsidRPr="00363F3C" w:rsidRDefault="00363F3C" w:rsidP="00363F3C">
      <w:pPr>
        <w:spacing w:line="360" w:lineRule="auto"/>
        <w:contextualSpacing/>
        <w:jc w:val="center"/>
        <w:rPr>
          <w:rFonts w:ascii="Palatino Linotype" w:eastAsia="Palatino Linotype" w:hAnsi="Palatino Linotype" w:cs="Palatino Linotype"/>
          <w:i/>
        </w:rPr>
      </w:pPr>
      <w:r w:rsidRPr="00363F3C">
        <w:rPr>
          <w:rFonts w:ascii="Palatino Linotype" w:eastAsia="Palatino Linotype" w:hAnsi="Palatino Linotype" w:cs="Palatino Linotype"/>
          <w:i/>
        </w:rPr>
        <w:t>https://ipomex.org.mx/ipomex/#/info-fraccion/37/197/2</w:t>
      </w:r>
    </w:p>
    <w:p w14:paraId="7D2773FC" w14:textId="77777777" w:rsidR="00363F3C" w:rsidRDefault="00363F3C" w:rsidP="00363F3C">
      <w:pPr>
        <w:pBdr>
          <w:bottom w:val="single" w:sz="6" w:space="1" w:color="auto"/>
        </w:pBdr>
        <w:spacing w:line="360" w:lineRule="auto"/>
        <w:contextualSpacing/>
        <w:jc w:val="center"/>
        <w:rPr>
          <w:rFonts w:ascii="Palatino Linotype" w:eastAsia="Palatino Linotype" w:hAnsi="Palatino Linotype" w:cs="Palatino Linotype"/>
        </w:rPr>
      </w:pPr>
    </w:p>
    <w:p w14:paraId="5AE28270" w14:textId="77777777" w:rsidR="00363F3C" w:rsidRDefault="00363F3C" w:rsidP="00363F3C">
      <w:pPr>
        <w:spacing w:line="360" w:lineRule="auto"/>
        <w:contextualSpacing/>
        <w:jc w:val="center"/>
        <w:rPr>
          <w:rFonts w:ascii="Palatino Linotype" w:eastAsia="Palatino Linotype" w:hAnsi="Palatino Linotype" w:cs="Palatino Linotype"/>
        </w:rPr>
      </w:pPr>
    </w:p>
    <w:p w14:paraId="76DA0673" w14:textId="4FFA56B6" w:rsidR="00363F3C" w:rsidRDefault="00363F3C" w:rsidP="00363F3C">
      <w:pPr>
        <w:spacing w:line="360" w:lineRule="auto"/>
        <w:contextualSpacing/>
        <w:jc w:val="center"/>
        <w:rPr>
          <w:rFonts w:ascii="Palatino Linotype" w:eastAsia="Palatino Linotype" w:hAnsi="Palatino Linotype" w:cs="Palatino Linotype"/>
        </w:rPr>
      </w:pPr>
      <w:r w:rsidRPr="00363F3C">
        <w:rPr>
          <w:rFonts w:ascii="Palatino Linotype" w:eastAsia="Palatino Linotype" w:hAnsi="Palatino Linotype" w:cs="Palatino Linotype"/>
          <w:noProof/>
          <w:lang w:val="es-MX" w:eastAsia="es-MX"/>
        </w:rPr>
        <w:drawing>
          <wp:inline distT="0" distB="0" distL="0" distR="0" wp14:anchorId="51DD6F57" wp14:editId="39BEC453">
            <wp:extent cx="5581015" cy="202692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81015" cy="2026920"/>
                    </a:xfrm>
                    <a:prstGeom prst="rect">
                      <a:avLst/>
                    </a:prstGeom>
                  </pic:spPr>
                </pic:pic>
              </a:graphicData>
            </a:graphic>
          </wp:inline>
        </w:drawing>
      </w:r>
    </w:p>
    <w:p w14:paraId="667E7F1D" w14:textId="07B8F85F" w:rsidR="00363F3C" w:rsidRPr="00363F3C" w:rsidRDefault="00363F3C" w:rsidP="00363F3C">
      <w:pPr>
        <w:spacing w:line="360" w:lineRule="auto"/>
        <w:contextualSpacing/>
        <w:jc w:val="center"/>
        <w:rPr>
          <w:rFonts w:ascii="Palatino Linotype" w:eastAsia="Palatino Linotype" w:hAnsi="Palatino Linotype" w:cs="Palatino Linotype"/>
          <w:i/>
        </w:rPr>
      </w:pPr>
      <w:r w:rsidRPr="00363F3C">
        <w:rPr>
          <w:rFonts w:ascii="Palatino Linotype" w:eastAsia="Palatino Linotype" w:hAnsi="Palatino Linotype" w:cs="Palatino Linotype"/>
          <w:i/>
        </w:rPr>
        <w:t>https://ipomex.org.mx/ipomex/#/obligaciones/197</w:t>
      </w:r>
    </w:p>
    <w:p w14:paraId="5E1D0716" w14:textId="77777777" w:rsidR="00363F3C" w:rsidRDefault="00363F3C" w:rsidP="00363F3C">
      <w:pPr>
        <w:spacing w:line="360" w:lineRule="auto"/>
        <w:contextualSpacing/>
        <w:jc w:val="center"/>
        <w:rPr>
          <w:rFonts w:ascii="Palatino Linotype" w:eastAsia="Palatino Linotype" w:hAnsi="Palatino Linotype" w:cs="Palatino Linotype"/>
        </w:rPr>
      </w:pPr>
    </w:p>
    <w:p w14:paraId="786F6E0A" w14:textId="5A8315B5" w:rsidR="00363F3C" w:rsidRDefault="00363F3C" w:rsidP="00363F3C">
      <w:pPr>
        <w:spacing w:line="360" w:lineRule="auto"/>
        <w:contextualSpacing/>
        <w:jc w:val="center"/>
        <w:rPr>
          <w:rFonts w:ascii="Palatino Linotype" w:eastAsia="Palatino Linotype" w:hAnsi="Palatino Linotype" w:cs="Palatino Linotype"/>
        </w:rPr>
      </w:pPr>
      <w:r w:rsidRPr="00363F3C">
        <w:rPr>
          <w:rFonts w:ascii="Palatino Linotype" w:eastAsia="Palatino Linotype" w:hAnsi="Palatino Linotype" w:cs="Palatino Linotype"/>
          <w:noProof/>
          <w:lang w:val="es-MX" w:eastAsia="es-MX"/>
        </w:rPr>
        <w:lastRenderedPageBreak/>
        <w:drawing>
          <wp:inline distT="0" distB="0" distL="0" distR="0" wp14:anchorId="71E4BA0F" wp14:editId="319AB76C">
            <wp:extent cx="5581015" cy="436499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4364990"/>
                    </a:xfrm>
                    <a:prstGeom prst="rect">
                      <a:avLst/>
                    </a:prstGeom>
                  </pic:spPr>
                </pic:pic>
              </a:graphicData>
            </a:graphic>
          </wp:inline>
        </w:drawing>
      </w:r>
    </w:p>
    <w:p w14:paraId="65DD6E7D" w14:textId="2A016ECD" w:rsidR="00363F3C" w:rsidRDefault="00363F3C" w:rsidP="00363F3C">
      <w:pPr>
        <w:spacing w:line="360" w:lineRule="auto"/>
        <w:contextualSpacing/>
        <w:jc w:val="center"/>
        <w:rPr>
          <w:rFonts w:ascii="Palatino Linotype" w:eastAsia="Palatino Linotype" w:hAnsi="Palatino Linotype" w:cs="Palatino Linotype"/>
          <w:i/>
        </w:rPr>
      </w:pPr>
      <w:r w:rsidRPr="00363F3C">
        <w:rPr>
          <w:rFonts w:ascii="Palatino Linotype" w:eastAsia="Palatino Linotype" w:hAnsi="Palatino Linotype" w:cs="Palatino Linotype"/>
          <w:i/>
        </w:rPr>
        <w:t>https://www.facebook.com/ayuntamientodetolucamx</w:t>
      </w:r>
    </w:p>
    <w:p w14:paraId="3EB2E42B" w14:textId="77777777" w:rsidR="00363F3C" w:rsidRPr="00363F3C" w:rsidRDefault="00363F3C" w:rsidP="00363F3C">
      <w:pPr>
        <w:spacing w:line="360" w:lineRule="auto"/>
        <w:contextualSpacing/>
        <w:jc w:val="center"/>
        <w:rPr>
          <w:rFonts w:ascii="Palatino Linotype" w:eastAsia="Palatino Linotype" w:hAnsi="Palatino Linotype" w:cs="Palatino Linotype"/>
          <w:i/>
        </w:rPr>
      </w:pPr>
    </w:p>
    <w:p w14:paraId="5EE18E63" w14:textId="6C8E7BAC" w:rsidR="00E62D2E" w:rsidRDefault="00363F3C" w:rsidP="00363F3C">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363F3C">
        <w:rPr>
          <w:rFonts w:ascii="Palatino Linotype" w:eastAsia="Palatino Linotype" w:hAnsi="Palatino Linotype" w:cs="Palatino Linotype"/>
          <w:color w:val="000000"/>
        </w:rPr>
        <w:t>Como se observa del primer enlace, este carece de contenido, al intentar ingresar al Ejercicio 2025 que allí aparece</w:t>
      </w:r>
      <w:r w:rsidR="006111E6">
        <w:rPr>
          <w:rFonts w:ascii="Palatino Linotype" w:eastAsia="Palatino Linotype" w:hAnsi="Palatino Linotype" w:cs="Palatino Linotype"/>
          <w:color w:val="000000"/>
        </w:rPr>
        <w:t>;</w:t>
      </w:r>
      <w:r w:rsidRPr="00363F3C">
        <w:rPr>
          <w:rFonts w:ascii="Palatino Linotype" w:eastAsia="Palatino Linotype" w:hAnsi="Palatino Linotype" w:cs="Palatino Linotype"/>
          <w:color w:val="000000"/>
        </w:rPr>
        <w:t xml:space="preserve"> en el segundo enlace se advierten tres rubros, siendo el de interés del caso concreto el de presupuesto y seguimiento del que se advierte lo siguiente:</w:t>
      </w:r>
    </w:p>
    <w:p w14:paraId="6351EC6F" w14:textId="6DAC7921" w:rsidR="00363F3C" w:rsidRPr="00E62D2E" w:rsidRDefault="00363F3C" w:rsidP="001631AB">
      <w:pPr>
        <w:spacing w:line="360" w:lineRule="auto"/>
        <w:contextualSpacing/>
        <w:jc w:val="center"/>
        <w:rPr>
          <w:rFonts w:ascii="Palatino Linotype" w:eastAsia="Palatino Linotype" w:hAnsi="Palatino Linotype" w:cs="Palatino Linotype"/>
          <w:color w:val="000000"/>
        </w:rPr>
      </w:pPr>
      <w:r w:rsidRPr="00363F3C">
        <w:rPr>
          <w:rFonts w:ascii="Palatino Linotype" w:eastAsia="Palatino Linotype" w:hAnsi="Palatino Linotype" w:cs="Palatino Linotype"/>
          <w:noProof/>
          <w:color w:val="000000"/>
          <w:lang w:val="es-MX" w:eastAsia="es-MX"/>
        </w:rPr>
        <w:lastRenderedPageBreak/>
        <w:drawing>
          <wp:inline distT="0" distB="0" distL="0" distR="0" wp14:anchorId="0CAFEB8A" wp14:editId="5C51E04E">
            <wp:extent cx="5581015" cy="1591945"/>
            <wp:effectExtent l="0" t="0" r="635"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1015" cy="1591945"/>
                    </a:xfrm>
                    <a:prstGeom prst="rect">
                      <a:avLst/>
                    </a:prstGeom>
                  </pic:spPr>
                </pic:pic>
              </a:graphicData>
            </a:graphic>
          </wp:inline>
        </w:drawing>
      </w:r>
    </w:p>
    <w:p w14:paraId="0875F240" w14:textId="77777777" w:rsidR="00E62D2E" w:rsidRDefault="00E62D2E" w:rsidP="00E62D2E">
      <w:pPr>
        <w:pStyle w:val="Prrafodelista"/>
        <w:rPr>
          <w:rFonts w:ascii="Palatino Linotype" w:eastAsia="Palatino Linotype" w:hAnsi="Palatino Linotype" w:cs="Palatino Linotype"/>
        </w:rPr>
      </w:pPr>
    </w:p>
    <w:p w14:paraId="094E808E" w14:textId="4CA2BAE8" w:rsidR="00E62D2E" w:rsidRDefault="00363F3C" w:rsidP="00363F3C">
      <w:pPr>
        <w:numPr>
          <w:ilvl w:val="0"/>
          <w:numId w:val="1"/>
        </w:numPr>
        <w:spacing w:line="360" w:lineRule="auto"/>
        <w:ind w:left="0" w:firstLine="0"/>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el enlace no es concreto y directo pues se debe realizar una búsqueda de la información de interés en las fracciones que se despliegan a manera de submenú. Contexto que se actualiza en el caso de la página de</w:t>
      </w:r>
      <w:r w:rsidRPr="00363F3C">
        <w:rPr>
          <w:rFonts w:ascii="Palatino Linotype" w:eastAsia="Palatino Linotype" w:hAnsi="Palatino Linotype" w:cs="Palatino Linotype"/>
          <w:i/>
          <w:color w:val="000000"/>
        </w:rPr>
        <w:t xml:space="preserve"> Facebook</w:t>
      </w:r>
      <w:r>
        <w:rPr>
          <w:rFonts w:ascii="Palatino Linotype" w:eastAsia="Palatino Linotype" w:hAnsi="Palatino Linotype" w:cs="Palatino Linotype"/>
          <w:i/>
          <w:color w:val="000000"/>
        </w:rPr>
        <w:t>;</w:t>
      </w:r>
      <w:r>
        <w:rPr>
          <w:rFonts w:ascii="Palatino Linotype" w:eastAsia="Palatino Linotype" w:hAnsi="Palatino Linotype" w:cs="Palatino Linotype"/>
          <w:color w:val="000000"/>
        </w:rPr>
        <w:t xml:space="preserve"> toda vez que el enlace entregado dirige a la página principal, de modo tal que el particular para poder localizar lo que el Coordinador General de Comunicación Social refiere, es necesario navegar en el historial de publicaciones de dicha página, lo que notoriamente contraviene a lo dispuesto por el marco normativo de la materia, para tener por atendida una solicitud de información a través de enlaces en las que ya obra la información publicada.</w:t>
      </w:r>
    </w:p>
    <w:p w14:paraId="1D88339E" w14:textId="77777777" w:rsidR="00363F3C" w:rsidRDefault="00363F3C" w:rsidP="00363F3C">
      <w:pPr>
        <w:spacing w:line="360" w:lineRule="auto"/>
        <w:contextualSpacing/>
        <w:jc w:val="both"/>
        <w:rPr>
          <w:rFonts w:ascii="Palatino Linotype" w:eastAsia="Palatino Linotype" w:hAnsi="Palatino Linotype" w:cs="Palatino Linotype"/>
          <w:color w:val="000000"/>
        </w:rPr>
      </w:pPr>
    </w:p>
    <w:p w14:paraId="19E935D1" w14:textId="1667C8D5" w:rsidR="00363F3C" w:rsidRDefault="00363F3C" w:rsidP="00996782">
      <w:pPr>
        <w:numPr>
          <w:ilvl w:val="0"/>
          <w:numId w:val="1"/>
        </w:numPr>
        <w:spacing w:line="360" w:lineRule="auto"/>
        <w:ind w:left="0" w:firstLine="0"/>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se concluye que los enlaces entregados no colman ningún rubro de los que integran la solicitud de acceso a la información</w:t>
      </w:r>
      <w:r w:rsidR="00996782">
        <w:rPr>
          <w:rFonts w:ascii="Palatino Linotype" w:eastAsia="Palatino Linotype" w:hAnsi="Palatino Linotype" w:cs="Palatino Linotype"/>
          <w:color w:val="000000"/>
        </w:rPr>
        <w:t xml:space="preserve">, no obstante de dichas respuestas se desprende un aspecto relevante, como lo es el hecho de que el </w:t>
      </w:r>
      <w:r w:rsidR="00996782">
        <w:rPr>
          <w:rFonts w:ascii="Palatino Linotype" w:eastAsia="Palatino Linotype" w:hAnsi="Palatino Linotype" w:cs="Palatino Linotype"/>
          <w:b/>
          <w:color w:val="000000"/>
        </w:rPr>
        <w:t xml:space="preserve">SUJETO OBLIGADO </w:t>
      </w:r>
      <w:r w:rsidR="00996782">
        <w:rPr>
          <w:rFonts w:ascii="Palatino Linotype" w:eastAsia="Palatino Linotype" w:hAnsi="Palatino Linotype" w:cs="Palatino Linotype"/>
          <w:color w:val="000000"/>
        </w:rPr>
        <w:t>acepta de manera expresa que lo solicitado si fue generado, poseído o administrado. Situación que se concatena con el pronunciamiento emitido por el Tesorero Municipal, quien refiere que lo solicitado se encuentra en etapa de integración</w:t>
      </w:r>
      <w:r w:rsidR="00996782" w:rsidRPr="00996782">
        <w:t xml:space="preserve"> </w:t>
      </w:r>
      <w:r w:rsidR="00996782" w:rsidRPr="00996782">
        <w:rPr>
          <w:rFonts w:ascii="Palatino Linotype" w:eastAsia="Palatino Linotype" w:hAnsi="Palatino Linotype" w:cs="Palatino Linotype"/>
          <w:color w:val="000000"/>
        </w:rPr>
        <w:t>por formar parte del cuarto informe trimestral 2025</w:t>
      </w:r>
      <w:r w:rsidR="00996782">
        <w:rPr>
          <w:rFonts w:ascii="Palatino Linotype" w:eastAsia="Palatino Linotype" w:hAnsi="Palatino Linotype" w:cs="Palatino Linotype"/>
          <w:color w:val="000000"/>
        </w:rPr>
        <w:t>. Por lo que en relatadas circunstancias, se cuenta con plena certeza que se cuenta con lo solicitado.</w:t>
      </w:r>
    </w:p>
    <w:p w14:paraId="26904848" w14:textId="5755FE83" w:rsidR="00996782" w:rsidRDefault="00996782" w:rsidP="00996782">
      <w:pPr>
        <w:numPr>
          <w:ilvl w:val="0"/>
          <w:numId w:val="1"/>
        </w:numPr>
        <w:spacing w:line="360" w:lineRule="auto"/>
        <w:ind w:left="0" w:firstLine="0"/>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Por otro lado, a colación de la respuesta emitida por el servidor público habilitado de la Tesorería Municipal, es de subrayar que se desestima la pretendida imposibilidad invocada; toda vez que las obligaciones del Ayuntamiento como ente fiscalizable, no guardan ninguna relación con sus obligaciones como sujeto obligado en materia de transparencia y acceso a la información pública; toda vez que es de explorado derecho que el acceso a la información pública es un derecho que versa sobre documentos que los sujetos obligados en ejercicio de sus funciones de derecho público generen, posean o administren previo a la interposición de una solicitud de información. De tal manera que si ya obra la información en sus archivos, esta, se encuentra en posibilidades de ser entregada ante una solicitud de información con independencia de cualquier otra obligación a la que esté sujeta esa información como lo es en materia de fiscalización.</w:t>
      </w:r>
    </w:p>
    <w:p w14:paraId="131553CF" w14:textId="77777777" w:rsidR="00363F3C" w:rsidRDefault="00363F3C" w:rsidP="00363F3C">
      <w:pPr>
        <w:spacing w:line="360" w:lineRule="auto"/>
        <w:contextualSpacing/>
        <w:jc w:val="both"/>
        <w:rPr>
          <w:rFonts w:ascii="Palatino Linotype" w:eastAsia="Palatino Linotype" w:hAnsi="Palatino Linotype" w:cs="Palatino Linotype"/>
          <w:color w:val="000000"/>
        </w:rPr>
      </w:pPr>
    </w:p>
    <w:p w14:paraId="025FF21F" w14:textId="218D3C77" w:rsidR="001839FE" w:rsidRPr="00FA0FEE" w:rsidRDefault="00996782" w:rsidP="00C7596D">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FA0FEE">
        <w:rPr>
          <w:rFonts w:ascii="Palatino Linotype" w:eastAsia="Palatino Linotype" w:hAnsi="Palatino Linotype" w:cs="Palatino Linotype"/>
          <w:color w:val="000000"/>
        </w:rPr>
        <w:t>Dicho lo anterior, resulta evidente la procedencia de la entrega de la información que tiene el carácter</w:t>
      </w:r>
      <w:r w:rsidR="00FA230C" w:rsidRPr="00FA0FEE">
        <w:rPr>
          <w:rFonts w:ascii="Palatino Linotype" w:eastAsia="Palatino Linotype" w:hAnsi="Palatino Linotype" w:cs="Palatino Linotype"/>
          <w:color w:val="000000"/>
        </w:rPr>
        <w:t xml:space="preserve"> de publica y que se insiste, ya fue aceptada de manera expresa, de modo que resultaría ocioso realizar un estudio pormenorizado de la fuente obligacional del </w:t>
      </w:r>
      <w:r w:rsidR="00FA230C" w:rsidRPr="00FA0FEE">
        <w:rPr>
          <w:rFonts w:ascii="Palatino Linotype" w:eastAsia="Palatino Linotype" w:hAnsi="Palatino Linotype" w:cs="Palatino Linotype"/>
          <w:b/>
          <w:color w:val="000000"/>
        </w:rPr>
        <w:t xml:space="preserve">SUJETO OBLIGADO </w:t>
      </w:r>
      <w:r w:rsidR="00FA230C" w:rsidRPr="00FA0FEE">
        <w:rPr>
          <w:rFonts w:ascii="Palatino Linotype" w:eastAsia="Palatino Linotype" w:hAnsi="Palatino Linotype" w:cs="Palatino Linotype"/>
          <w:color w:val="000000"/>
        </w:rPr>
        <w:t>al respecto para determinar que cuenta con una información que ya admitió si obra en sus archivos. No obstante ello no es óbice para realizar las siguientes precisiones.</w:t>
      </w:r>
      <w:r w:rsidR="00FA0FEE" w:rsidRPr="00FA0FEE">
        <w:rPr>
          <w:rFonts w:ascii="Palatino Linotype" w:eastAsia="Palatino Linotype" w:hAnsi="Palatino Linotype" w:cs="Palatino Linotype"/>
          <w:color w:val="000000"/>
        </w:rPr>
        <w:t xml:space="preserve"> L</w:t>
      </w:r>
      <w:r w:rsidR="001839FE" w:rsidRPr="00FA0FEE">
        <w:rPr>
          <w:rFonts w:ascii="Palatino Linotype" w:eastAsia="Palatino Linotype" w:hAnsi="Palatino Linotype" w:cs="Palatino Linotype"/>
          <w:color w:val="000000"/>
        </w:rPr>
        <w:t xml:space="preserve">a Ley de la Contratación Pública del Estado de México y Municipios, la cual tiene por objeto regular los actos relativos a la planeación, programación, presupuestación, ejecución y control de la adquisición, enajenación y arrendamiento de bienes, y la </w:t>
      </w:r>
      <w:r w:rsidR="001839FE" w:rsidRPr="00FA0FEE">
        <w:rPr>
          <w:rFonts w:ascii="Palatino Linotype" w:eastAsia="Palatino Linotype" w:hAnsi="Palatino Linotype" w:cs="Palatino Linotype"/>
          <w:b/>
          <w:bCs/>
          <w:color w:val="000000"/>
        </w:rPr>
        <w:t>contratación de servicios de cualquier naturaleza, que realicen los Ayuntamientos del Estado</w:t>
      </w:r>
      <w:r w:rsidR="001839FE" w:rsidRPr="00FA0FEE">
        <w:rPr>
          <w:rFonts w:ascii="Palatino Linotype" w:eastAsia="Palatino Linotype" w:hAnsi="Palatino Linotype" w:cs="Palatino Linotype"/>
          <w:color w:val="000000"/>
        </w:rPr>
        <w:t xml:space="preserve">; los cuales se </w:t>
      </w:r>
      <w:r w:rsidR="001839FE" w:rsidRPr="00FA0FEE">
        <w:rPr>
          <w:rFonts w:ascii="Palatino Linotype" w:eastAsia="Palatino Linotype" w:hAnsi="Palatino Linotype" w:cs="Palatino Linotype"/>
        </w:rPr>
        <w:t>adjudicarán</w:t>
      </w:r>
      <w:r w:rsidR="001839FE" w:rsidRPr="00FA0FEE">
        <w:rPr>
          <w:rFonts w:ascii="Palatino Linotype" w:eastAsia="Palatino Linotype" w:hAnsi="Palatino Linotype" w:cs="Palatino Linotype"/>
          <w:color w:val="000000"/>
        </w:rPr>
        <w:t xml:space="preserve"> a través de </w:t>
      </w:r>
      <w:r w:rsidR="001839FE" w:rsidRPr="00FA0FEE">
        <w:rPr>
          <w:rFonts w:ascii="Palatino Linotype" w:eastAsia="Palatino Linotype" w:hAnsi="Palatino Linotype" w:cs="Palatino Linotype"/>
          <w:color w:val="000000"/>
          <w:u w:val="single"/>
        </w:rPr>
        <w:t>licitaciones públicas</w:t>
      </w:r>
      <w:r w:rsidR="001839FE" w:rsidRPr="00FA0FEE">
        <w:rPr>
          <w:rFonts w:ascii="Palatino Linotype" w:eastAsia="Palatino Linotype" w:hAnsi="Palatino Linotype" w:cs="Palatino Linotype"/>
          <w:color w:val="000000"/>
        </w:rPr>
        <w:t>, i</w:t>
      </w:r>
      <w:r w:rsidR="001839FE" w:rsidRPr="00FA0FEE">
        <w:rPr>
          <w:rFonts w:ascii="Palatino Linotype" w:eastAsia="Palatino Linotype" w:hAnsi="Palatino Linotype" w:cs="Palatino Linotype"/>
          <w:color w:val="000000"/>
          <w:u w:val="single"/>
        </w:rPr>
        <w:t xml:space="preserve">nvitación restringida o </w:t>
      </w:r>
      <w:r w:rsidR="001839FE" w:rsidRPr="00FA0FEE">
        <w:rPr>
          <w:rFonts w:ascii="Palatino Linotype" w:eastAsia="Palatino Linotype" w:hAnsi="Palatino Linotype" w:cs="Palatino Linotype"/>
          <w:color w:val="000000"/>
          <w:u w:val="single"/>
        </w:rPr>
        <w:lastRenderedPageBreak/>
        <w:t>adjudicación directa,</w:t>
      </w:r>
      <w:r w:rsidR="001839FE" w:rsidRPr="00FA0FEE">
        <w:rPr>
          <w:rFonts w:ascii="Palatino Linotype" w:eastAsia="Palatino Linotype" w:hAnsi="Palatino Linotype" w:cs="Palatino Linotype"/>
          <w:color w:val="000000"/>
        </w:rPr>
        <w:t xml:space="preserve"> mediante convocatoria pública, tal y como lo establecen los artículos 4, 26 y 27 de dicha Ley, los cuales son del tenor siguiente:</w:t>
      </w:r>
    </w:p>
    <w:p w14:paraId="439F28AE" w14:textId="77777777" w:rsidR="001839FE" w:rsidRPr="00987A13" w:rsidRDefault="001839FE" w:rsidP="001839FE">
      <w:pPr>
        <w:spacing w:line="360" w:lineRule="auto"/>
        <w:ind w:left="851" w:right="822"/>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w:t>
      </w:r>
      <w:r w:rsidRPr="00987A13">
        <w:rPr>
          <w:rFonts w:ascii="Palatino Linotype" w:eastAsia="Palatino Linotype" w:hAnsi="Palatino Linotype" w:cs="Palatino Linotype"/>
          <w:b/>
          <w:bCs/>
          <w:i/>
          <w:iCs/>
        </w:rPr>
        <w:t>Artículo 4.-</w:t>
      </w:r>
      <w:r w:rsidRPr="00987A13">
        <w:rPr>
          <w:rFonts w:ascii="Palatino Linotype" w:eastAsia="Palatino Linotype" w:hAnsi="Palatino Linotype" w:cs="Palatino Linotype"/>
          <w:i/>
          <w:iCs/>
        </w:rPr>
        <w:t xml:space="preserve"> Para los efectos de esta Ley, en las adquisiciones, enajenaciones, arrendamientos y servicios, quedan comprendidos: </w:t>
      </w:r>
    </w:p>
    <w:p w14:paraId="4BE87C05" w14:textId="77777777" w:rsidR="001839FE" w:rsidRPr="00987A13" w:rsidRDefault="001839FE" w:rsidP="001839FE">
      <w:pPr>
        <w:spacing w:line="360" w:lineRule="auto"/>
        <w:ind w:left="851" w:right="822"/>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 xml:space="preserve">I. La adquisición de bienes muebles. </w:t>
      </w:r>
    </w:p>
    <w:p w14:paraId="30EA995E" w14:textId="77777777" w:rsidR="001839FE" w:rsidRPr="00987A13" w:rsidRDefault="001839FE" w:rsidP="001839FE">
      <w:pPr>
        <w:spacing w:line="360" w:lineRule="auto"/>
        <w:ind w:left="851" w:right="822"/>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 xml:space="preserve">II. La adquisición de bienes inmuebles, a través de compraventa. </w:t>
      </w:r>
    </w:p>
    <w:p w14:paraId="330A84EA" w14:textId="77777777" w:rsidR="001839FE" w:rsidRPr="00987A13" w:rsidRDefault="001839FE" w:rsidP="001839FE">
      <w:pPr>
        <w:spacing w:line="360" w:lineRule="auto"/>
        <w:ind w:left="851" w:right="822"/>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 xml:space="preserve">III. La enajenación de bienes muebles e inmuebles. </w:t>
      </w:r>
    </w:p>
    <w:p w14:paraId="3599CFB6" w14:textId="77777777" w:rsidR="001839FE" w:rsidRPr="00987A13" w:rsidRDefault="001839FE" w:rsidP="001839FE">
      <w:pPr>
        <w:spacing w:line="360" w:lineRule="auto"/>
        <w:ind w:left="851" w:right="822"/>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 xml:space="preserve">IV. El arrendamiento de bienes muebles e inmuebles. </w:t>
      </w:r>
    </w:p>
    <w:p w14:paraId="68C256A0" w14:textId="77777777" w:rsidR="001839FE" w:rsidRPr="00987A13" w:rsidRDefault="001839FE" w:rsidP="001839FE">
      <w:pPr>
        <w:spacing w:line="360" w:lineRule="auto"/>
        <w:ind w:left="851" w:right="822"/>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 xml:space="preserve">V. La contratación de los servicios, relacionados con bienes muebles que se encuentran incorporados o adheridos a bienes inmuebles, cuya instalación o mantenimiento no implique modificación al bien inmueble. </w:t>
      </w:r>
    </w:p>
    <w:p w14:paraId="02822C58" w14:textId="77777777" w:rsidR="001839FE" w:rsidRPr="00987A13" w:rsidRDefault="001839FE" w:rsidP="001839FE">
      <w:pPr>
        <w:spacing w:line="360" w:lineRule="auto"/>
        <w:ind w:left="851" w:right="822"/>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 xml:space="preserve">VI. La contratación de los servicios de reconstrucción y mantenimiento de bienes muebles. </w:t>
      </w:r>
    </w:p>
    <w:p w14:paraId="56EBD4E1" w14:textId="77777777" w:rsidR="001839FE" w:rsidRPr="00987A13" w:rsidRDefault="001839FE" w:rsidP="001839FE">
      <w:pPr>
        <w:spacing w:line="360" w:lineRule="auto"/>
        <w:ind w:left="851" w:right="822"/>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VII. La contratación de los servicios de maquila, seguros y transportación, así como de los de limpieza y vigilancia de bienes inmuebles</w:t>
      </w:r>
    </w:p>
    <w:p w14:paraId="30529C53" w14:textId="77777777" w:rsidR="001839FE" w:rsidRPr="001B2995" w:rsidRDefault="001839FE" w:rsidP="001839FE">
      <w:pPr>
        <w:spacing w:line="360" w:lineRule="auto"/>
        <w:ind w:left="851" w:right="822"/>
        <w:jc w:val="both"/>
        <w:rPr>
          <w:rFonts w:ascii="Palatino Linotype" w:eastAsia="Palatino Linotype" w:hAnsi="Palatino Linotype" w:cs="Palatino Linotype"/>
          <w:b/>
          <w:i/>
          <w:iCs/>
        </w:rPr>
      </w:pPr>
      <w:r w:rsidRPr="001B2995">
        <w:rPr>
          <w:rFonts w:ascii="Palatino Linotype" w:eastAsia="Palatino Linotype" w:hAnsi="Palatino Linotype" w:cs="Palatino Linotype"/>
          <w:b/>
          <w:i/>
          <w:iCs/>
        </w:rPr>
        <w:t xml:space="preserve">VIII. La prestación de servicios profesionales, la contratación de consultorías, asesorías y estudios e investigaciones, excepto la contratación de servicios personales de personas físicas bajo el régimen de honorarios. </w:t>
      </w:r>
    </w:p>
    <w:p w14:paraId="6C43EBCC" w14:textId="77777777" w:rsidR="001839FE" w:rsidRDefault="001839FE" w:rsidP="001839FE">
      <w:pPr>
        <w:spacing w:line="360" w:lineRule="auto"/>
        <w:ind w:left="851" w:right="822"/>
        <w:jc w:val="both"/>
        <w:rPr>
          <w:rFonts w:ascii="Palatino Linotype" w:eastAsia="Palatino Linotype" w:hAnsi="Palatino Linotype" w:cs="Palatino Linotype"/>
          <w:b/>
          <w:i/>
          <w:iCs/>
        </w:rPr>
      </w:pPr>
      <w:r w:rsidRPr="001B2995">
        <w:rPr>
          <w:rFonts w:ascii="Palatino Linotype" w:eastAsia="Palatino Linotype" w:hAnsi="Palatino Linotype" w:cs="Palatino Linotype"/>
          <w:b/>
          <w:i/>
          <w:iCs/>
        </w:rPr>
        <w:t>En general, otros actos que impliquen la contratación de servicios de cualquier naturaleza.</w:t>
      </w:r>
    </w:p>
    <w:p w14:paraId="77914C23" w14:textId="77777777" w:rsidR="001B2995" w:rsidRPr="001B2995" w:rsidRDefault="001B2995" w:rsidP="001839FE">
      <w:pPr>
        <w:spacing w:line="360" w:lineRule="auto"/>
        <w:ind w:left="851" w:right="822"/>
        <w:jc w:val="both"/>
        <w:rPr>
          <w:rFonts w:ascii="Palatino Linotype" w:eastAsia="Palatino Linotype" w:hAnsi="Palatino Linotype" w:cs="Palatino Linotype"/>
          <w:b/>
          <w:i/>
          <w:iCs/>
        </w:rPr>
      </w:pPr>
    </w:p>
    <w:p w14:paraId="04B9F48A" w14:textId="77777777" w:rsidR="001839FE" w:rsidRPr="00987A13" w:rsidRDefault="001839FE" w:rsidP="001839FE">
      <w:pPr>
        <w:spacing w:line="360" w:lineRule="auto"/>
        <w:ind w:left="851" w:right="822"/>
        <w:jc w:val="both"/>
        <w:rPr>
          <w:rFonts w:ascii="Palatino Linotype" w:eastAsia="Palatino Linotype" w:hAnsi="Palatino Linotype" w:cs="Palatino Linotype"/>
          <w:b/>
          <w:bCs/>
          <w:i/>
          <w:iCs/>
        </w:rPr>
      </w:pPr>
      <w:r w:rsidRPr="00987A13">
        <w:rPr>
          <w:rFonts w:ascii="Palatino Linotype" w:eastAsia="Palatino Linotype" w:hAnsi="Palatino Linotype" w:cs="Palatino Linotype"/>
          <w:b/>
          <w:bCs/>
          <w:i/>
          <w:iCs/>
        </w:rPr>
        <w:lastRenderedPageBreak/>
        <w:t>Artículo 26.- Las adquisiciones, arrendamientos y servicios se adjudicarán a través de licitaciones públicas, mediante convocatoria pública.</w:t>
      </w:r>
    </w:p>
    <w:p w14:paraId="6CE6F652" w14:textId="77777777" w:rsidR="001839FE" w:rsidRPr="00987A13" w:rsidRDefault="001839FE" w:rsidP="001839FE">
      <w:pPr>
        <w:spacing w:line="360" w:lineRule="auto"/>
        <w:ind w:left="851" w:right="822"/>
        <w:jc w:val="both"/>
        <w:rPr>
          <w:rFonts w:ascii="Palatino Linotype" w:eastAsia="Palatino Linotype" w:hAnsi="Palatino Linotype" w:cs="Palatino Linotype"/>
          <w:b/>
          <w:bCs/>
          <w:i/>
          <w:iCs/>
        </w:rPr>
      </w:pPr>
    </w:p>
    <w:p w14:paraId="73849DB9" w14:textId="77777777" w:rsidR="001839FE" w:rsidRPr="00987A13" w:rsidRDefault="001839FE" w:rsidP="001839FE">
      <w:pPr>
        <w:spacing w:line="360" w:lineRule="auto"/>
        <w:ind w:left="851" w:right="822"/>
        <w:jc w:val="both"/>
        <w:rPr>
          <w:rFonts w:ascii="Palatino Linotype" w:eastAsia="Palatino Linotype" w:hAnsi="Palatino Linotype" w:cs="Palatino Linotype"/>
          <w:i/>
          <w:iCs/>
        </w:rPr>
      </w:pPr>
      <w:r w:rsidRPr="00987A13">
        <w:rPr>
          <w:rFonts w:ascii="Palatino Linotype" w:eastAsia="Palatino Linotype" w:hAnsi="Palatino Linotype" w:cs="Palatino Linotype"/>
          <w:b/>
          <w:bCs/>
          <w:i/>
          <w:iCs/>
        </w:rPr>
        <w:t xml:space="preserve">Artículo 27.- </w:t>
      </w:r>
      <w:r w:rsidRPr="00987A13">
        <w:rPr>
          <w:rFonts w:ascii="Palatino Linotype" w:eastAsia="Palatino Linotype" w:hAnsi="Palatino Linotype" w:cs="Palatino Linotype"/>
          <w:i/>
          <w:iCs/>
        </w:rPr>
        <w:t xml:space="preserve">La Secretaría, las entidades, los tribunales administrativos y los ayuntamientos podrán adjudicar adquisiciones, arrendamientos y servicios, mediante las excepciones al procedimiento de licitación que a continuación se señalan: </w:t>
      </w:r>
    </w:p>
    <w:p w14:paraId="41A3BED0" w14:textId="77777777" w:rsidR="001839FE" w:rsidRPr="001B2995" w:rsidRDefault="001839FE" w:rsidP="001839FE">
      <w:pPr>
        <w:spacing w:line="360" w:lineRule="auto"/>
        <w:ind w:left="851" w:right="822"/>
        <w:jc w:val="both"/>
        <w:rPr>
          <w:rFonts w:ascii="Palatino Linotype" w:eastAsia="Palatino Linotype" w:hAnsi="Palatino Linotype" w:cs="Palatino Linotype"/>
          <w:bCs/>
          <w:i/>
          <w:iCs/>
        </w:rPr>
      </w:pPr>
      <w:r w:rsidRPr="001B2995">
        <w:rPr>
          <w:rFonts w:ascii="Palatino Linotype" w:eastAsia="Palatino Linotype" w:hAnsi="Palatino Linotype" w:cs="Palatino Linotype"/>
          <w:bCs/>
          <w:i/>
          <w:iCs/>
        </w:rPr>
        <w:t xml:space="preserve">I. Invitación restringida. </w:t>
      </w:r>
    </w:p>
    <w:p w14:paraId="41DC0E19" w14:textId="77777777" w:rsidR="001839FE" w:rsidRPr="001B2995" w:rsidRDefault="001839FE" w:rsidP="001839FE">
      <w:pPr>
        <w:spacing w:line="360" w:lineRule="auto"/>
        <w:ind w:left="851" w:right="822"/>
        <w:jc w:val="both"/>
        <w:rPr>
          <w:rFonts w:ascii="Palatino Linotype" w:eastAsia="Palatino Linotype" w:hAnsi="Palatino Linotype" w:cs="Palatino Linotype"/>
          <w:bCs/>
          <w:i/>
          <w:iCs/>
        </w:rPr>
      </w:pPr>
      <w:r w:rsidRPr="001B2995">
        <w:rPr>
          <w:rFonts w:ascii="Palatino Linotype" w:eastAsia="Palatino Linotype" w:hAnsi="Palatino Linotype" w:cs="Palatino Linotype"/>
          <w:bCs/>
          <w:i/>
          <w:iCs/>
        </w:rPr>
        <w:t>II. Adjudicación directa.”</w:t>
      </w:r>
    </w:p>
    <w:p w14:paraId="3215BB6F" w14:textId="77777777" w:rsidR="001839FE" w:rsidRPr="00987A13" w:rsidRDefault="001839FE" w:rsidP="001839FE">
      <w:pPr>
        <w:spacing w:line="360" w:lineRule="auto"/>
        <w:ind w:left="567" w:right="567"/>
        <w:rPr>
          <w:rFonts w:ascii="Palatino Linotype" w:eastAsia="Palatino Linotype" w:hAnsi="Palatino Linotype" w:cs="Palatino Linotype"/>
        </w:rPr>
      </w:pPr>
      <w:r w:rsidRPr="00987A13">
        <w:rPr>
          <w:rFonts w:ascii="Palatino Linotype" w:eastAsia="Palatino Linotype" w:hAnsi="Palatino Linotype" w:cs="Palatino Linotype"/>
        </w:rPr>
        <w:t xml:space="preserve">(Énfasis añadido) </w:t>
      </w:r>
    </w:p>
    <w:p w14:paraId="06C46FD0" w14:textId="77777777" w:rsidR="001839FE" w:rsidRPr="00987A13" w:rsidRDefault="001839FE" w:rsidP="001839FE">
      <w:pPr>
        <w:spacing w:line="360" w:lineRule="auto"/>
        <w:jc w:val="both"/>
        <w:rPr>
          <w:rFonts w:ascii="Palatino Linotype" w:eastAsia="Palatino Linotype" w:hAnsi="Palatino Linotype" w:cs="Palatino Linotype"/>
        </w:rPr>
      </w:pPr>
    </w:p>
    <w:p w14:paraId="390233EA" w14:textId="77777777" w:rsidR="001839FE" w:rsidRPr="00987A13" w:rsidRDefault="001839FE" w:rsidP="001B2995">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Asimismo, en las licitaciones se debe seguir el procedimiento marcado en el artículo 35 del precitado </w:t>
      </w:r>
      <w:r w:rsidRPr="001B2995">
        <w:rPr>
          <w:rFonts w:ascii="Palatino Linotype" w:eastAsia="Palatino Linotype" w:hAnsi="Palatino Linotype" w:cs="Palatino Linotype"/>
        </w:rPr>
        <w:t>ordenamiento</w:t>
      </w:r>
      <w:r w:rsidRPr="00987A13">
        <w:rPr>
          <w:rFonts w:ascii="Palatino Linotype" w:eastAsia="Palatino Linotype" w:hAnsi="Palatino Linotype" w:cs="Palatino Linotype"/>
          <w:color w:val="000000"/>
        </w:rPr>
        <w:t>, que literalmente establece:</w:t>
      </w:r>
    </w:p>
    <w:p w14:paraId="03D58FFF" w14:textId="77777777" w:rsidR="001839FE" w:rsidRPr="00987A13" w:rsidRDefault="001839FE" w:rsidP="001839FE">
      <w:pPr>
        <w:spacing w:line="360" w:lineRule="auto"/>
        <w:ind w:left="567" w:right="567"/>
        <w:jc w:val="both"/>
        <w:rPr>
          <w:rFonts w:ascii="Palatino Linotype" w:eastAsia="Palatino Linotype" w:hAnsi="Palatino Linotype" w:cs="Palatino Linotype"/>
          <w:i/>
          <w:iCs/>
        </w:rPr>
      </w:pPr>
      <w:r w:rsidRPr="00987A13">
        <w:rPr>
          <w:rFonts w:ascii="Palatino Linotype" w:eastAsia="Palatino Linotype" w:hAnsi="Palatino Linotype" w:cs="Palatino Linotype"/>
          <w:b/>
          <w:bCs/>
          <w:i/>
          <w:iCs/>
        </w:rPr>
        <w:t>“Artículo 35</w:t>
      </w:r>
      <w:r w:rsidRPr="00987A13">
        <w:rPr>
          <w:rFonts w:ascii="Palatino Linotype" w:eastAsia="Palatino Linotype" w:hAnsi="Palatino Linotype" w:cs="Palatino Linotype"/>
          <w:i/>
          <w:iCs/>
        </w:rPr>
        <w:t>.- En los procedimientos de licitación pública se observará lo siguiente:</w:t>
      </w:r>
    </w:p>
    <w:p w14:paraId="3301DADE" w14:textId="77777777" w:rsidR="001839FE" w:rsidRPr="00987A13" w:rsidRDefault="001839FE" w:rsidP="001839FE">
      <w:pPr>
        <w:spacing w:line="360" w:lineRule="auto"/>
        <w:ind w:left="567" w:right="567"/>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I. El acto de presentación y apertura de propuestas se llevará a cabo por el servidor público que designe la convocante, conforme al procedimiento que se establezca en el reglamento de esta Ley.</w:t>
      </w:r>
    </w:p>
    <w:p w14:paraId="69363716" w14:textId="77777777" w:rsidR="001839FE" w:rsidRPr="00987A13" w:rsidRDefault="001839FE" w:rsidP="001839FE">
      <w:pPr>
        <w:spacing w:line="360" w:lineRule="auto"/>
        <w:ind w:left="567" w:right="567"/>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II. El comité de adquisiciones y servicios evaluará y analizará las propuestas técnicas y económicas presentadas por los licitantes en el ámbito de las respectivas competencias de sus integrantes, y emitirá el dictamen de adjudicación.</w:t>
      </w:r>
    </w:p>
    <w:p w14:paraId="5FEC28EC" w14:textId="77777777" w:rsidR="001839FE" w:rsidRPr="00987A13" w:rsidRDefault="001839FE" w:rsidP="001839FE">
      <w:pPr>
        <w:spacing w:line="360" w:lineRule="auto"/>
        <w:ind w:left="567" w:right="567"/>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 xml:space="preserve">III. Las bases de licitación se pondrán a la venta a partir de la fecha de publicación de la convocatoria y hasta el día hábil anterior a la fecha de celebración </w:t>
      </w:r>
      <w:r w:rsidRPr="00987A13">
        <w:rPr>
          <w:rFonts w:ascii="Palatino Linotype" w:eastAsia="Palatino Linotype" w:hAnsi="Palatino Linotype" w:cs="Palatino Linotype"/>
          <w:b/>
          <w:bCs/>
          <w:i/>
          <w:iCs/>
        </w:rPr>
        <w:t xml:space="preserve">de la </w:t>
      </w:r>
      <w:r w:rsidRPr="00987A13">
        <w:rPr>
          <w:rFonts w:ascii="Palatino Linotype" w:eastAsia="Palatino Linotype" w:hAnsi="Palatino Linotype" w:cs="Palatino Linotype"/>
          <w:i/>
          <w:iCs/>
        </w:rPr>
        <w:t>junta de aclaraciones o, en su defecto, del acto de presentación y apertura de propuestas.</w:t>
      </w:r>
    </w:p>
    <w:p w14:paraId="01EACF16" w14:textId="77777777" w:rsidR="001839FE" w:rsidRPr="00987A13" w:rsidRDefault="001839FE" w:rsidP="001839FE">
      <w:pPr>
        <w:spacing w:line="360" w:lineRule="auto"/>
        <w:ind w:left="567" w:right="567"/>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lastRenderedPageBreak/>
        <w:t>IV. Las convocantes podrán modificar los plazos y términos establecidos en la convocatoria o en las bases de licitación, hasta cinco días hábiles anteriores a la fecha de la celebración del acto de presentación y apertura de propuestas.</w:t>
      </w:r>
    </w:p>
    <w:p w14:paraId="2817414E" w14:textId="77777777" w:rsidR="001839FE" w:rsidRPr="00987A13" w:rsidRDefault="001839FE" w:rsidP="001839FE">
      <w:pPr>
        <w:spacing w:line="360" w:lineRule="auto"/>
        <w:ind w:left="567" w:right="567"/>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V. Las modificaciones no podrán limitar el número de licitantes, sustituir o variar sustancialmente los bienes o servicios convocados originalmente, ni adicionar otros  distintos.</w:t>
      </w:r>
    </w:p>
    <w:p w14:paraId="1F311DAA" w14:textId="77777777" w:rsidR="001839FE" w:rsidRPr="00987A13" w:rsidRDefault="001839FE" w:rsidP="001839FE">
      <w:pPr>
        <w:spacing w:line="360" w:lineRule="auto"/>
        <w:ind w:left="567" w:right="567"/>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VI. Las modificaciones a la convocatoria o a las bases se harán del conocimiento de los interesados hasta tres días hábiles antes de la fecha señalada para el acto de presentación y apertura de propuestas.</w:t>
      </w:r>
    </w:p>
    <w:p w14:paraId="3A4BC273" w14:textId="77777777" w:rsidR="001839FE" w:rsidRPr="00987A13" w:rsidRDefault="001839FE" w:rsidP="001839FE">
      <w:pPr>
        <w:spacing w:line="360" w:lineRule="auto"/>
        <w:ind w:left="567" w:right="567"/>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VII. Se emitirá el fallo dentro de los 15 días hábiles siguientes a la publicación de la convocatoria.</w:t>
      </w:r>
    </w:p>
    <w:p w14:paraId="076F7864" w14:textId="77777777" w:rsidR="001839FE" w:rsidRPr="00987A13" w:rsidRDefault="001839FE" w:rsidP="001839FE">
      <w:pPr>
        <w:spacing w:line="360" w:lineRule="auto"/>
        <w:ind w:left="567" w:right="567"/>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VIII. Los licitantes se podrán registrar hasta el día y la hora fijados para el acto de presentación y apertura de propuestas.</w:t>
      </w:r>
      <w:r w:rsidRPr="00987A13">
        <w:rPr>
          <w:rFonts w:ascii="Palatino Linotype" w:eastAsia="Palatino Linotype" w:hAnsi="Palatino Linotype" w:cs="Palatino Linotype"/>
          <w:b/>
          <w:bCs/>
          <w:i/>
          <w:iCs/>
        </w:rPr>
        <w:t>”</w:t>
      </w:r>
    </w:p>
    <w:p w14:paraId="5A6A5A29" w14:textId="77777777" w:rsidR="001839FE" w:rsidRPr="00987A13" w:rsidRDefault="001839FE" w:rsidP="001839FE">
      <w:pPr>
        <w:spacing w:line="360" w:lineRule="auto"/>
        <w:ind w:left="567" w:right="567"/>
        <w:rPr>
          <w:rFonts w:ascii="Palatino Linotype" w:eastAsia="Palatino Linotype" w:hAnsi="Palatino Linotype" w:cs="Palatino Linotype"/>
        </w:rPr>
      </w:pPr>
      <w:r w:rsidRPr="00987A13">
        <w:rPr>
          <w:rFonts w:ascii="Palatino Linotype" w:eastAsia="Palatino Linotype" w:hAnsi="Palatino Linotype" w:cs="Palatino Linotype"/>
        </w:rPr>
        <w:t>(Énfasis añadido)</w:t>
      </w:r>
    </w:p>
    <w:p w14:paraId="3D11BBD3" w14:textId="77777777" w:rsidR="001839FE" w:rsidRPr="00987A13" w:rsidRDefault="001839FE" w:rsidP="001839FE">
      <w:pPr>
        <w:spacing w:line="360" w:lineRule="auto"/>
        <w:ind w:left="567" w:right="567"/>
        <w:jc w:val="right"/>
        <w:rPr>
          <w:rFonts w:ascii="Palatino Linotype" w:eastAsia="Palatino Linotype" w:hAnsi="Palatino Linotype" w:cs="Palatino Linotype"/>
        </w:rPr>
      </w:pPr>
    </w:p>
    <w:p w14:paraId="6C5F5AD3" w14:textId="77777777" w:rsidR="001839FE" w:rsidRPr="00987A13" w:rsidRDefault="001839FE" w:rsidP="001B2995">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14:paraId="212C544E" w14:textId="77777777" w:rsidR="001839FE" w:rsidRPr="00987A13" w:rsidRDefault="001839FE" w:rsidP="001839FE">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CAAED5B" w14:textId="77777777" w:rsidR="001839FE" w:rsidRPr="00987A13" w:rsidRDefault="001839FE" w:rsidP="001B2995">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Ahora bien, por cuanto hace a la invitación restringida el artículo 44 de la Ley de la Contratación Pública del Estado de México y Municipios, dispone que podrá realizarse </w:t>
      </w:r>
      <w:r w:rsidRPr="00987A13">
        <w:rPr>
          <w:rFonts w:ascii="Palatino Linotype" w:eastAsia="Palatino Linotype" w:hAnsi="Palatino Linotype" w:cs="Palatino Linotype"/>
          <w:color w:val="000000"/>
        </w:rPr>
        <w:lastRenderedPageBreak/>
        <w:t xml:space="preserve">cuando se hubiere declarado desierto un procedimiento de licitación o cuando el importe de la operación no exceda de los montos establecidos por el Presupuesto de Egresos del Gobierno del Estado de México del ejercicio correspondiente. </w:t>
      </w:r>
    </w:p>
    <w:p w14:paraId="04609EAB" w14:textId="77777777" w:rsidR="001839FE" w:rsidRPr="00987A13" w:rsidRDefault="001839FE" w:rsidP="001839FE">
      <w:pPr>
        <w:spacing w:line="360" w:lineRule="auto"/>
        <w:jc w:val="both"/>
        <w:rPr>
          <w:rFonts w:ascii="Palatino Linotype" w:eastAsia="Palatino Linotype" w:hAnsi="Palatino Linotype" w:cs="Palatino Linotype"/>
          <w:color w:val="000000"/>
        </w:rPr>
      </w:pPr>
    </w:p>
    <w:p w14:paraId="09B3BB19" w14:textId="1E8CA10A" w:rsidR="001839FE" w:rsidRPr="00987A13" w:rsidRDefault="001839FE" w:rsidP="001B2995">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En este sentido, debe decirse que los </w:t>
      </w:r>
      <w:r w:rsidRPr="00987A13">
        <w:rPr>
          <w:rFonts w:ascii="Palatino Linotype" w:eastAsia="Palatino Linotype" w:hAnsi="Palatino Linotype" w:cs="Palatino Linotype"/>
          <w:b/>
          <w:bCs/>
          <w:color w:val="000000"/>
          <w:u w:val="single"/>
        </w:rPr>
        <w:t xml:space="preserve">expedientes de las adquisiciones, </w:t>
      </w:r>
      <w:r w:rsidRPr="000266DC">
        <w:rPr>
          <w:rFonts w:ascii="Palatino Linotype" w:eastAsia="Palatino Linotype" w:hAnsi="Palatino Linotype" w:cs="Palatino Linotype"/>
          <w:bCs/>
          <w:color w:val="000000"/>
          <w:u w:val="single"/>
        </w:rPr>
        <w:t xml:space="preserve">arrendamientos, enajenaciones y </w:t>
      </w:r>
      <w:r w:rsidRPr="00987A13">
        <w:rPr>
          <w:rFonts w:ascii="Palatino Linotype" w:eastAsia="Palatino Linotype" w:hAnsi="Palatino Linotype" w:cs="Palatino Linotype"/>
          <w:b/>
          <w:bCs/>
          <w:color w:val="000000"/>
          <w:u w:val="single"/>
        </w:rPr>
        <w:t>servicios</w:t>
      </w:r>
      <w:r w:rsidRPr="00987A13">
        <w:rPr>
          <w:rFonts w:ascii="Palatino Linotype" w:eastAsia="Palatino Linotype" w:hAnsi="Palatino Linotype" w:cs="Palatino Linotype"/>
          <w:color w:val="000000"/>
        </w:rPr>
        <w:t xml:space="preserve">, se encuentra considerada como una de las </w:t>
      </w:r>
      <w:r w:rsidRPr="000266DC">
        <w:rPr>
          <w:rFonts w:ascii="Palatino Linotype" w:eastAsia="Palatino Linotype" w:hAnsi="Palatino Linotype" w:cs="Palatino Linotype"/>
          <w:b/>
          <w:color w:val="000000"/>
        </w:rPr>
        <w:t>obligaciones de transparencias comunes</w:t>
      </w:r>
      <w:r w:rsidRPr="00987A13">
        <w:rPr>
          <w:rFonts w:ascii="Palatino Linotype" w:eastAsia="Palatino Linotype" w:hAnsi="Palatino Linotype" w:cs="Palatino Linotype"/>
          <w:color w:val="000000"/>
        </w:rPr>
        <w:t xml:space="preserve"> que los </w:t>
      </w:r>
      <w:r w:rsidR="000266DC" w:rsidRPr="00987A13">
        <w:rPr>
          <w:rFonts w:ascii="Palatino Linotype" w:eastAsia="Palatino Linotype" w:hAnsi="Palatino Linotype" w:cs="Palatino Linotype"/>
          <w:color w:val="000000"/>
        </w:rPr>
        <w:t xml:space="preserve">sujetos obligados </w:t>
      </w:r>
      <w:r w:rsidRPr="00987A13">
        <w:rPr>
          <w:rFonts w:ascii="Palatino Linotype" w:eastAsia="Palatino Linotype" w:hAnsi="Palatino Linotype" w:cs="Palatino Linotype"/>
          <w:color w:val="000000"/>
        </w:rPr>
        <w:t>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379E80D1"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“Artículo 92. </w:t>
      </w:r>
      <w:r w:rsidRPr="00987A13">
        <w:rPr>
          <w:rFonts w:ascii="Palatino Linotype" w:eastAsia="Palatino Linotype" w:hAnsi="Palatino Linotype" w:cs="Palatino Linotype"/>
          <w:i/>
          <w:iC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6C0A7A5"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i/>
          <w:iCs/>
        </w:rPr>
        <w:t>(…)</w:t>
      </w:r>
    </w:p>
    <w:p w14:paraId="37EC36FD" w14:textId="77777777" w:rsidR="001839FE" w:rsidRPr="00987A13" w:rsidRDefault="001839FE" w:rsidP="001839FE">
      <w:pPr>
        <w:spacing w:line="360" w:lineRule="auto"/>
        <w:ind w:left="851" w:right="822"/>
        <w:jc w:val="both"/>
        <w:rPr>
          <w:rFonts w:ascii="Palatino Linotype" w:eastAsia="Palatino Linotype" w:hAnsi="Palatino Linotype" w:cs="Palatino Linotype"/>
          <w:b/>
          <w:bCs/>
          <w:i/>
          <w:iCs/>
        </w:rPr>
      </w:pPr>
    </w:p>
    <w:p w14:paraId="7C065DC6"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XXIX. </w:t>
      </w:r>
      <w:r w:rsidRPr="00987A13">
        <w:rPr>
          <w:rFonts w:ascii="Palatino Linotype" w:eastAsia="Palatino Linotype" w:hAnsi="Palatino Linotype" w:cs="Palatino Linotype"/>
          <w:i/>
          <w:iCs/>
        </w:rPr>
        <w:t>La información sobre los procesos y resultados sobre procedimientos de adjudicación directa, invitación restringida y licitación de cualquier naturaleza, </w:t>
      </w:r>
      <w:r w:rsidRPr="00987A13">
        <w:rPr>
          <w:rFonts w:ascii="Palatino Linotype" w:eastAsia="Palatino Linotype" w:hAnsi="Palatino Linotype" w:cs="Palatino Linotype"/>
          <w:b/>
          <w:bCs/>
          <w:i/>
          <w:iCs/>
          <w:u w:val="single"/>
        </w:rPr>
        <w:t>incluyendo la versión pública del expediente respectivo y de los contratos</w:t>
      </w:r>
      <w:r w:rsidRPr="00987A13">
        <w:rPr>
          <w:rFonts w:ascii="Palatino Linotype" w:eastAsia="Palatino Linotype" w:hAnsi="Palatino Linotype" w:cs="Palatino Linotype"/>
          <w:i/>
          <w:iCs/>
        </w:rPr>
        <w:t> celebrados, que deberán contener, por los menos, lo siguiente:</w:t>
      </w:r>
    </w:p>
    <w:p w14:paraId="1B487B47"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lastRenderedPageBreak/>
        <w:t>a) </w:t>
      </w:r>
      <w:r w:rsidRPr="00987A13">
        <w:rPr>
          <w:rFonts w:ascii="Palatino Linotype" w:eastAsia="Palatino Linotype" w:hAnsi="Palatino Linotype" w:cs="Palatino Linotype"/>
          <w:i/>
          <w:iCs/>
        </w:rPr>
        <w:t>De licitaciones públicas o procedimientos de invitación restringida:</w:t>
      </w:r>
    </w:p>
    <w:p w14:paraId="46AE207E"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1)</w:t>
      </w:r>
      <w:r w:rsidRPr="00987A13">
        <w:rPr>
          <w:rFonts w:ascii="Palatino Linotype" w:eastAsia="Palatino Linotype" w:hAnsi="Palatino Linotype" w:cs="Palatino Linotype"/>
          <w:i/>
          <w:iCs/>
        </w:rPr>
        <w:t> La convocatoria o invitación emitida, así como los fundamentos legales aplicados para llevarla a cabo;</w:t>
      </w:r>
    </w:p>
    <w:p w14:paraId="2121697A"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2) </w:t>
      </w:r>
      <w:r w:rsidRPr="00987A13">
        <w:rPr>
          <w:rFonts w:ascii="Palatino Linotype" w:eastAsia="Palatino Linotype" w:hAnsi="Palatino Linotype" w:cs="Palatino Linotype"/>
          <w:i/>
          <w:iCs/>
        </w:rPr>
        <w:t>Los nombres de los participantes o invitados;</w:t>
      </w:r>
    </w:p>
    <w:p w14:paraId="19D82FC9"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3)</w:t>
      </w:r>
      <w:r w:rsidRPr="00987A13">
        <w:rPr>
          <w:rFonts w:ascii="Palatino Linotype" w:eastAsia="Palatino Linotype" w:hAnsi="Palatino Linotype" w:cs="Palatino Linotype"/>
          <w:i/>
          <w:iCs/>
        </w:rPr>
        <w:t> El nombre del ganador y las razones que lo justifican;</w:t>
      </w:r>
    </w:p>
    <w:p w14:paraId="15ADE9EB"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4) </w:t>
      </w:r>
      <w:r w:rsidRPr="00987A13">
        <w:rPr>
          <w:rFonts w:ascii="Palatino Linotype" w:eastAsia="Palatino Linotype" w:hAnsi="Palatino Linotype" w:cs="Palatino Linotype"/>
          <w:i/>
          <w:iCs/>
        </w:rPr>
        <w:t>El área solicitante y la responsable de su ejecución;</w:t>
      </w:r>
    </w:p>
    <w:p w14:paraId="4BF3A32E"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5) </w:t>
      </w:r>
      <w:r w:rsidRPr="00987A13">
        <w:rPr>
          <w:rFonts w:ascii="Palatino Linotype" w:eastAsia="Palatino Linotype" w:hAnsi="Palatino Linotype" w:cs="Palatino Linotype"/>
          <w:i/>
          <w:iCs/>
        </w:rPr>
        <w:t>Las convocatorias e invitaciones emitidas;</w:t>
      </w:r>
    </w:p>
    <w:p w14:paraId="5CC7E823" w14:textId="77777777" w:rsidR="001839FE" w:rsidRPr="00987A13" w:rsidRDefault="001839FE" w:rsidP="001839FE">
      <w:pPr>
        <w:spacing w:line="360" w:lineRule="auto"/>
        <w:ind w:left="851" w:right="822"/>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6) Los dictámenes y fallo de adjudicación;</w:t>
      </w:r>
    </w:p>
    <w:p w14:paraId="7C216B0A" w14:textId="77777777" w:rsidR="001839FE" w:rsidRPr="002156AC" w:rsidRDefault="001839FE" w:rsidP="001839FE">
      <w:pPr>
        <w:spacing w:line="360" w:lineRule="auto"/>
        <w:ind w:left="851" w:right="822"/>
        <w:jc w:val="both"/>
        <w:rPr>
          <w:rFonts w:ascii="Palatino Linotype" w:eastAsia="Palatino Linotype" w:hAnsi="Palatino Linotype" w:cs="Palatino Linotype"/>
          <w:bCs/>
          <w:i/>
          <w:iCs/>
        </w:rPr>
      </w:pPr>
      <w:r w:rsidRPr="002156AC">
        <w:rPr>
          <w:rFonts w:ascii="Palatino Linotype" w:eastAsia="Palatino Linotype" w:hAnsi="Palatino Linotype" w:cs="Palatino Linotype"/>
          <w:bCs/>
          <w:i/>
          <w:iCs/>
        </w:rPr>
        <w:t>7) El contrato y, en su caso, sus anexos;</w:t>
      </w:r>
    </w:p>
    <w:p w14:paraId="29146727" w14:textId="77777777" w:rsidR="001839FE" w:rsidRPr="00987A13" w:rsidRDefault="001839FE" w:rsidP="001839FE">
      <w:pPr>
        <w:spacing w:line="360" w:lineRule="auto"/>
        <w:ind w:left="851" w:right="822"/>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8) Los mecanismos de vigilancia y supervisión, incluyendo en su caso, los estudios de impacto urbano y ambiental, según corresponda;</w:t>
      </w:r>
    </w:p>
    <w:p w14:paraId="0EC61B36"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9) </w:t>
      </w:r>
      <w:r w:rsidRPr="00987A13">
        <w:rPr>
          <w:rFonts w:ascii="Palatino Linotype" w:eastAsia="Palatino Linotype" w:hAnsi="Palatino Linotype" w:cs="Palatino Linotype"/>
          <w:i/>
          <w:iCs/>
        </w:rPr>
        <w:t>La partida presupuestal, de conformidad con el clasificador por objeto del gasto, en el caso de ser aplicable;</w:t>
      </w:r>
    </w:p>
    <w:p w14:paraId="610EAA80"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i/>
          <w:iCs/>
        </w:rPr>
        <w:t>10) Origen de los recursos especificando si son federales, estatales o municipales, así como el tipo de fondo de participación o aportación respectiva;</w:t>
      </w:r>
    </w:p>
    <w:p w14:paraId="0AAFE012"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11) </w:t>
      </w:r>
      <w:r w:rsidRPr="00987A13">
        <w:rPr>
          <w:rFonts w:ascii="Palatino Linotype" w:eastAsia="Palatino Linotype" w:hAnsi="Palatino Linotype" w:cs="Palatino Linotype"/>
          <w:i/>
          <w:iCs/>
        </w:rPr>
        <w:t>Los convenios modificatorios que, en su caso, sean firmados, precisando el objeto y la fecha de celebración;</w:t>
      </w:r>
    </w:p>
    <w:p w14:paraId="1833D7C7"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12) </w:t>
      </w:r>
      <w:r w:rsidRPr="00987A13">
        <w:rPr>
          <w:rFonts w:ascii="Palatino Linotype" w:eastAsia="Palatino Linotype" w:hAnsi="Palatino Linotype" w:cs="Palatino Linotype"/>
          <w:i/>
          <w:iCs/>
        </w:rPr>
        <w:t>Los informes de avance físico y financiero sobre las obras o servicios contratados;</w:t>
      </w:r>
    </w:p>
    <w:p w14:paraId="17E99A7A"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13) </w:t>
      </w:r>
      <w:r w:rsidRPr="00987A13">
        <w:rPr>
          <w:rFonts w:ascii="Palatino Linotype" w:eastAsia="Palatino Linotype" w:hAnsi="Palatino Linotype" w:cs="Palatino Linotype"/>
          <w:i/>
          <w:iCs/>
        </w:rPr>
        <w:t>El convenio de terminación; y</w:t>
      </w:r>
    </w:p>
    <w:p w14:paraId="77D80219" w14:textId="77777777" w:rsidR="001839FE" w:rsidRDefault="001839FE" w:rsidP="001839FE">
      <w:pPr>
        <w:spacing w:line="360" w:lineRule="auto"/>
        <w:ind w:left="851" w:right="822"/>
        <w:jc w:val="both"/>
        <w:rPr>
          <w:rFonts w:ascii="Palatino Linotype" w:eastAsia="Palatino Linotype" w:hAnsi="Palatino Linotype" w:cs="Palatino Linotype"/>
          <w:i/>
          <w:iCs/>
        </w:rPr>
      </w:pPr>
      <w:r w:rsidRPr="00987A13">
        <w:rPr>
          <w:rFonts w:ascii="Palatino Linotype" w:eastAsia="Palatino Linotype" w:hAnsi="Palatino Linotype" w:cs="Palatino Linotype"/>
          <w:b/>
          <w:bCs/>
          <w:i/>
          <w:iCs/>
        </w:rPr>
        <w:t>14) </w:t>
      </w:r>
      <w:r w:rsidRPr="00987A13">
        <w:rPr>
          <w:rFonts w:ascii="Palatino Linotype" w:eastAsia="Palatino Linotype" w:hAnsi="Palatino Linotype" w:cs="Palatino Linotype"/>
          <w:i/>
          <w:iCs/>
        </w:rPr>
        <w:t>El finiquito.</w:t>
      </w:r>
    </w:p>
    <w:p w14:paraId="140ABC06" w14:textId="77777777" w:rsidR="000266DC" w:rsidRPr="00987A13" w:rsidRDefault="000266DC" w:rsidP="001839FE">
      <w:pPr>
        <w:spacing w:line="360" w:lineRule="auto"/>
        <w:ind w:left="851" w:right="822"/>
        <w:jc w:val="both"/>
        <w:rPr>
          <w:rFonts w:ascii="Palatino Linotype" w:eastAsia="Palatino Linotype" w:hAnsi="Palatino Linotype" w:cs="Palatino Linotype"/>
        </w:rPr>
      </w:pPr>
    </w:p>
    <w:p w14:paraId="34D579BC" w14:textId="77777777" w:rsidR="001839FE" w:rsidRPr="00987A13" w:rsidRDefault="001839FE" w:rsidP="001839FE">
      <w:pPr>
        <w:spacing w:line="360" w:lineRule="auto"/>
        <w:ind w:left="851" w:right="822"/>
        <w:jc w:val="both"/>
        <w:rPr>
          <w:rFonts w:ascii="Palatino Linotype" w:eastAsia="Palatino Linotype" w:hAnsi="Palatino Linotype" w:cs="Palatino Linotype"/>
          <w:b/>
          <w:bCs/>
        </w:rPr>
      </w:pPr>
      <w:r w:rsidRPr="00987A13">
        <w:rPr>
          <w:rFonts w:ascii="Palatino Linotype" w:eastAsia="Palatino Linotype" w:hAnsi="Palatino Linotype" w:cs="Palatino Linotype"/>
          <w:b/>
          <w:bCs/>
          <w:i/>
          <w:iCs/>
        </w:rPr>
        <w:t>b)</w:t>
      </w:r>
      <w:r w:rsidRPr="000266DC">
        <w:rPr>
          <w:rFonts w:ascii="Palatino Linotype" w:eastAsia="Palatino Linotype" w:hAnsi="Palatino Linotype" w:cs="Palatino Linotype"/>
          <w:bCs/>
          <w:i/>
          <w:iCs/>
        </w:rPr>
        <w:t> De las adjudicaciones directas:</w:t>
      </w:r>
    </w:p>
    <w:p w14:paraId="7CABF67D"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1) </w:t>
      </w:r>
      <w:r w:rsidRPr="00987A13">
        <w:rPr>
          <w:rFonts w:ascii="Palatino Linotype" w:eastAsia="Palatino Linotype" w:hAnsi="Palatino Linotype" w:cs="Palatino Linotype"/>
          <w:i/>
          <w:iCs/>
        </w:rPr>
        <w:t>La propuesta enviada por el participante;</w:t>
      </w:r>
    </w:p>
    <w:p w14:paraId="6C1C0767"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lastRenderedPageBreak/>
        <w:t>2) </w:t>
      </w:r>
      <w:r w:rsidRPr="00987A13">
        <w:rPr>
          <w:rFonts w:ascii="Palatino Linotype" w:eastAsia="Palatino Linotype" w:hAnsi="Palatino Linotype" w:cs="Palatino Linotype"/>
          <w:i/>
          <w:iCs/>
        </w:rPr>
        <w:t>Los motivos y fundamentos legales aplicados para llevarla a cabo;</w:t>
      </w:r>
    </w:p>
    <w:p w14:paraId="0A54ED23"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3) </w:t>
      </w:r>
      <w:r w:rsidRPr="00987A13">
        <w:rPr>
          <w:rFonts w:ascii="Palatino Linotype" w:eastAsia="Palatino Linotype" w:hAnsi="Palatino Linotype" w:cs="Palatino Linotype"/>
          <w:i/>
          <w:iCs/>
        </w:rPr>
        <w:t>La autorización del ejercicio de la opción;</w:t>
      </w:r>
    </w:p>
    <w:p w14:paraId="771A0EC9" w14:textId="77777777" w:rsidR="001839FE" w:rsidRPr="002156AC" w:rsidRDefault="001839FE" w:rsidP="001839FE">
      <w:pPr>
        <w:spacing w:line="360" w:lineRule="auto"/>
        <w:ind w:left="851" w:right="822"/>
        <w:jc w:val="both"/>
        <w:rPr>
          <w:rFonts w:ascii="Palatino Linotype" w:eastAsia="Palatino Linotype" w:hAnsi="Palatino Linotype" w:cs="Palatino Linotype"/>
        </w:rPr>
      </w:pPr>
      <w:r w:rsidRPr="002156AC">
        <w:rPr>
          <w:rFonts w:ascii="Palatino Linotype" w:eastAsia="Palatino Linotype" w:hAnsi="Palatino Linotype" w:cs="Palatino Linotype"/>
          <w:i/>
          <w:iCs/>
        </w:rPr>
        <w:t>4) En su caso, las cotizaciones consideradas, especificando los nombres de los proveedores y sus montos;</w:t>
      </w:r>
    </w:p>
    <w:p w14:paraId="3DB62244" w14:textId="77777777" w:rsidR="001839FE" w:rsidRPr="002156AC" w:rsidRDefault="001839FE" w:rsidP="001839FE">
      <w:pPr>
        <w:spacing w:line="360" w:lineRule="auto"/>
        <w:ind w:left="851" w:right="822"/>
        <w:jc w:val="both"/>
        <w:rPr>
          <w:rFonts w:ascii="Palatino Linotype" w:eastAsia="Palatino Linotype" w:hAnsi="Palatino Linotype" w:cs="Palatino Linotype"/>
        </w:rPr>
      </w:pPr>
      <w:r w:rsidRPr="002156AC">
        <w:rPr>
          <w:rFonts w:ascii="Palatino Linotype" w:eastAsia="Palatino Linotype" w:hAnsi="Palatino Linotype" w:cs="Palatino Linotype"/>
          <w:bCs/>
          <w:i/>
          <w:iCs/>
        </w:rPr>
        <w:t>5) </w:t>
      </w:r>
      <w:r w:rsidRPr="002156AC">
        <w:rPr>
          <w:rFonts w:ascii="Palatino Linotype" w:eastAsia="Palatino Linotype" w:hAnsi="Palatino Linotype" w:cs="Palatino Linotype"/>
          <w:i/>
          <w:iCs/>
        </w:rPr>
        <w:t>El nombre de la persona física o jurídica colectiva adjudicada;</w:t>
      </w:r>
    </w:p>
    <w:p w14:paraId="0F4D5E40"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6) </w:t>
      </w:r>
      <w:r w:rsidRPr="00987A13">
        <w:rPr>
          <w:rFonts w:ascii="Palatino Linotype" w:eastAsia="Palatino Linotype" w:hAnsi="Palatino Linotype" w:cs="Palatino Linotype"/>
          <w:i/>
          <w:iCs/>
        </w:rPr>
        <w:t>La unidad administrativa solicitante y la responsable de su ejecución;</w:t>
      </w:r>
    </w:p>
    <w:p w14:paraId="26258509"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7)</w:t>
      </w:r>
      <w:r w:rsidRPr="00987A13">
        <w:rPr>
          <w:rFonts w:ascii="Palatino Linotype" w:eastAsia="Palatino Linotype" w:hAnsi="Palatino Linotype" w:cs="Palatino Linotype"/>
          <w:i/>
          <w:iCs/>
        </w:rPr>
        <w:t> </w:t>
      </w:r>
      <w:r w:rsidRPr="000266DC">
        <w:rPr>
          <w:rFonts w:ascii="Palatino Linotype" w:eastAsia="Palatino Linotype" w:hAnsi="Palatino Linotype" w:cs="Palatino Linotype"/>
          <w:b/>
          <w:i/>
          <w:iCs/>
        </w:rPr>
        <w:t>El número, fecha, el monto del contrato y el plazo de entrega o de ejecución de los servicios</w:t>
      </w:r>
      <w:r w:rsidRPr="00987A13">
        <w:rPr>
          <w:rFonts w:ascii="Palatino Linotype" w:eastAsia="Palatino Linotype" w:hAnsi="Palatino Linotype" w:cs="Palatino Linotype"/>
          <w:i/>
          <w:iCs/>
        </w:rPr>
        <w:t xml:space="preserve"> u obra;</w:t>
      </w:r>
    </w:p>
    <w:p w14:paraId="086D5E33"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8) </w:t>
      </w:r>
      <w:r w:rsidRPr="00987A13">
        <w:rPr>
          <w:rFonts w:ascii="Palatino Linotype" w:eastAsia="Palatino Linotype" w:hAnsi="Palatino Linotype" w:cs="Palatino Linotype"/>
          <w:i/>
          <w:iCs/>
        </w:rPr>
        <w:t>Los mecanismos de vigilancia y supervisión, incluyendo, en su caso, los estudios de impacto urbano y ambiental, según corresponda;</w:t>
      </w:r>
    </w:p>
    <w:p w14:paraId="66C37948"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9) </w:t>
      </w:r>
      <w:r w:rsidRPr="00987A13">
        <w:rPr>
          <w:rFonts w:ascii="Palatino Linotype" w:eastAsia="Palatino Linotype" w:hAnsi="Palatino Linotype" w:cs="Palatino Linotype"/>
          <w:i/>
          <w:iCs/>
        </w:rPr>
        <w:t>Los informes de avance sobre las obras o servicios contratados;</w:t>
      </w:r>
    </w:p>
    <w:p w14:paraId="7410A62E" w14:textId="77777777" w:rsidR="001839FE" w:rsidRPr="00987A13" w:rsidRDefault="001839FE" w:rsidP="001839FE">
      <w:pPr>
        <w:spacing w:line="360" w:lineRule="auto"/>
        <w:ind w:left="851" w:right="822"/>
        <w:jc w:val="both"/>
        <w:rPr>
          <w:rFonts w:ascii="Palatino Linotype" w:eastAsia="Palatino Linotype" w:hAnsi="Palatino Linotype" w:cs="Palatino Linotype"/>
        </w:rPr>
      </w:pPr>
      <w:r w:rsidRPr="00987A13">
        <w:rPr>
          <w:rFonts w:ascii="Palatino Linotype" w:eastAsia="Palatino Linotype" w:hAnsi="Palatino Linotype" w:cs="Palatino Linotype"/>
          <w:b/>
          <w:bCs/>
          <w:i/>
          <w:iCs/>
        </w:rPr>
        <w:t>10) </w:t>
      </w:r>
      <w:r w:rsidRPr="00987A13">
        <w:rPr>
          <w:rFonts w:ascii="Palatino Linotype" w:eastAsia="Palatino Linotype" w:hAnsi="Palatino Linotype" w:cs="Palatino Linotype"/>
          <w:i/>
          <w:iCs/>
        </w:rPr>
        <w:t>El convenio de terminación; y</w:t>
      </w:r>
    </w:p>
    <w:p w14:paraId="3DC4298C" w14:textId="77777777" w:rsidR="001839FE" w:rsidRPr="00987A13" w:rsidRDefault="001839FE" w:rsidP="001839FE">
      <w:pPr>
        <w:spacing w:line="360" w:lineRule="auto"/>
        <w:ind w:left="851" w:right="822"/>
        <w:jc w:val="both"/>
        <w:rPr>
          <w:rFonts w:ascii="Palatino Linotype" w:eastAsia="Palatino Linotype" w:hAnsi="Palatino Linotype" w:cs="Palatino Linotype"/>
          <w:b/>
          <w:bCs/>
        </w:rPr>
      </w:pPr>
      <w:r w:rsidRPr="00987A13">
        <w:rPr>
          <w:rFonts w:ascii="Palatino Linotype" w:eastAsia="Palatino Linotype" w:hAnsi="Palatino Linotype" w:cs="Palatino Linotype"/>
          <w:b/>
          <w:bCs/>
          <w:i/>
          <w:iCs/>
        </w:rPr>
        <w:t>11) </w:t>
      </w:r>
      <w:r w:rsidRPr="00987A13">
        <w:rPr>
          <w:rFonts w:ascii="Palatino Linotype" w:eastAsia="Palatino Linotype" w:hAnsi="Palatino Linotype" w:cs="Palatino Linotype"/>
          <w:i/>
          <w:iCs/>
        </w:rPr>
        <w:t>El finiquito.</w:t>
      </w:r>
      <w:r w:rsidRPr="00987A13">
        <w:rPr>
          <w:rFonts w:ascii="Palatino Linotype" w:eastAsia="Palatino Linotype" w:hAnsi="Palatino Linotype" w:cs="Palatino Linotype"/>
          <w:b/>
          <w:bCs/>
          <w:i/>
          <w:iCs/>
        </w:rPr>
        <w:t xml:space="preserve">” </w:t>
      </w:r>
      <w:r w:rsidRPr="00987A13">
        <w:rPr>
          <w:rFonts w:ascii="Palatino Linotype" w:eastAsia="Palatino Linotype" w:hAnsi="Palatino Linotype" w:cs="Palatino Linotype"/>
        </w:rPr>
        <w:t>Énfasis propio</w:t>
      </w:r>
    </w:p>
    <w:p w14:paraId="297ABCFF" w14:textId="77777777" w:rsidR="001839FE" w:rsidRPr="00987A13" w:rsidRDefault="001839FE" w:rsidP="001839FE">
      <w:pPr>
        <w:spacing w:line="360" w:lineRule="auto"/>
        <w:ind w:left="851" w:right="850"/>
        <w:jc w:val="both"/>
        <w:rPr>
          <w:rFonts w:ascii="Palatino Linotype" w:eastAsia="Palatino Linotype" w:hAnsi="Palatino Linotype" w:cs="Palatino Linotype"/>
        </w:rPr>
      </w:pPr>
    </w:p>
    <w:p w14:paraId="64B15402" w14:textId="611314D1" w:rsidR="001839FE" w:rsidRPr="007F059B" w:rsidRDefault="001839FE" w:rsidP="000266DC">
      <w:pPr>
        <w:numPr>
          <w:ilvl w:val="0"/>
          <w:numId w:val="1"/>
        </w:numPr>
        <w:spacing w:line="360" w:lineRule="auto"/>
        <w:ind w:left="0" w:firstLine="0"/>
        <w:contextualSpacing/>
        <w:jc w:val="both"/>
        <w:rPr>
          <w:rFonts w:ascii="Palatino Linotype" w:eastAsia="Palatino Linotype" w:hAnsi="Palatino Linotype" w:cs="Palatino Linotype"/>
          <w:color w:val="000000"/>
          <w:u w:val="single"/>
        </w:rPr>
      </w:pPr>
      <w:r w:rsidRPr="00987A13">
        <w:rPr>
          <w:rFonts w:ascii="Palatino Linotype" w:eastAsia="Palatino Linotype" w:hAnsi="Palatino Linotype" w:cs="Palatino Linotype"/>
          <w:color w:val="000000"/>
        </w:rPr>
        <w:t xml:space="preserve">En consecuencia, se determina que ciertamente existe fuente obligacional para celebrar contratos relacionados con la adquisición de bienes y servicios, a través de procedimientos de licitación, invitación restringida o adjudicación directa, en todos los casos, existe la obligación de hacer pública la información relacionada con las mismas, de acuerdo al artículo 92 de la Ley de Transparencia Local, ya que </w:t>
      </w:r>
      <w:r w:rsidRPr="0042155F">
        <w:rPr>
          <w:rFonts w:ascii="Palatino Linotype" w:eastAsia="Palatino Linotype" w:hAnsi="Palatino Linotype" w:cs="Palatino Linotype"/>
          <w:color w:val="000000"/>
          <w:u w:val="single"/>
        </w:rPr>
        <w:t>existe un interés colectivo de conocer el uso y destino de los re</w:t>
      </w:r>
      <w:r w:rsidR="004D5F53" w:rsidRPr="0042155F">
        <w:rPr>
          <w:rFonts w:ascii="Palatino Linotype" w:eastAsia="Palatino Linotype" w:hAnsi="Palatino Linotype" w:cs="Palatino Linotype"/>
          <w:color w:val="000000"/>
          <w:u w:val="single"/>
        </w:rPr>
        <w:t>cursos públicos</w:t>
      </w:r>
      <w:r w:rsidR="0042155F">
        <w:rPr>
          <w:rFonts w:ascii="Palatino Linotype" w:eastAsia="Palatino Linotype" w:hAnsi="Palatino Linotype" w:cs="Palatino Linotype"/>
          <w:color w:val="000000"/>
        </w:rPr>
        <w:t>.</w:t>
      </w:r>
      <w:r w:rsidR="007F059B">
        <w:rPr>
          <w:rFonts w:ascii="Palatino Linotype" w:eastAsia="Palatino Linotype" w:hAnsi="Palatino Linotype" w:cs="Palatino Linotype"/>
          <w:color w:val="000000"/>
        </w:rPr>
        <w:t xml:space="preserve"> </w:t>
      </w:r>
    </w:p>
    <w:p w14:paraId="0F6FE132" w14:textId="77777777" w:rsidR="007F059B" w:rsidRPr="007F059B" w:rsidRDefault="007F059B" w:rsidP="007F059B">
      <w:pPr>
        <w:spacing w:line="360" w:lineRule="auto"/>
        <w:contextualSpacing/>
        <w:jc w:val="both"/>
        <w:rPr>
          <w:rFonts w:ascii="Palatino Linotype" w:eastAsia="Palatino Linotype" w:hAnsi="Palatino Linotype" w:cs="Palatino Linotype"/>
          <w:color w:val="000000"/>
          <w:u w:val="single"/>
        </w:rPr>
      </w:pPr>
    </w:p>
    <w:p w14:paraId="7921725A" w14:textId="7761D74D" w:rsidR="007F059B" w:rsidRPr="000A0947" w:rsidRDefault="007F059B" w:rsidP="007F059B">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0A0947">
        <w:rPr>
          <w:rFonts w:ascii="Palatino Linotype" w:eastAsia="Palatino Linotype" w:hAnsi="Palatino Linotype" w:cs="Palatino Linotype"/>
          <w:color w:val="000000"/>
        </w:rPr>
        <w:t xml:space="preserve">En ese sentido recordar que la Coordinación General de Comunicación Social, quien ya dio respuesta ciertamente es de manera enunciativa más no limitativa competente de </w:t>
      </w:r>
      <w:r w:rsidRPr="000A0947">
        <w:rPr>
          <w:rFonts w:ascii="Palatino Linotype" w:eastAsia="Palatino Linotype" w:hAnsi="Palatino Linotype" w:cs="Palatino Linotype"/>
          <w:color w:val="000000"/>
        </w:rPr>
        <w:lastRenderedPageBreak/>
        <w:t>atender lo solicitado derivado que de sus facultades y atribuciones al caso concreto son las siguientes de conformidad al Código Reglamentario Municipal de Toluca:</w:t>
      </w:r>
    </w:p>
    <w:p w14:paraId="6322E311" w14:textId="77777777" w:rsidR="007F059B" w:rsidRDefault="007F059B" w:rsidP="007F059B">
      <w:pPr>
        <w:spacing w:line="360" w:lineRule="auto"/>
        <w:ind w:left="426" w:right="425"/>
        <w:contextualSpacing/>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Pr="007F059B">
        <w:rPr>
          <w:rFonts w:ascii="Palatino Linotype" w:eastAsia="Palatino Linotype" w:hAnsi="Palatino Linotype" w:cs="Palatino Linotype"/>
          <w:i/>
          <w:color w:val="000000"/>
        </w:rPr>
        <w:t xml:space="preserve">Artículo 7.56. Las o los titulares de las dependencias y organismos auxiliares deberán acreditar a una o un responsable de sus redes sociales ante la Coordinación General de Comunicación Social, mismo que deberá cubrir el perfil para atender y validar las responsabilidades a las que se refiere este capítulo. </w:t>
      </w:r>
    </w:p>
    <w:p w14:paraId="3994FA7B" w14:textId="4C6DF8F6" w:rsidR="007F059B" w:rsidRPr="007F059B" w:rsidRDefault="007F059B" w:rsidP="007F059B">
      <w:pPr>
        <w:spacing w:line="360" w:lineRule="auto"/>
        <w:ind w:left="426" w:right="425"/>
        <w:contextualSpacing/>
        <w:jc w:val="both"/>
        <w:rPr>
          <w:rFonts w:ascii="Palatino Linotype" w:eastAsia="Palatino Linotype" w:hAnsi="Palatino Linotype" w:cs="Palatino Linotype"/>
          <w:b/>
          <w:i/>
          <w:color w:val="000000"/>
        </w:rPr>
      </w:pPr>
      <w:r w:rsidRPr="007F059B">
        <w:rPr>
          <w:rFonts w:ascii="Palatino Linotype" w:eastAsia="Palatino Linotype" w:hAnsi="Palatino Linotype" w:cs="Palatino Linotype"/>
          <w:b/>
          <w:i/>
          <w:color w:val="000000"/>
        </w:rPr>
        <w:t xml:space="preserve">La información que pretenda incorporarse al portal de la administración pública municipal y/o redes sociales, deberá ser validada por la o el titular del área que la generó y aprobada por la Coordinación General de Comunicación Social. </w:t>
      </w:r>
    </w:p>
    <w:p w14:paraId="235A0312" w14:textId="77777777" w:rsidR="007F059B" w:rsidRPr="007F059B" w:rsidRDefault="007F059B" w:rsidP="007F059B">
      <w:pPr>
        <w:spacing w:line="360" w:lineRule="auto"/>
        <w:ind w:left="426" w:right="425"/>
        <w:contextualSpacing/>
        <w:jc w:val="both"/>
        <w:rPr>
          <w:rFonts w:ascii="Palatino Linotype" w:eastAsia="Palatino Linotype" w:hAnsi="Palatino Linotype" w:cs="Palatino Linotype"/>
          <w:i/>
          <w:color w:val="000000"/>
        </w:rPr>
      </w:pPr>
    </w:p>
    <w:p w14:paraId="31F4E3E3" w14:textId="77777777" w:rsidR="007F059B" w:rsidRDefault="007F059B" w:rsidP="007F059B">
      <w:pPr>
        <w:spacing w:line="360" w:lineRule="auto"/>
        <w:ind w:left="426" w:right="425"/>
        <w:contextualSpacing/>
        <w:jc w:val="both"/>
        <w:rPr>
          <w:rFonts w:ascii="Palatino Linotype" w:eastAsia="Palatino Linotype" w:hAnsi="Palatino Linotype" w:cs="Palatino Linotype"/>
          <w:i/>
          <w:color w:val="000000"/>
        </w:rPr>
      </w:pPr>
      <w:r w:rsidRPr="007F059B">
        <w:rPr>
          <w:rFonts w:ascii="Palatino Linotype" w:eastAsia="Palatino Linotype" w:hAnsi="Palatino Linotype" w:cs="Palatino Linotype"/>
          <w:i/>
          <w:color w:val="000000"/>
        </w:rPr>
        <w:t xml:space="preserve">Artículo 7.57. En materia de gobierno digital, las dependencias y organismos auxiliares en el ámbito de su competencia, realizarán lo siguiente: </w:t>
      </w:r>
    </w:p>
    <w:p w14:paraId="4F34A0D4" w14:textId="1AD7523C" w:rsidR="007F059B" w:rsidRPr="007F059B" w:rsidRDefault="007F059B" w:rsidP="007F059B">
      <w:pPr>
        <w:spacing w:line="360" w:lineRule="auto"/>
        <w:ind w:left="426" w:right="425"/>
        <w:contextualSpacing/>
        <w:jc w:val="both"/>
        <w:rPr>
          <w:rFonts w:ascii="Palatino Linotype" w:eastAsia="Palatino Linotype" w:hAnsi="Palatino Linotype" w:cs="Palatino Linotype"/>
          <w:i/>
          <w:color w:val="000000"/>
        </w:rPr>
      </w:pPr>
      <w:r w:rsidRPr="007F059B">
        <w:rPr>
          <w:rFonts w:ascii="Palatino Linotype" w:eastAsia="Palatino Linotype" w:hAnsi="Palatino Linotype" w:cs="Palatino Linotype"/>
          <w:i/>
          <w:color w:val="000000"/>
        </w:rPr>
        <w:t>I. Mantener la calidad de la información y actualizarla para que sea publicada en la página y portal electrónico del Ayuntamiento de Toluca;</w:t>
      </w:r>
    </w:p>
    <w:p w14:paraId="310AD64F" w14:textId="77777777" w:rsidR="007F059B" w:rsidRPr="007F059B" w:rsidRDefault="007F059B" w:rsidP="007F059B">
      <w:pPr>
        <w:spacing w:line="360" w:lineRule="auto"/>
        <w:ind w:left="426" w:right="425"/>
        <w:contextualSpacing/>
        <w:jc w:val="both"/>
        <w:rPr>
          <w:rFonts w:ascii="Palatino Linotype" w:eastAsia="Palatino Linotype" w:hAnsi="Palatino Linotype" w:cs="Palatino Linotype"/>
          <w:i/>
          <w:color w:val="000000"/>
        </w:rPr>
      </w:pPr>
      <w:r w:rsidRPr="007F059B">
        <w:rPr>
          <w:rFonts w:ascii="Palatino Linotype" w:eastAsia="Palatino Linotype" w:hAnsi="Palatino Linotype" w:cs="Palatino Linotype"/>
          <w:i/>
          <w:color w:val="000000"/>
        </w:rPr>
        <w:t xml:space="preserve">II. Dar cumplimiento a los lineamientos de imagen, contenido y técnicos para la construcción de páginas electrónicas; </w:t>
      </w:r>
    </w:p>
    <w:p w14:paraId="07CC60C1" w14:textId="77777777" w:rsidR="007F059B" w:rsidRPr="007F059B" w:rsidRDefault="007F059B" w:rsidP="007F059B">
      <w:pPr>
        <w:spacing w:line="360" w:lineRule="auto"/>
        <w:ind w:left="426" w:right="425"/>
        <w:contextualSpacing/>
        <w:jc w:val="both"/>
        <w:rPr>
          <w:rFonts w:ascii="Palatino Linotype" w:eastAsia="Palatino Linotype" w:hAnsi="Palatino Linotype" w:cs="Palatino Linotype"/>
          <w:i/>
          <w:color w:val="000000"/>
        </w:rPr>
      </w:pPr>
      <w:r w:rsidRPr="007F059B">
        <w:rPr>
          <w:rFonts w:ascii="Palatino Linotype" w:eastAsia="Palatino Linotype" w:hAnsi="Palatino Linotype" w:cs="Palatino Linotype"/>
          <w:i/>
          <w:color w:val="000000"/>
        </w:rPr>
        <w:t xml:space="preserve">III. Asegurar que sus páginas o portales contengan el dominio institucional del Ayuntamiento de Toluca; </w:t>
      </w:r>
    </w:p>
    <w:p w14:paraId="46A88D9A" w14:textId="77777777" w:rsidR="007F059B" w:rsidRPr="007F059B" w:rsidRDefault="007F059B" w:rsidP="007F059B">
      <w:pPr>
        <w:spacing w:line="360" w:lineRule="auto"/>
        <w:ind w:left="426" w:right="425"/>
        <w:contextualSpacing/>
        <w:jc w:val="both"/>
        <w:rPr>
          <w:rFonts w:ascii="Palatino Linotype" w:eastAsia="Palatino Linotype" w:hAnsi="Palatino Linotype" w:cs="Palatino Linotype"/>
          <w:i/>
          <w:color w:val="000000"/>
        </w:rPr>
      </w:pPr>
      <w:r w:rsidRPr="007F059B">
        <w:rPr>
          <w:rFonts w:ascii="Palatino Linotype" w:eastAsia="Palatino Linotype" w:hAnsi="Palatino Linotype" w:cs="Palatino Linotype"/>
          <w:i/>
          <w:color w:val="000000"/>
        </w:rPr>
        <w:t xml:space="preserve">IV. Atender y dar respuesta de forma expedita a la solicitud de servicios, correos electrónicos, mensajes, foros y otros esquemas electrónicos de interacción, así como llevar el registro y control de dichas solicitudes; </w:t>
      </w:r>
    </w:p>
    <w:p w14:paraId="4B4D1D58" w14:textId="77777777" w:rsidR="007F059B" w:rsidRPr="007F059B" w:rsidRDefault="007F059B" w:rsidP="007F059B">
      <w:pPr>
        <w:spacing w:line="360" w:lineRule="auto"/>
        <w:ind w:left="426" w:right="425"/>
        <w:contextualSpacing/>
        <w:jc w:val="both"/>
        <w:rPr>
          <w:rFonts w:ascii="Palatino Linotype" w:eastAsia="Palatino Linotype" w:hAnsi="Palatino Linotype" w:cs="Palatino Linotype"/>
          <w:i/>
          <w:color w:val="000000"/>
        </w:rPr>
      </w:pPr>
      <w:r w:rsidRPr="007F059B">
        <w:rPr>
          <w:rFonts w:ascii="Palatino Linotype" w:eastAsia="Palatino Linotype" w:hAnsi="Palatino Linotype" w:cs="Palatino Linotype"/>
          <w:i/>
          <w:color w:val="000000"/>
        </w:rPr>
        <w:t xml:space="preserve">V. Realizar la identificación, normalización y modelado de los procesos que soportan los servicios en línea; </w:t>
      </w:r>
    </w:p>
    <w:p w14:paraId="686B8EFC" w14:textId="77777777" w:rsidR="007F059B" w:rsidRPr="007F059B" w:rsidRDefault="007F059B" w:rsidP="007F059B">
      <w:pPr>
        <w:spacing w:line="360" w:lineRule="auto"/>
        <w:ind w:left="426" w:right="425"/>
        <w:contextualSpacing/>
        <w:jc w:val="both"/>
        <w:rPr>
          <w:rFonts w:ascii="Palatino Linotype" w:eastAsia="Palatino Linotype" w:hAnsi="Palatino Linotype" w:cs="Palatino Linotype"/>
          <w:i/>
          <w:color w:val="000000"/>
        </w:rPr>
      </w:pPr>
      <w:r w:rsidRPr="007F059B">
        <w:rPr>
          <w:rFonts w:ascii="Palatino Linotype" w:eastAsia="Palatino Linotype" w:hAnsi="Palatino Linotype" w:cs="Palatino Linotype"/>
          <w:i/>
          <w:color w:val="000000"/>
        </w:rPr>
        <w:lastRenderedPageBreak/>
        <w:t xml:space="preserve">VI. Incorporar servicios en línea, así como operar los procesos que permitan proporcionar atención oportuna a las solicitudes recibidas por este medio;  </w:t>
      </w:r>
    </w:p>
    <w:p w14:paraId="341289EA" w14:textId="7B5CDF9B" w:rsidR="007F059B" w:rsidRDefault="007F059B" w:rsidP="007F059B">
      <w:pPr>
        <w:spacing w:line="360" w:lineRule="auto"/>
        <w:ind w:left="426" w:right="425"/>
        <w:contextualSpacing/>
        <w:jc w:val="both"/>
        <w:rPr>
          <w:rFonts w:ascii="Palatino Linotype" w:eastAsia="Palatino Linotype" w:hAnsi="Palatino Linotype" w:cs="Palatino Linotype"/>
          <w:i/>
          <w:color w:val="000000"/>
        </w:rPr>
      </w:pPr>
      <w:r w:rsidRPr="007F059B">
        <w:rPr>
          <w:rFonts w:ascii="Palatino Linotype" w:eastAsia="Palatino Linotype" w:hAnsi="Palatino Linotype" w:cs="Palatino Linotype"/>
          <w:i/>
          <w:color w:val="000000"/>
        </w:rPr>
        <w:t>VII. Implementar estándares de calidad y mejora continua en los procesos soporte de los servicios en línea.</w:t>
      </w:r>
      <w:r>
        <w:rPr>
          <w:rFonts w:ascii="Palatino Linotype" w:eastAsia="Palatino Linotype" w:hAnsi="Palatino Linotype" w:cs="Palatino Linotype"/>
          <w:i/>
          <w:color w:val="000000"/>
        </w:rPr>
        <w:t>”</w:t>
      </w:r>
    </w:p>
    <w:p w14:paraId="517A884F" w14:textId="77777777" w:rsidR="007F059B" w:rsidRPr="007F059B" w:rsidRDefault="007F059B" w:rsidP="007F059B">
      <w:pPr>
        <w:spacing w:line="360" w:lineRule="auto"/>
        <w:ind w:left="426" w:right="425"/>
        <w:contextualSpacing/>
        <w:jc w:val="both"/>
        <w:rPr>
          <w:rFonts w:ascii="Palatino Linotype" w:eastAsia="Palatino Linotype" w:hAnsi="Palatino Linotype" w:cs="Palatino Linotype"/>
          <w:i/>
          <w:color w:val="000000"/>
        </w:rPr>
      </w:pPr>
    </w:p>
    <w:p w14:paraId="334B0B8D" w14:textId="764872BE" w:rsidR="002F4029" w:rsidRPr="002F4029" w:rsidRDefault="002F4029" w:rsidP="002F4029">
      <w:pPr>
        <w:numPr>
          <w:ilvl w:val="0"/>
          <w:numId w:val="1"/>
        </w:numPr>
        <w:spacing w:line="360" w:lineRule="auto"/>
        <w:ind w:left="0" w:firstLine="0"/>
        <w:contextualSpacing/>
        <w:jc w:val="both"/>
        <w:rPr>
          <w:rFonts w:ascii="Palatino Linotype" w:eastAsia="Palatino Linotype" w:hAnsi="Palatino Linotype" w:cs="Palatino Linotype"/>
        </w:rPr>
      </w:pPr>
      <w:r w:rsidRPr="002F4029">
        <w:rPr>
          <w:rFonts w:ascii="Palatino Linotype" w:eastAsia="Palatino Linotype" w:hAnsi="Palatino Linotype" w:cs="Palatino Linotype"/>
        </w:rPr>
        <w:t xml:space="preserve">Como se observa, su función principal es gestionar y difundir de manera oficial las actividades, obras, programas y servicios del </w:t>
      </w:r>
      <w:r>
        <w:rPr>
          <w:rFonts w:ascii="Palatino Linotype" w:eastAsia="Palatino Linotype" w:hAnsi="Palatino Linotype" w:cs="Palatino Linotype"/>
        </w:rPr>
        <w:t>M</w:t>
      </w:r>
      <w:r w:rsidRPr="002F4029">
        <w:rPr>
          <w:rFonts w:ascii="Palatino Linotype" w:eastAsia="Palatino Linotype" w:hAnsi="Palatino Linotype" w:cs="Palatino Linotype"/>
        </w:rPr>
        <w:t xml:space="preserve">unicipio, todo ello ciertamente </w:t>
      </w:r>
      <w:r w:rsidRPr="002F4029">
        <w:rPr>
          <w:rFonts w:ascii="Palatino Linotype" w:eastAsia="Palatino Linotype" w:hAnsi="Palatino Linotype" w:cs="Palatino Linotype"/>
          <w:color w:val="000000"/>
        </w:rPr>
        <w:t>mediante</w:t>
      </w:r>
      <w:r w:rsidRPr="002F4029">
        <w:rPr>
          <w:rFonts w:ascii="Palatino Linotype" w:eastAsia="Palatino Linotype" w:hAnsi="Palatino Linotype" w:cs="Palatino Linotype"/>
        </w:rPr>
        <w:t xml:space="preserve"> campañas de comunicación social, como ya aceptó que genera, posee y administra al señalar el enlace previamente referido de Facebook en el que a su decir se puede localizar la información</w:t>
      </w:r>
      <w:r>
        <w:rPr>
          <w:rFonts w:ascii="Palatino Linotype" w:eastAsia="Palatino Linotype" w:hAnsi="Palatino Linotype" w:cs="Palatino Linotype"/>
        </w:rPr>
        <w:t>.</w:t>
      </w:r>
    </w:p>
    <w:p w14:paraId="6106F39E" w14:textId="77777777" w:rsidR="002F4029" w:rsidRPr="002F4029" w:rsidRDefault="002F4029" w:rsidP="002F4029">
      <w:pPr>
        <w:spacing w:line="360" w:lineRule="auto"/>
        <w:contextualSpacing/>
        <w:jc w:val="both"/>
        <w:rPr>
          <w:rFonts w:ascii="Palatino Linotype" w:eastAsia="Palatino Linotype" w:hAnsi="Palatino Linotype" w:cs="Palatino Linotype"/>
          <w:i/>
        </w:rPr>
      </w:pPr>
    </w:p>
    <w:p w14:paraId="56DFCB86" w14:textId="38C62A80" w:rsidR="00433208" w:rsidRPr="003579B4" w:rsidRDefault="00E12135" w:rsidP="00433208">
      <w:pPr>
        <w:numPr>
          <w:ilvl w:val="0"/>
          <w:numId w:val="1"/>
        </w:numPr>
        <w:spacing w:line="360" w:lineRule="auto"/>
        <w:ind w:left="0" w:firstLine="0"/>
        <w:contextualSpacing/>
        <w:jc w:val="both"/>
        <w:rPr>
          <w:rFonts w:ascii="Palatino Linotype" w:eastAsia="Palatino Linotype" w:hAnsi="Palatino Linotype" w:cs="Palatino Linotype"/>
          <w:i/>
        </w:rPr>
      </w:pPr>
      <w:r w:rsidRPr="001F2F64">
        <w:rPr>
          <w:rFonts w:ascii="Palatino Linotype" w:eastAsia="Palatino Linotype" w:hAnsi="Palatino Linotype" w:cs="Palatino Linotype"/>
          <w:color w:val="000000"/>
        </w:rPr>
        <w:t>Luego entonces, es procedente</w:t>
      </w:r>
      <w:r w:rsidR="001F2F64" w:rsidRPr="001F2F64">
        <w:rPr>
          <w:rFonts w:ascii="Palatino Linotype" w:eastAsia="Palatino Linotype" w:hAnsi="Palatino Linotype" w:cs="Palatino Linotype"/>
          <w:color w:val="000000"/>
        </w:rPr>
        <w:t xml:space="preserve"> ordenar el soporte documental solicitado de manera inicial, </w:t>
      </w:r>
      <w:r w:rsidR="00BC71F4">
        <w:rPr>
          <w:rFonts w:ascii="Palatino Linotype" w:eastAsia="Palatino Linotype" w:hAnsi="Palatino Linotype" w:cs="Palatino Linotype"/>
          <w:color w:val="000000"/>
        </w:rPr>
        <w:t>es decir cualquier expresión documental al mayor grado de desagregación, pues es de recordar que lo solicitado</w:t>
      </w:r>
      <w:r w:rsidR="00433208">
        <w:rPr>
          <w:rFonts w:ascii="Palatino Linotype" w:eastAsia="Palatino Linotype" w:hAnsi="Palatino Linotype" w:cs="Palatino Linotype"/>
          <w:color w:val="000000"/>
        </w:rPr>
        <w:t xml:space="preserve"> correspondió a </w:t>
      </w:r>
      <w:r w:rsidR="00433208" w:rsidRPr="00433208">
        <w:rPr>
          <w:rFonts w:ascii="Palatino Linotype" w:eastAsia="Palatino Linotype" w:hAnsi="Palatino Linotype" w:cs="Palatino Linotype"/>
          <w:color w:val="000000"/>
        </w:rPr>
        <w:t>toda información documental, incluyendo de ser el caso, oficios de autorización, contratos, facturas</w:t>
      </w:r>
      <w:r w:rsidR="00433208">
        <w:rPr>
          <w:rFonts w:ascii="Palatino Linotype" w:eastAsia="Palatino Linotype" w:hAnsi="Palatino Linotype" w:cs="Palatino Linotype"/>
          <w:color w:val="000000"/>
        </w:rPr>
        <w:t xml:space="preserve">, contexto que resulta procedente, </w:t>
      </w:r>
      <w:r w:rsidR="00433208" w:rsidRPr="003579B4">
        <w:rPr>
          <w:rFonts w:ascii="Palatino Linotype" w:hAnsi="Palatino Linotype"/>
          <w:color w:val="000000"/>
        </w:rPr>
        <w:t xml:space="preserve">siendo deber en todo caso del sujeto obligado, otorgar una expresión documental, </w:t>
      </w:r>
      <w:r w:rsidR="00433208">
        <w:rPr>
          <w:rFonts w:ascii="Palatino Linotype" w:eastAsia="Palatino Linotype" w:hAnsi="Palatino Linotype" w:cs="Palatino Linotype"/>
        </w:rPr>
        <w:t>a cualquier documento generado y que se encuentre relacionado</w:t>
      </w:r>
      <w:r w:rsidR="00433208" w:rsidRPr="003579B4">
        <w:rPr>
          <w:rFonts w:ascii="Palatino Linotype" w:eastAsia="Palatino Linotype" w:hAnsi="Palatino Linotype" w:cs="Palatino Linotype"/>
        </w:rPr>
        <w:t>.</w:t>
      </w:r>
    </w:p>
    <w:p w14:paraId="628FA979" w14:textId="77777777" w:rsidR="00433208" w:rsidRDefault="00433208" w:rsidP="00433208">
      <w:pPr>
        <w:pStyle w:val="Prrafodelista"/>
        <w:rPr>
          <w:rFonts w:ascii="Palatino Linotype" w:eastAsia="Palatino Linotype" w:hAnsi="Palatino Linotype" w:cs="Palatino Linotype"/>
          <w:i/>
        </w:rPr>
      </w:pPr>
    </w:p>
    <w:p w14:paraId="3C655FF9" w14:textId="77777777" w:rsidR="00433208" w:rsidRDefault="00433208" w:rsidP="00433208">
      <w:pPr>
        <w:numPr>
          <w:ilvl w:val="0"/>
          <w:numId w:val="1"/>
        </w:numPr>
        <w:spacing w:line="360" w:lineRule="auto"/>
        <w:ind w:left="0" w:firstLine="0"/>
        <w:contextualSpacing/>
        <w:jc w:val="both"/>
        <w:rPr>
          <w:rFonts w:ascii="Palatino Linotype" w:hAnsi="Palatino Linotype"/>
        </w:rPr>
      </w:pPr>
      <w:r w:rsidRPr="003579B4">
        <w:rPr>
          <w:rFonts w:ascii="Palatino Linotype" w:hAnsi="Palatino Linotype"/>
        </w:rPr>
        <w:t xml:space="preserve">Sirve de sustento a lo anterior, el Criterio 028-10, emitido por el entonces Pleno del Instituto Federal de Acceso a la </w:t>
      </w:r>
      <w:r w:rsidRPr="003579B4">
        <w:rPr>
          <w:rFonts w:ascii="Palatino Linotype" w:eastAsia="Palatino Linotype" w:hAnsi="Palatino Linotype" w:cs="Palatino Linotype"/>
        </w:rPr>
        <w:t>Información</w:t>
      </w:r>
      <w:r w:rsidRPr="003579B4">
        <w:rPr>
          <w:rFonts w:ascii="Palatino Linotype" w:hAnsi="Palatino Linotype"/>
        </w:rPr>
        <w:t xml:space="preserve"> y Protección de Datos, ahora INAI, que establece: </w:t>
      </w:r>
    </w:p>
    <w:p w14:paraId="181FA535" w14:textId="171AC7A7" w:rsidR="00433208" w:rsidRPr="003579B4" w:rsidRDefault="00433208" w:rsidP="00433208">
      <w:pPr>
        <w:pStyle w:val="Prrafodelista"/>
        <w:spacing w:line="360" w:lineRule="auto"/>
        <w:ind w:left="502" w:right="567"/>
        <w:jc w:val="both"/>
        <w:rPr>
          <w:rFonts w:ascii="Palatino Linotype" w:hAnsi="Palatino Linotype"/>
          <w:b/>
          <w:i/>
          <w:u w:val="single"/>
          <w:lang w:eastAsia="en-US"/>
        </w:rPr>
      </w:pPr>
      <w:r w:rsidRPr="003579B4">
        <w:rPr>
          <w:rFonts w:ascii="Palatino Linotype" w:hAnsi="Palatino Linotype"/>
          <w:b/>
          <w:i/>
          <w:lang w:eastAsia="en-US"/>
        </w:rPr>
        <w:t>“Cuando en una solicitud de información no se identifique un documento en específico, si ésta tiene una expresión documental, el sujeto obligado deberá entregar al particular el documento en específico.</w:t>
      </w:r>
      <w:r w:rsidRPr="003579B4">
        <w:rPr>
          <w:rFonts w:ascii="Palatino Linotype" w:hAnsi="Palatino Linotype"/>
          <w:i/>
          <w:lang w:eastAsia="en-US"/>
        </w:rPr>
        <w:t xml:space="preserve"> La Ley Federal de Transparencia y </w:t>
      </w:r>
      <w:r w:rsidRPr="003579B4">
        <w:rPr>
          <w:rFonts w:ascii="Palatino Linotype" w:hAnsi="Palatino Linotype"/>
          <w:i/>
          <w:lang w:eastAsia="en-US"/>
        </w:rPr>
        <w:lastRenderedPageBreak/>
        <w:t xml:space="preserve">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3579B4">
        <w:rPr>
          <w:rFonts w:ascii="Palatino Linotype" w:hAnsi="Palatino Linotype"/>
          <w:b/>
          <w:i/>
          <w:u w:val="single"/>
          <w:lang w:eastAsia="en-US"/>
        </w:rPr>
        <w:t xml:space="preserve">cuando el particular lleve a cabo una solicitud de información sin identificar de forma precisa la documentación específica que pudiera contener dicha información, </w:t>
      </w:r>
      <w:r w:rsidRPr="003579B4">
        <w:rPr>
          <w:rFonts w:ascii="Palatino Linotype" w:hAnsi="Palatino Linotype"/>
          <w:i/>
          <w:lang w:eastAsia="en-US"/>
        </w:rPr>
        <w:t xml:space="preserve">o bien pareciera que más bien la solicitud se constituye como una consulta y no como una solicitud de acceso en términos de la Ley Federal de Transparencia y Acceso a la Información Pública Gubernamental, pero su respuesta puede obrar en algún documento, </w:t>
      </w:r>
      <w:r w:rsidRPr="003579B4">
        <w:rPr>
          <w:rFonts w:ascii="Palatino Linotype" w:hAnsi="Palatino Linotype"/>
          <w:b/>
          <w:i/>
          <w:lang w:eastAsia="en-US"/>
        </w:rPr>
        <w:t>el sujeto obligado debe dar a la solicitud una interpretación que le dé una expresión documental. Es decir</w:t>
      </w:r>
      <w:r w:rsidRPr="003579B4">
        <w:rPr>
          <w:rFonts w:ascii="Palatino Linotype" w:hAnsi="Palatino Linotype"/>
          <w:b/>
          <w:i/>
          <w:u w:val="single"/>
          <w:lang w:eastAsia="en-US"/>
        </w:rPr>
        <w:t>, si la respuesta a la solicitud obra en algún documento en poder de la autoridad, pero el particular no hace referencia específica a tal documento, se deberá hacer entrega del mismo al solicitante.</w:t>
      </w:r>
      <w:r w:rsidR="006111E6">
        <w:rPr>
          <w:rFonts w:ascii="Palatino Linotype" w:hAnsi="Palatino Linotype"/>
          <w:b/>
          <w:i/>
          <w:u w:val="single"/>
          <w:lang w:eastAsia="en-US"/>
        </w:rPr>
        <w:t>”</w:t>
      </w:r>
    </w:p>
    <w:p w14:paraId="11119C40" w14:textId="77777777" w:rsidR="00433208" w:rsidRPr="003579B4" w:rsidRDefault="00433208" w:rsidP="00433208">
      <w:pPr>
        <w:pStyle w:val="Prrafodelista"/>
        <w:spacing w:line="360" w:lineRule="auto"/>
        <w:ind w:left="502" w:right="567"/>
        <w:jc w:val="both"/>
        <w:rPr>
          <w:rFonts w:ascii="Palatino Linotype" w:hAnsi="Palatino Linotype"/>
          <w:b/>
          <w:i/>
          <w:u w:val="single"/>
          <w:lang w:eastAsia="en-US"/>
        </w:rPr>
      </w:pPr>
    </w:p>
    <w:p w14:paraId="671BC655" w14:textId="6F32FEF8" w:rsidR="00E12135" w:rsidRDefault="00433208" w:rsidP="007C6B7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433208">
        <w:rPr>
          <w:rFonts w:ascii="Palatino Linotype" w:hAnsi="Palatino Linotype" w:cs="Arial"/>
        </w:rPr>
        <w:t>Luego</w:t>
      </w:r>
      <w:r w:rsidRPr="00433208">
        <w:rPr>
          <w:rFonts w:ascii="Palatino Linotype" w:hAnsi="Palatino Linotype"/>
          <w:color w:val="000000"/>
        </w:rPr>
        <w:t xml:space="preserve"> entonces se reitera la procedencia de la nueva búsqueda exhaustiva y razonable con respecto a toda expresión documental, generada, poseída o administrada.</w:t>
      </w:r>
      <w:r w:rsidR="001F2F64" w:rsidRPr="00433208">
        <w:rPr>
          <w:rFonts w:ascii="Palatino Linotype" w:eastAsia="Palatino Linotype" w:hAnsi="Palatino Linotype" w:cs="Palatino Linotype"/>
          <w:color w:val="000000"/>
        </w:rPr>
        <w:t xml:space="preserve"> </w:t>
      </w:r>
      <w:r w:rsidR="00E12135" w:rsidRPr="00433208">
        <w:rPr>
          <w:rFonts w:ascii="Palatino Linotype" w:eastAsia="Palatino Linotype" w:hAnsi="Palatino Linotype" w:cs="Palatino Linotype"/>
          <w:color w:val="000000"/>
        </w:rPr>
        <w:t xml:space="preserve">Con la determinación anterior quedará por colmado el derecho de acceso a la información del ahora Recurrente; toda vez que el Derecho que tutela este Órgano Garante </w:t>
      </w:r>
      <w:r w:rsidR="00E12135" w:rsidRPr="00433208">
        <w:rPr>
          <w:rFonts w:ascii="Palatino Linotype" w:eastAsia="Palatino Linotype" w:hAnsi="Palatino Linotype" w:cs="Palatino Linotype"/>
        </w:rPr>
        <w:t>corresponde</w:t>
      </w:r>
      <w:r w:rsidR="00E12135" w:rsidRPr="00433208">
        <w:rPr>
          <w:rFonts w:ascii="Palatino Linotype" w:eastAsia="Palatino Linotype" w:hAnsi="Palatino Linotype" w:cs="Palatino Linotype"/>
          <w:color w:val="000000"/>
        </w:rPr>
        <w:t xml:space="preserve"> a la  </w:t>
      </w:r>
      <w:r w:rsidR="00E12135" w:rsidRPr="00433208">
        <w:rPr>
          <w:rFonts w:ascii="Palatino Linotype" w:eastAsia="Palatino Linotype" w:hAnsi="Palatino Linotype" w:cs="Palatino Linotype"/>
          <w:i/>
          <w:iCs/>
          <w:color w:val="000000"/>
        </w:rPr>
        <w:t>igualdad de oportunidades para recibir, buscar e impartir información</w:t>
      </w:r>
      <w:r w:rsidR="00E12135" w:rsidRPr="00987A13">
        <w:rPr>
          <w:rFonts w:ascii="Palatino Linotype" w:eastAsia="Palatino Linotype" w:hAnsi="Palatino Linotype" w:cs="Palatino Linotype"/>
          <w:i/>
          <w:iCs/>
          <w:color w:val="000000"/>
          <w:vertAlign w:val="superscript"/>
        </w:rPr>
        <w:footnoteReference w:id="1"/>
      </w:r>
      <w:r w:rsidR="00E12135" w:rsidRPr="00433208">
        <w:rPr>
          <w:rFonts w:ascii="Palatino Linotype" w:eastAsia="Palatino Linotype" w:hAnsi="Palatino Linotype" w:cs="Palatino Linotype"/>
          <w:i/>
          <w:iCs/>
          <w:color w:val="000000"/>
        </w:rPr>
        <w:t xml:space="preserve"> en posesión de cualquier autoridad, entidad, órgano y organismo de los </w:t>
      </w:r>
      <w:r w:rsidR="00E12135" w:rsidRPr="00433208">
        <w:rPr>
          <w:rFonts w:ascii="Palatino Linotype" w:eastAsia="Palatino Linotype" w:hAnsi="Palatino Linotype" w:cs="Palatino Linotype"/>
          <w:color w:val="000000"/>
        </w:rPr>
        <w:t>poderes</w:t>
      </w:r>
      <w:r w:rsidR="00E12135" w:rsidRPr="00433208">
        <w:rPr>
          <w:rFonts w:ascii="Palatino Linotype" w:eastAsia="Palatino Linotype" w:hAnsi="Palatino Linotype" w:cs="Palatino Linotype"/>
          <w:i/>
          <w:iCs/>
          <w:color w:val="000000"/>
        </w:rPr>
        <w:t xml:space="preserve"> Ejecutivo, Legislativo y Judicial, órganos autónomos, partidos políticos, fideicomisos, y fondos públicos, así como de cualquier persona física, </w:t>
      </w:r>
      <w:r w:rsidR="00E12135" w:rsidRPr="00433208">
        <w:rPr>
          <w:rFonts w:ascii="Palatino Linotype" w:eastAsia="Palatino Linotype" w:hAnsi="Palatino Linotype" w:cs="Palatino Linotype"/>
          <w:i/>
          <w:iCs/>
          <w:color w:val="000000"/>
        </w:rPr>
        <w:lastRenderedPageBreak/>
        <w:t>moral o sindicato que reciba y ejerza recursos públicos o realice actos de autoridad en el ámbito federal, estatal y municipal</w:t>
      </w:r>
      <w:r w:rsidR="00E12135" w:rsidRPr="00987A13">
        <w:rPr>
          <w:rFonts w:ascii="Palatino Linotype" w:eastAsia="Palatino Linotype" w:hAnsi="Palatino Linotype" w:cs="Palatino Linotype"/>
          <w:color w:val="000000"/>
          <w:vertAlign w:val="superscript"/>
        </w:rPr>
        <w:footnoteReference w:id="2"/>
      </w:r>
      <w:r w:rsidR="00E12135" w:rsidRPr="00433208">
        <w:rPr>
          <w:rFonts w:ascii="Palatino Linotype" w:eastAsia="Palatino Linotype" w:hAnsi="Palatino Linotype" w:cs="Palatino Linotype"/>
          <w:i/>
          <w:iCs/>
          <w:color w:val="000000"/>
        </w:rPr>
        <w:t xml:space="preserve"> </w:t>
      </w:r>
      <w:r w:rsidR="00E12135" w:rsidRPr="00433208">
        <w:rPr>
          <w:rFonts w:ascii="Palatino Linotype" w:eastAsia="Palatino Linotype" w:hAnsi="Palatino Linotype" w:cs="Palatino Linotype"/>
          <w:color w:val="000000"/>
        </w:rPr>
        <w:t xml:space="preserve">que se constituye como una herramienta fundamental para </w:t>
      </w:r>
      <w:r w:rsidR="00E12135" w:rsidRPr="00433208">
        <w:rPr>
          <w:rFonts w:ascii="Palatino Linotype" w:eastAsia="Palatino Linotype" w:hAnsi="Palatino Linotype" w:cs="Palatino Linotype"/>
          <w:i/>
          <w:iCs/>
          <w:color w:val="000000"/>
        </w:rPr>
        <w:t>ejercer control democrático de las gestiones estatales, de forma tal que puedan cuestionar, indagar y considerar si se está dando un adecuado cumplimiento de las funciones públicas,</w:t>
      </w:r>
      <w:r w:rsidR="00E12135" w:rsidRPr="00987A13">
        <w:rPr>
          <w:rFonts w:ascii="Palatino Linotype" w:eastAsia="Palatino Linotype" w:hAnsi="Palatino Linotype" w:cs="Palatino Linotype"/>
          <w:i/>
          <w:iCs/>
          <w:color w:val="000000"/>
          <w:vertAlign w:val="superscript"/>
        </w:rPr>
        <w:footnoteReference w:id="3"/>
      </w:r>
      <w:r w:rsidR="00E12135" w:rsidRPr="00433208">
        <w:rPr>
          <w:rFonts w:ascii="Palatino Linotype" w:eastAsia="Palatino Linotype" w:hAnsi="Palatino Linotype" w:cs="Palatino Linotype"/>
          <w:color w:val="000000"/>
        </w:rPr>
        <w:t>fomentando</w:t>
      </w:r>
      <w:r w:rsidR="00E12135" w:rsidRPr="00433208">
        <w:rPr>
          <w:rFonts w:ascii="Palatino Linotype" w:eastAsia="Palatino Linotype" w:hAnsi="Palatino Linotype" w:cs="Palatino Linotype"/>
          <w:i/>
          <w:iCs/>
          <w:color w:val="000000"/>
        </w:rPr>
        <w:t xml:space="preserve"> la transparencia de las actividades estatales y</w:t>
      </w:r>
      <w:r w:rsidR="00E12135" w:rsidRPr="00433208">
        <w:rPr>
          <w:rFonts w:ascii="Palatino Linotype" w:eastAsia="Palatino Linotype" w:hAnsi="Palatino Linotype" w:cs="Palatino Linotype"/>
          <w:color w:val="000000"/>
        </w:rPr>
        <w:t xml:space="preserve"> promoviendo</w:t>
      </w:r>
      <w:r w:rsidR="00E12135" w:rsidRPr="00433208">
        <w:rPr>
          <w:rFonts w:ascii="Palatino Linotype" w:eastAsia="Palatino Linotype" w:hAnsi="Palatino Linotype" w:cs="Palatino Linotype"/>
          <w:i/>
          <w:iCs/>
          <w:color w:val="000000"/>
        </w:rPr>
        <w:t xml:space="preserve"> la responsabilidad de los funcionarios sobre su gestión pública</w:t>
      </w:r>
      <w:r w:rsidR="00E12135" w:rsidRPr="00987A13">
        <w:rPr>
          <w:rFonts w:ascii="Palatino Linotype" w:eastAsia="Palatino Linotype" w:hAnsi="Palatino Linotype" w:cs="Palatino Linotype"/>
          <w:i/>
          <w:iCs/>
          <w:color w:val="000000"/>
          <w:vertAlign w:val="superscript"/>
        </w:rPr>
        <w:footnoteReference w:id="4"/>
      </w:r>
      <w:r w:rsidR="00E12135" w:rsidRPr="00433208">
        <w:rPr>
          <w:rFonts w:ascii="Palatino Linotype" w:eastAsia="Palatino Linotype" w:hAnsi="Palatino Linotype" w:cs="Palatino Linotype"/>
          <w:i/>
          <w:iCs/>
          <w:color w:val="000000"/>
        </w:rPr>
        <w:t xml:space="preserve"> </w:t>
      </w:r>
      <w:r w:rsidR="00E12135" w:rsidRPr="00433208">
        <w:rPr>
          <w:rFonts w:ascii="Palatino Linotype" w:eastAsia="Palatino Linotype" w:hAnsi="Palatino Linotype" w:cs="Palatino Linotype"/>
          <w:color w:val="000000"/>
        </w:rPr>
        <w:t>que permite</w:t>
      </w:r>
      <w:r w:rsidR="00E12135" w:rsidRPr="00433208">
        <w:rPr>
          <w:rFonts w:ascii="Palatino Linotype" w:eastAsia="Palatino Linotype" w:hAnsi="Palatino Linotype" w:cs="Palatino Linotype"/>
          <w:i/>
          <w:iCs/>
          <w:color w:val="000000"/>
        </w:rPr>
        <w:t xml:space="preserve"> saber qué están haciendo los gobiernos por sus pueblos, sin lo cual la verdad languidecería y la participación en el gobierno permanecería fragmentada.</w:t>
      </w:r>
      <w:r w:rsidR="00E12135" w:rsidRPr="00987A13">
        <w:rPr>
          <w:rFonts w:ascii="Palatino Linotype" w:eastAsia="Palatino Linotype" w:hAnsi="Palatino Linotype" w:cs="Palatino Linotype"/>
          <w:i/>
          <w:iCs/>
          <w:color w:val="000000"/>
          <w:vertAlign w:val="superscript"/>
        </w:rPr>
        <w:footnoteReference w:id="5"/>
      </w:r>
      <w:r w:rsidR="00E12135" w:rsidRPr="00433208">
        <w:rPr>
          <w:rFonts w:ascii="Palatino Linotype" w:eastAsia="Palatino Linotype" w:hAnsi="Palatino Linotype" w:cs="Palatino Linotype"/>
          <w:color w:val="000000"/>
        </w:rPr>
        <w:t xml:space="preserve"> ”</w:t>
      </w:r>
    </w:p>
    <w:p w14:paraId="6FE426A5" w14:textId="77777777" w:rsidR="00784D8F" w:rsidRPr="00433208" w:rsidRDefault="00784D8F" w:rsidP="00784D8F">
      <w:pPr>
        <w:spacing w:line="360" w:lineRule="auto"/>
        <w:contextualSpacing/>
        <w:jc w:val="both"/>
        <w:rPr>
          <w:rFonts w:ascii="Palatino Linotype" w:eastAsia="Palatino Linotype" w:hAnsi="Palatino Linotype" w:cs="Palatino Linotype"/>
          <w:color w:val="000000"/>
        </w:rPr>
      </w:pPr>
    </w:p>
    <w:p w14:paraId="6FD9B6D5" w14:textId="77777777" w:rsidR="00E12135" w:rsidRPr="00987A13" w:rsidRDefault="00E12135" w:rsidP="001F2F64">
      <w:pPr>
        <w:numPr>
          <w:ilvl w:val="0"/>
          <w:numId w:val="1"/>
        </w:numPr>
        <w:spacing w:line="360" w:lineRule="auto"/>
        <w:ind w:left="0" w:firstLine="0"/>
        <w:contextualSpacing/>
        <w:jc w:val="both"/>
        <w:rPr>
          <w:rFonts w:ascii="Palatino Linotype" w:eastAsia="Palatino Linotype" w:hAnsi="Palatino Linotype" w:cs="Palatino Linotype"/>
          <w:i/>
          <w:iCs/>
          <w:color w:val="000000"/>
        </w:rPr>
      </w:pPr>
      <w:r w:rsidRPr="00987A13">
        <w:rPr>
          <w:rFonts w:ascii="Palatino Linotype" w:eastAsia="Palatino Linotype" w:hAnsi="Palatino Linotype" w:cs="Palatino Linotype"/>
          <w:color w:val="000000"/>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A4BA5FA" w14:textId="77777777" w:rsidR="00E12135" w:rsidRPr="00987A13" w:rsidRDefault="00E12135" w:rsidP="00E12135">
      <w:pPr>
        <w:spacing w:line="360" w:lineRule="auto"/>
        <w:ind w:left="426" w:right="474"/>
        <w:jc w:val="both"/>
        <w:rPr>
          <w:rFonts w:ascii="Palatino Linotype" w:eastAsia="Palatino Linotype" w:hAnsi="Palatino Linotype" w:cs="Palatino Linotype"/>
          <w:b/>
          <w:bCs/>
          <w:i/>
          <w:iCs/>
          <w:color w:val="000000"/>
        </w:rPr>
      </w:pPr>
      <w:r w:rsidRPr="00987A13">
        <w:rPr>
          <w:rFonts w:ascii="Palatino Linotype" w:eastAsia="Palatino Linotype" w:hAnsi="Palatino Linotype" w:cs="Palatino Linotype"/>
          <w:b/>
          <w:bCs/>
          <w:i/>
          <w:iCs/>
          <w:color w:val="000000"/>
        </w:rPr>
        <w:t>“CRITERIO 0002-11</w:t>
      </w:r>
    </w:p>
    <w:p w14:paraId="432B6074" w14:textId="77777777" w:rsidR="00E12135" w:rsidRPr="00987A13" w:rsidRDefault="00E12135" w:rsidP="00E12135">
      <w:pPr>
        <w:spacing w:line="360" w:lineRule="auto"/>
        <w:ind w:left="426" w:right="474"/>
        <w:jc w:val="both"/>
        <w:rPr>
          <w:rFonts w:ascii="Palatino Linotype" w:eastAsia="Palatino Linotype" w:hAnsi="Palatino Linotype" w:cs="Palatino Linotype"/>
          <w:i/>
          <w:iCs/>
          <w:color w:val="000000"/>
        </w:rPr>
      </w:pPr>
      <w:r w:rsidRPr="00987A13">
        <w:rPr>
          <w:rFonts w:ascii="Palatino Linotype" w:eastAsia="Palatino Linotype" w:hAnsi="Palatino Linotype" w:cs="Palatino Linotype"/>
          <w:b/>
          <w:bCs/>
          <w:i/>
          <w:iCs/>
          <w:color w:val="000000"/>
        </w:rPr>
        <w:t>INFORMACIÓN PÚBLICA, CONCEPTO DE, EN MATERIA DE TRANSPARENCIA. INTERPRETACIÓN TEMÁTICA DE LOS ARTÍCULOS 2, FRACCIÓN V, XV, Y XVI, 3, 4,11 Y 41.</w:t>
      </w:r>
      <w:r w:rsidRPr="00987A13">
        <w:rPr>
          <w:rFonts w:ascii="Palatino Linotype" w:eastAsia="Palatino Linotype" w:hAnsi="Palatino Linotype" w:cs="Palatino Linotype"/>
          <w:i/>
          <w:iCs/>
          <w:color w:val="000000"/>
        </w:rPr>
        <w:t xml:space="preserve"> De conformidad con los artículos antes referidos, </w:t>
      </w:r>
      <w:r w:rsidRPr="00987A13">
        <w:rPr>
          <w:rFonts w:ascii="Palatino Linotype" w:eastAsia="Palatino Linotype" w:hAnsi="Palatino Linotype" w:cs="Palatino Linotype"/>
          <w:i/>
          <w:iCs/>
          <w:color w:val="000000"/>
        </w:rPr>
        <w:lastRenderedPageBreak/>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2202D10" w14:textId="77777777" w:rsidR="00E12135" w:rsidRPr="00987A13" w:rsidRDefault="00E12135" w:rsidP="00E12135">
      <w:pPr>
        <w:spacing w:line="360" w:lineRule="auto"/>
        <w:ind w:left="426" w:right="474"/>
        <w:jc w:val="both"/>
        <w:rPr>
          <w:rFonts w:ascii="Palatino Linotype" w:eastAsia="Palatino Linotype" w:hAnsi="Palatino Linotype" w:cs="Palatino Linotype"/>
          <w:i/>
          <w:iCs/>
          <w:color w:val="000000"/>
        </w:rPr>
      </w:pPr>
      <w:r w:rsidRPr="00987A13">
        <w:rPr>
          <w:rFonts w:ascii="Palatino Linotype" w:eastAsia="Palatino Linotype" w:hAnsi="Palatino Linotype" w:cs="Palatino Linotype"/>
          <w:i/>
          <w:iCs/>
          <w:color w:val="000000"/>
        </w:rPr>
        <w:t>En consecuencia el acceso a la información se refiere a que se cumplan cualquiera de los siguientes tres supuestos:</w:t>
      </w:r>
    </w:p>
    <w:p w14:paraId="576DA05E" w14:textId="77777777" w:rsidR="00E12135" w:rsidRPr="00987A13" w:rsidRDefault="00E12135" w:rsidP="00E12135">
      <w:pPr>
        <w:spacing w:line="360" w:lineRule="auto"/>
        <w:ind w:left="426" w:right="474"/>
        <w:jc w:val="both"/>
        <w:rPr>
          <w:rFonts w:ascii="Palatino Linotype" w:eastAsia="Palatino Linotype" w:hAnsi="Palatino Linotype" w:cs="Palatino Linotype"/>
          <w:i/>
          <w:iCs/>
          <w:color w:val="000000"/>
        </w:rPr>
      </w:pPr>
      <w:r w:rsidRPr="00987A13">
        <w:rPr>
          <w:rFonts w:ascii="Palatino Linotype" w:eastAsia="Palatino Linotype" w:hAnsi="Palatino Linotype" w:cs="Palatino Linotype"/>
          <w:i/>
          <w:iCs/>
          <w:color w:val="000000"/>
        </w:rPr>
        <w:t>Que se trate de información registrada en cualquier soporte documental, que en ejercicio de las atribuciones conferidas, sea generada por los Sujetos Obligados;</w:t>
      </w:r>
    </w:p>
    <w:p w14:paraId="23AE232C" w14:textId="77777777" w:rsidR="00E12135" w:rsidRPr="00987A13" w:rsidRDefault="00E12135" w:rsidP="00E12135">
      <w:pPr>
        <w:spacing w:line="360" w:lineRule="auto"/>
        <w:ind w:left="426" w:right="474"/>
        <w:jc w:val="both"/>
        <w:rPr>
          <w:rFonts w:ascii="Palatino Linotype" w:eastAsia="Palatino Linotype" w:hAnsi="Palatino Linotype" w:cs="Palatino Linotype"/>
          <w:i/>
          <w:iCs/>
          <w:color w:val="000000"/>
        </w:rPr>
      </w:pPr>
      <w:r w:rsidRPr="00987A13">
        <w:rPr>
          <w:rFonts w:ascii="Palatino Linotype" w:eastAsia="Palatino Linotype" w:hAnsi="Palatino Linotype" w:cs="Palatino Linotype"/>
          <w:i/>
          <w:iCs/>
          <w:color w:val="000000"/>
        </w:rPr>
        <w:t>Que se trate de información registrada en cualquier soporte documental, que en ejercicio de las atribuciones conferidas, sea administrada por los Sujetos Obligados, y</w:t>
      </w:r>
    </w:p>
    <w:p w14:paraId="6A880D79" w14:textId="77777777" w:rsidR="00E12135" w:rsidRPr="00987A13" w:rsidRDefault="00E12135" w:rsidP="00E12135">
      <w:pPr>
        <w:spacing w:line="360" w:lineRule="auto"/>
        <w:ind w:left="426" w:right="474"/>
        <w:jc w:val="both"/>
        <w:rPr>
          <w:rFonts w:ascii="Palatino Linotype" w:eastAsia="Palatino Linotype" w:hAnsi="Palatino Linotype" w:cs="Palatino Linotype"/>
          <w:i/>
          <w:iCs/>
          <w:color w:val="000000"/>
        </w:rPr>
      </w:pPr>
      <w:r w:rsidRPr="00987A13">
        <w:rPr>
          <w:rFonts w:ascii="Palatino Linotype" w:eastAsia="Palatino Linotype" w:hAnsi="Palatino Linotype" w:cs="Palatino Linotype"/>
          <w:i/>
          <w:iCs/>
          <w:color w:val="000000"/>
        </w:rPr>
        <w:t>Que se trate de información registrada en cualquier soporte documental, que en ejercicio de las atribuciones conferidas, se encuentre en posesión de los Sujetos Obligados.”</w:t>
      </w:r>
    </w:p>
    <w:p w14:paraId="0079C788" w14:textId="77777777" w:rsidR="00E12135" w:rsidRPr="00987A13" w:rsidRDefault="00E12135" w:rsidP="00E12135">
      <w:pPr>
        <w:spacing w:line="360" w:lineRule="auto"/>
        <w:ind w:left="567" w:right="567"/>
        <w:jc w:val="both"/>
        <w:rPr>
          <w:rFonts w:ascii="Palatino Linotype" w:eastAsia="Palatino Linotype" w:hAnsi="Palatino Linotype" w:cs="Palatino Linotype"/>
          <w:i/>
          <w:iCs/>
          <w:color w:val="000000"/>
        </w:rPr>
      </w:pPr>
    </w:p>
    <w:p w14:paraId="5AE86773" w14:textId="77777777" w:rsidR="00E12135" w:rsidRPr="00987A13" w:rsidRDefault="00E12135" w:rsidP="001F2F6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El derecho de acceso a la información encuentra su materia elemental en los documentos, y la Ley de Transparencia local  nos brinda el siguiente concepto, para darnos un mejor panorama:</w:t>
      </w:r>
    </w:p>
    <w:p w14:paraId="3A7781BE" w14:textId="77777777" w:rsidR="00E12135" w:rsidRPr="00987A13" w:rsidRDefault="00E12135" w:rsidP="00E12135">
      <w:pPr>
        <w:spacing w:line="360" w:lineRule="auto"/>
        <w:ind w:left="426" w:right="474"/>
        <w:jc w:val="both"/>
        <w:rPr>
          <w:rFonts w:ascii="Palatino Linotype" w:eastAsia="Palatino Linotype" w:hAnsi="Palatino Linotype" w:cs="Palatino Linotype"/>
          <w:i/>
          <w:iCs/>
          <w:color w:val="000000"/>
        </w:rPr>
      </w:pPr>
      <w:r w:rsidRPr="00987A13">
        <w:rPr>
          <w:rFonts w:ascii="Palatino Linotype" w:eastAsia="Palatino Linotype" w:hAnsi="Palatino Linotype" w:cs="Palatino Linotype"/>
          <w:b/>
          <w:bCs/>
          <w:i/>
          <w:iCs/>
          <w:color w:val="000000"/>
        </w:rPr>
        <w:t xml:space="preserve">XI. Documento: </w:t>
      </w:r>
      <w:r w:rsidRPr="00987A13">
        <w:rPr>
          <w:rFonts w:ascii="Palatino Linotype" w:eastAsia="Palatino Linotype" w:hAnsi="Palatino Linotype" w:cs="Palatino Linotype"/>
          <w:i/>
          <w:iCs/>
          <w:color w:val="000000"/>
        </w:rPr>
        <w:t xml:space="preserve">Los expedientes, reportes, estudios, actas, resoluciones, oficios, correspondencia, acuerdos, directivas, directrices, circulares, contratos, convenios, instructivos, notas, memorandos, estadísticas o bien, </w:t>
      </w:r>
      <w:r w:rsidRPr="00987A13">
        <w:rPr>
          <w:rFonts w:ascii="Palatino Linotype" w:eastAsia="Palatino Linotype" w:hAnsi="Palatino Linotype" w:cs="Palatino Linotype"/>
          <w:b/>
          <w:bCs/>
          <w:i/>
          <w:iCs/>
          <w:color w:val="000000"/>
        </w:rPr>
        <w:t>cualquier otro registro</w:t>
      </w:r>
      <w:r w:rsidRPr="00987A13">
        <w:rPr>
          <w:rFonts w:ascii="Palatino Linotype" w:eastAsia="Palatino Linotype" w:hAnsi="Palatino Linotype" w:cs="Palatino Linotype"/>
          <w:i/>
          <w:iCs/>
          <w:color w:val="00000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968C5BE" w14:textId="77777777" w:rsidR="00E12135" w:rsidRPr="00987A13" w:rsidRDefault="00E12135" w:rsidP="001F2F6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lastRenderedPageBreak/>
        <w:t xml:space="preserve">Es así que, todos los actos de autoridad que realicen los Sujetos Obligados </w:t>
      </w:r>
      <w:r w:rsidRPr="00987A13">
        <w:rPr>
          <w:rFonts w:ascii="Palatino Linotype" w:eastAsia="Palatino Linotype" w:hAnsi="Palatino Linotype" w:cs="Palatino Linotype"/>
          <w:b/>
          <w:bCs/>
          <w:color w:val="000000"/>
        </w:rPr>
        <w:t xml:space="preserve">deben estar </w:t>
      </w:r>
      <w:r w:rsidRPr="00987A13">
        <w:rPr>
          <w:rFonts w:ascii="Palatino Linotype" w:eastAsia="Palatino Linotype" w:hAnsi="Palatino Linotype" w:cs="Palatino Linotype"/>
          <w:color w:val="000000"/>
        </w:rPr>
        <w:t>documentados y, bajo el más alto estándar de transparencia deberán poner toda la información que se encuentre en su posesión, a disposición de los particulares que la soliciten.</w:t>
      </w:r>
    </w:p>
    <w:p w14:paraId="437705CE" w14:textId="77777777" w:rsidR="00E12135" w:rsidRPr="00987A13" w:rsidRDefault="00E12135" w:rsidP="00E12135">
      <w:pPr>
        <w:pBdr>
          <w:top w:val="nil"/>
          <w:left w:val="nil"/>
          <w:bottom w:val="nil"/>
          <w:right w:val="nil"/>
          <w:between w:val="nil"/>
        </w:pBdr>
        <w:tabs>
          <w:tab w:val="left" w:pos="284"/>
        </w:tabs>
        <w:spacing w:line="360" w:lineRule="auto"/>
        <w:ind w:right="51"/>
        <w:jc w:val="both"/>
        <w:rPr>
          <w:rFonts w:ascii="Palatino Linotype" w:eastAsia="Palatino Linotype" w:hAnsi="Palatino Linotype" w:cs="Palatino Linotype"/>
          <w:color w:val="000000"/>
        </w:rPr>
      </w:pPr>
    </w:p>
    <w:p w14:paraId="48268C5F" w14:textId="77777777" w:rsidR="00E12135" w:rsidRPr="00987A13" w:rsidRDefault="00E12135" w:rsidP="001F2F6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Además, debemos tomar en cuenta los artículos 4 y 12 (antes transcrito), de la Ley de Transparencia y Acceso a la Información Pública del Estado de México y Municipios, los cuales establecen lo siguiente:</w:t>
      </w:r>
    </w:p>
    <w:p w14:paraId="0AB542C6" w14:textId="77777777" w:rsidR="00E12135" w:rsidRPr="00987A13" w:rsidRDefault="00E12135" w:rsidP="00E12135">
      <w:pPr>
        <w:spacing w:line="360" w:lineRule="auto"/>
        <w:ind w:left="426" w:right="567"/>
        <w:jc w:val="both"/>
        <w:rPr>
          <w:rFonts w:ascii="Palatino Linotype" w:eastAsia="Palatino Linotype" w:hAnsi="Palatino Linotype" w:cs="Palatino Linotype"/>
          <w:i/>
          <w:iCs/>
          <w:color w:val="000000"/>
        </w:rPr>
      </w:pPr>
      <w:r w:rsidRPr="00987A13">
        <w:rPr>
          <w:rFonts w:ascii="Palatino Linotype" w:eastAsia="Palatino Linotype" w:hAnsi="Palatino Linotype" w:cs="Palatino Linotype"/>
          <w:b/>
          <w:bCs/>
          <w:i/>
          <w:iCs/>
          <w:color w:val="000000"/>
        </w:rPr>
        <w:t xml:space="preserve">“Artículo 4. </w:t>
      </w:r>
      <w:r w:rsidRPr="00987A13">
        <w:rPr>
          <w:rFonts w:ascii="Palatino Linotype" w:eastAsia="Palatino Linotype" w:hAnsi="Palatino Linotype" w:cs="Palatino Linotype"/>
          <w:i/>
          <w:iCs/>
          <w:color w:val="000000"/>
        </w:rPr>
        <w:t>El derecho humano de acceso a la información pública es la prerrogativa de las personas para buscar, difundir, investigar, recabar, recibir y solicitar información pública, sin necesidad de acreditar personalidad ni interés jurídico.</w:t>
      </w:r>
    </w:p>
    <w:p w14:paraId="66CF5B47" w14:textId="77777777" w:rsidR="00E12135" w:rsidRPr="00987A13" w:rsidRDefault="00E12135" w:rsidP="00E12135">
      <w:pPr>
        <w:spacing w:line="360" w:lineRule="auto"/>
        <w:ind w:left="426" w:right="567"/>
        <w:jc w:val="both"/>
        <w:rPr>
          <w:rFonts w:ascii="Palatino Linotype" w:eastAsia="Palatino Linotype" w:hAnsi="Palatino Linotype" w:cs="Palatino Linotype"/>
          <w:i/>
          <w:iCs/>
          <w:color w:val="000000"/>
        </w:rPr>
      </w:pPr>
      <w:r w:rsidRPr="00987A13">
        <w:rPr>
          <w:rFonts w:ascii="Palatino Linotype" w:eastAsia="Palatino Linotype" w:hAnsi="Palatino Linotype" w:cs="Palatino Linotype"/>
          <w:b/>
          <w:bCs/>
          <w:i/>
          <w:iCs/>
          <w:color w:val="000000"/>
        </w:rPr>
        <w:t>Toda la información</w:t>
      </w:r>
      <w:r w:rsidRPr="00987A13">
        <w:rPr>
          <w:rFonts w:ascii="Palatino Linotype" w:eastAsia="Palatino Linotype" w:hAnsi="Palatino Linotype" w:cs="Palatino Linotype"/>
          <w:i/>
          <w:iCs/>
          <w:color w:val="000000"/>
        </w:rPr>
        <w:t xml:space="preserve"> generada, obtenida, adquirida, transformada, administrada o </w:t>
      </w:r>
      <w:r w:rsidRPr="00987A13">
        <w:rPr>
          <w:rFonts w:ascii="Palatino Linotype" w:eastAsia="Palatino Linotype" w:hAnsi="Palatino Linotype" w:cs="Palatino Linotype"/>
          <w:b/>
          <w:bCs/>
          <w:i/>
          <w:iCs/>
          <w:color w:val="000000"/>
        </w:rPr>
        <w:t>en posesión de los sujetos obligados es pública</w:t>
      </w:r>
      <w:r w:rsidRPr="00987A13">
        <w:rPr>
          <w:rFonts w:ascii="Palatino Linotype" w:eastAsia="Palatino Linotype" w:hAnsi="Palatino Linotype" w:cs="Palatino Linotype"/>
          <w:i/>
          <w:iCs/>
          <w:color w:val="000000"/>
        </w:rPr>
        <w:t xml:space="preserve">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BED9938" w14:textId="77777777" w:rsidR="00E12135" w:rsidRPr="00987A13" w:rsidRDefault="00E12135" w:rsidP="00E12135">
      <w:pPr>
        <w:spacing w:line="360" w:lineRule="auto"/>
        <w:ind w:left="426" w:right="567"/>
        <w:jc w:val="both"/>
        <w:rPr>
          <w:rFonts w:ascii="Palatino Linotype" w:eastAsia="Palatino Linotype" w:hAnsi="Palatino Linotype" w:cs="Palatino Linotype"/>
          <w:i/>
          <w:iCs/>
          <w:color w:val="000000"/>
        </w:rPr>
      </w:pPr>
      <w:r w:rsidRPr="00987A13">
        <w:rPr>
          <w:rFonts w:ascii="Palatino Linotype" w:eastAsia="Palatino Linotype" w:hAnsi="Palatino Linotype" w:cs="Palatino Linotype"/>
          <w:i/>
          <w:iCs/>
          <w:color w:val="000000"/>
        </w:rPr>
        <w:t>Los sujetos obligados deben poner en práctica, políticas y programas de acceso a la información que se apeguen a criterios de publicidad, veracidad, oportunidad, precisión y suficiencia en beneficio de los solicitantes.”</w:t>
      </w:r>
    </w:p>
    <w:p w14:paraId="251BDECC" w14:textId="77777777" w:rsidR="00E12135" w:rsidRPr="00987A13" w:rsidRDefault="00E12135" w:rsidP="00E12135">
      <w:pPr>
        <w:spacing w:line="360" w:lineRule="auto"/>
        <w:ind w:left="567" w:right="567"/>
        <w:jc w:val="both"/>
        <w:rPr>
          <w:rFonts w:ascii="Palatino Linotype" w:eastAsia="Palatino Linotype" w:hAnsi="Palatino Linotype" w:cs="Palatino Linotype"/>
          <w:i/>
          <w:iCs/>
          <w:color w:val="000000"/>
        </w:rPr>
      </w:pPr>
    </w:p>
    <w:p w14:paraId="393F0FB4" w14:textId="77777777" w:rsidR="00E12135" w:rsidRPr="00987A13" w:rsidRDefault="00E12135" w:rsidP="001F2F6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987A13">
        <w:rPr>
          <w:rFonts w:ascii="Palatino Linotype" w:eastAsia="Palatino Linotype" w:hAnsi="Palatino Linotype" w:cs="Palatino Linotype"/>
          <w:color w:val="000000"/>
          <w:vertAlign w:val="superscript"/>
        </w:rPr>
        <w:footnoteReference w:id="6"/>
      </w:r>
      <w:r w:rsidRPr="00987A13">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34A2CD4" w14:textId="77777777" w:rsidR="00E12135" w:rsidRPr="00987A13" w:rsidRDefault="00E12135" w:rsidP="00E12135">
      <w:pPr>
        <w:spacing w:line="360" w:lineRule="auto"/>
        <w:jc w:val="both"/>
        <w:rPr>
          <w:rFonts w:ascii="Palatino Linotype" w:eastAsia="Palatino Linotype" w:hAnsi="Palatino Linotype" w:cs="Palatino Linotype"/>
          <w:color w:val="000000"/>
        </w:rPr>
      </w:pPr>
    </w:p>
    <w:p w14:paraId="0FA6A2F3" w14:textId="77777777" w:rsidR="00E12135" w:rsidRPr="00987A13" w:rsidRDefault="00E12135" w:rsidP="001F2F6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76117E03" w14:textId="77777777" w:rsidR="00E12135" w:rsidRPr="00987A13" w:rsidRDefault="00E12135" w:rsidP="00E12135">
      <w:pPr>
        <w:pBdr>
          <w:top w:val="nil"/>
          <w:left w:val="nil"/>
          <w:bottom w:val="nil"/>
          <w:right w:val="nil"/>
          <w:between w:val="nil"/>
        </w:pBdr>
        <w:tabs>
          <w:tab w:val="left" w:pos="851"/>
        </w:tabs>
        <w:spacing w:line="360" w:lineRule="auto"/>
        <w:ind w:left="425" w:right="476"/>
        <w:jc w:val="both"/>
        <w:rPr>
          <w:rFonts w:ascii="Palatino Linotype" w:eastAsia="Palatino Linotype" w:hAnsi="Palatino Linotype" w:cs="Palatino Linotype"/>
          <w:i/>
          <w:iCs/>
          <w:color w:val="000000"/>
        </w:rPr>
      </w:pPr>
      <w:r w:rsidRPr="00987A13">
        <w:rPr>
          <w:rFonts w:ascii="Palatino Linotype" w:eastAsia="Palatino Linotype" w:hAnsi="Palatino Linotype" w:cs="Palatino Linotype"/>
          <w:b/>
          <w:bCs/>
          <w:i/>
          <w:iCs/>
          <w:color w:val="000000"/>
        </w:rPr>
        <w:t>ACCESO A LA INFORMACIÓN. IMPLICACIÓN DEL PRINCIPIO DE MÁXIMA PUBLICIDAD EN EL DERECHO FUNDAMENTAL RELATIVO.</w:t>
      </w:r>
      <w:r w:rsidRPr="00987A13">
        <w:rPr>
          <w:rFonts w:ascii="Palatino Linotype" w:eastAsia="Palatino Linotype" w:hAnsi="Palatino Linotype" w:cs="Palatino Linotype"/>
          <w:i/>
          <w:iCs/>
          <w:color w:val="000000"/>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w:t>
      </w:r>
      <w:r w:rsidRPr="00987A13">
        <w:rPr>
          <w:rFonts w:ascii="Palatino Linotype" w:eastAsia="Palatino Linotype" w:hAnsi="Palatino Linotype" w:cs="Palatino Linotype"/>
          <w:i/>
          <w:iCs/>
          <w:color w:val="000000"/>
        </w:rPr>
        <w:lastRenderedPageBreak/>
        <w:t>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98BA527" w14:textId="77777777" w:rsidR="00BF55EC" w:rsidRDefault="00BF55EC" w:rsidP="00E12135">
      <w:pPr>
        <w:pBdr>
          <w:top w:val="nil"/>
          <w:left w:val="nil"/>
          <w:bottom w:val="nil"/>
          <w:right w:val="nil"/>
          <w:between w:val="nil"/>
        </w:pBdr>
        <w:tabs>
          <w:tab w:val="left" w:pos="851"/>
        </w:tabs>
        <w:spacing w:line="360" w:lineRule="auto"/>
        <w:ind w:right="476"/>
        <w:jc w:val="both"/>
        <w:rPr>
          <w:rFonts w:ascii="Palatino Linotype" w:eastAsia="Palatino Linotype" w:hAnsi="Palatino Linotype" w:cs="Palatino Linotype"/>
          <w:color w:val="000000"/>
        </w:rPr>
      </w:pPr>
    </w:p>
    <w:p w14:paraId="0C61B459" w14:textId="77777777" w:rsidR="00E12135" w:rsidRPr="00987A13" w:rsidRDefault="00E12135" w:rsidP="00E12135">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b/>
          <w:bCs/>
          <w:color w:val="000000"/>
        </w:rPr>
      </w:pPr>
      <w:r w:rsidRPr="00987A13">
        <w:rPr>
          <w:rFonts w:ascii="Palatino Linotype" w:eastAsia="Palatino Linotype" w:hAnsi="Palatino Linotype" w:cs="Palatino Linotype"/>
          <w:b/>
          <w:bCs/>
          <w:color w:val="000000"/>
        </w:rPr>
        <w:t>QUINTO. De la versión pública.</w:t>
      </w:r>
    </w:p>
    <w:p w14:paraId="1B505FA6" w14:textId="77777777" w:rsidR="00E12135" w:rsidRPr="00987A13" w:rsidRDefault="00E12135" w:rsidP="001F2F6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Finalmente, debe señalarse que dada la propia y especial naturaleza de lo solicitado, eminentemente contiene múltiples datos personales que deberán ser protegidos como ya quedó asentado en el Considerando anterior del presente proveído. Para dar cumplimiento a la presente resolución, contengan datos que deban ser clasificados, el </w:t>
      </w:r>
      <w:r w:rsidRPr="00987A13">
        <w:rPr>
          <w:rFonts w:ascii="Palatino Linotype" w:eastAsia="Palatino Linotype" w:hAnsi="Palatino Linotype" w:cs="Palatino Linotype"/>
          <w:b/>
          <w:bCs/>
          <w:color w:val="000000"/>
        </w:rPr>
        <w:t>SUJETO OBLIGADO</w:t>
      </w:r>
      <w:r w:rsidRPr="00987A13">
        <w:rPr>
          <w:rFonts w:ascii="Palatino Linotype" w:eastAsia="Palatino Linotype" w:hAnsi="Palatino Linotype" w:cs="Palatino Linotype"/>
          <w:color w:val="000000"/>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75722850" w14:textId="77777777" w:rsidR="00E12135" w:rsidRPr="00987A13" w:rsidRDefault="00E12135" w:rsidP="00E121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7816A11" w14:textId="77777777" w:rsidR="00E12135" w:rsidRPr="00987A13" w:rsidRDefault="00E12135" w:rsidP="001F2F6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lastRenderedPageBreak/>
        <w:t>Por lo que, para efectos de la elaboración de la versión pública se deberá observar lo dispuesto por los artículos 3 fracciones IX, XX, XXI, XXXII y XLV; 6, 49 fracción VIII, 91, 137, 143 Fracción I, de la Ley de Transparencia y Acceso a la Información Pública del Estado de México y Municipios vigente, que establecen:</w:t>
      </w:r>
    </w:p>
    <w:p w14:paraId="6DCD3CF4" w14:textId="77777777" w:rsidR="00E12135" w:rsidRPr="00987A13" w:rsidRDefault="00E12135" w:rsidP="00E12135">
      <w:pPr>
        <w:spacing w:line="360" w:lineRule="auto"/>
        <w:ind w:left="993" w:right="1041"/>
        <w:jc w:val="both"/>
        <w:rPr>
          <w:rFonts w:ascii="Palatino Linotype" w:eastAsia="Palatino Linotype" w:hAnsi="Palatino Linotype" w:cs="Palatino Linotype"/>
          <w:b/>
          <w:bCs/>
          <w:i/>
          <w:iCs/>
        </w:rPr>
      </w:pPr>
      <w:r w:rsidRPr="00987A13">
        <w:rPr>
          <w:rFonts w:ascii="Palatino Linotype" w:eastAsia="Palatino Linotype" w:hAnsi="Palatino Linotype" w:cs="Palatino Linotype"/>
          <w:b/>
          <w:bCs/>
          <w:i/>
          <w:iCs/>
        </w:rPr>
        <w:t xml:space="preserve"> “Artículo 3. Para los efectos de la presente Ley se entenderá por:</w:t>
      </w:r>
    </w:p>
    <w:p w14:paraId="75A83C79" w14:textId="77777777" w:rsidR="00E12135" w:rsidRPr="00987A13" w:rsidRDefault="00E12135" w:rsidP="00E12135">
      <w:pPr>
        <w:spacing w:line="360" w:lineRule="auto"/>
        <w:ind w:left="993" w:right="1041"/>
        <w:jc w:val="both"/>
        <w:rPr>
          <w:rFonts w:ascii="Palatino Linotype" w:eastAsia="Palatino Linotype" w:hAnsi="Palatino Linotype" w:cs="Palatino Linotype"/>
          <w:i/>
          <w:iCs/>
        </w:rPr>
      </w:pPr>
      <w:r w:rsidRPr="00987A13">
        <w:rPr>
          <w:rFonts w:ascii="Palatino Linotype" w:eastAsia="Palatino Linotype" w:hAnsi="Palatino Linotype" w:cs="Palatino Linotype"/>
          <w:b/>
          <w:bCs/>
          <w:i/>
          <w:iCs/>
        </w:rPr>
        <w:t>IX. Datos personales:</w:t>
      </w:r>
      <w:r w:rsidRPr="00987A13">
        <w:rPr>
          <w:rFonts w:ascii="Palatino Linotype" w:eastAsia="Palatino Linotype" w:hAnsi="Palatino Linotype" w:cs="Palatino Linotype"/>
          <w:i/>
          <w:iCs/>
        </w:rPr>
        <w:t xml:space="preserve"> </w:t>
      </w:r>
      <w:r w:rsidRPr="00987A13">
        <w:rPr>
          <w:rFonts w:ascii="Palatino Linotype" w:eastAsia="Palatino Linotype" w:hAnsi="Palatino Linotype" w:cs="Palatino Linotype"/>
          <w:b/>
          <w:bCs/>
          <w:i/>
          <w:iCs/>
        </w:rPr>
        <w:t>La información concerniente a una persona, identificada o identificable</w:t>
      </w:r>
      <w:r w:rsidRPr="00987A13">
        <w:rPr>
          <w:rFonts w:ascii="Palatino Linotype" w:eastAsia="Palatino Linotype" w:hAnsi="Palatino Linotype" w:cs="Palatino Linotype"/>
          <w:i/>
          <w:iCs/>
        </w:rPr>
        <w:t xml:space="preserve"> según lo dispuesto por la Ley de Protección de Datos Personales del Estado de México;</w:t>
      </w:r>
    </w:p>
    <w:p w14:paraId="5224D415" w14:textId="77777777" w:rsidR="00E12135" w:rsidRPr="00987A13" w:rsidRDefault="00E12135" w:rsidP="00E12135">
      <w:pPr>
        <w:spacing w:line="360" w:lineRule="auto"/>
        <w:ind w:left="993" w:right="1041"/>
        <w:jc w:val="both"/>
        <w:rPr>
          <w:rFonts w:ascii="Palatino Linotype" w:eastAsia="Palatino Linotype" w:hAnsi="Palatino Linotype" w:cs="Palatino Linotype"/>
          <w:i/>
          <w:iCs/>
        </w:rPr>
      </w:pPr>
      <w:r w:rsidRPr="00987A13">
        <w:rPr>
          <w:rFonts w:ascii="Palatino Linotype" w:eastAsia="Palatino Linotype" w:hAnsi="Palatino Linotype" w:cs="Palatino Linotype"/>
          <w:b/>
          <w:bCs/>
          <w:i/>
          <w:iCs/>
        </w:rPr>
        <w:t>XX. Información clasificada:</w:t>
      </w:r>
      <w:r w:rsidRPr="00987A13">
        <w:rPr>
          <w:rFonts w:ascii="Palatino Linotype" w:eastAsia="Palatino Linotype" w:hAnsi="Palatino Linotype" w:cs="Palatino Linotype"/>
          <w:i/>
          <w:iCs/>
        </w:rPr>
        <w:t xml:space="preserve"> Aquella considerada por la presente Ley como reservada o confidencial;</w:t>
      </w:r>
    </w:p>
    <w:p w14:paraId="69E919A5" w14:textId="77777777" w:rsidR="00E12135" w:rsidRPr="00987A13" w:rsidRDefault="00E12135" w:rsidP="00E12135">
      <w:pPr>
        <w:spacing w:line="360" w:lineRule="auto"/>
        <w:ind w:left="993" w:right="1041"/>
        <w:jc w:val="both"/>
        <w:rPr>
          <w:rFonts w:ascii="Palatino Linotype" w:eastAsia="Palatino Linotype" w:hAnsi="Palatino Linotype" w:cs="Palatino Linotype"/>
          <w:i/>
          <w:iCs/>
        </w:rPr>
      </w:pPr>
      <w:r w:rsidRPr="00987A13">
        <w:rPr>
          <w:rFonts w:ascii="Palatino Linotype" w:eastAsia="Palatino Linotype" w:hAnsi="Palatino Linotype" w:cs="Palatino Linotype"/>
          <w:b/>
          <w:bCs/>
          <w:i/>
          <w:iCs/>
        </w:rPr>
        <w:t>XXXII. Protección de Datos Personales:</w:t>
      </w:r>
      <w:r w:rsidRPr="00987A13">
        <w:rPr>
          <w:rFonts w:ascii="Palatino Linotype" w:eastAsia="Palatino Linotype" w:hAnsi="Palatino Linotype" w:cs="Palatino Linotype"/>
          <w:i/>
          <w:iCs/>
        </w:rPr>
        <w:t xml:space="preserve"> Derecho humano que tutela la privacidad de datos personales en poder de los sujetos obligados y sujetos particulares;</w:t>
      </w:r>
    </w:p>
    <w:p w14:paraId="2E89BDFD" w14:textId="77777777" w:rsidR="00E12135" w:rsidRPr="00987A13" w:rsidRDefault="00E12135" w:rsidP="00E12135">
      <w:pPr>
        <w:spacing w:line="360" w:lineRule="auto"/>
        <w:ind w:left="993" w:right="1041"/>
        <w:jc w:val="both"/>
        <w:rPr>
          <w:rFonts w:ascii="Palatino Linotype" w:eastAsia="Palatino Linotype" w:hAnsi="Palatino Linotype" w:cs="Palatino Linotype"/>
          <w:i/>
          <w:iCs/>
        </w:rPr>
      </w:pPr>
      <w:r w:rsidRPr="00987A13">
        <w:rPr>
          <w:rFonts w:ascii="Palatino Linotype" w:eastAsia="Palatino Linotype" w:hAnsi="Palatino Linotype" w:cs="Palatino Linotype"/>
          <w:b/>
          <w:bCs/>
          <w:i/>
          <w:iCs/>
        </w:rPr>
        <w:t>XLV. Versión pública</w:t>
      </w:r>
      <w:r w:rsidRPr="00987A13">
        <w:rPr>
          <w:rFonts w:ascii="Palatino Linotype" w:eastAsia="Palatino Linotype" w:hAnsi="Palatino Linotype" w:cs="Palatino Linotype"/>
          <w:i/>
          <w:iCs/>
        </w:rPr>
        <w:t>: Documento en el que se elimine, suprime o borra la información clasificada como reservada o confidencial para permitir su acceso.”</w:t>
      </w:r>
    </w:p>
    <w:p w14:paraId="754A4DBA" w14:textId="77777777" w:rsidR="00E12135" w:rsidRPr="00987A13" w:rsidRDefault="00E12135" w:rsidP="00E12135">
      <w:pPr>
        <w:spacing w:line="360" w:lineRule="auto"/>
        <w:ind w:left="993" w:right="1041"/>
        <w:jc w:val="both"/>
        <w:rPr>
          <w:rFonts w:ascii="Palatino Linotype" w:eastAsia="Palatino Linotype" w:hAnsi="Palatino Linotype" w:cs="Palatino Linotype"/>
          <w:i/>
          <w:iCs/>
        </w:rPr>
      </w:pPr>
    </w:p>
    <w:p w14:paraId="3E94C8F7" w14:textId="77777777" w:rsidR="00E12135" w:rsidRPr="00987A13" w:rsidRDefault="00E12135" w:rsidP="00E12135">
      <w:pPr>
        <w:spacing w:line="360" w:lineRule="auto"/>
        <w:ind w:left="993" w:right="1041"/>
        <w:jc w:val="both"/>
        <w:rPr>
          <w:rFonts w:ascii="Palatino Linotype" w:eastAsia="Palatino Linotype" w:hAnsi="Palatino Linotype" w:cs="Palatino Linotype"/>
          <w:i/>
          <w:iCs/>
        </w:rPr>
      </w:pPr>
      <w:r w:rsidRPr="00987A13">
        <w:rPr>
          <w:rFonts w:ascii="Palatino Linotype" w:eastAsia="Palatino Linotype" w:hAnsi="Palatino Linotype" w:cs="Palatino Linotype"/>
          <w:b/>
          <w:bCs/>
          <w:i/>
          <w:iCs/>
        </w:rPr>
        <w:t>“Artículo 6.</w:t>
      </w:r>
      <w:r w:rsidRPr="00987A13">
        <w:rPr>
          <w:rFonts w:ascii="Palatino Linotype" w:eastAsia="Palatino Linotype" w:hAnsi="Palatino Linotype" w:cs="Palatino Linotype"/>
          <w:i/>
          <w:iCs/>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w:t>
      </w:r>
      <w:r w:rsidRPr="00987A13">
        <w:rPr>
          <w:rFonts w:ascii="Palatino Linotype" w:eastAsia="Palatino Linotype" w:hAnsi="Palatino Linotype" w:cs="Palatino Linotype"/>
          <w:i/>
          <w:iCs/>
        </w:rPr>
        <w:lastRenderedPageBreak/>
        <w:t>en materia de datos personales, se deberá estar a lo dispuesto en las leyes de la materia.”</w:t>
      </w:r>
    </w:p>
    <w:p w14:paraId="6CEE70E3" w14:textId="77777777" w:rsidR="00E12135" w:rsidRPr="00987A13" w:rsidRDefault="00E12135" w:rsidP="00E12135">
      <w:pPr>
        <w:spacing w:line="360" w:lineRule="auto"/>
        <w:ind w:left="993" w:right="1041"/>
        <w:jc w:val="both"/>
        <w:rPr>
          <w:rFonts w:ascii="Palatino Linotype" w:eastAsia="Palatino Linotype" w:hAnsi="Palatino Linotype" w:cs="Palatino Linotype"/>
          <w:i/>
          <w:iCs/>
        </w:rPr>
      </w:pPr>
    </w:p>
    <w:p w14:paraId="126DA768" w14:textId="77777777" w:rsidR="00E12135" w:rsidRPr="00987A13" w:rsidRDefault="00E12135" w:rsidP="00E12135">
      <w:pPr>
        <w:spacing w:line="360" w:lineRule="auto"/>
        <w:ind w:left="993" w:right="1041"/>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 </w:t>
      </w:r>
      <w:r w:rsidRPr="00987A13">
        <w:rPr>
          <w:rFonts w:ascii="Palatino Linotype" w:eastAsia="Palatino Linotype" w:hAnsi="Palatino Linotype" w:cs="Palatino Linotype"/>
          <w:b/>
          <w:bCs/>
          <w:i/>
          <w:iCs/>
        </w:rPr>
        <w:t>Artículo 49.</w:t>
      </w:r>
      <w:r w:rsidRPr="00987A13">
        <w:rPr>
          <w:rFonts w:ascii="Palatino Linotype" w:eastAsia="Palatino Linotype" w:hAnsi="Palatino Linotype" w:cs="Palatino Linotype"/>
          <w:i/>
          <w:iCs/>
        </w:rPr>
        <w:t> Los Comités de Transparencia tendrán las siguientes atribuciones:</w:t>
      </w:r>
    </w:p>
    <w:p w14:paraId="13BC0CD6" w14:textId="77777777" w:rsidR="00E12135" w:rsidRPr="00987A13" w:rsidRDefault="00E12135" w:rsidP="00E12135">
      <w:pPr>
        <w:spacing w:line="360" w:lineRule="auto"/>
        <w:ind w:left="993" w:right="1041"/>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w:t>
      </w:r>
    </w:p>
    <w:p w14:paraId="30452F3B" w14:textId="77777777" w:rsidR="00E12135" w:rsidRPr="00987A13" w:rsidRDefault="00E12135" w:rsidP="00E12135">
      <w:pPr>
        <w:spacing w:line="360" w:lineRule="auto"/>
        <w:ind w:left="993" w:right="1041"/>
        <w:jc w:val="both"/>
        <w:rPr>
          <w:rFonts w:ascii="Palatino Linotype" w:eastAsia="Palatino Linotype" w:hAnsi="Palatino Linotype" w:cs="Palatino Linotype"/>
          <w:i/>
          <w:iCs/>
        </w:rPr>
      </w:pPr>
      <w:r w:rsidRPr="00987A13">
        <w:rPr>
          <w:rFonts w:ascii="Palatino Linotype" w:eastAsia="Palatino Linotype" w:hAnsi="Palatino Linotype" w:cs="Palatino Linotype"/>
          <w:b/>
          <w:bCs/>
          <w:i/>
          <w:iCs/>
        </w:rPr>
        <w:t>VIII</w:t>
      </w:r>
      <w:r w:rsidRPr="00987A13">
        <w:rPr>
          <w:rFonts w:ascii="Palatino Linotype" w:eastAsia="Palatino Linotype" w:hAnsi="Palatino Linotype" w:cs="Palatino Linotype"/>
          <w:i/>
          <w:iCs/>
        </w:rPr>
        <w:t>. Aprobar, modificar o revocar la clasificación de la información;</w:t>
      </w:r>
    </w:p>
    <w:p w14:paraId="6931BAD4" w14:textId="77777777" w:rsidR="00E12135" w:rsidRPr="00987A13" w:rsidRDefault="00E12135" w:rsidP="00E12135">
      <w:pPr>
        <w:spacing w:line="360" w:lineRule="auto"/>
        <w:ind w:left="993" w:right="1041"/>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w:t>
      </w:r>
    </w:p>
    <w:p w14:paraId="33D95366" w14:textId="77777777" w:rsidR="00E12135" w:rsidRPr="00987A13" w:rsidRDefault="00E12135" w:rsidP="00E12135">
      <w:pPr>
        <w:spacing w:line="360" w:lineRule="auto"/>
        <w:ind w:left="993" w:right="1041"/>
        <w:jc w:val="both"/>
        <w:rPr>
          <w:rFonts w:ascii="Palatino Linotype" w:eastAsia="Palatino Linotype" w:hAnsi="Palatino Linotype" w:cs="Palatino Linotype"/>
          <w:i/>
          <w:iCs/>
        </w:rPr>
      </w:pPr>
      <w:r w:rsidRPr="00987A13">
        <w:rPr>
          <w:rFonts w:ascii="Palatino Linotype" w:eastAsia="Palatino Linotype" w:hAnsi="Palatino Linotype" w:cs="Palatino Linotype"/>
          <w:b/>
          <w:bCs/>
          <w:i/>
          <w:iCs/>
        </w:rPr>
        <w:t xml:space="preserve">Artículo 91. </w:t>
      </w:r>
      <w:r w:rsidRPr="00987A13">
        <w:rPr>
          <w:rFonts w:ascii="Palatino Linotype" w:eastAsia="Palatino Linotype" w:hAnsi="Palatino Linotype" w:cs="Palatino Linotype"/>
          <w:i/>
          <w:iCs/>
        </w:rPr>
        <w:t>El acceso a la información pública será restringido excepcionalmente, cuando ésta sea clasificada como reservada o confidencial.</w:t>
      </w:r>
    </w:p>
    <w:p w14:paraId="3361379D" w14:textId="77777777" w:rsidR="00E12135" w:rsidRPr="00987A13" w:rsidRDefault="00E12135" w:rsidP="00E12135">
      <w:pPr>
        <w:spacing w:line="360" w:lineRule="auto"/>
        <w:ind w:left="993" w:right="1041"/>
        <w:jc w:val="both"/>
        <w:rPr>
          <w:rFonts w:ascii="Palatino Linotype" w:eastAsia="Palatino Linotype" w:hAnsi="Palatino Linotype" w:cs="Palatino Linotype"/>
          <w:i/>
          <w:iCs/>
        </w:rPr>
      </w:pPr>
    </w:p>
    <w:p w14:paraId="339F476B" w14:textId="77777777" w:rsidR="00E12135" w:rsidRPr="00987A13" w:rsidRDefault="00E12135" w:rsidP="00E12135">
      <w:pPr>
        <w:spacing w:line="360" w:lineRule="auto"/>
        <w:ind w:left="993" w:right="1041"/>
        <w:jc w:val="both"/>
        <w:rPr>
          <w:rFonts w:ascii="Palatino Linotype" w:eastAsia="Palatino Linotype" w:hAnsi="Palatino Linotype" w:cs="Palatino Linotype"/>
          <w:b/>
          <w:bCs/>
          <w:i/>
          <w:iCs/>
        </w:rPr>
      </w:pPr>
      <w:r w:rsidRPr="00987A13">
        <w:rPr>
          <w:rFonts w:ascii="Palatino Linotype" w:eastAsia="Palatino Linotype" w:hAnsi="Palatino Linotype" w:cs="Palatino Linotype"/>
          <w:b/>
          <w:bCs/>
          <w:i/>
          <w:iCs/>
        </w:rPr>
        <w:t>“Artículo 137.</w:t>
      </w:r>
      <w:r w:rsidRPr="00987A13">
        <w:rPr>
          <w:rFonts w:ascii="Palatino Linotype" w:eastAsia="Palatino Linotype" w:hAnsi="Palatino Linotype" w:cs="Palatino Linotype"/>
          <w:i/>
          <w:iC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083B55B" w14:textId="77777777" w:rsidR="00E12135" w:rsidRPr="00987A13" w:rsidRDefault="00E12135" w:rsidP="00E12135">
      <w:pPr>
        <w:spacing w:line="360" w:lineRule="auto"/>
        <w:ind w:left="993" w:right="1041"/>
        <w:jc w:val="both"/>
        <w:rPr>
          <w:rFonts w:ascii="Palatino Linotype" w:eastAsia="Palatino Linotype" w:hAnsi="Palatino Linotype" w:cs="Palatino Linotype"/>
          <w:b/>
          <w:bCs/>
          <w:i/>
          <w:iCs/>
        </w:rPr>
      </w:pPr>
    </w:p>
    <w:p w14:paraId="57D12399" w14:textId="77777777" w:rsidR="00E12135" w:rsidRPr="00987A13" w:rsidRDefault="00E12135" w:rsidP="00E12135">
      <w:pPr>
        <w:spacing w:line="360" w:lineRule="auto"/>
        <w:ind w:left="993" w:right="1041"/>
        <w:jc w:val="both"/>
        <w:rPr>
          <w:rFonts w:ascii="Palatino Linotype" w:eastAsia="Palatino Linotype" w:hAnsi="Palatino Linotype" w:cs="Palatino Linotype"/>
          <w:i/>
          <w:iCs/>
        </w:rPr>
      </w:pPr>
      <w:r w:rsidRPr="00987A13">
        <w:rPr>
          <w:rFonts w:ascii="Palatino Linotype" w:eastAsia="Palatino Linotype" w:hAnsi="Palatino Linotype" w:cs="Palatino Linotype"/>
          <w:b/>
          <w:bCs/>
          <w:i/>
          <w:iCs/>
        </w:rPr>
        <w:t>“Artículo 143</w:t>
      </w:r>
      <w:r w:rsidRPr="00987A13">
        <w:rPr>
          <w:rFonts w:ascii="Palatino Linotype" w:eastAsia="Palatino Linotype" w:hAnsi="Palatino Linotype" w:cs="Palatino Linotype"/>
          <w:i/>
          <w:iCs/>
        </w:rPr>
        <w:t>. Para los efectos de esta Ley se considera información confidencial, la clasificada como tal, de manera permanente, por su naturaleza, cuando:</w:t>
      </w:r>
    </w:p>
    <w:p w14:paraId="0D4F7FA0" w14:textId="77777777" w:rsidR="00E12135" w:rsidRPr="00987A13" w:rsidRDefault="00E12135" w:rsidP="00E12135">
      <w:pPr>
        <w:spacing w:line="360" w:lineRule="auto"/>
        <w:ind w:left="993" w:right="1041"/>
        <w:jc w:val="both"/>
        <w:rPr>
          <w:rFonts w:ascii="Palatino Linotype" w:eastAsia="Palatino Linotype" w:hAnsi="Palatino Linotype" w:cs="Palatino Linotype"/>
          <w:i/>
          <w:iCs/>
        </w:rPr>
      </w:pPr>
      <w:r w:rsidRPr="00987A13">
        <w:rPr>
          <w:rFonts w:ascii="Palatino Linotype" w:eastAsia="Palatino Linotype" w:hAnsi="Palatino Linotype" w:cs="Palatino Linotype"/>
          <w:b/>
          <w:bCs/>
          <w:i/>
          <w:iCs/>
        </w:rPr>
        <w:t>I.</w:t>
      </w:r>
      <w:r w:rsidRPr="00987A13">
        <w:rPr>
          <w:rFonts w:ascii="Palatino Linotype" w:eastAsia="Palatino Linotype" w:hAnsi="Palatino Linotype" w:cs="Palatino Linotype"/>
          <w:i/>
          <w:iCs/>
        </w:rPr>
        <w:t xml:space="preserve"> Se refiera a la información privada y los datos personales concernientes a una persona física o jurídica colectiva identificada o identificable;</w:t>
      </w:r>
    </w:p>
    <w:p w14:paraId="3DDFD04D" w14:textId="77777777" w:rsidR="00E12135" w:rsidRPr="00987A13" w:rsidRDefault="00E12135" w:rsidP="00E12135">
      <w:pPr>
        <w:spacing w:line="360" w:lineRule="auto"/>
        <w:ind w:left="993" w:right="1041"/>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4E46F622" w14:textId="77777777" w:rsidR="00E12135" w:rsidRDefault="00E12135" w:rsidP="00E12135">
      <w:pPr>
        <w:spacing w:line="360" w:lineRule="auto"/>
        <w:ind w:left="993" w:right="1041"/>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 xml:space="preserve">III. La que presenten los particulares a los sujetos obligados, de conformidad con lo dispuesto por las leyes o los tratados internacionales.” </w:t>
      </w:r>
    </w:p>
    <w:p w14:paraId="09B8C141" w14:textId="77777777" w:rsidR="001F2F64" w:rsidRPr="00987A13" w:rsidRDefault="001F2F64" w:rsidP="00E12135">
      <w:pPr>
        <w:spacing w:line="360" w:lineRule="auto"/>
        <w:ind w:left="993" w:right="1041"/>
        <w:jc w:val="both"/>
        <w:rPr>
          <w:rFonts w:ascii="Palatino Linotype" w:eastAsia="Palatino Linotype" w:hAnsi="Palatino Linotype" w:cs="Palatino Linotype"/>
          <w:i/>
          <w:iCs/>
        </w:rPr>
      </w:pPr>
    </w:p>
    <w:p w14:paraId="135D603A" w14:textId="77777777" w:rsidR="00E12135" w:rsidRPr="00987A13" w:rsidRDefault="00E12135" w:rsidP="001F2F64">
      <w:pPr>
        <w:numPr>
          <w:ilvl w:val="0"/>
          <w:numId w:val="1"/>
        </w:numPr>
        <w:spacing w:line="360" w:lineRule="auto"/>
        <w:ind w:left="0" w:firstLine="0"/>
        <w:contextualSpacing/>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0415DCD" w14:textId="77777777" w:rsidR="00E12135" w:rsidRPr="00987A13" w:rsidRDefault="00E12135" w:rsidP="00E12135">
      <w:pPr>
        <w:spacing w:line="360" w:lineRule="auto"/>
        <w:ind w:right="51"/>
        <w:jc w:val="both"/>
        <w:rPr>
          <w:rFonts w:ascii="Palatino Linotype" w:eastAsia="Palatino Linotype" w:hAnsi="Palatino Linotype" w:cs="Palatino Linotype"/>
        </w:rPr>
      </w:pPr>
    </w:p>
    <w:p w14:paraId="66B834F2" w14:textId="2B96AE08" w:rsidR="00E12135" w:rsidRPr="00784D8F" w:rsidRDefault="00E12135" w:rsidP="00784D8F">
      <w:pPr>
        <w:pStyle w:val="Prrafodelista"/>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784D8F">
        <w:rPr>
          <w:rFonts w:ascii="Palatino Linotype" w:eastAsia="Palatino Linotype" w:hAnsi="Palatino Linotype" w:cs="Palatino Linotype"/>
          <w:color w:val="000000"/>
        </w:rPr>
        <w:t xml:space="preserve">Datos que deberá clasificar como confidenciales por tratarse precisamente de información privada, puesto que los datos personales son irrenunciables, intransferibles e </w:t>
      </w:r>
      <w:r w:rsidRPr="00784D8F">
        <w:rPr>
          <w:rFonts w:ascii="Palatino Linotype" w:eastAsia="Palatino Linotype" w:hAnsi="Palatino Linotype" w:cs="Palatino Linotype"/>
          <w:color w:val="000000"/>
        </w:rPr>
        <w:lastRenderedPageBreak/>
        <w:t>indelegables y los Sujetos Obligados no deberán hacer entrega de los mismos a personas ajenas a su titular.</w:t>
      </w:r>
    </w:p>
    <w:p w14:paraId="43D41FF3" w14:textId="77777777" w:rsidR="00E12135" w:rsidRPr="00987A13" w:rsidRDefault="00E12135" w:rsidP="00E12135">
      <w:pPr>
        <w:spacing w:line="360" w:lineRule="auto"/>
        <w:ind w:right="50"/>
        <w:jc w:val="both"/>
        <w:rPr>
          <w:rFonts w:ascii="Palatino Linotype" w:eastAsia="Palatino Linotype" w:hAnsi="Palatino Linotype" w:cs="Palatino Linotype"/>
        </w:rPr>
      </w:pPr>
    </w:p>
    <w:p w14:paraId="3BDA950E" w14:textId="77777777" w:rsidR="00E12135"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4B950384" w14:textId="77777777" w:rsidR="00E12135" w:rsidRPr="00987A13" w:rsidRDefault="00E12135" w:rsidP="00E12135">
      <w:pPr>
        <w:spacing w:line="360" w:lineRule="auto"/>
        <w:ind w:left="851" w:right="1043"/>
        <w:jc w:val="both"/>
        <w:rPr>
          <w:rFonts w:ascii="Palatino Linotype" w:eastAsia="Palatino Linotype" w:hAnsi="Palatino Linotype" w:cs="Palatino Linotype"/>
          <w:i/>
          <w:iCs/>
        </w:rPr>
      </w:pPr>
      <w:r w:rsidRPr="00987A13">
        <w:rPr>
          <w:rFonts w:ascii="Palatino Linotype" w:eastAsia="Palatino Linotype" w:hAnsi="Palatino Linotype" w:cs="Palatino Linotype"/>
          <w:b/>
          <w:bCs/>
          <w:i/>
          <w:iCs/>
        </w:rPr>
        <w:t>“Artículo 49.</w:t>
      </w:r>
      <w:r w:rsidRPr="00987A13">
        <w:rPr>
          <w:rFonts w:ascii="Palatino Linotype" w:eastAsia="Palatino Linotype" w:hAnsi="Palatino Linotype" w:cs="Palatino Linotype"/>
          <w:i/>
          <w:iCs/>
        </w:rPr>
        <w:t xml:space="preserve"> </w:t>
      </w:r>
      <w:r w:rsidRPr="00987A13">
        <w:rPr>
          <w:rFonts w:ascii="Palatino Linotype" w:eastAsia="Palatino Linotype" w:hAnsi="Palatino Linotype" w:cs="Palatino Linotype"/>
          <w:b/>
          <w:bCs/>
          <w:i/>
          <w:iCs/>
        </w:rPr>
        <w:t>Los Comités de Transparencia</w:t>
      </w:r>
      <w:r w:rsidRPr="00987A13">
        <w:rPr>
          <w:rFonts w:ascii="Palatino Linotype" w:eastAsia="Palatino Linotype" w:hAnsi="Palatino Linotype" w:cs="Palatino Linotype"/>
          <w:i/>
          <w:iCs/>
        </w:rPr>
        <w:t xml:space="preserve"> tendrán las siguientes atribuciones:</w:t>
      </w:r>
    </w:p>
    <w:p w14:paraId="2EB4B918" w14:textId="77777777" w:rsidR="00E12135" w:rsidRPr="00987A13" w:rsidRDefault="00E12135" w:rsidP="00E12135">
      <w:pPr>
        <w:spacing w:line="360" w:lineRule="auto"/>
        <w:ind w:left="851" w:right="1043"/>
        <w:jc w:val="both"/>
        <w:rPr>
          <w:rFonts w:ascii="Palatino Linotype" w:eastAsia="Palatino Linotype" w:hAnsi="Palatino Linotype" w:cs="Palatino Linotype"/>
          <w:i/>
          <w:iCs/>
        </w:rPr>
      </w:pPr>
      <w:r w:rsidRPr="00987A13">
        <w:rPr>
          <w:rFonts w:ascii="Palatino Linotype" w:eastAsia="Palatino Linotype" w:hAnsi="Palatino Linotype" w:cs="Palatino Linotype"/>
          <w:b/>
          <w:bCs/>
          <w:i/>
          <w:iCs/>
        </w:rPr>
        <w:t>VIII. Aprobar, modificar o revocar la clasificación de la información</w:t>
      </w:r>
      <w:r w:rsidRPr="00987A13">
        <w:rPr>
          <w:rFonts w:ascii="Palatino Linotype" w:eastAsia="Palatino Linotype" w:hAnsi="Palatino Linotype" w:cs="Palatino Linotype"/>
          <w:i/>
          <w:iCs/>
        </w:rPr>
        <w:t>…”</w:t>
      </w:r>
    </w:p>
    <w:p w14:paraId="662D94E6" w14:textId="77777777" w:rsidR="00E12135" w:rsidRPr="00987A13" w:rsidRDefault="00E12135" w:rsidP="00E12135">
      <w:pPr>
        <w:spacing w:line="360" w:lineRule="auto"/>
        <w:ind w:left="851" w:right="1043"/>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w:t>
      </w:r>
      <w:r w:rsidRPr="00987A13">
        <w:rPr>
          <w:rFonts w:ascii="Palatino Linotype" w:eastAsia="Palatino Linotype" w:hAnsi="Palatino Linotype" w:cs="Palatino Linotype"/>
          <w:b/>
          <w:bCs/>
          <w:i/>
          <w:iCs/>
        </w:rPr>
        <w:t>Artículo 53.</w:t>
      </w:r>
      <w:r w:rsidRPr="00987A13">
        <w:rPr>
          <w:rFonts w:ascii="Palatino Linotype" w:eastAsia="Palatino Linotype" w:hAnsi="Palatino Linotype" w:cs="Palatino Linotype"/>
          <w:i/>
          <w:iCs/>
        </w:rPr>
        <w:t xml:space="preserve"> Las </w:t>
      </w:r>
      <w:r w:rsidRPr="00987A13">
        <w:rPr>
          <w:rFonts w:ascii="Palatino Linotype" w:eastAsia="Palatino Linotype" w:hAnsi="Palatino Linotype" w:cs="Palatino Linotype"/>
          <w:b/>
          <w:bCs/>
          <w:i/>
          <w:iCs/>
        </w:rPr>
        <w:t>Unidades de Transparencia</w:t>
      </w:r>
      <w:r w:rsidRPr="00987A13">
        <w:rPr>
          <w:rFonts w:ascii="Palatino Linotype" w:eastAsia="Palatino Linotype" w:hAnsi="Palatino Linotype" w:cs="Palatino Linotype"/>
          <w:i/>
          <w:iCs/>
        </w:rPr>
        <w:t xml:space="preserve"> tendrán las siguientes </w:t>
      </w:r>
      <w:r w:rsidRPr="00987A13">
        <w:rPr>
          <w:rFonts w:ascii="Palatino Linotype" w:eastAsia="Palatino Linotype" w:hAnsi="Palatino Linotype" w:cs="Palatino Linotype"/>
          <w:b/>
          <w:bCs/>
          <w:i/>
          <w:iCs/>
        </w:rPr>
        <w:t>funciones</w:t>
      </w:r>
      <w:r w:rsidRPr="00987A13">
        <w:rPr>
          <w:rFonts w:ascii="Palatino Linotype" w:eastAsia="Palatino Linotype" w:hAnsi="Palatino Linotype" w:cs="Palatino Linotype"/>
          <w:i/>
          <w:iCs/>
        </w:rPr>
        <w:t>:</w:t>
      </w:r>
    </w:p>
    <w:p w14:paraId="7DB62AD2" w14:textId="77777777" w:rsidR="00E12135" w:rsidRDefault="00E12135" w:rsidP="00E12135">
      <w:pPr>
        <w:spacing w:line="360" w:lineRule="auto"/>
        <w:ind w:left="851" w:right="1043"/>
        <w:jc w:val="both"/>
        <w:rPr>
          <w:rFonts w:ascii="Palatino Linotype" w:eastAsia="Palatino Linotype" w:hAnsi="Palatino Linotype" w:cs="Palatino Linotype"/>
          <w:i/>
          <w:iCs/>
        </w:rPr>
      </w:pPr>
      <w:r w:rsidRPr="00987A13">
        <w:rPr>
          <w:rFonts w:ascii="Palatino Linotype" w:eastAsia="Palatino Linotype" w:hAnsi="Palatino Linotype" w:cs="Palatino Linotype"/>
          <w:b/>
          <w:bCs/>
          <w:i/>
          <w:iCs/>
        </w:rPr>
        <w:t>X. Presentar ante el Comité, el proyecto de clasificación de información</w:t>
      </w:r>
      <w:r w:rsidRPr="00987A13">
        <w:rPr>
          <w:rFonts w:ascii="Palatino Linotype" w:eastAsia="Palatino Linotype" w:hAnsi="Palatino Linotype" w:cs="Palatino Linotype"/>
          <w:i/>
          <w:iCs/>
        </w:rPr>
        <w:t xml:space="preserve">…” </w:t>
      </w:r>
    </w:p>
    <w:p w14:paraId="796A0CA2" w14:textId="77777777" w:rsidR="006111E6" w:rsidRPr="00987A13" w:rsidRDefault="006111E6" w:rsidP="00E12135">
      <w:pPr>
        <w:spacing w:line="360" w:lineRule="auto"/>
        <w:ind w:left="851" w:right="1043"/>
        <w:jc w:val="both"/>
        <w:rPr>
          <w:rFonts w:ascii="Palatino Linotype" w:eastAsia="Palatino Linotype" w:hAnsi="Palatino Linotype" w:cs="Palatino Linotype"/>
          <w:i/>
          <w:iCs/>
        </w:rPr>
      </w:pPr>
    </w:p>
    <w:p w14:paraId="5095B060" w14:textId="77777777" w:rsidR="00E12135" w:rsidRPr="00987A13" w:rsidRDefault="00E12135" w:rsidP="00E12135">
      <w:pPr>
        <w:spacing w:line="360" w:lineRule="auto"/>
        <w:ind w:left="851" w:right="1043"/>
        <w:jc w:val="both"/>
        <w:rPr>
          <w:rFonts w:ascii="Palatino Linotype" w:eastAsia="Palatino Linotype" w:hAnsi="Palatino Linotype" w:cs="Palatino Linotype"/>
          <w:i/>
          <w:iCs/>
        </w:rPr>
      </w:pPr>
      <w:r w:rsidRPr="00987A13">
        <w:rPr>
          <w:rFonts w:ascii="Palatino Linotype" w:eastAsia="Palatino Linotype" w:hAnsi="Palatino Linotype" w:cs="Palatino Linotype"/>
          <w:b/>
          <w:bCs/>
          <w:i/>
          <w:iCs/>
        </w:rPr>
        <w:t>“Artículo 59.</w:t>
      </w:r>
      <w:r w:rsidRPr="00987A13">
        <w:rPr>
          <w:rFonts w:ascii="Palatino Linotype" w:eastAsia="Palatino Linotype" w:hAnsi="Palatino Linotype" w:cs="Palatino Linotype"/>
          <w:i/>
          <w:iCs/>
        </w:rPr>
        <w:t xml:space="preserve"> Los </w:t>
      </w:r>
      <w:r w:rsidRPr="00987A13">
        <w:rPr>
          <w:rFonts w:ascii="Palatino Linotype" w:eastAsia="Palatino Linotype" w:hAnsi="Palatino Linotype" w:cs="Palatino Linotype"/>
          <w:b/>
          <w:bCs/>
          <w:i/>
          <w:iCs/>
        </w:rPr>
        <w:t>servidores públicos habilitados</w:t>
      </w:r>
      <w:r w:rsidRPr="00987A13">
        <w:rPr>
          <w:rFonts w:ascii="Palatino Linotype" w:eastAsia="Palatino Linotype" w:hAnsi="Palatino Linotype" w:cs="Palatino Linotype"/>
          <w:i/>
          <w:iCs/>
        </w:rPr>
        <w:t xml:space="preserve"> tendrán las </w:t>
      </w:r>
      <w:r w:rsidRPr="00987A13">
        <w:rPr>
          <w:rFonts w:ascii="Palatino Linotype" w:eastAsia="Palatino Linotype" w:hAnsi="Palatino Linotype" w:cs="Palatino Linotype"/>
          <w:b/>
          <w:bCs/>
          <w:i/>
          <w:iCs/>
        </w:rPr>
        <w:t>funciones</w:t>
      </w:r>
      <w:r w:rsidRPr="00987A13">
        <w:rPr>
          <w:rFonts w:ascii="Palatino Linotype" w:eastAsia="Palatino Linotype" w:hAnsi="Palatino Linotype" w:cs="Palatino Linotype"/>
          <w:i/>
          <w:iCs/>
        </w:rPr>
        <w:t xml:space="preserve"> siguientes:</w:t>
      </w:r>
    </w:p>
    <w:p w14:paraId="199C36E8" w14:textId="77777777" w:rsidR="00E12135" w:rsidRPr="00987A13" w:rsidRDefault="00E12135" w:rsidP="00E12135">
      <w:pPr>
        <w:spacing w:line="360" w:lineRule="auto"/>
        <w:ind w:left="851" w:right="1043"/>
        <w:jc w:val="both"/>
        <w:rPr>
          <w:rFonts w:ascii="Palatino Linotype" w:eastAsia="Palatino Linotype" w:hAnsi="Palatino Linotype" w:cs="Palatino Linotype"/>
          <w:i/>
          <w:iCs/>
        </w:rPr>
      </w:pPr>
      <w:r w:rsidRPr="00987A13">
        <w:rPr>
          <w:rFonts w:ascii="Palatino Linotype" w:eastAsia="Palatino Linotype" w:hAnsi="Palatino Linotype" w:cs="Palatino Linotype"/>
          <w:b/>
          <w:bCs/>
          <w:i/>
          <w:iCs/>
        </w:rPr>
        <w:t>V. Integrar y presentar al responsable de la Unidad de Transparencia la propuesta de clasificación de información</w:t>
      </w:r>
      <w:r w:rsidRPr="00987A13">
        <w:rPr>
          <w:rFonts w:ascii="Palatino Linotype" w:eastAsia="Palatino Linotype" w:hAnsi="Palatino Linotype" w:cs="Palatino Linotype"/>
          <w:i/>
          <w:iCs/>
        </w:rPr>
        <w:t>, la cual tendrá los fundamentos y argumentos en que se basa dicha propuesta…”</w:t>
      </w:r>
    </w:p>
    <w:p w14:paraId="18F32891" w14:textId="77777777" w:rsidR="00E12135" w:rsidRPr="00987A13" w:rsidRDefault="00E12135" w:rsidP="00E12135">
      <w:pPr>
        <w:spacing w:line="360" w:lineRule="auto"/>
        <w:ind w:left="851" w:right="1043"/>
        <w:jc w:val="both"/>
        <w:rPr>
          <w:rFonts w:ascii="Palatino Linotype" w:eastAsia="Palatino Linotype" w:hAnsi="Palatino Linotype" w:cs="Palatino Linotype"/>
          <w:i/>
          <w:iCs/>
        </w:rPr>
      </w:pPr>
    </w:p>
    <w:p w14:paraId="436804B0" w14:textId="77777777" w:rsidR="00E12135" w:rsidRPr="00987A13"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0888AEC1" w14:textId="77777777" w:rsidR="00E12135" w:rsidRPr="00987A13" w:rsidRDefault="00E12135" w:rsidP="00E12135">
      <w:pPr>
        <w:spacing w:line="360" w:lineRule="auto"/>
        <w:jc w:val="both"/>
        <w:rPr>
          <w:rFonts w:ascii="Palatino Linotype" w:eastAsia="Palatino Linotype" w:hAnsi="Palatino Linotype" w:cs="Palatino Linotype"/>
        </w:rPr>
      </w:pPr>
    </w:p>
    <w:p w14:paraId="7EA4DB48" w14:textId="77777777" w:rsidR="00E12135" w:rsidRPr="00987A13"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Para lo cual, a su vez en el caso de información de carácter confidencial, se debe atender a lo que señala el artículo 149 de la Ley de Transparencia Local vigente, que se lee como sigue:</w:t>
      </w:r>
    </w:p>
    <w:p w14:paraId="157D49B4" w14:textId="77777777" w:rsidR="00E12135" w:rsidRPr="00987A13" w:rsidRDefault="00E12135" w:rsidP="00E12135">
      <w:pPr>
        <w:spacing w:line="360" w:lineRule="auto"/>
        <w:ind w:left="993" w:right="1041"/>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w:t>
      </w:r>
      <w:r w:rsidRPr="00987A13">
        <w:rPr>
          <w:rFonts w:ascii="Palatino Linotype" w:eastAsia="Palatino Linotype" w:hAnsi="Palatino Linotype" w:cs="Palatino Linotype"/>
          <w:b/>
          <w:bCs/>
          <w:i/>
          <w:iCs/>
        </w:rPr>
        <w:t>Artículo 149.</w:t>
      </w:r>
      <w:r w:rsidRPr="00987A13">
        <w:rPr>
          <w:rFonts w:ascii="Palatino Linotype" w:eastAsia="Palatino Linotype" w:hAnsi="Palatino Linotype" w:cs="Palatino Linotype"/>
          <w:i/>
          <w:iCs/>
        </w:rPr>
        <w:t xml:space="preserve"> El </w:t>
      </w:r>
      <w:r w:rsidRPr="00987A13">
        <w:rPr>
          <w:rFonts w:ascii="Palatino Linotype" w:eastAsia="Palatino Linotype" w:hAnsi="Palatino Linotype" w:cs="Palatino Linotype"/>
          <w:b/>
          <w:bCs/>
          <w:i/>
          <w:iCs/>
        </w:rPr>
        <w:t>acuerdo que clasifique la información como confidencial</w:t>
      </w:r>
      <w:r w:rsidRPr="00987A13">
        <w:rPr>
          <w:rFonts w:ascii="Palatino Linotype" w:eastAsia="Palatino Linotype" w:hAnsi="Palatino Linotype" w:cs="Palatino Linotype"/>
          <w:i/>
          <w:iCs/>
        </w:rPr>
        <w:t xml:space="preserve"> deberá contener un razonamiento lógico en el que demuestre que la información se encuentra en alguna o algunas de las hipótesis previstas en la presente Ley.”</w:t>
      </w:r>
    </w:p>
    <w:p w14:paraId="02812B47" w14:textId="77777777" w:rsidR="00E12135" w:rsidRPr="00987A13" w:rsidRDefault="00E12135" w:rsidP="00E1213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065EEB4" w14:textId="77777777" w:rsidR="00E12135" w:rsidRPr="00987A13"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Es decir, el Sujeto Obligado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w:t>
      </w:r>
      <w:r w:rsidRPr="00987A13">
        <w:rPr>
          <w:rFonts w:ascii="Palatino Linotype" w:eastAsia="Palatino Linotype" w:hAnsi="Palatino Linotype" w:cs="Palatino Linotype"/>
          <w:color w:val="000000"/>
        </w:rPr>
        <w:lastRenderedPageBreak/>
        <w:t>de manera puntual las razones de la versión pública de la documentación entregada se estaría violentando el derecho de acceso a la información de la parte solicitante.</w:t>
      </w:r>
    </w:p>
    <w:p w14:paraId="5DC6C6C4" w14:textId="77777777" w:rsidR="00E12135" w:rsidRPr="00987A13" w:rsidRDefault="00E12135" w:rsidP="00E12135">
      <w:pPr>
        <w:spacing w:line="360" w:lineRule="auto"/>
        <w:ind w:right="-93"/>
        <w:jc w:val="both"/>
        <w:rPr>
          <w:rFonts w:ascii="Palatino Linotype" w:eastAsia="Palatino Linotype" w:hAnsi="Palatino Linotype" w:cs="Palatino Linotype"/>
        </w:rPr>
      </w:pPr>
    </w:p>
    <w:p w14:paraId="2DC42432" w14:textId="77777777" w:rsidR="00E12135" w:rsidRPr="00987A13"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Al </w:t>
      </w:r>
      <w:r w:rsidRPr="00987A13">
        <w:rPr>
          <w:rFonts w:ascii="Palatino Linotype" w:eastAsia="Palatino Linotype" w:hAnsi="Palatino Linotype" w:cs="Palatino Linotype"/>
          <w:color w:val="222222"/>
        </w:rPr>
        <w:t>respecto</w:t>
      </w:r>
      <w:r w:rsidRPr="00987A13">
        <w:rPr>
          <w:rFonts w:ascii="Palatino Linotype" w:eastAsia="Palatino Linotype" w:hAnsi="Palatino Linotype" w:cs="Palatino Linotype"/>
          <w:color w:val="000000"/>
        </w:rPr>
        <w:t xml:space="preserve">, es de señalar que </w:t>
      </w:r>
      <w:r w:rsidRPr="00987A13">
        <w:rPr>
          <w:rFonts w:ascii="Palatino Linotype" w:eastAsia="Palatino Linotype" w:hAnsi="Palatino Linotype" w:cs="Palatino Linotype"/>
          <w:b/>
          <w:bCs/>
          <w:color w:val="000000"/>
        </w:rPr>
        <w:t xml:space="preserve">la firma </w:t>
      </w:r>
      <w:r w:rsidRPr="00987A13">
        <w:rPr>
          <w:rFonts w:ascii="Palatino Linotype" w:eastAsia="Palatino Linotype" w:hAnsi="Palatino Linotype" w:cs="Palatino Linotype"/>
          <w:color w:val="000000"/>
        </w:rPr>
        <w:t xml:space="preserve">es considerada un dato personal, al tratarse de información gráfica a través de la cual su titular exterioriza su voluntad en actos públicos y privados. </w:t>
      </w:r>
    </w:p>
    <w:p w14:paraId="58AD6795" w14:textId="77777777" w:rsidR="00E12135" w:rsidRPr="00987A13" w:rsidRDefault="00E12135" w:rsidP="00E12135">
      <w:pPr>
        <w:spacing w:line="360" w:lineRule="auto"/>
        <w:ind w:right="-93"/>
        <w:jc w:val="both"/>
        <w:rPr>
          <w:rFonts w:ascii="Palatino Linotype" w:eastAsia="Palatino Linotype" w:hAnsi="Palatino Linotype" w:cs="Palatino Linotype"/>
        </w:rPr>
      </w:pPr>
    </w:p>
    <w:p w14:paraId="0F6B9BAB" w14:textId="77777777" w:rsidR="00E12135" w:rsidRPr="00987A13"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Al respecto, este Instituto, considera que entregar la firmas del servidor público, si abona a la transparencia, dado que con esta se acredita que fue emitida por autoridad competente en uso de las facultades que le otorga la legislación; por lo que, guarda cierto interés público dar a conocer la firma, dado que le da validez al documento.</w:t>
      </w:r>
    </w:p>
    <w:p w14:paraId="2E3FAF1C" w14:textId="77777777" w:rsidR="00E12135" w:rsidRPr="00987A13" w:rsidRDefault="00E12135" w:rsidP="00E12135">
      <w:pPr>
        <w:spacing w:line="360" w:lineRule="auto"/>
        <w:ind w:right="-93"/>
        <w:jc w:val="both"/>
        <w:rPr>
          <w:rFonts w:ascii="Palatino Linotype" w:eastAsia="Palatino Linotype" w:hAnsi="Palatino Linotype" w:cs="Palatino Linotype"/>
        </w:rPr>
      </w:pPr>
    </w:p>
    <w:p w14:paraId="5C2DA3A8" w14:textId="77777777" w:rsidR="00E12135"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Por lo que, se considera que, en el presente caso, al dar validez al documento en cuestión, la firma del servidor público guarda el carácter de público y, por lo tanto, no actualiza la causal de clasificación prevista en el artículo 143, fracción I, de la Ley de Transparencia y Acceso a la Información Pública del Estado de México y Municipios.</w:t>
      </w:r>
    </w:p>
    <w:p w14:paraId="12FB4525" w14:textId="77777777" w:rsidR="006111E6" w:rsidRDefault="006111E6" w:rsidP="006111E6">
      <w:pPr>
        <w:pStyle w:val="Prrafodelista"/>
        <w:rPr>
          <w:rFonts w:ascii="Palatino Linotype" w:eastAsia="Palatino Linotype" w:hAnsi="Palatino Linotype" w:cs="Palatino Linotype"/>
          <w:color w:val="000000"/>
        </w:rPr>
      </w:pPr>
    </w:p>
    <w:p w14:paraId="4B564273" w14:textId="77777777" w:rsidR="00E12135" w:rsidRPr="00987A13"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Sirve de sustento a lo anterior el Criterio de Interpretación 02/19 emitido por el Instituto Nacional de Transparencia, Acceso a la Información y Protección de Datos Personales, cuyo rubro y texto establecen lo siguiente:</w:t>
      </w:r>
    </w:p>
    <w:p w14:paraId="01617E07" w14:textId="77777777" w:rsidR="00E12135" w:rsidRPr="00987A13" w:rsidRDefault="00E12135" w:rsidP="00E12135">
      <w:pPr>
        <w:spacing w:line="360" w:lineRule="auto"/>
        <w:ind w:left="1134" w:right="1041"/>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w:t>
      </w:r>
      <w:r w:rsidRPr="00987A13">
        <w:rPr>
          <w:rFonts w:ascii="Palatino Linotype" w:eastAsia="Palatino Linotype" w:hAnsi="Palatino Linotype" w:cs="Palatino Linotype"/>
          <w:b/>
          <w:bCs/>
          <w:i/>
          <w:iCs/>
        </w:rPr>
        <w:t>FIRMA Y RÚBRICA DE SERVIDORES PÚBLICOS.</w:t>
      </w:r>
      <w:r w:rsidRPr="00987A13">
        <w:rPr>
          <w:rFonts w:ascii="Palatino Linotype" w:eastAsia="Palatino Linotype" w:hAnsi="Palatino Linotype" w:cs="Palatino Linotype"/>
          <w:i/>
          <w:iCs/>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0D0F891F" w14:textId="77777777" w:rsidR="00E12135" w:rsidRPr="00987A13"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highlight w:val="white"/>
        </w:rPr>
      </w:pPr>
      <w:r w:rsidRPr="00987A13">
        <w:rPr>
          <w:rFonts w:ascii="Palatino Linotype" w:eastAsia="Palatino Linotype" w:hAnsi="Palatino Linotype" w:cs="Palatino Linotype"/>
          <w:color w:val="000000"/>
        </w:rPr>
        <w:lastRenderedPageBreak/>
        <w:t xml:space="preserve">Al respecto, se destaca que la versión pública que elabore el </w:t>
      </w:r>
      <w:r w:rsidRPr="00987A13">
        <w:rPr>
          <w:rFonts w:ascii="Palatino Linotype" w:eastAsia="Palatino Linotype" w:hAnsi="Palatino Linotype" w:cs="Palatino Linotype"/>
          <w:b/>
          <w:bCs/>
          <w:color w:val="000000"/>
        </w:rPr>
        <w:t>SUJETO OBLIGADO</w:t>
      </w:r>
      <w:r w:rsidRPr="00987A13">
        <w:rPr>
          <w:rFonts w:ascii="Palatino Linotype" w:eastAsia="Palatino Linotype" w:hAnsi="Palatino Linotype" w:cs="Palatino Linotype"/>
          <w:color w:val="000000"/>
        </w:rPr>
        <w:t xml:space="preserve"> debe cumplir con las formalidades exigidas en la Ley, por lo que para tal efecto emitirá el Acuerdo del Comité de Transparencia en términos de la Ley de Transparencia y Acceso a la Información Pública del Estado de México y Municipios,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las solicitudes</w:t>
      </w:r>
      <w:r w:rsidRPr="00987A13">
        <w:rPr>
          <w:rFonts w:ascii="Palatino Linotype" w:eastAsia="Palatino Linotype" w:hAnsi="Palatino Linotype" w:cs="Palatino Linotype"/>
          <w:color w:val="000000"/>
          <w:highlight w:val="white"/>
        </w:rPr>
        <w:t>.</w:t>
      </w:r>
    </w:p>
    <w:p w14:paraId="280C1263" w14:textId="77777777" w:rsidR="00E12135" w:rsidRPr="00DA4C89" w:rsidRDefault="00E12135" w:rsidP="00E12135">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rPr>
      </w:pPr>
    </w:p>
    <w:p w14:paraId="722A30EC" w14:textId="77777777" w:rsidR="00E12135" w:rsidRPr="00DA4C89" w:rsidRDefault="00E12135" w:rsidP="00784D8F">
      <w:pPr>
        <w:numPr>
          <w:ilvl w:val="0"/>
          <w:numId w:val="1"/>
        </w:numPr>
        <w:pBdr>
          <w:top w:val="nil"/>
          <w:left w:val="nil"/>
          <w:bottom w:val="nil"/>
          <w:right w:val="nil"/>
          <w:between w:val="nil"/>
        </w:pBdr>
        <w:spacing w:line="360" w:lineRule="auto"/>
        <w:ind w:left="0" w:firstLine="0"/>
        <w:jc w:val="both"/>
        <w:rPr>
          <w:rFonts w:ascii="Palatino Linotype" w:hAnsi="Palatino Linotype" w:cs="Tahoma"/>
          <w:bCs/>
          <w:lang w:val="es-ES" w:eastAsia="en-US"/>
        </w:rPr>
      </w:pPr>
      <w:r w:rsidRPr="00DA4C89">
        <w:rPr>
          <w:rFonts w:ascii="Palatino Linotype" w:hAnsi="Palatino Linotype" w:cs="Tahoma"/>
          <w:bCs/>
          <w:lang w:val="es-ES" w:eastAsia="en-US"/>
        </w:rPr>
        <w:t xml:space="preserve">Respecto del RFC de proveedores, no puede considerarse como clasificado aun siendo de personas físicas ya que </w:t>
      </w:r>
      <w:r w:rsidRPr="00DA4C89">
        <w:rPr>
          <w:rFonts w:ascii="Palatino Linotype" w:eastAsia="Palatino Linotype" w:hAnsi="Palatino Linotype" w:cs="Palatino Linotype"/>
          <w:color w:val="000000"/>
        </w:rPr>
        <w:t>corresponde</w:t>
      </w:r>
      <w:r w:rsidRPr="00DA4C89">
        <w:rPr>
          <w:rFonts w:ascii="Palatino Linotype" w:hAnsi="Palatino Linotype" w:cs="Tahoma"/>
          <w:bCs/>
          <w:lang w:val="es-ES" w:eastAsia="en-US"/>
        </w:rPr>
        <w:t xml:space="preserve"> a un requisito indispensable para ser </w:t>
      </w:r>
      <w:r w:rsidRPr="00DA4C89">
        <w:rPr>
          <w:rFonts w:ascii="Palatino Linotype" w:eastAsia="Palatino Linotype" w:hAnsi="Palatino Linotype" w:cs="Palatino Linotype"/>
          <w:color w:val="000000"/>
        </w:rPr>
        <w:t>contratista</w:t>
      </w:r>
      <w:r w:rsidRPr="00DA4C89">
        <w:rPr>
          <w:rFonts w:ascii="Palatino Linotype" w:hAnsi="Palatino Linotype" w:cs="Tahoma"/>
          <w:bCs/>
          <w:lang w:val="es-ES" w:eastAsia="en-US"/>
        </w:rPr>
        <w:t xml:space="preserve"> y/o proveedor y llevar a cabo actividades comerciales con los sujetos obligados de la Entidad, ya que sin este, no se pueden realizar, por lo que su entrega es un elemento adicional que respalda la legalidad de los procesos de contratación de obra pública, como corresponde a lo solicitado.</w:t>
      </w:r>
    </w:p>
    <w:p w14:paraId="57A3C4D5" w14:textId="77777777" w:rsidR="00E12135" w:rsidRPr="00DA4C89" w:rsidRDefault="00E12135" w:rsidP="00E12135">
      <w:pPr>
        <w:spacing w:line="360" w:lineRule="auto"/>
        <w:ind w:right="-91"/>
        <w:jc w:val="both"/>
        <w:rPr>
          <w:rFonts w:ascii="Palatino Linotype" w:hAnsi="Palatino Linotype" w:cs="Tahoma"/>
          <w:bCs/>
          <w:lang w:val="es-ES" w:eastAsia="en-US"/>
        </w:rPr>
      </w:pPr>
    </w:p>
    <w:p w14:paraId="40C3019C" w14:textId="77777777" w:rsidR="00E12135" w:rsidRPr="00DA4C89" w:rsidRDefault="00E12135" w:rsidP="00784D8F">
      <w:pPr>
        <w:numPr>
          <w:ilvl w:val="0"/>
          <w:numId w:val="1"/>
        </w:numPr>
        <w:pBdr>
          <w:top w:val="nil"/>
          <w:left w:val="nil"/>
          <w:bottom w:val="nil"/>
          <w:right w:val="nil"/>
          <w:between w:val="nil"/>
        </w:pBdr>
        <w:spacing w:line="360" w:lineRule="auto"/>
        <w:ind w:left="0" w:firstLine="0"/>
        <w:jc w:val="both"/>
        <w:rPr>
          <w:rFonts w:ascii="Palatino Linotype" w:hAnsi="Palatino Linotype" w:cs="Tahoma"/>
          <w:bCs/>
          <w:lang w:val="es-ES" w:eastAsia="en-US"/>
        </w:rPr>
      </w:pPr>
      <w:r w:rsidRPr="00DA4C89">
        <w:rPr>
          <w:rFonts w:ascii="Palatino Linotype" w:hAnsi="Palatino Linotype" w:cs="Tahoma"/>
          <w:bCs/>
          <w:lang w:val="es-ES" w:eastAsia="en-US"/>
        </w:rPr>
        <w:t>En ese contexto, entregar el Registro Federal de Contribuyentes de personas físicas cuando aceptan realizar la construcción de obras públicas con recursos del erario, favorece la rendición de cuentas, al permitir verificar que se cumplió con uno de los requisitos necesarios conforme a la normatividad aplicable en materia de contrataciones, lo cual, transparenta el correcto ejercicio de recursos públicos por parte de los sujetos obligados, lo que es acorde con el principio de máxima publicidad.</w:t>
      </w:r>
    </w:p>
    <w:p w14:paraId="14219C89" w14:textId="77777777" w:rsidR="00E12135" w:rsidRPr="00DA4C89" w:rsidRDefault="00E12135" w:rsidP="00E12135">
      <w:pPr>
        <w:spacing w:line="360" w:lineRule="auto"/>
        <w:ind w:right="-91"/>
        <w:jc w:val="both"/>
        <w:rPr>
          <w:rFonts w:ascii="Palatino Linotype" w:hAnsi="Palatino Linotype" w:cs="Tahoma"/>
          <w:bCs/>
          <w:lang w:val="es-ES" w:eastAsia="en-US"/>
        </w:rPr>
      </w:pPr>
    </w:p>
    <w:p w14:paraId="687EE598" w14:textId="77777777" w:rsidR="00E12135" w:rsidRPr="00DA4C89" w:rsidRDefault="00E12135" w:rsidP="00784D8F">
      <w:pPr>
        <w:numPr>
          <w:ilvl w:val="0"/>
          <w:numId w:val="1"/>
        </w:numPr>
        <w:pBdr>
          <w:top w:val="nil"/>
          <w:left w:val="nil"/>
          <w:bottom w:val="nil"/>
          <w:right w:val="nil"/>
          <w:between w:val="nil"/>
        </w:pBdr>
        <w:spacing w:line="360" w:lineRule="auto"/>
        <w:ind w:left="0" w:firstLine="0"/>
        <w:jc w:val="both"/>
        <w:rPr>
          <w:rFonts w:ascii="Palatino Linotype" w:hAnsi="Palatino Linotype" w:cs="Tahoma"/>
          <w:bCs/>
          <w:lang w:val="es-ES" w:eastAsia="en-US"/>
        </w:rPr>
      </w:pPr>
      <w:r w:rsidRPr="00DA4C89">
        <w:rPr>
          <w:rFonts w:ascii="Palatino Linotype" w:hAnsi="Palatino Linotype" w:cs="Tahoma"/>
          <w:bCs/>
          <w:lang w:val="es-ES" w:eastAsia="en-US"/>
        </w:rPr>
        <w:lastRenderedPageBreak/>
        <w:t>No debe dejarse de lado, que cualquier persona que pretenda tener cualquier tipo de relación, laboral, empresarial, de trámites, servicios o comercial, para el caso que nos ocupa, debe en cierta medida ceder información relacionada con su vida, en aras de obtener el beneficio pretendido, como formar parte de los proveedores gubernamentales, al respecto, la información sobre la que se debe conceder publicidad sólo es aquella relacionada con el ejercicio de recursos públicos o de funciones y las facturas, pólizas y documentos en donde constan las transferencias bancarias de pagos de sujetos obligados, están vinculadas directamente con el ejercicio de recursos públicos.</w:t>
      </w:r>
    </w:p>
    <w:p w14:paraId="673AF067" w14:textId="77777777" w:rsidR="00E12135" w:rsidRPr="00DA4C89" w:rsidRDefault="00E12135" w:rsidP="00E12135">
      <w:pPr>
        <w:spacing w:line="360" w:lineRule="auto"/>
        <w:ind w:right="-91"/>
        <w:jc w:val="both"/>
        <w:rPr>
          <w:rFonts w:ascii="Palatino Linotype" w:hAnsi="Palatino Linotype" w:cs="Tahoma"/>
          <w:bCs/>
          <w:lang w:val="es-ES" w:eastAsia="en-US"/>
        </w:rPr>
      </w:pPr>
    </w:p>
    <w:p w14:paraId="5B2586BE" w14:textId="77777777" w:rsidR="00E12135" w:rsidRPr="00DA4C89" w:rsidRDefault="00E12135" w:rsidP="00784D8F">
      <w:pPr>
        <w:numPr>
          <w:ilvl w:val="0"/>
          <w:numId w:val="1"/>
        </w:numPr>
        <w:pBdr>
          <w:top w:val="nil"/>
          <w:left w:val="nil"/>
          <w:bottom w:val="nil"/>
          <w:right w:val="nil"/>
          <w:between w:val="nil"/>
        </w:pBdr>
        <w:spacing w:line="360" w:lineRule="auto"/>
        <w:ind w:left="0" w:firstLine="0"/>
        <w:jc w:val="both"/>
        <w:rPr>
          <w:rFonts w:ascii="Palatino Linotype" w:hAnsi="Palatino Linotype" w:cs="Tahoma"/>
          <w:bCs/>
          <w:lang w:val="es-ES" w:eastAsia="en-US"/>
        </w:rPr>
      </w:pPr>
      <w:r w:rsidRPr="00DA4C89">
        <w:rPr>
          <w:rFonts w:ascii="Palatino Linotype" w:hAnsi="Palatino Linotype" w:cs="Tahoma"/>
          <w:bCs/>
          <w:lang w:val="es-ES" w:eastAsia="en-US"/>
        </w:rPr>
        <w:t>Por lo que refiere al RFC de personas jurídico-colectivas, se reitera que no constituyen información confidencial, tal y como lo estableció el entonces Instituto Nacional de Transparencia, Acceso a la Información Pública y Protección de Datos Personales –INAI-, en su Criterio histórico 1/2014.</w:t>
      </w:r>
    </w:p>
    <w:p w14:paraId="5C86F003" w14:textId="77777777" w:rsidR="00E12135" w:rsidRPr="00DA4C89" w:rsidRDefault="00E12135" w:rsidP="00E12135">
      <w:pPr>
        <w:spacing w:line="360" w:lineRule="auto"/>
        <w:ind w:left="567" w:right="539"/>
        <w:jc w:val="both"/>
        <w:rPr>
          <w:rFonts w:ascii="Palatino Linotype" w:hAnsi="Palatino Linotype" w:cs="Tahoma"/>
          <w:bCs/>
          <w:i/>
          <w:lang w:val="es-ES" w:eastAsia="en-US"/>
        </w:rPr>
      </w:pPr>
      <w:r w:rsidRPr="00DA4C89">
        <w:rPr>
          <w:rFonts w:ascii="Palatino Linotype" w:hAnsi="Palatino Linotype" w:cs="Tahoma"/>
          <w:b/>
          <w:bCs/>
          <w:i/>
          <w:lang w:val="es-ES" w:eastAsia="en-US"/>
        </w:rPr>
        <w:t>Denominación o razón social, y Registro Federal de Contribuyentes de personas morales, no constituyen información confidencial</w:t>
      </w:r>
      <w:r w:rsidRPr="00DA4C89">
        <w:rPr>
          <w:rFonts w:ascii="Palatino Linotype" w:hAnsi="Palatino Linotype" w:cs="Tahoma"/>
          <w:bCs/>
          <w:i/>
          <w:lang w:val="es-ES" w:eastAsia="en-US"/>
        </w:rPr>
        <w:t xml:space="preserve">. La denominación o razón social de personas morales es pública, por encontrarse inscritas en el Registro Público de Comercio. Por lo que respecta a su Registro Federal de Contribuyentes (RFC), en principio, también es público, ya que no se refiere a hechos o actos de carácter económico, contable, jurídico o administrativo que sean útiles o representen una ventaja a sus competidores, en términos de lo dispuesto en el artículo 18, fracción I de la Ley Federal de Transparencia y Acceso a la Información Pública Gubernamental y en el Trigésimo Sexto de los Lineamientos Generales para la clasificación y desclasificación de la información de las dependencias y entidades de la Administración Pública Federal; aunado al hecho de </w:t>
      </w:r>
      <w:r w:rsidRPr="00DA4C89">
        <w:rPr>
          <w:rFonts w:ascii="Palatino Linotype" w:hAnsi="Palatino Linotype" w:cs="Tahoma"/>
          <w:bCs/>
          <w:i/>
          <w:lang w:val="es-ES" w:eastAsia="en-US"/>
        </w:rPr>
        <w:lastRenderedPageBreak/>
        <w:t>que tampoco se trata de información concerniente a personas físicas, por lo que no puede considerarse un dato personal, con fundamento en lo previsto en el artículo 18, fracción II de ese ordenamiento legal. Por lo anterior, la denominación o razón social, así como el RFC de personas morales, no constituye información confidencial.</w:t>
      </w:r>
    </w:p>
    <w:p w14:paraId="3FB28E63" w14:textId="77777777" w:rsidR="00E12135" w:rsidRPr="00DA4C89" w:rsidRDefault="00E12135" w:rsidP="00E12135">
      <w:pPr>
        <w:spacing w:line="360" w:lineRule="auto"/>
        <w:ind w:right="-91"/>
        <w:jc w:val="both"/>
        <w:rPr>
          <w:rFonts w:ascii="Palatino Linotype" w:hAnsi="Palatino Linotype" w:cs="Tahoma"/>
          <w:bCs/>
          <w:lang w:val="es-ES" w:eastAsia="en-US"/>
        </w:rPr>
      </w:pPr>
    </w:p>
    <w:p w14:paraId="400D4A00" w14:textId="77777777" w:rsidR="00E12135" w:rsidRPr="00DA4C89" w:rsidRDefault="00E12135" w:rsidP="00784D8F">
      <w:pPr>
        <w:numPr>
          <w:ilvl w:val="0"/>
          <w:numId w:val="1"/>
        </w:numPr>
        <w:pBdr>
          <w:top w:val="nil"/>
          <w:left w:val="nil"/>
          <w:bottom w:val="nil"/>
          <w:right w:val="nil"/>
          <w:between w:val="nil"/>
        </w:pBdr>
        <w:spacing w:line="360" w:lineRule="auto"/>
        <w:ind w:left="0" w:firstLine="0"/>
        <w:jc w:val="both"/>
        <w:rPr>
          <w:rFonts w:ascii="Palatino Linotype" w:hAnsi="Palatino Linotype" w:cs="Tahoma"/>
          <w:bCs/>
          <w:lang w:val="es-ES" w:eastAsia="en-US"/>
        </w:rPr>
      </w:pPr>
      <w:r w:rsidRPr="00DA4C89">
        <w:rPr>
          <w:rFonts w:ascii="Palatino Linotype" w:hAnsi="Palatino Linotype" w:cs="Tahoma"/>
          <w:bCs/>
          <w:lang w:val="es-ES" w:eastAsia="en-US"/>
        </w:rPr>
        <w:t>Por consiguiente, no procede clasificar como confidencial con fundamento en el artículo 143, fracción I, de la Ley de Transparencia y Acceso a la Información Pública del Estado de México y Municipios y, eliminar RFC de personas físicas ni de personas jurídico-colectivas en los documentos que pudiera proporcionar el Sujeto Obligado.</w:t>
      </w:r>
    </w:p>
    <w:p w14:paraId="58DCBA44" w14:textId="77777777" w:rsidR="00E12135" w:rsidRPr="00DA4C89" w:rsidRDefault="00E12135" w:rsidP="00E12135">
      <w:pPr>
        <w:pBdr>
          <w:top w:val="nil"/>
          <w:left w:val="nil"/>
          <w:bottom w:val="nil"/>
          <w:right w:val="nil"/>
          <w:between w:val="nil"/>
        </w:pBdr>
        <w:spacing w:line="360" w:lineRule="auto"/>
        <w:jc w:val="both"/>
        <w:rPr>
          <w:rFonts w:ascii="Palatino Linotype" w:hAnsi="Palatino Linotype" w:cs="Tahoma"/>
          <w:bCs/>
          <w:lang w:val="es-ES" w:eastAsia="en-US"/>
        </w:rPr>
      </w:pPr>
    </w:p>
    <w:p w14:paraId="26E29B7F" w14:textId="77777777" w:rsidR="00E12135" w:rsidRPr="00DA4C89"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DA4C89">
        <w:rPr>
          <w:rFonts w:ascii="Palatino Linotype" w:eastAsia="Palatino Linotype" w:hAnsi="Palatino Linotype" w:cs="Palatino Linotype"/>
        </w:rPr>
        <w:t xml:space="preserve">Igualmente, resulta importante destacar que el </w:t>
      </w:r>
      <w:r w:rsidRPr="00DA4C89">
        <w:rPr>
          <w:rFonts w:ascii="Palatino Linotype" w:eastAsia="Palatino Linotype" w:hAnsi="Palatino Linotype" w:cs="Palatino Linotype"/>
          <w:i/>
        </w:rPr>
        <w:t>número de cuenta bancaria</w:t>
      </w:r>
      <w:r w:rsidRPr="00DA4C89">
        <w:rPr>
          <w:rFonts w:ascii="Palatino Linotype" w:eastAsia="Palatino Linotype" w:hAnsi="Palatino Linotype" w:cs="Palatino Linotype"/>
        </w:rPr>
        <w:t xml:space="preserve"> de las personas físicas o</w:t>
      </w:r>
      <w:r w:rsidRPr="00DA4C89">
        <w:rPr>
          <w:rFonts w:ascii="Palatino Linotype" w:hAnsi="Palatino Linotype" w:cs="Tahoma"/>
          <w:bCs/>
          <w:lang w:val="es-ES" w:eastAsia="en-US"/>
        </w:rPr>
        <w:t xml:space="preserve"> jurídico-colectivas</w:t>
      </w:r>
      <w:r w:rsidRPr="00DA4C89">
        <w:rPr>
          <w:rFonts w:ascii="Palatino Linotype" w:eastAsia="Palatino Linotype" w:hAnsi="Palatino Linotype" w:cs="Palatino Linotype"/>
        </w:rPr>
        <w:t xml:space="preserve"> es información </w:t>
      </w:r>
      <w:r w:rsidRPr="00DA4C89">
        <w:rPr>
          <w:rFonts w:ascii="Palatino Linotype" w:hAnsi="Palatino Linotype" w:cs="Tahoma"/>
          <w:bCs/>
          <w:lang w:val="es-ES" w:eastAsia="en-US"/>
        </w:rPr>
        <w:t>que</w:t>
      </w:r>
      <w:r w:rsidRPr="00DA4C89">
        <w:rPr>
          <w:rFonts w:ascii="Palatino Linotype" w:eastAsia="Palatino Linotype" w:hAnsi="Palatino Linotype" w:cs="Palatino Linotype"/>
        </w:rPr>
        <w:t xml:space="preserv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5E7413FA" w14:textId="77777777" w:rsidR="00E12135" w:rsidRPr="00DA4C89" w:rsidRDefault="00E12135" w:rsidP="00E12135">
      <w:pPr>
        <w:pStyle w:val="Prrafodelista"/>
        <w:rPr>
          <w:rFonts w:ascii="Palatino Linotype" w:eastAsia="Palatino Linotype" w:hAnsi="Palatino Linotype" w:cs="Palatino Linotype"/>
        </w:rPr>
      </w:pPr>
    </w:p>
    <w:p w14:paraId="262F4A8B" w14:textId="77777777" w:rsidR="00E12135" w:rsidRPr="00DA4C89"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DA4C89">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7F4B7F79" w14:textId="77777777" w:rsidR="00E12135" w:rsidRPr="00DA4C89" w:rsidRDefault="00E12135" w:rsidP="00E12135">
      <w:pPr>
        <w:spacing w:line="360" w:lineRule="auto"/>
        <w:ind w:right="50"/>
        <w:jc w:val="both"/>
        <w:rPr>
          <w:rFonts w:ascii="Palatino Linotype" w:eastAsia="Palatino Linotype" w:hAnsi="Palatino Linotype" w:cs="Palatino Linotype"/>
        </w:rPr>
      </w:pPr>
    </w:p>
    <w:p w14:paraId="0E664204" w14:textId="77777777" w:rsidR="00E12135"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DA4C89">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w:t>
      </w:r>
      <w:r w:rsidRPr="00DA4C89">
        <w:rPr>
          <w:rFonts w:ascii="Palatino Linotype" w:eastAsia="Palatino Linotype" w:hAnsi="Palatino Linotype" w:cs="Palatino Linotype"/>
        </w:rPr>
        <w:lastRenderedPageBreak/>
        <w:t xml:space="preserve">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4EF547F1" w14:textId="77777777" w:rsidR="00675840" w:rsidRDefault="00675840" w:rsidP="00675840">
      <w:pPr>
        <w:pStyle w:val="Prrafodelista"/>
        <w:rPr>
          <w:rFonts w:ascii="Palatino Linotype" w:eastAsia="Palatino Linotype" w:hAnsi="Palatino Linotype" w:cs="Palatino Linotype"/>
        </w:rPr>
      </w:pPr>
    </w:p>
    <w:p w14:paraId="743C9F86" w14:textId="77777777" w:rsidR="00E12135"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DA4C89">
        <w:rPr>
          <w:rFonts w:ascii="Palatino Linotype" w:eastAsia="Palatino Linotype" w:hAnsi="Palatino Linotype" w:cs="Palatino Linotype"/>
        </w:rPr>
        <w:t xml:space="preserve">En esa virtud, este Pleno determina que dicha información no puede ser del dominio público, toda vez que se podría dar un uso inadecuado a la misma o cometer algún ilícito o fraude como ya ha sido expuesto. </w:t>
      </w:r>
    </w:p>
    <w:p w14:paraId="5143DD52" w14:textId="77777777" w:rsidR="00675840" w:rsidRDefault="00675840" w:rsidP="00675840">
      <w:pPr>
        <w:pStyle w:val="Prrafodelista"/>
        <w:rPr>
          <w:rFonts w:ascii="Palatino Linotype" w:eastAsia="Palatino Linotype" w:hAnsi="Palatino Linotype" w:cs="Palatino Linotype"/>
        </w:rPr>
      </w:pPr>
    </w:p>
    <w:p w14:paraId="54C0DEC6" w14:textId="77777777" w:rsidR="00E12135" w:rsidRPr="00DA4C89"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DA4C89">
        <w:rPr>
          <w:rFonts w:ascii="Palatino Linotype" w:eastAsia="Palatino Linotype" w:hAnsi="Palatino Linotype" w:cs="Palatino Linotype"/>
        </w:rPr>
        <w:t>Es por esta razón que se debe omitir el o los números de cuentas bancarias de particulares en las versiones públicas que de las facturas se hagan, para ser entregadas.</w:t>
      </w:r>
    </w:p>
    <w:p w14:paraId="062F3EF4" w14:textId="77777777" w:rsidR="00E12135" w:rsidRPr="00DA4C89" w:rsidRDefault="00E12135" w:rsidP="00E12135">
      <w:pPr>
        <w:spacing w:line="360" w:lineRule="auto"/>
        <w:ind w:right="50"/>
        <w:jc w:val="both"/>
        <w:rPr>
          <w:rFonts w:ascii="Palatino Linotype" w:eastAsia="Palatino Linotype" w:hAnsi="Palatino Linotype" w:cs="Palatino Linotype"/>
        </w:rPr>
      </w:pPr>
    </w:p>
    <w:p w14:paraId="5D8ED521" w14:textId="77777777" w:rsidR="00E12135" w:rsidRPr="00DA4C89"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DA4C89">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4B933F8F" w14:textId="77777777" w:rsidR="00E12135" w:rsidRPr="00DA4C89" w:rsidRDefault="00E12135" w:rsidP="00E12135">
      <w:pPr>
        <w:pStyle w:val="Prrafodelista"/>
        <w:rPr>
          <w:rFonts w:ascii="Palatino Linotype" w:eastAsia="Palatino Linotype" w:hAnsi="Palatino Linotype" w:cs="Palatino Linotype"/>
        </w:rPr>
      </w:pPr>
    </w:p>
    <w:p w14:paraId="6AFA325B" w14:textId="77777777" w:rsidR="00E12135" w:rsidRPr="00DA4C89"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DA4C89">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66550E81" w14:textId="77777777" w:rsidR="00E12135" w:rsidRPr="00DA4C89" w:rsidRDefault="00E12135" w:rsidP="00E12135">
      <w:pPr>
        <w:spacing w:after="240" w:line="276" w:lineRule="auto"/>
        <w:ind w:left="851" w:right="900"/>
        <w:jc w:val="both"/>
        <w:rPr>
          <w:rFonts w:ascii="Palatino Linotype" w:eastAsia="Palatino Linotype" w:hAnsi="Palatino Linotype" w:cs="Palatino Linotype"/>
          <w:i/>
        </w:rPr>
      </w:pPr>
      <w:r w:rsidRPr="00DA4C89">
        <w:rPr>
          <w:rFonts w:ascii="Palatino Linotype" w:eastAsia="Palatino Linotype" w:hAnsi="Palatino Linotype" w:cs="Palatino Linotype"/>
          <w:b/>
          <w:i/>
        </w:rPr>
        <w:t>“Cuentas bancarias y/o CLABE interbancaria de personas físicas y morales privadas.</w:t>
      </w:r>
      <w:r w:rsidRPr="00DA4C89">
        <w:rPr>
          <w:rFonts w:ascii="Palatino Linotype" w:eastAsia="Palatino Linotype" w:hAnsi="Palatino Linotype" w:cs="Palatino Linotype"/>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w:t>
      </w:r>
      <w:r w:rsidRPr="00DA4C89">
        <w:rPr>
          <w:rFonts w:ascii="Palatino Linotype" w:eastAsia="Palatino Linotype" w:hAnsi="Palatino Linotype" w:cs="Palatino Linotype"/>
          <w:i/>
        </w:rPr>
        <w:lastRenderedPageBreak/>
        <w:t>y Acceso a la Información Pública y 113 de la Ley Federal de Transparencia y Acceso a la Información Pública.</w:t>
      </w:r>
    </w:p>
    <w:p w14:paraId="681A65E5" w14:textId="77777777" w:rsidR="00E12135" w:rsidRPr="00DA4C89" w:rsidRDefault="00E12135" w:rsidP="00E12135">
      <w:pPr>
        <w:spacing w:before="240" w:line="276" w:lineRule="auto"/>
        <w:ind w:left="851" w:right="900"/>
        <w:jc w:val="both"/>
        <w:rPr>
          <w:rFonts w:ascii="Palatino Linotype" w:eastAsia="Palatino Linotype" w:hAnsi="Palatino Linotype" w:cs="Palatino Linotype"/>
          <w:i/>
        </w:rPr>
      </w:pPr>
      <w:r w:rsidRPr="00DA4C89">
        <w:rPr>
          <w:rFonts w:ascii="Palatino Linotype" w:eastAsia="Palatino Linotype" w:hAnsi="Palatino Linotype" w:cs="Palatino Linotype"/>
          <w:b/>
          <w:i/>
        </w:rPr>
        <w:t>Cuentas bancarias y/o CLABE interbancaria de sujetos obligados que reciben y/o transfieren recursos públicos, son información pública</w:t>
      </w:r>
      <w:r w:rsidRPr="00DA4C89">
        <w:rPr>
          <w:rFonts w:ascii="Palatino Linotype" w:eastAsia="Palatino Linotype" w:hAnsi="Palatino Linotype" w:cs="Palatino Linotype"/>
          <w:i/>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7C3E5C5" w14:textId="77777777" w:rsidR="00E12135" w:rsidRPr="00DA4C89" w:rsidRDefault="00E12135" w:rsidP="00E12135">
      <w:pPr>
        <w:spacing w:line="360" w:lineRule="auto"/>
        <w:ind w:left="851" w:right="900"/>
        <w:jc w:val="both"/>
        <w:rPr>
          <w:rFonts w:ascii="Palatino Linotype" w:eastAsia="Palatino Linotype" w:hAnsi="Palatino Linotype" w:cs="Palatino Linotype"/>
          <w:i/>
        </w:rPr>
      </w:pPr>
    </w:p>
    <w:p w14:paraId="11529FC5" w14:textId="77777777" w:rsidR="00E12135" w:rsidRPr="00DA4C89"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DA4C89">
        <w:rPr>
          <w:rFonts w:ascii="Palatino Linotype" w:eastAsia="Palatino Linotype" w:hAnsi="Palatino Linotype" w:cs="Palatino Linotype"/>
        </w:rPr>
        <w:t xml:space="preserve">Relacionado con lo anterior, el </w:t>
      </w:r>
      <w:r w:rsidRPr="00DA4C89">
        <w:rPr>
          <w:rFonts w:ascii="Palatino Linotype" w:eastAsia="Palatino Linotype" w:hAnsi="Palatino Linotype" w:cs="Palatino Linotype"/>
          <w:b/>
        </w:rPr>
        <w:t>nombre de las personas físicas</w:t>
      </w:r>
      <w:r w:rsidRPr="00DA4C89">
        <w:rPr>
          <w:rFonts w:ascii="Palatino Linotype" w:eastAsia="Palatino Linotype" w:hAnsi="Palatino Linotype" w:cs="Palatino Linotype"/>
        </w:rPr>
        <w:t xml:space="preserve"> o los </w:t>
      </w:r>
      <w:r w:rsidRPr="00DA4C89">
        <w:rPr>
          <w:rFonts w:ascii="Palatino Linotype" w:eastAsia="Palatino Linotype" w:hAnsi="Palatino Linotype" w:cs="Palatino Linotype"/>
          <w:b/>
        </w:rPr>
        <w:t>representantes legales de las personas morales</w:t>
      </w:r>
      <w:r w:rsidRPr="00DA4C89">
        <w:rPr>
          <w:rFonts w:ascii="Palatino Linotype" w:eastAsia="Palatino Linotype" w:hAnsi="Palatino Linotype" w:cs="Palatino Linotype"/>
        </w:rPr>
        <w:t>, en su calidad de proveedores, contratistas o prestadores de servicios, y la firma y rúbrica de estos, que participen en algún  proceso de adjudicación en cualquiera de sus modalidades, debe mencionarse que con base en el artículo 23 párrafo segundo y 24 fracción XVIII  de la Ley de Transparencia y Acceso a la Información Pública del Estado de México y Municipios,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29C7FCF1" w14:textId="77777777" w:rsidR="00E12135" w:rsidRPr="00DA4C89" w:rsidRDefault="00E12135" w:rsidP="00E12135">
      <w:pPr>
        <w:spacing w:line="360" w:lineRule="auto"/>
        <w:ind w:right="51"/>
        <w:jc w:val="both"/>
        <w:rPr>
          <w:rFonts w:ascii="Palatino Linotype" w:eastAsia="Palatino Linotype" w:hAnsi="Palatino Linotype" w:cs="Palatino Linotype"/>
        </w:rPr>
      </w:pPr>
    </w:p>
    <w:p w14:paraId="783F821D" w14:textId="77777777" w:rsidR="00E12135"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DA4C89">
        <w:rPr>
          <w:rFonts w:ascii="Palatino Linotype" w:eastAsia="Palatino Linotype" w:hAnsi="Palatino Linotype" w:cs="Palatino Linotype"/>
        </w:rPr>
        <w:t>Argumentación que guarda sustento en lo estipulado por el artículo 23 de la Ley de Transparencia y Acceso a la Información Pública del Estado de México y Municipios en su penúltimo párrafo, mismo que es del tenor literal siguiente:</w:t>
      </w:r>
    </w:p>
    <w:p w14:paraId="0A783976" w14:textId="77777777" w:rsidR="006111E6" w:rsidRDefault="006111E6" w:rsidP="006111E6">
      <w:pPr>
        <w:pStyle w:val="Prrafodelista"/>
        <w:rPr>
          <w:rFonts w:ascii="Palatino Linotype" w:eastAsia="Palatino Linotype" w:hAnsi="Palatino Linotype" w:cs="Palatino Linotype"/>
        </w:rPr>
      </w:pPr>
    </w:p>
    <w:p w14:paraId="376F8733" w14:textId="77777777" w:rsidR="00E12135" w:rsidRPr="00DA4C89" w:rsidRDefault="00E12135" w:rsidP="00E12135">
      <w:pPr>
        <w:spacing w:after="120" w:line="276" w:lineRule="auto"/>
        <w:ind w:left="851" w:right="902"/>
        <w:jc w:val="both"/>
        <w:rPr>
          <w:rFonts w:ascii="Palatino Linotype" w:eastAsia="Palatino Linotype" w:hAnsi="Palatino Linotype" w:cs="Palatino Linotype"/>
          <w:i/>
        </w:rPr>
      </w:pPr>
      <w:r w:rsidRPr="00DA4C89">
        <w:rPr>
          <w:rFonts w:ascii="Palatino Linotype" w:eastAsia="Palatino Linotype" w:hAnsi="Palatino Linotype" w:cs="Palatino Linotype"/>
          <w:i/>
        </w:rPr>
        <w:lastRenderedPageBreak/>
        <w:t>“</w:t>
      </w:r>
      <w:r w:rsidRPr="00DA4C89">
        <w:rPr>
          <w:rFonts w:ascii="Palatino Linotype" w:eastAsia="Palatino Linotype" w:hAnsi="Palatino Linotype" w:cs="Palatino Linotype"/>
          <w:b/>
          <w:i/>
        </w:rPr>
        <w:t>Artículo 23.</w:t>
      </w:r>
      <w:r w:rsidRPr="00DA4C89">
        <w:rPr>
          <w:rFonts w:ascii="Palatino Linotype" w:eastAsia="Palatino Linotype" w:hAnsi="Palatino Linotype" w:cs="Palatino Linotype"/>
          <w:i/>
        </w:rPr>
        <w:t xml:space="preserve"> (…)</w:t>
      </w:r>
    </w:p>
    <w:p w14:paraId="4CA28253" w14:textId="77777777" w:rsidR="00E12135" w:rsidRPr="00DA4C89" w:rsidRDefault="00E12135" w:rsidP="00E12135">
      <w:pPr>
        <w:spacing w:before="120" w:line="276" w:lineRule="auto"/>
        <w:ind w:left="851" w:right="902"/>
        <w:jc w:val="both"/>
        <w:rPr>
          <w:rFonts w:ascii="Palatino Linotype" w:eastAsia="Palatino Linotype" w:hAnsi="Palatino Linotype" w:cs="Palatino Linotype"/>
          <w:i/>
        </w:rPr>
      </w:pPr>
      <w:r w:rsidRPr="00DA4C89">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16E78FB" w14:textId="77777777" w:rsidR="00E12135" w:rsidRPr="00DA4C89" w:rsidRDefault="00E12135" w:rsidP="00E12135">
      <w:pPr>
        <w:spacing w:before="120" w:line="276" w:lineRule="auto"/>
        <w:ind w:left="851" w:right="902"/>
        <w:jc w:val="both"/>
        <w:rPr>
          <w:rFonts w:ascii="Palatino Linotype" w:eastAsia="Palatino Linotype" w:hAnsi="Palatino Linotype" w:cs="Palatino Linotype"/>
          <w:i/>
        </w:rPr>
      </w:pPr>
    </w:p>
    <w:p w14:paraId="5623EBF5" w14:textId="77777777" w:rsidR="00E12135" w:rsidRPr="00DA4C89"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DA4C89">
        <w:rPr>
          <w:rFonts w:ascii="Palatino Linotype" w:eastAsia="Palatino Linotype" w:hAnsi="Palatino Linotype" w:cs="Palatino Linotype"/>
        </w:rPr>
        <w:t>Asimismo, resulta aplicable el contenido del Criterio de interpretación 01/19 emitido por el entonces Instituto Nacional de Transparencia, Acceso a la Información, y Protección de Datos Personales, INAI, que lleva por rubro y texto los siguientes</w:t>
      </w:r>
    </w:p>
    <w:p w14:paraId="51FC31C1" w14:textId="77777777" w:rsidR="00E12135" w:rsidRPr="00987A13" w:rsidRDefault="00E12135" w:rsidP="00E12135">
      <w:pPr>
        <w:spacing w:line="276" w:lineRule="auto"/>
        <w:ind w:left="851" w:right="900"/>
        <w:jc w:val="both"/>
        <w:rPr>
          <w:rFonts w:ascii="Palatino Linotype" w:eastAsia="Palatino Linotype" w:hAnsi="Palatino Linotype" w:cs="Palatino Linotype"/>
          <w:i/>
        </w:rPr>
      </w:pPr>
      <w:r w:rsidRPr="00DA4C89">
        <w:rPr>
          <w:rFonts w:ascii="Palatino Linotype" w:eastAsia="Palatino Linotype" w:hAnsi="Palatino Linotype" w:cs="Palatino Linotype"/>
          <w:b/>
          <w:i/>
        </w:rPr>
        <w:t>“Datos de identificación del representante o apoderado legal.</w:t>
      </w:r>
      <w:r w:rsidRPr="00DA4C89">
        <w:rPr>
          <w:rFonts w:ascii="Palatino Linotype" w:eastAsia="Palatino Linotype" w:hAnsi="Palatino Linotype" w:cs="Palatino Linotype"/>
          <w:i/>
        </w:rPr>
        <w:t xml:space="preserve"> </w:t>
      </w:r>
      <w:r w:rsidRPr="00DA4C89">
        <w:rPr>
          <w:rFonts w:ascii="Palatino Linotype" w:eastAsia="Palatino Linotype" w:hAnsi="Palatino Linotype" w:cs="Palatino Linotype"/>
          <w:b/>
          <w:i/>
        </w:rPr>
        <w:t xml:space="preserve">Naturaleza jurídica. </w:t>
      </w:r>
      <w:r w:rsidRPr="00DA4C89">
        <w:rPr>
          <w:rFonts w:ascii="Palatino Linotype" w:eastAsia="Palatino Linotype" w:hAnsi="Palatino Linotype" w:cs="Palatino Linotype"/>
          <w:i/>
        </w:rPr>
        <w:t xml:space="preserve">El nombre, la firma y la rúbrica de una persona física, que actúe como representante o apoderado legal de un tercero que haya celebrado un acto jurídico, con algún sujeto obligado, </w:t>
      </w:r>
      <w:r w:rsidRPr="00DA4C89">
        <w:rPr>
          <w:rFonts w:ascii="Palatino Linotype" w:eastAsia="Palatino Linotype" w:hAnsi="Palatino Linotype" w:cs="Palatino Linotype"/>
          <w:b/>
          <w:i/>
        </w:rPr>
        <w:t>es información pública, en razón de que tales datos fueron proporcionados con el objeto de expresar el consentimiento obligacional del tercero y otorgar validez a dicho instrumento jurídico</w:t>
      </w:r>
      <w:r w:rsidRPr="00DA4C89">
        <w:rPr>
          <w:rFonts w:ascii="Palatino Linotype" w:eastAsia="Palatino Linotype" w:hAnsi="Palatino Linotype" w:cs="Palatino Linotype"/>
          <w:i/>
        </w:rPr>
        <w:t>.”</w:t>
      </w:r>
    </w:p>
    <w:p w14:paraId="530D97D2" w14:textId="77777777" w:rsidR="00E12135" w:rsidRPr="00987A13" w:rsidRDefault="00E12135" w:rsidP="00E12135">
      <w:pPr>
        <w:spacing w:line="360" w:lineRule="auto"/>
        <w:ind w:right="-93"/>
        <w:contextualSpacing/>
        <w:jc w:val="both"/>
        <w:rPr>
          <w:rFonts w:ascii="Palatino Linotype" w:hAnsi="Palatino Linotype" w:cs="Tahoma"/>
          <w:bCs/>
          <w:iCs/>
        </w:rPr>
      </w:pPr>
    </w:p>
    <w:p w14:paraId="4B8643E8" w14:textId="77777777" w:rsidR="00E12135" w:rsidRPr="00987A13"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Por lo tanto, la entrega de documentos en su versión pública debe acompañarse necesariamente del Acuerdo del Comité de Transparencia que la sustente, en el que se expongan los fundamentos y razonamientos que llevaron al </w:t>
      </w:r>
      <w:r w:rsidRPr="00987A13">
        <w:rPr>
          <w:rFonts w:ascii="Palatino Linotype" w:eastAsia="Palatino Linotype" w:hAnsi="Palatino Linotype" w:cs="Palatino Linotype"/>
          <w:b/>
          <w:bCs/>
          <w:color w:val="000000"/>
        </w:rPr>
        <w:t>SUJETO OBLIGADO</w:t>
      </w:r>
      <w:r w:rsidRPr="00987A13">
        <w:rPr>
          <w:rFonts w:ascii="Palatino Linotype" w:eastAsia="Palatino Linotype" w:hAnsi="Palatino Linotype" w:cs="Palatino Linotype"/>
          <w:color w:val="000000"/>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w:t>
      </w:r>
      <w:r w:rsidRPr="00987A13">
        <w:rPr>
          <w:rFonts w:ascii="Palatino Linotype" w:eastAsia="Palatino Linotype" w:hAnsi="Palatino Linotype" w:cs="Palatino Linotype"/>
          <w:color w:val="000000"/>
        </w:rPr>
        <w:lastRenderedPageBreak/>
        <w:t>violentando desde un inicio el derecho de acceso a la información del solicitante, por lo que el acuerdo respectivo, deberá hacerse del conocimiento del </w:t>
      </w:r>
      <w:r w:rsidRPr="00987A13">
        <w:rPr>
          <w:rFonts w:ascii="Palatino Linotype" w:eastAsia="Palatino Linotype" w:hAnsi="Palatino Linotype" w:cs="Palatino Linotype"/>
          <w:b/>
          <w:bCs/>
          <w:color w:val="000000"/>
        </w:rPr>
        <w:t>RECURRENTE.</w:t>
      </w:r>
    </w:p>
    <w:p w14:paraId="78E7F558" w14:textId="77777777" w:rsidR="00E12135" w:rsidRPr="00987A13" w:rsidRDefault="00E12135" w:rsidP="00E12135">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14:paraId="75BC178B" w14:textId="77777777" w:rsidR="00E12135" w:rsidRPr="00987A13"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 </w:t>
      </w:r>
    </w:p>
    <w:p w14:paraId="4BE022F6" w14:textId="77777777" w:rsidR="00E12135" w:rsidRPr="00987A13" w:rsidRDefault="00E12135" w:rsidP="00E12135">
      <w:pPr>
        <w:pBdr>
          <w:top w:val="nil"/>
          <w:left w:val="nil"/>
          <w:bottom w:val="nil"/>
          <w:right w:val="nil"/>
          <w:between w:val="nil"/>
        </w:pBdr>
        <w:spacing w:line="360" w:lineRule="auto"/>
        <w:ind w:left="720"/>
        <w:rPr>
          <w:rFonts w:ascii="Palatino Linotype" w:eastAsia="Palatino Linotype" w:hAnsi="Palatino Linotype" w:cs="Palatino Linotype"/>
          <w:color w:val="000000"/>
        </w:rPr>
      </w:pPr>
    </w:p>
    <w:p w14:paraId="70AA0DC2" w14:textId="77777777" w:rsidR="00E12135" w:rsidRPr="00987A13"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6DEB5E0" w14:textId="77777777" w:rsidR="00E12135" w:rsidRPr="00987A13" w:rsidRDefault="00E12135" w:rsidP="00E12135">
      <w:pPr>
        <w:pBdr>
          <w:top w:val="nil"/>
          <w:left w:val="nil"/>
          <w:bottom w:val="nil"/>
          <w:right w:val="nil"/>
          <w:between w:val="nil"/>
        </w:pBdr>
        <w:spacing w:line="360" w:lineRule="auto"/>
        <w:ind w:left="720"/>
        <w:jc w:val="both"/>
        <w:rPr>
          <w:rFonts w:ascii="Palatino Linotype" w:eastAsia="Palatino Linotype" w:hAnsi="Palatino Linotype" w:cs="Palatino Linotype"/>
        </w:rPr>
      </w:pPr>
    </w:p>
    <w:p w14:paraId="68F42984" w14:textId="77777777" w:rsidR="00E12135" w:rsidRPr="00987A13"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Entorno a lo que aquí nos interesa, los Lineamientos Quincuagésimo sexto, Quincuagésimo séptimo y Quincuagésimo octavo, establecen lo siguiente:</w:t>
      </w:r>
    </w:p>
    <w:p w14:paraId="1051FAFF" w14:textId="77777777" w:rsidR="00E12135" w:rsidRPr="00987A13" w:rsidRDefault="00E12135" w:rsidP="00E12135">
      <w:pPr>
        <w:spacing w:line="360" w:lineRule="auto"/>
        <w:ind w:left="851" w:right="902"/>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“Quincuagésimo sexto</w:t>
      </w:r>
      <w:r w:rsidRPr="00987A13">
        <w:rPr>
          <w:rFonts w:ascii="Palatino Linotype" w:eastAsia="Palatino Linotype" w:hAnsi="Palatino Linotype" w:cs="Palatino Linotype"/>
          <w:b/>
          <w:bCs/>
          <w:i/>
          <w:iCs/>
        </w:rPr>
        <w:t xml:space="preserve">. La versión pública del documento o expediente que contenga partes o secciones reservadas o confidenciales, será elaborada </w:t>
      </w:r>
      <w:r w:rsidRPr="00987A13">
        <w:rPr>
          <w:rFonts w:ascii="Palatino Linotype" w:eastAsia="Palatino Linotype" w:hAnsi="Palatino Linotype" w:cs="Palatino Linotype"/>
          <w:b/>
          <w:bCs/>
          <w:i/>
          <w:iCs/>
        </w:rPr>
        <w:lastRenderedPageBreak/>
        <w:t>por los sujetos obligados, previo pago de los costos de reproducción, a través de sus áreas y deberá ser aprobada por su Comité de Transparencia</w:t>
      </w:r>
    </w:p>
    <w:p w14:paraId="3416C973" w14:textId="77777777" w:rsidR="00E12135" w:rsidRPr="00987A13" w:rsidRDefault="00E12135" w:rsidP="00E12135">
      <w:pPr>
        <w:spacing w:line="360" w:lineRule="auto"/>
        <w:ind w:left="851" w:right="902"/>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 xml:space="preserve">Quincuagésimo séptimo. Se considera, en principio, como información pública y no podrá omitirse de las versiones públicas la siguiente: </w:t>
      </w:r>
    </w:p>
    <w:p w14:paraId="693B1F2F" w14:textId="77777777" w:rsidR="00E12135" w:rsidRPr="00987A13" w:rsidRDefault="00E12135" w:rsidP="00E12135">
      <w:pPr>
        <w:spacing w:line="360" w:lineRule="auto"/>
        <w:ind w:left="851" w:right="902"/>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 xml:space="preserve">I. La relativa a las Obligaciones de Transparencia que contempla el Título V de la Ley General y las demás disposiciones legales aplicables; </w:t>
      </w:r>
    </w:p>
    <w:p w14:paraId="1C28492F" w14:textId="77777777" w:rsidR="00E12135" w:rsidRPr="00987A13" w:rsidRDefault="00E12135" w:rsidP="00E12135">
      <w:pPr>
        <w:spacing w:line="360" w:lineRule="auto"/>
        <w:ind w:left="851" w:right="902"/>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 xml:space="preserve">II. El nombre de los servidores públicos en los documentos, y sus firmas autógrafas, cuando sean utilizados en el ejercicio de las facultades conferidas para el desempeño del servicio público, y </w:t>
      </w:r>
    </w:p>
    <w:p w14:paraId="508C5442" w14:textId="77777777" w:rsidR="00E12135" w:rsidRPr="00987A13" w:rsidRDefault="00E12135" w:rsidP="00E12135">
      <w:pPr>
        <w:spacing w:line="360" w:lineRule="auto"/>
        <w:ind w:left="851" w:right="902"/>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III. La información que documente decisiones y los actos de autoridad concluidos de los sujetos obligados, así como el ejercicio de las facultades o actividades de los servidores públicos, de manera que se pueda valorar el desempeño de los mismos.</w:t>
      </w:r>
    </w:p>
    <w:p w14:paraId="32894D0E" w14:textId="77777777" w:rsidR="00E12135" w:rsidRPr="00987A13" w:rsidRDefault="00E12135" w:rsidP="00E12135">
      <w:pPr>
        <w:spacing w:line="360" w:lineRule="auto"/>
        <w:ind w:left="851" w:right="902"/>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 xml:space="preserve">Lo anterior, siempre y cuando no se acredite alguna causal de clasificación, prevista en las leyes o en los tratados internaciones suscritos por el Estado mexicano. </w:t>
      </w:r>
    </w:p>
    <w:p w14:paraId="585DED33" w14:textId="77777777" w:rsidR="00E12135" w:rsidRPr="00987A13" w:rsidRDefault="00E12135" w:rsidP="00E12135">
      <w:pPr>
        <w:spacing w:line="360" w:lineRule="auto"/>
        <w:ind w:left="851" w:right="902"/>
        <w:jc w:val="both"/>
        <w:rPr>
          <w:rFonts w:ascii="Palatino Linotype" w:eastAsia="Palatino Linotype" w:hAnsi="Palatino Linotype" w:cs="Palatino Linotype"/>
          <w:i/>
          <w:iCs/>
        </w:rPr>
      </w:pPr>
      <w:r w:rsidRPr="00987A13">
        <w:rPr>
          <w:rFonts w:ascii="Palatino Linotype" w:eastAsia="Palatino Linotype" w:hAnsi="Palatino Linotype" w:cs="Palatino Linotype"/>
          <w:i/>
          <w:iCs/>
        </w:rPr>
        <w:t>Quincuagésimo octavo. Los sujetos obligados garantizarán que los sistemas o medios empleados para eliminar la información en las versiones públicas no permitan la recuperación o visualización de la misma.”</w:t>
      </w:r>
    </w:p>
    <w:p w14:paraId="26619293" w14:textId="77777777" w:rsidR="00E12135" w:rsidRPr="00987A13" w:rsidRDefault="00E12135" w:rsidP="00E12135">
      <w:pPr>
        <w:spacing w:line="360" w:lineRule="auto"/>
        <w:ind w:left="851" w:right="902"/>
        <w:jc w:val="both"/>
        <w:rPr>
          <w:rFonts w:ascii="Palatino Linotype" w:eastAsia="Palatino Linotype" w:hAnsi="Palatino Linotype" w:cs="Palatino Linotype"/>
          <w:i/>
          <w:iCs/>
        </w:rPr>
      </w:pPr>
    </w:p>
    <w:p w14:paraId="0840CB1A" w14:textId="77777777" w:rsidR="00E12135" w:rsidRPr="00987A13"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Por lo tanto, </w:t>
      </w:r>
      <w:r w:rsidRPr="00987A13">
        <w:rPr>
          <w:rFonts w:ascii="Palatino Linotype" w:eastAsia="Palatino Linotype" w:hAnsi="Palatino Linotype" w:cs="Palatino Linotype"/>
          <w:b/>
          <w:bCs/>
          <w:color w:val="000000"/>
        </w:rPr>
        <w:t xml:space="preserve">la entrega de documentos en su versión pública debe </w:t>
      </w:r>
      <w:r w:rsidRPr="00987A13">
        <w:rPr>
          <w:rFonts w:ascii="Palatino Linotype" w:eastAsia="Palatino Linotype" w:hAnsi="Palatino Linotype" w:cs="Palatino Linotype"/>
          <w:color w:val="000000"/>
        </w:rPr>
        <w:t>acompañarse</w:t>
      </w:r>
      <w:r w:rsidRPr="00987A13">
        <w:rPr>
          <w:rFonts w:ascii="Palatino Linotype" w:eastAsia="Palatino Linotype" w:hAnsi="Palatino Linotype" w:cs="Palatino Linotype"/>
          <w:b/>
          <w:bCs/>
          <w:color w:val="000000"/>
        </w:rPr>
        <w:t xml:space="preserve"> </w:t>
      </w:r>
      <w:r w:rsidRPr="00987A13">
        <w:rPr>
          <w:rFonts w:ascii="Palatino Linotype" w:eastAsia="Palatino Linotype" w:hAnsi="Palatino Linotype" w:cs="Palatino Linotype"/>
          <w:color w:val="000000"/>
        </w:rPr>
        <w:t>necesariamente</w:t>
      </w:r>
      <w:r w:rsidRPr="00987A13">
        <w:rPr>
          <w:rFonts w:ascii="Palatino Linotype" w:eastAsia="Palatino Linotype" w:hAnsi="Palatino Linotype" w:cs="Palatino Linotype"/>
          <w:b/>
          <w:bCs/>
          <w:color w:val="000000"/>
        </w:rPr>
        <w:t xml:space="preserve"> del Acuerdo del Comité de Transparencia que la sustente el cual debe estar debidamente fundado y motivado, en el que se expongan los fundamentos y razonamientos que llevaron al Sujeto Obligado a testar, suprimir o eliminar datos de dicho soporte documental</w:t>
      </w:r>
      <w:r w:rsidRPr="00987A13">
        <w:rPr>
          <w:rFonts w:ascii="Palatino Linotype" w:eastAsia="Palatino Linotype" w:hAnsi="Palatino Linotype" w:cs="Palatino Linotype"/>
          <w:color w:val="000000"/>
        </w:rPr>
        <w:t xml:space="preserve">, ya que no hacerlo, se reitera que lo entregado no tendría un </w:t>
      </w:r>
      <w:r w:rsidRPr="00987A13">
        <w:rPr>
          <w:rFonts w:ascii="Palatino Linotype" w:eastAsia="Palatino Linotype" w:hAnsi="Palatino Linotype" w:cs="Palatino Linotype"/>
          <w:color w:val="000000"/>
        </w:rPr>
        <w:lastRenderedPageBreak/>
        <w:t>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38BC52AD" w14:textId="77777777" w:rsidR="00E12135" w:rsidRPr="00987A13" w:rsidRDefault="00E12135" w:rsidP="00E12135">
      <w:pPr>
        <w:pBdr>
          <w:top w:val="nil"/>
          <w:left w:val="nil"/>
          <w:bottom w:val="nil"/>
          <w:right w:val="nil"/>
          <w:between w:val="nil"/>
        </w:pBdr>
        <w:tabs>
          <w:tab w:val="left" w:pos="284"/>
          <w:tab w:val="left" w:pos="426"/>
        </w:tabs>
        <w:spacing w:line="360" w:lineRule="auto"/>
        <w:ind w:right="49"/>
        <w:jc w:val="both"/>
        <w:rPr>
          <w:rFonts w:ascii="Palatino Linotype" w:eastAsia="Palatino Linotype" w:hAnsi="Palatino Linotype" w:cs="Palatino Linotype"/>
          <w:color w:val="000000"/>
        </w:rPr>
      </w:pPr>
    </w:p>
    <w:p w14:paraId="2BBC9376" w14:textId="77777777" w:rsidR="00E12135"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Los sujetos obligados</w:t>
      </w:r>
      <w:r w:rsidRPr="00987A13">
        <w:rPr>
          <w:rFonts w:ascii="Palatino Linotype" w:eastAsia="Palatino Linotype" w:hAnsi="Palatino Linotype" w:cs="Palatino Linotype"/>
          <w:b/>
          <w:bCs/>
          <w:color w:val="000000"/>
        </w:rPr>
        <w:t xml:space="preserve"> </w:t>
      </w:r>
      <w:r w:rsidRPr="00987A13">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6D07C0F" w14:textId="77777777" w:rsidR="00784D8F" w:rsidRPr="00987A13" w:rsidRDefault="00784D8F" w:rsidP="00784D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E12135" w:rsidRPr="00987A13" w14:paraId="6C20DC84" w14:textId="77777777" w:rsidTr="00784D8F">
        <w:tc>
          <w:tcPr>
            <w:tcW w:w="2689" w:type="dxa"/>
          </w:tcPr>
          <w:p w14:paraId="7C71DCD2" w14:textId="77777777" w:rsidR="00E12135" w:rsidRPr="00987A13" w:rsidRDefault="00E12135" w:rsidP="001F2F64">
            <w:pPr>
              <w:tabs>
                <w:tab w:val="left" w:pos="284"/>
              </w:tabs>
              <w:rPr>
                <w:rFonts w:ascii="Palatino Linotype" w:eastAsia="Palatino Linotype" w:hAnsi="Palatino Linotype" w:cs="Palatino Linotype"/>
              </w:rPr>
            </w:pPr>
            <w:r w:rsidRPr="00987A13">
              <w:rPr>
                <w:rFonts w:ascii="Palatino Linotype" w:eastAsia="Palatino Linotype" w:hAnsi="Palatino Linotype" w:cs="Palatino Linotype"/>
              </w:rPr>
              <w:t>a) Requisitos previos.</w:t>
            </w:r>
          </w:p>
        </w:tc>
        <w:tc>
          <w:tcPr>
            <w:tcW w:w="7087" w:type="dxa"/>
          </w:tcPr>
          <w:p w14:paraId="37316504" w14:textId="77777777" w:rsidR="00E12135" w:rsidRPr="00987A13" w:rsidRDefault="00E12135" w:rsidP="001F2F64">
            <w:pPr>
              <w:tabs>
                <w:tab w:val="left" w:pos="284"/>
              </w:tabs>
              <w:ind w:right="49"/>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CFD26B0" w14:textId="77777777" w:rsidR="00E12135" w:rsidRPr="00987A13" w:rsidRDefault="00E12135" w:rsidP="001F2F64">
            <w:pPr>
              <w:tabs>
                <w:tab w:val="left" w:pos="284"/>
              </w:tabs>
              <w:ind w:right="49"/>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16C21EC8" w14:textId="77777777" w:rsidR="00E12135" w:rsidRPr="00987A13" w:rsidRDefault="00E12135" w:rsidP="001F2F64">
            <w:pPr>
              <w:tabs>
                <w:tab w:val="left" w:pos="284"/>
              </w:tabs>
              <w:ind w:right="49"/>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Además, se debe señalar el procedimiento, de los tres que establecen los artículos 132 y 106 de la Ley Estatal y General, respectivamente.</w:t>
            </w:r>
          </w:p>
          <w:p w14:paraId="3023A76A" w14:textId="77777777" w:rsidR="00E12135" w:rsidRPr="00987A13" w:rsidRDefault="00E12135" w:rsidP="001F2F64">
            <w:pPr>
              <w:tabs>
                <w:tab w:val="left" w:pos="284"/>
              </w:tabs>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987A13">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987A13">
              <w:rPr>
                <w:rFonts w:ascii="Palatino Linotype" w:eastAsia="Palatino Linotype" w:hAnsi="Palatino Linotype" w:cs="Palatino Linotype"/>
                <w:color w:val="000000"/>
              </w:rPr>
              <w:t xml:space="preserve"> individualizar su análisis y tampoco se puede hacer un acuerdo por cada dato que </w:t>
            </w:r>
            <w:r w:rsidRPr="00987A13">
              <w:rPr>
                <w:rFonts w:ascii="Palatino Linotype" w:eastAsia="Palatino Linotype" w:hAnsi="Palatino Linotype" w:cs="Palatino Linotype"/>
                <w:color w:val="000000"/>
              </w:rPr>
              <w:lastRenderedPageBreak/>
              <w:t>se vaya a clasificar dentro de un documento con diez datos, por ejemplo, susceptibles de ser clasificados.</w:t>
            </w:r>
          </w:p>
          <w:p w14:paraId="62DA4F4B" w14:textId="77777777" w:rsidR="00E12135" w:rsidRPr="00987A13" w:rsidRDefault="00E12135" w:rsidP="001F2F64">
            <w:pPr>
              <w:tabs>
                <w:tab w:val="left" w:pos="284"/>
              </w:tabs>
              <w:jc w:val="both"/>
              <w:rPr>
                <w:rFonts w:ascii="Palatino Linotype" w:eastAsia="Palatino Linotype" w:hAnsi="Palatino Linotype" w:cs="Palatino Linotype"/>
              </w:rPr>
            </w:pPr>
          </w:p>
        </w:tc>
      </w:tr>
      <w:tr w:rsidR="00E12135" w:rsidRPr="00987A13" w14:paraId="2A974A64" w14:textId="77777777" w:rsidTr="00784D8F">
        <w:tc>
          <w:tcPr>
            <w:tcW w:w="2689" w:type="dxa"/>
          </w:tcPr>
          <w:p w14:paraId="43B89FDA" w14:textId="77777777" w:rsidR="00E12135" w:rsidRPr="00987A13" w:rsidRDefault="00E12135" w:rsidP="001F2F64">
            <w:pPr>
              <w:tabs>
                <w:tab w:val="left" w:pos="284"/>
              </w:tabs>
              <w:rPr>
                <w:rFonts w:ascii="Palatino Linotype" w:eastAsia="Palatino Linotype" w:hAnsi="Palatino Linotype" w:cs="Palatino Linotype"/>
              </w:rPr>
            </w:pPr>
            <w:r w:rsidRPr="00987A13">
              <w:rPr>
                <w:rFonts w:ascii="Palatino Linotype" w:eastAsia="Palatino Linotype" w:hAnsi="Palatino Linotype" w:cs="Palatino Linotype"/>
              </w:rPr>
              <w:lastRenderedPageBreak/>
              <w:t>b) Supuestos de clasificación.</w:t>
            </w:r>
          </w:p>
        </w:tc>
        <w:tc>
          <w:tcPr>
            <w:tcW w:w="7087" w:type="dxa"/>
          </w:tcPr>
          <w:p w14:paraId="1CD93741" w14:textId="77777777" w:rsidR="00E12135" w:rsidRPr="00987A13" w:rsidRDefault="00E12135" w:rsidP="001F2F64">
            <w:pPr>
              <w:tabs>
                <w:tab w:val="left" w:pos="284"/>
              </w:tabs>
              <w:ind w:right="49"/>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54296FE9" w14:textId="77777777" w:rsidR="00E12135" w:rsidRPr="00987A13" w:rsidRDefault="00E12135" w:rsidP="001F2F64">
            <w:pPr>
              <w:tabs>
                <w:tab w:val="left" w:pos="284"/>
              </w:tabs>
              <w:ind w:right="49"/>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4B7196E" w14:textId="77777777" w:rsidR="00E12135" w:rsidRPr="00987A13" w:rsidRDefault="00E12135" w:rsidP="001F2F64">
            <w:pPr>
              <w:tabs>
                <w:tab w:val="left" w:pos="284"/>
              </w:tabs>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El </w:t>
            </w:r>
            <w:r w:rsidRPr="00987A13">
              <w:rPr>
                <w:rFonts w:ascii="Palatino Linotype" w:eastAsia="Palatino Linotype" w:hAnsi="Palatino Linotype" w:cs="Palatino Linotype"/>
                <w:b/>
                <w:bCs/>
                <w:color w:val="000000"/>
              </w:rPr>
              <w:t>Sujeto Obligado</w:t>
            </w:r>
            <w:r w:rsidRPr="00987A13">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14:paraId="0F577E5C" w14:textId="77777777" w:rsidR="00E12135" w:rsidRPr="00987A13" w:rsidRDefault="00E12135" w:rsidP="001F2F64">
            <w:pPr>
              <w:tabs>
                <w:tab w:val="left" w:pos="284"/>
              </w:tabs>
              <w:jc w:val="both"/>
              <w:rPr>
                <w:rFonts w:ascii="Palatino Linotype" w:eastAsia="Palatino Linotype" w:hAnsi="Palatino Linotype" w:cs="Palatino Linotype"/>
              </w:rPr>
            </w:pPr>
          </w:p>
        </w:tc>
      </w:tr>
      <w:tr w:rsidR="00E12135" w:rsidRPr="00987A13" w14:paraId="588C8027" w14:textId="77777777" w:rsidTr="00784D8F">
        <w:tc>
          <w:tcPr>
            <w:tcW w:w="2689" w:type="dxa"/>
          </w:tcPr>
          <w:p w14:paraId="090DB64C" w14:textId="77777777" w:rsidR="00E12135" w:rsidRPr="00987A13" w:rsidRDefault="00E12135" w:rsidP="001F2F64">
            <w:pPr>
              <w:tabs>
                <w:tab w:val="left" w:pos="284"/>
              </w:tabs>
              <w:rPr>
                <w:rFonts w:ascii="Palatino Linotype" w:eastAsia="Palatino Linotype" w:hAnsi="Palatino Linotype" w:cs="Palatino Linotype"/>
              </w:rPr>
            </w:pPr>
            <w:r w:rsidRPr="00987A13">
              <w:rPr>
                <w:rFonts w:ascii="Palatino Linotype" w:eastAsia="Palatino Linotype" w:hAnsi="Palatino Linotype" w:cs="Palatino Linotype"/>
              </w:rPr>
              <w:t>c) Formalidades para emitir el acuerdo de clasificación.</w:t>
            </w:r>
          </w:p>
        </w:tc>
        <w:tc>
          <w:tcPr>
            <w:tcW w:w="7087" w:type="dxa"/>
          </w:tcPr>
          <w:p w14:paraId="6E173E86" w14:textId="77777777" w:rsidR="00E12135" w:rsidRPr="00987A13" w:rsidRDefault="00E12135" w:rsidP="001F2F64">
            <w:pPr>
              <w:tabs>
                <w:tab w:val="left" w:pos="284"/>
              </w:tabs>
              <w:ind w:right="49"/>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0CC68E5F" w14:textId="77777777" w:rsidR="00E12135" w:rsidRPr="00987A13" w:rsidRDefault="00E12135" w:rsidP="001F2F64">
            <w:pPr>
              <w:tabs>
                <w:tab w:val="left" w:pos="284"/>
              </w:tabs>
              <w:ind w:right="49"/>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Es necesario que </w:t>
            </w:r>
            <w:r w:rsidRPr="00987A13">
              <w:rPr>
                <w:rFonts w:ascii="Palatino Linotype" w:eastAsia="Palatino Linotype" w:hAnsi="Palatino Linotype" w:cs="Palatino Linotype"/>
                <w:b/>
                <w:bCs/>
                <w:color w:val="000000"/>
                <w:u w:val="single"/>
              </w:rPr>
              <w:t>el acto reúna con los requisitos elementales</w:t>
            </w:r>
            <w:r w:rsidRPr="00987A13">
              <w:rPr>
                <w:rFonts w:ascii="Palatino Linotype" w:eastAsia="Palatino Linotype" w:hAnsi="Palatino Linotype" w:cs="Palatino Linotype"/>
                <w:color w:val="000000"/>
              </w:rPr>
              <w:t>, entre ellos, que la autoridad que va a emitir el acto de autoridad sea la legalmente facultada para ello.</w:t>
            </w:r>
          </w:p>
          <w:p w14:paraId="3850975F" w14:textId="77777777" w:rsidR="00E12135" w:rsidRPr="00987A13" w:rsidRDefault="00E12135" w:rsidP="001F2F64">
            <w:pPr>
              <w:tabs>
                <w:tab w:val="left" w:pos="284"/>
              </w:tabs>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w:t>
            </w:r>
            <w:r w:rsidRPr="00987A13">
              <w:rPr>
                <w:rFonts w:ascii="Palatino Linotype" w:eastAsia="Palatino Linotype" w:hAnsi="Palatino Linotype" w:cs="Palatino Linotype"/>
                <w:color w:val="000000"/>
              </w:rPr>
              <w:lastRenderedPageBreak/>
              <w:t>sujetas a control, en primera instancia, por el Comité de Transparencia.</w:t>
            </w:r>
          </w:p>
          <w:p w14:paraId="06CBEE95" w14:textId="77777777" w:rsidR="00E12135" w:rsidRPr="00987A13" w:rsidRDefault="00E12135" w:rsidP="001F2F64">
            <w:pPr>
              <w:tabs>
                <w:tab w:val="left" w:pos="284"/>
              </w:tabs>
              <w:jc w:val="both"/>
              <w:rPr>
                <w:rFonts w:ascii="Palatino Linotype" w:eastAsia="Palatino Linotype" w:hAnsi="Palatino Linotype" w:cs="Palatino Linotype"/>
              </w:rPr>
            </w:pPr>
          </w:p>
        </w:tc>
      </w:tr>
      <w:tr w:rsidR="00E12135" w:rsidRPr="00987A13" w14:paraId="46325F56" w14:textId="77777777" w:rsidTr="00784D8F">
        <w:tc>
          <w:tcPr>
            <w:tcW w:w="2689" w:type="dxa"/>
          </w:tcPr>
          <w:p w14:paraId="211D3096" w14:textId="77777777" w:rsidR="00E12135" w:rsidRPr="00987A13" w:rsidRDefault="00E12135" w:rsidP="001F2F64">
            <w:pPr>
              <w:tabs>
                <w:tab w:val="left" w:pos="284"/>
              </w:tabs>
              <w:rPr>
                <w:rFonts w:ascii="Palatino Linotype" w:eastAsia="Palatino Linotype" w:hAnsi="Palatino Linotype" w:cs="Palatino Linotype"/>
              </w:rPr>
            </w:pPr>
          </w:p>
          <w:p w14:paraId="77DDAADA" w14:textId="77777777" w:rsidR="00E12135" w:rsidRPr="00987A13" w:rsidRDefault="00E12135" w:rsidP="001F2F64">
            <w:pPr>
              <w:tabs>
                <w:tab w:val="left" w:pos="284"/>
              </w:tabs>
              <w:jc w:val="both"/>
              <w:rPr>
                <w:rFonts w:ascii="Palatino Linotype" w:eastAsia="Palatino Linotype" w:hAnsi="Palatino Linotype" w:cs="Palatino Linotype"/>
              </w:rPr>
            </w:pPr>
            <w:r w:rsidRPr="00987A13">
              <w:rPr>
                <w:rFonts w:ascii="Palatino Linotype" w:eastAsia="Palatino Linotype" w:hAnsi="Palatino Linotype" w:cs="Palatino Linotype"/>
                <w:color w:val="000000"/>
              </w:rPr>
              <w:t xml:space="preserve">d) Requisitos de fondo del acuerdo de clasificación. </w:t>
            </w:r>
          </w:p>
        </w:tc>
        <w:tc>
          <w:tcPr>
            <w:tcW w:w="7087" w:type="dxa"/>
          </w:tcPr>
          <w:p w14:paraId="0DF06E86" w14:textId="77777777" w:rsidR="00E12135" w:rsidRPr="00987A13" w:rsidRDefault="00E12135" w:rsidP="001F2F64">
            <w:pPr>
              <w:tabs>
                <w:tab w:val="left" w:pos="284"/>
              </w:tabs>
              <w:ind w:right="49"/>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87A13">
              <w:rPr>
                <w:rFonts w:ascii="Palatino Linotype" w:eastAsia="Palatino Linotype" w:hAnsi="Palatino Linotype" w:cs="Palatino Linotype"/>
                <w:b/>
                <w:bCs/>
                <w:color w:val="000000"/>
              </w:rPr>
              <w:t>Sujetos Obligados</w:t>
            </w:r>
            <w:r w:rsidRPr="00987A13">
              <w:rPr>
                <w:rFonts w:ascii="Palatino Linotype" w:eastAsia="Palatino Linotype" w:hAnsi="Palatino Linotype" w:cs="Palatino Linotype"/>
                <w:color w:val="000000"/>
              </w:rPr>
              <w:t xml:space="preserve">, por lo que deberán fundar y motivar debidamente la clasificación. </w:t>
            </w:r>
          </w:p>
          <w:p w14:paraId="5BCCD1EF" w14:textId="77777777" w:rsidR="00E12135" w:rsidRPr="00987A13" w:rsidRDefault="00E12135" w:rsidP="001F2F64">
            <w:pPr>
              <w:tabs>
                <w:tab w:val="left" w:pos="284"/>
              </w:tabs>
              <w:ind w:right="49"/>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De lo anterior, se desprende que para una correcta </w:t>
            </w:r>
            <w:r w:rsidRPr="00987A13">
              <w:rPr>
                <w:rFonts w:ascii="Palatino Linotype" w:eastAsia="Palatino Linotype" w:hAnsi="Palatino Linotype" w:cs="Palatino Linotype"/>
                <w:b/>
                <w:bCs/>
                <w:color w:val="000000"/>
              </w:rPr>
              <w:t>clasificación total o parcial</w:t>
            </w:r>
            <w:r w:rsidRPr="00987A13">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B9EB40F" w14:textId="77777777" w:rsidR="00E12135" w:rsidRPr="00987A13" w:rsidRDefault="00E12135" w:rsidP="001F2F64">
            <w:pPr>
              <w:tabs>
                <w:tab w:val="left" w:pos="284"/>
              </w:tabs>
              <w:ind w:right="49"/>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26E956A" w14:textId="77777777" w:rsidR="00E12135" w:rsidRPr="00987A13" w:rsidRDefault="00E12135" w:rsidP="001F2F64">
            <w:pPr>
              <w:tabs>
                <w:tab w:val="left" w:pos="284"/>
              </w:tabs>
              <w:ind w:right="49"/>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1766E7EA" w14:textId="77777777" w:rsidR="00E12135" w:rsidRPr="00987A13" w:rsidRDefault="00E12135" w:rsidP="001F2F64">
            <w:pPr>
              <w:tabs>
                <w:tab w:val="left" w:pos="284"/>
              </w:tabs>
              <w:ind w:right="49"/>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Ahora bien, </w:t>
            </w:r>
            <w:r w:rsidRPr="00987A13">
              <w:rPr>
                <w:rFonts w:ascii="Palatino Linotype" w:eastAsia="Palatino Linotype" w:hAnsi="Palatino Linotype" w:cs="Palatino Linotype"/>
                <w:b/>
                <w:bCs/>
                <w:color w:val="000000"/>
                <w:u w:val="single"/>
              </w:rPr>
              <w:t>para cada caso además de fundar y motivar</w:t>
            </w:r>
            <w:r w:rsidRPr="00987A13">
              <w:rPr>
                <w:rFonts w:ascii="Palatino Linotype" w:eastAsia="Palatino Linotype" w:hAnsi="Palatino Linotype" w:cs="Palatino Linotype"/>
                <w:color w:val="000000"/>
              </w:rPr>
              <w:t xml:space="preserve">,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w:t>
            </w:r>
            <w:r w:rsidRPr="00987A13">
              <w:rPr>
                <w:rFonts w:ascii="Palatino Linotype" w:eastAsia="Palatino Linotype" w:hAnsi="Palatino Linotype" w:cs="Palatino Linotype"/>
                <w:color w:val="000000"/>
              </w:rPr>
              <w:lastRenderedPageBreak/>
              <w:t>comercial, fiscal, bursátil y postal, cuya titularidad corresponda a particulares, entre otros.</w:t>
            </w:r>
          </w:p>
          <w:p w14:paraId="61DBBEC4" w14:textId="77777777" w:rsidR="00E12135" w:rsidRPr="00987A13" w:rsidRDefault="00E12135" w:rsidP="001F2F64">
            <w:pPr>
              <w:tabs>
                <w:tab w:val="left" w:pos="284"/>
              </w:tabs>
              <w:ind w:right="49"/>
              <w:jc w:val="both"/>
              <w:rPr>
                <w:rFonts w:ascii="Palatino Linotype" w:eastAsia="Palatino Linotype" w:hAnsi="Palatino Linotype" w:cs="Palatino Linotype"/>
                <w:color w:val="000000"/>
              </w:rPr>
            </w:pPr>
          </w:p>
        </w:tc>
      </w:tr>
      <w:tr w:rsidR="00E12135" w:rsidRPr="00987A13" w14:paraId="04E3ECA8" w14:textId="77777777" w:rsidTr="00784D8F">
        <w:tc>
          <w:tcPr>
            <w:tcW w:w="2689" w:type="dxa"/>
          </w:tcPr>
          <w:p w14:paraId="158042EE" w14:textId="77777777" w:rsidR="00E12135" w:rsidRPr="00987A13" w:rsidRDefault="00E12135" w:rsidP="001F2F64">
            <w:pPr>
              <w:tabs>
                <w:tab w:val="left" w:pos="284"/>
              </w:tabs>
              <w:ind w:right="49"/>
              <w:jc w:val="both"/>
              <w:rPr>
                <w:rFonts w:ascii="Palatino Linotype" w:eastAsia="Palatino Linotype" w:hAnsi="Palatino Linotype" w:cs="Palatino Linotype"/>
              </w:rPr>
            </w:pPr>
            <w:r w:rsidRPr="00987A13">
              <w:rPr>
                <w:rFonts w:ascii="Palatino Linotype" w:eastAsia="Palatino Linotype" w:hAnsi="Palatino Linotype" w:cs="Palatino Linotype"/>
              </w:rPr>
              <w:lastRenderedPageBreak/>
              <w:t xml:space="preserve">e) Condiciones especiales de la clasificación de la información como confidencial. </w:t>
            </w:r>
          </w:p>
        </w:tc>
        <w:tc>
          <w:tcPr>
            <w:tcW w:w="7087" w:type="dxa"/>
          </w:tcPr>
          <w:p w14:paraId="74947262" w14:textId="77777777" w:rsidR="00E12135" w:rsidRPr="00987A13" w:rsidRDefault="00E12135" w:rsidP="001F2F64">
            <w:pPr>
              <w:tabs>
                <w:tab w:val="left" w:pos="284"/>
              </w:tabs>
              <w:ind w:right="49"/>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7DF51634" w14:textId="77777777" w:rsidR="00E12135" w:rsidRPr="00987A13" w:rsidRDefault="00E12135" w:rsidP="001F2F64">
            <w:pPr>
              <w:tabs>
                <w:tab w:val="left" w:pos="284"/>
              </w:tabs>
              <w:ind w:right="49"/>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E61CBCA" w14:textId="77777777" w:rsidR="00E12135" w:rsidRPr="00987A13" w:rsidRDefault="00E12135" w:rsidP="001F2F64">
            <w:pPr>
              <w:tabs>
                <w:tab w:val="left" w:pos="284"/>
              </w:tabs>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14:paraId="48D3EACF" w14:textId="77777777" w:rsidR="00E12135" w:rsidRPr="00987A13" w:rsidRDefault="00E12135" w:rsidP="001F2F64">
            <w:pPr>
              <w:tabs>
                <w:tab w:val="left" w:pos="284"/>
              </w:tabs>
              <w:rPr>
                <w:rFonts w:ascii="Palatino Linotype" w:eastAsia="Palatino Linotype" w:hAnsi="Palatino Linotype" w:cs="Palatino Linotype"/>
              </w:rPr>
            </w:pPr>
          </w:p>
        </w:tc>
      </w:tr>
    </w:tbl>
    <w:p w14:paraId="36FA9A43" w14:textId="77777777" w:rsidR="00E12135" w:rsidRPr="00987A13" w:rsidRDefault="00E12135" w:rsidP="00E12135">
      <w:pPr>
        <w:tabs>
          <w:tab w:val="left" w:pos="284"/>
        </w:tabs>
        <w:spacing w:line="360" w:lineRule="auto"/>
        <w:rPr>
          <w:rFonts w:ascii="Palatino Linotype" w:eastAsia="Palatino Linotype" w:hAnsi="Palatino Linotype" w:cs="Palatino Linotype"/>
          <w:color w:val="000000"/>
        </w:rPr>
      </w:pPr>
    </w:p>
    <w:p w14:paraId="46FCBCC7" w14:textId="77777777" w:rsidR="00E12135"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987A13">
        <w:rPr>
          <w:rFonts w:ascii="Palatino Linotype" w:eastAsia="Palatino Linotype" w:hAnsi="Palatino Linotype" w:cs="Palatino Linotype"/>
          <w:color w:val="000000"/>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41411133" w14:textId="77777777" w:rsidR="006111E6" w:rsidRPr="00987A13" w:rsidRDefault="006111E6" w:rsidP="006111E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1F9E7F5" w14:textId="452237E7" w:rsidR="00DA4C89" w:rsidRPr="00784D8F" w:rsidRDefault="00E12135" w:rsidP="00784D8F">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rPr>
      </w:pPr>
      <w:r w:rsidRPr="00DA4C89">
        <w:rPr>
          <w:rFonts w:ascii="Palatino Linotype" w:eastAsia="Palatino Linotype" w:hAnsi="Palatino Linotype" w:cs="Palatino Linotype"/>
          <w:color w:val="000000"/>
        </w:rPr>
        <w:t>Por</w:t>
      </w:r>
      <w:r w:rsidRPr="00987A13">
        <w:rPr>
          <w:rFonts w:ascii="Palatino Linotype" w:eastAsia="Palatino Linotype" w:hAnsi="Palatino Linotype" w:cs="Palatino Linotype"/>
          <w:color w:val="222222"/>
        </w:rPr>
        <w:t xml:space="preserve"> lo </w:t>
      </w:r>
      <w:r w:rsidRPr="00987A13">
        <w:rPr>
          <w:rFonts w:ascii="Palatino Linotype" w:eastAsia="Palatino Linotype" w:hAnsi="Palatino Linotype" w:cs="Palatino Linotype"/>
        </w:rPr>
        <w:t>anteriormente</w:t>
      </w:r>
      <w:r w:rsidRPr="00987A13">
        <w:rPr>
          <w:rFonts w:ascii="Palatino Linotype" w:eastAsia="Palatino Linotype" w:hAnsi="Palatino Linotype" w:cs="Palatino Linotype"/>
          <w:color w:val="222222"/>
        </w:rPr>
        <w:t xml:space="preserve"> expuesto y fundado, este </w:t>
      </w:r>
      <w:r w:rsidRPr="00987A13">
        <w:rPr>
          <w:rFonts w:ascii="Palatino Linotype" w:eastAsia="Palatino Linotype" w:hAnsi="Palatino Linotype" w:cs="Palatino Linotype"/>
          <w:b/>
          <w:bCs/>
          <w:color w:val="222222"/>
        </w:rPr>
        <w:t>ÓRGANO GARANTE</w:t>
      </w:r>
      <w:r w:rsidRPr="00987A13">
        <w:rPr>
          <w:rFonts w:ascii="Palatino Linotype" w:eastAsia="Palatino Linotype" w:hAnsi="Palatino Linotype" w:cs="Palatino Linotype"/>
          <w:color w:val="222222"/>
        </w:rPr>
        <w:t xml:space="preserve"> emite los </w:t>
      </w:r>
      <w:r w:rsidRPr="00987A13">
        <w:rPr>
          <w:rFonts w:ascii="Palatino Linotype" w:eastAsia="Palatino Linotype" w:hAnsi="Palatino Linotype" w:cs="Palatino Linotype"/>
        </w:rPr>
        <w:t>siguientes</w:t>
      </w:r>
      <w:r w:rsidRPr="00987A13">
        <w:rPr>
          <w:rFonts w:ascii="Palatino Linotype" w:eastAsia="Palatino Linotype" w:hAnsi="Palatino Linotype" w:cs="Palatino Linotype"/>
          <w:color w:val="222222"/>
        </w:rPr>
        <w:t>:</w:t>
      </w:r>
      <w:r w:rsidR="00784D8F">
        <w:rPr>
          <w:rFonts w:ascii="Palatino Linotype" w:eastAsia="Palatino Linotype" w:hAnsi="Palatino Linotype" w:cs="Palatino Linotype"/>
          <w:color w:val="222222"/>
        </w:rPr>
        <w:t xml:space="preserve"> ---------------------------------------------------------------------------------------------------------</w:t>
      </w:r>
    </w:p>
    <w:p w14:paraId="1D1CA78A" w14:textId="77777777" w:rsidR="00784D8F" w:rsidRDefault="00784D8F" w:rsidP="00784D8F">
      <w:pPr>
        <w:pStyle w:val="Prrafodelista"/>
        <w:rPr>
          <w:rFonts w:ascii="Palatino Linotype" w:eastAsia="Palatino Linotype" w:hAnsi="Palatino Linotype" w:cs="Palatino Linotype"/>
        </w:rPr>
      </w:pPr>
    </w:p>
    <w:p w14:paraId="4CC783EB" w14:textId="77777777" w:rsidR="00784D8F" w:rsidRDefault="00784D8F" w:rsidP="00784D8F">
      <w:pPr>
        <w:pBdr>
          <w:top w:val="nil"/>
          <w:left w:val="nil"/>
          <w:bottom w:val="nil"/>
          <w:right w:val="nil"/>
          <w:between w:val="nil"/>
        </w:pBdr>
        <w:spacing w:line="360" w:lineRule="auto"/>
        <w:jc w:val="both"/>
        <w:rPr>
          <w:rFonts w:ascii="Palatino Linotype" w:eastAsia="Palatino Linotype" w:hAnsi="Palatino Linotype" w:cs="Palatino Linotype"/>
        </w:rPr>
      </w:pPr>
    </w:p>
    <w:p w14:paraId="0754C443" w14:textId="77777777" w:rsidR="00784D8F" w:rsidRDefault="00784D8F" w:rsidP="00784D8F">
      <w:pPr>
        <w:pBdr>
          <w:top w:val="nil"/>
          <w:left w:val="nil"/>
          <w:bottom w:val="nil"/>
          <w:right w:val="nil"/>
          <w:between w:val="nil"/>
        </w:pBdr>
        <w:spacing w:line="360" w:lineRule="auto"/>
        <w:jc w:val="both"/>
        <w:rPr>
          <w:rFonts w:ascii="Palatino Linotype" w:eastAsia="Palatino Linotype" w:hAnsi="Palatino Linotype" w:cs="Palatino Linotype"/>
        </w:rPr>
      </w:pPr>
    </w:p>
    <w:p w14:paraId="124D25C4" w14:textId="77777777" w:rsidR="00E12135" w:rsidRPr="00987A13" w:rsidRDefault="00E12135" w:rsidP="00E12135">
      <w:pPr>
        <w:keepNext/>
        <w:keepLines/>
        <w:spacing w:line="360" w:lineRule="auto"/>
        <w:jc w:val="center"/>
        <w:rPr>
          <w:rFonts w:ascii="Palatino Linotype" w:eastAsia="Palatino Linotype" w:hAnsi="Palatino Linotype" w:cs="Palatino Linotype"/>
          <w:b/>
          <w:bCs/>
          <w:color w:val="000000"/>
        </w:rPr>
      </w:pPr>
      <w:r w:rsidRPr="00987A13">
        <w:rPr>
          <w:rFonts w:ascii="Palatino Linotype" w:eastAsia="Palatino Linotype" w:hAnsi="Palatino Linotype" w:cs="Palatino Linotype"/>
          <w:b/>
          <w:bCs/>
          <w:color w:val="000000"/>
        </w:rPr>
        <w:lastRenderedPageBreak/>
        <w:t>R E S O L U T I V O S</w:t>
      </w:r>
    </w:p>
    <w:p w14:paraId="34AE7A2A" w14:textId="77777777" w:rsidR="00E12135" w:rsidRPr="00987A13" w:rsidRDefault="00E12135" w:rsidP="00E12135">
      <w:pPr>
        <w:spacing w:line="360" w:lineRule="auto"/>
        <w:ind w:right="-929"/>
        <w:jc w:val="both"/>
        <w:rPr>
          <w:rFonts w:ascii="Palatino Linotype" w:eastAsia="Palatino Linotype" w:hAnsi="Palatino Linotype" w:cs="Palatino Linotype"/>
          <w:b/>
          <w:bCs/>
        </w:rPr>
      </w:pPr>
      <w:r w:rsidRPr="00987A13">
        <w:rPr>
          <w:rFonts w:ascii="Palatino Linotype" w:eastAsia="Palatino Linotype" w:hAnsi="Palatino Linotype" w:cs="Palatino Linotype"/>
          <w:b/>
          <w:bCs/>
        </w:rPr>
        <w:tab/>
      </w:r>
    </w:p>
    <w:p w14:paraId="24916C4F" w14:textId="601F1F30" w:rsidR="00E12135" w:rsidRPr="00987A13" w:rsidRDefault="00E12135" w:rsidP="00E12135">
      <w:pPr>
        <w:spacing w:line="360" w:lineRule="auto"/>
        <w:jc w:val="both"/>
        <w:rPr>
          <w:rFonts w:ascii="Palatino Linotype" w:eastAsia="Palatino Linotype" w:hAnsi="Palatino Linotype" w:cs="Palatino Linotype"/>
        </w:rPr>
      </w:pPr>
      <w:r w:rsidRPr="00987A13">
        <w:rPr>
          <w:rFonts w:ascii="Palatino Linotype" w:eastAsia="Palatino Linotype" w:hAnsi="Palatino Linotype" w:cs="Palatino Linotype"/>
          <w:b/>
          <w:bCs/>
        </w:rPr>
        <w:t>PRIMERO</w:t>
      </w:r>
      <w:r w:rsidRPr="00987A13">
        <w:rPr>
          <w:rFonts w:ascii="Palatino Linotype" w:eastAsia="Palatino Linotype" w:hAnsi="Palatino Linotype" w:cs="Palatino Linotype"/>
        </w:rPr>
        <w:t xml:space="preserve">. Resultan fundadas las razones o motivos de inconformidad hechos valer en el Recurso de Revisión </w:t>
      </w:r>
      <w:r w:rsidR="00BA6E96">
        <w:rPr>
          <w:rFonts w:ascii="Palatino Linotype" w:eastAsia="Palatino Linotype" w:hAnsi="Palatino Linotype" w:cs="Palatino Linotype"/>
          <w:b/>
          <w:bCs/>
        </w:rPr>
        <w:t>13143/INFOEM/IP/RR/2025</w:t>
      </w:r>
      <w:r w:rsidRPr="00987A13">
        <w:rPr>
          <w:rFonts w:ascii="Palatino Linotype" w:eastAsia="Palatino Linotype" w:hAnsi="Palatino Linotype" w:cs="Palatino Linotype"/>
          <w:b/>
          <w:bCs/>
        </w:rPr>
        <w:t xml:space="preserve">, </w:t>
      </w:r>
      <w:r w:rsidRPr="00987A13">
        <w:rPr>
          <w:rFonts w:ascii="Palatino Linotype" w:eastAsia="Palatino Linotype" w:hAnsi="Palatino Linotype" w:cs="Palatino Linotype"/>
        </w:rPr>
        <w:t xml:space="preserve">en términos de los </w:t>
      </w:r>
      <w:r w:rsidRPr="00987A13">
        <w:rPr>
          <w:rFonts w:ascii="Palatino Linotype" w:eastAsia="Palatino Linotype" w:hAnsi="Palatino Linotype" w:cs="Palatino Linotype"/>
          <w:b/>
          <w:bCs/>
        </w:rPr>
        <w:t>Considerandos</w:t>
      </w:r>
      <w:r w:rsidRPr="00987A13">
        <w:rPr>
          <w:rFonts w:ascii="Palatino Linotype" w:eastAsia="Palatino Linotype" w:hAnsi="Palatino Linotype" w:cs="Palatino Linotype"/>
        </w:rPr>
        <w:t xml:space="preserve"> </w:t>
      </w:r>
      <w:r w:rsidRPr="00987A13">
        <w:rPr>
          <w:rFonts w:ascii="Palatino Linotype" w:eastAsia="Palatino Linotype" w:hAnsi="Palatino Linotype" w:cs="Palatino Linotype"/>
          <w:b/>
          <w:bCs/>
        </w:rPr>
        <w:t xml:space="preserve">Cuarto y Quinto </w:t>
      </w:r>
      <w:r w:rsidRPr="00987A13">
        <w:rPr>
          <w:rFonts w:ascii="Palatino Linotype" w:eastAsia="Palatino Linotype" w:hAnsi="Palatino Linotype" w:cs="Palatino Linotype"/>
        </w:rPr>
        <w:t>de la presente Resolución.</w:t>
      </w:r>
    </w:p>
    <w:p w14:paraId="79F4DE60" w14:textId="77777777" w:rsidR="00E12135" w:rsidRPr="00987A13" w:rsidRDefault="00E12135" w:rsidP="00E12135">
      <w:pPr>
        <w:spacing w:line="360" w:lineRule="auto"/>
        <w:jc w:val="both"/>
        <w:rPr>
          <w:rFonts w:ascii="Palatino Linotype" w:eastAsia="Palatino Linotype" w:hAnsi="Palatino Linotype" w:cs="Palatino Linotype"/>
        </w:rPr>
      </w:pPr>
    </w:p>
    <w:p w14:paraId="4203F43F" w14:textId="688B9445" w:rsidR="00E12135" w:rsidRPr="006111E6" w:rsidRDefault="00E12135" w:rsidP="00E12135">
      <w:pPr>
        <w:spacing w:line="360" w:lineRule="auto"/>
        <w:jc w:val="both"/>
        <w:rPr>
          <w:rFonts w:ascii="Palatino Linotype" w:eastAsia="Palatino Linotype" w:hAnsi="Palatino Linotype" w:cs="Palatino Linotype"/>
        </w:rPr>
      </w:pPr>
      <w:r w:rsidRPr="00987A13">
        <w:rPr>
          <w:rFonts w:ascii="Palatino Linotype" w:eastAsia="Palatino Linotype" w:hAnsi="Palatino Linotype" w:cs="Palatino Linotype"/>
          <w:b/>
          <w:bCs/>
        </w:rPr>
        <w:t xml:space="preserve">SEGUNDO. </w:t>
      </w:r>
      <w:r w:rsidRPr="00987A13">
        <w:rPr>
          <w:rFonts w:ascii="Palatino Linotype" w:eastAsia="Palatino Linotype" w:hAnsi="Palatino Linotype" w:cs="Palatino Linotype"/>
          <w:color w:val="000000"/>
        </w:rPr>
        <w:t xml:space="preserve">Se </w:t>
      </w:r>
      <w:r w:rsidRPr="00987A13">
        <w:rPr>
          <w:rFonts w:ascii="Palatino Linotype" w:eastAsia="Palatino Linotype" w:hAnsi="Palatino Linotype" w:cs="Palatino Linotype"/>
          <w:b/>
          <w:bCs/>
          <w:color w:val="000000"/>
        </w:rPr>
        <w:t xml:space="preserve">REVOCA </w:t>
      </w:r>
      <w:r w:rsidRPr="00987A13">
        <w:rPr>
          <w:rFonts w:ascii="Palatino Linotype" w:eastAsia="Palatino Linotype" w:hAnsi="Palatino Linotype" w:cs="Palatino Linotype"/>
          <w:color w:val="000000"/>
        </w:rPr>
        <w:t xml:space="preserve">la respuesta emitida por el </w:t>
      </w:r>
      <w:r w:rsidR="00415B80">
        <w:rPr>
          <w:rFonts w:ascii="Palatino Linotype" w:eastAsia="Palatino Linotype" w:hAnsi="Palatino Linotype" w:cs="Palatino Linotype"/>
          <w:b/>
          <w:bCs/>
          <w:color w:val="000000"/>
        </w:rPr>
        <w:t>Ayuntamiento de Toluca</w:t>
      </w:r>
      <w:r w:rsidRPr="00987A13">
        <w:rPr>
          <w:rFonts w:ascii="Palatino Linotype" w:eastAsia="Palatino Linotype" w:hAnsi="Palatino Linotype" w:cs="Palatino Linotype"/>
          <w:b/>
          <w:bCs/>
        </w:rPr>
        <w:t>;</w:t>
      </w:r>
      <w:r w:rsidRPr="00987A13">
        <w:rPr>
          <w:rFonts w:ascii="Palatino Linotype" w:eastAsia="Palatino Linotype" w:hAnsi="Palatino Linotype" w:cs="Palatino Linotype"/>
        </w:rPr>
        <w:t xml:space="preserve"> por lo que</w:t>
      </w:r>
      <w:r w:rsidRPr="00987A13">
        <w:rPr>
          <w:rFonts w:ascii="Palatino Linotype" w:eastAsia="Palatino Linotype" w:hAnsi="Palatino Linotype" w:cs="Palatino Linotype"/>
          <w:color w:val="000000"/>
        </w:rPr>
        <w:t xml:space="preserve"> se </w:t>
      </w:r>
      <w:r w:rsidRPr="00987A13">
        <w:rPr>
          <w:rFonts w:ascii="Palatino Linotype" w:eastAsia="Palatino Linotype" w:hAnsi="Palatino Linotype" w:cs="Palatino Linotype"/>
          <w:b/>
          <w:bCs/>
          <w:color w:val="000000"/>
        </w:rPr>
        <w:t>ORDENA</w:t>
      </w:r>
      <w:r w:rsidRPr="00987A13">
        <w:rPr>
          <w:rFonts w:ascii="Palatino Linotype" w:eastAsia="Palatino Linotype" w:hAnsi="Palatino Linotype" w:cs="Palatino Linotype"/>
          <w:color w:val="000000"/>
        </w:rPr>
        <w:t xml:space="preserve"> entregar vía Sistema de Acceso a la Información Mexiquense (</w:t>
      </w:r>
      <w:r w:rsidRPr="00987A13">
        <w:rPr>
          <w:rFonts w:ascii="Palatino Linotype" w:eastAsia="Palatino Linotype" w:hAnsi="Palatino Linotype" w:cs="Palatino Linotype"/>
          <w:b/>
          <w:bCs/>
          <w:color w:val="000000"/>
        </w:rPr>
        <w:t>SAIMEX</w:t>
      </w:r>
      <w:r w:rsidRPr="00987A13">
        <w:rPr>
          <w:rFonts w:ascii="Palatino Linotype" w:eastAsia="Palatino Linotype" w:hAnsi="Palatino Linotype" w:cs="Palatino Linotype"/>
          <w:color w:val="000000"/>
        </w:rPr>
        <w:t>), la siguiente información en versión pública</w:t>
      </w:r>
      <w:r w:rsidR="00131A99">
        <w:rPr>
          <w:rFonts w:ascii="Palatino Linotype" w:eastAsia="Palatino Linotype" w:hAnsi="Palatino Linotype" w:cs="Palatino Linotype"/>
          <w:color w:val="000000"/>
        </w:rPr>
        <w:t>,</w:t>
      </w:r>
      <w:r w:rsidR="00131A99" w:rsidRPr="00131A99">
        <w:rPr>
          <w:rFonts w:ascii="Palatino Linotype" w:hAnsi="Palatino Linotype" w:cs="Arial"/>
        </w:rPr>
        <w:t xml:space="preserve"> del</w:t>
      </w:r>
      <w:r w:rsidR="00131A99">
        <w:rPr>
          <w:rFonts w:ascii="Palatino Linotype" w:hAnsi="Palatino Linotype" w:cs="Arial"/>
          <w:b/>
        </w:rPr>
        <w:t xml:space="preserve"> </w:t>
      </w:r>
      <w:r w:rsidR="00131A99" w:rsidRPr="006111E6">
        <w:rPr>
          <w:rFonts w:ascii="Palatino Linotype" w:hAnsi="Palatino Linotype" w:cs="Arial"/>
        </w:rPr>
        <w:t>01 de enero al 27 de octubre 2025</w:t>
      </w:r>
      <w:r w:rsidRPr="006111E6">
        <w:rPr>
          <w:rFonts w:ascii="Palatino Linotype" w:eastAsia="Palatino Linotype" w:hAnsi="Palatino Linotype" w:cs="Palatino Linotype"/>
        </w:rPr>
        <w:t>:</w:t>
      </w:r>
    </w:p>
    <w:p w14:paraId="2CBDF9F7" w14:textId="77777777" w:rsidR="00E12135" w:rsidRPr="00987A13" w:rsidRDefault="00E12135" w:rsidP="00E12135">
      <w:pPr>
        <w:spacing w:line="360" w:lineRule="auto"/>
        <w:jc w:val="both"/>
        <w:rPr>
          <w:rFonts w:ascii="Palatino Linotype" w:eastAsia="Palatino Linotype" w:hAnsi="Palatino Linotype" w:cs="Palatino Linotype"/>
        </w:rPr>
      </w:pPr>
    </w:p>
    <w:p w14:paraId="25AA8BB3" w14:textId="7B52ABF9" w:rsidR="007C0250" w:rsidRDefault="00131A99" w:rsidP="00131A99">
      <w:pPr>
        <w:pStyle w:val="Prrafodelista"/>
        <w:numPr>
          <w:ilvl w:val="0"/>
          <w:numId w:val="29"/>
        </w:numPr>
        <w:spacing w:line="360" w:lineRule="auto"/>
        <w:ind w:right="851"/>
        <w:jc w:val="both"/>
        <w:rPr>
          <w:rFonts w:ascii="Palatino Linotype" w:hAnsi="Palatino Linotype" w:cs="Arial"/>
          <w:b/>
        </w:rPr>
      </w:pPr>
      <w:r>
        <w:rPr>
          <w:rFonts w:ascii="Palatino Linotype" w:hAnsi="Palatino Linotype" w:cs="Arial"/>
          <w:b/>
        </w:rPr>
        <w:t>Toda expresión documental</w:t>
      </w:r>
      <w:r w:rsidR="007C0250">
        <w:rPr>
          <w:rFonts w:ascii="Palatino Linotype" w:hAnsi="Palatino Linotype" w:cs="Arial"/>
          <w:b/>
        </w:rPr>
        <w:t xml:space="preserve"> </w:t>
      </w:r>
      <w:r>
        <w:rPr>
          <w:rFonts w:ascii="Palatino Linotype" w:hAnsi="Palatino Linotype" w:cs="Arial"/>
          <w:b/>
        </w:rPr>
        <w:t xml:space="preserve">relacionada </w:t>
      </w:r>
      <w:r w:rsidR="007C0250" w:rsidRPr="007D58A9">
        <w:rPr>
          <w:rFonts w:ascii="Palatino Linotype" w:hAnsi="Palatino Linotype" w:cs="Arial"/>
          <w:b/>
        </w:rPr>
        <w:t>a campañas de comunicación, difusión o publicidad</w:t>
      </w:r>
      <w:r>
        <w:rPr>
          <w:rFonts w:ascii="Palatino Linotype" w:hAnsi="Palatino Linotype" w:cs="Arial"/>
          <w:b/>
        </w:rPr>
        <w:t xml:space="preserve">, al mayor grado de desagregación, </w:t>
      </w:r>
      <w:r w:rsidR="007C0250">
        <w:rPr>
          <w:rFonts w:ascii="Palatino Linotype" w:hAnsi="Palatino Linotype" w:cs="Arial"/>
          <w:b/>
        </w:rPr>
        <w:t>de manera enunciativa mas no limitativa</w:t>
      </w:r>
      <w:r>
        <w:rPr>
          <w:rFonts w:ascii="Palatino Linotype" w:hAnsi="Palatino Linotype" w:cs="Arial"/>
          <w:b/>
        </w:rPr>
        <w:t xml:space="preserve"> en donde conste o se advierta</w:t>
      </w:r>
      <w:r w:rsidR="007C0250">
        <w:rPr>
          <w:rFonts w:ascii="Palatino Linotype" w:hAnsi="Palatino Linotype" w:cs="Arial"/>
          <w:b/>
        </w:rPr>
        <w:t>:</w:t>
      </w:r>
    </w:p>
    <w:p w14:paraId="1ABE0EF2" w14:textId="77777777" w:rsidR="007C0250" w:rsidRDefault="007C0250" w:rsidP="007C0250">
      <w:pPr>
        <w:pStyle w:val="Prrafodelista"/>
        <w:numPr>
          <w:ilvl w:val="0"/>
          <w:numId w:val="3"/>
        </w:numPr>
        <w:spacing w:line="360" w:lineRule="auto"/>
        <w:ind w:right="851"/>
        <w:jc w:val="both"/>
        <w:rPr>
          <w:rFonts w:ascii="Palatino Linotype" w:hAnsi="Palatino Linotype" w:cs="Arial"/>
          <w:b/>
        </w:rPr>
      </w:pPr>
      <w:r w:rsidRPr="007D58A9">
        <w:rPr>
          <w:rFonts w:ascii="Palatino Linotype" w:hAnsi="Palatino Linotype" w:cs="Arial"/>
          <w:b/>
        </w:rPr>
        <w:t xml:space="preserve">Nombre o tema de cada campaña. </w:t>
      </w:r>
    </w:p>
    <w:p w14:paraId="0850273E" w14:textId="77777777" w:rsidR="007C0250" w:rsidRDefault="007C0250" w:rsidP="007C0250">
      <w:pPr>
        <w:pStyle w:val="Prrafodelista"/>
        <w:numPr>
          <w:ilvl w:val="0"/>
          <w:numId w:val="3"/>
        </w:numPr>
        <w:spacing w:line="360" w:lineRule="auto"/>
        <w:ind w:right="851"/>
        <w:jc w:val="both"/>
        <w:rPr>
          <w:rFonts w:ascii="Palatino Linotype" w:hAnsi="Palatino Linotype" w:cs="Arial"/>
          <w:b/>
        </w:rPr>
      </w:pPr>
      <w:r w:rsidRPr="007D58A9">
        <w:rPr>
          <w:rFonts w:ascii="Palatino Linotype" w:hAnsi="Palatino Linotype" w:cs="Arial"/>
          <w:b/>
        </w:rPr>
        <w:t>Objetivo o mensaje principal.</w:t>
      </w:r>
    </w:p>
    <w:p w14:paraId="05FE3A63" w14:textId="77777777" w:rsidR="007C0250" w:rsidRDefault="007C0250" w:rsidP="007C0250">
      <w:pPr>
        <w:pStyle w:val="Prrafodelista"/>
        <w:numPr>
          <w:ilvl w:val="0"/>
          <w:numId w:val="3"/>
        </w:numPr>
        <w:spacing w:line="360" w:lineRule="auto"/>
        <w:ind w:right="851"/>
        <w:jc w:val="both"/>
        <w:rPr>
          <w:rFonts w:ascii="Palatino Linotype" w:hAnsi="Palatino Linotype" w:cs="Arial"/>
          <w:b/>
        </w:rPr>
      </w:pPr>
      <w:r w:rsidRPr="007D58A9">
        <w:rPr>
          <w:rFonts w:ascii="Palatino Linotype" w:hAnsi="Palatino Linotype" w:cs="Arial"/>
          <w:b/>
        </w:rPr>
        <w:t>Periodo de difusión.</w:t>
      </w:r>
    </w:p>
    <w:p w14:paraId="051298AC" w14:textId="5C8DEBE6" w:rsidR="007C0250" w:rsidRDefault="007C0250" w:rsidP="007C0250">
      <w:pPr>
        <w:pStyle w:val="Prrafodelista"/>
        <w:numPr>
          <w:ilvl w:val="0"/>
          <w:numId w:val="3"/>
        </w:numPr>
        <w:spacing w:line="360" w:lineRule="auto"/>
        <w:ind w:right="851"/>
        <w:jc w:val="both"/>
        <w:rPr>
          <w:rFonts w:ascii="Palatino Linotype" w:hAnsi="Palatino Linotype" w:cs="Arial"/>
          <w:b/>
        </w:rPr>
      </w:pPr>
      <w:r w:rsidRPr="007D58A9">
        <w:rPr>
          <w:rFonts w:ascii="Palatino Linotype" w:hAnsi="Palatino Linotype" w:cs="Arial"/>
          <w:b/>
        </w:rPr>
        <w:t>Medios de comunicación o plataformas contratadas (radio, televisión, prensa, red</w:t>
      </w:r>
      <w:r w:rsidR="00131A99">
        <w:rPr>
          <w:rFonts w:ascii="Palatino Linotype" w:hAnsi="Palatino Linotype" w:cs="Arial"/>
          <w:b/>
        </w:rPr>
        <w:t>es sociales, espectaculares, etcétera</w:t>
      </w:r>
      <w:r w:rsidRPr="007D58A9">
        <w:rPr>
          <w:rFonts w:ascii="Palatino Linotype" w:hAnsi="Palatino Linotype" w:cs="Arial"/>
          <w:b/>
        </w:rPr>
        <w:t>).</w:t>
      </w:r>
    </w:p>
    <w:p w14:paraId="3577B482" w14:textId="77777777" w:rsidR="007C0250" w:rsidRDefault="007C0250" w:rsidP="007C0250">
      <w:pPr>
        <w:pStyle w:val="Prrafodelista"/>
        <w:numPr>
          <w:ilvl w:val="0"/>
          <w:numId w:val="3"/>
        </w:numPr>
        <w:spacing w:line="360" w:lineRule="auto"/>
        <w:ind w:right="851"/>
        <w:jc w:val="both"/>
        <w:rPr>
          <w:rFonts w:ascii="Palatino Linotype" w:hAnsi="Palatino Linotype" w:cs="Arial"/>
          <w:b/>
        </w:rPr>
      </w:pPr>
      <w:r w:rsidRPr="007D58A9">
        <w:rPr>
          <w:rFonts w:ascii="Palatino Linotype" w:hAnsi="Palatino Linotype" w:cs="Arial"/>
          <w:b/>
        </w:rPr>
        <w:t xml:space="preserve">Proveedor o empresa responsable. </w:t>
      </w:r>
    </w:p>
    <w:p w14:paraId="4C54B7A4" w14:textId="77777777" w:rsidR="007C0250" w:rsidRDefault="007C0250" w:rsidP="007C0250">
      <w:pPr>
        <w:pStyle w:val="Prrafodelista"/>
        <w:numPr>
          <w:ilvl w:val="0"/>
          <w:numId w:val="3"/>
        </w:numPr>
        <w:spacing w:line="360" w:lineRule="auto"/>
        <w:ind w:right="851"/>
        <w:jc w:val="both"/>
        <w:rPr>
          <w:rFonts w:ascii="Palatino Linotype" w:hAnsi="Palatino Linotype" w:cs="Arial"/>
          <w:b/>
        </w:rPr>
      </w:pPr>
      <w:r w:rsidRPr="007D58A9">
        <w:rPr>
          <w:rFonts w:ascii="Palatino Linotype" w:hAnsi="Palatino Linotype" w:cs="Arial"/>
          <w:b/>
        </w:rPr>
        <w:t>Monto individual pagado y partida presupuestal utili</w:t>
      </w:r>
      <w:r>
        <w:rPr>
          <w:rFonts w:ascii="Palatino Linotype" w:hAnsi="Palatino Linotype" w:cs="Arial"/>
          <w:b/>
        </w:rPr>
        <w:t>zada.</w:t>
      </w:r>
    </w:p>
    <w:p w14:paraId="0C3C5A84" w14:textId="2D9C6DB6" w:rsidR="00E12135" w:rsidRPr="00BF55EC" w:rsidRDefault="00E12135" w:rsidP="00BF55EC">
      <w:pPr>
        <w:pBdr>
          <w:top w:val="nil"/>
          <w:left w:val="nil"/>
          <w:bottom w:val="nil"/>
          <w:right w:val="nil"/>
          <w:between w:val="nil"/>
        </w:pBdr>
        <w:spacing w:line="360" w:lineRule="auto"/>
        <w:ind w:left="851" w:right="567"/>
        <w:jc w:val="both"/>
        <w:rPr>
          <w:rFonts w:ascii="Palatino Linotype" w:eastAsia="Palatino Linotype" w:hAnsi="Palatino Linotype" w:cs="Palatino Linotype"/>
          <w:b/>
          <w:bCs/>
          <w:color w:val="000000"/>
        </w:rPr>
      </w:pPr>
    </w:p>
    <w:p w14:paraId="026933A7" w14:textId="77777777" w:rsidR="00E12135" w:rsidRPr="00987A13" w:rsidRDefault="00E12135" w:rsidP="00E12135">
      <w:pPr>
        <w:spacing w:line="360" w:lineRule="auto"/>
        <w:jc w:val="both"/>
        <w:rPr>
          <w:rFonts w:ascii="Palatino Linotype" w:eastAsia="Palatino Linotype" w:hAnsi="Palatino Linotype" w:cs="Palatino Linotype"/>
        </w:rPr>
      </w:pPr>
      <w:r w:rsidRPr="00987A13">
        <w:rPr>
          <w:rFonts w:ascii="Palatino Linotype" w:eastAsia="Palatino Linotype" w:hAnsi="Palatino Linotype" w:cs="Palatino Linotype"/>
        </w:rPr>
        <w:t xml:space="preserve">Para efectos de lo anterior se deberá emitir el Acuerdo del Comité de Transparencia en términos de los artículos 49 fracción VIII y 132 fracción II de la Ley de Transparencia y </w:t>
      </w:r>
      <w:r w:rsidRPr="00987A13">
        <w:rPr>
          <w:rFonts w:ascii="Palatino Linotype" w:eastAsia="Palatino Linotype" w:hAnsi="Palatino Linotype" w:cs="Palatino Linotype"/>
        </w:rPr>
        <w:lastRenderedPageBreak/>
        <w:t>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39212695" w14:textId="77777777" w:rsidR="00E12135" w:rsidRPr="00987A13" w:rsidRDefault="00E12135" w:rsidP="00E12135">
      <w:pPr>
        <w:spacing w:line="360" w:lineRule="auto"/>
        <w:jc w:val="both"/>
        <w:rPr>
          <w:rFonts w:ascii="Palatino Linotype" w:eastAsia="Palatino Linotype" w:hAnsi="Palatino Linotype" w:cs="Palatino Linotype"/>
        </w:rPr>
      </w:pPr>
    </w:p>
    <w:p w14:paraId="47D1F36D" w14:textId="77777777" w:rsidR="00E12135" w:rsidRDefault="00E12135" w:rsidP="00E12135">
      <w:pPr>
        <w:spacing w:line="360" w:lineRule="auto"/>
        <w:ind w:right="51"/>
        <w:jc w:val="both"/>
        <w:rPr>
          <w:rFonts w:ascii="Palatino Linotype" w:eastAsia="Palatino Linotype" w:hAnsi="Palatino Linotype" w:cs="Palatino Linotype"/>
        </w:rPr>
      </w:pPr>
      <w:r w:rsidRPr="00987A13">
        <w:rPr>
          <w:rFonts w:ascii="Palatino Linotype" w:eastAsia="Palatino Linotype" w:hAnsi="Palatino Linotype" w:cs="Palatino Linotype"/>
          <w:b/>
          <w:bCs/>
        </w:rPr>
        <w:t xml:space="preserve">TERCERO. Notifíquese </w:t>
      </w:r>
      <w:r w:rsidRPr="00987A13">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987A13">
        <w:rPr>
          <w:rFonts w:ascii="Palatino Linotype" w:eastAsia="Palatino Linotype" w:hAnsi="Palatino Linotype" w:cs="Palatino Linotype"/>
          <w:b/>
          <w:bCs/>
        </w:rPr>
        <w:t>dé cumplimiento a lo ordenado dentro del plazo de diez días hábiles,</w:t>
      </w:r>
      <w:r w:rsidRPr="00987A13">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4119F6D" w14:textId="77777777" w:rsidR="00FC411E" w:rsidRPr="00987A13" w:rsidRDefault="00FC411E" w:rsidP="00E12135">
      <w:pPr>
        <w:spacing w:line="360" w:lineRule="auto"/>
        <w:ind w:right="51"/>
        <w:jc w:val="both"/>
        <w:rPr>
          <w:rFonts w:ascii="Palatino Linotype" w:eastAsia="Palatino Linotype" w:hAnsi="Palatino Linotype" w:cs="Palatino Linotype"/>
        </w:rPr>
      </w:pPr>
    </w:p>
    <w:p w14:paraId="7B66530E" w14:textId="77777777" w:rsidR="00E12135" w:rsidRPr="00987A13" w:rsidRDefault="00E12135" w:rsidP="00E12135">
      <w:pPr>
        <w:spacing w:line="360" w:lineRule="auto"/>
        <w:ind w:right="51"/>
        <w:jc w:val="both"/>
        <w:rPr>
          <w:rFonts w:ascii="Palatino Linotype" w:eastAsia="Palatino Linotype" w:hAnsi="Palatino Linotype" w:cs="Palatino Linotype"/>
        </w:rPr>
      </w:pPr>
      <w:r w:rsidRPr="00987A13">
        <w:rPr>
          <w:rFonts w:ascii="Palatino Linotype" w:eastAsia="Palatino Linotype" w:hAnsi="Palatino Linotype" w:cs="Palatino Linotype"/>
          <w:b/>
          <w:bCs/>
        </w:rPr>
        <w:t xml:space="preserve">CUARTO. </w:t>
      </w:r>
      <w:r w:rsidRPr="00987A13">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987A13">
        <w:rPr>
          <w:rFonts w:ascii="Palatino Linotype" w:eastAsia="Palatino Linotype" w:hAnsi="Palatino Linotype" w:cs="Palatino Linotype"/>
          <w:b/>
          <w:bCs/>
        </w:rPr>
        <w:t>SUJETO OBLIGADO</w:t>
      </w:r>
      <w:r w:rsidRPr="00987A13">
        <w:rPr>
          <w:rFonts w:ascii="Palatino Linotype" w:eastAsia="Palatino Linotype" w:hAnsi="Palatino Linotype" w:cs="Palatino Linotype"/>
        </w:rPr>
        <w:t xml:space="preserve"> de manera fundada y motivada, podrá solicitar una ampliación de plazo para el cumplimiento de la presente Resolución.</w:t>
      </w:r>
    </w:p>
    <w:p w14:paraId="1F8D3055" w14:textId="77777777" w:rsidR="00E12135" w:rsidRPr="00987A13" w:rsidRDefault="00E12135" w:rsidP="00E12135">
      <w:pPr>
        <w:spacing w:line="360" w:lineRule="auto"/>
        <w:ind w:right="51"/>
        <w:jc w:val="both"/>
        <w:rPr>
          <w:rFonts w:ascii="Palatino Linotype" w:eastAsia="Palatino Linotype" w:hAnsi="Palatino Linotype" w:cs="Palatino Linotype"/>
        </w:rPr>
      </w:pPr>
    </w:p>
    <w:p w14:paraId="0683E441" w14:textId="77777777" w:rsidR="00E12135" w:rsidRDefault="00E12135" w:rsidP="00E12135">
      <w:pPr>
        <w:tabs>
          <w:tab w:val="left" w:pos="8080"/>
        </w:tabs>
        <w:spacing w:line="360" w:lineRule="auto"/>
        <w:ind w:right="51"/>
        <w:jc w:val="both"/>
        <w:rPr>
          <w:rFonts w:ascii="Palatino Linotype" w:eastAsia="Palatino Linotype" w:hAnsi="Palatino Linotype" w:cs="Palatino Linotype"/>
        </w:rPr>
      </w:pPr>
      <w:r w:rsidRPr="00987A13">
        <w:rPr>
          <w:rFonts w:ascii="Palatino Linotype" w:eastAsia="Palatino Linotype" w:hAnsi="Palatino Linotype" w:cs="Palatino Linotype"/>
          <w:b/>
          <w:bCs/>
        </w:rPr>
        <w:t xml:space="preserve">QUINTO. </w:t>
      </w:r>
      <w:r w:rsidRPr="00987A13">
        <w:rPr>
          <w:rFonts w:ascii="Palatino Linotype" w:eastAsia="Palatino Linotype" w:hAnsi="Palatino Linotype" w:cs="Palatino Linotype"/>
        </w:rPr>
        <w:t xml:space="preserve">Notifíquese al </w:t>
      </w:r>
      <w:r w:rsidRPr="00987A13">
        <w:rPr>
          <w:rFonts w:ascii="Palatino Linotype" w:eastAsia="Palatino Linotype" w:hAnsi="Palatino Linotype" w:cs="Palatino Linotype"/>
          <w:b/>
          <w:bCs/>
        </w:rPr>
        <w:t>RECURRENTE</w:t>
      </w:r>
      <w:r w:rsidRPr="00987A13">
        <w:rPr>
          <w:rFonts w:ascii="Palatino Linotype" w:eastAsia="Palatino Linotype" w:hAnsi="Palatino Linotype" w:cs="Palatino Linotype"/>
        </w:rPr>
        <w:t xml:space="preserve"> la presente Resolución, vía </w:t>
      </w:r>
      <w:r w:rsidRPr="00987A13">
        <w:rPr>
          <w:rFonts w:ascii="Palatino Linotype" w:eastAsia="Palatino Linotype" w:hAnsi="Palatino Linotype" w:cs="Palatino Linotype"/>
          <w:b/>
          <w:bCs/>
        </w:rPr>
        <w:t>SAIMEX</w:t>
      </w:r>
      <w:r w:rsidRPr="00987A13">
        <w:rPr>
          <w:rFonts w:ascii="Palatino Linotype" w:eastAsia="Palatino Linotype" w:hAnsi="Palatino Linotype" w:cs="Palatino Linotype"/>
        </w:rPr>
        <w:t>.</w:t>
      </w:r>
    </w:p>
    <w:p w14:paraId="7557655D" w14:textId="77777777" w:rsidR="00DA4C89" w:rsidRPr="00987A13" w:rsidRDefault="00DA4C89" w:rsidP="00E12135">
      <w:pPr>
        <w:tabs>
          <w:tab w:val="left" w:pos="8080"/>
        </w:tabs>
        <w:spacing w:line="360" w:lineRule="auto"/>
        <w:ind w:right="51"/>
        <w:jc w:val="both"/>
        <w:rPr>
          <w:rFonts w:ascii="Palatino Linotype" w:eastAsia="Palatino Linotype" w:hAnsi="Palatino Linotype" w:cs="Palatino Linotype"/>
        </w:rPr>
      </w:pPr>
    </w:p>
    <w:p w14:paraId="0CD84E02" w14:textId="77777777" w:rsidR="00E12135" w:rsidRDefault="00E12135" w:rsidP="00E12135">
      <w:pPr>
        <w:shd w:val="clear" w:color="auto" w:fill="FFFFFF"/>
        <w:spacing w:line="360" w:lineRule="auto"/>
        <w:ind w:right="51"/>
        <w:jc w:val="both"/>
        <w:rPr>
          <w:rFonts w:ascii="Palatino Linotype" w:eastAsia="Palatino Linotype" w:hAnsi="Palatino Linotype" w:cs="Palatino Linotype"/>
        </w:rPr>
      </w:pPr>
      <w:r w:rsidRPr="00987A13">
        <w:rPr>
          <w:rFonts w:ascii="Palatino Linotype" w:eastAsia="Palatino Linotype" w:hAnsi="Palatino Linotype" w:cs="Palatino Linotype"/>
          <w:b/>
          <w:bCs/>
        </w:rPr>
        <w:lastRenderedPageBreak/>
        <w:t xml:space="preserve">SEXTO. </w:t>
      </w:r>
      <w:r w:rsidRPr="00987A13">
        <w:rPr>
          <w:rFonts w:ascii="Palatino Linotype" w:eastAsia="Palatino Linotype" w:hAnsi="Palatino Linotype" w:cs="Palatino Linotype"/>
        </w:rPr>
        <w:t>Se hace del conocimiento del</w:t>
      </w:r>
      <w:r w:rsidRPr="00987A13">
        <w:rPr>
          <w:rFonts w:ascii="Palatino Linotype" w:eastAsia="Palatino Linotype" w:hAnsi="Palatino Linotype" w:cs="Palatino Linotype"/>
          <w:b/>
          <w:bCs/>
        </w:rPr>
        <w:t xml:space="preserve"> RECURRENTE </w:t>
      </w:r>
      <w:r w:rsidRPr="00987A13">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3C746399" w14:textId="77777777" w:rsidR="00E423BF" w:rsidRPr="00425A58" w:rsidRDefault="00E423BF" w:rsidP="00AE423B">
      <w:pPr>
        <w:shd w:val="clear" w:color="auto" w:fill="FFFFFF"/>
        <w:spacing w:line="360" w:lineRule="auto"/>
        <w:jc w:val="both"/>
        <w:rPr>
          <w:rFonts w:ascii="Palatino Linotype" w:eastAsia="Palatino Linotype" w:hAnsi="Palatino Linotype" w:cs="Palatino Linotype"/>
        </w:rPr>
      </w:pPr>
    </w:p>
    <w:p w14:paraId="455BC2CF" w14:textId="77777777" w:rsidR="00FC411E" w:rsidRPr="003E2295" w:rsidRDefault="00FC411E" w:rsidP="00FC411E">
      <w:pPr>
        <w:spacing w:before="240" w:after="240" w:line="360" w:lineRule="auto"/>
        <w:ind w:firstLine="1"/>
        <w:jc w:val="both"/>
        <w:rPr>
          <w:rFonts w:ascii="Palatino Linotype" w:hAnsi="Palatino Linotype"/>
        </w:rPr>
      </w:pPr>
      <w:bookmarkStart w:id="73" w:name="_Hlk99014733"/>
      <w:r w:rsidRPr="003E2295">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hAnsi="Palatino Linotype" w:cs="Palatino Linotype"/>
        </w:rPr>
        <w:t>DÉCIMA</w:t>
      </w:r>
      <w:r w:rsidRPr="003E2295">
        <w:rPr>
          <w:rFonts w:ascii="Palatino Linotype" w:hAnsi="Palatino Linotype" w:cs="Palatino Linotype"/>
        </w:rPr>
        <w:t xml:space="preserve"> </w:t>
      </w:r>
      <w:r>
        <w:rPr>
          <w:rFonts w:ascii="Palatino Linotype" w:hAnsi="Palatino Linotype" w:cs="Palatino Linotype"/>
        </w:rPr>
        <w:t xml:space="preserve">TERCERA </w:t>
      </w:r>
      <w:r w:rsidRPr="003E2295">
        <w:rPr>
          <w:rFonts w:ascii="Palatino Linotype" w:hAnsi="Palatino Linotype" w:cs="Palatino Linotype"/>
        </w:rPr>
        <w:t>SESIÓN O</w:t>
      </w:r>
      <w:r>
        <w:rPr>
          <w:rFonts w:ascii="Palatino Linotype" w:hAnsi="Palatino Linotype" w:cs="Palatino Linotype"/>
        </w:rPr>
        <w:t>RDINARIA, CELEBRADA EL QUINCE (15</w:t>
      </w:r>
      <w:r w:rsidRPr="003E2295">
        <w:rPr>
          <w:rFonts w:ascii="Palatino Linotype" w:hAnsi="Palatino Linotype" w:cs="Palatino Linotype"/>
        </w:rPr>
        <w:t xml:space="preserve">) DE </w:t>
      </w:r>
      <w:r>
        <w:rPr>
          <w:rFonts w:ascii="Palatino Linotype" w:hAnsi="Palatino Linotype" w:cs="Palatino Linotype"/>
        </w:rPr>
        <w:t>ABRIL</w:t>
      </w:r>
      <w:r w:rsidRPr="003E2295">
        <w:rPr>
          <w:rFonts w:ascii="Palatino Linotype" w:hAnsi="Palatino Linotype" w:cs="Palatino Linotype"/>
        </w:rPr>
        <w:t xml:space="preserve"> DE DOS MIL VEINTISÉIS, ANTE EL SECRETARIO TÉCNICO DEL PLENO </w:t>
      </w:r>
      <w:r w:rsidRPr="003E2295">
        <w:rPr>
          <w:rFonts w:ascii="Palatino Linotype" w:hAnsi="Palatino Linotype" w:cs="Palatino Linotype"/>
          <w:color w:val="000000" w:themeColor="text1"/>
        </w:rPr>
        <w:t>ALEXIS TAPIA RAMÍREZ.</w:t>
      </w:r>
    </w:p>
    <w:bookmarkEnd w:id="73"/>
    <w:p w14:paraId="7CA75E23" w14:textId="77777777" w:rsidR="00947C3B" w:rsidRPr="00425A58" w:rsidRDefault="00947C3B" w:rsidP="00AE423B">
      <w:pPr>
        <w:spacing w:line="360" w:lineRule="auto"/>
        <w:rPr>
          <w:rFonts w:ascii="Palatino Linotype" w:hAnsi="Palatino Linotype"/>
        </w:rPr>
      </w:pPr>
    </w:p>
    <w:p w14:paraId="3BD3612C" w14:textId="77777777" w:rsidR="00947C3B" w:rsidRPr="00425A58" w:rsidRDefault="00947C3B" w:rsidP="00AE423B">
      <w:pPr>
        <w:spacing w:line="360" w:lineRule="auto"/>
        <w:rPr>
          <w:rFonts w:ascii="Palatino Linotype" w:hAnsi="Palatino Linotype"/>
        </w:rPr>
      </w:pPr>
    </w:p>
    <w:p w14:paraId="3743A396" w14:textId="77777777" w:rsidR="00947C3B" w:rsidRPr="00425A58" w:rsidRDefault="00947C3B" w:rsidP="00AE423B">
      <w:pPr>
        <w:spacing w:line="360" w:lineRule="auto"/>
        <w:rPr>
          <w:rFonts w:ascii="Palatino Linotype" w:hAnsi="Palatino Linotype"/>
        </w:rPr>
      </w:pPr>
    </w:p>
    <w:p w14:paraId="38E779B9" w14:textId="77777777" w:rsidR="00947C3B" w:rsidRPr="00425A58" w:rsidRDefault="00947C3B" w:rsidP="00AE423B">
      <w:pPr>
        <w:spacing w:line="360" w:lineRule="auto"/>
        <w:rPr>
          <w:rFonts w:ascii="Palatino Linotype" w:hAnsi="Palatino Linotype"/>
        </w:rPr>
      </w:pPr>
    </w:p>
    <w:p w14:paraId="23358BF2" w14:textId="77777777" w:rsidR="00947C3B" w:rsidRPr="00425A58" w:rsidRDefault="00947C3B" w:rsidP="00AE423B">
      <w:pPr>
        <w:spacing w:line="360" w:lineRule="auto"/>
        <w:rPr>
          <w:rFonts w:ascii="Palatino Linotype" w:hAnsi="Palatino Linotype"/>
        </w:rPr>
      </w:pPr>
    </w:p>
    <w:p w14:paraId="58467F4E" w14:textId="77777777" w:rsidR="00947C3B" w:rsidRPr="00425A58" w:rsidRDefault="00947C3B" w:rsidP="00AE423B">
      <w:pPr>
        <w:spacing w:line="360" w:lineRule="auto"/>
        <w:rPr>
          <w:rFonts w:ascii="Palatino Linotype" w:hAnsi="Palatino Linotype"/>
        </w:rPr>
      </w:pPr>
    </w:p>
    <w:p w14:paraId="238EBC9D" w14:textId="77777777" w:rsidR="00947C3B" w:rsidRPr="00425A58" w:rsidRDefault="00947C3B" w:rsidP="00AE423B">
      <w:pPr>
        <w:spacing w:line="360" w:lineRule="auto"/>
        <w:rPr>
          <w:rFonts w:ascii="Palatino Linotype" w:hAnsi="Palatino Linotype"/>
        </w:rPr>
      </w:pPr>
    </w:p>
    <w:p w14:paraId="35E68E61" w14:textId="77777777" w:rsidR="00947C3B" w:rsidRPr="00425A58" w:rsidRDefault="00947C3B" w:rsidP="00AE423B">
      <w:pPr>
        <w:tabs>
          <w:tab w:val="left" w:pos="3374"/>
        </w:tabs>
        <w:spacing w:line="360" w:lineRule="auto"/>
        <w:rPr>
          <w:rFonts w:ascii="Palatino Linotype" w:hAnsi="Palatino Linotype"/>
        </w:rPr>
      </w:pPr>
      <w:r w:rsidRPr="00425A58">
        <w:rPr>
          <w:rFonts w:ascii="Palatino Linotype" w:hAnsi="Palatino Linotype"/>
        </w:rPr>
        <w:tab/>
      </w:r>
    </w:p>
    <w:p w14:paraId="68F0F3AE" w14:textId="77777777" w:rsidR="00947C3B" w:rsidRPr="00425A58" w:rsidRDefault="00947C3B" w:rsidP="00AE423B">
      <w:pPr>
        <w:tabs>
          <w:tab w:val="left" w:pos="3374"/>
        </w:tabs>
        <w:spacing w:line="360" w:lineRule="auto"/>
        <w:rPr>
          <w:rFonts w:ascii="Palatino Linotype" w:hAnsi="Palatino Linotype"/>
        </w:rPr>
      </w:pPr>
    </w:p>
    <w:p w14:paraId="7EC14F3F" w14:textId="77777777" w:rsidR="00947C3B" w:rsidRPr="00425A58" w:rsidRDefault="00947C3B" w:rsidP="00AE423B">
      <w:pPr>
        <w:tabs>
          <w:tab w:val="left" w:pos="3374"/>
        </w:tabs>
        <w:spacing w:line="360" w:lineRule="auto"/>
        <w:rPr>
          <w:rFonts w:ascii="Palatino Linotype" w:hAnsi="Palatino Linotype"/>
        </w:rPr>
      </w:pPr>
    </w:p>
    <w:p w14:paraId="590A1973" w14:textId="77777777" w:rsidR="00947C3B" w:rsidRPr="00425A58" w:rsidRDefault="00947C3B" w:rsidP="00AE423B">
      <w:pPr>
        <w:tabs>
          <w:tab w:val="left" w:pos="3374"/>
        </w:tabs>
        <w:spacing w:line="360" w:lineRule="auto"/>
        <w:rPr>
          <w:rFonts w:ascii="Palatino Linotype" w:hAnsi="Palatino Linotype"/>
        </w:rPr>
      </w:pPr>
    </w:p>
    <w:p w14:paraId="737F2A77" w14:textId="77777777" w:rsidR="00947C3B" w:rsidRPr="00425A58" w:rsidRDefault="00947C3B" w:rsidP="00AE423B">
      <w:pPr>
        <w:tabs>
          <w:tab w:val="left" w:pos="3374"/>
        </w:tabs>
        <w:spacing w:line="360" w:lineRule="auto"/>
        <w:rPr>
          <w:rFonts w:ascii="Palatino Linotype" w:hAnsi="Palatino Linotype"/>
        </w:rPr>
      </w:pPr>
    </w:p>
    <w:p w14:paraId="708D0154" w14:textId="77777777" w:rsidR="00947C3B" w:rsidRPr="00425A58" w:rsidRDefault="00947C3B" w:rsidP="00AE423B">
      <w:pPr>
        <w:tabs>
          <w:tab w:val="left" w:pos="3374"/>
        </w:tabs>
        <w:spacing w:line="360" w:lineRule="auto"/>
        <w:rPr>
          <w:rFonts w:ascii="Palatino Linotype" w:hAnsi="Palatino Linotype"/>
        </w:rPr>
      </w:pPr>
    </w:p>
    <w:p w14:paraId="6C78D525" w14:textId="77777777" w:rsidR="00947C3B" w:rsidRPr="00425A58" w:rsidRDefault="00947C3B" w:rsidP="00AE423B">
      <w:pPr>
        <w:tabs>
          <w:tab w:val="left" w:pos="3374"/>
        </w:tabs>
        <w:spacing w:line="360" w:lineRule="auto"/>
        <w:rPr>
          <w:rFonts w:ascii="Palatino Linotype" w:hAnsi="Palatino Linotype"/>
        </w:rPr>
      </w:pPr>
    </w:p>
    <w:p w14:paraId="7295E05A" w14:textId="77777777" w:rsidR="00947C3B" w:rsidRPr="00425A58" w:rsidRDefault="00947C3B" w:rsidP="00AE423B">
      <w:pPr>
        <w:tabs>
          <w:tab w:val="left" w:pos="3374"/>
        </w:tabs>
        <w:spacing w:line="360" w:lineRule="auto"/>
        <w:rPr>
          <w:rFonts w:ascii="Palatino Linotype" w:hAnsi="Palatino Linotype"/>
        </w:rPr>
      </w:pPr>
    </w:p>
    <w:p w14:paraId="7ACCDCE5" w14:textId="77777777" w:rsidR="00947C3B" w:rsidRPr="00425A58" w:rsidRDefault="00947C3B" w:rsidP="00AE423B">
      <w:pPr>
        <w:tabs>
          <w:tab w:val="left" w:pos="3374"/>
        </w:tabs>
        <w:spacing w:line="360" w:lineRule="auto"/>
        <w:rPr>
          <w:rFonts w:ascii="Palatino Linotype" w:hAnsi="Palatino Linotype"/>
        </w:rPr>
      </w:pPr>
    </w:p>
    <w:p w14:paraId="2043354E" w14:textId="77777777" w:rsidR="00947C3B" w:rsidRPr="00425A58" w:rsidRDefault="00947C3B" w:rsidP="00AE423B">
      <w:pPr>
        <w:tabs>
          <w:tab w:val="left" w:pos="3374"/>
        </w:tabs>
        <w:spacing w:line="360" w:lineRule="auto"/>
        <w:rPr>
          <w:rFonts w:ascii="Palatino Linotype" w:hAnsi="Palatino Linotype"/>
        </w:rPr>
      </w:pPr>
    </w:p>
    <w:p w14:paraId="292C151D" w14:textId="77777777" w:rsidR="00A068EA" w:rsidRPr="00425A58" w:rsidRDefault="00A068EA" w:rsidP="00AE423B">
      <w:pPr>
        <w:spacing w:line="360" w:lineRule="auto"/>
        <w:rPr>
          <w:rFonts w:ascii="Palatino Linotype" w:hAnsi="Palatino Linotype"/>
        </w:rPr>
      </w:pPr>
    </w:p>
    <w:sectPr w:rsidR="00A068EA" w:rsidRPr="00425A58" w:rsidSect="00784D8F">
      <w:headerReference w:type="even" r:id="rId12"/>
      <w:headerReference w:type="default" r:id="rId13"/>
      <w:footerReference w:type="default" r:id="rId14"/>
      <w:headerReference w:type="first" r:id="rId15"/>
      <w:footerReference w:type="first" r:id="rId16"/>
      <w:pgSz w:w="12240" w:h="15840"/>
      <w:pgMar w:top="2269" w:right="900"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71EE5" w14:textId="77777777" w:rsidR="002D6C19" w:rsidRDefault="002D6C19" w:rsidP="00947C3B">
      <w:r>
        <w:separator/>
      </w:r>
    </w:p>
  </w:endnote>
  <w:endnote w:type="continuationSeparator" w:id="0">
    <w:p w14:paraId="54E17E5D" w14:textId="77777777" w:rsidR="002D6C19" w:rsidRDefault="002D6C19"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720535"/>
      <w:docPartObj>
        <w:docPartGallery w:val="Page Numbers (Bottom of Page)"/>
        <w:docPartUnique/>
      </w:docPartObj>
    </w:sdtPr>
    <w:sdtEndPr/>
    <w:sdtContent>
      <w:sdt>
        <w:sdtPr>
          <w:id w:val="-304543947"/>
          <w:docPartObj>
            <w:docPartGallery w:val="Page Numbers (Top of Page)"/>
            <w:docPartUnique/>
          </w:docPartObj>
        </w:sdtPr>
        <w:sdtEndPr/>
        <w:sdtContent>
          <w:p w14:paraId="5D5FCC44" w14:textId="77777777" w:rsidR="00996782" w:rsidRPr="002D6DD8" w:rsidRDefault="00996782"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31AB">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631AB">
              <w:rPr>
                <w:rFonts w:ascii="Palatino Linotype" w:hAnsi="Palatino Linotype"/>
                <w:bCs/>
                <w:noProof/>
                <w:sz w:val="20"/>
              </w:rPr>
              <w:t>51</w:t>
            </w:r>
            <w:r>
              <w:rPr>
                <w:rFonts w:ascii="Palatino Linotype" w:hAnsi="Palatino Linotype"/>
                <w:bCs/>
                <w:noProof/>
                <w:sz w:val="20"/>
              </w:rPr>
              <w:fldChar w:fldCharType="end"/>
            </w:r>
          </w:p>
        </w:sdtContent>
      </w:sdt>
    </w:sdtContent>
  </w:sdt>
  <w:p w14:paraId="3F2C2FE9" w14:textId="77777777" w:rsidR="00996782" w:rsidRDefault="0099678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996782" w:rsidRPr="000B69FA" w:rsidRDefault="00996782"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631A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631AB">
      <w:rPr>
        <w:rFonts w:ascii="Palatino Linotype" w:hAnsi="Palatino Linotype"/>
        <w:bCs/>
        <w:noProof/>
        <w:sz w:val="20"/>
      </w:rPr>
      <w:t>51</w:t>
    </w:r>
    <w:r>
      <w:rPr>
        <w:rFonts w:ascii="Palatino Linotype" w:hAnsi="Palatino Linotype"/>
        <w:bCs/>
        <w:noProof/>
        <w:sz w:val="20"/>
      </w:rPr>
      <w:fldChar w:fldCharType="end"/>
    </w:r>
  </w:p>
  <w:p w14:paraId="5CFAB42E" w14:textId="77777777" w:rsidR="00996782" w:rsidRDefault="009967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75EF34" w14:textId="77777777" w:rsidR="002D6C19" w:rsidRDefault="002D6C19" w:rsidP="00947C3B">
      <w:r>
        <w:separator/>
      </w:r>
    </w:p>
  </w:footnote>
  <w:footnote w:type="continuationSeparator" w:id="0">
    <w:p w14:paraId="586B19D9" w14:textId="77777777" w:rsidR="002D6C19" w:rsidRDefault="002D6C19" w:rsidP="00947C3B">
      <w:r>
        <w:continuationSeparator/>
      </w:r>
    </w:p>
  </w:footnote>
  <w:footnote w:id="1">
    <w:p w14:paraId="613565A3" w14:textId="77777777" w:rsidR="00996782" w:rsidRDefault="00996782" w:rsidP="00E1213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5888FFEC" w14:textId="77777777" w:rsidR="00996782" w:rsidRDefault="00996782" w:rsidP="00E12135">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1ACED52E" w14:textId="77777777" w:rsidR="00996782" w:rsidRDefault="00996782" w:rsidP="00E1213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4">
    <w:p w14:paraId="0BD51464" w14:textId="77777777" w:rsidR="00996782" w:rsidRDefault="00996782" w:rsidP="00E1213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Ibídem. Párr. 87.</w:t>
      </w:r>
    </w:p>
  </w:footnote>
  <w:footnote w:id="5">
    <w:p w14:paraId="087BE92B" w14:textId="77777777" w:rsidR="00996782" w:rsidRDefault="00996782" w:rsidP="00E12135">
      <w:pPr>
        <w:pBdr>
          <w:top w:val="nil"/>
          <w:left w:val="nil"/>
          <w:bottom w:val="nil"/>
          <w:right w:val="nil"/>
          <w:between w:val="nil"/>
        </w:pBdr>
        <w:rPr>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r>
          <w:rPr>
            <w:rFonts w:ascii="Palatino Linotype" w:eastAsia="Palatino Linotype" w:hAnsi="Palatino Linotype" w:cs="Palatino Linotype"/>
            <w:color w:val="0000FF"/>
            <w:sz w:val="18"/>
            <w:szCs w:val="18"/>
            <w:u w:val="single"/>
          </w:rPr>
          <w:t>http://www.oas.org/es/cidh/expresion/documentos_basicos/declaraciones.asp</w:t>
        </w:r>
      </w:hyperlink>
      <w:r>
        <w:rPr>
          <w:rFonts w:ascii="Palatino Linotype" w:eastAsia="Palatino Linotype" w:hAnsi="Palatino Linotype" w:cs="Palatino Linotype"/>
          <w:color w:val="000000"/>
          <w:sz w:val="18"/>
          <w:szCs w:val="18"/>
        </w:rPr>
        <w:t>.</w:t>
      </w:r>
    </w:p>
  </w:footnote>
  <w:footnote w:id="6">
    <w:p w14:paraId="14ACC9E0" w14:textId="77777777" w:rsidR="00996782" w:rsidRDefault="00996782" w:rsidP="00E1213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Ley de Transparencia y Acceso a la Información Pública del Estado de México y Municipios. Artículo 9. …</w:t>
      </w:r>
    </w:p>
    <w:p w14:paraId="43C95324" w14:textId="77777777" w:rsidR="00996782" w:rsidRDefault="00996782" w:rsidP="00E12135">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1D8771D5" w14:textId="77777777" w:rsidR="00996782" w:rsidRDefault="00996782" w:rsidP="00E12135">
      <w:pPr>
        <w:pBdr>
          <w:top w:val="nil"/>
          <w:left w:val="nil"/>
          <w:bottom w:val="nil"/>
          <w:right w:val="nil"/>
          <w:between w:val="nil"/>
        </w:pBdr>
        <w:rPr>
          <w:color w:val="000000"/>
          <w:sz w:val="20"/>
          <w:szCs w:val="20"/>
        </w:rPr>
      </w:pPr>
      <w:r>
        <w:rPr>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996782" w:rsidRDefault="002D6C19">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119" w:type="dxa"/>
      <w:tblCellMar>
        <w:left w:w="70" w:type="dxa"/>
        <w:right w:w="70" w:type="dxa"/>
      </w:tblCellMar>
      <w:tblLook w:val="04A0" w:firstRow="1" w:lastRow="0" w:firstColumn="1" w:lastColumn="0" w:noHBand="0" w:noVBand="1"/>
    </w:tblPr>
    <w:tblGrid>
      <w:gridCol w:w="2976"/>
      <w:gridCol w:w="3543"/>
    </w:tblGrid>
    <w:tr w:rsidR="00996782" w14:paraId="10AE6F9E" w14:textId="77777777" w:rsidTr="00784D8F">
      <w:trPr>
        <w:trHeight w:val="227"/>
      </w:trPr>
      <w:tc>
        <w:tcPr>
          <w:tcW w:w="2976" w:type="dxa"/>
          <w:vAlign w:val="center"/>
          <w:hideMark/>
        </w:tcPr>
        <w:p w14:paraId="046C485E" w14:textId="77777777" w:rsidR="00996782" w:rsidRPr="00784D8F" w:rsidRDefault="00996782" w:rsidP="007B20F5">
          <w:pPr>
            <w:ind w:right="34"/>
            <w:jc w:val="right"/>
            <w:rPr>
              <w:rFonts w:ascii="Palatino Linotype" w:hAnsi="Palatino Linotype"/>
              <w:b/>
              <w:szCs w:val="22"/>
            </w:rPr>
          </w:pPr>
          <w:r w:rsidRPr="00784D8F">
            <w:rPr>
              <w:rFonts w:ascii="Palatino Linotype" w:hAnsi="Palatino Linotype"/>
              <w:b/>
              <w:szCs w:val="22"/>
            </w:rPr>
            <w:t>Recurso de Revisión:</w:t>
          </w:r>
        </w:p>
      </w:tc>
      <w:tc>
        <w:tcPr>
          <w:tcW w:w="3543" w:type="dxa"/>
          <w:vAlign w:val="center"/>
          <w:hideMark/>
        </w:tcPr>
        <w:p w14:paraId="4920F6F2" w14:textId="16075C28" w:rsidR="00996782" w:rsidRPr="00784D8F" w:rsidRDefault="00996782" w:rsidP="00C27016">
          <w:pPr>
            <w:pStyle w:val="Encabezado"/>
            <w:rPr>
              <w:rFonts w:ascii="Palatino Linotype" w:hAnsi="Palatino Linotype"/>
              <w:b/>
              <w:szCs w:val="22"/>
            </w:rPr>
          </w:pPr>
          <w:r w:rsidRPr="00784D8F">
            <w:rPr>
              <w:rFonts w:ascii="Palatino Linotype" w:hAnsi="Palatino Linotype" w:cs="Arial"/>
              <w:b/>
              <w:bCs/>
              <w:szCs w:val="22"/>
              <w:lang w:eastAsia="es-MX"/>
            </w:rPr>
            <w:t>13143/INFOEM/IP/RR/2025</w:t>
          </w:r>
        </w:p>
      </w:tc>
    </w:tr>
    <w:tr w:rsidR="00996782" w14:paraId="700CAD85" w14:textId="77777777" w:rsidTr="00784D8F">
      <w:trPr>
        <w:trHeight w:val="242"/>
      </w:trPr>
      <w:tc>
        <w:tcPr>
          <w:tcW w:w="2976" w:type="dxa"/>
          <w:vAlign w:val="center"/>
          <w:hideMark/>
        </w:tcPr>
        <w:p w14:paraId="0EFCC1BD" w14:textId="77777777" w:rsidR="00996782" w:rsidRPr="00784D8F" w:rsidRDefault="00996782" w:rsidP="007B20F5">
          <w:pPr>
            <w:ind w:right="34"/>
            <w:jc w:val="right"/>
            <w:rPr>
              <w:rFonts w:ascii="Palatino Linotype" w:hAnsi="Palatino Linotype"/>
              <w:b/>
              <w:szCs w:val="22"/>
            </w:rPr>
          </w:pPr>
          <w:r w:rsidRPr="00784D8F">
            <w:rPr>
              <w:rFonts w:ascii="Palatino Linotype" w:hAnsi="Palatino Linotype"/>
              <w:b/>
              <w:szCs w:val="22"/>
            </w:rPr>
            <w:t>Sujeto Obligado:</w:t>
          </w:r>
        </w:p>
      </w:tc>
      <w:tc>
        <w:tcPr>
          <w:tcW w:w="3543" w:type="dxa"/>
          <w:vAlign w:val="center"/>
          <w:hideMark/>
        </w:tcPr>
        <w:p w14:paraId="11A13220" w14:textId="3278E6D9" w:rsidR="00996782" w:rsidRPr="00784D8F" w:rsidRDefault="00996782" w:rsidP="00362AAF">
          <w:pPr>
            <w:pStyle w:val="Encabezado"/>
            <w:ind w:right="212"/>
            <w:jc w:val="both"/>
            <w:rPr>
              <w:rFonts w:ascii="Palatino Linotype" w:hAnsi="Palatino Linotype"/>
              <w:b/>
              <w:szCs w:val="22"/>
            </w:rPr>
          </w:pPr>
          <w:r w:rsidRPr="00784D8F">
            <w:rPr>
              <w:rFonts w:ascii="Palatino Linotype" w:hAnsi="Palatino Linotype"/>
              <w:b/>
              <w:szCs w:val="22"/>
            </w:rPr>
            <w:t>Ayuntamiento de Toluca</w:t>
          </w:r>
        </w:p>
      </w:tc>
    </w:tr>
    <w:tr w:rsidR="00996782" w14:paraId="459034F1" w14:textId="77777777" w:rsidTr="00784D8F">
      <w:trPr>
        <w:trHeight w:val="342"/>
      </w:trPr>
      <w:tc>
        <w:tcPr>
          <w:tcW w:w="2976" w:type="dxa"/>
          <w:vAlign w:val="center"/>
          <w:hideMark/>
        </w:tcPr>
        <w:p w14:paraId="3169B47D" w14:textId="77777777" w:rsidR="00996782" w:rsidRPr="00784D8F" w:rsidRDefault="00996782" w:rsidP="007B20F5">
          <w:pPr>
            <w:ind w:right="34"/>
            <w:jc w:val="right"/>
            <w:rPr>
              <w:rFonts w:ascii="Palatino Linotype" w:hAnsi="Palatino Linotype"/>
              <w:b/>
              <w:szCs w:val="22"/>
            </w:rPr>
          </w:pPr>
          <w:r w:rsidRPr="00784D8F">
            <w:rPr>
              <w:rFonts w:ascii="Palatino Linotype" w:hAnsi="Palatino Linotype"/>
              <w:b/>
              <w:szCs w:val="22"/>
            </w:rPr>
            <w:t>Comisionada Ponente:</w:t>
          </w:r>
        </w:p>
      </w:tc>
      <w:tc>
        <w:tcPr>
          <w:tcW w:w="3543" w:type="dxa"/>
          <w:vAlign w:val="center"/>
          <w:hideMark/>
        </w:tcPr>
        <w:p w14:paraId="3F3DEBEA" w14:textId="77777777" w:rsidR="00996782" w:rsidRPr="00784D8F" w:rsidRDefault="00996782" w:rsidP="007B20F5">
          <w:pPr>
            <w:pStyle w:val="Encabezado"/>
            <w:rPr>
              <w:rFonts w:ascii="Palatino Linotype" w:hAnsi="Palatino Linotype"/>
              <w:b/>
              <w:szCs w:val="22"/>
            </w:rPr>
          </w:pPr>
          <w:r w:rsidRPr="00784D8F">
            <w:rPr>
              <w:rFonts w:ascii="Palatino Linotype" w:hAnsi="Palatino Linotype"/>
              <w:b/>
              <w:szCs w:val="22"/>
            </w:rPr>
            <w:t>María del Rosario Mejía Ayala</w:t>
          </w:r>
        </w:p>
      </w:tc>
    </w:tr>
  </w:tbl>
  <w:p w14:paraId="484BDF96" w14:textId="77777777" w:rsidR="00996782" w:rsidRPr="00AE046A" w:rsidRDefault="002D6C19"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70.75pt;margin-top:-123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977" w:type="dxa"/>
      <w:tblCellMar>
        <w:left w:w="70" w:type="dxa"/>
        <w:right w:w="70" w:type="dxa"/>
      </w:tblCellMar>
      <w:tblLook w:val="04A0" w:firstRow="1" w:lastRow="0" w:firstColumn="1" w:lastColumn="0" w:noHBand="0" w:noVBand="1"/>
    </w:tblPr>
    <w:tblGrid>
      <w:gridCol w:w="2977"/>
      <w:gridCol w:w="3684"/>
    </w:tblGrid>
    <w:tr w:rsidR="00996782" w14:paraId="524ADC4D" w14:textId="77777777" w:rsidTr="00784D8F">
      <w:trPr>
        <w:trHeight w:val="227"/>
      </w:trPr>
      <w:tc>
        <w:tcPr>
          <w:tcW w:w="2977" w:type="dxa"/>
          <w:vAlign w:val="center"/>
          <w:hideMark/>
        </w:tcPr>
        <w:p w14:paraId="590A2358" w14:textId="77777777" w:rsidR="00996782" w:rsidRPr="00784D8F" w:rsidRDefault="00996782" w:rsidP="007B20F5">
          <w:pPr>
            <w:jc w:val="right"/>
            <w:rPr>
              <w:rFonts w:ascii="Palatino Linotype" w:hAnsi="Palatino Linotype"/>
              <w:b/>
            </w:rPr>
          </w:pPr>
          <w:r w:rsidRPr="00784D8F">
            <w:rPr>
              <w:rFonts w:ascii="Palatino Linotype" w:hAnsi="Palatino Linotype"/>
              <w:b/>
            </w:rPr>
            <w:t>Recurso de Revisión:</w:t>
          </w:r>
        </w:p>
      </w:tc>
      <w:tc>
        <w:tcPr>
          <w:tcW w:w="3684" w:type="dxa"/>
          <w:vAlign w:val="center"/>
          <w:hideMark/>
        </w:tcPr>
        <w:p w14:paraId="74FABDA8" w14:textId="69B2AB0B" w:rsidR="00996782" w:rsidRPr="00784D8F" w:rsidRDefault="00996782" w:rsidP="009335A6">
          <w:pPr>
            <w:pStyle w:val="Encabezado"/>
            <w:rPr>
              <w:rFonts w:ascii="Palatino Linotype" w:hAnsi="Palatino Linotype"/>
              <w:b/>
            </w:rPr>
          </w:pPr>
          <w:r w:rsidRPr="00784D8F">
            <w:rPr>
              <w:rFonts w:ascii="Palatino Linotype" w:hAnsi="Palatino Linotype" w:cs="Arial"/>
              <w:b/>
              <w:bCs/>
              <w:lang w:eastAsia="es-MX"/>
            </w:rPr>
            <w:t>13143/INFOEM/IP/RR/2025</w:t>
          </w:r>
        </w:p>
      </w:tc>
    </w:tr>
    <w:tr w:rsidR="00996782" w14:paraId="579BAB32" w14:textId="77777777" w:rsidTr="00784D8F">
      <w:trPr>
        <w:trHeight w:val="242"/>
      </w:trPr>
      <w:tc>
        <w:tcPr>
          <w:tcW w:w="2977" w:type="dxa"/>
          <w:vAlign w:val="center"/>
          <w:hideMark/>
        </w:tcPr>
        <w:p w14:paraId="1CF262FF" w14:textId="77777777" w:rsidR="00996782" w:rsidRPr="00784D8F" w:rsidRDefault="00996782" w:rsidP="007B20F5">
          <w:pPr>
            <w:jc w:val="right"/>
            <w:rPr>
              <w:rFonts w:ascii="Palatino Linotype" w:hAnsi="Palatino Linotype"/>
              <w:b/>
            </w:rPr>
          </w:pPr>
          <w:r w:rsidRPr="00784D8F">
            <w:rPr>
              <w:rFonts w:ascii="Palatino Linotype" w:hAnsi="Palatino Linotype"/>
              <w:b/>
            </w:rPr>
            <w:t>Recurrente:</w:t>
          </w:r>
        </w:p>
      </w:tc>
      <w:tc>
        <w:tcPr>
          <w:tcW w:w="3684" w:type="dxa"/>
          <w:hideMark/>
        </w:tcPr>
        <w:p w14:paraId="19CC8F21" w14:textId="21D3005C" w:rsidR="00996782" w:rsidRPr="00784D8F" w:rsidRDefault="001631AB" w:rsidP="007B20F5">
          <w:pPr>
            <w:pStyle w:val="Encabezado"/>
            <w:tabs>
              <w:tab w:val="left" w:pos="521"/>
            </w:tabs>
            <w:rPr>
              <w:rFonts w:ascii="Palatino Linotype" w:hAnsi="Palatino Linotype"/>
              <w:b/>
            </w:rPr>
          </w:pPr>
          <w:r>
            <w:rPr>
              <w:rFonts w:ascii="Palatino Linotype" w:hAnsi="Palatino Linotype"/>
              <w:b/>
            </w:rPr>
            <w:t>XXXX</w:t>
          </w:r>
          <w:r w:rsidR="00FC411E" w:rsidRPr="00784D8F">
            <w:rPr>
              <w:rFonts w:ascii="Palatino Linotype" w:hAnsi="Palatino Linotype"/>
              <w:b/>
            </w:rPr>
            <w:t xml:space="preserve"> </w:t>
          </w:r>
        </w:p>
      </w:tc>
    </w:tr>
    <w:tr w:rsidR="00996782" w14:paraId="11EF809E" w14:textId="77777777" w:rsidTr="00784D8F">
      <w:trPr>
        <w:trHeight w:val="342"/>
      </w:trPr>
      <w:tc>
        <w:tcPr>
          <w:tcW w:w="2977" w:type="dxa"/>
          <w:vAlign w:val="center"/>
        </w:tcPr>
        <w:p w14:paraId="0A037E93" w14:textId="77777777" w:rsidR="00996782" w:rsidRPr="00784D8F" w:rsidRDefault="00996782" w:rsidP="007B20F5">
          <w:pPr>
            <w:jc w:val="right"/>
            <w:rPr>
              <w:rFonts w:ascii="Palatino Linotype" w:hAnsi="Palatino Linotype"/>
              <w:b/>
            </w:rPr>
          </w:pPr>
          <w:r w:rsidRPr="00784D8F">
            <w:rPr>
              <w:rFonts w:ascii="Palatino Linotype" w:hAnsi="Palatino Linotype"/>
              <w:b/>
            </w:rPr>
            <w:t>Sujeto Obligado:</w:t>
          </w:r>
        </w:p>
      </w:tc>
      <w:tc>
        <w:tcPr>
          <w:tcW w:w="3684" w:type="dxa"/>
          <w:vAlign w:val="center"/>
        </w:tcPr>
        <w:p w14:paraId="431B85F9" w14:textId="51B4891C" w:rsidR="00996782" w:rsidRPr="00784D8F" w:rsidRDefault="00996782" w:rsidP="007B20F5">
          <w:pPr>
            <w:pStyle w:val="Encabezado"/>
            <w:jc w:val="both"/>
            <w:rPr>
              <w:rFonts w:ascii="Palatino Linotype" w:hAnsi="Palatino Linotype"/>
              <w:b/>
            </w:rPr>
          </w:pPr>
          <w:r w:rsidRPr="00784D8F">
            <w:rPr>
              <w:rFonts w:ascii="Palatino Linotype" w:hAnsi="Palatino Linotype"/>
              <w:b/>
              <w:bCs/>
              <w:color w:val="000000"/>
            </w:rPr>
            <w:t>Ayuntamiento de Toluca</w:t>
          </w:r>
        </w:p>
      </w:tc>
    </w:tr>
    <w:tr w:rsidR="00996782" w14:paraId="61FC427B" w14:textId="77777777" w:rsidTr="00784D8F">
      <w:trPr>
        <w:trHeight w:val="342"/>
      </w:trPr>
      <w:tc>
        <w:tcPr>
          <w:tcW w:w="2977" w:type="dxa"/>
          <w:vAlign w:val="center"/>
        </w:tcPr>
        <w:p w14:paraId="2C25FB1A" w14:textId="77777777" w:rsidR="00996782" w:rsidRPr="00784D8F" w:rsidRDefault="00996782" w:rsidP="007B20F5">
          <w:pPr>
            <w:jc w:val="right"/>
            <w:rPr>
              <w:rFonts w:ascii="Palatino Linotype" w:hAnsi="Palatino Linotype"/>
              <w:b/>
            </w:rPr>
          </w:pPr>
          <w:r w:rsidRPr="00784D8F">
            <w:rPr>
              <w:rFonts w:ascii="Palatino Linotype" w:hAnsi="Palatino Linotype"/>
              <w:b/>
            </w:rPr>
            <w:t>Comisionada Ponente:</w:t>
          </w:r>
        </w:p>
      </w:tc>
      <w:tc>
        <w:tcPr>
          <w:tcW w:w="3684" w:type="dxa"/>
          <w:vAlign w:val="center"/>
        </w:tcPr>
        <w:p w14:paraId="481ED5C8" w14:textId="77777777" w:rsidR="00996782" w:rsidRPr="00784D8F" w:rsidRDefault="00996782" w:rsidP="007B20F5">
          <w:pPr>
            <w:pStyle w:val="Encabezado"/>
            <w:rPr>
              <w:rFonts w:ascii="Palatino Linotype" w:hAnsi="Palatino Linotype"/>
              <w:b/>
            </w:rPr>
          </w:pPr>
          <w:r w:rsidRPr="00784D8F">
            <w:rPr>
              <w:rFonts w:ascii="Palatino Linotype" w:hAnsi="Palatino Linotype"/>
              <w:b/>
            </w:rPr>
            <w:t>María del Rosario Mejía Ayala</w:t>
          </w:r>
        </w:p>
      </w:tc>
    </w:tr>
  </w:tbl>
  <w:p w14:paraId="258F46F2" w14:textId="77777777" w:rsidR="00996782" w:rsidRPr="00C222C0" w:rsidRDefault="002D6C19">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175745"/>
    <w:multiLevelType w:val="multilevel"/>
    <w:tmpl w:val="6BE255EE"/>
    <w:lvl w:ilvl="0">
      <w:start w:val="1"/>
      <w:numFmt w:val="lowerLetter"/>
      <w:lvlText w:val="%1)"/>
      <w:lvlJc w:val="left"/>
      <w:pPr>
        <w:ind w:left="1068" w:hanging="360"/>
      </w:pPr>
      <w:rPr>
        <w:b/>
        <w:bCs/>
      </w:rPr>
    </w:lvl>
    <w:lvl w:ilvl="1">
      <w:start w:val="1"/>
      <w:numFmt w:val="lowerLetter"/>
      <w:lvlText w:val="%2."/>
      <w:lvlJc w:val="left"/>
      <w:pPr>
        <w:ind w:left="1730" w:hanging="360"/>
      </w:pPr>
    </w:lvl>
    <w:lvl w:ilvl="2">
      <w:start w:val="1"/>
      <w:numFmt w:val="lowerRoman"/>
      <w:lvlText w:val="%3."/>
      <w:lvlJc w:val="right"/>
      <w:pPr>
        <w:ind w:left="2450" w:hanging="180"/>
      </w:pPr>
    </w:lvl>
    <w:lvl w:ilvl="3">
      <w:start w:val="1"/>
      <w:numFmt w:val="decimal"/>
      <w:lvlText w:val="%4."/>
      <w:lvlJc w:val="left"/>
      <w:pPr>
        <w:ind w:left="3170" w:hanging="360"/>
      </w:pPr>
    </w:lvl>
    <w:lvl w:ilvl="4">
      <w:start w:val="1"/>
      <w:numFmt w:val="lowerLetter"/>
      <w:lvlText w:val="%5."/>
      <w:lvlJc w:val="left"/>
      <w:pPr>
        <w:ind w:left="3890" w:hanging="360"/>
      </w:pPr>
    </w:lvl>
    <w:lvl w:ilvl="5">
      <w:start w:val="1"/>
      <w:numFmt w:val="lowerRoman"/>
      <w:lvlText w:val="%6."/>
      <w:lvlJc w:val="right"/>
      <w:pPr>
        <w:ind w:left="4610" w:hanging="180"/>
      </w:pPr>
    </w:lvl>
    <w:lvl w:ilvl="6">
      <w:start w:val="1"/>
      <w:numFmt w:val="decimal"/>
      <w:lvlText w:val="%7."/>
      <w:lvlJc w:val="left"/>
      <w:pPr>
        <w:ind w:left="5330" w:hanging="360"/>
      </w:pPr>
    </w:lvl>
    <w:lvl w:ilvl="7">
      <w:start w:val="1"/>
      <w:numFmt w:val="lowerLetter"/>
      <w:lvlText w:val="%8."/>
      <w:lvlJc w:val="left"/>
      <w:pPr>
        <w:ind w:left="6050" w:hanging="360"/>
      </w:pPr>
    </w:lvl>
    <w:lvl w:ilvl="8">
      <w:start w:val="1"/>
      <w:numFmt w:val="lowerRoman"/>
      <w:lvlText w:val="%9."/>
      <w:lvlJc w:val="right"/>
      <w:pPr>
        <w:ind w:left="6770" w:hanging="180"/>
      </w:pPr>
    </w:lvl>
  </w:abstractNum>
  <w:abstractNum w:abstractNumId="2"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474673E"/>
    <w:multiLevelType w:val="multilevel"/>
    <w:tmpl w:val="286AEF3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101733"/>
    <w:multiLevelType w:val="multilevel"/>
    <w:tmpl w:val="5C64F6FC"/>
    <w:lvl w:ilvl="0">
      <w:start w:val="1"/>
      <w:numFmt w:val="decimal"/>
      <w:lvlText w:val="%1."/>
      <w:lvlJc w:val="left"/>
      <w:pPr>
        <w:ind w:left="502" w:hanging="360"/>
      </w:pPr>
      <w:rPr>
        <w:rFonts w:ascii="Palatino Linotype" w:eastAsia="Palatino Linotype" w:hAnsi="Palatino Linotype" w:cs="Palatino Linotype"/>
        <w:b/>
        <w:bCs/>
        <w:i w:val="0"/>
        <w:iCs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8365323"/>
    <w:multiLevelType w:val="multilevel"/>
    <w:tmpl w:val="4434E6B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8078EB"/>
    <w:multiLevelType w:val="multilevel"/>
    <w:tmpl w:val="5C581CF8"/>
    <w:lvl w:ilvl="0">
      <w:start w:val="1"/>
      <w:numFmt w:val="lowerLetter"/>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4E50E004"/>
    <w:lvl w:ilvl="0" w:tplc="F5C4018E">
      <w:start w:val="1"/>
      <w:numFmt w:val="decimal"/>
      <w:lvlText w:val="%1."/>
      <w:lvlJc w:val="left"/>
      <w:pPr>
        <w:ind w:left="502"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E5203E"/>
    <w:multiLevelType w:val="multilevel"/>
    <w:tmpl w:val="6136B0C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08749D3"/>
    <w:multiLevelType w:val="hybridMultilevel"/>
    <w:tmpl w:val="EAA44720"/>
    <w:lvl w:ilvl="0" w:tplc="212628FA">
      <w:start w:val="1"/>
      <w:numFmt w:val="lowerLetter"/>
      <w:lvlText w:val="%1)"/>
      <w:lvlJc w:val="left"/>
      <w:pPr>
        <w:ind w:left="778"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50EA765B"/>
    <w:multiLevelType w:val="multilevel"/>
    <w:tmpl w:val="173839AE"/>
    <w:lvl w:ilvl="0">
      <w:start w:val="1"/>
      <w:numFmt w:val="decimal"/>
      <w:lvlText w:val="%1."/>
      <w:lvlJc w:val="left"/>
      <w:pPr>
        <w:ind w:left="2912" w:hanging="360"/>
      </w:pPr>
      <w:rPr>
        <w:rFonts w:ascii="Palatino Linotype" w:eastAsia="Palatino Linotype" w:hAnsi="Palatino Linotype" w:cs="Palatino Linotype"/>
        <w:b/>
        <w:i w:val="0"/>
        <w:sz w:val="24"/>
        <w:szCs w:val="24"/>
      </w:rPr>
    </w:lvl>
    <w:lvl w:ilvl="1">
      <w:start w:val="1"/>
      <w:numFmt w:val="upperRoman"/>
      <w:lvlText w:val="%2."/>
      <w:lvlJc w:val="right"/>
      <w:pPr>
        <w:ind w:left="1440" w:hanging="360"/>
      </w:pPr>
      <w:rPr>
        <w:rFonts w:hint="default"/>
        <w:b/>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562F1B34"/>
    <w:multiLevelType w:val="hybridMultilevel"/>
    <w:tmpl w:val="65968C30"/>
    <w:lvl w:ilvl="0" w:tplc="080A0017">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9" w15:restartNumberingAfterBreak="0">
    <w:nsid w:val="57ED6FB8"/>
    <w:multiLevelType w:val="hybridMultilevel"/>
    <w:tmpl w:val="8C0874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0" w15:restartNumberingAfterBreak="0">
    <w:nsid w:val="58C96DD5"/>
    <w:multiLevelType w:val="multilevel"/>
    <w:tmpl w:val="89249512"/>
    <w:lvl w:ilvl="0">
      <w:start w:val="1"/>
      <w:numFmt w:val="lowerLetter"/>
      <w:lvlText w:val="%1)"/>
      <w:lvlJc w:val="left"/>
      <w:pPr>
        <w:ind w:left="709" w:hanging="42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E75B83"/>
    <w:multiLevelType w:val="hybridMultilevel"/>
    <w:tmpl w:val="23E424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C29376C"/>
    <w:multiLevelType w:val="hybridMultilevel"/>
    <w:tmpl w:val="E7A09DD4"/>
    <w:lvl w:ilvl="0" w:tplc="17E40C86">
      <w:start w:val="1"/>
      <w:numFmt w:val="lowerLetter"/>
      <w:lvlText w:val="%1)"/>
      <w:lvlJc w:val="left"/>
      <w:pPr>
        <w:ind w:left="77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4873195"/>
    <w:multiLevelType w:val="multilevel"/>
    <w:tmpl w:val="9BA6ACCA"/>
    <w:lvl w:ilvl="0">
      <w:start w:val="24"/>
      <w:numFmt w:val="decimal"/>
      <w:lvlText w:val="%1."/>
      <w:lvlJc w:val="left"/>
      <w:pPr>
        <w:ind w:left="644" w:hanging="360"/>
      </w:pPr>
      <w:rPr>
        <w:rFonts w:ascii="Palatino Linotype" w:eastAsia="Palatino Linotype" w:hAnsi="Palatino Linotype" w:cs="Palatino Linotype"/>
        <w:b/>
        <w:bCs/>
        <w:i w:val="0"/>
        <w:iCs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10"/>
  </w:num>
  <w:num w:numId="2">
    <w:abstractNumId w:val="18"/>
  </w:num>
  <w:num w:numId="3">
    <w:abstractNumId w:val="19"/>
  </w:num>
  <w:num w:numId="4">
    <w:abstractNumId w:val="13"/>
  </w:num>
  <w:num w:numId="5">
    <w:abstractNumId w:val="3"/>
  </w:num>
  <w:num w:numId="6">
    <w:abstractNumId w:val="6"/>
  </w:num>
  <w:num w:numId="7">
    <w:abstractNumId w:val="2"/>
  </w:num>
  <w:num w:numId="8">
    <w:abstractNumId w:val="28"/>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7"/>
  </w:num>
  <w:num w:numId="12">
    <w:abstractNumId w:val="24"/>
  </w:num>
  <w:num w:numId="13">
    <w:abstractNumId w:val="23"/>
  </w:num>
  <w:num w:numId="14">
    <w:abstractNumId w:val="1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1"/>
  </w:num>
  <w:num w:numId="18">
    <w:abstractNumId w:val="7"/>
  </w:num>
  <w:num w:numId="19">
    <w:abstractNumId w:val="16"/>
  </w:num>
  <w:num w:numId="20">
    <w:abstractNumId w:val="5"/>
  </w:num>
  <w:num w:numId="21">
    <w:abstractNumId w:val="1"/>
  </w:num>
  <w:num w:numId="22">
    <w:abstractNumId w:val="26"/>
  </w:num>
  <w:num w:numId="23">
    <w:abstractNumId w:val="12"/>
  </w:num>
  <w:num w:numId="24">
    <w:abstractNumId w:val="15"/>
  </w:num>
  <w:num w:numId="25">
    <w:abstractNumId w:val="22"/>
  </w:num>
  <w:num w:numId="26">
    <w:abstractNumId w:val="20"/>
  </w:num>
  <w:num w:numId="27">
    <w:abstractNumId w:val="8"/>
  </w:num>
  <w:num w:numId="28">
    <w:abstractNumId w:val="4"/>
  </w:num>
  <w:num w:numId="29">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2E89"/>
    <w:rsid w:val="0000614D"/>
    <w:rsid w:val="00006A19"/>
    <w:rsid w:val="00015D6D"/>
    <w:rsid w:val="00016331"/>
    <w:rsid w:val="000209D9"/>
    <w:rsid w:val="00023AFA"/>
    <w:rsid w:val="00024B16"/>
    <w:rsid w:val="00026046"/>
    <w:rsid w:val="000266DC"/>
    <w:rsid w:val="00027E0A"/>
    <w:rsid w:val="00035447"/>
    <w:rsid w:val="00053504"/>
    <w:rsid w:val="000572A1"/>
    <w:rsid w:val="00064D6B"/>
    <w:rsid w:val="000651CC"/>
    <w:rsid w:val="000656BD"/>
    <w:rsid w:val="0006774A"/>
    <w:rsid w:val="00067EAC"/>
    <w:rsid w:val="000840EC"/>
    <w:rsid w:val="00087920"/>
    <w:rsid w:val="00091C25"/>
    <w:rsid w:val="00094E89"/>
    <w:rsid w:val="00096A20"/>
    <w:rsid w:val="0009753E"/>
    <w:rsid w:val="000A0345"/>
    <w:rsid w:val="000A0947"/>
    <w:rsid w:val="000A457F"/>
    <w:rsid w:val="000A7AAB"/>
    <w:rsid w:val="000B1E1A"/>
    <w:rsid w:val="000B31BE"/>
    <w:rsid w:val="000B4836"/>
    <w:rsid w:val="000C360B"/>
    <w:rsid w:val="000C5E70"/>
    <w:rsid w:val="000D0A0A"/>
    <w:rsid w:val="000E337A"/>
    <w:rsid w:val="000E4CEE"/>
    <w:rsid w:val="000E6238"/>
    <w:rsid w:val="000E62C2"/>
    <w:rsid w:val="000E7DB1"/>
    <w:rsid w:val="000F1087"/>
    <w:rsid w:val="000F3035"/>
    <w:rsid w:val="000F3BFD"/>
    <w:rsid w:val="000F7E04"/>
    <w:rsid w:val="00110A2B"/>
    <w:rsid w:val="00117ECD"/>
    <w:rsid w:val="0012027D"/>
    <w:rsid w:val="0012267C"/>
    <w:rsid w:val="00131A99"/>
    <w:rsid w:val="00145A9D"/>
    <w:rsid w:val="0015089C"/>
    <w:rsid w:val="001617FC"/>
    <w:rsid w:val="001631AB"/>
    <w:rsid w:val="00170CCF"/>
    <w:rsid w:val="00183490"/>
    <w:rsid w:val="001839FE"/>
    <w:rsid w:val="00186EC3"/>
    <w:rsid w:val="00193D79"/>
    <w:rsid w:val="00197AFF"/>
    <w:rsid w:val="001A2615"/>
    <w:rsid w:val="001A33CA"/>
    <w:rsid w:val="001A4926"/>
    <w:rsid w:val="001A7D36"/>
    <w:rsid w:val="001B2995"/>
    <w:rsid w:val="001B2B33"/>
    <w:rsid w:val="001B7993"/>
    <w:rsid w:val="001B7FBD"/>
    <w:rsid w:val="001C37FE"/>
    <w:rsid w:val="001D1281"/>
    <w:rsid w:val="001D1FB9"/>
    <w:rsid w:val="001F2F64"/>
    <w:rsid w:val="001F6A02"/>
    <w:rsid w:val="00201F0C"/>
    <w:rsid w:val="0020235D"/>
    <w:rsid w:val="00202805"/>
    <w:rsid w:val="0021064F"/>
    <w:rsid w:val="002124C5"/>
    <w:rsid w:val="00213F35"/>
    <w:rsid w:val="002156AC"/>
    <w:rsid w:val="002203BC"/>
    <w:rsid w:val="00220F11"/>
    <w:rsid w:val="00221B96"/>
    <w:rsid w:val="0023187D"/>
    <w:rsid w:val="00231E77"/>
    <w:rsid w:val="00243834"/>
    <w:rsid w:val="00244077"/>
    <w:rsid w:val="0024462E"/>
    <w:rsid w:val="00250F40"/>
    <w:rsid w:val="002520D0"/>
    <w:rsid w:val="00257347"/>
    <w:rsid w:val="00270528"/>
    <w:rsid w:val="002714A4"/>
    <w:rsid w:val="00282EA6"/>
    <w:rsid w:val="00295534"/>
    <w:rsid w:val="00296539"/>
    <w:rsid w:val="002A29DD"/>
    <w:rsid w:val="002A3EE3"/>
    <w:rsid w:val="002A7860"/>
    <w:rsid w:val="002B002A"/>
    <w:rsid w:val="002B117D"/>
    <w:rsid w:val="002D6C19"/>
    <w:rsid w:val="002E6729"/>
    <w:rsid w:val="002E6B14"/>
    <w:rsid w:val="002E7AAA"/>
    <w:rsid w:val="002F4029"/>
    <w:rsid w:val="002F60F1"/>
    <w:rsid w:val="00300B38"/>
    <w:rsid w:val="003151F2"/>
    <w:rsid w:val="0032243D"/>
    <w:rsid w:val="00323ABF"/>
    <w:rsid w:val="003274B8"/>
    <w:rsid w:val="003310EF"/>
    <w:rsid w:val="00337296"/>
    <w:rsid w:val="00341DB5"/>
    <w:rsid w:val="00345DB5"/>
    <w:rsid w:val="00346D45"/>
    <w:rsid w:val="00353125"/>
    <w:rsid w:val="00354C09"/>
    <w:rsid w:val="00361500"/>
    <w:rsid w:val="00362AAF"/>
    <w:rsid w:val="00362FF4"/>
    <w:rsid w:val="00363F3C"/>
    <w:rsid w:val="00366CF8"/>
    <w:rsid w:val="00373197"/>
    <w:rsid w:val="003812E3"/>
    <w:rsid w:val="003845E4"/>
    <w:rsid w:val="00387FAA"/>
    <w:rsid w:val="00390A21"/>
    <w:rsid w:val="003A4C01"/>
    <w:rsid w:val="003B1A04"/>
    <w:rsid w:val="003B2BC8"/>
    <w:rsid w:val="003B304A"/>
    <w:rsid w:val="003B6CFA"/>
    <w:rsid w:val="003B75EA"/>
    <w:rsid w:val="003C4A87"/>
    <w:rsid w:val="003C4C55"/>
    <w:rsid w:val="003C56CC"/>
    <w:rsid w:val="003C7116"/>
    <w:rsid w:val="003D22E3"/>
    <w:rsid w:val="003D631A"/>
    <w:rsid w:val="003E5C79"/>
    <w:rsid w:val="003F71E5"/>
    <w:rsid w:val="003F7639"/>
    <w:rsid w:val="004016F0"/>
    <w:rsid w:val="004027AF"/>
    <w:rsid w:val="00407F62"/>
    <w:rsid w:val="0041452A"/>
    <w:rsid w:val="00414573"/>
    <w:rsid w:val="00415B80"/>
    <w:rsid w:val="00416AA0"/>
    <w:rsid w:val="00416BD1"/>
    <w:rsid w:val="004174B7"/>
    <w:rsid w:val="0042155F"/>
    <w:rsid w:val="00425A58"/>
    <w:rsid w:val="004326FA"/>
    <w:rsid w:val="00432F10"/>
    <w:rsid w:val="00433208"/>
    <w:rsid w:val="00436406"/>
    <w:rsid w:val="004378B2"/>
    <w:rsid w:val="004508A5"/>
    <w:rsid w:val="004530C4"/>
    <w:rsid w:val="00460CFE"/>
    <w:rsid w:val="00462BEE"/>
    <w:rsid w:val="00471DF5"/>
    <w:rsid w:val="004721F4"/>
    <w:rsid w:val="004A510F"/>
    <w:rsid w:val="004A64CC"/>
    <w:rsid w:val="004B50D1"/>
    <w:rsid w:val="004C1043"/>
    <w:rsid w:val="004C1CBA"/>
    <w:rsid w:val="004C3E30"/>
    <w:rsid w:val="004C674D"/>
    <w:rsid w:val="004D0A2D"/>
    <w:rsid w:val="004D0A62"/>
    <w:rsid w:val="004D5F53"/>
    <w:rsid w:val="004D6240"/>
    <w:rsid w:val="004E2829"/>
    <w:rsid w:val="004F19EA"/>
    <w:rsid w:val="004F1AAA"/>
    <w:rsid w:val="004F30A5"/>
    <w:rsid w:val="00501BA4"/>
    <w:rsid w:val="0051018B"/>
    <w:rsid w:val="0051023C"/>
    <w:rsid w:val="00523F17"/>
    <w:rsid w:val="00525D73"/>
    <w:rsid w:val="00540467"/>
    <w:rsid w:val="00555CCB"/>
    <w:rsid w:val="00576568"/>
    <w:rsid w:val="00582749"/>
    <w:rsid w:val="0058280F"/>
    <w:rsid w:val="00583555"/>
    <w:rsid w:val="005869D0"/>
    <w:rsid w:val="005913B5"/>
    <w:rsid w:val="00593CF1"/>
    <w:rsid w:val="00597221"/>
    <w:rsid w:val="005A4A49"/>
    <w:rsid w:val="005B194E"/>
    <w:rsid w:val="005B3CB5"/>
    <w:rsid w:val="005C188C"/>
    <w:rsid w:val="005C5B84"/>
    <w:rsid w:val="005E1F6D"/>
    <w:rsid w:val="005E75E6"/>
    <w:rsid w:val="005E7AE5"/>
    <w:rsid w:val="005F239F"/>
    <w:rsid w:val="005F346E"/>
    <w:rsid w:val="005F4B0D"/>
    <w:rsid w:val="005F78BC"/>
    <w:rsid w:val="00600CAF"/>
    <w:rsid w:val="006111E6"/>
    <w:rsid w:val="00611EC6"/>
    <w:rsid w:val="00620D4E"/>
    <w:rsid w:val="00622211"/>
    <w:rsid w:val="00637039"/>
    <w:rsid w:val="00643662"/>
    <w:rsid w:val="006472D6"/>
    <w:rsid w:val="00660133"/>
    <w:rsid w:val="006603F1"/>
    <w:rsid w:val="00661F45"/>
    <w:rsid w:val="0066218E"/>
    <w:rsid w:val="00663CC7"/>
    <w:rsid w:val="006719AB"/>
    <w:rsid w:val="00672156"/>
    <w:rsid w:val="006732EB"/>
    <w:rsid w:val="00675840"/>
    <w:rsid w:val="006768B4"/>
    <w:rsid w:val="00683AD3"/>
    <w:rsid w:val="00695A01"/>
    <w:rsid w:val="006965A1"/>
    <w:rsid w:val="006973C5"/>
    <w:rsid w:val="00697547"/>
    <w:rsid w:val="006A2326"/>
    <w:rsid w:val="006A284C"/>
    <w:rsid w:val="006B0BBB"/>
    <w:rsid w:val="006B5DD4"/>
    <w:rsid w:val="006B6293"/>
    <w:rsid w:val="006C0042"/>
    <w:rsid w:val="006C0D60"/>
    <w:rsid w:val="006C26B3"/>
    <w:rsid w:val="006C38AA"/>
    <w:rsid w:val="006C4519"/>
    <w:rsid w:val="006E0C2E"/>
    <w:rsid w:val="006E0E31"/>
    <w:rsid w:val="006E62BC"/>
    <w:rsid w:val="006E6FA3"/>
    <w:rsid w:val="006F623F"/>
    <w:rsid w:val="006F6270"/>
    <w:rsid w:val="006F721C"/>
    <w:rsid w:val="006F755A"/>
    <w:rsid w:val="006F7DAE"/>
    <w:rsid w:val="007042FD"/>
    <w:rsid w:val="00712F43"/>
    <w:rsid w:val="00723044"/>
    <w:rsid w:val="007371C9"/>
    <w:rsid w:val="007549DA"/>
    <w:rsid w:val="00761F40"/>
    <w:rsid w:val="00764AE2"/>
    <w:rsid w:val="00765947"/>
    <w:rsid w:val="00767EC8"/>
    <w:rsid w:val="00771683"/>
    <w:rsid w:val="00771DEC"/>
    <w:rsid w:val="00772DBA"/>
    <w:rsid w:val="0078385D"/>
    <w:rsid w:val="00783E03"/>
    <w:rsid w:val="00784D8F"/>
    <w:rsid w:val="00791CEC"/>
    <w:rsid w:val="007931FD"/>
    <w:rsid w:val="00793E1E"/>
    <w:rsid w:val="007A175A"/>
    <w:rsid w:val="007A3AD3"/>
    <w:rsid w:val="007A629C"/>
    <w:rsid w:val="007B20F5"/>
    <w:rsid w:val="007B22F6"/>
    <w:rsid w:val="007B2537"/>
    <w:rsid w:val="007B4E7B"/>
    <w:rsid w:val="007B6B28"/>
    <w:rsid w:val="007C0250"/>
    <w:rsid w:val="007C0820"/>
    <w:rsid w:val="007C76F4"/>
    <w:rsid w:val="007D0496"/>
    <w:rsid w:val="007D21F6"/>
    <w:rsid w:val="007D4208"/>
    <w:rsid w:val="007D4EB8"/>
    <w:rsid w:val="007D58A9"/>
    <w:rsid w:val="007D6876"/>
    <w:rsid w:val="007E0D11"/>
    <w:rsid w:val="007E1957"/>
    <w:rsid w:val="007E6016"/>
    <w:rsid w:val="007F059B"/>
    <w:rsid w:val="007F2CBF"/>
    <w:rsid w:val="007F2F0D"/>
    <w:rsid w:val="008041C1"/>
    <w:rsid w:val="00811C22"/>
    <w:rsid w:val="008120F0"/>
    <w:rsid w:val="00813F39"/>
    <w:rsid w:val="008176E4"/>
    <w:rsid w:val="00820925"/>
    <w:rsid w:val="00822FD3"/>
    <w:rsid w:val="00823289"/>
    <w:rsid w:val="00824847"/>
    <w:rsid w:val="00826670"/>
    <w:rsid w:val="0083789B"/>
    <w:rsid w:val="008448FC"/>
    <w:rsid w:val="00850DF2"/>
    <w:rsid w:val="008529B2"/>
    <w:rsid w:val="008602B5"/>
    <w:rsid w:val="00860785"/>
    <w:rsid w:val="00860906"/>
    <w:rsid w:val="00861658"/>
    <w:rsid w:val="008645A7"/>
    <w:rsid w:val="00871548"/>
    <w:rsid w:val="00872142"/>
    <w:rsid w:val="00876254"/>
    <w:rsid w:val="00876AAB"/>
    <w:rsid w:val="008809BF"/>
    <w:rsid w:val="00887A07"/>
    <w:rsid w:val="008935CE"/>
    <w:rsid w:val="00895E63"/>
    <w:rsid w:val="008A09B0"/>
    <w:rsid w:val="008A1263"/>
    <w:rsid w:val="008A1551"/>
    <w:rsid w:val="008A2E83"/>
    <w:rsid w:val="008A5B46"/>
    <w:rsid w:val="008A7A76"/>
    <w:rsid w:val="008B24C3"/>
    <w:rsid w:val="008B4A85"/>
    <w:rsid w:val="008B5235"/>
    <w:rsid w:val="008B60DB"/>
    <w:rsid w:val="008C133D"/>
    <w:rsid w:val="008C5207"/>
    <w:rsid w:val="008C5CFA"/>
    <w:rsid w:val="008C687E"/>
    <w:rsid w:val="008C77DE"/>
    <w:rsid w:val="008D002B"/>
    <w:rsid w:val="008D17FB"/>
    <w:rsid w:val="008D4874"/>
    <w:rsid w:val="008E2C92"/>
    <w:rsid w:val="008E53E2"/>
    <w:rsid w:val="008F0527"/>
    <w:rsid w:val="008F2CA7"/>
    <w:rsid w:val="00902F51"/>
    <w:rsid w:val="00904950"/>
    <w:rsid w:val="009059B4"/>
    <w:rsid w:val="00906F69"/>
    <w:rsid w:val="00910CFB"/>
    <w:rsid w:val="0091683C"/>
    <w:rsid w:val="00916F04"/>
    <w:rsid w:val="0092196C"/>
    <w:rsid w:val="009224F4"/>
    <w:rsid w:val="0093278E"/>
    <w:rsid w:val="009335A6"/>
    <w:rsid w:val="0093563F"/>
    <w:rsid w:val="009366E5"/>
    <w:rsid w:val="00940A85"/>
    <w:rsid w:val="0094220B"/>
    <w:rsid w:val="00942849"/>
    <w:rsid w:val="00942B6E"/>
    <w:rsid w:val="00947C3B"/>
    <w:rsid w:val="009544AC"/>
    <w:rsid w:val="0095721E"/>
    <w:rsid w:val="00961A06"/>
    <w:rsid w:val="00962E49"/>
    <w:rsid w:val="009630A0"/>
    <w:rsid w:val="00963729"/>
    <w:rsid w:val="0096438C"/>
    <w:rsid w:val="00966927"/>
    <w:rsid w:val="009707D0"/>
    <w:rsid w:val="00971D71"/>
    <w:rsid w:val="00971E2D"/>
    <w:rsid w:val="009927BF"/>
    <w:rsid w:val="00996782"/>
    <w:rsid w:val="00997C95"/>
    <w:rsid w:val="009A1041"/>
    <w:rsid w:val="009A47A2"/>
    <w:rsid w:val="009A69B5"/>
    <w:rsid w:val="009A6CD4"/>
    <w:rsid w:val="009B03F5"/>
    <w:rsid w:val="009B3001"/>
    <w:rsid w:val="009B4B73"/>
    <w:rsid w:val="009C102F"/>
    <w:rsid w:val="009D3983"/>
    <w:rsid w:val="009D3E7B"/>
    <w:rsid w:val="009D7C5B"/>
    <w:rsid w:val="009E43FB"/>
    <w:rsid w:val="009E4878"/>
    <w:rsid w:val="009E5AB2"/>
    <w:rsid w:val="009E5F74"/>
    <w:rsid w:val="009E7218"/>
    <w:rsid w:val="009F0934"/>
    <w:rsid w:val="009F61C2"/>
    <w:rsid w:val="009F6771"/>
    <w:rsid w:val="00A03B97"/>
    <w:rsid w:val="00A05153"/>
    <w:rsid w:val="00A051B3"/>
    <w:rsid w:val="00A068EA"/>
    <w:rsid w:val="00A069C4"/>
    <w:rsid w:val="00A102A9"/>
    <w:rsid w:val="00A14579"/>
    <w:rsid w:val="00A148AD"/>
    <w:rsid w:val="00A305C9"/>
    <w:rsid w:val="00A37FE1"/>
    <w:rsid w:val="00A4621F"/>
    <w:rsid w:val="00A5147F"/>
    <w:rsid w:val="00A52A22"/>
    <w:rsid w:val="00A560AE"/>
    <w:rsid w:val="00A5699A"/>
    <w:rsid w:val="00A579E0"/>
    <w:rsid w:val="00A61639"/>
    <w:rsid w:val="00A6642D"/>
    <w:rsid w:val="00A67E0B"/>
    <w:rsid w:val="00A700B0"/>
    <w:rsid w:val="00A726AD"/>
    <w:rsid w:val="00A72EED"/>
    <w:rsid w:val="00A74392"/>
    <w:rsid w:val="00A81A96"/>
    <w:rsid w:val="00A82805"/>
    <w:rsid w:val="00A84F7D"/>
    <w:rsid w:val="00A9065D"/>
    <w:rsid w:val="00A90ABD"/>
    <w:rsid w:val="00A934AF"/>
    <w:rsid w:val="00AA131A"/>
    <w:rsid w:val="00AA545E"/>
    <w:rsid w:val="00AA6503"/>
    <w:rsid w:val="00AA713C"/>
    <w:rsid w:val="00AC2FBA"/>
    <w:rsid w:val="00AE423B"/>
    <w:rsid w:val="00AF07C8"/>
    <w:rsid w:val="00AF4CFE"/>
    <w:rsid w:val="00AF780B"/>
    <w:rsid w:val="00B03CB8"/>
    <w:rsid w:val="00B06227"/>
    <w:rsid w:val="00B160EF"/>
    <w:rsid w:val="00B20FF8"/>
    <w:rsid w:val="00B21AE5"/>
    <w:rsid w:val="00B24725"/>
    <w:rsid w:val="00B36256"/>
    <w:rsid w:val="00B36476"/>
    <w:rsid w:val="00B45097"/>
    <w:rsid w:val="00B57EEB"/>
    <w:rsid w:val="00B6126E"/>
    <w:rsid w:val="00B64346"/>
    <w:rsid w:val="00B70988"/>
    <w:rsid w:val="00B72379"/>
    <w:rsid w:val="00B77121"/>
    <w:rsid w:val="00B83228"/>
    <w:rsid w:val="00B90932"/>
    <w:rsid w:val="00B951FB"/>
    <w:rsid w:val="00B97622"/>
    <w:rsid w:val="00BA07D5"/>
    <w:rsid w:val="00BA2C7A"/>
    <w:rsid w:val="00BA6E96"/>
    <w:rsid w:val="00BB74FD"/>
    <w:rsid w:val="00BC1ECF"/>
    <w:rsid w:val="00BC2E4D"/>
    <w:rsid w:val="00BC71F4"/>
    <w:rsid w:val="00BD0375"/>
    <w:rsid w:val="00BD3A80"/>
    <w:rsid w:val="00BD550C"/>
    <w:rsid w:val="00BE4F0C"/>
    <w:rsid w:val="00BE7CD2"/>
    <w:rsid w:val="00BF4058"/>
    <w:rsid w:val="00BF55EC"/>
    <w:rsid w:val="00C02534"/>
    <w:rsid w:val="00C0350A"/>
    <w:rsid w:val="00C07D34"/>
    <w:rsid w:val="00C11B27"/>
    <w:rsid w:val="00C12AB8"/>
    <w:rsid w:val="00C16D24"/>
    <w:rsid w:val="00C21D25"/>
    <w:rsid w:val="00C26B63"/>
    <w:rsid w:val="00C27016"/>
    <w:rsid w:val="00C306A5"/>
    <w:rsid w:val="00C3129D"/>
    <w:rsid w:val="00C43714"/>
    <w:rsid w:val="00C43820"/>
    <w:rsid w:val="00C44421"/>
    <w:rsid w:val="00C4658E"/>
    <w:rsid w:val="00C47088"/>
    <w:rsid w:val="00C47A4B"/>
    <w:rsid w:val="00C52CCF"/>
    <w:rsid w:val="00C65E85"/>
    <w:rsid w:val="00C7600B"/>
    <w:rsid w:val="00C8259C"/>
    <w:rsid w:val="00C862A5"/>
    <w:rsid w:val="00C86A6F"/>
    <w:rsid w:val="00C8730C"/>
    <w:rsid w:val="00C95DEC"/>
    <w:rsid w:val="00C96D93"/>
    <w:rsid w:val="00C97223"/>
    <w:rsid w:val="00CA0529"/>
    <w:rsid w:val="00CA1D2E"/>
    <w:rsid w:val="00CA2FE8"/>
    <w:rsid w:val="00CA3F0F"/>
    <w:rsid w:val="00CA3F55"/>
    <w:rsid w:val="00CB1F02"/>
    <w:rsid w:val="00CB7E79"/>
    <w:rsid w:val="00CB7F04"/>
    <w:rsid w:val="00CC0DEE"/>
    <w:rsid w:val="00CC2BA9"/>
    <w:rsid w:val="00CD4875"/>
    <w:rsid w:val="00CD4A41"/>
    <w:rsid w:val="00CD6CD8"/>
    <w:rsid w:val="00CE2522"/>
    <w:rsid w:val="00CE2AF9"/>
    <w:rsid w:val="00CE5F01"/>
    <w:rsid w:val="00CE6F0C"/>
    <w:rsid w:val="00CF045D"/>
    <w:rsid w:val="00CF2B04"/>
    <w:rsid w:val="00CF3848"/>
    <w:rsid w:val="00CF4C30"/>
    <w:rsid w:val="00D0123C"/>
    <w:rsid w:val="00D01E18"/>
    <w:rsid w:val="00D0725E"/>
    <w:rsid w:val="00D14B83"/>
    <w:rsid w:val="00D177AD"/>
    <w:rsid w:val="00D2171B"/>
    <w:rsid w:val="00D224B4"/>
    <w:rsid w:val="00D23224"/>
    <w:rsid w:val="00D27A84"/>
    <w:rsid w:val="00D332BC"/>
    <w:rsid w:val="00D3761C"/>
    <w:rsid w:val="00D40BA9"/>
    <w:rsid w:val="00D50D01"/>
    <w:rsid w:val="00D51815"/>
    <w:rsid w:val="00D5494C"/>
    <w:rsid w:val="00D549B8"/>
    <w:rsid w:val="00D56BEC"/>
    <w:rsid w:val="00D56E4E"/>
    <w:rsid w:val="00D61B92"/>
    <w:rsid w:val="00D63195"/>
    <w:rsid w:val="00D723F7"/>
    <w:rsid w:val="00D7305D"/>
    <w:rsid w:val="00D75897"/>
    <w:rsid w:val="00DA0C08"/>
    <w:rsid w:val="00DA13F3"/>
    <w:rsid w:val="00DA4C89"/>
    <w:rsid w:val="00DA5EB8"/>
    <w:rsid w:val="00DB037A"/>
    <w:rsid w:val="00DB3F94"/>
    <w:rsid w:val="00DB41ED"/>
    <w:rsid w:val="00DB5BB1"/>
    <w:rsid w:val="00DC3309"/>
    <w:rsid w:val="00DD28F1"/>
    <w:rsid w:val="00DD66E3"/>
    <w:rsid w:val="00DE4996"/>
    <w:rsid w:val="00E0091E"/>
    <w:rsid w:val="00E00AEB"/>
    <w:rsid w:val="00E03B45"/>
    <w:rsid w:val="00E048E2"/>
    <w:rsid w:val="00E10C49"/>
    <w:rsid w:val="00E12135"/>
    <w:rsid w:val="00E15231"/>
    <w:rsid w:val="00E31399"/>
    <w:rsid w:val="00E319A7"/>
    <w:rsid w:val="00E37317"/>
    <w:rsid w:val="00E375EF"/>
    <w:rsid w:val="00E423BF"/>
    <w:rsid w:val="00E46171"/>
    <w:rsid w:val="00E47E94"/>
    <w:rsid w:val="00E50425"/>
    <w:rsid w:val="00E530B7"/>
    <w:rsid w:val="00E6230C"/>
    <w:rsid w:val="00E62D2E"/>
    <w:rsid w:val="00E7267D"/>
    <w:rsid w:val="00E82518"/>
    <w:rsid w:val="00E85A61"/>
    <w:rsid w:val="00E876A9"/>
    <w:rsid w:val="00E925BD"/>
    <w:rsid w:val="00EA38A3"/>
    <w:rsid w:val="00EA6CE3"/>
    <w:rsid w:val="00EB5AC6"/>
    <w:rsid w:val="00EC1825"/>
    <w:rsid w:val="00EC3AAC"/>
    <w:rsid w:val="00ED0C9E"/>
    <w:rsid w:val="00ED159A"/>
    <w:rsid w:val="00ED6C32"/>
    <w:rsid w:val="00EE5A40"/>
    <w:rsid w:val="00EE6E9E"/>
    <w:rsid w:val="00EF10D3"/>
    <w:rsid w:val="00EF74C9"/>
    <w:rsid w:val="00F0290D"/>
    <w:rsid w:val="00F0638E"/>
    <w:rsid w:val="00F10B6D"/>
    <w:rsid w:val="00F1410A"/>
    <w:rsid w:val="00F37F8C"/>
    <w:rsid w:val="00F43A8B"/>
    <w:rsid w:val="00F43CF8"/>
    <w:rsid w:val="00F443D1"/>
    <w:rsid w:val="00F46CF8"/>
    <w:rsid w:val="00F479F3"/>
    <w:rsid w:val="00F644C2"/>
    <w:rsid w:val="00F6469F"/>
    <w:rsid w:val="00F65804"/>
    <w:rsid w:val="00F72B3D"/>
    <w:rsid w:val="00F823B8"/>
    <w:rsid w:val="00F91BC6"/>
    <w:rsid w:val="00F94964"/>
    <w:rsid w:val="00F9573F"/>
    <w:rsid w:val="00F97B2C"/>
    <w:rsid w:val="00FA0FEE"/>
    <w:rsid w:val="00FA230C"/>
    <w:rsid w:val="00FA24B6"/>
    <w:rsid w:val="00FA3831"/>
    <w:rsid w:val="00FA6577"/>
    <w:rsid w:val="00FB2FBB"/>
    <w:rsid w:val="00FC3C6B"/>
    <w:rsid w:val="00FC411E"/>
    <w:rsid w:val="00FC4979"/>
    <w:rsid w:val="00FC7D57"/>
    <w:rsid w:val="00FD0E9A"/>
    <w:rsid w:val="00FD10FB"/>
    <w:rsid w:val="00FD2048"/>
    <w:rsid w:val="00FD62C5"/>
    <w:rsid w:val="00FE6719"/>
    <w:rsid w:val="00FE7AB1"/>
    <w:rsid w:val="00FF0FBC"/>
    <w:rsid w:val="00FF12FC"/>
    <w:rsid w:val="00FF4071"/>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E127A2BD-C9B9-45F2-AB66-34C86BC19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51</Pages>
  <Words>11394</Words>
  <Characters>62669</Characters>
  <Application>Microsoft Office Word</Application>
  <DocSecurity>0</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22</cp:revision>
  <cp:lastPrinted>2026-04-17T17:27:00Z</cp:lastPrinted>
  <dcterms:created xsi:type="dcterms:W3CDTF">2026-04-07T18:05:00Z</dcterms:created>
  <dcterms:modified xsi:type="dcterms:W3CDTF">2026-04-23T18:53:00Z</dcterms:modified>
</cp:coreProperties>
</file>