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455" w:rsidRPr="00957D13" w:rsidRDefault="00117A9F">
      <w:pPr>
        <w:pBdr>
          <w:top w:val="nil"/>
          <w:left w:val="nil"/>
          <w:bottom w:val="nil"/>
          <w:right w:val="nil"/>
          <w:between w:val="nil"/>
        </w:pBdr>
        <w:spacing w:line="360" w:lineRule="auto"/>
        <w:jc w:val="both"/>
        <w:rPr>
          <w:rFonts w:ascii="Palatino Linotype" w:eastAsia="Palatino Linotype" w:hAnsi="Palatino Linotype" w:cs="Palatino Linotype"/>
          <w:b/>
          <w:color w:val="000000"/>
          <w:sz w:val="24"/>
          <w:szCs w:val="24"/>
        </w:rPr>
      </w:pPr>
      <w:bookmarkStart w:id="0" w:name="_GoBack"/>
      <w:bookmarkEnd w:id="0"/>
      <w:r w:rsidRPr="00957D13">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w:t>
      </w:r>
      <w:r w:rsidR="00957D13">
        <w:rPr>
          <w:rFonts w:ascii="Palatino Linotype" w:eastAsia="Palatino Linotype" w:hAnsi="Palatino Linotype" w:cs="Palatino Linotype"/>
          <w:color w:val="000000"/>
          <w:sz w:val="24"/>
          <w:szCs w:val="24"/>
        </w:rPr>
        <w:t xml:space="preserve">Estado de México; </w:t>
      </w:r>
      <w:r w:rsidR="00957D13" w:rsidRPr="00957D13">
        <w:rPr>
          <w:rFonts w:ascii="Palatino Linotype" w:eastAsia="Palatino Linotype" w:hAnsi="Palatino Linotype" w:cs="Palatino Linotype"/>
          <w:b/>
          <w:color w:val="000000"/>
          <w:sz w:val="24"/>
          <w:szCs w:val="24"/>
        </w:rPr>
        <w:t>de fecha</w:t>
      </w:r>
      <w:r w:rsidRPr="00957D13">
        <w:rPr>
          <w:rFonts w:ascii="Palatino Linotype" w:eastAsia="Palatino Linotype" w:hAnsi="Palatino Linotype" w:cs="Palatino Linotype"/>
          <w:b/>
          <w:color w:val="000000"/>
          <w:sz w:val="24"/>
          <w:szCs w:val="24"/>
        </w:rPr>
        <w:t xml:space="preserve"> veinticinco </w:t>
      </w:r>
      <w:r w:rsidR="00957D13" w:rsidRPr="00957D13">
        <w:rPr>
          <w:rFonts w:ascii="Palatino Linotype" w:eastAsia="Palatino Linotype" w:hAnsi="Palatino Linotype" w:cs="Palatino Linotype"/>
          <w:b/>
          <w:color w:val="000000"/>
          <w:sz w:val="24"/>
          <w:szCs w:val="24"/>
        </w:rPr>
        <w:t xml:space="preserve">(25) </w:t>
      </w:r>
      <w:r w:rsidRPr="00957D13">
        <w:rPr>
          <w:rFonts w:ascii="Palatino Linotype" w:eastAsia="Palatino Linotype" w:hAnsi="Palatino Linotype" w:cs="Palatino Linotype"/>
          <w:b/>
          <w:color w:val="000000"/>
          <w:sz w:val="24"/>
          <w:szCs w:val="24"/>
        </w:rPr>
        <w:t>de febrero de dos mil veintiséis.</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bookmarkStart w:id="1" w:name="_heading=h.1q8c0yijmxik" w:colFirst="0" w:colLast="0"/>
      <w:bookmarkEnd w:id="1"/>
      <w:r w:rsidRPr="00957D13">
        <w:rPr>
          <w:rFonts w:ascii="Palatino Linotype" w:eastAsia="Palatino Linotype" w:hAnsi="Palatino Linotype" w:cs="Palatino Linotype"/>
          <w:b/>
          <w:color w:val="000000"/>
          <w:sz w:val="24"/>
          <w:szCs w:val="24"/>
        </w:rPr>
        <w:t>VISTOS</w:t>
      </w:r>
      <w:r w:rsidRPr="00957D13">
        <w:rPr>
          <w:rFonts w:ascii="Palatino Linotype" w:eastAsia="Palatino Linotype" w:hAnsi="Palatino Linotype" w:cs="Palatino Linotype"/>
          <w:color w:val="000000"/>
          <w:sz w:val="24"/>
          <w:szCs w:val="24"/>
        </w:rPr>
        <w:t xml:space="preserve"> los expedientes electrónicos formados con motivo de los Recursos de Revisión </w:t>
      </w:r>
      <w:r w:rsidR="003C5658" w:rsidRPr="00957D13">
        <w:rPr>
          <w:rFonts w:ascii="Palatino Linotype" w:eastAsia="Palatino Linotype" w:hAnsi="Palatino Linotype" w:cs="Palatino Linotype"/>
          <w:b/>
          <w:bCs/>
          <w:color w:val="000000"/>
          <w:sz w:val="24"/>
          <w:szCs w:val="24"/>
        </w:rPr>
        <w:t xml:space="preserve">09708/INFOEM/IP/RR/2025, </w:t>
      </w:r>
      <w:r w:rsidRPr="00957D13">
        <w:rPr>
          <w:rFonts w:ascii="Palatino Linotype" w:eastAsia="Palatino Linotype" w:hAnsi="Palatino Linotype" w:cs="Palatino Linotype"/>
          <w:b/>
          <w:bCs/>
          <w:color w:val="000000"/>
          <w:sz w:val="24"/>
          <w:szCs w:val="24"/>
        </w:rPr>
        <w:t>10173/INFOEM/IP/RR/2025, 13818/INFOEM/IP/RR/</w:t>
      </w:r>
      <w:r w:rsidR="00957D13">
        <w:rPr>
          <w:rFonts w:ascii="Palatino Linotype" w:eastAsia="Palatino Linotype" w:hAnsi="Palatino Linotype" w:cs="Palatino Linotype"/>
          <w:b/>
          <w:bCs/>
          <w:color w:val="000000"/>
          <w:sz w:val="24"/>
          <w:szCs w:val="24"/>
        </w:rPr>
        <w:t>2025 y  13813/INFOEM/IP/RR/2025</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 xml:space="preserve">acumulados, promovidos por   </w:t>
      </w:r>
      <w:r w:rsidRPr="00957D13">
        <w:rPr>
          <w:rFonts w:ascii="Palatino Linotype" w:eastAsia="Palatino Linotype" w:hAnsi="Palatino Linotype" w:cs="Palatino Linotype"/>
          <w:b/>
          <w:bCs/>
          <w:color w:val="000000"/>
          <w:sz w:val="24"/>
          <w:szCs w:val="24"/>
        </w:rPr>
        <w:t>una persona que no proporcionó datos de identificación</w:t>
      </w:r>
      <w:r w:rsidRPr="00957D13">
        <w:rPr>
          <w:rFonts w:ascii="Palatino Linotype" w:eastAsia="Palatino Linotype" w:hAnsi="Palatino Linotype" w:cs="Palatino Linotype"/>
          <w:color w:val="000000"/>
          <w:sz w:val="24"/>
          <w:szCs w:val="24"/>
        </w:rPr>
        <w:t xml:space="preserve">, a través del Sistema de Acceso a la Información Mexiquense (SAIMEX), a quien en lo sucesivo se le identificará como </w:t>
      </w:r>
      <w:r w:rsidRPr="00957D13">
        <w:rPr>
          <w:rFonts w:ascii="Palatino Linotype" w:eastAsia="Palatino Linotype" w:hAnsi="Palatino Linotype" w:cs="Palatino Linotype"/>
          <w:b/>
          <w:bCs/>
          <w:color w:val="000000"/>
          <w:sz w:val="24"/>
          <w:szCs w:val="24"/>
        </w:rPr>
        <w:t>EL RECURRENTE</w:t>
      </w:r>
      <w:r w:rsidRPr="00957D13">
        <w:rPr>
          <w:rFonts w:ascii="Palatino Linotype" w:eastAsia="Palatino Linotype" w:hAnsi="Palatino Linotype" w:cs="Palatino Linotype"/>
          <w:color w:val="000000"/>
          <w:sz w:val="24"/>
          <w:szCs w:val="24"/>
        </w:rPr>
        <w:t xml:space="preserve">, en contra de las respuestas del </w:t>
      </w:r>
      <w:r w:rsidRPr="00957D13">
        <w:rPr>
          <w:rFonts w:ascii="Palatino Linotype" w:eastAsia="Palatino Linotype" w:hAnsi="Palatino Linotype" w:cs="Palatino Linotype"/>
          <w:b/>
          <w:bCs/>
          <w:color w:val="000000"/>
          <w:sz w:val="24"/>
          <w:szCs w:val="24"/>
        </w:rPr>
        <w:t>Ayuntamiento de Toluca</w:t>
      </w:r>
      <w:r w:rsidRPr="00957D13">
        <w:rPr>
          <w:rFonts w:ascii="Palatino Linotype" w:eastAsia="Palatino Linotype" w:hAnsi="Palatino Linotype" w:cs="Palatino Linotype"/>
          <w:color w:val="000000"/>
          <w:sz w:val="24"/>
          <w:szCs w:val="24"/>
        </w:rPr>
        <w:t xml:space="preserve">, en </w:t>
      </w:r>
      <w:r w:rsidR="00957D13">
        <w:rPr>
          <w:rFonts w:ascii="Palatino Linotype" w:eastAsia="Palatino Linotype" w:hAnsi="Palatino Linotype" w:cs="Palatino Linotype"/>
          <w:color w:val="000000"/>
          <w:sz w:val="24"/>
          <w:szCs w:val="24"/>
        </w:rPr>
        <w:t>adelante</w:t>
      </w:r>
      <w:r w:rsidRPr="00957D13">
        <w:rPr>
          <w:rFonts w:ascii="Palatino Linotype" w:eastAsia="Palatino Linotype" w:hAnsi="Palatino Linotype" w:cs="Palatino Linotype"/>
          <w:color w:val="000000"/>
          <w:sz w:val="24"/>
          <w:szCs w:val="24"/>
        </w:rPr>
        <w:t xml:space="preserve"> </w:t>
      </w:r>
      <w:r w:rsidRPr="00957D13">
        <w:rPr>
          <w:rFonts w:ascii="Palatino Linotype" w:eastAsia="Palatino Linotype" w:hAnsi="Palatino Linotype" w:cs="Palatino Linotype"/>
          <w:b/>
          <w:bCs/>
          <w:color w:val="000000"/>
          <w:sz w:val="24"/>
          <w:szCs w:val="24"/>
        </w:rPr>
        <w:t>EL SUJETO OBLIGADO</w:t>
      </w:r>
      <w:r w:rsidRPr="00957D13">
        <w:rPr>
          <w:rFonts w:ascii="Palatino Linotype" w:eastAsia="Palatino Linotype" w:hAnsi="Palatino Linotype" w:cs="Palatino Linotype"/>
          <w:color w:val="000000"/>
          <w:sz w:val="24"/>
          <w:szCs w:val="24"/>
        </w:rPr>
        <w:t>, se procede a dictar la presente resolución, con base en los siguientes:</w:t>
      </w:r>
    </w:p>
    <w:p w:rsidR="00E50455"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957D13" w:rsidRPr="00957D13" w:rsidRDefault="00957D13">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pBdr>
          <w:top w:val="nil"/>
          <w:left w:val="nil"/>
          <w:bottom w:val="nil"/>
          <w:right w:val="nil"/>
          <w:between w:val="nil"/>
        </w:pBdr>
        <w:spacing w:line="360" w:lineRule="auto"/>
        <w:jc w:val="center"/>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A N T E C E D E N T E S</w:t>
      </w:r>
    </w:p>
    <w:p w:rsidR="00E50455" w:rsidRPr="00957D13" w:rsidRDefault="00E50455">
      <w:pPr>
        <w:spacing w:line="360" w:lineRule="auto"/>
        <w:rPr>
          <w:rFonts w:ascii="Palatino Linotype" w:eastAsia="Palatino Linotype" w:hAnsi="Palatino Linotype" w:cs="Palatino Linotype"/>
          <w:sz w:val="24"/>
          <w:szCs w:val="24"/>
        </w:rPr>
      </w:pPr>
    </w:p>
    <w:p w:rsidR="00E50455" w:rsidRPr="00957D13" w:rsidRDefault="00117A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El veinticuatro de junio, veinticinco de julio, cuatro de agosto y diez de noviembre  de dos mil veinticinco respectivamente, se presentó ante el </w:t>
      </w:r>
      <w:r w:rsidRPr="00957D13">
        <w:rPr>
          <w:rFonts w:ascii="Palatino Linotype" w:eastAsia="Palatino Linotype" w:hAnsi="Palatino Linotype" w:cs="Palatino Linotype"/>
          <w:b/>
          <w:bCs/>
          <w:color w:val="000000"/>
          <w:sz w:val="24"/>
          <w:szCs w:val="24"/>
        </w:rPr>
        <w:t>SUJETO OBLIGADO</w:t>
      </w:r>
      <w:r w:rsidRPr="00957D13">
        <w:rPr>
          <w:rFonts w:ascii="Palatino Linotype" w:eastAsia="Palatino Linotype" w:hAnsi="Palatino Linotype" w:cs="Palatino Linotype"/>
          <w:color w:val="000000"/>
          <w:sz w:val="24"/>
          <w:szCs w:val="24"/>
        </w:rPr>
        <w:t xml:space="preserve"> vía </w:t>
      </w:r>
      <w:r w:rsidRPr="00957D13">
        <w:rPr>
          <w:rFonts w:ascii="Palatino Linotype" w:eastAsia="Palatino Linotype" w:hAnsi="Palatino Linotype" w:cs="Palatino Linotype"/>
          <w:b/>
          <w:bCs/>
          <w:color w:val="000000"/>
          <w:sz w:val="24"/>
          <w:szCs w:val="24"/>
        </w:rPr>
        <w:t>SAIMEX</w:t>
      </w:r>
      <w:r w:rsidRPr="00957D13">
        <w:rPr>
          <w:rFonts w:ascii="Palatino Linotype" w:eastAsia="Palatino Linotype" w:hAnsi="Palatino Linotype" w:cs="Palatino Linotype"/>
          <w:color w:val="000000"/>
          <w:sz w:val="24"/>
          <w:szCs w:val="24"/>
        </w:rPr>
        <w:t>, las solicitudes de información pública registradas con los números</w:t>
      </w:r>
      <w:r w:rsidRPr="00957D13">
        <w:rPr>
          <w:rFonts w:ascii="Palatino Linotype" w:eastAsia="Palatino Linotype" w:hAnsi="Palatino Linotype" w:cs="Palatino Linotype"/>
          <w:b/>
          <w:bCs/>
          <w:color w:val="000000"/>
          <w:sz w:val="24"/>
          <w:szCs w:val="24"/>
        </w:rPr>
        <w:t xml:space="preserve"> 03617/TOLUCA/IP/2025, 04066/TOLUCA/IP/2025, 06187/TOLUCA/IP/2025, y  6196/TOLUCA/IP/2025  </w:t>
      </w:r>
      <w:r w:rsidR="00957D13">
        <w:rPr>
          <w:rFonts w:ascii="Palatino Linotype" w:eastAsia="Palatino Linotype" w:hAnsi="Palatino Linotype" w:cs="Palatino Linotype"/>
          <w:color w:val="000000"/>
          <w:sz w:val="24"/>
          <w:szCs w:val="24"/>
        </w:rPr>
        <w:t>en las que</w:t>
      </w:r>
      <w:r w:rsidRPr="00957D13">
        <w:rPr>
          <w:rFonts w:ascii="Palatino Linotype" w:eastAsia="Palatino Linotype" w:hAnsi="Palatino Linotype" w:cs="Palatino Linotype"/>
          <w:color w:val="000000"/>
          <w:sz w:val="24"/>
          <w:szCs w:val="24"/>
        </w:rPr>
        <w:t xml:space="preserve"> se solicitó la siguiente información:</w:t>
      </w:r>
    </w:p>
    <w:p w:rsidR="00E50455" w:rsidRPr="00957D13" w:rsidRDefault="00E50455">
      <w:pPr>
        <w:spacing w:line="480" w:lineRule="auto"/>
        <w:rPr>
          <w:rFonts w:ascii="Palatino Linotype" w:eastAsia="Palatino Linotype" w:hAnsi="Palatino Linotype" w:cs="Palatino Linotype"/>
          <w:sz w:val="24"/>
          <w:szCs w:val="24"/>
        </w:rPr>
      </w:pPr>
    </w:p>
    <w:p w:rsidR="00E50455" w:rsidRPr="00957D13" w:rsidRDefault="00E50455">
      <w:pPr>
        <w:spacing w:line="480" w:lineRule="auto"/>
        <w:rPr>
          <w:rFonts w:ascii="Palatino Linotype" w:eastAsia="Palatino Linotype" w:hAnsi="Palatino Linotype" w:cs="Palatino Linotype"/>
          <w:sz w:val="24"/>
          <w:szCs w:val="24"/>
        </w:rPr>
      </w:pPr>
    </w:p>
    <w:tbl>
      <w:tblPr>
        <w:tblStyle w:val="a3"/>
        <w:tblW w:w="9751" w:type="dxa"/>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380"/>
        <w:gridCol w:w="7371"/>
      </w:tblGrid>
      <w:tr w:rsidR="00E50455" w:rsidRPr="00957D13">
        <w:trPr>
          <w:trHeight w:val="696"/>
          <w:tblHeader/>
        </w:trPr>
        <w:tc>
          <w:tcPr>
            <w:tcW w:w="2380"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FOLIO DE LA</w:t>
            </w:r>
            <w:r w:rsidR="001266BB"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b/>
                <w:bCs/>
                <w:sz w:val="24"/>
                <w:szCs w:val="24"/>
              </w:rPr>
              <w:t>SOLICITUD</w:t>
            </w:r>
          </w:p>
        </w:tc>
        <w:tc>
          <w:tcPr>
            <w:tcW w:w="7371"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DESCRIPCIÓN DE LA INFORMACIÓN SOLICITADA</w:t>
            </w:r>
          </w:p>
        </w:tc>
      </w:tr>
      <w:tr w:rsidR="00E50455" w:rsidRPr="00957D13">
        <w:trPr>
          <w:trHeight w:val="460"/>
        </w:trPr>
        <w:tc>
          <w:tcPr>
            <w:tcW w:w="2380"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03617/TOLUCA/IP/2025</w:t>
            </w:r>
          </w:p>
        </w:tc>
        <w:tc>
          <w:tcPr>
            <w:tcW w:w="7371"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“La peticiones ciudadana y audiencias ciudadana de cada integrante de cabil con su respectiva respuesta y de la audiencia el registro de audiencia, asunto, telefono y respuesta del 1 de enero a la fecha.” (Sic).</w:t>
            </w:r>
          </w:p>
        </w:tc>
      </w:tr>
      <w:tr w:rsidR="00E50455" w:rsidRPr="00957D13">
        <w:trPr>
          <w:trHeight w:val="460"/>
        </w:trPr>
        <w:tc>
          <w:tcPr>
            <w:tcW w:w="2380" w:type="dxa"/>
            <w:shd w:val="clear" w:color="auto" w:fill="F2F2F2"/>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04066/TOLUCA/IP/2025</w:t>
            </w:r>
          </w:p>
        </w:tc>
        <w:tc>
          <w:tcPr>
            <w:tcW w:w="7371"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“De conformidad con el artículo 5 de la Constitución se solicitan todos las peticiones ciudadana recibidas en la Décima Regiduría y las respuestas esas peticiones ciudadana, así como las listas de registro de los ciudadanos atendidos todo en el periodo 1 de enero a la fecha.” (Sic). </w:t>
            </w:r>
          </w:p>
        </w:tc>
      </w:tr>
      <w:tr w:rsidR="00E50455" w:rsidRPr="00957D13">
        <w:trPr>
          <w:trHeight w:val="460"/>
        </w:trPr>
        <w:tc>
          <w:tcPr>
            <w:tcW w:w="2380" w:type="dxa"/>
            <w:vAlign w:val="center"/>
          </w:tcPr>
          <w:p w:rsidR="00E50455" w:rsidRPr="00957D13" w:rsidRDefault="00117A9F">
            <w:pPr>
              <w:jc w:val="center"/>
              <w:rPr>
                <w:rFonts w:ascii="Palatino Linotype" w:eastAsia="Palatino Linotype" w:hAnsi="Palatino Linotype" w:cs="Palatino Linotype"/>
                <w:b/>
                <w:bCs/>
                <w:sz w:val="24"/>
                <w:szCs w:val="24"/>
              </w:rPr>
            </w:pPr>
            <w:bookmarkStart w:id="2" w:name="_heading=h.d7cqp4itmk0a" w:colFirst="0" w:colLast="0"/>
            <w:bookmarkEnd w:id="2"/>
            <w:r w:rsidRPr="00957D13">
              <w:rPr>
                <w:rFonts w:ascii="Palatino Linotype" w:eastAsia="Palatino Linotype" w:hAnsi="Palatino Linotype" w:cs="Palatino Linotype"/>
                <w:b/>
                <w:bCs/>
                <w:sz w:val="24"/>
                <w:szCs w:val="24"/>
              </w:rPr>
              <w:t>06187/TOLUCA/IP/2025</w:t>
            </w:r>
          </w:p>
        </w:tc>
        <w:tc>
          <w:tcPr>
            <w:tcW w:w="7371"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“De conformidad con la transparencia se solicita toda la petición ciudadana recibidas en su ayuntamiento que estén dirigidas al primer regidor municipal y la respuesta de cada petición o solicitud con sus anexos todo del primero de enero a la fecha.” (Sic).</w:t>
            </w:r>
          </w:p>
        </w:tc>
      </w:tr>
      <w:tr w:rsidR="00E50455" w:rsidRPr="00957D13">
        <w:trPr>
          <w:trHeight w:val="410"/>
        </w:trPr>
        <w:tc>
          <w:tcPr>
            <w:tcW w:w="2380" w:type="dxa"/>
            <w:shd w:val="clear" w:color="auto" w:fill="F2F2F2"/>
            <w:vAlign w:val="center"/>
          </w:tcPr>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sz w:val="24"/>
                <w:szCs w:val="24"/>
              </w:rPr>
              <w:t xml:space="preserve">6196/TOLUCA/IP/2025  </w:t>
            </w:r>
          </w:p>
        </w:tc>
        <w:tc>
          <w:tcPr>
            <w:tcW w:w="7371" w:type="dxa"/>
            <w:shd w:val="clear" w:color="auto" w:fill="F2F2F2"/>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“De conformidad con la transparencia se solicita toda la petición ciudadana recibidas en su ayuntamiento que estén dirigidas al décimo regidor municipal y la respuesta de cada petición o solicitud con sus anexos todo del primero de enero a la fecha.” (Sic).</w:t>
            </w:r>
          </w:p>
        </w:tc>
      </w:tr>
    </w:tbl>
    <w:p w:rsidR="00E50455" w:rsidRDefault="00E50455">
      <w:pPr>
        <w:pBdr>
          <w:top w:val="nil"/>
          <w:left w:val="nil"/>
          <w:bottom w:val="nil"/>
          <w:right w:val="nil"/>
          <w:between w:val="nil"/>
        </w:pBdr>
        <w:spacing w:line="360" w:lineRule="auto"/>
        <w:jc w:val="both"/>
        <w:rPr>
          <w:rFonts w:ascii="Palatino Linotype" w:eastAsia="Palatino Linotype" w:hAnsi="Palatino Linotype" w:cs="Palatino Linotype"/>
          <w:i/>
          <w:iCs/>
          <w:color w:val="000000"/>
          <w:sz w:val="24"/>
          <w:szCs w:val="24"/>
        </w:rPr>
      </w:pPr>
    </w:p>
    <w:p w:rsidR="00957D13" w:rsidRPr="00957D13" w:rsidRDefault="00957D13">
      <w:pPr>
        <w:pBdr>
          <w:top w:val="nil"/>
          <w:left w:val="nil"/>
          <w:bottom w:val="nil"/>
          <w:right w:val="nil"/>
          <w:between w:val="nil"/>
        </w:pBdr>
        <w:spacing w:line="360" w:lineRule="auto"/>
        <w:jc w:val="both"/>
        <w:rPr>
          <w:rFonts w:ascii="Palatino Linotype" w:eastAsia="Palatino Linotype" w:hAnsi="Palatino Linotype" w:cs="Palatino Linotype"/>
          <w:i/>
          <w:iCs/>
          <w:color w:val="000000"/>
          <w:sz w:val="24"/>
          <w:szCs w:val="24"/>
        </w:rPr>
      </w:pPr>
    </w:p>
    <w:p w:rsidR="00E50455" w:rsidRPr="00957D13" w:rsidRDefault="00117A9F" w:rsidP="00957D13">
      <w:pPr>
        <w:numPr>
          <w:ilvl w:val="0"/>
          <w:numId w:val="1"/>
        </w:numPr>
        <w:pBdr>
          <w:top w:val="nil"/>
          <w:left w:val="nil"/>
          <w:bottom w:val="nil"/>
          <w:right w:val="nil"/>
          <w:between w:val="nil"/>
        </w:pBdr>
        <w:spacing w:line="360" w:lineRule="auto"/>
        <w:ind w:left="0" w:right="474"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b/>
          <w:bCs/>
          <w:color w:val="000000"/>
          <w:sz w:val="24"/>
          <w:szCs w:val="24"/>
        </w:rPr>
        <w:t>Modalidad de entrega</w:t>
      </w:r>
      <w:r w:rsidRPr="00957D13">
        <w:rPr>
          <w:rFonts w:ascii="Palatino Linotype" w:eastAsia="Palatino Linotype" w:hAnsi="Palatino Linotype" w:cs="Palatino Linotype"/>
          <w:color w:val="000000"/>
          <w:sz w:val="24"/>
          <w:szCs w:val="24"/>
        </w:rPr>
        <w:t>: Vía SAIMEX.</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i/>
          <w:iCs/>
          <w:color w:val="000000"/>
          <w:sz w:val="24"/>
          <w:szCs w:val="24"/>
        </w:rPr>
      </w:pPr>
    </w:p>
    <w:p w:rsidR="00E50455" w:rsidRPr="00957D13" w:rsidRDefault="00117A9F">
      <w:pPr>
        <w:numPr>
          <w:ilvl w:val="0"/>
          <w:numId w:val="5"/>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El diecisiete de julio para la solicitud </w:t>
      </w:r>
      <w:r w:rsidRPr="00957D13">
        <w:rPr>
          <w:rFonts w:ascii="Palatino Linotype" w:eastAsia="Palatino Linotype" w:hAnsi="Palatino Linotype" w:cs="Palatino Linotype"/>
          <w:b/>
          <w:bCs/>
          <w:color w:val="000000"/>
          <w:sz w:val="24"/>
          <w:szCs w:val="24"/>
        </w:rPr>
        <w:t>03617/TOLUCA/IP/2025</w:t>
      </w:r>
      <w:r w:rsidRPr="00957D13">
        <w:rPr>
          <w:rFonts w:ascii="Palatino Linotype" w:eastAsia="Palatino Linotype" w:hAnsi="Palatino Linotype" w:cs="Palatino Linotype"/>
          <w:color w:val="000000"/>
          <w:sz w:val="24"/>
          <w:szCs w:val="24"/>
        </w:rPr>
        <w:t xml:space="preserve"> de dos mil veinticinco, el Sujeto Obligado notificó a la persona solicitante la prórroga para dar respuesta a la solicitud, medularmente en los siguientes términos:</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“Con fundamento en lo señalado en el artículo 163 de la Ley de Transparencia y Acceso a la Información Pública del Estado de México y Municipios, se solicitó prórroga por siete días hábiles más, para dar atención a la solicitud de información registrada con número 3617/TOLUCA/IP/2025, recibida a través del Sistema de Acceso a la </w:t>
      </w:r>
      <w:r w:rsidRPr="00957D13">
        <w:rPr>
          <w:rFonts w:ascii="Palatino Linotype" w:eastAsia="Palatino Linotype" w:hAnsi="Palatino Linotype" w:cs="Palatino Linotype"/>
          <w:i/>
          <w:iCs/>
          <w:sz w:val="24"/>
          <w:szCs w:val="24"/>
        </w:rPr>
        <w:lastRenderedPageBreak/>
        <w:t>Información Mexiquense (SAIMEX), misma que fue procedente, quedando bajo el acuerdo CT/SE/889 /2025., en la Octingentésima Octogésima Novena Sesión Extraordinaria 2025 del Comité de Transparencia del Municipio de Toluca, Administración 2025- 2027, de fecha 15/07/2025, lo anterior, en razón de que se continua con la minuciosa búsqueda de información dentro de los archivos que obran en esta unidad administrativa, y que comprenden diversa documentación que requiere de un análisis y procesamiento para estar en posibilidad de proporcionarle una respuesta concreta y correcta a la presente solicitud..” (sic)</w:t>
      </w:r>
    </w:p>
    <w:p w:rsidR="00E50455" w:rsidRPr="00957D13" w:rsidRDefault="00E50455">
      <w:pPr>
        <w:spacing w:line="276" w:lineRule="auto"/>
        <w:ind w:left="1134" w:right="1814"/>
        <w:jc w:val="both"/>
        <w:rPr>
          <w:rFonts w:ascii="Palatino Linotype" w:eastAsia="Palatino Linotype" w:hAnsi="Palatino Linotype" w:cs="Palatino Linotype"/>
          <w:i/>
          <w:iCs/>
          <w:sz w:val="24"/>
          <w:szCs w:val="24"/>
        </w:rPr>
      </w:pPr>
    </w:p>
    <w:p w:rsidR="00E50455" w:rsidRPr="00957D13" w:rsidRDefault="00117A9F">
      <w:pPr>
        <w:numPr>
          <w:ilvl w:val="0"/>
          <w:numId w:val="5"/>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Como refiere el Sujeto Obligado la Ley de Transparencia y Acceso a la Información Pública del Estado de México y Municipios, contempla la potestad de ampliar el plazo hasta por siete días, en términos del párrafo segundo del artículo 163 de la Ley de Transparencia y Acceso a la Información Pública del Estado de México y Municipios, siempre y cuando existan razones fundadas y motivadas para hacerlo, y que estas sean aprobadas por el Comité de Transparencia, mediante la emisión de una resolución; en el caso particular que nos ocupa y derivado de las constancias que obran en el expediente, se advierte que no se observaron las formalidades que establece la Ley de la materia, pues no se anexó la resolución mediante la cual el Comité de Transparencia aprobó la ampliación del plazo.</w:t>
      </w:r>
    </w:p>
    <w:p w:rsidR="00E50455" w:rsidRPr="00957D13" w:rsidRDefault="00E50455">
      <w:pPr>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De lo anterior, en fechas siete y catorce de agosto y dos de diciembre de dos mil veinticinco, el </w:t>
      </w:r>
      <w:r w:rsidRPr="00957D13">
        <w:rPr>
          <w:rFonts w:ascii="Palatino Linotype" w:eastAsia="Palatino Linotype" w:hAnsi="Palatino Linotype" w:cs="Palatino Linotype"/>
          <w:b/>
          <w:bCs/>
          <w:color w:val="000000"/>
          <w:sz w:val="24"/>
          <w:szCs w:val="24"/>
        </w:rPr>
        <w:t xml:space="preserve">SUJETO OBLIGADO </w:t>
      </w:r>
      <w:r w:rsidRPr="00957D13">
        <w:rPr>
          <w:rFonts w:ascii="Palatino Linotype" w:eastAsia="Palatino Linotype" w:hAnsi="Palatino Linotype" w:cs="Palatino Linotype"/>
          <w:color w:val="000000"/>
          <w:sz w:val="24"/>
          <w:szCs w:val="24"/>
        </w:rPr>
        <w:t>dio respuesta a las solicitudes de información</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 xml:space="preserve">con los siguientes archivos electrónicos cuyo contenido grosso modo es el siguiente: </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tbl>
      <w:tblPr>
        <w:tblStyle w:val="a4"/>
        <w:tblW w:w="975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387"/>
        <w:gridCol w:w="7371"/>
      </w:tblGrid>
      <w:tr w:rsidR="00E50455" w:rsidRPr="00957D13">
        <w:trPr>
          <w:trHeight w:val="696"/>
          <w:tblHeader/>
        </w:trPr>
        <w:tc>
          <w:tcPr>
            <w:tcW w:w="2387"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 xml:space="preserve">FOLIO </w:t>
            </w:r>
          </w:p>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DE LA SOLICITUD</w:t>
            </w:r>
          </w:p>
        </w:tc>
        <w:tc>
          <w:tcPr>
            <w:tcW w:w="7371"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RESPUESTA DEL SUJETO OBLIGADO</w:t>
            </w:r>
          </w:p>
        </w:tc>
      </w:tr>
      <w:tr w:rsidR="00E50455" w:rsidRPr="00957D13">
        <w:trPr>
          <w:trHeight w:val="460"/>
        </w:trPr>
        <w:tc>
          <w:tcPr>
            <w:tcW w:w="2387"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03617/TOLUCA/IP/2025</w:t>
            </w:r>
          </w:p>
        </w:tc>
        <w:tc>
          <w:tcPr>
            <w:tcW w:w="7371" w:type="dxa"/>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Registro de visitas Junio testado .pdf: </w:t>
            </w:r>
            <w:r w:rsidRPr="00957D13">
              <w:rPr>
                <w:rFonts w:ascii="Palatino Linotype" w:eastAsia="Palatino Linotype" w:hAnsi="Palatino Linotype" w:cs="Palatino Linotype"/>
                <w:i/>
                <w:iCs/>
                <w:sz w:val="24"/>
                <w:szCs w:val="24"/>
              </w:rPr>
              <w:t>Versión pública de formato de registro  de visitas del treinta de mayo al veintiséis de junio de dos mil veinticinco, no se señala el área a la que corresponde ni se aprecia que datos  testa.</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Folio 3617 respuesta .pdf: </w:t>
            </w:r>
            <w:r w:rsidRPr="00957D13">
              <w:rPr>
                <w:rFonts w:ascii="Palatino Linotype" w:eastAsia="Palatino Linotype" w:hAnsi="Palatino Linotype" w:cs="Palatino Linotype"/>
                <w:i/>
                <w:iCs/>
                <w:sz w:val="24"/>
                <w:szCs w:val="24"/>
              </w:rPr>
              <w:t>Donde Décimo Segunda Regidora solicita a la Unidad de Transparencia clasificar información para lo cual entrega cuadro de donde el nombre, teléfono y colonia se clasifique como confidencial.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Audiencias testado.pdf: </w:t>
            </w:r>
            <w:r w:rsidRPr="00957D13">
              <w:rPr>
                <w:rFonts w:ascii="Palatino Linotype" w:eastAsia="Palatino Linotype" w:hAnsi="Palatino Linotype" w:cs="Palatino Linotype"/>
                <w:i/>
                <w:iCs/>
                <w:sz w:val="24"/>
                <w:szCs w:val="24"/>
              </w:rPr>
              <w:t>Registro de visitas del siete de enero al veintiocho de mayo de dos mil veinticinco, en versión pública no se señala de que área corresponde ni se aprecia que datos  testa.</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SAIMEX.03617.pdf : </w:t>
            </w:r>
            <w:r w:rsidRPr="00957D13">
              <w:rPr>
                <w:rFonts w:ascii="Palatino Linotype" w:eastAsia="Palatino Linotype" w:hAnsi="Palatino Linotype" w:cs="Palatino Linotype"/>
                <w:i/>
                <w:iCs/>
                <w:sz w:val="24"/>
                <w:szCs w:val="24"/>
              </w:rPr>
              <w:t>Donde séptima regidor entrega versión pública de registro de audiencias donde se testa nombre, teléfono, firma, desde fecha treinta y uno de enero a ocho de julio de dos mil veinticinco, así mismo oficios dirigidos a regiduría donde deja a la vista nombre, domicilio, teléfono de particulares.</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3617.pdf: </w:t>
            </w:r>
            <w:r w:rsidRPr="00957D13">
              <w:rPr>
                <w:rFonts w:ascii="Palatino Linotype" w:eastAsia="Palatino Linotype" w:hAnsi="Palatino Linotype" w:cs="Palatino Linotype"/>
                <w:i/>
                <w:iCs/>
                <w:sz w:val="24"/>
                <w:szCs w:val="24"/>
              </w:rPr>
              <w:t>Donde Primer Sindico entrega oficio al solicitante refiriendo que clasificó de manera parcial oficios en octingentésima octogésima tercera sesión del Comité de Transparencia.</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CIUDADANAS Y RESPUESTAS redacted.pdf: </w:t>
            </w:r>
            <w:r w:rsidRPr="00957D13">
              <w:rPr>
                <w:rFonts w:ascii="Palatino Linotype" w:eastAsia="Palatino Linotype" w:hAnsi="Palatino Linotype" w:cs="Palatino Linotype"/>
                <w:i/>
                <w:iCs/>
                <w:sz w:val="24"/>
                <w:szCs w:val="24"/>
              </w:rPr>
              <w:t xml:space="preserve">Donde primer Sindico entrega oficios con solicitudes ciudadanas en versión pública, enunciativamente deja a la vista nombre y domicilio particular, así mismo testa nombre y firma de servidores públicos y autoridades auxiliares. (misma información que en archivo  </w:t>
            </w:r>
            <w:r w:rsidRPr="00957D13">
              <w:rPr>
                <w:rFonts w:ascii="Palatino Linotype" w:eastAsia="Palatino Linotype" w:hAnsi="Palatino Linotype" w:cs="Palatino Linotype"/>
                <w:b/>
                <w:bCs/>
                <w:sz w:val="24"/>
                <w:szCs w:val="24"/>
              </w:rPr>
              <w:t>PETICIONES CIUDADANAS Y SUS RESPUESTAS.pdf)</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SOLICITUD 03617.pdf: </w:t>
            </w:r>
            <w:r w:rsidRPr="00957D13">
              <w:rPr>
                <w:rFonts w:ascii="Palatino Linotype" w:eastAsia="Palatino Linotype" w:hAnsi="Palatino Linotype" w:cs="Palatino Linotype"/>
                <w:i/>
                <w:iCs/>
                <w:sz w:val="24"/>
                <w:szCs w:val="24"/>
              </w:rPr>
              <w:t>Donde décima regiduría mediante oficio señala adjuntar formato de peticiones ciudadanas y señala que relativo a las audiencias ciudadanas entrega documentales en versión pública aprobadas en octingentésima octogésima tercera sesión extraordinaria del Comité de Transparencia Acuerdo CT/SE/883/06/2025.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lastRenderedPageBreak/>
              <w:t xml:space="preserve">CONTROL DE AUDIENCIAS 2025.pdf: </w:t>
            </w:r>
            <w:r w:rsidRPr="00957D13">
              <w:rPr>
                <w:rFonts w:ascii="Palatino Linotype" w:eastAsia="Palatino Linotype" w:hAnsi="Palatino Linotype" w:cs="Palatino Linotype"/>
                <w:i/>
                <w:iCs/>
                <w:sz w:val="24"/>
                <w:szCs w:val="24"/>
              </w:rPr>
              <w:t>Donde décima regiduría entrega formato de registro en versión pública de fecha ocho de enero al veintidós de abril de dos mil veinticinco.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10R_ENE_JUN_2025.pdf: </w:t>
            </w:r>
            <w:r w:rsidRPr="00957D13">
              <w:rPr>
                <w:rFonts w:ascii="Palatino Linotype" w:eastAsia="Palatino Linotype" w:hAnsi="Palatino Linotype" w:cs="Palatino Linotype"/>
                <w:i/>
                <w:iCs/>
                <w:sz w:val="24"/>
                <w:szCs w:val="24"/>
              </w:rPr>
              <w:t>Donde décima regiduría  entrega formato de control de peticiones de fecha 6 de enero a once de junio de dos mil veinticinco.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REGISTRO DE AUDIENCIAS.pdf: </w:t>
            </w:r>
            <w:r w:rsidRPr="00957D13">
              <w:rPr>
                <w:rFonts w:ascii="Palatino Linotype" w:eastAsia="Palatino Linotype" w:hAnsi="Palatino Linotype" w:cs="Palatino Linotype"/>
                <w:i/>
                <w:iCs/>
                <w:sz w:val="24"/>
                <w:szCs w:val="24"/>
              </w:rPr>
              <w:t>Donde se entrega formato en versión pública de registro de visitas del siete de enero al veinticinco de junio de dos mil veinticinco sin que se advierta a que área corresponde.</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Y RESPUESTAS.pdf: </w:t>
            </w:r>
            <w:r w:rsidRPr="00957D13">
              <w:rPr>
                <w:rFonts w:ascii="Palatino Linotype" w:eastAsia="Palatino Linotype" w:hAnsi="Palatino Linotype" w:cs="Palatino Linotype"/>
                <w:i/>
                <w:iCs/>
                <w:sz w:val="24"/>
                <w:szCs w:val="24"/>
              </w:rPr>
              <w:t>Donde cuarta regidora entrega oficios con solicitudes ciudadanas en versión pública del dieciséis de enero al once de junio de dos mil veinticinco, donde testa nombre y firma de servidores públicos y autoridades auxiliares.</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4REG-TOL-0403-2025.pdf: </w:t>
            </w:r>
            <w:r w:rsidRPr="00957D13">
              <w:rPr>
                <w:rFonts w:ascii="Palatino Linotype" w:eastAsia="Palatino Linotype" w:hAnsi="Palatino Linotype" w:cs="Palatino Linotype"/>
                <w:i/>
                <w:iCs/>
                <w:sz w:val="24"/>
                <w:szCs w:val="24"/>
              </w:rPr>
              <w:t>Donde mediante oficio cuarta regidora señala que adjunta las solicitudes recibidas y sus respuestas en versión pública aprobada mediante acuerdo CT/SE/883/02/2025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SOLICITUD 03617 01.pdf (duplicado): </w:t>
            </w:r>
            <w:r w:rsidRPr="00957D13">
              <w:rPr>
                <w:rFonts w:ascii="Palatino Linotype" w:eastAsia="Palatino Linotype" w:hAnsi="Palatino Linotype" w:cs="Palatino Linotype"/>
                <w:i/>
                <w:iCs/>
                <w:sz w:val="24"/>
                <w:szCs w:val="24"/>
              </w:rPr>
              <w:t>Donde sexta regidora entrega oficios de peticiones ciudadanas en versión pública dejando a la vista nombre y firma de particulares, testa delegación, nombre y firma de autoridades auxiliares de fechas dieciséis de enero a veintidós de mayo de dos mil veinticinco.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REGISTRO VISITAS SEXTA JUNIO 03617.pdf (duplicado): </w:t>
            </w:r>
            <w:r w:rsidRPr="00957D13">
              <w:rPr>
                <w:rFonts w:ascii="Palatino Linotype" w:eastAsia="Palatino Linotype" w:hAnsi="Palatino Linotype" w:cs="Palatino Linotype"/>
                <w:i/>
                <w:iCs/>
                <w:sz w:val="24"/>
                <w:szCs w:val="24"/>
              </w:rPr>
              <w:t>Donde sexta regiduría</w:t>
            </w:r>
            <w:r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i/>
                <w:iCs/>
                <w:sz w:val="24"/>
                <w:szCs w:val="24"/>
              </w:rPr>
              <w:t>presenta versión pública de libro de visitas  de fecha seis de enero al once de junio de dos mil veinticinco donde se testa nombre, teléfono y correo.</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ANEXO03617_ SIDEP.pdf: </w:t>
            </w:r>
            <w:r w:rsidRPr="00957D13">
              <w:rPr>
                <w:rFonts w:ascii="Palatino Linotype" w:eastAsia="Palatino Linotype" w:hAnsi="Palatino Linotype" w:cs="Palatino Linotype"/>
                <w:i/>
                <w:iCs/>
                <w:sz w:val="24"/>
                <w:szCs w:val="24"/>
              </w:rPr>
              <w:t>Presidencia presenta versión pública de formato de registro de visitas de fecha tres de enero a tres de junio de dos mil veinticinco donde testa nombre, domicilio, teléfono y tipo de asunto.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03617_PETICIONES.pdf: </w:t>
            </w:r>
            <w:r w:rsidRPr="00957D13">
              <w:rPr>
                <w:rFonts w:ascii="Palatino Linotype" w:eastAsia="Palatino Linotype" w:hAnsi="Palatino Linotype" w:cs="Palatino Linotype"/>
                <w:i/>
                <w:iCs/>
                <w:sz w:val="24"/>
                <w:szCs w:val="24"/>
              </w:rPr>
              <w:t xml:space="preserve">Donde Presidencia presenta oficios en versión pública con peticiones ciudadanas, respuestas a las peticiones y comunicaciones internas derivadas de tales peticiones de fecha nueve de </w:t>
            </w:r>
            <w:r w:rsidRPr="00957D13">
              <w:rPr>
                <w:rFonts w:ascii="Palatino Linotype" w:eastAsia="Palatino Linotype" w:hAnsi="Palatino Linotype" w:cs="Palatino Linotype"/>
                <w:i/>
                <w:iCs/>
                <w:sz w:val="24"/>
                <w:szCs w:val="24"/>
              </w:rPr>
              <w:lastRenderedPageBreak/>
              <w:t xml:space="preserve">enero al nueve de junio de dos mil veinticinco, dejando a la vista correo electrónico, teléfono, domicilio nombre y firma de particulares, a su vez testó nombre y firma de autoridades auxiliares y nombre de servidores públicos.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Of_ 2455_Sol03617.pdf: </w:t>
            </w:r>
            <w:r w:rsidRPr="00957D13">
              <w:rPr>
                <w:rFonts w:ascii="Palatino Linotype" w:eastAsia="Palatino Linotype" w:hAnsi="Palatino Linotype" w:cs="Palatino Linotype"/>
                <w:i/>
                <w:iCs/>
                <w:sz w:val="24"/>
                <w:szCs w:val="24"/>
              </w:rPr>
              <w:t>Donde Secretario Particular de Presidencia entrega mediante oficio información solicitada.</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RESPUESTA_page-0001.pdf: </w:t>
            </w:r>
            <w:r w:rsidRPr="00957D13">
              <w:rPr>
                <w:rFonts w:ascii="Palatino Linotype" w:eastAsia="Palatino Linotype" w:hAnsi="Palatino Linotype" w:cs="Palatino Linotype"/>
                <w:i/>
                <w:iCs/>
                <w:sz w:val="24"/>
                <w:szCs w:val="24"/>
              </w:rPr>
              <w:t>Donde Tercer regidor entrega oficios de respuesta a solicitudes ciudadanas en versión pública de fecha treinta de enero a veintinueve de abril de dos mil veinticinco, donde testa nombre de servidor público y centro de trabajo.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PETICIONES1.pdf: </w:t>
            </w:r>
            <w:r w:rsidRPr="00957D13">
              <w:rPr>
                <w:rFonts w:ascii="Palatino Linotype" w:eastAsia="Palatino Linotype" w:hAnsi="Palatino Linotype" w:cs="Palatino Linotype"/>
                <w:i/>
                <w:iCs/>
                <w:sz w:val="24"/>
                <w:szCs w:val="24"/>
              </w:rPr>
              <w:t>Donde Tercer regidor entrega oficios con peticiones ciudadanas  en versión pública de fechas veinte de enero a veintidós de abril de dos mil veinticinco, testa nombre, cargo, firma, centro de adscripción de servidores públicos, nombre y firma de autoridades auxiliares y deja a la vista firma de particular.</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03617-TOLUCA-IP-2025.pdf: </w:t>
            </w:r>
            <w:r w:rsidRPr="00957D13">
              <w:rPr>
                <w:rFonts w:ascii="Palatino Linotype" w:eastAsia="Palatino Linotype" w:hAnsi="Palatino Linotype" w:cs="Palatino Linotype"/>
                <w:i/>
                <w:iCs/>
                <w:sz w:val="24"/>
                <w:szCs w:val="24"/>
              </w:rPr>
              <w:t>Donde Novena Regidora mediante oficio adjunta la información a su cargo requerida por el solicitante.</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LISTA DE REGISTRO BUENO.pdf </w:t>
            </w:r>
            <w:r w:rsidRPr="00957D13">
              <w:rPr>
                <w:rFonts w:ascii="Palatino Linotype" w:eastAsia="Palatino Linotype" w:hAnsi="Palatino Linotype" w:cs="Palatino Linotype"/>
                <w:i/>
                <w:iCs/>
                <w:sz w:val="24"/>
                <w:szCs w:val="24"/>
              </w:rPr>
              <w:t>Donde se presenta versión pública de formato de hoja de registro de fecha trece de enero a veinticinco de abril de dos mil veinticinco, sin que se advierta a que área corresponde, señala que suprime datos personales mediante acuerdo emitido en octingentésima octogésima tercera sesión extraordinaria  y su correspondiente acuerdo CT/SE/883/2025.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CIUDADANAS Y SUS RESPUESTAS.pdf </w:t>
            </w:r>
            <w:r w:rsidRPr="00957D13">
              <w:rPr>
                <w:rFonts w:ascii="Palatino Linotype" w:eastAsia="Palatino Linotype" w:hAnsi="Palatino Linotype" w:cs="Palatino Linotype"/>
                <w:i/>
                <w:iCs/>
                <w:sz w:val="24"/>
                <w:szCs w:val="24"/>
              </w:rPr>
              <w:t xml:space="preserve">misma información que en archivo </w:t>
            </w:r>
            <w:r w:rsidRPr="00957D13">
              <w:rPr>
                <w:rFonts w:ascii="Palatino Linotype" w:eastAsia="Palatino Linotype" w:hAnsi="Palatino Linotype" w:cs="Palatino Linotype"/>
                <w:b/>
                <w:bCs/>
                <w:sz w:val="24"/>
                <w:szCs w:val="24"/>
              </w:rPr>
              <w:t>PETICIONES CIUDADANAS Y RESPUESTAS redacted.pdf:</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MAYO.pdf </w:t>
            </w:r>
            <w:r w:rsidRPr="00957D13">
              <w:rPr>
                <w:rFonts w:ascii="Palatino Linotype" w:eastAsia="Palatino Linotype" w:hAnsi="Palatino Linotype" w:cs="Palatino Linotype"/>
                <w:i/>
                <w:iCs/>
                <w:sz w:val="24"/>
                <w:szCs w:val="24"/>
              </w:rPr>
              <w:t xml:space="preserve">Donde décimo regidor entrega versión pública de oficios con peticiones ciudadanas del 5 al 23 de mayo de dos mil veinticinco, testa el nombre, firma y cargo de servidores públicos, nombre y firma de autoridades auxiliares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lastRenderedPageBreak/>
              <w:t xml:space="preserve">JUNIO1.pdf </w:t>
            </w:r>
            <w:r w:rsidRPr="00957D13">
              <w:rPr>
                <w:rFonts w:ascii="Palatino Linotype" w:eastAsia="Palatino Linotype" w:hAnsi="Palatino Linotype" w:cs="Palatino Linotype"/>
                <w:i/>
                <w:iCs/>
                <w:sz w:val="24"/>
                <w:szCs w:val="24"/>
              </w:rPr>
              <w:t>Donde décimo regidor entrega versión pública de oficios con peticiones ciudadanas del treinta de mayo al seis de junio de dos mil veinticinco, testa el nombre, firma y cargo de servidores públicos, nombre, firma de autoridades auxiliares, así mismo se advierte que el documento se encuentra en un formato editable que permite visualizar datos personales de particulares susceptibles de clasificación.</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OFICIOS APOYOS REGIDURÍA 11 (3).pdf </w:t>
            </w:r>
            <w:r w:rsidRPr="00957D13">
              <w:rPr>
                <w:rFonts w:ascii="Palatino Linotype" w:eastAsia="Palatino Linotype" w:hAnsi="Palatino Linotype" w:cs="Palatino Linotype"/>
                <w:i/>
                <w:iCs/>
                <w:sz w:val="24"/>
                <w:szCs w:val="24"/>
              </w:rPr>
              <w:t>Donde décimo primer regidor entrega versión pública de oficios con peticiones ciudadanas de fecha cinco de enero al catorce de abril de dos mil veinticinco, testa nombre y firma de servidores públicos y autoridades auxiliares, deja a la vista teléfono, domicilio correo electrónico fotografías y nombre de particulares, así mismo se advierte que el documento se encuentra en un formato editable que permite visualizar datos personales de particulares susceptibles de clasificación.</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JUNIO2.pdf </w:t>
            </w:r>
            <w:r w:rsidRPr="00957D13">
              <w:rPr>
                <w:rFonts w:ascii="Palatino Linotype" w:eastAsia="Palatino Linotype" w:hAnsi="Palatino Linotype" w:cs="Palatino Linotype"/>
                <w:i/>
                <w:iCs/>
                <w:sz w:val="24"/>
                <w:szCs w:val="24"/>
              </w:rPr>
              <w:t>Donde décimo primer regidor entrega versión pública de oficios con peticiones ciudadanas de fecha seis a once de junio de dos mil veinticinco, el documento se encuentra en un formato editable que permite visualizar datos personales de particulares susceptibles de clasificación.</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REGISTRO.pdf </w:t>
            </w:r>
            <w:r w:rsidRPr="00957D13">
              <w:rPr>
                <w:rFonts w:ascii="Palatino Linotype" w:eastAsia="Palatino Linotype" w:hAnsi="Palatino Linotype" w:cs="Palatino Linotype"/>
                <w:i/>
                <w:iCs/>
                <w:sz w:val="24"/>
                <w:szCs w:val="24"/>
              </w:rPr>
              <w:t>Donde se presenta formato de registro que deja a la vista diversos datos personales de particulares, no se advierte el área a la que corresponde.</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PETICIONES ABRIL.pdf </w:t>
            </w:r>
            <w:r w:rsidRPr="00957D13">
              <w:rPr>
                <w:rFonts w:ascii="Palatino Linotype" w:eastAsia="Palatino Linotype" w:hAnsi="Palatino Linotype" w:cs="Palatino Linotype"/>
                <w:i/>
                <w:iCs/>
                <w:sz w:val="24"/>
                <w:szCs w:val="24"/>
              </w:rPr>
              <w:t>Donde décimo primer regidor entrega versión pública de oficios con peticiones ciudadanas de fecha catorce al treinta de abril de dos mil veinticinco, el documento se encuentra en un formato editable que permite visualizar datos personales de particulares susceptibles de clasificación.</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03617.pdf </w:t>
            </w:r>
            <w:r w:rsidRPr="00957D13">
              <w:rPr>
                <w:rFonts w:ascii="Palatino Linotype" w:eastAsia="Palatino Linotype" w:hAnsi="Palatino Linotype" w:cs="Palatino Linotype"/>
                <w:i/>
                <w:iCs/>
                <w:sz w:val="24"/>
                <w:szCs w:val="24"/>
              </w:rPr>
              <w:t>Donde quinto regidor señala adjuntar oficios recibidos con peticiones ciudadanas del periodo comprendido del uno de enero al veinticinco de junio de dos mil veinticinco así como registro de audiencias ciudadanas del mismo periodo.</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 xml:space="preserve">Peticiones 5rg_redacted.pdf: </w:t>
            </w:r>
            <w:r w:rsidRPr="00957D13">
              <w:rPr>
                <w:rFonts w:ascii="Palatino Linotype" w:eastAsia="Palatino Linotype" w:hAnsi="Palatino Linotype" w:cs="Palatino Linotype"/>
                <w:i/>
                <w:iCs/>
                <w:sz w:val="24"/>
                <w:szCs w:val="24"/>
              </w:rPr>
              <w:t>Donde quinto regidor adjunta versión pública de oficios con peticiones ciudadanas  de fecha diez de enero al veinte de febrero, deja a la vista nombre y fotografía  de particulares, testa firma de autoridades auxiliares.</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Oficios de enero a junio.pdf </w:t>
            </w:r>
            <w:r w:rsidRPr="00957D13">
              <w:rPr>
                <w:rFonts w:ascii="Palatino Linotype" w:eastAsia="Palatino Linotype" w:hAnsi="Palatino Linotype" w:cs="Palatino Linotype"/>
                <w:i/>
                <w:iCs/>
                <w:sz w:val="24"/>
                <w:szCs w:val="24"/>
              </w:rPr>
              <w:t>Donde quinto regidor adjunta versión pública de oficios enviados a diversas áreas del ayuntamiento  de fecha siete de enero al seis de junio, deja a la teléfono particular y correo electrónico de servidor público.</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VISITAS 2025.pdf </w:t>
            </w:r>
            <w:r w:rsidRPr="00957D13">
              <w:rPr>
                <w:rFonts w:ascii="Palatino Linotype" w:eastAsia="Palatino Linotype" w:hAnsi="Palatino Linotype" w:cs="Palatino Linotype"/>
                <w:i/>
                <w:iCs/>
                <w:sz w:val="24"/>
                <w:szCs w:val="24"/>
              </w:rPr>
              <w:t>Donde octava regiduría entrega formato de bitácora de visitas en versión pública de fecha dos enero al 28 febrero</w:t>
            </w:r>
            <w:r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i/>
                <w:iCs/>
                <w:sz w:val="24"/>
                <w:szCs w:val="24"/>
              </w:rPr>
              <w:t>de dos mil veinticinco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Audiencias Ciudadanas...pdf </w:t>
            </w:r>
            <w:r w:rsidRPr="00957D13">
              <w:rPr>
                <w:rFonts w:ascii="Palatino Linotype" w:eastAsia="Palatino Linotype" w:hAnsi="Palatino Linotype" w:cs="Palatino Linotype"/>
                <w:i/>
                <w:iCs/>
                <w:sz w:val="24"/>
                <w:szCs w:val="24"/>
              </w:rPr>
              <w:t>Donde segunda sindicatura entrega formato de bitácora de visitas e versión pública de fecha tres de enero a treinta y uno de julio de dos mil veinticinco, testa nombres de servidores públicos.</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Ciudadanas.pdf </w:t>
            </w:r>
            <w:r w:rsidRPr="00957D13">
              <w:rPr>
                <w:rFonts w:ascii="Palatino Linotype" w:eastAsia="Palatino Linotype" w:hAnsi="Palatino Linotype" w:cs="Palatino Linotype"/>
                <w:i/>
                <w:iCs/>
                <w:sz w:val="24"/>
                <w:szCs w:val="24"/>
              </w:rPr>
              <w:t>Donde segundo síndico presenta oficios con peticiones ciudadanas, oficios de comunicación interna y respuestas a solicitudes ciudadanas, deja a la vista nombre de particulares, testa nombres y firmas de autoridades auxiliares, firma de servidores públicos.</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03617.pdf </w:t>
            </w:r>
            <w:r w:rsidRPr="00957D13">
              <w:rPr>
                <w:rFonts w:ascii="Palatino Linotype" w:eastAsia="Palatino Linotype" w:hAnsi="Palatino Linotype" w:cs="Palatino Linotype"/>
                <w:i/>
                <w:iCs/>
                <w:sz w:val="24"/>
                <w:szCs w:val="24"/>
              </w:rPr>
              <w:t>Donde segundo síndico mediante oficio refiere adjuntar documentales relacionadas a peticiones y audiencias ciudadanas, así mismo señala que la clasificación de la información en tales documentos deriva del acta noningentésima quincuagésima primera sesión extraordinaria y su correspondiente acuerdo CT/SE/951/01/2025.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 03617. 2025.pdf </w:t>
            </w:r>
            <w:r w:rsidRPr="00957D13">
              <w:rPr>
                <w:rFonts w:ascii="Palatino Linotype" w:eastAsia="Palatino Linotype" w:hAnsi="Palatino Linotype" w:cs="Palatino Linotype"/>
                <w:i/>
                <w:iCs/>
                <w:sz w:val="24"/>
                <w:szCs w:val="24"/>
              </w:rPr>
              <w:t>Donde el titular de la Unidad de Transparencia refiere adjuntar la información requerida por el particular de la octava y décima regiduría.</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ACTA OCTINGENTÉSIMA OCTOGÉSIMA TERCERA SESIÓN EXTRAORDINARIA 2025.pdf: </w:t>
            </w:r>
            <w:r w:rsidRPr="00957D13">
              <w:rPr>
                <w:rFonts w:ascii="Palatino Linotype" w:eastAsia="Palatino Linotype" w:hAnsi="Palatino Linotype" w:cs="Palatino Linotype"/>
                <w:i/>
                <w:iCs/>
                <w:sz w:val="24"/>
                <w:szCs w:val="24"/>
              </w:rPr>
              <w:t>Donde se encuentran diversos acuerdos donde se clasifica como información confidencial: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PRIMERA SINDICATURA: Oficios de Peticiones y sus respuestas (clave catastral, domicilio, RFC, nombre, teléfono y correo electrónico).acuerdo  CT/SE/883/01/2025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CUARTA REGIDURÍA: Registro de audiencias (nombre, teléfono, correo y domicilio) acuerdo CT/SE/883/01/2025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SEXTA REGIDURÍA: Oficios de respuesta a peticiones (nombre, teléfono, firma, correo y domicilio) acuerdo  CT/SE/883/01/2025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SÉPTIMA REGIDURÍA: Oficios de Peticiones y sus respuestas (nombre, domicilio y teléfono) acuerdo  CT/SE/883/01/2025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NOVENA REGIDURÍA: Control de Audiencias (nombre, CURP, domicilio, correo, teléfono y firma) acuerdo  CT/SE/883/01/2025</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DÉCIMA REGIDURÍA: Control de Audiencias (nombre y teléfono) acuerdo  CT/SE/883/01/2025</w:t>
            </w:r>
          </w:p>
        </w:tc>
      </w:tr>
      <w:tr w:rsidR="00E50455" w:rsidRPr="00957D13">
        <w:trPr>
          <w:trHeight w:val="410"/>
        </w:trPr>
        <w:tc>
          <w:tcPr>
            <w:tcW w:w="2387" w:type="dxa"/>
            <w:shd w:val="clear" w:color="auto" w:fill="F2F2F2"/>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04066/TOLUCA/IP/2025</w:t>
            </w:r>
          </w:p>
        </w:tc>
        <w:tc>
          <w:tcPr>
            <w:tcW w:w="7371"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10R_ENE_AGOS_2025_04066.pdf </w:t>
            </w:r>
            <w:r w:rsidRPr="00957D13">
              <w:rPr>
                <w:rFonts w:ascii="Palatino Linotype" w:eastAsia="Palatino Linotype" w:hAnsi="Palatino Linotype" w:cs="Palatino Linotype"/>
                <w:i/>
                <w:iCs/>
                <w:sz w:val="24"/>
                <w:szCs w:val="24"/>
              </w:rPr>
              <w:t>Donde décima regiduría entrega versión íntegra de formato de control de peticiones a presidencia y regiduría de fecha 6 de enero a cuatro de agosto de dos mil veinticinco.</w:t>
            </w:r>
          </w:p>
          <w:p w:rsidR="00E50455" w:rsidRPr="00957D13" w:rsidRDefault="00117A9F">
            <w:pPr>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 xml:space="preserve">SOLICITUD 04066.pdf </w:t>
            </w:r>
            <w:r w:rsidRPr="00957D13">
              <w:rPr>
                <w:rFonts w:ascii="Palatino Linotype" w:eastAsia="Palatino Linotype" w:hAnsi="Palatino Linotype" w:cs="Palatino Linotype"/>
                <w:i/>
                <w:iCs/>
                <w:sz w:val="24"/>
                <w:szCs w:val="24"/>
              </w:rPr>
              <w:t>Donde  décima regiduría adjunta información solicitada por el particular.</w:t>
            </w:r>
          </w:p>
        </w:tc>
      </w:tr>
      <w:tr w:rsidR="00E50455" w:rsidRPr="00957D13">
        <w:trPr>
          <w:trHeight w:val="410"/>
        </w:trPr>
        <w:tc>
          <w:tcPr>
            <w:tcW w:w="2387"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06187/TOLUCA/IP/2025</w:t>
            </w:r>
          </w:p>
        </w:tc>
        <w:tc>
          <w:tcPr>
            <w:tcW w:w="7371" w:type="dxa"/>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CIUDADANAS.pdf  </w:t>
            </w:r>
            <w:r w:rsidRPr="00957D13">
              <w:rPr>
                <w:rFonts w:ascii="Palatino Linotype" w:eastAsia="Palatino Linotype" w:hAnsi="Palatino Linotype" w:cs="Palatino Linotype"/>
                <w:i/>
                <w:iCs/>
                <w:sz w:val="24"/>
                <w:szCs w:val="24"/>
              </w:rPr>
              <w:t xml:space="preserve">Donde primer regidor entrega oficios con peticiones ciudadanas en versión pública de fecha veintidós de noviembre de dos mil veinticuatro a cuatro de noviembre de dos mil veinticinco, testa nombre de servidores públicos y autoridades auxiliares, deja a la vista fotografía, nombre y firma de particulares,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6187.2025.pdf: </w:t>
            </w:r>
            <w:r w:rsidRPr="00957D13">
              <w:rPr>
                <w:rFonts w:ascii="Palatino Linotype" w:eastAsia="Palatino Linotype" w:hAnsi="Palatino Linotype" w:cs="Palatino Linotype"/>
                <w:i/>
                <w:iCs/>
                <w:sz w:val="24"/>
                <w:szCs w:val="24"/>
              </w:rPr>
              <w:t>Donde el Titular de la Unidad de Transparencia entrega información solicitada por el particular de la primera regiduría.</w:t>
            </w:r>
          </w:p>
        </w:tc>
      </w:tr>
      <w:tr w:rsidR="00E50455" w:rsidRPr="00957D13">
        <w:trPr>
          <w:trHeight w:val="410"/>
        </w:trPr>
        <w:tc>
          <w:tcPr>
            <w:tcW w:w="2387" w:type="dxa"/>
            <w:shd w:val="clear" w:color="auto" w:fill="F2F2F2"/>
            <w:vAlign w:val="center"/>
          </w:tcPr>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sz w:val="24"/>
                <w:szCs w:val="24"/>
              </w:rPr>
              <w:t xml:space="preserve">6196/TOLUCA/IP/2025  </w:t>
            </w:r>
          </w:p>
        </w:tc>
        <w:tc>
          <w:tcPr>
            <w:tcW w:w="7371"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CONTROL DE PETICIONES.pdf:</w:t>
            </w:r>
            <w:r w:rsidRPr="00957D13">
              <w:rPr>
                <w:rFonts w:ascii="Palatino Linotype" w:eastAsia="Palatino Linotype" w:hAnsi="Palatino Linotype" w:cs="Palatino Linotype"/>
                <w:i/>
                <w:iCs/>
                <w:sz w:val="24"/>
                <w:szCs w:val="24"/>
              </w:rPr>
              <w:t xml:space="preserve"> Donde décima regiduría entrega versión íntegra de formato de control de peticiones a presidencia y regiduría de fecha 6 de enero a once de noviembre de dos mil veinticinco.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SOLICITUD 06196.pdf: </w:t>
            </w:r>
            <w:r w:rsidRPr="00957D13">
              <w:rPr>
                <w:rFonts w:ascii="Palatino Linotype" w:eastAsia="Palatino Linotype" w:hAnsi="Palatino Linotype" w:cs="Palatino Linotype"/>
                <w:i/>
                <w:iCs/>
                <w:sz w:val="24"/>
                <w:szCs w:val="24"/>
              </w:rPr>
              <w:t>Donde  décima regiduría adjunta información solicitada por el particular.</w:t>
            </w:r>
          </w:p>
        </w:tc>
      </w:tr>
    </w:tbl>
    <w:p w:rsidR="00E50455" w:rsidRPr="00957D13" w:rsidRDefault="00117A9F">
      <w:pPr>
        <w:numPr>
          <w:ilvl w:val="0"/>
          <w:numId w:val="5"/>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lastRenderedPageBreak/>
        <w:t>El diecinueve y veintiocho de agosto y cinco de diciembre  de dos mil veinticinco, el solicitante interpuso recursos de revisión en las solicitudes de información</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 xml:space="preserve">en contra de las respuestas emitidas por el </w:t>
      </w:r>
      <w:r w:rsidRPr="00957D13">
        <w:rPr>
          <w:rFonts w:ascii="Palatino Linotype" w:eastAsia="Palatino Linotype" w:hAnsi="Palatino Linotype" w:cs="Palatino Linotype"/>
          <w:b/>
          <w:bCs/>
          <w:color w:val="000000"/>
          <w:sz w:val="24"/>
          <w:szCs w:val="24"/>
        </w:rPr>
        <w:t>SUJETO OBLIGADO</w:t>
      </w:r>
      <w:r w:rsidRPr="00957D13">
        <w:rPr>
          <w:rFonts w:ascii="Palatino Linotype" w:eastAsia="Palatino Linotype" w:hAnsi="Palatino Linotype" w:cs="Palatino Linotype"/>
          <w:color w:val="000000"/>
          <w:sz w:val="24"/>
          <w:szCs w:val="24"/>
        </w:rPr>
        <w:t>, señalando las siguientes razones o motivos de inconformidad en los recursos de revisión:</w:t>
      </w:r>
    </w:p>
    <w:p w:rsidR="003C5658" w:rsidRPr="00957D13" w:rsidRDefault="003C5658" w:rsidP="003C5658">
      <w:pPr>
        <w:spacing w:line="360" w:lineRule="auto"/>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09708/INFOEM/IP/RR/2025 </w:t>
      </w:r>
      <w:r w:rsidRPr="00957D13">
        <w:rPr>
          <w:rFonts w:ascii="Palatino Linotype" w:eastAsia="Palatino Linotype" w:hAnsi="Palatino Linotype" w:cs="Palatino Linotype"/>
          <w:i/>
          <w:iCs/>
          <w:sz w:val="24"/>
          <w:szCs w:val="24"/>
        </w:rPr>
        <w:t>(04066/TOLUCA/IP/2025)</w:t>
      </w:r>
      <w:r w:rsidRPr="00957D13">
        <w:rPr>
          <w:rFonts w:ascii="Palatino Linotype" w:eastAsia="Palatino Linotype" w:hAnsi="Palatino Linotype" w:cs="Palatino Linotype"/>
          <w:sz w:val="24"/>
          <w:szCs w:val="24"/>
        </w:rPr>
        <w:t>:</w:t>
      </w:r>
      <w:r w:rsidRPr="00957D13">
        <w:rPr>
          <w:rFonts w:ascii="Palatino Linotype" w:eastAsia="Palatino Linotype" w:hAnsi="Palatino Linotype" w:cs="Palatino Linotype"/>
          <w:b/>
          <w:bCs/>
          <w:sz w:val="24"/>
          <w:szCs w:val="24"/>
        </w:rPr>
        <w:t xml:space="preserve"> </w:t>
      </w:r>
    </w:p>
    <w:p w:rsidR="003C5658" w:rsidRPr="00957D13" w:rsidRDefault="003C5658" w:rsidP="003C5658">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ACTO IMPUGNADO: </w:t>
      </w:r>
      <w:r w:rsidRPr="00957D13">
        <w:rPr>
          <w:rFonts w:ascii="Palatino Linotype" w:eastAsia="Palatino Linotype" w:hAnsi="Palatino Linotype" w:cs="Palatino Linotype"/>
          <w:i/>
          <w:iCs/>
          <w:color w:val="000000"/>
          <w:sz w:val="24"/>
          <w:szCs w:val="24"/>
        </w:rPr>
        <w:t>“La opacidad a todo en ese municipio no entrega la información solicitada se pide se entregue conforme a la ley se entregue la información”(Sic)</w:t>
      </w:r>
    </w:p>
    <w:p w:rsidR="003C5658" w:rsidRPr="00957D13" w:rsidRDefault="003C5658" w:rsidP="003C5658">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RAZONES O MOTIVOS DE INCONFORMIDAD: </w:t>
      </w:r>
      <w:r w:rsidRPr="00957D13">
        <w:rPr>
          <w:rFonts w:ascii="Palatino Linotype" w:eastAsia="Palatino Linotype" w:hAnsi="Palatino Linotype" w:cs="Palatino Linotype"/>
          <w:i/>
          <w:iCs/>
          <w:color w:val="000000"/>
          <w:sz w:val="24"/>
          <w:szCs w:val="24"/>
        </w:rPr>
        <w:t>“La opacidad a todo en ese municipio no entrega la información solicitada se pide se entregue conforme a la ley se entregue la información”(Sic)</w:t>
      </w:r>
    </w:p>
    <w:p w:rsidR="00E50455" w:rsidRPr="00957D13" w:rsidRDefault="00E50455">
      <w:pPr>
        <w:spacing w:line="360" w:lineRule="auto"/>
        <w:ind w:right="49"/>
        <w:jc w:val="both"/>
        <w:rPr>
          <w:rFonts w:ascii="Palatino Linotype" w:eastAsia="Palatino Linotype" w:hAnsi="Palatino Linotype" w:cs="Palatino Linotype"/>
          <w:sz w:val="24"/>
          <w:szCs w:val="24"/>
        </w:rPr>
      </w:pPr>
    </w:p>
    <w:p w:rsidR="00E50455" w:rsidRPr="00957D13" w:rsidRDefault="00117A9F">
      <w:pPr>
        <w:spacing w:line="360" w:lineRule="auto"/>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10173/INFOEM/IP/RR/2025 </w:t>
      </w:r>
      <w:r w:rsidRPr="00957D13">
        <w:rPr>
          <w:rFonts w:ascii="Palatino Linotype" w:eastAsia="Palatino Linotype" w:hAnsi="Palatino Linotype" w:cs="Palatino Linotype"/>
          <w:i/>
          <w:iCs/>
          <w:sz w:val="24"/>
          <w:szCs w:val="24"/>
        </w:rPr>
        <w:t>(03617/TOLUCA/IP/2025)</w:t>
      </w:r>
      <w:r w:rsidRPr="00957D13">
        <w:rPr>
          <w:rFonts w:ascii="Palatino Linotype" w:eastAsia="Palatino Linotype" w:hAnsi="Palatino Linotype" w:cs="Palatino Linotype"/>
          <w:sz w:val="24"/>
          <w:szCs w:val="24"/>
        </w:rPr>
        <w:t>:</w:t>
      </w:r>
      <w:r w:rsidRPr="00957D13">
        <w:rPr>
          <w:rFonts w:ascii="Palatino Linotype" w:eastAsia="Palatino Linotype" w:hAnsi="Palatino Linotype" w:cs="Palatino Linotype"/>
          <w:b/>
          <w:bCs/>
          <w:sz w:val="24"/>
          <w:szCs w:val="24"/>
        </w:rPr>
        <w:t xml:space="preserve"> </w:t>
      </w:r>
    </w:p>
    <w:p w:rsidR="00E50455" w:rsidRPr="00957D13" w:rsidRDefault="00117A9F">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bookmarkStart w:id="3" w:name="_heading=h.418brcgguppm" w:colFirst="0" w:colLast="0"/>
      <w:bookmarkEnd w:id="3"/>
      <w:r w:rsidRPr="00957D13">
        <w:rPr>
          <w:rFonts w:ascii="Palatino Linotype" w:eastAsia="Palatino Linotype" w:hAnsi="Palatino Linotype" w:cs="Palatino Linotype"/>
          <w:b/>
          <w:bCs/>
          <w:color w:val="000000"/>
          <w:sz w:val="24"/>
          <w:szCs w:val="24"/>
        </w:rPr>
        <w:t xml:space="preserve">ACTO IMPUGNADO: </w:t>
      </w:r>
      <w:r w:rsidRPr="00957D13">
        <w:rPr>
          <w:rFonts w:ascii="Palatino Linotype" w:eastAsia="Palatino Linotype" w:hAnsi="Palatino Linotype" w:cs="Palatino Linotype"/>
          <w:i/>
          <w:iCs/>
          <w:color w:val="000000"/>
          <w:sz w:val="24"/>
          <w:szCs w:val="24"/>
        </w:rPr>
        <w:t>“SON OPACOS Y NIEGAN LA INFORMACIÓN SOLICITADA SE SOLICITA SE ENTREGUELO QUE SE PIDE”(Sic)</w:t>
      </w:r>
    </w:p>
    <w:p w:rsidR="00E50455" w:rsidRPr="00957D13" w:rsidRDefault="00117A9F">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RAZONES O MOTIVOS DE INCONFORMIDAD: </w:t>
      </w:r>
      <w:r w:rsidRPr="00957D13">
        <w:rPr>
          <w:rFonts w:ascii="Palatino Linotype" w:eastAsia="Palatino Linotype" w:hAnsi="Palatino Linotype" w:cs="Palatino Linotype"/>
          <w:i/>
          <w:iCs/>
          <w:color w:val="000000"/>
          <w:sz w:val="24"/>
          <w:szCs w:val="24"/>
        </w:rPr>
        <w:t>“SON OPACOS Y NIEGAN LA INFORMACIÓN SOLICITADA SE SOLICITA SE ENTREGUELO QUE SE PIDE”(Sic)</w:t>
      </w:r>
    </w:p>
    <w:p w:rsidR="00E50455" w:rsidRPr="00957D13" w:rsidRDefault="00E50455">
      <w:pPr>
        <w:spacing w:line="360" w:lineRule="auto"/>
        <w:ind w:left="1134" w:right="1814"/>
        <w:jc w:val="both"/>
        <w:rPr>
          <w:rFonts w:ascii="Palatino Linotype" w:eastAsia="Palatino Linotype" w:hAnsi="Palatino Linotype" w:cs="Palatino Linotype"/>
          <w:i/>
          <w:iCs/>
          <w:color w:val="000000"/>
          <w:sz w:val="24"/>
          <w:szCs w:val="24"/>
        </w:rPr>
      </w:pPr>
    </w:p>
    <w:p w:rsidR="00E50455" w:rsidRPr="00957D13" w:rsidRDefault="00117A9F">
      <w:pPr>
        <w:spacing w:line="360" w:lineRule="auto"/>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13818/INFOEM/IP/RR/2025 </w:t>
      </w:r>
      <w:r w:rsidRPr="00957D13">
        <w:rPr>
          <w:rFonts w:ascii="Palatino Linotype" w:eastAsia="Palatino Linotype" w:hAnsi="Palatino Linotype" w:cs="Palatino Linotype"/>
          <w:i/>
          <w:iCs/>
          <w:sz w:val="24"/>
          <w:szCs w:val="24"/>
        </w:rPr>
        <w:t>(06187/TOLUCA/IP/2025)</w:t>
      </w:r>
      <w:r w:rsidRPr="00957D13">
        <w:rPr>
          <w:rFonts w:ascii="Palatino Linotype" w:eastAsia="Palatino Linotype" w:hAnsi="Palatino Linotype" w:cs="Palatino Linotype"/>
          <w:sz w:val="24"/>
          <w:szCs w:val="24"/>
        </w:rPr>
        <w:t>:</w:t>
      </w:r>
      <w:r w:rsidRPr="00957D13">
        <w:rPr>
          <w:rFonts w:ascii="Palatino Linotype" w:eastAsia="Palatino Linotype" w:hAnsi="Palatino Linotype" w:cs="Palatino Linotype"/>
          <w:b/>
          <w:bCs/>
          <w:sz w:val="24"/>
          <w:szCs w:val="24"/>
        </w:rPr>
        <w:t xml:space="preserve"> </w:t>
      </w:r>
    </w:p>
    <w:p w:rsidR="00E50455" w:rsidRPr="00957D13" w:rsidRDefault="00117A9F">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ACTO IMPUGNADO: </w:t>
      </w:r>
      <w:r w:rsidRPr="00957D13">
        <w:rPr>
          <w:rFonts w:ascii="Palatino Linotype" w:eastAsia="Palatino Linotype" w:hAnsi="Palatino Linotype" w:cs="Palatino Linotype"/>
          <w:i/>
          <w:iCs/>
          <w:color w:val="000000"/>
          <w:sz w:val="24"/>
          <w:szCs w:val="24"/>
        </w:rPr>
        <w:t>“No entrego la información solicitada son opacos”(Sic)</w:t>
      </w:r>
    </w:p>
    <w:p w:rsidR="00E50455" w:rsidRPr="00957D13" w:rsidRDefault="00117A9F">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RAZONES O MOTIVOS DE INCONFORMIDAD: </w:t>
      </w:r>
      <w:r w:rsidRPr="00957D13">
        <w:rPr>
          <w:rFonts w:ascii="Palatino Linotype" w:eastAsia="Palatino Linotype" w:hAnsi="Palatino Linotype" w:cs="Palatino Linotype"/>
          <w:i/>
          <w:iCs/>
          <w:color w:val="000000"/>
          <w:sz w:val="24"/>
          <w:szCs w:val="24"/>
        </w:rPr>
        <w:t>“No entrego la información solicitada son opacos”(Sic)</w:t>
      </w:r>
    </w:p>
    <w:p w:rsidR="00E50455" w:rsidRPr="00957D13" w:rsidRDefault="00117A9F">
      <w:pPr>
        <w:spacing w:line="360" w:lineRule="auto"/>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 xml:space="preserve">13813/INFOEM/IP/RR/2025 </w:t>
      </w:r>
      <w:r w:rsidRPr="00957D13">
        <w:rPr>
          <w:rFonts w:ascii="Palatino Linotype" w:eastAsia="Palatino Linotype" w:hAnsi="Palatino Linotype" w:cs="Palatino Linotype"/>
          <w:i/>
          <w:iCs/>
          <w:sz w:val="24"/>
          <w:szCs w:val="24"/>
        </w:rPr>
        <w:t>(06196/TOLUCA/IP/2025)</w:t>
      </w:r>
      <w:r w:rsidRPr="00957D13">
        <w:rPr>
          <w:rFonts w:ascii="Palatino Linotype" w:eastAsia="Palatino Linotype" w:hAnsi="Palatino Linotype" w:cs="Palatino Linotype"/>
          <w:sz w:val="24"/>
          <w:szCs w:val="24"/>
        </w:rPr>
        <w:t>:</w:t>
      </w:r>
      <w:r w:rsidRPr="00957D13">
        <w:rPr>
          <w:rFonts w:ascii="Palatino Linotype" w:eastAsia="Palatino Linotype" w:hAnsi="Palatino Linotype" w:cs="Palatino Linotype"/>
          <w:b/>
          <w:bCs/>
          <w:sz w:val="24"/>
          <w:szCs w:val="24"/>
        </w:rPr>
        <w:t xml:space="preserve"> </w:t>
      </w:r>
    </w:p>
    <w:p w:rsidR="00E50455" w:rsidRPr="00957D13" w:rsidRDefault="00117A9F">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ACTO IMPUGNADO: </w:t>
      </w:r>
      <w:r w:rsidRPr="00957D13">
        <w:rPr>
          <w:rFonts w:ascii="Palatino Linotype" w:eastAsia="Palatino Linotype" w:hAnsi="Palatino Linotype" w:cs="Palatino Linotype"/>
          <w:i/>
          <w:iCs/>
          <w:color w:val="000000"/>
          <w:sz w:val="24"/>
          <w:szCs w:val="24"/>
        </w:rPr>
        <w:t>“No entrego la información solicitada son opacos”(Sic)</w:t>
      </w:r>
    </w:p>
    <w:p w:rsidR="00E50455" w:rsidRPr="00957D13" w:rsidRDefault="00117A9F">
      <w:pPr>
        <w:numPr>
          <w:ilvl w:val="0"/>
          <w:numId w:val="12"/>
        </w:numPr>
        <w:pBdr>
          <w:top w:val="nil"/>
          <w:left w:val="nil"/>
          <w:bottom w:val="nil"/>
          <w:right w:val="nil"/>
          <w:between w:val="nil"/>
        </w:pBdr>
        <w:spacing w:line="276" w:lineRule="auto"/>
        <w:ind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color w:val="000000"/>
          <w:sz w:val="24"/>
          <w:szCs w:val="24"/>
        </w:rPr>
        <w:t xml:space="preserve">RAZONES O MOTIVOS DE INCONFORMIDAD: </w:t>
      </w:r>
      <w:r w:rsidRPr="00957D13">
        <w:rPr>
          <w:rFonts w:ascii="Palatino Linotype" w:eastAsia="Palatino Linotype" w:hAnsi="Palatino Linotype" w:cs="Palatino Linotype"/>
          <w:i/>
          <w:iCs/>
          <w:color w:val="000000"/>
          <w:sz w:val="24"/>
          <w:szCs w:val="24"/>
        </w:rPr>
        <w:t>“No entrego la información solicitada son opacos”(Sic)</w:t>
      </w:r>
    </w:p>
    <w:p w:rsidR="00E50455" w:rsidRPr="00957D13" w:rsidRDefault="00E50455">
      <w:pPr>
        <w:spacing w:line="360" w:lineRule="auto"/>
        <w:ind w:left="1134" w:right="1814"/>
        <w:jc w:val="both"/>
        <w:rPr>
          <w:rFonts w:ascii="Palatino Linotype" w:eastAsia="Palatino Linotype" w:hAnsi="Palatino Linotype" w:cs="Palatino Linotype"/>
          <w:i/>
          <w:iCs/>
          <w:color w:val="000000"/>
          <w:sz w:val="24"/>
          <w:szCs w:val="24"/>
        </w:rPr>
      </w:pPr>
    </w:p>
    <w:p w:rsidR="00E50455" w:rsidRPr="00957D13" w:rsidRDefault="00117A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Consecutivamente</w:t>
      </w:r>
      <w:r w:rsidRPr="00957D13">
        <w:rPr>
          <w:rFonts w:ascii="Palatino Linotype" w:eastAsia="Palatino Linotype" w:hAnsi="Palatino Linotype" w:cs="Palatino Linotype"/>
          <w:i/>
          <w:iCs/>
          <w:color w:val="000000"/>
          <w:sz w:val="24"/>
          <w:szCs w:val="24"/>
        </w:rPr>
        <w:t xml:space="preserve">, </w:t>
      </w:r>
      <w:r w:rsidRPr="00957D13">
        <w:rPr>
          <w:rFonts w:ascii="Palatino Linotype" w:eastAsia="Palatino Linotype" w:hAnsi="Palatino Linotype" w:cs="Palatino Linotype"/>
          <w:color w:val="000000"/>
          <w:sz w:val="24"/>
          <w:szCs w:val="24"/>
        </w:rPr>
        <w:t>con fundamento en lo dispuesto por el artículo 185 fracción I de la Ley de Transparencia y Acceso a la Información Pública del Estado de México y Municipios, los recursos de referencia, fueron turnados</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a la Comisionada</w:t>
      </w:r>
      <w:r w:rsidRPr="00957D13">
        <w:rPr>
          <w:rFonts w:ascii="Palatino Linotype" w:eastAsia="Palatino Linotype" w:hAnsi="Palatino Linotype" w:cs="Palatino Linotype"/>
          <w:b/>
          <w:bCs/>
          <w:color w:val="000000"/>
          <w:sz w:val="24"/>
          <w:szCs w:val="24"/>
        </w:rPr>
        <w:t xml:space="preserve"> María del Rosario Mejía Ayala,</w:t>
      </w:r>
      <w:r w:rsidRPr="00957D13">
        <w:rPr>
          <w:rFonts w:ascii="Palatino Linotype" w:eastAsia="Palatino Linotype" w:hAnsi="Palatino Linotype" w:cs="Palatino Linotype"/>
          <w:color w:val="000000"/>
          <w:sz w:val="24"/>
          <w:szCs w:val="24"/>
        </w:rPr>
        <w:t xml:space="preserve"> con el objeto de su análisis.</w:t>
      </w:r>
    </w:p>
    <w:p w:rsidR="003C5658" w:rsidRPr="00957D13" w:rsidRDefault="003C5658" w:rsidP="003C565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8"/>
        </w:numPr>
        <w:spacing w:line="360" w:lineRule="auto"/>
        <w:ind w:left="0" w:right="49" w:firstLine="0"/>
        <w:jc w:val="both"/>
        <w:rPr>
          <w:sz w:val="24"/>
          <w:szCs w:val="24"/>
        </w:rPr>
      </w:pPr>
      <w:r w:rsidRPr="00957D13">
        <w:rPr>
          <w:rFonts w:ascii="Palatino Linotype" w:eastAsia="Palatino Linotype" w:hAnsi="Palatino Linotype" w:cs="Palatino Linotype"/>
          <w:sz w:val="24"/>
          <w:szCs w:val="24"/>
        </w:rPr>
        <w:t xml:space="preserve">La Comisionada Ponente, con fundamento en lo dispuesto por el artículo 185 fracción II de la ley de la materia, a través de los acuerdos de admisión notificados en fechas </w:t>
      </w:r>
      <w:r w:rsidRPr="00957D13">
        <w:rPr>
          <w:rFonts w:ascii="Palatino Linotype" w:eastAsia="Palatino Linotype" w:hAnsi="Palatino Linotype" w:cs="Palatino Linotype"/>
          <w:b/>
          <w:bCs/>
          <w:sz w:val="24"/>
          <w:szCs w:val="24"/>
        </w:rPr>
        <w:t>veintiséis de agosto,  tres de septiembre y  nueve de diciembre de dos mil veinticinco,</w:t>
      </w:r>
      <w:r w:rsidRPr="00957D13">
        <w:rPr>
          <w:rFonts w:ascii="Palatino Linotype" w:eastAsia="Palatino Linotype" w:hAnsi="Palatino Linotype" w:cs="Palatino Linotype"/>
          <w:sz w:val="24"/>
          <w:szCs w:val="24"/>
        </w:rPr>
        <w:t xml:space="preserve"> puso a disposición de las partes el expediente electrónico vía Sistema de Acceso a la Información Mexiquense SAIMEX a efecto de que en un plazo máximo de siete días manifestaran lo que a su derecho conviniera, ofrecieran pruebas y alegatos según correspondiera a los casos concretos, de esta forma para que el SUJETO OBLIGADO presentará el Informe Justificado procedente.</w:t>
      </w:r>
    </w:p>
    <w:p w:rsidR="00E50455" w:rsidRPr="00957D13" w:rsidRDefault="00E50455">
      <w:pPr>
        <w:tabs>
          <w:tab w:val="left" w:pos="0"/>
          <w:tab w:val="left" w:pos="567"/>
        </w:tabs>
        <w:spacing w:line="360" w:lineRule="auto"/>
        <w:jc w:val="both"/>
        <w:rPr>
          <w:rFonts w:ascii="Palatino Linotype" w:eastAsia="Palatino Linotype" w:hAnsi="Palatino Linotype" w:cs="Palatino Linotype"/>
          <w:b/>
          <w:bCs/>
          <w:color w:val="000000"/>
          <w:sz w:val="24"/>
          <w:szCs w:val="24"/>
        </w:rPr>
      </w:pPr>
    </w:p>
    <w:p w:rsidR="00E50455" w:rsidRDefault="00117A9F">
      <w:pPr>
        <w:numPr>
          <w:ilvl w:val="0"/>
          <w:numId w:val="18"/>
        </w:numPr>
        <w:tabs>
          <w:tab w:val="left" w:pos="426"/>
        </w:tabs>
        <w:spacing w:line="360" w:lineRule="auto"/>
        <w:ind w:left="0" w:right="49"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color w:val="000000"/>
          <w:sz w:val="24"/>
          <w:szCs w:val="24"/>
        </w:rPr>
        <w:t xml:space="preserve">De las constancias que obran en el expediente digital del recurso de revisión que hoy se resuelve, se aprecia que el </w:t>
      </w:r>
      <w:r w:rsidRPr="00957D13">
        <w:rPr>
          <w:rFonts w:ascii="Palatino Linotype" w:eastAsia="Palatino Linotype" w:hAnsi="Palatino Linotype" w:cs="Palatino Linotype"/>
          <w:b/>
          <w:bCs/>
          <w:color w:val="000000"/>
          <w:sz w:val="24"/>
          <w:szCs w:val="24"/>
        </w:rPr>
        <w:t>SUJETO OBLIGADO</w:t>
      </w:r>
      <w:r w:rsidRPr="00957D13">
        <w:rPr>
          <w:rFonts w:ascii="Palatino Linotype" w:eastAsia="Palatino Linotype" w:hAnsi="Palatino Linotype" w:cs="Palatino Linotype"/>
          <w:color w:val="000000"/>
          <w:sz w:val="24"/>
          <w:szCs w:val="24"/>
        </w:rPr>
        <w:t xml:space="preserve">  presentó dentro de los recursos en fechas </w:t>
      </w:r>
      <w:r w:rsidRPr="00957D13">
        <w:rPr>
          <w:rFonts w:ascii="Palatino Linotype" w:eastAsia="Palatino Linotype" w:hAnsi="Palatino Linotype" w:cs="Palatino Linotype"/>
          <w:b/>
          <w:bCs/>
          <w:color w:val="000000"/>
          <w:sz w:val="24"/>
          <w:szCs w:val="24"/>
        </w:rPr>
        <w:t xml:space="preserve">cuatro, </w:t>
      </w:r>
      <w:r w:rsidRPr="00957D13">
        <w:rPr>
          <w:rFonts w:ascii="Palatino Linotype" w:eastAsia="Palatino Linotype" w:hAnsi="Palatino Linotype" w:cs="Palatino Linotype"/>
          <w:b/>
          <w:bCs/>
          <w:sz w:val="24"/>
          <w:szCs w:val="24"/>
        </w:rPr>
        <w:t xml:space="preserve">ocho, once, doce, diecisiete, dieciocho y diecinueve </w:t>
      </w:r>
      <w:r w:rsidRPr="00957D13">
        <w:rPr>
          <w:rFonts w:ascii="Palatino Linotype" w:eastAsia="Palatino Linotype" w:hAnsi="Palatino Linotype" w:cs="Palatino Linotype"/>
          <w:b/>
          <w:bCs/>
          <w:color w:val="000000"/>
          <w:sz w:val="24"/>
          <w:szCs w:val="24"/>
        </w:rPr>
        <w:t xml:space="preserve">de septiembre, quince </w:t>
      </w:r>
      <w:r w:rsidRPr="00957D13">
        <w:rPr>
          <w:rFonts w:ascii="Palatino Linotype" w:eastAsia="Palatino Linotype" w:hAnsi="Palatino Linotype" w:cs="Palatino Linotype"/>
          <w:b/>
          <w:bCs/>
          <w:color w:val="000000"/>
          <w:sz w:val="24"/>
          <w:szCs w:val="24"/>
        </w:rPr>
        <w:lastRenderedPageBreak/>
        <w:t xml:space="preserve">dieciocho de diciembre dos mil veinticinco y siete de enero de dos mil veintiséis </w:t>
      </w:r>
      <w:r w:rsidRPr="00957D13">
        <w:rPr>
          <w:rFonts w:ascii="Palatino Linotype" w:eastAsia="Palatino Linotype" w:hAnsi="Palatino Linotype" w:cs="Palatino Linotype"/>
          <w:color w:val="000000"/>
          <w:sz w:val="24"/>
          <w:szCs w:val="24"/>
        </w:rPr>
        <w:t xml:space="preserve">los archivos </w:t>
      </w:r>
      <w:r w:rsidRPr="00957D13">
        <w:rPr>
          <w:rFonts w:ascii="Palatino Linotype" w:eastAsia="Palatino Linotype" w:hAnsi="Palatino Linotype" w:cs="Palatino Linotype"/>
          <w:sz w:val="24"/>
          <w:szCs w:val="24"/>
        </w:rPr>
        <w:t>electrónicos que se desglosan:</w:t>
      </w:r>
    </w:p>
    <w:p w:rsidR="00957D13" w:rsidRPr="00957D13" w:rsidRDefault="00957D13" w:rsidP="00957D13">
      <w:pPr>
        <w:tabs>
          <w:tab w:val="left" w:pos="426"/>
        </w:tabs>
        <w:spacing w:line="360" w:lineRule="auto"/>
        <w:ind w:right="49"/>
        <w:jc w:val="both"/>
        <w:rPr>
          <w:rFonts w:ascii="Palatino Linotype" w:eastAsia="Palatino Linotype" w:hAnsi="Palatino Linotype" w:cs="Palatino Linotype"/>
          <w:sz w:val="24"/>
          <w:szCs w:val="24"/>
        </w:rPr>
      </w:pPr>
    </w:p>
    <w:tbl>
      <w:tblPr>
        <w:tblStyle w:val="a5"/>
        <w:tblW w:w="9758"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firstRow="0" w:lastRow="0" w:firstColumn="0" w:lastColumn="0" w:noHBand="0" w:noVBand="1"/>
      </w:tblPr>
      <w:tblGrid>
        <w:gridCol w:w="2682"/>
        <w:gridCol w:w="7076"/>
      </w:tblGrid>
      <w:tr w:rsidR="00E50455" w:rsidRPr="00957D13">
        <w:trPr>
          <w:trHeight w:val="696"/>
          <w:tblHeader/>
        </w:trPr>
        <w:tc>
          <w:tcPr>
            <w:tcW w:w="2682"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RECURSO</w:t>
            </w:r>
          </w:p>
        </w:tc>
        <w:tc>
          <w:tcPr>
            <w:tcW w:w="7076"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INFORME JUSTIFICADO</w:t>
            </w:r>
          </w:p>
        </w:tc>
      </w:tr>
      <w:tr w:rsidR="00E50455" w:rsidRPr="00957D13">
        <w:trPr>
          <w:trHeight w:val="460"/>
        </w:trPr>
        <w:tc>
          <w:tcPr>
            <w:tcW w:w="2682"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10173/INFOEM/IP/RR/2025</w:t>
            </w:r>
          </w:p>
        </w:tc>
        <w:tc>
          <w:tcPr>
            <w:tcW w:w="7076" w:type="dxa"/>
            <w:vAlign w:val="center"/>
          </w:tcPr>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ANEXOS 10173-2025.rar: </w:t>
            </w:r>
            <w:r w:rsidRPr="00957D13">
              <w:rPr>
                <w:rFonts w:ascii="Palatino Linotype" w:eastAsia="Palatino Linotype" w:hAnsi="Palatino Linotype" w:cs="Palatino Linotype"/>
                <w:i/>
                <w:iCs/>
                <w:sz w:val="24"/>
                <w:szCs w:val="24"/>
              </w:rPr>
              <w:t xml:space="preserve">Décima regidora ratifica su respuesta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RR 10173.pdf </w:t>
            </w:r>
            <w:r w:rsidRPr="00957D13">
              <w:rPr>
                <w:rFonts w:ascii="Palatino Linotype" w:eastAsia="Palatino Linotype" w:hAnsi="Palatino Linotype" w:cs="Palatino Linotype"/>
                <w:i/>
                <w:iCs/>
                <w:sz w:val="24"/>
                <w:szCs w:val="24"/>
              </w:rPr>
              <w:t>Secretario particular de presidencia señala que expresión documental entregada en respuesta concuerda a lo solicitado por el particular.</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PETICIONES CIUDADANAS II.pdf </w:t>
            </w:r>
            <w:r w:rsidRPr="00957D13">
              <w:rPr>
                <w:rFonts w:ascii="Palatino Linotype" w:eastAsia="Palatino Linotype" w:hAnsi="Palatino Linotype" w:cs="Palatino Linotype"/>
                <w:i/>
                <w:iCs/>
                <w:sz w:val="24"/>
                <w:szCs w:val="24"/>
              </w:rPr>
              <w:t xml:space="preserve">Primer regidor entrega oficios con peticiones ciudadanas y respuestas ( de fecha 9 de enero a veintidós de noviembre, así como registro de visitas de fecha dos de enero a catorce de agosto de dos mil veinticinco, norma oficial mexicana NOM-001-SEDATU-2021, no se puso a la vista del recurrente ya que contenía datos personales susceptibles de clasificación (nombre , firma, teléfono y fotografía de particulares)  </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ANEXOS 010173-2025.pdf </w:t>
            </w:r>
            <w:r w:rsidRPr="00957D13">
              <w:rPr>
                <w:rFonts w:ascii="Palatino Linotype" w:eastAsia="Palatino Linotype" w:hAnsi="Palatino Linotype" w:cs="Palatino Linotype"/>
                <w:i/>
                <w:iCs/>
                <w:sz w:val="24"/>
                <w:szCs w:val="24"/>
              </w:rPr>
              <w:t>Séptima regidora ratifica respuesta inicial.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Ratificación 010173.pdf </w:t>
            </w:r>
            <w:r w:rsidRPr="00957D13">
              <w:rPr>
                <w:rFonts w:ascii="Palatino Linotype" w:eastAsia="Palatino Linotype" w:hAnsi="Palatino Linotype" w:cs="Palatino Linotype"/>
                <w:i/>
                <w:iCs/>
                <w:sz w:val="24"/>
                <w:szCs w:val="24"/>
              </w:rPr>
              <w:t>Titular de la Unidad de Transparencia ratifica la respuesta de la Secretaría Particular, Secretaría del Ayuntamiento, Sindicaturas, Regidurías y Servidores Públicos habilitados.</w:t>
            </w:r>
          </w:p>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ANEXOS 10173-2025_1.pdf </w:t>
            </w:r>
            <w:r w:rsidRPr="00957D13">
              <w:rPr>
                <w:rFonts w:ascii="Palatino Linotype" w:eastAsia="Palatino Linotype" w:hAnsi="Palatino Linotype" w:cs="Palatino Linotype"/>
                <w:i/>
                <w:iCs/>
                <w:sz w:val="24"/>
                <w:szCs w:val="24"/>
              </w:rPr>
              <w:t>Sexta Regiduría ratifica su respuesta inicial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REGISTRO VISITAS SEXTA JUNIO 03617.pdf  </w:t>
            </w:r>
            <w:r w:rsidRPr="00957D13">
              <w:rPr>
                <w:rFonts w:ascii="Palatino Linotype" w:eastAsia="Palatino Linotype" w:hAnsi="Palatino Linotype" w:cs="Palatino Linotype"/>
                <w:i/>
                <w:iCs/>
                <w:sz w:val="24"/>
                <w:szCs w:val="24"/>
              </w:rPr>
              <w:t>Sexta regidora entrega formato de registro de visitas de fecha seis de enero a once de junio de dos mil veinticinco, no se pone a la vista del recurrente ya que contiene datos personales susceptibles de clasificación (nombre de particulares)</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SOLICITUD 03617 01.pdf  </w:t>
            </w:r>
            <w:r w:rsidRPr="00957D13">
              <w:rPr>
                <w:rFonts w:ascii="Palatino Linotype" w:eastAsia="Palatino Linotype" w:hAnsi="Palatino Linotype" w:cs="Palatino Linotype"/>
                <w:i/>
                <w:iCs/>
                <w:sz w:val="24"/>
                <w:szCs w:val="24"/>
              </w:rPr>
              <w:t xml:space="preserve">sexta regidora entrega oficios con peticiones ciudadana con su respectiva respuesta en versión pública de fecha dieciséis de enero a veintiuno de mayo de dos mil veinticinco, no se pone a la vista del recurrente toda vez que contiene datos susceptibles </w:t>
            </w:r>
            <w:r w:rsidRPr="00957D13">
              <w:rPr>
                <w:rFonts w:ascii="Palatino Linotype" w:eastAsia="Palatino Linotype" w:hAnsi="Palatino Linotype" w:cs="Palatino Linotype"/>
                <w:i/>
                <w:iCs/>
                <w:sz w:val="24"/>
                <w:szCs w:val="24"/>
              </w:rPr>
              <w:lastRenderedPageBreak/>
              <w:t>de clasificación (nombre y firma de particulares), presenta una excesiva versión pública (nombre y firma de autoridades auxiliares)</w:t>
            </w:r>
          </w:p>
          <w:p w:rsidR="00E50455" w:rsidRPr="00957D13" w:rsidRDefault="00117A9F">
            <w:pPr>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 xml:space="preserve">ANEXOS 10173-2025_1.pdf  </w:t>
            </w:r>
            <w:r w:rsidRPr="00957D13">
              <w:rPr>
                <w:rFonts w:ascii="Palatino Linotype" w:eastAsia="Palatino Linotype" w:hAnsi="Palatino Linotype" w:cs="Palatino Linotype"/>
                <w:sz w:val="24"/>
                <w:szCs w:val="24"/>
              </w:rPr>
              <w:t>Tercer regidor señala que entregó al particular mediante SAIMEX la información requerida.</w:t>
            </w:r>
          </w:p>
        </w:tc>
      </w:tr>
      <w:tr w:rsidR="00E50455" w:rsidRPr="00957D13">
        <w:trPr>
          <w:trHeight w:val="410"/>
        </w:trPr>
        <w:tc>
          <w:tcPr>
            <w:tcW w:w="2682" w:type="dxa"/>
            <w:shd w:val="clear" w:color="auto" w:fill="F2F2F2"/>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09708/INFOEM/IP/RR/2025</w:t>
            </w:r>
          </w:p>
        </w:tc>
        <w:tc>
          <w:tcPr>
            <w:tcW w:w="7076"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ANEXOS 09708-2025.pdf </w:t>
            </w:r>
            <w:r w:rsidRPr="00957D13">
              <w:rPr>
                <w:rFonts w:ascii="Palatino Linotype" w:eastAsia="Palatino Linotype" w:hAnsi="Palatino Linotype" w:cs="Palatino Linotype"/>
                <w:i/>
                <w:iCs/>
                <w:sz w:val="24"/>
                <w:szCs w:val="24"/>
              </w:rPr>
              <w:t>Décima regidora ratifica respuesta inicial.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Ratificación 09708.pdf </w:t>
            </w:r>
            <w:r w:rsidRPr="00957D13">
              <w:rPr>
                <w:rFonts w:ascii="Palatino Linotype" w:eastAsia="Palatino Linotype" w:hAnsi="Palatino Linotype" w:cs="Palatino Linotype"/>
                <w:i/>
                <w:iCs/>
                <w:sz w:val="24"/>
                <w:szCs w:val="24"/>
              </w:rPr>
              <w:t>Titular de la Unidad de Transparencia ratifica respuesta de Décima Primera regiduría.</w:t>
            </w:r>
          </w:p>
        </w:tc>
      </w:tr>
      <w:tr w:rsidR="00E50455" w:rsidRPr="00957D13">
        <w:trPr>
          <w:trHeight w:val="410"/>
        </w:trPr>
        <w:tc>
          <w:tcPr>
            <w:tcW w:w="2682"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13818/INFOEM/IP/RR/2025</w:t>
            </w:r>
          </w:p>
        </w:tc>
        <w:tc>
          <w:tcPr>
            <w:tcW w:w="7076" w:type="dxa"/>
            <w:vAlign w:val="center"/>
          </w:tcPr>
          <w:p w:rsidR="00E50455" w:rsidRPr="00957D13" w:rsidRDefault="00117A9F">
            <w:pPr>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Ratificación 13818.pdf </w:t>
            </w:r>
            <w:r w:rsidRPr="00957D13">
              <w:rPr>
                <w:rFonts w:ascii="Palatino Linotype" w:eastAsia="Palatino Linotype" w:hAnsi="Palatino Linotype" w:cs="Palatino Linotype"/>
                <w:i/>
                <w:iCs/>
                <w:sz w:val="24"/>
                <w:szCs w:val="24"/>
              </w:rPr>
              <w:t>Titular de la Unidad de Transparencia ratifica respuesta de Primera regiduría.</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13818-2025-1R.pdf </w:t>
            </w:r>
            <w:r w:rsidRPr="00957D13">
              <w:rPr>
                <w:rFonts w:ascii="Palatino Linotype" w:eastAsia="Palatino Linotype" w:hAnsi="Palatino Linotype" w:cs="Palatino Linotype"/>
                <w:i/>
                <w:iCs/>
                <w:sz w:val="24"/>
                <w:szCs w:val="24"/>
              </w:rPr>
              <w:t>Primer regidor ratifica respuesta inicial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13818-2025-1R_CD.pdf </w:t>
            </w:r>
            <w:r w:rsidRPr="00957D13">
              <w:rPr>
                <w:rFonts w:ascii="Palatino Linotype" w:eastAsia="Palatino Linotype" w:hAnsi="Palatino Linotype" w:cs="Palatino Linotype"/>
                <w:i/>
                <w:iCs/>
                <w:sz w:val="24"/>
                <w:szCs w:val="24"/>
              </w:rPr>
              <w:t>Primer Regidor presenta oficios en versión pública de fecha tres de enro a veintidós de noviembre de dos mil veinticinco, no se pone a la vista del recurrente toda vez que  contiene datos personales susceptibles de clasificación (fotografías nombre, firma,  teléfono, domicilio, correo electrónico de particulares, además de testar nombre y firmas de autoridades auxiliares)</w:t>
            </w:r>
          </w:p>
        </w:tc>
      </w:tr>
      <w:tr w:rsidR="00E50455" w:rsidRPr="00957D13">
        <w:trPr>
          <w:trHeight w:val="410"/>
        </w:trPr>
        <w:tc>
          <w:tcPr>
            <w:tcW w:w="2682" w:type="dxa"/>
            <w:shd w:val="clear" w:color="auto" w:fill="F2F2F2"/>
            <w:vAlign w:val="center"/>
          </w:tcPr>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sz w:val="24"/>
                <w:szCs w:val="24"/>
              </w:rPr>
              <w:t>13813/INFOEM/IP/RR/2025</w:t>
            </w:r>
          </w:p>
        </w:tc>
        <w:tc>
          <w:tcPr>
            <w:tcW w:w="7076"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13813-2025-ANEXOS-10R.pdf </w:t>
            </w:r>
            <w:r w:rsidRPr="00957D13">
              <w:rPr>
                <w:rFonts w:ascii="Palatino Linotype" w:eastAsia="Palatino Linotype" w:hAnsi="Palatino Linotype" w:cs="Palatino Linotype"/>
                <w:i/>
                <w:iCs/>
                <w:sz w:val="24"/>
                <w:szCs w:val="24"/>
              </w:rPr>
              <w:t>Décima regidora ratifica su respuesta inicial.</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sz w:val="24"/>
                <w:szCs w:val="24"/>
              </w:rPr>
              <w:t xml:space="preserve">Ratificación 13813.pdf </w:t>
            </w:r>
            <w:r w:rsidRPr="00957D13">
              <w:rPr>
                <w:rFonts w:ascii="Palatino Linotype" w:eastAsia="Palatino Linotype" w:hAnsi="Palatino Linotype" w:cs="Palatino Linotype"/>
                <w:i/>
                <w:iCs/>
                <w:sz w:val="24"/>
                <w:szCs w:val="24"/>
              </w:rPr>
              <w:t>Donde Titular de la Unidad de Transparencia ratifica la respuesta emitida por la Décima Regiduría.</w:t>
            </w:r>
          </w:p>
        </w:tc>
      </w:tr>
    </w:tbl>
    <w:p w:rsidR="00E50455" w:rsidRPr="00957D13" w:rsidRDefault="00E50455">
      <w:pPr>
        <w:pBdr>
          <w:top w:val="nil"/>
          <w:left w:val="nil"/>
          <w:bottom w:val="nil"/>
          <w:right w:val="nil"/>
          <w:between w:val="nil"/>
        </w:pBdr>
        <w:spacing w:line="360" w:lineRule="auto"/>
        <w:jc w:val="center"/>
        <w:rPr>
          <w:rFonts w:ascii="Palatino Linotype" w:eastAsia="Palatino Linotype" w:hAnsi="Palatino Linotype" w:cs="Palatino Linotype"/>
          <w:color w:val="000000"/>
          <w:sz w:val="24"/>
          <w:szCs w:val="24"/>
        </w:rPr>
      </w:pPr>
    </w:p>
    <w:p w:rsidR="00E50455" w:rsidRPr="00957D13" w:rsidRDefault="00957D13">
      <w:pPr>
        <w:numPr>
          <w:ilvl w:val="0"/>
          <w:numId w:val="18"/>
        </w:numPr>
        <w:tabs>
          <w:tab w:val="left" w:pos="426"/>
        </w:tabs>
        <w:spacing w:line="360" w:lineRule="auto"/>
        <w:ind w:left="0" w:right="49" w:firstLine="0"/>
        <w:jc w:val="both"/>
        <w:rPr>
          <w:rFonts w:ascii="Palatino Linotype" w:eastAsia="Palatino Linotype" w:hAnsi="Palatino Linotype" w:cs="Palatino Linotype"/>
          <w:sz w:val="24"/>
          <w:szCs w:val="24"/>
        </w:rPr>
      </w:pPr>
      <w:r>
        <w:rPr>
          <w:rFonts w:ascii="Palatino Linotype" w:eastAsia="Palatino Linotype" w:hAnsi="Palatino Linotype" w:cs="Palatino Linotype"/>
          <w:color w:val="000000"/>
          <w:sz w:val="24"/>
          <w:szCs w:val="24"/>
        </w:rPr>
        <w:t>Posteriormente la Comisionada p</w:t>
      </w:r>
      <w:r w:rsidR="00117A9F" w:rsidRPr="00957D13">
        <w:rPr>
          <w:rFonts w:ascii="Palatino Linotype" w:eastAsia="Palatino Linotype" w:hAnsi="Palatino Linotype" w:cs="Palatino Linotype"/>
          <w:color w:val="000000"/>
          <w:sz w:val="24"/>
          <w:szCs w:val="24"/>
        </w:rPr>
        <w:t>onente a través de acuerdo de fecha</w:t>
      </w:r>
      <w:r w:rsidR="00117A9F" w:rsidRPr="00957D13">
        <w:rPr>
          <w:rFonts w:ascii="Palatino Linotype" w:eastAsia="Palatino Linotype" w:hAnsi="Palatino Linotype" w:cs="Palatino Linotype"/>
          <w:b/>
          <w:bCs/>
          <w:color w:val="000000"/>
          <w:sz w:val="24"/>
          <w:szCs w:val="24"/>
        </w:rPr>
        <w:t xml:space="preserve"> once de febrero de dos mil veintiséis</w:t>
      </w:r>
      <w:r w:rsidR="00117A9F" w:rsidRPr="00957D13">
        <w:rPr>
          <w:rFonts w:ascii="Palatino Linotype" w:eastAsia="Palatino Linotype" w:hAnsi="Palatino Linotype" w:cs="Palatino Linotype"/>
          <w:color w:val="000000"/>
          <w:sz w:val="24"/>
          <w:szCs w:val="24"/>
        </w:rPr>
        <w:t xml:space="preserve">, </w:t>
      </w:r>
      <w:r w:rsidR="00117A9F" w:rsidRPr="00957D13">
        <w:rPr>
          <w:rFonts w:ascii="Palatino Linotype" w:eastAsia="Palatino Linotype" w:hAnsi="Palatino Linotype" w:cs="Palatino Linotype"/>
          <w:sz w:val="24"/>
          <w:szCs w:val="24"/>
        </w:rPr>
        <w:t xml:space="preserve">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003C5658" w:rsidRPr="00957D13">
        <w:rPr>
          <w:rFonts w:ascii="Palatino Linotype" w:eastAsia="Palatino Linotype" w:hAnsi="Palatino Linotype" w:cs="Palatino Linotype"/>
          <w:b/>
          <w:bCs/>
          <w:color w:val="000000"/>
          <w:sz w:val="24"/>
          <w:szCs w:val="24"/>
        </w:rPr>
        <w:t xml:space="preserve">09708/INFOEM/IP/RR/2025, </w:t>
      </w:r>
      <w:r w:rsidR="00117A9F" w:rsidRPr="00957D13">
        <w:rPr>
          <w:rFonts w:ascii="Palatino Linotype" w:eastAsia="Palatino Linotype" w:hAnsi="Palatino Linotype" w:cs="Palatino Linotype"/>
          <w:b/>
          <w:bCs/>
          <w:color w:val="000000"/>
          <w:sz w:val="24"/>
          <w:szCs w:val="24"/>
        </w:rPr>
        <w:t>10173/INFOEM/IP/RR/2025, 13818/INFOEM/IP/RR/2025 y  13813/INFOEM/IP/RR/2025,</w:t>
      </w:r>
      <w:r w:rsidR="00117A9F" w:rsidRPr="00957D13">
        <w:rPr>
          <w:rFonts w:ascii="Palatino Linotype" w:eastAsia="Palatino Linotype" w:hAnsi="Palatino Linotype" w:cs="Palatino Linotype"/>
          <w:sz w:val="24"/>
          <w:szCs w:val="24"/>
        </w:rPr>
        <w:t xml:space="preserve"> toda vez que se advirtió conexidad entre estos, al haber sido </w:t>
      </w:r>
      <w:r w:rsidR="00117A9F" w:rsidRPr="00957D13">
        <w:rPr>
          <w:rFonts w:ascii="Palatino Linotype" w:eastAsia="Palatino Linotype" w:hAnsi="Palatino Linotype" w:cs="Palatino Linotype"/>
          <w:sz w:val="24"/>
          <w:szCs w:val="24"/>
        </w:rPr>
        <w:lastRenderedPageBreak/>
        <w:t xml:space="preserve">promovidos por la misma persona, en los que se señaló como dependencia o entidad recurrida al </w:t>
      </w:r>
      <w:r w:rsidR="00117A9F" w:rsidRPr="00957D13">
        <w:rPr>
          <w:rFonts w:ascii="Palatino Linotype" w:eastAsia="Palatino Linotype" w:hAnsi="Palatino Linotype" w:cs="Palatino Linotype"/>
          <w:b/>
          <w:bCs/>
          <w:sz w:val="24"/>
          <w:szCs w:val="24"/>
        </w:rPr>
        <w:t>Ayuntamiento de Toluca</w:t>
      </w:r>
      <w:r w:rsidR="00117A9F" w:rsidRPr="00957D13">
        <w:rPr>
          <w:rFonts w:ascii="Palatino Linotype" w:eastAsia="Palatino Linotype" w:hAnsi="Palatino Linotype" w:cs="Palatino Linotype"/>
          <w:sz w:val="24"/>
          <w:szCs w:val="24"/>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00117A9F" w:rsidRPr="00957D13">
        <w:rPr>
          <w:rFonts w:ascii="Palatino Linotype" w:eastAsia="Palatino Linotype" w:hAnsi="Palatino Linotype" w:cs="Palatino Linotype"/>
          <w:b/>
          <w:bCs/>
          <w:sz w:val="24"/>
          <w:szCs w:val="24"/>
        </w:rPr>
        <w:t>decreta</w:t>
      </w:r>
      <w:r w:rsidR="00117A9F" w:rsidRPr="00957D13">
        <w:rPr>
          <w:rFonts w:ascii="Palatino Linotype" w:eastAsia="Palatino Linotype" w:hAnsi="Palatino Linotype" w:cs="Palatino Linotype"/>
          <w:sz w:val="24"/>
          <w:szCs w:val="24"/>
        </w:rPr>
        <w:t xml:space="preserve"> la </w:t>
      </w:r>
      <w:r w:rsidR="00117A9F" w:rsidRPr="00957D13">
        <w:rPr>
          <w:rFonts w:ascii="Palatino Linotype" w:eastAsia="Palatino Linotype" w:hAnsi="Palatino Linotype" w:cs="Palatino Linotype"/>
          <w:b/>
          <w:bCs/>
          <w:sz w:val="24"/>
          <w:szCs w:val="24"/>
        </w:rPr>
        <w:t>acumulación</w:t>
      </w:r>
      <w:r w:rsidR="00117A9F" w:rsidRPr="00957D13">
        <w:rPr>
          <w:rFonts w:ascii="Palatino Linotype" w:eastAsia="Palatino Linotype" w:hAnsi="Palatino Linotype" w:cs="Palatino Linotype"/>
          <w:sz w:val="24"/>
          <w:szCs w:val="24"/>
        </w:rPr>
        <w:t xml:space="preserve"> de los Recursos de Revisión </w:t>
      </w:r>
      <w:r w:rsidR="003C5658" w:rsidRPr="00957D13">
        <w:rPr>
          <w:rFonts w:ascii="Palatino Linotype" w:eastAsia="Palatino Linotype" w:hAnsi="Palatino Linotype" w:cs="Palatino Linotype"/>
          <w:b/>
          <w:bCs/>
          <w:color w:val="000000"/>
          <w:sz w:val="24"/>
          <w:szCs w:val="24"/>
        </w:rPr>
        <w:t>10173</w:t>
      </w:r>
      <w:r w:rsidR="00117A9F" w:rsidRPr="00957D13">
        <w:rPr>
          <w:rFonts w:ascii="Palatino Linotype" w:eastAsia="Palatino Linotype" w:hAnsi="Palatino Linotype" w:cs="Palatino Linotype"/>
          <w:b/>
          <w:bCs/>
          <w:color w:val="000000"/>
          <w:sz w:val="24"/>
          <w:szCs w:val="24"/>
        </w:rPr>
        <w:t xml:space="preserve">/INFOEM/IP/RR/2025, 13818/INFOEM/IP/RR/2025 y  13813/INFOEM/IP/RR/2025 </w:t>
      </w:r>
      <w:r w:rsidR="00117A9F" w:rsidRPr="00957D13">
        <w:rPr>
          <w:rFonts w:ascii="Palatino Linotype" w:eastAsia="Palatino Linotype" w:hAnsi="Palatino Linotype" w:cs="Palatino Linotype"/>
          <w:sz w:val="24"/>
          <w:szCs w:val="24"/>
        </w:rPr>
        <w:t xml:space="preserve">al diverso </w:t>
      </w:r>
      <w:r w:rsidR="003C5658" w:rsidRPr="00957D13">
        <w:rPr>
          <w:rFonts w:ascii="Palatino Linotype" w:eastAsia="Palatino Linotype" w:hAnsi="Palatino Linotype" w:cs="Palatino Linotype"/>
          <w:b/>
          <w:bCs/>
          <w:color w:val="000000"/>
          <w:sz w:val="24"/>
          <w:szCs w:val="24"/>
        </w:rPr>
        <w:t>9708</w:t>
      </w:r>
      <w:r w:rsidR="00117A9F" w:rsidRPr="00957D13">
        <w:rPr>
          <w:rFonts w:ascii="Palatino Linotype" w:eastAsia="Palatino Linotype" w:hAnsi="Palatino Linotype" w:cs="Palatino Linotype"/>
          <w:b/>
          <w:bCs/>
          <w:color w:val="000000"/>
          <w:sz w:val="24"/>
          <w:szCs w:val="24"/>
        </w:rPr>
        <w:t>/INFOEM/IP/RR/2025,</w:t>
      </w:r>
      <w:r w:rsidR="00117A9F" w:rsidRPr="00957D13">
        <w:rPr>
          <w:rFonts w:ascii="Palatino Linotype" w:eastAsia="Palatino Linotype" w:hAnsi="Palatino Linotype" w:cs="Palatino Linotype"/>
          <w:sz w:val="24"/>
          <w:szCs w:val="24"/>
        </w:rPr>
        <w:t xml:space="preserve"> por ser este último el más antiguo, sustanciado bajo el índice de esta Ponencia.</w:t>
      </w:r>
    </w:p>
    <w:p w:rsidR="00E50455" w:rsidRPr="00957D13" w:rsidRDefault="00E50455">
      <w:pPr>
        <w:tabs>
          <w:tab w:val="left" w:pos="426"/>
        </w:tabs>
        <w:spacing w:line="360" w:lineRule="auto"/>
        <w:ind w:right="49"/>
        <w:jc w:val="both"/>
        <w:rPr>
          <w:rFonts w:ascii="Palatino Linotype" w:eastAsia="Palatino Linotype" w:hAnsi="Palatino Linotype" w:cs="Palatino Linotype"/>
          <w:sz w:val="24"/>
          <w:szCs w:val="24"/>
        </w:rPr>
      </w:pPr>
    </w:p>
    <w:p w:rsidR="00E50455" w:rsidRPr="00957D13" w:rsidRDefault="00957D13">
      <w:pPr>
        <w:numPr>
          <w:ilvl w:val="0"/>
          <w:numId w:val="3"/>
        </w:numPr>
        <w:spacing w:line="360" w:lineRule="auto"/>
        <w:ind w:left="0" w:right="-29" w:firstLine="0"/>
        <w:jc w:val="both"/>
        <w:rPr>
          <w:rFonts w:ascii="Palatino Linotype" w:eastAsia="Palatino Linotype" w:hAnsi="Palatino Linotype" w:cs="Palatino Linotype"/>
          <w:sz w:val="24"/>
          <w:szCs w:val="24"/>
        </w:rPr>
      </w:pPr>
      <w:bookmarkStart w:id="4" w:name="_heading=h.6ts396w9hlww" w:colFirst="0" w:colLast="0"/>
      <w:bookmarkEnd w:id="4"/>
      <w:r>
        <w:rPr>
          <w:rFonts w:ascii="Palatino Linotype" w:eastAsia="Palatino Linotype" w:hAnsi="Palatino Linotype" w:cs="Palatino Linotype"/>
          <w:sz w:val="24"/>
          <w:szCs w:val="24"/>
        </w:rPr>
        <w:t>La Comisionada p</w:t>
      </w:r>
      <w:r w:rsidR="00117A9F" w:rsidRPr="00957D13">
        <w:rPr>
          <w:rFonts w:ascii="Palatino Linotype" w:eastAsia="Palatino Linotype" w:hAnsi="Palatino Linotype" w:cs="Palatino Linotype"/>
          <w:sz w:val="24"/>
          <w:szCs w:val="24"/>
        </w:rPr>
        <w:t xml:space="preserve">onente decretó el cierre de instrucción mediante el acuerdos de fecha  </w:t>
      </w:r>
      <w:r w:rsidR="00117A9F" w:rsidRPr="00957D13">
        <w:rPr>
          <w:rFonts w:ascii="Palatino Linotype" w:eastAsia="Palatino Linotype" w:hAnsi="Palatino Linotype" w:cs="Palatino Linotype"/>
          <w:b/>
          <w:bCs/>
          <w:sz w:val="24"/>
          <w:szCs w:val="24"/>
        </w:rPr>
        <w:t xml:space="preserve">diecisiete y veintitrés de febrero de dos mil veintiséis; </w:t>
      </w:r>
      <w:r w:rsidR="00117A9F" w:rsidRPr="00957D13">
        <w:rPr>
          <w:rFonts w:ascii="Palatino Linotype" w:eastAsia="Palatino Linotype" w:hAnsi="Palatino Linotype" w:cs="Palatino Linotype"/>
          <w:sz w:val="24"/>
          <w:szCs w:val="24"/>
        </w:rPr>
        <w:t>por lo que en virtud de que el expediente electrónico ha sido debidamente substanciado y no existe diligencia pendiente de desahogo, se procede a emitir la pres</w:t>
      </w:r>
      <w:r>
        <w:rPr>
          <w:rFonts w:ascii="Palatino Linotype" w:eastAsia="Palatino Linotype" w:hAnsi="Palatino Linotype" w:cs="Palatino Linotype"/>
          <w:sz w:val="24"/>
          <w:szCs w:val="24"/>
        </w:rPr>
        <w:t>ente resolución que conforme a d</w:t>
      </w:r>
      <w:r w:rsidR="00117A9F" w:rsidRPr="00957D13">
        <w:rPr>
          <w:rFonts w:ascii="Palatino Linotype" w:eastAsia="Palatino Linotype" w:hAnsi="Palatino Linotype" w:cs="Palatino Linotype"/>
          <w:sz w:val="24"/>
          <w:szCs w:val="24"/>
        </w:rPr>
        <w:t>erecho corresponda y de acuerdo a las siguientes:</w:t>
      </w:r>
      <w:r>
        <w:rPr>
          <w:rFonts w:ascii="Palatino Linotype" w:eastAsia="Palatino Linotype" w:hAnsi="Palatino Linotype" w:cs="Palatino Linotype"/>
          <w:sz w:val="24"/>
          <w:szCs w:val="24"/>
        </w:rPr>
        <w:t xml:space="preserve"> </w:t>
      </w:r>
    </w:p>
    <w:p w:rsidR="00957D13" w:rsidRDefault="00957D13">
      <w:pPr>
        <w:pBdr>
          <w:top w:val="nil"/>
          <w:left w:val="nil"/>
          <w:bottom w:val="nil"/>
          <w:right w:val="nil"/>
          <w:between w:val="nil"/>
        </w:pBdr>
        <w:spacing w:line="360" w:lineRule="auto"/>
        <w:ind w:left="568" w:right="49"/>
        <w:jc w:val="center"/>
        <w:rPr>
          <w:rFonts w:ascii="Palatino Linotype" w:eastAsia="Palatino Linotype" w:hAnsi="Palatino Linotype" w:cs="Palatino Linotype"/>
          <w:b/>
          <w:bCs/>
          <w:color w:val="000000"/>
          <w:sz w:val="24"/>
          <w:szCs w:val="24"/>
        </w:rPr>
      </w:pPr>
      <w:bookmarkStart w:id="5" w:name="_heading=h.ycnd7571vcbj" w:colFirst="0" w:colLast="0"/>
      <w:bookmarkEnd w:id="5"/>
    </w:p>
    <w:p w:rsidR="00E50455" w:rsidRPr="00957D13" w:rsidRDefault="00117A9F">
      <w:pPr>
        <w:pBdr>
          <w:top w:val="nil"/>
          <w:left w:val="nil"/>
          <w:bottom w:val="nil"/>
          <w:right w:val="nil"/>
          <w:between w:val="nil"/>
        </w:pBdr>
        <w:spacing w:line="360" w:lineRule="auto"/>
        <w:ind w:left="568" w:right="49"/>
        <w:jc w:val="center"/>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C O N S I D E R A C I O N E S</w:t>
      </w:r>
    </w:p>
    <w:p w:rsidR="00E50455" w:rsidRPr="00957D13" w:rsidRDefault="00E50455">
      <w:pPr>
        <w:pBdr>
          <w:top w:val="nil"/>
          <w:left w:val="nil"/>
          <w:bottom w:val="nil"/>
          <w:right w:val="nil"/>
          <w:between w:val="nil"/>
        </w:pBdr>
        <w:spacing w:line="360" w:lineRule="auto"/>
        <w:ind w:left="568" w:right="-787"/>
        <w:jc w:val="center"/>
        <w:rPr>
          <w:rFonts w:ascii="Palatino Linotype" w:eastAsia="Palatino Linotype" w:hAnsi="Palatino Linotype" w:cs="Palatino Linotype"/>
          <w:b/>
          <w:bCs/>
          <w:color w:val="000000"/>
          <w:sz w:val="24"/>
          <w:szCs w:val="24"/>
        </w:rPr>
      </w:pPr>
    </w:p>
    <w:p w:rsidR="00E50455" w:rsidRPr="00957D13" w:rsidRDefault="00117A9F">
      <w:pPr>
        <w:pStyle w:val="Ttulo2"/>
        <w:spacing w:before="0" w:line="360" w:lineRule="auto"/>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PRIMERO. Competencia</w:t>
      </w:r>
    </w:p>
    <w:p w:rsidR="00E50455" w:rsidRPr="00957D13" w:rsidRDefault="00117A9F">
      <w:pPr>
        <w:numPr>
          <w:ilvl w:val="0"/>
          <w:numId w:val="19"/>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szCs w:val="24"/>
        </w:rPr>
      </w:pPr>
      <w:bookmarkStart w:id="6" w:name="_heading=h.7tb65jif6g7e" w:colFirst="0" w:colLast="0"/>
      <w:bookmarkEnd w:id="6"/>
      <w:r w:rsidRPr="00957D13">
        <w:rPr>
          <w:rFonts w:ascii="Palatino Linotype" w:eastAsia="Palatino Linotype" w:hAnsi="Palatino Linotype" w:cs="Palatino Linotype"/>
          <w:color w:val="000000"/>
          <w:sz w:val="24"/>
          <w:szCs w:val="24"/>
        </w:rPr>
        <w:t xml:space="preserve">El Instituto de Transparencia, Acceso a la Información Pública y Protección de Datos Personales del Estado de México y Municipios, es competente para conocer y resolver el presente recurso de revisión interpuesto por la parte recurrente, conforme a lo dispuesto en </w:t>
      </w:r>
      <w:r w:rsidRPr="00957D13">
        <w:rPr>
          <w:rFonts w:ascii="Palatino Linotype" w:eastAsia="Palatino Linotype" w:hAnsi="Palatino Linotype" w:cs="Palatino Linotype"/>
          <w:color w:val="000000"/>
          <w:sz w:val="24"/>
          <w:szCs w:val="24"/>
        </w:rPr>
        <w:lastRenderedPageBreak/>
        <w:t>los artículos 6°, apartado A, de la Constitución Política de los Estados Unidos Mexicanos; 5°, párrafos trigésimo séptimo, trigésimo octavo y trigésimo noveno, fracciones IV y V, de la Constitución Política del Estado Libre y Soberano de México; 1°, 8°, 9°, 10, 37 y 42, fracciones I, II y III, de la Ley General de Transparencia y Acceso a la Información Pública, vigente a la fecha de la solicitud de información;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rsidR="00E50455" w:rsidRPr="00957D13" w:rsidRDefault="00E5045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p>
    <w:p w:rsidR="00E50455" w:rsidRPr="00957D13" w:rsidRDefault="00117A9F">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sz w:val="24"/>
          <w:szCs w:val="24"/>
        </w:rPr>
      </w:pPr>
      <w:bookmarkStart w:id="7" w:name="_heading=h.5d6k7ik27nsr" w:colFirst="0" w:colLast="0"/>
      <w:bookmarkEnd w:id="7"/>
      <w:r w:rsidRPr="00957D13">
        <w:rPr>
          <w:rFonts w:ascii="Palatino Linotype" w:eastAsia="Palatino Linotype" w:hAnsi="Palatino Linotype" w:cs="Palatino Linotype"/>
          <w:b/>
          <w:bCs/>
          <w:color w:val="000000"/>
          <w:sz w:val="24"/>
          <w:szCs w:val="24"/>
        </w:rPr>
        <w:t>SEGUNDO. De la oportunidad y procedencia.</w:t>
      </w:r>
    </w:p>
    <w:p w:rsidR="00E50455" w:rsidRPr="00957D13" w:rsidRDefault="00117A9F">
      <w:pPr>
        <w:numPr>
          <w:ilvl w:val="0"/>
          <w:numId w:val="21"/>
        </w:numPr>
        <w:spacing w:line="360" w:lineRule="auto"/>
        <w:ind w:left="0" w:right="49" w:firstLine="0"/>
        <w:jc w:val="both"/>
        <w:rPr>
          <w:rFonts w:ascii="Palatino Linotype" w:eastAsia="Palatino Linotype" w:hAnsi="Palatino Linotype" w:cs="Palatino Linotype"/>
          <w:sz w:val="24"/>
          <w:szCs w:val="24"/>
        </w:rPr>
      </w:pPr>
      <w:bookmarkStart w:id="8" w:name="_heading=h.t8m5kx167bbd" w:colFirst="0" w:colLast="0"/>
      <w:bookmarkEnd w:id="8"/>
      <w:r w:rsidRPr="00957D13">
        <w:rPr>
          <w:rFonts w:ascii="Palatino Linotype" w:eastAsia="Palatino Linotype" w:hAnsi="Palatino Linotype" w:cs="Palatino Linotype"/>
          <w:sz w:val="24"/>
          <w:szCs w:val="24"/>
        </w:rPr>
        <w:t xml:space="preserve">Este Órgano Garante considera que el medio de impugnación reúne los requisitos de procedencia </w:t>
      </w:r>
      <w:r w:rsidRPr="00957D13">
        <w:rPr>
          <w:rFonts w:ascii="Palatino Linotype" w:eastAsia="Palatino Linotype" w:hAnsi="Palatino Linotype" w:cs="Palatino Linotype"/>
          <w:color w:val="000000"/>
          <w:sz w:val="24"/>
          <w:szCs w:val="24"/>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rsidR="00E50455" w:rsidRPr="00957D13" w:rsidRDefault="00E50455">
      <w:pPr>
        <w:pBdr>
          <w:top w:val="nil"/>
          <w:left w:val="nil"/>
          <w:bottom w:val="nil"/>
          <w:right w:val="nil"/>
          <w:between w:val="nil"/>
        </w:pBdr>
        <w:ind w:left="360" w:hanging="76"/>
        <w:jc w:val="both"/>
        <w:rPr>
          <w:rFonts w:ascii="Palatino Linotype" w:eastAsia="Palatino Linotype" w:hAnsi="Palatino Linotype" w:cs="Palatino Linotype"/>
          <w:i/>
          <w:iCs/>
          <w:color w:val="000000"/>
          <w:sz w:val="24"/>
          <w:szCs w:val="24"/>
        </w:rPr>
      </w:pPr>
    </w:p>
    <w:p w:rsidR="00E50455" w:rsidRPr="00957D13" w:rsidRDefault="00117A9F">
      <w:pPr>
        <w:numPr>
          <w:ilvl w:val="0"/>
          <w:numId w:val="2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w:t>
      </w:r>
      <w:r w:rsidRPr="00957D13">
        <w:rPr>
          <w:rFonts w:ascii="Palatino Linotype" w:eastAsia="Palatino Linotype" w:hAnsi="Palatino Linotype" w:cs="Palatino Linotype"/>
          <w:b/>
          <w:bCs/>
          <w:i/>
          <w:iCs/>
          <w:sz w:val="24"/>
          <w:szCs w:val="24"/>
        </w:rPr>
        <w:t>Las solicitudes anónimas</w:t>
      </w:r>
      <w:r w:rsidRPr="00957D13">
        <w:rPr>
          <w:rFonts w:ascii="Palatino Linotype" w:eastAsia="Palatino Linotype" w:hAnsi="Palatino Linotype" w:cs="Palatino Linotype"/>
          <w:i/>
          <w:iCs/>
          <w:sz w:val="24"/>
          <w:szCs w:val="24"/>
        </w:rPr>
        <w:t xml:space="preserve">, con nombre incompleto o seudónimo </w:t>
      </w:r>
      <w:r w:rsidRPr="00957D13">
        <w:rPr>
          <w:rFonts w:ascii="Palatino Linotype" w:eastAsia="Palatino Linotype" w:hAnsi="Palatino Linotype" w:cs="Palatino Linotype"/>
          <w:b/>
          <w:bCs/>
          <w:i/>
          <w:iCs/>
          <w:sz w:val="24"/>
          <w:szCs w:val="24"/>
        </w:rPr>
        <w:t>serán procedentes para su trámite por parte del sujeto obligado ante quien se presente</w:t>
      </w:r>
      <w:r w:rsidRPr="00957D13">
        <w:rPr>
          <w:rFonts w:ascii="Palatino Linotype" w:eastAsia="Palatino Linotype" w:hAnsi="Palatino Linotype" w:cs="Palatino Linotype"/>
          <w:i/>
          <w:iCs/>
          <w:sz w:val="24"/>
          <w:szCs w:val="24"/>
        </w:rPr>
        <w:t>. No podrá requerirse información adicional con motivo del nombre proporcionado por el solicitante."</w:t>
      </w:r>
    </w:p>
    <w:p w:rsidR="00E50455" w:rsidRPr="00957D13" w:rsidRDefault="00E50455">
      <w:pPr>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21"/>
        </w:numPr>
        <w:spacing w:line="360" w:lineRule="auto"/>
        <w:ind w:left="0"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Robusteciendo lo anterior se encuentra lo dispuesto en el artículo 6, Apartado A, fracciones III de la Constitución Política de los Estados Unidos Mexicanos que establece:</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r w:rsidRPr="00957D13">
        <w:rPr>
          <w:rFonts w:ascii="Palatino Linotype" w:eastAsia="Palatino Linotype" w:hAnsi="Palatino Linotype" w:cs="Palatino Linotype"/>
          <w:b/>
          <w:bCs/>
          <w:i/>
          <w:iCs/>
          <w:sz w:val="24"/>
          <w:szCs w:val="24"/>
        </w:rPr>
        <w:t>Artículo 6.-</w:t>
      </w:r>
      <w:r w:rsidRPr="00957D13">
        <w:rPr>
          <w:rFonts w:ascii="Palatino Linotype" w:eastAsia="Palatino Linotype" w:hAnsi="Palatino Linotype" w:cs="Palatino Linotype"/>
          <w:i/>
          <w:iCs/>
          <w:sz w:val="24"/>
          <w:szCs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Para efectos de lo dispuesto en el presente artículo se observará lo siguiente:</w:t>
      </w:r>
    </w:p>
    <w:p w:rsidR="00E50455" w:rsidRPr="00957D13" w:rsidRDefault="00E50455">
      <w:pPr>
        <w:ind w:left="1134" w:right="900"/>
        <w:jc w:val="both"/>
        <w:rPr>
          <w:rFonts w:ascii="Palatino Linotype" w:eastAsia="Palatino Linotype" w:hAnsi="Palatino Linotype" w:cs="Palatino Linotype"/>
          <w:i/>
          <w:iCs/>
          <w:sz w:val="24"/>
          <w:szCs w:val="24"/>
        </w:rPr>
      </w:pP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A. Para el ejercicio del derecho de acceso a la información, la Federación, los Estados y el Distrito Federal, en el ámbito de sus respectivas competencias, se regirán por los siguientes principios y bases:</w:t>
      </w:r>
    </w:p>
    <w:p w:rsidR="00E50455" w:rsidRPr="00957D13" w:rsidRDefault="00E50455">
      <w:pPr>
        <w:ind w:left="1134" w:right="900"/>
        <w:jc w:val="both"/>
        <w:rPr>
          <w:rFonts w:ascii="Palatino Linotype" w:eastAsia="Palatino Linotype" w:hAnsi="Palatino Linotype" w:cs="Palatino Linotype"/>
          <w:i/>
          <w:iCs/>
          <w:sz w:val="24"/>
          <w:szCs w:val="24"/>
        </w:rPr>
      </w:pP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III. Toda persona, sin necesidad de acreditar interés alguno o justificar su utilización, tendrá acceso gratuito a la información pública, a sus datos personales o a la rectificación de éstos.” </w:t>
      </w:r>
      <w:r w:rsidRPr="00957D13">
        <w:rPr>
          <w:rFonts w:ascii="Palatino Linotype" w:eastAsia="Palatino Linotype" w:hAnsi="Palatino Linotype" w:cs="Palatino Linotype"/>
          <w:sz w:val="24"/>
          <w:szCs w:val="24"/>
        </w:rPr>
        <w:t>(Sic)</w:t>
      </w:r>
    </w:p>
    <w:p w:rsidR="00E50455" w:rsidRPr="00957D13" w:rsidRDefault="00E50455">
      <w:pPr>
        <w:spacing w:line="360" w:lineRule="auto"/>
        <w:ind w:left="567" w:right="474"/>
        <w:jc w:val="both"/>
        <w:rPr>
          <w:rFonts w:ascii="Palatino Linotype" w:eastAsia="Palatino Linotype" w:hAnsi="Palatino Linotype" w:cs="Palatino Linotype"/>
          <w:i/>
          <w:iCs/>
          <w:sz w:val="24"/>
          <w:szCs w:val="24"/>
        </w:rPr>
      </w:pPr>
    </w:p>
    <w:p w:rsidR="00E50455" w:rsidRPr="00957D13" w:rsidRDefault="00117A9F" w:rsidP="00957D13">
      <w:pPr>
        <w:numPr>
          <w:ilvl w:val="0"/>
          <w:numId w:val="21"/>
        </w:numPr>
        <w:spacing w:line="360" w:lineRule="auto"/>
        <w:ind w:left="0"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Así como el artículo 5 fracción III, párrafo vigésimo noveno, trigésimo y trigésimo primero, de la Constitución Política del Estado Libre y Soberano de México, que determina lo siguiente:</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r w:rsidRPr="00957D13">
        <w:rPr>
          <w:rFonts w:ascii="Palatino Linotype" w:eastAsia="Palatino Linotype" w:hAnsi="Palatino Linotype" w:cs="Palatino Linotype"/>
          <w:b/>
          <w:bCs/>
          <w:i/>
          <w:iCs/>
          <w:sz w:val="24"/>
          <w:szCs w:val="24"/>
        </w:rPr>
        <w:t>Artículo 5.-</w:t>
      </w:r>
      <w:r w:rsidRPr="00957D13">
        <w:rPr>
          <w:rFonts w:ascii="Palatino Linotype" w:eastAsia="Palatino Linotype" w:hAnsi="Palatino Linotype" w:cs="Palatino Linotype"/>
          <w:i/>
          <w:iCs/>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w:t>
      </w:r>
      <w:r w:rsidRPr="00957D13">
        <w:rPr>
          <w:rFonts w:ascii="Palatino Linotype" w:eastAsia="Palatino Linotype" w:hAnsi="Palatino Linotype" w:cs="Palatino Linotype"/>
          <w:i/>
          <w:iCs/>
          <w:sz w:val="24"/>
          <w:szCs w:val="24"/>
        </w:rPr>
        <w:lastRenderedPageBreak/>
        <w:t>suspenderse salvo en los casos y bajo las condiciones que la Constitución Política de los Estados Unidos Mexicanos establece”.(Sic)</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Toda persona en el Estado de México, tiene derecho al libre acceso a la información plural y oportuna, así como a buscar recibir y difundir información e ideas de toda índole por cualquier medio de expresión.</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El derecho a la información será garantizado por el Estado. La ley establecerá las previsiones que permitan asegurar la protección, el respeto y la difusión de este derecho.</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III. Toda persona, sin necesidad de acreditar interés alguno o justificar su utilización, tendrá acceso gratuito a la información pública, a sus datos personales o a la rectificación de éstos;</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957D13">
        <w:rPr>
          <w:rFonts w:ascii="Palatino Linotype" w:eastAsia="Palatino Linotype" w:hAnsi="Palatino Linotype" w:cs="Palatino Linotype"/>
          <w:sz w:val="24"/>
          <w:szCs w:val="24"/>
        </w:rPr>
        <w:t>(Sic)</w:t>
      </w:r>
    </w:p>
    <w:p w:rsidR="00E50455" w:rsidRPr="00957D13" w:rsidRDefault="00E50455">
      <w:pPr>
        <w:ind w:left="426" w:right="476"/>
        <w:jc w:val="both"/>
        <w:rPr>
          <w:rFonts w:ascii="Palatino Linotype" w:eastAsia="Palatino Linotype" w:hAnsi="Palatino Linotype" w:cs="Palatino Linotype"/>
          <w:i/>
          <w:iCs/>
          <w:sz w:val="24"/>
          <w:szCs w:val="24"/>
        </w:rPr>
      </w:pPr>
    </w:p>
    <w:p w:rsidR="00E50455" w:rsidRPr="00957D13" w:rsidRDefault="00117A9F">
      <w:pPr>
        <w:numPr>
          <w:ilvl w:val="0"/>
          <w:numId w:val="21"/>
        </w:numPr>
        <w:spacing w:line="360" w:lineRule="auto"/>
        <w:ind w:left="0"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Por otra parte, del contenido del artículo 1 de la Constitución Política de los Estados Unidos mexicanos, se destaca lo siguiente:</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r w:rsidRPr="00957D13">
        <w:rPr>
          <w:rFonts w:ascii="Palatino Linotype" w:eastAsia="Palatino Linotype" w:hAnsi="Palatino Linotype" w:cs="Palatino Linotype"/>
          <w:b/>
          <w:bCs/>
          <w:i/>
          <w:iCs/>
          <w:sz w:val="24"/>
          <w:szCs w:val="24"/>
        </w:rPr>
        <w:t>Artículo 1</w:t>
      </w:r>
      <w:r w:rsidRPr="00957D13">
        <w:rPr>
          <w:rFonts w:ascii="Palatino Linotype" w:eastAsia="Palatino Linotype" w:hAnsi="Palatino Linotype" w:cs="Palatino Linotype"/>
          <w:i/>
          <w:iCs/>
          <w:sz w:val="24"/>
          <w:szCs w:val="24"/>
        </w:rPr>
        <w:t xml:space="preserve">. En los Estados Unidos Mexicanos todas las personas gozarán de los derechos humanos reconocidos en esta Constitución y en los tratados  internacionales de los que el Estado Mexicano sea parte, así como de las garantías </w:t>
      </w:r>
      <w:r w:rsidRPr="00957D13">
        <w:rPr>
          <w:rFonts w:ascii="Palatino Linotype" w:eastAsia="Palatino Linotype" w:hAnsi="Palatino Linotype" w:cs="Palatino Linotype"/>
          <w:i/>
          <w:iCs/>
          <w:sz w:val="24"/>
          <w:szCs w:val="24"/>
        </w:rPr>
        <w:lastRenderedPageBreak/>
        <w:t>para su protección, cuyo ejercicio no podrá restringirse ni suspenderse, salvo en los casos y bajo las condiciones que esta Constitución establece.</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Las normas relativas a los derechos humanos se interpretarán de conformidad con esta Constitución y con los tratados internacionales de la materia favoreciendo en todo tiempo a las personas la protección más amplia.</w:t>
      </w:r>
    </w:p>
    <w:p w:rsidR="00E50455" w:rsidRPr="00957D13" w:rsidRDefault="00117A9F">
      <w:pPr>
        <w:ind w:left="1134" w:right="90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E50455" w:rsidRPr="00957D13" w:rsidRDefault="00E50455">
      <w:pPr>
        <w:spacing w:line="360" w:lineRule="auto"/>
        <w:ind w:left="426" w:right="474"/>
        <w:jc w:val="both"/>
        <w:rPr>
          <w:rFonts w:ascii="Palatino Linotype" w:eastAsia="Palatino Linotype" w:hAnsi="Palatino Linotype" w:cs="Palatino Linotype"/>
          <w:i/>
          <w:iCs/>
          <w:sz w:val="24"/>
          <w:szCs w:val="24"/>
        </w:rPr>
      </w:pPr>
    </w:p>
    <w:p w:rsidR="00E50455" w:rsidRPr="00957D13" w:rsidRDefault="00117A9F">
      <w:pPr>
        <w:numPr>
          <w:ilvl w:val="0"/>
          <w:numId w:val="21"/>
        </w:numPr>
        <w:spacing w:line="360" w:lineRule="auto"/>
        <w:ind w:left="0"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Esto es, que el derecho humano de acceso a la información pública, se aprecia que toda persona, sin necesidad de acreditar interés alguno o justificar su interposición, deberá tener acceso a la información pública, es decir, dicho </w:t>
      </w:r>
      <w:r w:rsidRPr="00957D13">
        <w:rPr>
          <w:rFonts w:ascii="Palatino Linotype" w:eastAsia="Palatino Linotype" w:hAnsi="Palatino Linotype" w:cs="Palatino Linotype"/>
          <w:i/>
          <w:iCs/>
          <w:sz w:val="24"/>
          <w:szCs w:val="24"/>
        </w:rPr>
        <w:t>derecho fundamental exime a quien lo ejerce</w:t>
      </w:r>
      <w:r w:rsidRPr="00957D13">
        <w:rPr>
          <w:rFonts w:ascii="Palatino Linotype" w:eastAsia="Palatino Linotype" w:hAnsi="Palatino Linotype" w:cs="Palatino Linotype"/>
          <w:sz w:val="24"/>
          <w:szCs w:val="24"/>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E50455" w:rsidRPr="00957D13" w:rsidRDefault="00E50455">
      <w:pPr>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21"/>
        </w:numPr>
        <w:spacing w:line="360" w:lineRule="auto"/>
        <w:ind w:left="0"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En consecuencia, dado lo expuesto y fundado con anterioridad, se estima que el requisito relativo al nombre del </w:t>
      </w:r>
      <w:r w:rsidRPr="00957D13">
        <w:rPr>
          <w:rFonts w:ascii="Palatino Linotype" w:eastAsia="Palatino Linotype" w:hAnsi="Palatino Linotype" w:cs="Palatino Linotype"/>
          <w:b/>
          <w:bCs/>
          <w:sz w:val="24"/>
          <w:szCs w:val="24"/>
        </w:rPr>
        <w:t>RECURRENTE</w:t>
      </w:r>
      <w:r w:rsidRPr="00957D13">
        <w:rPr>
          <w:rFonts w:ascii="Palatino Linotype" w:eastAsia="Palatino Linotype" w:hAnsi="Palatino Linotype" w:cs="Palatino Linotype"/>
          <w:sz w:val="24"/>
          <w:szCs w:val="24"/>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w:t>
      </w:r>
      <w:r w:rsidRPr="00957D13">
        <w:rPr>
          <w:rFonts w:ascii="Palatino Linotype" w:eastAsia="Palatino Linotype" w:hAnsi="Palatino Linotype" w:cs="Palatino Linotype"/>
          <w:sz w:val="24"/>
          <w:szCs w:val="24"/>
        </w:rPr>
        <w:lastRenderedPageBreak/>
        <w:t>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E50455" w:rsidRPr="00957D13" w:rsidRDefault="00E50455">
      <w:pPr>
        <w:pBdr>
          <w:top w:val="nil"/>
          <w:left w:val="nil"/>
          <w:bottom w:val="nil"/>
          <w:right w:val="nil"/>
          <w:between w:val="nil"/>
        </w:pBdr>
        <w:spacing w:line="480" w:lineRule="auto"/>
        <w:ind w:left="720"/>
        <w:rPr>
          <w:rFonts w:ascii="Palatino Linotype" w:eastAsia="Palatino Linotype" w:hAnsi="Palatino Linotype" w:cs="Palatino Linotype"/>
          <w:color w:val="000000"/>
          <w:sz w:val="24"/>
          <w:szCs w:val="24"/>
        </w:rPr>
      </w:pPr>
    </w:p>
    <w:p w:rsidR="00E50455" w:rsidRPr="00957D13" w:rsidRDefault="00117A9F">
      <w:pPr>
        <w:numPr>
          <w:ilvl w:val="0"/>
          <w:numId w:val="21"/>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50455" w:rsidRPr="00957D13" w:rsidRDefault="00E50455">
      <w:pPr>
        <w:spacing w:line="480" w:lineRule="auto"/>
        <w:rPr>
          <w:rFonts w:ascii="Palatino Linotype" w:eastAsia="Palatino Linotype" w:hAnsi="Palatino Linotype" w:cs="Palatino Linotype"/>
          <w:sz w:val="24"/>
          <w:szCs w:val="24"/>
        </w:rPr>
      </w:pPr>
    </w:p>
    <w:p w:rsidR="00E50455" w:rsidRPr="00957D13" w:rsidRDefault="00117A9F">
      <w:pPr>
        <w:pStyle w:val="Ttulo1"/>
        <w:spacing w:before="0" w:line="360" w:lineRule="auto"/>
        <w:rPr>
          <w:rFonts w:ascii="Palatino Linotype" w:eastAsia="Palatino Linotype" w:hAnsi="Palatino Linotype" w:cs="Palatino Linotype"/>
          <w:b/>
          <w:bCs/>
          <w:color w:val="000000"/>
          <w:sz w:val="24"/>
          <w:szCs w:val="24"/>
        </w:rPr>
      </w:pPr>
      <w:bookmarkStart w:id="9" w:name="_heading=h.3otw9e39i9ac" w:colFirst="0" w:colLast="0"/>
      <w:bookmarkEnd w:id="9"/>
      <w:r w:rsidRPr="00957D13">
        <w:rPr>
          <w:rFonts w:ascii="Palatino Linotype" w:eastAsia="Palatino Linotype" w:hAnsi="Palatino Linotype" w:cs="Palatino Linotype"/>
          <w:b/>
          <w:bCs/>
          <w:color w:val="000000"/>
          <w:sz w:val="24"/>
          <w:szCs w:val="24"/>
        </w:rPr>
        <w:t xml:space="preserve">TERCERO. Del planteamiento de la </w:t>
      </w:r>
      <w:r w:rsidRPr="00957D13">
        <w:rPr>
          <w:rFonts w:ascii="Palatino Linotype" w:eastAsia="Palatino Linotype" w:hAnsi="Palatino Linotype" w:cs="Palatino Linotype"/>
          <w:b/>
          <w:bCs/>
          <w:i/>
          <w:iCs/>
          <w:color w:val="000000"/>
          <w:sz w:val="24"/>
          <w:szCs w:val="24"/>
        </w:rPr>
        <w:t>Litis</w:t>
      </w:r>
      <w:r w:rsidRPr="00957D13">
        <w:rPr>
          <w:rFonts w:ascii="Palatino Linotype" w:eastAsia="Palatino Linotype" w:hAnsi="Palatino Linotype" w:cs="Palatino Linotype"/>
          <w:b/>
          <w:bCs/>
          <w:color w:val="000000"/>
          <w:sz w:val="24"/>
          <w:szCs w:val="24"/>
        </w:rPr>
        <w:t>.</w:t>
      </w:r>
    </w:p>
    <w:p w:rsidR="00E50455" w:rsidRPr="00957D13" w:rsidRDefault="00117A9F">
      <w:pPr>
        <w:numPr>
          <w:ilvl w:val="0"/>
          <w:numId w:val="21"/>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color w:val="000000"/>
          <w:sz w:val="24"/>
          <w:szCs w:val="24"/>
        </w:rPr>
        <w:t>De las constancias en el expediente al rubro indicado, se desprende que el particular solicitó la información que a continuación se desagrega:</w:t>
      </w:r>
    </w:p>
    <w:p w:rsidR="00E50455" w:rsidRPr="00957D13" w:rsidRDefault="00117A9F">
      <w:pPr>
        <w:numPr>
          <w:ilvl w:val="0"/>
          <w:numId w:val="4"/>
        </w:numPr>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Peticiones ciudadanas y audiencias ciudadanas de cada integrante de cabildo con su respectiva respuesta del uno de enero al veinticuatro de junio de dos mil veinticinco.</w:t>
      </w:r>
    </w:p>
    <w:p w:rsidR="00E50455" w:rsidRPr="00957D13" w:rsidRDefault="00117A9F">
      <w:pPr>
        <w:numPr>
          <w:ilvl w:val="0"/>
          <w:numId w:val="4"/>
        </w:numPr>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De las audiencias el registro de audiencia, asunto, teléfono y respuesta, del 1 de enero al veinticuatro de junio de dos mil veinticinco de cada integrante de cabildo.</w:t>
      </w:r>
    </w:p>
    <w:p w:rsidR="00E50455" w:rsidRPr="00957D13" w:rsidRDefault="00117A9F">
      <w:pPr>
        <w:numPr>
          <w:ilvl w:val="0"/>
          <w:numId w:val="4"/>
        </w:numPr>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Peticiones ciudadanas recibidas en la Décima Regiduría y las respuestas esas peticiones ciudadanas del uno de enero al cuatro de agosto de dos mil veinticinco</w:t>
      </w:r>
    </w:p>
    <w:p w:rsidR="00E50455" w:rsidRPr="00957D13" w:rsidRDefault="00117A9F">
      <w:pPr>
        <w:numPr>
          <w:ilvl w:val="0"/>
          <w:numId w:val="4"/>
        </w:numPr>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Listas de registro de los ciudadanos del uno de enero al cuatro de agosto de dos mil veinticinco de la décima Regiduría</w:t>
      </w:r>
    </w:p>
    <w:p w:rsidR="00E50455" w:rsidRPr="00957D13" w:rsidRDefault="00117A9F">
      <w:pPr>
        <w:numPr>
          <w:ilvl w:val="0"/>
          <w:numId w:val="4"/>
        </w:numPr>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Peticiones ciudadanas dirigidas al primer regidor y la respuesta de cada petición o solicitud con sus anexos del uno de enero al diez de noviembre de dos mil veinticinco. </w:t>
      </w:r>
    </w:p>
    <w:p w:rsidR="00E50455" w:rsidRPr="00957D13" w:rsidRDefault="00117A9F">
      <w:pPr>
        <w:numPr>
          <w:ilvl w:val="0"/>
          <w:numId w:val="4"/>
        </w:numPr>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Peticiones ciudadanas recibidas en la Décima Regiduría y las respuestas esas peticiones ciudadanas con sus anexos del uno de enero al diez de noviembre de dos mil veinticinco</w:t>
      </w:r>
    </w:p>
    <w:p w:rsidR="00E50455" w:rsidRPr="00957D13" w:rsidRDefault="00E50455">
      <w:pPr>
        <w:ind w:left="774" w:right="1814"/>
        <w:jc w:val="both"/>
        <w:rPr>
          <w:rFonts w:ascii="Palatino Linotype" w:eastAsia="Palatino Linotype" w:hAnsi="Palatino Linotype" w:cs="Palatino Linotype"/>
          <w:i/>
          <w:iCs/>
          <w:sz w:val="24"/>
          <w:szCs w:val="24"/>
        </w:rPr>
      </w:pPr>
    </w:p>
    <w:p w:rsidR="00E50455" w:rsidRPr="00957D13" w:rsidRDefault="00E50455">
      <w:pPr>
        <w:ind w:left="720"/>
        <w:jc w:val="both"/>
        <w:rPr>
          <w:rFonts w:ascii="Palatino Linotype" w:eastAsia="Palatino Linotype" w:hAnsi="Palatino Linotype" w:cs="Palatino Linotype"/>
          <w:sz w:val="24"/>
          <w:szCs w:val="24"/>
        </w:rPr>
      </w:pPr>
    </w:p>
    <w:p w:rsidR="00E50455" w:rsidRPr="00957D13" w:rsidRDefault="00117A9F">
      <w:pPr>
        <w:numPr>
          <w:ilvl w:val="0"/>
          <w:numId w:val="2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szCs w:val="24"/>
        </w:rPr>
      </w:pPr>
      <w:bookmarkStart w:id="10" w:name="_heading=h.1y810tw" w:colFirst="0" w:colLast="0"/>
      <w:bookmarkEnd w:id="10"/>
      <w:r w:rsidRPr="00957D13">
        <w:rPr>
          <w:rFonts w:ascii="Palatino Linotype" w:eastAsia="Palatino Linotype" w:hAnsi="Palatino Linotype" w:cs="Palatino Linotype"/>
          <w:color w:val="000000"/>
          <w:sz w:val="24"/>
          <w:szCs w:val="24"/>
        </w:rPr>
        <w:t xml:space="preserve">Como se ha constatado en los antecedentes, el Sujeto Obligado proporcionó respuesta documental a fin de dar atención a las solicitudes de información requeridas, sin embargo </w:t>
      </w:r>
      <w:r w:rsidRPr="00957D13">
        <w:rPr>
          <w:rFonts w:ascii="Palatino Linotype" w:eastAsia="Palatino Linotype" w:hAnsi="Palatino Linotype" w:cs="Palatino Linotype"/>
          <w:b/>
          <w:bCs/>
          <w:color w:val="000000"/>
          <w:sz w:val="24"/>
          <w:szCs w:val="24"/>
        </w:rPr>
        <w:t>EL RECURRENTE</w:t>
      </w:r>
      <w:r w:rsidRPr="00957D13">
        <w:rPr>
          <w:rFonts w:ascii="Palatino Linotype" w:eastAsia="Palatino Linotype" w:hAnsi="Palatino Linotype" w:cs="Palatino Linotype"/>
          <w:color w:val="000000"/>
          <w:sz w:val="24"/>
          <w:szCs w:val="24"/>
        </w:rPr>
        <w:t xml:space="preserve"> se inconformó  en términos generales debido a la  negativa a la entrega de la información.</w:t>
      </w:r>
    </w:p>
    <w:p w:rsidR="00E50455" w:rsidRPr="00957D13" w:rsidRDefault="00E50455">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p>
    <w:p w:rsidR="00E50455" w:rsidRPr="00957D13" w:rsidRDefault="00117A9F">
      <w:pPr>
        <w:numPr>
          <w:ilvl w:val="0"/>
          <w:numId w:val="20"/>
        </w:numPr>
        <w:spacing w:line="360" w:lineRule="auto"/>
        <w:ind w:left="0" w:right="49"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En dichas condiciones, la </w:t>
      </w:r>
      <w:r w:rsidRPr="00957D13">
        <w:rPr>
          <w:rFonts w:ascii="Palatino Linotype" w:eastAsia="Palatino Linotype" w:hAnsi="Palatino Linotype" w:cs="Palatino Linotype"/>
          <w:i/>
          <w:iCs/>
          <w:sz w:val="24"/>
          <w:szCs w:val="24"/>
        </w:rPr>
        <w:t>Litis</w:t>
      </w:r>
      <w:r w:rsidRPr="00957D13">
        <w:rPr>
          <w:rFonts w:ascii="Palatino Linotype" w:eastAsia="Palatino Linotype" w:hAnsi="Palatino Linotype" w:cs="Palatino Linotype"/>
          <w:sz w:val="24"/>
          <w:szCs w:val="24"/>
        </w:rPr>
        <w:t xml:space="preserve"> a resolver en este recurso se circunscribe a determinar si se actualizan las causales de procedencia previstas en el artículo 179, </w:t>
      </w:r>
      <w:r w:rsidRPr="00957D13">
        <w:rPr>
          <w:rFonts w:ascii="Palatino Linotype" w:eastAsia="Palatino Linotype" w:hAnsi="Palatino Linotype" w:cs="Palatino Linotype"/>
          <w:b/>
          <w:bCs/>
          <w:sz w:val="24"/>
          <w:szCs w:val="24"/>
        </w:rPr>
        <w:t xml:space="preserve">fracción I </w:t>
      </w:r>
      <w:r w:rsidRPr="00957D13">
        <w:rPr>
          <w:rFonts w:ascii="Palatino Linotype" w:eastAsia="Palatino Linotype" w:hAnsi="Palatino Linotype" w:cs="Palatino Linotype"/>
          <w:sz w:val="24"/>
          <w:szCs w:val="24"/>
        </w:rPr>
        <w:t>de la</w:t>
      </w:r>
      <w:r w:rsidRPr="00957D13">
        <w:rPr>
          <w:rFonts w:ascii="Palatino Linotype" w:eastAsia="Palatino Linotype" w:hAnsi="Palatino Linotype" w:cs="Palatino Linotype"/>
          <w:color w:val="000000"/>
          <w:sz w:val="24"/>
          <w:szCs w:val="24"/>
        </w:rPr>
        <w:t xml:space="preserve"> Ley</w:t>
      </w:r>
      <w:r w:rsidRPr="00957D13">
        <w:rPr>
          <w:rFonts w:ascii="Palatino Linotype" w:eastAsia="Palatino Linotype" w:hAnsi="Palatino Linotype" w:cs="Palatino Linotype"/>
          <w:b/>
          <w:bCs/>
          <w:sz w:val="24"/>
          <w:szCs w:val="24"/>
        </w:rPr>
        <w:t xml:space="preserve"> de Transparencia y Acceso a la Información Pública del Estado de </w:t>
      </w:r>
      <w:r w:rsidRPr="00957D13">
        <w:rPr>
          <w:rFonts w:ascii="Palatino Linotype" w:eastAsia="Palatino Linotype" w:hAnsi="Palatino Linotype" w:cs="Palatino Linotype"/>
          <w:sz w:val="24"/>
          <w:szCs w:val="24"/>
        </w:rPr>
        <w:t>México</w:t>
      </w:r>
      <w:r w:rsidRPr="00957D13">
        <w:rPr>
          <w:rFonts w:ascii="Palatino Linotype" w:eastAsia="Palatino Linotype" w:hAnsi="Palatino Linotype" w:cs="Palatino Linotype"/>
          <w:b/>
          <w:bCs/>
          <w:sz w:val="24"/>
          <w:szCs w:val="24"/>
        </w:rPr>
        <w:t xml:space="preserve"> y Municipios</w:t>
      </w:r>
      <w:r w:rsidRPr="00957D13">
        <w:rPr>
          <w:rFonts w:ascii="Palatino Linotype" w:eastAsia="Palatino Linotype" w:hAnsi="Palatino Linotype" w:cs="Palatino Linotype"/>
          <w:sz w:val="24"/>
          <w:szCs w:val="24"/>
        </w:rPr>
        <w:t xml:space="preserve">; </w:t>
      </w:r>
      <w:r w:rsidRPr="00957D13">
        <w:rPr>
          <w:rFonts w:ascii="Palatino Linotype" w:eastAsia="Palatino Linotype" w:hAnsi="Palatino Linotype" w:cs="Palatino Linotype"/>
          <w:color w:val="000000"/>
          <w:sz w:val="24"/>
          <w:szCs w:val="24"/>
        </w:rPr>
        <w:t xml:space="preserve">fracción que determina la hipótesis jurídica relativa a la negativa a la información por el </w:t>
      </w:r>
      <w:r w:rsidRPr="00957D13">
        <w:rPr>
          <w:rFonts w:ascii="Palatino Linotype" w:eastAsia="Palatino Linotype" w:hAnsi="Palatino Linotype" w:cs="Palatino Linotype"/>
          <w:b/>
          <w:bCs/>
          <w:color w:val="000000"/>
          <w:sz w:val="24"/>
          <w:szCs w:val="24"/>
        </w:rPr>
        <w:t>SUJETO OBLIGADO</w:t>
      </w:r>
      <w:r w:rsidRPr="00957D13">
        <w:rPr>
          <w:rFonts w:ascii="Palatino Linotype" w:eastAsia="Palatino Linotype" w:hAnsi="Palatino Linotype" w:cs="Palatino Linotype"/>
          <w:color w:val="000000"/>
          <w:sz w:val="24"/>
          <w:szCs w:val="24"/>
        </w:rPr>
        <w:t xml:space="preserve">; </w:t>
      </w:r>
      <w:r w:rsidRPr="00957D13">
        <w:rPr>
          <w:rFonts w:ascii="Palatino Linotype" w:eastAsia="Palatino Linotype" w:hAnsi="Palatino Linotype" w:cs="Palatino Linotype"/>
          <w:sz w:val="24"/>
          <w:szCs w:val="24"/>
        </w:rPr>
        <w:t xml:space="preserve">contexto del cual se dolió </w:t>
      </w:r>
      <w:r w:rsidRPr="00957D13">
        <w:rPr>
          <w:rFonts w:ascii="Palatino Linotype" w:eastAsia="Palatino Linotype" w:hAnsi="Palatino Linotype" w:cs="Palatino Linotype"/>
          <w:b/>
          <w:bCs/>
          <w:sz w:val="24"/>
          <w:szCs w:val="24"/>
        </w:rPr>
        <w:t xml:space="preserve">EL RECURRENTE </w:t>
      </w:r>
      <w:r w:rsidRPr="00957D13">
        <w:rPr>
          <w:rFonts w:ascii="Palatino Linotype" w:eastAsia="Palatino Linotype" w:hAnsi="Palatino Linotype" w:cs="Palatino Linotype"/>
          <w:sz w:val="24"/>
          <w:szCs w:val="24"/>
        </w:rPr>
        <w:t xml:space="preserve">al momento de interponer su inconformidad. </w:t>
      </w:r>
      <w:r w:rsidRPr="00957D13">
        <w:rPr>
          <w:rFonts w:ascii="Palatino Linotype" w:eastAsia="Palatino Linotype" w:hAnsi="Palatino Linotype" w:cs="Palatino Linotype"/>
          <w:color w:val="000000"/>
          <w:sz w:val="24"/>
          <w:szCs w:val="24"/>
        </w:rPr>
        <w:t xml:space="preserve">De modo tal que el presente recurso de revisión se </w:t>
      </w:r>
      <w:r w:rsidRPr="00957D13">
        <w:rPr>
          <w:rFonts w:ascii="Palatino Linotype" w:eastAsia="Palatino Linotype" w:hAnsi="Palatino Linotype" w:cs="Palatino Linotype"/>
          <w:sz w:val="24"/>
          <w:szCs w:val="24"/>
        </w:rPr>
        <w:t>abocará</w:t>
      </w:r>
      <w:r w:rsidRPr="00957D13">
        <w:rPr>
          <w:rFonts w:ascii="Palatino Linotype" w:eastAsia="Palatino Linotype" w:hAnsi="Palatino Linotype" w:cs="Palatino Linotype"/>
          <w:color w:val="000000"/>
          <w:sz w:val="24"/>
          <w:szCs w:val="24"/>
        </w:rPr>
        <w:t xml:space="preserve"> en determinar si el Sujeto Obligado con su respuesta ciertamente actualiza la causal de procedencia</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 xml:space="preserve">señalada. </w:t>
      </w:r>
    </w:p>
    <w:p w:rsidR="00E50455" w:rsidRPr="00957D13" w:rsidRDefault="00E50455">
      <w:pPr>
        <w:spacing w:line="360" w:lineRule="auto"/>
        <w:jc w:val="both"/>
        <w:rPr>
          <w:rFonts w:ascii="Palatino Linotype" w:eastAsia="Palatino Linotype" w:hAnsi="Palatino Linotype" w:cs="Palatino Linotype"/>
          <w:sz w:val="24"/>
          <w:szCs w:val="24"/>
        </w:rPr>
      </w:pPr>
    </w:p>
    <w:p w:rsidR="00E50455" w:rsidRPr="00957D13" w:rsidRDefault="00117A9F">
      <w:pPr>
        <w:keepNext/>
        <w:keepLines/>
        <w:spacing w:line="360" w:lineRule="auto"/>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CUARTO. Estudio de la controversia</w:t>
      </w:r>
    </w:p>
    <w:p w:rsidR="00E50455" w:rsidRPr="00957D13" w:rsidRDefault="00117A9F">
      <w:pPr>
        <w:numPr>
          <w:ilvl w:val="0"/>
          <w:numId w:val="20"/>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szCs w:val="24"/>
        </w:rPr>
      </w:pPr>
      <w:bookmarkStart w:id="11" w:name="_heading=h.1t3h5sf" w:colFirst="0" w:colLast="0"/>
      <w:bookmarkEnd w:id="11"/>
      <w:r w:rsidRPr="00957D13">
        <w:rPr>
          <w:rFonts w:ascii="Palatino Linotype" w:eastAsia="Palatino Linotype" w:hAnsi="Palatino Linotype" w:cs="Palatino Linotype"/>
          <w:color w:val="000000"/>
          <w:sz w:val="24"/>
          <w:szCs w:val="24"/>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w:t>
      </w:r>
      <w:r w:rsidRPr="00957D13">
        <w:rPr>
          <w:rFonts w:ascii="Palatino Linotype" w:eastAsia="Palatino Linotype" w:hAnsi="Palatino Linotype" w:cs="Palatino Linotype"/>
          <w:color w:val="000000"/>
          <w:sz w:val="24"/>
          <w:szCs w:val="24"/>
        </w:rPr>
        <w:lastRenderedPageBreak/>
        <w:t>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E50455" w:rsidRPr="00957D13" w:rsidRDefault="00E50455">
      <w:pPr>
        <w:spacing w:line="360" w:lineRule="auto"/>
        <w:ind w:right="48"/>
        <w:jc w:val="both"/>
        <w:rPr>
          <w:rFonts w:ascii="Palatino Linotype" w:eastAsia="Palatino Linotype" w:hAnsi="Palatino Linotype" w:cs="Palatino Linotype"/>
          <w:sz w:val="24"/>
          <w:szCs w:val="24"/>
        </w:rPr>
      </w:pPr>
    </w:p>
    <w:p w:rsidR="00E50455" w:rsidRPr="00957D13" w:rsidRDefault="00117A9F">
      <w:pPr>
        <w:numPr>
          <w:ilvl w:val="0"/>
          <w:numId w:val="22"/>
        </w:numPr>
        <w:spacing w:line="360" w:lineRule="auto"/>
        <w:ind w:left="0" w:right="49"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E50455" w:rsidRPr="00957D13" w:rsidRDefault="00E50455">
      <w:pPr>
        <w:spacing w:line="480" w:lineRule="auto"/>
        <w:ind w:right="-787"/>
        <w:jc w:val="both"/>
        <w:rPr>
          <w:rFonts w:ascii="Palatino Linotype" w:eastAsia="Palatino Linotype" w:hAnsi="Palatino Linotype" w:cs="Palatino Linotype"/>
          <w:sz w:val="24"/>
          <w:szCs w:val="24"/>
        </w:rPr>
      </w:pPr>
    </w:p>
    <w:p w:rsidR="00E50455" w:rsidRPr="00957D13" w:rsidRDefault="00117A9F">
      <w:pPr>
        <w:numPr>
          <w:ilvl w:val="0"/>
          <w:numId w:val="22"/>
        </w:numPr>
        <w:spacing w:line="360" w:lineRule="auto"/>
        <w:ind w:left="0" w:right="49"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E50455" w:rsidRPr="00957D13" w:rsidRDefault="00E50455">
      <w:pPr>
        <w:spacing w:line="480" w:lineRule="auto"/>
        <w:ind w:right="49"/>
        <w:jc w:val="both"/>
        <w:rPr>
          <w:rFonts w:ascii="Palatino Linotype" w:eastAsia="Palatino Linotype" w:hAnsi="Palatino Linotype" w:cs="Palatino Linotype"/>
          <w:sz w:val="24"/>
          <w:szCs w:val="24"/>
        </w:rPr>
      </w:pPr>
    </w:p>
    <w:p w:rsidR="00E50455" w:rsidRPr="00957D13" w:rsidRDefault="00117A9F">
      <w:pPr>
        <w:numPr>
          <w:ilvl w:val="0"/>
          <w:numId w:val="22"/>
        </w:numPr>
        <w:spacing w:line="360" w:lineRule="auto"/>
        <w:ind w:left="0" w:right="49" w:firstLine="0"/>
        <w:jc w:val="both"/>
        <w:rPr>
          <w:rFonts w:ascii="Palatino Linotype" w:eastAsia="Palatino Linotype" w:hAnsi="Palatino Linotype" w:cs="Palatino Linotype"/>
          <w:sz w:val="24"/>
          <w:szCs w:val="24"/>
        </w:rPr>
      </w:pPr>
      <w:bookmarkStart w:id="12" w:name="_heading=h.4d34og8" w:colFirst="0" w:colLast="0"/>
      <w:bookmarkEnd w:id="12"/>
      <w:r w:rsidRPr="00957D13">
        <w:rPr>
          <w:rFonts w:ascii="Palatino Linotype" w:eastAsia="Palatino Linotype" w:hAnsi="Palatino Linotype" w:cs="Palatino Linotype"/>
          <w:sz w:val="24"/>
          <w:szCs w:val="24"/>
        </w:rPr>
        <w:lastRenderedPageBreak/>
        <w:t xml:space="preserve">Así entonces, se procede analizar, en primer lugar, si el </w:t>
      </w:r>
      <w:r w:rsidRPr="00957D13">
        <w:rPr>
          <w:rFonts w:ascii="Palatino Linotype" w:eastAsia="Palatino Linotype" w:hAnsi="Palatino Linotype" w:cs="Palatino Linotype"/>
          <w:b/>
          <w:bCs/>
          <w:sz w:val="24"/>
          <w:szCs w:val="24"/>
        </w:rPr>
        <w:t>SUJETO OBLIGADO</w:t>
      </w:r>
      <w:r w:rsidRPr="00957D13">
        <w:rPr>
          <w:rFonts w:ascii="Palatino Linotype" w:eastAsia="Palatino Linotype" w:hAnsi="Palatino Linotype" w:cs="Palatino Linotype"/>
          <w:sz w:val="24"/>
          <w:szCs w:val="24"/>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E50455" w:rsidRPr="00957D13" w:rsidRDefault="00E50455">
      <w:pPr>
        <w:spacing w:line="480" w:lineRule="auto"/>
        <w:ind w:right="49"/>
        <w:jc w:val="both"/>
        <w:rPr>
          <w:rFonts w:ascii="Palatino Linotype" w:eastAsia="Palatino Linotype" w:hAnsi="Palatino Linotype" w:cs="Palatino Linotype"/>
          <w:sz w:val="24"/>
          <w:szCs w:val="24"/>
        </w:rPr>
      </w:pPr>
    </w:p>
    <w:p w:rsidR="00E50455" w:rsidRPr="00957D13" w:rsidRDefault="00117A9F">
      <w:pPr>
        <w:keepNext/>
        <w:keepLines/>
        <w:rPr>
          <w:rFonts w:ascii="Palatino Linotype" w:eastAsia="Palatino Linotype" w:hAnsi="Palatino Linotype" w:cs="Palatino Linotype"/>
          <w:b/>
          <w:bCs/>
          <w:sz w:val="24"/>
          <w:szCs w:val="24"/>
        </w:rPr>
      </w:pPr>
      <w:bookmarkStart w:id="13" w:name="_heading=h.2s8eyo1" w:colFirst="0" w:colLast="0"/>
      <w:bookmarkEnd w:id="13"/>
      <w:r w:rsidRPr="00957D13">
        <w:rPr>
          <w:rFonts w:ascii="Palatino Linotype" w:eastAsia="Palatino Linotype" w:hAnsi="Palatino Linotype" w:cs="Palatino Linotype"/>
          <w:b/>
          <w:bCs/>
          <w:sz w:val="24"/>
          <w:szCs w:val="24"/>
        </w:rPr>
        <w:t>De la información solicitada y la respuesta del SUJETO OBLIGADO</w:t>
      </w:r>
    </w:p>
    <w:p w:rsidR="00E50455" w:rsidRPr="00957D13" w:rsidRDefault="00117A9F">
      <w:pPr>
        <w:numPr>
          <w:ilvl w:val="0"/>
          <w:numId w:val="2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En ese sentido es importante recordar la información que fue solicitada por el RECURRENTE por lo que se desglosa en el siguiente cuadro la información solicitada por el Recurrente, la respuesta otorgada por el Sujeto Obligado y su cumplimiento.</w:t>
      </w:r>
    </w:p>
    <w:p w:rsidR="00E50455" w:rsidRPr="00957D13" w:rsidRDefault="00E50455">
      <w:pPr>
        <w:spacing w:line="360" w:lineRule="auto"/>
        <w:ind w:right="49"/>
        <w:jc w:val="both"/>
        <w:rPr>
          <w:rFonts w:ascii="Palatino Linotype" w:eastAsia="Palatino Linotype" w:hAnsi="Palatino Linotype" w:cs="Palatino Linotype"/>
          <w:color w:val="000000"/>
          <w:sz w:val="24"/>
          <w:szCs w:val="24"/>
        </w:rPr>
      </w:pPr>
    </w:p>
    <w:tbl>
      <w:tblPr>
        <w:tblStyle w:val="a6"/>
        <w:tblW w:w="11057" w:type="dxa"/>
        <w:jc w:val="center"/>
        <w:tblInd w:w="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2679"/>
        <w:gridCol w:w="2126"/>
        <w:gridCol w:w="1842"/>
        <w:gridCol w:w="1985"/>
        <w:gridCol w:w="2425"/>
      </w:tblGrid>
      <w:tr w:rsidR="00E50455" w:rsidRPr="00957D13" w:rsidTr="00AD0F0E">
        <w:trPr>
          <w:trHeight w:val="696"/>
          <w:tblHeader/>
          <w:jc w:val="center"/>
        </w:trPr>
        <w:tc>
          <w:tcPr>
            <w:tcW w:w="2679" w:type="dxa"/>
            <w:shd w:val="clear" w:color="auto" w:fill="D9D9D9"/>
            <w:vAlign w:val="center"/>
          </w:tcPr>
          <w:p w:rsidR="00E50455" w:rsidRPr="00957D13" w:rsidRDefault="00117A9F">
            <w:pPr>
              <w:ind w:right="194"/>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FOLIO DE LA SOLICITUD/ RECURSO</w:t>
            </w:r>
          </w:p>
        </w:tc>
        <w:tc>
          <w:tcPr>
            <w:tcW w:w="2126"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DESCRIPCIÓN DE LA INFORMACIÓN SOLICITADA</w:t>
            </w:r>
          </w:p>
        </w:tc>
        <w:tc>
          <w:tcPr>
            <w:tcW w:w="1842"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RESPUESTA </w:t>
            </w:r>
          </w:p>
        </w:tc>
        <w:tc>
          <w:tcPr>
            <w:tcW w:w="1985"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INFORME JUSTIFICADO</w:t>
            </w:r>
          </w:p>
        </w:tc>
        <w:tc>
          <w:tcPr>
            <w:tcW w:w="2425" w:type="dxa"/>
            <w:shd w:val="clear" w:color="auto" w:fill="D9D9D9"/>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CUMPLIMIENTO</w:t>
            </w:r>
          </w:p>
        </w:tc>
      </w:tr>
      <w:tr w:rsidR="00E50455" w:rsidRPr="00957D13" w:rsidTr="00AD0F0E">
        <w:trPr>
          <w:trHeight w:val="460"/>
          <w:jc w:val="center"/>
        </w:trPr>
        <w:tc>
          <w:tcPr>
            <w:tcW w:w="2679"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03617/TOLUCA/IP/2025</w:t>
            </w:r>
          </w:p>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10173/INFOEM/IP/RR/2025</w:t>
            </w:r>
          </w:p>
        </w:tc>
        <w:tc>
          <w:tcPr>
            <w:tcW w:w="2126"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Peticiones y audiencias ciudadanas con su respectiva respuesta y de la audiencia el registro de audiencia, asunto, teléfono del 1 de enero al veinticuatro de junio de dos mil veinticinco de los </w:t>
            </w:r>
            <w:r w:rsidRPr="00957D13">
              <w:rPr>
                <w:rFonts w:ascii="Palatino Linotype" w:eastAsia="Palatino Linotype" w:hAnsi="Palatino Linotype" w:cs="Palatino Linotype"/>
                <w:i/>
                <w:iCs/>
                <w:sz w:val="24"/>
                <w:szCs w:val="24"/>
              </w:rPr>
              <w:lastRenderedPageBreak/>
              <w:t>miembros del cabildo.</w:t>
            </w:r>
          </w:p>
        </w:tc>
        <w:tc>
          <w:tcPr>
            <w:tcW w:w="1842"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 xml:space="preserve">Presenta oficios con solicitudes ciudadanas y respuestas, formatos de registro de visitas y oficios a diversas áreas.  Dentro de lo oficios entregados se advierte una excesiva versión pública ya que </w:t>
            </w:r>
            <w:r w:rsidRPr="00957D13">
              <w:rPr>
                <w:rFonts w:ascii="Palatino Linotype" w:eastAsia="Palatino Linotype" w:hAnsi="Palatino Linotype" w:cs="Palatino Linotype"/>
                <w:i/>
                <w:iCs/>
                <w:sz w:val="24"/>
                <w:szCs w:val="24"/>
              </w:rPr>
              <w:lastRenderedPageBreak/>
              <w:t xml:space="preserve">enunciativamente se testaron nombre, firma y cargo de servidores públicos, nombre y firma de autoridades auxiliares. Dejó a la vista datos personales susceptibles de ser clasificados como confidenciales. Fue omiso en presentar información de segunda y décima segunda regidurías; octava regiduría no presentó solicitudes ciudadanas ni respuestas a las mismas; primer y segunda sindicatura, primera, tercera, </w:t>
            </w:r>
            <w:r w:rsidRPr="00957D13">
              <w:rPr>
                <w:rFonts w:ascii="Palatino Linotype" w:eastAsia="Palatino Linotype" w:hAnsi="Palatino Linotype" w:cs="Palatino Linotype"/>
                <w:i/>
                <w:iCs/>
                <w:sz w:val="24"/>
                <w:szCs w:val="24"/>
              </w:rPr>
              <w:lastRenderedPageBreak/>
              <w:t>quinta, novena y décimo primera no presentaron registro de audiencias. Entregó archivos en formato editable</w:t>
            </w:r>
          </w:p>
        </w:tc>
        <w:tc>
          <w:tcPr>
            <w:tcW w:w="1985"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 xml:space="preserve">Presenta oficios con solicitudes ciudadanas y formato de registro de visitantes.  No se puso a la vista del recurrente archivos con  datos personales susceptibles de ser clasificados como confidenciales.  </w:t>
            </w:r>
          </w:p>
        </w:tc>
        <w:tc>
          <w:tcPr>
            <w:tcW w:w="2425" w:type="dxa"/>
          </w:tcPr>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NO</w:t>
            </w:r>
          </w:p>
          <w:p w:rsidR="00E50455" w:rsidRPr="00957D13" w:rsidRDefault="00E50455">
            <w:pPr>
              <w:jc w:val="both"/>
              <w:rPr>
                <w:rFonts w:ascii="Palatino Linotype" w:eastAsia="Palatino Linotype" w:hAnsi="Palatino Linotype" w:cs="Palatino Linotype"/>
                <w:i/>
                <w:iCs/>
                <w:sz w:val="24"/>
                <w:szCs w:val="24"/>
              </w:rPr>
            </w:pP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No se advierte Acuerdo de Clasificación para las respuestas de todas las áreas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Falta de congruencia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Falta información de las áreas</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Entrega información de la que no se advierte a que área corresponde.</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Faltan respuestas.</w:t>
            </w:r>
          </w:p>
        </w:tc>
      </w:tr>
      <w:tr w:rsidR="00E50455" w:rsidRPr="00957D13" w:rsidTr="00AD0F0E">
        <w:trPr>
          <w:trHeight w:val="460"/>
          <w:jc w:val="center"/>
        </w:trPr>
        <w:tc>
          <w:tcPr>
            <w:tcW w:w="2679" w:type="dxa"/>
            <w:shd w:val="clear" w:color="auto" w:fill="F2F2F2"/>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04066/TOLUCA/IP/2025</w:t>
            </w:r>
          </w:p>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9708/INFOEM/IP/RR/2025</w:t>
            </w:r>
          </w:p>
        </w:tc>
        <w:tc>
          <w:tcPr>
            <w:tcW w:w="2126"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Peticiones ciudadanas y sus respuestas,  lista de registro de ciudadanos atendidos del uno de enero al cuatro de agosto de dos mil veinticinco correspondientes a la Décima Regiduría. </w:t>
            </w:r>
          </w:p>
        </w:tc>
        <w:tc>
          <w:tcPr>
            <w:tcW w:w="1842" w:type="dxa"/>
            <w:shd w:val="clear" w:color="auto" w:fill="F2F2F2"/>
            <w:vAlign w:val="center"/>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Entregó versión íntegra de formato de control de peticiones donde se aprecia remitente, petición y respuesta del seis de enero al cuatro de agosto de dos mil veinticinco.</w:t>
            </w:r>
          </w:p>
        </w:tc>
        <w:tc>
          <w:tcPr>
            <w:tcW w:w="1985" w:type="dxa"/>
            <w:shd w:val="clear" w:color="auto" w:fill="F2F2F2"/>
            <w:vAlign w:val="center"/>
          </w:tcPr>
          <w:p w:rsidR="00E50455" w:rsidRPr="00957D13" w:rsidRDefault="00E50455">
            <w:pPr>
              <w:jc w:val="both"/>
              <w:rPr>
                <w:rFonts w:ascii="Palatino Linotype" w:eastAsia="Palatino Linotype" w:hAnsi="Palatino Linotype" w:cs="Palatino Linotype"/>
                <w:i/>
                <w:iCs/>
                <w:sz w:val="24"/>
                <w:szCs w:val="24"/>
              </w:rPr>
            </w:pPr>
          </w:p>
        </w:tc>
        <w:tc>
          <w:tcPr>
            <w:tcW w:w="2425" w:type="dxa"/>
            <w:shd w:val="clear" w:color="auto" w:fill="F2F2F2"/>
            <w:vAlign w:val="center"/>
          </w:tcPr>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SI</w:t>
            </w:r>
          </w:p>
        </w:tc>
      </w:tr>
      <w:tr w:rsidR="00E50455" w:rsidRPr="00957D13" w:rsidTr="00AD0F0E">
        <w:trPr>
          <w:trHeight w:val="460"/>
          <w:jc w:val="center"/>
        </w:trPr>
        <w:tc>
          <w:tcPr>
            <w:tcW w:w="2679" w:type="dxa"/>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06187/TOLUCA/IP/2025</w:t>
            </w:r>
          </w:p>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13818/INFOEM/IP/RR/2025</w:t>
            </w:r>
          </w:p>
        </w:tc>
        <w:tc>
          <w:tcPr>
            <w:tcW w:w="2126"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Peticiones ciudadanas y sus respuestas con anexos del uno de enero al diez de noviembre de dos mil veinticinco correspondientes a la Primer Regiduría</w:t>
            </w:r>
          </w:p>
        </w:tc>
        <w:tc>
          <w:tcPr>
            <w:tcW w:w="1842"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Entrega oficios con peticiones ciudadanas de fecha veintidós de noviembre de dos mil veinticuatro a cuatro de noviembre de </w:t>
            </w:r>
            <w:r w:rsidRPr="00957D13">
              <w:rPr>
                <w:rFonts w:ascii="Palatino Linotype" w:eastAsia="Palatino Linotype" w:hAnsi="Palatino Linotype" w:cs="Palatino Linotype"/>
                <w:i/>
                <w:iCs/>
                <w:sz w:val="24"/>
                <w:szCs w:val="24"/>
              </w:rPr>
              <w:lastRenderedPageBreak/>
              <w:t>dos mil veinticinco, Dentro de lo oficios entregados se advierte una excesiva versión pública ya que enunciativamente se testaron nombre, de servidores públicos y autoridades auxiliares, así mismo dejó a la vista datos personales susceptibles de ser clasificados como confidenciales. Faltan respuestas.</w:t>
            </w:r>
          </w:p>
        </w:tc>
        <w:tc>
          <w:tcPr>
            <w:tcW w:w="1985" w:type="dxa"/>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 xml:space="preserve">Presenta oficios con solicitudes ciudadanas de fecha 3 de enero a veintidós de noviembre de dos mil veinticinco, No se puso a la vista del </w:t>
            </w:r>
            <w:r w:rsidRPr="00957D13">
              <w:rPr>
                <w:rFonts w:ascii="Palatino Linotype" w:eastAsia="Palatino Linotype" w:hAnsi="Palatino Linotype" w:cs="Palatino Linotype"/>
                <w:i/>
                <w:iCs/>
                <w:sz w:val="24"/>
                <w:szCs w:val="24"/>
              </w:rPr>
              <w:lastRenderedPageBreak/>
              <w:t xml:space="preserve">recurrente archivo con  datos personales susceptibles de ser clasificados como confidenciales.  </w:t>
            </w:r>
          </w:p>
        </w:tc>
        <w:tc>
          <w:tcPr>
            <w:tcW w:w="2425" w:type="dxa"/>
          </w:tcPr>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lastRenderedPageBreak/>
              <w:t>NO</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Dar vista a datos</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No se advierte Acuerdo de Clasificación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Falta de congruencia </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faltan respuestas</w:t>
            </w:r>
          </w:p>
        </w:tc>
      </w:tr>
      <w:tr w:rsidR="00E50455" w:rsidRPr="00957D13" w:rsidTr="00AD0F0E">
        <w:trPr>
          <w:trHeight w:val="410"/>
          <w:jc w:val="center"/>
        </w:trPr>
        <w:tc>
          <w:tcPr>
            <w:tcW w:w="2679" w:type="dxa"/>
            <w:shd w:val="clear" w:color="auto" w:fill="F2F2F2"/>
            <w:vAlign w:val="center"/>
          </w:tcPr>
          <w:p w:rsidR="00E50455" w:rsidRPr="00957D13" w:rsidRDefault="00117A9F">
            <w:pPr>
              <w:jc w:val="center"/>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 xml:space="preserve">6196/TOLUCA/IP/2025  </w:t>
            </w:r>
          </w:p>
          <w:p w:rsidR="00E50455" w:rsidRPr="00957D13" w:rsidRDefault="00117A9F">
            <w:pPr>
              <w:jc w:val="center"/>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sz w:val="24"/>
                <w:szCs w:val="24"/>
              </w:rPr>
              <w:t>13813/INFOEM/IP/RR/2025</w:t>
            </w:r>
          </w:p>
        </w:tc>
        <w:tc>
          <w:tcPr>
            <w:tcW w:w="2126" w:type="dxa"/>
            <w:shd w:val="clear" w:color="auto" w:fill="F2F2F2"/>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Peticiones ciudadanas y sus respuestas con anexos del uno de enero al diez de noviembre </w:t>
            </w:r>
            <w:r w:rsidRPr="00957D13">
              <w:rPr>
                <w:rFonts w:ascii="Palatino Linotype" w:eastAsia="Palatino Linotype" w:hAnsi="Palatino Linotype" w:cs="Palatino Linotype"/>
                <w:i/>
                <w:iCs/>
                <w:sz w:val="24"/>
                <w:szCs w:val="24"/>
              </w:rPr>
              <w:lastRenderedPageBreak/>
              <w:t>correspondientes a la Décima regiduría.</w:t>
            </w:r>
          </w:p>
        </w:tc>
        <w:tc>
          <w:tcPr>
            <w:tcW w:w="1842" w:type="dxa"/>
            <w:shd w:val="clear" w:color="auto" w:fill="F2F2F2"/>
          </w:tcPr>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 xml:space="preserve">Entregó versión íntegra de formato de control de peticiones donde se aprecia </w:t>
            </w:r>
            <w:r w:rsidRPr="00957D13">
              <w:rPr>
                <w:rFonts w:ascii="Palatino Linotype" w:eastAsia="Palatino Linotype" w:hAnsi="Palatino Linotype" w:cs="Palatino Linotype"/>
                <w:i/>
                <w:iCs/>
                <w:sz w:val="24"/>
                <w:szCs w:val="24"/>
              </w:rPr>
              <w:lastRenderedPageBreak/>
              <w:t>remitente, petición y respuesta del seis de enero al once de noviembre de dos mil veinticinco.</w:t>
            </w:r>
          </w:p>
        </w:tc>
        <w:tc>
          <w:tcPr>
            <w:tcW w:w="1985" w:type="dxa"/>
            <w:shd w:val="clear" w:color="auto" w:fill="F2F2F2"/>
          </w:tcPr>
          <w:p w:rsidR="00E50455" w:rsidRPr="00957D13" w:rsidRDefault="00E50455">
            <w:pPr>
              <w:jc w:val="both"/>
              <w:rPr>
                <w:rFonts w:ascii="Palatino Linotype" w:eastAsia="Palatino Linotype" w:hAnsi="Palatino Linotype" w:cs="Palatino Linotype"/>
                <w:i/>
                <w:iCs/>
                <w:sz w:val="24"/>
                <w:szCs w:val="24"/>
              </w:rPr>
            </w:pPr>
          </w:p>
        </w:tc>
        <w:tc>
          <w:tcPr>
            <w:tcW w:w="2425" w:type="dxa"/>
            <w:shd w:val="clear" w:color="auto" w:fill="F2F2F2"/>
          </w:tcPr>
          <w:p w:rsidR="00E50455" w:rsidRPr="00957D13" w:rsidRDefault="00117A9F">
            <w:pPr>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PARCIALMENTE</w:t>
            </w:r>
          </w:p>
          <w:p w:rsidR="00E50455" w:rsidRPr="00957D13" w:rsidRDefault="00117A9F">
            <w:pPr>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No entregó anexos de respuestas.</w:t>
            </w:r>
          </w:p>
        </w:tc>
      </w:tr>
    </w:tbl>
    <w:p w:rsidR="00E50455" w:rsidRPr="00957D13" w:rsidRDefault="00E50455">
      <w:pPr>
        <w:pBdr>
          <w:top w:val="nil"/>
          <w:left w:val="nil"/>
          <w:bottom w:val="nil"/>
          <w:right w:val="nil"/>
          <w:between w:val="nil"/>
        </w:pBdr>
        <w:spacing w:line="480" w:lineRule="auto"/>
        <w:jc w:val="both"/>
        <w:rPr>
          <w:rFonts w:ascii="Palatino Linotype" w:eastAsia="Palatino Linotype" w:hAnsi="Palatino Linotype" w:cs="Palatino Linotype"/>
          <w:color w:val="000000"/>
          <w:sz w:val="24"/>
          <w:szCs w:val="24"/>
        </w:rPr>
      </w:pPr>
    </w:p>
    <w:p w:rsidR="00E50455" w:rsidRPr="00AD0F0E" w:rsidRDefault="00117A9F">
      <w:pPr>
        <w:numPr>
          <w:ilvl w:val="0"/>
          <w:numId w:val="22"/>
        </w:numPr>
        <w:spacing w:line="360" w:lineRule="auto"/>
        <w:ind w:left="0" w:right="49"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color w:val="000000"/>
          <w:sz w:val="24"/>
          <w:szCs w:val="24"/>
        </w:rPr>
        <w:t xml:space="preserve">A más de lo anterior, es de explorado derecho que este Instituto no se encuentra facultado para dudar de la veracidad de la </w:t>
      </w:r>
      <w:r w:rsidRPr="00957D13">
        <w:rPr>
          <w:rFonts w:ascii="Palatino Linotype" w:eastAsia="Palatino Linotype" w:hAnsi="Palatino Linotype" w:cs="Palatino Linotype"/>
          <w:sz w:val="24"/>
          <w:szCs w:val="24"/>
        </w:rPr>
        <w:t>información</w:t>
      </w:r>
      <w:r w:rsidRPr="00957D13">
        <w:rPr>
          <w:rFonts w:ascii="Palatino Linotype" w:eastAsia="Palatino Linotype" w:hAnsi="Palatino Linotype" w:cs="Palatino Linotype"/>
          <w:color w:val="000000"/>
          <w:sz w:val="24"/>
          <w:szCs w:val="24"/>
        </w:rPr>
        <w:t xml:space="preserve"> que le fue entregada al hoy </w:t>
      </w:r>
      <w:r w:rsidRPr="00957D13">
        <w:rPr>
          <w:rFonts w:ascii="Palatino Linotype" w:eastAsia="Palatino Linotype" w:hAnsi="Palatino Linotype" w:cs="Palatino Linotype"/>
          <w:b/>
          <w:bCs/>
          <w:color w:val="000000"/>
          <w:sz w:val="24"/>
          <w:szCs w:val="24"/>
        </w:rPr>
        <w:t>RECURRENTE</w:t>
      </w:r>
      <w:r w:rsidRPr="00957D13">
        <w:rPr>
          <w:rFonts w:ascii="Palatino Linotype" w:eastAsia="Palatino Linotype" w:hAnsi="Palatino Linotype" w:cs="Palatino Linotype"/>
          <w:color w:val="000000"/>
          <w:sz w:val="24"/>
          <w:szCs w:val="24"/>
        </w:rPr>
        <w:t xml:space="preserve"> en el presente asunto, ni de las respuestas, ni de las documentales que ponen a disposición de los solicitantes los sujetos obligados, </w:t>
      </w:r>
      <w:r w:rsidRPr="00957D13">
        <w:rPr>
          <w:rFonts w:ascii="Palatino Linotype" w:eastAsia="Palatino Linotype" w:hAnsi="Palatino Linotype" w:cs="Palatino Linotype"/>
          <w:sz w:val="24"/>
          <w:szCs w:val="24"/>
        </w:rPr>
        <w:t xml:space="preserve">situación que se aleja de las atribuciones de este Instituto </w:t>
      </w:r>
      <w:r w:rsidRPr="00957D13">
        <w:rPr>
          <w:rFonts w:ascii="Palatino Linotype" w:eastAsia="Palatino Linotype" w:hAnsi="Palatino Linotype" w:cs="Palatino Linotype"/>
          <w:i/>
          <w:iCs/>
          <w:color w:val="000000"/>
          <w:sz w:val="24"/>
          <w:szCs w:val="24"/>
        </w:rPr>
        <w:t>máxime</w:t>
      </w:r>
      <w:r w:rsidRPr="00957D13">
        <w:rPr>
          <w:rFonts w:ascii="Palatino Linotype" w:eastAsia="Palatino Linotype" w:hAnsi="Palatino Linotype" w:cs="Palatino Linotype"/>
          <w:color w:val="000000"/>
          <w:sz w:val="24"/>
          <w:szCs w:val="24"/>
        </w:rPr>
        <w:t xml:space="preserve"> que al momento que ponen a disposición ésta, la misma tiene el carácter oficial y se presume veraz, tan es así que la misma queda registrada en el Sistema de Acceso a la Información Mexiquense (SAIMEX).</w:t>
      </w:r>
    </w:p>
    <w:p w:rsidR="00AD0F0E" w:rsidRPr="00957D13" w:rsidRDefault="00AD0F0E" w:rsidP="00AD0F0E">
      <w:pPr>
        <w:spacing w:line="360" w:lineRule="auto"/>
        <w:ind w:right="49"/>
        <w:jc w:val="both"/>
        <w:rPr>
          <w:rFonts w:ascii="Palatino Linotype" w:eastAsia="Palatino Linotype" w:hAnsi="Palatino Linotype" w:cs="Palatino Linotype"/>
          <w:sz w:val="24"/>
          <w:szCs w:val="24"/>
        </w:rPr>
      </w:pPr>
    </w:p>
    <w:p w:rsidR="00E50455" w:rsidRPr="00957D13" w:rsidRDefault="00117A9F">
      <w:pPr>
        <w:numPr>
          <w:ilvl w:val="0"/>
          <w:numId w:val="22"/>
        </w:numPr>
        <w:spacing w:line="360" w:lineRule="auto"/>
        <w:ind w:left="0" w:right="49"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Sirviendo de apoyo a lo anterior por analogía, el criterio 31-10 emitido por el entonces Instituto </w:t>
      </w:r>
      <w:r w:rsidRPr="00957D13">
        <w:rPr>
          <w:rFonts w:ascii="Palatino Linotype" w:eastAsia="Palatino Linotype" w:hAnsi="Palatino Linotype" w:cs="Palatino Linotype"/>
          <w:color w:val="000000"/>
          <w:sz w:val="24"/>
          <w:szCs w:val="24"/>
        </w:rPr>
        <w:t>Nacional</w:t>
      </w:r>
      <w:r w:rsidRPr="00957D13">
        <w:rPr>
          <w:rFonts w:ascii="Palatino Linotype" w:eastAsia="Palatino Linotype" w:hAnsi="Palatino Linotype" w:cs="Palatino Linotype"/>
          <w:sz w:val="24"/>
          <w:szCs w:val="24"/>
        </w:rPr>
        <w:t xml:space="preserve"> de Transparencia, Acceso a la Información y Protección de Datos Personales, que a la letra dice:</w:t>
      </w:r>
    </w:p>
    <w:p w:rsidR="00E50455" w:rsidRPr="00957D13" w:rsidRDefault="00117A9F">
      <w:pPr>
        <w:pBdr>
          <w:top w:val="nil"/>
          <w:left w:val="nil"/>
          <w:bottom w:val="nil"/>
          <w:right w:val="nil"/>
          <w:between w:val="nil"/>
        </w:pBdr>
        <w:spacing w:line="276" w:lineRule="auto"/>
        <w:ind w:left="1134"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“El Instituto Federal de Acceso a la Información y Protección de Datos </w:t>
      </w:r>
      <w:r w:rsidRPr="00957D13">
        <w:rPr>
          <w:rFonts w:ascii="Palatino Linotype" w:eastAsia="Palatino Linotype" w:hAnsi="Palatino Linotype" w:cs="Palatino Linotype"/>
          <w:b/>
          <w:bCs/>
          <w:i/>
          <w:iCs/>
          <w:color w:val="000000"/>
          <w:sz w:val="24"/>
          <w:szCs w:val="24"/>
        </w:rPr>
        <w:t>no cuenta con facultades para pronunciarse respecto de la veracidad de los documentos proporcionados por los sujetos obligados.</w:t>
      </w:r>
      <w:r w:rsidRPr="00957D13">
        <w:rPr>
          <w:rFonts w:ascii="Palatino Linotype" w:eastAsia="Palatino Linotype" w:hAnsi="Palatino Linotype" w:cs="Palatino Linotype"/>
          <w:i/>
          <w:iCs/>
          <w:color w:val="000000"/>
          <w:sz w:val="24"/>
          <w:szCs w:val="24"/>
        </w:rPr>
        <w:t xml:space="preserve"> El Instituto Federal de Acceso a la Información y </w:t>
      </w:r>
      <w:r w:rsidRPr="00957D13">
        <w:rPr>
          <w:rFonts w:ascii="Palatino Linotype" w:eastAsia="Palatino Linotype" w:hAnsi="Palatino Linotype" w:cs="Palatino Linotype"/>
          <w:i/>
          <w:iCs/>
          <w:color w:val="000000"/>
          <w:sz w:val="24"/>
          <w:szCs w:val="24"/>
        </w:rPr>
        <w:lastRenderedPageBreak/>
        <w:t>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E50455" w:rsidRPr="00957D13" w:rsidRDefault="00E50455">
      <w:pPr>
        <w:pBdr>
          <w:top w:val="nil"/>
          <w:left w:val="nil"/>
          <w:bottom w:val="nil"/>
          <w:right w:val="nil"/>
          <w:between w:val="nil"/>
        </w:pBdr>
        <w:spacing w:line="360" w:lineRule="auto"/>
        <w:ind w:left="851" w:right="850"/>
        <w:jc w:val="both"/>
        <w:rPr>
          <w:rFonts w:ascii="Palatino Linotype" w:eastAsia="Palatino Linotype" w:hAnsi="Palatino Linotype" w:cs="Palatino Linotype"/>
          <w:i/>
          <w:iCs/>
          <w:color w:val="000000"/>
          <w:sz w:val="24"/>
          <w:szCs w:val="24"/>
        </w:rPr>
      </w:pPr>
    </w:p>
    <w:p w:rsidR="00E50455" w:rsidRPr="00957D13" w:rsidRDefault="00117A9F">
      <w:pPr>
        <w:numPr>
          <w:ilvl w:val="0"/>
          <w:numId w:val="22"/>
        </w:numPr>
        <w:spacing w:line="360" w:lineRule="auto"/>
        <w:ind w:left="0" w:right="49" w:firstLine="0"/>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sz w:val="24"/>
          <w:szCs w:val="24"/>
        </w:rPr>
        <w:t xml:space="preserve">Así como lo dispuesto por la </w:t>
      </w:r>
      <w:r w:rsidRPr="00957D13">
        <w:rPr>
          <w:rFonts w:ascii="Palatino Linotype" w:eastAsia="Palatino Linotype" w:hAnsi="Palatino Linotype" w:cs="Palatino Linotype"/>
          <w:b/>
          <w:bCs/>
          <w:sz w:val="24"/>
          <w:szCs w:val="24"/>
        </w:rPr>
        <w:t xml:space="preserve">Ley de Transparencia y Acceso a la Información Pública del </w:t>
      </w:r>
      <w:r w:rsidRPr="00957D13">
        <w:rPr>
          <w:rFonts w:ascii="Palatino Linotype" w:eastAsia="Palatino Linotype" w:hAnsi="Palatino Linotype" w:cs="Palatino Linotype"/>
          <w:color w:val="000000"/>
          <w:sz w:val="24"/>
          <w:szCs w:val="24"/>
        </w:rPr>
        <w:t>Estado</w:t>
      </w:r>
      <w:r w:rsidRPr="00957D13">
        <w:rPr>
          <w:rFonts w:ascii="Palatino Linotype" w:eastAsia="Palatino Linotype" w:hAnsi="Palatino Linotype" w:cs="Palatino Linotype"/>
          <w:b/>
          <w:bCs/>
          <w:sz w:val="24"/>
          <w:szCs w:val="24"/>
        </w:rPr>
        <w:t xml:space="preserve"> de México y Municipios</w:t>
      </w:r>
      <w:r w:rsidRPr="00957D13">
        <w:rPr>
          <w:rFonts w:ascii="Palatino Linotype" w:eastAsia="Palatino Linotype" w:hAnsi="Palatino Linotype" w:cs="Palatino Linotype"/>
          <w:sz w:val="24"/>
          <w:szCs w:val="24"/>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E50455" w:rsidRPr="00957D13" w:rsidRDefault="00117A9F">
      <w:pPr>
        <w:pBdr>
          <w:top w:val="nil"/>
          <w:left w:val="nil"/>
          <w:bottom w:val="nil"/>
          <w:right w:val="nil"/>
          <w:between w:val="nil"/>
        </w:pBdr>
        <w:tabs>
          <w:tab w:val="left" w:pos="7938"/>
        </w:tabs>
        <w:ind w:left="1134" w:right="1814"/>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i/>
          <w:iCs/>
          <w:color w:val="000000"/>
          <w:sz w:val="24"/>
          <w:szCs w:val="24"/>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957D13">
        <w:rPr>
          <w:rFonts w:ascii="Palatino Linotype" w:eastAsia="Palatino Linotype" w:hAnsi="Palatino Linotype" w:cs="Palatino Linotype"/>
          <w:b/>
          <w:bCs/>
          <w:i/>
          <w:iCs/>
          <w:color w:val="000000"/>
          <w:sz w:val="24"/>
          <w:szCs w:val="24"/>
        </w:rPr>
        <w:t>Los Sujetos Obligados deben poner en práctica, políticas y programas de acceso a la información que se apeguen a criterios de publicidad, veracidad, oportunidad, precisión y suficiencia en beneficio de los solicitantes.</w:t>
      </w:r>
    </w:p>
    <w:p w:rsidR="00E50455" w:rsidRPr="00957D13" w:rsidRDefault="00117A9F">
      <w:pPr>
        <w:numPr>
          <w:ilvl w:val="0"/>
          <w:numId w:val="22"/>
        </w:numPr>
        <w:spacing w:line="360" w:lineRule="auto"/>
        <w:ind w:left="0" w:right="49"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lastRenderedPageBreak/>
        <w:t xml:space="preserve">Numerales que compelen al </w:t>
      </w:r>
      <w:r w:rsidRPr="00957D13">
        <w:rPr>
          <w:rFonts w:ascii="Palatino Linotype" w:eastAsia="Palatino Linotype" w:hAnsi="Palatino Linotype" w:cs="Palatino Linotype"/>
          <w:b/>
          <w:bCs/>
          <w:sz w:val="24"/>
          <w:szCs w:val="24"/>
        </w:rPr>
        <w:t>SUJETO OBLIGADO</w:t>
      </w:r>
      <w:r w:rsidRPr="00957D13">
        <w:rPr>
          <w:rFonts w:ascii="Palatino Linotype" w:eastAsia="Palatino Linotype" w:hAnsi="Palatino Linotype" w:cs="Palatino Linotype"/>
          <w:sz w:val="24"/>
          <w:szCs w:val="24"/>
        </w:rPr>
        <w:t xml:space="preserve"> apegarse en todo momento a los criterios ya expuestos, impidiendo a este Órgano Colegiado cuestionar la veracidad de la información.</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2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Resulta importante establecer, que los servidores públicos habilitados  que emitieron  respuestas relativas al cuadro anterior, admiten ser poseedores de la información, por lo cual, no es necesario estudiar si este es competente para conocer y en su caso dar respuesta a la solicitud, pues al mencionar que pone a disposición la información solicitada, estos reconocen contar con la misma,</w:t>
      </w:r>
    </w:p>
    <w:p w:rsidR="00E50455" w:rsidRPr="00957D13" w:rsidRDefault="00E5045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50455" w:rsidRPr="00957D13" w:rsidRDefault="00117A9F">
      <w:pPr>
        <w:numPr>
          <w:ilvl w:val="0"/>
          <w:numId w:val="2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Complementario a lo expuesto, es de considerar que los oficios son los medios de comunicación por excelencia en el Ámbito de la Administración Pública, mismos instrumentos que fungieron como medio de comunicación entre los particulares y el Sujeto Obligado a fin de hacer llegar sus peticiones y en sentido contrario atender a tales peticiones.</w:t>
      </w:r>
    </w:p>
    <w:p w:rsidR="00E50455" w:rsidRPr="00957D13" w:rsidRDefault="00E5045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50455" w:rsidRPr="00957D13" w:rsidRDefault="00117A9F">
      <w:pPr>
        <w:numPr>
          <w:ilvl w:val="0"/>
          <w:numId w:val="22"/>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Así, se precisa que el cabildo es el Órgano Colegiado responsable de la administración pública Municipal que para el caso de Toluca se conforma de un presidente dos síndicos y doce regidores</w:t>
      </w:r>
      <w:r w:rsidRPr="00957D13">
        <w:rPr>
          <w:rFonts w:ascii="Palatino Linotype" w:eastAsia="Palatino Linotype" w:hAnsi="Palatino Linotype" w:cs="Palatino Linotype"/>
          <w:color w:val="000000"/>
          <w:sz w:val="24"/>
          <w:szCs w:val="24"/>
          <w:vertAlign w:val="superscript"/>
        </w:rPr>
        <w:footnoteReference w:id="1"/>
      </w:r>
      <w:r w:rsidRPr="00957D13">
        <w:rPr>
          <w:rFonts w:ascii="Palatino Linotype" w:eastAsia="Palatino Linotype" w:hAnsi="Palatino Linotype" w:cs="Palatino Linotype"/>
          <w:color w:val="000000"/>
          <w:sz w:val="24"/>
          <w:szCs w:val="24"/>
        </w:rPr>
        <w:t xml:space="preserve"> </w:t>
      </w:r>
    </w:p>
    <w:p w:rsidR="00E50455" w:rsidRPr="00957D13" w:rsidRDefault="00117A9F">
      <w:pPr>
        <w:pBdr>
          <w:top w:val="nil"/>
          <w:left w:val="nil"/>
          <w:bottom w:val="nil"/>
          <w:right w:val="nil"/>
          <w:between w:val="nil"/>
        </w:pBdr>
        <w:jc w:val="center"/>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noProof/>
          <w:color w:val="000000"/>
          <w:sz w:val="24"/>
          <w:szCs w:val="24"/>
        </w:rPr>
        <w:lastRenderedPageBreak/>
        <w:drawing>
          <wp:inline distT="0" distB="0" distL="0" distR="0">
            <wp:extent cx="5611285" cy="2625543"/>
            <wp:effectExtent l="0" t="0" r="0" b="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611285" cy="2625543"/>
                    </a:xfrm>
                    <a:prstGeom prst="rect">
                      <a:avLst/>
                    </a:prstGeom>
                    <a:ln/>
                  </pic:spPr>
                </pic:pic>
              </a:graphicData>
            </a:graphic>
          </wp:inline>
        </w:drawing>
      </w:r>
    </w:p>
    <w:p w:rsidR="00E50455" w:rsidRPr="00957D13" w:rsidRDefault="00117A9F">
      <w:pPr>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Por lo que conforme a las documentales entregadas de los miembros del ayuntamiento  se advierte la omisión a la entrega de la información requerida por el particular siendo enunciativamente éstas la segunda y décimo segunda regidurías, o a la entrega parcial  siendo éstas de forma enunciativa la primera y segunda sindicatura, primera tercera, quinta, octava y décimo primera regidurías;   situación que, de acuerdo, con el Criterio de Interpretación, con clave de control SO/002/2017, del Instituto Nacional de Transparencia, Acceso a la Información y Protección de Datos Personales, el cual establece que todo acto administrativo debe apegarse al principio de exhaustividad,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rsidR="00E50455" w:rsidRPr="00957D13" w:rsidRDefault="00E50455">
      <w:pPr>
        <w:spacing w:line="360" w:lineRule="auto"/>
        <w:jc w:val="both"/>
        <w:rPr>
          <w:rFonts w:ascii="Palatino Linotype" w:eastAsia="Palatino Linotype" w:hAnsi="Palatino Linotype" w:cs="Palatino Linotype"/>
          <w:sz w:val="24"/>
          <w:szCs w:val="24"/>
        </w:rPr>
      </w:pPr>
    </w:p>
    <w:p w:rsid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lastRenderedPageBreak/>
        <w:t>Así mismo de las respuestas a las solicitudes que la autoridad debe emitir derivado del derecho consagrado enunciativamente en nuestra Carta Magna</w:t>
      </w:r>
      <w:r w:rsidRPr="00957D13">
        <w:rPr>
          <w:rFonts w:ascii="Palatino Linotype" w:eastAsia="Palatino Linotype" w:hAnsi="Palatino Linotype" w:cs="Palatino Linotype"/>
          <w:sz w:val="24"/>
          <w:szCs w:val="24"/>
          <w:vertAlign w:val="superscript"/>
        </w:rPr>
        <w:footnoteReference w:id="2"/>
      </w:r>
      <w:r w:rsidRPr="00957D13">
        <w:rPr>
          <w:rFonts w:ascii="Palatino Linotype" w:eastAsia="Palatino Linotype" w:hAnsi="Palatino Linotype" w:cs="Palatino Linotype"/>
          <w:sz w:val="24"/>
          <w:szCs w:val="24"/>
        </w:rPr>
        <w:t>, Constitución Política del Estado Libre y Soberano de México</w:t>
      </w:r>
      <w:r w:rsidRPr="00957D13">
        <w:rPr>
          <w:rFonts w:ascii="Palatino Linotype" w:eastAsia="Palatino Linotype" w:hAnsi="Palatino Linotype" w:cs="Palatino Linotype"/>
          <w:sz w:val="24"/>
          <w:szCs w:val="24"/>
          <w:vertAlign w:val="superscript"/>
        </w:rPr>
        <w:footnoteReference w:id="3"/>
      </w:r>
      <w:r w:rsidRPr="00957D13">
        <w:rPr>
          <w:rFonts w:ascii="Palatino Linotype" w:eastAsia="Palatino Linotype" w:hAnsi="Palatino Linotype" w:cs="Palatino Linotype"/>
          <w:sz w:val="24"/>
          <w:szCs w:val="24"/>
        </w:rPr>
        <w:t>, Código de Procedimiento Administrativos del Estado de México</w:t>
      </w:r>
      <w:r w:rsidRPr="00957D13">
        <w:rPr>
          <w:rFonts w:ascii="Palatino Linotype" w:eastAsia="Palatino Linotype" w:hAnsi="Palatino Linotype" w:cs="Palatino Linotype"/>
          <w:sz w:val="24"/>
          <w:szCs w:val="24"/>
          <w:vertAlign w:val="superscript"/>
        </w:rPr>
        <w:footnoteReference w:id="4"/>
      </w:r>
      <w:r w:rsidRPr="00957D13">
        <w:rPr>
          <w:rFonts w:ascii="Palatino Linotype" w:eastAsia="Palatino Linotype" w:hAnsi="Palatino Linotype" w:cs="Palatino Linotype"/>
          <w:sz w:val="24"/>
          <w:szCs w:val="24"/>
        </w:rPr>
        <w:t xml:space="preserve"> y Ley de Transparencia y Acceso a la Información Pública del Estado de México y Municipios</w:t>
      </w:r>
      <w:r w:rsidRPr="00957D13">
        <w:rPr>
          <w:rFonts w:ascii="Palatino Linotype" w:eastAsia="Palatino Linotype" w:hAnsi="Palatino Linotype" w:cs="Palatino Linotype"/>
          <w:sz w:val="24"/>
          <w:szCs w:val="24"/>
          <w:vertAlign w:val="superscript"/>
        </w:rPr>
        <w:footnoteReference w:id="5"/>
      </w:r>
      <w:r w:rsidRPr="00957D13">
        <w:rPr>
          <w:rFonts w:ascii="Palatino Linotype" w:eastAsia="Palatino Linotype" w:hAnsi="Palatino Linotype" w:cs="Palatino Linotype"/>
          <w:sz w:val="24"/>
          <w:szCs w:val="24"/>
        </w:rPr>
        <w:t xml:space="preserve"> de toda persona a dirigir una solicitud, petición o queja a cualquier órgano o servidor público, en relación con las materias de su competencia, de manera pacífica y respetuosa, así como a recibir una respuesta fundada y motivada, en breve plazo, se advierte que el Sujeto Obligado fue omiso en entregar  la totalidad de tales respuestas.</w:t>
      </w:r>
    </w:p>
    <w:p w:rsidR="00E50455" w:rsidRPr="00957D13" w:rsidRDefault="00117A9F" w:rsidP="00957D13">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 </w:t>
      </w:r>
    </w:p>
    <w:p w:rsidR="00E50455"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color w:val="000000"/>
          <w:sz w:val="24"/>
          <w:szCs w:val="24"/>
        </w:rPr>
        <w:t xml:space="preserve">Ahora bien, del análisis realizado a las documentales proporcionadas, se advierte que se realizó una versión pública en la que se testaron datos personales; sin embargo, </w:t>
      </w:r>
      <w:r w:rsidRPr="00957D13">
        <w:rPr>
          <w:rFonts w:ascii="Palatino Linotype" w:eastAsia="Palatino Linotype" w:hAnsi="Palatino Linotype" w:cs="Palatino Linotype"/>
          <w:b/>
          <w:bCs/>
          <w:sz w:val="24"/>
          <w:szCs w:val="24"/>
        </w:rPr>
        <w:t>no se aprecia que el SUJETO OBLIGADO hubiese adjuntado el acuerdo del Comité de Transparencia para todas las respuestas rendidas e informes justificados</w:t>
      </w:r>
      <w:r w:rsidRPr="00957D13">
        <w:rPr>
          <w:rFonts w:ascii="Palatino Linotype" w:eastAsia="Palatino Linotype" w:hAnsi="Palatino Linotype" w:cs="Palatino Linotype"/>
          <w:sz w:val="24"/>
          <w:szCs w:val="24"/>
        </w:rPr>
        <w:t>, por medio de los  cuales, se  haya propuesto y aprobado la clasificación de dichos datos como información confidencial.</w:t>
      </w:r>
    </w:p>
    <w:p w:rsidR="00AD0F0E" w:rsidRPr="00957D13" w:rsidRDefault="00AD0F0E" w:rsidP="00AD0F0E">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En este sentido, </w:t>
      </w:r>
      <w:r w:rsidRPr="00957D13">
        <w:rPr>
          <w:rFonts w:ascii="Palatino Linotype" w:eastAsia="Palatino Linotype" w:hAnsi="Palatino Linotype" w:cs="Palatino Linotype"/>
          <w:sz w:val="24"/>
          <w:szCs w:val="24"/>
        </w:rPr>
        <w:t>es importante señalar que la clasificación total o parcial de la información requerida mediante solicitud de acceso a la información pública, constituye una restricción al derecho humano de acceso a la información.</w:t>
      </w: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lastRenderedPageBreak/>
        <w:t>En este caso, es un supuesto que la Ley de Transparencia y Acceso a la Información Pública del Estado de México y Municipios, establece el procedimiento legalmente establecido, para ello.</w:t>
      </w:r>
    </w:p>
    <w:p w:rsidR="00E50455" w:rsidRPr="00957D13" w:rsidRDefault="00E50455">
      <w:pPr>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Al respecto, los Lineamientos Generales en Materia de Clasificación y Desclasificación de la Información, así Como para la Elaboración de Versiones Públicas, por cuanto hace a la clasificación de la información, señalan lo siguiente:</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w:t>
      </w:r>
      <w:r w:rsidRPr="00957D13">
        <w:rPr>
          <w:rFonts w:ascii="Palatino Linotype" w:eastAsia="Palatino Linotype" w:hAnsi="Palatino Linotype" w:cs="Palatino Linotype"/>
          <w:b/>
          <w:bCs/>
          <w:i/>
          <w:iCs/>
          <w:color w:val="000000"/>
          <w:sz w:val="24"/>
          <w:szCs w:val="24"/>
        </w:rPr>
        <w:t>Quincuagésimo.</w:t>
      </w:r>
      <w:r w:rsidRPr="00957D13">
        <w:rPr>
          <w:rFonts w:ascii="Palatino Linotype" w:eastAsia="Palatino Linotype" w:hAnsi="Palatino Linotype" w:cs="Palatino Linotype"/>
          <w:i/>
          <w:iCs/>
          <w:color w:val="000000"/>
          <w:sz w:val="24"/>
          <w:szCs w:val="24"/>
        </w:rPr>
        <w:t xml:space="preserve"> Los titulares de las áreas de los sujetos obligados podrán utilizar los formatos contenidos en el presente Capítulo como modelo para señalar la clasificación de documentos o expedientes, sin perjuicio de que establezcan los propios.</w:t>
      </w:r>
    </w:p>
    <w:p w:rsidR="00E50455" w:rsidRPr="00957D13" w:rsidRDefault="00E50455">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i/>
          <w:iCs/>
          <w:color w:val="000000"/>
          <w:sz w:val="24"/>
          <w:szCs w:val="24"/>
        </w:rPr>
        <w:t>Quincuagésimo primero.</w:t>
      </w:r>
      <w:r w:rsidRPr="00957D13">
        <w:rPr>
          <w:rFonts w:ascii="Palatino Linotype" w:eastAsia="Palatino Linotype" w:hAnsi="Palatino Linotype" w:cs="Palatino Linotype"/>
          <w:i/>
          <w:iCs/>
          <w:color w:val="000000"/>
          <w:sz w:val="24"/>
          <w:szCs w:val="24"/>
        </w:rPr>
        <w:t xml:space="preserve"> La leyenda en los documentos clasificados indicará:</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I. La fecha de sesión del Comité de Transparencia en donde se confirmó la clasificación, en su caso;</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II. El nombre del área;</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III. La palabra reservado o confidencial;</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IV. Las partes o secciones reservadas o confidenciales, en su caso;</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V. El fundamento legal;</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VI. El periodo de reserva, y</w:t>
      </w:r>
    </w:p>
    <w:p w:rsidR="00E50455" w:rsidRPr="00957D13" w:rsidRDefault="00117A9F">
      <w:pPr>
        <w:pBdr>
          <w:top w:val="nil"/>
          <w:left w:val="nil"/>
          <w:bottom w:val="nil"/>
          <w:right w:val="nil"/>
          <w:between w:val="nil"/>
        </w:pBdr>
        <w:tabs>
          <w:tab w:val="left" w:pos="142"/>
          <w:tab w:val="left" w:pos="284"/>
          <w:tab w:val="left" w:pos="7371"/>
          <w:tab w:val="left" w:pos="7797"/>
        </w:tabs>
        <w:ind w:left="1134" w:right="127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VII. La rúbrica del titular del área.”</w:t>
      </w:r>
    </w:p>
    <w:p w:rsidR="00E50455" w:rsidRPr="00957D13" w:rsidRDefault="00E50455">
      <w:pPr>
        <w:pBdr>
          <w:top w:val="nil"/>
          <w:left w:val="nil"/>
          <w:bottom w:val="nil"/>
          <w:right w:val="nil"/>
          <w:between w:val="nil"/>
        </w:pBdr>
        <w:tabs>
          <w:tab w:val="left" w:pos="7797"/>
        </w:tabs>
        <w:spacing w:line="360" w:lineRule="auto"/>
        <w:ind w:left="1134"/>
        <w:jc w:val="both"/>
        <w:rPr>
          <w:rFonts w:ascii="Palatino Linotype" w:eastAsia="Palatino Linotype" w:hAnsi="Palatino Linotype" w:cs="Palatino Linotype"/>
          <w:color w:val="000000"/>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 xml:space="preserve">Así, una vez hecho lo anterior, </w:t>
      </w:r>
      <w:r w:rsidRPr="00957D13">
        <w:rPr>
          <w:rFonts w:ascii="Palatino Linotype" w:eastAsia="Palatino Linotype" w:hAnsi="Palatino Linotype" w:cs="Palatino Linotype"/>
          <w:b/>
          <w:bCs/>
          <w:sz w:val="24"/>
          <w:szCs w:val="24"/>
        </w:rPr>
        <w:t>se remite la información al Titular de la Unidad de Transparencia, con el acuerdo de clasificación correspondiente, para que sea sometido al conocimiento del Comité de Transparencia.</w:t>
      </w:r>
    </w:p>
    <w:p w:rsidR="00E50455"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AD0F0E" w:rsidRPr="00957D13" w:rsidRDefault="00AD0F0E">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pBdr>
          <w:top w:val="nil"/>
          <w:left w:val="nil"/>
          <w:bottom w:val="nil"/>
          <w:right w:val="nil"/>
          <w:between w:val="nil"/>
        </w:pBdr>
        <w:spacing w:line="360" w:lineRule="auto"/>
        <w:jc w:val="both"/>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lastRenderedPageBreak/>
        <w:t>La intervención del Comité de Transparencia.</w:t>
      </w:r>
    </w:p>
    <w:p w:rsidR="00E50455" w:rsidRPr="00957D13" w:rsidRDefault="00117A9F">
      <w:pPr>
        <w:numPr>
          <w:ilvl w:val="0"/>
          <w:numId w:val="6"/>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Formalidades para emitir el Acuerdo de Clasificación.</w:t>
      </w: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 xml:space="preserve">El Comité de Transparencia, según lo dispuesto en los artículos 128 y 103 de la Ley Estatal y de la Ley General, respectivamente, y la fracción III del numeral Segundo de los Lineamientos generales en materia de clasificación y desclasificación de la información, así como para la elaboración de versiones públicas, en adelante los Lineamientos Generales, cuenta con las facultades para </w:t>
      </w:r>
      <w:r w:rsidRPr="00957D13">
        <w:rPr>
          <w:rFonts w:ascii="Palatino Linotype" w:eastAsia="Palatino Linotype" w:hAnsi="Palatino Linotype" w:cs="Palatino Linotype"/>
          <w:b/>
          <w:bCs/>
          <w:sz w:val="24"/>
          <w:szCs w:val="24"/>
          <w:u w:val="single"/>
        </w:rPr>
        <w:t>confirmar, modificar o revocar</w:t>
      </w:r>
      <w:r w:rsidRPr="00957D13">
        <w:rPr>
          <w:rFonts w:ascii="Palatino Linotype" w:eastAsia="Palatino Linotype" w:hAnsi="Palatino Linotype" w:cs="Palatino Linotype"/>
          <w:sz w:val="24"/>
          <w:szCs w:val="24"/>
        </w:rPr>
        <w:t xml:space="preserve"> la clasificación de la información que ha hecho el titular del área que administra la información. Por lo tanto, el Comité </w:t>
      </w:r>
      <w:r w:rsidRPr="00957D13">
        <w:rPr>
          <w:rFonts w:ascii="Palatino Linotype" w:eastAsia="Palatino Linotype" w:hAnsi="Palatino Linotype" w:cs="Palatino Linotype"/>
          <w:b/>
          <w:bCs/>
          <w:sz w:val="24"/>
          <w:szCs w:val="24"/>
        </w:rPr>
        <w:t>no aprueba</w:t>
      </w:r>
      <w:r w:rsidRPr="00957D13">
        <w:rPr>
          <w:rFonts w:ascii="Palatino Linotype" w:eastAsia="Palatino Linotype" w:hAnsi="Palatino Linotype" w:cs="Palatino Linotype"/>
          <w:sz w:val="24"/>
          <w:szCs w:val="24"/>
        </w:rPr>
        <w:t xml:space="preserve"> la clasificación, sino que revisa lo que ha hecho el titular del área y confirma, modifica o revoca la decisión a través de un acuerdo.</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Evidentemente, esta decisión implica una restricción a un derecho humano, por lo tanto, puede generar un agravio al Particular y, en consecuencia, es necesario que el acto reúna con los requisitos elementales, entre ellos, que la autoridad que va a emitir el acto de autoridad sea la legalmente facultada para ello, es decir, que cumpla con el principio de reserva de ley,  por lo que no está demás señalar que el artículo 45 de la Ley Estatal, claramente señala que el Comité de Transparencia, legalmente facultado para emitir el acuerdo de clasificación, se integra por el Titular de la Unidad de Transparencia, el responsable del área coordinadora de archivos y el titular del órgano interno de control, integrado siempre por un número impar y que no debe de existir dependencia jerárquica entre sus integrantes. Cualquier otra composición del Comité puede generar vicios de legalidad de origen en el acto que restringe un derecho humano.</w:t>
      </w:r>
    </w:p>
    <w:p w:rsidR="00E50455" w:rsidRPr="00957D13" w:rsidRDefault="00E50455">
      <w:pPr>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lastRenderedPageBreak/>
        <w:t>La decisión de confirmar, modificar o revocar la clasificación deberá de asentarse en un documento que registre la determinación a la que se llegue después de un análisis minucioso a partir de lo aprobado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rsidR="00E50455" w:rsidRPr="00957D13" w:rsidRDefault="00E50455">
      <w:pPr>
        <w:pBdr>
          <w:top w:val="nil"/>
          <w:left w:val="nil"/>
          <w:bottom w:val="nil"/>
          <w:right w:val="nil"/>
          <w:between w:val="nil"/>
        </w:pBdr>
        <w:spacing w:before="240" w:line="360" w:lineRule="auto"/>
        <w:ind w:right="48"/>
        <w:jc w:val="both"/>
        <w:rPr>
          <w:rFonts w:ascii="Palatino Linotype" w:eastAsia="Palatino Linotype" w:hAnsi="Palatino Linotype" w:cs="Palatino Linotype"/>
          <w:b/>
          <w:bCs/>
          <w:color w:val="000000"/>
          <w:sz w:val="24"/>
          <w:szCs w:val="24"/>
        </w:rPr>
      </w:pPr>
    </w:p>
    <w:p w:rsidR="00E50455" w:rsidRPr="00957D13" w:rsidRDefault="00117A9F">
      <w:pPr>
        <w:pBdr>
          <w:top w:val="nil"/>
          <w:left w:val="nil"/>
          <w:bottom w:val="nil"/>
          <w:right w:val="nil"/>
          <w:between w:val="nil"/>
        </w:pBdr>
        <w:tabs>
          <w:tab w:val="left" w:pos="142"/>
          <w:tab w:val="left" w:pos="284"/>
          <w:tab w:val="left" w:pos="426"/>
        </w:tabs>
        <w:spacing w:line="360" w:lineRule="auto"/>
        <w:ind w:left="567"/>
        <w:jc w:val="both"/>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b) Requisitos de fondo del Acuerdo de Clasificación.</w:t>
      </w: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 xml:space="preserve">Como se ha señalado antes, al hacer el juicio de subsunción o encaje entre el supuesto de hecho y la hipótesis jurídica, se debe acreditar la estricta correspondencia entre un elemento y otro. </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Ahora, en esta parte del procedimiento, que se desahoga en sede del Comité de Transparencia, la ley nos aporta mayores luces para cumplir con dicha acreditación. En los artículos 131 y 105 segundo párrafo de la Ley Estatal y de la Ley General respectivamente, y el lineamiento sexagésimo segundo de los Lineamientos Generales, al señalar que la carga de la prueba, para justificar las restricciones, corresponde a los sujetos obligados, por lo que deberán fundar y motivar debidamente la clasificación.</w:t>
      </w:r>
    </w:p>
    <w:p w:rsidR="00E50455" w:rsidRPr="00957D13" w:rsidRDefault="00E50455">
      <w:pPr>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 xml:space="preserve">De lo anterior, se desprende que, para una correcta clasificación total o parcial, esto es determinar los datos que se suprimen en las versiones públicas, es necesario fundar y motivar, de manera correcta, la clasificación; considerando que todo acto que la autoridad </w:t>
      </w:r>
      <w:r w:rsidRPr="00957D13">
        <w:rPr>
          <w:rFonts w:ascii="Palatino Linotype" w:eastAsia="Palatino Linotype" w:hAnsi="Palatino Linotype" w:cs="Palatino Linotype"/>
          <w:sz w:val="24"/>
          <w:szCs w:val="24"/>
        </w:rPr>
        <w:lastRenderedPageBreak/>
        <w:t>pronuncie en el ejercicio de sus atribuciones, debe expresar los fundamentos legales que le dieron</w:t>
      </w:r>
      <w:r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sz w:val="24"/>
          <w:szCs w:val="24"/>
        </w:rPr>
        <w:t>origen y las razones por las que se deben aplicar al caso concreto.</w:t>
      </w:r>
    </w:p>
    <w:p w:rsidR="00E50455" w:rsidRPr="00957D13" w:rsidRDefault="00E50455">
      <w:pPr>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Por su parte, el intérprete judicial del país ha establecido una jurisprudencia respecto a qué debe entenderse por fundamentación y motivación, en los siguientes términos:</w:t>
      </w:r>
    </w:p>
    <w:p w:rsidR="00E50455" w:rsidRPr="00957D13" w:rsidRDefault="00117A9F">
      <w:pPr>
        <w:pBdr>
          <w:top w:val="nil"/>
          <w:left w:val="nil"/>
          <w:bottom w:val="nil"/>
          <w:right w:val="nil"/>
          <w:between w:val="nil"/>
        </w:pBdr>
        <w:spacing w:before="240" w:after="240"/>
        <w:ind w:left="1134" w:right="1418"/>
        <w:jc w:val="both"/>
        <w:rPr>
          <w:rFonts w:ascii="Palatino Linotype" w:eastAsia="Palatino Linotype" w:hAnsi="Palatino Linotype" w:cs="Palatino Linotype"/>
          <w:b/>
          <w:bCs/>
          <w:color w:val="000000"/>
          <w:sz w:val="24"/>
          <w:szCs w:val="24"/>
          <w:u w:val="single"/>
        </w:rPr>
      </w:pPr>
      <w:r w:rsidRPr="00957D13">
        <w:rPr>
          <w:rFonts w:ascii="Palatino Linotype" w:eastAsia="Palatino Linotype" w:hAnsi="Palatino Linotype" w:cs="Palatino Linotype"/>
          <w:b/>
          <w:bCs/>
          <w:i/>
          <w:iCs/>
          <w:color w:val="000000"/>
          <w:sz w:val="24"/>
          <w:szCs w:val="24"/>
        </w:rPr>
        <w:t>FUNDAMENTACIÓN Y MOTIVACIÓN.</w:t>
      </w:r>
      <w:r w:rsidRPr="00957D13">
        <w:rPr>
          <w:rFonts w:ascii="Palatino Linotype" w:eastAsia="Palatino Linotype" w:hAnsi="Palatino Linotype" w:cs="Palatino Linotype"/>
          <w:i/>
          <w:iCs/>
          <w:color w:val="000000"/>
          <w:sz w:val="24"/>
          <w:szCs w:val="24"/>
        </w:rPr>
        <w:t xml:space="preserve"> “La </w:t>
      </w:r>
      <w:r w:rsidRPr="00957D13">
        <w:rPr>
          <w:rFonts w:ascii="Palatino Linotype" w:eastAsia="Palatino Linotype" w:hAnsi="Palatino Linotype" w:cs="Palatino Linotype"/>
          <w:i/>
          <w:iCs/>
          <w:color w:val="000000"/>
          <w:sz w:val="24"/>
          <w:szCs w:val="24"/>
          <w:u w:val="single"/>
        </w:rPr>
        <w:t>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r w:rsidRPr="00957D13">
        <w:rPr>
          <w:rFonts w:ascii="Palatino Linotype" w:eastAsia="Palatino Linotype" w:hAnsi="Palatino Linotype" w:cs="Palatino Linotype"/>
          <w:i/>
          <w:iCs/>
          <w:color w:val="000000"/>
          <w:sz w:val="24"/>
          <w:szCs w:val="24"/>
        </w:rPr>
        <w:t>.”</w:t>
      </w:r>
    </w:p>
    <w:p w:rsidR="00E50455" w:rsidRPr="00957D13" w:rsidRDefault="00E50455">
      <w:pPr>
        <w:ind w:left="1134" w:right="1418"/>
        <w:jc w:val="both"/>
        <w:rPr>
          <w:rFonts w:ascii="Palatino Linotype" w:eastAsia="Palatino Linotype" w:hAnsi="Palatino Linotype" w:cs="Palatino Linotype"/>
          <w:i/>
          <w:iCs/>
          <w:color w:val="000000"/>
          <w:sz w:val="24"/>
          <w:szCs w:val="24"/>
        </w:rPr>
      </w:pPr>
    </w:p>
    <w:p w:rsidR="00E50455" w:rsidRPr="00957D13" w:rsidRDefault="00117A9F">
      <w:pPr>
        <w:ind w:left="1134" w:right="1418"/>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SEGUNDO TRIBUNAL COLEGIADO DEL SEXTO CIRCUITO.</w:t>
      </w:r>
    </w:p>
    <w:p w:rsidR="00E50455" w:rsidRPr="00957D13" w:rsidRDefault="00117A9F">
      <w:pPr>
        <w:ind w:left="1134" w:right="1418"/>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Amparo directo 194/88. Bufete Industrial Construcciones, S.A. de C.V. 28 de junio de 1988. Unanimidad de votos. Ponente: Gustavo Calvillo Rangel. Secretario: Jorge Alberto González Álvarez.</w:t>
      </w:r>
    </w:p>
    <w:p w:rsidR="00E50455" w:rsidRPr="00957D13" w:rsidRDefault="00117A9F">
      <w:pPr>
        <w:ind w:left="1134" w:right="1418"/>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Revisión fiscal 103/88. Instituto Mexicano del Seguro Social. 18 de octubre de 1988. Unanimidad de votos. Ponente: Arnoldo Nájera Virgen. Secretario: Alejandro Esponda Rincón.</w:t>
      </w:r>
    </w:p>
    <w:p w:rsidR="00E50455" w:rsidRPr="00957D13" w:rsidRDefault="00117A9F">
      <w:pPr>
        <w:ind w:left="1134" w:right="1418"/>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Amparo en revisión 333/88. Adilia Romero. 26 de octubre de 1988. Unanimidad de votos. Ponente: Arnoldo Nájera Virgen. Secretario: Enrique Crispín Campos Ramírez.</w:t>
      </w:r>
    </w:p>
    <w:p w:rsidR="00E50455" w:rsidRPr="00957D13" w:rsidRDefault="00117A9F">
      <w:pPr>
        <w:ind w:left="1134" w:right="1418"/>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Amparo en revisión 597/95. Emilio Maurer Bretón. 15 de noviembre de 1995. Unanimidad de votos. Ponente: Clementina Ramírez Moguel Goyzueta. Secretario: Gonzalo Carrera Molina.</w:t>
      </w:r>
    </w:p>
    <w:p w:rsidR="00E50455" w:rsidRPr="00957D13" w:rsidRDefault="00117A9F">
      <w:pPr>
        <w:ind w:left="1134" w:right="1418"/>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Amparo directo 7/96. Pedro Vicente López Miro. 21 de febrero de 1996. Unanimidad de votos. Ponente: María Eugenia Estela Martínez Cardiel. Secretario: Enrique Baigts Muñoz.</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rsidR="00E50455" w:rsidRPr="00957D13" w:rsidRDefault="00E50455">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 xml:space="preserve">En consecuencia, la fundamentación y motivación implica que, en el acto de autoridad, además de contenerse los supuestos jurídicos aplicables se expliquen claramente por qué a través de la utilización de la norma se emitió el acto. </w:t>
      </w:r>
    </w:p>
    <w:p w:rsidR="00E50455" w:rsidRPr="00957D13" w:rsidRDefault="00E50455">
      <w:pPr>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t>De este modo, la persona que se sienta afectada pueda impugnar la decisión, permitiéndole una real y auténtica defensa.</w:t>
      </w:r>
      <w:r w:rsidRPr="00957D13">
        <w:rPr>
          <w:rFonts w:ascii="Palatino Linotype" w:eastAsia="Palatino Linotype" w:hAnsi="Palatino Linotype" w:cs="Palatino Linotype"/>
          <w:color w:val="000000"/>
          <w:sz w:val="24"/>
          <w:szCs w:val="24"/>
        </w:rPr>
        <w:t xml:space="preserve"> </w:t>
      </w:r>
      <w:r w:rsidRPr="00957D13">
        <w:rPr>
          <w:rFonts w:ascii="Palatino Linotype" w:eastAsia="Palatino Linotype" w:hAnsi="Palatino Linotype" w:cs="Palatino Linotype"/>
          <w:sz w:val="24"/>
          <w:szCs w:val="24"/>
        </w:rPr>
        <w:t>En ese mismo sentido, el numeral trigésimo tercero fracción V de los Lineamientos Generales, precisa que para motivar la clasificación se deben acreditar las circunstancias de tiempo, modo y lugar.</w:t>
      </w:r>
    </w:p>
    <w:p w:rsidR="00E50455" w:rsidRPr="00957D13" w:rsidRDefault="00E50455">
      <w:pPr>
        <w:rPr>
          <w:rFonts w:ascii="Palatino Linotype" w:eastAsia="Palatino Linotype" w:hAnsi="Palatino Linotype" w:cs="Palatino Linotype"/>
          <w:sz w:val="24"/>
          <w:szCs w:val="24"/>
        </w:rPr>
      </w:pPr>
    </w:p>
    <w:p w:rsidR="00E50455" w:rsidRDefault="00117A9F">
      <w:pPr>
        <w:numPr>
          <w:ilvl w:val="0"/>
          <w:numId w:val="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Por lo que si bien es cierto, en el ejercicio del derecho de acceso a la información, como todos los demás derechos, no es absoluto, encuentra su límite o restricción en la clasificación de la información, pero también lo es que, para toda restricción es necesario contar con la debida fundamentación y motivación, toda vez que, de lo contrario, entregar un documento en versión pública sin su debido acuerdo del comité de transparencia es una restricción ilegitima y se traduce en la entrega de un documento tachoneado, rayoneado e ilegible causando un agravio directo al derecho del particular.</w:t>
      </w:r>
    </w:p>
    <w:p w:rsidR="00AD0F0E" w:rsidRDefault="00AD0F0E" w:rsidP="00AD0F0E">
      <w:pPr>
        <w:pStyle w:val="Prrafodelista"/>
        <w:rPr>
          <w:rFonts w:ascii="Palatino Linotype" w:eastAsia="Palatino Linotype" w:hAnsi="Palatino Linotype" w:cs="Palatino Linotype"/>
          <w:sz w:val="24"/>
        </w:rPr>
      </w:pPr>
    </w:p>
    <w:p w:rsidR="00AD0F0E" w:rsidRPr="00957D13" w:rsidRDefault="00AD0F0E" w:rsidP="00AD0F0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7"/>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lastRenderedPageBreak/>
        <w:t xml:space="preserve"> Tal y como ocurrió en el presente asunto en particular, toda vez que en respuesta se proporcionaron documentos con los que se pretende colmar el derecho del particular; sin embargo, no fueron acompañados por el acuerdo del Comité de Transparencia que sustente las versiones públicas, en consecuencia, no se colmó en totalidad el derecho del particular y lo idóneo es ORDENAR al Sujeto Obligado entregue los acuerdos correspondientes.</w:t>
      </w:r>
    </w:p>
    <w:p w:rsidR="00E50455" w:rsidRPr="00957D13" w:rsidRDefault="00E50455">
      <w:pPr>
        <w:tabs>
          <w:tab w:val="left" w:pos="426"/>
          <w:tab w:val="left" w:pos="567"/>
        </w:tabs>
        <w:spacing w:line="360" w:lineRule="auto"/>
        <w:jc w:val="both"/>
        <w:rPr>
          <w:rFonts w:ascii="Palatino Linotype" w:eastAsia="Palatino Linotype" w:hAnsi="Palatino Linotype" w:cs="Palatino Linotype"/>
          <w:color w:val="000000"/>
          <w:sz w:val="24"/>
          <w:szCs w:val="24"/>
          <w:highlight w:val="yellow"/>
        </w:rPr>
      </w:pPr>
    </w:p>
    <w:p w:rsidR="00E50455" w:rsidRPr="00957D13" w:rsidRDefault="00117A9F">
      <w:pPr>
        <w:numPr>
          <w:ilvl w:val="0"/>
          <w:numId w:val="8"/>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Así pues, es importante señalar que el artículo 6°, Apartado A), fracción I de la Constitución Política de los Estados Unidos Mexicanos, establece que toda la información en posesión de cualquier autoridad es pública y sólo podrá ser reservada temporalmente por razones de interés público. Entonces, se prevé que la información es pública salvo los casos de excepción que prevén las leyes; al respecto, la Ley de Transparencia y Acceso a la Información Pública del Estado de México y Municipios en materia de clasificación hay dos supuestos, a saber, los siguientes:</w:t>
      </w:r>
    </w:p>
    <w:p w:rsidR="00E50455" w:rsidRPr="00957D13" w:rsidRDefault="00117A9F">
      <w:pPr>
        <w:numPr>
          <w:ilvl w:val="0"/>
          <w:numId w:val="9"/>
        </w:numPr>
        <w:pBdr>
          <w:top w:val="nil"/>
          <w:left w:val="nil"/>
          <w:bottom w:val="nil"/>
          <w:right w:val="nil"/>
          <w:between w:val="nil"/>
        </w:pBdr>
        <w:spacing w:line="276" w:lineRule="auto"/>
        <w:ind w:left="1134"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i/>
          <w:iCs/>
          <w:color w:val="000000"/>
          <w:sz w:val="24"/>
          <w:szCs w:val="24"/>
        </w:rPr>
        <w:t>Confidencial</w:t>
      </w:r>
      <w:r w:rsidRPr="00957D13">
        <w:rPr>
          <w:rFonts w:ascii="Palatino Linotype" w:eastAsia="Palatino Linotype" w:hAnsi="Palatino Linotype" w:cs="Palatino Linotype"/>
          <w:i/>
          <w:iCs/>
          <w:color w:val="000000"/>
          <w:sz w:val="24"/>
          <w:szCs w:val="24"/>
        </w:rPr>
        <w:t>: Se trata de datos personales o de la vida privada de una persona física o jurídico-colectiva y encuentran su sustento legal en el artículo 143 de la Ley de Transparencia y Acceso a la Información Pública del Estado de México y Municipios</w:t>
      </w:r>
    </w:p>
    <w:p w:rsidR="00E50455" w:rsidRPr="00957D13" w:rsidRDefault="00E50455">
      <w:pPr>
        <w:pBdr>
          <w:top w:val="nil"/>
          <w:left w:val="nil"/>
          <w:bottom w:val="nil"/>
          <w:right w:val="nil"/>
          <w:between w:val="nil"/>
        </w:pBdr>
        <w:spacing w:line="276" w:lineRule="auto"/>
        <w:ind w:left="1134" w:right="1814"/>
        <w:jc w:val="both"/>
        <w:rPr>
          <w:rFonts w:ascii="Palatino Linotype" w:eastAsia="Palatino Linotype" w:hAnsi="Palatino Linotype" w:cs="Palatino Linotype"/>
          <w:i/>
          <w:iCs/>
          <w:color w:val="000000"/>
          <w:sz w:val="24"/>
          <w:szCs w:val="24"/>
        </w:rPr>
      </w:pPr>
    </w:p>
    <w:p w:rsidR="00E50455" w:rsidRPr="00957D13" w:rsidRDefault="00117A9F">
      <w:pPr>
        <w:numPr>
          <w:ilvl w:val="0"/>
          <w:numId w:val="9"/>
        </w:numPr>
        <w:pBdr>
          <w:top w:val="nil"/>
          <w:left w:val="nil"/>
          <w:bottom w:val="nil"/>
          <w:right w:val="nil"/>
          <w:between w:val="nil"/>
        </w:pBdr>
        <w:spacing w:line="276" w:lineRule="auto"/>
        <w:ind w:left="1134" w:right="1814"/>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i/>
          <w:iCs/>
          <w:color w:val="000000"/>
          <w:sz w:val="24"/>
          <w:szCs w:val="24"/>
        </w:rPr>
        <w:t>Reservada:</w:t>
      </w:r>
      <w:r w:rsidRPr="00957D13">
        <w:rPr>
          <w:rFonts w:ascii="Palatino Linotype" w:eastAsia="Palatino Linotype" w:hAnsi="Palatino Linotype" w:cs="Palatino Linotype"/>
          <w:i/>
          <w:iCs/>
          <w:color w:val="000000"/>
          <w:sz w:val="24"/>
          <w:szCs w:val="24"/>
        </w:rPr>
        <w:t xml:space="preserve"> Es información de carácter público, que no puede ser proporcionada al actualizar alguna de las causales establecidas en el artículo 140 de la Ley de Transparencia y Acceso a la Información Pública del Estado de México y Municipios y demás aplicables. </w:t>
      </w:r>
    </w:p>
    <w:p w:rsidR="00E50455" w:rsidRPr="00957D13" w:rsidRDefault="00E50455">
      <w:pPr>
        <w:spacing w:line="360" w:lineRule="auto"/>
        <w:ind w:right="1814"/>
        <w:jc w:val="both"/>
        <w:rPr>
          <w:rFonts w:ascii="Palatino Linotype" w:eastAsia="Palatino Linotype" w:hAnsi="Palatino Linotype" w:cs="Palatino Linotype"/>
          <w:color w:val="000000"/>
          <w:sz w:val="24"/>
          <w:szCs w:val="24"/>
        </w:rPr>
      </w:pPr>
    </w:p>
    <w:p w:rsidR="00E50455" w:rsidRPr="00957D13" w:rsidRDefault="00117A9F">
      <w:pPr>
        <w:spacing w:line="360" w:lineRule="auto"/>
        <w:ind w:right="27"/>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lastRenderedPageBreak/>
        <w:t>Se observa, pues, que existen dos supuestos para la restricción del acceso a la información; que implica que la información solicitada se trate de datos personales confidenciales o que se actualice algún supuesto de reserva.</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8"/>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En este tenor, se insta al Sujeto Obligado para que en futuras ocasiones garantice la emisión de los acuerdos del Comité de Transparencia en los términos que la Ley de la Materia y la normatividad aplicable exige</w:t>
      </w:r>
      <w:r w:rsidRPr="00957D13">
        <w:rPr>
          <w:rFonts w:ascii="Palatino Linotype" w:eastAsia="Palatino Linotype" w:hAnsi="Palatino Linotype" w:cs="Palatino Linotype"/>
          <w:b/>
          <w:bCs/>
          <w:color w:val="000000"/>
          <w:sz w:val="24"/>
          <w:szCs w:val="24"/>
          <w:u w:val="single"/>
        </w:rPr>
        <w:t>.</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Aunado a lo anterior, es preciso señalar que el Sujeto Obligado, también dejó visibles datos personales confidenciales como nombres, firmas, domicilio, número de teléfono, correo electrónico y fotografías de personas ajenas al servicio público así como teléfono y correo electrónico particular de servidores públicos; de ello la atención a las siguientes consideraciones:</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0"/>
        </w:numPr>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El </w:t>
      </w:r>
      <w:r w:rsidRPr="00957D13">
        <w:rPr>
          <w:rFonts w:ascii="Palatino Linotype" w:eastAsia="Palatino Linotype" w:hAnsi="Palatino Linotype" w:cs="Palatino Linotype"/>
          <w:b/>
          <w:bCs/>
          <w:color w:val="000000"/>
          <w:sz w:val="24"/>
          <w:szCs w:val="24"/>
        </w:rPr>
        <w:t>nombre</w:t>
      </w:r>
      <w:r w:rsidRPr="00957D13">
        <w:rPr>
          <w:rFonts w:ascii="Palatino Linotype" w:eastAsia="Palatino Linotype" w:hAnsi="Palatino Linotype" w:cs="Palatino Linotype"/>
          <w:color w:val="000000"/>
          <w:sz w:val="24"/>
          <w:szCs w:val="24"/>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957D13">
        <w:rPr>
          <w:rFonts w:ascii="Palatino Linotype" w:eastAsia="Palatino Linotype" w:hAnsi="Palatino Linotype" w:cs="Palatino Linotype"/>
          <w:i/>
          <w:iCs/>
          <w:color w:val="000000"/>
          <w:sz w:val="24"/>
          <w:szCs w:val="24"/>
        </w:rPr>
        <w:t>perse</w:t>
      </w:r>
      <w:r w:rsidRPr="00957D13">
        <w:rPr>
          <w:rFonts w:ascii="Palatino Linotype" w:eastAsia="Palatino Linotype" w:hAnsi="Palatino Linotype" w:cs="Palatino Linotype"/>
          <w:color w:val="000000"/>
          <w:sz w:val="24"/>
          <w:szCs w:val="24"/>
        </w:rPr>
        <w:t xml:space="preserve"> es un elemento que hace a una persona física identificada o identificable, por lo que, se considera un dato personal.</w:t>
      </w:r>
    </w:p>
    <w:p w:rsidR="00E50455" w:rsidRPr="00957D13" w:rsidRDefault="00E50455">
      <w:pPr>
        <w:spacing w:line="360" w:lineRule="auto"/>
        <w:ind w:right="27"/>
        <w:jc w:val="both"/>
        <w:rPr>
          <w:rFonts w:ascii="Palatino Linotype" w:eastAsia="Palatino Linotype" w:hAnsi="Palatino Linotype" w:cs="Palatino Linotype"/>
          <w:b/>
          <w:bCs/>
          <w:color w:val="000000"/>
          <w:sz w:val="24"/>
          <w:szCs w:val="24"/>
        </w:rPr>
      </w:pPr>
    </w:p>
    <w:p w:rsidR="00E50455" w:rsidRPr="00957D13" w:rsidRDefault="00117A9F">
      <w:pPr>
        <w:numPr>
          <w:ilvl w:val="0"/>
          <w:numId w:val="11"/>
        </w:numPr>
        <w:pBdr>
          <w:top w:val="nil"/>
          <w:left w:val="nil"/>
          <w:bottom w:val="nil"/>
          <w:right w:val="nil"/>
          <w:between w:val="nil"/>
        </w:pBdr>
        <w:spacing w:before="280" w:after="280"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La </w:t>
      </w:r>
      <w:r w:rsidRPr="00957D13">
        <w:rPr>
          <w:rFonts w:ascii="Palatino Linotype" w:eastAsia="Palatino Linotype" w:hAnsi="Palatino Linotype" w:cs="Palatino Linotype"/>
          <w:b/>
          <w:bCs/>
          <w:color w:val="000000"/>
          <w:sz w:val="24"/>
          <w:szCs w:val="24"/>
        </w:rPr>
        <w:t>firma</w:t>
      </w:r>
      <w:r w:rsidRPr="00957D13">
        <w:rPr>
          <w:rFonts w:ascii="Palatino Linotype" w:eastAsia="Palatino Linotype" w:hAnsi="Palatino Linotype" w:cs="Palatino Linotype"/>
          <w:color w:val="000000"/>
          <w:sz w:val="24"/>
          <w:szCs w:val="24"/>
        </w:rPr>
        <w:t xml:space="preserve"> es considerada como un atributo de la personalidad de los individuos, en virtud de que a través de esta se puede identificar a una persona, por lo que se considera un dato personal y, dado que para otorgar su acceso se necesita el consentimiento de su titular, </w:t>
      </w:r>
      <w:r w:rsidRPr="00957D13">
        <w:rPr>
          <w:rFonts w:ascii="Palatino Linotype" w:eastAsia="Palatino Linotype" w:hAnsi="Palatino Linotype" w:cs="Palatino Linotype"/>
          <w:color w:val="000000"/>
          <w:sz w:val="24"/>
          <w:szCs w:val="24"/>
        </w:rPr>
        <w:lastRenderedPageBreak/>
        <w:t>es información clasificada como confidencial conforme al artículo 113, fracción I de la Ley Federal de Transparencia y Acceso a la Información Pública.</w:t>
      </w:r>
    </w:p>
    <w:p w:rsidR="00E50455" w:rsidRPr="00957D13" w:rsidRDefault="00E50455">
      <w:pPr>
        <w:spacing w:line="360" w:lineRule="auto"/>
        <w:ind w:right="27"/>
        <w:jc w:val="both"/>
        <w:rPr>
          <w:rFonts w:ascii="Palatino Linotype" w:eastAsia="Palatino Linotype" w:hAnsi="Palatino Linotype" w:cs="Palatino Linotype"/>
          <w:b/>
          <w:bCs/>
          <w:color w:val="000000"/>
          <w:sz w:val="24"/>
          <w:szCs w:val="24"/>
        </w:rPr>
      </w:pPr>
    </w:p>
    <w:p w:rsidR="00E50455" w:rsidRPr="00957D13" w:rsidRDefault="00117A9F">
      <w:pPr>
        <w:spacing w:line="360" w:lineRule="auto"/>
        <w:ind w:right="27"/>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Teléfono y celular particular.</w:t>
      </w:r>
    </w:p>
    <w:p w:rsidR="00E50455" w:rsidRPr="00957D13" w:rsidRDefault="00117A9F">
      <w:pPr>
        <w:numPr>
          <w:ilvl w:val="0"/>
          <w:numId w:val="16"/>
        </w:numPr>
        <w:spacing w:line="360" w:lineRule="auto"/>
        <w:ind w:right="27"/>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El número asignado a un teléfono particular o celular permite localizar a una persona física identificada o identificable, ya sea a través de un dispositivo móvil o bien, en un lugar como el domicilio. </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6"/>
        </w:numPr>
        <w:spacing w:line="360" w:lineRule="auto"/>
        <w:ind w:right="27"/>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 En tales consideraciones, dicho dato personal es susceptible de ser clasificado como confidencial, con fundamento en el artículo 143, fracción I de la Ley de Transparencia y Acceso a la Información Pública.</w:t>
      </w:r>
    </w:p>
    <w:p w:rsidR="00E50455" w:rsidRPr="00957D13" w:rsidRDefault="00E5045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50455" w:rsidRPr="00957D13" w:rsidRDefault="00117A9F">
      <w:pPr>
        <w:numPr>
          <w:ilvl w:val="0"/>
          <w:numId w:val="16"/>
        </w:numPr>
        <w:spacing w:line="360" w:lineRule="auto"/>
        <w:ind w:right="27"/>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 por lo que corresponde a un dato personal que actualiza la causal de clasificación establecida en el artículo 143, fracción I de la Ley de Transparencia y Acceso a la Información Pública del Estado de México y Municipios.</w:t>
      </w:r>
    </w:p>
    <w:p w:rsidR="00E50455" w:rsidRDefault="00E5045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57D13" w:rsidRDefault="00957D13">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57D13" w:rsidRDefault="00957D13">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957D13" w:rsidRPr="00957D13" w:rsidRDefault="00957D13">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50455" w:rsidRPr="00957D13" w:rsidRDefault="00AD0F0E">
      <w:pPr>
        <w:spacing w:line="360" w:lineRule="auto"/>
        <w:ind w:right="27"/>
        <w:jc w:val="both"/>
        <w:rPr>
          <w:rFonts w:ascii="Palatino Linotype" w:eastAsia="Palatino Linotype" w:hAnsi="Palatino Linotype" w:cs="Palatino Linotype"/>
          <w:b/>
          <w:bCs/>
          <w:sz w:val="24"/>
          <w:szCs w:val="24"/>
        </w:rPr>
      </w:pPr>
      <w:r>
        <w:rPr>
          <w:rFonts w:ascii="Palatino Linotype" w:eastAsia="Palatino Linotype" w:hAnsi="Palatino Linotype" w:cs="Palatino Linotype"/>
          <w:b/>
          <w:bCs/>
          <w:sz w:val="24"/>
          <w:szCs w:val="24"/>
        </w:rPr>
        <w:lastRenderedPageBreak/>
        <w:t>D</w:t>
      </w:r>
      <w:r w:rsidR="00117A9F" w:rsidRPr="00957D13">
        <w:rPr>
          <w:rFonts w:ascii="Palatino Linotype" w:eastAsia="Palatino Linotype" w:hAnsi="Palatino Linotype" w:cs="Palatino Linotype"/>
          <w:b/>
          <w:bCs/>
          <w:sz w:val="24"/>
          <w:szCs w:val="24"/>
        </w:rPr>
        <w:t>omicilio Particular</w:t>
      </w:r>
    </w:p>
    <w:p w:rsidR="00E50455" w:rsidRPr="00957D13" w:rsidRDefault="00117A9F">
      <w:pPr>
        <w:numPr>
          <w:ilvl w:val="0"/>
          <w:numId w:val="16"/>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De acuerdo a lo señalado en los artículos 2.3 y 2.5 del Código Civil del Estado de México, el domicilio es un atributo de la personalidad y un derecho de las personas; además que tiene como propósito que una persona pueda establecerse temporal o permanentemente en un lugar determinado, para habitar, establecer su centro de trabajo o negocios. </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6"/>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De la misma manera, lo establece el artículo 29 del Código Civil Federal, al precisar que el domicilio de personas físicas, es el lugar donde residen habitualmente, el lugar del centro principal de sus negocios, donde residan o el lugar donde se encuentren.</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6"/>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Como se observa, la dirección o domicilio es el lugar en donde reside habitualmente una persona física, por lo que, permite hacerlo identificable y ubicable, propiciando que pueda ser molestado en su casa o negocio, de este modo, los datos que permiten a cualquier individuo con esfuerzos mínimos identificar el lugar de residencia o de trabajo constituye un dato personal y, por ende, confidencial, ya que incide directamente en la privacidad de personas físicas identificadas y su difusión podría afectar la esfera privada de las mismas. Por lo tanto, se actualiza la clasificación, de conformidad con la fracción I, del artículo 143 de la Ley de Transparencia y Acceso a la Información Pública del Estado de México y Municipios.</w:t>
      </w:r>
    </w:p>
    <w:p w:rsidR="00E50455" w:rsidRPr="00957D13" w:rsidRDefault="00E5045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50455" w:rsidRPr="00957D13" w:rsidRDefault="00117A9F">
      <w:pPr>
        <w:pBdr>
          <w:top w:val="nil"/>
          <w:left w:val="nil"/>
          <w:bottom w:val="nil"/>
          <w:right w:val="nil"/>
          <w:between w:val="nil"/>
        </w:pBdr>
        <w:spacing w:line="360" w:lineRule="auto"/>
        <w:ind w:right="27"/>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Fotografía de personas ajenas al servicio público</w:t>
      </w:r>
    </w:p>
    <w:p w:rsidR="00E50455" w:rsidRPr="00957D13" w:rsidRDefault="00117A9F">
      <w:pPr>
        <w:numPr>
          <w:ilvl w:val="0"/>
          <w:numId w:val="16"/>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Por lo que hace a las fotografías, es preciso señalar que estas dan cuenta de las características físicas de los servidores públicos; por lo que, no debe perderse de vista que la </w:t>
      </w:r>
      <w:r w:rsidRPr="00957D13">
        <w:rPr>
          <w:rFonts w:ascii="Palatino Linotype" w:eastAsia="Palatino Linotype" w:hAnsi="Palatino Linotype" w:cs="Palatino Linotype"/>
          <w:color w:val="000000"/>
          <w:sz w:val="24"/>
          <w:szCs w:val="24"/>
        </w:rPr>
        <w:lastRenderedPageBreak/>
        <w:t>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rsidR="00E50455" w:rsidRPr="00957D13" w:rsidRDefault="00E50455">
      <w:pPr>
        <w:spacing w:line="360" w:lineRule="auto"/>
        <w:ind w:right="27"/>
        <w:rPr>
          <w:rFonts w:ascii="Palatino Linotype" w:eastAsia="Palatino Linotype" w:hAnsi="Palatino Linotype" w:cs="Palatino Linotype"/>
          <w:color w:val="000000"/>
          <w:sz w:val="24"/>
          <w:szCs w:val="24"/>
        </w:rPr>
      </w:pPr>
    </w:p>
    <w:p w:rsidR="00E50455" w:rsidRPr="00957D13" w:rsidRDefault="00117A9F">
      <w:pPr>
        <w:numPr>
          <w:ilvl w:val="0"/>
          <w:numId w:val="16"/>
        </w:numPr>
        <w:pBdr>
          <w:top w:val="nil"/>
          <w:left w:val="nil"/>
          <w:bottom w:val="nil"/>
          <w:right w:val="nil"/>
          <w:between w:val="nil"/>
        </w:pBdr>
        <w:spacing w:line="360" w:lineRule="auto"/>
        <w:ind w:right="27"/>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por lo que dicho dato personal es susceptible de ser clasificado como confidencial, ya que actualizan la causal de clasificación establecida en el artículo 143, fracción I, de la Ley de Transparencia y Acceso a la Información Pública del Estado de México y Municipios. </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 Así mismo del análisis realizado a las documentales proporcionadas se advierte que se testaron datos de servidores públicos que no son susceptibles de clasificación, siendo enunciativamente el nombre, firma y adscripción, así como nombre y firma de autoridades municipales auxiliares. </w:t>
      </w:r>
    </w:p>
    <w:p w:rsidR="00E50455" w:rsidRPr="00957D13" w:rsidRDefault="00E50455">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color w:val="000000"/>
          <w:sz w:val="24"/>
          <w:szCs w:val="24"/>
        </w:rPr>
        <w:t xml:space="preserve">Por cuanto hace al </w:t>
      </w:r>
      <w:r w:rsidRPr="00957D13">
        <w:rPr>
          <w:rFonts w:ascii="Palatino Linotype" w:eastAsia="Palatino Linotype" w:hAnsi="Palatino Linotype" w:cs="Palatino Linotype"/>
          <w:b/>
          <w:bCs/>
          <w:color w:val="000000"/>
          <w:sz w:val="24"/>
          <w:szCs w:val="24"/>
        </w:rPr>
        <w:t>nombre de servidores públicos</w:t>
      </w:r>
      <w:r w:rsidRPr="00957D13">
        <w:rPr>
          <w:rFonts w:ascii="Palatino Linotype" w:eastAsia="Palatino Linotype" w:hAnsi="Palatino Linotype" w:cs="Palatino Linotype"/>
          <w:color w:val="000000"/>
          <w:sz w:val="24"/>
          <w:szCs w:val="24"/>
        </w:rPr>
        <w:t xml:space="preserve">, se advierte que este fue testado en algunos de los oficios enviados en respuesta; no obstante lo anterior, es necesario precisar que el nombre del servidor público es un dato que se encuentra relacionado con la rendición de cuentas a la población, toda vez que permite identificar a la persona que desempeña un </w:t>
      </w:r>
      <w:r w:rsidRPr="00957D13">
        <w:rPr>
          <w:rFonts w:ascii="Palatino Linotype" w:eastAsia="Palatino Linotype" w:hAnsi="Palatino Linotype" w:cs="Palatino Linotype"/>
          <w:color w:val="000000"/>
          <w:sz w:val="24"/>
          <w:szCs w:val="24"/>
        </w:rPr>
        <w:lastRenderedPageBreak/>
        <w:t xml:space="preserve">empleo en el ámbito gubernamental y de ello, la ciudadanía tiene derecho de conocer el nombre de las personas que reciben recursos públicos, por cualquiera que sea el concepto, lo cual toma sustento del artículo 24 fracción XVIII de la Ley de Transparencia y Acceso a la Información Pública del Estado de México y Municipios, por lo tanto, no procede su clasificación. </w:t>
      </w:r>
    </w:p>
    <w:p w:rsidR="00E50455" w:rsidRPr="00957D13" w:rsidRDefault="00E50455">
      <w:pP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Tocante al tema de la </w:t>
      </w:r>
      <w:r w:rsidRPr="00957D13">
        <w:rPr>
          <w:rFonts w:ascii="Palatino Linotype" w:eastAsia="Palatino Linotype" w:hAnsi="Palatino Linotype" w:cs="Palatino Linotype"/>
          <w:b/>
          <w:bCs/>
          <w:color w:val="000000"/>
          <w:sz w:val="24"/>
          <w:szCs w:val="24"/>
        </w:rPr>
        <w:t>firma</w:t>
      </w:r>
      <w:r w:rsidRPr="00957D13">
        <w:rPr>
          <w:rFonts w:ascii="Palatino Linotype" w:eastAsia="Palatino Linotype" w:hAnsi="Palatino Linotype" w:cs="Palatino Linotype"/>
          <w:color w:val="000000"/>
          <w:sz w:val="24"/>
          <w:szCs w:val="24"/>
        </w:rPr>
        <w:t xml:space="preserve">, al tratarse de la escritura gráfica o grafo manuscrito que representa al nombre y apellido(s), o título, que una persona escribe de su propia mano, que tiene fines de identificación, jurídicos, representativos y diplomáticos, a través de los cuales es posible identificar o hacer identificable a su titular, constituye un dato personal que debe ser protegido.  </w:t>
      </w:r>
    </w:p>
    <w:p w:rsidR="00E50455" w:rsidRPr="00957D13" w:rsidRDefault="00E50455">
      <w:pP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Sin embargo, en el caso de los servidores públicos, dicho dato es público cuando, en ejercicio de las atribuciones que les fueron conferidas, emiten un acto de autoridad, siendo la firma el medio por el cual se le da validez a dicho acto.</w:t>
      </w:r>
    </w:p>
    <w:p w:rsidR="00E50455" w:rsidRPr="00957D13" w:rsidRDefault="00E50455">
      <w:pPr>
        <w:spacing w:line="360" w:lineRule="auto"/>
        <w:rPr>
          <w:rFonts w:ascii="Palatino Linotype" w:eastAsia="Palatino Linotype" w:hAnsi="Palatino Linotype" w:cs="Palatino Linotype"/>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Robustece lo anterior el criterio orientador 02-19 emitido por el entonces  Instituto Nacional de Transparencia, Acceso a la Información y Protección de Datos Personales, INAI, el cual refiere:</w:t>
      </w:r>
    </w:p>
    <w:p w:rsidR="00E50455" w:rsidRPr="00957D13" w:rsidRDefault="00117A9F">
      <w:pPr>
        <w:spacing w:line="360" w:lineRule="auto"/>
        <w:ind w:left="1134" w:right="1814"/>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i/>
          <w:iCs/>
          <w:color w:val="000000"/>
          <w:sz w:val="24"/>
          <w:szCs w:val="24"/>
        </w:rPr>
        <w:t>“</w:t>
      </w:r>
      <w:r w:rsidRPr="00957D13">
        <w:rPr>
          <w:rFonts w:ascii="Palatino Linotype" w:eastAsia="Palatino Linotype" w:hAnsi="Palatino Linotype" w:cs="Palatino Linotype"/>
          <w:b/>
          <w:bCs/>
          <w:i/>
          <w:iCs/>
          <w:color w:val="000000"/>
          <w:sz w:val="24"/>
          <w:szCs w:val="24"/>
        </w:rPr>
        <w:t>Firma y rúbrica de servidores públicos.</w:t>
      </w:r>
      <w:r w:rsidRPr="00957D13">
        <w:rPr>
          <w:rFonts w:ascii="Palatino Linotype" w:eastAsia="Palatino Linotype" w:hAnsi="Palatino Linotype" w:cs="Palatino Linotype"/>
          <w:i/>
          <w:iCs/>
          <w:color w:val="000000"/>
          <w:sz w:val="24"/>
          <w:szCs w:val="24"/>
        </w:rPr>
        <w:t xml:space="preserve"> Si bien la firma y la rúbrica son datos personales confidenciales, cuando un servidor público emite un acto como autoridad, en ejercicio de las funciones que tiene </w:t>
      </w:r>
      <w:r w:rsidRPr="00957D13">
        <w:rPr>
          <w:rFonts w:ascii="Palatino Linotype" w:eastAsia="Palatino Linotype" w:hAnsi="Palatino Linotype" w:cs="Palatino Linotype"/>
          <w:i/>
          <w:iCs/>
          <w:color w:val="000000"/>
          <w:sz w:val="24"/>
          <w:szCs w:val="24"/>
        </w:rPr>
        <w:lastRenderedPageBreak/>
        <w:t>conferidas, la firma o rúbrica mediante la cual se valida dicho acto es pública.”</w:t>
      </w:r>
    </w:p>
    <w:p w:rsidR="00E50455" w:rsidRPr="00957D13" w:rsidRDefault="00E50455">
      <w:pPr>
        <w:spacing w:line="360" w:lineRule="auto"/>
        <w:rPr>
          <w:rFonts w:ascii="Palatino Linotype" w:eastAsia="Palatino Linotype" w:hAnsi="Palatino Linotype" w:cs="Palatino Linotype"/>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Lo anterior, en razón de que cuando un servidor público emite un acto como autoridad, en ejercicio de las funciones que tiene conferidas, su firma o rúbrica mediante la cual se valida dicho acto guarda naturaleza pública.</w:t>
      </w:r>
    </w:p>
    <w:p w:rsidR="00E50455" w:rsidRPr="00957D13" w:rsidRDefault="00E50455">
      <w:pP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spacing w:after="240"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Ahora bien, con respecto al nombre y firma de autoridades auxiliares, resulta necesario atraer lo señalado por los artículos 56, 57, 59, 60 y 88 de la Ley Orgánica Municipal del Estado de México; que establecen lo siguiente:</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“Artículo 56.-</w:t>
      </w:r>
      <w:r w:rsidRPr="00957D13">
        <w:rPr>
          <w:rFonts w:ascii="Palatino Linotype" w:eastAsia="Palatino Linotype" w:hAnsi="Palatino Linotype" w:cs="Palatino Linotype"/>
          <w:i/>
          <w:iCs/>
          <w:sz w:val="24"/>
          <w:szCs w:val="24"/>
        </w:rPr>
        <w:t xml:space="preserve"> </w:t>
      </w:r>
      <w:r w:rsidRPr="00957D13">
        <w:rPr>
          <w:rFonts w:ascii="Palatino Linotype" w:eastAsia="Palatino Linotype" w:hAnsi="Palatino Linotype" w:cs="Palatino Linotype"/>
          <w:b/>
          <w:bCs/>
          <w:i/>
          <w:iCs/>
          <w:sz w:val="24"/>
          <w:szCs w:val="24"/>
        </w:rPr>
        <w:t>Son autoridades auxiliares municipales</w:t>
      </w:r>
      <w:r w:rsidRPr="00957D13">
        <w:rPr>
          <w:rFonts w:ascii="Palatino Linotype" w:eastAsia="Palatino Linotype" w:hAnsi="Palatino Linotype" w:cs="Palatino Linotype"/>
          <w:i/>
          <w:iCs/>
          <w:sz w:val="24"/>
          <w:szCs w:val="24"/>
        </w:rPr>
        <w:t xml:space="preserve">, los delegados y subdelegados, y los jefes de sector o de sección y jefes de manzana que designe el ayuntamiento.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Artículo 57.-</w:t>
      </w:r>
      <w:r w:rsidRPr="00957D13">
        <w:rPr>
          <w:rFonts w:ascii="Palatino Linotype" w:eastAsia="Palatino Linotype" w:hAnsi="Palatino Linotype" w:cs="Palatino Linotype"/>
          <w:i/>
          <w:iCs/>
          <w:sz w:val="24"/>
          <w:szCs w:val="24"/>
        </w:rPr>
        <w:t xml:space="preserve"> Las autoridades auxiliares municipales ejercerán, en sus respectivas jurisdicciones, las atribuciones que les delegue el ayuntamiento, para mantener el orden, la tranquilidad, la paz social, la seguridad y la protección de los vecinos, conforme a lo establecido en esta Ley, el Bando Municipal y los reglamentos respectivos.</w:t>
      </w: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I. Corresponde a los delegados y subdelegados: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a). Vigilar el cumplimiento del bando municipal, de las disposiciones reglamentarias que expida el ayuntamiento y reportar a la dependencia administrativa correspondiente, las violaciones a las mismas;</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b). Coadyuvar con el ayuntamiento en la elaboración y ejecución del Plan de Desarrollo Municipal y de los programas que de él se deriven;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 xml:space="preserve">c). Auxiliar al secretario del ayuntamiento con la información que requiera para expedir certificaciones; </w:t>
      </w: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d). Informar anualmente a sus representados y al ayuntamiento, sobre la administración de los recursos que en su caso tenga encomendados, y del estado que guardan los asuntos a su cargo;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e). Elaborar los programas de trabajo para las delegaciones y subdelegaciones, con la asesoría del ayuntamiento. </w:t>
      </w: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f) vigilar el estado de los canales, vasos colectores, barrancas, canales alcantarillados y demás desagües e informar al ayuntamiento para la realización de acciones correctivas.</w:t>
      </w: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g) Emitir opinión motivada no vinculante, respecto a la autorización de la instalación de nuevos establecimientos comerciales, licencias de construcción y cambios de uso de suelo en sus comunidades. </w:t>
      </w:r>
    </w:p>
    <w:p w:rsidR="00E50455" w:rsidRPr="00957D13" w:rsidRDefault="00E50455">
      <w:pPr>
        <w:spacing w:line="276" w:lineRule="auto"/>
        <w:ind w:left="1134" w:right="1814"/>
        <w:jc w:val="both"/>
        <w:rPr>
          <w:rFonts w:ascii="Palatino Linotype" w:eastAsia="Palatino Linotype" w:hAnsi="Palatino Linotype" w:cs="Palatino Linotype"/>
          <w:i/>
          <w:iCs/>
          <w:sz w:val="24"/>
          <w:szCs w:val="24"/>
        </w:rPr>
      </w:pP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II. Corresponde a los jefes de sector o de sección y de manzana:</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E50455">
      <w:pPr>
        <w:spacing w:line="276" w:lineRule="auto"/>
        <w:ind w:left="1134" w:right="1814"/>
        <w:jc w:val="both"/>
        <w:rPr>
          <w:rFonts w:ascii="Palatino Linotype" w:eastAsia="Palatino Linotype" w:hAnsi="Palatino Linotype" w:cs="Palatino Linotype"/>
          <w:i/>
          <w:iCs/>
          <w:sz w:val="24"/>
          <w:szCs w:val="24"/>
        </w:rPr>
      </w:pP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Artículo 59.- La elección de Delegados y Subdelegados se sujetará al procedimiento establecido en la convocatoria que al efecto expida el Ayuntamiento.</w:t>
      </w:r>
      <w:r w:rsidRPr="00957D13">
        <w:rPr>
          <w:rFonts w:ascii="Palatino Linotype" w:eastAsia="Palatino Linotype" w:hAnsi="Palatino Linotype" w:cs="Palatino Linotype"/>
          <w:i/>
          <w:iCs/>
          <w:sz w:val="24"/>
          <w:szCs w:val="24"/>
        </w:rPr>
        <w:t xml:space="preserve"> Por cada Delegado y Subdelegado deberá elegirse un suplente. </w:t>
      </w: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La elección de los Delegados y Subdelegados se realizará en la fecha señalada en la convocatoria, entre el segundo domingo de marzo y el 30 de ese mes del primer año de gobierno del Ayuntamiento.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La convocatoria deberá expedirse cuando menos diez días antes de la elección</w:t>
      </w:r>
      <w:r w:rsidRPr="00957D13">
        <w:rPr>
          <w:rFonts w:ascii="Palatino Linotype" w:eastAsia="Palatino Linotype" w:hAnsi="Palatino Linotype" w:cs="Palatino Linotype"/>
          <w:b/>
          <w:bCs/>
          <w:i/>
          <w:iCs/>
          <w:sz w:val="24"/>
          <w:szCs w:val="24"/>
        </w:rPr>
        <w:t xml:space="preserve">. Sus nombramientos serán firmados por el Presidente Municipal y el Secretario del Ayuntamiento, entregándose a los </w:t>
      </w:r>
      <w:r w:rsidRPr="00957D13">
        <w:rPr>
          <w:rFonts w:ascii="Palatino Linotype" w:eastAsia="Palatino Linotype" w:hAnsi="Palatino Linotype" w:cs="Palatino Linotype"/>
          <w:b/>
          <w:bCs/>
          <w:i/>
          <w:iCs/>
          <w:sz w:val="24"/>
          <w:szCs w:val="24"/>
        </w:rPr>
        <w:lastRenderedPageBreak/>
        <w:t>electos a más tardar el día en que entren en funciones, que será el 15 de abril del mismo año</w:t>
      </w:r>
      <w:r w:rsidRPr="00957D13">
        <w:rPr>
          <w:rFonts w:ascii="Palatino Linotype" w:eastAsia="Palatino Linotype" w:hAnsi="Palatino Linotype" w:cs="Palatino Linotype"/>
          <w:i/>
          <w:iCs/>
          <w:sz w:val="24"/>
          <w:szCs w:val="24"/>
        </w:rPr>
        <w:t>.</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Artículo 60.-</w:t>
      </w:r>
      <w:r w:rsidRPr="00957D13">
        <w:rPr>
          <w:rFonts w:ascii="Palatino Linotype" w:eastAsia="Palatino Linotype" w:hAnsi="Palatino Linotype" w:cs="Palatino Linotype"/>
          <w:i/>
          <w:iCs/>
          <w:sz w:val="24"/>
          <w:szCs w:val="24"/>
        </w:rPr>
        <w:t xml:space="preserve"> Para ser delegado o subdelegado municipal o jefe de manzana se requiere: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 Ser ciudadano mexicano en pleno ejercicio de sus derechos políticos y civiles;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II. Ser vecino</w:t>
      </w:r>
      <w:r w:rsidRPr="00957D13">
        <w:rPr>
          <w:rFonts w:ascii="Palatino Linotype" w:eastAsia="Palatino Linotype" w:hAnsi="Palatino Linotype" w:cs="Palatino Linotype"/>
          <w:i/>
          <w:iCs/>
          <w:sz w:val="24"/>
          <w:szCs w:val="24"/>
        </w:rPr>
        <w:t xml:space="preserve">, en términos de esta Ley, de la delegación, subdelegación municipal o manzana respectiva;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III. Ser de reconocida probidad...” (Sic)</w:t>
      </w:r>
    </w:p>
    <w:p w:rsidR="00E50455" w:rsidRPr="00957D13" w:rsidRDefault="00E50455">
      <w:pPr>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De los anteriores se advierte que dentro de las autoridades auxiliares municipales se encuentran los delegados y subdelegados que son elegidos por convocatoria y que tienen entre otras funciones la de administrar recursos y realizan actos de autoridad como la emisión de opiniones no vinculantes o trabajo continuo con las autoridades municipales; asimismo dentro de los requisitos para acceder a dicho cargo, se requiere que sean vecinos de la delegación o subdelegación.</w:t>
      </w:r>
    </w:p>
    <w:p w:rsidR="00E50455" w:rsidRPr="00957D13" w:rsidRDefault="00E50455">
      <w:pPr>
        <w:spacing w:line="360" w:lineRule="auto"/>
        <w:jc w:val="both"/>
        <w:rPr>
          <w:rFonts w:ascii="Palatino Linotype" w:eastAsia="Palatino Linotype" w:hAnsi="Palatino Linotype" w:cs="Palatino Linotype"/>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Ahora bien, respecto al COPACI; la Ley Orgánica Municipal del Estado de México, establece en sus artículos 64, 73, lo siguiente:</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Artículo 64.-</w:t>
      </w:r>
      <w:r w:rsidRPr="00957D13">
        <w:rPr>
          <w:rFonts w:ascii="Palatino Linotype" w:eastAsia="Palatino Linotype" w:hAnsi="Palatino Linotype" w:cs="Palatino Linotype"/>
          <w:i/>
          <w:iCs/>
          <w:sz w:val="24"/>
          <w:szCs w:val="24"/>
        </w:rPr>
        <w:t xml:space="preserve"> Los ayuntamientos, para el eficaz desempeño de sus funciones públicas, podrán auxiliarse por: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 Comisiones del ayuntamiento; </w:t>
      </w: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II. Consejos de participación ciudadana;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III. Organizaciones sociales representativas de las comunidades;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IV. Las demás organizaciones que determinen las leyes y reglamentos o los acuerdos del ayuntamiento.</w:t>
      </w:r>
    </w:p>
    <w:p w:rsidR="00E50455" w:rsidRPr="00957D13" w:rsidRDefault="00E50455">
      <w:pPr>
        <w:spacing w:line="276" w:lineRule="auto"/>
        <w:ind w:left="1134" w:right="1814"/>
        <w:jc w:val="both"/>
        <w:rPr>
          <w:rFonts w:ascii="Palatino Linotype" w:eastAsia="Palatino Linotype" w:hAnsi="Palatino Linotype" w:cs="Palatino Linotype"/>
          <w:i/>
          <w:iCs/>
          <w:sz w:val="24"/>
          <w:szCs w:val="24"/>
        </w:rPr>
      </w:pP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lastRenderedPageBreak/>
        <w:t>Artículo 73.-</w:t>
      </w:r>
      <w:r w:rsidRPr="00957D13">
        <w:rPr>
          <w:rFonts w:ascii="Palatino Linotype" w:eastAsia="Palatino Linotype" w:hAnsi="Palatino Linotype" w:cs="Palatino Linotype"/>
          <w:i/>
          <w:iCs/>
          <w:sz w:val="24"/>
          <w:szCs w:val="24"/>
        </w:rPr>
        <w:t xml:space="preserve"> </w:t>
      </w:r>
      <w:r w:rsidRPr="00957D13">
        <w:rPr>
          <w:rFonts w:ascii="Palatino Linotype" w:eastAsia="Palatino Linotype" w:hAnsi="Palatino Linotype" w:cs="Palatino Linotype"/>
          <w:b/>
          <w:bCs/>
          <w:i/>
          <w:iCs/>
          <w:sz w:val="24"/>
          <w:szCs w:val="24"/>
        </w:rPr>
        <w:t>Cada consejo de participación ciudadana municipal</w:t>
      </w:r>
      <w:r w:rsidRPr="00957D13">
        <w:rPr>
          <w:rFonts w:ascii="Palatino Linotype" w:eastAsia="Palatino Linotype" w:hAnsi="Palatino Linotype" w:cs="Palatino Linotype"/>
          <w:i/>
          <w:iCs/>
          <w:sz w:val="24"/>
          <w:szCs w:val="24"/>
        </w:rPr>
        <w:t xml:space="preserve"> se integrará hasta con cinco vecinos del municipio, con sus respectivos suplentes; uno de los cuales lo presidirá, otro fungirá como secretario y otro como tesorero y en su caso dos vocales, que serán electos en las diversas localidades por los habitantes de la comunidad, entre el segundo domingo de marzo y el 30 de ese mes del año inmediato siguiente a la elección del ayuntamiento, en la forma y términos que éste determine en la convocatoria que deberá aprobar y publicar el ayuntamiento en los lugares más visibles y concurridos de cada comunidad, cuando menos quince días antes de la elección. El ayuntamiento expedirá los nombramientos respectivos firmados por el presidente municipal y el secretario del ayuntamiento, entregándose a los electos a más tardar el día en que entren en funciones, que será el día 15 de abril del mismo año.</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Los integrantes del consejo de participación ciudadana que hayan participado en la gestión que termina no podrán ser electos a ningún cargo del consejo de participación ciudadana para el periodo inmediato siguiente.</w:t>
      </w:r>
    </w:p>
    <w:p w:rsidR="00E50455" w:rsidRPr="00957D13" w:rsidRDefault="00E50455">
      <w:pPr>
        <w:spacing w:line="276" w:lineRule="auto"/>
        <w:ind w:left="1134" w:right="1814"/>
        <w:jc w:val="both"/>
        <w:rPr>
          <w:rFonts w:ascii="Palatino Linotype" w:eastAsia="Palatino Linotype" w:hAnsi="Palatino Linotype" w:cs="Palatino Linotype"/>
          <w:i/>
          <w:iCs/>
          <w:sz w:val="24"/>
          <w:szCs w:val="24"/>
        </w:rPr>
      </w:pPr>
    </w:p>
    <w:p w:rsidR="00E50455" w:rsidRPr="00957D13" w:rsidRDefault="00117A9F">
      <w:pPr>
        <w:spacing w:line="276" w:lineRule="auto"/>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Artículo 74.- Los consejos de participación ciudadana, como órganos de comunicación y colaboración entre la comunidad y las autoridades, tendrán las siguientes atribuciones: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 Promover la participación ciudadana en la realización de los programas municipales;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II. Coadyuvar para el cumplimiento eficaz de los planes y programas municipales aprobados;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III. Proponer al ayuntamiento las acciones tendientes a integrar o modificar los planes y programas municipales;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IV. Participar en la supervisión de la prestación de los servicios públicos;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lastRenderedPageBreak/>
        <w:t xml:space="preserve">V. Informar al menos una vez cada tres meses a sus representados y al ayuntamiento sobre sus proyectos, las actividades realizadas y, en su caso, el estado de cuenta de las aportaciones económicas que estén a su cargo. </w:t>
      </w:r>
    </w:p>
    <w:p w:rsidR="00E50455" w:rsidRPr="00957D13" w:rsidRDefault="00117A9F">
      <w:pPr>
        <w:spacing w:line="276" w:lineRule="auto"/>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VI. Emitir opinión motivada no vinculante, respecto a la autorización de nuevos proyectos inmobiliarios, comerciales, habitacionales o industriales y respecto de la autorización de giros mercantiles. (Sic)</w:t>
      </w:r>
    </w:p>
    <w:p w:rsidR="00E50455" w:rsidRPr="00957D13" w:rsidRDefault="00E50455">
      <w:pPr>
        <w:spacing w:line="360" w:lineRule="auto"/>
        <w:jc w:val="both"/>
        <w:rPr>
          <w:rFonts w:ascii="Palatino Linotype" w:eastAsia="Palatino Linotype" w:hAnsi="Palatino Linotype" w:cs="Palatino Linotype"/>
          <w:i/>
          <w:iCs/>
          <w:sz w:val="24"/>
          <w:szCs w:val="24"/>
        </w:rPr>
      </w:pPr>
    </w:p>
    <w:p w:rsidR="00E50455" w:rsidRPr="00957D13" w:rsidRDefault="00117A9F">
      <w:pPr>
        <w:numPr>
          <w:ilvl w:val="0"/>
          <w:numId w:val="17"/>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De todo lo anterior, se prevé que dentro de los Ayuntamientos se deben elegir a los delegados, subdelegados y los consejos de participación ciudadana; así mismo vale la pena señalar que si bien es cierto los miembros de los Comités de Participación Ciudadana, así como los Delegados y Subdelegados; no son servidores públicos; lo cierto, es que si realizan labores de vinculación entre la población y el ente Municipal por lo que también, pueden emitir actos de autoridad como la emisión de algunas constancias; por lo tanto, la información como su nombre, cargo y firma deben entenderse públicos.</w:t>
      </w:r>
    </w:p>
    <w:p w:rsidR="00E50455" w:rsidRPr="00957D13" w:rsidRDefault="00E50455">
      <w:pPr>
        <w:pBdr>
          <w:top w:val="nil"/>
          <w:left w:val="nil"/>
          <w:bottom w:val="nil"/>
          <w:right w:val="nil"/>
          <w:between w:val="nil"/>
        </w:pBdr>
        <w:ind w:left="720"/>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Así mismo, es importante señalar que el artículo 4, párrafo segundo de la Ley de Transparencia y Acceso a la Información Pública del Estado de México y Municipios, dispone: </w:t>
      </w:r>
    </w:p>
    <w:p w:rsidR="00E50455" w:rsidRPr="00957D13" w:rsidRDefault="00117A9F">
      <w:pPr>
        <w:pBdr>
          <w:top w:val="nil"/>
          <w:left w:val="nil"/>
          <w:bottom w:val="nil"/>
          <w:right w:val="nil"/>
          <w:between w:val="nil"/>
        </w:pBdr>
        <w:tabs>
          <w:tab w:val="left" w:pos="1418"/>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w:t>
      </w:r>
      <w:r w:rsidRPr="00957D13">
        <w:rPr>
          <w:rFonts w:ascii="Palatino Linotype" w:eastAsia="Palatino Linotype" w:hAnsi="Palatino Linotype" w:cs="Palatino Linotype"/>
          <w:b/>
          <w:bCs/>
          <w:i/>
          <w:iCs/>
          <w:color w:val="000000"/>
          <w:sz w:val="24"/>
          <w:szCs w:val="24"/>
        </w:rPr>
        <w:t>Artículo 4. …</w:t>
      </w:r>
    </w:p>
    <w:p w:rsidR="00E50455" w:rsidRPr="00957D13" w:rsidRDefault="00117A9F">
      <w:pPr>
        <w:pBdr>
          <w:top w:val="nil"/>
          <w:left w:val="nil"/>
          <w:bottom w:val="nil"/>
          <w:right w:val="nil"/>
          <w:between w:val="nil"/>
        </w:pBdr>
        <w:tabs>
          <w:tab w:val="left" w:pos="1418"/>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w:t>
      </w:r>
      <w:r w:rsidRPr="00957D13">
        <w:rPr>
          <w:rFonts w:ascii="Palatino Linotype" w:eastAsia="Palatino Linotype" w:hAnsi="Palatino Linotype" w:cs="Palatino Linotype"/>
          <w:i/>
          <w:iCs/>
          <w:color w:val="000000"/>
          <w:sz w:val="24"/>
          <w:szCs w:val="24"/>
        </w:rPr>
        <w:lastRenderedPageBreak/>
        <w:t>interés público, en los términos de las causas legítimas y estrictamente necesarias previstas por esta Ley.”</w:t>
      </w:r>
    </w:p>
    <w:p w:rsidR="00E50455" w:rsidRPr="00957D13" w:rsidRDefault="00E50455">
      <w:pPr>
        <w:tabs>
          <w:tab w:val="left" w:pos="426"/>
          <w:tab w:val="left" w:pos="567"/>
        </w:tabs>
        <w:spacing w:line="360" w:lineRule="auto"/>
        <w:ind w:right="565"/>
        <w:jc w:val="both"/>
        <w:rPr>
          <w:rFonts w:ascii="Palatino Linotype" w:eastAsia="Palatino Linotype" w:hAnsi="Palatino Linotype" w:cs="Palatino Linotype"/>
          <w:i/>
          <w:iCs/>
          <w:color w:val="000000"/>
          <w:sz w:val="24"/>
          <w:szCs w:val="24"/>
        </w:rPr>
      </w:pPr>
    </w:p>
    <w:p w:rsidR="00E50455" w:rsidRPr="00957D13" w:rsidRDefault="00117A9F">
      <w:pPr>
        <w:numPr>
          <w:ilvl w:val="0"/>
          <w:numId w:val="1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De lo anterior, se desprende que la información generada, obtenida, adquirida, transmitida, administrada o en posesión de los Sujetos Obligados, será accesible de manera permanente a cualquier persona, privilegiando el principio de máxima publicidad de la información. </w:t>
      </w:r>
    </w:p>
    <w:p w:rsidR="00E50455" w:rsidRPr="00957D13" w:rsidRDefault="00E5045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E50455" w:rsidRPr="00957D13" w:rsidRDefault="00117A9F">
      <w:pPr>
        <w:pBdr>
          <w:top w:val="nil"/>
          <w:left w:val="nil"/>
          <w:bottom w:val="nil"/>
          <w:right w:val="nil"/>
          <w:between w:val="nil"/>
        </w:pBdr>
        <w:tabs>
          <w:tab w:val="left" w:pos="1276"/>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w:t>
      </w:r>
      <w:r w:rsidRPr="00957D13">
        <w:rPr>
          <w:rFonts w:ascii="Palatino Linotype" w:eastAsia="Palatino Linotype" w:hAnsi="Palatino Linotype" w:cs="Palatino Linotype"/>
          <w:b/>
          <w:bCs/>
          <w:i/>
          <w:iCs/>
          <w:color w:val="000000"/>
          <w:sz w:val="24"/>
          <w:szCs w:val="24"/>
        </w:rPr>
        <w:t>Artículo 12.</w:t>
      </w:r>
      <w:r w:rsidRPr="00957D13">
        <w:rPr>
          <w:rFonts w:ascii="Palatino Linotype" w:eastAsia="Palatino Linotype" w:hAnsi="Palatino Linotype" w:cs="Palatino Linotype"/>
          <w:i/>
          <w:iCs/>
          <w:color w:val="000000"/>
          <w:sz w:val="24"/>
          <w:szCs w:val="24"/>
        </w:rPr>
        <w:t xml:space="preserve"> Quienes generen, recopilen, administren, manejen, procesen, archiven o conserven información pública serán responsables de la misma en los términos de las disposiciones jurídicas aplicables. </w:t>
      </w:r>
    </w:p>
    <w:p w:rsidR="00E50455" w:rsidRPr="00957D13" w:rsidRDefault="00E50455">
      <w:pPr>
        <w:pBdr>
          <w:top w:val="nil"/>
          <w:left w:val="nil"/>
          <w:bottom w:val="nil"/>
          <w:right w:val="nil"/>
          <w:between w:val="nil"/>
        </w:pBdr>
        <w:tabs>
          <w:tab w:val="left" w:pos="1276"/>
        </w:tabs>
        <w:ind w:left="1134" w:right="1106"/>
        <w:jc w:val="both"/>
        <w:rPr>
          <w:rFonts w:ascii="Palatino Linotype" w:eastAsia="Palatino Linotype" w:hAnsi="Palatino Linotype" w:cs="Palatino Linotype"/>
          <w:i/>
          <w:iCs/>
          <w:color w:val="000000"/>
          <w:sz w:val="24"/>
          <w:szCs w:val="24"/>
        </w:rPr>
      </w:pPr>
    </w:p>
    <w:p w:rsidR="00E50455" w:rsidRPr="00957D13" w:rsidRDefault="00117A9F">
      <w:pPr>
        <w:pBdr>
          <w:top w:val="nil"/>
          <w:left w:val="nil"/>
          <w:bottom w:val="nil"/>
          <w:right w:val="nil"/>
          <w:between w:val="nil"/>
        </w:pBdr>
        <w:tabs>
          <w:tab w:val="left" w:pos="1276"/>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E50455" w:rsidRPr="00957D13" w:rsidRDefault="00E5045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En síntesis, el derecho de acceso a la información pública se satisface en aquellos casos en que se entregue el soporte documental en que conste la información pública, toda vez que, los Sujetos Obligados no tienen el deber de generar, poseer o administrar la información </w:t>
      </w:r>
      <w:r w:rsidRPr="00957D13">
        <w:rPr>
          <w:rFonts w:ascii="Palatino Linotype" w:eastAsia="Palatino Linotype" w:hAnsi="Palatino Linotype" w:cs="Palatino Linotype"/>
          <w:color w:val="000000"/>
          <w:sz w:val="24"/>
          <w:szCs w:val="24"/>
        </w:rPr>
        <w:lastRenderedPageBreak/>
        <w:t xml:space="preserve">pública con el grado de detalle solicitado; esto es, que no tienen el deber de generar un documento ad hoc, para satisfacer el derecho de acceso a la información pública. </w:t>
      </w:r>
    </w:p>
    <w:p w:rsidR="00E50455" w:rsidRPr="00957D13" w:rsidRDefault="00E5045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Como apoyo a lo anterior, es aplicable el Criterio 03-17, emitido por el Instituto Nacional de Transparencia, Acceso a la Información y Protección de Datos Personales, que dice: </w:t>
      </w:r>
    </w:p>
    <w:p w:rsidR="00E50455" w:rsidRPr="00957D13" w:rsidRDefault="00117A9F">
      <w:pPr>
        <w:pBdr>
          <w:top w:val="nil"/>
          <w:left w:val="nil"/>
          <w:bottom w:val="nil"/>
          <w:right w:val="nil"/>
          <w:between w:val="nil"/>
        </w:pBdr>
        <w:tabs>
          <w:tab w:val="left" w:pos="709"/>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i/>
          <w:iCs/>
          <w:color w:val="000000"/>
          <w:sz w:val="24"/>
          <w:szCs w:val="24"/>
        </w:rPr>
        <w:t>“No existe obligación de elaborar documentos ad hoc para atender las solicitudes de acceso a la información.</w:t>
      </w:r>
      <w:r w:rsidRPr="00957D13">
        <w:rPr>
          <w:rFonts w:ascii="Palatino Linotype" w:eastAsia="Palatino Linotype" w:hAnsi="Palatino Linotype" w:cs="Palatino Linotype"/>
          <w:i/>
          <w:iCs/>
          <w:color w:val="000000"/>
          <w:sz w:val="24"/>
          <w:szCs w:val="24"/>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E50455" w:rsidRPr="00957D13" w:rsidRDefault="00E50455">
      <w:pPr>
        <w:pBdr>
          <w:top w:val="nil"/>
          <w:left w:val="nil"/>
          <w:bottom w:val="nil"/>
          <w:right w:val="nil"/>
          <w:between w:val="nil"/>
        </w:pBdr>
        <w:tabs>
          <w:tab w:val="left" w:pos="709"/>
        </w:tabs>
        <w:ind w:left="1134" w:right="1106"/>
        <w:jc w:val="both"/>
        <w:rPr>
          <w:rFonts w:ascii="Palatino Linotype" w:eastAsia="Palatino Linotype" w:hAnsi="Palatino Linotype" w:cs="Palatino Linotype"/>
          <w:i/>
          <w:iCs/>
          <w:color w:val="000000"/>
          <w:sz w:val="24"/>
          <w:szCs w:val="24"/>
        </w:rPr>
      </w:pPr>
    </w:p>
    <w:p w:rsidR="00E50455" w:rsidRPr="00957D13" w:rsidRDefault="00117A9F">
      <w:pPr>
        <w:pBdr>
          <w:top w:val="nil"/>
          <w:left w:val="nil"/>
          <w:bottom w:val="nil"/>
          <w:right w:val="nil"/>
          <w:between w:val="nil"/>
        </w:pBdr>
        <w:tabs>
          <w:tab w:val="left" w:pos="709"/>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Resoluciones: </w:t>
      </w:r>
    </w:p>
    <w:p w:rsidR="00E50455" w:rsidRPr="00957D13" w:rsidRDefault="00117A9F">
      <w:pPr>
        <w:pBdr>
          <w:top w:val="nil"/>
          <w:left w:val="nil"/>
          <w:bottom w:val="nil"/>
          <w:right w:val="nil"/>
          <w:between w:val="nil"/>
        </w:pBdr>
        <w:tabs>
          <w:tab w:val="left" w:pos="709"/>
        </w:tabs>
        <w:ind w:left="1134" w:right="1106"/>
        <w:jc w:val="both"/>
        <w:rPr>
          <w:rFonts w:ascii="Palatino Linotype" w:eastAsia="Palatino Linotype" w:hAnsi="Palatino Linotype" w:cs="Palatino Linotype"/>
          <w:i/>
          <w:iCs/>
          <w:color w:val="000000"/>
          <w:sz w:val="24"/>
          <w:szCs w:val="24"/>
        </w:rPr>
      </w:pPr>
      <w:r w:rsidRPr="00957D13">
        <w:rPr>
          <w:rFonts w:ascii="Symbol" w:eastAsia="Symbol" w:hAnsi="Symbol" w:cs="Symbol"/>
          <w:i/>
          <w:iCs/>
          <w:color w:val="000000"/>
          <w:sz w:val="24"/>
          <w:szCs w:val="24"/>
        </w:rPr>
        <w:t>∙</w:t>
      </w:r>
      <w:r w:rsidRPr="00957D13">
        <w:rPr>
          <w:rFonts w:ascii="Palatino Linotype" w:eastAsia="Palatino Linotype" w:hAnsi="Palatino Linotype" w:cs="Palatino Linotype"/>
          <w:i/>
          <w:iCs/>
          <w:color w:val="000000"/>
          <w:sz w:val="24"/>
          <w:szCs w:val="24"/>
        </w:rPr>
        <w:t xml:space="preserve"> RRA 0050/16. Instituto Nacional para la Evaluación de la Educación. 13 julio de 2016. Por unanimidad. Comisionado Ponente: Francisco Javier Acuña Llamas. </w:t>
      </w:r>
    </w:p>
    <w:p w:rsidR="00E50455" w:rsidRPr="00957D13" w:rsidRDefault="00117A9F">
      <w:pPr>
        <w:pBdr>
          <w:top w:val="nil"/>
          <w:left w:val="nil"/>
          <w:bottom w:val="nil"/>
          <w:right w:val="nil"/>
          <w:between w:val="nil"/>
        </w:pBdr>
        <w:tabs>
          <w:tab w:val="left" w:pos="709"/>
        </w:tabs>
        <w:ind w:left="1134" w:right="1106"/>
        <w:jc w:val="both"/>
        <w:rPr>
          <w:rFonts w:ascii="Palatino Linotype" w:eastAsia="Palatino Linotype" w:hAnsi="Palatino Linotype" w:cs="Palatino Linotype"/>
          <w:i/>
          <w:iCs/>
          <w:color w:val="000000"/>
          <w:sz w:val="24"/>
          <w:szCs w:val="24"/>
        </w:rPr>
      </w:pPr>
      <w:r w:rsidRPr="00957D13">
        <w:rPr>
          <w:rFonts w:ascii="Symbol" w:eastAsia="Symbol" w:hAnsi="Symbol" w:cs="Symbol"/>
          <w:i/>
          <w:iCs/>
          <w:color w:val="000000"/>
          <w:sz w:val="24"/>
          <w:szCs w:val="24"/>
        </w:rPr>
        <w:t>∙</w:t>
      </w:r>
      <w:r w:rsidRPr="00957D13">
        <w:rPr>
          <w:rFonts w:ascii="Palatino Linotype" w:eastAsia="Palatino Linotype" w:hAnsi="Palatino Linotype" w:cs="Palatino Linotype"/>
          <w:i/>
          <w:iCs/>
          <w:color w:val="000000"/>
          <w:sz w:val="24"/>
          <w:szCs w:val="24"/>
        </w:rPr>
        <w:t xml:space="preserve"> RRA 0310/16. Instituto Nacional de Transparencia, Acceso a la Información y Protección de Datos Personales. 10 de agosto de 2016. Por unanimidad. Comisionada Ponente. Areli Cano Guadiana. </w:t>
      </w:r>
    </w:p>
    <w:p w:rsidR="00E50455" w:rsidRPr="00957D13" w:rsidRDefault="00117A9F">
      <w:pPr>
        <w:pBdr>
          <w:top w:val="nil"/>
          <w:left w:val="nil"/>
          <w:bottom w:val="nil"/>
          <w:right w:val="nil"/>
          <w:between w:val="nil"/>
        </w:pBdr>
        <w:tabs>
          <w:tab w:val="left" w:pos="709"/>
        </w:tabs>
        <w:ind w:left="1134" w:right="1106"/>
        <w:jc w:val="both"/>
        <w:rPr>
          <w:rFonts w:ascii="Palatino Linotype" w:eastAsia="Palatino Linotype" w:hAnsi="Palatino Linotype" w:cs="Palatino Linotype"/>
          <w:i/>
          <w:iCs/>
          <w:color w:val="000000"/>
          <w:sz w:val="24"/>
          <w:szCs w:val="24"/>
        </w:rPr>
      </w:pPr>
      <w:r w:rsidRPr="00957D13">
        <w:rPr>
          <w:rFonts w:ascii="Symbol" w:eastAsia="Symbol" w:hAnsi="Symbol" w:cs="Symbol"/>
          <w:i/>
          <w:iCs/>
          <w:color w:val="000000"/>
          <w:sz w:val="24"/>
          <w:szCs w:val="24"/>
        </w:rPr>
        <w:t>∙</w:t>
      </w:r>
      <w:r w:rsidRPr="00957D13">
        <w:rPr>
          <w:rFonts w:ascii="Palatino Linotype" w:eastAsia="Palatino Linotype" w:hAnsi="Palatino Linotype" w:cs="Palatino Linotype"/>
          <w:i/>
          <w:iCs/>
          <w:color w:val="000000"/>
          <w:sz w:val="24"/>
          <w:szCs w:val="24"/>
        </w:rPr>
        <w:t xml:space="preserve"> RRA 1889/16. Secretaría de Hacienda y Crédito Público. 05 de octubre de 2016. Por unanimidad. Comisionada Ponente. Ximena Puente de la Mora.”</w:t>
      </w:r>
    </w:p>
    <w:p w:rsidR="00E50455" w:rsidRDefault="00E50455">
      <w:pPr>
        <w:pBdr>
          <w:top w:val="nil"/>
          <w:left w:val="nil"/>
          <w:bottom w:val="nil"/>
          <w:right w:val="nil"/>
          <w:between w:val="nil"/>
        </w:pBdr>
        <w:tabs>
          <w:tab w:val="left" w:pos="709"/>
        </w:tabs>
        <w:ind w:left="1134" w:right="1106"/>
        <w:jc w:val="both"/>
        <w:rPr>
          <w:rFonts w:ascii="Palatino Linotype" w:eastAsia="Palatino Linotype" w:hAnsi="Palatino Linotype" w:cs="Palatino Linotype"/>
          <w:color w:val="000000"/>
          <w:sz w:val="24"/>
          <w:szCs w:val="24"/>
        </w:rPr>
      </w:pPr>
    </w:p>
    <w:p w:rsidR="00957D13" w:rsidRPr="00957D13" w:rsidRDefault="00957D13">
      <w:pPr>
        <w:pBdr>
          <w:top w:val="nil"/>
          <w:left w:val="nil"/>
          <w:bottom w:val="nil"/>
          <w:right w:val="nil"/>
          <w:between w:val="nil"/>
        </w:pBdr>
        <w:tabs>
          <w:tab w:val="left" w:pos="709"/>
        </w:tabs>
        <w:ind w:left="1134" w:right="1106"/>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Asimismo, el artículo 24, de la Ley de la materia, dispone que los Sujetos Obligados sólo proporcionarán la información pública que generen, administren o posean en el ejercicio de </w:t>
      </w:r>
      <w:r w:rsidRPr="00957D13">
        <w:rPr>
          <w:rFonts w:ascii="Palatino Linotype" w:eastAsia="Palatino Linotype" w:hAnsi="Palatino Linotype" w:cs="Palatino Linotype"/>
          <w:color w:val="000000"/>
          <w:sz w:val="24"/>
          <w:szCs w:val="24"/>
        </w:rPr>
        <w:lastRenderedPageBreak/>
        <w:t xml:space="preserve">sus atribuciones; por consiguiente, la información pública se encuentra a disposición de cualquier persona, lo que implica que es deber de los Sujetos Obligados, garantizar el derecho de acceso a la información pública. </w:t>
      </w:r>
    </w:p>
    <w:p w:rsidR="00E50455" w:rsidRPr="00957D13" w:rsidRDefault="00E5045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567"/>
          <w:tab w:val="left" w:pos="709"/>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E50455" w:rsidRPr="00957D13" w:rsidRDefault="00117A9F">
      <w:pPr>
        <w:pBdr>
          <w:top w:val="nil"/>
          <w:left w:val="nil"/>
          <w:bottom w:val="nil"/>
          <w:right w:val="nil"/>
          <w:between w:val="nil"/>
        </w:pBdr>
        <w:tabs>
          <w:tab w:val="left" w:pos="1276"/>
          <w:tab w:val="left" w:pos="7938"/>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i/>
          <w:iCs/>
          <w:color w:val="000000"/>
          <w:sz w:val="24"/>
          <w:szCs w:val="24"/>
        </w:rPr>
        <w:t>“Artículo 3.</w:t>
      </w:r>
      <w:r w:rsidRPr="00957D13">
        <w:rPr>
          <w:rFonts w:ascii="Palatino Linotype" w:eastAsia="Palatino Linotype" w:hAnsi="Palatino Linotype" w:cs="Palatino Linotype"/>
          <w:i/>
          <w:iCs/>
          <w:color w:val="000000"/>
          <w:sz w:val="24"/>
          <w:szCs w:val="24"/>
        </w:rPr>
        <w:t xml:space="preserve"> Para los efectos de la presente Ley se entenderá por: </w:t>
      </w:r>
    </w:p>
    <w:p w:rsidR="00E50455" w:rsidRPr="00957D13" w:rsidRDefault="00117A9F">
      <w:pPr>
        <w:pBdr>
          <w:top w:val="nil"/>
          <w:left w:val="nil"/>
          <w:bottom w:val="nil"/>
          <w:right w:val="nil"/>
          <w:between w:val="nil"/>
        </w:pBdr>
        <w:tabs>
          <w:tab w:val="left" w:pos="1276"/>
          <w:tab w:val="left" w:pos="7938"/>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 </w:t>
      </w:r>
    </w:p>
    <w:p w:rsidR="00E50455" w:rsidRPr="00957D13" w:rsidRDefault="00117A9F">
      <w:pPr>
        <w:pBdr>
          <w:top w:val="nil"/>
          <w:left w:val="nil"/>
          <w:bottom w:val="nil"/>
          <w:right w:val="nil"/>
          <w:between w:val="nil"/>
        </w:pBdr>
        <w:tabs>
          <w:tab w:val="left" w:pos="1276"/>
          <w:tab w:val="left" w:pos="7938"/>
        </w:tabs>
        <w:ind w:left="1134" w:right="1106"/>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XI. Documento:</w:t>
      </w:r>
      <w:r w:rsidRPr="00957D13">
        <w:rPr>
          <w:rFonts w:ascii="Palatino Linotype" w:eastAsia="Palatino Linotype" w:hAnsi="Palatino Linotype" w:cs="Palatino Linotype"/>
          <w:i/>
          <w:iCs/>
          <w:color w:val="000000"/>
          <w:sz w:val="24"/>
          <w:szCs w:val="24"/>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957D13">
        <w:rPr>
          <w:rFonts w:ascii="Palatino Linotype" w:eastAsia="Palatino Linotype" w:hAnsi="Palatino Linotype" w:cs="Palatino Linotype"/>
          <w:b/>
          <w:bCs/>
          <w:i/>
          <w:iCs/>
          <w:color w:val="000000"/>
          <w:sz w:val="24"/>
          <w:szCs w:val="24"/>
        </w:rPr>
        <w:t xml:space="preserve">Los documentos podrán estar en cualquier medio, sea escrito, impreso, sonoro, visual, electrónico, informático u holográfico; </w:t>
      </w:r>
    </w:p>
    <w:p w:rsidR="00E50455" w:rsidRPr="00957D13" w:rsidRDefault="00117A9F">
      <w:pPr>
        <w:pBdr>
          <w:top w:val="nil"/>
          <w:left w:val="nil"/>
          <w:bottom w:val="nil"/>
          <w:right w:val="nil"/>
          <w:between w:val="nil"/>
        </w:pBdr>
        <w:tabs>
          <w:tab w:val="left" w:pos="1276"/>
          <w:tab w:val="left" w:pos="7938"/>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w:t>
      </w:r>
    </w:p>
    <w:p w:rsidR="00E50455" w:rsidRPr="00957D13" w:rsidRDefault="00E5045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17"/>
        </w:numPr>
        <w:pBdr>
          <w:top w:val="nil"/>
          <w:left w:val="nil"/>
          <w:bottom w:val="nil"/>
          <w:right w:val="nil"/>
          <w:between w:val="nil"/>
        </w:pBdr>
        <w:tabs>
          <w:tab w:val="left" w:pos="567"/>
          <w:tab w:val="left" w:pos="709"/>
        </w:tabs>
        <w:spacing w:line="360" w:lineRule="auto"/>
        <w:ind w:left="0"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Siendo aplicable el Criterio de interpretación en el orden administrativo número 0002- 11, emitido por Acuerdo del Pleno del Instituto de Transparencia y Acceso a la Información </w:t>
      </w:r>
      <w:r w:rsidRPr="00957D13">
        <w:rPr>
          <w:rFonts w:ascii="Palatino Linotype" w:eastAsia="Palatino Linotype" w:hAnsi="Palatino Linotype" w:cs="Palatino Linotype"/>
          <w:color w:val="000000"/>
          <w:sz w:val="24"/>
          <w:szCs w:val="24"/>
        </w:rPr>
        <w:lastRenderedPageBreak/>
        <w:t>Pública del Estado de México y Municipios; publicado en el Periódico Oficial del Gobierno del Estado Libre y Soberano de México “Gaceta del Gobierno”, el diecinueve de octubre de dos mil once, cuyo rubro y texto dispone:</w:t>
      </w:r>
    </w:p>
    <w:p w:rsidR="00E50455" w:rsidRPr="00957D13" w:rsidRDefault="00117A9F">
      <w:pPr>
        <w:pBdr>
          <w:top w:val="nil"/>
          <w:left w:val="nil"/>
          <w:bottom w:val="nil"/>
          <w:right w:val="nil"/>
          <w:between w:val="nil"/>
        </w:pBdr>
        <w:tabs>
          <w:tab w:val="left" w:pos="993"/>
        </w:tabs>
        <w:ind w:left="1134" w:right="1106"/>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rsidR="00E50455" w:rsidRPr="00957D13" w:rsidRDefault="00E50455">
      <w:pPr>
        <w:tabs>
          <w:tab w:val="left" w:pos="426"/>
          <w:tab w:val="left" w:pos="567"/>
        </w:tabs>
        <w:spacing w:line="360" w:lineRule="auto"/>
        <w:ind w:right="565"/>
        <w:jc w:val="both"/>
        <w:rPr>
          <w:rFonts w:ascii="Palatino Linotype" w:eastAsia="Palatino Linotype" w:hAnsi="Palatino Linotype" w:cs="Palatino Linotype"/>
          <w:i/>
          <w:iCs/>
          <w:color w:val="000000"/>
          <w:sz w:val="24"/>
          <w:szCs w:val="24"/>
        </w:rPr>
      </w:pPr>
    </w:p>
    <w:p w:rsidR="00E50455" w:rsidRPr="00957D13" w:rsidRDefault="00117A9F">
      <w:pPr>
        <w:numPr>
          <w:ilvl w:val="0"/>
          <w:numId w:val="13"/>
        </w:numPr>
        <w:spacing w:line="360" w:lineRule="auto"/>
        <w:ind w:left="0" w:right="27"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color w:val="000000"/>
          <w:sz w:val="24"/>
          <w:szCs w:val="24"/>
        </w:rPr>
        <w:t>Es</w:t>
      </w:r>
      <w:r w:rsidRPr="00957D13">
        <w:rPr>
          <w:rFonts w:ascii="Palatino Linotype" w:eastAsia="Palatino Linotype" w:hAnsi="Palatino Linotype" w:cs="Palatino Linotype"/>
          <w:sz w:val="24"/>
          <w:szCs w:val="24"/>
        </w:rPr>
        <w:t xml:space="preserve"> necesario resaltar que los  recursos de revisión previstos en la Ley de la materia no son el medio para investigar y, en su caso, sancionar a servidores públicos por la falta de cuidado de la protección de datos personales; es así que, de la información remitida en respuesta a la solicitud, se aprecia que se dejaron a la vista datos personales susceptibles de ser clasificados como confidenciales, mismos que de manera enunciativa más no limitativa son nombre, firma, teléfono, correo electrónico y fotografías de particulares ajenos al servicio público. </w:t>
      </w:r>
    </w:p>
    <w:p w:rsidR="00E50455" w:rsidRPr="00957D13" w:rsidRDefault="00E50455">
      <w:pPr>
        <w:tabs>
          <w:tab w:val="left" w:pos="709"/>
        </w:tabs>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3"/>
        </w:numPr>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sz w:val="24"/>
          <w:szCs w:val="24"/>
        </w:rPr>
        <w:lastRenderedPageBreak/>
        <w:t>Por ello, es conveniente señalar las fracciones XIV, XXII, XXIII y XXV, del artículo 82, de la Ley de Protección de Datos Personales en Posesión de Sujetos Obligados del Estado de México y Municipios, que establece:</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b/>
          <w:bCs/>
          <w:i/>
          <w:iCs/>
          <w:sz w:val="24"/>
          <w:szCs w:val="24"/>
        </w:rPr>
      </w:pPr>
      <w:r w:rsidRPr="00957D13">
        <w:rPr>
          <w:rFonts w:ascii="Palatino Linotype" w:eastAsia="Palatino Linotype" w:hAnsi="Palatino Linotype" w:cs="Palatino Linotype"/>
          <w:b/>
          <w:bCs/>
          <w:i/>
          <w:iCs/>
          <w:sz w:val="24"/>
          <w:szCs w:val="24"/>
        </w:rPr>
        <w:t xml:space="preserve">Atribuciones del Instituto </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Artículo 82.</w:t>
      </w:r>
      <w:r w:rsidRPr="00957D13">
        <w:rPr>
          <w:rFonts w:ascii="Palatino Linotype" w:eastAsia="Palatino Linotype" w:hAnsi="Palatino Linotype" w:cs="Palatino Linotype"/>
          <w:i/>
          <w:iCs/>
          <w:sz w:val="24"/>
          <w:szCs w:val="24"/>
        </w:rPr>
        <w:t xml:space="preserve"> El Instituto, además de las atribuciones encomendadas por la Ley de Transparencia y normatividad aplicable, tendrá las atribuciones siguientes:</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XIV.</w:t>
      </w:r>
      <w:r w:rsidRPr="00957D13">
        <w:rPr>
          <w:rFonts w:ascii="Palatino Linotype" w:eastAsia="Palatino Linotype" w:hAnsi="Palatino Linotype" w:cs="Palatino Linotype"/>
          <w:i/>
          <w:iCs/>
          <w:sz w:val="24"/>
          <w:szCs w:val="24"/>
        </w:rPr>
        <w:t xml:space="preserve"> </w:t>
      </w:r>
      <w:r w:rsidRPr="00957D13">
        <w:rPr>
          <w:rFonts w:ascii="Palatino Linotype" w:eastAsia="Palatino Linotype" w:hAnsi="Palatino Linotype" w:cs="Palatino Linotype"/>
          <w:b/>
          <w:bCs/>
          <w:i/>
          <w:iCs/>
          <w:sz w:val="24"/>
          <w:szCs w:val="24"/>
        </w:rPr>
        <w:t>Formular observaciones y recomendaciones</w:t>
      </w:r>
      <w:r w:rsidRPr="00957D13">
        <w:rPr>
          <w:rFonts w:ascii="Palatino Linotype" w:eastAsia="Palatino Linotype" w:hAnsi="Palatino Linotype" w:cs="Palatino Linotype"/>
          <w:i/>
          <w:iCs/>
          <w:sz w:val="24"/>
          <w:szCs w:val="24"/>
        </w:rPr>
        <w:t xml:space="preserve"> a los sujetos obligados que incumplan esta Ley.</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XXII.</w:t>
      </w:r>
      <w:r w:rsidRPr="00957D13">
        <w:rPr>
          <w:rFonts w:ascii="Palatino Linotype" w:eastAsia="Palatino Linotype" w:hAnsi="Palatino Linotype" w:cs="Palatino Linotype"/>
          <w:i/>
          <w:iCs/>
          <w:sz w:val="24"/>
          <w:szCs w:val="24"/>
        </w:rPr>
        <w:t xml:space="preserve"> </w:t>
      </w:r>
      <w:r w:rsidRPr="00957D13">
        <w:rPr>
          <w:rFonts w:ascii="Palatino Linotype" w:eastAsia="Palatino Linotype" w:hAnsi="Palatino Linotype" w:cs="Palatino Linotype"/>
          <w:b/>
          <w:bCs/>
          <w:i/>
          <w:iCs/>
          <w:sz w:val="24"/>
          <w:szCs w:val="24"/>
        </w:rPr>
        <w:t>Verificar el cumplimiento</w:t>
      </w:r>
      <w:r w:rsidRPr="00957D13">
        <w:rPr>
          <w:rFonts w:ascii="Palatino Linotype" w:eastAsia="Palatino Linotype" w:hAnsi="Palatino Linotype" w:cs="Palatino Linotype"/>
          <w:i/>
          <w:iCs/>
          <w:sz w:val="24"/>
          <w:szCs w:val="24"/>
        </w:rPr>
        <w:t xml:space="preserve"> de las disposiciones previstas en esta Ley a través de los procedimientos de revisión que resulten compatibles con las disposiciones de esta Ley.</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XXIII.</w:t>
      </w:r>
      <w:r w:rsidRPr="00957D13">
        <w:rPr>
          <w:rFonts w:ascii="Palatino Linotype" w:eastAsia="Palatino Linotype" w:hAnsi="Palatino Linotype" w:cs="Palatino Linotype"/>
          <w:i/>
          <w:iCs/>
          <w:sz w:val="24"/>
          <w:szCs w:val="24"/>
        </w:rPr>
        <w:t xml:space="preserve"> </w:t>
      </w:r>
      <w:r w:rsidRPr="00957D13">
        <w:rPr>
          <w:rFonts w:ascii="Palatino Linotype" w:eastAsia="Palatino Linotype" w:hAnsi="Palatino Linotype" w:cs="Palatino Linotype"/>
          <w:b/>
          <w:bCs/>
          <w:i/>
          <w:iCs/>
          <w:sz w:val="24"/>
          <w:szCs w:val="24"/>
        </w:rPr>
        <w:t>Implementar</w:t>
      </w:r>
      <w:r w:rsidRPr="00957D13">
        <w:rPr>
          <w:rFonts w:ascii="Palatino Linotype" w:eastAsia="Palatino Linotype" w:hAnsi="Palatino Linotype" w:cs="Palatino Linotype"/>
          <w:i/>
          <w:iCs/>
          <w:sz w:val="24"/>
          <w:szCs w:val="24"/>
        </w:rPr>
        <w:t xml:space="preserve"> los </w:t>
      </w:r>
      <w:r w:rsidRPr="00957D13">
        <w:rPr>
          <w:rFonts w:ascii="Palatino Linotype" w:eastAsia="Palatino Linotype" w:hAnsi="Palatino Linotype" w:cs="Palatino Linotype"/>
          <w:b/>
          <w:bCs/>
          <w:i/>
          <w:iCs/>
          <w:sz w:val="24"/>
          <w:szCs w:val="24"/>
        </w:rPr>
        <w:t>procedimientos</w:t>
      </w:r>
      <w:r w:rsidRPr="00957D13">
        <w:rPr>
          <w:rFonts w:ascii="Palatino Linotype" w:eastAsia="Palatino Linotype" w:hAnsi="Palatino Linotype" w:cs="Palatino Linotype"/>
          <w:i/>
          <w:iCs/>
          <w:sz w:val="24"/>
          <w:szCs w:val="24"/>
        </w:rPr>
        <w:t xml:space="preserve"> que resulten necesarios </w:t>
      </w:r>
      <w:r w:rsidRPr="00957D13">
        <w:rPr>
          <w:rFonts w:ascii="Palatino Linotype" w:eastAsia="Palatino Linotype" w:hAnsi="Palatino Linotype" w:cs="Palatino Linotype"/>
          <w:b/>
          <w:bCs/>
          <w:i/>
          <w:iCs/>
          <w:sz w:val="24"/>
          <w:szCs w:val="24"/>
        </w:rPr>
        <w:t xml:space="preserve">para el cumplimiento </w:t>
      </w:r>
      <w:r w:rsidRPr="00957D13">
        <w:rPr>
          <w:rFonts w:ascii="Palatino Linotype" w:eastAsia="Palatino Linotype" w:hAnsi="Palatino Linotype" w:cs="Palatino Linotype"/>
          <w:i/>
          <w:iCs/>
          <w:sz w:val="24"/>
          <w:szCs w:val="24"/>
        </w:rPr>
        <w:t>de las disposiciones de esta Ley y para asegurar la protección de datos personales de los titulares. (…)</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b/>
          <w:bCs/>
          <w:i/>
          <w:iCs/>
          <w:sz w:val="24"/>
          <w:szCs w:val="24"/>
        </w:rPr>
        <w:t>XXV.</w:t>
      </w:r>
      <w:r w:rsidRPr="00957D13">
        <w:rPr>
          <w:rFonts w:ascii="Palatino Linotype" w:eastAsia="Palatino Linotype" w:hAnsi="Palatino Linotype" w:cs="Palatino Linotype"/>
          <w:i/>
          <w:iCs/>
          <w:sz w:val="24"/>
          <w:szCs w:val="24"/>
        </w:rPr>
        <w:t xml:space="preserve"> </w:t>
      </w:r>
      <w:r w:rsidRPr="00957D13">
        <w:rPr>
          <w:rFonts w:ascii="Palatino Linotype" w:eastAsia="Palatino Linotype" w:hAnsi="Palatino Linotype" w:cs="Palatino Linotype"/>
          <w:b/>
          <w:bCs/>
          <w:i/>
          <w:iCs/>
          <w:sz w:val="24"/>
          <w:szCs w:val="24"/>
        </w:rPr>
        <w:t>Investigar</w:t>
      </w:r>
      <w:r w:rsidRPr="00957D13">
        <w:rPr>
          <w:rFonts w:ascii="Palatino Linotype" w:eastAsia="Palatino Linotype" w:hAnsi="Palatino Linotype" w:cs="Palatino Linotype"/>
          <w:i/>
          <w:iCs/>
          <w:sz w:val="24"/>
          <w:szCs w:val="24"/>
        </w:rPr>
        <w:t xml:space="preserve"> las </w:t>
      </w:r>
      <w:r w:rsidRPr="00957D13">
        <w:rPr>
          <w:rFonts w:ascii="Palatino Linotype" w:eastAsia="Palatino Linotype" w:hAnsi="Palatino Linotype" w:cs="Palatino Linotype"/>
          <w:b/>
          <w:bCs/>
          <w:i/>
          <w:iCs/>
          <w:sz w:val="24"/>
          <w:szCs w:val="24"/>
        </w:rPr>
        <w:t>posibles violaciones</w:t>
      </w:r>
      <w:r w:rsidRPr="00957D13">
        <w:rPr>
          <w:rFonts w:ascii="Palatino Linotype" w:eastAsia="Palatino Linotype" w:hAnsi="Palatino Linotype" w:cs="Palatino Linotype"/>
          <w:i/>
          <w:iCs/>
          <w:sz w:val="24"/>
          <w:szCs w:val="24"/>
        </w:rPr>
        <w:t xml:space="preserve"> a la seguridad de los datos personales a fin de determinar la práctica de verificaciones.</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w:t>
      </w:r>
    </w:p>
    <w:p w:rsidR="00E50455" w:rsidRPr="00957D13" w:rsidRDefault="00117A9F">
      <w:pPr>
        <w:tabs>
          <w:tab w:val="left" w:pos="142"/>
          <w:tab w:val="left" w:pos="284"/>
          <w:tab w:val="left" w:pos="993"/>
        </w:tabs>
        <w:ind w:left="1134" w:right="1814"/>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(Énfasis añadido)</w:t>
      </w:r>
    </w:p>
    <w:p w:rsidR="00E50455" w:rsidRPr="00957D13" w:rsidRDefault="00E50455">
      <w:pPr>
        <w:ind w:left="1134" w:right="27"/>
        <w:jc w:val="both"/>
        <w:rPr>
          <w:rFonts w:ascii="Palatino Linotype" w:eastAsia="Palatino Linotype" w:hAnsi="Palatino Linotype" w:cs="Palatino Linotype"/>
          <w:color w:val="000000"/>
          <w:sz w:val="24"/>
          <w:szCs w:val="24"/>
        </w:rPr>
      </w:pPr>
    </w:p>
    <w:p w:rsidR="00E50455" w:rsidRPr="00957D13" w:rsidRDefault="00117A9F">
      <w:pPr>
        <w:numPr>
          <w:ilvl w:val="0"/>
          <w:numId w:val="13"/>
        </w:numPr>
        <w:spacing w:line="360" w:lineRule="auto"/>
        <w:ind w:left="0" w:right="27"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 xml:space="preserve">Por </w:t>
      </w:r>
      <w:r w:rsidRPr="00957D13">
        <w:rPr>
          <w:rFonts w:ascii="Palatino Linotype" w:eastAsia="Palatino Linotype" w:hAnsi="Palatino Linotype" w:cs="Palatino Linotype"/>
          <w:color w:val="000000"/>
          <w:sz w:val="24"/>
          <w:szCs w:val="24"/>
        </w:rPr>
        <w:t xml:space="preserve">lo tanto, es menester dar vista a la Dirección General de Protección de Datos Personales de este Instituto para que en ejercicio de sus atribuciones atienda las directivas marcadas en la propia Ley de la materia, con fundamento en el artículo 82 de la Ley de la materia, el cual señala la atribución de este Órgano Garante para </w:t>
      </w:r>
      <w:r w:rsidRPr="00957D13">
        <w:rPr>
          <w:rFonts w:ascii="Palatino Linotype" w:eastAsia="Palatino Linotype" w:hAnsi="Palatino Linotype" w:cs="Palatino Linotype"/>
          <w:sz w:val="24"/>
          <w:szCs w:val="24"/>
        </w:rPr>
        <w:t>Investigar las posibles violaciones a la seguridad de los datos personales a fin de determinar la práctica de verificaciones.</w:t>
      </w:r>
    </w:p>
    <w:p w:rsidR="00E50455" w:rsidRPr="00957D13" w:rsidRDefault="00E50455">
      <w:pP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3"/>
        </w:numPr>
        <w:spacing w:line="360" w:lineRule="auto"/>
        <w:ind w:left="0" w:right="27"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lastRenderedPageBreak/>
        <w:t xml:space="preserve">Por último y no menos importante, se debe enfatizar que tal y como se mencionó en este considerando, el Sujeto Obligado proporcionó información que debió ser clasificada como confidencial, es decir, dejó a la vista datos personales concernientes a la vida privada de particulares y de servidores públicos. Por dicha información es menester hacer del conocimiento de la persona que solicitó la información, que ahora se encuentra sujeto a la </w:t>
      </w:r>
      <w:r w:rsidRPr="00957D13">
        <w:rPr>
          <w:rFonts w:ascii="Palatino Linotype" w:eastAsia="Palatino Linotype" w:hAnsi="Palatino Linotype" w:cs="Palatino Linotype"/>
          <w:b/>
          <w:bCs/>
          <w:sz w:val="24"/>
          <w:szCs w:val="24"/>
        </w:rPr>
        <w:t xml:space="preserve">LEY FEDERAL DE PROTECCIÓN DE DATOS PERSONALES EN POSESIÓN DE LOS PARTICULARES, misma que  a la fecha de la solicitud de información se encontraba vigente y que en </w:t>
      </w:r>
      <w:r w:rsidRPr="00957D13">
        <w:rPr>
          <w:rFonts w:ascii="Palatino Linotype" w:eastAsia="Palatino Linotype" w:hAnsi="Palatino Linotype" w:cs="Palatino Linotype"/>
          <w:sz w:val="24"/>
          <w:szCs w:val="24"/>
        </w:rPr>
        <w:t>su artículo 1 lo siguiente señala lo siguiente:</w:t>
      </w:r>
    </w:p>
    <w:p w:rsidR="00E50455" w:rsidRPr="00957D13" w:rsidRDefault="00117A9F">
      <w:pPr>
        <w:ind w:left="1134" w:right="27"/>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sz w:val="24"/>
          <w:szCs w:val="24"/>
        </w:rPr>
        <w:t xml:space="preserve">Artículo 1.- La presente Ley es de orden público y de observancia general en toda la República y </w:t>
      </w:r>
      <w:r w:rsidRPr="00957D13">
        <w:rPr>
          <w:rFonts w:ascii="Palatino Linotype" w:eastAsia="Palatino Linotype" w:hAnsi="Palatino Linotype" w:cs="Palatino Linotype"/>
          <w:b/>
          <w:bCs/>
          <w:i/>
          <w:iCs/>
          <w:sz w:val="24"/>
          <w:szCs w:val="24"/>
        </w:rPr>
        <w:t>tiene por objeto la protección de los datos personales en posesión de los particulares</w:t>
      </w:r>
      <w:r w:rsidRPr="00957D13">
        <w:rPr>
          <w:rFonts w:ascii="Palatino Linotype" w:eastAsia="Palatino Linotype" w:hAnsi="Palatino Linotype" w:cs="Palatino Linotype"/>
          <w:i/>
          <w:iCs/>
          <w:sz w:val="24"/>
          <w:szCs w:val="24"/>
        </w:rPr>
        <w:t>, con la finalidad de regular su tratamiento legítimo, controlado e informado, a efecto de garantizar la privacidad y el derecho a la autodeterminación informativa de las personas.</w:t>
      </w:r>
    </w:p>
    <w:p w:rsidR="00E50455" w:rsidRDefault="00E50455">
      <w:pPr>
        <w:ind w:left="1134" w:right="27" w:hanging="708"/>
        <w:jc w:val="both"/>
        <w:rPr>
          <w:rFonts w:ascii="Palatino Linotype" w:eastAsia="Palatino Linotype" w:hAnsi="Palatino Linotype" w:cs="Palatino Linotype"/>
          <w:sz w:val="24"/>
          <w:szCs w:val="24"/>
        </w:rPr>
      </w:pPr>
    </w:p>
    <w:p w:rsidR="00957D13" w:rsidRPr="00957D13" w:rsidRDefault="00957D13">
      <w:pPr>
        <w:ind w:left="1134" w:right="27" w:hanging="708"/>
        <w:jc w:val="both"/>
        <w:rPr>
          <w:rFonts w:ascii="Palatino Linotype" w:eastAsia="Palatino Linotype" w:hAnsi="Palatino Linotype" w:cs="Palatino Linotype"/>
          <w:sz w:val="24"/>
          <w:szCs w:val="24"/>
        </w:rPr>
      </w:pPr>
    </w:p>
    <w:p w:rsidR="00E50455" w:rsidRPr="00957D13" w:rsidRDefault="00117A9F">
      <w:pPr>
        <w:numPr>
          <w:ilvl w:val="0"/>
          <w:numId w:val="13"/>
        </w:numPr>
        <w:spacing w:line="360" w:lineRule="auto"/>
        <w:ind w:left="0" w:right="27" w:firstLine="0"/>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sz w:val="24"/>
          <w:szCs w:val="24"/>
        </w:rPr>
        <w:t>En ese escenario, el particular deberá de ser responsable en el buen uso de la información proporcionada, pues se trata de datos personales que le fueron proporcionados por haber incurrido en una probable violación a la privacidad de las personas.</w:t>
      </w:r>
    </w:p>
    <w:p w:rsidR="00E50455" w:rsidRPr="00957D13" w:rsidRDefault="00E50455">
      <w:pPr>
        <w:spacing w:before="120" w:line="360" w:lineRule="auto"/>
        <w:ind w:left="1134" w:right="900"/>
        <w:jc w:val="both"/>
        <w:rPr>
          <w:rFonts w:ascii="Palatino Linotype" w:eastAsia="Palatino Linotype" w:hAnsi="Palatino Linotype" w:cs="Palatino Linotype"/>
          <w:sz w:val="24"/>
          <w:szCs w:val="24"/>
        </w:rPr>
      </w:pPr>
    </w:p>
    <w:p w:rsidR="00E50455" w:rsidRPr="00957D13" w:rsidRDefault="00117A9F">
      <w:pPr>
        <w:keepNext/>
        <w:keepLines/>
        <w:spacing w:line="360" w:lineRule="auto"/>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t>QUINTO. De la versión pública.</w:t>
      </w:r>
    </w:p>
    <w:p w:rsidR="00E50455" w:rsidRPr="00957D13" w:rsidRDefault="00117A9F">
      <w:pPr>
        <w:numPr>
          <w:ilvl w:val="0"/>
          <w:numId w:val="15"/>
        </w:numPr>
        <w:tabs>
          <w:tab w:val="left" w:pos="284"/>
        </w:tabs>
        <w:spacing w:line="360" w:lineRule="auto"/>
        <w:ind w:left="0" w:right="27" w:firstLine="0"/>
        <w:jc w:val="both"/>
        <w:rPr>
          <w:rFonts w:ascii="Palatino Linotype" w:eastAsia="Palatino Linotype" w:hAnsi="Palatino Linotype" w:cs="Palatino Linotype"/>
          <w:color w:val="000000"/>
          <w:sz w:val="24"/>
          <w:szCs w:val="24"/>
        </w:rPr>
      </w:pPr>
      <w:bookmarkStart w:id="14" w:name="_heading=h.8porszv8ww1h" w:colFirst="0" w:colLast="0"/>
      <w:bookmarkEnd w:id="14"/>
      <w:r w:rsidRPr="00957D13">
        <w:rPr>
          <w:rFonts w:ascii="Palatino Linotype" w:eastAsia="Palatino Linotype" w:hAnsi="Palatino Linotype" w:cs="Palatino Linotype"/>
          <w:color w:val="000000"/>
          <w:sz w:val="24"/>
          <w:szCs w:val="24"/>
        </w:rPr>
        <w:t xml:space="preserve">Debe destacarse, que debido a la información solicitada por el </w:t>
      </w:r>
      <w:r w:rsidRPr="00957D13">
        <w:rPr>
          <w:rFonts w:ascii="Palatino Linotype" w:eastAsia="Palatino Linotype" w:hAnsi="Palatino Linotype" w:cs="Palatino Linotype"/>
          <w:b/>
          <w:bCs/>
          <w:color w:val="000000"/>
          <w:sz w:val="24"/>
          <w:szCs w:val="24"/>
        </w:rPr>
        <w:t xml:space="preserve">RECURRENTE, </w:t>
      </w:r>
      <w:r w:rsidRPr="00957D13">
        <w:rPr>
          <w:rFonts w:ascii="Palatino Linotype" w:eastAsia="Palatino Linotype" w:hAnsi="Palatino Linotype" w:cs="Palatino Linotype"/>
          <w:color w:val="000000"/>
          <w:sz w:val="24"/>
          <w:szCs w:val="24"/>
        </w:rPr>
        <w:t xml:space="preserve">pueden obrar datos personales susceptibles de protegerse, así como información susceptible de clasificarse como confidencial,  por lo que, el </w:t>
      </w:r>
      <w:r w:rsidRPr="00957D13">
        <w:rPr>
          <w:rFonts w:ascii="Palatino Linotype" w:eastAsia="Palatino Linotype" w:hAnsi="Palatino Linotype" w:cs="Palatino Linotype"/>
          <w:b/>
          <w:bCs/>
          <w:color w:val="000000"/>
          <w:sz w:val="24"/>
          <w:szCs w:val="24"/>
        </w:rPr>
        <w:t xml:space="preserve">SUJETO OBLIGADO </w:t>
      </w:r>
      <w:r w:rsidRPr="00957D13">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E50455" w:rsidRPr="00957D13" w:rsidRDefault="00117A9F">
      <w:pPr>
        <w:numPr>
          <w:ilvl w:val="0"/>
          <w:numId w:val="15"/>
        </w:numPr>
        <w:tabs>
          <w:tab w:val="left" w:pos="284"/>
        </w:tabs>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lastRenderedPageBreak/>
        <w:t>No pasa desapercibido para este Órgano Garante que los sujetos obligados</w:t>
      </w:r>
      <w:r w:rsidRPr="00957D13">
        <w:rPr>
          <w:rFonts w:ascii="Palatino Linotype" w:eastAsia="Palatino Linotype" w:hAnsi="Palatino Linotype" w:cs="Palatino Linotype"/>
          <w:b/>
          <w:bCs/>
          <w:color w:val="000000"/>
          <w:sz w:val="24"/>
          <w:szCs w:val="24"/>
        </w:rPr>
        <w:t xml:space="preserve"> </w:t>
      </w:r>
      <w:r w:rsidRPr="00957D13">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E50455" w:rsidRPr="00957D13" w:rsidRDefault="00E50455">
      <w:pPr>
        <w:tabs>
          <w:tab w:val="left" w:pos="284"/>
        </w:tabs>
        <w:spacing w:line="360" w:lineRule="auto"/>
        <w:ind w:right="27"/>
        <w:jc w:val="both"/>
        <w:rPr>
          <w:rFonts w:ascii="Palatino Linotype" w:eastAsia="Palatino Linotype" w:hAnsi="Palatino Linotype" w:cs="Palatino Linotype"/>
          <w:color w:val="000000"/>
          <w:sz w:val="24"/>
          <w:szCs w:val="24"/>
        </w:rPr>
      </w:pPr>
    </w:p>
    <w:tbl>
      <w:tblPr>
        <w:tblStyle w:val="a7"/>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E50455" w:rsidRPr="00957D13" w:rsidTr="00957D13">
        <w:tc>
          <w:tcPr>
            <w:tcW w:w="2689" w:type="dxa"/>
            <w:shd w:val="clear" w:color="auto" w:fill="D0CECE"/>
            <w:vAlign w:val="center"/>
          </w:tcPr>
          <w:p w:rsidR="00E50455" w:rsidRPr="00957D13" w:rsidRDefault="00117A9F">
            <w:pPr>
              <w:tabs>
                <w:tab w:val="left" w:pos="284"/>
              </w:tabs>
              <w:spacing w:line="360" w:lineRule="auto"/>
              <w:ind w:right="27"/>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a) Requisitos previos.</w:t>
            </w:r>
          </w:p>
        </w:tc>
        <w:tc>
          <w:tcPr>
            <w:tcW w:w="7087" w:type="dxa"/>
            <w:shd w:val="clear" w:color="auto" w:fill="D0CECE"/>
          </w:tcPr>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Al hacerlo tienen que precisar de qué información se trata, señalando el supuesto de clasificación (confidencialidad o reserva).</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Además, se debe señalar el procedimiento, de los tres que establecen los artículos 132 y 106 de la Ley Estatal y General, respectivamente.</w:t>
            </w:r>
          </w:p>
          <w:p w:rsidR="00E50455" w:rsidRPr="00957D13" w:rsidRDefault="00117A9F">
            <w:pPr>
              <w:tabs>
                <w:tab w:val="left" w:pos="284"/>
              </w:tabs>
              <w:ind w:right="27"/>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color w:val="000000"/>
                <w:sz w:val="24"/>
                <w:szCs w:val="24"/>
              </w:rPr>
              <w:t xml:space="preserve">El último de estos requisitos previos consiste en que no se pueden emitir acuerdos de carácter general ni particular, esto es, </w:t>
            </w:r>
            <w:r w:rsidRPr="00957D13">
              <w:rPr>
                <w:rFonts w:ascii="Palatino Linotype" w:eastAsia="Palatino Linotype" w:hAnsi="Palatino Linotype" w:cs="Palatino Linotype"/>
                <w:i/>
                <w:iCs/>
                <w:color w:val="000000"/>
                <w:sz w:val="24"/>
                <w:szCs w:val="24"/>
                <w:u w:val="single"/>
              </w:rPr>
              <w:t>no se puede hacer un acuerdo para clasificar de manera general todos los documentos de un expediente o área, sin</w:t>
            </w:r>
            <w:r w:rsidRPr="00957D13">
              <w:rPr>
                <w:rFonts w:ascii="Palatino Linotype" w:eastAsia="Palatino Linotype" w:hAnsi="Palatino Linotype" w:cs="Palatino Linotype"/>
                <w:i/>
                <w:iCs/>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E50455" w:rsidRPr="00957D13" w:rsidTr="00957D13">
        <w:tc>
          <w:tcPr>
            <w:tcW w:w="2689" w:type="dxa"/>
            <w:vAlign w:val="center"/>
          </w:tcPr>
          <w:p w:rsidR="00E50455" w:rsidRPr="00957D13" w:rsidRDefault="00117A9F">
            <w:pPr>
              <w:tabs>
                <w:tab w:val="left" w:pos="284"/>
              </w:tabs>
              <w:spacing w:line="360" w:lineRule="auto"/>
              <w:ind w:right="27"/>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b) Supuestos de clasificación.</w:t>
            </w:r>
          </w:p>
        </w:tc>
        <w:tc>
          <w:tcPr>
            <w:tcW w:w="7087" w:type="dxa"/>
          </w:tcPr>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Las disposiciones constitucionales y legales en la materia establecen los dos supuestos generales para clasificar la información: por reserva y por confidencialidad.</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w:t>
            </w:r>
            <w:r w:rsidRPr="00957D13">
              <w:rPr>
                <w:rFonts w:ascii="Palatino Linotype" w:eastAsia="Palatino Linotype" w:hAnsi="Palatino Linotype" w:cs="Palatino Linotype"/>
                <w:i/>
                <w:iCs/>
                <w:color w:val="000000"/>
                <w:sz w:val="24"/>
                <w:szCs w:val="24"/>
              </w:rPr>
              <w:lastRenderedPageBreak/>
              <w:t>no se pueden ampliar las excepciones o supuestos de clasificación aduciendo analogía o mayoría de razón.</w:t>
            </w:r>
          </w:p>
          <w:p w:rsidR="00E50455" w:rsidRPr="00957D13" w:rsidRDefault="00117A9F">
            <w:pPr>
              <w:tabs>
                <w:tab w:val="left" w:pos="284"/>
              </w:tabs>
              <w:ind w:right="27"/>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color w:val="000000"/>
                <w:sz w:val="24"/>
                <w:szCs w:val="24"/>
              </w:rPr>
              <w:t xml:space="preserve">El </w:t>
            </w:r>
            <w:r w:rsidRPr="00957D13">
              <w:rPr>
                <w:rFonts w:ascii="Palatino Linotype" w:eastAsia="Palatino Linotype" w:hAnsi="Palatino Linotype" w:cs="Palatino Linotype"/>
                <w:b/>
                <w:bCs/>
                <w:i/>
                <w:iCs/>
                <w:color w:val="000000"/>
                <w:sz w:val="24"/>
                <w:szCs w:val="24"/>
              </w:rPr>
              <w:t>Sujeto Obligado</w:t>
            </w:r>
            <w:r w:rsidRPr="00957D13">
              <w:rPr>
                <w:rFonts w:ascii="Palatino Linotype" w:eastAsia="Palatino Linotype" w:hAnsi="Palatino Linotype" w:cs="Palatino Linotype"/>
                <w:i/>
                <w:iCs/>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E50455" w:rsidRPr="00957D13" w:rsidTr="00957D13">
        <w:tc>
          <w:tcPr>
            <w:tcW w:w="2689" w:type="dxa"/>
            <w:shd w:val="clear" w:color="auto" w:fill="D0CECE"/>
            <w:vAlign w:val="center"/>
          </w:tcPr>
          <w:p w:rsidR="00E50455" w:rsidRPr="00957D13" w:rsidRDefault="00117A9F">
            <w:pPr>
              <w:tabs>
                <w:tab w:val="left" w:pos="284"/>
              </w:tabs>
              <w:spacing w:line="360" w:lineRule="auto"/>
              <w:ind w:right="27"/>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c) Formalidades para emitir el acuerdo de clasificación.</w:t>
            </w:r>
          </w:p>
        </w:tc>
        <w:tc>
          <w:tcPr>
            <w:tcW w:w="7087" w:type="dxa"/>
            <w:shd w:val="clear" w:color="auto" w:fill="D0CECE"/>
          </w:tcPr>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El Comité de Transparencia, según lo dispuesto en los artículos cuenta con las facultades para aprobar, modificar o revocar la clasificación de la información que haya propuesto. </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Es necesario que </w:t>
            </w:r>
            <w:r w:rsidRPr="00957D13">
              <w:rPr>
                <w:rFonts w:ascii="Palatino Linotype" w:eastAsia="Palatino Linotype" w:hAnsi="Palatino Linotype" w:cs="Palatino Linotype"/>
                <w:b/>
                <w:bCs/>
                <w:i/>
                <w:iCs/>
                <w:color w:val="000000"/>
                <w:sz w:val="24"/>
                <w:szCs w:val="24"/>
                <w:u w:val="single"/>
              </w:rPr>
              <w:t>el acto reúna con los requisitos elementales</w:t>
            </w:r>
            <w:r w:rsidRPr="00957D13">
              <w:rPr>
                <w:rFonts w:ascii="Palatino Linotype" w:eastAsia="Palatino Linotype" w:hAnsi="Palatino Linotype" w:cs="Palatino Linotype"/>
                <w:i/>
                <w:iCs/>
                <w:color w:val="000000"/>
                <w:sz w:val="24"/>
                <w:szCs w:val="24"/>
              </w:rPr>
              <w:t>, entre ellos, que la autoridad que va a emitir el acto de autoridad sea la legalmente facultada para ello.</w:t>
            </w:r>
          </w:p>
          <w:p w:rsidR="00E50455" w:rsidRPr="00957D13" w:rsidRDefault="00117A9F">
            <w:pPr>
              <w:tabs>
                <w:tab w:val="left" w:pos="284"/>
              </w:tabs>
              <w:ind w:right="27"/>
              <w:jc w:val="both"/>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color w:val="000000"/>
                <w:sz w:val="24"/>
                <w:szCs w:val="24"/>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50455" w:rsidRPr="00957D13" w:rsidTr="00957D13">
        <w:tc>
          <w:tcPr>
            <w:tcW w:w="2689" w:type="dxa"/>
            <w:vAlign w:val="center"/>
          </w:tcPr>
          <w:p w:rsidR="00E50455" w:rsidRPr="00957D13" w:rsidRDefault="00E50455">
            <w:pPr>
              <w:tabs>
                <w:tab w:val="left" w:pos="284"/>
              </w:tabs>
              <w:spacing w:line="360" w:lineRule="auto"/>
              <w:ind w:right="27"/>
              <w:rPr>
                <w:rFonts w:ascii="Palatino Linotype" w:eastAsia="Palatino Linotype" w:hAnsi="Palatino Linotype" w:cs="Palatino Linotype"/>
                <w:b/>
                <w:bCs/>
                <w:sz w:val="24"/>
                <w:szCs w:val="24"/>
              </w:rPr>
            </w:pPr>
          </w:p>
          <w:p w:rsidR="00E50455" w:rsidRPr="00957D13" w:rsidRDefault="00117A9F">
            <w:pPr>
              <w:tabs>
                <w:tab w:val="left" w:pos="284"/>
              </w:tabs>
              <w:spacing w:line="360" w:lineRule="auto"/>
              <w:ind w:right="27"/>
              <w:jc w:val="both"/>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color w:val="000000"/>
                <w:sz w:val="24"/>
                <w:szCs w:val="24"/>
              </w:rPr>
              <w:t xml:space="preserve">d) Requisitos de fondo del acuerdo de clasificación. </w:t>
            </w:r>
          </w:p>
        </w:tc>
        <w:tc>
          <w:tcPr>
            <w:tcW w:w="7087" w:type="dxa"/>
          </w:tcPr>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57D13">
              <w:rPr>
                <w:rFonts w:ascii="Palatino Linotype" w:eastAsia="Palatino Linotype" w:hAnsi="Palatino Linotype" w:cs="Palatino Linotype"/>
                <w:b/>
                <w:bCs/>
                <w:i/>
                <w:iCs/>
                <w:color w:val="000000"/>
                <w:sz w:val="24"/>
                <w:szCs w:val="24"/>
              </w:rPr>
              <w:t>Sujetos Obligados</w:t>
            </w:r>
            <w:r w:rsidRPr="00957D13">
              <w:rPr>
                <w:rFonts w:ascii="Palatino Linotype" w:eastAsia="Palatino Linotype" w:hAnsi="Palatino Linotype" w:cs="Palatino Linotype"/>
                <w:i/>
                <w:iCs/>
                <w:color w:val="000000"/>
                <w:sz w:val="24"/>
                <w:szCs w:val="24"/>
              </w:rPr>
              <w:t xml:space="preserve">, por lo que deberán fundar y motivar debidamente la clasificación. </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De lo anterior, se desprende que para una correcta </w:t>
            </w:r>
            <w:r w:rsidRPr="00957D13">
              <w:rPr>
                <w:rFonts w:ascii="Palatino Linotype" w:eastAsia="Palatino Linotype" w:hAnsi="Palatino Linotype" w:cs="Palatino Linotype"/>
                <w:b/>
                <w:bCs/>
                <w:i/>
                <w:iCs/>
                <w:color w:val="000000"/>
                <w:sz w:val="24"/>
                <w:szCs w:val="24"/>
              </w:rPr>
              <w:t>clasificación total o parcial</w:t>
            </w:r>
            <w:r w:rsidRPr="00957D13">
              <w:rPr>
                <w:rFonts w:ascii="Palatino Linotype" w:eastAsia="Palatino Linotype" w:hAnsi="Palatino Linotype" w:cs="Palatino Linotype"/>
                <w:i/>
                <w:iCs/>
                <w:color w:val="000000"/>
                <w:sz w:val="24"/>
                <w:szCs w:val="24"/>
              </w:rPr>
              <w:t xml:space="preserve">, esto es determinar los datos que se suprimen en las versiones públicas, es necesario fundar y motivar, de manera correcta, la clasificación; considerando que todo acto que la autoridad pronuncie en el ejercicio de sus atribuciones, debe expresar los fundamentos legales </w:t>
            </w:r>
            <w:r w:rsidRPr="00957D13">
              <w:rPr>
                <w:rFonts w:ascii="Palatino Linotype" w:eastAsia="Palatino Linotype" w:hAnsi="Palatino Linotype" w:cs="Palatino Linotype"/>
                <w:i/>
                <w:iCs/>
                <w:color w:val="000000"/>
                <w:sz w:val="24"/>
                <w:szCs w:val="24"/>
              </w:rPr>
              <w:lastRenderedPageBreak/>
              <w:t>que le dieron origen y las razones por las que se deben aplicar al caso concreto.</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En ese mismo sentido, el numeral trigésimo tercero fracción V de los Lineamientos Generales, precisa que para motivar la clasificación se deben acreditar las circunstancias de tiempo, modo y lugar.</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Ahora bien, </w:t>
            </w:r>
            <w:r w:rsidRPr="00957D13">
              <w:rPr>
                <w:rFonts w:ascii="Palatino Linotype" w:eastAsia="Palatino Linotype" w:hAnsi="Palatino Linotype" w:cs="Palatino Linotype"/>
                <w:b/>
                <w:bCs/>
                <w:i/>
                <w:iCs/>
                <w:color w:val="000000"/>
                <w:sz w:val="24"/>
                <w:szCs w:val="24"/>
                <w:u w:val="single"/>
              </w:rPr>
              <w:t>para cada caso además de fundar y motivar</w:t>
            </w:r>
            <w:r w:rsidRPr="00957D13">
              <w:rPr>
                <w:rFonts w:ascii="Palatino Linotype" w:eastAsia="Palatino Linotype" w:hAnsi="Palatino Linotype" w:cs="Palatino Linotype"/>
                <w:i/>
                <w:iCs/>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50455" w:rsidRPr="00957D13" w:rsidTr="00957D13">
        <w:tc>
          <w:tcPr>
            <w:tcW w:w="2689" w:type="dxa"/>
            <w:shd w:val="clear" w:color="auto" w:fill="D0CECE"/>
            <w:vAlign w:val="center"/>
          </w:tcPr>
          <w:p w:rsidR="00E50455" w:rsidRPr="00957D13" w:rsidRDefault="00117A9F">
            <w:pPr>
              <w:tabs>
                <w:tab w:val="left" w:pos="284"/>
              </w:tabs>
              <w:spacing w:line="360" w:lineRule="auto"/>
              <w:ind w:right="27"/>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lastRenderedPageBreak/>
              <w:t>e) Condiciones especiales de la clasificación de la información como confidencial.</w:t>
            </w:r>
          </w:p>
        </w:tc>
        <w:tc>
          <w:tcPr>
            <w:tcW w:w="7087" w:type="dxa"/>
            <w:shd w:val="clear" w:color="auto" w:fill="D0CECE"/>
          </w:tcPr>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E50455" w:rsidRPr="00957D13" w:rsidRDefault="00117A9F">
            <w:pPr>
              <w:tabs>
                <w:tab w:val="left" w:pos="284"/>
              </w:tabs>
              <w:ind w:right="2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i/>
                <w:iCs/>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50455" w:rsidRPr="00957D13" w:rsidRDefault="00117A9F">
            <w:pPr>
              <w:tabs>
                <w:tab w:val="left" w:pos="284"/>
              </w:tabs>
              <w:ind w:right="27"/>
              <w:rPr>
                <w:rFonts w:ascii="Palatino Linotype" w:eastAsia="Palatino Linotype" w:hAnsi="Palatino Linotype" w:cs="Palatino Linotype"/>
                <w:i/>
                <w:iCs/>
                <w:sz w:val="24"/>
                <w:szCs w:val="24"/>
              </w:rPr>
            </w:pPr>
            <w:r w:rsidRPr="00957D13">
              <w:rPr>
                <w:rFonts w:ascii="Palatino Linotype" w:eastAsia="Palatino Linotype" w:hAnsi="Palatino Linotype" w:cs="Palatino Linotype"/>
                <w:i/>
                <w:iCs/>
                <w:color w:val="000000"/>
                <w:sz w:val="24"/>
                <w:szCs w:val="24"/>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50455" w:rsidRPr="00957D13" w:rsidRDefault="00E50455">
      <w:pPr>
        <w:tabs>
          <w:tab w:val="left" w:pos="284"/>
        </w:tabs>
        <w:spacing w:line="360" w:lineRule="auto"/>
        <w:ind w:right="27"/>
        <w:rPr>
          <w:rFonts w:ascii="Palatino Linotype" w:eastAsia="Palatino Linotype" w:hAnsi="Palatino Linotype" w:cs="Palatino Linotype"/>
          <w:color w:val="000000"/>
          <w:sz w:val="24"/>
          <w:szCs w:val="24"/>
        </w:rPr>
      </w:pPr>
    </w:p>
    <w:p w:rsidR="00E50455" w:rsidRPr="00957D13" w:rsidRDefault="00117A9F">
      <w:pPr>
        <w:numPr>
          <w:ilvl w:val="0"/>
          <w:numId w:val="15"/>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lastRenderedPageBreak/>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E50455" w:rsidRPr="00957D13" w:rsidRDefault="00E50455">
      <w:pPr>
        <w:pBdr>
          <w:top w:val="nil"/>
          <w:left w:val="nil"/>
          <w:bottom w:val="nil"/>
          <w:right w:val="nil"/>
          <w:between w:val="nil"/>
        </w:pBdr>
        <w:spacing w:line="360" w:lineRule="auto"/>
        <w:ind w:right="27"/>
        <w:jc w:val="both"/>
        <w:rPr>
          <w:rFonts w:ascii="Palatino Linotype" w:eastAsia="Palatino Linotype" w:hAnsi="Palatino Linotype" w:cs="Palatino Linotype"/>
          <w:sz w:val="24"/>
          <w:szCs w:val="24"/>
        </w:rPr>
      </w:pPr>
    </w:p>
    <w:p w:rsidR="00E50455" w:rsidRPr="00957D13" w:rsidRDefault="00117A9F">
      <w:pPr>
        <w:numPr>
          <w:ilvl w:val="0"/>
          <w:numId w:val="15"/>
        </w:numPr>
        <w:tabs>
          <w:tab w:val="left" w:pos="284"/>
        </w:tabs>
        <w:spacing w:line="360" w:lineRule="auto"/>
        <w:ind w:left="0" w:right="27" w:firstLine="0"/>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color w:val="000000"/>
          <w:sz w:val="24"/>
          <w:szCs w:val="24"/>
        </w:rPr>
        <w:t xml:space="preserve"> </w:t>
      </w:r>
      <w:r w:rsidRPr="00957D13">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 resulta  lo mismo que si entrega un documento testado sin el debido acuerdo de clasificación.</w:t>
      </w:r>
    </w:p>
    <w:p w:rsidR="00E50455" w:rsidRPr="00957D13" w:rsidRDefault="00E50455">
      <w:pPr>
        <w:tabs>
          <w:tab w:val="left" w:pos="284"/>
        </w:tabs>
        <w:spacing w:line="360" w:lineRule="auto"/>
        <w:ind w:right="27"/>
        <w:jc w:val="both"/>
        <w:rPr>
          <w:rFonts w:ascii="Palatino Linotype" w:eastAsia="Palatino Linotype" w:hAnsi="Palatino Linotype" w:cs="Palatino Linotype"/>
          <w:color w:val="000000"/>
          <w:sz w:val="24"/>
          <w:szCs w:val="24"/>
        </w:rPr>
      </w:pPr>
    </w:p>
    <w:p w:rsidR="00E50455" w:rsidRPr="00957D13" w:rsidRDefault="00117A9F">
      <w:pPr>
        <w:numPr>
          <w:ilvl w:val="0"/>
          <w:numId w:val="14"/>
        </w:numPr>
        <w:pBdr>
          <w:top w:val="nil"/>
          <w:left w:val="nil"/>
          <w:bottom w:val="nil"/>
          <w:right w:val="nil"/>
          <w:between w:val="nil"/>
        </w:pBdr>
        <w:spacing w:line="360" w:lineRule="auto"/>
        <w:ind w:left="0" w:right="27" w:firstLine="0"/>
        <w:jc w:val="both"/>
        <w:rPr>
          <w:rFonts w:ascii="Century Gothic" w:eastAsia="Century Gothic" w:hAnsi="Century Gothic" w:cs="Century Gothic"/>
          <w:color w:val="000000"/>
          <w:sz w:val="24"/>
          <w:szCs w:val="24"/>
        </w:rPr>
      </w:pPr>
      <w:r w:rsidRPr="00957D13">
        <w:rPr>
          <w:rFonts w:ascii="Palatino Linotype" w:eastAsia="Palatino Linotype" w:hAnsi="Palatino Linotype" w:cs="Palatino Linotype"/>
          <w:color w:val="000000"/>
          <w:sz w:val="24"/>
          <w:szCs w:val="24"/>
        </w:rPr>
        <w:t>Por lo anteriormente expuesto, este Órgano Garante considera parcialmente fundadas las razones o motivos de inconformidad que plantea el</w:t>
      </w:r>
      <w:r w:rsidRPr="00957D13">
        <w:rPr>
          <w:rFonts w:ascii="Palatino Linotype" w:eastAsia="Palatino Linotype" w:hAnsi="Palatino Linotype" w:cs="Palatino Linotype"/>
          <w:b/>
          <w:bCs/>
          <w:color w:val="000000"/>
          <w:sz w:val="24"/>
          <w:szCs w:val="24"/>
        </w:rPr>
        <w:t xml:space="preserve"> RECURRENTE</w:t>
      </w:r>
      <w:r w:rsidRPr="00957D13">
        <w:rPr>
          <w:rFonts w:ascii="Palatino Linotype" w:eastAsia="Palatino Linotype" w:hAnsi="Palatino Linotype" w:cs="Palatino Linotype"/>
          <w:color w:val="000000"/>
          <w:sz w:val="24"/>
          <w:szCs w:val="24"/>
        </w:rPr>
        <w:t xml:space="preserve">, determinando </w:t>
      </w:r>
      <w:r w:rsidRPr="00957D13">
        <w:rPr>
          <w:rFonts w:ascii="Palatino Linotype" w:eastAsia="Palatino Linotype" w:hAnsi="Palatino Linotype" w:cs="Palatino Linotype"/>
          <w:b/>
          <w:bCs/>
          <w:smallCaps/>
          <w:color w:val="000000"/>
          <w:sz w:val="24"/>
          <w:szCs w:val="24"/>
        </w:rPr>
        <w:t xml:space="preserve">MODIFICAR  </w:t>
      </w:r>
      <w:r w:rsidRPr="00957D13">
        <w:rPr>
          <w:rFonts w:ascii="Palatino Linotype" w:eastAsia="Palatino Linotype" w:hAnsi="Palatino Linotype" w:cs="Palatino Linotype"/>
          <w:color w:val="000000"/>
          <w:sz w:val="24"/>
          <w:szCs w:val="24"/>
        </w:rPr>
        <w:t xml:space="preserve">la respuesta del </w:t>
      </w:r>
      <w:r w:rsidRPr="00957D13">
        <w:rPr>
          <w:rFonts w:ascii="Palatino Linotype" w:eastAsia="Palatino Linotype" w:hAnsi="Palatino Linotype" w:cs="Palatino Linotype"/>
          <w:b/>
          <w:bCs/>
          <w:color w:val="000000"/>
          <w:sz w:val="24"/>
          <w:szCs w:val="24"/>
        </w:rPr>
        <w:t xml:space="preserve">SUJETO OBLIGADO </w:t>
      </w:r>
      <w:r w:rsidRPr="00957D13">
        <w:rPr>
          <w:rFonts w:ascii="Palatino Linotype" w:eastAsia="Palatino Linotype" w:hAnsi="Palatino Linotype" w:cs="Palatino Linotype"/>
          <w:color w:val="000000"/>
          <w:sz w:val="24"/>
          <w:szCs w:val="24"/>
        </w:rPr>
        <w:t xml:space="preserve">en los Recursos de Revisión </w:t>
      </w:r>
      <w:r w:rsidRPr="00957D13">
        <w:rPr>
          <w:rFonts w:ascii="Palatino Linotype" w:eastAsia="Palatino Linotype" w:hAnsi="Palatino Linotype" w:cs="Palatino Linotype"/>
          <w:b/>
          <w:bCs/>
          <w:color w:val="000000"/>
          <w:sz w:val="24"/>
          <w:szCs w:val="24"/>
        </w:rPr>
        <w:t>10173/INFOEM/IP/RR/2025, 13818/INFOEM/IP/RR/2025 y 13813/INFOEM/IP/RR/2025</w:t>
      </w:r>
      <w:r w:rsidRPr="00957D13">
        <w:rPr>
          <w:rFonts w:ascii="Palatino Linotype" w:eastAsia="Palatino Linotype" w:hAnsi="Palatino Linotype" w:cs="Palatino Linotype"/>
          <w:color w:val="000000"/>
          <w:sz w:val="24"/>
          <w:szCs w:val="24"/>
        </w:rPr>
        <w:t xml:space="preserve">, y </w:t>
      </w:r>
      <w:r w:rsidRPr="00957D13">
        <w:rPr>
          <w:rFonts w:ascii="Palatino Linotype" w:eastAsia="Palatino Linotype" w:hAnsi="Palatino Linotype" w:cs="Palatino Linotype"/>
          <w:b/>
          <w:bCs/>
          <w:color w:val="000000"/>
          <w:sz w:val="24"/>
          <w:szCs w:val="24"/>
        </w:rPr>
        <w:t xml:space="preserve">CONFIRMAR </w:t>
      </w:r>
      <w:r w:rsidRPr="00957D13">
        <w:rPr>
          <w:rFonts w:ascii="Palatino Linotype" w:eastAsia="Palatino Linotype" w:hAnsi="Palatino Linotype" w:cs="Palatino Linotype"/>
          <w:color w:val="000000"/>
          <w:sz w:val="24"/>
          <w:szCs w:val="24"/>
        </w:rPr>
        <w:t>respuesta otorgada por el</w:t>
      </w:r>
      <w:r w:rsidRPr="00957D13">
        <w:rPr>
          <w:rFonts w:ascii="Palatino Linotype" w:eastAsia="Palatino Linotype" w:hAnsi="Palatino Linotype" w:cs="Palatino Linotype"/>
          <w:b/>
          <w:bCs/>
          <w:color w:val="000000"/>
          <w:sz w:val="24"/>
          <w:szCs w:val="24"/>
        </w:rPr>
        <w:t xml:space="preserve"> SUJETO OBLIGADO  </w:t>
      </w:r>
      <w:r w:rsidRPr="00957D13">
        <w:rPr>
          <w:rFonts w:ascii="Palatino Linotype" w:eastAsia="Palatino Linotype" w:hAnsi="Palatino Linotype" w:cs="Palatino Linotype"/>
          <w:color w:val="000000"/>
          <w:sz w:val="24"/>
          <w:szCs w:val="24"/>
        </w:rPr>
        <w:t>en la solicitud de información</w:t>
      </w:r>
      <w:r w:rsidRPr="00957D13">
        <w:rPr>
          <w:rFonts w:ascii="Palatino Linotype" w:eastAsia="Palatino Linotype" w:hAnsi="Palatino Linotype" w:cs="Palatino Linotype"/>
          <w:b/>
          <w:bCs/>
          <w:color w:val="000000"/>
          <w:sz w:val="24"/>
          <w:szCs w:val="24"/>
        </w:rPr>
        <w:t xml:space="preserve"> 04066/TOLUCA/IP/2025; </w:t>
      </w:r>
      <w:r w:rsidRPr="00957D13">
        <w:rPr>
          <w:rFonts w:ascii="Palatino Linotype" w:eastAsia="Palatino Linotype" w:hAnsi="Palatino Linotype" w:cs="Palatino Linotype"/>
          <w:color w:val="000000"/>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957D13">
        <w:rPr>
          <w:rFonts w:ascii="Palatino Linotype" w:eastAsia="Palatino Linotype" w:hAnsi="Palatino Linotype" w:cs="Palatino Linotype"/>
          <w:b/>
          <w:bCs/>
          <w:color w:val="000000"/>
          <w:sz w:val="24"/>
          <w:szCs w:val="24"/>
        </w:rPr>
        <w:t>ÓRGANO GARANTE</w:t>
      </w:r>
      <w:r w:rsidRPr="00957D13">
        <w:rPr>
          <w:rFonts w:ascii="Palatino Linotype" w:eastAsia="Palatino Linotype" w:hAnsi="Palatino Linotype" w:cs="Palatino Linotype"/>
          <w:color w:val="000000"/>
          <w:sz w:val="24"/>
          <w:szCs w:val="24"/>
        </w:rPr>
        <w:t xml:space="preserve"> emite los siguientes.</w:t>
      </w:r>
      <w:r w:rsidR="00957D13">
        <w:rPr>
          <w:rFonts w:ascii="Palatino Linotype" w:eastAsia="Palatino Linotype" w:hAnsi="Palatino Linotype" w:cs="Palatino Linotype"/>
          <w:color w:val="000000"/>
          <w:sz w:val="24"/>
          <w:szCs w:val="24"/>
        </w:rPr>
        <w:t xml:space="preserve"> -------------</w:t>
      </w:r>
    </w:p>
    <w:p w:rsidR="00E50455" w:rsidRPr="00957D13" w:rsidRDefault="00E50455">
      <w:pPr>
        <w:spacing w:line="360" w:lineRule="auto"/>
        <w:jc w:val="both"/>
        <w:rPr>
          <w:rFonts w:ascii="Palatino Linotype" w:eastAsia="Palatino Linotype" w:hAnsi="Palatino Linotype" w:cs="Palatino Linotype"/>
          <w:i/>
          <w:iCs/>
          <w:color w:val="000000"/>
          <w:sz w:val="24"/>
          <w:szCs w:val="24"/>
        </w:rPr>
      </w:pPr>
    </w:p>
    <w:p w:rsidR="00E50455" w:rsidRPr="00957D13" w:rsidRDefault="00E50455">
      <w:pPr>
        <w:spacing w:line="360" w:lineRule="auto"/>
        <w:jc w:val="both"/>
        <w:rPr>
          <w:rFonts w:ascii="Palatino Linotype" w:eastAsia="Palatino Linotype" w:hAnsi="Palatino Linotype" w:cs="Palatino Linotype"/>
          <w:i/>
          <w:iCs/>
          <w:color w:val="000000"/>
          <w:sz w:val="24"/>
          <w:szCs w:val="24"/>
        </w:rPr>
      </w:pPr>
    </w:p>
    <w:p w:rsidR="00E50455" w:rsidRPr="00957D13" w:rsidRDefault="00117A9F">
      <w:pPr>
        <w:pStyle w:val="Ttulo1"/>
        <w:spacing w:before="0" w:line="360" w:lineRule="auto"/>
        <w:jc w:val="center"/>
        <w:rPr>
          <w:rFonts w:ascii="Palatino Linotype" w:eastAsia="Palatino Linotype" w:hAnsi="Palatino Linotype" w:cs="Palatino Linotype"/>
          <w:b/>
          <w:bCs/>
          <w:color w:val="000000"/>
          <w:sz w:val="24"/>
          <w:szCs w:val="24"/>
        </w:rPr>
      </w:pPr>
      <w:r w:rsidRPr="00957D13">
        <w:rPr>
          <w:rFonts w:ascii="Palatino Linotype" w:eastAsia="Palatino Linotype" w:hAnsi="Palatino Linotype" w:cs="Palatino Linotype"/>
          <w:b/>
          <w:bCs/>
          <w:color w:val="000000"/>
          <w:sz w:val="24"/>
          <w:szCs w:val="24"/>
        </w:rPr>
        <w:lastRenderedPageBreak/>
        <w:t>R E S O L U T I V O S</w:t>
      </w:r>
    </w:p>
    <w:p w:rsidR="00E50455" w:rsidRPr="00957D13" w:rsidRDefault="00E50455">
      <w:pPr>
        <w:spacing w:line="480" w:lineRule="auto"/>
        <w:rPr>
          <w:rFonts w:ascii="Palatino Linotype" w:eastAsia="Palatino Linotype" w:hAnsi="Palatino Linotype" w:cs="Palatino Linotype"/>
          <w:sz w:val="24"/>
          <w:szCs w:val="24"/>
        </w:rPr>
      </w:pPr>
    </w:p>
    <w:p w:rsidR="00E50455" w:rsidRPr="00957D13" w:rsidRDefault="00117A9F">
      <w:pPr>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PRIMERO</w:t>
      </w:r>
      <w:r w:rsidRPr="00957D13">
        <w:rPr>
          <w:rFonts w:ascii="Palatino Linotype" w:eastAsia="Palatino Linotype" w:hAnsi="Palatino Linotype" w:cs="Palatino Linotype"/>
          <w:sz w:val="24"/>
          <w:szCs w:val="24"/>
        </w:rPr>
        <w:t>. Resultan fundadas las</w:t>
      </w:r>
      <w:r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sz w:val="24"/>
          <w:szCs w:val="24"/>
        </w:rPr>
        <w:t xml:space="preserve">razones o motivos de inconformidad hechos valer en los Recursos de Revisión </w:t>
      </w:r>
      <w:r w:rsidRPr="00957D13">
        <w:rPr>
          <w:rFonts w:ascii="Palatino Linotype" w:eastAsia="Palatino Linotype" w:hAnsi="Palatino Linotype" w:cs="Palatino Linotype"/>
          <w:b/>
          <w:bCs/>
          <w:sz w:val="24"/>
          <w:szCs w:val="24"/>
        </w:rPr>
        <w:t>10173/INFOEM/IP/RR/2025, 13818/INFOEM/IP/RR/2025 y 13813/INFOEM/IP/RR/2025</w:t>
      </w:r>
      <w:r w:rsidRPr="00957D13">
        <w:rPr>
          <w:rFonts w:ascii="Palatino Linotype" w:eastAsia="Palatino Linotype" w:hAnsi="Palatino Linotype" w:cs="Palatino Linotype"/>
          <w:sz w:val="24"/>
          <w:szCs w:val="24"/>
        </w:rPr>
        <w:t xml:space="preserve">,  </w:t>
      </w:r>
      <w:r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sz w:val="24"/>
          <w:szCs w:val="24"/>
        </w:rPr>
        <w:t xml:space="preserve">por lo que se </w:t>
      </w:r>
      <w:r w:rsidRPr="00957D13">
        <w:rPr>
          <w:rFonts w:ascii="Palatino Linotype" w:eastAsia="Palatino Linotype" w:hAnsi="Palatino Linotype" w:cs="Palatino Linotype"/>
          <w:b/>
          <w:bCs/>
          <w:sz w:val="24"/>
          <w:szCs w:val="24"/>
        </w:rPr>
        <w:t xml:space="preserve">MODIFICA </w:t>
      </w:r>
      <w:r w:rsidRPr="00957D13">
        <w:rPr>
          <w:rFonts w:ascii="Palatino Linotype" w:eastAsia="Palatino Linotype" w:hAnsi="Palatino Linotype" w:cs="Palatino Linotype"/>
          <w:sz w:val="24"/>
          <w:szCs w:val="24"/>
        </w:rPr>
        <w:t xml:space="preserve">la respuesta del </w:t>
      </w:r>
      <w:r w:rsidRPr="00957D13">
        <w:rPr>
          <w:rFonts w:ascii="Palatino Linotype" w:eastAsia="Palatino Linotype" w:hAnsi="Palatino Linotype" w:cs="Palatino Linotype"/>
          <w:b/>
          <w:bCs/>
          <w:sz w:val="24"/>
          <w:szCs w:val="24"/>
        </w:rPr>
        <w:t xml:space="preserve">SUJETO OBLIGADO </w:t>
      </w:r>
      <w:r w:rsidRPr="00957D13">
        <w:rPr>
          <w:rFonts w:ascii="Palatino Linotype" w:eastAsia="Palatino Linotype" w:hAnsi="Palatino Linotype" w:cs="Palatino Linotype"/>
          <w:sz w:val="24"/>
          <w:szCs w:val="24"/>
        </w:rPr>
        <w:t xml:space="preserve">en las solicitudes de información </w:t>
      </w:r>
      <w:r w:rsidRPr="00957D13">
        <w:rPr>
          <w:rFonts w:ascii="Palatino Linotype" w:eastAsia="Palatino Linotype" w:hAnsi="Palatino Linotype" w:cs="Palatino Linotype"/>
          <w:b/>
          <w:bCs/>
          <w:sz w:val="24"/>
          <w:szCs w:val="24"/>
        </w:rPr>
        <w:t xml:space="preserve">03617/TOLUCA/IP/2025, 06187/TOLUCA/IP/2025  y 06196/TOLUCA/IP/2025, </w:t>
      </w:r>
      <w:r w:rsidRPr="00957D13">
        <w:rPr>
          <w:rFonts w:ascii="Palatino Linotype" w:eastAsia="Palatino Linotype" w:hAnsi="Palatino Linotype" w:cs="Palatino Linotype"/>
          <w:sz w:val="24"/>
          <w:szCs w:val="24"/>
        </w:rPr>
        <w:t xml:space="preserve">en términos de los </w:t>
      </w:r>
      <w:r w:rsidRPr="00957D13">
        <w:rPr>
          <w:rFonts w:ascii="Palatino Linotype" w:eastAsia="Palatino Linotype" w:hAnsi="Palatino Linotype" w:cs="Palatino Linotype"/>
          <w:b/>
          <w:bCs/>
          <w:sz w:val="24"/>
          <w:szCs w:val="24"/>
        </w:rPr>
        <w:t xml:space="preserve">Considerandos Cuarto y Quinto </w:t>
      </w:r>
      <w:r w:rsidRPr="00957D13">
        <w:rPr>
          <w:rFonts w:ascii="Palatino Linotype" w:eastAsia="Palatino Linotype" w:hAnsi="Palatino Linotype" w:cs="Palatino Linotype"/>
          <w:sz w:val="24"/>
          <w:szCs w:val="24"/>
        </w:rPr>
        <w:t>de la presente resolución.</w:t>
      </w:r>
    </w:p>
    <w:p w:rsidR="00E50455" w:rsidRPr="00957D13" w:rsidRDefault="00E50455">
      <w:pPr>
        <w:spacing w:line="480" w:lineRule="auto"/>
        <w:jc w:val="both"/>
        <w:rPr>
          <w:rFonts w:ascii="Palatino Linotype" w:eastAsia="Palatino Linotype" w:hAnsi="Palatino Linotype" w:cs="Palatino Linotype"/>
          <w:sz w:val="24"/>
          <w:szCs w:val="24"/>
        </w:rPr>
      </w:pPr>
    </w:p>
    <w:p w:rsidR="00E50455" w:rsidRPr="00957D13" w:rsidRDefault="00117A9F">
      <w:pPr>
        <w:spacing w:line="360" w:lineRule="auto"/>
        <w:jc w:val="both"/>
        <w:rPr>
          <w:rFonts w:ascii="Palatino Linotype" w:eastAsia="Palatino Linotype" w:hAnsi="Palatino Linotype" w:cs="Palatino Linotype"/>
          <w:color w:val="000000"/>
          <w:sz w:val="24"/>
          <w:szCs w:val="24"/>
        </w:rPr>
      </w:pPr>
      <w:r w:rsidRPr="00957D13">
        <w:rPr>
          <w:rFonts w:ascii="Palatino Linotype" w:eastAsia="Palatino Linotype" w:hAnsi="Palatino Linotype" w:cs="Palatino Linotype"/>
          <w:b/>
          <w:bCs/>
          <w:sz w:val="24"/>
          <w:szCs w:val="24"/>
        </w:rPr>
        <w:t>SEGUNDO.</w:t>
      </w:r>
      <w:r w:rsidRPr="00957D13">
        <w:rPr>
          <w:rFonts w:ascii="Palatino Linotype" w:eastAsia="Palatino Linotype" w:hAnsi="Palatino Linotype" w:cs="Palatino Linotype"/>
          <w:color w:val="2E75B5"/>
          <w:sz w:val="24"/>
          <w:szCs w:val="24"/>
        </w:rPr>
        <w:t xml:space="preserve"> </w:t>
      </w:r>
      <w:r w:rsidRPr="00957D13">
        <w:rPr>
          <w:rFonts w:ascii="Palatino Linotype" w:eastAsia="Palatino Linotype" w:hAnsi="Palatino Linotype" w:cs="Palatino Linotype"/>
          <w:color w:val="000000"/>
          <w:sz w:val="24"/>
          <w:szCs w:val="24"/>
        </w:rPr>
        <w:t xml:space="preserve">Se </w:t>
      </w:r>
      <w:r w:rsidRPr="00957D13">
        <w:rPr>
          <w:rFonts w:ascii="Palatino Linotype" w:eastAsia="Palatino Linotype" w:hAnsi="Palatino Linotype" w:cs="Palatino Linotype"/>
          <w:b/>
          <w:bCs/>
          <w:color w:val="000000"/>
          <w:sz w:val="24"/>
          <w:szCs w:val="24"/>
        </w:rPr>
        <w:t xml:space="preserve">ORDENA </w:t>
      </w:r>
      <w:r w:rsidRPr="00957D13">
        <w:rPr>
          <w:rFonts w:ascii="Palatino Linotype" w:eastAsia="Palatino Linotype" w:hAnsi="Palatino Linotype" w:cs="Palatino Linotype"/>
          <w:color w:val="000000"/>
          <w:sz w:val="24"/>
          <w:szCs w:val="24"/>
        </w:rPr>
        <w:t xml:space="preserve">al </w:t>
      </w:r>
      <w:r w:rsidRPr="00957D13">
        <w:rPr>
          <w:rFonts w:ascii="Palatino Linotype" w:eastAsia="Palatino Linotype" w:hAnsi="Palatino Linotype" w:cs="Palatino Linotype"/>
          <w:b/>
          <w:bCs/>
          <w:color w:val="000000"/>
          <w:sz w:val="24"/>
          <w:szCs w:val="24"/>
        </w:rPr>
        <w:t xml:space="preserve">SUJETO OBLIGADO, </w:t>
      </w:r>
      <w:r w:rsidRPr="00957D13">
        <w:rPr>
          <w:rFonts w:ascii="Palatino Linotype" w:eastAsia="Palatino Linotype" w:hAnsi="Palatino Linotype" w:cs="Palatino Linotype"/>
          <w:color w:val="000000"/>
          <w:sz w:val="24"/>
          <w:szCs w:val="24"/>
        </w:rPr>
        <w:t xml:space="preserve">a efecto de entregar vía Sistema de Acceso a la Información Mexiquense </w:t>
      </w:r>
      <w:r w:rsidRPr="00957D13">
        <w:rPr>
          <w:rFonts w:ascii="Palatino Linotype" w:eastAsia="Palatino Linotype" w:hAnsi="Palatino Linotype" w:cs="Palatino Linotype"/>
          <w:b/>
          <w:bCs/>
          <w:color w:val="000000"/>
          <w:sz w:val="24"/>
          <w:szCs w:val="24"/>
        </w:rPr>
        <w:t>(SAIMEX)</w:t>
      </w:r>
      <w:r w:rsidRPr="00957D13">
        <w:rPr>
          <w:rFonts w:ascii="Palatino Linotype" w:eastAsia="Palatino Linotype" w:hAnsi="Palatino Linotype" w:cs="Palatino Linotype"/>
          <w:color w:val="000000"/>
          <w:sz w:val="24"/>
          <w:szCs w:val="24"/>
        </w:rPr>
        <w:t>,  la siguiente información:</w:t>
      </w:r>
    </w:p>
    <w:p w:rsidR="00E50455" w:rsidRPr="00957D13" w:rsidRDefault="00E50455">
      <w:pPr>
        <w:spacing w:line="360" w:lineRule="auto"/>
        <w:jc w:val="both"/>
        <w:rPr>
          <w:rFonts w:ascii="Palatino Linotype" w:eastAsia="Palatino Linotype" w:hAnsi="Palatino Linotype" w:cs="Palatino Linotype"/>
          <w:color w:val="000000"/>
          <w:sz w:val="24"/>
          <w:szCs w:val="24"/>
        </w:rPr>
      </w:pP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Documento o documentos donde consten las solicitudes ciudadanas faltantes de fecha uno de enero a veinticuatro de junio de dos mil veinticinco faltantes en versión pública correspondientes a los miembros del Cabildo.</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Correcta versión pública de las solicitudes ciudadanas entregadas en respuesta de fecha uno de enero a veinticuatro de junio de dos mil veinticinco correspondientes a los miembros del Cabildo.</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 xml:space="preserve">Documento o documentos donde consten las respuestas a las solicitudes ciudadanas faltantes de fecha uno de enero a veinticuatro </w:t>
      </w:r>
      <w:r w:rsidRPr="00957D13">
        <w:rPr>
          <w:rFonts w:ascii="Palatino Linotype" w:eastAsia="Palatino Linotype" w:hAnsi="Palatino Linotype" w:cs="Palatino Linotype"/>
          <w:b/>
          <w:bCs/>
          <w:i/>
          <w:iCs/>
          <w:color w:val="000000"/>
          <w:sz w:val="24"/>
          <w:szCs w:val="24"/>
        </w:rPr>
        <w:lastRenderedPageBreak/>
        <w:t>de junio de dos mil veinticinco faltantes en versión pública correspondientes a los miembros del Cabildo.</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Correcta versión pública de las respuestas a las solicitudes ciudadanas entregadas en respuesta de fecha uno de enero a veinticuatro de junio de dos mil veinticinco correspondientes a los miembros del Cabildo.</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 xml:space="preserve"> Versión pública de los Registros de audiencia faltantes de fecha uno de enero a veinticuatro de junio de dos mil veinticinco correspondientes a los miembros del Cabildo.</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Correcta Versión pública de los Registros de audiencia entregados en respuesta e informe justificado fecha uno de enero a veinticuatro de junio de dos mil veinticinco correspondientes a los miembros del Cabildo.</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Correcta versión pública de las solicitudes ciudadanas entregadas en respuesta de fecha uno de enero a diez de noviembre de dos mil veinticinco correspondientes a la Primer Regiduría.</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Documento o documentos donde consten las respuestas a las solicitudes ciudadanas faltantes de fecha uno de enero a diez de noviembre de dos mil veinticinco correspondientes a la Primer Regiduría en versión pública.</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 xml:space="preserve">Correcta versión pública de las respuestas a las solicitudes ciudadanas entregadas en respuesta de fecha uno de enero a diez de </w:t>
      </w:r>
      <w:r w:rsidRPr="00957D13">
        <w:rPr>
          <w:rFonts w:ascii="Palatino Linotype" w:eastAsia="Palatino Linotype" w:hAnsi="Palatino Linotype" w:cs="Palatino Linotype"/>
          <w:b/>
          <w:bCs/>
          <w:i/>
          <w:iCs/>
          <w:color w:val="000000"/>
          <w:sz w:val="24"/>
          <w:szCs w:val="24"/>
        </w:rPr>
        <w:lastRenderedPageBreak/>
        <w:t>noviembre de dos mil veinticinco correspondientes a la Primer Regiduría.</w:t>
      </w:r>
    </w:p>
    <w:p w:rsidR="00E50455" w:rsidRPr="00957D13" w:rsidRDefault="00117A9F">
      <w:pPr>
        <w:numPr>
          <w:ilvl w:val="0"/>
          <w:numId w:val="2"/>
        </w:numPr>
        <w:pBdr>
          <w:top w:val="nil"/>
          <w:left w:val="nil"/>
          <w:bottom w:val="nil"/>
          <w:right w:val="nil"/>
          <w:between w:val="nil"/>
        </w:pBdr>
        <w:tabs>
          <w:tab w:val="left" w:pos="7513"/>
        </w:tabs>
        <w:spacing w:line="360" w:lineRule="auto"/>
        <w:ind w:left="1134" w:right="1247"/>
        <w:jc w:val="both"/>
        <w:rPr>
          <w:rFonts w:ascii="Palatino Linotype" w:eastAsia="Palatino Linotype" w:hAnsi="Palatino Linotype" w:cs="Palatino Linotype"/>
          <w:b/>
          <w:bCs/>
          <w:i/>
          <w:iCs/>
          <w:color w:val="000000"/>
          <w:sz w:val="24"/>
          <w:szCs w:val="24"/>
        </w:rPr>
      </w:pPr>
      <w:r w:rsidRPr="00957D13">
        <w:rPr>
          <w:rFonts w:ascii="Palatino Linotype" w:eastAsia="Palatino Linotype" w:hAnsi="Palatino Linotype" w:cs="Palatino Linotype"/>
          <w:b/>
          <w:bCs/>
          <w:i/>
          <w:iCs/>
          <w:color w:val="000000"/>
          <w:sz w:val="24"/>
          <w:szCs w:val="24"/>
        </w:rPr>
        <w:t>Documento o documentos donde consten las respuestas a las solicitudes ciudadanas faltantes de fecha uno de enero a diez de noviembre de dos mil veinticinco correspondientes a la Décima Regiduría en versión pública.</w:t>
      </w:r>
    </w:p>
    <w:p w:rsidR="00E50455" w:rsidRPr="00957D13" w:rsidRDefault="00117A9F">
      <w:pPr>
        <w:tabs>
          <w:tab w:val="left" w:pos="7513"/>
        </w:tabs>
        <w:spacing w:line="276" w:lineRule="auto"/>
        <w:ind w:left="851" w:right="1247"/>
        <w:jc w:val="both"/>
        <w:rPr>
          <w:rFonts w:ascii="Palatino Linotype" w:eastAsia="Palatino Linotype" w:hAnsi="Palatino Linotype" w:cs="Palatino Linotype"/>
          <w:i/>
          <w:iCs/>
          <w:color w:val="000000"/>
          <w:sz w:val="24"/>
          <w:szCs w:val="24"/>
        </w:rPr>
      </w:pPr>
      <w:r w:rsidRPr="00957D13">
        <w:rPr>
          <w:rFonts w:ascii="Palatino Linotype" w:eastAsia="Palatino Linotype" w:hAnsi="Palatino Linotype" w:cs="Palatino Linotype"/>
          <w:b/>
          <w:bCs/>
          <w:i/>
          <w:iCs/>
          <w:color w:val="000000"/>
          <w:sz w:val="24"/>
          <w:szCs w:val="24"/>
        </w:rPr>
        <w:t xml:space="preserve"> </w:t>
      </w:r>
      <w:r w:rsidRPr="00957D13">
        <w:rPr>
          <w:rFonts w:ascii="Palatino Linotype" w:eastAsia="Palatino Linotype" w:hAnsi="Palatino Linotype" w:cs="Palatino Linotype"/>
          <w:i/>
          <w:iCs/>
          <w:color w:val="000000"/>
          <w:sz w:val="24"/>
          <w:szCs w:val="24"/>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RECURRENTE.</w:t>
      </w:r>
    </w:p>
    <w:p w:rsidR="00E50455" w:rsidRPr="00957D13" w:rsidRDefault="00117A9F">
      <w:pPr>
        <w:spacing w:line="276" w:lineRule="auto"/>
        <w:ind w:left="851" w:right="1247"/>
        <w:jc w:val="both"/>
        <w:rPr>
          <w:b/>
          <w:bCs/>
          <w:i/>
          <w:iCs/>
          <w:sz w:val="24"/>
          <w:szCs w:val="24"/>
        </w:rPr>
      </w:pPr>
      <w:r w:rsidRPr="00957D13">
        <w:rPr>
          <w:rFonts w:ascii="Palatino Linotype" w:eastAsia="Palatino Linotype" w:hAnsi="Palatino Linotype" w:cs="Palatino Linotype"/>
          <w:i/>
          <w:iCs/>
          <w:sz w:val="24"/>
          <w:szCs w:val="24"/>
        </w:rPr>
        <w:t xml:space="preserve">Sin embargo para los puntos tres, ocho y diez de ser el caso en que no se cuente con la información, bastará con que así se haga del conocimiento a </w:t>
      </w:r>
      <w:r w:rsidRPr="00957D13">
        <w:rPr>
          <w:rFonts w:ascii="Palatino Linotype" w:eastAsia="Palatino Linotype" w:hAnsi="Palatino Linotype" w:cs="Palatino Linotype"/>
          <w:b/>
          <w:bCs/>
          <w:i/>
          <w:iCs/>
          <w:sz w:val="24"/>
          <w:szCs w:val="24"/>
        </w:rPr>
        <w:t xml:space="preserve">LA PARTE RECURRENTE </w:t>
      </w:r>
      <w:r w:rsidRPr="00957D13">
        <w:rPr>
          <w:rFonts w:ascii="Palatino Linotype" w:eastAsia="Palatino Linotype" w:hAnsi="Palatino Linotype" w:cs="Palatino Linotype"/>
          <w:i/>
          <w:iCs/>
          <w:sz w:val="24"/>
          <w:szCs w:val="24"/>
        </w:rPr>
        <w:t>en términos de lo que establece el artículo 19 segundo párrafo de la Ley de Transparencia Local.</w:t>
      </w:r>
    </w:p>
    <w:p w:rsidR="00E50455" w:rsidRPr="00957D13" w:rsidRDefault="00E50455">
      <w:pPr>
        <w:spacing w:line="360" w:lineRule="auto"/>
        <w:ind w:left="851" w:right="51"/>
        <w:jc w:val="both"/>
        <w:rPr>
          <w:rFonts w:ascii="Palatino Linotype" w:eastAsia="Palatino Linotype" w:hAnsi="Palatino Linotype" w:cs="Palatino Linotype"/>
          <w:color w:val="000000"/>
          <w:sz w:val="24"/>
          <w:szCs w:val="24"/>
        </w:rPr>
      </w:pPr>
    </w:p>
    <w:p w:rsidR="00E50455" w:rsidRPr="00957D13" w:rsidRDefault="00117A9F">
      <w:pPr>
        <w:spacing w:line="360" w:lineRule="auto"/>
        <w:ind w:right="-28"/>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 xml:space="preserve">TERCERO. </w:t>
      </w:r>
      <w:r w:rsidRPr="00957D13">
        <w:rPr>
          <w:rFonts w:ascii="Palatino Linotype" w:eastAsia="Palatino Linotype" w:hAnsi="Palatino Linotype" w:cs="Palatino Linotype"/>
          <w:sz w:val="24"/>
          <w:szCs w:val="24"/>
        </w:rPr>
        <w:t>Resultan infundadas las</w:t>
      </w:r>
      <w:r w:rsidRPr="00957D13">
        <w:rPr>
          <w:rFonts w:ascii="Palatino Linotype" w:eastAsia="Palatino Linotype" w:hAnsi="Palatino Linotype" w:cs="Palatino Linotype"/>
          <w:b/>
          <w:bCs/>
          <w:sz w:val="24"/>
          <w:szCs w:val="24"/>
        </w:rPr>
        <w:t xml:space="preserve"> </w:t>
      </w:r>
      <w:r w:rsidRPr="00957D13">
        <w:rPr>
          <w:rFonts w:ascii="Palatino Linotype" w:eastAsia="Palatino Linotype" w:hAnsi="Palatino Linotype" w:cs="Palatino Linotype"/>
          <w:sz w:val="24"/>
          <w:szCs w:val="24"/>
        </w:rPr>
        <w:t>razones o motivos de inconformidad hechos valer en el recurso de revisión</w:t>
      </w:r>
      <w:r w:rsidRPr="00957D13">
        <w:rPr>
          <w:rFonts w:ascii="Palatino Linotype" w:eastAsia="Palatino Linotype" w:hAnsi="Palatino Linotype" w:cs="Palatino Linotype"/>
          <w:b/>
          <w:bCs/>
          <w:sz w:val="24"/>
          <w:szCs w:val="24"/>
        </w:rPr>
        <w:t xml:space="preserve"> 9708/INFOEM/IP/RR/2025, </w:t>
      </w:r>
      <w:r w:rsidRPr="00957D13">
        <w:rPr>
          <w:rFonts w:ascii="Palatino Linotype" w:eastAsia="Palatino Linotype" w:hAnsi="Palatino Linotype" w:cs="Palatino Linotype"/>
          <w:sz w:val="24"/>
          <w:szCs w:val="24"/>
        </w:rPr>
        <w:t xml:space="preserve">en términos del </w:t>
      </w:r>
      <w:r w:rsidRPr="00957D13">
        <w:rPr>
          <w:rFonts w:ascii="Palatino Linotype" w:eastAsia="Palatino Linotype" w:hAnsi="Palatino Linotype" w:cs="Palatino Linotype"/>
          <w:b/>
          <w:bCs/>
          <w:sz w:val="24"/>
          <w:szCs w:val="24"/>
        </w:rPr>
        <w:t>Considerando</w:t>
      </w:r>
      <w:r w:rsidRPr="00957D13">
        <w:rPr>
          <w:rFonts w:ascii="Palatino Linotype" w:eastAsia="Palatino Linotype" w:hAnsi="Palatino Linotype" w:cs="Palatino Linotype"/>
          <w:sz w:val="24"/>
          <w:szCs w:val="24"/>
        </w:rPr>
        <w:t xml:space="preserve"> </w:t>
      </w:r>
      <w:r w:rsidRPr="00957D13">
        <w:rPr>
          <w:rFonts w:ascii="Palatino Linotype" w:eastAsia="Palatino Linotype" w:hAnsi="Palatino Linotype" w:cs="Palatino Linotype"/>
          <w:b/>
          <w:bCs/>
          <w:sz w:val="24"/>
          <w:szCs w:val="24"/>
        </w:rPr>
        <w:t>CUARTO</w:t>
      </w:r>
      <w:r w:rsidRPr="00957D13">
        <w:rPr>
          <w:rFonts w:ascii="Palatino Linotype" w:eastAsia="Palatino Linotype" w:hAnsi="Palatino Linotype" w:cs="Palatino Linotype"/>
          <w:sz w:val="24"/>
          <w:szCs w:val="24"/>
        </w:rPr>
        <w:t xml:space="preserve"> de la presente resolución.</w:t>
      </w:r>
    </w:p>
    <w:p w:rsidR="00E50455" w:rsidRPr="00957D13" w:rsidRDefault="00E50455">
      <w:pPr>
        <w:ind w:right="-28"/>
        <w:jc w:val="both"/>
        <w:rPr>
          <w:rFonts w:ascii="Palatino Linotype" w:eastAsia="Palatino Linotype" w:hAnsi="Palatino Linotype" w:cs="Palatino Linotype"/>
          <w:sz w:val="24"/>
          <w:szCs w:val="24"/>
        </w:rPr>
      </w:pPr>
    </w:p>
    <w:p w:rsidR="00E50455" w:rsidRPr="00957D13" w:rsidRDefault="00117A9F">
      <w:pPr>
        <w:spacing w:line="360" w:lineRule="auto"/>
        <w:jc w:val="both"/>
        <w:rPr>
          <w:rFonts w:ascii="Palatino Linotype" w:eastAsia="Palatino Linotype" w:hAnsi="Palatino Linotype" w:cs="Palatino Linotype"/>
          <w:b/>
          <w:bCs/>
          <w:sz w:val="24"/>
          <w:szCs w:val="24"/>
        </w:rPr>
      </w:pPr>
      <w:bookmarkStart w:id="15" w:name="_heading=h.le687wrc6rv4" w:colFirst="0" w:colLast="0"/>
      <w:bookmarkEnd w:id="15"/>
      <w:r w:rsidRPr="00957D13">
        <w:rPr>
          <w:rFonts w:ascii="Palatino Linotype" w:eastAsia="Palatino Linotype" w:hAnsi="Palatino Linotype" w:cs="Palatino Linotype"/>
          <w:b/>
          <w:bCs/>
          <w:sz w:val="24"/>
          <w:szCs w:val="24"/>
        </w:rPr>
        <w:t>CUARTO.</w:t>
      </w:r>
      <w:r w:rsidRPr="00957D13">
        <w:rPr>
          <w:rFonts w:ascii="Palatino Linotype" w:eastAsia="Palatino Linotype" w:hAnsi="Palatino Linotype" w:cs="Palatino Linotype"/>
          <w:b/>
          <w:bCs/>
          <w:color w:val="2E75B5"/>
          <w:sz w:val="24"/>
          <w:szCs w:val="24"/>
        </w:rPr>
        <w:t xml:space="preserve"> </w:t>
      </w:r>
      <w:r w:rsidRPr="00957D13">
        <w:rPr>
          <w:rFonts w:ascii="Palatino Linotype" w:eastAsia="Palatino Linotype" w:hAnsi="Palatino Linotype" w:cs="Palatino Linotype"/>
          <w:sz w:val="24"/>
          <w:szCs w:val="24"/>
        </w:rPr>
        <w:t>Se</w:t>
      </w:r>
      <w:r w:rsidRPr="00957D13">
        <w:rPr>
          <w:rFonts w:ascii="Palatino Linotype" w:eastAsia="Palatino Linotype" w:hAnsi="Palatino Linotype" w:cs="Palatino Linotype"/>
          <w:b/>
          <w:bCs/>
          <w:sz w:val="24"/>
          <w:szCs w:val="24"/>
        </w:rPr>
        <w:t xml:space="preserve"> CONFIRMA </w:t>
      </w:r>
      <w:r w:rsidRPr="00957D13">
        <w:rPr>
          <w:rFonts w:ascii="Palatino Linotype" w:eastAsia="Palatino Linotype" w:hAnsi="Palatino Linotype" w:cs="Palatino Linotype"/>
          <w:sz w:val="24"/>
          <w:szCs w:val="24"/>
        </w:rPr>
        <w:t xml:space="preserve">la respuesta emitida por el Ayuntamiento de Toluca dentro de  la solicitud de información </w:t>
      </w:r>
      <w:r w:rsidRPr="00957D13">
        <w:rPr>
          <w:rFonts w:ascii="Palatino Linotype" w:eastAsia="Palatino Linotype" w:hAnsi="Palatino Linotype" w:cs="Palatino Linotype"/>
          <w:b/>
          <w:bCs/>
          <w:sz w:val="24"/>
          <w:szCs w:val="24"/>
        </w:rPr>
        <w:t>04066/TOLUCA/IP/2025.</w:t>
      </w:r>
    </w:p>
    <w:p w:rsidR="00E50455" w:rsidRPr="00957D13" w:rsidRDefault="00E50455">
      <w:pPr>
        <w:tabs>
          <w:tab w:val="left" w:pos="8080"/>
        </w:tabs>
        <w:spacing w:line="360" w:lineRule="auto"/>
        <w:jc w:val="both"/>
        <w:rPr>
          <w:rFonts w:ascii="Palatino Linotype" w:eastAsia="Palatino Linotype" w:hAnsi="Palatino Linotype" w:cs="Palatino Linotype"/>
          <w:b/>
          <w:bCs/>
          <w:sz w:val="24"/>
          <w:szCs w:val="24"/>
        </w:rPr>
      </w:pPr>
    </w:p>
    <w:p w:rsidR="00E50455" w:rsidRPr="00957D13" w:rsidRDefault="00117A9F">
      <w:pPr>
        <w:tabs>
          <w:tab w:val="left" w:pos="8080"/>
        </w:tabs>
        <w:spacing w:line="360" w:lineRule="auto"/>
        <w:jc w:val="both"/>
        <w:rPr>
          <w:rFonts w:ascii="Palatino Linotype" w:eastAsia="Palatino Linotype" w:hAnsi="Palatino Linotype" w:cs="Palatino Linotype"/>
          <w:color w:val="222222"/>
          <w:sz w:val="24"/>
          <w:szCs w:val="24"/>
        </w:rPr>
      </w:pPr>
      <w:r w:rsidRPr="00957D13">
        <w:rPr>
          <w:rFonts w:ascii="Palatino Linotype" w:eastAsia="Palatino Linotype" w:hAnsi="Palatino Linotype" w:cs="Palatino Linotype"/>
          <w:b/>
          <w:bCs/>
          <w:color w:val="222222"/>
          <w:sz w:val="24"/>
          <w:szCs w:val="24"/>
        </w:rPr>
        <w:lastRenderedPageBreak/>
        <w:t>QUINTO.</w:t>
      </w:r>
      <w:r w:rsidRPr="00957D13">
        <w:rPr>
          <w:rFonts w:ascii="Palatino Linotype" w:eastAsia="Palatino Linotype" w:hAnsi="Palatino Linotype" w:cs="Palatino Linotype"/>
          <w:color w:val="222222"/>
          <w:sz w:val="24"/>
          <w:szCs w:val="24"/>
        </w:rPr>
        <w:t xml:space="preserve"> 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957D13">
        <w:rPr>
          <w:rFonts w:ascii="Palatino Linotype" w:eastAsia="Palatino Linotype" w:hAnsi="Palatino Linotype" w:cs="Palatino Linotype"/>
          <w:b/>
          <w:bCs/>
          <w:color w:val="222222"/>
          <w:sz w:val="24"/>
          <w:szCs w:val="24"/>
        </w:rPr>
        <w:t xml:space="preserve">dé cumplimiento a lo ordenado dentro del plazo de diez días hábiles, </w:t>
      </w:r>
      <w:r w:rsidRPr="00957D13">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E50455" w:rsidRPr="00957D13" w:rsidRDefault="00E50455">
      <w:pPr>
        <w:spacing w:line="480" w:lineRule="auto"/>
        <w:jc w:val="both"/>
        <w:rPr>
          <w:rFonts w:ascii="Palatino Linotype" w:eastAsia="Palatino Linotype" w:hAnsi="Palatino Linotype" w:cs="Palatino Linotype"/>
          <w:sz w:val="24"/>
          <w:szCs w:val="24"/>
        </w:rPr>
      </w:pPr>
    </w:p>
    <w:p w:rsidR="00E50455" w:rsidRPr="00957D13" w:rsidRDefault="00117A9F">
      <w:pPr>
        <w:spacing w:line="360" w:lineRule="auto"/>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 xml:space="preserve">SEXTO. </w:t>
      </w:r>
      <w:r w:rsidRPr="00957D13">
        <w:rPr>
          <w:rFonts w:ascii="Palatino Linotype" w:eastAsia="Palatino Linotype" w:hAnsi="Palatino Linotype" w:cs="Palatino Linotype"/>
          <w:sz w:val="24"/>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rsidR="00E50455" w:rsidRPr="00957D13" w:rsidRDefault="00E50455">
      <w:pPr>
        <w:spacing w:line="480" w:lineRule="auto"/>
        <w:jc w:val="both"/>
        <w:rPr>
          <w:rFonts w:ascii="Palatino Linotype" w:eastAsia="Palatino Linotype" w:hAnsi="Palatino Linotype" w:cs="Palatino Linotype"/>
          <w:sz w:val="24"/>
          <w:szCs w:val="24"/>
        </w:rPr>
      </w:pPr>
    </w:p>
    <w:p w:rsidR="00E50455" w:rsidRPr="00957D13" w:rsidRDefault="00117A9F">
      <w:pPr>
        <w:spacing w:line="360" w:lineRule="auto"/>
        <w:ind w:right="49"/>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 xml:space="preserve">SÉPTIMO. </w:t>
      </w:r>
      <w:r w:rsidRPr="00957D13">
        <w:rPr>
          <w:rFonts w:ascii="Palatino Linotype" w:eastAsia="Palatino Linotype" w:hAnsi="Palatino Linotype" w:cs="Palatino Linotype"/>
          <w:b/>
          <w:bCs/>
          <w:color w:val="222222"/>
          <w:sz w:val="24"/>
          <w:szCs w:val="24"/>
        </w:rPr>
        <w:t xml:space="preserve">Notifíquese </w:t>
      </w:r>
      <w:r w:rsidRPr="00957D13">
        <w:rPr>
          <w:rFonts w:ascii="Palatino Linotype" w:eastAsia="Palatino Linotype" w:hAnsi="Palatino Linotype" w:cs="Palatino Linotype"/>
          <w:color w:val="222222"/>
          <w:sz w:val="24"/>
          <w:szCs w:val="24"/>
        </w:rPr>
        <w:t xml:space="preserve">a </w:t>
      </w:r>
      <w:r w:rsidRPr="00957D13">
        <w:rPr>
          <w:rFonts w:ascii="Palatino Linotype" w:eastAsia="Palatino Linotype" w:hAnsi="Palatino Linotype" w:cs="Palatino Linotype"/>
          <w:b/>
          <w:bCs/>
          <w:sz w:val="24"/>
          <w:szCs w:val="24"/>
        </w:rPr>
        <w:t>LA RECURRENTE</w:t>
      </w:r>
      <w:r w:rsidRPr="00957D13">
        <w:rPr>
          <w:rFonts w:ascii="Palatino Linotype" w:eastAsia="Palatino Linotype" w:hAnsi="Palatino Linotype" w:cs="Palatino Linotype"/>
          <w:sz w:val="24"/>
          <w:szCs w:val="24"/>
        </w:rPr>
        <w:t xml:space="preserve"> la presente resolución, vía SAIMEX.</w:t>
      </w:r>
    </w:p>
    <w:p w:rsidR="00E50455" w:rsidRPr="00957D13" w:rsidRDefault="00E50455">
      <w:pPr>
        <w:spacing w:line="480" w:lineRule="auto"/>
        <w:ind w:right="49"/>
        <w:jc w:val="both"/>
        <w:rPr>
          <w:rFonts w:ascii="Palatino Linotype" w:eastAsia="Palatino Linotype" w:hAnsi="Palatino Linotype" w:cs="Palatino Linotype"/>
          <w:sz w:val="24"/>
          <w:szCs w:val="24"/>
        </w:rPr>
      </w:pPr>
    </w:p>
    <w:p w:rsidR="00E50455" w:rsidRPr="00957D13" w:rsidRDefault="00117A9F">
      <w:pPr>
        <w:spacing w:line="360" w:lineRule="auto"/>
        <w:ind w:right="49"/>
        <w:jc w:val="both"/>
        <w:rPr>
          <w:rFonts w:ascii="Palatino Linotype" w:eastAsia="Palatino Linotype" w:hAnsi="Palatino Linotype" w:cs="Palatino Linotype"/>
          <w:sz w:val="24"/>
          <w:szCs w:val="24"/>
        </w:rPr>
      </w:pPr>
      <w:r w:rsidRPr="00957D13">
        <w:rPr>
          <w:rFonts w:ascii="Palatino Linotype" w:eastAsia="Palatino Linotype" w:hAnsi="Palatino Linotype" w:cs="Palatino Linotype"/>
          <w:b/>
          <w:bCs/>
          <w:sz w:val="24"/>
          <w:szCs w:val="24"/>
        </w:rPr>
        <w:t>OCTAVO.</w:t>
      </w:r>
      <w:r w:rsidRPr="00957D13">
        <w:rPr>
          <w:rFonts w:ascii="Palatino Linotype" w:eastAsia="Palatino Linotype" w:hAnsi="Palatino Linotype" w:cs="Palatino Linotype"/>
          <w:sz w:val="24"/>
          <w:szCs w:val="24"/>
        </w:rPr>
        <w:t xml:space="preserve"> Se hace del conocimiento de </w:t>
      </w:r>
      <w:r w:rsidRPr="00957D13">
        <w:rPr>
          <w:rFonts w:ascii="Palatino Linotype" w:eastAsia="Palatino Linotype" w:hAnsi="Palatino Linotype" w:cs="Palatino Linotype"/>
          <w:b/>
          <w:bCs/>
          <w:sz w:val="24"/>
          <w:szCs w:val="24"/>
        </w:rPr>
        <w:t>LA RECURRENTE</w:t>
      </w:r>
      <w:r w:rsidRPr="00957D13">
        <w:rPr>
          <w:rFonts w:ascii="Palatino Linotype" w:eastAsia="Palatino Linotype" w:hAnsi="Palatino Linotype" w:cs="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E50455" w:rsidRPr="00957D13" w:rsidRDefault="00E50455">
      <w:pPr>
        <w:spacing w:line="360" w:lineRule="auto"/>
        <w:ind w:right="49"/>
        <w:jc w:val="both"/>
        <w:rPr>
          <w:rFonts w:ascii="Palatino Linotype" w:eastAsia="Palatino Linotype" w:hAnsi="Palatino Linotype" w:cs="Palatino Linotype"/>
          <w:sz w:val="24"/>
          <w:szCs w:val="24"/>
        </w:rPr>
      </w:pPr>
    </w:p>
    <w:p w:rsidR="003C5658" w:rsidRPr="00957D13" w:rsidRDefault="003C5658">
      <w:pPr>
        <w:spacing w:line="360" w:lineRule="auto"/>
        <w:ind w:right="49"/>
        <w:jc w:val="both"/>
        <w:rPr>
          <w:rFonts w:ascii="Palatino Linotype" w:hAnsi="Palatino Linotype"/>
          <w:color w:val="000000"/>
          <w:sz w:val="24"/>
          <w:szCs w:val="24"/>
          <w:shd w:val="clear" w:color="auto" w:fill="FAFAFA"/>
          <w:lang w:val="es-ES_tradnl"/>
        </w:rPr>
      </w:pPr>
      <w:r w:rsidRPr="00957D13">
        <w:rPr>
          <w:rFonts w:ascii="Palatino Linotype" w:hAnsi="Palatino Linotype"/>
          <w:b/>
          <w:bCs/>
          <w:color w:val="000000"/>
          <w:sz w:val="24"/>
          <w:szCs w:val="24"/>
          <w:shd w:val="clear" w:color="auto" w:fill="FAFAFA"/>
          <w:lang w:val="es-ES_tradnl"/>
        </w:rPr>
        <w:lastRenderedPageBreak/>
        <w:t>NOVENO. Gírese</w:t>
      </w:r>
      <w:r w:rsidRPr="00957D13">
        <w:rPr>
          <w:rFonts w:ascii="Palatino Linotype" w:hAnsi="Palatino Linotype"/>
          <w:color w:val="000000"/>
          <w:sz w:val="24"/>
          <w:szCs w:val="24"/>
          <w:shd w:val="clear" w:color="auto" w:fill="FAFAFA"/>
          <w:lang w:val="es-ES_tradnl"/>
        </w:rPr>
        <w:t> oficio al Titular de la Dirección General de Protección de Datos Personales, en atención al artículo 82, fracción XXVII de la Ley de Protección de Datos Personales del Estado de México y Municipios en términos de lo señalado en el </w:t>
      </w:r>
      <w:r w:rsidRPr="00957D13">
        <w:rPr>
          <w:rFonts w:ascii="Palatino Linotype" w:hAnsi="Palatino Linotype"/>
          <w:b/>
          <w:bCs/>
          <w:color w:val="000000"/>
          <w:sz w:val="24"/>
          <w:szCs w:val="24"/>
          <w:shd w:val="clear" w:color="auto" w:fill="FAFAFA"/>
          <w:lang w:val="es-ES_tradnl"/>
        </w:rPr>
        <w:t xml:space="preserve">Considerando </w:t>
      </w:r>
      <w:r w:rsidR="0069166D" w:rsidRPr="00957D13">
        <w:rPr>
          <w:rFonts w:ascii="Palatino Linotype" w:hAnsi="Palatino Linotype"/>
          <w:b/>
          <w:bCs/>
          <w:color w:val="000000"/>
          <w:sz w:val="24"/>
          <w:szCs w:val="24"/>
          <w:shd w:val="clear" w:color="auto" w:fill="FAFAFA"/>
          <w:lang w:val="es-ES_tradnl"/>
        </w:rPr>
        <w:t>CUAR</w:t>
      </w:r>
      <w:r w:rsidRPr="00957D13">
        <w:rPr>
          <w:rFonts w:ascii="Palatino Linotype" w:hAnsi="Palatino Linotype"/>
          <w:b/>
          <w:bCs/>
          <w:color w:val="000000"/>
          <w:sz w:val="24"/>
          <w:szCs w:val="24"/>
          <w:shd w:val="clear" w:color="auto" w:fill="FAFAFA"/>
          <w:lang w:val="es-ES_tradnl"/>
        </w:rPr>
        <w:t>TO</w:t>
      </w:r>
      <w:r w:rsidRPr="00957D13">
        <w:rPr>
          <w:rFonts w:ascii="Palatino Linotype" w:hAnsi="Palatino Linotype"/>
          <w:color w:val="000000"/>
          <w:sz w:val="24"/>
          <w:szCs w:val="24"/>
          <w:shd w:val="clear" w:color="auto" w:fill="FAFAFA"/>
          <w:lang w:val="es-ES_tradnl"/>
        </w:rPr>
        <w:t> de la presente resolución.</w:t>
      </w:r>
    </w:p>
    <w:p w:rsidR="003C5658" w:rsidRPr="00957D13" w:rsidRDefault="003C5658">
      <w:pPr>
        <w:spacing w:line="360" w:lineRule="auto"/>
        <w:ind w:right="49"/>
        <w:jc w:val="both"/>
        <w:rPr>
          <w:rFonts w:ascii="Palatino Linotype" w:eastAsia="Palatino Linotype" w:hAnsi="Palatino Linotype" w:cs="Palatino Linotype"/>
          <w:sz w:val="24"/>
          <w:szCs w:val="24"/>
        </w:rPr>
      </w:pPr>
    </w:p>
    <w:p w:rsidR="00DC196E" w:rsidRPr="00957D13" w:rsidRDefault="00DC196E" w:rsidP="00DC196E">
      <w:pPr>
        <w:spacing w:before="240" w:after="240" w:line="360" w:lineRule="auto"/>
        <w:ind w:firstLine="1"/>
        <w:jc w:val="both"/>
        <w:rPr>
          <w:rFonts w:ascii="Palatino Linotype" w:hAnsi="Palatino Linotype"/>
          <w:sz w:val="24"/>
          <w:szCs w:val="24"/>
        </w:rPr>
      </w:pPr>
      <w:bookmarkStart w:id="16" w:name="_Hlk99014733"/>
      <w:r w:rsidRPr="00957D13">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957D13">
        <w:rPr>
          <w:rFonts w:ascii="Palatino Linotype" w:hAnsi="Palatino Linotype" w:cs="Palatino Linotype"/>
          <w:color w:val="000000" w:themeColor="text1"/>
          <w:sz w:val="24"/>
          <w:szCs w:val="24"/>
        </w:rPr>
        <w:t>ALEXIS TAPIA RAMÍREZ.</w:t>
      </w:r>
    </w:p>
    <w:bookmarkEnd w:id="16"/>
    <w:p w:rsidR="00E50455" w:rsidRPr="00957D13" w:rsidRDefault="00E50455">
      <w:pPr>
        <w:spacing w:line="360" w:lineRule="auto"/>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DE2BD1" w:rsidRPr="00957D13" w:rsidRDefault="00DE2BD1">
      <w:pPr>
        <w:rPr>
          <w:rFonts w:ascii="Palatino Linotype" w:eastAsia="Palatino Linotype" w:hAnsi="Palatino Linotype" w:cs="Palatino Linotype"/>
          <w:sz w:val="24"/>
          <w:szCs w:val="24"/>
        </w:rPr>
      </w:pPr>
    </w:p>
    <w:p w:rsidR="00DE2BD1" w:rsidRPr="00957D13" w:rsidRDefault="00DE2BD1">
      <w:pPr>
        <w:rPr>
          <w:rFonts w:ascii="Palatino Linotype" w:eastAsia="Palatino Linotype" w:hAnsi="Palatino Linotype" w:cs="Palatino Linotype"/>
          <w:sz w:val="24"/>
          <w:szCs w:val="24"/>
        </w:rPr>
      </w:pPr>
    </w:p>
    <w:p w:rsidR="00DE2BD1" w:rsidRPr="00957D13" w:rsidRDefault="00DE2BD1">
      <w:pPr>
        <w:rPr>
          <w:rFonts w:ascii="Palatino Linotype" w:eastAsia="Palatino Linotype" w:hAnsi="Palatino Linotype" w:cs="Palatino Linotype"/>
          <w:sz w:val="24"/>
          <w:szCs w:val="24"/>
        </w:rPr>
      </w:pPr>
    </w:p>
    <w:p w:rsidR="00DE2BD1" w:rsidRPr="00957D13" w:rsidRDefault="00DE2BD1">
      <w:pPr>
        <w:rPr>
          <w:rFonts w:ascii="Palatino Linotype" w:eastAsia="Palatino Linotype" w:hAnsi="Palatino Linotype" w:cs="Palatino Linotype"/>
          <w:sz w:val="24"/>
          <w:szCs w:val="24"/>
        </w:rPr>
      </w:pPr>
    </w:p>
    <w:p w:rsidR="00DE2BD1" w:rsidRPr="00957D13" w:rsidRDefault="00DE2BD1">
      <w:pPr>
        <w:rPr>
          <w:rFonts w:ascii="Palatino Linotype" w:eastAsia="Palatino Linotype" w:hAnsi="Palatino Linotype" w:cs="Palatino Linotype"/>
          <w:sz w:val="24"/>
          <w:szCs w:val="24"/>
        </w:rPr>
      </w:pPr>
    </w:p>
    <w:p w:rsidR="00DE2BD1" w:rsidRPr="00957D13" w:rsidRDefault="00DE2BD1">
      <w:pPr>
        <w:rPr>
          <w:rFonts w:ascii="Palatino Linotype" w:eastAsia="Palatino Linotype" w:hAnsi="Palatino Linotype" w:cs="Palatino Linotype"/>
          <w:sz w:val="24"/>
          <w:szCs w:val="24"/>
        </w:rPr>
      </w:pPr>
    </w:p>
    <w:p w:rsidR="00E50455" w:rsidRPr="00957D13" w:rsidRDefault="00E50455">
      <w:pPr>
        <w:rPr>
          <w:rFonts w:ascii="Palatino Linotype" w:eastAsia="Palatino Linotype" w:hAnsi="Palatino Linotype" w:cs="Palatino Linotype"/>
          <w:sz w:val="24"/>
          <w:szCs w:val="24"/>
        </w:rPr>
      </w:pPr>
    </w:p>
    <w:p w:rsidR="00E50455" w:rsidRPr="00957D13" w:rsidRDefault="00E50455">
      <w:pPr>
        <w:rPr>
          <w:sz w:val="24"/>
          <w:szCs w:val="24"/>
        </w:rPr>
      </w:pPr>
    </w:p>
    <w:sectPr w:rsidR="00E50455" w:rsidRPr="00957D13">
      <w:headerReference w:type="even" r:id="rId9"/>
      <w:headerReference w:type="default" r:id="rId10"/>
      <w:footerReference w:type="default" r:id="rId11"/>
      <w:headerReference w:type="first" r:id="rId12"/>
      <w:footerReference w:type="first" r:id="rId13"/>
      <w:pgSz w:w="12240" w:h="15840"/>
      <w:pgMar w:top="80" w:right="900" w:bottom="2268" w:left="1588" w:header="709" w:footer="73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25F" w:rsidRDefault="00CF325F">
      <w:r>
        <w:separator/>
      </w:r>
    </w:p>
  </w:endnote>
  <w:endnote w:type="continuationSeparator" w:id="0">
    <w:p w:rsidR="00CF325F" w:rsidRDefault="00CF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A722E22F-3037-444E-88B1-637A023D2A41}"/>
    <w:embedBold r:id="rId2" w:fontKey="{6387F43F-6E3B-48EF-B18F-BD2B1BBCA152}"/>
    <w:embedItalic r:id="rId3" w:fontKey="{B4990DB1-2EC3-45B9-8C65-97C38000A4B0}"/>
    <w:embedBoldItalic r:id="rId4" w:fontKey="{0B0C3B46-1470-43B2-8318-C6452E2EF06D}"/>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B9748733-3515-4583-B60E-25BB8A734F1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DFF4FD1-594B-47F7-9386-92E22BAEDCF7}"/>
    <w:embedItalic r:id="rId7" w:fontKey="{AE67A008-E6E4-44BB-8F62-1FF999236FD2}"/>
  </w:font>
  <w:font w:name="Calibri Light">
    <w:panose1 w:val="020F0302020204030204"/>
    <w:charset w:val="00"/>
    <w:family w:val="swiss"/>
    <w:pitch w:val="variable"/>
    <w:sig w:usb0="E4002EFF" w:usb1="C200247B" w:usb2="00000009" w:usb3="00000000" w:csb0="000001FF" w:csb1="00000000"/>
    <w:embedRegular r:id="rId8" w:fontKey="{E19484D2-BB4C-4738-ADE0-601775E9AA66}"/>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embedRegular r:id="rId9" w:fontKey="{120DA3E2-3613-40BD-87A8-F3C53DCC87E2}"/>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0" w:fontKey="{7E3F1F67-C05C-4845-9F79-27394DE05308}"/>
  </w:font>
  <w:font w:name="Georgia">
    <w:panose1 w:val="02040502050405020303"/>
    <w:charset w:val="00"/>
    <w:family w:val="roman"/>
    <w:pitch w:val="variable"/>
    <w:sig w:usb0="00000287" w:usb1="00000000" w:usb2="00000000" w:usb3="00000000" w:csb0="0000009F" w:csb1="00000000"/>
    <w:embedItalic r:id="rId11" w:fontKey="{CB17D1F8-F52A-4255-A536-B076C22B6C72}"/>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12" w:fontKey="{11F16915-ECB9-415E-9282-E820CEDBDBA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455" w:rsidRDefault="00E50455">
    <w:pPr>
      <w:pBdr>
        <w:top w:val="nil"/>
        <w:left w:val="nil"/>
        <w:bottom w:val="nil"/>
        <w:right w:val="nil"/>
        <w:between w:val="nil"/>
      </w:pBdr>
      <w:tabs>
        <w:tab w:val="center" w:pos="4419"/>
        <w:tab w:val="right" w:pos="8838"/>
      </w:tabs>
      <w:jc w:val="right"/>
      <w:rPr>
        <w:color w:val="000000"/>
      </w:rPr>
    </w:pPr>
  </w:p>
  <w:p w:rsidR="00E50455" w:rsidRPr="00957D13" w:rsidRDefault="00117A9F">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957D13">
      <w:rPr>
        <w:rFonts w:ascii="Palatino Linotype" w:hAnsi="Palatino Linotype"/>
        <w:color w:val="000000"/>
        <w:sz w:val="22"/>
        <w:szCs w:val="22"/>
      </w:rPr>
      <w:t xml:space="preserve">Página </w:t>
    </w:r>
    <w:r w:rsidRPr="00957D13">
      <w:rPr>
        <w:rFonts w:ascii="Palatino Linotype" w:hAnsi="Palatino Linotype"/>
        <w:b/>
        <w:bCs/>
        <w:color w:val="000000"/>
        <w:sz w:val="22"/>
        <w:szCs w:val="22"/>
      </w:rPr>
      <w:fldChar w:fldCharType="begin"/>
    </w:r>
    <w:r w:rsidRPr="00957D13">
      <w:rPr>
        <w:rFonts w:ascii="Palatino Linotype" w:hAnsi="Palatino Linotype"/>
        <w:b/>
        <w:bCs/>
        <w:color w:val="000000"/>
        <w:sz w:val="22"/>
        <w:szCs w:val="22"/>
      </w:rPr>
      <w:instrText>PAGE</w:instrText>
    </w:r>
    <w:r w:rsidRPr="00957D13">
      <w:rPr>
        <w:rFonts w:ascii="Palatino Linotype" w:hAnsi="Palatino Linotype"/>
        <w:b/>
        <w:bCs/>
        <w:color w:val="000000"/>
        <w:sz w:val="22"/>
        <w:szCs w:val="22"/>
      </w:rPr>
      <w:fldChar w:fldCharType="separate"/>
    </w:r>
    <w:r w:rsidR="00AD0F0E">
      <w:rPr>
        <w:rFonts w:ascii="Palatino Linotype" w:hAnsi="Palatino Linotype"/>
        <w:b/>
        <w:bCs/>
        <w:noProof/>
        <w:color w:val="000000"/>
        <w:sz w:val="22"/>
        <w:szCs w:val="22"/>
      </w:rPr>
      <w:t>21</w:t>
    </w:r>
    <w:r w:rsidRPr="00957D13">
      <w:rPr>
        <w:rFonts w:ascii="Palatino Linotype" w:hAnsi="Palatino Linotype"/>
        <w:b/>
        <w:bCs/>
        <w:color w:val="000000"/>
        <w:sz w:val="22"/>
        <w:szCs w:val="22"/>
      </w:rPr>
      <w:fldChar w:fldCharType="end"/>
    </w:r>
    <w:r w:rsidRPr="00957D13">
      <w:rPr>
        <w:rFonts w:ascii="Palatino Linotype" w:hAnsi="Palatino Linotype"/>
        <w:color w:val="000000"/>
        <w:sz w:val="22"/>
        <w:szCs w:val="22"/>
      </w:rPr>
      <w:t xml:space="preserve"> de </w:t>
    </w:r>
    <w:r w:rsidRPr="00957D13">
      <w:rPr>
        <w:rFonts w:ascii="Palatino Linotype" w:hAnsi="Palatino Linotype"/>
        <w:b/>
        <w:bCs/>
        <w:color w:val="000000"/>
        <w:sz w:val="22"/>
        <w:szCs w:val="22"/>
      </w:rPr>
      <w:fldChar w:fldCharType="begin"/>
    </w:r>
    <w:r w:rsidRPr="00957D13">
      <w:rPr>
        <w:rFonts w:ascii="Palatino Linotype" w:hAnsi="Palatino Linotype"/>
        <w:b/>
        <w:bCs/>
        <w:color w:val="000000"/>
        <w:sz w:val="22"/>
        <w:szCs w:val="22"/>
      </w:rPr>
      <w:instrText>NUMPAGES</w:instrText>
    </w:r>
    <w:r w:rsidRPr="00957D13">
      <w:rPr>
        <w:rFonts w:ascii="Palatino Linotype" w:hAnsi="Palatino Linotype"/>
        <w:b/>
        <w:bCs/>
        <w:color w:val="000000"/>
        <w:sz w:val="22"/>
        <w:szCs w:val="22"/>
      </w:rPr>
      <w:fldChar w:fldCharType="separate"/>
    </w:r>
    <w:r w:rsidR="00AD0F0E">
      <w:rPr>
        <w:rFonts w:ascii="Palatino Linotype" w:hAnsi="Palatino Linotype"/>
        <w:b/>
        <w:bCs/>
        <w:noProof/>
        <w:color w:val="000000"/>
        <w:sz w:val="22"/>
        <w:szCs w:val="22"/>
      </w:rPr>
      <w:t>62</w:t>
    </w:r>
    <w:r w:rsidRPr="00957D13">
      <w:rPr>
        <w:rFonts w:ascii="Palatino Linotype" w:hAnsi="Palatino Linotype"/>
        <w:b/>
        <w:bCs/>
        <w:color w:val="000000"/>
        <w:sz w:val="22"/>
        <w:szCs w:val="22"/>
      </w:rPr>
      <w:fldChar w:fldCharType="end"/>
    </w:r>
  </w:p>
  <w:p w:rsidR="00E50455" w:rsidRDefault="00E50455">
    <w:pPr>
      <w:pBdr>
        <w:top w:val="nil"/>
        <w:left w:val="nil"/>
        <w:bottom w:val="nil"/>
        <w:right w:val="nil"/>
        <w:between w:val="nil"/>
      </w:pBdr>
      <w:tabs>
        <w:tab w:val="center" w:pos="4419"/>
        <w:tab w:val="right" w:pos="8838"/>
      </w:tabs>
      <w:rPr>
        <w:color w:val="000000"/>
      </w:rPr>
    </w:pPr>
  </w:p>
  <w:p w:rsidR="00E50455" w:rsidRDefault="00E50455"/>
  <w:p w:rsidR="00E50455" w:rsidRDefault="00E50455"/>
  <w:p w:rsidR="00E50455" w:rsidRDefault="00E5045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455" w:rsidRPr="00957D13" w:rsidRDefault="00117A9F">
    <w:pPr>
      <w:pBdr>
        <w:top w:val="nil"/>
        <w:left w:val="nil"/>
        <w:bottom w:val="nil"/>
        <w:right w:val="nil"/>
        <w:between w:val="nil"/>
      </w:pBdr>
      <w:tabs>
        <w:tab w:val="center" w:pos="4419"/>
        <w:tab w:val="right" w:pos="8838"/>
      </w:tabs>
      <w:jc w:val="right"/>
      <w:rPr>
        <w:rFonts w:ascii="Palatino Linotype" w:hAnsi="Palatino Linotype"/>
        <w:b/>
        <w:color w:val="000000"/>
        <w:sz w:val="22"/>
        <w:szCs w:val="22"/>
      </w:rPr>
    </w:pPr>
    <w:r w:rsidRPr="00957D13">
      <w:rPr>
        <w:rFonts w:ascii="Palatino Linotype" w:hAnsi="Palatino Linotype"/>
        <w:b/>
        <w:color w:val="000000"/>
        <w:sz w:val="22"/>
        <w:szCs w:val="22"/>
      </w:rPr>
      <w:t xml:space="preserve">Página </w:t>
    </w:r>
    <w:r w:rsidRPr="00957D13">
      <w:rPr>
        <w:rFonts w:ascii="Palatino Linotype" w:hAnsi="Palatino Linotype"/>
        <w:b/>
        <w:bCs/>
        <w:color w:val="000000"/>
        <w:sz w:val="22"/>
        <w:szCs w:val="22"/>
      </w:rPr>
      <w:fldChar w:fldCharType="begin"/>
    </w:r>
    <w:r w:rsidRPr="00957D13">
      <w:rPr>
        <w:rFonts w:ascii="Palatino Linotype" w:hAnsi="Palatino Linotype"/>
        <w:b/>
        <w:bCs/>
        <w:color w:val="000000"/>
        <w:sz w:val="22"/>
        <w:szCs w:val="22"/>
      </w:rPr>
      <w:instrText>PAGE</w:instrText>
    </w:r>
    <w:r w:rsidRPr="00957D13">
      <w:rPr>
        <w:rFonts w:ascii="Palatino Linotype" w:hAnsi="Palatino Linotype"/>
        <w:b/>
        <w:bCs/>
        <w:color w:val="000000"/>
        <w:sz w:val="22"/>
        <w:szCs w:val="22"/>
      </w:rPr>
      <w:fldChar w:fldCharType="separate"/>
    </w:r>
    <w:r w:rsidR="00AD0F0E">
      <w:rPr>
        <w:rFonts w:ascii="Palatino Linotype" w:hAnsi="Palatino Linotype"/>
        <w:b/>
        <w:bCs/>
        <w:noProof/>
        <w:color w:val="000000"/>
        <w:sz w:val="22"/>
        <w:szCs w:val="22"/>
      </w:rPr>
      <w:t>1</w:t>
    </w:r>
    <w:r w:rsidRPr="00957D13">
      <w:rPr>
        <w:rFonts w:ascii="Palatino Linotype" w:hAnsi="Palatino Linotype"/>
        <w:b/>
        <w:bCs/>
        <w:color w:val="000000"/>
        <w:sz w:val="22"/>
        <w:szCs w:val="22"/>
      </w:rPr>
      <w:fldChar w:fldCharType="end"/>
    </w:r>
    <w:r w:rsidRPr="00957D13">
      <w:rPr>
        <w:rFonts w:ascii="Palatino Linotype" w:hAnsi="Palatino Linotype"/>
        <w:b/>
        <w:color w:val="000000"/>
        <w:sz w:val="22"/>
        <w:szCs w:val="22"/>
      </w:rPr>
      <w:t xml:space="preserve"> de </w:t>
    </w:r>
    <w:r w:rsidRPr="00957D13">
      <w:rPr>
        <w:rFonts w:ascii="Palatino Linotype" w:hAnsi="Palatino Linotype"/>
        <w:b/>
        <w:bCs/>
        <w:color w:val="000000"/>
        <w:sz w:val="22"/>
        <w:szCs w:val="22"/>
      </w:rPr>
      <w:fldChar w:fldCharType="begin"/>
    </w:r>
    <w:r w:rsidRPr="00957D13">
      <w:rPr>
        <w:rFonts w:ascii="Palatino Linotype" w:hAnsi="Palatino Linotype"/>
        <w:b/>
        <w:bCs/>
        <w:color w:val="000000"/>
        <w:sz w:val="22"/>
        <w:szCs w:val="22"/>
      </w:rPr>
      <w:instrText>NUMPAGES</w:instrText>
    </w:r>
    <w:r w:rsidRPr="00957D13">
      <w:rPr>
        <w:rFonts w:ascii="Palatino Linotype" w:hAnsi="Palatino Linotype"/>
        <w:b/>
        <w:bCs/>
        <w:color w:val="000000"/>
        <w:sz w:val="22"/>
        <w:szCs w:val="22"/>
      </w:rPr>
      <w:fldChar w:fldCharType="separate"/>
    </w:r>
    <w:r w:rsidR="00AD0F0E">
      <w:rPr>
        <w:rFonts w:ascii="Palatino Linotype" w:hAnsi="Palatino Linotype"/>
        <w:b/>
        <w:bCs/>
        <w:noProof/>
        <w:color w:val="000000"/>
        <w:sz w:val="22"/>
        <w:szCs w:val="22"/>
      </w:rPr>
      <w:t>62</w:t>
    </w:r>
    <w:r w:rsidRPr="00957D13">
      <w:rPr>
        <w:rFonts w:ascii="Palatino Linotype" w:hAnsi="Palatino Linotype"/>
        <w:b/>
        <w:bCs/>
        <w:color w:val="000000"/>
        <w:sz w:val="22"/>
        <w:szCs w:val="22"/>
      </w:rPr>
      <w:fldChar w:fldCharType="end"/>
    </w:r>
  </w:p>
  <w:p w:rsidR="00E50455" w:rsidRDefault="00E50455">
    <w:pPr>
      <w:pBdr>
        <w:top w:val="nil"/>
        <w:left w:val="nil"/>
        <w:bottom w:val="nil"/>
        <w:right w:val="nil"/>
        <w:between w:val="nil"/>
      </w:pBdr>
      <w:tabs>
        <w:tab w:val="center" w:pos="4419"/>
        <w:tab w:val="right" w:pos="8838"/>
      </w:tabs>
      <w:rPr>
        <w:color w:val="000000"/>
      </w:rPr>
    </w:pPr>
  </w:p>
  <w:p w:rsidR="00E50455" w:rsidRDefault="00E50455"/>
  <w:p w:rsidR="00E50455" w:rsidRDefault="00E50455"/>
  <w:p w:rsidR="00E50455" w:rsidRDefault="00E50455"/>
  <w:p w:rsidR="00E50455" w:rsidRDefault="00E5045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25F" w:rsidRDefault="00CF325F">
      <w:r>
        <w:separator/>
      </w:r>
    </w:p>
  </w:footnote>
  <w:footnote w:type="continuationSeparator" w:id="0">
    <w:p w:rsidR="00CF325F" w:rsidRDefault="00CF325F">
      <w:r>
        <w:continuationSeparator/>
      </w:r>
    </w:p>
  </w:footnote>
  <w:footnote w:id="1">
    <w:p w:rsidR="00E50455" w:rsidRDefault="00117A9F">
      <w:pPr>
        <w:pBdr>
          <w:top w:val="nil"/>
          <w:left w:val="nil"/>
          <w:bottom w:val="nil"/>
          <w:right w:val="nil"/>
          <w:between w:val="nil"/>
        </w:pBdr>
        <w:rPr>
          <w:rFonts w:ascii="Calibri" w:eastAsia="Calibri" w:hAnsi="Calibri" w:cs="Calibri"/>
          <w:color w:val="000000"/>
        </w:rPr>
      </w:pPr>
      <w:r>
        <w:rPr>
          <w:vertAlign w:val="superscript"/>
        </w:rPr>
        <w:footnoteRef/>
      </w:r>
      <w:r>
        <w:rPr>
          <w:rFonts w:ascii="Calibri" w:eastAsia="Calibri" w:hAnsi="Calibri" w:cs="Calibri"/>
          <w:color w:val="000000"/>
        </w:rPr>
        <w:t xml:space="preserve"> Bando Municipal de Toluca 2025</w:t>
      </w:r>
    </w:p>
  </w:footnote>
  <w:footnote w:id="2">
    <w:p w:rsidR="00E50455" w:rsidRDefault="00117A9F">
      <w:pPr>
        <w:pBdr>
          <w:top w:val="nil"/>
          <w:left w:val="nil"/>
          <w:bottom w:val="nil"/>
          <w:right w:val="nil"/>
          <w:between w:val="nil"/>
        </w:pBdr>
        <w:rPr>
          <w:rFonts w:ascii="Palatino Linotype" w:eastAsia="Palatino Linotype" w:hAnsi="Palatino Linotype" w:cs="Palatino Linotype"/>
          <w:color w:val="000000"/>
        </w:rPr>
      </w:pPr>
      <w:r>
        <w:rPr>
          <w:vertAlign w:val="superscript"/>
        </w:rPr>
        <w:footnoteRef/>
      </w:r>
      <w:r>
        <w:rPr>
          <w:rFonts w:ascii="Calibri" w:eastAsia="Calibri" w:hAnsi="Calibri" w:cs="Calibri"/>
          <w:color w:val="000000"/>
        </w:rPr>
        <w:t xml:space="preserve"> </w:t>
      </w:r>
      <w:r>
        <w:rPr>
          <w:rFonts w:ascii="Palatino Linotype" w:eastAsia="Palatino Linotype" w:hAnsi="Palatino Linotype" w:cs="Palatino Linotype"/>
          <w:color w:val="000000"/>
        </w:rPr>
        <w:t>Constitución Política de los Estados Unidos Mexicanos (artículos 8; y 35, fracción V</w:t>
      </w:r>
    </w:p>
  </w:footnote>
  <w:footnote w:id="3">
    <w:p w:rsidR="00E50455" w:rsidRDefault="00117A9F">
      <w:pPr>
        <w:pBdr>
          <w:top w:val="nil"/>
          <w:left w:val="nil"/>
          <w:bottom w:val="nil"/>
          <w:right w:val="nil"/>
          <w:between w:val="nil"/>
        </w:pBdr>
        <w:rPr>
          <w:rFonts w:ascii="Palatino Linotype" w:eastAsia="Palatino Linotype" w:hAnsi="Palatino Linotype" w:cs="Palatino Linotype"/>
          <w:color w:val="000000"/>
        </w:rPr>
      </w:pPr>
      <w:r>
        <w:rPr>
          <w:vertAlign w:val="superscript"/>
        </w:rPr>
        <w:footnoteRef/>
      </w:r>
      <w:r>
        <w:rPr>
          <w:rFonts w:ascii="Palatino Linotype" w:eastAsia="Palatino Linotype" w:hAnsi="Palatino Linotype" w:cs="Palatino Linotype"/>
          <w:color w:val="000000"/>
        </w:rPr>
        <w:t xml:space="preserve"> Constitución Política del Estado Libre y Soberano de México (artículo 5)</w:t>
      </w:r>
    </w:p>
  </w:footnote>
  <w:footnote w:id="4">
    <w:p w:rsidR="00E50455" w:rsidRDefault="00117A9F">
      <w:pPr>
        <w:pBdr>
          <w:top w:val="nil"/>
          <w:left w:val="nil"/>
          <w:bottom w:val="nil"/>
          <w:right w:val="nil"/>
          <w:between w:val="nil"/>
        </w:pBdr>
        <w:rPr>
          <w:rFonts w:ascii="Palatino Linotype" w:eastAsia="Palatino Linotype" w:hAnsi="Palatino Linotype" w:cs="Palatino Linotype"/>
          <w:color w:val="000000"/>
        </w:rPr>
      </w:pPr>
      <w:r>
        <w:rPr>
          <w:vertAlign w:val="superscript"/>
        </w:rPr>
        <w:footnoteRef/>
      </w:r>
      <w:r>
        <w:rPr>
          <w:rFonts w:ascii="Palatino Linotype" w:eastAsia="Palatino Linotype" w:hAnsi="Palatino Linotype" w:cs="Palatino Linotype"/>
          <w:color w:val="000000"/>
        </w:rPr>
        <w:t xml:space="preserve"> Código de Procedimientos Administrativos del Estado de México (artículos 115-122)</w:t>
      </w:r>
    </w:p>
  </w:footnote>
  <w:footnote w:id="5">
    <w:p w:rsidR="00E50455" w:rsidRDefault="00117A9F">
      <w:pPr>
        <w:pBdr>
          <w:top w:val="nil"/>
          <w:left w:val="nil"/>
          <w:bottom w:val="nil"/>
          <w:right w:val="nil"/>
          <w:between w:val="nil"/>
        </w:pBdr>
        <w:rPr>
          <w:rFonts w:ascii="Palatino Linotype" w:eastAsia="Palatino Linotype" w:hAnsi="Palatino Linotype" w:cs="Palatino Linotype"/>
          <w:color w:val="000000"/>
        </w:rPr>
      </w:pPr>
      <w:r>
        <w:rPr>
          <w:vertAlign w:val="superscript"/>
        </w:rPr>
        <w:footnoteRef/>
      </w:r>
      <w:r>
        <w:rPr>
          <w:rFonts w:ascii="Palatino Linotype" w:eastAsia="Palatino Linotype" w:hAnsi="Palatino Linotype" w:cs="Palatino Linotype"/>
          <w:color w:val="000000"/>
        </w:rPr>
        <w:t xml:space="preserve"> Ley de Transparencia y Acceso a la Información Pública del Estado de México y Municipios (artículos 4, 7 y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0455" w:rsidRDefault="00CF325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663.5pt;height:12in;z-index:-251657728;mso-position-horizontal:center;mso-position-horizontal-relative:margin;mso-position-vertical:center;mso-position-vertical-relative:margin">
          <v:imagedata r:id="rId1" o:title="image1"/>
          <w10:wrap anchorx="margin" anchory="margin"/>
        </v:shape>
      </w:pict>
    </w:r>
  </w:p>
  <w:p w:rsidR="00E50455" w:rsidRDefault="00E50455"/>
  <w:p w:rsidR="00E50455" w:rsidRDefault="00E50455"/>
  <w:p w:rsidR="00E50455" w:rsidRDefault="00E5045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8"/>
      <w:tblW w:w="10632" w:type="dxa"/>
      <w:tblInd w:w="0" w:type="dxa"/>
      <w:tblLayout w:type="fixed"/>
      <w:tblLook w:val="0400" w:firstRow="0" w:lastRow="0" w:firstColumn="0" w:lastColumn="0" w:noHBand="0" w:noVBand="1"/>
    </w:tblPr>
    <w:tblGrid>
      <w:gridCol w:w="1843"/>
      <w:gridCol w:w="8789"/>
    </w:tblGrid>
    <w:tr w:rsidR="00E50455" w:rsidTr="00957D13">
      <w:trPr>
        <w:trHeight w:val="1435"/>
      </w:trPr>
      <w:tc>
        <w:tcPr>
          <w:tcW w:w="1843" w:type="dxa"/>
          <w:shd w:val="clear" w:color="auto" w:fill="auto"/>
        </w:tcPr>
        <w:p w:rsidR="00E50455" w:rsidRDefault="00117A9F">
          <w:pPr>
            <w:tabs>
              <w:tab w:val="right" w:pos="4273"/>
            </w:tabs>
            <w:rPr>
              <w:rFonts w:ascii="Garamond" w:eastAsia="Garamond" w:hAnsi="Garamond" w:cs="Garamond"/>
              <w:sz w:val="16"/>
              <w:szCs w:val="16"/>
            </w:rPr>
          </w:pPr>
          <w:r>
            <w:rPr>
              <w:rFonts w:ascii="Garamond" w:eastAsia="Garamond" w:hAnsi="Garamond" w:cs="Garamond"/>
              <w:sz w:val="16"/>
              <w:szCs w:val="16"/>
            </w:rPr>
            <w:t xml:space="preserve"> </w:t>
          </w:r>
        </w:p>
      </w:tc>
      <w:tc>
        <w:tcPr>
          <w:tcW w:w="8789" w:type="dxa"/>
          <w:shd w:val="clear" w:color="auto" w:fill="auto"/>
        </w:tcPr>
        <w:tbl>
          <w:tblPr>
            <w:tblStyle w:val="a9"/>
            <w:tblW w:w="15795" w:type="dxa"/>
            <w:tblInd w:w="1161" w:type="dxa"/>
            <w:tblBorders>
              <w:top w:val="nil"/>
              <w:left w:val="nil"/>
              <w:bottom w:val="nil"/>
              <w:right w:val="nil"/>
              <w:insideH w:val="nil"/>
              <w:insideV w:val="nil"/>
            </w:tblBorders>
            <w:tblLayout w:type="fixed"/>
            <w:tblLook w:val="0400" w:firstRow="0" w:lastRow="0" w:firstColumn="0" w:lastColumn="0" w:noHBand="0" w:noVBand="1"/>
          </w:tblPr>
          <w:tblGrid>
            <w:gridCol w:w="2415"/>
            <w:gridCol w:w="132"/>
            <w:gridCol w:w="4791"/>
            <w:gridCol w:w="132"/>
            <w:gridCol w:w="4791"/>
            <w:gridCol w:w="132"/>
            <w:gridCol w:w="3270"/>
            <w:gridCol w:w="132"/>
          </w:tblGrid>
          <w:tr w:rsidR="00E50455" w:rsidTr="00957D13">
            <w:trPr>
              <w:trHeight w:val="144"/>
            </w:trPr>
            <w:tc>
              <w:tcPr>
                <w:tcW w:w="2547" w:type="dxa"/>
                <w:gridSpan w:val="2"/>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Recurso de Revisión:</w:t>
                </w:r>
              </w:p>
            </w:tc>
            <w:tc>
              <w:tcPr>
                <w:tcW w:w="4923" w:type="dxa"/>
                <w:gridSpan w:val="2"/>
                <w:vAlign w:val="center"/>
              </w:tcPr>
              <w:p w:rsidR="00E50455" w:rsidRPr="00957D13" w:rsidRDefault="008E6E00">
                <w:pPr>
                  <w:jc w:val="both"/>
                  <w:rPr>
                    <w:rFonts w:ascii="Palatino Linotype" w:eastAsia="Palatino Linotype" w:hAnsi="Palatino Linotype" w:cs="Palatino Linotype"/>
                    <w:bCs/>
                    <w:sz w:val="24"/>
                    <w:szCs w:val="24"/>
                  </w:rPr>
                </w:pPr>
                <w:r w:rsidRPr="00957D13">
                  <w:rPr>
                    <w:rFonts w:ascii="Palatino Linotype" w:eastAsia="Palatino Linotype" w:hAnsi="Palatino Linotype" w:cs="Palatino Linotype"/>
                    <w:bCs/>
                    <w:sz w:val="24"/>
                    <w:szCs w:val="24"/>
                  </w:rPr>
                  <w:t>9708</w:t>
                </w:r>
                <w:r w:rsidR="00117A9F" w:rsidRPr="00957D13">
                  <w:rPr>
                    <w:rFonts w:ascii="Palatino Linotype" w:eastAsia="Palatino Linotype" w:hAnsi="Palatino Linotype" w:cs="Palatino Linotype"/>
                    <w:bCs/>
                    <w:sz w:val="24"/>
                    <w:szCs w:val="24"/>
                  </w:rPr>
                  <w:t>/INFOEM/IP/RR/2025 y acum</w:t>
                </w:r>
                <w:r w:rsidR="00957D13">
                  <w:rPr>
                    <w:rFonts w:ascii="Palatino Linotype" w:eastAsia="Palatino Linotype" w:hAnsi="Palatino Linotype" w:cs="Palatino Linotype"/>
                    <w:bCs/>
                    <w:sz w:val="24"/>
                    <w:szCs w:val="24"/>
                  </w:rPr>
                  <w:t>ulado</w:t>
                </w:r>
              </w:p>
            </w:tc>
            <w:tc>
              <w:tcPr>
                <w:tcW w:w="4923" w:type="dxa"/>
                <w:gridSpan w:val="2"/>
              </w:tcPr>
              <w:p w:rsidR="00E50455" w:rsidRDefault="00117A9F">
                <w:pPr>
                  <w:tabs>
                    <w:tab w:val="right" w:pos="8838"/>
                  </w:tabs>
                  <w:ind w:left="-3"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06653/INFOEM/ICR-102/IP/RR/2025</w:t>
                </w:r>
              </w:p>
            </w:tc>
            <w:tc>
              <w:tcPr>
                <w:tcW w:w="3402" w:type="dxa"/>
                <w:gridSpan w:val="2"/>
              </w:tcPr>
              <w:p w:rsidR="00E50455" w:rsidRDefault="00E50455">
                <w:pPr>
                  <w:tabs>
                    <w:tab w:val="right" w:pos="8838"/>
                  </w:tabs>
                  <w:ind w:left="-74" w:right="-105"/>
                  <w:jc w:val="both"/>
                  <w:rPr>
                    <w:rFonts w:ascii="Palatino Linotype" w:eastAsia="Palatino Linotype" w:hAnsi="Palatino Linotype" w:cs="Palatino Linotype"/>
                    <w:sz w:val="22"/>
                    <w:szCs w:val="22"/>
                  </w:rPr>
                </w:pPr>
              </w:p>
            </w:tc>
          </w:tr>
          <w:tr w:rsidR="00E50455" w:rsidTr="00957D13">
            <w:trPr>
              <w:trHeight w:val="283"/>
            </w:trPr>
            <w:tc>
              <w:tcPr>
                <w:tcW w:w="2547" w:type="dxa"/>
                <w:gridSpan w:val="2"/>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Sujeto Obligado:</w:t>
                </w:r>
              </w:p>
            </w:tc>
            <w:tc>
              <w:tcPr>
                <w:tcW w:w="4923" w:type="dxa"/>
                <w:gridSpan w:val="2"/>
                <w:vAlign w:val="center"/>
              </w:tcPr>
              <w:p w:rsidR="00E50455" w:rsidRPr="00957D13" w:rsidRDefault="00117A9F">
                <w:pPr>
                  <w:jc w:val="both"/>
                  <w:rPr>
                    <w:rFonts w:ascii="Palatino Linotype" w:eastAsia="Palatino Linotype" w:hAnsi="Palatino Linotype" w:cs="Palatino Linotype"/>
                    <w:bCs/>
                    <w:sz w:val="24"/>
                    <w:szCs w:val="24"/>
                  </w:rPr>
                </w:pPr>
                <w:r w:rsidRPr="00957D13">
                  <w:rPr>
                    <w:rFonts w:ascii="Palatino Linotype" w:eastAsia="Palatino Linotype" w:hAnsi="Palatino Linotype" w:cs="Palatino Linotype"/>
                    <w:bCs/>
                    <w:sz w:val="24"/>
                    <w:szCs w:val="24"/>
                  </w:rPr>
                  <w:t>Ayuntamiento de Toluca</w:t>
                </w:r>
              </w:p>
            </w:tc>
            <w:tc>
              <w:tcPr>
                <w:tcW w:w="4923" w:type="dxa"/>
                <w:gridSpan w:val="2"/>
              </w:tcPr>
              <w:p w:rsidR="00E50455" w:rsidRDefault="00117A9F">
                <w:pPr>
                  <w:tabs>
                    <w:tab w:val="left" w:pos="2834"/>
                    <w:tab w:val="right" w:pos="8838"/>
                  </w:tabs>
                  <w:ind w:left="-3" w:right="131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Chiconcuac</w:t>
                </w:r>
              </w:p>
            </w:tc>
            <w:tc>
              <w:tcPr>
                <w:tcW w:w="3402" w:type="dxa"/>
                <w:gridSpan w:val="2"/>
              </w:tcPr>
              <w:p w:rsidR="00E50455" w:rsidRDefault="00E50455">
                <w:pPr>
                  <w:tabs>
                    <w:tab w:val="left" w:pos="2834"/>
                    <w:tab w:val="right" w:pos="8838"/>
                  </w:tabs>
                  <w:ind w:left="-74" w:right="-105"/>
                  <w:jc w:val="both"/>
                  <w:rPr>
                    <w:rFonts w:ascii="Palatino Linotype" w:eastAsia="Palatino Linotype" w:hAnsi="Palatino Linotype" w:cs="Palatino Linotype"/>
                    <w:sz w:val="22"/>
                    <w:szCs w:val="22"/>
                  </w:rPr>
                </w:pPr>
              </w:p>
            </w:tc>
          </w:tr>
          <w:tr w:rsidR="00E50455" w:rsidTr="00957D13">
            <w:trPr>
              <w:trHeight w:val="283"/>
            </w:trPr>
            <w:tc>
              <w:tcPr>
                <w:tcW w:w="2547" w:type="dxa"/>
                <w:gridSpan w:val="2"/>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Comisionada Ponente:</w:t>
                </w:r>
              </w:p>
            </w:tc>
            <w:tc>
              <w:tcPr>
                <w:tcW w:w="4923" w:type="dxa"/>
                <w:gridSpan w:val="2"/>
                <w:vAlign w:val="center"/>
              </w:tcPr>
              <w:p w:rsidR="00E50455" w:rsidRPr="00957D13" w:rsidRDefault="00117A9F">
                <w:pPr>
                  <w:jc w:val="both"/>
                  <w:rPr>
                    <w:rFonts w:ascii="Palatino Linotype" w:eastAsia="Palatino Linotype" w:hAnsi="Palatino Linotype" w:cs="Palatino Linotype"/>
                    <w:bCs/>
                    <w:sz w:val="24"/>
                    <w:szCs w:val="24"/>
                  </w:rPr>
                </w:pPr>
                <w:r w:rsidRPr="00957D13">
                  <w:rPr>
                    <w:rFonts w:ascii="Palatino Linotype" w:eastAsia="Palatino Linotype" w:hAnsi="Palatino Linotype" w:cs="Palatino Linotype"/>
                    <w:bCs/>
                    <w:sz w:val="24"/>
                    <w:szCs w:val="24"/>
                  </w:rPr>
                  <w:t>María del Rosario Mejía Ayala</w:t>
                </w:r>
              </w:p>
            </w:tc>
            <w:tc>
              <w:tcPr>
                <w:tcW w:w="4923" w:type="dxa"/>
                <w:gridSpan w:val="2"/>
              </w:tcPr>
              <w:p w:rsidR="00E50455" w:rsidRDefault="00117A9F">
                <w:pPr>
                  <w:tabs>
                    <w:tab w:val="right" w:pos="8838"/>
                  </w:tabs>
                  <w:ind w:left="-3" w:right="-10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María del Rosario Mejía Ayala</w:t>
                </w:r>
              </w:p>
            </w:tc>
            <w:tc>
              <w:tcPr>
                <w:tcW w:w="3402" w:type="dxa"/>
                <w:gridSpan w:val="2"/>
              </w:tcPr>
              <w:p w:rsidR="00E50455" w:rsidRDefault="00E50455">
                <w:pPr>
                  <w:tabs>
                    <w:tab w:val="right" w:pos="8838"/>
                  </w:tabs>
                  <w:ind w:left="-74" w:right="-105"/>
                  <w:jc w:val="both"/>
                  <w:rPr>
                    <w:rFonts w:ascii="Palatino Linotype" w:eastAsia="Palatino Linotype" w:hAnsi="Palatino Linotype" w:cs="Palatino Linotype"/>
                    <w:sz w:val="22"/>
                    <w:szCs w:val="22"/>
                  </w:rPr>
                </w:pPr>
              </w:p>
            </w:tc>
          </w:tr>
          <w:tr w:rsidR="00E50455" w:rsidTr="00957D13">
            <w:trPr>
              <w:gridAfter w:val="1"/>
              <w:wAfter w:w="132" w:type="dxa"/>
              <w:trHeight w:val="283"/>
            </w:trPr>
            <w:tc>
              <w:tcPr>
                <w:tcW w:w="2415" w:type="dxa"/>
              </w:tcPr>
              <w:p w:rsidR="00E50455" w:rsidRDefault="00E50455">
                <w:pPr>
                  <w:tabs>
                    <w:tab w:val="right" w:pos="8838"/>
                  </w:tabs>
                  <w:ind w:left="-74" w:right="-105"/>
                  <w:rPr>
                    <w:rFonts w:ascii="Palatino Linotype" w:eastAsia="Palatino Linotype" w:hAnsi="Palatino Linotype" w:cs="Palatino Linotype"/>
                    <w:b/>
                    <w:bCs/>
                    <w:sz w:val="22"/>
                    <w:szCs w:val="22"/>
                  </w:rPr>
                </w:pPr>
              </w:p>
            </w:tc>
            <w:tc>
              <w:tcPr>
                <w:tcW w:w="4923" w:type="dxa"/>
                <w:gridSpan w:val="2"/>
                <w:vAlign w:val="center"/>
              </w:tcPr>
              <w:p w:rsidR="00E50455" w:rsidRDefault="00E50455">
                <w:pPr>
                  <w:ind w:right="-533"/>
                  <w:jc w:val="both"/>
                  <w:rPr>
                    <w:rFonts w:ascii="Palatino Linotype" w:eastAsia="Palatino Linotype" w:hAnsi="Palatino Linotype" w:cs="Palatino Linotype"/>
                    <w:b/>
                    <w:bCs/>
                    <w:sz w:val="21"/>
                    <w:szCs w:val="21"/>
                  </w:rPr>
                </w:pPr>
              </w:p>
            </w:tc>
            <w:tc>
              <w:tcPr>
                <w:tcW w:w="4923" w:type="dxa"/>
                <w:gridSpan w:val="2"/>
              </w:tcPr>
              <w:p w:rsidR="00E50455" w:rsidRDefault="00E50455">
                <w:pPr>
                  <w:tabs>
                    <w:tab w:val="right" w:pos="8838"/>
                  </w:tabs>
                  <w:ind w:left="-3" w:right="-105"/>
                  <w:jc w:val="both"/>
                  <w:rPr>
                    <w:rFonts w:ascii="Palatino Linotype" w:eastAsia="Palatino Linotype" w:hAnsi="Palatino Linotype" w:cs="Palatino Linotype"/>
                    <w:b/>
                    <w:bCs/>
                    <w:sz w:val="22"/>
                    <w:szCs w:val="22"/>
                  </w:rPr>
                </w:pPr>
              </w:p>
            </w:tc>
            <w:tc>
              <w:tcPr>
                <w:tcW w:w="3402" w:type="dxa"/>
                <w:gridSpan w:val="2"/>
              </w:tcPr>
              <w:p w:rsidR="00E50455" w:rsidRDefault="00E50455">
                <w:pPr>
                  <w:tabs>
                    <w:tab w:val="right" w:pos="8838"/>
                  </w:tabs>
                  <w:ind w:left="-74" w:right="-105"/>
                  <w:jc w:val="both"/>
                  <w:rPr>
                    <w:rFonts w:ascii="Palatino Linotype" w:eastAsia="Palatino Linotype" w:hAnsi="Palatino Linotype" w:cs="Palatino Linotype"/>
                    <w:sz w:val="22"/>
                    <w:szCs w:val="22"/>
                  </w:rPr>
                </w:pPr>
              </w:p>
            </w:tc>
          </w:tr>
        </w:tbl>
        <w:p w:rsidR="00E50455" w:rsidRDefault="00E50455">
          <w:pPr>
            <w:tabs>
              <w:tab w:val="right" w:pos="8838"/>
            </w:tabs>
            <w:ind w:left="-28"/>
            <w:jc w:val="both"/>
            <w:rPr>
              <w:rFonts w:ascii="Arial" w:eastAsia="Arial" w:hAnsi="Arial" w:cs="Arial"/>
              <w:b/>
              <w:bCs/>
              <w:sz w:val="22"/>
              <w:szCs w:val="22"/>
            </w:rPr>
          </w:pPr>
        </w:p>
      </w:tc>
    </w:tr>
  </w:tbl>
  <w:p w:rsidR="00E50455" w:rsidRPr="00957D13" w:rsidRDefault="00CF325F" w:rsidP="00957D13">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1.4pt;margin-top:-139.55pt;width:663.5pt;height:12in;z-index:-25165875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tblW w:w="10631" w:type="dxa"/>
      <w:tblInd w:w="0" w:type="dxa"/>
      <w:tblLayout w:type="fixed"/>
      <w:tblLook w:val="0400" w:firstRow="0" w:lastRow="0" w:firstColumn="0" w:lastColumn="0" w:noHBand="0" w:noVBand="1"/>
    </w:tblPr>
    <w:tblGrid>
      <w:gridCol w:w="1701"/>
      <w:gridCol w:w="8930"/>
    </w:tblGrid>
    <w:tr w:rsidR="00E50455" w:rsidTr="00957D13">
      <w:trPr>
        <w:trHeight w:val="1435"/>
      </w:trPr>
      <w:tc>
        <w:tcPr>
          <w:tcW w:w="1701" w:type="dxa"/>
          <w:shd w:val="clear" w:color="auto" w:fill="auto"/>
        </w:tcPr>
        <w:p w:rsidR="00E50455" w:rsidRDefault="00957D13">
          <w:pPr>
            <w:tabs>
              <w:tab w:val="right" w:pos="4273"/>
            </w:tabs>
            <w:rPr>
              <w:rFonts w:ascii="Garamond" w:eastAsia="Garamond" w:hAnsi="Garamond" w:cs="Garamond"/>
              <w:sz w:val="22"/>
              <w:szCs w:val="22"/>
            </w:rPr>
          </w:pPr>
          <w:r>
            <w:rPr>
              <w:noProof/>
              <w:color w:val="000000"/>
              <w:sz w:val="14"/>
              <w:szCs w:val="14"/>
            </w:rPr>
            <w:drawing>
              <wp:anchor distT="0" distB="0" distL="0" distR="0" simplePos="0" relativeHeight="251656704" behindDoc="1" locked="0" layoutInCell="1" hidden="0" allowOverlap="1">
                <wp:simplePos x="0" y="0"/>
                <wp:positionH relativeFrom="margin">
                  <wp:posOffset>-947803</wp:posOffset>
                </wp:positionH>
                <wp:positionV relativeFrom="margin">
                  <wp:posOffset>-515848</wp:posOffset>
                </wp:positionV>
                <wp:extent cx="8404225" cy="10944225"/>
                <wp:effectExtent l="0" t="0" r="0" b="0"/>
                <wp:wrapNone/>
                <wp:docPr id="8" name="image2.jpg" descr="marcaaguaINFOEM"/>
                <wp:cNvGraphicFramePr/>
                <a:graphic xmlns:a="http://schemas.openxmlformats.org/drawingml/2006/main">
                  <a:graphicData uri="http://schemas.openxmlformats.org/drawingml/2006/picture">
                    <pic:pic xmlns:pic="http://schemas.openxmlformats.org/drawingml/2006/picture">
                      <pic:nvPicPr>
                        <pic:cNvPr id="0" name="image2.jpg" descr="marcaaguaINFOEM"/>
                        <pic:cNvPicPr preferRelativeResize="0"/>
                      </pic:nvPicPr>
                      <pic:blipFill>
                        <a:blip r:embed="rId1"/>
                        <a:srcRect/>
                        <a:stretch>
                          <a:fillRect/>
                        </a:stretch>
                      </pic:blipFill>
                      <pic:spPr>
                        <a:xfrm>
                          <a:off x="0" y="0"/>
                          <a:ext cx="8404225" cy="10944225"/>
                        </a:xfrm>
                        <a:prstGeom prst="rect">
                          <a:avLst/>
                        </a:prstGeom>
                        <a:ln/>
                      </pic:spPr>
                    </pic:pic>
                  </a:graphicData>
                </a:graphic>
              </wp:anchor>
            </w:drawing>
          </w:r>
        </w:p>
      </w:tc>
      <w:tc>
        <w:tcPr>
          <w:tcW w:w="8930" w:type="dxa"/>
          <w:shd w:val="clear" w:color="auto" w:fill="auto"/>
        </w:tcPr>
        <w:tbl>
          <w:tblPr>
            <w:tblStyle w:val="ab"/>
            <w:tblW w:w="15801" w:type="dxa"/>
            <w:tblInd w:w="1449" w:type="dxa"/>
            <w:tblBorders>
              <w:top w:val="nil"/>
              <w:left w:val="nil"/>
              <w:bottom w:val="nil"/>
              <w:right w:val="nil"/>
              <w:insideH w:val="nil"/>
              <w:insideV w:val="nil"/>
            </w:tblBorders>
            <w:tblLayout w:type="fixed"/>
            <w:tblLook w:val="0400" w:firstRow="0" w:lastRow="0" w:firstColumn="0" w:lastColumn="0" w:noHBand="0" w:noVBand="1"/>
          </w:tblPr>
          <w:tblGrid>
            <w:gridCol w:w="2553"/>
            <w:gridCol w:w="4923"/>
            <w:gridCol w:w="4923"/>
            <w:gridCol w:w="3402"/>
          </w:tblGrid>
          <w:tr w:rsidR="00E50455" w:rsidTr="00957D13">
            <w:trPr>
              <w:trHeight w:val="144"/>
            </w:trPr>
            <w:tc>
              <w:tcPr>
                <w:tcW w:w="2553" w:type="dxa"/>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bookmarkStart w:id="17" w:name="_heading=h.eia8rr8h8pg" w:colFirst="0" w:colLast="0"/>
                <w:bookmarkEnd w:id="17"/>
                <w:r w:rsidRPr="00957D13">
                  <w:rPr>
                    <w:rFonts w:ascii="Palatino Linotype" w:eastAsia="Palatino Linotype" w:hAnsi="Palatino Linotype" w:cs="Palatino Linotype"/>
                    <w:b/>
                    <w:bCs/>
                    <w:sz w:val="24"/>
                    <w:szCs w:val="24"/>
                  </w:rPr>
                  <w:t>Recurso de Revisión:</w:t>
                </w:r>
              </w:p>
            </w:tc>
            <w:tc>
              <w:tcPr>
                <w:tcW w:w="4923" w:type="dxa"/>
                <w:vAlign w:val="center"/>
              </w:tcPr>
              <w:p w:rsidR="00E50455" w:rsidRPr="00957D13" w:rsidRDefault="008E6E00" w:rsidP="00957D13">
                <w:pPr>
                  <w:jc w:val="both"/>
                  <w:rPr>
                    <w:rFonts w:ascii="Palatino Linotype" w:eastAsia="Palatino Linotype" w:hAnsi="Palatino Linotype" w:cs="Palatino Linotype"/>
                    <w:bCs/>
                    <w:sz w:val="24"/>
                    <w:szCs w:val="24"/>
                  </w:rPr>
                </w:pPr>
                <w:r w:rsidRPr="00957D13">
                  <w:rPr>
                    <w:rFonts w:ascii="Palatino Linotype" w:eastAsia="Palatino Linotype" w:hAnsi="Palatino Linotype" w:cs="Palatino Linotype"/>
                    <w:bCs/>
                    <w:sz w:val="24"/>
                    <w:szCs w:val="24"/>
                  </w:rPr>
                  <w:t>9708</w:t>
                </w:r>
                <w:r w:rsidR="00117A9F" w:rsidRPr="00957D13">
                  <w:rPr>
                    <w:rFonts w:ascii="Palatino Linotype" w:eastAsia="Palatino Linotype" w:hAnsi="Palatino Linotype" w:cs="Palatino Linotype"/>
                    <w:bCs/>
                    <w:sz w:val="24"/>
                    <w:szCs w:val="24"/>
                  </w:rPr>
                  <w:t>/INFOEM/IP/RR/2025 y acum</w:t>
                </w:r>
                <w:r w:rsidR="00957D13" w:rsidRPr="00957D13">
                  <w:rPr>
                    <w:rFonts w:ascii="Palatino Linotype" w:eastAsia="Palatino Linotype" w:hAnsi="Palatino Linotype" w:cs="Palatino Linotype"/>
                    <w:bCs/>
                    <w:sz w:val="24"/>
                    <w:szCs w:val="24"/>
                  </w:rPr>
                  <w:t>ulado</w:t>
                </w:r>
              </w:p>
            </w:tc>
            <w:tc>
              <w:tcPr>
                <w:tcW w:w="4923" w:type="dxa"/>
              </w:tcPr>
              <w:p w:rsidR="00E50455" w:rsidRDefault="00117A9F">
                <w:pPr>
                  <w:tabs>
                    <w:tab w:val="right" w:pos="8838"/>
                  </w:tabs>
                  <w:ind w:left="-3" w:right="-105"/>
                  <w:jc w:val="both"/>
                  <w:rPr>
                    <w:rFonts w:ascii="Palatino Linotype" w:eastAsia="Palatino Linotype" w:hAnsi="Palatino Linotype" w:cs="Palatino Linotype"/>
                    <w:sz w:val="22"/>
                    <w:szCs w:val="22"/>
                  </w:rPr>
                </w:pPr>
                <w:r>
                  <w:rPr>
                    <w:rFonts w:ascii="Palatino Linotype" w:eastAsia="Palatino Linotype" w:hAnsi="Palatino Linotype" w:cs="Palatino Linotype"/>
                    <w:b/>
                    <w:bCs/>
                    <w:sz w:val="22"/>
                    <w:szCs w:val="22"/>
                  </w:rPr>
                  <w:t>06653/INFOEM/ICR-102/IP/RR/2025</w:t>
                </w:r>
              </w:p>
            </w:tc>
            <w:tc>
              <w:tcPr>
                <w:tcW w:w="3402" w:type="dxa"/>
              </w:tcPr>
              <w:p w:rsidR="00E50455" w:rsidRDefault="00E50455">
                <w:pPr>
                  <w:tabs>
                    <w:tab w:val="right" w:pos="8838"/>
                  </w:tabs>
                  <w:ind w:left="-74" w:right="-105"/>
                  <w:jc w:val="both"/>
                  <w:rPr>
                    <w:rFonts w:ascii="Palatino Linotype" w:eastAsia="Palatino Linotype" w:hAnsi="Palatino Linotype" w:cs="Palatino Linotype"/>
                    <w:sz w:val="22"/>
                    <w:szCs w:val="22"/>
                  </w:rPr>
                </w:pPr>
              </w:p>
            </w:tc>
          </w:tr>
          <w:tr w:rsidR="00E50455" w:rsidTr="00957D13">
            <w:trPr>
              <w:trHeight w:val="144"/>
            </w:trPr>
            <w:tc>
              <w:tcPr>
                <w:tcW w:w="2553" w:type="dxa"/>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bookmarkStart w:id="18" w:name="_heading=h.kcdzdof92nqe" w:colFirst="0" w:colLast="0"/>
                <w:bookmarkEnd w:id="18"/>
                <w:r w:rsidRPr="00957D13">
                  <w:rPr>
                    <w:rFonts w:ascii="Palatino Linotype" w:eastAsia="Palatino Linotype" w:hAnsi="Palatino Linotype" w:cs="Palatino Linotype"/>
                    <w:b/>
                    <w:bCs/>
                    <w:sz w:val="24"/>
                    <w:szCs w:val="24"/>
                  </w:rPr>
                  <w:t>Recurrente:</w:t>
                </w:r>
              </w:p>
            </w:tc>
            <w:tc>
              <w:tcPr>
                <w:tcW w:w="4923" w:type="dxa"/>
                <w:vAlign w:val="center"/>
              </w:tcPr>
              <w:p w:rsidR="00E50455" w:rsidRPr="00957D13" w:rsidRDefault="00E50455">
                <w:pPr>
                  <w:rPr>
                    <w:rFonts w:ascii="Palatino Linotype" w:eastAsia="Palatino Linotype" w:hAnsi="Palatino Linotype" w:cs="Palatino Linotype"/>
                    <w:bCs/>
                    <w:sz w:val="24"/>
                    <w:szCs w:val="24"/>
                  </w:rPr>
                </w:pPr>
              </w:p>
            </w:tc>
            <w:tc>
              <w:tcPr>
                <w:tcW w:w="4923" w:type="dxa"/>
              </w:tcPr>
              <w:p w:rsidR="00E50455" w:rsidRDefault="00E50455">
                <w:pPr>
                  <w:tabs>
                    <w:tab w:val="left" w:pos="3122"/>
                    <w:tab w:val="right" w:pos="8838"/>
                  </w:tabs>
                  <w:ind w:right="1457"/>
                  <w:jc w:val="both"/>
                  <w:rPr>
                    <w:rFonts w:ascii="Palatino Linotype" w:eastAsia="Palatino Linotype" w:hAnsi="Palatino Linotype" w:cs="Palatino Linotype"/>
                    <w:b/>
                    <w:bCs/>
                    <w:sz w:val="22"/>
                    <w:szCs w:val="22"/>
                  </w:rPr>
                </w:pPr>
              </w:p>
            </w:tc>
            <w:tc>
              <w:tcPr>
                <w:tcW w:w="3402" w:type="dxa"/>
              </w:tcPr>
              <w:p w:rsidR="00E50455" w:rsidRDefault="00E50455">
                <w:pPr>
                  <w:tabs>
                    <w:tab w:val="left" w:pos="3122"/>
                    <w:tab w:val="right" w:pos="8838"/>
                  </w:tabs>
                  <w:ind w:right="-105"/>
                  <w:jc w:val="both"/>
                  <w:rPr>
                    <w:rFonts w:ascii="Palatino Linotype" w:eastAsia="Palatino Linotype" w:hAnsi="Palatino Linotype" w:cs="Palatino Linotype"/>
                    <w:sz w:val="22"/>
                    <w:szCs w:val="22"/>
                  </w:rPr>
                </w:pPr>
              </w:p>
            </w:tc>
          </w:tr>
          <w:tr w:rsidR="00E50455" w:rsidTr="00957D13">
            <w:trPr>
              <w:trHeight w:val="283"/>
            </w:trPr>
            <w:tc>
              <w:tcPr>
                <w:tcW w:w="2553" w:type="dxa"/>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Sujeto Obligado:</w:t>
                </w:r>
              </w:p>
            </w:tc>
            <w:tc>
              <w:tcPr>
                <w:tcW w:w="4923" w:type="dxa"/>
                <w:vAlign w:val="center"/>
              </w:tcPr>
              <w:p w:rsidR="00E50455" w:rsidRPr="00957D13" w:rsidRDefault="00117A9F">
                <w:pPr>
                  <w:ind w:left="35" w:hanging="35"/>
                  <w:jc w:val="both"/>
                  <w:rPr>
                    <w:rFonts w:ascii="Palatino Linotype" w:eastAsia="Palatino Linotype" w:hAnsi="Palatino Linotype" w:cs="Palatino Linotype"/>
                    <w:bCs/>
                    <w:sz w:val="24"/>
                    <w:szCs w:val="24"/>
                  </w:rPr>
                </w:pPr>
                <w:r w:rsidRPr="00957D13">
                  <w:rPr>
                    <w:rFonts w:ascii="Palatino Linotype" w:eastAsia="Palatino Linotype" w:hAnsi="Palatino Linotype" w:cs="Palatino Linotype"/>
                    <w:bCs/>
                    <w:sz w:val="24"/>
                    <w:szCs w:val="24"/>
                  </w:rPr>
                  <w:t>Ayuntamiento de Toluca</w:t>
                </w:r>
              </w:p>
            </w:tc>
            <w:tc>
              <w:tcPr>
                <w:tcW w:w="4923" w:type="dxa"/>
              </w:tcPr>
              <w:p w:rsidR="00E50455" w:rsidRDefault="00117A9F">
                <w:pPr>
                  <w:tabs>
                    <w:tab w:val="left" w:pos="2834"/>
                    <w:tab w:val="right" w:pos="8838"/>
                  </w:tabs>
                  <w:ind w:left="-3" w:right="131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Chiconcuac</w:t>
                </w:r>
              </w:p>
            </w:tc>
            <w:tc>
              <w:tcPr>
                <w:tcW w:w="3402" w:type="dxa"/>
              </w:tcPr>
              <w:p w:rsidR="00E50455" w:rsidRDefault="00E50455">
                <w:pPr>
                  <w:tabs>
                    <w:tab w:val="left" w:pos="2834"/>
                    <w:tab w:val="right" w:pos="8838"/>
                  </w:tabs>
                  <w:ind w:left="-74" w:right="-105"/>
                  <w:jc w:val="both"/>
                  <w:rPr>
                    <w:rFonts w:ascii="Palatino Linotype" w:eastAsia="Palatino Linotype" w:hAnsi="Palatino Linotype" w:cs="Palatino Linotype"/>
                    <w:sz w:val="22"/>
                    <w:szCs w:val="22"/>
                  </w:rPr>
                </w:pPr>
              </w:p>
            </w:tc>
          </w:tr>
          <w:tr w:rsidR="00E50455" w:rsidTr="00957D13">
            <w:trPr>
              <w:trHeight w:val="283"/>
            </w:trPr>
            <w:tc>
              <w:tcPr>
                <w:tcW w:w="2553" w:type="dxa"/>
              </w:tcPr>
              <w:p w:rsidR="00E50455" w:rsidRPr="00957D13" w:rsidRDefault="00117A9F">
                <w:pPr>
                  <w:tabs>
                    <w:tab w:val="right" w:pos="8838"/>
                  </w:tabs>
                  <w:ind w:left="-74" w:right="-105"/>
                  <w:rPr>
                    <w:rFonts w:ascii="Palatino Linotype" w:eastAsia="Palatino Linotype" w:hAnsi="Palatino Linotype" w:cs="Palatino Linotype"/>
                    <w:b/>
                    <w:bCs/>
                    <w:sz w:val="24"/>
                    <w:szCs w:val="24"/>
                  </w:rPr>
                </w:pPr>
                <w:r w:rsidRPr="00957D13">
                  <w:rPr>
                    <w:rFonts w:ascii="Palatino Linotype" w:eastAsia="Palatino Linotype" w:hAnsi="Palatino Linotype" w:cs="Palatino Linotype"/>
                    <w:b/>
                    <w:bCs/>
                    <w:sz w:val="24"/>
                    <w:szCs w:val="24"/>
                  </w:rPr>
                  <w:t>Comisionada Ponente:</w:t>
                </w:r>
              </w:p>
            </w:tc>
            <w:tc>
              <w:tcPr>
                <w:tcW w:w="4923" w:type="dxa"/>
                <w:vAlign w:val="center"/>
              </w:tcPr>
              <w:p w:rsidR="00E50455" w:rsidRPr="00957D13" w:rsidRDefault="00117A9F">
                <w:pPr>
                  <w:ind w:right="-533"/>
                  <w:jc w:val="both"/>
                  <w:rPr>
                    <w:rFonts w:ascii="Palatino Linotype" w:eastAsia="Palatino Linotype" w:hAnsi="Palatino Linotype" w:cs="Palatino Linotype"/>
                    <w:bCs/>
                    <w:sz w:val="24"/>
                    <w:szCs w:val="24"/>
                  </w:rPr>
                </w:pPr>
                <w:r w:rsidRPr="00957D13">
                  <w:rPr>
                    <w:rFonts w:ascii="Palatino Linotype" w:eastAsia="Palatino Linotype" w:hAnsi="Palatino Linotype" w:cs="Palatino Linotype"/>
                    <w:bCs/>
                    <w:sz w:val="24"/>
                    <w:szCs w:val="24"/>
                  </w:rPr>
                  <w:t>María del Rosario Mejía Ayala</w:t>
                </w:r>
              </w:p>
            </w:tc>
            <w:tc>
              <w:tcPr>
                <w:tcW w:w="4923" w:type="dxa"/>
              </w:tcPr>
              <w:p w:rsidR="00E50455" w:rsidRDefault="00117A9F">
                <w:pPr>
                  <w:tabs>
                    <w:tab w:val="right" w:pos="8838"/>
                  </w:tabs>
                  <w:ind w:left="-3" w:right="-10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María del Rosario Mejía Ayala</w:t>
                </w:r>
              </w:p>
            </w:tc>
            <w:tc>
              <w:tcPr>
                <w:tcW w:w="3402" w:type="dxa"/>
              </w:tcPr>
              <w:p w:rsidR="00E50455" w:rsidRDefault="00E50455">
                <w:pPr>
                  <w:tabs>
                    <w:tab w:val="right" w:pos="8838"/>
                  </w:tabs>
                  <w:ind w:left="-74" w:right="-105"/>
                  <w:jc w:val="both"/>
                  <w:rPr>
                    <w:rFonts w:ascii="Palatino Linotype" w:eastAsia="Palatino Linotype" w:hAnsi="Palatino Linotype" w:cs="Palatino Linotype"/>
                    <w:sz w:val="22"/>
                    <w:szCs w:val="22"/>
                  </w:rPr>
                </w:pPr>
              </w:p>
            </w:tc>
          </w:tr>
        </w:tbl>
        <w:p w:rsidR="00E50455" w:rsidRDefault="00E50455">
          <w:pPr>
            <w:tabs>
              <w:tab w:val="right" w:pos="8838"/>
            </w:tabs>
            <w:ind w:left="-28"/>
            <w:jc w:val="both"/>
            <w:rPr>
              <w:rFonts w:ascii="Arial" w:eastAsia="Arial" w:hAnsi="Arial" w:cs="Arial"/>
              <w:b/>
              <w:bCs/>
              <w:sz w:val="22"/>
              <w:szCs w:val="22"/>
            </w:rPr>
          </w:pPr>
        </w:p>
      </w:tc>
    </w:tr>
  </w:tbl>
  <w:p w:rsidR="00E50455" w:rsidRPr="00957D13" w:rsidRDefault="00E50455" w:rsidP="00957D13">
    <w:pPr>
      <w:pBdr>
        <w:top w:val="nil"/>
        <w:left w:val="nil"/>
        <w:bottom w:val="nil"/>
        <w:right w:val="nil"/>
        <w:between w:val="nil"/>
      </w:pBdr>
      <w:tabs>
        <w:tab w:val="center" w:pos="4419"/>
        <w:tab w:val="right" w:pos="8838"/>
        <w:tab w:val="center" w:pos="4522"/>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A643B"/>
    <w:multiLevelType w:val="multilevel"/>
    <w:tmpl w:val="FFA60B0A"/>
    <w:lvl w:ilvl="0">
      <w:start w:val="87"/>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8621EB"/>
    <w:multiLevelType w:val="multilevel"/>
    <w:tmpl w:val="E66084F8"/>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E11D03"/>
    <w:multiLevelType w:val="multilevel"/>
    <w:tmpl w:val="7B004C90"/>
    <w:lvl w:ilvl="0">
      <w:start w:val="11"/>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127E4D"/>
    <w:multiLevelType w:val="multilevel"/>
    <w:tmpl w:val="642C85F8"/>
    <w:lvl w:ilvl="0">
      <w:start w:val="9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2F2724"/>
    <w:multiLevelType w:val="multilevel"/>
    <w:tmpl w:val="7608B1F6"/>
    <w:lvl w:ilvl="0">
      <w:start w:val="1"/>
      <w:numFmt w:val="lowerLetter"/>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16277B22"/>
    <w:multiLevelType w:val="multilevel"/>
    <w:tmpl w:val="4C548E0E"/>
    <w:lvl w:ilvl="0">
      <w:start w:val="52"/>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7B4F9A"/>
    <w:multiLevelType w:val="multilevel"/>
    <w:tmpl w:val="F75AC7DC"/>
    <w:lvl w:ilvl="0">
      <w:start w:val="64"/>
      <w:numFmt w:val="decimal"/>
      <w:lvlText w:val="%1."/>
      <w:lvlJc w:val="left"/>
      <w:pPr>
        <w:ind w:left="360" w:hanging="360"/>
      </w:pPr>
      <w:rPr>
        <w:rFonts w:ascii="Palatino Linotype" w:eastAsia="Palatino Linotype" w:hAnsi="Palatino Linotype" w:cs="Palatino Linotype"/>
        <w:b/>
        <w:bCs/>
        <w:i w:val="0"/>
        <w:iCs w:val="0"/>
        <w:strike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1408D7"/>
    <w:multiLevelType w:val="multilevel"/>
    <w:tmpl w:val="A4A6206A"/>
    <w:lvl w:ilvl="0">
      <w:start w:val="4"/>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4029B2"/>
    <w:multiLevelType w:val="multilevel"/>
    <w:tmpl w:val="4FA6E6E0"/>
    <w:lvl w:ilvl="0">
      <w:start w:val="55"/>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4E57752"/>
    <w:multiLevelType w:val="multilevel"/>
    <w:tmpl w:val="C67AB716"/>
    <w:lvl w:ilvl="0">
      <w:start w:val="12"/>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7822C9F"/>
    <w:multiLevelType w:val="multilevel"/>
    <w:tmpl w:val="FF5878DA"/>
    <w:lvl w:ilvl="0">
      <w:start w:val="24"/>
      <w:numFmt w:val="decimal"/>
      <w:lvlText w:val="%1."/>
      <w:lvlJc w:val="left"/>
      <w:pPr>
        <w:ind w:left="360" w:hanging="360"/>
      </w:pPr>
      <w:rPr>
        <w:rFonts w:ascii="Palatino Linotype" w:eastAsia="Palatino Linotype" w:hAnsi="Palatino Linotype" w:cs="Palatino Linotype"/>
        <w:b/>
        <w:bCs/>
        <w:i w:val="0"/>
        <w:iCs w:val="0"/>
        <w:strike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7D10DC"/>
    <w:multiLevelType w:val="multilevel"/>
    <w:tmpl w:val="1AB017CA"/>
    <w:lvl w:ilvl="0">
      <w:start w:val="82"/>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6D23ADA"/>
    <w:multiLevelType w:val="multilevel"/>
    <w:tmpl w:val="0142B7AA"/>
    <w:lvl w:ilvl="0">
      <w:start w:val="22"/>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107D51"/>
    <w:multiLevelType w:val="multilevel"/>
    <w:tmpl w:val="C5526ED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4" w15:restartNumberingAfterBreak="0">
    <w:nsid w:val="5B6508FF"/>
    <w:multiLevelType w:val="multilevel"/>
    <w:tmpl w:val="8D8A50C0"/>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C01D42"/>
    <w:multiLevelType w:val="multilevel"/>
    <w:tmpl w:val="246EE298"/>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6" w15:restartNumberingAfterBreak="0">
    <w:nsid w:val="634470E6"/>
    <w:multiLevelType w:val="multilevel"/>
    <w:tmpl w:val="FD0C5D56"/>
    <w:lvl w:ilvl="0">
      <w:start w:val="1"/>
      <w:numFmt w:val="decimal"/>
      <w:lvlText w:val="%1."/>
      <w:lvlJc w:val="left"/>
      <w:pPr>
        <w:ind w:left="107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7" w15:restartNumberingAfterBreak="0">
    <w:nsid w:val="63667A2C"/>
    <w:multiLevelType w:val="multilevel"/>
    <w:tmpl w:val="86FE47C2"/>
    <w:lvl w:ilvl="0">
      <w:start w:val="35"/>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9338C4"/>
    <w:multiLevelType w:val="multilevel"/>
    <w:tmpl w:val="D2CEE156"/>
    <w:lvl w:ilvl="0">
      <w:start w:val="56"/>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DC14CFC"/>
    <w:multiLevelType w:val="multilevel"/>
    <w:tmpl w:val="2AEAB5F0"/>
    <w:lvl w:ilvl="0">
      <w:start w:val="54"/>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C243DB"/>
    <w:multiLevelType w:val="multilevel"/>
    <w:tmpl w:val="D4E25C58"/>
    <w:lvl w:ilvl="0">
      <w:start w:val="7"/>
      <w:numFmt w:val="decimal"/>
      <w:lvlText w:val="%1."/>
      <w:lvlJc w:val="left"/>
      <w:pPr>
        <w:ind w:left="2204"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FE6691C"/>
    <w:multiLevelType w:val="multilevel"/>
    <w:tmpl w:val="47A8684E"/>
    <w:lvl w:ilvl="0">
      <w:start w:val="1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6"/>
  </w:num>
  <w:num w:numId="3">
    <w:abstractNumId w:val="21"/>
  </w:num>
  <w:num w:numId="4">
    <w:abstractNumId w:val="1"/>
  </w:num>
  <w:num w:numId="5">
    <w:abstractNumId w:val="14"/>
  </w:num>
  <w:num w:numId="6">
    <w:abstractNumId w:val="4"/>
  </w:num>
  <w:num w:numId="7">
    <w:abstractNumId w:val="17"/>
  </w:num>
  <w:num w:numId="8">
    <w:abstractNumId w:val="5"/>
  </w:num>
  <w:num w:numId="9">
    <w:abstractNumId w:val="7"/>
  </w:num>
  <w:num w:numId="10">
    <w:abstractNumId w:val="19"/>
  </w:num>
  <w:num w:numId="11">
    <w:abstractNumId w:val="8"/>
  </w:num>
  <w:num w:numId="12">
    <w:abstractNumId w:val="15"/>
  </w:num>
  <w:num w:numId="13">
    <w:abstractNumId w:val="11"/>
  </w:num>
  <w:num w:numId="14">
    <w:abstractNumId w:val="3"/>
  </w:num>
  <w:num w:numId="15">
    <w:abstractNumId w:val="0"/>
  </w:num>
  <w:num w:numId="16">
    <w:abstractNumId w:val="18"/>
  </w:num>
  <w:num w:numId="17">
    <w:abstractNumId w:val="6"/>
  </w:num>
  <w:num w:numId="18">
    <w:abstractNumId w:val="20"/>
  </w:num>
  <w:num w:numId="19">
    <w:abstractNumId w:val="2"/>
  </w:num>
  <w:num w:numId="20">
    <w:abstractNumId w:val="12"/>
  </w:num>
  <w:num w:numId="21">
    <w:abstractNumId w:val="9"/>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455"/>
    <w:rsid w:val="00043A3E"/>
    <w:rsid w:val="00100235"/>
    <w:rsid w:val="00117A9F"/>
    <w:rsid w:val="001266BB"/>
    <w:rsid w:val="00174B5B"/>
    <w:rsid w:val="001E1B55"/>
    <w:rsid w:val="00246CF9"/>
    <w:rsid w:val="003279D4"/>
    <w:rsid w:val="003C5658"/>
    <w:rsid w:val="00544635"/>
    <w:rsid w:val="0069166D"/>
    <w:rsid w:val="00797F24"/>
    <w:rsid w:val="007E17FB"/>
    <w:rsid w:val="008E6E00"/>
    <w:rsid w:val="00957D13"/>
    <w:rsid w:val="00AC619F"/>
    <w:rsid w:val="00AD0F0E"/>
    <w:rsid w:val="00BD1EF4"/>
    <w:rsid w:val="00CF325F"/>
    <w:rsid w:val="00D2310B"/>
    <w:rsid w:val="00DC196E"/>
    <w:rsid w:val="00DE2BD1"/>
    <w:rsid w:val="00E01594"/>
    <w:rsid w:val="00E504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EC93C0A-0305-4535-9E15-B5113EB1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table" w:customStyle="1" w:styleId="TableNormal0">
    <w:name w:val="TableNormal"/>
    <w:tblPr>
      <w:tblCellMar>
        <w:top w:w="0" w:type="dxa"/>
        <w:left w:w="0" w:type="dxa"/>
        <w:bottom w:w="0" w:type="dxa"/>
        <w:right w:w="0" w:type="dxa"/>
      </w:tblCellMar>
    </w:tblPr>
  </w:style>
  <w:style w:type="character" w:customStyle="1" w:styleId="PuestoCar">
    <w:name w:val="Puesto Car"/>
    <w:aliases w:val="Cita textual Car"/>
    <w:basedOn w:val="Fuentedeprrafopredeter"/>
    <w:uiPriority w:val="10"/>
    <w:rsid w:val="00660322"/>
    <w:rPr>
      <w:b/>
      <w:sz w:val="72"/>
      <w:szCs w:val="72"/>
    </w:rPr>
  </w:style>
  <w:style w:type="character" w:customStyle="1" w:styleId="Ttulo1Car">
    <w:name w:val="Título 1 Car"/>
    <w:basedOn w:val="Fuentedeprrafopredeter"/>
    <w:uiPriority w:val="9"/>
    <w:rsid w:val="00CA2D4E"/>
    <w:rPr>
      <w:rFonts w:asciiTheme="majorHAnsi" w:eastAsiaTheme="majorEastAsia" w:hAnsiTheme="majorHAnsi" w:cstheme="majorBidi"/>
      <w:color w:val="2E74B5" w:themeColor="accent1" w:themeShade="BF"/>
      <w:sz w:val="32"/>
      <w:szCs w:val="32"/>
      <w:lang w:val="es-MX" w:eastAsia="es-ES"/>
    </w:rPr>
  </w:style>
  <w:style w:type="character" w:customStyle="1" w:styleId="Ttulo2Car">
    <w:name w:val="Título 2 Car"/>
    <w:basedOn w:val="Fuentedeprrafopredeter"/>
    <w:uiPriority w:val="9"/>
    <w:rsid w:val="00CA2D4E"/>
    <w:rPr>
      <w:rFonts w:asciiTheme="majorHAnsi" w:eastAsiaTheme="majorEastAsia" w:hAnsiTheme="majorHAnsi" w:cstheme="majorBidi"/>
      <w:color w:val="2E74B5" w:themeColor="accent1" w:themeShade="BF"/>
      <w:sz w:val="26"/>
      <w:szCs w:val="26"/>
      <w:lang w:val="es-MX"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CA2D4E"/>
    <w:rPr>
      <w:rFonts w:ascii="Calibri" w:eastAsia="Calibri" w:hAnsi="Calibri"/>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CA2D4E"/>
    <w:rPr>
      <w:rFonts w:ascii="Calibri" w:eastAsia="Calibri" w:hAnsi="Calibri" w:cs="Times New Roman"/>
      <w:sz w:val="20"/>
      <w:szCs w:val="20"/>
      <w:lang w:val="es-MX"/>
    </w:rPr>
  </w:style>
  <w:style w:type="paragraph" w:styleId="Encabezado">
    <w:name w:val="header"/>
    <w:basedOn w:val="Normal"/>
    <w:link w:val="EncabezadoCar"/>
    <w:uiPriority w:val="99"/>
    <w:unhideWhenUsed/>
    <w:qFormat/>
    <w:rsid w:val="00CA2D4E"/>
    <w:pPr>
      <w:tabs>
        <w:tab w:val="center" w:pos="4419"/>
        <w:tab w:val="right" w:pos="8838"/>
      </w:tabs>
    </w:pPr>
  </w:style>
  <w:style w:type="character" w:customStyle="1" w:styleId="EncabezadoCar">
    <w:name w:val="Encabezado Car"/>
    <w:basedOn w:val="Fuentedeprrafopredeter"/>
    <w:link w:val="Encabezado"/>
    <w:uiPriority w:val="99"/>
    <w:qFormat/>
    <w:rsid w:val="00CA2D4E"/>
    <w:rPr>
      <w:rFonts w:ascii="Times New Roman" w:eastAsia="Times New Roman" w:hAnsi="Times New Roman" w:cs="Times New Roman"/>
      <w:sz w:val="20"/>
      <w:szCs w:val="20"/>
      <w:lang w:val="es-MX" w:eastAsia="es-ES"/>
    </w:rPr>
  </w:style>
  <w:style w:type="paragraph" w:styleId="Piedepgina">
    <w:name w:val="footer"/>
    <w:basedOn w:val="Normal"/>
    <w:link w:val="PiedepginaCar"/>
    <w:uiPriority w:val="99"/>
    <w:unhideWhenUsed/>
    <w:qFormat/>
    <w:rsid w:val="00CA2D4E"/>
    <w:pPr>
      <w:tabs>
        <w:tab w:val="center" w:pos="4419"/>
        <w:tab w:val="right" w:pos="8838"/>
      </w:tabs>
    </w:pPr>
  </w:style>
  <w:style w:type="character" w:customStyle="1" w:styleId="PiedepginaCar">
    <w:name w:val="Pie de página Car"/>
    <w:basedOn w:val="Fuentedeprrafopredeter"/>
    <w:link w:val="Piedepgina"/>
    <w:uiPriority w:val="99"/>
    <w:qFormat/>
    <w:rsid w:val="00CA2D4E"/>
    <w:rPr>
      <w:rFonts w:ascii="Times New Roman" w:eastAsia="Times New Roman" w:hAnsi="Times New Roman" w:cs="Times New Roman"/>
      <w:sz w:val="20"/>
      <w:szCs w:val="20"/>
      <w:lang w:val="es-MX" w:eastAsia="es-E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CA2D4E"/>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CA2D4E"/>
    <w:rPr>
      <w:color w:val="0563C1" w:themeColor="hyperlink"/>
      <w:u w:val="single"/>
    </w:rPr>
  </w:style>
  <w:style w:type="table" w:styleId="Tablaconcuadrcula">
    <w:name w:val="Table Grid"/>
    <w:basedOn w:val="Tablanormal"/>
    <w:uiPriority w:val="39"/>
    <w:qFormat/>
    <w:rsid w:val="00CA2D4E"/>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A2D4E"/>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CA2D4E"/>
    <w:rPr>
      <w:rFonts w:ascii="Century Gothic" w:eastAsia="Times New Roman" w:hAnsi="Century Gothic" w:cs="Times New Roman"/>
      <w:szCs w:val="24"/>
      <w:lang w:val="es-MX" w:eastAsia="es-ES"/>
    </w:rPr>
  </w:style>
  <w:style w:type="paragraph" w:customStyle="1" w:styleId="m1609377113336227858gmail-msonormal">
    <w:name w:val="m_1609377113336227858gmail-msonormal"/>
    <w:basedOn w:val="Normal"/>
    <w:rsid w:val="00CA2D4E"/>
    <w:pPr>
      <w:spacing w:before="100" w:beforeAutospacing="1" w:after="100" w:afterAutospacing="1"/>
    </w:pPr>
    <w:rPr>
      <w:sz w:val="24"/>
      <w:szCs w:val="24"/>
      <w:lang w:val="es-ES"/>
    </w:rPr>
  </w:style>
  <w:style w:type="paragraph" w:styleId="TDC1">
    <w:name w:val="toc 1"/>
    <w:basedOn w:val="Normal"/>
    <w:next w:val="Normal"/>
    <w:autoRedefine/>
    <w:uiPriority w:val="39"/>
    <w:semiHidden/>
    <w:unhideWhenUsed/>
    <w:rsid w:val="0001292A"/>
    <w:pPr>
      <w:spacing w:after="100"/>
    </w:p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08" w:type="dxa"/>
        <w:right w:w="108" w:type="dxa"/>
      </w:tblCellMar>
    </w:tblPr>
  </w:style>
  <w:style w:type="paragraph" w:customStyle="1" w:styleId="Default">
    <w:name w:val="Default"/>
    <w:qFormat/>
    <w:rsid w:val="00660322"/>
    <w:pPr>
      <w:autoSpaceDE w:val="0"/>
      <w:autoSpaceDN w:val="0"/>
      <w:adjustRightInd w:val="0"/>
    </w:pPr>
    <w:rPr>
      <w:rFonts w:ascii="Arial" w:hAnsi="Arial" w:cs="Arial"/>
      <w:color w:val="000000"/>
      <w:sz w:val="24"/>
      <w:szCs w:val="24"/>
    </w:rPr>
  </w:style>
  <w:style w:type="paragraph" w:styleId="Continuarlista">
    <w:name w:val="List Continue"/>
    <w:basedOn w:val="Normal"/>
    <w:uiPriority w:val="99"/>
    <w:unhideWhenUsed/>
    <w:rsid w:val="00660322"/>
    <w:pPr>
      <w:spacing w:after="120"/>
      <w:ind w:left="283"/>
      <w:contextualSpacing/>
    </w:pPr>
    <w:rPr>
      <w:sz w:val="24"/>
      <w:szCs w:val="24"/>
    </w:rPr>
  </w:style>
  <w:style w:type="paragraph" w:styleId="Sangradetextonormal">
    <w:name w:val="Body Text Indent"/>
    <w:basedOn w:val="Normal"/>
    <w:link w:val="SangradetextonormalCar"/>
    <w:uiPriority w:val="99"/>
    <w:unhideWhenUsed/>
    <w:rsid w:val="00660322"/>
    <w:pPr>
      <w:spacing w:after="120"/>
      <w:ind w:left="283"/>
    </w:pPr>
    <w:rPr>
      <w:sz w:val="24"/>
      <w:szCs w:val="24"/>
    </w:rPr>
  </w:style>
  <w:style w:type="character" w:customStyle="1" w:styleId="SangradetextonormalCar">
    <w:name w:val="Sangría de texto normal Car"/>
    <w:basedOn w:val="Fuentedeprrafopredeter"/>
    <w:link w:val="Sangradetextonormal"/>
    <w:uiPriority w:val="99"/>
    <w:rsid w:val="00660322"/>
    <w:rPr>
      <w:sz w:val="24"/>
      <w:szCs w:val="24"/>
    </w:rPr>
  </w:style>
  <w:style w:type="paragraph" w:styleId="Textoindependienteprimerasangra2">
    <w:name w:val="Body Text First Indent 2"/>
    <w:basedOn w:val="Sangradetextonormal"/>
    <w:link w:val="Textoindependienteprimerasangra2Car"/>
    <w:uiPriority w:val="99"/>
    <w:unhideWhenUsed/>
    <w:rsid w:val="0066032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60322"/>
    <w:rPr>
      <w:sz w:val="24"/>
      <w:szCs w:val="24"/>
    </w:rPr>
  </w:style>
  <w:style w:type="character" w:customStyle="1" w:styleId="apple-converted-space">
    <w:name w:val="apple-converted-space"/>
    <w:basedOn w:val="Fuentedeprrafopredeter"/>
    <w:rsid w:val="00660322"/>
  </w:style>
  <w:style w:type="character" w:customStyle="1" w:styleId="il">
    <w:name w:val="il"/>
    <w:basedOn w:val="Fuentedeprrafopredeter"/>
    <w:rsid w:val="00660322"/>
  </w:style>
  <w:style w:type="character" w:customStyle="1" w:styleId="apple-style-span">
    <w:name w:val="apple-style-span"/>
    <w:rsid w:val="00660322"/>
  </w:style>
  <w:style w:type="paragraph" w:customStyle="1" w:styleId="Citas">
    <w:name w:val="Citas"/>
    <w:basedOn w:val="Normal"/>
    <w:qFormat/>
    <w:rsid w:val="00660322"/>
    <w:pPr>
      <w:spacing w:before="240" w:after="160" w:line="360" w:lineRule="auto"/>
      <w:ind w:left="851" w:right="851"/>
      <w:jc w:val="both"/>
    </w:pPr>
    <w:rPr>
      <w:rFonts w:ascii="Palatino Linotype" w:eastAsiaTheme="minorHAnsi" w:hAnsi="Palatino Linotype" w:cs="Arial"/>
      <w:i/>
      <w:sz w:val="22"/>
      <w:szCs w:val="22"/>
      <w:lang w:eastAsia="en-US"/>
    </w:rPr>
  </w:style>
  <w:style w:type="table" w:styleId="Tabladecuadrcula1clara-nfasis1">
    <w:name w:val="Grid Table 1 Light Accent 1"/>
    <w:basedOn w:val="Tablanormal"/>
    <w:uiPriority w:val="46"/>
    <w:rsid w:val="002755F8"/>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E918A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18AD"/>
    <w:rPr>
      <w:rFonts w:ascii="Segoe UI" w:hAnsi="Segoe UI" w:cs="Segoe UI"/>
      <w:sz w:val="18"/>
      <w:szCs w:val="18"/>
    </w:rPr>
  </w:style>
  <w:style w:type="paragraph" w:styleId="Sinespaciado">
    <w:name w:val="No Spacing"/>
    <w:aliases w:val="Francesa,INAI"/>
    <w:link w:val="SinespaciadoCar"/>
    <w:uiPriority w:val="1"/>
    <w:qFormat/>
    <w:rsid w:val="00AF492E"/>
    <w:rPr>
      <w:rFonts w:asciiTheme="minorHAnsi" w:eastAsiaTheme="minorHAnsi" w:hAnsiTheme="minorHAnsi" w:cstheme="minorBidi"/>
      <w:sz w:val="22"/>
      <w:szCs w:val="22"/>
      <w:lang w:eastAsia="en-US"/>
    </w:rPr>
  </w:style>
  <w:style w:type="character" w:customStyle="1" w:styleId="SinespaciadoCar">
    <w:name w:val="Sin espaciado Car"/>
    <w:aliases w:val="Francesa Car,INAI Car"/>
    <w:link w:val="Sinespaciado"/>
    <w:uiPriority w:val="1"/>
    <w:locked/>
    <w:rsid w:val="00AF492E"/>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AF492E"/>
    <w:pPr>
      <w:spacing w:before="100" w:beforeAutospacing="1" w:after="100" w:afterAutospacing="1"/>
    </w:pPr>
    <w:rPr>
      <w:sz w:val="24"/>
      <w:szCs w:val="24"/>
    </w:rPr>
  </w:style>
  <w:style w:type="character" w:styleId="Hipervnculovisitado">
    <w:name w:val="FollowedHyperlink"/>
    <w:basedOn w:val="Fuentedeprrafopredeter"/>
    <w:uiPriority w:val="99"/>
    <w:semiHidden/>
    <w:unhideWhenUsed/>
    <w:rsid w:val="000370E4"/>
    <w:rPr>
      <w:color w:val="954F72" w:themeColor="followedHyperlink"/>
      <w:u w:val="single"/>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6487pPpMoh8PTs/mA5Mi0pTAg==">CgMxLjAyDmguMXE4YzB5aWpteGlrMg5oLmQ3Y3FwNGl0bWswYTIOaC40MThicmNnZ3VwcG0yDmguNnRzMzk2dzlobHd3Mg5oLnljbmQ3NTcxdmNiajIOaC43dGI2NWppZjZnN2UyDmguNWQ2azdpazI3bnNyMg5oLnQ4bTVreDE2N2JiZDIOaC4zb3R3OWUzOWk5YWMyCWguMXk4MTB0dzIJaC4xdDNoNXNmMgloLjRkMzRvZzgyCWguMnM4ZXlvMTIOaC44cG9yc3p2OHd3MWgyDmgubGU2ODd3cmM2cnY0Mg1oLmVpYThycjhoOHBnMg5oLmtjZHpkb2Y5Mm5xZTgAciExWWt5RzJWdkNHTU9GQ3BRMmlwdlVKMHIwajh0YndNU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62</Pages>
  <Words>14598</Words>
  <Characters>80289</Characters>
  <Application>Microsoft Office Word</Application>
  <DocSecurity>0</DocSecurity>
  <Lines>669</Lines>
  <Paragraphs>189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15</cp:revision>
  <cp:lastPrinted>2026-02-27T16:14:00Z</cp:lastPrinted>
  <dcterms:created xsi:type="dcterms:W3CDTF">2026-02-11T17:02:00Z</dcterms:created>
  <dcterms:modified xsi:type="dcterms:W3CDTF">2026-03-06T19:16:00Z</dcterms:modified>
</cp:coreProperties>
</file>