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12972" w14:textId="27260B60" w:rsidR="00C81284" w:rsidRPr="00084D30" w:rsidRDefault="00987473" w:rsidP="00B03E3D">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D84127" w:rsidRPr="00084D30">
        <w:rPr>
          <w:rFonts w:ascii="Palatino Linotype" w:eastAsia="Palatino Linotype" w:hAnsi="Palatino Linotype" w:cs="Palatino Linotype"/>
          <w:b/>
          <w:sz w:val="22"/>
          <w:szCs w:val="22"/>
        </w:rPr>
        <w:t>catorce de enero de dos mil veintiséis</w:t>
      </w:r>
      <w:r w:rsidRPr="00084D30">
        <w:rPr>
          <w:rFonts w:ascii="Palatino Linotype" w:eastAsia="Palatino Linotype" w:hAnsi="Palatino Linotype" w:cs="Palatino Linotype"/>
          <w:sz w:val="22"/>
          <w:szCs w:val="22"/>
        </w:rPr>
        <w:t xml:space="preserve">. </w:t>
      </w:r>
    </w:p>
    <w:p w14:paraId="1590E7C6" w14:textId="77777777" w:rsidR="00B03E3D" w:rsidRPr="00084D30" w:rsidRDefault="00B03E3D" w:rsidP="00B03E3D">
      <w:pPr>
        <w:spacing w:line="360" w:lineRule="auto"/>
        <w:jc w:val="both"/>
        <w:rPr>
          <w:rFonts w:ascii="Palatino Linotype" w:eastAsia="Palatino Linotype" w:hAnsi="Palatino Linotype" w:cs="Palatino Linotype"/>
          <w:sz w:val="22"/>
          <w:szCs w:val="22"/>
        </w:rPr>
      </w:pPr>
    </w:p>
    <w:p w14:paraId="19DFEC88" w14:textId="1930DCF6" w:rsidR="00C81284" w:rsidRPr="00084D30" w:rsidRDefault="00987473" w:rsidP="00B03E3D">
      <w:pPr>
        <w:tabs>
          <w:tab w:val="left" w:pos="5812"/>
        </w:tabs>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b/>
          <w:sz w:val="22"/>
          <w:szCs w:val="22"/>
        </w:rPr>
        <w:t>Visto</w:t>
      </w:r>
      <w:r w:rsidRPr="00084D30">
        <w:rPr>
          <w:rFonts w:ascii="Palatino Linotype" w:eastAsia="Palatino Linotype" w:hAnsi="Palatino Linotype" w:cs="Palatino Linotype"/>
          <w:sz w:val="22"/>
          <w:szCs w:val="22"/>
        </w:rPr>
        <w:t xml:space="preserve"> el expediente formado con motivo del recurso de revisión </w:t>
      </w:r>
      <w:r w:rsidR="002665BB" w:rsidRPr="00084D30">
        <w:rPr>
          <w:rFonts w:ascii="Palatino Linotype" w:eastAsia="Palatino Linotype" w:hAnsi="Palatino Linotype" w:cs="Palatino Linotype"/>
          <w:b/>
          <w:sz w:val="22"/>
          <w:szCs w:val="22"/>
        </w:rPr>
        <w:t>13064/</w:t>
      </w:r>
      <w:r w:rsidRPr="00084D30">
        <w:rPr>
          <w:rFonts w:ascii="Palatino Linotype" w:eastAsia="Palatino Linotype" w:hAnsi="Palatino Linotype" w:cs="Palatino Linotype"/>
          <w:b/>
          <w:sz w:val="22"/>
          <w:szCs w:val="22"/>
        </w:rPr>
        <w:t>INFOEM/IP/RR/2025</w:t>
      </w:r>
      <w:r w:rsidRPr="00084D30">
        <w:rPr>
          <w:rFonts w:ascii="Palatino Linotype" w:eastAsia="Palatino Linotype" w:hAnsi="Palatino Linotype" w:cs="Palatino Linotype"/>
          <w:sz w:val="22"/>
          <w:szCs w:val="22"/>
        </w:rPr>
        <w:t>, interpuesto por</w:t>
      </w:r>
      <w:r w:rsidRPr="00084D30">
        <w:rPr>
          <w:rFonts w:ascii="Palatino Linotype" w:eastAsia="Palatino Linotype" w:hAnsi="Palatino Linotype" w:cs="Palatino Linotype"/>
          <w:b/>
          <w:sz w:val="22"/>
          <w:szCs w:val="22"/>
        </w:rPr>
        <w:t xml:space="preserve"> </w:t>
      </w:r>
      <w:r w:rsidR="00A76AA5">
        <w:rPr>
          <w:rFonts w:ascii="Palatino Linotype" w:eastAsia="Palatino Linotype" w:hAnsi="Palatino Linotype" w:cs="Palatino Linotype"/>
          <w:b/>
          <w:sz w:val="22"/>
          <w:szCs w:val="22"/>
        </w:rPr>
        <w:t xml:space="preserve">XXXXX XXXXXX XXXXXXX </w:t>
      </w:r>
      <w:r w:rsidRPr="00084D30">
        <w:rPr>
          <w:rFonts w:ascii="Palatino Linotype" w:eastAsia="Palatino Linotype" w:hAnsi="Palatino Linotype" w:cs="Palatino Linotype"/>
          <w:sz w:val="22"/>
          <w:szCs w:val="22"/>
        </w:rPr>
        <w:t>en lo sucesivo,</w:t>
      </w:r>
      <w:r w:rsidRPr="00084D30">
        <w:rPr>
          <w:rFonts w:ascii="Palatino Linotype" w:eastAsia="Palatino Linotype" w:hAnsi="Palatino Linotype" w:cs="Palatino Linotype"/>
          <w:b/>
          <w:sz w:val="22"/>
          <w:szCs w:val="22"/>
        </w:rPr>
        <w:t xml:space="preserve"> la parte</w:t>
      </w:r>
      <w:r w:rsidRPr="00084D30">
        <w:rPr>
          <w:rFonts w:ascii="Palatino Linotype" w:eastAsia="Palatino Linotype" w:hAnsi="Palatino Linotype" w:cs="Palatino Linotype"/>
          <w:sz w:val="22"/>
          <w:szCs w:val="22"/>
        </w:rPr>
        <w:t xml:space="preserve"> </w:t>
      </w:r>
      <w:r w:rsidRPr="00084D30">
        <w:rPr>
          <w:rFonts w:ascii="Palatino Linotype" w:eastAsia="Palatino Linotype" w:hAnsi="Palatino Linotype" w:cs="Palatino Linotype"/>
          <w:b/>
          <w:sz w:val="22"/>
          <w:szCs w:val="22"/>
        </w:rPr>
        <w:t>Recurrente,</w:t>
      </w:r>
      <w:r w:rsidRPr="00084D30">
        <w:rPr>
          <w:rFonts w:ascii="Palatino Linotype" w:eastAsia="Palatino Linotype" w:hAnsi="Palatino Linotype" w:cs="Palatino Linotype"/>
          <w:sz w:val="22"/>
          <w:szCs w:val="22"/>
        </w:rPr>
        <w:t xml:space="preserve"> en contra de la respuesta a la solicitud de información con número de folio</w:t>
      </w:r>
      <w:r w:rsidRPr="00084D30">
        <w:rPr>
          <w:rFonts w:ascii="Palatino Linotype" w:eastAsia="Palatino Linotype" w:hAnsi="Palatino Linotype" w:cs="Palatino Linotype"/>
          <w:b/>
          <w:sz w:val="22"/>
          <w:szCs w:val="22"/>
        </w:rPr>
        <w:t xml:space="preserve"> 00</w:t>
      </w:r>
      <w:r w:rsidR="002665BB" w:rsidRPr="00084D30">
        <w:rPr>
          <w:rFonts w:ascii="Palatino Linotype" w:eastAsia="Palatino Linotype" w:hAnsi="Palatino Linotype" w:cs="Palatino Linotype"/>
          <w:b/>
          <w:sz w:val="22"/>
          <w:szCs w:val="22"/>
        </w:rPr>
        <w:t>714</w:t>
      </w:r>
      <w:r w:rsidRPr="00084D30">
        <w:rPr>
          <w:rFonts w:ascii="Palatino Linotype" w:eastAsia="Palatino Linotype" w:hAnsi="Palatino Linotype" w:cs="Palatino Linotype"/>
          <w:b/>
          <w:sz w:val="22"/>
          <w:szCs w:val="22"/>
        </w:rPr>
        <w:t>/</w:t>
      </w:r>
      <w:r w:rsidR="002665BB" w:rsidRPr="00084D30">
        <w:rPr>
          <w:rFonts w:ascii="Palatino Linotype" w:eastAsia="Palatino Linotype" w:hAnsi="Palatino Linotype" w:cs="Palatino Linotype"/>
          <w:b/>
          <w:sz w:val="22"/>
          <w:szCs w:val="22"/>
        </w:rPr>
        <w:t>NAUCALPA</w:t>
      </w:r>
      <w:r w:rsidRPr="00084D30">
        <w:rPr>
          <w:rFonts w:ascii="Palatino Linotype" w:eastAsia="Palatino Linotype" w:hAnsi="Palatino Linotype" w:cs="Palatino Linotype"/>
          <w:b/>
          <w:sz w:val="22"/>
          <w:szCs w:val="22"/>
        </w:rPr>
        <w:t xml:space="preserve">/IP/2025, </w:t>
      </w:r>
      <w:r w:rsidRPr="00084D30">
        <w:rPr>
          <w:rFonts w:ascii="Palatino Linotype" w:eastAsia="Palatino Linotype" w:hAnsi="Palatino Linotype" w:cs="Palatino Linotype"/>
          <w:sz w:val="22"/>
          <w:szCs w:val="22"/>
        </w:rPr>
        <w:t xml:space="preserve">por parte del </w:t>
      </w:r>
      <w:r w:rsidRPr="00084D30">
        <w:rPr>
          <w:rFonts w:ascii="Palatino Linotype" w:eastAsia="Palatino Linotype" w:hAnsi="Palatino Linotype" w:cs="Palatino Linotype"/>
          <w:b/>
          <w:sz w:val="22"/>
          <w:szCs w:val="22"/>
        </w:rPr>
        <w:t xml:space="preserve">Ayuntamiento de </w:t>
      </w:r>
      <w:r w:rsidR="002665BB" w:rsidRPr="00084D30">
        <w:rPr>
          <w:rFonts w:ascii="Palatino Linotype" w:eastAsia="Palatino Linotype" w:hAnsi="Palatino Linotype" w:cs="Palatino Linotype"/>
          <w:b/>
          <w:sz w:val="22"/>
          <w:szCs w:val="22"/>
        </w:rPr>
        <w:t>Naucalpan de Juárez</w:t>
      </w:r>
      <w:r w:rsidRPr="00084D30">
        <w:rPr>
          <w:rFonts w:ascii="Palatino Linotype" w:eastAsia="Palatino Linotype" w:hAnsi="Palatino Linotype" w:cs="Palatino Linotype"/>
          <w:b/>
          <w:sz w:val="22"/>
          <w:szCs w:val="22"/>
        </w:rPr>
        <w:t xml:space="preserve">, </w:t>
      </w:r>
      <w:r w:rsidRPr="00084D30">
        <w:rPr>
          <w:rFonts w:ascii="Palatino Linotype" w:eastAsia="Palatino Linotype" w:hAnsi="Palatino Linotype" w:cs="Palatino Linotype"/>
          <w:sz w:val="22"/>
          <w:szCs w:val="22"/>
        </w:rPr>
        <w:t xml:space="preserve">en lo sucesivo el </w:t>
      </w:r>
      <w:r w:rsidRPr="00084D30">
        <w:rPr>
          <w:rFonts w:ascii="Palatino Linotype" w:eastAsia="Palatino Linotype" w:hAnsi="Palatino Linotype" w:cs="Palatino Linotype"/>
          <w:b/>
          <w:sz w:val="22"/>
          <w:szCs w:val="22"/>
        </w:rPr>
        <w:t xml:space="preserve">Sujeto Obligado, </w:t>
      </w:r>
      <w:r w:rsidRPr="00084D30">
        <w:rPr>
          <w:rFonts w:ascii="Palatino Linotype" w:eastAsia="Palatino Linotype" w:hAnsi="Palatino Linotype" w:cs="Palatino Linotype"/>
          <w:sz w:val="22"/>
          <w:szCs w:val="22"/>
        </w:rPr>
        <w:t xml:space="preserve">se procede a dictar la presente resolución con base en los siguientes: </w:t>
      </w:r>
      <w:bookmarkStart w:id="0" w:name="_GoBack"/>
      <w:bookmarkEnd w:id="0"/>
    </w:p>
    <w:p w14:paraId="3E81E975" w14:textId="77777777" w:rsidR="00C81284" w:rsidRPr="00084D30" w:rsidRDefault="00987473" w:rsidP="00B03E3D">
      <w:pPr>
        <w:spacing w:line="360" w:lineRule="auto"/>
        <w:jc w:val="center"/>
        <w:rPr>
          <w:rFonts w:ascii="Palatino Linotype" w:eastAsia="Palatino Linotype" w:hAnsi="Palatino Linotype" w:cs="Palatino Linotype"/>
          <w:b/>
          <w:sz w:val="22"/>
          <w:szCs w:val="22"/>
        </w:rPr>
      </w:pPr>
      <w:r w:rsidRPr="00084D30">
        <w:rPr>
          <w:rFonts w:ascii="Palatino Linotype" w:eastAsia="Palatino Linotype" w:hAnsi="Palatino Linotype" w:cs="Palatino Linotype"/>
          <w:b/>
          <w:sz w:val="22"/>
          <w:szCs w:val="22"/>
        </w:rPr>
        <w:t>I. A N T E C E D E N T E S</w:t>
      </w:r>
    </w:p>
    <w:p w14:paraId="06754340" w14:textId="77777777" w:rsidR="00B03E3D" w:rsidRPr="00084D30" w:rsidRDefault="00B03E3D" w:rsidP="00B03E3D">
      <w:pPr>
        <w:spacing w:line="360" w:lineRule="auto"/>
        <w:jc w:val="center"/>
        <w:rPr>
          <w:rFonts w:ascii="Palatino Linotype" w:eastAsia="Palatino Linotype" w:hAnsi="Palatino Linotype" w:cs="Palatino Linotype"/>
          <w:b/>
          <w:sz w:val="22"/>
          <w:szCs w:val="22"/>
        </w:rPr>
      </w:pPr>
    </w:p>
    <w:p w14:paraId="18E6155B" w14:textId="3826AF20" w:rsidR="00C81284" w:rsidRPr="00084D30" w:rsidRDefault="00987473" w:rsidP="002665BB">
      <w:pPr>
        <w:pStyle w:val="Prrafodelista"/>
        <w:numPr>
          <w:ilvl w:val="0"/>
          <w:numId w:val="15"/>
        </w:numPr>
        <w:spacing w:line="360" w:lineRule="auto"/>
        <w:ind w:left="0" w:firstLine="0"/>
        <w:jc w:val="both"/>
        <w:rPr>
          <w:rFonts w:ascii="Palatino Linotype" w:eastAsia="Palatino Linotype" w:hAnsi="Palatino Linotype" w:cs="Palatino Linotype"/>
          <w:sz w:val="22"/>
          <w:szCs w:val="22"/>
        </w:rPr>
      </w:pPr>
      <w:bookmarkStart w:id="1" w:name="_heading=h.4d34og8" w:colFirst="0" w:colLast="0"/>
      <w:bookmarkEnd w:id="1"/>
      <w:r w:rsidRPr="00084D30">
        <w:rPr>
          <w:rFonts w:ascii="Palatino Linotype" w:eastAsia="Palatino Linotype" w:hAnsi="Palatino Linotype" w:cs="Palatino Linotype"/>
          <w:b/>
          <w:sz w:val="22"/>
          <w:szCs w:val="22"/>
        </w:rPr>
        <w:t>Solicitud de acceso a la información.</w:t>
      </w:r>
      <w:r w:rsidRPr="00084D30">
        <w:rPr>
          <w:rFonts w:ascii="Palatino Linotype" w:eastAsia="Palatino Linotype" w:hAnsi="Palatino Linotype" w:cs="Palatino Linotype"/>
          <w:sz w:val="22"/>
          <w:szCs w:val="22"/>
        </w:rPr>
        <w:t xml:space="preserve"> El </w:t>
      </w:r>
      <w:r w:rsidR="002665BB" w:rsidRPr="00084D30">
        <w:rPr>
          <w:rFonts w:ascii="Palatino Linotype" w:eastAsia="Palatino Linotype" w:hAnsi="Palatino Linotype" w:cs="Palatino Linotype"/>
          <w:b/>
          <w:sz w:val="22"/>
          <w:szCs w:val="22"/>
        </w:rPr>
        <w:t>dieciséis de octubre</w:t>
      </w:r>
      <w:r w:rsidR="00B519ED" w:rsidRPr="00084D30">
        <w:rPr>
          <w:rFonts w:ascii="Palatino Linotype" w:eastAsia="Palatino Linotype" w:hAnsi="Palatino Linotype" w:cs="Palatino Linotype"/>
          <w:b/>
          <w:sz w:val="22"/>
          <w:szCs w:val="22"/>
        </w:rPr>
        <w:t xml:space="preserve"> </w:t>
      </w:r>
      <w:r w:rsidRPr="00084D30">
        <w:rPr>
          <w:rFonts w:ascii="Palatino Linotype" w:eastAsia="Palatino Linotype" w:hAnsi="Palatino Linotype" w:cs="Palatino Linotype"/>
          <w:b/>
          <w:sz w:val="22"/>
          <w:szCs w:val="22"/>
        </w:rPr>
        <w:t>de dos mil veinticinco,</w:t>
      </w:r>
      <w:r w:rsidRPr="00084D30">
        <w:rPr>
          <w:rFonts w:ascii="Palatino Linotype" w:eastAsia="Palatino Linotype" w:hAnsi="Palatino Linotype" w:cs="Palatino Linotype"/>
          <w:sz w:val="22"/>
          <w:szCs w:val="22"/>
        </w:rPr>
        <w:t xml:space="preserve"> la parte </w:t>
      </w:r>
      <w:r w:rsidRPr="00084D30">
        <w:rPr>
          <w:rFonts w:ascii="Palatino Linotype" w:eastAsia="Palatino Linotype" w:hAnsi="Palatino Linotype" w:cs="Palatino Linotype"/>
          <w:b/>
          <w:sz w:val="22"/>
          <w:szCs w:val="22"/>
        </w:rPr>
        <w:t xml:space="preserve">Recurrente </w:t>
      </w:r>
      <w:r w:rsidRPr="00084D30">
        <w:rPr>
          <w:rFonts w:ascii="Palatino Linotype" w:eastAsia="Palatino Linotype" w:hAnsi="Palatino Linotype" w:cs="Palatino Linotype"/>
          <w:sz w:val="22"/>
          <w:szCs w:val="22"/>
        </w:rPr>
        <w:t xml:space="preserve">presentó, a través del Sistema de Acceso a la Información Mexiquense, en lo subsecuente el </w:t>
      </w:r>
      <w:r w:rsidRPr="00084D30">
        <w:rPr>
          <w:rFonts w:ascii="Palatino Linotype" w:eastAsia="Palatino Linotype" w:hAnsi="Palatino Linotype" w:cs="Palatino Linotype"/>
          <w:b/>
          <w:sz w:val="22"/>
          <w:szCs w:val="22"/>
        </w:rPr>
        <w:t>SAIMEX,</w:t>
      </w:r>
      <w:r w:rsidRPr="00084D30">
        <w:rPr>
          <w:rFonts w:ascii="Palatino Linotype" w:eastAsia="Palatino Linotype" w:hAnsi="Palatino Linotype" w:cs="Palatino Linotype"/>
          <w:sz w:val="22"/>
          <w:szCs w:val="22"/>
        </w:rPr>
        <w:t xml:space="preserve"> ante el </w:t>
      </w:r>
      <w:r w:rsidRPr="00084D30">
        <w:rPr>
          <w:rFonts w:ascii="Palatino Linotype" w:eastAsia="Palatino Linotype" w:hAnsi="Palatino Linotype" w:cs="Palatino Linotype"/>
          <w:b/>
          <w:sz w:val="22"/>
          <w:szCs w:val="22"/>
        </w:rPr>
        <w:t>Sujeto Obligado</w:t>
      </w:r>
      <w:r w:rsidRPr="00084D30">
        <w:rPr>
          <w:rFonts w:ascii="Palatino Linotype" w:eastAsia="Palatino Linotype" w:hAnsi="Palatino Linotype" w:cs="Palatino Linotype"/>
          <w:sz w:val="22"/>
          <w:szCs w:val="22"/>
        </w:rPr>
        <w:t>, la solicitud de acceso a la información pública</w:t>
      </w:r>
      <w:r w:rsidR="00E825CD" w:rsidRPr="00084D30">
        <w:rPr>
          <w:rFonts w:ascii="Palatino Linotype" w:eastAsia="Palatino Linotype" w:hAnsi="Palatino Linotype" w:cs="Palatino Linotype"/>
          <w:sz w:val="22"/>
          <w:szCs w:val="22"/>
        </w:rPr>
        <w:t>,</w:t>
      </w:r>
      <w:r w:rsidR="00D328D0" w:rsidRPr="00084D30">
        <w:rPr>
          <w:rFonts w:ascii="Palatino Linotype" w:eastAsia="Palatino Linotype" w:hAnsi="Palatino Linotype" w:cs="Palatino Linotype"/>
          <w:b/>
          <w:bCs/>
          <w:sz w:val="22"/>
          <w:szCs w:val="22"/>
        </w:rPr>
        <w:t xml:space="preserve"> </w:t>
      </w:r>
      <w:r w:rsidRPr="00084D30">
        <w:rPr>
          <w:rFonts w:ascii="Palatino Linotype" w:eastAsia="Palatino Linotype" w:hAnsi="Palatino Linotype" w:cs="Palatino Linotype"/>
          <w:sz w:val="22"/>
          <w:szCs w:val="22"/>
        </w:rPr>
        <w:t xml:space="preserve">mediante la cual requirió la información siguiente: </w:t>
      </w:r>
    </w:p>
    <w:p w14:paraId="5BA19B6E" w14:textId="77777777" w:rsidR="00B03E3D" w:rsidRPr="00084D30" w:rsidRDefault="00B03E3D" w:rsidP="00B03E3D">
      <w:pPr>
        <w:spacing w:line="360" w:lineRule="auto"/>
        <w:jc w:val="both"/>
        <w:rPr>
          <w:rFonts w:ascii="Palatino Linotype" w:eastAsia="Palatino Linotype" w:hAnsi="Palatino Linotype" w:cs="Palatino Linotype"/>
          <w:sz w:val="22"/>
          <w:szCs w:val="22"/>
        </w:rPr>
      </w:pPr>
    </w:p>
    <w:p w14:paraId="4DCE1475" w14:textId="26E6CF90" w:rsidR="00C81284" w:rsidRPr="00084D30" w:rsidRDefault="00987473" w:rsidP="00B03E3D">
      <w:pPr>
        <w:ind w:left="567" w:right="902"/>
        <w:jc w:val="both"/>
        <w:rPr>
          <w:rFonts w:ascii="Palatino Linotype" w:eastAsia="Palatino Linotype" w:hAnsi="Palatino Linotype" w:cs="Palatino Linotype"/>
          <w:i/>
          <w:sz w:val="22"/>
          <w:szCs w:val="22"/>
        </w:rPr>
      </w:pPr>
      <w:bookmarkStart w:id="2" w:name="_heading=h.gjdgxs" w:colFirst="0" w:colLast="0"/>
      <w:bookmarkEnd w:id="2"/>
      <w:r w:rsidRPr="00084D30">
        <w:rPr>
          <w:rFonts w:ascii="Palatino Linotype" w:eastAsia="Palatino Linotype" w:hAnsi="Palatino Linotype" w:cs="Palatino Linotype"/>
          <w:i/>
          <w:sz w:val="22"/>
          <w:szCs w:val="22"/>
        </w:rPr>
        <w:t xml:space="preserve"> “</w:t>
      </w:r>
      <w:r w:rsidR="002665BB" w:rsidRPr="00084D30">
        <w:rPr>
          <w:rFonts w:ascii="Palatino Linotype" w:eastAsia="Palatino Linotype" w:hAnsi="Palatino Linotype" w:cs="Palatino Linotype"/>
          <w:i/>
          <w:sz w:val="22"/>
          <w:szCs w:val="22"/>
        </w:rPr>
        <w:t>SOLICITO COPIA SIMPLE DIGITALIZADA A TRAVÉS DEL SISTEMA ELECTRONICO SAIMEX DE LOS COMPROBANTES DE TODOS LOS PAGOS REALIZADOS A PERSONAS FISICAS Y MORALES POR LA TESORERIA MUNICIAPAL DE 1 DE SEPTIEMBRE AL 15 DE OCTUBRE DE 2025</w:t>
      </w:r>
      <w:r w:rsidR="00D328D0" w:rsidRPr="00084D30">
        <w:rPr>
          <w:rFonts w:ascii="Palatino Linotype" w:eastAsia="Palatino Linotype" w:hAnsi="Palatino Linotype" w:cs="Palatino Linotype"/>
          <w:i/>
          <w:sz w:val="22"/>
          <w:szCs w:val="22"/>
        </w:rPr>
        <w:t>.</w:t>
      </w:r>
      <w:r w:rsidRPr="00084D30">
        <w:rPr>
          <w:rFonts w:ascii="Palatino Linotype" w:eastAsia="Palatino Linotype" w:hAnsi="Palatino Linotype" w:cs="Palatino Linotype"/>
          <w:i/>
          <w:sz w:val="22"/>
          <w:szCs w:val="22"/>
        </w:rPr>
        <w:t xml:space="preserve">” </w:t>
      </w:r>
    </w:p>
    <w:p w14:paraId="38CE1B19" w14:textId="77777777" w:rsidR="00B03E3D" w:rsidRPr="00084D30" w:rsidRDefault="00B03E3D" w:rsidP="00B03E3D">
      <w:pPr>
        <w:ind w:left="567" w:right="902"/>
        <w:jc w:val="both"/>
        <w:rPr>
          <w:rFonts w:ascii="Palatino Linotype" w:eastAsia="Palatino Linotype" w:hAnsi="Palatino Linotype" w:cs="Palatino Linotype"/>
          <w:b/>
          <w:i/>
          <w:sz w:val="22"/>
          <w:szCs w:val="22"/>
        </w:rPr>
      </w:pPr>
    </w:p>
    <w:p w14:paraId="75F3A285" w14:textId="77777777" w:rsidR="00C81284" w:rsidRPr="00084D30" w:rsidRDefault="00987473" w:rsidP="00B03E3D">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084D30">
        <w:rPr>
          <w:rFonts w:ascii="Palatino Linotype" w:eastAsia="Palatino Linotype" w:hAnsi="Palatino Linotype" w:cs="Palatino Linotype"/>
          <w:b/>
          <w:sz w:val="22"/>
          <w:szCs w:val="22"/>
        </w:rPr>
        <w:t xml:space="preserve">Modalidad de Entrega: </w:t>
      </w:r>
      <w:r w:rsidRPr="00084D30">
        <w:rPr>
          <w:rFonts w:ascii="Palatino Linotype" w:eastAsia="Palatino Linotype" w:hAnsi="Palatino Linotype" w:cs="Palatino Linotype"/>
          <w:sz w:val="22"/>
          <w:szCs w:val="22"/>
        </w:rPr>
        <w:t xml:space="preserve">A través del </w:t>
      </w:r>
      <w:r w:rsidRPr="00084D30">
        <w:rPr>
          <w:rFonts w:ascii="Palatino Linotype" w:eastAsia="Palatino Linotype" w:hAnsi="Palatino Linotype" w:cs="Palatino Linotype"/>
          <w:b/>
          <w:sz w:val="22"/>
          <w:szCs w:val="22"/>
        </w:rPr>
        <w:t>SAIMEX</w:t>
      </w:r>
      <w:r w:rsidRPr="00084D30">
        <w:rPr>
          <w:rFonts w:ascii="Palatino Linotype" w:eastAsia="Palatino Linotype" w:hAnsi="Palatino Linotype" w:cs="Palatino Linotype"/>
          <w:sz w:val="22"/>
          <w:szCs w:val="22"/>
        </w:rPr>
        <w:t>.</w:t>
      </w:r>
    </w:p>
    <w:p w14:paraId="61D4B91B" w14:textId="77777777" w:rsidR="00B03E3D" w:rsidRPr="00084D30" w:rsidRDefault="00B03E3D" w:rsidP="00B03E3D">
      <w:pPr>
        <w:spacing w:line="360" w:lineRule="auto"/>
        <w:jc w:val="both"/>
        <w:rPr>
          <w:rFonts w:ascii="Palatino Linotype" w:eastAsia="Palatino Linotype" w:hAnsi="Palatino Linotype" w:cs="Palatino Linotype"/>
          <w:sz w:val="22"/>
          <w:szCs w:val="22"/>
        </w:rPr>
      </w:pPr>
    </w:p>
    <w:p w14:paraId="2ABAD6B8" w14:textId="16FCF563" w:rsidR="002665BB" w:rsidRPr="00084D30" w:rsidRDefault="002665BB" w:rsidP="002665BB">
      <w:pPr>
        <w:pStyle w:val="Prrafodelista"/>
        <w:numPr>
          <w:ilvl w:val="0"/>
          <w:numId w:val="15"/>
        </w:numPr>
        <w:pBdr>
          <w:top w:val="nil"/>
          <w:left w:val="nil"/>
          <w:bottom w:val="nil"/>
          <w:right w:val="nil"/>
          <w:between w:val="nil"/>
        </w:pBdr>
        <w:tabs>
          <w:tab w:val="left" w:pos="284"/>
          <w:tab w:val="left" w:pos="3119"/>
        </w:tabs>
        <w:spacing w:line="360" w:lineRule="auto"/>
        <w:ind w:left="0" w:firstLine="0"/>
        <w:jc w:val="both"/>
        <w:rPr>
          <w:rFonts w:ascii="Palatino Linotype" w:eastAsia="Palatino Linotype" w:hAnsi="Palatino Linotype" w:cs="Palatino Linotype"/>
          <w:b/>
          <w:sz w:val="22"/>
          <w:szCs w:val="22"/>
        </w:rPr>
      </w:pPr>
      <w:r w:rsidRPr="00084D30">
        <w:rPr>
          <w:rFonts w:ascii="Palatino Linotype" w:eastAsia="Palatino Linotype" w:hAnsi="Palatino Linotype" w:cs="Palatino Linotype"/>
          <w:b/>
          <w:sz w:val="22"/>
          <w:szCs w:val="22"/>
        </w:rPr>
        <w:t xml:space="preserve">Ampliación de plazo para emitir respuesta. </w:t>
      </w:r>
      <w:r w:rsidRPr="00084D30">
        <w:rPr>
          <w:rFonts w:ascii="Palatino Linotype" w:eastAsia="Palatino Linotype" w:hAnsi="Palatino Linotype" w:cs="Palatino Linotype"/>
          <w:sz w:val="22"/>
          <w:szCs w:val="22"/>
        </w:rPr>
        <w:t xml:space="preserve">En fecha </w:t>
      </w:r>
      <w:r w:rsidRPr="00084D30">
        <w:rPr>
          <w:rFonts w:ascii="Palatino Linotype" w:eastAsia="Palatino Linotype" w:hAnsi="Palatino Linotype" w:cs="Palatino Linotype"/>
          <w:b/>
          <w:sz w:val="22"/>
          <w:szCs w:val="22"/>
        </w:rPr>
        <w:t xml:space="preserve">cinco de noviembre de dos mil veinticinco </w:t>
      </w:r>
      <w:r w:rsidRPr="00084D30">
        <w:rPr>
          <w:rFonts w:ascii="Palatino Linotype" w:eastAsia="Palatino Linotype" w:hAnsi="Palatino Linotype" w:cs="Palatino Linotype"/>
          <w:sz w:val="22"/>
          <w:szCs w:val="22"/>
        </w:rPr>
        <w:t xml:space="preserve">el </w:t>
      </w:r>
      <w:r w:rsidRPr="00084D30">
        <w:rPr>
          <w:rFonts w:ascii="Palatino Linotype" w:eastAsia="Palatino Linotype" w:hAnsi="Palatino Linotype" w:cs="Palatino Linotype"/>
          <w:b/>
          <w:sz w:val="22"/>
          <w:szCs w:val="22"/>
        </w:rPr>
        <w:t xml:space="preserve">SUJETO OBLIGADO </w:t>
      </w:r>
      <w:r w:rsidRPr="00084D30">
        <w:rPr>
          <w:rFonts w:ascii="Palatino Linotype" w:eastAsia="Palatino Linotype" w:hAnsi="Palatino Linotype" w:cs="Palatino Linotype"/>
          <w:sz w:val="22"/>
          <w:szCs w:val="22"/>
        </w:rPr>
        <w:t xml:space="preserve">aprobó una ampliación de plazo para emitir respuesta. </w:t>
      </w:r>
    </w:p>
    <w:p w14:paraId="771BC858" w14:textId="28B448F8" w:rsidR="00B03E3D" w:rsidRPr="00084D30" w:rsidRDefault="00987473" w:rsidP="002665BB">
      <w:pPr>
        <w:pStyle w:val="Prrafodelista"/>
        <w:numPr>
          <w:ilvl w:val="0"/>
          <w:numId w:val="15"/>
        </w:numPr>
        <w:pBdr>
          <w:top w:val="nil"/>
          <w:left w:val="nil"/>
          <w:bottom w:val="nil"/>
          <w:right w:val="nil"/>
          <w:between w:val="nil"/>
        </w:pBdr>
        <w:tabs>
          <w:tab w:val="left" w:pos="284"/>
          <w:tab w:val="left" w:pos="3119"/>
        </w:tabs>
        <w:spacing w:line="360" w:lineRule="auto"/>
        <w:ind w:left="0" w:firstLine="0"/>
        <w:jc w:val="both"/>
        <w:rPr>
          <w:rFonts w:ascii="Palatino Linotype" w:eastAsia="Palatino Linotype" w:hAnsi="Palatino Linotype" w:cs="Palatino Linotype"/>
          <w:b/>
          <w:sz w:val="22"/>
          <w:szCs w:val="22"/>
        </w:rPr>
      </w:pPr>
      <w:r w:rsidRPr="00084D30">
        <w:rPr>
          <w:rFonts w:ascii="Palatino Linotype" w:eastAsia="Palatino Linotype" w:hAnsi="Palatino Linotype" w:cs="Palatino Linotype"/>
          <w:b/>
          <w:sz w:val="22"/>
          <w:szCs w:val="22"/>
        </w:rPr>
        <w:lastRenderedPageBreak/>
        <w:t xml:space="preserve">Respuesta. </w:t>
      </w:r>
      <w:r w:rsidRPr="00084D30">
        <w:rPr>
          <w:rFonts w:ascii="Palatino Linotype" w:eastAsia="Palatino Linotype" w:hAnsi="Palatino Linotype" w:cs="Palatino Linotype"/>
          <w:sz w:val="22"/>
          <w:szCs w:val="22"/>
        </w:rPr>
        <w:t xml:space="preserve">El </w:t>
      </w:r>
      <w:r w:rsidR="002665BB" w:rsidRPr="00084D30">
        <w:rPr>
          <w:rFonts w:ascii="Palatino Linotype" w:eastAsia="Palatino Linotype" w:hAnsi="Palatino Linotype" w:cs="Palatino Linotype"/>
          <w:b/>
          <w:sz w:val="22"/>
          <w:szCs w:val="22"/>
        </w:rPr>
        <w:t>catorce de noviembre</w:t>
      </w:r>
      <w:r w:rsidRPr="00084D30">
        <w:rPr>
          <w:rFonts w:ascii="Palatino Linotype" w:eastAsia="Palatino Linotype" w:hAnsi="Palatino Linotype" w:cs="Palatino Linotype"/>
          <w:b/>
          <w:sz w:val="22"/>
          <w:szCs w:val="22"/>
        </w:rPr>
        <w:t xml:space="preserve"> de dos mil veinticinco</w:t>
      </w:r>
      <w:r w:rsidRPr="00084D30">
        <w:rPr>
          <w:rFonts w:ascii="Palatino Linotype" w:eastAsia="Palatino Linotype" w:hAnsi="Palatino Linotype" w:cs="Palatino Linotype"/>
          <w:sz w:val="22"/>
          <w:szCs w:val="22"/>
        </w:rPr>
        <w:t>, el</w:t>
      </w:r>
      <w:r w:rsidRPr="00084D30">
        <w:rPr>
          <w:rFonts w:ascii="Palatino Linotype" w:eastAsia="Palatino Linotype" w:hAnsi="Palatino Linotype" w:cs="Palatino Linotype"/>
          <w:b/>
          <w:sz w:val="22"/>
          <w:szCs w:val="22"/>
        </w:rPr>
        <w:t xml:space="preserve"> Sujeto Obligado </w:t>
      </w:r>
      <w:r w:rsidRPr="00084D30">
        <w:rPr>
          <w:rFonts w:ascii="Palatino Linotype" w:eastAsia="Palatino Linotype" w:hAnsi="Palatino Linotype" w:cs="Palatino Linotype"/>
          <w:sz w:val="22"/>
          <w:szCs w:val="22"/>
        </w:rPr>
        <w:t xml:space="preserve">notificó a la persona solicitante, la respuesta a su solicitud de </w:t>
      </w:r>
      <w:r w:rsidR="00B03E3D" w:rsidRPr="00084D30">
        <w:rPr>
          <w:rFonts w:ascii="Palatino Linotype" w:eastAsia="Palatino Linotype" w:hAnsi="Palatino Linotype" w:cs="Palatino Linotype"/>
          <w:sz w:val="22"/>
          <w:szCs w:val="22"/>
        </w:rPr>
        <w:t xml:space="preserve">información, la cual fue previamente del conocimiento de las partes. </w:t>
      </w:r>
    </w:p>
    <w:p w14:paraId="55F26333" w14:textId="77777777" w:rsidR="00B03E3D" w:rsidRPr="00084D30" w:rsidRDefault="00B03E3D" w:rsidP="00B03E3D">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p>
    <w:p w14:paraId="4F88CA87" w14:textId="1F9DC901" w:rsidR="00C81284" w:rsidRPr="00084D30" w:rsidRDefault="00987473" w:rsidP="00B03E3D">
      <w:p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b/>
          <w:sz w:val="22"/>
          <w:szCs w:val="22"/>
        </w:rPr>
        <w:t xml:space="preserve">3. Interposición del recurso de revisión. </w:t>
      </w:r>
      <w:r w:rsidRPr="00084D30">
        <w:rPr>
          <w:rFonts w:ascii="Palatino Linotype" w:eastAsia="Palatino Linotype" w:hAnsi="Palatino Linotype" w:cs="Palatino Linotype"/>
          <w:sz w:val="22"/>
          <w:szCs w:val="22"/>
        </w:rPr>
        <w:t xml:space="preserve">Inconforme con los términos de la respuesta emitida por parte del </w:t>
      </w:r>
      <w:r w:rsidRPr="00084D30">
        <w:rPr>
          <w:rFonts w:ascii="Palatino Linotype" w:eastAsia="Palatino Linotype" w:hAnsi="Palatino Linotype" w:cs="Palatino Linotype"/>
          <w:b/>
          <w:sz w:val="22"/>
          <w:szCs w:val="22"/>
        </w:rPr>
        <w:t>Sujeto Obligado</w:t>
      </w:r>
      <w:r w:rsidRPr="00084D30">
        <w:rPr>
          <w:rFonts w:ascii="Palatino Linotype" w:eastAsia="Palatino Linotype" w:hAnsi="Palatino Linotype" w:cs="Palatino Linotype"/>
          <w:sz w:val="22"/>
          <w:szCs w:val="22"/>
        </w:rPr>
        <w:t xml:space="preserve">, el </w:t>
      </w:r>
      <w:r w:rsidR="002665BB" w:rsidRPr="00084D30">
        <w:rPr>
          <w:rFonts w:ascii="Palatino Linotype" w:eastAsia="Palatino Linotype" w:hAnsi="Palatino Linotype" w:cs="Palatino Linotype"/>
          <w:b/>
          <w:sz w:val="22"/>
          <w:szCs w:val="22"/>
        </w:rPr>
        <w:t>catorce de noviembre</w:t>
      </w:r>
      <w:r w:rsidRPr="00084D30">
        <w:rPr>
          <w:rFonts w:ascii="Palatino Linotype" w:eastAsia="Palatino Linotype" w:hAnsi="Palatino Linotype" w:cs="Palatino Linotype"/>
          <w:b/>
          <w:sz w:val="22"/>
          <w:szCs w:val="22"/>
        </w:rPr>
        <w:t xml:space="preserve"> dos mil veinticinco, la parte Recurrente</w:t>
      </w:r>
      <w:r w:rsidRPr="00084D30">
        <w:rPr>
          <w:rFonts w:ascii="Palatino Linotype" w:eastAsia="Palatino Linotype" w:hAnsi="Palatino Linotype" w:cs="Palatino Linotype"/>
          <w:sz w:val="22"/>
          <w:szCs w:val="22"/>
        </w:rPr>
        <w:t xml:space="preserve"> interpuso el recurso de revisión a través de </w:t>
      </w:r>
      <w:r w:rsidRPr="00084D30">
        <w:rPr>
          <w:rFonts w:ascii="Palatino Linotype" w:eastAsia="Palatino Linotype" w:hAnsi="Palatino Linotype" w:cs="Palatino Linotype"/>
          <w:b/>
          <w:sz w:val="22"/>
          <w:szCs w:val="22"/>
        </w:rPr>
        <w:t xml:space="preserve">SAIMEX, </w:t>
      </w:r>
      <w:r w:rsidRPr="00084D30">
        <w:rPr>
          <w:rFonts w:ascii="Palatino Linotype" w:eastAsia="Palatino Linotype" w:hAnsi="Palatino Linotype" w:cs="Palatino Linotype"/>
          <w:sz w:val="22"/>
          <w:szCs w:val="22"/>
        </w:rPr>
        <w:t>en donde se manifestó de la siguiente manera:</w:t>
      </w:r>
    </w:p>
    <w:p w14:paraId="4ED4828E" w14:textId="77777777" w:rsidR="00B03E3D" w:rsidRPr="00084D30" w:rsidRDefault="00B03E3D" w:rsidP="00B03E3D">
      <w:pPr>
        <w:spacing w:line="360" w:lineRule="auto"/>
        <w:ind w:right="49"/>
        <w:jc w:val="both"/>
        <w:rPr>
          <w:rFonts w:ascii="Palatino Linotype" w:eastAsia="Palatino Linotype" w:hAnsi="Palatino Linotype" w:cs="Palatino Linotype"/>
          <w:sz w:val="22"/>
          <w:szCs w:val="22"/>
        </w:rPr>
      </w:pPr>
    </w:p>
    <w:p w14:paraId="4DCE7A1A" w14:textId="045E4FEE" w:rsidR="00C81284" w:rsidRPr="00084D30" w:rsidRDefault="00987473" w:rsidP="00B03E3D">
      <w:pPr>
        <w:tabs>
          <w:tab w:val="left" w:pos="2745"/>
        </w:tabs>
        <w:spacing w:line="276" w:lineRule="auto"/>
        <w:ind w:left="567" w:right="900"/>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sz w:val="22"/>
          <w:szCs w:val="22"/>
        </w:rPr>
        <w:t xml:space="preserve">a) Acto impugnado: </w:t>
      </w:r>
      <w:r w:rsidRPr="00084D30">
        <w:rPr>
          <w:rFonts w:ascii="Palatino Linotype" w:eastAsia="Palatino Linotype" w:hAnsi="Palatino Linotype" w:cs="Palatino Linotype"/>
          <w:i/>
          <w:sz w:val="22"/>
          <w:szCs w:val="22"/>
        </w:rPr>
        <w:t>“</w:t>
      </w:r>
      <w:r w:rsidR="00A0375B" w:rsidRPr="00084D30">
        <w:rPr>
          <w:rFonts w:ascii="Palatino Linotype" w:eastAsia="Palatino Linotype" w:hAnsi="Palatino Linotype" w:cs="Palatino Linotype"/>
          <w:i/>
          <w:sz w:val="22"/>
          <w:szCs w:val="22"/>
        </w:rPr>
        <w:t>RESPUESTA A LA SOLICITUD 00714/NAUCALPA/IP/2025</w:t>
      </w:r>
      <w:r w:rsidR="00B03E3D" w:rsidRPr="00084D30">
        <w:rPr>
          <w:rFonts w:ascii="Palatino Linotype" w:eastAsia="Palatino Linotype" w:hAnsi="Palatino Linotype" w:cs="Palatino Linotype"/>
          <w:i/>
          <w:sz w:val="22"/>
          <w:szCs w:val="22"/>
        </w:rPr>
        <w:t xml:space="preserve">.” </w:t>
      </w:r>
    </w:p>
    <w:p w14:paraId="49A1520F" w14:textId="77777777" w:rsidR="00B03E3D" w:rsidRPr="00084D30" w:rsidRDefault="00B03E3D" w:rsidP="00B03E3D">
      <w:pPr>
        <w:tabs>
          <w:tab w:val="left" w:pos="2745"/>
        </w:tabs>
        <w:spacing w:line="276" w:lineRule="auto"/>
        <w:ind w:left="567" w:right="900"/>
        <w:jc w:val="both"/>
        <w:rPr>
          <w:rFonts w:ascii="Palatino Linotype" w:eastAsia="Palatino Linotype" w:hAnsi="Palatino Linotype" w:cs="Palatino Linotype"/>
          <w:b/>
          <w:sz w:val="22"/>
          <w:szCs w:val="22"/>
        </w:rPr>
      </w:pPr>
    </w:p>
    <w:p w14:paraId="052F2837" w14:textId="794C206F" w:rsidR="00C81284" w:rsidRPr="00084D30" w:rsidRDefault="00987473" w:rsidP="00B03E3D">
      <w:pPr>
        <w:spacing w:line="276" w:lineRule="auto"/>
        <w:ind w:left="567" w:right="900"/>
        <w:jc w:val="both"/>
        <w:rPr>
          <w:rFonts w:ascii="Palatino Linotype" w:eastAsia="Palatino Linotype" w:hAnsi="Palatino Linotype" w:cs="Palatino Linotype"/>
          <w:sz w:val="22"/>
          <w:szCs w:val="22"/>
        </w:rPr>
      </w:pPr>
      <w:bookmarkStart w:id="4" w:name="_heading=h.30j0zll" w:colFirst="0" w:colLast="0"/>
      <w:bookmarkEnd w:id="4"/>
      <w:r w:rsidRPr="00084D30">
        <w:rPr>
          <w:rFonts w:ascii="Palatino Linotype" w:eastAsia="Palatino Linotype" w:hAnsi="Palatino Linotype" w:cs="Palatino Linotype"/>
          <w:b/>
          <w:sz w:val="22"/>
          <w:szCs w:val="22"/>
        </w:rPr>
        <w:t>b) Razones o motivos de inconformidad</w:t>
      </w:r>
      <w:r w:rsidRPr="00084D30">
        <w:rPr>
          <w:rFonts w:ascii="Palatino Linotype" w:eastAsia="Palatino Linotype" w:hAnsi="Palatino Linotype" w:cs="Palatino Linotype"/>
          <w:sz w:val="22"/>
          <w:szCs w:val="22"/>
        </w:rPr>
        <w:t xml:space="preserve">: </w:t>
      </w:r>
      <w:r w:rsidRPr="00084D30">
        <w:rPr>
          <w:rFonts w:ascii="Palatino Linotype" w:eastAsia="Palatino Linotype" w:hAnsi="Palatino Linotype" w:cs="Palatino Linotype"/>
          <w:i/>
          <w:sz w:val="22"/>
          <w:szCs w:val="22"/>
        </w:rPr>
        <w:t>“</w:t>
      </w:r>
      <w:r w:rsidR="00A0375B" w:rsidRPr="00084D30">
        <w:rPr>
          <w:rFonts w:ascii="Palatino Linotype" w:eastAsia="Palatino Linotype" w:hAnsi="Palatino Linotype" w:cs="Palatino Linotype"/>
          <w:i/>
          <w:sz w:val="22"/>
          <w:szCs w:val="22"/>
        </w:rPr>
        <w:t xml:space="preserve">EN LA RESPUESTA DEL SUJETO OBLIGADO MUCHOS COMPROBANTES DE PAGO TIENEN EL NOMBRE DEL BENEFICIARIO OCULTO, LO CUAL VIOLA LA LEY DE TRANSPOARENCIA, PUES SE TRATA DE INFORMACION PÚBLICA. POR LO ANTERIOR, </w:t>
      </w:r>
      <w:r w:rsidR="00A0375B" w:rsidRPr="00084D30">
        <w:rPr>
          <w:rFonts w:ascii="Palatino Linotype" w:eastAsia="Palatino Linotype" w:hAnsi="Palatino Linotype" w:cs="Palatino Linotype"/>
          <w:b/>
          <w:bCs/>
          <w:i/>
          <w:sz w:val="22"/>
          <w:szCs w:val="22"/>
          <w:u w:val="single"/>
        </w:rPr>
        <w:t>SOLICITO SE ORDENE AL SUJETO OBLIGADO REALIZAR LA ENTREGA DE TODA LA DOCUMENTACIÓN DEJANDO A LA VISTA DE ESTE SOLICITANTE LA INFORMACION PÚBLICA</w:t>
      </w:r>
      <w:r w:rsidR="00B03E3D" w:rsidRPr="00084D30">
        <w:rPr>
          <w:rFonts w:ascii="Palatino Linotype" w:eastAsia="Palatino Linotype" w:hAnsi="Palatino Linotype" w:cs="Palatino Linotype"/>
          <w:i/>
          <w:sz w:val="22"/>
          <w:szCs w:val="22"/>
        </w:rPr>
        <w:t>.”</w:t>
      </w:r>
    </w:p>
    <w:p w14:paraId="7D26879D" w14:textId="77777777" w:rsidR="00C81284" w:rsidRPr="00084D30" w:rsidRDefault="00C81284" w:rsidP="00B03E3D">
      <w:pPr>
        <w:spacing w:line="360" w:lineRule="auto"/>
        <w:jc w:val="both"/>
        <w:rPr>
          <w:rFonts w:ascii="Palatino Linotype" w:eastAsia="Palatino Linotype" w:hAnsi="Palatino Linotype" w:cs="Palatino Linotype"/>
          <w:b/>
          <w:sz w:val="22"/>
          <w:szCs w:val="22"/>
        </w:rPr>
      </w:pPr>
    </w:p>
    <w:p w14:paraId="4A2D96BC" w14:textId="77777777" w:rsidR="00C81284" w:rsidRPr="00084D30" w:rsidRDefault="00987473" w:rsidP="00B03E3D">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b/>
          <w:sz w:val="22"/>
          <w:szCs w:val="22"/>
        </w:rPr>
        <w:t xml:space="preserve">4. Turno. </w:t>
      </w:r>
      <w:r w:rsidRPr="00084D3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84D30">
        <w:rPr>
          <w:rFonts w:ascii="Palatino Linotype" w:eastAsia="Palatino Linotype" w:hAnsi="Palatino Linotype" w:cs="Palatino Linotype"/>
          <w:b/>
          <w:sz w:val="22"/>
          <w:szCs w:val="22"/>
        </w:rPr>
        <w:t xml:space="preserve">Guadalupe Ramírez Peña, </w:t>
      </w:r>
      <w:r w:rsidRPr="00084D30">
        <w:rPr>
          <w:rFonts w:ascii="Palatino Linotype" w:eastAsia="Palatino Linotype" w:hAnsi="Palatino Linotype" w:cs="Palatino Linotype"/>
          <w:sz w:val="22"/>
          <w:szCs w:val="22"/>
        </w:rPr>
        <w:t>a efecto de que analizara sobre su admisión o su desechamiento.</w:t>
      </w:r>
    </w:p>
    <w:p w14:paraId="4CD5E66F" w14:textId="77777777" w:rsidR="00B03E3D" w:rsidRPr="00084D30" w:rsidRDefault="00B03E3D" w:rsidP="00B03E3D">
      <w:pPr>
        <w:spacing w:line="360" w:lineRule="auto"/>
        <w:jc w:val="both"/>
        <w:rPr>
          <w:rFonts w:ascii="Palatino Linotype" w:eastAsia="Palatino Linotype" w:hAnsi="Palatino Linotype" w:cs="Palatino Linotype"/>
          <w:sz w:val="22"/>
          <w:szCs w:val="22"/>
        </w:rPr>
      </w:pPr>
    </w:p>
    <w:p w14:paraId="51FC7826" w14:textId="624D88AC" w:rsidR="00C81284" w:rsidRPr="00084D30" w:rsidRDefault="00987473" w:rsidP="00B03E3D">
      <w:pPr>
        <w:spacing w:line="360" w:lineRule="auto"/>
        <w:jc w:val="both"/>
        <w:rPr>
          <w:rFonts w:ascii="Palatino Linotype" w:eastAsia="Palatino Linotype" w:hAnsi="Palatino Linotype" w:cs="Palatino Linotype"/>
          <w:sz w:val="22"/>
          <w:szCs w:val="22"/>
        </w:rPr>
      </w:pPr>
      <w:bookmarkStart w:id="5" w:name="_heading=h.2s8eyo1" w:colFirst="0" w:colLast="0"/>
      <w:bookmarkEnd w:id="5"/>
      <w:r w:rsidRPr="00084D30">
        <w:rPr>
          <w:rFonts w:ascii="Palatino Linotype" w:eastAsia="Palatino Linotype" w:hAnsi="Palatino Linotype" w:cs="Palatino Linotype"/>
          <w:b/>
          <w:sz w:val="22"/>
          <w:szCs w:val="22"/>
        </w:rPr>
        <w:lastRenderedPageBreak/>
        <w:t>5. Admisión del Recurso de revisión.</w:t>
      </w:r>
      <w:r w:rsidRPr="00084D30">
        <w:rPr>
          <w:rFonts w:ascii="Palatino Linotype" w:eastAsia="Palatino Linotype" w:hAnsi="Palatino Linotype" w:cs="Palatino Linotype"/>
          <w:sz w:val="22"/>
          <w:szCs w:val="22"/>
        </w:rPr>
        <w:t xml:space="preserve"> El</w:t>
      </w:r>
      <w:r w:rsidRPr="00084D30">
        <w:rPr>
          <w:rFonts w:ascii="Palatino Linotype" w:eastAsia="Palatino Linotype" w:hAnsi="Palatino Linotype" w:cs="Palatino Linotype"/>
          <w:b/>
          <w:sz w:val="22"/>
          <w:szCs w:val="22"/>
        </w:rPr>
        <w:t xml:space="preserve"> </w:t>
      </w:r>
      <w:r w:rsidR="00A0375B" w:rsidRPr="00084D30">
        <w:rPr>
          <w:rFonts w:ascii="Palatino Linotype" w:eastAsia="Palatino Linotype" w:hAnsi="Palatino Linotype" w:cs="Palatino Linotype"/>
          <w:b/>
          <w:sz w:val="22"/>
          <w:szCs w:val="22"/>
        </w:rPr>
        <w:t>veintiuno de noviembre</w:t>
      </w:r>
      <w:r w:rsidRPr="00084D30">
        <w:rPr>
          <w:rFonts w:ascii="Palatino Linotype" w:eastAsia="Palatino Linotype" w:hAnsi="Palatino Linotype" w:cs="Palatino Linotype"/>
          <w:b/>
          <w:sz w:val="22"/>
          <w:szCs w:val="22"/>
        </w:rPr>
        <w:t xml:space="preserve"> de dos mil veinticinco, </w:t>
      </w:r>
      <w:r w:rsidRPr="00084D3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84D30">
        <w:rPr>
          <w:rFonts w:ascii="Palatino Linotype" w:eastAsia="Palatino Linotype" w:hAnsi="Palatino Linotype" w:cs="Palatino Linotype"/>
          <w:b/>
          <w:sz w:val="22"/>
          <w:szCs w:val="22"/>
        </w:rPr>
        <w:t xml:space="preserve">Sujeto Obligado </w:t>
      </w:r>
      <w:r w:rsidRPr="00084D30">
        <w:rPr>
          <w:rFonts w:ascii="Palatino Linotype" w:eastAsia="Palatino Linotype" w:hAnsi="Palatino Linotype" w:cs="Palatino Linotype"/>
          <w:sz w:val="22"/>
          <w:szCs w:val="22"/>
        </w:rPr>
        <w:t>presentara su informe justificado.</w:t>
      </w:r>
    </w:p>
    <w:p w14:paraId="2AA6BBE0" w14:textId="77777777" w:rsidR="00663527" w:rsidRPr="00084D30" w:rsidRDefault="00663527" w:rsidP="00B03E3D">
      <w:pPr>
        <w:spacing w:line="360" w:lineRule="auto"/>
        <w:jc w:val="both"/>
        <w:rPr>
          <w:rFonts w:ascii="Palatino Linotype" w:eastAsia="Palatino Linotype" w:hAnsi="Palatino Linotype" w:cs="Palatino Linotype"/>
          <w:sz w:val="22"/>
          <w:szCs w:val="22"/>
        </w:rPr>
      </w:pPr>
    </w:p>
    <w:p w14:paraId="1A8847AE" w14:textId="77777777" w:rsidR="00A0375B" w:rsidRPr="00084D30" w:rsidRDefault="00B03E3D" w:rsidP="00B03E3D">
      <w:pPr>
        <w:widowControl w:val="0"/>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b/>
          <w:sz w:val="22"/>
          <w:szCs w:val="22"/>
        </w:rPr>
        <w:t>6. Manifestaciones</w:t>
      </w:r>
      <w:r w:rsidR="00987473" w:rsidRPr="00084D30">
        <w:rPr>
          <w:rFonts w:ascii="Palatino Linotype" w:eastAsia="Palatino Linotype" w:hAnsi="Palatino Linotype" w:cs="Palatino Linotype"/>
          <w:b/>
          <w:sz w:val="22"/>
          <w:szCs w:val="22"/>
        </w:rPr>
        <w:t xml:space="preserve">. </w:t>
      </w:r>
      <w:r w:rsidR="00A0375B" w:rsidRPr="00084D30">
        <w:rPr>
          <w:rFonts w:ascii="Palatino Linotype" w:eastAsia="Palatino Linotype" w:hAnsi="Palatino Linotype" w:cs="Palatino Linotype"/>
          <w:sz w:val="22"/>
          <w:szCs w:val="22"/>
        </w:rPr>
        <w:t xml:space="preserve">El </w:t>
      </w:r>
      <w:r w:rsidR="00A0375B" w:rsidRPr="00084D30">
        <w:rPr>
          <w:rFonts w:ascii="Palatino Linotype" w:eastAsia="Palatino Linotype" w:hAnsi="Palatino Linotype" w:cs="Palatino Linotype"/>
          <w:b/>
          <w:sz w:val="22"/>
          <w:szCs w:val="22"/>
        </w:rPr>
        <w:t>veinticinco de noviembre de dos mil veinticinco</w:t>
      </w:r>
      <w:r w:rsidR="00A0375B" w:rsidRPr="00084D30">
        <w:rPr>
          <w:rFonts w:ascii="Palatino Linotype" w:eastAsia="Palatino Linotype" w:hAnsi="Palatino Linotype" w:cs="Palatino Linotype"/>
          <w:sz w:val="22"/>
          <w:szCs w:val="22"/>
        </w:rPr>
        <w:t xml:space="preserve">, el Sujeto Obligado remitió lo siguiente: </w:t>
      </w:r>
    </w:p>
    <w:p w14:paraId="2775B74C" w14:textId="77777777" w:rsidR="00A0375B" w:rsidRPr="00084D30" w:rsidRDefault="00A0375B" w:rsidP="00B03E3D">
      <w:pPr>
        <w:widowControl w:val="0"/>
        <w:spacing w:line="360" w:lineRule="auto"/>
        <w:ind w:right="49"/>
        <w:jc w:val="both"/>
        <w:rPr>
          <w:rFonts w:ascii="Palatino Linotype" w:eastAsia="Palatino Linotype" w:hAnsi="Palatino Linotype" w:cs="Palatino Linotype"/>
          <w:sz w:val="22"/>
          <w:szCs w:val="22"/>
        </w:rPr>
      </w:pPr>
    </w:p>
    <w:p w14:paraId="78E5A07C" w14:textId="5D009B20" w:rsidR="00663527" w:rsidRPr="00084D30" w:rsidRDefault="00B03E3D" w:rsidP="00A0375B">
      <w:pPr>
        <w:pStyle w:val="Prrafodelista"/>
        <w:widowControl w:val="0"/>
        <w:numPr>
          <w:ilvl w:val="0"/>
          <w:numId w:val="16"/>
        </w:num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 </w:t>
      </w:r>
      <w:r w:rsidR="0045580D" w:rsidRPr="00084D30">
        <w:rPr>
          <w:rFonts w:ascii="Palatino Linotype" w:eastAsia="Palatino Linotype" w:hAnsi="Palatino Linotype" w:cs="Palatino Linotype"/>
          <w:sz w:val="22"/>
          <w:szCs w:val="22"/>
        </w:rPr>
        <w:t xml:space="preserve">Comprobantes enviados en respuesta donde se deja visible el nombre del beneficiario. </w:t>
      </w:r>
    </w:p>
    <w:p w14:paraId="7B4C0D30" w14:textId="41DDC07E" w:rsidR="0045580D" w:rsidRPr="00084D30" w:rsidRDefault="0045580D" w:rsidP="00A0375B">
      <w:pPr>
        <w:pStyle w:val="Prrafodelista"/>
        <w:widowControl w:val="0"/>
        <w:numPr>
          <w:ilvl w:val="0"/>
          <w:numId w:val="16"/>
        </w:num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Oficio de fecha veinte de noviembre de dos mil veinticinco, signado por la Tesorera Municipal, mediante el cual informa lo siguiente: </w:t>
      </w:r>
    </w:p>
    <w:p w14:paraId="732E685A" w14:textId="77777777" w:rsidR="0045580D" w:rsidRPr="00084D30" w:rsidRDefault="0045580D" w:rsidP="0045580D">
      <w:pPr>
        <w:pStyle w:val="Prrafodelista"/>
        <w:widowControl w:val="0"/>
        <w:spacing w:line="276" w:lineRule="auto"/>
        <w:ind w:right="49"/>
        <w:jc w:val="both"/>
        <w:rPr>
          <w:rFonts w:ascii="Palatino Linotype" w:eastAsia="Palatino Linotype" w:hAnsi="Palatino Linotype" w:cs="Palatino Linotype"/>
          <w:i/>
          <w:sz w:val="22"/>
        </w:rPr>
      </w:pPr>
    </w:p>
    <w:p w14:paraId="566648F1" w14:textId="18129074" w:rsidR="0045580D" w:rsidRPr="00084D30" w:rsidRDefault="0045580D" w:rsidP="0045580D">
      <w:pPr>
        <w:pStyle w:val="Prrafodelista"/>
        <w:widowControl w:val="0"/>
        <w:spacing w:line="276" w:lineRule="auto"/>
        <w:ind w:right="49"/>
        <w:jc w:val="both"/>
        <w:rPr>
          <w:i/>
          <w:sz w:val="22"/>
        </w:rPr>
      </w:pPr>
      <w:r w:rsidRPr="00084D30">
        <w:rPr>
          <w:i/>
          <w:sz w:val="22"/>
        </w:rPr>
        <w:t xml:space="preserve">1. Que la respuesta primigenia fue emitida conforme a los elementos y criterios jurídicos disponibles al momento de su elaboración, atendiendo al deber de salvaguardar datos personales en posesión de sujetos obligados. </w:t>
      </w:r>
    </w:p>
    <w:p w14:paraId="3E733970" w14:textId="77777777" w:rsidR="000F6B9F" w:rsidRPr="00084D30" w:rsidRDefault="000F6B9F" w:rsidP="0045580D">
      <w:pPr>
        <w:pStyle w:val="Prrafodelista"/>
        <w:widowControl w:val="0"/>
        <w:spacing w:line="276" w:lineRule="auto"/>
        <w:ind w:right="49"/>
        <w:jc w:val="both"/>
        <w:rPr>
          <w:rFonts w:ascii="Palatino Linotype" w:hAnsi="Palatino Linotype"/>
          <w:i/>
          <w:sz w:val="22"/>
        </w:rPr>
      </w:pPr>
      <w:r w:rsidRPr="00084D30">
        <w:rPr>
          <w:rFonts w:ascii="Palatino Linotype" w:hAnsi="Palatino Linotype"/>
          <w:i/>
          <w:sz w:val="22"/>
        </w:rPr>
        <w:t xml:space="preserve">2. </w:t>
      </w:r>
      <w:r w:rsidR="0045580D" w:rsidRPr="00084D30">
        <w:rPr>
          <w:rFonts w:ascii="Palatino Linotype" w:hAnsi="Palatino Linotype"/>
          <w:i/>
          <w:sz w:val="22"/>
        </w:rPr>
        <w:t xml:space="preserve">Sin embargo, derivado del trámite del presente recurso de revisión, y conforme a lo previsto en los artículos aplicables de la Ley de Transparencia y Acceso a la Información Pública del Estado de México y Municipios, se efectuó una nueva valoración de la documentación solicitada, atendiendo a los planteamientos expresados por el recurrente. </w:t>
      </w:r>
    </w:p>
    <w:p w14:paraId="40293599" w14:textId="77777777" w:rsidR="000F6B9F" w:rsidRPr="00084D30" w:rsidRDefault="000F6B9F" w:rsidP="0045580D">
      <w:pPr>
        <w:pStyle w:val="Prrafodelista"/>
        <w:widowControl w:val="0"/>
        <w:spacing w:line="276" w:lineRule="auto"/>
        <w:ind w:right="49"/>
        <w:jc w:val="both"/>
        <w:rPr>
          <w:rFonts w:ascii="Palatino Linotype" w:hAnsi="Palatino Linotype"/>
          <w:b/>
          <w:i/>
          <w:sz w:val="22"/>
          <w:u w:val="single"/>
        </w:rPr>
      </w:pPr>
      <w:r w:rsidRPr="00084D30">
        <w:rPr>
          <w:rFonts w:ascii="Palatino Linotype" w:hAnsi="Palatino Linotype"/>
          <w:i/>
          <w:sz w:val="22"/>
        </w:rPr>
        <w:t xml:space="preserve">3. </w:t>
      </w:r>
      <w:r w:rsidR="0045580D" w:rsidRPr="00084D30">
        <w:rPr>
          <w:rFonts w:ascii="Palatino Linotype" w:hAnsi="Palatino Linotype"/>
          <w:i/>
          <w:sz w:val="22"/>
        </w:rPr>
        <w:t xml:space="preserve">Como resultado de dicha valoración, y con el propósito de maximizar el principio de publicidad en materia de ejercicio de recursos públicos, este Sujeto Obligado </w:t>
      </w:r>
      <w:r w:rsidR="0045580D" w:rsidRPr="00084D30">
        <w:rPr>
          <w:rFonts w:ascii="Palatino Linotype" w:hAnsi="Palatino Linotype"/>
          <w:b/>
          <w:i/>
          <w:sz w:val="22"/>
          <w:u w:val="single"/>
        </w:rPr>
        <w:t xml:space="preserve">determina procedente la entrega de versiones adicionales de los comprobantes de pago, en los cuales se deja visible el nombre del beneficiario, al no actualizarse en este caso un supuesto de clasificación. </w:t>
      </w:r>
    </w:p>
    <w:p w14:paraId="3CB7A126" w14:textId="7AF07106" w:rsidR="00B03E3D" w:rsidRPr="00084D30" w:rsidRDefault="000F6B9F" w:rsidP="000F6B9F">
      <w:pPr>
        <w:pStyle w:val="Prrafodelista"/>
        <w:widowControl w:val="0"/>
        <w:spacing w:line="276" w:lineRule="auto"/>
        <w:ind w:right="49"/>
        <w:jc w:val="both"/>
        <w:rPr>
          <w:rFonts w:ascii="Palatino Linotype" w:hAnsi="Palatino Linotype"/>
          <w:i/>
          <w:sz w:val="22"/>
        </w:rPr>
      </w:pPr>
      <w:r w:rsidRPr="00084D30">
        <w:rPr>
          <w:rFonts w:ascii="Palatino Linotype" w:hAnsi="Palatino Linotype"/>
          <w:i/>
          <w:sz w:val="22"/>
        </w:rPr>
        <w:t xml:space="preserve">4. </w:t>
      </w:r>
      <w:r w:rsidR="0045580D" w:rsidRPr="00084D30">
        <w:rPr>
          <w:rFonts w:ascii="Palatino Linotype" w:hAnsi="Palatino Linotype"/>
          <w:i/>
          <w:sz w:val="22"/>
        </w:rPr>
        <w:t xml:space="preserve">La entrega de dicha documentación se realiza dentro del ámbito del presente recurso, y tiene como finalidad atender de manera amplia el derecho de acceso a la información del peticionario. </w:t>
      </w:r>
    </w:p>
    <w:p w14:paraId="3F2B834E" w14:textId="059FBAD7" w:rsidR="000F6B9F" w:rsidRPr="00084D30" w:rsidRDefault="0099310A" w:rsidP="00B64C9A">
      <w:pPr>
        <w:widowControl w:val="0"/>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Los</w:t>
      </w:r>
      <w:r w:rsidR="007D0E38" w:rsidRPr="00084D30">
        <w:rPr>
          <w:rFonts w:ascii="Palatino Linotype" w:eastAsia="Palatino Linotype" w:hAnsi="Palatino Linotype" w:cs="Palatino Linotype"/>
          <w:sz w:val="22"/>
          <w:szCs w:val="22"/>
        </w:rPr>
        <w:t xml:space="preserve"> documentos se hicieron del conocimiento de la parte Recurrente el </w:t>
      </w:r>
      <w:r w:rsidR="00DB41D6" w:rsidRPr="00084D30">
        <w:rPr>
          <w:rFonts w:ascii="Palatino Linotype" w:eastAsia="Palatino Linotype" w:hAnsi="Palatino Linotype" w:cs="Palatino Linotype"/>
          <w:sz w:val="22"/>
          <w:szCs w:val="22"/>
        </w:rPr>
        <w:t>once</w:t>
      </w:r>
      <w:r w:rsidR="007D0E38" w:rsidRPr="00084D30">
        <w:rPr>
          <w:rFonts w:ascii="Palatino Linotype" w:eastAsia="Palatino Linotype" w:hAnsi="Palatino Linotype" w:cs="Palatino Linotype"/>
          <w:sz w:val="22"/>
          <w:szCs w:val="22"/>
        </w:rPr>
        <w:t xml:space="preserve"> de diciembre de dos mil veinticinco. </w:t>
      </w:r>
    </w:p>
    <w:p w14:paraId="55F5627C" w14:textId="77777777" w:rsidR="007D0E38" w:rsidRPr="00084D30" w:rsidRDefault="007D0E38" w:rsidP="00B64C9A">
      <w:pPr>
        <w:widowControl w:val="0"/>
        <w:spacing w:line="360" w:lineRule="auto"/>
        <w:ind w:right="49"/>
        <w:jc w:val="both"/>
        <w:rPr>
          <w:rFonts w:ascii="Palatino Linotype" w:eastAsia="Palatino Linotype" w:hAnsi="Palatino Linotype" w:cs="Palatino Linotype"/>
          <w:sz w:val="22"/>
          <w:szCs w:val="22"/>
        </w:rPr>
      </w:pPr>
    </w:p>
    <w:p w14:paraId="41D011A7" w14:textId="35A75C71" w:rsidR="007D0E38" w:rsidRPr="00084D30" w:rsidRDefault="007D0E38" w:rsidP="00B64C9A">
      <w:pPr>
        <w:widowControl w:val="0"/>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La</w:t>
      </w:r>
      <w:r w:rsidR="00B64C9A" w:rsidRPr="00084D30">
        <w:rPr>
          <w:rFonts w:ascii="Palatino Linotype" w:eastAsia="Palatino Linotype" w:hAnsi="Palatino Linotype" w:cs="Palatino Linotype"/>
          <w:sz w:val="22"/>
          <w:szCs w:val="22"/>
        </w:rPr>
        <w:t xml:space="preserve"> parte Recurrente fue omisa en rendir manifestaciones. </w:t>
      </w:r>
    </w:p>
    <w:p w14:paraId="1BFDDC0D" w14:textId="015F285E" w:rsidR="000422A0" w:rsidRPr="00084D30" w:rsidRDefault="000422A0" w:rsidP="000422A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exceso del plazo legal para resolver el presente asunto resulta de carácter excepcional. </w:t>
      </w:r>
    </w:p>
    <w:p w14:paraId="4005E1E3" w14:textId="77777777" w:rsidR="00B03E3D" w:rsidRPr="00084D30" w:rsidRDefault="00B03E3D" w:rsidP="00B03E3D">
      <w:pPr>
        <w:widowControl w:val="0"/>
        <w:spacing w:line="360" w:lineRule="auto"/>
        <w:ind w:right="49"/>
        <w:jc w:val="both"/>
        <w:rPr>
          <w:rFonts w:ascii="Palatino Linotype" w:eastAsia="Palatino Linotype" w:hAnsi="Palatino Linotype" w:cs="Palatino Linotype"/>
          <w:sz w:val="22"/>
          <w:szCs w:val="22"/>
        </w:rPr>
      </w:pPr>
    </w:p>
    <w:p w14:paraId="4A0CCAD2" w14:textId="601D628D" w:rsidR="00B03E3D" w:rsidRPr="00084D30" w:rsidRDefault="00B03E3D" w:rsidP="00B03E3D">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b/>
          <w:sz w:val="22"/>
          <w:szCs w:val="22"/>
        </w:rPr>
        <w:t>8</w:t>
      </w:r>
      <w:r w:rsidR="00987473" w:rsidRPr="00084D30">
        <w:rPr>
          <w:rFonts w:ascii="Palatino Linotype" w:eastAsia="Palatino Linotype" w:hAnsi="Palatino Linotype" w:cs="Palatino Linotype"/>
          <w:b/>
          <w:sz w:val="22"/>
          <w:szCs w:val="22"/>
        </w:rPr>
        <w:t xml:space="preserve">. Cierre de instrucción. </w:t>
      </w:r>
      <w:r w:rsidR="00987473" w:rsidRPr="00084D3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D84127" w:rsidRPr="00084D30">
        <w:rPr>
          <w:rFonts w:ascii="Palatino Linotype" w:eastAsia="Palatino Linotype" w:hAnsi="Palatino Linotype" w:cs="Palatino Linotype"/>
          <w:b/>
          <w:sz w:val="22"/>
          <w:szCs w:val="22"/>
        </w:rPr>
        <w:t>catorce de enero de dos mil veintiséis</w:t>
      </w:r>
      <w:r w:rsidR="00987473" w:rsidRPr="00084D30">
        <w:rPr>
          <w:rFonts w:ascii="Palatino Linotype" w:eastAsia="Palatino Linotype" w:hAnsi="Palatino Linotype" w:cs="Palatino Linotype"/>
          <w:b/>
          <w:sz w:val="22"/>
          <w:szCs w:val="22"/>
        </w:rPr>
        <w:t>,</w:t>
      </w:r>
      <w:r w:rsidR="00987473" w:rsidRPr="00084D3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8C2956D" w14:textId="77777777" w:rsidR="00130FDA" w:rsidRPr="00084D30" w:rsidRDefault="00130FDA" w:rsidP="00B03E3D">
      <w:pPr>
        <w:spacing w:line="360" w:lineRule="auto"/>
        <w:jc w:val="both"/>
        <w:rPr>
          <w:rFonts w:ascii="Palatino Linotype" w:eastAsia="Palatino Linotype" w:hAnsi="Palatino Linotype" w:cs="Palatino Linotype"/>
          <w:sz w:val="22"/>
          <w:szCs w:val="22"/>
        </w:rPr>
      </w:pPr>
    </w:p>
    <w:p w14:paraId="760F46F3" w14:textId="77777777" w:rsidR="00C81284" w:rsidRPr="00084D30" w:rsidRDefault="00987473" w:rsidP="00B03E3D">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156F31" w14:textId="77777777" w:rsidR="00B03E3D" w:rsidRPr="00084D30" w:rsidRDefault="00B03E3D" w:rsidP="00B03E3D">
      <w:pPr>
        <w:spacing w:line="360" w:lineRule="auto"/>
        <w:jc w:val="both"/>
        <w:rPr>
          <w:rFonts w:ascii="Palatino Linotype" w:eastAsia="Palatino Linotype" w:hAnsi="Palatino Linotype" w:cs="Palatino Linotype"/>
          <w:sz w:val="22"/>
          <w:szCs w:val="22"/>
        </w:rPr>
      </w:pPr>
    </w:p>
    <w:p w14:paraId="4321BD95" w14:textId="77777777" w:rsidR="00C81284" w:rsidRPr="00084D30" w:rsidRDefault="00987473" w:rsidP="00B03E3D">
      <w:pPr>
        <w:widowControl w:val="0"/>
        <w:spacing w:line="360" w:lineRule="auto"/>
        <w:jc w:val="center"/>
        <w:rPr>
          <w:rFonts w:ascii="Palatino Linotype" w:eastAsia="Palatino Linotype" w:hAnsi="Palatino Linotype" w:cs="Palatino Linotype"/>
          <w:b/>
          <w:sz w:val="22"/>
          <w:szCs w:val="22"/>
        </w:rPr>
      </w:pPr>
      <w:r w:rsidRPr="00084D30">
        <w:rPr>
          <w:rFonts w:ascii="Palatino Linotype" w:eastAsia="Palatino Linotype" w:hAnsi="Palatino Linotype" w:cs="Palatino Linotype"/>
          <w:b/>
          <w:sz w:val="22"/>
          <w:szCs w:val="22"/>
        </w:rPr>
        <w:t>II. C O N S I D E R A N D O S</w:t>
      </w:r>
    </w:p>
    <w:p w14:paraId="0857640D" w14:textId="77777777" w:rsidR="00B03E3D" w:rsidRPr="00084D30" w:rsidRDefault="00B03E3D" w:rsidP="00B03E3D">
      <w:pPr>
        <w:widowControl w:val="0"/>
        <w:spacing w:line="360" w:lineRule="auto"/>
        <w:jc w:val="center"/>
        <w:rPr>
          <w:rFonts w:ascii="Palatino Linotype" w:eastAsia="Palatino Linotype" w:hAnsi="Palatino Linotype" w:cs="Palatino Linotype"/>
          <w:b/>
          <w:sz w:val="22"/>
          <w:szCs w:val="22"/>
        </w:rPr>
      </w:pPr>
    </w:p>
    <w:p w14:paraId="754207BE" w14:textId="77777777" w:rsidR="00E60E00" w:rsidRPr="00084D30" w:rsidRDefault="00E60E00" w:rsidP="00E60E00">
      <w:pPr>
        <w:spacing w:line="360" w:lineRule="auto"/>
        <w:jc w:val="both"/>
        <w:rPr>
          <w:rFonts w:ascii="Palatino Linotype" w:eastAsia="Palatino Linotype" w:hAnsi="Palatino Linotype" w:cs="Palatino Linotype"/>
          <w:sz w:val="22"/>
        </w:rPr>
      </w:pPr>
      <w:r w:rsidRPr="00084D30">
        <w:rPr>
          <w:rFonts w:ascii="Palatino Linotype" w:eastAsia="Palatino Linotype" w:hAnsi="Palatino Linotype" w:cs="Palatino Linotype"/>
          <w:b/>
          <w:sz w:val="22"/>
        </w:rPr>
        <w:t>Primero. Competencia.</w:t>
      </w:r>
      <w:r w:rsidRPr="00084D30">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084D30">
        <w:rPr>
          <w:sz w:val="22"/>
        </w:rPr>
        <w:t xml:space="preserve"> </w:t>
      </w:r>
      <w:r w:rsidRPr="00084D30">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BA5F182" w14:textId="77777777" w:rsidR="00B03E3D" w:rsidRPr="00084D30" w:rsidRDefault="00B03E3D" w:rsidP="00B03E3D">
      <w:pPr>
        <w:spacing w:line="360" w:lineRule="auto"/>
        <w:jc w:val="both"/>
        <w:rPr>
          <w:rFonts w:ascii="Palatino Linotype" w:eastAsia="Palatino Linotype" w:hAnsi="Palatino Linotype" w:cs="Palatino Linotype"/>
          <w:sz w:val="22"/>
          <w:szCs w:val="22"/>
        </w:rPr>
      </w:pPr>
    </w:p>
    <w:p w14:paraId="4E40D5B3" w14:textId="77777777" w:rsidR="00C81284" w:rsidRPr="00084D30" w:rsidRDefault="00987473" w:rsidP="00B03E3D">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084D30">
        <w:rPr>
          <w:rFonts w:ascii="Palatino Linotype" w:eastAsia="Palatino Linotype" w:hAnsi="Palatino Linotype" w:cs="Palatino Linotype"/>
          <w:b/>
          <w:sz w:val="22"/>
          <w:szCs w:val="22"/>
        </w:rPr>
        <w:t>Segundo. Oportunidad y Procedibilidad del Recurso de Revisión</w:t>
      </w:r>
      <w:r w:rsidRPr="00084D3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7A3B56F" w14:textId="77777777" w:rsidR="000422A0" w:rsidRPr="00084D30" w:rsidRDefault="000422A0" w:rsidP="00B03E3D">
      <w:pPr>
        <w:spacing w:line="360" w:lineRule="auto"/>
        <w:jc w:val="both"/>
        <w:rPr>
          <w:rFonts w:ascii="Palatino Linotype" w:eastAsia="Palatino Linotype" w:hAnsi="Palatino Linotype" w:cs="Palatino Linotype"/>
          <w:sz w:val="22"/>
          <w:szCs w:val="22"/>
        </w:rPr>
      </w:pPr>
    </w:p>
    <w:p w14:paraId="28531536" w14:textId="6BD9737C" w:rsidR="00C81284" w:rsidRPr="00084D30" w:rsidRDefault="00987473" w:rsidP="00277332">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84D30">
        <w:rPr>
          <w:rFonts w:ascii="Palatino Linotype" w:eastAsia="Palatino Linotype" w:hAnsi="Palatino Linotype" w:cs="Palatino Linotype"/>
          <w:b/>
          <w:sz w:val="22"/>
          <w:szCs w:val="22"/>
        </w:rPr>
        <w:t xml:space="preserve">Sujeto Obligado </w:t>
      </w:r>
      <w:r w:rsidRPr="00084D30">
        <w:rPr>
          <w:rFonts w:ascii="Palatino Linotype" w:eastAsia="Palatino Linotype" w:hAnsi="Palatino Linotype" w:cs="Palatino Linotype"/>
          <w:sz w:val="22"/>
          <w:szCs w:val="22"/>
        </w:rPr>
        <w:t xml:space="preserve">remitió la respuesta a la solicitud de información el </w:t>
      </w:r>
      <w:r w:rsidR="00B64C9A" w:rsidRPr="00084D30">
        <w:rPr>
          <w:rFonts w:ascii="Palatino Linotype" w:eastAsia="Palatino Linotype" w:hAnsi="Palatino Linotype" w:cs="Palatino Linotype"/>
          <w:b/>
          <w:sz w:val="22"/>
          <w:szCs w:val="22"/>
        </w:rPr>
        <w:t>catorce de noviembre</w:t>
      </w:r>
      <w:r w:rsidRPr="00084D30">
        <w:rPr>
          <w:rFonts w:ascii="Palatino Linotype" w:eastAsia="Palatino Linotype" w:hAnsi="Palatino Linotype" w:cs="Palatino Linotype"/>
          <w:b/>
          <w:sz w:val="22"/>
          <w:szCs w:val="22"/>
        </w:rPr>
        <w:t xml:space="preserve"> dos mil veinticinco, </w:t>
      </w:r>
      <w:r w:rsidRPr="00084D30">
        <w:rPr>
          <w:rFonts w:ascii="Palatino Linotype" w:eastAsia="Palatino Linotype" w:hAnsi="Palatino Linotype" w:cs="Palatino Linotype"/>
          <w:sz w:val="22"/>
          <w:szCs w:val="22"/>
        </w:rPr>
        <w:t xml:space="preserve">mientras que el recurso de revisión interpuesto por </w:t>
      </w:r>
      <w:r w:rsidRPr="00084D30">
        <w:rPr>
          <w:rFonts w:ascii="Palatino Linotype" w:eastAsia="Palatino Linotype" w:hAnsi="Palatino Linotype" w:cs="Palatino Linotype"/>
          <w:b/>
          <w:sz w:val="22"/>
          <w:szCs w:val="22"/>
        </w:rPr>
        <w:t>la parte</w:t>
      </w:r>
      <w:r w:rsidRPr="00084D30">
        <w:rPr>
          <w:rFonts w:ascii="Palatino Linotype" w:eastAsia="Palatino Linotype" w:hAnsi="Palatino Linotype" w:cs="Palatino Linotype"/>
          <w:sz w:val="22"/>
          <w:szCs w:val="22"/>
        </w:rPr>
        <w:t xml:space="preserve"> </w:t>
      </w:r>
      <w:r w:rsidRPr="00084D30">
        <w:rPr>
          <w:rFonts w:ascii="Palatino Linotype" w:eastAsia="Palatino Linotype" w:hAnsi="Palatino Linotype" w:cs="Palatino Linotype"/>
          <w:b/>
          <w:sz w:val="22"/>
          <w:szCs w:val="22"/>
        </w:rPr>
        <w:t>Recurrente</w:t>
      </w:r>
      <w:r w:rsidRPr="00084D30">
        <w:rPr>
          <w:rFonts w:ascii="Palatino Linotype" w:eastAsia="Palatino Linotype" w:hAnsi="Palatino Linotype" w:cs="Palatino Linotype"/>
          <w:sz w:val="22"/>
          <w:szCs w:val="22"/>
        </w:rPr>
        <w:t xml:space="preserve">, se tuvo por presentado el día </w:t>
      </w:r>
      <w:r w:rsidR="00B64C9A" w:rsidRPr="00084D30">
        <w:rPr>
          <w:rFonts w:ascii="Palatino Linotype" w:eastAsia="Palatino Linotype" w:hAnsi="Palatino Linotype" w:cs="Palatino Linotype"/>
          <w:b/>
          <w:sz w:val="22"/>
          <w:szCs w:val="22"/>
        </w:rPr>
        <w:t>catorce de noviembre</w:t>
      </w:r>
      <w:r w:rsidRPr="00084D30">
        <w:rPr>
          <w:rFonts w:ascii="Palatino Linotype" w:eastAsia="Palatino Linotype" w:hAnsi="Palatino Linotype" w:cs="Palatino Linotype"/>
          <w:b/>
          <w:sz w:val="22"/>
          <w:szCs w:val="22"/>
        </w:rPr>
        <w:t xml:space="preserve"> de dos mil veinticinco, </w:t>
      </w:r>
      <w:r w:rsidR="00E825CD" w:rsidRPr="00084D30">
        <w:rPr>
          <w:rFonts w:ascii="Palatino Linotype" w:eastAsia="Palatino Linotype" w:hAnsi="Palatino Linotype" w:cs="Palatino Linotype"/>
          <w:sz w:val="22"/>
          <w:szCs w:val="22"/>
        </w:rPr>
        <w:t xml:space="preserve">esto es, </w:t>
      </w:r>
      <w:r w:rsidR="00B64C9A" w:rsidRPr="00084D30">
        <w:rPr>
          <w:rFonts w:ascii="Palatino Linotype" w:eastAsia="Palatino Linotype" w:hAnsi="Palatino Linotype" w:cs="Palatino Linotype"/>
          <w:sz w:val="22"/>
          <w:szCs w:val="22"/>
        </w:rPr>
        <w:t xml:space="preserve">el mismo día en que se tuvo conocimiento de la respuesta. </w:t>
      </w:r>
    </w:p>
    <w:p w14:paraId="0D15B913" w14:textId="77777777" w:rsidR="00B03E3D" w:rsidRPr="00084D30" w:rsidRDefault="00B03E3D" w:rsidP="00277332">
      <w:pPr>
        <w:spacing w:line="360" w:lineRule="auto"/>
        <w:jc w:val="both"/>
        <w:rPr>
          <w:rFonts w:ascii="Palatino Linotype" w:eastAsia="Palatino Linotype" w:hAnsi="Palatino Linotype" w:cs="Palatino Linotype"/>
          <w:sz w:val="22"/>
          <w:szCs w:val="22"/>
        </w:rPr>
      </w:pPr>
    </w:p>
    <w:p w14:paraId="023312A7" w14:textId="77777777" w:rsidR="00277332" w:rsidRPr="00084D30" w:rsidRDefault="00277332" w:rsidP="00277332">
      <w:pPr>
        <w:pStyle w:val="NormalWeb"/>
        <w:spacing w:before="0" w:beforeAutospacing="0" w:after="0" w:afterAutospacing="0" w:line="360" w:lineRule="auto"/>
        <w:jc w:val="both"/>
        <w:rPr>
          <w:sz w:val="22"/>
          <w:szCs w:val="22"/>
        </w:rPr>
      </w:pPr>
      <w:r w:rsidRPr="00084D30">
        <w:rPr>
          <w:rFonts w:ascii="Palatino Linotype" w:hAnsi="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C16E483" w14:textId="51BFDFD4" w:rsidR="00277332" w:rsidRPr="00084D30" w:rsidRDefault="00277332" w:rsidP="00277332">
      <w:pPr>
        <w:pStyle w:val="NormalWeb"/>
        <w:spacing w:before="0" w:beforeAutospacing="0" w:after="0" w:afterAutospacing="0" w:line="276" w:lineRule="auto"/>
        <w:ind w:left="567" w:right="900"/>
        <w:jc w:val="both"/>
        <w:rPr>
          <w:sz w:val="22"/>
          <w:szCs w:val="22"/>
        </w:rPr>
      </w:pPr>
      <w:r w:rsidRPr="00084D30">
        <w:rPr>
          <w:rFonts w:ascii="Palatino Linotype" w:hAnsi="Palatino Linotype"/>
          <w:b/>
          <w:bCs/>
          <w:i/>
          <w:iCs/>
          <w:sz w:val="22"/>
          <w:szCs w:val="22"/>
        </w:rPr>
        <w:t>“RECURSO DE RECLAMACIÓN. SU INTERPOSICIÓN NO ES EXTEMPORÁNEA SI SE REALIZA ANTES DE QUE INICIE EL PLAZO PARA HACERLO</w:t>
      </w:r>
      <w:r w:rsidRPr="00084D30">
        <w:rPr>
          <w:rFonts w:ascii="Palatino Linotype" w:hAnsi="Palatino Linotype"/>
          <w:i/>
          <w:iCs/>
          <w:sz w:val="22"/>
          <w:szCs w:val="22"/>
        </w:rPr>
        <w:t>.</w:t>
      </w:r>
      <w:r w:rsidRPr="00084D30">
        <w:rPr>
          <w:sz w:val="22"/>
          <w:szCs w:val="22"/>
        </w:rPr>
        <w:t xml:space="preserve"> </w:t>
      </w:r>
      <w:r w:rsidRPr="00084D30">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1A1C97E" w14:textId="77777777" w:rsidR="00277332" w:rsidRPr="00084D30" w:rsidRDefault="00277332" w:rsidP="00B03E3D">
      <w:pPr>
        <w:spacing w:line="360" w:lineRule="auto"/>
        <w:jc w:val="both"/>
        <w:rPr>
          <w:rFonts w:ascii="Palatino Linotype" w:eastAsia="Palatino Linotype" w:hAnsi="Palatino Linotype" w:cs="Palatino Linotype"/>
          <w:sz w:val="22"/>
          <w:szCs w:val="22"/>
        </w:rPr>
      </w:pPr>
    </w:p>
    <w:p w14:paraId="16618E1D" w14:textId="77777777" w:rsidR="00C81284" w:rsidRPr="00084D30" w:rsidRDefault="00987473" w:rsidP="00B03E3D">
      <w:pPr>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084D3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B50E7F0" w14:textId="77777777" w:rsidR="00B03E3D" w:rsidRPr="00084D30" w:rsidRDefault="00B03E3D" w:rsidP="00B64C9A">
      <w:pPr>
        <w:spacing w:line="276" w:lineRule="auto"/>
        <w:ind w:right="902"/>
        <w:jc w:val="both"/>
        <w:rPr>
          <w:rFonts w:ascii="Palatino Linotype" w:eastAsia="Palatino Linotype" w:hAnsi="Palatino Linotype" w:cs="Palatino Linotype"/>
          <w:i/>
          <w:sz w:val="22"/>
          <w:szCs w:val="22"/>
        </w:rPr>
      </w:pPr>
    </w:p>
    <w:p w14:paraId="49DECE15" w14:textId="10303AFC" w:rsidR="00B03E3D" w:rsidRPr="00084D30" w:rsidRDefault="00987473" w:rsidP="00B03E3D">
      <w:pPr>
        <w:tabs>
          <w:tab w:val="left" w:pos="7938"/>
        </w:tabs>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E3976F" w14:textId="77777777" w:rsidR="00277332" w:rsidRPr="00084D30" w:rsidRDefault="00277332" w:rsidP="00B03E3D">
      <w:pPr>
        <w:tabs>
          <w:tab w:val="left" w:pos="7938"/>
        </w:tabs>
        <w:spacing w:line="360" w:lineRule="auto"/>
        <w:jc w:val="both"/>
        <w:rPr>
          <w:rFonts w:ascii="Palatino Linotype" w:eastAsia="Palatino Linotype" w:hAnsi="Palatino Linotype" w:cs="Palatino Linotype"/>
          <w:sz w:val="22"/>
          <w:szCs w:val="22"/>
        </w:rPr>
      </w:pPr>
    </w:p>
    <w:p w14:paraId="289927D1" w14:textId="7A6C7B43" w:rsidR="00C81284" w:rsidRPr="00084D30" w:rsidRDefault="00987473" w:rsidP="00B03E3D">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Finalmente, se advierte que resulta procedente la interposición del recurso, según lo manifestado por </w:t>
      </w:r>
      <w:r w:rsidRPr="00084D30">
        <w:rPr>
          <w:rFonts w:ascii="Palatino Linotype" w:eastAsia="Palatino Linotype" w:hAnsi="Palatino Linotype" w:cs="Palatino Linotype"/>
          <w:b/>
          <w:sz w:val="22"/>
          <w:szCs w:val="22"/>
        </w:rPr>
        <w:t>la parte</w:t>
      </w:r>
      <w:r w:rsidRPr="00084D30">
        <w:rPr>
          <w:rFonts w:ascii="Palatino Linotype" w:eastAsia="Palatino Linotype" w:hAnsi="Palatino Linotype" w:cs="Palatino Linotype"/>
          <w:sz w:val="22"/>
          <w:szCs w:val="22"/>
        </w:rPr>
        <w:t xml:space="preserve"> </w:t>
      </w:r>
      <w:r w:rsidRPr="00084D30">
        <w:rPr>
          <w:rFonts w:ascii="Palatino Linotype" w:eastAsia="Palatino Linotype" w:hAnsi="Palatino Linotype" w:cs="Palatino Linotype"/>
          <w:b/>
          <w:sz w:val="22"/>
          <w:szCs w:val="22"/>
        </w:rPr>
        <w:t>Recurrente</w:t>
      </w:r>
      <w:r w:rsidRPr="00084D30">
        <w:rPr>
          <w:rFonts w:ascii="Palatino Linotype" w:eastAsia="Palatino Linotype" w:hAnsi="Palatino Linotype" w:cs="Palatino Linotype"/>
          <w:sz w:val="22"/>
          <w:szCs w:val="22"/>
        </w:rPr>
        <w:t xml:space="preserve"> en</w:t>
      </w:r>
      <w:r w:rsidR="008442DF" w:rsidRPr="00084D30">
        <w:rPr>
          <w:rFonts w:ascii="Palatino Linotype" w:eastAsia="Palatino Linotype" w:hAnsi="Palatino Linotype" w:cs="Palatino Linotype"/>
          <w:sz w:val="22"/>
          <w:szCs w:val="22"/>
        </w:rPr>
        <w:t xml:space="preserve"> </w:t>
      </w:r>
      <w:r w:rsidRPr="00084D30">
        <w:rPr>
          <w:rFonts w:ascii="Palatino Linotype" w:eastAsia="Palatino Linotype" w:hAnsi="Palatino Linotype" w:cs="Palatino Linotype"/>
          <w:sz w:val="22"/>
          <w:szCs w:val="22"/>
        </w:rPr>
        <w:t xml:space="preserve"> sus motivos de inconformidad, de acuerdo al artículo 179, fracción </w:t>
      </w:r>
      <w:r w:rsidR="00B64C9A" w:rsidRPr="00084D30">
        <w:rPr>
          <w:rFonts w:ascii="Palatino Linotype" w:eastAsia="Palatino Linotype" w:hAnsi="Palatino Linotype" w:cs="Palatino Linotype"/>
          <w:sz w:val="22"/>
          <w:szCs w:val="22"/>
        </w:rPr>
        <w:t>I</w:t>
      </w:r>
      <w:r w:rsidRPr="00084D30">
        <w:rPr>
          <w:rFonts w:ascii="Palatino Linotype" w:eastAsia="Palatino Linotype" w:hAnsi="Palatino Linotype" w:cs="Palatino Linotype"/>
          <w:sz w:val="22"/>
          <w:szCs w:val="22"/>
        </w:rPr>
        <w:t>I del ordenamiento legal citado, que a la letra dice: </w:t>
      </w:r>
    </w:p>
    <w:p w14:paraId="0394EB0D" w14:textId="77777777" w:rsidR="00B03E3D" w:rsidRPr="00084D30" w:rsidRDefault="00B03E3D" w:rsidP="00B03E3D">
      <w:pPr>
        <w:spacing w:line="360" w:lineRule="auto"/>
        <w:jc w:val="both"/>
        <w:rPr>
          <w:rFonts w:ascii="Palatino Linotype" w:eastAsia="Palatino Linotype" w:hAnsi="Palatino Linotype" w:cs="Palatino Linotype"/>
          <w:sz w:val="22"/>
          <w:szCs w:val="22"/>
        </w:rPr>
      </w:pPr>
    </w:p>
    <w:p w14:paraId="14FFAC43" w14:textId="77777777" w:rsidR="00B03E3D" w:rsidRPr="00084D30" w:rsidRDefault="00987473" w:rsidP="00B03E3D">
      <w:pPr>
        <w:ind w:left="567" w:right="902"/>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r w:rsidRPr="00084D30">
        <w:rPr>
          <w:rFonts w:ascii="Palatino Linotype" w:eastAsia="Palatino Linotype" w:hAnsi="Palatino Linotype" w:cs="Palatino Linotype"/>
          <w:b/>
          <w:i/>
          <w:sz w:val="22"/>
          <w:szCs w:val="22"/>
        </w:rPr>
        <w:t>Artículo 179.</w:t>
      </w:r>
      <w:r w:rsidRPr="00084D3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EF1B5A" w14:textId="25D2ECEB" w:rsidR="00E825CD" w:rsidRPr="00084D30" w:rsidRDefault="00E825CD" w:rsidP="00B03E3D">
      <w:pPr>
        <w:ind w:left="567" w:right="902"/>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p>
    <w:p w14:paraId="030A0906" w14:textId="7C1283D9" w:rsidR="00B03E3D" w:rsidRPr="00084D30" w:rsidRDefault="00B64C9A" w:rsidP="009962B8">
      <w:pPr>
        <w:spacing w:line="360" w:lineRule="auto"/>
        <w:ind w:left="567" w:right="902"/>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w:t>
      </w:r>
      <w:r w:rsidR="00E825CD" w:rsidRPr="00084D30">
        <w:rPr>
          <w:rFonts w:ascii="Palatino Linotype" w:eastAsia="Palatino Linotype" w:hAnsi="Palatino Linotype" w:cs="Palatino Linotype"/>
          <w:i/>
          <w:sz w:val="22"/>
          <w:szCs w:val="22"/>
        </w:rPr>
        <w:t xml:space="preserve">I. </w:t>
      </w:r>
      <w:r w:rsidR="008442DF" w:rsidRPr="00084D30">
        <w:rPr>
          <w:rFonts w:ascii="Palatino Linotype" w:eastAsia="Palatino Linotype" w:hAnsi="Palatino Linotype" w:cs="Palatino Linotype"/>
          <w:i/>
          <w:sz w:val="22"/>
          <w:szCs w:val="22"/>
        </w:rPr>
        <w:t>La clasificación de la información</w:t>
      </w:r>
      <w:r w:rsidR="00E825CD" w:rsidRPr="00084D30">
        <w:rPr>
          <w:rFonts w:ascii="Palatino Linotype" w:eastAsia="Palatino Linotype" w:hAnsi="Palatino Linotype" w:cs="Palatino Linotype"/>
          <w:i/>
          <w:sz w:val="22"/>
          <w:szCs w:val="22"/>
        </w:rPr>
        <w:t>;</w:t>
      </w:r>
    </w:p>
    <w:p w14:paraId="3EB48D7E" w14:textId="15025F08" w:rsidR="009962B8" w:rsidRPr="00084D30" w:rsidRDefault="00406800" w:rsidP="00050B09">
      <w:pPr>
        <w:spacing w:line="360" w:lineRule="auto"/>
        <w:ind w:left="567" w:right="902"/>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p>
    <w:p w14:paraId="1704851C" w14:textId="46A5292A" w:rsidR="00050B09" w:rsidRPr="00084D30" w:rsidRDefault="00B64C9A" w:rsidP="00050B09">
      <w:pPr>
        <w:spacing w:line="360" w:lineRule="auto"/>
        <w:ind w:left="567" w:right="902"/>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 </w:t>
      </w:r>
    </w:p>
    <w:p w14:paraId="2FA4FAE8" w14:textId="0F924BA4" w:rsidR="009962B8" w:rsidRPr="00084D30" w:rsidRDefault="009962B8" w:rsidP="009962B8">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b/>
          <w:sz w:val="22"/>
          <w:szCs w:val="22"/>
        </w:rPr>
        <w:t>Tercero. Materia de Revisión</w:t>
      </w:r>
      <w:r w:rsidRPr="00084D30">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8442DF" w:rsidRPr="00084D30">
        <w:rPr>
          <w:rFonts w:ascii="Palatino Linotype" w:eastAsia="Palatino Linotype" w:hAnsi="Palatino Linotype" w:cs="Palatino Linotype"/>
          <w:sz w:val="22"/>
          <w:szCs w:val="22"/>
        </w:rPr>
        <w:t>I</w:t>
      </w:r>
      <w:r w:rsidRPr="00084D30">
        <w:rPr>
          <w:rFonts w:ascii="Palatino Linotype" w:eastAsia="Palatino Linotype" w:hAnsi="Palatino Linotype" w:cs="Palatino Linotype"/>
          <w:sz w:val="22"/>
          <w:szCs w:val="22"/>
        </w:rPr>
        <w:t xml:space="preserve">I del artículo 179 de la Ley de Transparencia y Acceso a la Información Pública del Estado de México y Municipios.  </w:t>
      </w:r>
    </w:p>
    <w:p w14:paraId="673A71D7" w14:textId="77777777" w:rsidR="009962B8" w:rsidRPr="00084D30" w:rsidRDefault="009962B8" w:rsidP="009962B8">
      <w:pPr>
        <w:spacing w:line="360" w:lineRule="auto"/>
        <w:jc w:val="both"/>
        <w:rPr>
          <w:rFonts w:ascii="Palatino Linotype" w:eastAsia="Palatino Linotype" w:hAnsi="Palatino Linotype" w:cs="Palatino Linotype"/>
          <w:sz w:val="22"/>
          <w:szCs w:val="22"/>
        </w:rPr>
      </w:pPr>
    </w:p>
    <w:p w14:paraId="482E43F5" w14:textId="77777777" w:rsidR="009962B8" w:rsidRPr="00084D30" w:rsidRDefault="009962B8" w:rsidP="009962B8">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b/>
          <w:sz w:val="22"/>
          <w:szCs w:val="22"/>
        </w:rPr>
        <w:t xml:space="preserve">Cuarto. Estudio de fondo del asunto. </w:t>
      </w:r>
      <w:r w:rsidRPr="00084D30">
        <w:rPr>
          <w:rFonts w:ascii="Palatino Linotype" w:eastAsia="Palatino Linotype" w:hAnsi="Palatino Linotype" w:cs="Palatino Linotype"/>
          <w:sz w:val="22"/>
          <w:szCs w:val="22"/>
        </w:rPr>
        <w:t>Es conveniente analizar si la respuesta del Sujeto Obligado</w:t>
      </w:r>
      <w:r w:rsidRPr="00084D30">
        <w:rPr>
          <w:rFonts w:ascii="Palatino Linotype" w:eastAsia="Palatino Linotype" w:hAnsi="Palatino Linotype" w:cs="Palatino Linotype"/>
          <w:b/>
          <w:sz w:val="22"/>
          <w:szCs w:val="22"/>
        </w:rPr>
        <w:t xml:space="preserve"> </w:t>
      </w:r>
      <w:r w:rsidRPr="00084D30">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1F1FBB3" w14:textId="77777777" w:rsidR="009962B8" w:rsidRPr="00084D30" w:rsidRDefault="009962B8" w:rsidP="009962B8">
      <w:pPr>
        <w:spacing w:line="360" w:lineRule="auto"/>
        <w:jc w:val="both"/>
        <w:rPr>
          <w:rFonts w:ascii="Palatino Linotype" w:eastAsia="Palatino Linotype" w:hAnsi="Palatino Linotype" w:cs="Palatino Linotype"/>
          <w:sz w:val="22"/>
          <w:szCs w:val="22"/>
        </w:rPr>
      </w:pPr>
    </w:p>
    <w:p w14:paraId="2B51D8DF" w14:textId="77777777" w:rsidR="009962B8" w:rsidRPr="00084D30"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r w:rsidRPr="00084D30">
        <w:rPr>
          <w:rFonts w:ascii="Palatino Linotype" w:eastAsia="Palatino Linotype" w:hAnsi="Palatino Linotype" w:cs="Palatino Linotype"/>
          <w:b/>
          <w:i/>
          <w:sz w:val="22"/>
          <w:szCs w:val="22"/>
        </w:rPr>
        <w:t>Artículo 4</w:t>
      </w:r>
      <w:r w:rsidRPr="00084D3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DF9AA7D" w14:textId="77777777" w:rsidR="009962B8" w:rsidRPr="00084D30"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84D3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E0E888D" w14:textId="77777777" w:rsidR="009962B8" w:rsidRPr="00084D30"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84D30">
        <w:rPr>
          <w:rFonts w:ascii="Palatino Linotype" w:eastAsia="Palatino Linotype" w:hAnsi="Palatino Linotype" w:cs="Palatino Linotype"/>
          <w:i/>
          <w:sz w:val="22"/>
          <w:szCs w:val="22"/>
        </w:rPr>
        <w:t>.”</w:t>
      </w:r>
    </w:p>
    <w:p w14:paraId="3E996EE7" w14:textId="77777777" w:rsidR="009962B8" w:rsidRPr="00084D30" w:rsidRDefault="009962B8" w:rsidP="009962B8">
      <w:pPr>
        <w:spacing w:line="360" w:lineRule="auto"/>
        <w:jc w:val="both"/>
        <w:rPr>
          <w:rFonts w:ascii="Palatino Linotype" w:eastAsia="Palatino Linotype" w:hAnsi="Palatino Linotype" w:cs="Palatino Linotype"/>
          <w:sz w:val="22"/>
          <w:szCs w:val="22"/>
        </w:rPr>
      </w:pPr>
    </w:p>
    <w:p w14:paraId="1F405A21" w14:textId="77777777" w:rsidR="009962B8" w:rsidRPr="00084D30" w:rsidRDefault="009962B8" w:rsidP="009962B8">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2CE5F09" w14:textId="77777777" w:rsidR="009962B8" w:rsidRPr="00084D30" w:rsidRDefault="009962B8" w:rsidP="009962B8">
      <w:pPr>
        <w:spacing w:line="276" w:lineRule="auto"/>
        <w:ind w:left="567" w:right="616"/>
        <w:jc w:val="both"/>
        <w:rPr>
          <w:rFonts w:ascii="Palatino Linotype" w:eastAsia="Palatino Linotype" w:hAnsi="Palatino Linotype" w:cs="Palatino Linotype"/>
          <w:sz w:val="22"/>
          <w:szCs w:val="22"/>
        </w:rPr>
      </w:pPr>
    </w:p>
    <w:p w14:paraId="422094D7" w14:textId="77777777" w:rsidR="009962B8" w:rsidRPr="00084D30" w:rsidRDefault="009962B8" w:rsidP="009962B8">
      <w:pPr>
        <w:spacing w:line="276" w:lineRule="auto"/>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r w:rsidRPr="00084D30">
        <w:rPr>
          <w:rFonts w:ascii="Palatino Linotype" w:eastAsia="Palatino Linotype" w:hAnsi="Palatino Linotype" w:cs="Palatino Linotype"/>
          <w:b/>
          <w:i/>
          <w:sz w:val="22"/>
          <w:szCs w:val="22"/>
        </w:rPr>
        <w:t>Artículo 12.-</w:t>
      </w:r>
      <w:r w:rsidRPr="00084D3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FADB44" w14:textId="77777777" w:rsidR="009962B8" w:rsidRPr="00084D30" w:rsidRDefault="009962B8" w:rsidP="009962B8">
      <w:pPr>
        <w:spacing w:line="276" w:lineRule="auto"/>
        <w:ind w:left="567" w:right="616"/>
        <w:jc w:val="both"/>
        <w:rPr>
          <w:rFonts w:ascii="Palatino Linotype" w:eastAsia="Palatino Linotype" w:hAnsi="Palatino Linotype" w:cs="Palatino Linotype"/>
          <w:i/>
          <w:sz w:val="22"/>
          <w:szCs w:val="22"/>
        </w:rPr>
      </w:pPr>
    </w:p>
    <w:p w14:paraId="10BAA469" w14:textId="77777777" w:rsidR="009962B8" w:rsidRPr="00084D30" w:rsidRDefault="009962B8" w:rsidP="009962B8">
      <w:pPr>
        <w:spacing w:line="276" w:lineRule="auto"/>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84D30">
        <w:rPr>
          <w:rFonts w:ascii="Palatino Linotype" w:eastAsia="Palatino Linotype" w:hAnsi="Palatino Linotype" w:cs="Palatino Linotype"/>
          <w:i/>
          <w:sz w:val="22"/>
          <w:szCs w:val="22"/>
        </w:rPr>
        <w:t xml:space="preserve">. </w:t>
      </w:r>
      <w:r w:rsidRPr="00084D3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084D30">
        <w:rPr>
          <w:rFonts w:ascii="Palatino Linotype" w:eastAsia="Palatino Linotype" w:hAnsi="Palatino Linotype" w:cs="Palatino Linotype"/>
          <w:i/>
          <w:sz w:val="22"/>
          <w:szCs w:val="22"/>
        </w:rPr>
        <w:t xml:space="preserve">.” </w:t>
      </w:r>
    </w:p>
    <w:p w14:paraId="6342086A" w14:textId="77777777" w:rsidR="009962B8" w:rsidRPr="00084D30" w:rsidRDefault="009962B8" w:rsidP="009962B8">
      <w:pPr>
        <w:spacing w:line="276" w:lineRule="auto"/>
        <w:ind w:left="567" w:right="616"/>
        <w:jc w:val="both"/>
        <w:rPr>
          <w:rFonts w:ascii="Palatino Linotype" w:eastAsia="Palatino Linotype" w:hAnsi="Palatino Linotype" w:cs="Palatino Linotype"/>
          <w:i/>
          <w:sz w:val="22"/>
          <w:szCs w:val="22"/>
        </w:rPr>
      </w:pPr>
    </w:p>
    <w:p w14:paraId="7749B427" w14:textId="77777777" w:rsidR="009962B8" w:rsidRPr="00084D30" w:rsidRDefault="009962B8" w:rsidP="009962B8">
      <w:pPr>
        <w:spacing w:line="360" w:lineRule="auto"/>
        <w:ind w:right="-93"/>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19140B7" w14:textId="77777777" w:rsidR="009962B8" w:rsidRPr="00084D30" w:rsidRDefault="009962B8" w:rsidP="009962B8">
      <w:pPr>
        <w:spacing w:line="360" w:lineRule="auto"/>
        <w:ind w:right="-93"/>
        <w:jc w:val="both"/>
        <w:rPr>
          <w:rFonts w:ascii="Palatino Linotype" w:eastAsia="Palatino Linotype" w:hAnsi="Palatino Linotype" w:cs="Palatino Linotype"/>
          <w:sz w:val="22"/>
          <w:szCs w:val="22"/>
        </w:rPr>
      </w:pPr>
    </w:p>
    <w:p w14:paraId="1C6C92C3" w14:textId="77777777" w:rsidR="009962B8" w:rsidRPr="00084D30" w:rsidRDefault="009962B8" w:rsidP="009962B8">
      <w:pPr>
        <w:spacing w:line="360" w:lineRule="auto"/>
        <w:jc w:val="both"/>
        <w:rPr>
          <w:rFonts w:ascii="Palatino Linotype" w:eastAsia="Palatino Linotype" w:hAnsi="Palatino Linotype" w:cs="Palatino Linotype"/>
          <w:b/>
          <w:sz w:val="22"/>
          <w:szCs w:val="22"/>
        </w:rPr>
      </w:pPr>
      <w:r w:rsidRPr="00084D3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084D30">
        <w:rPr>
          <w:rFonts w:ascii="Palatino Linotype" w:eastAsia="Palatino Linotype" w:hAnsi="Palatino Linotype" w:cs="Palatino Linotype"/>
          <w:b/>
          <w:sz w:val="22"/>
          <w:szCs w:val="22"/>
        </w:rPr>
        <w:t xml:space="preserve"> </w:t>
      </w:r>
    </w:p>
    <w:p w14:paraId="0C46F3FF" w14:textId="77777777" w:rsidR="009962B8" w:rsidRPr="00084D30" w:rsidRDefault="009962B8" w:rsidP="009962B8">
      <w:pPr>
        <w:spacing w:line="276" w:lineRule="auto"/>
        <w:ind w:left="851" w:right="850"/>
        <w:jc w:val="both"/>
        <w:rPr>
          <w:rFonts w:ascii="Palatino Linotype" w:eastAsia="Palatino Linotype" w:hAnsi="Palatino Linotype" w:cs="Palatino Linotype"/>
          <w:sz w:val="22"/>
          <w:szCs w:val="22"/>
        </w:rPr>
      </w:pPr>
    </w:p>
    <w:p w14:paraId="190B371C" w14:textId="77777777" w:rsidR="009962B8" w:rsidRPr="00084D30" w:rsidRDefault="009962B8" w:rsidP="009962B8">
      <w:pPr>
        <w:spacing w:line="276" w:lineRule="auto"/>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r w:rsidRPr="00084D30">
        <w:rPr>
          <w:rFonts w:ascii="Palatino Linotype" w:eastAsia="Palatino Linotype" w:hAnsi="Palatino Linotype" w:cs="Palatino Linotype"/>
          <w:b/>
          <w:i/>
          <w:sz w:val="22"/>
          <w:szCs w:val="22"/>
        </w:rPr>
        <w:t>No existe obligación de elaborar documentos ad hoc para atender las solicitudes de acceso a la información.</w:t>
      </w:r>
      <w:r w:rsidRPr="00084D3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E4DECDC" w14:textId="77777777" w:rsidR="009962B8" w:rsidRPr="00084D30" w:rsidRDefault="009962B8" w:rsidP="009962B8">
      <w:pPr>
        <w:spacing w:line="276" w:lineRule="auto"/>
        <w:ind w:left="567" w:right="616"/>
        <w:jc w:val="both"/>
        <w:rPr>
          <w:rFonts w:ascii="Palatino Linotype" w:eastAsia="Palatino Linotype" w:hAnsi="Palatino Linotype" w:cs="Palatino Linotype"/>
          <w:i/>
          <w:sz w:val="22"/>
          <w:szCs w:val="22"/>
        </w:rPr>
      </w:pPr>
    </w:p>
    <w:p w14:paraId="6E849CE5" w14:textId="77777777" w:rsidR="009962B8" w:rsidRPr="00084D30" w:rsidRDefault="009962B8" w:rsidP="009962B8">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83E963" w14:textId="77777777" w:rsidR="009962B8" w:rsidRPr="00084D30" w:rsidRDefault="009962B8" w:rsidP="009962B8">
      <w:pPr>
        <w:spacing w:line="360" w:lineRule="auto"/>
        <w:jc w:val="both"/>
        <w:rPr>
          <w:rFonts w:ascii="Palatino Linotype" w:eastAsia="Palatino Linotype" w:hAnsi="Palatino Linotype" w:cs="Palatino Linotype"/>
          <w:sz w:val="22"/>
          <w:szCs w:val="22"/>
        </w:rPr>
      </w:pPr>
    </w:p>
    <w:p w14:paraId="0F9D5FE6" w14:textId="77777777" w:rsidR="009962B8" w:rsidRPr="00084D30" w:rsidRDefault="009962B8" w:rsidP="009962B8">
      <w:p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374A172" w14:textId="77777777" w:rsidR="009962B8" w:rsidRPr="00084D30" w:rsidRDefault="009962B8" w:rsidP="009962B8">
      <w:pPr>
        <w:spacing w:line="360" w:lineRule="auto"/>
        <w:ind w:right="49"/>
        <w:jc w:val="both"/>
        <w:rPr>
          <w:rFonts w:ascii="Palatino Linotype" w:eastAsia="Palatino Linotype" w:hAnsi="Palatino Linotype" w:cs="Palatino Linotype"/>
          <w:sz w:val="22"/>
          <w:szCs w:val="22"/>
        </w:rPr>
      </w:pPr>
    </w:p>
    <w:p w14:paraId="4C62504E" w14:textId="77777777" w:rsidR="009962B8" w:rsidRPr="00084D30" w:rsidRDefault="009962B8" w:rsidP="009962B8">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2AF9B85" w14:textId="77777777" w:rsidR="009962B8" w:rsidRPr="00084D30" w:rsidRDefault="009962B8" w:rsidP="009962B8">
      <w:pPr>
        <w:spacing w:line="360" w:lineRule="auto"/>
        <w:jc w:val="both"/>
        <w:rPr>
          <w:rFonts w:ascii="Palatino Linotype" w:eastAsia="Palatino Linotype" w:hAnsi="Palatino Linotype" w:cs="Palatino Linotype"/>
          <w:sz w:val="22"/>
          <w:szCs w:val="22"/>
        </w:rPr>
      </w:pPr>
    </w:p>
    <w:p w14:paraId="55EE3FB1" w14:textId="77777777" w:rsidR="009962B8" w:rsidRPr="00084D30" w:rsidRDefault="009962B8" w:rsidP="009962B8">
      <w:pPr>
        <w:spacing w:line="276" w:lineRule="auto"/>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r w:rsidRPr="00084D30">
        <w:rPr>
          <w:rFonts w:ascii="Palatino Linotype" w:eastAsia="Palatino Linotype" w:hAnsi="Palatino Linotype" w:cs="Palatino Linotype"/>
          <w:b/>
          <w:i/>
          <w:sz w:val="22"/>
          <w:szCs w:val="22"/>
        </w:rPr>
        <w:t xml:space="preserve">Artículo 3. </w:t>
      </w:r>
      <w:r w:rsidRPr="00084D30">
        <w:rPr>
          <w:rFonts w:ascii="Palatino Linotype" w:eastAsia="Palatino Linotype" w:hAnsi="Palatino Linotype" w:cs="Palatino Linotype"/>
          <w:i/>
          <w:sz w:val="22"/>
          <w:szCs w:val="22"/>
        </w:rPr>
        <w:t>Para los efectos de la presente Ley se entenderá por:</w:t>
      </w:r>
    </w:p>
    <w:p w14:paraId="300E453D" w14:textId="77777777" w:rsidR="009962B8" w:rsidRPr="00084D30" w:rsidRDefault="009962B8" w:rsidP="009962B8">
      <w:pPr>
        <w:spacing w:line="276" w:lineRule="auto"/>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p>
    <w:p w14:paraId="2E830A21" w14:textId="77777777" w:rsidR="009962B8" w:rsidRPr="00084D30" w:rsidRDefault="009962B8" w:rsidP="009962B8">
      <w:pPr>
        <w:spacing w:line="276" w:lineRule="auto"/>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XI. Documento:</w:t>
      </w:r>
      <w:r w:rsidRPr="00084D30">
        <w:rPr>
          <w:rFonts w:ascii="Palatino Linotype" w:eastAsia="Palatino Linotype" w:hAnsi="Palatino Linotype" w:cs="Palatino Linotype"/>
          <w:i/>
          <w:sz w:val="22"/>
          <w:szCs w:val="22"/>
        </w:rPr>
        <w:t xml:space="preserve"> Los expedientes, reportes, estudios, actas</w:t>
      </w:r>
      <w:r w:rsidRPr="00084D30">
        <w:rPr>
          <w:rFonts w:ascii="Palatino Linotype" w:eastAsia="Palatino Linotype" w:hAnsi="Palatino Linotype" w:cs="Palatino Linotype"/>
          <w:b/>
          <w:i/>
          <w:sz w:val="22"/>
          <w:szCs w:val="22"/>
        </w:rPr>
        <w:t>,</w:t>
      </w:r>
      <w:r w:rsidRPr="00084D3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4286D13" w14:textId="77777777" w:rsidR="009962B8" w:rsidRPr="00084D30" w:rsidRDefault="009962B8" w:rsidP="009962B8">
      <w:pPr>
        <w:spacing w:line="360" w:lineRule="auto"/>
        <w:ind w:left="851" w:right="899"/>
        <w:jc w:val="both"/>
        <w:rPr>
          <w:rFonts w:ascii="Palatino Linotype" w:eastAsia="Palatino Linotype" w:hAnsi="Palatino Linotype" w:cs="Palatino Linotype"/>
          <w:sz w:val="22"/>
          <w:szCs w:val="22"/>
        </w:rPr>
      </w:pPr>
    </w:p>
    <w:p w14:paraId="2914296C" w14:textId="4EED6526" w:rsidR="009962B8" w:rsidRPr="00084D30" w:rsidRDefault="009962B8" w:rsidP="00406800">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53354C" w14:textId="77777777" w:rsidR="00F754F3" w:rsidRPr="00084D30" w:rsidRDefault="00F754F3" w:rsidP="00406800">
      <w:pPr>
        <w:spacing w:line="360" w:lineRule="auto"/>
        <w:jc w:val="both"/>
        <w:rPr>
          <w:rFonts w:ascii="Palatino Linotype" w:eastAsia="Palatino Linotype" w:hAnsi="Palatino Linotype" w:cs="Palatino Linotype"/>
          <w:sz w:val="22"/>
          <w:szCs w:val="22"/>
        </w:rPr>
      </w:pPr>
    </w:p>
    <w:p w14:paraId="0585DEB8" w14:textId="77777777" w:rsidR="009962B8" w:rsidRPr="00084D30"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084D30">
        <w:rPr>
          <w:rFonts w:ascii="Palatino Linotype" w:eastAsia="Palatino Linotype" w:hAnsi="Palatino Linotype" w:cs="Palatino Linotype"/>
          <w:b/>
          <w:sz w:val="22"/>
          <w:szCs w:val="22"/>
        </w:rPr>
        <w:t>“</w:t>
      </w:r>
      <w:r w:rsidRPr="00084D3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84D3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BDDB15" w14:textId="77777777" w:rsidR="009962B8" w:rsidRPr="00084D30" w:rsidRDefault="009962B8" w:rsidP="009962B8">
      <w:pPr>
        <w:tabs>
          <w:tab w:val="left" w:pos="7797"/>
        </w:tabs>
        <w:spacing w:line="276" w:lineRule="auto"/>
        <w:ind w:left="709"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D8AB535" w14:textId="77777777" w:rsidR="009962B8" w:rsidRPr="00084D30" w:rsidRDefault="009962B8" w:rsidP="009962B8">
      <w:pPr>
        <w:tabs>
          <w:tab w:val="left" w:pos="7797"/>
        </w:tabs>
        <w:spacing w:line="276" w:lineRule="auto"/>
        <w:ind w:left="709"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D568068" w14:textId="77777777" w:rsidR="009962B8" w:rsidRPr="00084D30"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084D3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A88DA91" w14:textId="77777777" w:rsidR="009962B8" w:rsidRPr="00084D30"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084D3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F35BCC5" w14:textId="77777777" w:rsidR="009962B8" w:rsidRPr="00084D30" w:rsidRDefault="009962B8" w:rsidP="009962B8">
      <w:pPr>
        <w:spacing w:line="360" w:lineRule="auto"/>
        <w:jc w:val="both"/>
        <w:rPr>
          <w:rFonts w:ascii="Palatino Linotype" w:eastAsia="Palatino Linotype" w:hAnsi="Palatino Linotype" w:cs="Palatino Linotype"/>
          <w:sz w:val="22"/>
          <w:szCs w:val="22"/>
        </w:rPr>
      </w:pPr>
    </w:p>
    <w:p w14:paraId="077C8C21" w14:textId="5ED55204" w:rsidR="009962B8" w:rsidRPr="00084D30" w:rsidRDefault="009962B8" w:rsidP="009962B8">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Dicho lo anterior, es de recordar que la p</w:t>
      </w:r>
      <w:r w:rsidR="00406800" w:rsidRPr="00084D30">
        <w:rPr>
          <w:rFonts w:ascii="Palatino Linotype" w:eastAsia="Palatino Linotype" w:hAnsi="Palatino Linotype" w:cs="Palatino Linotype"/>
          <w:sz w:val="22"/>
          <w:szCs w:val="22"/>
        </w:rPr>
        <w:t xml:space="preserve">arte Solicitante requirió </w:t>
      </w:r>
      <w:r w:rsidR="00E825CD" w:rsidRPr="00084D30">
        <w:rPr>
          <w:rFonts w:ascii="Palatino Linotype" w:eastAsia="Palatino Linotype" w:hAnsi="Palatino Linotype" w:cs="Palatino Linotype"/>
          <w:sz w:val="22"/>
          <w:szCs w:val="22"/>
        </w:rPr>
        <w:t xml:space="preserve">los comprobantes de todos los pagos realizados mediante cheque y transferencia electrónica por la Tesorería Municipal a particulares, durante el mes de marzo de dos mil veinticinco. </w:t>
      </w:r>
      <w:r w:rsidR="00406800" w:rsidRPr="00084D30">
        <w:rPr>
          <w:rFonts w:ascii="Palatino Linotype" w:eastAsia="Palatino Linotype" w:hAnsi="Palatino Linotype" w:cs="Palatino Linotype"/>
          <w:sz w:val="22"/>
          <w:szCs w:val="22"/>
        </w:rPr>
        <w:t xml:space="preserve"> </w:t>
      </w:r>
    </w:p>
    <w:p w14:paraId="38B85B0A" w14:textId="77777777" w:rsidR="00E825CD" w:rsidRPr="00084D30" w:rsidRDefault="00E825CD" w:rsidP="009962B8">
      <w:pPr>
        <w:spacing w:line="360" w:lineRule="auto"/>
        <w:jc w:val="both"/>
        <w:rPr>
          <w:rFonts w:ascii="Palatino Linotype" w:eastAsia="Palatino Linotype" w:hAnsi="Palatino Linotype" w:cs="Palatino Linotype"/>
          <w:sz w:val="22"/>
          <w:szCs w:val="22"/>
        </w:rPr>
      </w:pPr>
    </w:p>
    <w:p w14:paraId="22648735" w14:textId="6E20F914" w:rsidR="00E825CD" w:rsidRPr="00084D30" w:rsidRDefault="009962B8" w:rsidP="009962B8">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En respuesta</w:t>
      </w:r>
      <w:r w:rsidR="00E825CD" w:rsidRPr="00084D30">
        <w:rPr>
          <w:rFonts w:ascii="Palatino Linotype" w:eastAsia="Palatino Linotype" w:hAnsi="Palatino Linotype" w:cs="Palatino Linotype"/>
          <w:sz w:val="22"/>
          <w:szCs w:val="22"/>
        </w:rPr>
        <w:t>, el Sujeto Obligado, a través de la Coordinación de Egresos, proporcionó</w:t>
      </w:r>
      <w:r w:rsidR="00C05634" w:rsidRPr="00084D30">
        <w:rPr>
          <w:rFonts w:ascii="Palatino Linotype" w:eastAsia="Palatino Linotype" w:hAnsi="Palatino Linotype" w:cs="Palatino Linotype"/>
          <w:sz w:val="22"/>
          <w:szCs w:val="22"/>
        </w:rPr>
        <w:t xml:space="preserve"> diversos comprobantes de pago en versión pública. </w:t>
      </w:r>
    </w:p>
    <w:p w14:paraId="78DAAE14" w14:textId="77777777" w:rsidR="00E825CD" w:rsidRPr="00084D30" w:rsidRDefault="00E825CD" w:rsidP="009962B8">
      <w:pPr>
        <w:spacing w:line="360" w:lineRule="auto"/>
        <w:jc w:val="both"/>
        <w:rPr>
          <w:rFonts w:ascii="Palatino Linotype" w:eastAsia="Palatino Linotype" w:hAnsi="Palatino Linotype" w:cs="Palatino Linotype"/>
          <w:sz w:val="22"/>
          <w:szCs w:val="22"/>
        </w:rPr>
      </w:pPr>
    </w:p>
    <w:p w14:paraId="5C388F28" w14:textId="150F3E0E" w:rsidR="002402C0" w:rsidRPr="00084D30" w:rsidRDefault="00E825CD" w:rsidP="009962B8">
      <w:pPr>
        <w:spacing w:line="360" w:lineRule="auto"/>
        <w:jc w:val="both"/>
        <w:rPr>
          <w:rFonts w:ascii="Palatino Linotype" w:eastAsia="Palatino Linotype" w:hAnsi="Palatino Linotype" w:cs="Palatino Linotype"/>
          <w:b/>
          <w:sz w:val="22"/>
          <w:szCs w:val="22"/>
        </w:rPr>
      </w:pPr>
      <w:r w:rsidRPr="00084D30">
        <w:rPr>
          <w:rFonts w:ascii="Palatino Linotype" w:eastAsia="Palatino Linotype" w:hAnsi="Palatino Linotype" w:cs="Palatino Linotype"/>
          <w:sz w:val="22"/>
          <w:szCs w:val="22"/>
        </w:rPr>
        <w:t xml:space="preserve">Derivado de ello, la parte </w:t>
      </w:r>
      <w:r w:rsidR="009962B8" w:rsidRPr="00084D30">
        <w:rPr>
          <w:rFonts w:ascii="Palatino Linotype" w:eastAsia="Palatino Linotype" w:hAnsi="Palatino Linotype" w:cs="Palatino Linotype"/>
          <w:sz w:val="22"/>
          <w:szCs w:val="22"/>
        </w:rPr>
        <w:t>Recurrente se inconformó arguyendo</w:t>
      </w:r>
      <w:r w:rsidR="00406800" w:rsidRPr="00084D30">
        <w:rPr>
          <w:rFonts w:ascii="Palatino Linotype" w:eastAsia="Palatino Linotype" w:hAnsi="Palatino Linotype" w:cs="Palatino Linotype"/>
          <w:sz w:val="22"/>
          <w:szCs w:val="22"/>
        </w:rPr>
        <w:t xml:space="preserve"> </w:t>
      </w:r>
      <w:r w:rsidRPr="00084D30">
        <w:rPr>
          <w:rFonts w:ascii="Palatino Linotype" w:eastAsia="Palatino Linotype" w:hAnsi="Palatino Linotype" w:cs="Palatino Linotype"/>
          <w:sz w:val="22"/>
          <w:szCs w:val="22"/>
        </w:rPr>
        <w:t xml:space="preserve">que </w:t>
      </w:r>
      <w:r w:rsidR="00C05634" w:rsidRPr="00084D30">
        <w:rPr>
          <w:rFonts w:ascii="Palatino Linotype" w:eastAsia="Palatino Linotype" w:hAnsi="Palatino Linotype" w:cs="Palatino Linotype"/>
          <w:sz w:val="22"/>
          <w:szCs w:val="22"/>
        </w:rPr>
        <w:t xml:space="preserve">en la respuesta del Sujeto Obligado muchos comprobantes de pago tenían el nombre del beneficiario oculto, lo cual se trataba de información pública, por lo que, requería que se dejara a </w:t>
      </w:r>
      <w:r w:rsidR="00C05634" w:rsidRPr="00084D30">
        <w:rPr>
          <w:rFonts w:ascii="Palatino Linotype" w:eastAsia="Palatino Linotype" w:hAnsi="Palatino Linotype" w:cs="Palatino Linotype"/>
          <w:b/>
          <w:sz w:val="22"/>
          <w:szCs w:val="22"/>
        </w:rPr>
        <w:t xml:space="preserve">la vista la información pública. </w:t>
      </w:r>
    </w:p>
    <w:p w14:paraId="17184046" w14:textId="77777777" w:rsidR="00E825CD" w:rsidRPr="00084D30" w:rsidRDefault="00E825CD" w:rsidP="009962B8">
      <w:pPr>
        <w:spacing w:line="360" w:lineRule="auto"/>
        <w:jc w:val="both"/>
        <w:rPr>
          <w:rFonts w:ascii="Palatino Linotype" w:eastAsia="Palatino Linotype" w:hAnsi="Palatino Linotype" w:cs="Palatino Linotype"/>
          <w:sz w:val="22"/>
          <w:szCs w:val="22"/>
        </w:rPr>
      </w:pPr>
    </w:p>
    <w:p w14:paraId="17897690" w14:textId="2A1A03F7" w:rsidR="002402C0" w:rsidRPr="00084D30" w:rsidRDefault="00C05634" w:rsidP="002402C0">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Es así que, mediante informe justificado, el Sujeto Obligado remitió</w:t>
      </w:r>
      <w:r w:rsidR="003A76B8" w:rsidRPr="00084D30">
        <w:rPr>
          <w:rFonts w:ascii="Palatino Linotype" w:eastAsia="Palatino Linotype" w:hAnsi="Palatino Linotype" w:cs="Palatino Linotype"/>
          <w:sz w:val="22"/>
          <w:szCs w:val="22"/>
        </w:rPr>
        <w:t xml:space="preserve"> los comprobantes de pago enviados en respuesta dejando visible en nombre del beneficiario. </w:t>
      </w:r>
    </w:p>
    <w:p w14:paraId="36472E6E" w14:textId="79833C30" w:rsidR="006F6715" w:rsidRPr="00084D30" w:rsidRDefault="006F6715" w:rsidP="006F6715">
      <w:pPr>
        <w:spacing w:line="360" w:lineRule="auto"/>
        <w:ind w:right="49"/>
        <w:jc w:val="both"/>
        <w:rPr>
          <w:rFonts w:ascii="Palatino Linotype" w:eastAsia="Palatino Linotype" w:hAnsi="Palatino Linotype" w:cs="Palatino Linotype"/>
        </w:rPr>
      </w:pPr>
      <w:r w:rsidRPr="00084D30">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084D30">
        <w:rPr>
          <w:rFonts w:ascii="Palatino Linotype" w:eastAsia="Palatino Linotype" w:hAnsi="Palatino Linotype" w:cs="Palatino Linotype"/>
          <w:b/>
          <w:u w:val="single"/>
        </w:rPr>
        <w:t>por la clasificación de los datos contenidos en los comprobantes y no respecto al número de comprobantes entregados</w:t>
      </w:r>
      <w:r w:rsidRPr="00084D30">
        <w:rPr>
          <w:rFonts w:ascii="Palatino Linotype" w:eastAsia="Palatino Linotype" w:hAnsi="Palatino Linotype" w:cs="Palatino Linotype"/>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63CCFC10" w14:textId="77777777" w:rsidR="006F6715" w:rsidRPr="00084D30" w:rsidRDefault="006F6715" w:rsidP="006F6715">
      <w:pPr>
        <w:spacing w:line="360" w:lineRule="auto"/>
        <w:jc w:val="both"/>
        <w:rPr>
          <w:rFonts w:ascii="Palatino Linotype" w:eastAsia="Palatino Linotype" w:hAnsi="Palatino Linotype" w:cs="Palatino Linotype"/>
        </w:rPr>
      </w:pPr>
    </w:p>
    <w:p w14:paraId="49EEE44D" w14:textId="77777777" w:rsidR="006F6715" w:rsidRPr="00084D30" w:rsidRDefault="006F6715" w:rsidP="006F6715">
      <w:pPr>
        <w:spacing w:line="360" w:lineRule="auto"/>
        <w:jc w:val="both"/>
        <w:rPr>
          <w:rFonts w:ascii="Palatino Linotype" w:eastAsia="Palatino Linotype" w:hAnsi="Palatino Linotype" w:cs="Palatino Linotype"/>
        </w:rPr>
      </w:pPr>
      <w:r w:rsidRPr="00084D30">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CB94CCA" w14:textId="77777777" w:rsidR="006F6715" w:rsidRPr="00084D30" w:rsidRDefault="006F6715" w:rsidP="006F6715">
      <w:pPr>
        <w:spacing w:line="360" w:lineRule="auto"/>
        <w:jc w:val="both"/>
        <w:rPr>
          <w:rFonts w:ascii="Palatino Linotype" w:eastAsia="Palatino Linotype" w:hAnsi="Palatino Linotype" w:cs="Palatino Linotype"/>
        </w:rPr>
      </w:pPr>
    </w:p>
    <w:p w14:paraId="1BC3D407" w14:textId="77777777" w:rsidR="006F6715" w:rsidRPr="00084D30" w:rsidRDefault="006F6715" w:rsidP="006F6715">
      <w:pPr>
        <w:ind w:left="567" w:right="616"/>
        <w:jc w:val="both"/>
        <w:rPr>
          <w:rFonts w:ascii="Palatino Linotype" w:eastAsia="Palatino Linotype" w:hAnsi="Palatino Linotype" w:cs="Palatino Linotype"/>
          <w:i/>
        </w:rPr>
      </w:pPr>
      <w:r w:rsidRPr="00084D30">
        <w:rPr>
          <w:rFonts w:ascii="Palatino Linotype" w:eastAsia="Palatino Linotype" w:hAnsi="Palatino Linotype" w:cs="Palatino Linotype"/>
          <w:b/>
          <w:i/>
        </w:rPr>
        <w:t xml:space="preserve">“REVISIÓN EN AMPARO. LOS RESOLUTIVOS NO COMBATIDOS DEBEN DECLARARSE FIRMES. </w:t>
      </w:r>
      <w:r w:rsidRPr="00084D3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2A9C092" w14:textId="77777777" w:rsidR="006F6715" w:rsidRPr="00084D30" w:rsidRDefault="006F6715" w:rsidP="006F6715">
      <w:pPr>
        <w:spacing w:line="360" w:lineRule="auto"/>
        <w:jc w:val="both"/>
        <w:rPr>
          <w:rFonts w:ascii="Palatino Linotype" w:eastAsia="Palatino Linotype" w:hAnsi="Palatino Linotype" w:cs="Palatino Linotype"/>
        </w:rPr>
      </w:pPr>
    </w:p>
    <w:p w14:paraId="054D8B71" w14:textId="77777777" w:rsidR="006F6715" w:rsidRPr="00084D30" w:rsidRDefault="006F6715" w:rsidP="006F6715">
      <w:pPr>
        <w:spacing w:line="360" w:lineRule="auto"/>
        <w:jc w:val="both"/>
        <w:rPr>
          <w:rFonts w:ascii="Palatino Linotype" w:eastAsia="Palatino Linotype" w:hAnsi="Palatino Linotype" w:cs="Palatino Linotype"/>
        </w:rPr>
      </w:pPr>
      <w:r w:rsidRPr="00084D30">
        <w:rPr>
          <w:rFonts w:ascii="Palatino Linotype" w:eastAsia="Palatino Linotype" w:hAnsi="Palatino Linotype" w:cs="Palatino Linotype"/>
        </w:rPr>
        <w:t>Consecuentemente, se insiste, ante la falta de impugnación eficaz, la respuesta entregada debe declararse consentida por persona solicitante.</w:t>
      </w:r>
    </w:p>
    <w:p w14:paraId="0AEB1ED5" w14:textId="77777777" w:rsidR="006F6715" w:rsidRPr="00084D30" w:rsidRDefault="006F6715" w:rsidP="006F6715">
      <w:pPr>
        <w:spacing w:line="360" w:lineRule="auto"/>
        <w:jc w:val="both"/>
        <w:rPr>
          <w:rFonts w:ascii="Palatino Linotype" w:eastAsia="Palatino Linotype" w:hAnsi="Palatino Linotype" w:cs="Palatino Linotype"/>
        </w:rPr>
      </w:pPr>
    </w:p>
    <w:p w14:paraId="790A8E5E" w14:textId="77777777" w:rsidR="006F6715" w:rsidRPr="00084D30" w:rsidRDefault="006F6715" w:rsidP="006F6715">
      <w:pPr>
        <w:spacing w:line="360" w:lineRule="auto"/>
        <w:jc w:val="both"/>
        <w:rPr>
          <w:rFonts w:ascii="Palatino Linotype" w:hAnsi="Palatino Linotype"/>
        </w:rPr>
      </w:pPr>
      <w:r w:rsidRPr="00084D30">
        <w:rPr>
          <w:rFonts w:ascii="Palatino Linotype" w:hAnsi="Palatino Linotype" w:cs="Arial"/>
        </w:rPr>
        <w:t>Lo anterior se sustenta con lo plasmado en el criterio</w:t>
      </w:r>
      <w:r w:rsidRPr="00084D30">
        <w:rPr>
          <w:rFonts w:ascii="Palatino Linotype" w:hAnsi="Palatino Linotype"/>
        </w:rPr>
        <w:t xml:space="preserve"> orientador 01/20 emitido por el entonces Instituto Nacional de Transparencia, Acceso a la Información, y Protección de Datos Personales, INAI, que lleva por rubro y texto los siguientes: </w:t>
      </w:r>
    </w:p>
    <w:p w14:paraId="2504A6CF" w14:textId="77777777" w:rsidR="006F6715" w:rsidRPr="00084D30" w:rsidRDefault="006F6715" w:rsidP="006F6715">
      <w:pPr>
        <w:spacing w:line="360" w:lineRule="auto"/>
        <w:jc w:val="both"/>
        <w:rPr>
          <w:rFonts w:ascii="Palatino Linotype" w:hAnsi="Palatino Linotype"/>
        </w:rPr>
      </w:pPr>
    </w:p>
    <w:p w14:paraId="3E801403" w14:textId="77777777" w:rsidR="006F6715" w:rsidRPr="00084D30" w:rsidRDefault="006F6715" w:rsidP="006F6715">
      <w:pPr>
        <w:pStyle w:val="Sinespaciado"/>
        <w:spacing w:line="276" w:lineRule="auto"/>
        <w:ind w:left="567" w:right="902"/>
        <w:jc w:val="both"/>
        <w:rPr>
          <w:rFonts w:ascii="Palatino Linotype" w:hAnsi="Palatino Linotype"/>
          <w:i/>
          <w:iCs/>
        </w:rPr>
      </w:pPr>
      <w:r w:rsidRPr="00084D30">
        <w:rPr>
          <w:rFonts w:ascii="Palatino Linotype" w:hAnsi="Palatino Linotype"/>
          <w:i/>
          <w:iCs/>
        </w:rPr>
        <w:t>“</w:t>
      </w:r>
      <w:r w:rsidRPr="00084D30">
        <w:rPr>
          <w:rFonts w:ascii="Palatino Linotype" w:hAnsi="Palatino Linotype" w:cs="Arial"/>
          <w:b/>
          <w:i/>
          <w:iCs/>
        </w:rPr>
        <w:t xml:space="preserve">Actos consentidos tácitamente. Improcedencia de su análisis. </w:t>
      </w:r>
      <w:r w:rsidRPr="00084D30">
        <w:rPr>
          <w:rFonts w:ascii="Palatino Linotype" w:hAnsi="Palatino Linotype" w:cs="Arial"/>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084D30">
        <w:rPr>
          <w:rFonts w:ascii="Palatino Linotype" w:hAnsi="Palatino Linotype"/>
          <w:i/>
          <w:iCs/>
        </w:rPr>
        <w:t>”</w:t>
      </w:r>
    </w:p>
    <w:p w14:paraId="528C9580" w14:textId="77777777" w:rsidR="006F6715" w:rsidRPr="00084D30" w:rsidRDefault="006F6715" w:rsidP="006F6715">
      <w:pPr>
        <w:pStyle w:val="Sinespaciado"/>
        <w:spacing w:line="360" w:lineRule="auto"/>
        <w:ind w:left="567" w:right="902"/>
        <w:jc w:val="both"/>
        <w:rPr>
          <w:rFonts w:ascii="Palatino Linotype" w:hAnsi="Palatino Linotype"/>
          <w:i/>
          <w:iCs/>
        </w:rPr>
      </w:pPr>
    </w:p>
    <w:p w14:paraId="7650243E" w14:textId="77777777" w:rsidR="006F6715" w:rsidRPr="00084D30" w:rsidRDefault="006F6715" w:rsidP="006F6715">
      <w:pPr>
        <w:spacing w:line="360" w:lineRule="auto"/>
        <w:jc w:val="both"/>
        <w:rPr>
          <w:rFonts w:ascii="Palatino Linotype" w:eastAsia="Palatino Linotype" w:hAnsi="Palatino Linotype" w:cs="Palatino Linotype"/>
        </w:rPr>
      </w:pPr>
      <w:r w:rsidRPr="00084D3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7B8B4911" w14:textId="77777777" w:rsidR="006F6715" w:rsidRPr="00084D30" w:rsidRDefault="006F6715" w:rsidP="006F6715">
      <w:pPr>
        <w:spacing w:line="360" w:lineRule="auto"/>
        <w:ind w:left="851" w:right="900"/>
        <w:jc w:val="both"/>
        <w:rPr>
          <w:rFonts w:ascii="Palatino Linotype" w:eastAsia="Palatino Linotype" w:hAnsi="Palatino Linotype" w:cs="Palatino Linotype"/>
          <w:b/>
          <w:i/>
          <w:smallCaps/>
        </w:rPr>
      </w:pPr>
    </w:p>
    <w:p w14:paraId="297F1C9E" w14:textId="77777777" w:rsidR="006F6715" w:rsidRPr="00084D30" w:rsidRDefault="006F6715" w:rsidP="006F6715">
      <w:pPr>
        <w:tabs>
          <w:tab w:val="left" w:pos="851"/>
          <w:tab w:val="left" w:pos="1276"/>
        </w:tabs>
        <w:ind w:left="567" w:right="709"/>
        <w:jc w:val="both"/>
        <w:rPr>
          <w:rFonts w:ascii="Palatino Linotype" w:eastAsia="Palatino Linotype" w:hAnsi="Palatino Linotype" w:cs="Palatino Linotype"/>
        </w:rPr>
      </w:pPr>
      <w:r w:rsidRPr="00084D30">
        <w:rPr>
          <w:rFonts w:ascii="Palatino Linotype" w:eastAsia="Palatino Linotype" w:hAnsi="Palatino Linotype" w:cs="Palatino Linotype"/>
          <w:b/>
          <w:i/>
          <w:smallCaps/>
        </w:rPr>
        <w:t xml:space="preserve">“ACTOS CONSENTIDOS. SON LOS QUE NO SE IMPUGNAN MEDIANTE EL RECURSO IDÓNEO. </w:t>
      </w:r>
      <w:r w:rsidRPr="00084D30">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C79B497" w14:textId="77777777" w:rsidR="006F6715" w:rsidRPr="00084D30" w:rsidRDefault="006F6715" w:rsidP="006F671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A14C0F0" w14:textId="093AAE1A" w:rsidR="006F6715" w:rsidRPr="00084D30" w:rsidRDefault="006F6715" w:rsidP="006F671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84D30">
        <w:rPr>
          <w:rFonts w:ascii="Palatino Linotype" w:eastAsia="Palatino Linotype" w:hAnsi="Palatino Linotype" w:cs="Palatino Linotype"/>
        </w:rPr>
        <w:t>Dicho lo anterior, la información de la que resulta procedente pronunciarse es respecto de los recibos de nómina de los servidores públicos referidos en la solicitud de información.</w:t>
      </w:r>
    </w:p>
    <w:p w14:paraId="4BD6F3D1" w14:textId="77777777" w:rsidR="006F6715" w:rsidRPr="00084D30" w:rsidRDefault="006F6715" w:rsidP="006F671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F384451" w14:textId="79DDFC5F" w:rsidR="00E825CD" w:rsidRPr="00084D30" w:rsidRDefault="00E825CD" w:rsidP="00E825CD">
      <w:pPr>
        <w:spacing w:line="360" w:lineRule="auto"/>
        <w:ind w:right="49"/>
        <w:jc w:val="both"/>
        <w:rPr>
          <w:rFonts w:ascii="Palatino Linotype" w:eastAsia="Palatino Linotype" w:hAnsi="Palatino Linotype" w:cs="Palatino Linotype"/>
          <w:sz w:val="22"/>
          <w:szCs w:val="22"/>
        </w:rPr>
      </w:pPr>
      <w:bookmarkStart w:id="8" w:name="_heading=h.oxz92w2agzdg" w:colFirst="0" w:colLast="0"/>
      <w:bookmarkEnd w:id="8"/>
      <w:r w:rsidRPr="00084D30">
        <w:rPr>
          <w:rFonts w:ascii="Palatino Linotype" w:eastAsia="Palatino Linotype" w:hAnsi="Palatino Linotype" w:cs="Palatino Linotype"/>
          <w:sz w:val="22"/>
          <w:szCs w:val="22"/>
        </w:rPr>
        <w:t>Dicho lo anterior, se procede a contextua</w:t>
      </w:r>
      <w:r w:rsidR="003A76B8" w:rsidRPr="00084D30">
        <w:rPr>
          <w:rFonts w:ascii="Palatino Linotype" w:eastAsia="Palatino Linotype" w:hAnsi="Palatino Linotype" w:cs="Palatino Linotype"/>
          <w:sz w:val="22"/>
          <w:szCs w:val="22"/>
        </w:rPr>
        <w:t>lizar la información solicitada la cual se encuentra relacionada con comprobantes de pago/facturas,</w:t>
      </w:r>
      <w:r w:rsidRPr="00084D30">
        <w:rPr>
          <w:rFonts w:ascii="Palatino Linotype" w:eastAsia="Palatino Linotype" w:hAnsi="Palatino Linotype" w:cs="Palatino Linotype"/>
          <w:sz w:val="22"/>
          <w:szCs w:val="22"/>
        </w:rPr>
        <w:t xml:space="preserve"> para ello, es de mencionar lo que establece el Glosario de Términos Hacendarios que emite el Instituto Hacendario del Estado de México, el cual define como </w:t>
      </w:r>
      <w:r w:rsidRPr="00084D30">
        <w:rPr>
          <w:rFonts w:ascii="Palatino Linotype" w:eastAsia="Palatino Linotype" w:hAnsi="Palatino Linotype" w:cs="Palatino Linotype"/>
          <w:i/>
          <w:sz w:val="22"/>
          <w:szCs w:val="22"/>
        </w:rPr>
        <w:t>“factura” al</w:t>
      </w:r>
      <w:r w:rsidRPr="00084D30">
        <w:rPr>
          <w:rFonts w:ascii="Palatino Linotype" w:eastAsia="Palatino Linotype" w:hAnsi="Palatino Linotype" w:cs="Palatino Linotype"/>
          <w:b/>
          <w:i/>
          <w:sz w:val="22"/>
          <w:szCs w:val="22"/>
        </w:rPr>
        <w:t xml:space="preserve"> documento fiscal que emite la persona física o moral para comprobar la venta o adquisición de un bien y/o servicio.</w:t>
      </w:r>
    </w:p>
    <w:p w14:paraId="6CA1A20D" w14:textId="77777777" w:rsidR="00E825CD" w:rsidRPr="00084D30" w:rsidRDefault="00E825CD" w:rsidP="00E825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FD2C9A2" w14:textId="77777777" w:rsidR="00E825CD" w:rsidRPr="00084D30" w:rsidRDefault="00E825CD" w:rsidP="00E825CD">
      <w:pPr>
        <w:spacing w:line="360" w:lineRule="auto"/>
        <w:ind w:right="-7"/>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En ese sentido, es de señalar que cuando las facturas amparan las erogaciones que se realizan con erario público tienen naturaleza pública, pues constituyen un medio idóneo de evidencia del gasto realizado con recursos públicos. </w:t>
      </w:r>
    </w:p>
    <w:p w14:paraId="248DF789" w14:textId="77777777" w:rsidR="00E825CD" w:rsidRPr="00084D30" w:rsidRDefault="00E825CD" w:rsidP="00E825CD">
      <w:pPr>
        <w:spacing w:line="360" w:lineRule="auto"/>
        <w:ind w:right="-7"/>
        <w:jc w:val="both"/>
        <w:rPr>
          <w:rFonts w:ascii="Palatino Linotype" w:eastAsia="Palatino Linotype" w:hAnsi="Palatino Linotype" w:cs="Palatino Linotype"/>
          <w:sz w:val="22"/>
          <w:szCs w:val="22"/>
        </w:rPr>
      </w:pPr>
    </w:p>
    <w:p w14:paraId="755E18A2" w14:textId="77777777" w:rsidR="00E825CD" w:rsidRPr="00084D30" w:rsidRDefault="00E825CD" w:rsidP="00E825CD">
      <w:p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Asimismo, el Código Financiero del Estado de México, establece en su artículo 344 lo siguiente: </w:t>
      </w:r>
    </w:p>
    <w:p w14:paraId="35E40533" w14:textId="77777777" w:rsidR="00E825CD" w:rsidRPr="00084D30" w:rsidRDefault="00E825CD" w:rsidP="00E825CD">
      <w:pPr>
        <w:spacing w:line="360" w:lineRule="auto"/>
        <w:ind w:right="49"/>
        <w:jc w:val="both"/>
        <w:rPr>
          <w:rFonts w:ascii="Palatino Linotype" w:eastAsia="Palatino Linotype" w:hAnsi="Palatino Linotype" w:cs="Palatino Linotype"/>
          <w:sz w:val="22"/>
          <w:szCs w:val="22"/>
        </w:rPr>
      </w:pPr>
    </w:p>
    <w:p w14:paraId="07A8433B" w14:textId="77777777" w:rsidR="00E825CD" w:rsidRPr="00084D30" w:rsidRDefault="00E825CD" w:rsidP="00E825CD">
      <w:pPr>
        <w:ind w:left="567" w:right="843"/>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Artículo 344.-</w:t>
      </w:r>
      <w:r w:rsidRPr="00084D30">
        <w:rPr>
          <w:rFonts w:ascii="Palatino Linotype" w:eastAsia="Palatino Linotype" w:hAnsi="Palatino Linotype" w:cs="Palatino Linotype"/>
          <w:i/>
          <w:sz w:val="22"/>
          <w:szCs w:val="22"/>
        </w:rPr>
        <w:t xml:space="preserve"> </w:t>
      </w:r>
      <w:r w:rsidRPr="00084D30">
        <w:rPr>
          <w:rFonts w:ascii="Palatino Linotype" w:eastAsia="Palatino Linotype" w:hAnsi="Palatino Linotype" w:cs="Palatino Linotype"/>
          <w:b/>
          <w:i/>
          <w:sz w:val="22"/>
          <w:szCs w:val="22"/>
          <w:u w:val="single"/>
        </w:rPr>
        <w:t>Los Entes Públicos, a través de cualquiera de sus unidades administrativas</w:t>
      </w:r>
      <w:r w:rsidRPr="00084D30">
        <w:rPr>
          <w:rFonts w:ascii="Palatino Linotype" w:eastAsia="Palatino Linotype" w:hAnsi="Palatino Linotype" w:cs="Palatino Linotype"/>
          <w:i/>
          <w:sz w:val="22"/>
          <w:szCs w:val="22"/>
        </w:rPr>
        <w:t xml:space="preserve">, de acuerdo con su naturaleza jurídica y según corresponda, </w:t>
      </w:r>
      <w:r w:rsidRPr="00084D30">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w:t>
      </w:r>
      <w:r w:rsidRPr="00084D30">
        <w:rPr>
          <w:rFonts w:ascii="Palatino Linotype" w:eastAsia="Palatino Linotype" w:hAnsi="Palatino Linotype" w:cs="Palatino Linotype"/>
          <w:i/>
          <w:sz w:val="22"/>
          <w:szCs w:val="22"/>
        </w:rPr>
        <w:t>, en el caso de los Municipios</w:t>
      </w:r>
      <w:r w:rsidRPr="00084D30">
        <w:rPr>
          <w:rFonts w:ascii="Palatino Linotype" w:eastAsia="Palatino Linotype" w:hAnsi="Palatino Linotype" w:cs="Palatino Linotype"/>
          <w:b/>
          <w:i/>
          <w:sz w:val="22"/>
          <w:szCs w:val="22"/>
          <w:u w:val="single"/>
        </w:rPr>
        <w:t>, se hará por la Tesorería.</w:t>
      </w:r>
      <w:r w:rsidRPr="00084D30">
        <w:rPr>
          <w:rFonts w:ascii="Palatino Linotype" w:eastAsia="Palatino Linotype" w:hAnsi="Palatino Linotype" w:cs="Palatino Linotype"/>
          <w:i/>
          <w:sz w:val="22"/>
          <w:szCs w:val="22"/>
        </w:rPr>
        <w:t xml:space="preserve"> </w:t>
      </w:r>
    </w:p>
    <w:p w14:paraId="5D27EFC5" w14:textId="77777777" w:rsidR="00E825CD" w:rsidRPr="00084D30" w:rsidRDefault="00E825CD" w:rsidP="00E825CD">
      <w:pPr>
        <w:ind w:left="567" w:right="843"/>
        <w:jc w:val="both"/>
        <w:rPr>
          <w:rFonts w:ascii="Palatino Linotype" w:eastAsia="Palatino Linotype" w:hAnsi="Palatino Linotype" w:cs="Palatino Linotype"/>
          <w:i/>
          <w:sz w:val="22"/>
          <w:szCs w:val="22"/>
        </w:rPr>
      </w:pPr>
    </w:p>
    <w:p w14:paraId="60264164" w14:textId="77777777" w:rsidR="00E825CD" w:rsidRPr="00084D30" w:rsidRDefault="00E825CD" w:rsidP="00E825CD">
      <w:pPr>
        <w:ind w:left="567" w:right="843"/>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u w:val="single"/>
        </w:rPr>
        <w:t>Todo registro contable y presupuestal deberá estar soportado con los documentos comprobatorios originales o en medios electrónicos, los que deberán permanecer en custodia y conservación</w:t>
      </w:r>
      <w:r w:rsidRPr="00084D30">
        <w:rPr>
          <w:rFonts w:ascii="Palatino Linotype" w:eastAsia="Palatino Linotype" w:hAnsi="Palatino Linotype" w:cs="Palatino Linotype"/>
          <w:i/>
          <w:sz w:val="22"/>
          <w:szCs w:val="22"/>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36A77797" w14:textId="77777777" w:rsidR="00E825CD" w:rsidRPr="00084D30" w:rsidRDefault="00E825CD" w:rsidP="00E825CD">
      <w:pPr>
        <w:ind w:left="567" w:right="843"/>
        <w:jc w:val="both"/>
        <w:rPr>
          <w:rFonts w:ascii="Palatino Linotype" w:eastAsia="Palatino Linotype" w:hAnsi="Palatino Linotype" w:cs="Palatino Linotype"/>
          <w:i/>
          <w:sz w:val="22"/>
          <w:szCs w:val="22"/>
        </w:rPr>
      </w:pPr>
    </w:p>
    <w:p w14:paraId="51A3A2A9" w14:textId="77777777" w:rsidR="00E825CD" w:rsidRPr="00084D30" w:rsidRDefault="00E825CD" w:rsidP="00E825CD">
      <w:pPr>
        <w:ind w:left="567" w:right="843"/>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Tratándose de documentos de carácter histórico, se estará a lo dispuesto por la legislación de la materia.</w:t>
      </w:r>
    </w:p>
    <w:p w14:paraId="0DA42030" w14:textId="77777777" w:rsidR="00E825CD" w:rsidRPr="00084D30" w:rsidRDefault="00E825CD" w:rsidP="00E825CD">
      <w:pPr>
        <w:spacing w:line="360" w:lineRule="auto"/>
        <w:ind w:right="49"/>
        <w:jc w:val="both"/>
        <w:rPr>
          <w:sz w:val="22"/>
          <w:szCs w:val="22"/>
        </w:rPr>
      </w:pPr>
    </w:p>
    <w:p w14:paraId="6C738F67" w14:textId="77777777" w:rsidR="00E825CD" w:rsidRPr="00084D30" w:rsidRDefault="00E825CD" w:rsidP="00E825CD">
      <w:p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084D30">
        <w:rPr>
          <w:rFonts w:ascii="Palatino Linotype" w:eastAsia="Palatino Linotype" w:hAnsi="Palatino Linotype" w:cs="Palatino Linotype"/>
          <w:i/>
          <w:sz w:val="22"/>
          <w:szCs w:val="22"/>
        </w:rPr>
        <w:t>Glosario de Términos Administrativos</w:t>
      </w:r>
      <w:r w:rsidRPr="00084D30">
        <w:rPr>
          <w:rFonts w:ascii="Palatino Linotype" w:eastAsia="Palatino Linotype" w:hAnsi="Palatino Linotype" w:cs="Palatino Linotype"/>
          <w:sz w:val="22"/>
          <w:szCs w:val="22"/>
        </w:rPr>
        <w:t xml:space="preserve"> y el </w:t>
      </w:r>
      <w:r w:rsidRPr="00084D30">
        <w:rPr>
          <w:rFonts w:ascii="Palatino Linotype" w:eastAsia="Palatino Linotype" w:hAnsi="Palatino Linotype" w:cs="Palatino Linotype"/>
          <w:i/>
          <w:sz w:val="22"/>
          <w:szCs w:val="22"/>
        </w:rPr>
        <w:t>Glosario de Términos para el Proceso de Planeación, Programación, Presupuestación y Evaluación en la Administración Pública</w:t>
      </w:r>
      <w:r w:rsidRPr="00084D30">
        <w:rPr>
          <w:rFonts w:ascii="Palatino Linotype" w:eastAsia="Palatino Linotype" w:hAnsi="Palatino Linotype" w:cs="Palatino Linotype"/>
          <w:sz w:val="22"/>
          <w:szCs w:val="22"/>
        </w:rPr>
        <w:t xml:space="preserve">, definen los registros como: </w:t>
      </w:r>
    </w:p>
    <w:p w14:paraId="28514493" w14:textId="77777777" w:rsidR="00E825CD" w:rsidRPr="00084D30" w:rsidRDefault="00E825CD" w:rsidP="00E825CD">
      <w:pPr>
        <w:spacing w:line="360" w:lineRule="auto"/>
        <w:ind w:left="567" w:right="560"/>
        <w:jc w:val="both"/>
        <w:rPr>
          <w:rFonts w:ascii="Palatino Linotype" w:eastAsia="Palatino Linotype" w:hAnsi="Palatino Linotype" w:cs="Palatino Linotype"/>
          <w:i/>
          <w:sz w:val="22"/>
          <w:szCs w:val="22"/>
        </w:rPr>
      </w:pPr>
    </w:p>
    <w:p w14:paraId="50C09371" w14:textId="77777777" w:rsidR="00E825CD" w:rsidRPr="00084D30" w:rsidRDefault="00E825CD" w:rsidP="00E825CD">
      <w:pPr>
        <w:ind w:left="567" w:right="560"/>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 xml:space="preserve">Registro contable. </w:t>
      </w:r>
      <w:r w:rsidRPr="00084D30">
        <w:rPr>
          <w:rFonts w:ascii="Palatino Linotype" w:eastAsia="Palatino Linotype" w:hAnsi="Palatino Linotype" w:cs="Palatino Linotype"/>
          <w:i/>
          <w:sz w:val="22"/>
          <w:szCs w:val="22"/>
        </w:rPr>
        <w:t xml:space="preserve">Asiento que se realiza en los libros de contabilidad de las actividades relacionadas con el ingreso y egreso de un ente económico. </w:t>
      </w:r>
    </w:p>
    <w:p w14:paraId="06E5404E" w14:textId="77777777" w:rsidR="00E825CD" w:rsidRPr="00084D30" w:rsidRDefault="00E825CD" w:rsidP="00E825CD">
      <w:pPr>
        <w:ind w:left="567" w:right="560"/>
        <w:jc w:val="both"/>
        <w:rPr>
          <w:rFonts w:ascii="Palatino Linotype" w:eastAsia="Palatino Linotype" w:hAnsi="Palatino Linotype" w:cs="Palatino Linotype"/>
          <w:i/>
          <w:sz w:val="22"/>
          <w:szCs w:val="22"/>
        </w:rPr>
      </w:pPr>
    </w:p>
    <w:p w14:paraId="23E0932E" w14:textId="77777777" w:rsidR="00E825CD" w:rsidRPr="00084D30" w:rsidRDefault="00E825CD" w:rsidP="00E825CD">
      <w:pPr>
        <w:ind w:left="567" w:right="560"/>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 xml:space="preserve">Registro Presupuestario. </w:t>
      </w:r>
      <w:r w:rsidRPr="00084D30">
        <w:rPr>
          <w:rFonts w:ascii="Palatino Linotype" w:eastAsia="Palatino Linotype" w:hAnsi="Palatino Linotype" w:cs="Palatino Linotype"/>
          <w:i/>
          <w:sz w:val="22"/>
          <w:szCs w:val="22"/>
        </w:rPr>
        <w:t xml:space="preserve">Asiento contable de las erogaciones realizadas por las dependencias y entidades con relación a la asignación, modificación y ejercicio de los recursos presupuestarios que se les hayan autorizado. </w:t>
      </w:r>
    </w:p>
    <w:p w14:paraId="797B10F1" w14:textId="77777777" w:rsidR="00E825CD" w:rsidRPr="00084D30" w:rsidRDefault="00E825CD" w:rsidP="00E825CD">
      <w:pPr>
        <w:spacing w:line="360" w:lineRule="auto"/>
        <w:ind w:right="49"/>
        <w:jc w:val="both"/>
        <w:rPr>
          <w:rFonts w:ascii="Palatino Linotype" w:eastAsia="Palatino Linotype" w:hAnsi="Palatino Linotype" w:cs="Palatino Linotype"/>
          <w:sz w:val="22"/>
          <w:szCs w:val="22"/>
        </w:rPr>
      </w:pPr>
    </w:p>
    <w:p w14:paraId="0145E777" w14:textId="77777777" w:rsidR="00E825CD" w:rsidRPr="00084D30" w:rsidRDefault="00E825CD" w:rsidP="00E825CD">
      <w:p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De los preceptos citados, se colige que los entes fiscalizables</w:t>
      </w:r>
      <w:r w:rsidRPr="00084D30">
        <w:rPr>
          <w:rFonts w:ascii="Palatino Linotype" w:eastAsia="Palatino Linotype" w:hAnsi="Palatino Linotype" w:cs="Palatino Linotype"/>
          <w:b/>
          <w:sz w:val="22"/>
          <w:szCs w:val="22"/>
          <w:u w:val="single"/>
        </w:rPr>
        <w:t xml:space="preserve"> deben contar con una unidad administrativa que registra contablemente el efecto patrimonial y presupuestal de las operaciones financieras</w:t>
      </w:r>
      <w:r w:rsidRPr="00084D30">
        <w:rPr>
          <w:rFonts w:ascii="Palatino Linotype" w:eastAsia="Palatino Linotype" w:hAnsi="Palatino Linotype" w:cs="Palatino Linotype"/>
          <w:sz w:val="22"/>
          <w:szCs w:val="22"/>
        </w:rPr>
        <w:t xml:space="preserve"> que realizan y por lo general, se encuentran en las denominadas </w:t>
      </w:r>
      <w:r w:rsidRPr="00084D30">
        <w:rPr>
          <w:rFonts w:ascii="Palatino Linotype" w:eastAsia="Palatino Linotype" w:hAnsi="Palatino Linotype" w:cs="Palatino Linotype"/>
          <w:i/>
          <w:sz w:val="22"/>
          <w:szCs w:val="22"/>
        </w:rPr>
        <w:t xml:space="preserve">pólizas contables </w:t>
      </w:r>
      <w:r w:rsidRPr="00084D30">
        <w:rPr>
          <w:rFonts w:ascii="Palatino Linotype" w:eastAsia="Palatino Linotype" w:hAnsi="Palatino Linotype" w:cs="Palatino Linotype"/>
          <w:sz w:val="22"/>
          <w:szCs w:val="22"/>
        </w:rPr>
        <w:t xml:space="preserve">las cuales son aquellos documentos en los que se asientan en forma individual todas y cada una de las operaciones desarrolladas por una institución, así como la información necesaria para la identificación de estas. </w:t>
      </w:r>
    </w:p>
    <w:p w14:paraId="71CD61B9" w14:textId="77777777" w:rsidR="00E825CD" w:rsidRPr="00084D30" w:rsidRDefault="00E825CD" w:rsidP="00E825CD">
      <w:pPr>
        <w:spacing w:line="360" w:lineRule="auto"/>
        <w:ind w:right="49"/>
        <w:jc w:val="both"/>
        <w:rPr>
          <w:rFonts w:ascii="Palatino Linotype" w:eastAsia="Palatino Linotype" w:hAnsi="Palatino Linotype" w:cs="Palatino Linotype"/>
          <w:sz w:val="22"/>
          <w:szCs w:val="22"/>
        </w:rPr>
      </w:pPr>
    </w:p>
    <w:p w14:paraId="6F2AD776" w14:textId="60151553" w:rsidR="00E825CD" w:rsidRPr="00084D30" w:rsidRDefault="00E825CD" w:rsidP="00E825CD">
      <w:pPr>
        <w:spacing w:line="360" w:lineRule="auto"/>
        <w:ind w:right="-93"/>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En lo que corresponde al procedimiento de búsqueda de la información solicitada, es necesario precisar que de las constancias que obran en el expediente se logra vislumbrar que el Sujeto Obligad</w:t>
      </w:r>
      <w:r w:rsidR="003A76B8" w:rsidRPr="00084D30">
        <w:rPr>
          <w:rFonts w:ascii="Palatino Linotype" w:eastAsia="Palatino Linotype" w:hAnsi="Palatino Linotype" w:cs="Palatino Linotype"/>
          <w:sz w:val="22"/>
          <w:szCs w:val="22"/>
        </w:rPr>
        <w:t>o</w:t>
      </w:r>
      <w:r w:rsidRPr="00084D30">
        <w:rPr>
          <w:rFonts w:ascii="Palatino Linotype" w:eastAsia="Palatino Linotype" w:hAnsi="Palatino Linotype" w:cs="Palatino Linotype"/>
          <w:sz w:val="22"/>
          <w:szCs w:val="22"/>
        </w:rPr>
        <w:t xml:space="preserve">, turnó la solicitud de información a la unidad administrativa competente, a saber la </w:t>
      </w:r>
      <w:r w:rsidR="003A76B8" w:rsidRPr="00084D30">
        <w:rPr>
          <w:rFonts w:ascii="Palatino Linotype" w:eastAsia="Palatino Linotype" w:hAnsi="Palatino Linotype" w:cs="Palatino Linotype"/>
          <w:sz w:val="22"/>
          <w:szCs w:val="22"/>
        </w:rPr>
        <w:t>Tesorería Municipal</w:t>
      </w:r>
      <w:r w:rsidR="003B5718" w:rsidRPr="00084D30">
        <w:rPr>
          <w:rFonts w:ascii="Palatino Linotype" w:eastAsia="Palatino Linotype" w:hAnsi="Palatino Linotype" w:cs="Palatino Linotype"/>
          <w:sz w:val="22"/>
          <w:szCs w:val="22"/>
        </w:rPr>
        <w:t>,</w:t>
      </w:r>
      <w:r w:rsidRPr="00084D30">
        <w:rPr>
          <w:rFonts w:ascii="Palatino Linotype" w:eastAsia="Palatino Linotype" w:hAnsi="Palatino Linotype" w:cs="Palatino Linotype"/>
          <w:sz w:val="22"/>
          <w:szCs w:val="22"/>
        </w:rPr>
        <w:t xml:space="preserve">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FBA1D68" w14:textId="77777777" w:rsidR="00E825CD" w:rsidRPr="00084D30" w:rsidRDefault="00E825CD" w:rsidP="00E825CD">
      <w:pPr>
        <w:spacing w:line="360" w:lineRule="auto"/>
        <w:ind w:right="-93"/>
        <w:jc w:val="both"/>
        <w:rPr>
          <w:rFonts w:ascii="Palatino Linotype" w:eastAsia="Palatino Linotype" w:hAnsi="Palatino Linotype" w:cs="Palatino Linotype"/>
          <w:sz w:val="22"/>
          <w:szCs w:val="22"/>
        </w:rPr>
      </w:pPr>
    </w:p>
    <w:p w14:paraId="5998CCC4" w14:textId="77777777" w:rsidR="00E825CD" w:rsidRPr="00084D30" w:rsidRDefault="00E825CD" w:rsidP="00E825CD">
      <w:pPr>
        <w:pStyle w:val="Prrafodelista"/>
        <w:numPr>
          <w:ilvl w:val="3"/>
          <w:numId w:val="9"/>
        </w:numPr>
        <w:spacing w:line="360" w:lineRule="auto"/>
        <w:ind w:left="567" w:right="560"/>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5F461A1" w14:textId="77777777" w:rsidR="00E825CD" w:rsidRPr="00084D30" w:rsidRDefault="00E825CD" w:rsidP="00E825CD">
      <w:pPr>
        <w:pStyle w:val="Prrafodelista"/>
        <w:numPr>
          <w:ilvl w:val="3"/>
          <w:numId w:val="9"/>
        </w:numPr>
        <w:spacing w:line="360" w:lineRule="auto"/>
        <w:ind w:left="567" w:right="560"/>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607A71A" w14:textId="77777777" w:rsidR="00E825CD" w:rsidRPr="00084D30" w:rsidRDefault="00E825CD" w:rsidP="00E825CD">
      <w:pPr>
        <w:spacing w:line="360" w:lineRule="auto"/>
        <w:ind w:right="49"/>
        <w:jc w:val="both"/>
        <w:rPr>
          <w:rFonts w:ascii="Palatino Linotype" w:eastAsia="Palatino Linotype" w:hAnsi="Palatino Linotype" w:cs="Palatino Linotype"/>
          <w:sz w:val="22"/>
          <w:szCs w:val="22"/>
        </w:rPr>
      </w:pPr>
    </w:p>
    <w:p w14:paraId="58030777" w14:textId="5DA6D076" w:rsidR="00E825CD" w:rsidRPr="00084D30" w:rsidRDefault="00E825CD" w:rsidP="003A76B8">
      <w:p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Así,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w:t>
      </w:r>
      <w:r w:rsidR="003A76B8" w:rsidRPr="00084D30">
        <w:rPr>
          <w:rFonts w:ascii="Palatino Linotype" w:eastAsia="Palatino Linotype" w:hAnsi="Palatino Linotype" w:cs="Palatino Linotype"/>
          <w:sz w:val="22"/>
          <w:szCs w:val="22"/>
        </w:rPr>
        <w:t>.</w:t>
      </w:r>
    </w:p>
    <w:p w14:paraId="639826DE" w14:textId="77777777" w:rsidR="003A76B8" w:rsidRPr="00084D30" w:rsidRDefault="003A76B8" w:rsidP="003A76B8">
      <w:pPr>
        <w:spacing w:line="360" w:lineRule="auto"/>
        <w:ind w:right="49"/>
        <w:jc w:val="both"/>
        <w:rPr>
          <w:rFonts w:ascii="Palatino Linotype" w:eastAsia="Palatino Linotype" w:hAnsi="Palatino Linotype" w:cs="Palatino Linotype"/>
          <w:b/>
          <w:sz w:val="22"/>
          <w:szCs w:val="22"/>
        </w:rPr>
      </w:pPr>
    </w:p>
    <w:p w14:paraId="4EB652E3" w14:textId="4C7B9224" w:rsidR="003A76B8" w:rsidRPr="00084D30" w:rsidRDefault="003B5718" w:rsidP="003B5718">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Señalado lo anterior, en lo que respecta a los agravios hechos valer por el ahora Recurrente, es de mencionar que del análisis a los documentos proporcionados en respuesta por el Sujeto Obligado, se advirtió que </w:t>
      </w:r>
      <w:r w:rsidR="003A76B8" w:rsidRPr="00084D30">
        <w:rPr>
          <w:rFonts w:ascii="Palatino Linotype" w:eastAsia="Palatino Linotype" w:hAnsi="Palatino Linotype" w:cs="Palatino Linotype"/>
          <w:b/>
          <w:sz w:val="22"/>
          <w:szCs w:val="22"/>
        </w:rPr>
        <w:t xml:space="preserve">se clasificaron datos como </w:t>
      </w:r>
      <w:r w:rsidR="00EA400D" w:rsidRPr="00084D30">
        <w:rPr>
          <w:rFonts w:ascii="Palatino Linotype" w:eastAsia="Palatino Linotype" w:hAnsi="Palatino Linotype" w:cs="Palatino Linotype"/>
          <w:b/>
          <w:sz w:val="22"/>
          <w:szCs w:val="22"/>
        </w:rPr>
        <w:t>nombre del beneficiario</w:t>
      </w:r>
      <w:r w:rsidR="006F6715" w:rsidRPr="00084D30">
        <w:rPr>
          <w:rFonts w:ascii="Palatino Linotype" w:eastAsia="Palatino Linotype" w:hAnsi="Palatino Linotype" w:cs="Palatino Linotype"/>
          <w:b/>
          <w:sz w:val="22"/>
          <w:szCs w:val="22"/>
        </w:rPr>
        <w:t xml:space="preserve">, </w:t>
      </w:r>
      <w:r w:rsidR="003A76B8" w:rsidRPr="00084D30">
        <w:rPr>
          <w:rFonts w:ascii="Palatino Linotype" w:eastAsia="Palatino Linotype" w:hAnsi="Palatino Linotype" w:cs="Palatino Linotype"/>
          <w:b/>
          <w:sz w:val="22"/>
          <w:szCs w:val="22"/>
        </w:rPr>
        <w:t>cuenta clabe del Sujeto Obligado, cuenta clabe del beneficiario, RFC del beneficiario, referencia numérica y clave de rastreo</w:t>
      </w:r>
      <w:r w:rsidR="00ED65E0" w:rsidRPr="00084D30">
        <w:rPr>
          <w:rFonts w:ascii="Palatino Linotype" w:eastAsia="Palatino Linotype" w:hAnsi="Palatino Linotype" w:cs="Palatino Linotype"/>
          <w:sz w:val="22"/>
          <w:szCs w:val="22"/>
        </w:rPr>
        <w:t>,</w:t>
      </w:r>
      <w:r w:rsidR="003A76B8" w:rsidRPr="00084D30">
        <w:rPr>
          <w:rFonts w:ascii="Palatino Linotype" w:eastAsia="Palatino Linotype" w:hAnsi="Palatino Linotype" w:cs="Palatino Linotype"/>
          <w:sz w:val="22"/>
          <w:szCs w:val="22"/>
        </w:rPr>
        <w:t xml:space="preserve"> situación que se analizará al tenor de lo siguiente: </w:t>
      </w:r>
    </w:p>
    <w:p w14:paraId="5241AC18" w14:textId="77777777" w:rsidR="00702957" w:rsidRPr="00084D30" w:rsidRDefault="00702957" w:rsidP="003B5718">
      <w:pPr>
        <w:spacing w:line="360" w:lineRule="auto"/>
        <w:jc w:val="both"/>
        <w:rPr>
          <w:rFonts w:ascii="Palatino Linotype" w:eastAsia="Palatino Linotype" w:hAnsi="Palatino Linotype" w:cs="Palatino Linotype"/>
          <w:sz w:val="22"/>
          <w:szCs w:val="22"/>
        </w:rPr>
      </w:pPr>
    </w:p>
    <w:p w14:paraId="1277632D" w14:textId="1A28E7CC" w:rsidR="00702957" w:rsidRPr="00084D30" w:rsidRDefault="00702957" w:rsidP="00702957">
      <w:pPr>
        <w:pStyle w:val="Prrafodelista"/>
        <w:numPr>
          <w:ilvl w:val="0"/>
          <w:numId w:val="17"/>
        </w:numPr>
        <w:tabs>
          <w:tab w:val="left" w:pos="284"/>
        </w:tabs>
        <w:spacing w:line="360" w:lineRule="auto"/>
        <w:ind w:left="0" w:firstLine="0"/>
        <w:jc w:val="both"/>
        <w:rPr>
          <w:rFonts w:ascii="Palatino Linotype" w:eastAsia="Palatino Linotype" w:hAnsi="Palatino Linotype" w:cs="Palatino Linotype"/>
          <w:bCs/>
          <w:sz w:val="22"/>
          <w:szCs w:val="22"/>
        </w:rPr>
      </w:pPr>
      <w:r w:rsidRPr="00084D30">
        <w:rPr>
          <w:rFonts w:ascii="Palatino Linotype" w:eastAsia="Palatino Linotype" w:hAnsi="Palatino Linotype" w:cs="Palatino Linotype"/>
          <w:b/>
          <w:sz w:val="22"/>
          <w:szCs w:val="22"/>
        </w:rPr>
        <w:t>Nombre del beneficiario o de quien recibe recursos públicos.</w:t>
      </w:r>
      <w:r w:rsidRPr="00084D30">
        <w:rPr>
          <w:rFonts w:ascii="Palatino Linotype" w:eastAsia="Palatino Linotype" w:hAnsi="Palatino Linotype" w:cs="Palatino Linotype"/>
          <w:bCs/>
          <w:sz w:val="22"/>
          <w:szCs w:val="22"/>
        </w:rPr>
        <w:t xml:space="preserve"> El nombre de una persona que recibe recursos públicos constituye un dato estrictamente público, porque está directamente vinculado al uso del dinero del Estado. Por ello, conocer quién recibe esos recursos es indispensable para garantizar los principios constitucionales de transparencia, control social y rendición de cuentas. Si se ocultara la identidad del beneficiario, sería imposible evaluar la legalidad del gasto, detectar posibles actos de corrupción, evitar conflictos de interés y verificar la correcta asignación de fondos públicos.</w:t>
      </w:r>
    </w:p>
    <w:p w14:paraId="0036E8D3" w14:textId="77777777" w:rsidR="00702957" w:rsidRPr="00084D30" w:rsidRDefault="00702957" w:rsidP="00702957">
      <w:pPr>
        <w:pStyle w:val="Prrafodelista"/>
        <w:tabs>
          <w:tab w:val="left" w:pos="284"/>
        </w:tabs>
        <w:spacing w:line="360" w:lineRule="auto"/>
        <w:ind w:left="0"/>
        <w:jc w:val="both"/>
        <w:rPr>
          <w:rFonts w:ascii="Palatino Linotype" w:eastAsia="Palatino Linotype" w:hAnsi="Palatino Linotype" w:cs="Palatino Linotype"/>
          <w:bCs/>
          <w:sz w:val="22"/>
          <w:szCs w:val="22"/>
        </w:rPr>
      </w:pPr>
    </w:p>
    <w:p w14:paraId="7287CA86" w14:textId="650209F7" w:rsidR="00ED7814" w:rsidRPr="00084D30" w:rsidRDefault="00702957" w:rsidP="00702957">
      <w:pPr>
        <w:tabs>
          <w:tab w:val="left" w:pos="284"/>
        </w:tabs>
        <w:spacing w:line="360" w:lineRule="auto"/>
        <w:jc w:val="both"/>
        <w:rPr>
          <w:rFonts w:ascii="Palatino Linotype" w:eastAsia="Palatino Linotype" w:hAnsi="Palatino Linotype" w:cs="Palatino Linotype"/>
          <w:bCs/>
          <w:sz w:val="22"/>
          <w:szCs w:val="22"/>
        </w:rPr>
      </w:pPr>
      <w:r w:rsidRPr="00084D30">
        <w:rPr>
          <w:rFonts w:ascii="Palatino Linotype" w:eastAsia="Palatino Linotype" w:hAnsi="Palatino Linotype" w:cs="Palatino Linotype"/>
          <w:bCs/>
          <w:sz w:val="22"/>
          <w:szCs w:val="22"/>
        </w:rPr>
        <w:t xml:space="preserve">Además, la información relativa al uso de dinero público no puede considerarse privada, ya que no describe aspectos íntimos de la vida personal, sino una relación jurídica y económica con el Estado que genera efectos públicos, es por lo que, no se actualiza su clasificación. </w:t>
      </w:r>
    </w:p>
    <w:p w14:paraId="6B6E3423" w14:textId="77777777" w:rsidR="00702957" w:rsidRPr="00084D30" w:rsidRDefault="00702957" w:rsidP="00702957">
      <w:pPr>
        <w:tabs>
          <w:tab w:val="left" w:pos="284"/>
        </w:tabs>
        <w:spacing w:line="360" w:lineRule="auto"/>
        <w:jc w:val="both"/>
        <w:rPr>
          <w:rFonts w:ascii="Palatino Linotype" w:eastAsia="Palatino Linotype" w:hAnsi="Palatino Linotype" w:cs="Palatino Linotype"/>
          <w:bCs/>
          <w:sz w:val="22"/>
          <w:szCs w:val="22"/>
        </w:rPr>
      </w:pPr>
    </w:p>
    <w:p w14:paraId="27BC4C19" w14:textId="476160F4" w:rsidR="00ED7814" w:rsidRPr="00084D30" w:rsidRDefault="00ED7814" w:rsidP="00ED7814">
      <w:pPr>
        <w:pStyle w:val="Prrafodelista"/>
        <w:numPr>
          <w:ilvl w:val="0"/>
          <w:numId w:val="17"/>
        </w:numPr>
        <w:tabs>
          <w:tab w:val="left" w:pos="284"/>
        </w:tabs>
        <w:spacing w:line="360" w:lineRule="auto"/>
        <w:ind w:left="0" w:right="49" w:firstLine="0"/>
        <w:jc w:val="both"/>
        <w:rPr>
          <w:rFonts w:ascii="Palatino Linotype" w:eastAsia="Palatino Linotype" w:hAnsi="Palatino Linotype" w:cs="Palatino Linotype"/>
          <w:b/>
        </w:rPr>
      </w:pPr>
      <w:r w:rsidRPr="00084D30">
        <w:rPr>
          <w:rFonts w:ascii="Palatino Linotype" w:eastAsia="Palatino Linotype" w:hAnsi="Palatino Linotype" w:cs="Palatino Linotype"/>
          <w:b/>
        </w:rPr>
        <w:t xml:space="preserve">Cuenta bancaria de particulares. </w:t>
      </w:r>
      <w:r w:rsidRPr="00084D30">
        <w:rPr>
          <w:rFonts w:ascii="Palatino Linotype" w:eastAsia="Palatino Linotype" w:hAnsi="Palatino Linotype" w:cs="Palatino Linotype"/>
          <w:sz w:val="22"/>
        </w:rPr>
        <w:t xml:space="preserve">Por lo que, es menester referir que, el </w:t>
      </w:r>
      <w:r w:rsidRPr="00084D30">
        <w:rPr>
          <w:rFonts w:ascii="Palatino Linotype" w:eastAsia="Palatino Linotype" w:hAnsi="Palatino Linotype" w:cs="Palatino Linotype"/>
          <w:b/>
          <w:i/>
          <w:sz w:val="22"/>
        </w:rPr>
        <w:t>número de cuenta bancaria</w:t>
      </w:r>
      <w:r w:rsidRPr="00084D30">
        <w:rPr>
          <w:rFonts w:ascii="Palatino Linotype" w:eastAsia="Palatino Linotype" w:hAnsi="Palatino Linotype" w:cs="Palatino Linotype"/>
          <w:sz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DC02662" w14:textId="77777777" w:rsidR="00ED7814" w:rsidRPr="00084D30" w:rsidRDefault="00ED7814" w:rsidP="00ED7814">
      <w:pPr>
        <w:spacing w:line="360" w:lineRule="auto"/>
        <w:ind w:right="50"/>
        <w:jc w:val="both"/>
        <w:rPr>
          <w:rFonts w:ascii="Palatino Linotype" w:eastAsia="Palatino Linotype" w:hAnsi="Palatino Linotype" w:cs="Palatino Linotype"/>
          <w:sz w:val="22"/>
        </w:rPr>
      </w:pPr>
    </w:p>
    <w:p w14:paraId="4F8D6C7F" w14:textId="77777777" w:rsidR="00ED7814" w:rsidRPr="00084D30" w:rsidRDefault="00ED7814" w:rsidP="00ED7814">
      <w:pPr>
        <w:spacing w:line="360" w:lineRule="auto"/>
        <w:ind w:right="50"/>
        <w:jc w:val="both"/>
        <w:rPr>
          <w:rFonts w:ascii="Palatino Linotype" w:eastAsia="Palatino Linotype" w:hAnsi="Palatino Linotype" w:cs="Palatino Linotype"/>
          <w:sz w:val="22"/>
        </w:rPr>
      </w:pPr>
      <w:r w:rsidRPr="00084D30">
        <w:rPr>
          <w:rFonts w:ascii="Palatino Linotype" w:eastAsia="Palatino Linotype" w:hAnsi="Palatino Linotype" w:cs="Palatino Linotype"/>
          <w:sz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703CA1C" w14:textId="77777777" w:rsidR="00ED7814" w:rsidRPr="00084D30" w:rsidRDefault="00ED7814" w:rsidP="00ED7814">
      <w:pPr>
        <w:spacing w:line="360" w:lineRule="auto"/>
        <w:ind w:right="50"/>
        <w:jc w:val="both"/>
        <w:rPr>
          <w:rFonts w:ascii="Palatino Linotype" w:eastAsia="Palatino Linotype" w:hAnsi="Palatino Linotype" w:cs="Palatino Linotype"/>
          <w:sz w:val="22"/>
        </w:rPr>
      </w:pPr>
    </w:p>
    <w:p w14:paraId="7F881761" w14:textId="77777777" w:rsidR="00ED7814" w:rsidRPr="00084D30" w:rsidRDefault="00ED7814" w:rsidP="00ED7814">
      <w:pPr>
        <w:spacing w:line="360" w:lineRule="auto"/>
        <w:ind w:right="50"/>
        <w:jc w:val="both"/>
        <w:rPr>
          <w:rFonts w:ascii="Palatino Linotype" w:eastAsia="Palatino Linotype" w:hAnsi="Palatino Linotype" w:cs="Palatino Linotype"/>
          <w:sz w:val="22"/>
        </w:rPr>
      </w:pPr>
      <w:r w:rsidRPr="00084D30">
        <w:rPr>
          <w:rFonts w:ascii="Palatino Linotype" w:eastAsia="Palatino Linotype" w:hAnsi="Palatino Linotype" w:cs="Palatino Linotype"/>
          <w:sz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2F5DCE0" w14:textId="77777777" w:rsidR="00ED7814" w:rsidRPr="00084D30" w:rsidRDefault="00ED7814" w:rsidP="00ED7814">
      <w:pPr>
        <w:spacing w:line="360" w:lineRule="auto"/>
        <w:ind w:right="50"/>
        <w:jc w:val="both"/>
        <w:rPr>
          <w:rFonts w:ascii="Palatino Linotype" w:eastAsia="Palatino Linotype" w:hAnsi="Palatino Linotype" w:cs="Palatino Linotype"/>
          <w:sz w:val="22"/>
        </w:rPr>
      </w:pPr>
    </w:p>
    <w:p w14:paraId="4D2741EF" w14:textId="6F35A9BB" w:rsidR="00ED7814" w:rsidRPr="00084D30" w:rsidRDefault="00ED7814" w:rsidP="00ED7814">
      <w:pPr>
        <w:spacing w:line="360" w:lineRule="auto"/>
        <w:ind w:right="50"/>
        <w:jc w:val="both"/>
        <w:rPr>
          <w:rFonts w:ascii="Palatino Linotype" w:eastAsia="Palatino Linotype" w:hAnsi="Palatino Linotype" w:cs="Palatino Linotype"/>
          <w:sz w:val="22"/>
        </w:rPr>
      </w:pPr>
      <w:r w:rsidRPr="00084D30">
        <w:rPr>
          <w:rFonts w:ascii="Palatino Linotype" w:eastAsia="Palatino Linotype" w:hAnsi="Palatino Linotype" w:cs="Palatino Linotype"/>
          <w:sz w:val="22"/>
        </w:rPr>
        <w:t>Por lo anterior, se considera que, el dato concerniente al número de cuenta bancario de personas físicas y morales, es un dato susceptible de ser clasificado como confidencial.</w:t>
      </w:r>
    </w:p>
    <w:p w14:paraId="011B19AA" w14:textId="77777777" w:rsidR="00ED7814" w:rsidRPr="00084D30" w:rsidRDefault="00ED7814" w:rsidP="00ED7814">
      <w:pPr>
        <w:spacing w:line="360" w:lineRule="auto"/>
        <w:ind w:right="50"/>
        <w:jc w:val="both"/>
        <w:rPr>
          <w:rFonts w:ascii="Palatino Linotype" w:eastAsia="Palatino Linotype" w:hAnsi="Palatino Linotype" w:cs="Palatino Linotype"/>
          <w:sz w:val="22"/>
        </w:rPr>
      </w:pPr>
    </w:p>
    <w:p w14:paraId="0F811037" w14:textId="6D8E3065" w:rsidR="00ED7814" w:rsidRPr="00084D30" w:rsidRDefault="00ED7814" w:rsidP="00ED7814">
      <w:pPr>
        <w:tabs>
          <w:tab w:val="left" w:pos="7938"/>
        </w:tabs>
        <w:spacing w:line="360" w:lineRule="auto"/>
        <w:jc w:val="both"/>
        <w:rPr>
          <w:rFonts w:ascii="Palatino Linotype" w:eastAsia="Arial Unicode MS" w:hAnsi="Palatino Linotype" w:cs="Arial"/>
          <w:sz w:val="22"/>
        </w:rPr>
      </w:pPr>
      <w:r w:rsidRPr="00084D30">
        <w:rPr>
          <w:rFonts w:ascii="Palatino Linotype" w:eastAsia="Arial Unicode MS" w:hAnsi="Palatino Linotype" w:cs="Arial"/>
          <w:sz w:val="22"/>
        </w:rPr>
        <w:t xml:space="preserve">Por otro lado, en lo que corresponde a cuentas bancarias otorgadas al municipio, es de mencionar que se trata de información de dominio público, ya que avala que los cargos efectuados, las transferencias electrónicas realizadas o los abonos efectuados corresponden, exclusivamente a la cuenta proporcionada a su titular, creando con ello una relación entre el municipio y la institución encargada de prestar servicios de carácter financiero, mismo que se encuentra estrechamente relacionada con el patrimonio municipal a la que se asignó el número. </w:t>
      </w:r>
    </w:p>
    <w:p w14:paraId="6557C9D9" w14:textId="77777777" w:rsidR="00ED7814" w:rsidRPr="00084D30" w:rsidRDefault="00ED7814" w:rsidP="00ED7814">
      <w:pPr>
        <w:tabs>
          <w:tab w:val="left" w:pos="7938"/>
        </w:tabs>
        <w:spacing w:line="360" w:lineRule="auto"/>
        <w:jc w:val="both"/>
        <w:rPr>
          <w:rFonts w:ascii="Palatino Linotype" w:eastAsia="Arial Unicode MS" w:hAnsi="Palatino Linotype" w:cs="Arial"/>
          <w:sz w:val="22"/>
        </w:rPr>
      </w:pPr>
    </w:p>
    <w:p w14:paraId="73E768B0" w14:textId="6B9E2309" w:rsidR="00ED7814" w:rsidRPr="00084D30" w:rsidRDefault="00ED7814" w:rsidP="00ED7814">
      <w:pPr>
        <w:tabs>
          <w:tab w:val="left" w:pos="7938"/>
        </w:tabs>
        <w:spacing w:line="360" w:lineRule="auto"/>
        <w:jc w:val="both"/>
        <w:rPr>
          <w:rFonts w:ascii="Palatino Linotype" w:eastAsia="Arial Unicode MS" w:hAnsi="Palatino Linotype" w:cs="Arial"/>
          <w:sz w:val="22"/>
        </w:rPr>
      </w:pPr>
      <w:r w:rsidRPr="00084D30">
        <w:rPr>
          <w:rFonts w:ascii="Palatino Linotype" w:eastAsia="Arial Unicode MS" w:hAnsi="Palatino Linotype" w:cs="Arial"/>
          <w:sz w:val="22"/>
        </w:rPr>
        <w:t xml:space="preserve">Derivado de lo anterior, se considera que el estado de cuenta bancaria y la CLABE interbancaria, del Municipio se encuentra asociado a su patrimonio, entendiendo éste como el conjunto de bienes, fondos, derechos, obligaciones, etc. por tanto, se trata de información de dominio público. </w:t>
      </w:r>
    </w:p>
    <w:p w14:paraId="2CB313B2" w14:textId="77777777" w:rsidR="00ED7814" w:rsidRPr="00084D30" w:rsidRDefault="00ED7814" w:rsidP="00ED7814">
      <w:pPr>
        <w:tabs>
          <w:tab w:val="left" w:pos="7938"/>
        </w:tabs>
        <w:spacing w:line="360" w:lineRule="auto"/>
        <w:jc w:val="both"/>
        <w:rPr>
          <w:rFonts w:ascii="Palatino Linotype" w:eastAsia="Arial Unicode MS" w:hAnsi="Palatino Linotype" w:cs="Arial"/>
          <w:sz w:val="22"/>
        </w:rPr>
      </w:pPr>
    </w:p>
    <w:p w14:paraId="6D075E37" w14:textId="207502D2" w:rsidR="00ED7814" w:rsidRPr="00084D30" w:rsidRDefault="00ED7814" w:rsidP="00ED7814">
      <w:pPr>
        <w:tabs>
          <w:tab w:val="left" w:pos="7938"/>
        </w:tabs>
        <w:spacing w:line="360" w:lineRule="auto"/>
        <w:jc w:val="both"/>
        <w:rPr>
          <w:rFonts w:ascii="Palatino Linotype" w:eastAsia="Arial Unicode MS" w:hAnsi="Palatino Linotype" w:cs="Arial"/>
          <w:sz w:val="22"/>
        </w:rPr>
      </w:pPr>
      <w:r w:rsidRPr="00084D30">
        <w:rPr>
          <w:rFonts w:ascii="Palatino Linotype" w:eastAsia="Arial Unicode MS" w:hAnsi="Palatino Linotype" w:cs="Arial"/>
          <w:sz w:val="22"/>
        </w:rPr>
        <w:t xml:space="preserve">En el presente caso se advierte que si bien, existen personas físicas y morales a las que se les realizaron transferencias y por ende, su número de cuenta debe ser protegido, también lo es que se advierten instituciones públicas, por lo que, el dato relativo a su cuenta bancaria o clabe es de naturaleza pública. </w:t>
      </w:r>
    </w:p>
    <w:p w14:paraId="4F5E03B6" w14:textId="77777777" w:rsidR="00ED7814" w:rsidRPr="00084D30" w:rsidRDefault="00ED7814" w:rsidP="00ED7814">
      <w:pPr>
        <w:tabs>
          <w:tab w:val="left" w:pos="7938"/>
        </w:tabs>
        <w:spacing w:line="360" w:lineRule="auto"/>
        <w:jc w:val="both"/>
        <w:rPr>
          <w:rFonts w:ascii="Palatino Linotype" w:eastAsia="Arial Unicode MS" w:hAnsi="Palatino Linotype" w:cs="Arial"/>
          <w:sz w:val="22"/>
        </w:rPr>
      </w:pPr>
    </w:p>
    <w:p w14:paraId="0F037C72" w14:textId="7E035CB2" w:rsidR="00ED7814" w:rsidRPr="00084D30" w:rsidRDefault="00ED7814" w:rsidP="00ED7814">
      <w:pPr>
        <w:pStyle w:val="Prrafodelista"/>
        <w:numPr>
          <w:ilvl w:val="0"/>
          <w:numId w:val="17"/>
        </w:numPr>
        <w:tabs>
          <w:tab w:val="left" w:pos="284"/>
          <w:tab w:val="left" w:pos="7938"/>
        </w:tabs>
        <w:spacing w:line="360" w:lineRule="auto"/>
        <w:ind w:left="0" w:firstLine="0"/>
        <w:jc w:val="both"/>
        <w:rPr>
          <w:rFonts w:ascii="Palatino Linotype" w:eastAsia="Arial Unicode MS" w:hAnsi="Palatino Linotype" w:cs="Arial"/>
          <w:sz w:val="22"/>
        </w:rPr>
      </w:pPr>
      <w:r w:rsidRPr="00084D30">
        <w:rPr>
          <w:rFonts w:ascii="Palatino Linotype" w:eastAsia="Arial Unicode MS" w:hAnsi="Palatino Linotype" w:cs="Arial"/>
          <w:b/>
          <w:sz w:val="22"/>
        </w:rPr>
        <w:t>Registro Federal de Contribuyentes de Sujetos Obligados, proveedores y contratistas.</w:t>
      </w:r>
      <w:r w:rsidRPr="00084D30">
        <w:rPr>
          <w:rFonts w:ascii="Palatino Linotype" w:eastAsia="Calibri" w:hAnsi="Palatino Linotype" w:cs="Tahoma"/>
          <w:bCs/>
          <w:sz w:val="22"/>
          <w:szCs w:val="22"/>
          <w:lang w:val="es-ES" w:eastAsia="en-US"/>
        </w:rPr>
        <w:t>Este dato no puede considerarse como clasificado aun siendo de personas físicas ya que corresponde a un requisito indispensable para ser contratista y/o proveedor y llevar a cabo actividades comerciales con los sujetos obligados de la Entidad, ya que sin este, no se pueden realizar, por lo que su entrega es un elemento adicional que respalda la legalidad de los procesos de contratación de obra pública, como corresponde a lo solicitado.</w:t>
      </w:r>
    </w:p>
    <w:p w14:paraId="3D8CD837" w14:textId="77777777" w:rsidR="00ED7814" w:rsidRPr="00084D30" w:rsidRDefault="00ED7814" w:rsidP="00ED7814">
      <w:pPr>
        <w:spacing w:line="360" w:lineRule="auto"/>
        <w:ind w:right="-91"/>
        <w:jc w:val="both"/>
        <w:rPr>
          <w:rFonts w:ascii="Palatino Linotype" w:eastAsia="Calibri" w:hAnsi="Palatino Linotype" w:cs="Tahoma"/>
          <w:bCs/>
          <w:sz w:val="22"/>
          <w:szCs w:val="22"/>
          <w:lang w:val="es-ES" w:eastAsia="en-US"/>
        </w:rPr>
      </w:pPr>
    </w:p>
    <w:p w14:paraId="5F4F797D" w14:textId="77777777" w:rsidR="00ED7814" w:rsidRPr="00084D30" w:rsidRDefault="00ED7814" w:rsidP="00ED7814">
      <w:pPr>
        <w:spacing w:line="360" w:lineRule="auto"/>
        <w:ind w:right="-91"/>
        <w:jc w:val="both"/>
        <w:rPr>
          <w:rFonts w:ascii="Palatino Linotype" w:eastAsia="Calibri" w:hAnsi="Palatino Linotype" w:cs="Tahoma"/>
          <w:bCs/>
          <w:sz w:val="22"/>
          <w:szCs w:val="22"/>
          <w:lang w:val="es-ES" w:eastAsia="en-US"/>
        </w:rPr>
      </w:pPr>
      <w:r w:rsidRPr="00084D30">
        <w:rPr>
          <w:rFonts w:ascii="Palatino Linotype" w:eastAsia="Calibri" w:hAnsi="Palatino Linotype" w:cs="Tahoma"/>
          <w:bCs/>
          <w:sz w:val="22"/>
          <w:szCs w:val="22"/>
          <w:lang w:val="es-ES"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pólizas y documentos en donde constan las transferencias bancarias de pagos de sujetos obligados, están vinculadas directamente con el ejercicio de recursos públicos.</w:t>
      </w:r>
    </w:p>
    <w:p w14:paraId="06F4A381" w14:textId="77777777" w:rsidR="00ED7814" w:rsidRPr="00084D30" w:rsidRDefault="00ED7814" w:rsidP="00ED7814">
      <w:pPr>
        <w:spacing w:line="360" w:lineRule="auto"/>
        <w:ind w:right="-91"/>
        <w:jc w:val="both"/>
        <w:rPr>
          <w:rFonts w:ascii="Palatino Linotype" w:eastAsia="Calibri" w:hAnsi="Palatino Linotype" w:cs="Tahoma"/>
          <w:bCs/>
          <w:sz w:val="22"/>
          <w:szCs w:val="22"/>
          <w:lang w:val="es-ES" w:eastAsia="en-US"/>
        </w:rPr>
      </w:pPr>
    </w:p>
    <w:p w14:paraId="07B44F46" w14:textId="03F1B15E" w:rsidR="00ED7814" w:rsidRPr="00084D30" w:rsidRDefault="00076A66" w:rsidP="00076A66">
      <w:pPr>
        <w:spacing w:line="360" w:lineRule="auto"/>
        <w:ind w:right="-91"/>
        <w:jc w:val="both"/>
        <w:rPr>
          <w:rFonts w:ascii="Palatino Linotype" w:eastAsia="Calibri" w:hAnsi="Palatino Linotype" w:cs="Tahoma"/>
          <w:bCs/>
          <w:sz w:val="22"/>
          <w:szCs w:val="22"/>
          <w:lang w:val="es-ES" w:eastAsia="en-US"/>
        </w:rPr>
      </w:pPr>
      <w:r w:rsidRPr="00084D30">
        <w:rPr>
          <w:rFonts w:ascii="Palatino Linotype" w:eastAsia="Calibri" w:hAnsi="Palatino Linotype" w:cs="Tahoma"/>
          <w:bCs/>
          <w:sz w:val="22"/>
          <w:szCs w:val="22"/>
          <w:lang w:val="es-ES" w:eastAsia="en-US"/>
        </w:rPr>
        <w:t xml:space="preserve">Por lo que refiere al RFC de los sujetos obligados, tampoco es un dato susceptible de ser clasificado como confidencial, por tratarse de información de índole e interés público. </w:t>
      </w:r>
    </w:p>
    <w:p w14:paraId="353AC239" w14:textId="77777777" w:rsidR="00ED7814" w:rsidRPr="00084D30" w:rsidRDefault="00ED7814" w:rsidP="00ED7814">
      <w:pPr>
        <w:spacing w:line="360" w:lineRule="auto"/>
        <w:jc w:val="both"/>
        <w:rPr>
          <w:rFonts w:ascii="Palatino Linotype" w:eastAsia="Palatino Linotype" w:hAnsi="Palatino Linotype" w:cs="Palatino Linotype"/>
          <w:sz w:val="22"/>
          <w:szCs w:val="22"/>
        </w:rPr>
      </w:pPr>
    </w:p>
    <w:p w14:paraId="391A6B42" w14:textId="258C269C" w:rsidR="003B5718" w:rsidRPr="00084D30" w:rsidRDefault="00076A66" w:rsidP="00076A66">
      <w:pPr>
        <w:pStyle w:val="Prrafodelista"/>
        <w:numPr>
          <w:ilvl w:val="0"/>
          <w:numId w:val="17"/>
        </w:numPr>
        <w:tabs>
          <w:tab w:val="left" w:pos="284"/>
        </w:tabs>
        <w:spacing w:line="360" w:lineRule="auto"/>
        <w:ind w:left="0" w:firstLine="0"/>
        <w:jc w:val="both"/>
        <w:rPr>
          <w:rFonts w:ascii="Palatino Linotype" w:eastAsia="Palatino Linotype" w:hAnsi="Palatino Linotype" w:cs="Palatino Linotype"/>
          <w:b/>
          <w:sz w:val="22"/>
          <w:szCs w:val="22"/>
        </w:rPr>
      </w:pPr>
      <w:r w:rsidRPr="00084D30">
        <w:rPr>
          <w:rFonts w:ascii="Palatino Linotype" w:eastAsia="Palatino Linotype" w:hAnsi="Palatino Linotype" w:cs="Palatino Linotype"/>
          <w:b/>
          <w:sz w:val="22"/>
          <w:szCs w:val="22"/>
        </w:rPr>
        <w:t xml:space="preserve">Referencia numérica. </w:t>
      </w:r>
      <w:r w:rsidRPr="00084D30">
        <w:rPr>
          <w:rFonts w:ascii="Palatino Linotype" w:eastAsia="Palatino Linotype" w:hAnsi="Palatino Linotype" w:cs="Palatino Linotype"/>
          <w:sz w:val="22"/>
          <w:szCs w:val="22"/>
        </w:rPr>
        <w:t xml:space="preserve">Es un código o número que el banco asigna o solicita para identificar una operación, sirve para relacionar una transferencia con un pago específico, comprobar que un depósito corresponde a cierto concepto y para rastrear la cooperación. </w:t>
      </w:r>
    </w:p>
    <w:p w14:paraId="0CB1FA34" w14:textId="3F162BB0" w:rsidR="00076A66" w:rsidRPr="00084D30" w:rsidRDefault="00076A66" w:rsidP="00076A66">
      <w:pPr>
        <w:tabs>
          <w:tab w:val="left" w:pos="284"/>
        </w:tabs>
        <w:spacing w:line="360" w:lineRule="auto"/>
        <w:jc w:val="both"/>
        <w:rPr>
          <w:rFonts w:ascii="Palatino Linotype" w:eastAsia="Palatino Linotype" w:hAnsi="Palatino Linotype" w:cs="Palatino Linotype"/>
          <w:b/>
          <w:sz w:val="22"/>
          <w:szCs w:val="22"/>
        </w:rPr>
      </w:pPr>
    </w:p>
    <w:p w14:paraId="5096CA2B" w14:textId="6108965F" w:rsidR="00076A66" w:rsidRPr="00084D30" w:rsidRDefault="00076A66" w:rsidP="00076A66">
      <w:pPr>
        <w:tabs>
          <w:tab w:val="left" w:pos="284"/>
        </w:tabs>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En ese sentido, se tiene que este dato por sí mismo no da cuenta de información personal, aunado a que, la mayoría se tratan de pagos a instituciones públicas, por lo que, aún menos podría revelar datos confidenciales, es así que, se considera que no es susceptible de ser clasificado.  </w:t>
      </w:r>
    </w:p>
    <w:p w14:paraId="217DAA28" w14:textId="77777777" w:rsidR="00076A66" w:rsidRPr="00084D30" w:rsidRDefault="00076A66" w:rsidP="00076A66">
      <w:pPr>
        <w:tabs>
          <w:tab w:val="left" w:pos="284"/>
        </w:tabs>
        <w:spacing w:line="360" w:lineRule="auto"/>
        <w:jc w:val="both"/>
        <w:rPr>
          <w:rFonts w:ascii="Palatino Linotype" w:eastAsia="Palatino Linotype" w:hAnsi="Palatino Linotype" w:cs="Palatino Linotype"/>
          <w:sz w:val="22"/>
          <w:szCs w:val="22"/>
        </w:rPr>
      </w:pPr>
    </w:p>
    <w:p w14:paraId="7D63E1D2" w14:textId="26614C41" w:rsidR="00076A66" w:rsidRPr="00084D30" w:rsidRDefault="00076A66" w:rsidP="00076A66">
      <w:pPr>
        <w:pStyle w:val="Prrafodelista"/>
        <w:numPr>
          <w:ilvl w:val="0"/>
          <w:numId w:val="17"/>
        </w:numPr>
        <w:tabs>
          <w:tab w:val="left" w:pos="284"/>
        </w:tabs>
        <w:spacing w:line="360" w:lineRule="auto"/>
        <w:ind w:left="0" w:firstLine="0"/>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b/>
          <w:sz w:val="22"/>
          <w:szCs w:val="22"/>
        </w:rPr>
        <w:t xml:space="preserve">Clave de rastreo.  </w:t>
      </w:r>
      <w:r w:rsidRPr="00084D30">
        <w:rPr>
          <w:rFonts w:ascii="Palatino Linotype" w:eastAsia="Palatino Linotype" w:hAnsi="Palatino Linotype" w:cs="Palatino Linotype"/>
          <w:sz w:val="22"/>
          <w:szCs w:val="22"/>
        </w:rPr>
        <w:t>La clave de rastreo es un identificador único que se genera en todas las transferencias electrónicas del sistema SPEI (Banco de México), sirve para identificar una</w:t>
      </w:r>
      <w:r w:rsidRPr="00084D30">
        <w:rPr>
          <w:rFonts w:ascii="Palatino Linotype" w:eastAsia="Palatino Linotype" w:hAnsi="Palatino Linotype" w:cs="Palatino Linotype"/>
          <w:b/>
          <w:sz w:val="22"/>
          <w:szCs w:val="22"/>
        </w:rPr>
        <w:t xml:space="preserve"> </w:t>
      </w:r>
      <w:r w:rsidRPr="00084D30">
        <w:rPr>
          <w:rFonts w:ascii="Palatino Linotype" w:eastAsia="Palatino Linotype" w:hAnsi="Palatino Linotype" w:cs="Palatino Linotype"/>
          <w:sz w:val="22"/>
          <w:szCs w:val="22"/>
        </w:rPr>
        <w:t>transferencia en específico, rastrear su estado (enviada, procesada, devuelta, rechazada) y validar que una operación fue realizada correctamente.</w:t>
      </w:r>
    </w:p>
    <w:p w14:paraId="7BDB33EA" w14:textId="77777777" w:rsidR="00076A66" w:rsidRPr="00084D30" w:rsidRDefault="00076A66" w:rsidP="00076A66">
      <w:pPr>
        <w:tabs>
          <w:tab w:val="left" w:pos="284"/>
        </w:tabs>
        <w:spacing w:line="360" w:lineRule="auto"/>
        <w:jc w:val="both"/>
        <w:rPr>
          <w:rFonts w:ascii="Palatino Linotype" w:eastAsia="Palatino Linotype" w:hAnsi="Palatino Linotype" w:cs="Palatino Linotype"/>
          <w:b/>
          <w:sz w:val="22"/>
          <w:szCs w:val="22"/>
        </w:rPr>
      </w:pPr>
    </w:p>
    <w:p w14:paraId="2BB406A6" w14:textId="358AE4D8" w:rsidR="00076A66" w:rsidRPr="00084D30" w:rsidRDefault="00076A66" w:rsidP="00076A66">
      <w:pPr>
        <w:tabs>
          <w:tab w:val="left" w:pos="284"/>
        </w:tabs>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La clave de rastreo la genera el banco ordenante, y los datos que se pueden obtener de ella son los siguientes: </w:t>
      </w:r>
    </w:p>
    <w:p w14:paraId="346FD8C9" w14:textId="77777777" w:rsidR="00076A66" w:rsidRPr="00084D30" w:rsidRDefault="00076A66" w:rsidP="00076A66">
      <w:pPr>
        <w:tabs>
          <w:tab w:val="left" w:pos="284"/>
        </w:tabs>
        <w:spacing w:line="360" w:lineRule="auto"/>
        <w:jc w:val="both"/>
        <w:rPr>
          <w:rFonts w:ascii="Palatino Linotype" w:eastAsia="Palatino Linotype" w:hAnsi="Palatino Linotype" w:cs="Palatino Linotype"/>
          <w:b/>
          <w:sz w:val="22"/>
          <w:szCs w:val="22"/>
        </w:rPr>
      </w:pPr>
    </w:p>
    <w:p w14:paraId="313E8CD0" w14:textId="77777777" w:rsidR="00076A66" w:rsidRPr="00084D30" w:rsidRDefault="00076A66" w:rsidP="00076A66">
      <w:pPr>
        <w:pStyle w:val="Prrafodelista"/>
        <w:numPr>
          <w:ilvl w:val="0"/>
          <w:numId w:val="18"/>
        </w:numPr>
        <w:tabs>
          <w:tab w:val="left" w:pos="284"/>
        </w:tabs>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Confirmar si la transferencia se realizó.</w:t>
      </w:r>
    </w:p>
    <w:p w14:paraId="4F03A09F" w14:textId="4CE4F0B7" w:rsidR="00076A66" w:rsidRPr="00084D30" w:rsidRDefault="00076A66" w:rsidP="00076A66">
      <w:pPr>
        <w:pStyle w:val="Prrafodelista"/>
        <w:numPr>
          <w:ilvl w:val="0"/>
          <w:numId w:val="18"/>
        </w:numPr>
        <w:tabs>
          <w:tab w:val="left" w:pos="284"/>
        </w:tabs>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Identificar los datos de la operación como: Banco origen y banco destino, fecha y hora exacta de la operación, monto transferido, concepto de pago y estatus del pago (liquidado, devuelto, pendiente)</w:t>
      </w:r>
    </w:p>
    <w:p w14:paraId="05F36B02" w14:textId="77777777" w:rsidR="00076A66" w:rsidRPr="00084D30" w:rsidRDefault="00076A66" w:rsidP="00076A66">
      <w:pPr>
        <w:spacing w:line="360" w:lineRule="auto"/>
        <w:rPr>
          <w:rFonts w:ascii="Palatino Linotype" w:eastAsia="Palatino Linotype" w:hAnsi="Palatino Linotype" w:cs="Palatino Linotype"/>
          <w:b/>
          <w:sz w:val="22"/>
          <w:szCs w:val="22"/>
        </w:rPr>
      </w:pPr>
    </w:p>
    <w:p w14:paraId="3EE18258" w14:textId="37660184" w:rsidR="00EA400D" w:rsidRPr="00084D30" w:rsidRDefault="00076A66" w:rsidP="003B5718">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Por tal motivo, cuando se trata de </w:t>
      </w:r>
      <w:r w:rsidR="00ED65E0" w:rsidRPr="00084D30">
        <w:rPr>
          <w:rFonts w:ascii="Palatino Linotype" w:eastAsia="Palatino Linotype" w:hAnsi="Palatino Linotype" w:cs="Palatino Linotype"/>
          <w:sz w:val="22"/>
          <w:szCs w:val="22"/>
        </w:rPr>
        <w:t xml:space="preserve">instituciones públicas, es información de naturaleza pública, no así cuando se traten de particulares, siendo que este es susceptible de ser clasificado. </w:t>
      </w:r>
    </w:p>
    <w:p w14:paraId="5B9CD975" w14:textId="77777777" w:rsidR="00702957" w:rsidRPr="00084D30" w:rsidRDefault="00702957" w:rsidP="003B5718">
      <w:pPr>
        <w:spacing w:line="360" w:lineRule="auto"/>
        <w:jc w:val="both"/>
        <w:rPr>
          <w:rFonts w:ascii="Palatino Linotype" w:eastAsia="Palatino Linotype" w:hAnsi="Palatino Linotype" w:cs="Palatino Linotype"/>
          <w:sz w:val="22"/>
          <w:szCs w:val="22"/>
        </w:rPr>
      </w:pPr>
    </w:p>
    <w:p w14:paraId="10E81414" w14:textId="47EE7A98" w:rsidR="00ED65E0" w:rsidRPr="00084D30" w:rsidRDefault="00ED65E0" w:rsidP="003B5718">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En ese sentido, se advierte que, el Sujeto Obligado clasificó información de naturaleza pública, por lo que, este deberá hacer entrega de los comprobantes enviados </w:t>
      </w:r>
      <w:r w:rsidR="00702957" w:rsidRPr="00084D30">
        <w:rPr>
          <w:rFonts w:ascii="Palatino Linotype" w:eastAsia="Palatino Linotype" w:hAnsi="Palatino Linotype" w:cs="Palatino Linotype"/>
          <w:sz w:val="22"/>
          <w:szCs w:val="22"/>
        </w:rPr>
        <w:t xml:space="preserve">tanto en resouesta como </w:t>
      </w:r>
      <w:r w:rsidR="00EA400D" w:rsidRPr="00084D30">
        <w:rPr>
          <w:rFonts w:ascii="Palatino Linotype" w:eastAsia="Palatino Linotype" w:hAnsi="Palatino Linotype" w:cs="Palatino Linotype"/>
          <w:sz w:val="22"/>
          <w:szCs w:val="22"/>
        </w:rPr>
        <w:t>en informe</w:t>
      </w:r>
      <w:r w:rsidR="00702957" w:rsidRPr="00084D30">
        <w:rPr>
          <w:rFonts w:ascii="Palatino Linotype" w:eastAsia="Palatino Linotype" w:hAnsi="Palatino Linotype" w:cs="Palatino Linotype"/>
          <w:sz w:val="22"/>
          <w:szCs w:val="22"/>
        </w:rPr>
        <w:t xml:space="preserve"> </w:t>
      </w:r>
      <w:r w:rsidRPr="00084D30">
        <w:rPr>
          <w:rFonts w:ascii="Palatino Linotype" w:eastAsia="Palatino Linotype" w:hAnsi="Palatino Linotype" w:cs="Palatino Linotype"/>
          <w:sz w:val="22"/>
          <w:szCs w:val="22"/>
        </w:rPr>
        <w:t xml:space="preserve">en versión pública correcta. </w:t>
      </w:r>
    </w:p>
    <w:p w14:paraId="01645B4B" w14:textId="77777777" w:rsidR="00ED65E0" w:rsidRPr="00084D30" w:rsidRDefault="00ED65E0" w:rsidP="00ED65E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20F0066"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b/>
          <w:sz w:val="22"/>
          <w:szCs w:val="22"/>
        </w:rPr>
        <w:t xml:space="preserve">Quinto. Versión Pública. </w:t>
      </w:r>
      <w:r w:rsidRPr="00084D30">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148F0CB8"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p>
    <w:p w14:paraId="4EE7AEA4"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923B92F"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p>
    <w:p w14:paraId="5A841BEF" w14:textId="77777777" w:rsidR="00ED65E0" w:rsidRPr="00084D30" w:rsidRDefault="00ED65E0" w:rsidP="00ED65E0">
      <w:pPr>
        <w:spacing w:line="360" w:lineRule="auto"/>
        <w:ind w:right="50"/>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9309431" w14:textId="77777777" w:rsidR="00ED65E0" w:rsidRPr="00084D30" w:rsidRDefault="00ED65E0" w:rsidP="00ED65E0">
      <w:pPr>
        <w:spacing w:line="360" w:lineRule="auto"/>
        <w:ind w:right="50"/>
        <w:jc w:val="both"/>
        <w:rPr>
          <w:rFonts w:ascii="Palatino Linotype" w:eastAsia="Palatino Linotype" w:hAnsi="Palatino Linotype" w:cs="Palatino Linotype"/>
          <w:sz w:val="22"/>
          <w:szCs w:val="22"/>
        </w:rPr>
      </w:pPr>
    </w:p>
    <w:p w14:paraId="77B1D2A5"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r w:rsidRPr="00084D30">
        <w:rPr>
          <w:rFonts w:ascii="Palatino Linotype" w:eastAsia="Palatino Linotype" w:hAnsi="Palatino Linotype" w:cs="Palatino Linotype"/>
          <w:b/>
          <w:i/>
          <w:sz w:val="22"/>
          <w:szCs w:val="22"/>
        </w:rPr>
        <w:t>Artículo 3.</w:t>
      </w:r>
      <w:r w:rsidRPr="00084D30">
        <w:rPr>
          <w:rFonts w:ascii="Palatino Linotype" w:eastAsia="Palatino Linotype" w:hAnsi="Palatino Linotype" w:cs="Palatino Linotype"/>
          <w:i/>
          <w:sz w:val="22"/>
          <w:szCs w:val="22"/>
        </w:rPr>
        <w:t xml:space="preserve"> Para los efectos de la presente Ley se entenderá por:</w:t>
      </w:r>
    </w:p>
    <w:p w14:paraId="7BEB02A4"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p>
    <w:p w14:paraId="01D153C7"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687B90E"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XX. Información clasificada: Aquella considerada por la presente Ley como reservada o confidencial;</w:t>
      </w:r>
    </w:p>
    <w:p w14:paraId="2FD33E08"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FF919F"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8825D00"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p>
    <w:p w14:paraId="4C36937A"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Artículo 91.</w:t>
      </w:r>
      <w:r w:rsidRPr="00084D3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4C49E4A"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Artículo 132.</w:t>
      </w:r>
      <w:r w:rsidRPr="00084D30">
        <w:rPr>
          <w:rFonts w:ascii="Palatino Linotype" w:eastAsia="Palatino Linotype" w:hAnsi="Palatino Linotype" w:cs="Palatino Linotype"/>
          <w:i/>
          <w:sz w:val="22"/>
          <w:szCs w:val="22"/>
        </w:rPr>
        <w:t xml:space="preserve"> La clasificación de la información se llevará a cabo en el momento en que:</w:t>
      </w:r>
    </w:p>
    <w:p w14:paraId="65F95718" w14:textId="77777777" w:rsidR="00ED65E0" w:rsidRPr="00084D30" w:rsidRDefault="00ED65E0" w:rsidP="00ED65E0">
      <w:pPr>
        <w:tabs>
          <w:tab w:val="left" w:pos="1134"/>
        </w:tabs>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 Se reciba una solicitud de acceso a la información;</w:t>
      </w:r>
    </w:p>
    <w:p w14:paraId="298F283C" w14:textId="77777777" w:rsidR="00ED65E0" w:rsidRPr="00084D30" w:rsidRDefault="00ED65E0" w:rsidP="00ED65E0">
      <w:pPr>
        <w:tabs>
          <w:tab w:val="left" w:pos="1134"/>
        </w:tabs>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II. Se determine mediante resolución de autoridad competente; o</w:t>
      </w:r>
    </w:p>
    <w:p w14:paraId="74074A94" w14:textId="77777777" w:rsidR="00ED65E0" w:rsidRPr="00084D30" w:rsidRDefault="00ED65E0" w:rsidP="00ED65E0">
      <w:pPr>
        <w:tabs>
          <w:tab w:val="left" w:pos="1134"/>
        </w:tabs>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6C5063A"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p>
    <w:p w14:paraId="5F8CBFA7"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Artículo 143</w:t>
      </w:r>
      <w:r w:rsidRPr="00084D3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5A148AE"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076DFAFB"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1421267"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EC8BB20"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5BFC64A"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926F4E6" w14:textId="77777777" w:rsidR="00ED65E0" w:rsidRPr="00084D30" w:rsidRDefault="00ED65E0" w:rsidP="00ED65E0">
      <w:pPr>
        <w:spacing w:line="360" w:lineRule="auto"/>
        <w:ind w:left="567" w:right="616"/>
        <w:jc w:val="both"/>
        <w:rPr>
          <w:rFonts w:ascii="Palatino Linotype" w:eastAsia="Palatino Linotype" w:hAnsi="Palatino Linotype" w:cs="Palatino Linotype"/>
          <w:i/>
          <w:sz w:val="22"/>
          <w:szCs w:val="22"/>
        </w:rPr>
      </w:pPr>
    </w:p>
    <w:p w14:paraId="468E0AAC"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23C50A2" w14:textId="77777777" w:rsidR="00ED65E0" w:rsidRPr="00084D30" w:rsidRDefault="00ED65E0" w:rsidP="00ED65E0">
      <w:pPr>
        <w:jc w:val="both"/>
        <w:rPr>
          <w:rFonts w:ascii="Palatino Linotype" w:eastAsia="Palatino Linotype" w:hAnsi="Palatino Linotype" w:cs="Palatino Linotype"/>
          <w:sz w:val="22"/>
          <w:szCs w:val="22"/>
        </w:rPr>
      </w:pPr>
    </w:p>
    <w:p w14:paraId="6EEE431F"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591E829"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p>
    <w:p w14:paraId="098435F4"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 “</w:t>
      </w:r>
      <w:r w:rsidRPr="00084D30">
        <w:rPr>
          <w:rFonts w:ascii="Palatino Linotype" w:eastAsia="Palatino Linotype" w:hAnsi="Palatino Linotype" w:cs="Palatino Linotype"/>
          <w:b/>
          <w:i/>
          <w:sz w:val="22"/>
          <w:szCs w:val="22"/>
        </w:rPr>
        <w:t>Quincuagésimo</w:t>
      </w:r>
      <w:r w:rsidRPr="00084D3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01688F0"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Quincuagésimo primero.</w:t>
      </w:r>
      <w:r w:rsidRPr="00084D30">
        <w:rPr>
          <w:rFonts w:ascii="Palatino Linotype" w:eastAsia="Palatino Linotype" w:hAnsi="Palatino Linotype" w:cs="Palatino Linotype"/>
          <w:i/>
          <w:sz w:val="22"/>
          <w:szCs w:val="22"/>
        </w:rPr>
        <w:t xml:space="preserve"> Toda acta del Comité de Transparencia deberá contener: </w:t>
      </w:r>
    </w:p>
    <w:p w14:paraId="6B903AF9"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I. El número de sesión y fecha; </w:t>
      </w:r>
    </w:p>
    <w:p w14:paraId="17334FDB"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II. El nombre del área que solicitó la clasificación de información; </w:t>
      </w:r>
    </w:p>
    <w:p w14:paraId="268B3F87"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III. La fundamentación legal y motivación correspondiente; </w:t>
      </w:r>
    </w:p>
    <w:p w14:paraId="4710F602"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IV. La resolución o resoluciones aprobadas; y </w:t>
      </w:r>
    </w:p>
    <w:p w14:paraId="70BA8E01"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V. La rúbrica o firma digital de cada integrante del Comité de Transparencia. </w:t>
      </w:r>
    </w:p>
    <w:p w14:paraId="3FE6B00E"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FFCCDF3"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 Los motivos y razonamientos que sustenten la confirmación o modificación de la prueba de daño;</w:t>
      </w:r>
    </w:p>
    <w:p w14:paraId="707593FA"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II. Descripción de las partes o secciones reservadas, en caso de clasificación parcial; </w:t>
      </w:r>
    </w:p>
    <w:p w14:paraId="69BAE091"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III. El periodo por el que mantendrá su clasificación y fecha de expiración; y </w:t>
      </w:r>
    </w:p>
    <w:p w14:paraId="41461988"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94E3DBD"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9A35281"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9A0E658"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Quincuagésimo segundo.</w:t>
      </w:r>
      <w:r w:rsidRPr="00084D3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CB1A2C0"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5BD5EFE"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CF1F571"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961A840"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III. Señalar las personas o instancias autorizadas a acceder a la información clasificada.</w:t>
      </w:r>
    </w:p>
    <w:p w14:paraId="02805B92"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145ABFC"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p>
    <w:p w14:paraId="38E3A204"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02366C64" w14:textId="77777777" w:rsidR="00ED65E0" w:rsidRPr="00084D30" w:rsidRDefault="00ED65E0" w:rsidP="00ED65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r w:rsidRPr="00084D30">
        <w:rPr>
          <w:rFonts w:ascii="Palatino Linotype" w:eastAsia="Palatino Linotype" w:hAnsi="Palatino Linotype" w:cs="Palatino Linotype"/>
          <w:b/>
          <w:i/>
          <w:sz w:val="22"/>
          <w:szCs w:val="22"/>
        </w:rPr>
        <w:t>Quincuagésimo cuarto.</w:t>
      </w:r>
      <w:r w:rsidRPr="00084D30">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CE8F697"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Quincuagésimo quinto.</w:t>
      </w:r>
      <w:r w:rsidRPr="00084D30">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048FCE4"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w:t>
      </w:r>
    </w:p>
    <w:p w14:paraId="5B1A6EF3"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b/>
          <w:i/>
          <w:sz w:val="22"/>
          <w:szCs w:val="22"/>
        </w:rPr>
        <w:t>Quincuagésimo séptimo.</w:t>
      </w:r>
      <w:r w:rsidRPr="00084D3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01F3BFE"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94D3F56"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383ABB2"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D5EA340"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2A9DB6B" w14:textId="77777777" w:rsidR="00ED65E0" w:rsidRPr="00084D30" w:rsidRDefault="00ED65E0" w:rsidP="00ED65E0">
      <w:pPr>
        <w:ind w:left="567" w:right="616"/>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39535371"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p>
    <w:p w14:paraId="4CB4D909" w14:textId="77777777" w:rsidR="00ED65E0" w:rsidRPr="00084D30" w:rsidRDefault="00ED65E0" w:rsidP="00ED65E0">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0F716F2" w14:textId="77777777" w:rsidR="00ED65E0" w:rsidRPr="00084D30" w:rsidRDefault="00ED65E0" w:rsidP="00ED65E0">
      <w:pPr>
        <w:spacing w:line="360" w:lineRule="auto"/>
        <w:ind w:right="49"/>
        <w:jc w:val="both"/>
        <w:rPr>
          <w:rFonts w:ascii="Palatino Linotype" w:eastAsia="Palatino Linotype" w:hAnsi="Palatino Linotype" w:cs="Palatino Linotype"/>
          <w:b/>
          <w:sz w:val="22"/>
          <w:szCs w:val="22"/>
        </w:rPr>
      </w:pPr>
    </w:p>
    <w:p w14:paraId="3238123D" w14:textId="554474C6" w:rsidR="00ED65E0" w:rsidRPr="00084D30" w:rsidRDefault="00ED65E0" w:rsidP="00ED65E0">
      <w:p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084D30">
        <w:rPr>
          <w:rFonts w:ascii="Palatino Linotype" w:eastAsia="Palatino Linotype" w:hAnsi="Palatino Linotype" w:cs="Palatino Linotype"/>
          <w:b/>
          <w:sz w:val="22"/>
          <w:szCs w:val="22"/>
        </w:rPr>
        <w:t>RECURRENTE</w:t>
      </w:r>
      <w:r w:rsidRPr="00084D30">
        <w:rPr>
          <w:rFonts w:ascii="Palatino Linotype" w:eastAsia="Palatino Linotype" w:hAnsi="Palatino Linotype" w:cs="Palatino Linotype"/>
          <w:sz w:val="22"/>
          <w:szCs w:val="22"/>
        </w:rPr>
        <w:t xml:space="preserve"> dentro del recurso de revisión </w:t>
      </w:r>
      <w:r w:rsidRPr="00084D30">
        <w:rPr>
          <w:rFonts w:ascii="Palatino Linotype" w:eastAsia="Palatino Linotype" w:hAnsi="Palatino Linotype" w:cs="Palatino Linotype"/>
          <w:b/>
          <w:sz w:val="22"/>
          <w:szCs w:val="22"/>
        </w:rPr>
        <w:t>13064/INFOEM/IP/RR/2025</w:t>
      </w:r>
      <w:r w:rsidRPr="00084D30">
        <w:rPr>
          <w:rFonts w:ascii="Palatino Linotype" w:eastAsia="Palatino Linotype" w:hAnsi="Palatino Linotype" w:cs="Palatino Linotype"/>
          <w:sz w:val="22"/>
          <w:szCs w:val="22"/>
        </w:rPr>
        <w:t>; por ello, y con fundamento en la fracción I</w:t>
      </w:r>
      <w:r w:rsidR="00277332" w:rsidRPr="00084D30">
        <w:rPr>
          <w:rFonts w:ascii="Palatino Linotype" w:eastAsia="Palatino Linotype" w:hAnsi="Palatino Linotype" w:cs="Palatino Linotype"/>
          <w:sz w:val="22"/>
          <w:szCs w:val="22"/>
        </w:rPr>
        <w:t>II</w:t>
      </w:r>
      <w:r w:rsidRPr="00084D30">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 </w:t>
      </w:r>
      <w:r w:rsidRPr="00084D30">
        <w:rPr>
          <w:rFonts w:ascii="Palatino Linotype" w:eastAsia="Palatino Linotype" w:hAnsi="Palatino Linotype" w:cs="Palatino Linotype"/>
          <w:b/>
          <w:sz w:val="22"/>
          <w:szCs w:val="22"/>
        </w:rPr>
        <w:t xml:space="preserve">MODIFICA </w:t>
      </w:r>
      <w:r w:rsidRPr="00084D30">
        <w:rPr>
          <w:rFonts w:ascii="Palatino Linotype" w:eastAsia="Palatino Linotype" w:hAnsi="Palatino Linotype" w:cs="Palatino Linotype"/>
          <w:sz w:val="22"/>
          <w:szCs w:val="22"/>
        </w:rPr>
        <w:t xml:space="preserve">las respuesta del </w:t>
      </w:r>
      <w:r w:rsidRPr="00084D30">
        <w:rPr>
          <w:rFonts w:ascii="Palatino Linotype" w:eastAsia="Palatino Linotype" w:hAnsi="Palatino Linotype" w:cs="Palatino Linotype"/>
          <w:b/>
          <w:sz w:val="22"/>
          <w:szCs w:val="22"/>
        </w:rPr>
        <w:t>SU</w:t>
      </w:r>
      <w:r w:rsidRPr="00084D30">
        <w:rPr>
          <w:rFonts w:ascii="Palatino Linotype" w:eastAsia="Palatino Linotype" w:hAnsi="Palatino Linotype" w:cs="Palatino Linotype"/>
          <w:b/>
          <w:bCs/>
          <w:sz w:val="22"/>
          <w:szCs w:val="22"/>
        </w:rPr>
        <w:t xml:space="preserve">JETO OBLIGADO </w:t>
      </w:r>
      <w:r w:rsidRPr="00084D30">
        <w:rPr>
          <w:rFonts w:ascii="Palatino Linotype" w:eastAsia="Palatino Linotype" w:hAnsi="Palatino Linotype" w:cs="Palatino Linotype"/>
          <w:sz w:val="22"/>
          <w:szCs w:val="22"/>
        </w:rPr>
        <w:t xml:space="preserve">a la solicitud de información </w:t>
      </w:r>
      <w:r w:rsidRPr="00084D30">
        <w:rPr>
          <w:rFonts w:ascii="Palatino Linotype" w:eastAsia="Palatino Linotype" w:hAnsi="Palatino Linotype" w:cs="Palatino Linotype"/>
          <w:b/>
          <w:sz w:val="22"/>
          <w:szCs w:val="22"/>
        </w:rPr>
        <w:t>00714/NAUCALPA/IP/2025.</w:t>
      </w:r>
      <w:r w:rsidRPr="00084D30">
        <w:rPr>
          <w:rFonts w:ascii="Palatino Linotype" w:eastAsia="Palatino Linotype" w:hAnsi="Palatino Linotype" w:cs="Palatino Linotype"/>
          <w:sz w:val="22"/>
          <w:szCs w:val="22"/>
        </w:rPr>
        <w:t xml:space="preserve">  </w:t>
      </w:r>
    </w:p>
    <w:p w14:paraId="2C207D36" w14:textId="77777777" w:rsidR="00ED65E0" w:rsidRPr="00084D30" w:rsidRDefault="00ED65E0" w:rsidP="00ED65E0">
      <w:pPr>
        <w:spacing w:line="360" w:lineRule="auto"/>
        <w:ind w:right="49"/>
        <w:jc w:val="both"/>
        <w:rPr>
          <w:rFonts w:ascii="Palatino Linotype" w:eastAsia="Palatino Linotype" w:hAnsi="Palatino Linotype" w:cs="Palatino Linotype"/>
          <w:sz w:val="22"/>
          <w:szCs w:val="22"/>
        </w:rPr>
      </w:pPr>
    </w:p>
    <w:p w14:paraId="75704C4B" w14:textId="77777777" w:rsidR="00ED65E0" w:rsidRPr="00084D30" w:rsidRDefault="00ED65E0" w:rsidP="00ED65E0">
      <w:p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3F914060" w14:textId="77777777" w:rsidR="003B5718" w:rsidRPr="00084D30" w:rsidRDefault="003B5718" w:rsidP="003B5718">
      <w:pPr>
        <w:spacing w:line="360" w:lineRule="auto"/>
        <w:ind w:right="49"/>
        <w:jc w:val="both"/>
        <w:rPr>
          <w:rFonts w:ascii="Palatino Linotype" w:eastAsia="Palatino Linotype" w:hAnsi="Palatino Linotype" w:cs="Palatino Linotype"/>
          <w:sz w:val="22"/>
          <w:szCs w:val="22"/>
        </w:rPr>
      </w:pPr>
    </w:p>
    <w:p w14:paraId="425F8149" w14:textId="77777777" w:rsidR="003B5718" w:rsidRPr="00084D30" w:rsidRDefault="003B5718" w:rsidP="003B5718">
      <w:pPr>
        <w:spacing w:line="360" w:lineRule="auto"/>
        <w:ind w:right="49"/>
        <w:jc w:val="center"/>
        <w:rPr>
          <w:rFonts w:ascii="Palatino Linotype" w:eastAsia="Palatino Linotype" w:hAnsi="Palatino Linotype" w:cs="Palatino Linotype"/>
          <w:b/>
          <w:sz w:val="22"/>
          <w:szCs w:val="22"/>
        </w:rPr>
      </w:pPr>
      <w:r w:rsidRPr="00084D30">
        <w:rPr>
          <w:rFonts w:ascii="Palatino Linotype" w:eastAsia="Palatino Linotype" w:hAnsi="Palatino Linotype" w:cs="Palatino Linotype"/>
          <w:b/>
          <w:sz w:val="22"/>
          <w:szCs w:val="22"/>
        </w:rPr>
        <w:t>III.</w:t>
      </w:r>
      <w:r w:rsidRPr="00084D30">
        <w:rPr>
          <w:rFonts w:ascii="Palatino Linotype" w:eastAsia="Palatino Linotype" w:hAnsi="Palatino Linotype" w:cs="Palatino Linotype"/>
          <w:b/>
          <w:sz w:val="22"/>
          <w:szCs w:val="22"/>
        </w:rPr>
        <w:tab/>
        <w:t>R E S U E L V E:</w:t>
      </w:r>
    </w:p>
    <w:p w14:paraId="5830CEE3" w14:textId="5E56A65D" w:rsidR="003B5718" w:rsidRPr="00084D30" w:rsidRDefault="003B5718" w:rsidP="003B5718">
      <w:pPr>
        <w:spacing w:line="360" w:lineRule="auto"/>
        <w:ind w:right="49"/>
        <w:jc w:val="both"/>
        <w:rPr>
          <w:rFonts w:ascii="Palatino Linotype" w:eastAsia="Palatino Linotype" w:hAnsi="Palatino Linotype" w:cs="Palatino Linotype"/>
          <w:b/>
          <w:sz w:val="22"/>
          <w:szCs w:val="22"/>
        </w:rPr>
      </w:pPr>
      <w:r w:rsidRPr="00084D30">
        <w:rPr>
          <w:rFonts w:ascii="Palatino Linotype" w:eastAsia="Palatino Linotype" w:hAnsi="Palatino Linotype" w:cs="Palatino Linotype"/>
          <w:b/>
          <w:sz w:val="22"/>
          <w:szCs w:val="22"/>
        </w:rPr>
        <w:t>Primero.</w:t>
      </w:r>
      <w:r w:rsidRPr="00084D30">
        <w:rPr>
          <w:rFonts w:ascii="Palatino Linotype" w:eastAsia="Palatino Linotype" w:hAnsi="Palatino Linotype" w:cs="Palatino Linotype"/>
          <w:sz w:val="22"/>
          <w:szCs w:val="22"/>
        </w:rPr>
        <w:t xml:space="preserve"> Resultan</w:t>
      </w:r>
      <w:r w:rsidRPr="00084D30">
        <w:rPr>
          <w:rFonts w:ascii="Palatino Linotype" w:eastAsia="Palatino Linotype" w:hAnsi="Palatino Linotype" w:cs="Palatino Linotype"/>
          <w:b/>
          <w:sz w:val="22"/>
          <w:szCs w:val="22"/>
        </w:rPr>
        <w:t xml:space="preserve"> FUNDADOS</w:t>
      </w:r>
      <w:r w:rsidRPr="00084D30">
        <w:rPr>
          <w:rFonts w:ascii="Palatino Linotype" w:eastAsia="Palatino Linotype" w:hAnsi="Palatino Linotype" w:cs="Palatino Linotype"/>
          <w:sz w:val="22"/>
          <w:szCs w:val="22"/>
        </w:rPr>
        <w:t xml:space="preserve"> los motivos de inconformidad hechos valer por la parte </w:t>
      </w:r>
      <w:r w:rsidRPr="00084D30">
        <w:rPr>
          <w:rFonts w:ascii="Palatino Linotype" w:eastAsia="Palatino Linotype" w:hAnsi="Palatino Linotype" w:cs="Palatino Linotype"/>
          <w:b/>
          <w:sz w:val="22"/>
          <w:szCs w:val="22"/>
        </w:rPr>
        <w:t>RECURRENTE</w:t>
      </w:r>
      <w:r w:rsidR="00BE6746" w:rsidRPr="00084D30">
        <w:rPr>
          <w:rFonts w:ascii="Palatino Linotype" w:eastAsia="Palatino Linotype" w:hAnsi="Palatino Linotype" w:cs="Palatino Linotype"/>
          <w:sz w:val="22"/>
          <w:szCs w:val="22"/>
        </w:rPr>
        <w:t xml:space="preserve"> en el Recurso</w:t>
      </w:r>
      <w:r w:rsidRPr="00084D30">
        <w:rPr>
          <w:rFonts w:ascii="Palatino Linotype" w:eastAsia="Palatino Linotype" w:hAnsi="Palatino Linotype" w:cs="Palatino Linotype"/>
          <w:sz w:val="22"/>
          <w:szCs w:val="22"/>
        </w:rPr>
        <w:t xml:space="preserve"> de Revisión </w:t>
      </w:r>
      <w:r w:rsidR="00ED65E0" w:rsidRPr="00084D30">
        <w:rPr>
          <w:rFonts w:ascii="Palatino Linotype" w:eastAsia="Palatino Linotype" w:hAnsi="Palatino Linotype" w:cs="Palatino Linotype"/>
          <w:b/>
          <w:sz w:val="22"/>
          <w:szCs w:val="22"/>
        </w:rPr>
        <w:t>13064</w:t>
      </w:r>
      <w:r w:rsidRPr="00084D30">
        <w:rPr>
          <w:rFonts w:ascii="Palatino Linotype" w:eastAsia="Palatino Linotype" w:hAnsi="Palatino Linotype" w:cs="Palatino Linotype"/>
          <w:b/>
          <w:sz w:val="22"/>
          <w:szCs w:val="22"/>
        </w:rPr>
        <w:t>/INFOEM/IP/RR/</w:t>
      </w:r>
      <w:r w:rsidR="00BE6746" w:rsidRPr="00084D30">
        <w:rPr>
          <w:rFonts w:ascii="Palatino Linotype" w:eastAsia="Palatino Linotype" w:hAnsi="Palatino Linotype" w:cs="Palatino Linotype"/>
          <w:b/>
          <w:sz w:val="22"/>
          <w:szCs w:val="22"/>
        </w:rPr>
        <w:t>2025</w:t>
      </w:r>
      <w:r w:rsidRPr="00084D30">
        <w:rPr>
          <w:rFonts w:ascii="Palatino Linotype" w:eastAsia="Palatino Linotype" w:hAnsi="Palatino Linotype" w:cs="Palatino Linotype"/>
          <w:sz w:val="22"/>
          <w:szCs w:val="22"/>
        </w:rPr>
        <w:t>,</w:t>
      </w:r>
      <w:r w:rsidRPr="00084D30">
        <w:rPr>
          <w:rFonts w:ascii="Palatino Linotype" w:eastAsia="Palatino Linotype" w:hAnsi="Palatino Linotype" w:cs="Palatino Linotype"/>
          <w:b/>
          <w:sz w:val="22"/>
          <w:szCs w:val="22"/>
        </w:rPr>
        <w:t xml:space="preserve"> </w:t>
      </w:r>
      <w:r w:rsidRPr="00084D30">
        <w:rPr>
          <w:rFonts w:ascii="Palatino Linotype" w:eastAsia="Palatino Linotype" w:hAnsi="Palatino Linotype" w:cs="Palatino Linotype"/>
          <w:sz w:val="22"/>
          <w:szCs w:val="22"/>
        </w:rPr>
        <w:t xml:space="preserve">por lo que, en términos del </w:t>
      </w:r>
      <w:r w:rsidRPr="00084D30">
        <w:rPr>
          <w:rFonts w:ascii="Palatino Linotype" w:eastAsia="Palatino Linotype" w:hAnsi="Palatino Linotype" w:cs="Palatino Linotype"/>
          <w:b/>
          <w:sz w:val="22"/>
          <w:szCs w:val="22"/>
        </w:rPr>
        <w:t>Considerando Cuarto</w:t>
      </w:r>
      <w:r w:rsidRPr="00084D30">
        <w:rPr>
          <w:rFonts w:ascii="Palatino Linotype" w:eastAsia="Palatino Linotype" w:hAnsi="Palatino Linotype" w:cs="Palatino Linotype"/>
          <w:sz w:val="22"/>
          <w:szCs w:val="22"/>
        </w:rPr>
        <w:t xml:space="preserve"> de esta resolución, se </w:t>
      </w:r>
      <w:r w:rsidR="00ED65E0" w:rsidRPr="00084D30">
        <w:rPr>
          <w:rFonts w:ascii="Palatino Linotype" w:eastAsia="Palatino Linotype" w:hAnsi="Palatino Linotype" w:cs="Palatino Linotype"/>
          <w:b/>
          <w:sz w:val="22"/>
          <w:szCs w:val="22"/>
        </w:rPr>
        <w:t>MODIFICA</w:t>
      </w:r>
      <w:r w:rsidRPr="00084D30">
        <w:rPr>
          <w:rFonts w:ascii="Palatino Linotype" w:eastAsia="Palatino Linotype" w:hAnsi="Palatino Linotype" w:cs="Palatino Linotype"/>
          <w:b/>
          <w:sz w:val="22"/>
          <w:szCs w:val="22"/>
        </w:rPr>
        <w:t xml:space="preserve"> </w:t>
      </w:r>
      <w:r w:rsidRPr="00084D30">
        <w:rPr>
          <w:rFonts w:ascii="Palatino Linotype" w:eastAsia="Palatino Linotype" w:hAnsi="Palatino Linotype" w:cs="Palatino Linotype"/>
          <w:sz w:val="22"/>
          <w:szCs w:val="22"/>
        </w:rPr>
        <w:t>la respuesta</w:t>
      </w:r>
      <w:r w:rsidR="00BE6746" w:rsidRPr="00084D30">
        <w:rPr>
          <w:rFonts w:ascii="Palatino Linotype" w:eastAsia="Palatino Linotype" w:hAnsi="Palatino Linotype" w:cs="Palatino Linotype"/>
          <w:sz w:val="22"/>
          <w:szCs w:val="22"/>
        </w:rPr>
        <w:t xml:space="preserve"> emitida</w:t>
      </w:r>
      <w:r w:rsidRPr="00084D30">
        <w:rPr>
          <w:rFonts w:ascii="Palatino Linotype" w:eastAsia="Palatino Linotype" w:hAnsi="Palatino Linotype" w:cs="Palatino Linotype"/>
          <w:sz w:val="22"/>
          <w:szCs w:val="22"/>
        </w:rPr>
        <w:t xml:space="preserve"> por el </w:t>
      </w:r>
      <w:r w:rsidRPr="00084D30">
        <w:rPr>
          <w:rFonts w:ascii="Palatino Linotype" w:eastAsia="Palatino Linotype" w:hAnsi="Palatino Linotype" w:cs="Palatino Linotype"/>
          <w:b/>
          <w:sz w:val="22"/>
          <w:szCs w:val="22"/>
        </w:rPr>
        <w:t>SUJETO OBLIGADO</w:t>
      </w:r>
      <w:r w:rsidRPr="00084D30">
        <w:rPr>
          <w:rFonts w:ascii="Palatino Linotype" w:eastAsia="Palatino Linotype" w:hAnsi="Palatino Linotype" w:cs="Palatino Linotype"/>
          <w:sz w:val="22"/>
          <w:szCs w:val="22"/>
        </w:rPr>
        <w:t>.</w:t>
      </w:r>
    </w:p>
    <w:p w14:paraId="637DBF8B" w14:textId="77777777" w:rsidR="003B5718" w:rsidRPr="00084D30" w:rsidRDefault="003B5718" w:rsidP="003B5718">
      <w:pPr>
        <w:spacing w:line="360" w:lineRule="auto"/>
        <w:ind w:right="49"/>
        <w:jc w:val="both"/>
        <w:rPr>
          <w:rFonts w:ascii="Palatino Linotype" w:eastAsia="Palatino Linotype" w:hAnsi="Palatino Linotype" w:cs="Palatino Linotype"/>
          <w:sz w:val="22"/>
          <w:szCs w:val="22"/>
        </w:rPr>
      </w:pPr>
    </w:p>
    <w:p w14:paraId="6A2A129B" w14:textId="640056CA" w:rsidR="003B5718" w:rsidRPr="00084D30" w:rsidRDefault="003B5718" w:rsidP="003B5718">
      <w:pPr>
        <w:spacing w:line="360" w:lineRule="auto"/>
        <w:ind w:right="49"/>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b/>
          <w:sz w:val="22"/>
          <w:szCs w:val="22"/>
        </w:rPr>
        <w:t>Segundo</w:t>
      </w:r>
      <w:r w:rsidRPr="00084D30">
        <w:rPr>
          <w:rFonts w:ascii="Palatino Linotype" w:eastAsia="Palatino Linotype" w:hAnsi="Palatino Linotype" w:cs="Palatino Linotype"/>
          <w:sz w:val="22"/>
          <w:szCs w:val="22"/>
        </w:rPr>
        <w:t xml:space="preserve">. Se </w:t>
      </w:r>
      <w:r w:rsidRPr="00084D30">
        <w:rPr>
          <w:rFonts w:ascii="Palatino Linotype" w:eastAsia="Palatino Linotype" w:hAnsi="Palatino Linotype" w:cs="Palatino Linotype"/>
          <w:b/>
          <w:sz w:val="22"/>
          <w:szCs w:val="22"/>
        </w:rPr>
        <w:t>ORDENA</w:t>
      </w:r>
      <w:r w:rsidRPr="00084D30">
        <w:rPr>
          <w:rFonts w:ascii="Palatino Linotype" w:eastAsia="Palatino Linotype" w:hAnsi="Palatino Linotype" w:cs="Palatino Linotype"/>
          <w:sz w:val="22"/>
          <w:szCs w:val="22"/>
        </w:rPr>
        <w:t xml:space="preserve"> al </w:t>
      </w:r>
      <w:r w:rsidRPr="00084D30">
        <w:rPr>
          <w:rFonts w:ascii="Palatino Linotype" w:eastAsia="Palatino Linotype" w:hAnsi="Palatino Linotype" w:cs="Palatino Linotype"/>
          <w:b/>
          <w:sz w:val="22"/>
          <w:szCs w:val="22"/>
        </w:rPr>
        <w:t>SUJETO OBLIGADO</w:t>
      </w:r>
      <w:r w:rsidRPr="00084D30">
        <w:rPr>
          <w:rFonts w:ascii="Palatino Linotype" w:eastAsia="Palatino Linotype" w:hAnsi="Palatino Linotype" w:cs="Palatino Linotype"/>
          <w:sz w:val="22"/>
          <w:szCs w:val="22"/>
        </w:rPr>
        <w:t xml:space="preserve"> a que, en términos del Considerando Cuarto y Quinto, haga entrega, vía Sistema de Acceso a la Información Mexiquense,</w:t>
      </w:r>
      <w:r w:rsidR="007A0C31" w:rsidRPr="00084D30">
        <w:rPr>
          <w:rFonts w:ascii="Palatino Linotype" w:eastAsia="Palatino Linotype" w:hAnsi="Palatino Linotype" w:cs="Palatino Linotype"/>
          <w:sz w:val="22"/>
          <w:szCs w:val="22"/>
        </w:rPr>
        <w:t xml:space="preserve"> </w:t>
      </w:r>
      <w:r w:rsidR="00ED65E0" w:rsidRPr="00084D30">
        <w:rPr>
          <w:rFonts w:ascii="Palatino Linotype" w:eastAsia="Palatino Linotype" w:hAnsi="Palatino Linotype" w:cs="Palatino Linotype"/>
          <w:sz w:val="22"/>
          <w:szCs w:val="22"/>
        </w:rPr>
        <w:t>en versión pública correcta,</w:t>
      </w:r>
      <w:r w:rsidRPr="00084D30">
        <w:rPr>
          <w:rFonts w:ascii="Palatino Linotype" w:eastAsia="Palatino Linotype" w:hAnsi="Palatino Linotype" w:cs="Palatino Linotype"/>
          <w:sz w:val="22"/>
          <w:szCs w:val="22"/>
        </w:rPr>
        <w:t xml:space="preserve"> de lo siguiente: </w:t>
      </w:r>
    </w:p>
    <w:p w14:paraId="6B18BFB7" w14:textId="77777777" w:rsidR="003B5718" w:rsidRPr="00084D30" w:rsidRDefault="003B5718" w:rsidP="003B5718">
      <w:pPr>
        <w:spacing w:line="360" w:lineRule="auto"/>
        <w:ind w:right="49"/>
        <w:jc w:val="both"/>
        <w:rPr>
          <w:rFonts w:ascii="Palatino Linotype" w:eastAsia="Palatino Linotype" w:hAnsi="Palatino Linotype" w:cs="Palatino Linotype"/>
          <w:sz w:val="22"/>
          <w:szCs w:val="22"/>
        </w:rPr>
      </w:pPr>
    </w:p>
    <w:p w14:paraId="26B28DC7" w14:textId="4BE18758" w:rsidR="00BE6746" w:rsidRPr="00084D30" w:rsidRDefault="003B5718" w:rsidP="00ED65E0">
      <w:pPr>
        <w:pStyle w:val="Listaconvietas"/>
        <w:numPr>
          <w:ilvl w:val="0"/>
          <w:numId w:val="12"/>
        </w:numPr>
        <w:spacing w:line="360" w:lineRule="auto"/>
        <w:ind w:left="426" w:right="560"/>
        <w:jc w:val="both"/>
        <w:rPr>
          <w:rFonts w:ascii="Palatino Linotype" w:eastAsia="Palatino Linotype" w:hAnsi="Palatino Linotype" w:cs="Palatino Linotype"/>
          <w:i/>
          <w:sz w:val="22"/>
          <w:szCs w:val="22"/>
        </w:rPr>
      </w:pPr>
      <w:r w:rsidRPr="00084D30">
        <w:rPr>
          <w:rFonts w:ascii="Palatino Linotype" w:eastAsia="Palatino Linotype" w:hAnsi="Palatino Linotype"/>
          <w:sz w:val="22"/>
          <w:szCs w:val="22"/>
        </w:rPr>
        <w:t xml:space="preserve">Comprobantes de todos los pagos realizados a </w:t>
      </w:r>
      <w:r w:rsidR="00ED65E0" w:rsidRPr="00084D30">
        <w:rPr>
          <w:rFonts w:ascii="Palatino Linotype" w:eastAsia="Palatino Linotype" w:hAnsi="Palatino Linotype"/>
          <w:sz w:val="22"/>
          <w:szCs w:val="22"/>
        </w:rPr>
        <w:t xml:space="preserve">personas físicas y morales, del uno de septiembre al quince de octubre de dos mil veinticinco, enviados en respuesta. </w:t>
      </w:r>
      <w:r w:rsidR="00BE6746" w:rsidRPr="00084D30">
        <w:rPr>
          <w:rFonts w:ascii="Palatino Linotype" w:eastAsia="Palatino Linotype" w:hAnsi="Palatino Linotype"/>
          <w:sz w:val="22"/>
          <w:szCs w:val="22"/>
        </w:rPr>
        <w:t xml:space="preserve"> </w:t>
      </w:r>
    </w:p>
    <w:p w14:paraId="0EF50686" w14:textId="77777777" w:rsidR="00BE6746" w:rsidRPr="00084D30" w:rsidRDefault="00BE6746" w:rsidP="00BE6746">
      <w:pPr>
        <w:pStyle w:val="Listaconvietas"/>
        <w:numPr>
          <w:ilvl w:val="0"/>
          <w:numId w:val="0"/>
        </w:numPr>
        <w:spacing w:line="276" w:lineRule="auto"/>
        <w:ind w:left="567" w:right="560"/>
        <w:jc w:val="both"/>
        <w:rPr>
          <w:rFonts w:ascii="Palatino Linotype" w:eastAsia="Palatino Linotype" w:hAnsi="Palatino Linotype" w:cs="Palatino Linotype"/>
          <w:i/>
          <w:sz w:val="22"/>
          <w:szCs w:val="22"/>
        </w:rPr>
      </w:pPr>
    </w:p>
    <w:p w14:paraId="54D46ED0" w14:textId="26122332" w:rsidR="003B5718" w:rsidRPr="00084D30" w:rsidRDefault="003B5718" w:rsidP="00ED65E0">
      <w:pPr>
        <w:pStyle w:val="Listaconvietas"/>
        <w:numPr>
          <w:ilvl w:val="0"/>
          <w:numId w:val="0"/>
        </w:numPr>
        <w:spacing w:line="276" w:lineRule="auto"/>
        <w:ind w:left="567" w:right="560"/>
        <w:jc w:val="both"/>
        <w:rPr>
          <w:rFonts w:ascii="Palatino Linotype" w:eastAsia="Palatino Linotype" w:hAnsi="Palatino Linotype" w:cs="Palatino Linotype"/>
          <w:i/>
          <w:sz w:val="22"/>
          <w:szCs w:val="22"/>
        </w:rPr>
      </w:pPr>
      <w:r w:rsidRPr="00084D30">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74ABFCAC" w14:textId="77777777" w:rsidR="003B5718" w:rsidRPr="00084D30" w:rsidRDefault="003B5718" w:rsidP="003B5718">
      <w:pPr>
        <w:spacing w:line="276" w:lineRule="auto"/>
        <w:ind w:right="560"/>
        <w:jc w:val="both"/>
        <w:rPr>
          <w:rFonts w:ascii="Palatino Linotype" w:eastAsia="Palatino Linotype" w:hAnsi="Palatino Linotype" w:cs="Palatino Linotype"/>
          <w:i/>
          <w:sz w:val="20"/>
          <w:szCs w:val="22"/>
        </w:rPr>
      </w:pPr>
    </w:p>
    <w:p w14:paraId="279A5E1E" w14:textId="77777777" w:rsidR="00ED65E0" w:rsidRPr="00084D30" w:rsidRDefault="00ED65E0" w:rsidP="00ED65E0">
      <w:pPr>
        <w:spacing w:line="360" w:lineRule="auto"/>
        <w:ind w:right="49"/>
        <w:jc w:val="both"/>
        <w:rPr>
          <w:rFonts w:ascii="Palatino Linotype" w:eastAsia="Palatino Linotype" w:hAnsi="Palatino Linotype" w:cs="Palatino Linotype"/>
          <w:sz w:val="22"/>
        </w:rPr>
      </w:pPr>
      <w:r w:rsidRPr="00084D30">
        <w:rPr>
          <w:rFonts w:ascii="Palatino Linotype" w:eastAsia="Palatino Linotype" w:hAnsi="Palatino Linotype" w:cs="Palatino Linotype"/>
          <w:b/>
          <w:sz w:val="22"/>
        </w:rPr>
        <w:t>Tercero.</w:t>
      </w:r>
      <w:r w:rsidRPr="00084D30">
        <w:rPr>
          <w:rFonts w:ascii="Palatino Linotype" w:eastAsia="Palatino Linotype" w:hAnsi="Palatino Linotype" w:cs="Palatino Linotype"/>
          <w:sz w:val="22"/>
        </w:rPr>
        <w:t xml:space="preserve"> </w:t>
      </w:r>
      <w:r w:rsidRPr="00084D30">
        <w:rPr>
          <w:rFonts w:ascii="Palatino Linotype" w:eastAsia="Palatino Linotype" w:hAnsi="Palatino Linotype" w:cs="Palatino Linotype"/>
          <w:b/>
          <w:sz w:val="22"/>
        </w:rPr>
        <w:t xml:space="preserve">Notifíquese vía SAIMEX </w:t>
      </w:r>
      <w:r w:rsidRPr="00084D30">
        <w:rPr>
          <w:rFonts w:ascii="Palatino Linotype" w:eastAsia="Palatino Linotype" w:hAnsi="Palatino Linotype" w:cs="Palatino Linotype"/>
          <w:sz w:val="22"/>
        </w:rPr>
        <w:t>la presente resolución al T</w:t>
      </w:r>
      <w:r w:rsidRPr="00084D30">
        <w:rPr>
          <w:rFonts w:ascii="Palatino Linotype" w:eastAsia="Palatino Linotype" w:hAnsi="Palatino Linotype" w:cs="Palatino Linotype"/>
          <w:b/>
          <w:sz w:val="22"/>
        </w:rPr>
        <w:t xml:space="preserve">itular de la Unidad de Transparenca </w:t>
      </w:r>
      <w:r w:rsidRPr="00084D30">
        <w:rPr>
          <w:rFonts w:ascii="Palatino Linotype" w:eastAsia="Palatino Linotype" w:hAnsi="Palatino Linotype" w:cs="Palatino Linotype"/>
          <w:sz w:val="22"/>
        </w:rPr>
        <w:t xml:space="preserve">del </w:t>
      </w:r>
      <w:r w:rsidRPr="00084D30">
        <w:rPr>
          <w:rFonts w:ascii="Palatino Linotype" w:eastAsia="Palatino Linotype" w:hAnsi="Palatino Linotype" w:cs="Palatino Linotype"/>
          <w:b/>
          <w:sz w:val="22"/>
        </w:rPr>
        <w:t>SUJETO OBLIGADO</w:t>
      </w:r>
      <w:r w:rsidRPr="00084D30">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19749F" w14:textId="77777777" w:rsidR="00ED65E0" w:rsidRPr="00084D30" w:rsidRDefault="00ED65E0" w:rsidP="00ED65E0">
      <w:pPr>
        <w:spacing w:line="360" w:lineRule="auto"/>
        <w:ind w:right="49"/>
        <w:jc w:val="both"/>
        <w:rPr>
          <w:rFonts w:ascii="Palatino Linotype" w:eastAsia="Palatino Linotype" w:hAnsi="Palatino Linotype" w:cs="Palatino Linotype"/>
          <w:sz w:val="22"/>
        </w:rPr>
      </w:pPr>
    </w:p>
    <w:p w14:paraId="339BDBCB" w14:textId="77777777" w:rsidR="00ED65E0" w:rsidRPr="00084D30" w:rsidRDefault="00ED65E0" w:rsidP="00ED65E0">
      <w:pPr>
        <w:spacing w:line="360" w:lineRule="auto"/>
        <w:jc w:val="both"/>
        <w:rPr>
          <w:rFonts w:ascii="Palatino Linotype" w:eastAsia="Palatino Linotype" w:hAnsi="Palatino Linotype" w:cs="Palatino Linotype"/>
          <w:sz w:val="22"/>
        </w:rPr>
      </w:pPr>
      <w:r w:rsidRPr="00084D30">
        <w:rPr>
          <w:rFonts w:ascii="Palatino Linotype" w:eastAsia="Palatino Linotype" w:hAnsi="Palatino Linotype" w:cs="Palatino Linotype"/>
          <w:b/>
          <w:sz w:val="22"/>
        </w:rPr>
        <w:t xml:space="preserve">Cuarto. Notifíquese vía SAIMEX </w:t>
      </w:r>
      <w:r w:rsidRPr="00084D30">
        <w:rPr>
          <w:rFonts w:ascii="Palatino Linotype" w:eastAsia="Palatino Linotype" w:hAnsi="Palatino Linotype" w:cs="Palatino Linotype"/>
          <w:sz w:val="22"/>
        </w:rPr>
        <w:t xml:space="preserve">a la parte </w:t>
      </w:r>
      <w:r w:rsidRPr="00084D30">
        <w:rPr>
          <w:rFonts w:ascii="Palatino Linotype" w:eastAsia="Palatino Linotype" w:hAnsi="Palatino Linotype" w:cs="Palatino Linotype"/>
          <w:b/>
          <w:sz w:val="22"/>
        </w:rPr>
        <w:t xml:space="preserve">Recurrente </w:t>
      </w:r>
      <w:r w:rsidRPr="00084D30">
        <w:rPr>
          <w:rFonts w:ascii="Palatino Linotype" w:eastAsia="Palatino Linotype" w:hAnsi="Palatino Linotype" w:cs="Palatino Linotype"/>
          <w:sz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D4BC107" w14:textId="77777777" w:rsidR="00ED65E0" w:rsidRPr="00084D30" w:rsidRDefault="00ED65E0" w:rsidP="00ED65E0">
      <w:pPr>
        <w:spacing w:line="360" w:lineRule="auto"/>
        <w:jc w:val="both"/>
        <w:rPr>
          <w:rFonts w:ascii="Palatino Linotype" w:eastAsia="Palatino Linotype" w:hAnsi="Palatino Linotype" w:cs="Palatino Linotype"/>
          <w:sz w:val="22"/>
        </w:rPr>
      </w:pPr>
    </w:p>
    <w:p w14:paraId="5E3911EB" w14:textId="77777777" w:rsidR="00ED65E0" w:rsidRPr="00084D30" w:rsidRDefault="00ED65E0" w:rsidP="00ED65E0">
      <w:pPr>
        <w:spacing w:line="360" w:lineRule="auto"/>
        <w:ind w:right="49"/>
        <w:jc w:val="both"/>
        <w:rPr>
          <w:rFonts w:ascii="Palatino Linotype" w:eastAsia="Palatino Linotype" w:hAnsi="Palatino Linotype" w:cs="Palatino Linotype"/>
          <w:sz w:val="22"/>
        </w:rPr>
      </w:pPr>
      <w:r w:rsidRPr="00084D30">
        <w:rPr>
          <w:rFonts w:ascii="Palatino Linotype" w:eastAsia="Palatino Linotype" w:hAnsi="Palatino Linotype" w:cs="Palatino Linotype"/>
          <w:b/>
          <w:sz w:val="22"/>
        </w:rPr>
        <w:t xml:space="preserve">Quinto. Notifíquese vía SAIMEX </w:t>
      </w:r>
      <w:r w:rsidRPr="00084D30">
        <w:rPr>
          <w:rFonts w:ascii="Palatino Linotype" w:eastAsia="Palatino Linotype" w:hAnsi="Palatino Linotype" w:cs="Palatino Linotype"/>
          <w:sz w:val="22"/>
        </w:rPr>
        <w:t>la presente resolución al T</w:t>
      </w:r>
      <w:r w:rsidRPr="00084D30">
        <w:rPr>
          <w:rFonts w:ascii="Palatino Linotype" w:eastAsia="Palatino Linotype" w:hAnsi="Palatino Linotype" w:cs="Palatino Linotype"/>
          <w:b/>
          <w:sz w:val="22"/>
        </w:rPr>
        <w:t xml:space="preserve">itular de la Unidad de Transparencia </w:t>
      </w:r>
      <w:r w:rsidRPr="00084D30">
        <w:rPr>
          <w:rFonts w:ascii="Palatino Linotype" w:eastAsia="Palatino Linotype" w:hAnsi="Palatino Linotype" w:cs="Palatino Linotype"/>
          <w:sz w:val="22"/>
        </w:rPr>
        <w:t xml:space="preserve">del </w:t>
      </w:r>
      <w:r w:rsidRPr="00084D30">
        <w:rPr>
          <w:rFonts w:ascii="Palatino Linotype" w:eastAsia="Palatino Linotype" w:hAnsi="Palatino Linotype" w:cs="Palatino Linotype"/>
          <w:b/>
          <w:sz w:val="22"/>
        </w:rPr>
        <w:t xml:space="preserve">SUJETO OBLIGADO </w:t>
      </w:r>
      <w:r w:rsidRPr="00084D30">
        <w:rPr>
          <w:rFonts w:ascii="Palatino Linotype" w:eastAsia="Palatino Linotype" w:hAnsi="Palatino Linotype" w:cs="Palatino Linotype"/>
          <w:sz w:val="22"/>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CCAFDDE" w14:textId="77777777" w:rsidR="003B5718" w:rsidRPr="00084D30" w:rsidRDefault="003B5718" w:rsidP="00E019BE">
      <w:pPr>
        <w:spacing w:line="360" w:lineRule="auto"/>
        <w:ind w:right="49"/>
        <w:jc w:val="both"/>
        <w:rPr>
          <w:rFonts w:ascii="Palatino Linotype" w:eastAsia="Palatino Linotype" w:hAnsi="Palatino Linotype" w:cs="Palatino Linotype"/>
          <w:sz w:val="22"/>
          <w:szCs w:val="22"/>
        </w:rPr>
      </w:pPr>
    </w:p>
    <w:p w14:paraId="1E167E9B" w14:textId="1B67141E" w:rsidR="00C81284" w:rsidRPr="00D84127" w:rsidRDefault="00987473" w:rsidP="00B03E3D">
      <w:pPr>
        <w:spacing w:line="360" w:lineRule="auto"/>
        <w:jc w:val="both"/>
        <w:rPr>
          <w:rFonts w:ascii="Palatino Linotype" w:eastAsia="Palatino Linotype" w:hAnsi="Palatino Linotype" w:cs="Palatino Linotype"/>
          <w:sz w:val="22"/>
          <w:szCs w:val="22"/>
        </w:rPr>
      </w:pPr>
      <w:r w:rsidRPr="00084D30">
        <w:rPr>
          <w:rFonts w:ascii="Palatino Linotype" w:eastAsia="Palatino Linotype" w:hAnsi="Palatino Linotype" w:cs="Palatino Linotype"/>
          <w:sz w:val="22"/>
          <w:szCs w:val="22"/>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w:t>
      </w:r>
      <w:r w:rsidR="00E019BE" w:rsidRPr="00084D30">
        <w:rPr>
          <w:rFonts w:ascii="Palatino Linotype" w:eastAsia="Palatino Linotype" w:hAnsi="Palatino Linotype" w:cs="Palatino Linotype"/>
          <w:sz w:val="22"/>
          <w:szCs w:val="22"/>
        </w:rPr>
        <w:t xml:space="preserve">RON CRISTINA MORALES MARTÍNEZ </w:t>
      </w:r>
      <w:r w:rsidRPr="00084D30">
        <w:rPr>
          <w:rFonts w:ascii="Palatino Linotype" w:eastAsia="Palatino Linotype" w:hAnsi="Palatino Linotype" w:cs="Palatino Linotype"/>
          <w:sz w:val="22"/>
          <w:szCs w:val="22"/>
        </w:rPr>
        <w:t xml:space="preserve">Y GUADALUPE RAMÍREZ PEÑA; EN LA </w:t>
      </w:r>
      <w:r w:rsidR="00D84127" w:rsidRPr="00084D30">
        <w:rPr>
          <w:rFonts w:ascii="Palatino Linotype" w:eastAsia="Palatino Linotype" w:hAnsi="Palatino Linotype" w:cs="Palatino Linotype"/>
          <w:sz w:val="22"/>
          <w:szCs w:val="22"/>
        </w:rPr>
        <w:t>PRIMERA</w:t>
      </w:r>
      <w:r w:rsidRPr="00084D30">
        <w:rPr>
          <w:rFonts w:ascii="Palatino Linotype" w:eastAsia="Palatino Linotype" w:hAnsi="Palatino Linotype" w:cs="Palatino Linotype"/>
          <w:sz w:val="22"/>
          <w:szCs w:val="22"/>
        </w:rPr>
        <w:t xml:space="preserve"> SESIÓN ORDINARIA CELEBRADA EL </w:t>
      </w:r>
      <w:r w:rsidR="00D84127" w:rsidRPr="00084D30">
        <w:rPr>
          <w:rFonts w:ascii="Palatino Linotype" w:eastAsia="Palatino Linotype" w:hAnsi="Palatino Linotype" w:cs="Palatino Linotype"/>
          <w:sz w:val="22"/>
          <w:szCs w:val="22"/>
        </w:rPr>
        <w:t>CATORCE DE ENERO</w:t>
      </w:r>
      <w:r w:rsidR="00E60E00" w:rsidRPr="00084D30">
        <w:rPr>
          <w:rFonts w:ascii="Palatino Linotype" w:eastAsia="Palatino Linotype" w:hAnsi="Palatino Linotype" w:cs="Palatino Linotype"/>
          <w:sz w:val="22"/>
          <w:szCs w:val="22"/>
        </w:rPr>
        <w:t xml:space="preserve"> </w:t>
      </w:r>
      <w:r w:rsidR="00BE6746" w:rsidRPr="00084D30">
        <w:rPr>
          <w:rFonts w:ascii="Palatino Linotype" w:eastAsia="Palatino Linotype" w:hAnsi="Palatino Linotype" w:cs="Palatino Linotype"/>
          <w:sz w:val="22"/>
          <w:szCs w:val="22"/>
        </w:rPr>
        <w:t>DE DOS MIL VEINTI</w:t>
      </w:r>
      <w:r w:rsidR="00D84127" w:rsidRPr="00084D30">
        <w:rPr>
          <w:rFonts w:ascii="Palatino Linotype" w:eastAsia="Palatino Linotype" w:hAnsi="Palatino Linotype" w:cs="Palatino Linotype"/>
          <w:sz w:val="22"/>
          <w:szCs w:val="22"/>
        </w:rPr>
        <w:t>SÉIS</w:t>
      </w:r>
      <w:r w:rsidRPr="00084D30">
        <w:rPr>
          <w:rFonts w:ascii="Palatino Linotype" w:eastAsia="Palatino Linotype" w:hAnsi="Palatino Linotype" w:cs="Palatino Linotype"/>
          <w:sz w:val="22"/>
          <w:szCs w:val="22"/>
        </w:rPr>
        <w:t>, ANTE EL SECRETARIO TÉCNICO DEL PLENO ALEXIS TAPIA RAMÍREZ.</w:t>
      </w:r>
    </w:p>
    <w:p w14:paraId="6003C2B2" w14:textId="77777777" w:rsidR="00C81284" w:rsidRPr="00D84127" w:rsidRDefault="00C81284" w:rsidP="00B03E3D">
      <w:pPr>
        <w:spacing w:line="360" w:lineRule="auto"/>
        <w:ind w:right="141"/>
        <w:jc w:val="both"/>
        <w:rPr>
          <w:rFonts w:ascii="Palatino Linotype" w:eastAsia="Palatino Linotype" w:hAnsi="Palatino Linotype" w:cs="Palatino Linotype"/>
          <w:sz w:val="22"/>
          <w:szCs w:val="22"/>
        </w:rPr>
      </w:pPr>
    </w:p>
    <w:p w14:paraId="0B50FDF6" w14:textId="77777777" w:rsidR="00C81284" w:rsidRPr="00D84127" w:rsidRDefault="00C81284" w:rsidP="00B03E3D">
      <w:pPr>
        <w:spacing w:line="360" w:lineRule="auto"/>
        <w:ind w:right="141"/>
        <w:jc w:val="both"/>
        <w:rPr>
          <w:rFonts w:ascii="Palatino Linotype" w:eastAsia="Palatino Linotype" w:hAnsi="Palatino Linotype" w:cs="Palatino Linotype"/>
          <w:sz w:val="22"/>
          <w:szCs w:val="22"/>
        </w:rPr>
      </w:pPr>
    </w:p>
    <w:p w14:paraId="3D2B6AEF" w14:textId="77777777" w:rsidR="00C81284" w:rsidRPr="00D84127" w:rsidRDefault="00C81284" w:rsidP="00B03E3D">
      <w:pPr>
        <w:spacing w:line="360" w:lineRule="auto"/>
        <w:ind w:right="141"/>
        <w:jc w:val="both"/>
        <w:rPr>
          <w:rFonts w:ascii="Palatino Linotype" w:eastAsia="Palatino Linotype" w:hAnsi="Palatino Linotype" w:cs="Palatino Linotype"/>
          <w:sz w:val="22"/>
          <w:szCs w:val="22"/>
        </w:rPr>
      </w:pPr>
    </w:p>
    <w:p w14:paraId="45B21EE0" w14:textId="77777777" w:rsidR="00C81284" w:rsidRPr="00D84127" w:rsidRDefault="00C81284" w:rsidP="00B03E3D">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5D575F39" w14:textId="77777777" w:rsidR="00C81284" w:rsidRPr="00D84127" w:rsidRDefault="00C81284" w:rsidP="00B03E3D">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7BED0477"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4ED1459C" w14:textId="77777777" w:rsidR="00C81284" w:rsidRPr="00D84127" w:rsidRDefault="00C81284" w:rsidP="00B03E3D">
      <w:pPr>
        <w:spacing w:line="360" w:lineRule="auto"/>
        <w:jc w:val="both"/>
        <w:rPr>
          <w:rFonts w:ascii="Palatino Linotype" w:eastAsia="Palatino Linotype" w:hAnsi="Palatino Linotype" w:cs="Palatino Linotype"/>
          <w:b/>
          <w:sz w:val="22"/>
          <w:szCs w:val="22"/>
        </w:rPr>
      </w:pPr>
    </w:p>
    <w:p w14:paraId="4D685F97" w14:textId="77777777" w:rsidR="00C81284" w:rsidRPr="00D84127" w:rsidRDefault="00C81284" w:rsidP="00B03E3D">
      <w:pPr>
        <w:spacing w:line="360" w:lineRule="auto"/>
        <w:jc w:val="both"/>
        <w:rPr>
          <w:rFonts w:ascii="Palatino Linotype" w:eastAsia="Palatino Linotype" w:hAnsi="Palatino Linotype" w:cs="Palatino Linotype"/>
          <w:b/>
          <w:sz w:val="22"/>
          <w:szCs w:val="22"/>
        </w:rPr>
      </w:pPr>
    </w:p>
    <w:p w14:paraId="38280F9A" w14:textId="77777777" w:rsidR="00C81284" w:rsidRPr="00D84127" w:rsidRDefault="00C81284" w:rsidP="00B03E3D">
      <w:pPr>
        <w:spacing w:line="360" w:lineRule="auto"/>
        <w:jc w:val="both"/>
        <w:rPr>
          <w:rFonts w:ascii="Palatino Linotype" w:eastAsia="Palatino Linotype" w:hAnsi="Palatino Linotype" w:cs="Palatino Linotype"/>
          <w:b/>
          <w:sz w:val="22"/>
          <w:szCs w:val="22"/>
        </w:rPr>
      </w:pPr>
    </w:p>
    <w:p w14:paraId="73EB686D"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29120380"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331D208A"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7F761C34"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7125016E"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33B4D39F"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3B273B93"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6B2554CF"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1233844F"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5D678EF5"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68E4390C"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166D7EB8"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01A307E7"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p w14:paraId="6672DF17" w14:textId="77777777" w:rsidR="00C81284" w:rsidRPr="00D84127" w:rsidRDefault="00C81284" w:rsidP="00B03E3D">
      <w:pPr>
        <w:spacing w:line="360" w:lineRule="auto"/>
        <w:jc w:val="both"/>
        <w:rPr>
          <w:rFonts w:ascii="Palatino Linotype" w:eastAsia="Palatino Linotype" w:hAnsi="Palatino Linotype" w:cs="Palatino Linotype"/>
          <w:sz w:val="22"/>
          <w:szCs w:val="22"/>
        </w:rPr>
      </w:pPr>
    </w:p>
    <w:sectPr w:rsidR="00C81284" w:rsidRPr="00D84127">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1FE51" w14:textId="77777777" w:rsidR="00734031" w:rsidRDefault="00734031">
      <w:r>
        <w:separator/>
      </w:r>
    </w:p>
  </w:endnote>
  <w:endnote w:type="continuationSeparator" w:id="0">
    <w:p w14:paraId="19E89053" w14:textId="77777777" w:rsidR="00734031" w:rsidRDefault="0073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13350" w14:textId="513E926A" w:rsidR="00ED65E0" w:rsidRDefault="00ED65E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70BA9">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70BA9">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5CEA2C4C" w14:textId="77777777" w:rsidR="00ED65E0" w:rsidRDefault="00ED65E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A4D7" w14:textId="372D4862" w:rsidR="00ED65E0" w:rsidRDefault="00ED65E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6AA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6AA5">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495A97B5" w14:textId="77777777" w:rsidR="00ED65E0" w:rsidRDefault="00ED65E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AC22D" w14:textId="77777777" w:rsidR="00734031" w:rsidRDefault="00734031">
      <w:r>
        <w:separator/>
      </w:r>
    </w:p>
  </w:footnote>
  <w:footnote w:type="continuationSeparator" w:id="0">
    <w:p w14:paraId="33581F54" w14:textId="77777777" w:rsidR="00734031" w:rsidRDefault="007340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DA73A" w14:textId="77777777" w:rsidR="00ED65E0" w:rsidRDefault="00ED65E0">
    <w:pPr>
      <w:rPr>
        <w:rFonts w:ascii="Cambria" w:eastAsia="Cambria" w:hAnsi="Cambria" w:cs="Cambria"/>
        <w:color w:val="000000"/>
      </w:rPr>
    </w:pPr>
    <w:r>
      <w:rPr>
        <w:noProof/>
      </w:rPr>
      <w:drawing>
        <wp:anchor distT="0" distB="0" distL="0" distR="0" simplePos="0" relativeHeight="251658240" behindDoc="1" locked="0" layoutInCell="1" hidden="0" allowOverlap="1" wp14:anchorId="426A02CD" wp14:editId="77FA4F28">
          <wp:simplePos x="0" y="0"/>
          <wp:positionH relativeFrom="column">
            <wp:posOffset>-1080131</wp:posOffset>
          </wp:positionH>
          <wp:positionV relativeFrom="paragraph">
            <wp:posOffset>-488274</wp:posOffset>
          </wp:positionV>
          <wp:extent cx="7809865" cy="10165715"/>
          <wp:effectExtent l="0" t="0" r="0" b="0"/>
          <wp:wrapNone/>
          <wp:docPr id="20832964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811" w:type="dxa"/>
      <w:tblInd w:w="3261" w:type="dxa"/>
      <w:tblLayout w:type="fixed"/>
      <w:tblLook w:val="0400" w:firstRow="0" w:lastRow="0" w:firstColumn="0" w:lastColumn="0" w:noHBand="0" w:noVBand="1"/>
    </w:tblPr>
    <w:tblGrid>
      <w:gridCol w:w="2489"/>
      <w:gridCol w:w="3322"/>
    </w:tblGrid>
    <w:tr w:rsidR="00ED65E0" w14:paraId="33927D0B" w14:textId="77777777">
      <w:tc>
        <w:tcPr>
          <w:tcW w:w="2489" w:type="dxa"/>
          <w:shd w:val="clear" w:color="auto" w:fill="auto"/>
        </w:tcPr>
        <w:p w14:paraId="2CC54426" w14:textId="77777777" w:rsidR="00ED65E0" w:rsidRDefault="00ED65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26D424BF" w14:textId="265148F2" w:rsidR="00ED65E0" w:rsidRDefault="00ED65E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13064/INFOEM/IP/RR/2025</w:t>
          </w:r>
        </w:p>
      </w:tc>
    </w:tr>
    <w:tr w:rsidR="00ED65E0" w14:paraId="2CC9A1F0" w14:textId="77777777">
      <w:trPr>
        <w:trHeight w:val="228"/>
      </w:trPr>
      <w:tc>
        <w:tcPr>
          <w:tcW w:w="2489" w:type="dxa"/>
          <w:shd w:val="clear" w:color="auto" w:fill="auto"/>
          <w:vAlign w:val="center"/>
        </w:tcPr>
        <w:p w14:paraId="37F7E426" w14:textId="77777777" w:rsidR="00ED65E0" w:rsidRDefault="00ED65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5D3D7AE" w14:textId="77777777" w:rsidR="00ED65E0" w:rsidRDefault="00ED65E0">
          <w:pPr>
            <w:rPr>
              <w:rFonts w:ascii="Palatino Linotype" w:eastAsia="Palatino Linotype" w:hAnsi="Palatino Linotype" w:cs="Palatino Linotype"/>
              <w:b/>
              <w:sz w:val="22"/>
              <w:szCs w:val="22"/>
            </w:rPr>
          </w:pPr>
        </w:p>
      </w:tc>
      <w:tc>
        <w:tcPr>
          <w:tcW w:w="3322" w:type="dxa"/>
          <w:shd w:val="clear" w:color="auto" w:fill="auto"/>
          <w:vAlign w:val="center"/>
        </w:tcPr>
        <w:p w14:paraId="7B05E907" w14:textId="0D635D1D" w:rsidR="00ED65E0" w:rsidRDefault="00ED65E0" w:rsidP="002665BB">
          <w:pPr>
            <w:ind w:left="-45" w:right="-54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ED65E0" w14:paraId="0581D18D" w14:textId="77777777">
      <w:tc>
        <w:tcPr>
          <w:tcW w:w="2489" w:type="dxa"/>
          <w:shd w:val="clear" w:color="auto" w:fill="auto"/>
          <w:vAlign w:val="center"/>
        </w:tcPr>
        <w:p w14:paraId="4E563959" w14:textId="77777777" w:rsidR="00ED65E0" w:rsidRDefault="00ED65E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5CE2D7E8" w14:textId="77777777" w:rsidR="00ED65E0" w:rsidRDefault="00ED65E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50C1C6" w14:textId="77777777" w:rsidR="00ED65E0" w:rsidRDefault="00ED65E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FEA0" w14:textId="77777777" w:rsidR="00ED65E0" w:rsidRDefault="00ED65E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8BBA5D2" wp14:editId="31D53F88">
          <wp:simplePos x="0" y="0"/>
          <wp:positionH relativeFrom="column">
            <wp:posOffset>-1080126</wp:posOffset>
          </wp:positionH>
          <wp:positionV relativeFrom="paragraph">
            <wp:posOffset>-369901</wp:posOffset>
          </wp:positionV>
          <wp:extent cx="7809865" cy="10165715"/>
          <wp:effectExtent l="0" t="0" r="0" b="0"/>
          <wp:wrapNone/>
          <wp:docPr id="20832964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6095" w:type="dxa"/>
      <w:tblInd w:w="3261" w:type="dxa"/>
      <w:tblLayout w:type="fixed"/>
      <w:tblLook w:val="0400" w:firstRow="0" w:lastRow="0" w:firstColumn="0" w:lastColumn="0" w:noHBand="0" w:noVBand="1"/>
    </w:tblPr>
    <w:tblGrid>
      <w:gridCol w:w="2489"/>
      <w:gridCol w:w="3606"/>
    </w:tblGrid>
    <w:tr w:rsidR="00ED65E0" w14:paraId="40DB83DF" w14:textId="77777777">
      <w:tc>
        <w:tcPr>
          <w:tcW w:w="2489" w:type="dxa"/>
          <w:shd w:val="clear" w:color="auto" w:fill="auto"/>
        </w:tcPr>
        <w:p w14:paraId="722B22E1" w14:textId="77777777" w:rsidR="00ED65E0" w:rsidRDefault="00ED65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7BE5FB02" w14:textId="04C3CF86" w:rsidR="00ED65E0" w:rsidRDefault="00ED65E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13064/INFOEM/IP/RR/2025</w:t>
          </w:r>
        </w:p>
      </w:tc>
    </w:tr>
    <w:tr w:rsidR="00ED65E0" w14:paraId="2C5236A2" w14:textId="77777777">
      <w:tc>
        <w:tcPr>
          <w:tcW w:w="2489" w:type="dxa"/>
          <w:shd w:val="clear" w:color="auto" w:fill="auto"/>
        </w:tcPr>
        <w:p w14:paraId="405EDD80" w14:textId="77777777" w:rsidR="00ED65E0" w:rsidRDefault="00ED65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12644906" w14:textId="21D1D988" w:rsidR="00ED65E0" w:rsidRDefault="00A76AA5" w:rsidP="00A76A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XXXXXXX </w:t>
          </w:r>
        </w:p>
      </w:tc>
    </w:tr>
    <w:tr w:rsidR="00ED65E0" w14:paraId="1F9755C5" w14:textId="77777777">
      <w:trPr>
        <w:trHeight w:val="228"/>
      </w:trPr>
      <w:tc>
        <w:tcPr>
          <w:tcW w:w="2489" w:type="dxa"/>
          <w:shd w:val="clear" w:color="auto" w:fill="auto"/>
          <w:vAlign w:val="center"/>
        </w:tcPr>
        <w:p w14:paraId="5CD962AC" w14:textId="77777777" w:rsidR="00ED65E0" w:rsidRDefault="00ED65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906BB51" w14:textId="77777777" w:rsidR="00ED65E0" w:rsidRDefault="00ED65E0">
          <w:pPr>
            <w:rPr>
              <w:rFonts w:ascii="Palatino Linotype" w:eastAsia="Palatino Linotype" w:hAnsi="Palatino Linotype" w:cs="Palatino Linotype"/>
              <w:b/>
              <w:sz w:val="22"/>
              <w:szCs w:val="22"/>
            </w:rPr>
          </w:pPr>
        </w:p>
      </w:tc>
      <w:tc>
        <w:tcPr>
          <w:tcW w:w="3606" w:type="dxa"/>
          <w:shd w:val="clear" w:color="auto" w:fill="auto"/>
          <w:vAlign w:val="center"/>
        </w:tcPr>
        <w:p w14:paraId="424D03CB" w14:textId="5025FFF6" w:rsidR="00ED65E0" w:rsidRDefault="00ED65E0" w:rsidP="002665BB">
          <w:pPr>
            <w:ind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ED65E0" w14:paraId="5FF8B814" w14:textId="77777777">
      <w:tc>
        <w:tcPr>
          <w:tcW w:w="2489" w:type="dxa"/>
          <w:shd w:val="clear" w:color="auto" w:fill="auto"/>
          <w:vAlign w:val="center"/>
        </w:tcPr>
        <w:p w14:paraId="0BC223F0" w14:textId="77777777" w:rsidR="00ED65E0" w:rsidRDefault="00ED65E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31E95899" w14:textId="77777777" w:rsidR="00ED65E0" w:rsidRDefault="00ED65E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BAB094" w14:textId="77777777" w:rsidR="00ED65E0" w:rsidRDefault="00ED65E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3C9"/>
    <w:multiLevelType w:val="multilevel"/>
    <w:tmpl w:val="E02A291E"/>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5B01E8"/>
    <w:multiLevelType w:val="hybridMultilevel"/>
    <w:tmpl w:val="063A61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18CC068B"/>
    <w:multiLevelType w:val="hybridMultilevel"/>
    <w:tmpl w:val="5D3EA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1483C"/>
    <w:multiLevelType w:val="hybridMultilevel"/>
    <w:tmpl w:val="BBDC636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CD3CAC"/>
    <w:multiLevelType w:val="multilevel"/>
    <w:tmpl w:val="A5F64282"/>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F1844B4"/>
    <w:multiLevelType w:val="hybridMultilevel"/>
    <w:tmpl w:val="DFB6E6C6"/>
    <w:lvl w:ilvl="0" w:tplc="60C01B0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024C01"/>
    <w:multiLevelType w:val="hybridMultilevel"/>
    <w:tmpl w:val="74E87960"/>
    <w:lvl w:ilvl="0" w:tplc="D7EC3422">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C90D46"/>
    <w:multiLevelType w:val="hybridMultilevel"/>
    <w:tmpl w:val="03180C90"/>
    <w:lvl w:ilvl="0" w:tplc="7EF882E4">
      <w:start w:val="3"/>
      <w:numFmt w:val="bullet"/>
      <w:lvlText w:val="-"/>
      <w:lvlJc w:val="left"/>
      <w:pPr>
        <w:ind w:left="720" w:hanging="360"/>
      </w:pPr>
      <w:rPr>
        <w:rFonts w:ascii="Palatino Linotype" w:eastAsia="Palatino Linotype" w:hAnsi="Palatino Linotype"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5A1A6E"/>
    <w:multiLevelType w:val="hybridMultilevel"/>
    <w:tmpl w:val="7338B788"/>
    <w:lvl w:ilvl="0" w:tplc="6E1A6AE6">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9D13E7A"/>
    <w:multiLevelType w:val="hybridMultilevel"/>
    <w:tmpl w:val="238E766C"/>
    <w:lvl w:ilvl="0" w:tplc="9544D28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EF30E8"/>
    <w:multiLevelType w:val="multilevel"/>
    <w:tmpl w:val="BCACB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420E99"/>
    <w:multiLevelType w:val="hybridMultilevel"/>
    <w:tmpl w:val="CEEA64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677F66"/>
    <w:multiLevelType w:val="hybridMultilevel"/>
    <w:tmpl w:val="DAAEFB1E"/>
    <w:lvl w:ilvl="0" w:tplc="DD9640C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202052D"/>
    <w:multiLevelType w:val="hybridMultilevel"/>
    <w:tmpl w:val="8A30CE0C"/>
    <w:lvl w:ilvl="0" w:tplc="B218B35E">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180C9E"/>
    <w:multiLevelType w:val="hybridMultilevel"/>
    <w:tmpl w:val="50E4CB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5"/>
  </w:num>
  <w:num w:numId="3">
    <w:abstractNumId w:val="0"/>
  </w:num>
  <w:num w:numId="4">
    <w:abstractNumId w:val="9"/>
  </w:num>
  <w:num w:numId="5">
    <w:abstractNumId w:val="3"/>
  </w:num>
  <w:num w:numId="6">
    <w:abstractNumId w:val="15"/>
  </w:num>
  <w:num w:numId="7">
    <w:abstractNumId w:val="1"/>
  </w:num>
  <w:num w:numId="8">
    <w:abstractNumId w:val="14"/>
  </w:num>
  <w:num w:numId="9">
    <w:abstractNumId w:val="16"/>
  </w:num>
  <w:num w:numId="10">
    <w:abstractNumId w:val="7"/>
  </w:num>
  <w:num w:numId="11">
    <w:abstractNumId w:val="2"/>
  </w:num>
  <w:num w:numId="12">
    <w:abstractNumId w:val="8"/>
  </w:num>
  <w:num w:numId="13">
    <w:abstractNumId w:val="13"/>
  </w:num>
  <w:num w:numId="14">
    <w:abstractNumId w:val="17"/>
  </w:num>
  <w:num w:numId="15">
    <w:abstractNumId w:val="6"/>
  </w:num>
  <w:num w:numId="16">
    <w:abstractNumId w:val="11"/>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84"/>
    <w:rsid w:val="00037748"/>
    <w:rsid w:val="000422A0"/>
    <w:rsid w:val="00050B09"/>
    <w:rsid w:val="00055D8A"/>
    <w:rsid w:val="00076A66"/>
    <w:rsid w:val="00084D30"/>
    <w:rsid w:val="000A55E5"/>
    <w:rsid w:val="000F6B9F"/>
    <w:rsid w:val="00117303"/>
    <w:rsid w:val="00130FDA"/>
    <w:rsid w:val="00233A82"/>
    <w:rsid w:val="002402C0"/>
    <w:rsid w:val="002665BB"/>
    <w:rsid w:val="00277332"/>
    <w:rsid w:val="002A5957"/>
    <w:rsid w:val="00340CE1"/>
    <w:rsid w:val="003A76B8"/>
    <w:rsid w:val="003B5718"/>
    <w:rsid w:val="00406800"/>
    <w:rsid w:val="0045580D"/>
    <w:rsid w:val="005A0CDD"/>
    <w:rsid w:val="005F32FD"/>
    <w:rsid w:val="00663527"/>
    <w:rsid w:val="006F6715"/>
    <w:rsid w:val="00702957"/>
    <w:rsid w:val="00734031"/>
    <w:rsid w:val="007A0C31"/>
    <w:rsid w:val="007D0E38"/>
    <w:rsid w:val="00811B20"/>
    <w:rsid w:val="0082000C"/>
    <w:rsid w:val="00843EE2"/>
    <w:rsid w:val="008442DF"/>
    <w:rsid w:val="008905D6"/>
    <w:rsid w:val="008B0687"/>
    <w:rsid w:val="009312A8"/>
    <w:rsid w:val="00987473"/>
    <w:rsid w:val="0099310A"/>
    <w:rsid w:val="009962B8"/>
    <w:rsid w:val="00A0375B"/>
    <w:rsid w:val="00A76AA5"/>
    <w:rsid w:val="00A82B07"/>
    <w:rsid w:val="00A86C1C"/>
    <w:rsid w:val="00B03E3D"/>
    <w:rsid w:val="00B519ED"/>
    <w:rsid w:val="00B64C9A"/>
    <w:rsid w:val="00BE6746"/>
    <w:rsid w:val="00C04069"/>
    <w:rsid w:val="00C05634"/>
    <w:rsid w:val="00C81284"/>
    <w:rsid w:val="00CF02C4"/>
    <w:rsid w:val="00D141F4"/>
    <w:rsid w:val="00D328D0"/>
    <w:rsid w:val="00D70BA9"/>
    <w:rsid w:val="00D84127"/>
    <w:rsid w:val="00DA4E17"/>
    <w:rsid w:val="00DB41D6"/>
    <w:rsid w:val="00E019BE"/>
    <w:rsid w:val="00E60E00"/>
    <w:rsid w:val="00E825CD"/>
    <w:rsid w:val="00EA400D"/>
    <w:rsid w:val="00ED65E0"/>
    <w:rsid w:val="00ED7814"/>
    <w:rsid w:val="00F23764"/>
    <w:rsid w:val="00F31116"/>
    <w:rsid w:val="00F754F3"/>
    <w:rsid w:val="00FF7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0C407"/>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INAI"/>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08" w:type="dxa"/>
        <w:right w:w="108"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3"/>
      </w:numPr>
      <w:contextualSpacing/>
    </w:pPr>
    <w:rPr>
      <w:lang w:eastAsia="es-ES"/>
    </w:r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4917">
      <w:bodyDiv w:val="1"/>
      <w:marLeft w:val="0"/>
      <w:marRight w:val="0"/>
      <w:marTop w:val="0"/>
      <w:marBottom w:val="0"/>
      <w:divBdr>
        <w:top w:val="none" w:sz="0" w:space="0" w:color="auto"/>
        <w:left w:val="none" w:sz="0" w:space="0" w:color="auto"/>
        <w:bottom w:val="none" w:sz="0" w:space="0" w:color="auto"/>
        <w:right w:val="none" w:sz="0" w:space="0" w:color="auto"/>
      </w:divBdr>
    </w:div>
    <w:div w:id="144666557">
      <w:bodyDiv w:val="1"/>
      <w:marLeft w:val="0"/>
      <w:marRight w:val="0"/>
      <w:marTop w:val="0"/>
      <w:marBottom w:val="0"/>
      <w:divBdr>
        <w:top w:val="none" w:sz="0" w:space="0" w:color="auto"/>
        <w:left w:val="none" w:sz="0" w:space="0" w:color="auto"/>
        <w:bottom w:val="none" w:sz="0" w:space="0" w:color="auto"/>
        <w:right w:val="none" w:sz="0" w:space="0" w:color="auto"/>
      </w:divBdr>
    </w:div>
    <w:div w:id="282734490">
      <w:bodyDiv w:val="1"/>
      <w:marLeft w:val="0"/>
      <w:marRight w:val="0"/>
      <w:marTop w:val="0"/>
      <w:marBottom w:val="0"/>
      <w:divBdr>
        <w:top w:val="none" w:sz="0" w:space="0" w:color="auto"/>
        <w:left w:val="none" w:sz="0" w:space="0" w:color="auto"/>
        <w:bottom w:val="none" w:sz="0" w:space="0" w:color="auto"/>
        <w:right w:val="none" w:sz="0" w:space="0" w:color="auto"/>
      </w:divBdr>
    </w:div>
    <w:div w:id="329258234">
      <w:bodyDiv w:val="1"/>
      <w:marLeft w:val="0"/>
      <w:marRight w:val="0"/>
      <w:marTop w:val="0"/>
      <w:marBottom w:val="0"/>
      <w:divBdr>
        <w:top w:val="none" w:sz="0" w:space="0" w:color="auto"/>
        <w:left w:val="none" w:sz="0" w:space="0" w:color="auto"/>
        <w:bottom w:val="none" w:sz="0" w:space="0" w:color="auto"/>
        <w:right w:val="none" w:sz="0" w:space="0" w:color="auto"/>
      </w:divBdr>
    </w:div>
    <w:div w:id="388766550">
      <w:bodyDiv w:val="1"/>
      <w:marLeft w:val="0"/>
      <w:marRight w:val="0"/>
      <w:marTop w:val="0"/>
      <w:marBottom w:val="0"/>
      <w:divBdr>
        <w:top w:val="none" w:sz="0" w:space="0" w:color="auto"/>
        <w:left w:val="none" w:sz="0" w:space="0" w:color="auto"/>
        <w:bottom w:val="none" w:sz="0" w:space="0" w:color="auto"/>
        <w:right w:val="none" w:sz="0" w:space="0" w:color="auto"/>
      </w:divBdr>
    </w:div>
    <w:div w:id="581182403">
      <w:bodyDiv w:val="1"/>
      <w:marLeft w:val="0"/>
      <w:marRight w:val="0"/>
      <w:marTop w:val="0"/>
      <w:marBottom w:val="0"/>
      <w:divBdr>
        <w:top w:val="none" w:sz="0" w:space="0" w:color="auto"/>
        <w:left w:val="none" w:sz="0" w:space="0" w:color="auto"/>
        <w:bottom w:val="none" w:sz="0" w:space="0" w:color="auto"/>
        <w:right w:val="none" w:sz="0" w:space="0" w:color="auto"/>
      </w:divBdr>
    </w:div>
    <w:div w:id="1520317873">
      <w:bodyDiv w:val="1"/>
      <w:marLeft w:val="0"/>
      <w:marRight w:val="0"/>
      <w:marTop w:val="0"/>
      <w:marBottom w:val="0"/>
      <w:divBdr>
        <w:top w:val="none" w:sz="0" w:space="0" w:color="auto"/>
        <w:left w:val="none" w:sz="0" w:space="0" w:color="auto"/>
        <w:bottom w:val="none" w:sz="0" w:space="0" w:color="auto"/>
        <w:right w:val="none" w:sz="0" w:space="0" w:color="auto"/>
      </w:divBdr>
    </w:div>
    <w:div w:id="1616210392">
      <w:bodyDiv w:val="1"/>
      <w:marLeft w:val="0"/>
      <w:marRight w:val="0"/>
      <w:marTop w:val="0"/>
      <w:marBottom w:val="0"/>
      <w:divBdr>
        <w:top w:val="none" w:sz="0" w:space="0" w:color="auto"/>
        <w:left w:val="none" w:sz="0" w:space="0" w:color="auto"/>
        <w:bottom w:val="none" w:sz="0" w:space="0" w:color="auto"/>
        <w:right w:val="none" w:sz="0" w:space="0" w:color="auto"/>
      </w:divBdr>
    </w:div>
    <w:div w:id="1628319817">
      <w:bodyDiv w:val="1"/>
      <w:marLeft w:val="0"/>
      <w:marRight w:val="0"/>
      <w:marTop w:val="0"/>
      <w:marBottom w:val="0"/>
      <w:divBdr>
        <w:top w:val="none" w:sz="0" w:space="0" w:color="auto"/>
        <w:left w:val="none" w:sz="0" w:space="0" w:color="auto"/>
        <w:bottom w:val="none" w:sz="0" w:space="0" w:color="auto"/>
        <w:right w:val="none" w:sz="0" w:space="0" w:color="auto"/>
      </w:divBdr>
    </w:div>
    <w:div w:id="1894389746">
      <w:bodyDiv w:val="1"/>
      <w:marLeft w:val="0"/>
      <w:marRight w:val="0"/>
      <w:marTop w:val="0"/>
      <w:marBottom w:val="0"/>
      <w:divBdr>
        <w:top w:val="none" w:sz="0" w:space="0" w:color="auto"/>
        <w:left w:val="none" w:sz="0" w:space="0" w:color="auto"/>
        <w:bottom w:val="none" w:sz="0" w:space="0" w:color="auto"/>
        <w:right w:val="none" w:sz="0" w:space="0" w:color="auto"/>
      </w:divBdr>
    </w:div>
    <w:div w:id="2073384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xiSLeN43nGyzuvRb7ZwGERXbA==">CgMxLjAyCWguNGQzNG9nODIIaC5namRneHMyCWguM2R5NnZrbTIJaC4zMGowemxsMgloLjJzOGV5bzEyCGgudHlqY3d0MgloLjN6bnlzaDcyCWguMmV0OTJwMDIOaC41d2t3bjBqMWRhcm0yCWguMjZpbjFyZzIOaC5veHo5MncyYWd6ZGc4AHIhMW9EcHpNdVNWLTdMTXVsTmM0VWJjRnAwclBrZkdhX1Zz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7626</Words>
  <Characters>41944</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2026-01-15T19:37:00Z</cp:lastPrinted>
  <dcterms:created xsi:type="dcterms:W3CDTF">2026-03-19T16:52:00Z</dcterms:created>
  <dcterms:modified xsi:type="dcterms:W3CDTF">2026-03-19T16:52:00Z</dcterms:modified>
</cp:coreProperties>
</file>